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29" w:rsidRPr="008D55BB" w:rsidRDefault="0016545F" w:rsidP="008D55BB">
      <w:pPr>
        <w:pStyle w:val="Heading1"/>
        <w:numPr>
          <w:ilvl w:val="0"/>
          <w:numId w:val="0"/>
        </w:numPr>
        <w:spacing w:line="240" w:lineRule="auto"/>
        <w:rPr>
          <w:sz w:val="34"/>
          <w:szCs w:val="34"/>
          <w:vertAlign w:val="superscript"/>
        </w:rPr>
      </w:pPr>
      <w:bookmarkStart w:id="0" w:name="_GoBack"/>
      <w:bookmarkEnd w:id="0"/>
      <w:r>
        <w:rPr>
          <w:noProof/>
          <w:sz w:val="34"/>
          <w:szCs w:val="34"/>
          <w:lang w:val="en-US" w:eastAsia="zh-CN"/>
        </w:rPr>
        <w:pict>
          <v:group id="_x0000_s1026" style="position:absolute;margin-left:322.5pt;margin-top:-10.5pt;width:78pt;height:99pt;rotation:270;z-index:251657728" coordorigin="4015,1172" coordsize="985,1484">
            <v:line id="Line 49" o:spid="_x0000_s1027" style="position:absolute;flip:y;visibility:visible;v-text-anchor:middle" from="4265,1691" to="4344,1736" strokeweight="2.25pt"/>
            <v:line id="Line 50" o:spid="_x0000_s1028" style="position:absolute;visibility:visible;v-text-anchor:middle" from="4700,1687" to="4761,1726" strokeweight="2.25pt"/>
            <v:line id="Line 51" o:spid="_x0000_s1029" style="position:absolute;visibility:visible;v-text-anchor:middle" from="4380,1773" to="4451,1959" strokeweight="2.25pt"/>
            <v:line id="Line 52" o:spid="_x0000_s1030" style="position:absolute;flip:x;visibility:visible;v-text-anchor:middle" from="4564,1760" to="4641,1965" strokeweight="2.25pt"/>
            <v:line id="Line 54" o:spid="_x0000_s1031" style="position:absolute;visibility:visible;v-text-anchor:middle" from="4431,1902" to="4588,1902" strokeweight="2.25pt"/>
            <v:line id="Line 53" o:spid="_x0000_s1032" style="position:absolute;visibility:visible;v-text-anchor:middle" from="4411,1858" to="4606,1858" strokeweight="2.25pt"/>
            <v:rect id="Rectangle 55" o:spid="_x0000_s1033" style="position:absolute;left:4415;top:1926;width:68;height:730;visibility:visible;v-text-anchor:middle" filled="f" fillcolor="#6f3">
              <v:textbox style="mso-next-textbox:#Rectangle 55;mso-rotate-with-shape:t">
                <w:txbxContent>
                  <w:p w:rsidR="001F4809" w:rsidRDefault="001F4809" w:rsidP="00767507">
                    <w:pPr>
                      <w:autoSpaceDE w:val="0"/>
                      <w:autoSpaceDN w:val="0"/>
                      <w:adjustRightInd w:val="0"/>
                      <w:rPr>
                        <w:rFonts w:ascii="Arial" w:hAnsi="Arial" w:cs="Arial"/>
                        <w:color w:val="FFFFFF"/>
                        <w:sz w:val="36"/>
                        <w:szCs w:val="36"/>
                      </w:rPr>
                    </w:pPr>
                  </w:p>
                </w:txbxContent>
              </v:textbox>
            </v:rect>
            <v:rect id="Rectangle 56" o:spid="_x0000_s1034" style="position:absolute;left:4541;top:1926;width:66;height:730;visibility:visible;v-text-anchor:middle" filled="f" fillcolor="#6f3">
              <v:textbox style="mso-next-textbox:#Rectangle 56;mso-rotate-with-shape:t">
                <w:txbxContent>
                  <w:p w:rsidR="001F4809" w:rsidRDefault="001F4809" w:rsidP="00767507">
                    <w:pPr>
                      <w:autoSpaceDE w:val="0"/>
                      <w:autoSpaceDN w:val="0"/>
                      <w:adjustRightInd w:val="0"/>
                      <w:rPr>
                        <w:rFonts w:ascii="Arial" w:hAnsi="Arial" w:cs="Arial"/>
                        <w:color w:val="FFFFFF"/>
                        <w:sz w:val="36"/>
                        <w:szCs w:val="36"/>
                      </w:rPr>
                    </w:pPr>
                  </w:p>
                </w:txbxContent>
              </v:textbox>
            </v:rect>
            <v:rect id="Rectangle 57" o:spid="_x0000_s1035" style="position:absolute;left:4239;top:1182;width:58;height:644;rotation:-1716435fd;visibility:visible;v-text-anchor:middle" filled="f" fillcolor="#6f3">
              <v:textbox style="mso-next-textbox:#Rectangle 57;mso-rotate-with-shape:t">
                <w:txbxContent>
                  <w:p w:rsidR="001F4809" w:rsidRDefault="001F4809" w:rsidP="00767507">
                    <w:pPr>
                      <w:autoSpaceDE w:val="0"/>
                      <w:autoSpaceDN w:val="0"/>
                      <w:adjustRightInd w:val="0"/>
                      <w:rPr>
                        <w:rFonts w:ascii="Arial" w:hAnsi="Arial" w:cs="Arial"/>
                        <w:color w:val="FFFFFF"/>
                        <w:sz w:val="36"/>
                        <w:szCs w:val="36"/>
                      </w:rPr>
                    </w:pPr>
                  </w:p>
                </w:txbxContent>
              </v:textbox>
            </v:rect>
            <v:rect id="Rectangle 58" o:spid="_x0000_s1036" style="position:absolute;left:4132;top:1232;width:59;height:644;rotation:-1716435fd;visibility:visible;v-text-anchor:middle" filled="f" fillcolor="#6f3">
              <v:textbox style="mso-next-textbox:#Rectangle 58;mso-rotate-with-shape:t">
                <w:txbxContent>
                  <w:p w:rsidR="001F4809" w:rsidRDefault="001F4809" w:rsidP="00767507">
                    <w:pPr>
                      <w:autoSpaceDE w:val="0"/>
                      <w:autoSpaceDN w:val="0"/>
                      <w:adjustRightInd w:val="0"/>
                      <w:rPr>
                        <w:rFonts w:ascii="Arial" w:hAnsi="Arial" w:cs="Arial"/>
                        <w:color w:val="FFFFFF"/>
                        <w:sz w:val="36"/>
                        <w:szCs w:val="36"/>
                      </w:rPr>
                    </w:pPr>
                  </w:p>
                </w:txbxContent>
              </v:textbox>
            </v:rect>
            <v:rect id="Rectangle 59" o:spid="_x0000_s1037" style="position:absolute;left:4824;top:1228;width:59;height:645;rotation:-1716435fd;flip:x;visibility:visible;v-text-anchor:middle" filled="f" fillcolor="#6f3">
              <v:textbox style="mso-next-textbox:#Rectangle 59;mso-rotate-with-shape:t">
                <w:txbxContent>
                  <w:p w:rsidR="001F4809" w:rsidRDefault="001F4809" w:rsidP="00767507">
                    <w:pPr>
                      <w:autoSpaceDE w:val="0"/>
                      <w:autoSpaceDN w:val="0"/>
                      <w:adjustRightInd w:val="0"/>
                      <w:rPr>
                        <w:rFonts w:ascii="Arial" w:hAnsi="Arial" w:cs="Arial"/>
                        <w:color w:val="FFFFFF"/>
                        <w:sz w:val="36"/>
                        <w:szCs w:val="36"/>
                      </w:rPr>
                    </w:pPr>
                  </w:p>
                </w:txbxContent>
              </v:textbox>
            </v:rect>
            <v:rect id="Rectangle 60" o:spid="_x0000_s1038" style="position:absolute;left:4729;top:1172;width:60;height:644;rotation:-1716435fd;flip:x;visibility:visible;v-text-anchor:middle" filled="f" fillcolor="#6f3">
              <v:textbox style="mso-next-textbox:#Rectangle 60;mso-rotate-with-shape:t">
                <w:txbxContent>
                  <w:p w:rsidR="001F4809" w:rsidRDefault="001F4809" w:rsidP="00767507">
                    <w:pPr>
                      <w:autoSpaceDE w:val="0"/>
                      <w:autoSpaceDN w:val="0"/>
                      <w:adjustRightInd w:val="0"/>
                      <w:rPr>
                        <w:rFonts w:ascii="Arial" w:hAnsi="Arial" w:cs="Arial"/>
                        <w:color w:val="FFFFFF"/>
                        <w:sz w:val="36"/>
                        <w:szCs w:val="36"/>
                      </w:rPr>
                    </w:pPr>
                  </w:p>
                </w:txbxContent>
              </v:textbox>
            </v:rect>
            <v:line id="Line 61" o:spid="_x0000_s1039" style="position:absolute;visibility:visible;v-text-anchor:middle" from="4844,1253" to="4895,1282" strokeweight="2.25pt"/>
            <v:line id="Line 62" o:spid="_x0000_s1040" style="position:absolute;visibility:visible;v-text-anchor:middle" from="4858,1230" to="4907,1258" strokeweight="2.25pt"/>
            <v:line id="Line 63" o:spid="_x0000_s1041" style="position:absolute;visibility:visible;v-text-anchor:middle" from="4831,1277" to="4881,1305" strokeweight="2.25pt"/>
            <v:line id="Line 64" o:spid="_x0000_s1042" style="position:absolute;visibility:visible;v-text-anchor:middle" from="4940,1306" to="4989,1335" strokeweight="2.25pt"/>
            <v:line id="Line 65" o:spid="_x0000_s1043" style="position:absolute;visibility:visible;v-text-anchor:middle" from="4951,1283" to="5000,1311" strokeweight="2.25pt"/>
            <v:line id="Line 66" o:spid="_x0000_s1044" style="position:absolute;visibility:visible;v-text-anchor:middle" from="4930,1330" to="4980,1358" strokeweight="2.25pt"/>
            <v:line id="Line 67" o:spid="_x0000_s1045" style="position:absolute;flip:x;visibility:visible;v-text-anchor:middle" from="4130,1258" to="4180,1287" strokeweight="2.25pt"/>
            <v:line id="Line 68" o:spid="_x0000_s1046" style="position:absolute;flip:x;visibility:visible;v-text-anchor:middle" from="4116,1235" to="4167,1263" strokeweight="2.25pt"/>
            <v:line id="Line 69" o:spid="_x0000_s1047" style="position:absolute;flip:x;visibility:visible;v-text-anchor:middle" from="4141,1282" to="4191,1310" strokeweight="2.25pt"/>
            <v:line id="Line 70" o:spid="_x0000_s1048" style="position:absolute;flip:x;visibility:visible;v-text-anchor:middle" from="4026,1313" to="4075,1341" strokeweight="2.25pt"/>
            <v:line id="Line 71" o:spid="_x0000_s1049" style="position:absolute;flip:x;visibility:visible;v-text-anchor:middle" from="4015,1290" to="4064,1318" strokeweight="2.25pt"/>
            <v:line id="Line 72" o:spid="_x0000_s1050" style="position:absolute;flip:x;visibility:visible;v-text-anchor:middle" from="4035,1336" to="4085,1365" strokeweight="2.25pt"/>
          </v:group>
        </w:pict>
      </w:r>
      <w:r w:rsidR="00105D7D">
        <w:rPr>
          <w:sz w:val="34"/>
          <w:szCs w:val="34"/>
        </w:rPr>
        <w:t>ACTEMRA</w:t>
      </w:r>
    </w:p>
    <w:p w:rsidR="00194929" w:rsidRPr="008D55BB" w:rsidRDefault="008D55BB" w:rsidP="008D55BB">
      <w:pPr>
        <w:pStyle w:val="PIexplanation"/>
        <w:rPr>
          <w:color w:val="auto"/>
          <w:sz w:val="22"/>
          <w:szCs w:val="22"/>
        </w:rPr>
      </w:pPr>
      <w:r w:rsidRPr="008D55BB">
        <w:rPr>
          <w:color w:val="auto"/>
          <w:sz w:val="22"/>
          <w:szCs w:val="22"/>
        </w:rPr>
        <w:t>Tocilizumab (rch)</w:t>
      </w:r>
    </w:p>
    <w:p w:rsidR="008D55BB" w:rsidRDefault="008D55BB" w:rsidP="008D55BB">
      <w:pPr>
        <w:rPr>
          <w:sz w:val="22"/>
          <w:szCs w:val="22"/>
        </w:rPr>
      </w:pPr>
      <w:r w:rsidRPr="008D55BB">
        <w:rPr>
          <w:sz w:val="22"/>
          <w:szCs w:val="22"/>
        </w:rPr>
        <w:t>CAS 375823-41-9</w:t>
      </w:r>
    </w:p>
    <w:p w:rsidR="00767507" w:rsidRDefault="00767507" w:rsidP="008D55BB">
      <w:pPr>
        <w:rPr>
          <w:sz w:val="22"/>
          <w:szCs w:val="22"/>
        </w:rPr>
      </w:pPr>
    </w:p>
    <w:p w:rsidR="00767507" w:rsidRDefault="00767507" w:rsidP="008D55BB">
      <w:pPr>
        <w:rPr>
          <w:sz w:val="22"/>
          <w:szCs w:val="22"/>
        </w:rPr>
      </w:pPr>
    </w:p>
    <w:p w:rsidR="008D55BB" w:rsidRDefault="008D55BB" w:rsidP="00CE6652">
      <w:pPr>
        <w:jc w:val="both"/>
      </w:pPr>
      <w:r w:rsidRPr="008D55BB">
        <w:t>Tocilizumab is a recombinant humani</w:t>
      </w:r>
      <w:r w:rsidR="009A71B8">
        <w:t>s</w:t>
      </w:r>
      <w:r w:rsidRPr="008D55BB">
        <w:t>ed monoclonal antibody of the immunoglobulin (Ig) IgG1 subclass</w:t>
      </w:r>
      <w:r w:rsidR="004856C1">
        <w:t xml:space="preserve"> which binds to human interleukin 6 (IL</w:t>
      </w:r>
      <w:r w:rsidR="003710DA">
        <w:t>-</w:t>
      </w:r>
      <w:r w:rsidR="004856C1">
        <w:t>6) receptors</w:t>
      </w:r>
      <w:r w:rsidRPr="008D55BB">
        <w:t>.</w:t>
      </w:r>
      <w:r w:rsidR="009A71B8" w:rsidRPr="009A71B8">
        <w:t xml:space="preserve"> </w:t>
      </w:r>
      <w:r w:rsidR="009A71B8">
        <w:t xml:space="preserve">It </w:t>
      </w:r>
      <w:r w:rsidR="009A71B8" w:rsidRPr="009A71B8">
        <w:t>is composed of two heterodime</w:t>
      </w:r>
      <w:r w:rsidR="009A71B8">
        <w:t xml:space="preserve">rs, each of which </w:t>
      </w:r>
      <w:r w:rsidR="001E23F6">
        <w:t>consists</w:t>
      </w:r>
      <w:r w:rsidR="009A71B8">
        <w:t xml:space="preserve"> of a heavy and a light</w:t>
      </w:r>
      <w:r w:rsidR="009A71B8" w:rsidRPr="009A71B8">
        <w:t xml:space="preserve"> polypeptide chain. </w:t>
      </w:r>
      <w:r w:rsidR="009A71B8">
        <w:t>The l</w:t>
      </w:r>
      <w:r w:rsidR="009A71B8" w:rsidRPr="009A71B8">
        <w:t xml:space="preserve">ight chain </w:t>
      </w:r>
      <w:r w:rsidR="009A71B8">
        <w:t xml:space="preserve">contains of 214 amino </w:t>
      </w:r>
      <w:r w:rsidR="001E23F6">
        <w:t>acids</w:t>
      </w:r>
      <w:r w:rsidR="009A71B8">
        <w:t xml:space="preserve"> </w:t>
      </w:r>
      <w:r w:rsidR="009A71B8" w:rsidRPr="009A71B8">
        <w:t xml:space="preserve">and </w:t>
      </w:r>
      <w:r w:rsidR="009A71B8">
        <w:t xml:space="preserve">the </w:t>
      </w:r>
      <w:r w:rsidR="009A71B8" w:rsidRPr="009A71B8">
        <w:t>heavy chain 448 amino acids</w:t>
      </w:r>
      <w:r w:rsidR="009A71B8">
        <w:t>.</w:t>
      </w:r>
      <w:r w:rsidR="009A71B8" w:rsidRPr="009A71B8">
        <w:t xml:space="preserve"> The four polypeptide chains are linked intra- and inter-molecula</w:t>
      </w:r>
      <w:r w:rsidR="009A71B8">
        <w:t xml:space="preserve">rly by disulfide bonds. </w:t>
      </w:r>
      <w:r w:rsidR="009A71B8" w:rsidRPr="009A71B8">
        <w:t xml:space="preserve"> </w:t>
      </w:r>
      <w:r w:rsidR="009A71B8">
        <w:t xml:space="preserve">Tocilizumab </w:t>
      </w:r>
      <w:r w:rsidR="009A71B8" w:rsidRPr="009A71B8">
        <w:t>has a molecular weight of approximately 148</w:t>
      </w:r>
      <w:r w:rsidR="009A71B8">
        <w:t xml:space="preserve">,000 </w:t>
      </w:r>
      <w:r w:rsidR="001E23F6">
        <w:t>Daltons</w:t>
      </w:r>
      <w:r w:rsidR="009A71B8" w:rsidRPr="009A71B8">
        <w:t xml:space="preserve">. </w:t>
      </w:r>
      <w:r w:rsidR="009A71B8">
        <w:t xml:space="preserve">Tocilizumab binds to both soluble and </w:t>
      </w:r>
      <w:r w:rsidR="001E23F6">
        <w:t>membrane</w:t>
      </w:r>
      <w:r w:rsidR="009A71B8">
        <w:t>-bound IL-6 receptors (sIL-6R and mIL-6R).</w:t>
      </w:r>
    </w:p>
    <w:p w:rsidR="00CE6652" w:rsidRPr="008D55BB" w:rsidRDefault="00CE6652" w:rsidP="00CE6652">
      <w:pPr>
        <w:jc w:val="both"/>
        <w:rPr>
          <w:sz w:val="22"/>
          <w:szCs w:val="22"/>
        </w:rPr>
      </w:pPr>
    </w:p>
    <w:p w:rsidR="00194929" w:rsidRPr="008D55BB" w:rsidRDefault="008D55BB" w:rsidP="008D55BB">
      <w:pPr>
        <w:pStyle w:val="Heading2"/>
        <w:numPr>
          <w:ilvl w:val="0"/>
          <w:numId w:val="0"/>
        </w:numPr>
        <w:rPr>
          <w:rFonts w:ascii="Times New Roman" w:hAnsi="Times New Roman" w:cs="Times New Roman"/>
          <w:sz w:val="28"/>
        </w:rPr>
      </w:pPr>
      <w:r>
        <w:rPr>
          <w:rFonts w:ascii="Times New Roman" w:hAnsi="Times New Roman" w:cs="Times New Roman"/>
          <w:sz w:val="28"/>
        </w:rPr>
        <w:t>DESCRIPTION</w:t>
      </w:r>
    </w:p>
    <w:p w:rsidR="00236EF0" w:rsidRDefault="00105D7D" w:rsidP="002F0F89">
      <w:pPr>
        <w:jc w:val="both"/>
      </w:pPr>
      <w:r>
        <w:t>ACTEMRA</w:t>
      </w:r>
      <w:r w:rsidR="00CE6652">
        <w:t xml:space="preserve"> is a clear to opalescent, colourless to pale yellow sterile solution for intravenous (IV) infusion. </w:t>
      </w:r>
      <w:r w:rsidR="005A00D0">
        <w:t>ACTEMRA</w:t>
      </w:r>
      <w:r w:rsidR="00CE6652">
        <w:t xml:space="preserve"> is supplied in preservative-free, non-pyrogenic single-use</w:t>
      </w:r>
      <w:r w:rsidR="00483503">
        <w:t>, clear glass</w:t>
      </w:r>
      <w:r w:rsidR="00CE6652">
        <w:t xml:space="preserve"> vials. </w:t>
      </w:r>
      <w:r w:rsidR="005A00D0">
        <w:t>ACTEMRA</w:t>
      </w:r>
      <w:r w:rsidR="00CE6652">
        <w:t xml:space="preserve"> is </w:t>
      </w:r>
      <w:r w:rsidR="00334A00">
        <w:t>available</w:t>
      </w:r>
      <w:r w:rsidR="00CE6652">
        <w:t xml:space="preserve"> in 10 mL and 20 mL vials containing 4 mL, 10 mL or 20 mL of tocilizumab </w:t>
      </w:r>
      <w:r w:rsidR="00483503">
        <w:t xml:space="preserve">concentrate </w:t>
      </w:r>
      <w:r w:rsidR="00CE6652">
        <w:t>(20 mg/mL).</w:t>
      </w:r>
      <w:r w:rsidR="00AB5F08">
        <w:t xml:space="preserve"> </w:t>
      </w:r>
      <w:r w:rsidR="005A00D0">
        <w:t>ACTEMRA</w:t>
      </w:r>
      <w:r w:rsidR="0045366F">
        <w:t xml:space="preserve"> also contains polysorbate 80, sucrose, dibasic sodium phosphate dodecahydrate, monobasic sodium phosphate dihydrate and water for injections.</w:t>
      </w:r>
    </w:p>
    <w:p w:rsidR="002F0F89" w:rsidRPr="002135F6" w:rsidRDefault="002F0F89" w:rsidP="002F0F89">
      <w:pPr>
        <w:jc w:val="both"/>
      </w:pPr>
    </w:p>
    <w:p w:rsidR="00194929" w:rsidRDefault="002F0F89" w:rsidP="00C32290">
      <w:pPr>
        <w:pStyle w:val="Heading2"/>
        <w:numPr>
          <w:ilvl w:val="0"/>
          <w:numId w:val="0"/>
        </w:numPr>
        <w:spacing w:line="240" w:lineRule="auto"/>
        <w:rPr>
          <w:rFonts w:ascii="Times New Roman" w:hAnsi="Times New Roman" w:cs="Times New Roman"/>
          <w:sz w:val="28"/>
        </w:rPr>
      </w:pPr>
      <w:r>
        <w:rPr>
          <w:rFonts w:ascii="Times New Roman" w:hAnsi="Times New Roman" w:cs="Times New Roman"/>
          <w:sz w:val="28"/>
        </w:rPr>
        <w:t>PHARMACOLOGY</w:t>
      </w:r>
    </w:p>
    <w:p w:rsidR="00483503" w:rsidRPr="00EA66CF" w:rsidRDefault="00483503" w:rsidP="00EA66CF">
      <w:pPr>
        <w:rPr>
          <w:b/>
          <w:i/>
        </w:rPr>
      </w:pPr>
      <w:r w:rsidRPr="00EA66CF">
        <w:rPr>
          <w:b/>
          <w:i/>
        </w:rPr>
        <w:t>Mechanism of Action</w:t>
      </w:r>
    </w:p>
    <w:p w:rsidR="009B2E27" w:rsidRDefault="00C32290" w:rsidP="00C32290">
      <w:pPr>
        <w:jc w:val="both"/>
      </w:pPr>
      <w:r w:rsidRPr="00DA6563">
        <w:t>Tocilizumab</w:t>
      </w:r>
      <w:r>
        <w:t xml:space="preserve"> </w:t>
      </w:r>
      <w:r w:rsidRPr="00DA6563">
        <w:t>is a recombinant humani</w:t>
      </w:r>
      <w:r w:rsidR="009A71B8">
        <w:t>s</w:t>
      </w:r>
      <w:r w:rsidRPr="00DA6563">
        <w:t>ed monoclonal antibody of the immunoglobulin (Ig) IgG</w:t>
      </w:r>
      <w:r w:rsidR="009F6E19">
        <w:t>1</w:t>
      </w:r>
      <w:r w:rsidRPr="00DA6563">
        <w:t xml:space="preserve"> subclass</w:t>
      </w:r>
      <w:r w:rsidR="00D93750">
        <w:t>. Tocilizumab</w:t>
      </w:r>
      <w:r w:rsidRPr="00DA6563">
        <w:t xml:space="preserve"> binds specifically to both soluble and membrane-bound IL</w:t>
      </w:r>
      <w:r w:rsidRPr="00DA6563">
        <w:noBreakHyphen/>
        <w:t xml:space="preserve">6 receptors, and </w:t>
      </w:r>
      <w:r w:rsidRPr="00DA6563">
        <w:rPr>
          <w:iCs/>
        </w:rPr>
        <w:t>has been shown to inhibit sIL</w:t>
      </w:r>
      <w:r w:rsidRPr="00DA6563">
        <w:rPr>
          <w:iCs/>
        </w:rPr>
        <w:noBreakHyphen/>
        <w:t xml:space="preserve">6R and </w:t>
      </w:r>
      <w:r w:rsidRPr="00DA6563">
        <w:t>mIL</w:t>
      </w:r>
      <w:r w:rsidRPr="00DA6563">
        <w:noBreakHyphen/>
        <w:t>6R</w:t>
      </w:r>
      <w:r w:rsidRPr="00DA6563">
        <w:rPr>
          <w:iCs/>
        </w:rPr>
        <w:t>-mediated signaling</w:t>
      </w:r>
      <w:r w:rsidRPr="00DA6563">
        <w:t>.</w:t>
      </w:r>
      <w:r w:rsidR="009A79CB">
        <w:t xml:space="preserve"> </w:t>
      </w:r>
      <w:r w:rsidRPr="00DA6563">
        <w:t xml:space="preserve"> </w:t>
      </w:r>
      <w:r w:rsidRPr="00FB7129">
        <w:t>IL-6 is a multi-functional cytokine, produced by a variety of cell types</w:t>
      </w:r>
      <w:r>
        <w:t xml:space="preserve"> involved </w:t>
      </w:r>
      <w:r w:rsidRPr="00DF690C">
        <w:t>in local paracrine</w:t>
      </w:r>
      <w:r>
        <w:t xml:space="preserve"> function</w:t>
      </w:r>
      <w:r w:rsidRPr="00DF690C">
        <w:t xml:space="preserve"> as well as regulation of systemic physiological and pathological processes </w:t>
      </w:r>
      <w:r>
        <w:t xml:space="preserve">such </w:t>
      </w:r>
      <w:r w:rsidRPr="00DF690C">
        <w:t>as</w:t>
      </w:r>
      <w:r w:rsidRPr="00FB7129">
        <w:t xml:space="preserve"> </w:t>
      </w:r>
      <w:r>
        <w:t xml:space="preserve">induction of immunoglobulin secretion, </w:t>
      </w:r>
      <w:r w:rsidRPr="00FB7129">
        <w:t xml:space="preserve">T-cell activation, induction of </w:t>
      </w:r>
      <w:r>
        <w:t xml:space="preserve">hepatic </w:t>
      </w:r>
      <w:r w:rsidRPr="00FB7129">
        <w:t>acute phase proteins</w:t>
      </w:r>
      <w:r>
        <w:t xml:space="preserve"> and </w:t>
      </w:r>
      <w:r w:rsidRPr="00FB7129">
        <w:t xml:space="preserve">stimulation of </w:t>
      </w:r>
      <w:r w:rsidRPr="00AA5BC1">
        <w:t>h</w:t>
      </w:r>
      <w:r w:rsidR="009A79CB">
        <w:t>a</w:t>
      </w:r>
      <w:r w:rsidRPr="00AA5BC1">
        <w:t>em</w:t>
      </w:r>
      <w:r>
        <w:t>ato</w:t>
      </w:r>
      <w:r w:rsidRPr="00AA5BC1">
        <w:t>poiesis</w:t>
      </w:r>
      <w:r>
        <w:t>.</w:t>
      </w:r>
      <w:r w:rsidR="009A79CB">
        <w:t xml:space="preserve"> </w:t>
      </w:r>
      <w:r w:rsidRPr="00FB7129">
        <w:t>IL-6 has been implicated in the pathogenesis</w:t>
      </w:r>
      <w:r>
        <w:t xml:space="preserve"> of</w:t>
      </w:r>
      <w:r w:rsidRPr="00FB7129">
        <w:t xml:space="preserve"> inflammatory diseases,</w:t>
      </w:r>
      <w:r w:rsidR="00105D7D">
        <w:t xml:space="preserve"> including rheumatoid arthritis</w:t>
      </w:r>
      <w:r w:rsidR="00DF1769">
        <w:t xml:space="preserve"> (RA)</w:t>
      </w:r>
      <w:r>
        <w:t>.</w:t>
      </w:r>
    </w:p>
    <w:p w:rsidR="009A79CB" w:rsidRDefault="009A79CB" w:rsidP="00C32290">
      <w:pPr>
        <w:jc w:val="both"/>
      </w:pPr>
    </w:p>
    <w:p w:rsidR="00E621AD" w:rsidRDefault="00E621AD" w:rsidP="00C32290">
      <w:pPr>
        <w:jc w:val="both"/>
      </w:pPr>
      <w:r>
        <w:t>The possibility exists for tocilizumab to affect host defences against infections and malignancies. The role of IL-6 receptor inhibition in the development of malignancies is not known.</w:t>
      </w:r>
    </w:p>
    <w:p w:rsidR="00E621AD" w:rsidRDefault="00E621AD" w:rsidP="00C32290">
      <w:pPr>
        <w:jc w:val="both"/>
      </w:pPr>
    </w:p>
    <w:p w:rsidR="00483503" w:rsidRPr="00483503" w:rsidRDefault="00483503" w:rsidP="00483503">
      <w:pPr>
        <w:pStyle w:val="Heading3"/>
        <w:numPr>
          <w:ilvl w:val="0"/>
          <w:numId w:val="0"/>
        </w:numPr>
        <w:rPr>
          <w:rFonts w:ascii="Times New Roman" w:hAnsi="Times New Roman" w:cs="Times New Roman"/>
        </w:rPr>
      </w:pPr>
      <w:r w:rsidRPr="00483503">
        <w:rPr>
          <w:rFonts w:ascii="Times New Roman" w:hAnsi="Times New Roman" w:cs="Times New Roman"/>
        </w:rPr>
        <w:t>PHARMACODYNAMICS</w:t>
      </w:r>
    </w:p>
    <w:p w:rsidR="009A79CB" w:rsidRDefault="009A79CB" w:rsidP="00C32290">
      <w:pPr>
        <w:jc w:val="both"/>
      </w:pPr>
      <w:r w:rsidRPr="009A79CB">
        <w:t xml:space="preserve">In clinical studies with </w:t>
      </w:r>
      <w:r w:rsidR="00D832AB">
        <w:t>tocilizumab</w:t>
      </w:r>
      <w:r w:rsidRPr="009A79CB">
        <w:t>, rapid decreases in C-reactive protein (CRP), erythrocyte sedimentation rate (ESR) and serum amyloid</w:t>
      </w:r>
      <w:r>
        <w:t xml:space="preserve"> A were observed</w:t>
      </w:r>
      <w:r w:rsidRPr="009A79CB">
        <w:t>.</w:t>
      </w:r>
      <w:r w:rsidR="00C2590E">
        <w:t xml:space="preserve"> Rapid</w:t>
      </w:r>
      <w:r>
        <w:t xml:space="preserve"> </w:t>
      </w:r>
      <w:r w:rsidR="00C2590E">
        <w:t>i</w:t>
      </w:r>
      <w:r w:rsidRPr="009A79CB">
        <w:t>ncreases in h</w:t>
      </w:r>
      <w:r>
        <w:t>a</w:t>
      </w:r>
      <w:r w:rsidRPr="009A79CB">
        <w:t xml:space="preserve">emoglobin levels </w:t>
      </w:r>
      <w:r w:rsidR="00C2590E">
        <w:t xml:space="preserve">(within the first 2 weeks) </w:t>
      </w:r>
      <w:r w:rsidRPr="009A79CB">
        <w:t xml:space="preserve">were </w:t>
      </w:r>
      <w:r w:rsidR="00C2590E">
        <w:t xml:space="preserve">also </w:t>
      </w:r>
      <w:r w:rsidRPr="009A79CB">
        <w:t xml:space="preserve">observed, through </w:t>
      </w:r>
      <w:r w:rsidR="00320494">
        <w:lastRenderedPageBreak/>
        <w:t>tocilizumab</w:t>
      </w:r>
      <w:r w:rsidRPr="009A79CB">
        <w:t xml:space="preserve"> decreasing the IL-6 driven effects on hepcidin production to in</w:t>
      </w:r>
      <w:r>
        <w:t>crease iron availability</w:t>
      </w:r>
      <w:r w:rsidRPr="009A79CB">
        <w:t>.</w:t>
      </w:r>
    </w:p>
    <w:p w:rsidR="00C2590E" w:rsidRDefault="00C2590E" w:rsidP="00C32290">
      <w:pPr>
        <w:jc w:val="both"/>
      </w:pPr>
    </w:p>
    <w:p w:rsidR="00C2590E" w:rsidRPr="00C2590E" w:rsidRDefault="00C2590E" w:rsidP="00C32290">
      <w:pPr>
        <w:jc w:val="both"/>
      </w:pPr>
      <w:r w:rsidRPr="00C2590E">
        <w:t>In healthy subjects administered tocilizumab in doses from 2 to 28 mg/kg, absolute neutrophil counts (ANC) decreased to their lowest levels 3 to 5 days following administration. Thereafter, neutrophils recovered towards baseline in a dose dependent manner. Patients with RA demonstrated a similar pattern of absolute neutrophil counts following tocilizumab administration (see PRECAUTIONS - Haematological Abnormalities).</w:t>
      </w:r>
    </w:p>
    <w:p w:rsidR="009A79CB" w:rsidRPr="002135F6" w:rsidRDefault="009A79CB" w:rsidP="00C32290">
      <w:pPr>
        <w:jc w:val="both"/>
      </w:pPr>
    </w:p>
    <w:p w:rsidR="00194929" w:rsidRPr="009A79CB" w:rsidRDefault="009A79CB" w:rsidP="009A79CB">
      <w:pPr>
        <w:pStyle w:val="Heading3"/>
        <w:numPr>
          <w:ilvl w:val="0"/>
          <w:numId w:val="0"/>
        </w:numPr>
        <w:rPr>
          <w:rFonts w:ascii="Times New Roman" w:hAnsi="Times New Roman" w:cs="Times New Roman"/>
        </w:rPr>
      </w:pPr>
      <w:r w:rsidRPr="009A79CB">
        <w:rPr>
          <w:rFonts w:ascii="Times New Roman" w:hAnsi="Times New Roman" w:cs="Times New Roman"/>
        </w:rPr>
        <w:t>PHARMACOKINETICS</w:t>
      </w:r>
    </w:p>
    <w:p w:rsidR="00C25759" w:rsidRPr="00C25759" w:rsidRDefault="00C25759" w:rsidP="00B77822">
      <w:pPr>
        <w:jc w:val="both"/>
        <w:rPr>
          <w:i/>
        </w:rPr>
      </w:pPr>
      <w:r>
        <w:rPr>
          <w:i/>
        </w:rPr>
        <w:t>Rheumatoid Arthritis</w:t>
      </w:r>
    </w:p>
    <w:p w:rsidR="009B2E27" w:rsidRDefault="00B77822" w:rsidP="00B77822">
      <w:pPr>
        <w:jc w:val="both"/>
      </w:pPr>
      <w:r w:rsidRPr="00B77822">
        <w:t xml:space="preserve">The pharmacokinetics of </w:t>
      </w:r>
      <w:r w:rsidR="003E5494">
        <w:t>tocilizumab</w:t>
      </w:r>
      <w:r w:rsidRPr="00B77822">
        <w:t xml:space="preserve"> were determined using a population pharmacokinetic analysis on a database composed of 1793 </w:t>
      </w:r>
      <w:r w:rsidR="003D0E2A">
        <w:t>RA</w:t>
      </w:r>
      <w:r w:rsidRPr="00B77822">
        <w:t xml:space="preserve"> patients treated with a one hour infusion of 4 and 8 mg/kg</w:t>
      </w:r>
      <w:r>
        <w:t xml:space="preserve"> every 4 weeks for 24 weeks</w:t>
      </w:r>
      <w:r w:rsidRPr="00B77822">
        <w:t>.</w:t>
      </w:r>
    </w:p>
    <w:p w:rsidR="003D0E2A" w:rsidRDefault="003D0E2A" w:rsidP="00B77822">
      <w:pPr>
        <w:jc w:val="both"/>
      </w:pPr>
    </w:p>
    <w:p w:rsidR="00B77822" w:rsidRDefault="00B77822" w:rsidP="00B77822">
      <w:pPr>
        <w:jc w:val="both"/>
      </w:pPr>
      <w:r>
        <w:t xml:space="preserve">The pharmacokinetic parameters of </w:t>
      </w:r>
      <w:r w:rsidR="003E5494">
        <w:t>tocilizumab</w:t>
      </w:r>
      <w:r>
        <w:t xml:space="preserve"> did not change with time.  </w:t>
      </w:r>
      <w:r w:rsidRPr="008E3B09">
        <w:t xml:space="preserve">A more than dose-proportional increase in </w:t>
      </w:r>
      <w:r>
        <w:t>area under the curve (</w:t>
      </w:r>
      <w:r w:rsidRPr="008E3B09">
        <w:t>AUC</w:t>
      </w:r>
      <w:r>
        <w:t>)</w:t>
      </w:r>
      <w:r w:rsidRPr="008E3B09">
        <w:t xml:space="preserve"> and </w:t>
      </w:r>
      <w:r>
        <w:t>trough concentration (</w:t>
      </w:r>
      <w:r w:rsidRPr="008E3B09">
        <w:t>C</w:t>
      </w:r>
      <w:r w:rsidRPr="008E3B09">
        <w:rPr>
          <w:vertAlign w:val="subscript"/>
        </w:rPr>
        <w:t>min</w:t>
      </w:r>
      <w:r>
        <w:t xml:space="preserve">) </w:t>
      </w:r>
      <w:r w:rsidRPr="008E3B09">
        <w:t>was observed for doses of 4 and 8 mg/kg every 4 weeks.</w:t>
      </w:r>
      <w:r>
        <w:t xml:space="preserve"> Maximum concentration (</w:t>
      </w:r>
      <w:r w:rsidRPr="008E3B09">
        <w:t>C</w:t>
      </w:r>
      <w:r w:rsidRPr="008E3B09">
        <w:rPr>
          <w:vertAlign w:val="subscript"/>
        </w:rPr>
        <w:t>max</w:t>
      </w:r>
      <w:r>
        <w:t xml:space="preserve">) </w:t>
      </w:r>
      <w:r w:rsidRPr="008E3B09">
        <w:t>increased dose-proportionally.</w:t>
      </w:r>
      <w:r>
        <w:t xml:space="preserve"> </w:t>
      </w:r>
      <w:r w:rsidRPr="008E3B09">
        <w:t xml:space="preserve"> At steady-state, predicted AUC and</w:t>
      </w:r>
      <w:r>
        <w:t xml:space="preserve"> C</w:t>
      </w:r>
      <w:r w:rsidRPr="008A1884">
        <w:rPr>
          <w:vertAlign w:val="subscript"/>
        </w:rPr>
        <w:t>min</w:t>
      </w:r>
      <w:r>
        <w:t xml:space="preserve"> were 2.7 and 6.5 fold higher at 8 mg/kg as compared to 4 mg/kg, respectively.</w:t>
      </w:r>
    </w:p>
    <w:p w:rsidR="001A13E3" w:rsidRDefault="001A13E3" w:rsidP="00351276">
      <w:pPr>
        <w:jc w:val="both"/>
      </w:pPr>
    </w:p>
    <w:p w:rsidR="00B77822" w:rsidRDefault="00B77822" w:rsidP="00351276">
      <w:pPr>
        <w:jc w:val="both"/>
      </w:pPr>
      <w:r>
        <w:t xml:space="preserve">The following parameters are valid for a dose of 8 mg/kg </w:t>
      </w:r>
      <w:r w:rsidR="003E5494">
        <w:t>tocilizumab</w:t>
      </w:r>
      <w:r>
        <w:t xml:space="preserve"> given every 4 weeks. Predicted mean </w:t>
      </w:r>
      <w:r w:rsidRPr="00CA02DB">
        <w:t>(</w:t>
      </w:r>
      <w:r w:rsidRPr="00CA02DB">
        <w:sym w:font="Symbol" w:char="F0B1"/>
      </w:r>
      <w:r w:rsidRPr="00CA02DB">
        <w:t xml:space="preserve"> SD) </w:t>
      </w:r>
      <w:r>
        <w:t>steady-state AUC, C</w:t>
      </w:r>
      <w:r w:rsidRPr="008A1884">
        <w:rPr>
          <w:vertAlign w:val="subscript"/>
        </w:rPr>
        <w:t>min</w:t>
      </w:r>
      <w:r>
        <w:t xml:space="preserve"> and C</w:t>
      </w:r>
      <w:r w:rsidRPr="008A1884">
        <w:rPr>
          <w:vertAlign w:val="subscript"/>
        </w:rPr>
        <w:t>max</w:t>
      </w:r>
      <w:r>
        <w:t xml:space="preserve"> of </w:t>
      </w:r>
      <w:r w:rsidR="003E5494">
        <w:t>tocilizumab</w:t>
      </w:r>
      <w:r>
        <w:t xml:space="preserve"> were 35000</w:t>
      </w:r>
      <w:r w:rsidRPr="00C624F1">
        <w:t xml:space="preserve"> </w:t>
      </w:r>
      <w:r>
        <w:sym w:font="Symbol" w:char="F0B1"/>
      </w:r>
      <w:r w:rsidR="004E4913">
        <w:t xml:space="preserve"> </w:t>
      </w:r>
      <w:r>
        <w:t>15500</w:t>
      </w:r>
      <w:r w:rsidRPr="00C624F1">
        <w:t xml:space="preserve"> </w:t>
      </w:r>
      <w:r>
        <w:t xml:space="preserve">h·µg/mL, 9.74 </w:t>
      </w:r>
      <w:r>
        <w:sym w:font="Symbol" w:char="F0B1"/>
      </w:r>
      <w:r w:rsidR="004E4913">
        <w:t xml:space="preserve"> </w:t>
      </w:r>
      <w:r>
        <w:t xml:space="preserve">10.5 </w:t>
      </w:r>
      <w:r>
        <w:sym w:font="Symbol" w:char="F06D"/>
      </w:r>
      <w:r>
        <w:t xml:space="preserve">g/mL, and </w:t>
      </w:r>
      <w:r w:rsidRPr="001340B3">
        <w:t>183</w:t>
      </w:r>
      <w:r>
        <w:t xml:space="preserve"> </w:t>
      </w:r>
      <w:r>
        <w:sym w:font="Symbol" w:char="F0B1"/>
      </w:r>
      <w:r w:rsidR="004E4913">
        <w:t xml:space="preserve"> </w:t>
      </w:r>
      <w:r w:rsidRPr="001340B3">
        <w:t>85.6</w:t>
      </w:r>
      <w:r w:rsidR="004E4913">
        <w:t xml:space="preserve"> </w:t>
      </w:r>
      <w:r>
        <w:t>µg/mL, respectively. The accumulation ratios for AUC and C</w:t>
      </w:r>
      <w:r w:rsidRPr="00A96BAE">
        <w:rPr>
          <w:vertAlign w:val="subscript"/>
        </w:rPr>
        <w:t>max</w:t>
      </w:r>
      <w:r>
        <w:t xml:space="preserve"> were small; 1.22 and 1.06, respectively. The accumulation ratio was higher for C</w:t>
      </w:r>
      <w:r w:rsidRPr="00511C31">
        <w:rPr>
          <w:vertAlign w:val="subscript"/>
        </w:rPr>
        <w:t>min</w:t>
      </w:r>
      <w:r>
        <w:t xml:space="preserve"> (2.35), which was expected based on the nonlinear clearance contribution at lower concentrations.  Steady-state was reached following the first administration and after 8 and 20 weeks for </w:t>
      </w:r>
      <w:r w:rsidRPr="007C70EA">
        <w:rPr>
          <w:lang w:val="en-GB"/>
        </w:rPr>
        <w:t>C</w:t>
      </w:r>
      <w:r w:rsidRPr="007C70EA">
        <w:rPr>
          <w:vertAlign w:val="subscript"/>
          <w:lang w:val="en-GB"/>
        </w:rPr>
        <w:t>max</w:t>
      </w:r>
      <w:r>
        <w:t xml:space="preserve">, AUC, and </w:t>
      </w:r>
      <w:r w:rsidRPr="00993931">
        <w:t>C</w:t>
      </w:r>
      <w:r w:rsidRPr="00993931">
        <w:rPr>
          <w:vertAlign w:val="subscript"/>
        </w:rPr>
        <w:t>min</w:t>
      </w:r>
      <w:r w:rsidR="00351276">
        <w:t>,</w:t>
      </w:r>
      <w:r w:rsidR="009F6E19">
        <w:t xml:space="preserve"> respectively.</w:t>
      </w:r>
      <w:r w:rsidR="003D0E2A">
        <w:t xml:space="preserve"> Tocilizumab AUC, C</w:t>
      </w:r>
      <w:r w:rsidR="003D0E2A" w:rsidRPr="00471AB6">
        <w:rPr>
          <w:vertAlign w:val="subscript"/>
        </w:rPr>
        <w:t>min</w:t>
      </w:r>
      <w:r w:rsidR="003D0E2A">
        <w:t xml:space="preserve"> and C</w:t>
      </w:r>
      <w:r w:rsidR="003D0E2A" w:rsidRPr="00471AB6">
        <w:rPr>
          <w:vertAlign w:val="subscript"/>
        </w:rPr>
        <w:t>max</w:t>
      </w:r>
      <w:r w:rsidR="003D0E2A">
        <w:t xml:space="preserve"> increased with increase of body weight. At body weight ≥ 100 kg, the predicted mean (± SD) steady-state AUC, C</w:t>
      </w:r>
      <w:r w:rsidR="003D0E2A" w:rsidRPr="00471AB6">
        <w:rPr>
          <w:vertAlign w:val="subscript"/>
        </w:rPr>
        <w:t>min</w:t>
      </w:r>
      <w:r w:rsidR="003D0E2A">
        <w:t xml:space="preserve"> and C</w:t>
      </w:r>
      <w:r w:rsidR="003D0E2A" w:rsidRPr="00471AB6">
        <w:rPr>
          <w:vertAlign w:val="subscript"/>
        </w:rPr>
        <w:t>max</w:t>
      </w:r>
      <w:r w:rsidR="003D0E2A">
        <w:t xml:space="preserve"> of tocilizumab were 55500 ± 14100 h·µg/mL, 19.0 ± 12.0 </w:t>
      </w:r>
      <w:r w:rsidR="003D0E2A">
        <w:sym w:font="Symbol" w:char="F06D"/>
      </w:r>
      <w:r w:rsidR="003D0E2A">
        <w:t xml:space="preserve">g/mL, and 269 ± 57 </w:t>
      </w:r>
      <w:r w:rsidR="003D0E2A">
        <w:sym w:font="Symbol" w:char="F06D"/>
      </w:r>
      <w:r w:rsidR="003D0E2A">
        <w:t>g/mL, respectively, which are higher than mean exposure values for the patient population. Therefore, tocilizumab doses exceeding 800 mg per infusion are not recommended in patients ≥ 100 kg (see DOSAGE AND ADMINISTRATION).</w:t>
      </w:r>
    </w:p>
    <w:p w:rsidR="00351276" w:rsidRDefault="00351276" w:rsidP="00351276">
      <w:pPr>
        <w:jc w:val="both"/>
      </w:pPr>
    </w:p>
    <w:p w:rsidR="00EB283F" w:rsidRDefault="00EB283F" w:rsidP="00351276">
      <w:pPr>
        <w:jc w:val="both"/>
      </w:pPr>
      <w:r w:rsidRPr="00EB283F">
        <w:t>The following parameters are valid for a dose of 4 mg/kg tocilizumab given every 4 weeks. Predicted mean (± SD) steady-state AUC, C</w:t>
      </w:r>
      <w:r w:rsidRPr="00EB283F">
        <w:rPr>
          <w:vertAlign w:val="subscript"/>
        </w:rPr>
        <w:t>min</w:t>
      </w:r>
      <w:r w:rsidRPr="00EB283F">
        <w:t xml:space="preserve"> and C</w:t>
      </w:r>
      <w:r w:rsidRPr="00EB283F">
        <w:rPr>
          <w:vertAlign w:val="subscript"/>
        </w:rPr>
        <w:t>max</w:t>
      </w:r>
      <w:r w:rsidRPr="00EB283F">
        <w:t xml:space="preserve"> of tocilizumab were 13000 ± 5800•µg•h/mL, 1.49 ± 2.13</w:t>
      </w:r>
      <w:r>
        <w:t xml:space="preserve"> </w:t>
      </w:r>
      <w:r>
        <w:sym w:font="Symbol" w:char="F06D"/>
      </w:r>
      <w:r w:rsidRPr="00EB283F">
        <w:t>g/mL, and 88.3 ± 41.4 µg/mL, respectively. The accumulation ratios for AUC and C</w:t>
      </w:r>
      <w:r w:rsidRPr="00EB283F">
        <w:rPr>
          <w:vertAlign w:val="subscript"/>
        </w:rPr>
        <w:t>max</w:t>
      </w:r>
      <w:r w:rsidRPr="00EB283F">
        <w:t xml:space="preserve"> were small; 1.11 and 1.02, respectively. The accumulation ratio was higher for C</w:t>
      </w:r>
      <w:r w:rsidRPr="00EB283F">
        <w:rPr>
          <w:vertAlign w:val="subscript"/>
        </w:rPr>
        <w:t>min</w:t>
      </w:r>
      <w:r w:rsidRPr="00EB283F">
        <w:t xml:space="preserve"> (1.96). Steady-state was reached following the first administration for </w:t>
      </w:r>
      <w:r w:rsidR="002140E5">
        <w:t xml:space="preserve">both </w:t>
      </w:r>
      <w:r w:rsidRPr="00EB283F">
        <w:t>C</w:t>
      </w:r>
      <w:r w:rsidRPr="00EB283F">
        <w:rPr>
          <w:vertAlign w:val="subscript"/>
        </w:rPr>
        <w:t>max</w:t>
      </w:r>
      <w:r w:rsidRPr="00EB283F">
        <w:t xml:space="preserve"> and AUC and </w:t>
      </w:r>
      <w:r w:rsidR="002140E5">
        <w:t>from</w:t>
      </w:r>
      <w:r w:rsidRPr="00EB283F">
        <w:t xml:space="preserve"> 16 weeks for C</w:t>
      </w:r>
      <w:r w:rsidRPr="00EB283F">
        <w:rPr>
          <w:vertAlign w:val="subscript"/>
        </w:rPr>
        <w:t>min</w:t>
      </w:r>
      <w:r>
        <w:t>.</w:t>
      </w:r>
    </w:p>
    <w:p w:rsidR="002140E5" w:rsidRDefault="002140E5" w:rsidP="00351276">
      <w:pPr>
        <w:jc w:val="both"/>
      </w:pPr>
    </w:p>
    <w:p w:rsidR="00066F99" w:rsidRDefault="00066F99" w:rsidP="00066F99">
      <w:pPr>
        <w:jc w:val="both"/>
      </w:pPr>
      <w:r>
        <w:rPr>
          <w:i/>
        </w:rPr>
        <w:lastRenderedPageBreak/>
        <w:t>Polyarticular</w:t>
      </w:r>
      <w:r w:rsidRPr="00FC560A">
        <w:rPr>
          <w:i/>
        </w:rPr>
        <w:t xml:space="preserve"> Juvenile Idiopathic Arthritis</w:t>
      </w:r>
    </w:p>
    <w:p w:rsidR="00066F99" w:rsidRDefault="00066F99" w:rsidP="00066F99">
      <w:pPr>
        <w:jc w:val="both"/>
      </w:pPr>
      <w:r>
        <w:t xml:space="preserve">The pharmacokinetics of tocilizumab </w:t>
      </w:r>
      <w:r w:rsidR="003719E3">
        <w:t>were</w:t>
      </w:r>
      <w:r>
        <w:t xml:space="preserve"> determined using a population pharmacokinetic analysis on a database composed of 188 patients with polyarticular juvenile idiopathic arthritis (pJIA). </w:t>
      </w:r>
    </w:p>
    <w:p w:rsidR="00066F99" w:rsidRDefault="00066F99" w:rsidP="00066F99">
      <w:pPr>
        <w:jc w:val="both"/>
      </w:pPr>
    </w:p>
    <w:p w:rsidR="00066F99" w:rsidRDefault="00066F99" w:rsidP="00066F99">
      <w:pPr>
        <w:jc w:val="both"/>
      </w:pPr>
      <w:r>
        <w:t>The following parameters are valid for a dose of 8 mg/kg tocilizumab (patients with a body weight ≥ 30 kg) given every 4 weeks. The predicted mean (</w:t>
      </w:r>
      <w:r>
        <w:sym w:font="Symbol" w:char="F0B1"/>
      </w:r>
      <w:r>
        <w:t xml:space="preserve"> SD) AUC</w:t>
      </w:r>
      <w:r w:rsidRPr="00433CFB">
        <w:rPr>
          <w:vertAlign w:val="subscript"/>
        </w:rPr>
        <w:t>4weeks</w:t>
      </w:r>
      <w:r>
        <w:t>, C</w:t>
      </w:r>
      <w:r w:rsidRPr="00433CFB">
        <w:rPr>
          <w:vertAlign w:val="subscript"/>
        </w:rPr>
        <w:t>max</w:t>
      </w:r>
      <w:r>
        <w:t xml:space="preserve"> and C</w:t>
      </w:r>
      <w:r w:rsidRPr="00433CFB">
        <w:rPr>
          <w:vertAlign w:val="subscript"/>
        </w:rPr>
        <w:t>min</w:t>
      </w:r>
      <w:r>
        <w:t xml:space="preserve"> of tocilizumab were 29500 ± 8660 µg</w:t>
      </w:r>
      <w:r w:rsidRPr="00EB283F">
        <w:t>•</w:t>
      </w:r>
      <w:r>
        <w:t xml:space="preserve">hr/mL, 182 </w:t>
      </w:r>
      <w:r>
        <w:sym w:font="Symbol" w:char="F0B1"/>
      </w:r>
      <w:r>
        <w:t xml:space="preserve"> 37 µg/mL and 7.49 </w:t>
      </w:r>
      <w:r>
        <w:sym w:font="Symbol" w:char="F0B1"/>
      </w:r>
      <w:r>
        <w:t xml:space="preserve"> 8.2 µg/mL, respectively.</w:t>
      </w:r>
    </w:p>
    <w:p w:rsidR="00066F99" w:rsidRDefault="00066F99" w:rsidP="00066F99">
      <w:pPr>
        <w:jc w:val="both"/>
      </w:pPr>
    </w:p>
    <w:p w:rsidR="00066F99" w:rsidRDefault="00066F99" w:rsidP="00066F99">
      <w:pPr>
        <w:jc w:val="both"/>
      </w:pPr>
      <w:r>
        <w:t>The following parameters are valid for a dose of 10 mg/kg tocilizumab (patients with a body weight &lt; 30 kg) given every 4 weeks. The predicted mean (</w:t>
      </w:r>
      <w:r>
        <w:sym w:font="Symbol" w:char="F0B1"/>
      </w:r>
      <w:r>
        <w:t xml:space="preserve"> SD) AUC</w:t>
      </w:r>
      <w:r w:rsidRPr="00433CFB">
        <w:rPr>
          <w:vertAlign w:val="subscript"/>
        </w:rPr>
        <w:t>4weeks</w:t>
      </w:r>
      <w:r>
        <w:t>, C</w:t>
      </w:r>
      <w:r w:rsidRPr="00433CFB">
        <w:rPr>
          <w:vertAlign w:val="subscript"/>
        </w:rPr>
        <w:t>max</w:t>
      </w:r>
      <w:r>
        <w:t xml:space="preserve"> and C</w:t>
      </w:r>
      <w:r w:rsidRPr="00433CFB">
        <w:rPr>
          <w:vertAlign w:val="subscript"/>
        </w:rPr>
        <w:t>min</w:t>
      </w:r>
      <w:r>
        <w:t xml:space="preserve"> of tocilizumab were 23200 ± 6100 µg</w:t>
      </w:r>
      <w:r w:rsidRPr="00EB283F">
        <w:t>•</w:t>
      </w:r>
      <w:r>
        <w:t xml:space="preserve">hr/mL, 175 </w:t>
      </w:r>
      <w:r>
        <w:sym w:font="Symbol" w:char="F0B1"/>
      </w:r>
      <w:r>
        <w:t xml:space="preserve"> 32 µg/mL and 2.35 </w:t>
      </w:r>
      <w:r>
        <w:sym w:font="Symbol" w:char="F0B1"/>
      </w:r>
      <w:r>
        <w:t xml:space="preserve"> 3.59 µg/mL, respectively.</w:t>
      </w:r>
    </w:p>
    <w:p w:rsidR="00066F99" w:rsidRDefault="00066F99" w:rsidP="00066F99">
      <w:pPr>
        <w:jc w:val="both"/>
      </w:pPr>
    </w:p>
    <w:p w:rsidR="00592936" w:rsidRDefault="00066F99" w:rsidP="00066F99">
      <w:pPr>
        <w:jc w:val="both"/>
      </w:pPr>
      <w:r>
        <w:t>The accumulation ratios were 1.05 and 1.16 for AUC</w:t>
      </w:r>
      <w:r w:rsidRPr="00433CFB">
        <w:rPr>
          <w:vertAlign w:val="subscript"/>
        </w:rPr>
        <w:t>4weeks</w:t>
      </w:r>
      <w:r>
        <w:t>, and 1.43 and 2.22 for C</w:t>
      </w:r>
      <w:r w:rsidRPr="00433CFB">
        <w:rPr>
          <w:vertAlign w:val="subscript"/>
        </w:rPr>
        <w:t>min</w:t>
      </w:r>
      <w:r>
        <w:t xml:space="preserve"> for 10 mg/kg (body weight (BW) &lt; 30 kg) and 8 mg/kg (BW ≥ 30 kg) doses, respectively. No accumulation for C</w:t>
      </w:r>
      <w:r w:rsidRPr="00433CFB">
        <w:rPr>
          <w:vertAlign w:val="subscript"/>
        </w:rPr>
        <w:t>max</w:t>
      </w:r>
      <w:r>
        <w:t xml:space="preserve"> was observed.</w:t>
      </w:r>
    </w:p>
    <w:p w:rsidR="00066F99" w:rsidRDefault="00066F99" w:rsidP="00066F99">
      <w:pPr>
        <w:jc w:val="both"/>
      </w:pPr>
    </w:p>
    <w:p w:rsidR="00C25759" w:rsidRPr="00FC560A" w:rsidRDefault="00C25759" w:rsidP="00C25759">
      <w:pPr>
        <w:jc w:val="both"/>
        <w:rPr>
          <w:i/>
        </w:rPr>
      </w:pPr>
      <w:r w:rsidRPr="00FC560A">
        <w:rPr>
          <w:i/>
        </w:rPr>
        <w:t>Systemic Juvenile Idiopathic Arthritis</w:t>
      </w:r>
    </w:p>
    <w:p w:rsidR="00C25759" w:rsidRPr="00FC560A" w:rsidRDefault="00C25759" w:rsidP="00C25759">
      <w:pPr>
        <w:jc w:val="both"/>
      </w:pPr>
      <w:r w:rsidRPr="00FC560A">
        <w:t>The pharmacokinetics of tocilizumab were determined using a population pharmacokinetic analysis on a database composed of 75 patients with  systemic juvenile idiopathic arthritis</w:t>
      </w:r>
      <w:r>
        <w:t xml:space="preserve"> (sJIA)</w:t>
      </w:r>
      <w:r w:rsidRPr="00FC560A">
        <w:t xml:space="preserve"> treated with 8 mg/kg (patients wi</w:t>
      </w:r>
      <w:r>
        <w:t>th a body weight ≥ 30 kg</w:t>
      </w:r>
      <w:r w:rsidRPr="00FC560A">
        <w:t>) or 12 mg/kg (patients with a body weight &lt; 30 kg), given every 2 weeks. The predicted mean (</w:t>
      </w:r>
      <w:r>
        <w:sym w:font="Symbol" w:char="F0B1"/>
      </w:r>
      <w:r w:rsidRPr="00FC560A">
        <w:t xml:space="preserve"> SD) AUC</w:t>
      </w:r>
      <w:r w:rsidRPr="00FC560A">
        <w:rPr>
          <w:vertAlign w:val="subscript"/>
        </w:rPr>
        <w:t>2weeks</w:t>
      </w:r>
      <w:r w:rsidRPr="00FC560A">
        <w:t>, C</w:t>
      </w:r>
      <w:r w:rsidRPr="00FC560A">
        <w:rPr>
          <w:vertAlign w:val="subscript"/>
        </w:rPr>
        <w:t>max</w:t>
      </w:r>
      <w:r w:rsidRPr="00FC560A">
        <w:t xml:space="preserve"> and C</w:t>
      </w:r>
      <w:r w:rsidRPr="00FC560A">
        <w:rPr>
          <w:vertAlign w:val="subscript"/>
        </w:rPr>
        <w:t>min</w:t>
      </w:r>
      <w:r w:rsidRPr="00FC560A">
        <w:t xml:space="preserve"> of tocilizumab were 32200 ± 9960 µg</w:t>
      </w:r>
      <w:r w:rsidRPr="00EB283F">
        <w:t>•</w:t>
      </w:r>
      <w:r w:rsidRPr="00FC560A">
        <w:t xml:space="preserve">hr/mL, 245 </w:t>
      </w:r>
      <w:r>
        <w:sym w:font="Symbol" w:char="F0B1"/>
      </w:r>
      <w:r>
        <w:t xml:space="preserve"> </w:t>
      </w:r>
      <w:r w:rsidRPr="00FC560A">
        <w:t xml:space="preserve">57.2 µg/mL and 57.5 </w:t>
      </w:r>
      <w:r>
        <w:sym w:font="Symbol" w:char="F0B1"/>
      </w:r>
      <w:r w:rsidRPr="00FC560A">
        <w:t xml:space="preserve"> 23.3 µg/mL, respectively. The accumulation ratio for C</w:t>
      </w:r>
      <w:r w:rsidRPr="00FC560A">
        <w:rPr>
          <w:vertAlign w:val="subscript"/>
        </w:rPr>
        <w:t>min</w:t>
      </w:r>
      <w:r w:rsidRPr="00FC560A">
        <w:t xml:space="preserve"> (week12/week2) was 3.2 ± 1.3. The tocilizumab C</w:t>
      </w:r>
      <w:r w:rsidRPr="00FC560A">
        <w:rPr>
          <w:vertAlign w:val="subscript"/>
        </w:rPr>
        <w:t>min</w:t>
      </w:r>
      <w:r w:rsidRPr="00FC560A">
        <w:t xml:space="preserve"> was stabili</w:t>
      </w:r>
      <w:r>
        <w:t>s</w:t>
      </w:r>
      <w:r w:rsidRPr="00FC560A">
        <w:t>ed after week 12. Mean predicted tocilizumab exposure parameters were similar between the two body weight groups.</w:t>
      </w:r>
    </w:p>
    <w:p w:rsidR="00C25759" w:rsidRDefault="00C25759" w:rsidP="00351276">
      <w:pPr>
        <w:jc w:val="both"/>
      </w:pPr>
    </w:p>
    <w:p w:rsidR="00194929" w:rsidRPr="00B77822" w:rsidRDefault="00194929" w:rsidP="00B77822">
      <w:pPr>
        <w:pStyle w:val="Heading4"/>
        <w:numPr>
          <w:ilvl w:val="0"/>
          <w:numId w:val="0"/>
        </w:numPr>
        <w:rPr>
          <w:rFonts w:ascii="Times New Roman" w:hAnsi="Times New Roman"/>
        </w:rPr>
      </w:pPr>
      <w:r w:rsidRPr="00B77822">
        <w:rPr>
          <w:rFonts w:ascii="Times New Roman" w:hAnsi="Times New Roman"/>
        </w:rPr>
        <w:t>Absorption and Bioavailability</w:t>
      </w:r>
    </w:p>
    <w:p w:rsidR="009B2E27" w:rsidRDefault="00351276" w:rsidP="00351276">
      <w:r>
        <w:t>Not applicable.</w:t>
      </w:r>
    </w:p>
    <w:p w:rsidR="00351276" w:rsidRDefault="00351276" w:rsidP="00351276"/>
    <w:p w:rsidR="00194929" w:rsidRPr="00351276" w:rsidRDefault="00194929" w:rsidP="00351276">
      <w:pPr>
        <w:pStyle w:val="Heading4"/>
        <w:numPr>
          <w:ilvl w:val="0"/>
          <w:numId w:val="0"/>
        </w:numPr>
        <w:rPr>
          <w:rFonts w:ascii="Times New Roman" w:hAnsi="Times New Roman"/>
        </w:rPr>
      </w:pPr>
      <w:r w:rsidRPr="00351276">
        <w:rPr>
          <w:rFonts w:ascii="Times New Roman" w:hAnsi="Times New Roman"/>
        </w:rPr>
        <w:t>Distribution</w:t>
      </w:r>
    </w:p>
    <w:p w:rsidR="009B2E27" w:rsidRDefault="00351276" w:rsidP="009B2E27">
      <w:pPr>
        <w:pStyle w:val="TextTi12"/>
      </w:pPr>
      <w:r w:rsidRPr="00351276">
        <w:t xml:space="preserve">Following IV dosing, </w:t>
      </w:r>
      <w:r w:rsidR="003E5494">
        <w:t>tocilizumab</w:t>
      </w:r>
      <w:r w:rsidRPr="00351276">
        <w:t xml:space="preserve"> undergoes biphasic elimination from the circulation.</w:t>
      </w:r>
      <w:r>
        <w:t xml:space="preserve"> </w:t>
      </w:r>
      <w:r w:rsidRPr="00351276">
        <w:t xml:space="preserve"> In </w:t>
      </w:r>
      <w:r w:rsidR="00C25759">
        <w:t>RA</w:t>
      </w:r>
      <w:r w:rsidRPr="00351276">
        <w:t xml:space="preserve"> patients the central v</w:t>
      </w:r>
      <w:r>
        <w:t>olume of distribution was 3.5 L and</w:t>
      </w:r>
      <w:r w:rsidRPr="00351276">
        <w:t xml:space="preserve"> the peripheral volume of </w:t>
      </w:r>
      <w:r w:rsidRPr="003F53E5">
        <w:t>distribution was 2.9 L, resulting in a volume of distribution at steady state of 6.4 L.</w:t>
      </w:r>
    </w:p>
    <w:p w:rsidR="00066F99" w:rsidRPr="003F53E5" w:rsidRDefault="00066F99" w:rsidP="009B2E27">
      <w:pPr>
        <w:pStyle w:val="TextTi12"/>
      </w:pPr>
      <w:r w:rsidRPr="00587EED">
        <w:t>In p</w:t>
      </w:r>
      <w:r>
        <w:t>a</w:t>
      </w:r>
      <w:r w:rsidRPr="00587EED">
        <w:t>ediatric patients with pJIA, the central volume of distribution was 1.98 L, the peripheral volume of distribution was 2.1 L, resulting in a volume of distributio</w:t>
      </w:r>
      <w:r>
        <w:t>n at steady state of 4.08 L</w:t>
      </w:r>
      <w:r w:rsidRPr="00587EED">
        <w:t>.</w:t>
      </w:r>
    </w:p>
    <w:p w:rsidR="00C25759" w:rsidRPr="003F53E5" w:rsidRDefault="00C25759" w:rsidP="009B2E27">
      <w:pPr>
        <w:pStyle w:val="TextTi12"/>
      </w:pPr>
      <w:r w:rsidRPr="003F53E5">
        <w:lastRenderedPageBreak/>
        <w:t>In paediatric patients with sJIA, the central volume of distribution was 0.94 L and the peripheral volume of distribution was 1.60 L resulting in a volume of distribution at steady state of 2.54 L.</w:t>
      </w:r>
    </w:p>
    <w:p w:rsidR="00194929" w:rsidRPr="004E4913" w:rsidRDefault="00194929" w:rsidP="004E4913">
      <w:pPr>
        <w:pStyle w:val="Heading4"/>
        <w:numPr>
          <w:ilvl w:val="0"/>
          <w:numId w:val="0"/>
        </w:numPr>
        <w:rPr>
          <w:rFonts w:ascii="Times New Roman" w:hAnsi="Times New Roman"/>
        </w:rPr>
      </w:pPr>
      <w:r w:rsidRPr="004E4913">
        <w:rPr>
          <w:rFonts w:ascii="Times New Roman" w:hAnsi="Times New Roman"/>
        </w:rPr>
        <w:t>Metabolism</w:t>
      </w:r>
    </w:p>
    <w:p w:rsidR="009B2E27" w:rsidRDefault="004E4913" w:rsidP="009B2E27">
      <w:pPr>
        <w:pStyle w:val="TextTi12"/>
      </w:pPr>
      <w:r>
        <w:t>Not applicable.</w:t>
      </w:r>
    </w:p>
    <w:p w:rsidR="00194929" w:rsidRPr="00583885" w:rsidRDefault="00194929" w:rsidP="00583885">
      <w:pPr>
        <w:pStyle w:val="Heading4"/>
        <w:numPr>
          <w:ilvl w:val="0"/>
          <w:numId w:val="0"/>
        </w:numPr>
        <w:rPr>
          <w:rFonts w:ascii="Times New Roman" w:hAnsi="Times New Roman"/>
        </w:rPr>
      </w:pPr>
      <w:r w:rsidRPr="00583885">
        <w:rPr>
          <w:rFonts w:ascii="Times New Roman" w:hAnsi="Times New Roman"/>
        </w:rPr>
        <w:t>Elimination</w:t>
      </w:r>
    </w:p>
    <w:p w:rsidR="004E4913" w:rsidRDefault="004E4913" w:rsidP="004E4913">
      <w:pPr>
        <w:pStyle w:val="TextTi12"/>
      </w:pPr>
      <w:r w:rsidRPr="00BE3C34">
        <w:t xml:space="preserve">The total clearance of </w:t>
      </w:r>
      <w:r w:rsidR="003E5494">
        <w:t>tocilizumab</w:t>
      </w:r>
      <w:r w:rsidRPr="00BE3C34">
        <w:t xml:space="preserve"> was concentration-dependent and is the sum of the linear clearance and the nonlinear clearance.</w:t>
      </w:r>
      <w:r>
        <w:t xml:space="preserve"> </w:t>
      </w:r>
      <w:r w:rsidRPr="00BE3C34">
        <w:t>The linear clearance was estimated as a</w:t>
      </w:r>
      <w:r>
        <w:t xml:space="preserve"> parameter in the population pharmacokinetic analysis and was 12.5 m</w:t>
      </w:r>
      <w:r w:rsidRPr="006933C1">
        <w:t>L/h</w:t>
      </w:r>
      <w:r w:rsidR="00C25759">
        <w:t xml:space="preserve"> in RA patients</w:t>
      </w:r>
      <w:r w:rsidR="00066F99">
        <w:t>, 5.8 mL/h in paediatric patients with pJIA</w:t>
      </w:r>
      <w:r w:rsidR="00C25759">
        <w:t xml:space="preserve"> and 7.1 mL/h in paediatric patients with sJIA</w:t>
      </w:r>
      <w:r w:rsidRPr="006933C1">
        <w:t>.</w:t>
      </w:r>
      <w:r>
        <w:t xml:space="preserve"> The concentration-dependent nonlinear clearance plays a major role at low </w:t>
      </w:r>
      <w:r w:rsidR="003E5494">
        <w:t>tocilizumab</w:t>
      </w:r>
      <w:r>
        <w:t xml:space="preserve"> concentrations. Once the nonlinear clearance pathway is saturated, at higher </w:t>
      </w:r>
      <w:r w:rsidR="003E5494">
        <w:t>tocilizumab</w:t>
      </w:r>
      <w:r>
        <w:t xml:space="preserve"> concentrations, clearance is mainly determined by the linear clearance.</w:t>
      </w:r>
    </w:p>
    <w:p w:rsidR="00066F99" w:rsidRDefault="004E4913" w:rsidP="004E4913">
      <w:pPr>
        <w:pStyle w:val="TextTi12"/>
      </w:pPr>
      <w:r>
        <w:t>The half life (t</w:t>
      </w:r>
      <w:r w:rsidRPr="00D62E8B">
        <w:rPr>
          <w:vertAlign w:val="subscript"/>
        </w:rPr>
        <w:t>1/2</w:t>
      </w:r>
      <w:r w:rsidRPr="004E4913">
        <w:t>)</w:t>
      </w:r>
      <w:r>
        <w:t xml:space="preserve"> of </w:t>
      </w:r>
      <w:r w:rsidR="003E5494">
        <w:t>tocilizumab</w:t>
      </w:r>
      <w:r>
        <w:t xml:space="preserve"> is concentration-dependent</w:t>
      </w:r>
      <w:r w:rsidR="00C25759">
        <w:t xml:space="preserve"> in RA,</w:t>
      </w:r>
      <w:r>
        <w:t xml:space="preserve"> </w:t>
      </w:r>
      <w:r w:rsidR="00C25759">
        <w:t>t</w:t>
      </w:r>
      <w:r w:rsidR="00E154B1">
        <w:t xml:space="preserve">he concentration-dependent apparent </w:t>
      </w:r>
      <w:r w:rsidR="00E154B1" w:rsidRPr="001F6ABF">
        <w:t>t</w:t>
      </w:r>
      <w:r w:rsidR="00E154B1" w:rsidRPr="001F6ABF">
        <w:rPr>
          <w:vertAlign w:val="subscript"/>
        </w:rPr>
        <w:t>1/2</w:t>
      </w:r>
      <w:r w:rsidR="00E154B1">
        <w:rPr>
          <w:vertAlign w:val="subscript"/>
        </w:rPr>
        <w:t xml:space="preserve"> </w:t>
      </w:r>
      <w:r w:rsidR="00E154B1">
        <w:t xml:space="preserve">is </w:t>
      </w:r>
      <w:r w:rsidR="00B266B0">
        <w:t xml:space="preserve">up to </w:t>
      </w:r>
      <w:r w:rsidR="00E154B1">
        <w:t xml:space="preserve">11 days for 4 mg/kg and 13 days for 8 mg/kg every 4 weeks </w:t>
      </w:r>
      <w:r w:rsidR="00C25759">
        <w:t xml:space="preserve">in patients with RA </w:t>
      </w:r>
      <w:r w:rsidR="00E154B1">
        <w:t>at steady-state.</w:t>
      </w:r>
      <w:r w:rsidR="00C25759">
        <w:t xml:space="preserve"> </w:t>
      </w:r>
    </w:p>
    <w:p w:rsidR="00066F99" w:rsidRDefault="00066F99" w:rsidP="004E4913">
      <w:pPr>
        <w:pStyle w:val="TextTi12"/>
      </w:pPr>
      <w:r>
        <w:t>The t</w:t>
      </w:r>
      <w:r w:rsidRPr="00D62E8B">
        <w:rPr>
          <w:vertAlign w:val="subscript"/>
        </w:rPr>
        <w:t>1/2</w:t>
      </w:r>
      <w:r>
        <w:t xml:space="preserve"> of tocilizumab in children with pJIA is up to 16 days for the two body weight categories (8 mg/kg for BW ≥ 30 kg or 10 mg/kg for BW &lt; 30 kg) during a dosing interval at steady state.</w:t>
      </w:r>
    </w:p>
    <w:p w:rsidR="000D03C8" w:rsidRDefault="00C25759" w:rsidP="004E4913">
      <w:pPr>
        <w:pStyle w:val="TextTi12"/>
      </w:pPr>
      <w:r>
        <w:t>The t</w:t>
      </w:r>
      <w:r w:rsidRPr="00D62E8B">
        <w:rPr>
          <w:vertAlign w:val="subscript"/>
        </w:rPr>
        <w:t>1/2</w:t>
      </w:r>
      <w:r>
        <w:t xml:space="preserve"> of tocilizumab in children with sJIA is up to 23 days for the two body weight categories (8 mg/kg for body weight ≥ 30 kg or 12 mg/kg for body weight &lt; 30 kg) at week 12.</w:t>
      </w:r>
    </w:p>
    <w:p w:rsidR="00194929" w:rsidRDefault="00194929" w:rsidP="00583885">
      <w:pPr>
        <w:pStyle w:val="Heading4"/>
        <w:numPr>
          <w:ilvl w:val="0"/>
          <w:numId w:val="0"/>
        </w:numPr>
        <w:rPr>
          <w:rFonts w:ascii="Times New Roman" w:hAnsi="Times New Roman"/>
          <w:i w:val="0"/>
        </w:rPr>
      </w:pPr>
      <w:r w:rsidRPr="00583885">
        <w:rPr>
          <w:rFonts w:ascii="Times New Roman" w:hAnsi="Times New Roman"/>
        </w:rPr>
        <w:t>Pharmacokinetics in Special Populations</w:t>
      </w:r>
    </w:p>
    <w:p w:rsidR="00583885" w:rsidRDefault="00583885" w:rsidP="000C3C85">
      <w:pPr>
        <w:jc w:val="both"/>
        <w:rPr>
          <w:iCs/>
        </w:rPr>
      </w:pPr>
      <w:r>
        <w:rPr>
          <w:bCs/>
          <w:i/>
          <w:iCs/>
        </w:rPr>
        <w:t xml:space="preserve">Hepatic Impairment: </w:t>
      </w:r>
      <w:r w:rsidRPr="00BE3C34">
        <w:t xml:space="preserve">No formal study of the effect of hepatic impairment on the pharmacokinetics of </w:t>
      </w:r>
      <w:r w:rsidR="003E5494">
        <w:t>ACTEMRA</w:t>
      </w:r>
      <w:r w:rsidRPr="00BE3C34">
        <w:t xml:space="preserve"> was conducted</w:t>
      </w:r>
      <w:r>
        <w:rPr>
          <w:i/>
          <w:iCs/>
        </w:rPr>
        <w:t>.</w:t>
      </w:r>
    </w:p>
    <w:p w:rsidR="00C25759" w:rsidRPr="00C25759" w:rsidRDefault="00C25759" w:rsidP="000C3C85">
      <w:pPr>
        <w:jc w:val="both"/>
        <w:rPr>
          <w:iCs/>
          <w:u w:val="single"/>
        </w:rPr>
      </w:pPr>
    </w:p>
    <w:p w:rsidR="00583885" w:rsidRDefault="00583885" w:rsidP="000C3C85">
      <w:pPr>
        <w:jc w:val="both"/>
      </w:pPr>
      <w:r w:rsidRPr="000E3783">
        <w:rPr>
          <w:bCs/>
          <w:i/>
          <w:iCs/>
        </w:rPr>
        <w:t>Renal Impairment</w:t>
      </w:r>
      <w:r>
        <w:rPr>
          <w:bCs/>
          <w:i/>
          <w:iCs/>
        </w:rPr>
        <w:t xml:space="preserve">: </w:t>
      </w:r>
      <w:r w:rsidRPr="005C20F8">
        <w:t xml:space="preserve">No </w:t>
      </w:r>
      <w:r>
        <w:t xml:space="preserve">formal study of the effect of renal impairment on the pharmacokinetics of </w:t>
      </w:r>
      <w:r w:rsidR="003E5494">
        <w:t>ACTEMRA</w:t>
      </w:r>
      <w:r>
        <w:t xml:space="preserve"> was conducted.</w:t>
      </w:r>
      <w:r w:rsidR="00FF784F">
        <w:t xml:space="preserve"> </w:t>
      </w:r>
    </w:p>
    <w:p w:rsidR="000C3C85" w:rsidRPr="00583885" w:rsidRDefault="000C3C85" w:rsidP="000C3C85">
      <w:pPr>
        <w:jc w:val="both"/>
        <w:rPr>
          <w:bCs/>
          <w:i/>
          <w:iCs/>
        </w:rPr>
      </w:pPr>
    </w:p>
    <w:p w:rsidR="00583885" w:rsidRDefault="00583885" w:rsidP="000C3C85">
      <w:pPr>
        <w:jc w:val="both"/>
      </w:pPr>
      <w:r>
        <w:t xml:space="preserve">Most of the patients in the </w:t>
      </w:r>
      <w:r w:rsidR="00C25759">
        <w:t xml:space="preserve">RA </w:t>
      </w:r>
      <w:r>
        <w:t>population pharmacokinetic analysis had normal renal function or mild renal impairment.</w:t>
      </w:r>
      <w:r w:rsidR="000C3C85">
        <w:t xml:space="preserve"> </w:t>
      </w:r>
      <w:r>
        <w:t>Mild renal impairment (creatinine clearance based on Cockcroft-Gault</w:t>
      </w:r>
      <w:r w:rsidR="000C3C85">
        <w:t xml:space="preserve"> &lt; 80 mL/min and </w:t>
      </w:r>
      <w:r>
        <w:sym w:font="Symbol" w:char="F0B3"/>
      </w:r>
      <w:r w:rsidR="000C3C85">
        <w:t xml:space="preserve"> </w:t>
      </w:r>
      <w:r>
        <w:t xml:space="preserve">50 mL/min) did not impact the pharmacokinetics of </w:t>
      </w:r>
      <w:r w:rsidR="003E5494">
        <w:t>ACTEMRA</w:t>
      </w:r>
      <w:r>
        <w:t>.</w:t>
      </w:r>
      <w:r w:rsidR="00C80F3D" w:rsidRPr="00C80F3D">
        <w:t xml:space="preserve"> </w:t>
      </w:r>
      <w:r w:rsidR="00C80F3D">
        <w:t>ACTEMRA has not been studied in patients with moderate to severe renal impairment. (See CLINICAL TRIALS and DOSAGE AND ADMINISTRATION).</w:t>
      </w:r>
    </w:p>
    <w:p w:rsidR="000C3C85" w:rsidRPr="00092565" w:rsidRDefault="000C3C85" w:rsidP="000C3C85">
      <w:pPr>
        <w:jc w:val="both"/>
        <w:rPr>
          <w:bCs/>
          <w:i/>
          <w:iCs/>
        </w:rPr>
      </w:pPr>
    </w:p>
    <w:p w:rsidR="000D03C8" w:rsidRPr="000C3C85" w:rsidRDefault="00583885" w:rsidP="000C3C85">
      <w:pPr>
        <w:jc w:val="both"/>
        <w:rPr>
          <w:iCs/>
        </w:rPr>
      </w:pPr>
      <w:r w:rsidRPr="000E3783">
        <w:rPr>
          <w:bCs/>
          <w:i/>
          <w:iCs/>
        </w:rPr>
        <w:t>Other special populations</w:t>
      </w:r>
      <w:r w:rsidR="000C3C85">
        <w:rPr>
          <w:bCs/>
          <w:i/>
          <w:iCs/>
        </w:rPr>
        <w:t xml:space="preserve">: </w:t>
      </w:r>
      <w:r>
        <w:t xml:space="preserve">Population </w:t>
      </w:r>
      <w:r w:rsidR="00804841">
        <w:t xml:space="preserve">pharmacokinetics in </w:t>
      </w:r>
      <w:r>
        <w:t>adult rheumatoid arthritis patients showed that age, gender</w:t>
      </w:r>
      <w:r w:rsidR="00804841">
        <w:t xml:space="preserve"> and </w:t>
      </w:r>
      <w:r>
        <w:t>race</w:t>
      </w:r>
      <w:r w:rsidR="00804841">
        <w:t xml:space="preserve"> did not affect the pharm</w:t>
      </w:r>
      <w:r w:rsidR="00E2603C">
        <w:t>a</w:t>
      </w:r>
      <w:r w:rsidR="00804841">
        <w:t xml:space="preserve">cokinetics of </w:t>
      </w:r>
      <w:r w:rsidR="00E2603C">
        <w:t>ACTEMRA</w:t>
      </w:r>
      <w:r w:rsidR="00804841">
        <w:t>. No dose adjustment is necessary for these demographic factors.</w:t>
      </w:r>
    </w:p>
    <w:p w:rsidR="00194929" w:rsidRPr="003738F6" w:rsidRDefault="003738F6" w:rsidP="003738F6">
      <w:pPr>
        <w:pStyle w:val="Heading2"/>
        <w:numPr>
          <w:ilvl w:val="0"/>
          <w:numId w:val="0"/>
        </w:numPr>
        <w:rPr>
          <w:rFonts w:ascii="Times New Roman" w:hAnsi="Times New Roman" w:cs="Times New Roman"/>
          <w:sz w:val="28"/>
        </w:rPr>
      </w:pPr>
      <w:r>
        <w:rPr>
          <w:rFonts w:ascii="Times New Roman" w:hAnsi="Times New Roman" w:cs="Times New Roman"/>
          <w:sz w:val="28"/>
        </w:rPr>
        <w:lastRenderedPageBreak/>
        <w:t>CLINICAL TRIALS</w:t>
      </w:r>
    </w:p>
    <w:p w:rsidR="00C25759" w:rsidRDefault="00C25759" w:rsidP="00731529">
      <w:pPr>
        <w:spacing w:before="100" w:beforeAutospacing="1" w:after="100" w:afterAutospacing="1"/>
        <w:jc w:val="both"/>
        <w:rPr>
          <w:rFonts w:eastAsia="MS Mincho"/>
          <w:color w:val="000000"/>
          <w:lang w:val="en-GB"/>
        </w:rPr>
      </w:pPr>
      <w:r w:rsidRPr="00190D02">
        <w:rPr>
          <w:rFonts w:eastAsia="MS Mincho"/>
          <w:b/>
          <w:color w:val="000000"/>
          <w:lang w:val="en-GB"/>
        </w:rPr>
        <w:t>Rheumatoid Arthritis</w:t>
      </w:r>
    </w:p>
    <w:p w:rsidR="00731529" w:rsidRDefault="00731529" w:rsidP="00731529">
      <w:pPr>
        <w:spacing w:before="100" w:beforeAutospacing="1" w:after="100" w:afterAutospacing="1"/>
        <w:jc w:val="both"/>
        <w:rPr>
          <w:rFonts w:eastAsia="MS Mincho"/>
          <w:color w:val="000000"/>
          <w:lang w:val="en-GB"/>
        </w:rPr>
      </w:pPr>
      <w:r w:rsidRPr="00A44BA0">
        <w:rPr>
          <w:rFonts w:eastAsia="MS Mincho"/>
          <w:color w:val="000000"/>
          <w:lang w:val="en-GB"/>
        </w:rPr>
        <w:t xml:space="preserve">The efficacy of </w:t>
      </w:r>
      <w:r w:rsidR="001A12D5">
        <w:rPr>
          <w:rFonts w:eastAsia="MS Mincho"/>
          <w:color w:val="000000"/>
          <w:lang w:val="en-GB"/>
        </w:rPr>
        <w:t>ACTEMRA</w:t>
      </w:r>
      <w:r>
        <w:rPr>
          <w:rFonts w:eastAsia="MS Mincho"/>
          <w:color w:val="000000"/>
          <w:lang w:val="en-GB"/>
        </w:rPr>
        <w:t xml:space="preserve"> in alleviating the signs and symptoms of rheumatoid arthritis was assessed in five randomis</w:t>
      </w:r>
      <w:r w:rsidRPr="00A44BA0">
        <w:rPr>
          <w:rFonts w:eastAsia="MS Mincho"/>
          <w:color w:val="000000"/>
          <w:lang w:val="en-GB"/>
        </w:rPr>
        <w:t>ed, double-blind</w:t>
      </w:r>
      <w:r w:rsidR="009F6E19">
        <w:rPr>
          <w:rFonts w:eastAsia="MS Mincho"/>
          <w:color w:val="000000"/>
          <w:lang w:val="en-GB"/>
        </w:rPr>
        <w:t>, multicent</w:t>
      </w:r>
      <w:r>
        <w:rPr>
          <w:rFonts w:eastAsia="MS Mincho"/>
          <w:color w:val="000000"/>
          <w:lang w:val="en-GB"/>
        </w:rPr>
        <w:t>r</w:t>
      </w:r>
      <w:r w:rsidR="009F6E19">
        <w:rPr>
          <w:rFonts w:eastAsia="MS Mincho"/>
          <w:color w:val="000000"/>
          <w:lang w:val="en-GB"/>
        </w:rPr>
        <w:t>e</w:t>
      </w:r>
      <w:r w:rsidRPr="00A44BA0">
        <w:rPr>
          <w:rFonts w:eastAsia="MS Mincho"/>
          <w:color w:val="000000"/>
          <w:lang w:val="en-GB"/>
        </w:rPr>
        <w:t xml:space="preserve"> studies</w:t>
      </w:r>
      <w:r>
        <w:rPr>
          <w:rFonts w:eastAsia="MS Mincho"/>
          <w:color w:val="000000"/>
          <w:lang w:val="en-GB"/>
        </w:rPr>
        <w:t xml:space="preserve">. Studies I-V required patients </w:t>
      </w:r>
      <w:r w:rsidRPr="00A44BA0">
        <w:rPr>
          <w:rFonts w:eastAsia="MS Mincho"/>
          <w:color w:val="000000"/>
          <w:u w:val="single"/>
          <w:lang w:val="en-GB"/>
        </w:rPr>
        <w:t>&gt;</w:t>
      </w:r>
      <w:r w:rsidRPr="00A44BA0">
        <w:rPr>
          <w:rFonts w:eastAsia="MS Mincho"/>
          <w:color w:val="000000"/>
          <w:lang w:val="en-GB"/>
        </w:rPr>
        <w:t xml:space="preserve"> age 18 with active rheumatoid arthritis diagnosed according to American College of Rheumatology (ACR) c</w:t>
      </w:r>
      <w:r>
        <w:rPr>
          <w:rFonts w:eastAsia="MS Mincho"/>
          <w:color w:val="000000"/>
          <w:lang w:val="en-GB"/>
        </w:rPr>
        <w:t>riteria who had at least 8 tender and 6 swollen joints at baseline.</w:t>
      </w:r>
    </w:p>
    <w:p w:rsidR="004609A5" w:rsidRPr="004609A5" w:rsidRDefault="001A12D5" w:rsidP="004609A5">
      <w:pPr>
        <w:spacing w:before="100" w:beforeAutospacing="1" w:after="100" w:afterAutospacing="1"/>
        <w:jc w:val="both"/>
        <w:rPr>
          <w:rFonts w:eastAsia="MS Mincho"/>
          <w:color w:val="000000"/>
          <w:lang w:val="en-GB"/>
        </w:rPr>
      </w:pPr>
      <w:r>
        <w:rPr>
          <w:rFonts w:eastAsia="MS Mincho"/>
          <w:color w:val="000000"/>
          <w:lang w:val="en-GB"/>
        </w:rPr>
        <w:t>ACTEMRA</w:t>
      </w:r>
      <w:r w:rsidR="00731529" w:rsidRPr="00A44BA0">
        <w:rPr>
          <w:rFonts w:eastAsia="MS Mincho"/>
          <w:color w:val="000000"/>
          <w:lang w:val="en-GB"/>
        </w:rPr>
        <w:t xml:space="preserve"> was administered </w:t>
      </w:r>
      <w:r w:rsidR="00731529">
        <w:rPr>
          <w:rFonts w:eastAsia="MS Mincho"/>
          <w:color w:val="000000"/>
          <w:lang w:val="en-GB"/>
        </w:rPr>
        <w:t>intravenously</w:t>
      </w:r>
      <w:r w:rsidR="00731529" w:rsidRPr="00A44BA0">
        <w:rPr>
          <w:rFonts w:eastAsia="MS Mincho"/>
          <w:color w:val="000000"/>
          <w:lang w:val="en-GB"/>
        </w:rPr>
        <w:t xml:space="preserve"> </w:t>
      </w:r>
      <w:r w:rsidR="00731529">
        <w:rPr>
          <w:rFonts w:eastAsia="MS Mincho"/>
          <w:color w:val="000000"/>
          <w:lang w:val="en-GB"/>
        </w:rPr>
        <w:t xml:space="preserve">every 4 weeks as monotherapy (Study I), </w:t>
      </w:r>
      <w:r w:rsidR="00731529" w:rsidRPr="00A44BA0">
        <w:rPr>
          <w:rFonts w:eastAsia="MS Mincho"/>
          <w:color w:val="000000"/>
          <w:lang w:val="en-GB"/>
        </w:rPr>
        <w:t>in combination wi</w:t>
      </w:r>
      <w:r w:rsidR="00731529">
        <w:rPr>
          <w:rFonts w:eastAsia="MS Mincho"/>
          <w:color w:val="000000"/>
          <w:lang w:val="en-GB"/>
        </w:rPr>
        <w:t xml:space="preserve">th </w:t>
      </w:r>
      <w:r w:rsidR="009F6E19">
        <w:rPr>
          <w:rFonts w:eastAsia="MS Mincho"/>
          <w:color w:val="000000"/>
          <w:lang w:val="en-GB"/>
        </w:rPr>
        <w:t>methotrexate (</w:t>
      </w:r>
      <w:r w:rsidR="00731529">
        <w:rPr>
          <w:rFonts w:eastAsia="MS Mincho"/>
          <w:color w:val="000000"/>
          <w:lang w:val="en-GB"/>
        </w:rPr>
        <w:t>MTX</w:t>
      </w:r>
      <w:r w:rsidR="009F6E19">
        <w:rPr>
          <w:rFonts w:eastAsia="MS Mincho"/>
          <w:color w:val="000000"/>
          <w:lang w:val="en-GB"/>
        </w:rPr>
        <w:t>)</w:t>
      </w:r>
      <w:r w:rsidR="00731529">
        <w:rPr>
          <w:rFonts w:eastAsia="MS Mincho"/>
          <w:color w:val="000000"/>
          <w:lang w:val="en-GB"/>
        </w:rPr>
        <w:t xml:space="preserve"> (Studies II, III, V) </w:t>
      </w:r>
      <w:r w:rsidR="00731529" w:rsidRPr="00A44BA0">
        <w:rPr>
          <w:rFonts w:eastAsia="MS Mincho"/>
          <w:color w:val="000000"/>
          <w:lang w:val="en-GB"/>
        </w:rPr>
        <w:t>or with other disease-modifying anti-rh</w:t>
      </w:r>
      <w:r w:rsidR="00731529">
        <w:rPr>
          <w:rFonts w:eastAsia="MS Mincho"/>
          <w:color w:val="000000"/>
          <w:lang w:val="en-GB"/>
        </w:rPr>
        <w:t>eumatic drugs (DMARDs) (Study IV</w:t>
      </w:r>
      <w:r w:rsidR="00731529" w:rsidRPr="00A44BA0">
        <w:rPr>
          <w:rFonts w:eastAsia="MS Mincho"/>
          <w:color w:val="000000"/>
          <w:lang w:val="en-GB"/>
        </w:rPr>
        <w:t>)</w:t>
      </w:r>
      <w:r w:rsidR="00731529">
        <w:rPr>
          <w:rFonts w:eastAsia="MS Mincho"/>
          <w:color w:val="000000"/>
          <w:lang w:val="en-GB"/>
        </w:rPr>
        <w:t>.</w:t>
      </w:r>
    </w:p>
    <w:p w:rsidR="00285A04" w:rsidRPr="00285A04" w:rsidRDefault="00731529" w:rsidP="00731529">
      <w:pPr>
        <w:spacing w:before="100" w:beforeAutospacing="1" w:after="100" w:afterAutospacing="1"/>
        <w:jc w:val="both"/>
      </w:pPr>
      <w:r w:rsidRPr="00807CDD">
        <w:rPr>
          <w:rFonts w:eastAsia="MS Mincho"/>
          <w:color w:val="000000"/>
          <w:lang w:val="en-GB"/>
        </w:rPr>
        <w:t xml:space="preserve">Study I </w:t>
      </w:r>
      <w:r w:rsidR="00ED23E1" w:rsidRPr="00807CDD">
        <w:rPr>
          <w:rFonts w:eastAsia="MS Mincho"/>
          <w:color w:val="000000"/>
          <w:lang w:val="en-GB"/>
        </w:rPr>
        <w:t xml:space="preserve">(AMBITION) </w:t>
      </w:r>
      <w:r w:rsidRPr="00D12727">
        <w:rPr>
          <w:rFonts w:eastAsia="MS Mincho"/>
          <w:color w:val="000000"/>
          <w:lang w:val="en-GB"/>
        </w:rPr>
        <w:t xml:space="preserve">evaluated </w:t>
      </w:r>
      <w:r w:rsidRPr="00744C66">
        <w:rPr>
          <w:rFonts w:eastAsia="MS Mincho"/>
          <w:color w:val="000000"/>
          <w:lang w:val="en-GB"/>
        </w:rPr>
        <w:t>673 patients who had not been treated with MTX w</w:t>
      </w:r>
      <w:r>
        <w:rPr>
          <w:rFonts w:eastAsia="MS Mincho"/>
          <w:color w:val="000000"/>
          <w:lang w:val="en-GB"/>
        </w:rPr>
        <w:t>ithin 6 months prior to randomis</w:t>
      </w:r>
      <w:r w:rsidRPr="00744C66">
        <w:rPr>
          <w:rFonts w:eastAsia="MS Mincho"/>
          <w:color w:val="000000"/>
          <w:lang w:val="en-GB"/>
        </w:rPr>
        <w:t>ation, and who had not discontinued previous MTX treatment as a result of clinically important toxic effects or lack of response.</w:t>
      </w:r>
      <w:r>
        <w:rPr>
          <w:rFonts w:eastAsia="MS Mincho"/>
          <w:color w:val="000000"/>
          <w:lang w:val="en-GB"/>
        </w:rPr>
        <w:t xml:space="preserve"> </w:t>
      </w:r>
      <w:r w:rsidRPr="00744C66">
        <w:rPr>
          <w:rFonts w:eastAsia="MS Mincho"/>
          <w:lang w:val="en-GB"/>
        </w:rPr>
        <w:t xml:space="preserve">The majority </w:t>
      </w:r>
      <w:r>
        <w:rPr>
          <w:rFonts w:eastAsia="MS Mincho"/>
          <w:lang w:val="en-GB"/>
        </w:rPr>
        <w:t xml:space="preserve">(67%) </w:t>
      </w:r>
      <w:r w:rsidRPr="00744C66">
        <w:rPr>
          <w:rFonts w:eastAsia="MS Mincho"/>
          <w:lang w:val="en-GB"/>
        </w:rPr>
        <w:t xml:space="preserve">of patients were </w:t>
      </w:r>
      <w:r w:rsidRPr="00744C66">
        <w:rPr>
          <w:rFonts w:eastAsia="MS Mincho"/>
          <w:color w:val="000000"/>
          <w:lang w:val="en-GB"/>
        </w:rPr>
        <w:t>MTX naïve.</w:t>
      </w:r>
      <w:r>
        <w:rPr>
          <w:rFonts w:eastAsia="MS Mincho"/>
          <w:color w:val="000000"/>
          <w:lang w:val="en-GB"/>
        </w:rPr>
        <w:t xml:space="preserve"> </w:t>
      </w:r>
      <w:r w:rsidRPr="00744C66">
        <w:rPr>
          <w:rFonts w:eastAsia="MS Mincho"/>
          <w:lang w:val="en-GB"/>
        </w:rPr>
        <w:t xml:space="preserve">Doses of 8 mg/kg of </w:t>
      </w:r>
      <w:r w:rsidR="004275ED">
        <w:rPr>
          <w:rFonts w:eastAsia="MS Mincho"/>
          <w:lang w:val="en-GB"/>
        </w:rPr>
        <w:t>ACTEMRA</w:t>
      </w:r>
      <w:r w:rsidRPr="00744C66">
        <w:rPr>
          <w:rFonts w:eastAsia="MS Mincho"/>
          <w:lang w:val="en-GB"/>
        </w:rPr>
        <w:t xml:space="preserve"> were given every </w:t>
      </w:r>
      <w:r w:rsidR="00DF1769">
        <w:rPr>
          <w:rFonts w:eastAsia="MS Mincho"/>
          <w:lang w:val="en-GB"/>
        </w:rPr>
        <w:t>4</w:t>
      </w:r>
      <w:r w:rsidR="00DF1769" w:rsidRPr="00744C66">
        <w:rPr>
          <w:rFonts w:eastAsia="MS Mincho"/>
          <w:lang w:val="en-GB"/>
        </w:rPr>
        <w:t xml:space="preserve"> </w:t>
      </w:r>
      <w:r w:rsidRPr="00744C66">
        <w:rPr>
          <w:rFonts w:eastAsia="MS Mincho"/>
          <w:lang w:val="en-GB"/>
        </w:rPr>
        <w:t>weeks as monotherapy.</w:t>
      </w:r>
      <w:r>
        <w:rPr>
          <w:rFonts w:eastAsia="MS Mincho"/>
          <w:lang w:val="en-GB"/>
        </w:rPr>
        <w:t xml:space="preserve"> </w:t>
      </w:r>
      <w:r w:rsidRPr="00744C66">
        <w:rPr>
          <w:rFonts w:eastAsia="MS Mincho"/>
          <w:color w:val="000000"/>
          <w:lang w:val="en-GB"/>
        </w:rPr>
        <w:t>The comparator group was weekly MTX (dose titrated from 7.5 to a maximum of 20 mg weekly over an 8 week period).</w:t>
      </w:r>
      <w:r>
        <w:rPr>
          <w:rFonts w:eastAsia="MS Mincho"/>
          <w:color w:val="000000"/>
          <w:lang w:val="en-GB"/>
        </w:rPr>
        <w:t xml:space="preserve"> </w:t>
      </w:r>
      <w:r w:rsidRPr="00744C66">
        <w:rPr>
          <w:rFonts w:eastAsia="MS Mincho"/>
          <w:color w:val="000000"/>
          <w:lang w:val="en-GB"/>
        </w:rPr>
        <w:t xml:space="preserve">The primary endpoint </w:t>
      </w:r>
      <w:r w:rsidRPr="00744C66">
        <w:t>was the proportion of patients who achieved an ACR20 response at week 24.</w:t>
      </w:r>
    </w:p>
    <w:p w:rsidR="008B29C1" w:rsidRPr="008B29C1" w:rsidRDefault="00731529" w:rsidP="00731529">
      <w:pPr>
        <w:spacing w:before="100" w:beforeAutospacing="1" w:after="100" w:afterAutospacing="1"/>
        <w:jc w:val="both"/>
      </w:pPr>
      <w:r w:rsidRPr="00807CDD">
        <w:rPr>
          <w:rFonts w:eastAsia="MS Mincho"/>
          <w:color w:val="000000"/>
          <w:lang w:val="en-GB"/>
        </w:rPr>
        <w:t>Study II</w:t>
      </w:r>
      <w:r w:rsidR="00ED23E1" w:rsidRPr="00807CDD">
        <w:rPr>
          <w:rFonts w:eastAsia="MS Mincho"/>
          <w:color w:val="000000"/>
          <w:lang w:val="en-GB"/>
        </w:rPr>
        <w:t xml:space="preserve"> (LITHE)</w:t>
      </w:r>
      <w:r w:rsidRPr="00807CDD">
        <w:rPr>
          <w:rFonts w:eastAsia="MS Mincho"/>
          <w:color w:val="000000"/>
          <w:lang w:val="en-GB"/>
        </w:rPr>
        <w:t>,</w:t>
      </w:r>
      <w:r>
        <w:rPr>
          <w:rFonts w:eastAsia="MS Mincho"/>
          <w:color w:val="000000"/>
          <w:lang w:val="en-GB"/>
        </w:rPr>
        <w:t xml:space="preserve"> a 2 year study</w:t>
      </w:r>
      <w:r w:rsidR="00FB6E68">
        <w:rPr>
          <w:rFonts w:eastAsia="MS Mincho"/>
          <w:color w:val="000000"/>
          <w:lang w:val="en-GB"/>
        </w:rPr>
        <w:t xml:space="preserve">, </w:t>
      </w:r>
      <w:r w:rsidRPr="00744C66">
        <w:rPr>
          <w:rFonts w:eastAsia="MS Mincho"/>
          <w:color w:val="000000"/>
          <w:lang w:val="en-GB"/>
        </w:rPr>
        <w:t xml:space="preserve">evaluated 1196 patients who had an inadequate clinical response to MTX. Doses of 4 or 8 mg/kg of </w:t>
      </w:r>
      <w:r w:rsidR="003E5494">
        <w:rPr>
          <w:rFonts w:eastAsia="MS Mincho"/>
          <w:color w:val="000000"/>
          <w:lang w:val="en-GB"/>
        </w:rPr>
        <w:t>ACTEMRA</w:t>
      </w:r>
      <w:r w:rsidRPr="00744C66">
        <w:rPr>
          <w:rFonts w:eastAsia="MS Mincho"/>
          <w:color w:val="000000"/>
          <w:lang w:val="en-GB"/>
        </w:rPr>
        <w:t xml:space="preserve"> or placebo were given every </w:t>
      </w:r>
      <w:r w:rsidR="00DF1769">
        <w:rPr>
          <w:rFonts w:eastAsia="MS Mincho"/>
          <w:color w:val="000000"/>
          <w:lang w:val="en-GB"/>
        </w:rPr>
        <w:t>4</w:t>
      </w:r>
      <w:r w:rsidR="00DF1769" w:rsidRPr="00744C66">
        <w:rPr>
          <w:rFonts w:eastAsia="MS Mincho"/>
          <w:color w:val="000000"/>
          <w:lang w:val="en-GB"/>
        </w:rPr>
        <w:t xml:space="preserve"> </w:t>
      </w:r>
      <w:r w:rsidRPr="00744C66">
        <w:rPr>
          <w:rFonts w:eastAsia="MS Mincho"/>
          <w:color w:val="000000"/>
          <w:lang w:val="en-GB"/>
        </w:rPr>
        <w:t xml:space="preserve">weeks as blinded therapy for 52 weeks, in combination with </w:t>
      </w:r>
      <w:r>
        <w:rPr>
          <w:rFonts w:eastAsia="MS Mincho" w:hint="eastAsia"/>
          <w:color w:val="000000"/>
          <w:lang w:val="en-GB"/>
        </w:rPr>
        <w:t xml:space="preserve">stable </w:t>
      </w:r>
      <w:r w:rsidRPr="00744C66">
        <w:rPr>
          <w:rFonts w:eastAsia="MS Mincho"/>
          <w:color w:val="000000"/>
          <w:lang w:val="en-GB"/>
        </w:rPr>
        <w:t>MTX (10–25 mg weekly).</w:t>
      </w:r>
      <w:r>
        <w:rPr>
          <w:rFonts w:eastAsia="MS Mincho"/>
          <w:color w:val="000000"/>
          <w:lang w:val="en-GB"/>
        </w:rPr>
        <w:t xml:space="preserve"> The</w:t>
      </w:r>
      <w:r w:rsidRPr="00744C66">
        <w:rPr>
          <w:rFonts w:eastAsia="MS Mincho"/>
          <w:color w:val="000000"/>
          <w:lang w:val="en-GB"/>
        </w:rPr>
        <w:t xml:space="preserve"> primary endpoint</w:t>
      </w:r>
      <w:r>
        <w:rPr>
          <w:rFonts w:eastAsia="MS Mincho"/>
          <w:color w:val="000000"/>
          <w:lang w:val="en-GB"/>
        </w:rPr>
        <w:t xml:space="preserve"> at week 24 was the</w:t>
      </w:r>
      <w:r w:rsidRPr="00744C66">
        <w:rPr>
          <w:rFonts w:eastAsia="MS Mincho"/>
          <w:color w:val="000000"/>
          <w:lang w:val="en-GB"/>
        </w:rPr>
        <w:t xml:space="preserve"> </w:t>
      </w:r>
      <w:r w:rsidRPr="00744C66">
        <w:t>proportion of patients who achieved ACR20 response criteria</w:t>
      </w:r>
      <w:r w:rsidRPr="00744C66">
        <w:rPr>
          <w:rFonts w:eastAsia="MS Mincho"/>
          <w:color w:val="000000"/>
          <w:lang w:val="en-GB"/>
        </w:rPr>
        <w:t>.</w:t>
      </w:r>
      <w:r w:rsidR="000B3756">
        <w:rPr>
          <w:rFonts w:eastAsia="MS Mincho"/>
          <w:color w:val="000000"/>
          <w:lang w:val="en-GB"/>
        </w:rPr>
        <w:t xml:space="preserve"> At week 52 the co-primary endpoints were prevention of joint damage and improvement in physical function.</w:t>
      </w:r>
    </w:p>
    <w:p w:rsidR="008B29C1" w:rsidRPr="008B29C1" w:rsidRDefault="00731529" w:rsidP="00731529">
      <w:pPr>
        <w:spacing w:before="100" w:beforeAutospacing="1" w:after="100" w:afterAutospacing="1"/>
        <w:jc w:val="both"/>
        <w:rPr>
          <w:lang w:val="en-GB"/>
        </w:rPr>
      </w:pPr>
      <w:r w:rsidRPr="00807CDD">
        <w:rPr>
          <w:rFonts w:eastAsia="MS Mincho"/>
          <w:color w:val="000000"/>
          <w:lang w:val="en-GB"/>
        </w:rPr>
        <w:t>Study III</w:t>
      </w:r>
      <w:r w:rsidR="00ED23E1" w:rsidRPr="00807CDD">
        <w:rPr>
          <w:rFonts w:eastAsia="MS Mincho"/>
          <w:color w:val="000000"/>
          <w:lang w:val="en-GB"/>
        </w:rPr>
        <w:t xml:space="preserve"> (OPTION)</w:t>
      </w:r>
      <w:r w:rsidRPr="00EE58D0">
        <w:rPr>
          <w:rFonts w:eastAsia="MS Mincho"/>
          <w:b/>
          <w:color w:val="000000"/>
          <w:lang w:val="en-GB"/>
        </w:rPr>
        <w:t xml:space="preserve"> </w:t>
      </w:r>
      <w:r w:rsidRPr="00744C66">
        <w:rPr>
          <w:rFonts w:eastAsia="MS Mincho"/>
          <w:color w:val="000000"/>
          <w:lang w:val="en-GB"/>
        </w:rPr>
        <w:t>evaluated 623 patients who had an inadequate clinical response to MTX.</w:t>
      </w:r>
      <w:r>
        <w:rPr>
          <w:rFonts w:eastAsia="MS Mincho"/>
          <w:color w:val="000000"/>
          <w:lang w:val="en-GB"/>
        </w:rPr>
        <w:t xml:space="preserve"> </w:t>
      </w:r>
      <w:r w:rsidRPr="00744C66">
        <w:rPr>
          <w:rFonts w:eastAsia="MS Mincho"/>
          <w:color w:val="000000"/>
          <w:lang w:val="en-GB"/>
        </w:rPr>
        <w:t xml:space="preserve"> Doses of 4 or 8 mg/kg of </w:t>
      </w:r>
      <w:r w:rsidR="003E5494">
        <w:rPr>
          <w:rFonts w:eastAsia="MS Mincho"/>
          <w:color w:val="000000"/>
          <w:lang w:val="en-GB"/>
        </w:rPr>
        <w:t>ACTEMRA</w:t>
      </w:r>
      <w:r w:rsidRPr="00744C66">
        <w:rPr>
          <w:rFonts w:eastAsia="MS Mincho"/>
          <w:color w:val="000000"/>
          <w:lang w:val="en-GB"/>
        </w:rPr>
        <w:t xml:space="preserve"> or placebo were given every </w:t>
      </w:r>
      <w:r w:rsidR="00DF1769">
        <w:rPr>
          <w:rFonts w:eastAsia="MS Mincho"/>
          <w:color w:val="000000"/>
          <w:lang w:val="en-GB"/>
        </w:rPr>
        <w:t>4</w:t>
      </w:r>
      <w:r w:rsidR="00DF1769" w:rsidRPr="00744C66">
        <w:rPr>
          <w:rFonts w:eastAsia="MS Mincho"/>
          <w:color w:val="000000"/>
          <w:lang w:val="en-GB"/>
        </w:rPr>
        <w:t xml:space="preserve"> </w:t>
      </w:r>
      <w:r w:rsidRPr="00744C66">
        <w:rPr>
          <w:rFonts w:eastAsia="MS Mincho"/>
          <w:color w:val="000000"/>
          <w:lang w:val="en-GB"/>
        </w:rPr>
        <w:t xml:space="preserve">weeks, in combination with </w:t>
      </w:r>
      <w:r>
        <w:rPr>
          <w:rFonts w:eastAsia="MS Mincho" w:hint="eastAsia"/>
          <w:color w:val="000000"/>
          <w:lang w:val="en-GB"/>
        </w:rPr>
        <w:t xml:space="preserve">stable </w:t>
      </w:r>
      <w:r w:rsidRPr="00744C66">
        <w:rPr>
          <w:rFonts w:eastAsia="MS Mincho"/>
          <w:color w:val="000000"/>
          <w:lang w:val="en-GB"/>
        </w:rPr>
        <w:t>MTX (10 – 25 mg weekly).</w:t>
      </w:r>
      <w:r w:rsidR="00483503">
        <w:rPr>
          <w:rFonts w:eastAsia="MS Mincho"/>
          <w:color w:val="000000"/>
          <w:lang w:val="en-GB"/>
        </w:rPr>
        <w:t xml:space="preserve"> The</w:t>
      </w:r>
      <w:r w:rsidR="00483503" w:rsidRPr="00744C66">
        <w:rPr>
          <w:rFonts w:eastAsia="MS Mincho"/>
          <w:color w:val="000000"/>
          <w:lang w:val="en-GB"/>
        </w:rPr>
        <w:t xml:space="preserve"> primary endpoint</w:t>
      </w:r>
      <w:r w:rsidR="00483503">
        <w:rPr>
          <w:rFonts w:eastAsia="MS Mincho"/>
          <w:color w:val="000000"/>
          <w:lang w:val="en-GB"/>
        </w:rPr>
        <w:t xml:space="preserve"> was the</w:t>
      </w:r>
      <w:r w:rsidR="00483503" w:rsidRPr="00744C66">
        <w:rPr>
          <w:rFonts w:eastAsia="MS Mincho"/>
          <w:color w:val="000000"/>
          <w:lang w:val="en-GB"/>
        </w:rPr>
        <w:t xml:space="preserve"> </w:t>
      </w:r>
      <w:r w:rsidR="00483503" w:rsidRPr="00744C66">
        <w:t xml:space="preserve">proportion of patients who </w:t>
      </w:r>
      <w:r w:rsidR="00ED23E1">
        <w:t>achieved an ACR20 response</w:t>
      </w:r>
      <w:r w:rsidR="00ED23E1" w:rsidRPr="00ED23E1">
        <w:rPr>
          <w:rFonts w:eastAsia="MS Mincho"/>
          <w:color w:val="000000"/>
          <w:lang w:val="en-GB"/>
        </w:rPr>
        <w:t xml:space="preserve"> </w:t>
      </w:r>
      <w:r w:rsidR="00ED23E1">
        <w:rPr>
          <w:rFonts w:eastAsia="MS Mincho"/>
          <w:color w:val="000000"/>
          <w:lang w:val="en-GB"/>
        </w:rPr>
        <w:t>at week 24</w:t>
      </w:r>
      <w:r w:rsidR="00483503" w:rsidRPr="00744C66">
        <w:rPr>
          <w:rFonts w:eastAsia="MS Mincho"/>
          <w:color w:val="000000"/>
          <w:lang w:val="en-GB"/>
        </w:rPr>
        <w:t>.</w:t>
      </w:r>
    </w:p>
    <w:p w:rsidR="00010D23" w:rsidRPr="00010D23" w:rsidRDefault="00731529" w:rsidP="00731529">
      <w:pPr>
        <w:spacing w:before="100" w:beforeAutospacing="1" w:after="100" w:afterAutospacing="1"/>
        <w:jc w:val="both"/>
        <w:rPr>
          <w:lang w:val="en-GB"/>
        </w:rPr>
      </w:pPr>
      <w:r w:rsidRPr="00807CDD">
        <w:rPr>
          <w:rFonts w:eastAsia="MS Mincho"/>
          <w:color w:val="000000"/>
          <w:lang w:val="en-GB"/>
        </w:rPr>
        <w:t>Study IV</w:t>
      </w:r>
      <w:r w:rsidR="00ED23E1" w:rsidRPr="00807CDD">
        <w:rPr>
          <w:rFonts w:eastAsia="MS Mincho"/>
          <w:color w:val="000000"/>
          <w:lang w:val="en-GB"/>
        </w:rPr>
        <w:t xml:space="preserve"> (TOWARD)</w:t>
      </w:r>
      <w:r w:rsidRPr="00807CDD">
        <w:rPr>
          <w:rFonts w:eastAsia="MS Mincho"/>
          <w:color w:val="000000"/>
          <w:lang w:val="en-GB"/>
        </w:rPr>
        <w:t xml:space="preserve"> </w:t>
      </w:r>
      <w:r w:rsidRPr="00744C66">
        <w:rPr>
          <w:rFonts w:eastAsia="MS Mincho"/>
          <w:color w:val="000000"/>
          <w:lang w:val="en-GB"/>
        </w:rPr>
        <w:t>evaluated 1220 patients who had an inadequate response to their existing rheumatologic therapy, including one or more DMARD</w:t>
      </w:r>
      <w:r>
        <w:rPr>
          <w:rFonts w:eastAsia="MS Mincho"/>
          <w:color w:val="000000"/>
          <w:lang w:val="en-GB"/>
        </w:rPr>
        <w:t>s</w:t>
      </w:r>
      <w:r w:rsidRPr="00744C66">
        <w:rPr>
          <w:rFonts w:eastAsia="MS Mincho"/>
          <w:color w:val="000000"/>
          <w:lang w:val="en-GB"/>
        </w:rPr>
        <w:t>.</w:t>
      </w:r>
      <w:r>
        <w:rPr>
          <w:rFonts w:eastAsia="MS Mincho"/>
          <w:color w:val="000000"/>
          <w:lang w:val="en-GB"/>
        </w:rPr>
        <w:t xml:space="preserve"> </w:t>
      </w:r>
      <w:r w:rsidRPr="00744C66">
        <w:rPr>
          <w:rFonts w:eastAsia="MS Mincho"/>
          <w:color w:val="000000"/>
          <w:lang w:val="en-GB"/>
        </w:rPr>
        <w:t xml:space="preserve">Doses of 8 mg/kg </w:t>
      </w:r>
      <w:r w:rsidR="003E5494">
        <w:rPr>
          <w:rFonts w:eastAsia="MS Mincho"/>
          <w:color w:val="000000"/>
          <w:lang w:val="en-GB"/>
        </w:rPr>
        <w:t>ACTEMRA</w:t>
      </w:r>
      <w:r w:rsidRPr="00744C66">
        <w:rPr>
          <w:rFonts w:eastAsia="MS Mincho"/>
          <w:color w:val="000000"/>
          <w:lang w:val="en-GB"/>
        </w:rPr>
        <w:t xml:space="preserve"> or placebo were given every </w:t>
      </w:r>
      <w:r w:rsidR="00DF1769">
        <w:rPr>
          <w:rFonts w:eastAsia="MS Mincho"/>
          <w:color w:val="000000"/>
          <w:lang w:val="en-GB"/>
        </w:rPr>
        <w:t>4</w:t>
      </w:r>
      <w:r w:rsidR="00DF1769" w:rsidRPr="00744C66">
        <w:rPr>
          <w:rFonts w:eastAsia="MS Mincho"/>
          <w:color w:val="000000"/>
          <w:lang w:val="en-GB"/>
        </w:rPr>
        <w:t xml:space="preserve"> </w:t>
      </w:r>
      <w:r w:rsidRPr="00744C66">
        <w:rPr>
          <w:rFonts w:eastAsia="MS Mincho"/>
          <w:color w:val="000000"/>
          <w:lang w:val="en-GB"/>
        </w:rPr>
        <w:t>weeks, in combination with the stable DMARD.</w:t>
      </w:r>
      <w:r w:rsidRPr="00744C66">
        <w:t xml:space="preserve"> </w:t>
      </w:r>
      <w:r w:rsidR="00ED23E1">
        <w:t>The primary endpoint was the proportion of patients who achieved an ACR20 response at week 24.</w:t>
      </w:r>
      <w:bookmarkStart w:id="1" w:name="OLE_LINK5"/>
      <w:bookmarkStart w:id="2" w:name="OLE_LINK6"/>
    </w:p>
    <w:bookmarkEnd w:id="1"/>
    <w:bookmarkEnd w:id="2"/>
    <w:p w:rsidR="00731529" w:rsidRDefault="00731529" w:rsidP="001D53ED">
      <w:pPr>
        <w:spacing w:before="100" w:beforeAutospacing="1" w:after="100" w:afterAutospacing="1"/>
        <w:jc w:val="both"/>
      </w:pPr>
      <w:r w:rsidRPr="00807CDD">
        <w:rPr>
          <w:rFonts w:eastAsia="MS Mincho"/>
          <w:color w:val="000000"/>
          <w:lang w:val="en-GB"/>
        </w:rPr>
        <w:t>Study V</w:t>
      </w:r>
      <w:r w:rsidR="00ED23E1" w:rsidRPr="00807CDD">
        <w:rPr>
          <w:rFonts w:eastAsia="MS Mincho"/>
          <w:color w:val="000000"/>
          <w:lang w:val="en-GB"/>
        </w:rPr>
        <w:t xml:space="preserve"> (RADIATE)</w:t>
      </w:r>
      <w:r w:rsidRPr="00807CDD">
        <w:rPr>
          <w:rFonts w:eastAsia="MS Mincho"/>
          <w:color w:val="000000"/>
          <w:lang w:val="en-GB"/>
        </w:rPr>
        <w:t xml:space="preserve"> </w:t>
      </w:r>
      <w:r w:rsidRPr="00744C66">
        <w:rPr>
          <w:rFonts w:eastAsia="MS Mincho"/>
          <w:color w:val="000000"/>
          <w:lang w:val="en-GB"/>
        </w:rPr>
        <w:t>evaluated 499 patients who had an inadequate clinical response or were intolerant to one or more anti-</w:t>
      </w:r>
      <w:r w:rsidR="004C67BF">
        <w:rPr>
          <w:rFonts w:eastAsia="MS Mincho"/>
          <w:color w:val="000000"/>
          <w:lang w:val="en-GB"/>
        </w:rPr>
        <w:t>tumour necrosis factor (</w:t>
      </w:r>
      <w:r w:rsidRPr="00744C66">
        <w:rPr>
          <w:rFonts w:eastAsia="MS Mincho"/>
          <w:color w:val="000000"/>
          <w:lang w:val="en-GB"/>
        </w:rPr>
        <w:t>TNF</w:t>
      </w:r>
      <w:r w:rsidR="004C67BF">
        <w:rPr>
          <w:rFonts w:eastAsia="MS Mincho"/>
          <w:color w:val="000000"/>
          <w:lang w:val="en-GB"/>
        </w:rPr>
        <w:t>)</w:t>
      </w:r>
      <w:r w:rsidRPr="00744C66">
        <w:rPr>
          <w:rFonts w:eastAsia="MS Mincho"/>
          <w:color w:val="000000"/>
          <w:lang w:val="en-GB"/>
        </w:rPr>
        <w:t xml:space="preserve"> therapies.</w:t>
      </w:r>
      <w:r>
        <w:rPr>
          <w:rFonts w:eastAsia="MS Mincho"/>
          <w:color w:val="000000"/>
          <w:lang w:val="en-GB"/>
        </w:rPr>
        <w:t xml:space="preserve"> </w:t>
      </w:r>
      <w:r w:rsidRPr="00744C66">
        <w:rPr>
          <w:rFonts w:eastAsia="MS Mincho"/>
          <w:color w:val="000000"/>
          <w:lang w:val="en-GB"/>
        </w:rPr>
        <w:t>The anti-TNF agent was discontinued</w:t>
      </w:r>
      <w:r>
        <w:rPr>
          <w:rFonts w:eastAsia="MS Mincho"/>
          <w:color w:val="000000"/>
          <w:lang w:val="en-GB"/>
        </w:rPr>
        <w:t xml:space="preserve"> prior to randomisation.</w:t>
      </w:r>
      <w:r w:rsidRPr="00A44BA0">
        <w:rPr>
          <w:rFonts w:eastAsia="MS Mincho"/>
          <w:color w:val="000000"/>
          <w:lang w:val="en-GB"/>
        </w:rPr>
        <w:t xml:space="preserve"> Doses of </w:t>
      </w:r>
      <w:r>
        <w:rPr>
          <w:rFonts w:eastAsia="MS Mincho"/>
          <w:color w:val="000000"/>
          <w:lang w:val="en-GB"/>
        </w:rPr>
        <w:t>4 or 8 mg/kg</w:t>
      </w:r>
      <w:r w:rsidRPr="00A44BA0">
        <w:rPr>
          <w:rFonts w:eastAsia="MS Mincho"/>
          <w:color w:val="000000"/>
          <w:lang w:val="en-GB"/>
        </w:rPr>
        <w:t xml:space="preserve"> of </w:t>
      </w:r>
      <w:r w:rsidR="003E5494">
        <w:rPr>
          <w:rFonts w:eastAsia="MS Mincho"/>
          <w:color w:val="000000"/>
          <w:lang w:val="en-GB"/>
        </w:rPr>
        <w:t>ACTEMRA</w:t>
      </w:r>
      <w:r w:rsidRPr="00A44BA0">
        <w:rPr>
          <w:rFonts w:eastAsia="MS Mincho"/>
          <w:color w:val="000000"/>
          <w:lang w:val="en-GB"/>
        </w:rPr>
        <w:t xml:space="preserve"> or placebo were given every </w:t>
      </w:r>
      <w:r w:rsidR="00DF1769">
        <w:rPr>
          <w:rFonts w:eastAsia="MS Mincho"/>
          <w:color w:val="000000"/>
          <w:lang w:val="en-GB"/>
        </w:rPr>
        <w:t>4</w:t>
      </w:r>
      <w:r w:rsidR="00DF1769" w:rsidRPr="00A44BA0">
        <w:rPr>
          <w:rFonts w:eastAsia="MS Mincho"/>
          <w:color w:val="000000"/>
          <w:lang w:val="en-GB"/>
        </w:rPr>
        <w:t xml:space="preserve"> </w:t>
      </w:r>
      <w:r w:rsidRPr="00A44BA0">
        <w:rPr>
          <w:rFonts w:eastAsia="MS Mincho"/>
          <w:color w:val="000000"/>
          <w:lang w:val="en-GB"/>
        </w:rPr>
        <w:t>week</w:t>
      </w:r>
      <w:r>
        <w:rPr>
          <w:rFonts w:eastAsia="MS Mincho"/>
          <w:color w:val="000000"/>
          <w:lang w:val="en-GB"/>
        </w:rPr>
        <w:t xml:space="preserve">s, in combination with </w:t>
      </w:r>
      <w:r>
        <w:rPr>
          <w:rFonts w:eastAsia="MS Mincho" w:hint="eastAsia"/>
          <w:color w:val="000000"/>
          <w:lang w:val="en-GB"/>
        </w:rPr>
        <w:t xml:space="preserve">stable </w:t>
      </w:r>
      <w:r>
        <w:rPr>
          <w:rFonts w:eastAsia="MS Mincho"/>
          <w:color w:val="000000"/>
          <w:lang w:val="en-GB"/>
        </w:rPr>
        <w:t xml:space="preserve">MTX (10 – 25 mg weekly). The primary endpoint </w:t>
      </w:r>
      <w:r>
        <w:t xml:space="preserve">was the proportion of patients who achieved an ACR20 response at </w:t>
      </w:r>
      <w:r>
        <w:rPr>
          <w:rFonts w:eastAsia="MS Mincho" w:hint="eastAsia"/>
        </w:rPr>
        <w:t>w</w:t>
      </w:r>
      <w:r>
        <w:t>eek 24.</w:t>
      </w:r>
    </w:p>
    <w:p w:rsidR="000A6CE3" w:rsidRPr="00C25759" w:rsidRDefault="00731529" w:rsidP="004C67BF">
      <w:pPr>
        <w:spacing w:before="100" w:beforeAutospacing="1" w:after="100" w:afterAutospacing="1"/>
        <w:jc w:val="both"/>
        <w:rPr>
          <w:rFonts w:eastAsia="MS Mincho"/>
          <w:lang w:val="en-GB"/>
        </w:rPr>
      </w:pPr>
      <w:r w:rsidRPr="00A44BA0">
        <w:rPr>
          <w:rFonts w:eastAsia="MS Mincho"/>
          <w:lang w:val="en-GB"/>
        </w:rPr>
        <w:lastRenderedPageBreak/>
        <w:t>The percent of patients achieving ACR 20, 5</w:t>
      </w:r>
      <w:r>
        <w:rPr>
          <w:rFonts w:eastAsia="MS Mincho"/>
          <w:lang w:val="en-GB"/>
        </w:rPr>
        <w:t>0 and 70 responses in Stu</w:t>
      </w:r>
      <w:r w:rsidR="00D61CCA">
        <w:rPr>
          <w:rFonts w:eastAsia="MS Mincho"/>
          <w:lang w:val="en-GB"/>
        </w:rPr>
        <w:t>dies I to V are shown in Table 1</w:t>
      </w:r>
      <w:r w:rsidR="00C25759">
        <w:rPr>
          <w:rFonts w:eastAsia="MS Mincho"/>
          <w:lang w:val="en-GB"/>
        </w:rPr>
        <w:t>.</w:t>
      </w:r>
    </w:p>
    <w:p w:rsidR="004C67BF" w:rsidRPr="00EA66CF" w:rsidRDefault="00C45F21" w:rsidP="00EA66CF">
      <w:pPr>
        <w:rPr>
          <w:rFonts w:eastAsia="MS Mincho"/>
          <w:b/>
          <w:i/>
          <w:lang w:val="en-GB"/>
        </w:rPr>
      </w:pPr>
      <w:r w:rsidRPr="00EA66CF">
        <w:rPr>
          <w:b/>
        </w:rPr>
        <w:t xml:space="preserve">Table 1 </w:t>
      </w:r>
      <w:r w:rsidR="004C67BF" w:rsidRPr="00EA66CF">
        <w:rPr>
          <w:rFonts w:eastAsia="MS Mincho"/>
          <w:b/>
          <w:lang w:val="en-GB"/>
        </w:rPr>
        <w:t>ACR Responses in MTX/Placebo-Controlled Trials (Percent of Patients)</w:t>
      </w:r>
    </w:p>
    <w:tbl>
      <w:tblPr>
        <w:tblW w:w="0" w:type="auto"/>
        <w:tblCellSpacing w:w="15"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075"/>
        <w:gridCol w:w="794"/>
        <w:gridCol w:w="636"/>
        <w:gridCol w:w="845"/>
        <w:gridCol w:w="778"/>
        <w:gridCol w:w="815"/>
        <w:gridCol w:w="73"/>
        <w:gridCol w:w="705"/>
        <w:gridCol w:w="878"/>
        <w:gridCol w:w="878"/>
        <w:gridCol w:w="796"/>
        <w:gridCol w:w="73"/>
        <w:gridCol w:w="720"/>
      </w:tblGrid>
      <w:tr w:rsidR="004C67BF" w:rsidRPr="00985BF9" w:rsidTr="00DD162D">
        <w:trPr>
          <w:tblCellSpacing w:w="15" w:type="dxa"/>
        </w:trPr>
        <w:tc>
          <w:tcPr>
            <w:tcW w:w="1030" w:type="dxa"/>
            <w:shd w:val="clear" w:color="auto" w:fill="auto"/>
          </w:tcPr>
          <w:p w:rsidR="004C67BF" w:rsidRPr="00D47FF9" w:rsidRDefault="004C67BF" w:rsidP="003A797A">
            <w:pPr>
              <w:jc w:val="center"/>
              <w:rPr>
                <w:b/>
                <w:bCs/>
                <w:color w:val="000000"/>
                <w:sz w:val="20"/>
                <w:lang w:val="en-GB"/>
              </w:rPr>
            </w:pPr>
          </w:p>
        </w:tc>
        <w:tc>
          <w:tcPr>
            <w:tcW w:w="1268" w:type="dxa"/>
            <w:gridSpan w:val="2"/>
            <w:shd w:val="clear" w:color="auto" w:fill="auto"/>
          </w:tcPr>
          <w:p w:rsidR="004C67BF" w:rsidRPr="00D47FF9" w:rsidRDefault="004C67BF" w:rsidP="003A797A">
            <w:pPr>
              <w:jc w:val="center"/>
              <w:rPr>
                <w:b/>
                <w:bCs/>
                <w:color w:val="000000"/>
                <w:sz w:val="20"/>
                <w:lang w:val="en-GB"/>
              </w:rPr>
            </w:pPr>
            <w:r w:rsidRPr="00D47FF9">
              <w:rPr>
                <w:b/>
                <w:bCs/>
                <w:color w:val="000000"/>
                <w:sz w:val="20"/>
                <w:lang w:val="en-GB"/>
              </w:rPr>
              <w:t>Study I</w:t>
            </w:r>
            <w:r w:rsidRPr="00D47FF9">
              <w:rPr>
                <w:b/>
                <w:bCs/>
                <w:color w:val="000000"/>
                <w:sz w:val="20"/>
                <w:lang w:val="en-GB"/>
              </w:rPr>
              <w:br/>
              <w:t>MTX-Naïve</w:t>
            </w:r>
          </w:p>
          <w:p w:rsidR="004C67BF" w:rsidRPr="00D47FF9" w:rsidRDefault="004C67BF" w:rsidP="003A797A">
            <w:pPr>
              <w:jc w:val="center"/>
              <w:rPr>
                <w:b/>
                <w:bCs/>
                <w:color w:val="000000"/>
                <w:sz w:val="20"/>
                <w:lang w:val="en-GB"/>
              </w:rPr>
            </w:pPr>
          </w:p>
        </w:tc>
        <w:tc>
          <w:tcPr>
            <w:tcW w:w="0" w:type="auto"/>
            <w:gridSpan w:val="2"/>
            <w:shd w:val="clear" w:color="auto" w:fill="auto"/>
          </w:tcPr>
          <w:p w:rsidR="004C67BF" w:rsidRPr="00D47FF9" w:rsidRDefault="004C67BF" w:rsidP="003A797A">
            <w:pPr>
              <w:jc w:val="center"/>
              <w:rPr>
                <w:b/>
                <w:bCs/>
                <w:color w:val="000000"/>
                <w:sz w:val="20"/>
              </w:rPr>
            </w:pPr>
            <w:r w:rsidRPr="00D47FF9">
              <w:rPr>
                <w:b/>
                <w:bCs/>
                <w:color w:val="000000"/>
                <w:sz w:val="20"/>
                <w:lang w:val="en-GB"/>
              </w:rPr>
              <w:t>Study II</w:t>
            </w:r>
            <w:r w:rsidRPr="00D47FF9">
              <w:rPr>
                <w:b/>
                <w:bCs/>
                <w:color w:val="000000"/>
                <w:sz w:val="20"/>
                <w:lang w:val="en-GB"/>
              </w:rPr>
              <w:br/>
              <w:t>Inadequate Response to MTX</w:t>
            </w:r>
          </w:p>
        </w:tc>
        <w:tc>
          <w:tcPr>
            <w:tcW w:w="0" w:type="auto"/>
            <w:gridSpan w:val="3"/>
            <w:shd w:val="clear" w:color="auto" w:fill="auto"/>
          </w:tcPr>
          <w:p w:rsidR="004C67BF" w:rsidRPr="00D47FF9" w:rsidRDefault="004C67BF" w:rsidP="003A797A">
            <w:pPr>
              <w:jc w:val="center"/>
              <w:rPr>
                <w:b/>
                <w:bCs/>
                <w:color w:val="000000"/>
                <w:sz w:val="20"/>
                <w:lang w:val="en-GB"/>
              </w:rPr>
            </w:pPr>
            <w:r w:rsidRPr="00D47FF9">
              <w:rPr>
                <w:b/>
                <w:bCs/>
                <w:color w:val="000000"/>
                <w:sz w:val="20"/>
                <w:lang w:val="en-GB"/>
              </w:rPr>
              <w:t>Study III</w:t>
            </w:r>
            <w:r w:rsidRPr="00D47FF9">
              <w:rPr>
                <w:b/>
                <w:bCs/>
                <w:color w:val="000000"/>
                <w:sz w:val="20"/>
                <w:lang w:val="en-GB"/>
              </w:rPr>
              <w:br/>
              <w:t>Inadequate Response to MTX</w:t>
            </w:r>
          </w:p>
        </w:tc>
        <w:tc>
          <w:tcPr>
            <w:tcW w:w="0" w:type="auto"/>
            <w:gridSpan w:val="2"/>
            <w:shd w:val="clear" w:color="auto" w:fill="auto"/>
          </w:tcPr>
          <w:p w:rsidR="004C67BF" w:rsidRPr="00D47FF9" w:rsidRDefault="004C67BF" w:rsidP="003A797A">
            <w:pPr>
              <w:jc w:val="center"/>
              <w:rPr>
                <w:b/>
                <w:bCs/>
                <w:color w:val="000000"/>
                <w:sz w:val="20"/>
              </w:rPr>
            </w:pPr>
            <w:r w:rsidRPr="00D47FF9">
              <w:rPr>
                <w:b/>
                <w:bCs/>
                <w:color w:val="000000"/>
                <w:sz w:val="20"/>
                <w:lang w:val="en-GB"/>
              </w:rPr>
              <w:t>Study IV</w:t>
            </w:r>
            <w:r w:rsidRPr="00D47FF9">
              <w:rPr>
                <w:b/>
                <w:bCs/>
                <w:color w:val="000000"/>
                <w:sz w:val="20"/>
                <w:lang w:val="en-GB"/>
              </w:rPr>
              <w:br/>
              <w:t>Inadequate Response to DMARD</w:t>
            </w:r>
          </w:p>
        </w:tc>
        <w:tc>
          <w:tcPr>
            <w:tcW w:w="0" w:type="auto"/>
            <w:gridSpan w:val="3"/>
            <w:shd w:val="clear" w:color="auto" w:fill="auto"/>
          </w:tcPr>
          <w:p w:rsidR="004C67BF" w:rsidRPr="00D47FF9" w:rsidRDefault="004C67BF" w:rsidP="003A797A">
            <w:pPr>
              <w:jc w:val="center"/>
              <w:rPr>
                <w:b/>
                <w:bCs/>
                <w:color w:val="000000"/>
                <w:sz w:val="20"/>
                <w:lang w:val="en-GB"/>
              </w:rPr>
            </w:pPr>
            <w:r w:rsidRPr="00D47FF9">
              <w:rPr>
                <w:b/>
                <w:bCs/>
                <w:color w:val="000000"/>
                <w:sz w:val="20"/>
                <w:lang w:val="en-GB"/>
              </w:rPr>
              <w:t>Study V</w:t>
            </w:r>
            <w:r w:rsidRPr="00D47FF9">
              <w:rPr>
                <w:b/>
                <w:bCs/>
                <w:color w:val="000000"/>
                <w:sz w:val="20"/>
                <w:lang w:val="en-GB"/>
              </w:rPr>
              <w:br/>
              <w:t xml:space="preserve">Inadequate Response to </w:t>
            </w:r>
            <w:r w:rsidR="003710DA">
              <w:rPr>
                <w:b/>
                <w:bCs/>
                <w:color w:val="000000"/>
                <w:sz w:val="20"/>
                <w:lang w:val="en-GB"/>
              </w:rPr>
              <w:t>anti-</w:t>
            </w:r>
            <w:r w:rsidRPr="00D47FF9">
              <w:rPr>
                <w:b/>
                <w:bCs/>
                <w:color w:val="000000"/>
                <w:sz w:val="20"/>
                <w:lang w:val="en-GB"/>
              </w:rPr>
              <w:t>TNF Agent</w:t>
            </w:r>
          </w:p>
        </w:tc>
      </w:tr>
      <w:tr w:rsidR="00C45F21" w:rsidRPr="00637222" w:rsidTr="00DD162D">
        <w:trPr>
          <w:tblCellSpacing w:w="15" w:type="dxa"/>
        </w:trPr>
        <w:tc>
          <w:tcPr>
            <w:tcW w:w="1030" w:type="dxa"/>
            <w:shd w:val="clear" w:color="auto" w:fill="auto"/>
          </w:tcPr>
          <w:p w:rsidR="004C67BF" w:rsidRPr="00D47FF9" w:rsidRDefault="004C67BF" w:rsidP="003A797A">
            <w:pPr>
              <w:jc w:val="center"/>
              <w:rPr>
                <w:color w:val="000000"/>
                <w:sz w:val="20"/>
                <w:lang w:val="en-GB"/>
              </w:rPr>
            </w:pPr>
            <w:r w:rsidRPr="00D47FF9">
              <w:rPr>
                <w:b/>
                <w:bCs/>
                <w:color w:val="000000"/>
                <w:sz w:val="20"/>
                <w:lang w:val="en-GB"/>
              </w:rPr>
              <w:t>Response Rate</w:t>
            </w:r>
          </w:p>
        </w:tc>
        <w:tc>
          <w:tcPr>
            <w:tcW w:w="632" w:type="dxa"/>
            <w:shd w:val="clear" w:color="auto" w:fill="auto"/>
          </w:tcPr>
          <w:p w:rsidR="004C67BF" w:rsidRPr="00D47FF9" w:rsidRDefault="00FA32FF" w:rsidP="003A797A">
            <w:pPr>
              <w:jc w:val="center"/>
              <w:rPr>
                <w:b/>
                <w:bCs/>
                <w:color w:val="000000"/>
                <w:sz w:val="20"/>
                <w:lang w:val="pt-BR"/>
              </w:rPr>
            </w:pPr>
            <w:r>
              <w:rPr>
                <w:b/>
                <w:bCs/>
                <w:color w:val="000000"/>
                <w:sz w:val="20"/>
                <w:lang w:val="pt-BR"/>
              </w:rPr>
              <w:t>ACT</w:t>
            </w:r>
          </w:p>
          <w:p w:rsidR="004C67BF" w:rsidRPr="00D47FF9" w:rsidRDefault="004C67BF" w:rsidP="003A797A">
            <w:pPr>
              <w:jc w:val="center"/>
              <w:rPr>
                <w:b/>
                <w:bCs/>
                <w:color w:val="000000"/>
                <w:sz w:val="20"/>
                <w:lang w:val="pt-BR"/>
              </w:rPr>
            </w:pPr>
            <w:r w:rsidRPr="00D47FF9">
              <w:rPr>
                <w:b/>
                <w:bCs/>
                <w:color w:val="000000"/>
                <w:sz w:val="20"/>
                <w:lang w:val="pt-BR"/>
              </w:rPr>
              <w:t>8 mg/kg</w:t>
            </w:r>
          </w:p>
          <w:p w:rsidR="004C67BF" w:rsidRPr="00D47FF9" w:rsidRDefault="004C67BF" w:rsidP="003A797A">
            <w:pPr>
              <w:jc w:val="center"/>
              <w:rPr>
                <w:b/>
                <w:bCs/>
                <w:color w:val="000000"/>
                <w:sz w:val="20"/>
                <w:lang w:val="pt-BR"/>
              </w:rPr>
            </w:pPr>
          </w:p>
          <w:p w:rsidR="004C67BF" w:rsidRPr="00D47FF9" w:rsidRDefault="004C67BF" w:rsidP="003A797A">
            <w:pPr>
              <w:jc w:val="center"/>
              <w:rPr>
                <w:b/>
                <w:bCs/>
                <w:color w:val="000000"/>
                <w:sz w:val="20"/>
                <w:lang w:val="pt-BR"/>
              </w:rPr>
            </w:pPr>
          </w:p>
          <w:p w:rsidR="004C67BF" w:rsidRPr="00D47FF9" w:rsidRDefault="003145FF" w:rsidP="003A797A">
            <w:pPr>
              <w:jc w:val="center"/>
              <w:rPr>
                <w:b/>
                <w:bCs/>
                <w:color w:val="000000"/>
                <w:sz w:val="20"/>
                <w:lang w:val="en-GB"/>
              </w:rPr>
            </w:pPr>
            <w:r>
              <w:rPr>
                <w:b/>
                <w:bCs/>
                <w:color w:val="000000"/>
                <w:sz w:val="20"/>
                <w:lang w:val="pt-BR"/>
              </w:rPr>
              <w:t>n</w:t>
            </w:r>
            <w:r w:rsidR="004C67BF" w:rsidRPr="00D47FF9">
              <w:rPr>
                <w:b/>
                <w:bCs/>
                <w:color w:val="000000"/>
                <w:sz w:val="20"/>
                <w:lang w:val="pt-BR"/>
              </w:rPr>
              <w:t>=286</w:t>
            </w:r>
          </w:p>
        </w:tc>
        <w:tc>
          <w:tcPr>
            <w:tcW w:w="0" w:type="auto"/>
            <w:shd w:val="clear" w:color="auto" w:fill="auto"/>
          </w:tcPr>
          <w:p w:rsidR="004C67BF" w:rsidRPr="00D47FF9" w:rsidRDefault="004C67BF" w:rsidP="003A797A">
            <w:pPr>
              <w:jc w:val="center"/>
              <w:rPr>
                <w:b/>
                <w:bCs/>
                <w:color w:val="000000"/>
                <w:sz w:val="20"/>
                <w:lang w:val="en-GB"/>
              </w:rPr>
            </w:pPr>
            <w:r w:rsidRPr="00D47FF9">
              <w:rPr>
                <w:b/>
                <w:bCs/>
                <w:color w:val="000000"/>
                <w:sz w:val="20"/>
                <w:lang w:val="en-GB"/>
              </w:rPr>
              <w:t xml:space="preserve">MTX </w:t>
            </w:r>
          </w:p>
          <w:p w:rsidR="004C67BF" w:rsidRPr="00D47FF9" w:rsidRDefault="004C67BF" w:rsidP="003A797A">
            <w:pPr>
              <w:jc w:val="center"/>
              <w:rPr>
                <w:b/>
                <w:bCs/>
                <w:color w:val="000000"/>
                <w:sz w:val="20"/>
                <w:lang w:val="en-GB"/>
              </w:rPr>
            </w:pPr>
            <w:r w:rsidRPr="00D47FF9">
              <w:rPr>
                <w:b/>
                <w:bCs/>
                <w:color w:val="000000"/>
                <w:sz w:val="20"/>
                <w:lang w:val="en-GB"/>
              </w:rPr>
              <w:br/>
              <w:t> </w:t>
            </w:r>
            <w:r w:rsidRPr="00D47FF9">
              <w:rPr>
                <w:b/>
                <w:bCs/>
                <w:color w:val="000000"/>
                <w:sz w:val="20"/>
                <w:lang w:val="en-GB"/>
              </w:rPr>
              <w:br/>
            </w:r>
          </w:p>
          <w:p w:rsidR="004C67BF" w:rsidRPr="00D47FF9" w:rsidRDefault="003145FF" w:rsidP="003A797A">
            <w:pPr>
              <w:jc w:val="center"/>
              <w:rPr>
                <w:b/>
                <w:bCs/>
                <w:color w:val="000000"/>
                <w:sz w:val="20"/>
                <w:lang w:val="pt-BR"/>
              </w:rPr>
            </w:pPr>
            <w:r>
              <w:rPr>
                <w:b/>
                <w:bCs/>
                <w:color w:val="000000"/>
                <w:sz w:val="20"/>
                <w:lang w:val="en-GB"/>
              </w:rPr>
              <w:t>n</w:t>
            </w:r>
            <w:r w:rsidR="004C67BF" w:rsidRPr="00D47FF9">
              <w:rPr>
                <w:b/>
                <w:bCs/>
                <w:color w:val="000000"/>
                <w:sz w:val="20"/>
                <w:lang w:val="en-GB"/>
              </w:rPr>
              <w:t xml:space="preserve">=284 </w:t>
            </w:r>
          </w:p>
        </w:tc>
        <w:tc>
          <w:tcPr>
            <w:tcW w:w="0" w:type="auto"/>
            <w:shd w:val="clear" w:color="auto" w:fill="auto"/>
          </w:tcPr>
          <w:p w:rsidR="004C67BF" w:rsidRPr="0023253B" w:rsidRDefault="00FA32FF" w:rsidP="003A797A">
            <w:pPr>
              <w:jc w:val="center"/>
              <w:rPr>
                <w:color w:val="000000"/>
                <w:sz w:val="20"/>
                <w:lang w:val="en-US"/>
              </w:rPr>
            </w:pPr>
            <w:r w:rsidRPr="0023253B">
              <w:rPr>
                <w:b/>
                <w:bCs/>
                <w:color w:val="000000"/>
                <w:sz w:val="20"/>
                <w:lang w:val="en-US"/>
              </w:rPr>
              <w:t xml:space="preserve">ACT </w:t>
            </w:r>
            <w:r w:rsidR="004C67BF" w:rsidRPr="0023253B">
              <w:rPr>
                <w:b/>
                <w:bCs/>
                <w:color w:val="000000"/>
                <w:sz w:val="20"/>
                <w:lang w:val="en-US"/>
              </w:rPr>
              <w:t>8 mg/kg +MTX</w:t>
            </w:r>
            <w:r w:rsidR="004C67BF" w:rsidRPr="0023253B">
              <w:rPr>
                <w:b/>
                <w:bCs/>
                <w:color w:val="000000"/>
                <w:sz w:val="20"/>
                <w:lang w:val="en-US"/>
              </w:rPr>
              <w:br/>
            </w:r>
            <w:r w:rsidR="004C67BF" w:rsidRPr="0023253B">
              <w:rPr>
                <w:b/>
                <w:bCs/>
                <w:color w:val="000000"/>
                <w:sz w:val="20"/>
                <w:lang w:val="en-US"/>
              </w:rPr>
              <w:br/>
              <w:t> </w:t>
            </w:r>
            <w:r w:rsidR="003145FF" w:rsidRPr="0023253B">
              <w:rPr>
                <w:b/>
                <w:bCs/>
                <w:color w:val="000000"/>
                <w:sz w:val="20"/>
                <w:lang w:val="en-US"/>
              </w:rPr>
              <w:t>n=</w:t>
            </w:r>
            <w:r w:rsidR="004C67BF" w:rsidRPr="0023253B">
              <w:rPr>
                <w:b/>
                <w:bCs/>
                <w:color w:val="000000"/>
                <w:sz w:val="20"/>
                <w:lang w:val="en-US"/>
              </w:rPr>
              <w:t>398</w:t>
            </w:r>
          </w:p>
        </w:tc>
        <w:tc>
          <w:tcPr>
            <w:tcW w:w="0" w:type="auto"/>
            <w:shd w:val="clear" w:color="auto" w:fill="auto"/>
          </w:tcPr>
          <w:p w:rsidR="004C67BF" w:rsidRPr="00D47FF9" w:rsidRDefault="004C67BF" w:rsidP="003A797A">
            <w:pPr>
              <w:jc w:val="center"/>
              <w:rPr>
                <w:b/>
                <w:bCs/>
                <w:color w:val="000000"/>
                <w:sz w:val="20"/>
                <w:lang w:val="en-GB"/>
              </w:rPr>
            </w:pPr>
            <w:r w:rsidRPr="00D47FF9">
              <w:rPr>
                <w:b/>
                <w:bCs/>
                <w:color w:val="000000"/>
                <w:sz w:val="20"/>
                <w:lang w:val="en-GB"/>
              </w:rPr>
              <w:t>Placebo + MTX</w:t>
            </w:r>
            <w:r w:rsidRPr="00D47FF9">
              <w:rPr>
                <w:b/>
                <w:bCs/>
                <w:color w:val="000000"/>
                <w:sz w:val="20"/>
                <w:lang w:val="en-GB"/>
              </w:rPr>
              <w:br/>
              <w:t> </w:t>
            </w:r>
            <w:r w:rsidRPr="00D47FF9">
              <w:rPr>
                <w:b/>
                <w:bCs/>
                <w:color w:val="000000"/>
                <w:sz w:val="20"/>
                <w:lang w:val="en-GB"/>
              </w:rPr>
              <w:br/>
            </w:r>
          </w:p>
          <w:p w:rsidR="004C67BF" w:rsidRPr="00D47FF9" w:rsidRDefault="003145FF" w:rsidP="003A797A">
            <w:pPr>
              <w:jc w:val="center"/>
              <w:rPr>
                <w:rFonts w:eastAsia="MS Mincho"/>
                <w:color w:val="000000"/>
                <w:sz w:val="20"/>
                <w:lang w:val="en-GB"/>
              </w:rPr>
            </w:pPr>
            <w:r>
              <w:rPr>
                <w:b/>
                <w:bCs/>
                <w:color w:val="000000"/>
                <w:sz w:val="20"/>
                <w:lang w:val="en-GB"/>
              </w:rPr>
              <w:t>n</w:t>
            </w:r>
            <w:r w:rsidR="004C67BF" w:rsidRPr="00D47FF9">
              <w:rPr>
                <w:b/>
                <w:bCs/>
                <w:color w:val="000000"/>
                <w:sz w:val="20"/>
                <w:lang w:val="en-GB"/>
              </w:rPr>
              <w:t>=393</w:t>
            </w:r>
          </w:p>
        </w:tc>
        <w:tc>
          <w:tcPr>
            <w:tcW w:w="0" w:type="auto"/>
            <w:shd w:val="clear" w:color="auto" w:fill="auto"/>
          </w:tcPr>
          <w:p w:rsidR="004C67BF" w:rsidRPr="0023253B" w:rsidRDefault="00FA32FF" w:rsidP="003A797A">
            <w:pPr>
              <w:jc w:val="center"/>
              <w:rPr>
                <w:b/>
                <w:bCs/>
                <w:color w:val="000000"/>
                <w:sz w:val="20"/>
                <w:lang w:val="en-US"/>
              </w:rPr>
            </w:pPr>
            <w:r w:rsidRPr="0023253B">
              <w:rPr>
                <w:b/>
                <w:bCs/>
                <w:color w:val="000000"/>
                <w:sz w:val="20"/>
                <w:lang w:val="en-US"/>
              </w:rPr>
              <w:t>ACT</w:t>
            </w:r>
          </w:p>
          <w:p w:rsidR="004C67BF" w:rsidRPr="0023253B" w:rsidRDefault="004C67BF" w:rsidP="003A797A">
            <w:pPr>
              <w:jc w:val="center"/>
              <w:rPr>
                <w:b/>
                <w:bCs/>
                <w:color w:val="000000"/>
                <w:sz w:val="20"/>
                <w:lang w:val="en-US"/>
              </w:rPr>
            </w:pPr>
            <w:r w:rsidRPr="0023253B">
              <w:rPr>
                <w:b/>
                <w:bCs/>
                <w:color w:val="000000"/>
                <w:sz w:val="20"/>
                <w:lang w:val="en-US"/>
              </w:rPr>
              <w:t>8 mg/kg +MTX</w:t>
            </w:r>
            <w:r w:rsidRPr="0023253B">
              <w:rPr>
                <w:b/>
                <w:bCs/>
                <w:color w:val="000000"/>
                <w:sz w:val="20"/>
                <w:lang w:val="en-US"/>
              </w:rPr>
              <w:br/>
              <w:t> </w:t>
            </w:r>
            <w:r w:rsidRPr="0023253B">
              <w:rPr>
                <w:b/>
                <w:bCs/>
                <w:color w:val="000000"/>
                <w:sz w:val="20"/>
                <w:lang w:val="en-US"/>
              </w:rPr>
              <w:br/>
            </w:r>
            <w:r w:rsidR="003145FF" w:rsidRPr="0023253B">
              <w:rPr>
                <w:b/>
                <w:bCs/>
                <w:color w:val="000000"/>
                <w:sz w:val="20"/>
                <w:lang w:val="en-US"/>
              </w:rPr>
              <w:t>n=</w:t>
            </w:r>
            <w:r w:rsidRPr="0023253B">
              <w:rPr>
                <w:b/>
                <w:bCs/>
                <w:color w:val="000000"/>
                <w:sz w:val="20"/>
                <w:lang w:val="en-US"/>
              </w:rPr>
              <w:t>205</w:t>
            </w:r>
          </w:p>
        </w:tc>
        <w:tc>
          <w:tcPr>
            <w:tcW w:w="0" w:type="auto"/>
            <w:gridSpan w:val="2"/>
            <w:shd w:val="clear" w:color="auto" w:fill="auto"/>
          </w:tcPr>
          <w:p w:rsidR="004C67BF" w:rsidRPr="00D47FF9" w:rsidRDefault="004C67BF" w:rsidP="003A797A">
            <w:pPr>
              <w:jc w:val="center"/>
              <w:rPr>
                <w:b/>
                <w:bCs/>
                <w:color w:val="000000"/>
                <w:sz w:val="20"/>
                <w:lang w:val="pt-BR"/>
              </w:rPr>
            </w:pPr>
            <w:r w:rsidRPr="00D47FF9">
              <w:rPr>
                <w:b/>
                <w:bCs/>
                <w:color w:val="000000"/>
                <w:sz w:val="20"/>
                <w:lang w:val="pt-BR"/>
              </w:rPr>
              <w:t>Placebo + MTX</w:t>
            </w:r>
            <w:r w:rsidRPr="00D47FF9">
              <w:rPr>
                <w:b/>
                <w:bCs/>
                <w:color w:val="000000"/>
                <w:sz w:val="20"/>
                <w:lang w:val="pt-BR"/>
              </w:rPr>
              <w:br/>
              <w:t> </w:t>
            </w:r>
            <w:r w:rsidRPr="00D47FF9">
              <w:rPr>
                <w:b/>
                <w:bCs/>
                <w:color w:val="000000"/>
                <w:sz w:val="20"/>
                <w:lang w:val="pt-BR"/>
              </w:rPr>
              <w:br/>
              <w:t> </w:t>
            </w:r>
            <w:r w:rsidRPr="00D47FF9">
              <w:rPr>
                <w:b/>
                <w:bCs/>
                <w:color w:val="000000"/>
                <w:sz w:val="20"/>
                <w:lang w:val="pt-BR"/>
              </w:rPr>
              <w:br/>
            </w:r>
            <w:r w:rsidR="003145FF">
              <w:rPr>
                <w:b/>
                <w:bCs/>
                <w:color w:val="000000"/>
                <w:sz w:val="20"/>
                <w:lang w:val="pt-BR"/>
              </w:rPr>
              <w:t>n</w:t>
            </w:r>
            <w:r w:rsidRPr="00D47FF9">
              <w:rPr>
                <w:b/>
                <w:bCs/>
                <w:color w:val="000000"/>
                <w:sz w:val="20"/>
                <w:lang w:val="pt-BR"/>
              </w:rPr>
              <w:t xml:space="preserve">=204 </w:t>
            </w:r>
          </w:p>
        </w:tc>
        <w:tc>
          <w:tcPr>
            <w:tcW w:w="0" w:type="auto"/>
            <w:shd w:val="clear" w:color="auto" w:fill="auto"/>
          </w:tcPr>
          <w:p w:rsidR="004C67BF" w:rsidRPr="0023253B" w:rsidRDefault="00FA32FF" w:rsidP="003A797A">
            <w:pPr>
              <w:jc w:val="center"/>
              <w:rPr>
                <w:b/>
                <w:bCs/>
                <w:color w:val="000000"/>
                <w:sz w:val="20"/>
                <w:lang w:val="en-US"/>
              </w:rPr>
            </w:pPr>
            <w:r w:rsidRPr="0023253B">
              <w:rPr>
                <w:b/>
                <w:bCs/>
                <w:color w:val="000000"/>
                <w:sz w:val="20"/>
                <w:lang w:val="en-US"/>
              </w:rPr>
              <w:t>ACT</w:t>
            </w:r>
          </w:p>
          <w:p w:rsidR="004C67BF" w:rsidRPr="0023253B" w:rsidRDefault="004C67BF" w:rsidP="003A797A">
            <w:pPr>
              <w:jc w:val="center"/>
              <w:rPr>
                <w:b/>
                <w:bCs/>
                <w:color w:val="000000"/>
                <w:sz w:val="20"/>
                <w:lang w:val="en-US"/>
              </w:rPr>
            </w:pPr>
            <w:r w:rsidRPr="0023253B">
              <w:rPr>
                <w:b/>
                <w:bCs/>
                <w:color w:val="000000"/>
                <w:sz w:val="20"/>
                <w:lang w:val="en-US"/>
              </w:rPr>
              <w:t>8 mg/kg + DMARD</w:t>
            </w:r>
            <w:r w:rsidRPr="0023253B">
              <w:rPr>
                <w:b/>
                <w:bCs/>
                <w:color w:val="000000"/>
                <w:sz w:val="20"/>
                <w:lang w:val="en-US"/>
              </w:rPr>
              <w:br/>
            </w:r>
            <w:r w:rsidR="003145FF" w:rsidRPr="0023253B">
              <w:rPr>
                <w:b/>
                <w:bCs/>
                <w:color w:val="000000"/>
                <w:sz w:val="20"/>
                <w:lang w:val="en-US"/>
              </w:rPr>
              <w:t>n</w:t>
            </w:r>
            <w:r w:rsidRPr="0023253B">
              <w:rPr>
                <w:b/>
                <w:bCs/>
                <w:color w:val="000000"/>
                <w:sz w:val="20"/>
                <w:lang w:val="en-US"/>
              </w:rPr>
              <w:t xml:space="preserve">=803 </w:t>
            </w:r>
          </w:p>
        </w:tc>
        <w:tc>
          <w:tcPr>
            <w:tcW w:w="0" w:type="auto"/>
            <w:shd w:val="clear" w:color="auto" w:fill="auto"/>
          </w:tcPr>
          <w:p w:rsidR="004C67BF" w:rsidRPr="00D47FF9" w:rsidRDefault="004C67BF" w:rsidP="003A797A">
            <w:pPr>
              <w:jc w:val="center"/>
              <w:rPr>
                <w:b/>
                <w:bCs/>
                <w:color w:val="000000"/>
                <w:sz w:val="20"/>
                <w:lang w:val="pt-BR"/>
              </w:rPr>
            </w:pPr>
            <w:r w:rsidRPr="00D47FF9">
              <w:rPr>
                <w:b/>
                <w:bCs/>
                <w:color w:val="000000"/>
                <w:sz w:val="20"/>
                <w:lang w:val="pt-BR"/>
              </w:rPr>
              <w:t xml:space="preserve">Placebo + DMARD </w:t>
            </w:r>
            <w:r w:rsidRPr="00D47FF9">
              <w:rPr>
                <w:b/>
                <w:bCs/>
                <w:color w:val="000000"/>
                <w:sz w:val="20"/>
                <w:lang w:val="pt-BR"/>
              </w:rPr>
              <w:br/>
            </w:r>
          </w:p>
          <w:p w:rsidR="004C67BF" w:rsidRPr="00D47FF9" w:rsidRDefault="004C67BF" w:rsidP="003A797A">
            <w:pPr>
              <w:jc w:val="center"/>
              <w:rPr>
                <w:b/>
                <w:bCs/>
                <w:color w:val="000000"/>
                <w:sz w:val="20"/>
                <w:lang w:val="pt-BR"/>
              </w:rPr>
            </w:pPr>
            <w:r w:rsidRPr="00D47FF9">
              <w:rPr>
                <w:b/>
                <w:bCs/>
                <w:color w:val="000000"/>
                <w:sz w:val="20"/>
                <w:lang w:val="pt-BR"/>
              </w:rPr>
              <w:t> </w:t>
            </w:r>
            <w:r w:rsidR="003145FF">
              <w:rPr>
                <w:b/>
                <w:bCs/>
                <w:color w:val="000000"/>
                <w:sz w:val="20"/>
                <w:lang w:val="pt-BR"/>
              </w:rPr>
              <w:t>n</w:t>
            </w:r>
            <w:r w:rsidRPr="00D47FF9">
              <w:rPr>
                <w:b/>
                <w:bCs/>
                <w:color w:val="000000"/>
                <w:sz w:val="20"/>
                <w:lang w:val="pt-BR"/>
              </w:rPr>
              <w:t>=413</w:t>
            </w:r>
          </w:p>
        </w:tc>
        <w:tc>
          <w:tcPr>
            <w:tcW w:w="0" w:type="auto"/>
            <w:shd w:val="clear" w:color="auto" w:fill="auto"/>
          </w:tcPr>
          <w:p w:rsidR="004C67BF" w:rsidRPr="0023253B" w:rsidRDefault="00FA32FF" w:rsidP="003A797A">
            <w:pPr>
              <w:jc w:val="center"/>
              <w:rPr>
                <w:b/>
                <w:bCs/>
                <w:color w:val="000000"/>
                <w:sz w:val="20"/>
                <w:lang w:val="en-US"/>
              </w:rPr>
            </w:pPr>
            <w:r w:rsidRPr="0023253B">
              <w:rPr>
                <w:b/>
                <w:bCs/>
                <w:color w:val="000000"/>
                <w:sz w:val="20"/>
                <w:lang w:val="en-US"/>
              </w:rPr>
              <w:t xml:space="preserve">ACT </w:t>
            </w:r>
            <w:r w:rsidR="004C67BF" w:rsidRPr="0023253B">
              <w:rPr>
                <w:b/>
                <w:bCs/>
                <w:color w:val="000000"/>
                <w:sz w:val="20"/>
                <w:lang w:val="en-US"/>
              </w:rPr>
              <w:t>8 mg/kg +MTX</w:t>
            </w:r>
            <w:r w:rsidR="004C67BF" w:rsidRPr="0023253B">
              <w:rPr>
                <w:b/>
                <w:bCs/>
                <w:color w:val="000000"/>
                <w:sz w:val="20"/>
                <w:lang w:val="en-US"/>
              </w:rPr>
              <w:br/>
              <w:t> </w:t>
            </w:r>
            <w:r w:rsidR="004C67BF" w:rsidRPr="0023253B">
              <w:rPr>
                <w:b/>
                <w:bCs/>
                <w:color w:val="000000"/>
                <w:sz w:val="20"/>
                <w:lang w:val="en-US"/>
              </w:rPr>
              <w:br/>
            </w:r>
            <w:r w:rsidR="003145FF" w:rsidRPr="0023253B">
              <w:rPr>
                <w:b/>
                <w:bCs/>
                <w:color w:val="000000"/>
                <w:sz w:val="20"/>
                <w:lang w:val="en-US"/>
              </w:rPr>
              <w:t>n</w:t>
            </w:r>
            <w:r w:rsidR="004C67BF" w:rsidRPr="0023253B">
              <w:rPr>
                <w:b/>
                <w:bCs/>
                <w:color w:val="000000"/>
                <w:sz w:val="20"/>
                <w:lang w:val="en-US"/>
              </w:rPr>
              <w:t xml:space="preserve">=170 </w:t>
            </w:r>
          </w:p>
        </w:tc>
        <w:tc>
          <w:tcPr>
            <w:tcW w:w="0" w:type="auto"/>
            <w:gridSpan w:val="2"/>
            <w:shd w:val="clear" w:color="auto" w:fill="auto"/>
          </w:tcPr>
          <w:p w:rsidR="004C67BF" w:rsidRPr="00D47FF9" w:rsidRDefault="004C67BF" w:rsidP="003A797A">
            <w:pPr>
              <w:jc w:val="center"/>
              <w:rPr>
                <w:b/>
                <w:bCs/>
                <w:color w:val="000000"/>
                <w:sz w:val="20"/>
                <w:lang w:val="pt-BR"/>
              </w:rPr>
            </w:pPr>
            <w:r w:rsidRPr="00D47FF9">
              <w:rPr>
                <w:b/>
                <w:bCs/>
                <w:color w:val="000000"/>
                <w:sz w:val="20"/>
                <w:lang w:val="pt-BR"/>
              </w:rPr>
              <w:t>Placebo + MTX</w:t>
            </w:r>
            <w:r w:rsidRPr="00D47FF9">
              <w:rPr>
                <w:b/>
                <w:bCs/>
                <w:color w:val="000000"/>
                <w:sz w:val="20"/>
                <w:lang w:val="pt-BR"/>
              </w:rPr>
              <w:br/>
              <w:t> </w:t>
            </w:r>
          </w:p>
          <w:p w:rsidR="004C67BF" w:rsidRPr="00D47FF9" w:rsidRDefault="004C67BF" w:rsidP="003A797A">
            <w:pPr>
              <w:jc w:val="center"/>
              <w:rPr>
                <w:b/>
                <w:bCs/>
                <w:color w:val="000000"/>
                <w:sz w:val="20"/>
                <w:lang w:val="pt-BR"/>
              </w:rPr>
            </w:pPr>
            <w:r w:rsidRPr="00D47FF9">
              <w:rPr>
                <w:b/>
                <w:bCs/>
                <w:color w:val="000000"/>
                <w:sz w:val="20"/>
                <w:lang w:val="pt-BR"/>
              </w:rPr>
              <w:br/>
            </w:r>
            <w:r w:rsidR="003145FF">
              <w:rPr>
                <w:b/>
                <w:bCs/>
                <w:color w:val="000000"/>
                <w:sz w:val="20"/>
                <w:lang w:val="pt-BR"/>
              </w:rPr>
              <w:t>n</w:t>
            </w:r>
            <w:r w:rsidRPr="00D47FF9">
              <w:rPr>
                <w:b/>
                <w:bCs/>
                <w:color w:val="000000"/>
                <w:sz w:val="20"/>
                <w:lang w:val="pt-BR"/>
              </w:rPr>
              <w:t xml:space="preserve">=158 </w:t>
            </w:r>
          </w:p>
        </w:tc>
      </w:tr>
      <w:tr w:rsidR="004C67BF" w:rsidRPr="006C4245" w:rsidTr="00DD162D">
        <w:trPr>
          <w:tblCellSpacing w:w="15" w:type="dxa"/>
        </w:trPr>
        <w:tc>
          <w:tcPr>
            <w:tcW w:w="0" w:type="auto"/>
            <w:gridSpan w:val="13"/>
            <w:shd w:val="clear" w:color="auto" w:fill="auto"/>
          </w:tcPr>
          <w:p w:rsidR="004C67BF" w:rsidRPr="003145FF" w:rsidRDefault="004C67BF" w:rsidP="003A797A">
            <w:pPr>
              <w:rPr>
                <w:b/>
                <w:color w:val="000000"/>
                <w:lang w:val="pt-BR"/>
              </w:rPr>
            </w:pPr>
            <w:r w:rsidRPr="003145FF">
              <w:rPr>
                <w:b/>
                <w:color w:val="000000"/>
                <w:lang w:val="pt-BR"/>
              </w:rPr>
              <w:t>ACR</w:t>
            </w:r>
            <w:r w:rsidR="007B58C0">
              <w:rPr>
                <w:b/>
                <w:color w:val="000000"/>
                <w:lang w:val="pt-BR"/>
              </w:rPr>
              <w:t xml:space="preserve"> </w:t>
            </w:r>
            <w:r w:rsidRPr="003145FF">
              <w:rPr>
                <w:b/>
                <w:color w:val="000000"/>
                <w:lang w:val="pt-BR"/>
              </w:rPr>
              <w:t>20</w:t>
            </w:r>
          </w:p>
        </w:tc>
      </w:tr>
      <w:tr w:rsidR="007B58C0" w:rsidRPr="006C4245" w:rsidTr="00DD162D">
        <w:trPr>
          <w:tblCellSpacing w:w="15" w:type="dxa"/>
        </w:trPr>
        <w:tc>
          <w:tcPr>
            <w:tcW w:w="1030" w:type="dxa"/>
            <w:shd w:val="clear" w:color="auto" w:fill="auto"/>
          </w:tcPr>
          <w:p w:rsidR="004C67BF" w:rsidRPr="00C35243" w:rsidRDefault="004C67BF" w:rsidP="003A797A">
            <w:pPr>
              <w:rPr>
                <w:rFonts w:eastAsia="MS Mincho"/>
                <w:color w:val="000000"/>
                <w:sz w:val="22"/>
                <w:szCs w:val="22"/>
                <w:lang w:val="pt-BR"/>
              </w:rPr>
            </w:pPr>
            <w:r>
              <w:rPr>
                <w:rFonts w:eastAsia="MS Mincho" w:hint="eastAsia"/>
                <w:color w:val="000000"/>
                <w:sz w:val="22"/>
                <w:szCs w:val="22"/>
                <w:lang w:val="pt-BR"/>
              </w:rPr>
              <w:t>Week 24</w:t>
            </w:r>
          </w:p>
        </w:tc>
        <w:tc>
          <w:tcPr>
            <w:tcW w:w="632" w:type="dxa"/>
          </w:tcPr>
          <w:p w:rsidR="004C67BF" w:rsidRPr="00637222" w:rsidDel="00910E53" w:rsidRDefault="004C67BF" w:rsidP="003A797A">
            <w:pPr>
              <w:jc w:val="center"/>
              <w:rPr>
                <w:color w:val="000000"/>
                <w:sz w:val="22"/>
                <w:szCs w:val="22"/>
                <w:lang w:val="pt-BR"/>
              </w:rPr>
            </w:pPr>
            <w:r w:rsidRPr="00637222">
              <w:rPr>
                <w:color w:val="000000"/>
                <w:sz w:val="22"/>
                <w:szCs w:val="22"/>
                <w:lang w:val="pt-BR"/>
              </w:rPr>
              <w:t>70</w:t>
            </w:r>
            <w:r w:rsidRPr="00A91542">
              <w:rPr>
                <w:color w:val="000000"/>
                <w:sz w:val="20"/>
                <w:lang w:val="pt-BR"/>
              </w:rPr>
              <w:t>%</w:t>
            </w:r>
            <w:r w:rsidRPr="00A91542">
              <w:rPr>
                <w:color w:val="000000"/>
                <w:sz w:val="16"/>
                <w:szCs w:val="16"/>
                <w:lang w:val="pt-BR"/>
              </w:rPr>
              <w:t>***</w:t>
            </w:r>
          </w:p>
        </w:tc>
        <w:tc>
          <w:tcPr>
            <w:tcW w:w="0" w:type="auto"/>
            <w:shd w:val="clear" w:color="auto" w:fill="auto"/>
          </w:tcPr>
          <w:p w:rsidR="004C67BF" w:rsidRPr="00637222" w:rsidRDefault="004C67BF" w:rsidP="003A797A">
            <w:pPr>
              <w:jc w:val="center"/>
              <w:rPr>
                <w:color w:val="000000"/>
                <w:sz w:val="22"/>
                <w:szCs w:val="22"/>
                <w:lang w:val="pt-BR"/>
              </w:rPr>
            </w:pPr>
            <w:r w:rsidRPr="00637222">
              <w:rPr>
                <w:color w:val="000000"/>
                <w:sz w:val="22"/>
                <w:szCs w:val="22"/>
                <w:lang w:val="pt-BR"/>
              </w:rPr>
              <w:t>5</w:t>
            </w:r>
            <w:r>
              <w:rPr>
                <w:color w:val="000000"/>
                <w:sz w:val="22"/>
                <w:szCs w:val="22"/>
                <w:lang w:val="pt-BR"/>
              </w:rPr>
              <w:t>2</w:t>
            </w:r>
            <w:r w:rsidRPr="00637222">
              <w:rPr>
                <w:color w:val="000000"/>
                <w:sz w:val="22"/>
                <w:szCs w:val="22"/>
                <w:lang w:val="pt-BR"/>
              </w:rPr>
              <w:t>%</w:t>
            </w:r>
          </w:p>
        </w:tc>
        <w:tc>
          <w:tcPr>
            <w:tcW w:w="0" w:type="auto"/>
            <w:shd w:val="clear" w:color="auto" w:fill="auto"/>
          </w:tcPr>
          <w:p w:rsidR="004C67BF" w:rsidRPr="00637222" w:rsidRDefault="004C67BF" w:rsidP="003A797A">
            <w:pPr>
              <w:jc w:val="center"/>
              <w:rPr>
                <w:color w:val="000000"/>
                <w:sz w:val="22"/>
                <w:szCs w:val="22"/>
                <w:lang w:val="pt-BR"/>
              </w:rPr>
            </w:pPr>
            <w:r w:rsidRPr="00637222">
              <w:rPr>
                <w:color w:val="000000"/>
                <w:sz w:val="22"/>
                <w:szCs w:val="22"/>
                <w:lang w:val="pt-BR"/>
              </w:rPr>
              <w:t>56%</w:t>
            </w:r>
            <w:r w:rsidRPr="000305D9">
              <w:rPr>
                <w:color w:val="000000"/>
                <w:sz w:val="20"/>
                <w:lang w:val="pt-BR"/>
              </w:rPr>
              <w:t>***</w:t>
            </w:r>
          </w:p>
        </w:tc>
        <w:tc>
          <w:tcPr>
            <w:tcW w:w="0" w:type="auto"/>
            <w:shd w:val="clear" w:color="auto" w:fill="auto"/>
          </w:tcPr>
          <w:p w:rsidR="004C67BF" w:rsidRPr="00637222" w:rsidRDefault="004C67BF" w:rsidP="003A797A">
            <w:pPr>
              <w:jc w:val="center"/>
              <w:rPr>
                <w:color w:val="000000"/>
                <w:sz w:val="22"/>
                <w:szCs w:val="22"/>
                <w:lang w:val="pt-BR"/>
              </w:rPr>
            </w:pPr>
            <w:r w:rsidRPr="00637222">
              <w:rPr>
                <w:color w:val="000000"/>
                <w:sz w:val="22"/>
                <w:szCs w:val="22"/>
                <w:lang w:val="pt-BR"/>
              </w:rPr>
              <w:t>27%</w:t>
            </w:r>
          </w:p>
        </w:tc>
        <w:tc>
          <w:tcPr>
            <w:tcW w:w="0" w:type="auto"/>
          </w:tcPr>
          <w:p w:rsidR="004C67BF" w:rsidRPr="00637222" w:rsidRDefault="004C67BF" w:rsidP="003A797A">
            <w:pPr>
              <w:jc w:val="center"/>
              <w:rPr>
                <w:color w:val="000000"/>
                <w:sz w:val="22"/>
                <w:szCs w:val="22"/>
                <w:lang w:val="pt-BR"/>
              </w:rPr>
            </w:pPr>
            <w:r w:rsidRPr="00637222">
              <w:rPr>
                <w:color w:val="000000"/>
                <w:sz w:val="22"/>
                <w:szCs w:val="22"/>
                <w:lang w:val="pt-BR"/>
              </w:rPr>
              <w:t>59%</w:t>
            </w:r>
            <w:r w:rsidRPr="000305D9">
              <w:rPr>
                <w:color w:val="000000"/>
                <w:sz w:val="20"/>
                <w:lang w:val="pt-BR"/>
              </w:rPr>
              <w:t>***</w:t>
            </w:r>
          </w:p>
        </w:tc>
        <w:tc>
          <w:tcPr>
            <w:tcW w:w="0" w:type="auto"/>
            <w:gridSpan w:val="2"/>
          </w:tcPr>
          <w:p w:rsidR="004C67BF" w:rsidRPr="00637222" w:rsidRDefault="004C67BF" w:rsidP="003A797A">
            <w:pPr>
              <w:jc w:val="center"/>
              <w:rPr>
                <w:color w:val="000000"/>
                <w:sz w:val="22"/>
                <w:szCs w:val="22"/>
                <w:lang w:val="pt-BR"/>
              </w:rPr>
            </w:pPr>
            <w:r w:rsidRPr="00637222">
              <w:rPr>
                <w:color w:val="000000"/>
                <w:sz w:val="22"/>
                <w:szCs w:val="22"/>
                <w:lang w:val="pt-BR"/>
              </w:rPr>
              <w:t>2</w:t>
            </w:r>
            <w:r>
              <w:rPr>
                <w:color w:val="000000"/>
                <w:sz w:val="22"/>
                <w:szCs w:val="22"/>
                <w:lang w:val="pt-BR"/>
              </w:rPr>
              <w:t>6</w:t>
            </w:r>
            <w:r w:rsidRPr="00637222">
              <w:rPr>
                <w:color w:val="000000"/>
                <w:sz w:val="22"/>
                <w:szCs w:val="22"/>
                <w:lang w:val="pt-BR"/>
              </w:rPr>
              <w:t>%</w:t>
            </w:r>
          </w:p>
        </w:tc>
        <w:tc>
          <w:tcPr>
            <w:tcW w:w="0" w:type="auto"/>
            <w:shd w:val="clear" w:color="auto" w:fill="auto"/>
          </w:tcPr>
          <w:p w:rsidR="004C67BF" w:rsidRPr="00637222" w:rsidRDefault="004C67BF" w:rsidP="003A797A">
            <w:pPr>
              <w:jc w:val="center"/>
              <w:rPr>
                <w:color w:val="000000"/>
                <w:sz w:val="22"/>
                <w:szCs w:val="22"/>
                <w:lang w:val="pt-BR"/>
              </w:rPr>
            </w:pPr>
            <w:r w:rsidRPr="00637222">
              <w:rPr>
                <w:color w:val="000000"/>
                <w:sz w:val="22"/>
                <w:szCs w:val="22"/>
                <w:lang w:val="pt-BR"/>
              </w:rPr>
              <w:t>61%</w:t>
            </w:r>
            <w:r w:rsidRPr="000305D9">
              <w:rPr>
                <w:color w:val="000000"/>
                <w:sz w:val="20"/>
                <w:lang w:val="pt-BR"/>
              </w:rPr>
              <w:t>***</w:t>
            </w:r>
          </w:p>
        </w:tc>
        <w:tc>
          <w:tcPr>
            <w:tcW w:w="0" w:type="auto"/>
            <w:shd w:val="clear" w:color="auto" w:fill="auto"/>
          </w:tcPr>
          <w:p w:rsidR="004C67BF" w:rsidRPr="00637222" w:rsidRDefault="004C67BF" w:rsidP="003A797A">
            <w:pPr>
              <w:jc w:val="center"/>
              <w:rPr>
                <w:color w:val="000000"/>
                <w:sz w:val="22"/>
                <w:szCs w:val="22"/>
                <w:lang w:val="pt-BR"/>
              </w:rPr>
            </w:pPr>
            <w:r w:rsidRPr="00637222">
              <w:rPr>
                <w:color w:val="000000"/>
                <w:sz w:val="22"/>
                <w:szCs w:val="22"/>
                <w:lang w:val="pt-BR"/>
              </w:rPr>
              <w:t>2</w:t>
            </w:r>
            <w:r>
              <w:rPr>
                <w:color w:val="000000"/>
                <w:sz w:val="22"/>
                <w:szCs w:val="22"/>
                <w:lang w:val="pt-BR"/>
              </w:rPr>
              <w:t>4</w:t>
            </w:r>
            <w:r w:rsidRPr="00637222">
              <w:rPr>
                <w:color w:val="000000"/>
                <w:sz w:val="22"/>
                <w:szCs w:val="22"/>
                <w:lang w:val="pt-BR"/>
              </w:rPr>
              <w:t>%</w:t>
            </w:r>
          </w:p>
        </w:tc>
        <w:tc>
          <w:tcPr>
            <w:tcW w:w="0" w:type="auto"/>
            <w:gridSpan w:val="2"/>
          </w:tcPr>
          <w:p w:rsidR="004C67BF" w:rsidRPr="00637222" w:rsidDel="0062467A" w:rsidRDefault="004C67BF" w:rsidP="003A797A">
            <w:pPr>
              <w:jc w:val="center"/>
              <w:rPr>
                <w:color w:val="000000"/>
                <w:sz w:val="22"/>
                <w:szCs w:val="22"/>
                <w:lang w:val="pt-BR"/>
              </w:rPr>
            </w:pPr>
            <w:r w:rsidRPr="00637222">
              <w:rPr>
                <w:color w:val="000000"/>
                <w:sz w:val="22"/>
                <w:szCs w:val="22"/>
                <w:lang w:val="pt-BR"/>
              </w:rPr>
              <w:t>50%</w:t>
            </w:r>
            <w:r w:rsidRPr="000305D9">
              <w:rPr>
                <w:color w:val="000000"/>
                <w:sz w:val="20"/>
                <w:lang w:val="pt-BR"/>
              </w:rPr>
              <w:t>***</w:t>
            </w:r>
          </w:p>
        </w:tc>
        <w:tc>
          <w:tcPr>
            <w:tcW w:w="0" w:type="auto"/>
          </w:tcPr>
          <w:p w:rsidR="004C67BF" w:rsidRPr="00637222" w:rsidDel="0062467A" w:rsidRDefault="004C67BF" w:rsidP="003A797A">
            <w:pPr>
              <w:jc w:val="center"/>
              <w:rPr>
                <w:color w:val="000000"/>
                <w:sz w:val="22"/>
                <w:szCs w:val="22"/>
                <w:lang w:val="pt-BR"/>
              </w:rPr>
            </w:pPr>
            <w:r w:rsidRPr="00637222">
              <w:rPr>
                <w:color w:val="000000"/>
                <w:sz w:val="22"/>
                <w:szCs w:val="22"/>
                <w:lang w:val="pt-BR"/>
              </w:rPr>
              <w:t>10%</w:t>
            </w:r>
          </w:p>
        </w:tc>
      </w:tr>
      <w:tr w:rsidR="004C67BF" w:rsidRPr="00A44BA0" w:rsidTr="00DD162D">
        <w:trPr>
          <w:tblCellSpacing w:w="15" w:type="dxa"/>
        </w:trPr>
        <w:tc>
          <w:tcPr>
            <w:tcW w:w="1030" w:type="dxa"/>
            <w:shd w:val="clear" w:color="auto" w:fill="auto"/>
          </w:tcPr>
          <w:p w:rsidR="004C67BF" w:rsidRPr="00270074" w:rsidRDefault="000B3756" w:rsidP="003A797A">
            <w:pPr>
              <w:jc w:val="center"/>
              <w:rPr>
                <w:color w:val="000000"/>
                <w:sz w:val="22"/>
                <w:szCs w:val="22"/>
                <w:lang w:val="pt-BR"/>
              </w:rPr>
            </w:pPr>
            <w:r>
              <w:rPr>
                <w:rFonts w:eastAsia="MS Mincho"/>
                <w:color w:val="000000"/>
                <w:sz w:val="22"/>
                <w:szCs w:val="22"/>
                <w:lang w:val="pt-BR"/>
              </w:rPr>
              <w:t>Week 52</w:t>
            </w:r>
            <w:r w:rsidR="00FD193A" w:rsidRPr="00736B32">
              <w:rPr>
                <w:rFonts w:eastAsia="MS Mincho"/>
                <w:color w:val="000000"/>
                <w:sz w:val="22"/>
                <w:szCs w:val="22"/>
                <w:lang w:val="pt-BR"/>
              </w:rPr>
              <w:t>^</w:t>
            </w:r>
          </w:p>
        </w:tc>
        <w:tc>
          <w:tcPr>
            <w:tcW w:w="632" w:type="dxa"/>
          </w:tcPr>
          <w:p w:rsidR="004C67BF" w:rsidRPr="00637222" w:rsidDel="00910E53" w:rsidRDefault="004C67BF" w:rsidP="003A797A">
            <w:pPr>
              <w:jc w:val="center"/>
              <w:rPr>
                <w:color w:val="000000"/>
                <w:sz w:val="22"/>
                <w:szCs w:val="22"/>
                <w:lang w:val="pt-BR"/>
              </w:rPr>
            </w:pPr>
          </w:p>
        </w:tc>
        <w:tc>
          <w:tcPr>
            <w:tcW w:w="0" w:type="auto"/>
            <w:shd w:val="clear" w:color="auto" w:fill="auto"/>
          </w:tcPr>
          <w:p w:rsidR="004C67BF" w:rsidRPr="00637222" w:rsidRDefault="004C67BF" w:rsidP="003A797A">
            <w:pPr>
              <w:jc w:val="center"/>
              <w:rPr>
                <w:color w:val="000000"/>
                <w:sz w:val="22"/>
                <w:szCs w:val="22"/>
                <w:lang w:val="pt-BR"/>
              </w:rPr>
            </w:pPr>
          </w:p>
        </w:tc>
        <w:tc>
          <w:tcPr>
            <w:tcW w:w="0" w:type="auto"/>
            <w:shd w:val="clear" w:color="auto" w:fill="auto"/>
          </w:tcPr>
          <w:p w:rsidR="004C67BF" w:rsidRPr="00637222" w:rsidRDefault="000B3756" w:rsidP="003A797A">
            <w:pPr>
              <w:jc w:val="center"/>
              <w:rPr>
                <w:color w:val="000000"/>
                <w:sz w:val="22"/>
                <w:szCs w:val="22"/>
                <w:lang w:val="en-GB"/>
              </w:rPr>
            </w:pPr>
            <w:r>
              <w:rPr>
                <w:color w:val="000000"/>
                <w:sz w:val="22"/>
                <w:szCs w:val="22"/>
                <w:lang w:val="en-GB"/>
              </w:rPr>
              <w:t>56%***</w:t>
            </w:r>
          </w:p>
        </w:tc>
        <w:tc>
          <w:tcPr>
            <w:tcW w:w="0" w:type="auto"/>
            <w:shd w:val="clear" w:color="auto" w:fill="auto"/>
          </w:tcPr>
          <w:p w:rsidR="004C67BF" w:rsidRPr="00637222" w:rsidRDefault="000B3756" w:rsidP="003A797A">
            <w:pPr>
              <w:jc w:val="center"/>
              <w:rPr>
                <w:color w:val="000000"/>
                <w:sz w:val="22"/>
                <w:szCs w:val="22"/>
                <w:lang w:val="en-GB"/>
              </w:rPr>
            </w:pPr>
            <w:r>
              <w:rPr>
                <w:color w:val="000000"/>
                <w:sz w:val="22"/>
                <w:szCs w:val="22"/>
                <w:lang w:val="en-GB"/>
              </w:rPr>
              <w:t>25%</w:t>
            </w:r>
          </w:p>
        </w:tc>
        <w:tc>
          <w:tcPr>
            <w:tcW w:w="0" w:type="auto"/>
            <w:gridSpan w:val="2"/>
          </w:tcPr>
          <w:p w:rsidR="004C67BF" w:rsidRPr="00637222" w:rsidRDefault="004C67BF" w:rsidP="003A797A">
            <w:pPr>
              <w:jc w:val="center"/>
              <w:rPr>
                <w:color w:val="000000"/>
                <w:sz w:val="22"/>
                <w:szCs w:val="22"/>
                <w:lang w:val="en-GB"/>
              </w:rPr>
            </w:pPr>
          </w:p>
        </w:tc>
        <w:tc>
          <w:tcPr>
            <w:tcW w:w="0" w:type="auto"/>
          </w:tcPr>
          <w:p w:rsidR="004C67BF" w:rsidRPr="00637222" w:rsidRDefault="004C67BF" w:rsidP="003A797A">
            <w:pPr>
              <w:jc w:val="center"/>
              <w:rPr>
                <w:color w:val="000000"/>
                <w:sz w:val="22"/>
                <w:szCs w:val="22"/>
                <w:lang w:val="en-GB"/>
              </w:rPr>
            </w:pPr>
          </w:p>
        </w:tc>
        <w:tc>
          <w:tcPr>
            <w:tcW w:w="0" w:type="auto"/>
            <w:shd w:val="clear" w:color="auto" w:fill="auto"/>
          </w:tcPr>
          <w:p w:rsidR="004C67BF" w:rsidRPr="00637222" w:rsidRDefault="004C67BF" w:rsidP="003A797A">
            <w:pPr>
              <w:jc w:val="center"/>
              <w:rPr>
                <w:color w:val="000000"/>
                <w:sz w:val="22"/>
                <w:szCs w:val="22"/>
                <w:lang w:val="en-GB"/>
              </w:rPr>
            </w:pPr>
          </w:p>
        </w:tc>
        <w:tc>
          <w:tcPr>
            <w:tcW w:w="0" w:type="auto"/>
            <w:shd w:val="clear" w:color="auto" w:fill="auto"/>
          </w:tcPr>
          <w:p w:rsidR="004C67BF" w:rsidRPr="00637222" w:rsidRDefault="004C67BF" w:rsidP="003A797A">
            <w:pPr>
              <w:jc w:val="center"/>
              <w:rPr>
                <w:color w:val="000000"/>
                <w:sz w:val="22"/>
                <w:szCs w:val="22"/>
                <w:lang w:val="en-GB"/>
              </w:rPr>
            </w:pPr>
          </w:p>
        </w:tc>
        <w:tc>
          <w:tcPr>
            <w:tcW w:w="0" w:type="auto"/>
            <w:gridSpan w:val="2"/>
          </w:tcPr>
          <w:p w:rsidR="004C67BF" w:rsidRPr="00637222" w:rsidDel="0062467A" w:rsidRDefault="004C67BF" w:rsidP="003A797A">
            <w:pPr>
              <w:jc w:val="center"/>
              <w:rPr>
                <w:color w:val="000000"/>
                <w:sz w:val="22"/>
                <w:szCs w:val="22"/>
                <w:lang w:val="en-GB"/>
              </w:rPr>
            </w:pPr>
          </w:p>
        </w:tc>
        <w:tc>
          <w:tcPr>
            <w:tcW w:w="0" w:type="auto"/>
          </w:tcPr>
          <w:p w:rsidR="004C67BF" w:rsidRPr="00637222" w:rsidDel="0062467A" w:rsidRDefault="004C67BF" w:rsidP="003A797A">
            <w:pPr>
              <w:jc w:val="center"/>
              <w:rPr>
                <w:color w:val="000000"/>
                <w:sz w:val="22"/>
                <w:szCs w:val="22"/>
                <w:lang w:val="en-GB"/>
              </w:rPr>
            </w:pPr>
          </w:p>
        </w:tc>
      </w:tr>
      <w:tr w:rsidR="000B3756" w:rsidRPr="003145FF" w:rsidTr="00DD162D">
        <w:trPr>
          <w:tblCellSpacing w:w="15" w:type="dxa"/>
        </w:trPr>
        <w:tc>
          <w:tcPr>
            <w:tcW w:w="0" w:type="auto"/>
            <w:gridSpan w:val="13"/>
            <w:shd w:val="clear" w:color="auto" w:fill="auto"/>
          </w:tcPr>
          <w:p w:rsidR="000B3756" w:rsidRPr="003145FF" w:rsidRDefault="000B3756" w:rsidP="000B3756">
            <w:pPr>
              <w:rPr>
                <w:b/>
                <w:color w:val="000000"/>
                <w:sz w:val="22"/>
                <w:szCs w:val="22"/>
                <w:lang w:val="pt-BR"/>
              </w:rPr>
            </w:pPr>
            <w:r w:rsidRPr="003145FF">
              <w:rPr>
                <w:b/>
                <w:color w:val="000000"/>
                <w:sz w:val="22"/>
                <w:szCs w:val="22"/>
                <w:lang w:val="pt-BR"/>
              </w:rPr>
              <w:t>ACR</w:t>
            </w:r>
            <w:r>
              <w:rPr>
                <w:b/>
                <w:color w:val="000000"/>
                <w:sz w:val="22"/>
                <w:szCs w:val="22"/>
                <w:lang w:val="pt-BR"/>
              </w:rPr>
              <w:t xml:space="preserve"> </w:t>
            </w:r>
            <w:r w:rsidRPr="003145FF">
              <w:rPr>
                <w:b/>
                <w:color w:val="000000"/>
                <w:sz w:val="22"/>
                <w:szCs w:val="22"/>
                <w:lang w:val="pt-BR"/>
              </w:rPr>
              <w:t>50</w:t>
            </w:r>
          </w:p>
        </w:tc>
      </w:tr>
      <w:tr w:rsidR="000B3756" w:rsidRPr="00637222" w:rsidDel="0062467A" w:rsidTr="00DD162D">
        <w:trPr>
          <w:tblCellSpacing w:w="15" w:type="dxa"/>
        </w:trPr>
        <w:tc>
          <w:tcPr>
            <w:tcW w:w="1030" w:type="dxa"/>
            <w:shd w:val="clear" w:color="auto" w:fill="auto"/>
          </w:tcPr>
          <w:p w:rsidR="000B3756" w:rsidRPr="00270074" w:rsidRDefault="000B3756" w:rsidP="000B3756">
            <w:pPr>
              <w:jc w:val="center"/>
              <w:rPr>
                <w:color w:val="000000"/>
                <w:sz w:val="22"/>
                <w:szCs w:val="22"/>
                <w:lang w:val="pt-BR"/>
              </w:rPr>
            </w:pPr>
            <w:r>
              <w:rPr>
                <w:rFonts w:eastAsia="MS Mincho" w:hint="eastAsia"/>
                <w:color w:val="000000"/>
                <w:sz w:val="22"/>
                <w:szCs w:val="22"/>
                <w:lang w:val="pt-BR"/>
              </w:rPr>
              <w:t>Week 24</w:t>
            </w:r>
          </w:p>
        </w:tc>
        <w:tc>
          <w:tcPr>
            <w:tcW w:w="632" w:type="dxa"/>
          </w:tcPr>
          <w:p w:rsidR="000B3756" w:rsidRPr="00637222" w:rsidDel="00910E53" w:rsidRDefault="000B3756" w:rsidP="000B3756">
            <w:pPr>
              <w:jc w:val="center"/>
              <w:rPr>
                <w:color w:val="000000"/>
                <w:sz w:val="22"/>
                <w:szCs w:val="22"/>
                <w:lang w:val="pt-BR"/>
              </w:rPr>
            </w:pPr>
            <w:r w:rsidRPr="00637222">
              <w:rPr>
                <w:color w:val="000000"/>
                <w:sz w:val="22"/>
                <w:szCs w:val="22"/>
                <w:lang w:val="pt-BR"/>
              </w:rPr>
              <w:t>44%</w:t>
            </w:r>
            <w:r w:rsidRPr="000305D9">
              <w:rPr>
                <w:color w:val="000000"/>
                <w:sz w:val="20"/>
                <w:lang w:val="pt-BR"/>
              </w:rPr>
              <w:t>*</w:t>
            </w:r>
            <w:r>
              <w:rPr>
                <w:color w:val="000000"/>
                <w:sz w:val="20"/>
                <w:lang w:val="pt-BR"/>
              </w:rPr>
              <w:t>*</w:t>
            </w:r>
          </w:p>
        </w:tc>
        <w:tc>
          <w:tcPr>
            <w:tcW w:w="0" w:type="auto"/>
            <w:shd w:val="clear" w:color="auto" w:fill="auto"/>
          </w:tcPr>
          <w:p w:rsidR="000B3756" w:rsidRPr="00637222" w:rsidRDefault="000B3756" w:rsidP="000B3756">
            <w:pPr>
              <w:jc w:val="center"/>
              <w:rPr>
                <w:color w:val="000000"/>
                <w:sz w:val="22"/>
                <w:szCs w:val="22"/>
                <w:lang w:val="pt-BR"/>
              </w:rPr>
            </w:pPr>
            <w:r>
              <w:rPr>
                <w:color w:val="000000"/>
                <w:sz w:val="22"/>
                <w:szCs w:val="22"/>
                <w:lang w:val="pt-BR"/>
              </w:rPr>
              <w:t>33</w:t>
            </w:r>
            <w:r w:rsidRPr="00637222">
              <w:rPr>
                <w:color w:val="000000"/>
                <w:sz w:val="22"/>
                <w:szCs w:val="22"/>
                <w:lang w:val="pt-BR"/>
              </w:rPr>
              <w:t>%</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32%</w:t>
            </w:r>
            <w:r w:rsidRPr="000305D9">
              <w:rPr>
                <w:color w:val="000000"/>
                <w:sz w:val="20"/>
                <w:lang w:val="en-GB"/>
              </w:rPr>
              <w:t>***</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10%</w:t>
            </w:r>
          </w:p>
        </w:tc>
        <w:tc>
          <w:tcPr>
            <w:tcW w:w="0" w:type="auto"/>
            <w:gridSpan w:val="2"/>
          </w:tcPr>
          <w:p w:rsidR="000B3756" w:rsidRPr="00637222" w:rsidRDefault="000B3756" w:rsidP="000B3756">
            <w:pPr>
              <w:jc w:val="center"/>
              <w:rPr>
                <w:color w:val="000000"/>
                <w:sz w:val="22"/>
                <w:szCs w:val="22"/>
                <w:lang w:val="en-GB"/>
              </w:rPr>
            </w:pPr>
            <w:r w:rsidRPr="00637222">
              <w:rPr>
                <w:color w:val="000000"/>
                <w:sz w:val="22"/>
                <w:szCs w:val="22"/>
                <w:lang w:val="en-GB"/>
              </w:rPr>
              <w:t>44%</w:t>
            </w:r>
            <w:r w:rsidRPr="000305D9">
              <w:rPr>
                <w:color w:val="000000"/>
                <w:sz w:val="20"/>
                <w:lang w:val="en-GB"/>
              </w:rPr>
              <w:t>***</w:t>
            </w:r>
          </w:p>
        </w:tc>
        <w:tc>
          <w:tcPr>
            <w:tcW w:w="0" w:type="auto"/>
          </w:tcPr>
          <w:p w:rsidR="000B3756" w:rsidRPr="00637222" w:rsidRDefault="000B3756" w:rsidP="000B3756">
            <w:pPr>
              <w:jc w:val="center"/>
              <w:rPr>
                <w:color w:val="000000"/>
                <w:sz w:val="22"/>
                <w:szCs w:val="22"/>
                <w:lang w:val="en-GB"/>
              </w:rPr>
            </w:pPr>
            <w:r w:rsidRPr="00637222">
              <w:rPr>
                <w:color w:val="000000"/>
                <w:sz w:val="22"/>
                <w:szCs w:val="22"/>
                <w:lang w:val="en-GB"/>
              </w:rPr>
              <w:t>11%</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38%</w:t>
            </w:r>
            <w:r w:rsidRPr="000305D9">
              <w:rPr>
                <w:color w:val="000000"/>
                <w:sz w:val="20"/>
                <w:lang w:val="en-GB"/>
              </w:rPr>
              <w:t>***</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9%</w:t>
            </w:r>
          </w:p>
        </w:tc>
        <w:tc>
          <w:tcPr>
            <w:tcW w:w="0" w:type="auto"/>
            <w:gridSpan w:val="2"/>
          </w:tcPr>
          <w:p w:rsidR="000B3756" w:rsidRPr="00637222" w:rsidDel="0062467A" w:rsidRDefault="000B3756" w:rsidP="000B3756">
            <w:pPr>
              <w:jc w:val="center"/>
              <w:rPr>
                <w:color w:val="000000"/>
                <w:sz w:val="22"/>
                <w:szCs w:val="22"/>
                <w:lang w:val="en-GB"/>
              </w:rPr>
            </w:pPr>
            <w:r w:rsidRPr="00637222">
              <w:rPr>
                <w:color w:val="000000"/>
                <w:sz w:val="22"/>
                <w:szCs w:val="22"/>
                <w:lang w:val="en-GB"/>
              </w:rPr>
              <w:t>29%</w:t>
            </w:r>
            <w:r w:rsidRPr="000305D9">
              <w:rPr>
                <w:color w:val="000000"/>
                <w:sz w:val="20"/>
                <w:lang w:val="en-GB"/>
              </w:rPr>
              <w:t>***</w:t>
            </w:r>
          </w:p>
        </w:tc>
        <w:tc>
          <w:tcPr>
            <w:tcW w:w="0" w:type="auto"/>
          </w:tcPr>
          <w:p w:rsidR="000B3756" w:rsidRPr="00637222" w:rsidDel="0062467A" w:rsidRDefault="000B3756" w:rsidP="000B3756">
            <w:pPr>
              <w:jc w:val="center"/>
              <w:rPr>
                <w:color w:val="000000"/>
                <w:sz w:val="22"/>
                <w:szCs w:val="22"/>
                <w:lang w:val="en-GB"/>
              </w:rPr>
            </w:pPr>
            <w:r w:rsidRPr="00637222">
              <w:rPr>
                <w:color w:val="000000"/>
                <w:sz w:val="22"/>
                <w:szCs w:val="22"/>
                <w:lang w:val="en-GB"/>
              </w:rPr>
              <w:t>4%</w:t>
            </w:r>
          </w:p>
        </w:tc>
      </w:tr>
      <w:tr w:rsidR="000B3756" w:rsidRPr="00637222" w:rsidDel="0062467A" w:rsidTr="00DD162D">
        <w:trPr>
          <w:trHeight w:val="52"/>
          <w:tblCellSpacing w:w="15" w:type="dxa"/>
        </w:trPr>
        <w:tc>
          <w:tcPr>
            <w:tcW w:w="1030" w:type="dxa"/>
            <w:shd w:val="clear" w:color="auto" w:fill="auto"/>
          </w:tcPr>
          <w:p w:rsidR="000B3756" w:rsidRPr="00270074" w:rsidRDefault="000B3756" w:rsidP="000B3756">
            <w:pPr>
              <w:jc w:val="center"/>
              <w:rPr>
                <w:color w:val="000000"/>
                <w:sz w:val="22"/>
                <w:szCs w:val="22"/>
                <w:lang w:val="en-GB"/>
              </w:rPr>
            </w:pPr>
            <w:r>
              <w:rPr>
                <w:rFonts w:eastAsia="MS Mincho"/>
                <w:color w:val="000000"/>
                <w:sz w:val="22"/>
                <w:szCs w:val="22"/>
                <w:lang w:val="pt-BR"/>
              </w:rPr>
              <w:t>Week 52</w:t>
            </w:r>
            <w:r w:rsidR="00FD193A" w:rsidRPr="00736B32">
              <w:rPr>
                <w:rFonts w:eastAsia="MS Mincho"/>
                <w:color w:val="000000"/>
                <w:sz w:val="22"/>
                <w:szCs w:val="22"/>
                <w:lang w:val="pt-BR"/>
              </w:rPr>
              <w:t>^</w:t>
            </w:r>
          </w:p>
        </w:tc>
        <w:tc>
          <w:tcPr>
            <w:tcW w:w="632" w:type="dxa"/>
          </w:tcPr>
          <w:p w:rsidR="000B3756" w:rsidRPr="00637222" w:rsidDel="00910E53" w:rsidRDefault="000B3756" w:rsidP="000B3756">
            <w:pPr>
              <w:jc w:val="center"/>
              <w:rPr>
                <w:color w:val="000000"/>
                <w:sz w:val="22"/>
                <w:szCs w:val="22"/>
                <w:lang w:val="en-GB"/>
              </w:rPr>
            </w:pPr>
          </w:p>
        </w:tc>
        <w:tc>
          <w:tcPr>
            <w:tcW w:w="0" w:type="auto"/>
            <w:shd w:val="clear" w:color="auto" w:fill="auto"/>
          </w:tcPr>
          <w:p w:rsidR="000B3756" w:rsidRPr="00637222" w:rsidRDefault="000B3756" w:rsidP="000B3756">
            <w:pPr>
              <w:jc w:val="center"/>
              <w:rPr>
                <w:color w:val="000000"/>
                <w:sz w:val="22"/>
                <w:szCs w:val="22"/>
                <w:lang w:val="en-GB"/>
              </w:rPr>
            </w:pPr>
          </w:p>
        </w:tc>
        <w:tc>
          <w:tcPr>
            <w:tcW w:w="0" w:type="auto"/>
            <w:shd w:val="clear" w:color="auto" w:fill="auto"/>
          </w:tcPr>
          <w:p w:rsidR="000B3756" w:rsidRPr="00637222" w:rsidRDefault="000B3756" w:rsidP="000B3756">
            <w:pPr>
              <w:jc w:val="center"/>
              <w:rPr>
                <w:color w:val="000000"/>
                <w:sz w:val="22"/>
                <w:szCs w:val="22"/>
                <w:lang w:val="en-GB"/>
              </w:rPr>
            </w:pPr>
            <w:r>
              <w:rPr>
                <w:color w:val="000000"/>
                <w:sz w:val="22"/>
                <w:szCs w:val="22"/>
                <w:lang w:val="en-GB"/>
              </w:rPr>
              <w:t>36%***</w:t>
            </w:r>
          </w:p>
        </w:tc>
        <w:tc>
          <w:tcPr>
            <w:tcW w:w="0" w:type="auto"/>
            <w:shd w:val="clear" w:color="auto" w:fill="auto"/>
          </w:tcPr>
          <w:p w:rsidR="000B3756" w:rsidRPr="00637222" w:rsidRDefault="000B3756" w:rsidP="000B3756">
            <w:pPr>
              <w:jc w:val="center"/>
              <w:rPr>
                <w:color w:val="000000"/>
                <w:sz w:val="22"/>
                <w:szCs w:val="22"/>
                <w:lang w:val="en-GB"/>
              </w:rPr>
            </w:pPr>
            <w:r>
              <w:rPr>
                <w:color w:val="000000"/>
                <w:sz w:val="22"/>
                <w:szCs w:val="22"/>
                <w:lang w:val="en-GB"/>
              </w:rPr>
              <w:t>10%</w:t>
            </w:r>
          </w:p>
        </w:tc>
        <w:tc>
          <w:tcPr>
            <w:tcW w:w="0" w:type="auto"/>
            <w:gridSpan w:val="2"/>
          </w:tcPr>
          <w:p w:rsidR="000B3756" w:rsidRPr="00637222" w:rsidRDefault="000B3756" w:rsidP="000B3756">
            <w:pPr>
              <w:jc w:val="center"/>
              <w:rPr>
                <w:color w:val="000000"/>
                <w:sz w:val="22"/>
                <w:szCs w:val="22"/>
                <w:lang w:val="en-GB"/>
              </w:rPr>
            </w:pPr>
          </w:p>
        </w:tc>
        <w:tc>
          <w:tcPr>
            <w:tcW w:w="0" w:type="auto"/>
          </w:tcPr>
          <w:p w:rsidR="000B3756" w:rsidRPr="00637222" w:rsidRDefault="000B3756" w:rsidP="000B3756">
            <w:pPr>
              <w:jc w:val="center"/>
              <w:rPr>
                <w:color w:val="000000"/>
                <w:sz w:val="22"/>
                <w:szCs w:val="22"/>
                <w:lang w:val="en-GB"/>
              </w:rPr>
            </w:pPr>
          </w:p>
        </w:tc>
        <w:tc>
          <w:tcPr>
            <w:tcW w:w="0" w:type="auto"/>
            <w:shd w:val="clear" w:color="auto" w:fill="auto"/>
          </w:tcPr>
          <w:p w:rsidR="000B3756" w:rsidRPr="00637222" w:rsidRDefault="000B3756" w:rsidP="000B3756">
            <w:pPr>
              <w:jc w:val="center"/>
              <w:rPr>
                <w:color w:val="000000"/>
                <w:sz w:val="22"/>
                <w:szCs w:val="22"/>
                <w:lang w:val="en-GB"/>
              </w:rPr>
            </w:pPr>
          </w:p>
        </w:tc>
        <w:tc>
          <w:tcPr>
            <w:tcW w:w="0" w:type="auto"/>
            <w:shd w:val="clear" w:color="auto" w:fill="auto"/>
          </w:tcPr>
          <w:p w:rsidR="000B3756" w:rsidRPr="00637222" w:rsidRDefault="000B3756" w:rsidP="000B3756">
            <w:pPr>
              <w:jc w:val="center"/>
              <w:rPr>
                <w:color w:val="000000"/>
                <w:sz w:val="22"/>
                <w:szCs w:val="22"/>
                <w:lang w:val="en-GB"/>
              </w:rPr>
            </w:pPr>
          </w:p>
        </w:tc>
        <w:tc>
          <w:tcPr>
            <w:tcW w:w="0" w:type="auto"/>
            <w:gridSpan w:val="2"/>
          </w:tcPr>
          <w:p w:rsidR="000B3756" w:rsidRPr="00637222" w:rsidDel="0062467A" w:rsidRDefault="000B3756" w:rsidP="000B3756">
            <w:pPr>
              <w:jc w:val="center"/>
              <w:rPr>
                <w:color w:val="000000"/>
                <w:sz w:val="22"/>
                <w:szCs w:val="22"/>
                <w:lang w:val="en-GB"/>
              </w:rPr>
            </w:pPr>
          </w:p>
        </w:tc>
        <w:tc>
          <w:tcPr>
            <w:tcW w:w="0" w:type="auto"/>
          </w:tcPr>
          <w:p w:rsidR="000B3756" w:rsidRPr="00637222" w:rsidDel="0062467A" w:rsidRDefault="000B3756" w:rsidP="000B3756">
            <w:pPr>
              <w:jc w:val="center"/>
              <w:rPr>
                <w:color w:val="000000"/>
                <w:sz w:val="22"/>
                <w:szCs w:val="22"/>
                <w:lang w:val="en-GB"/>
              </w:rPr>
            </w:pPr>
          </w:p>
        </w:tc>
      </w:tr>
      <w:tr w:rsidR="000B3756" w:rsidRPr="003145FF" w:rsidTr="00DD162D">
        <w:trPr>
          <w:tblCellSpacing w:w="15" w:type="dxa"/>
        </w:trPr>
        <w:tc>
          <w:tcPr>
            <w:tcW w:w="0" w:type="auto"/>
            <w:gridSpan w:val="13"/>
            <w:shd w:val="clear" w:color="auto" w:fill="auto"/>
          </w:tcPr>
          <w:p w:rsidR="000B3756" w:rsidRPr="003145FF" w:rsidRDefault="000B3756" w:rsidP="000B3756">
            <w:pPr>
              <w:rPr>
                <w:b/>
                <w:color w:val="000000"/>
                <w:sz w:val="22"/>
                <w:szCs w:val="22"/>
                <w:lang w:val="en-GB"/>
              </w:rPr>
            </w:pPr>
            <w:r w:rsidRPr="003145FF">
              <w:rPr>
                <w:b/>
                <w:color w:val="000000"/>
                <w:sz w:val="22"/>
                <w:szCs w:val="22"/>
                <w:lang w:val="en-GB"/>
              </w:rPr>
              <w:t>ACR</w:t>
            </w:r>
            <w:r>
              <w:rPr>
                <w:b/>
                <w:color w:val="000000"/>
                <w:sz w:val="22"/>
                <w:szCs w:val="22"/>
                <w:lang w:val="en-GB"/>
              </w:rPr>
              <w:t xml:space="preserve"> </w:t>
            </w:r>
            <w:r w:rsidRPr="003145FF">
              <w:rPr>
                <w:b/>
                <w:color w:val="000000"/>
                <w:sz w:val="22"/>
                <w:szCs w:val="22"/>
                <w:lang w:val="en-GB"/>
              </w:rPr>
              <w:t>70</w:t>
            </w:r>
          </w:p>
        </w:tc>
      </w:tr>
      <w:tr w:rsidR="000B3756" w:rsidRPr="00637222" w:rsidDel="0062467A" w:rsidTr="00DD162D">
        <w:trPr>
          <w:trHeight w:val="52"/>
          <w:tblCellSpacing w:w="15" w:type="dxa"/>
        </w:trPr>
        <w:tc>
          <w:tcPr>
            <w:tcW w:w="1030" w:type="dxa"/>
            <w:shd w:val="clear" w:color="auto" w:fill="auto"/>
          </w:tcPr>
          <w:p w:rsidR="000B3756" w:rsidRPr="00270074" w:rsidRDefault="000B3756" w:rsidP="000B3756">
            <w:pPr>
              <w:jc w:val="center"/>
              <w:rPr>
                <w:color w:val="000000"/>
                <w:sz w:val="22"/>
                <w:szCs w:val="22"/>
                <w:lang w:val="en-GB"/>
              </w:rPr>
            </w:pPr>
            <w:r>
              <w:rPr>
                <w:rFonts w:eastAsia="MS Mincho" w:hint="eastAsia"/>
                <w:color w:val="000000"/>
                <w:sz w:val="22"/>
                <w:szCs w:val="22"/>
                <w:lang w:val="pt-BR"/>
              </w:rPr>
              <w:t>Week 24</w:t>
            </w:r>
          </w:p>
        </w:tc>
        <w:tc>
          <w:tcPr>
            <w:tcW w:w="632" w:type="dxa"/>
          </w:tcPr>
          <w:p w:rsidR="000B3756" w:rsidRPr="00637222" w:rsidDel="00910E53" w:rsidRDefault="000B3756" w:rsidP="000B3756">
            <w:pPr>
              <w:jc w:val="center"/>
              <w:rPr>
                <w:color w:val="000000"/>
                <w:sz w:val="22"/>
                <w:szCs w:val="22"/>
                <w:lang w:val="en-GB"/>
              </w:rPr>
            </w:pPr>
            <w:r w:rsidRPr="00637222">
              <w:rPr>
                <w:color w:val="000000"/>
                <w:sz w:val="22"/>
                <w:szCs w:val="22"/>
                <w:lang w:val="en-GB"/>
              </w:rPr>
              <w:t>28%</w:t>
            </w:r>
            <w:r w:rsidRPr="000305D9">
              <w:rPr>
                <w:color w:val="000000"/>
                <w:sz w:val="20"/>
                <w:lang w:val="en-GB"/>
              </w:rPr>
              <w:t>**</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15%</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13%</w:t>
            </w:r>
            <w:r w:rsidRPr="000305D9">
              <w:rPr>
                <w:color w:val="000000"/>
                <w:sz w:val="20"/>
                <w:lang w:val="en-GB"/>
              </w:rPr>
              <w:t>***</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2%</w:t>
            </w:r>
          </w:p>
        </w:tc>
        <w:tc>
          <w:tcPr>
            <w:tcW w:w="0" w:type="auto"/>
            <w:gridSpan w:val="2"/>
          </w:tcPr>
          <w:p w:rsidR="000B3756" w:rsidRPr="00637222" w:rsidRDefault="000B3756" w:rsidP="000B3756">
            <w:pPr>
              <w:jc w:val="center"/>
              <w:rPr>
                <w:color w:val="000000"/>
                <w:sz w:val="22"/>
                <w:szCs w:val="22"/>
                <w:lang w:val="en-GB"/>
              </w:rPr>
            </w:pPr>
            <w:r w:rsidRPr="00637222">
              <w:rPr>
                <w:color w:val="000000"/>
                <w:sz w:val="22"/>
                <w:szCs w:val="22"/>
                <w:lang w:val="en-GB"/>
              </w:rPr>
              <w:t>22%</w:t>
            </w:r>
            <w:r w:rsidRPr="000305D9">
              <w:rPr>
                <w:color w:val="000000"/>
                <w:sz w:val="20"/>
                <w:lang w:val="en-GB"/>
              </w:rPr>
              <w:t>***</w:t>
            </w:r>
          </w:p>
        </w:tc>
        <w:tc>
          <w:tcPr>
            <w:tcW w:w="0" w:type="auto"/>
          </w:tcPr>
          <w:p w:rsidR="000B3756" w:rsidRPr="00637222" w:rsidRDefault="000B3756" w:rsidP="000B3756">
            <w:pPr>
              <w:jc w:val="center"/>
              <w:rPr>
                <w:color w:val="000000"/>
                <w:sz w:val="22"/>
                <w:szCs w:val="22"/>
                <w:lang w:val="en-GB"/>
              </w:rPr>
            </w:pPr>
            <w:r w:rsidRPr="00637222">
              <w:rPr>
                <w:color w:val="000000"/>
                <w:sz w:val="22"/>
                <w:szCs w:val="22"/>
                <w:lang w:val="en-GB"/>
              </w:rPr>
              <w:t>2%</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21%</w:t>
            </w:r>
            <w:r w:rsidRPr="000305D9">
              <w:rPr>
                <w:color w:val="000000"/>
                <w:sz w:val="20"/>
                <w:lang w:val="en-GB"/>
              </w:rPr>
              <w:t>***</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3%</w:t>
            </w:r>
          </w:p>
        </w:tc>
        <w:tc>
          <w:tcPr>
            <w:tcW w:w="0" w:type="auto"/>
            <w:gridSpan w:val="2"/>
          </w:tcPr>
          <w:p w:rsidR="000B3756" w:rsidRPr="00637222" w:rsidDel="0062467A" w:rsidRDefault="000B3756" w:rsidP="000B3756">
            <w:pPr>
              <w:jc w:val="center"/>
              <w:rPr>
                <w:color w:val="000000"/>
                <w:sz w:val="22"/>
                <w:szCs w:val="22"/>
                <w:lang w:val="en-GB"/>
              </w:rPr>
            </w:pPr>
            <w:r w:rsidRPr="00637222">
              <w:rPr>
                <w:color w:val="000000"/>
                <w:sz w:val="22"/>
                <w:szCs w:val="22"/>
                <w:lang w:val="en-GB"/>
              </w:rPr>
              <w:t>12%</w:t>
            </w:r>
            <w:r w:rsidRPr="000305D9">
              <w:rPr>
                <w:color w:val="000000"/>
                <w:sz w:val="20"/>
                <w:lang w:val="en-GB"/>
              </w:rPr>
              <w:t>**</w:t>
            </w:r>
          </w:p>
        </w:tc>
        <w:tc>
          <w:tcPr>
            <w:tcW w:w="0" w:type="auto"/>
          </w:tcPr>
          <w:p w:rsidR="000B3756" w:rsidRPr="00637222" w:rsidDel="0062467A" w:rsidRDefault="000B3756" w:rsidP="000B3756">
            <w:pPr>
              <w:jc w:val="center"/>
              <w:rPr>
                <w:color w:val="000000"/>
                <w:sz w:val="22"/>
                <w:szCs w:val="22"/>
                <w:lang w:val="en-GB"/>
              </w:rPr>
            </w:pPr>
            <w:r w:rsidRPr="00637222">
              <w:rPr>
                <w:color w:val="000000"/>
                <w:sz w:val="22"/>
                <w:szCs w:val="22"/>
                <w:lang w:val="en-GB"/>
              </w:rPr>
              <w:t>1%</w:t>
            </w:r>
          </w:p>
        </w:tc>
      </w:tr>
      <w:tr w:rsidR="000B3756" w:rsidRPr="00637222" w:rsidDel="0062467A" w:rsidTr="00DD162D">
        <w:trPr>
          <w:trHeight w:val="52"/>
          <w:tblCellSpacing w:w="15" w:type="dxa"/>
        </w:trPr>
        <w:tc>
          <w:tcPr>
            <w:tcW w:w="1030" w:type="dxa"/>
            <w:tcBorders>
              <w:top w:val="single" w:sz="4" w:space="0" w:color="auto"/>
              <w:left w:val="single" w:sz="4" w:space="0" w:color="auto"/>
              <w:bottom w:val="single" w:sz="4" w:space="0" w:color="auto"/>
              <w:right w:val="single" w:sz="4" w:space="0" w:color="auto"/>
            </w:tcBorders>
            <w:shd w:val="clear" w:color="auto" w:fill="auto"/>
          </w:tcPr>
          <w:p w:rsidR="000B3756" w:rsidRPr="000B3756" w:rsidRDefault="000B3756" w:rsidP="000B3756">
            <w:pPr>
              <w:jc w:val="center"/>
              <w:rPr>
                <w:rFonts w:eastAsia="MS Mincho"/>
                <w:color w:val="000000"/>
                <w:sz w:val="22"/>
                <w:szCs w:val="22"/>
                <w:lang w:val="pt-BR"/>
              </w:rPr>
            </w:pPr>
            <w:r>
              <w:rPr>
                <w:rFonts w:eastAsia="MS Mincho" w:hint="eastAsia"/>
                <w:color w:val="000000"/>
                <w:sz w:val="22"/>
                <w:szCs w:val="22"/>
                <w:lang w:val="pt-BR"/>
              </w:rPr>
              <w:t xml:space="preserve">Week </w:t>
            </w:r>
            <w:r>
              <w:rPr>
                <w:rFonts w:eastAsia="MS Mincho"/>
                <w:color w:val="000000"/>
                <w:sz w:val="22"/>
                <w:szCs w:val="22"/>
                <w:lang w:val="pt-BR"/>
              </w:rPr>
              <w:t>52</w:t>
            </w:r>
            <w:r w:rsidR="00FD193A" w:rsidRPr="00736B32">
              <w:rPr>
                <w:rFonts w:eastAsia="MS Mincho"/>
                <w:color w:val="000000"/>
                <w:sz w:val="22"/>
                <w:szCs w:val="22"/>
                <w:lang w:val="pt-BR"/>
              </w:rPr>
              <w:t>^</w:t>
            </w:r>
          </w:p>
        </w:tc>
        <w:tc>
          <w:tcPr>
            <w:tcW w:w="632" w:type="dxa"/>
            <w:tcBorders>
              <w:top w:val="single" w:sz="4" w:space="0" w:color="auto"/>
              <w:left w:val="single" w:sz="4" w:space="0" w:color="auto"/>
              <w:bottom w:val="single" w:sz="4" w:space="0" w:color="auto"/>
              <w:right w:val="single" w:sz="4" w:space="0" w:color="auto"/>
            </w:tcBorders>
          </w:tcPr>
          <w:p w:rsidR="000B3756" w:rsidRPr="00637222" w:rsidDel="00910E53"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r>
              <w:rPr>
                <w:color w:val="000000"/>
                <w:sz w:val="22"/>
                <w:szCs w:val="22"/>
                <w:lang w:val="en-GB"/>
              </w:rPr>
              <w:t>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r>
              <w:rPr>
                <w:color w:val="000000"/>
                <w:sz w:val="22"/>
                <w:szCs w:val="22"/>
                <w:lang w:val="en-GB"/>
              </w:rPr>
              <w:t>4%</w:t>
            </w:r>
          </w:p>
        </w:tc>
        <w:tc>
          <w:tcPr>
            <w:tcW w:w="0" w:type="auto"/>
            <w:gridSpan w:val="2"/>
            <w:tcBorders>
              <w:top w:val="single" w:sz="4" w:space="0" w:color="auto"/>
              <w:left w:val="single" w:sz="4" w:space="0" w:color="auto"/>
              <w:bottom w:val="single" w:sz="4" w:space="0" w:color="auto"/>
              <w:right w:val="single" w:sz="4" w:space="0" w:color="auto"/>
            </w:tcBorders>
          </w:tcPr>
          <w:p w:rsidR="000B3756" w:rsidRPr="0063722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rsidR="000B3756" w:rsidRPr="0063722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p>
        </w:tc>
        <w:tc>
          <w:tcPr>
            <w:tcW w:w="0" w:type="auto"/>
            <w:gridSpan w:val="2"/>
            <w:tcBorders>
              <w:top w:val="single" w:sz="4" w:space="0" w:color="auto"/>
              <w:left w:val="single" w:sz="4" w:space="0" w:color="auto"/>
              <w:bottom w:val="single" w:sz="4" w:space="0" w:color="auto"/>
              <w:right w:val="single" w:sz="4" w:space="0" w:color="auto"/>
            </w:tcBorders>
          </w:tcPr>
          <w:p w:rsidR="000B3756" w:rsidRPr="00637222" w:rsidDel="0062467A"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rsidR="000B3756" w:rsidRPr="00637222" w:rsidDel="0062467A" w:rsidRDefault="000B3756" w:rsidP="000B3756">
            <w:pPr>
              <w:jc w:val="center"/>
              <w:rPr>
                <w:color w:val="000000"/>
                <w:sz w:val="22"/>
                <w:szCs w:val="22"/>
                <w:lang w:val="en-GB"/>
              </w:rPr>
            </w:pPr>
          </w:p>
        </w:tc>
      </w:tr>
      <w:tr w:rsidR="000B3756" w:rsidRPr="00637222" w:rsidDel="0062467A" w:rsidTr="00DD162D">
        <w:trPr>
          <w:trHeight w:val="52"/>
          <w:tblCellSpacing w:w="15" w:type="dxa"/>
        </w:trPr>
        <w:tc>
          <w:tcPr>
            <w:tcW w:w="1030" w:type="dxa"/>
            <w:tcBorders>
              <w:top w:val="single" w:sz="4" w:space="0" w:color="auto"/>
              <w:left w:val="single" w:sz="4" w:space="0" w:color="auto"/>
              <w:bottom w:val="single" w:sz="4" w:space="0" w:color="auto"/>
              <w:right w:val="single" w:sz="4" w:space="0" w:color="auto"/>
            </w:tcBorders>
            <w:shd w:val="clear" w:color="auto" w:fill="auto"/>
          </w:tcPr>
          <w:p w:rsidR="000B3756" w:rsidRPr="00736B32" w:rsidRDefault="000B3756" w:rsidP="000B3756">
            <w:pPr>
              <w:jc w:val="center"/>
              <w:rPr>
                <w:rFonts w:eastAsia="MS Mincho"/>
                <w:color w:val="000000"/>
                <w:sz w:val="22"/>
                <w:szCs w:val="22"/>
                <w:lang w:val="pt-BR"/>
              </w:rPr>
            </w:pPr>
            <w:r w:rsidRPr="00736B32">
              <w:rPr>
                <w:rFonts w:eastAsia="MS Mincho"/>
                <w:color w:val="000000"/>
                <w:sz w:val="22"/>
                <w:szCs w:val="22"/>
                <w:lang w:val="pt-BR"/>
              </w:rPr>
              <w:t>MCR</w:t>
            </w:r>
            <w:r w:rsidRPr="00736B32">
              <w:rPr>
                <w:rFonts w:eastAsia="MS Mincho" w:cs="Aharoni" w:hint="cs"/>
                <w:color w:val="000000"/>
                <w:sz w:val="22"/>
                <w:szCs w:val="22"/>
                <w:lang w:val="pt-BR"/>
              </w:rPr>
              <w:t>†</w:t>
            </w:r>
            <w:r w:rsidRPr="00736B32">
              <w:rPr>
                <w:rFonts w:eastAsia="MS Mincho"/>
                <w:color w:val="000000"/>
                <w:sz w:val="22"/>
                <w:szCs w:val="22"/>
                <w:lang w:val="pt-BR"/>
              </w:rPr>
              <w:t xml:space="preserve"> by Week 52</w:t>
            </w:r>
            <w:r w:rsidR="00FD193A" w:rsidRPr="00736B32">
              <w:rPr>
                <w:rFonts w:eastAsia="MS Mincho"/>
                <w:color w:val="000000"/>
                <w:sz w:val="22"/>
                <w:szCs w:val="22"/>
                <w:lang w:val="pt-BR"/>
              </w:rPr>
              <w:t>^</w:t>
            </w:r>
          </w:p>
        </w:tc>
        <w:tc>
          <w:tcPr>
            <w:tcW w:w="632" w:type="dxa"/>
            <w:tcBorders>
              <w:top w:val="single" w:sz="4" w:space="0" w:color="auto"/>
              <w:left w:val="single" w:sz="4" w:space="0" w:color="auto"/>
              <w:bottom w:val="single" w:sz="4" w:space="0" w:color="auto"/>
              <w:right w:val="single" w:sz="4" w:space="0" w:color="auto"/>
            </w:tcBorders>
          </w:tcPr>
          <w:p w:rsidR="000B3756" w:rsidRPr="00637222" w:rsidDel="00910E53"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736B3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r>
              <w:rPr>
                <w:color w:val="000000"/>
                <w:sz w:val="22"/>
                <w:szCs w:val="22"/>
                <w:lang w:val="en-GB"/>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r>
              <w:rPr>
                <w:color w:val="000000"/>
                <w:sz w:val="22"/>
                <w:szCs w:val="22"/>
                <w:lang w:val="en-GB"/>
              </w:rPr>
              <w:t>1%</w:t>
            </w:r>
          </w:p>
        </w:tc>
        <w:tc>
          <w:tcPr>
            <w:tcW w:w="0" w:type="auto"/>
            <w:gridSpan w:val="2"/>
            <w:tcBorders>
              <w:top w:val="single" w:sz="4" w:space="0" w:color="auto"/>
              <w:left w:val="single" w:sz="4" w:space="0" w:color="auto"/>
              <w:bottom w:val="single" w:sz="4" w:space="0" w:color="auto"/>
              <w:right w:val="single" w:sz="4" w:space="0" w:color="auto"/>
            </w:tcBorders>
          </w:tcPr>
          <w:p w:rsidR="000B3756" w:rsidRPr="0063722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rsidR="000B3756" w:rsidRPr="0063722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p>
        </w:tc>
        <w:tc>
          <w:tcPr>
            <w:tcW w:w="0" w:type="auto"/>
            <w:gridSpan w:val="2"/>
            <w:tcBorders>
              <w:top w:val="single" w:sz="4" w:space="0" w:color="auto"/>
              <w:left w:val="single" w:sz="4" w:space="0" w:color="auto"/>
              <w:bottom w:val="single" w:sz="4" w:space="0" w:color="auto"/>
              <w:right w:val="single" w:sz="4" w:space="0" w:color="auto"/>
            </w:tcBorders>
          </w:tcPr>
          <w:p w:rsidR="000B3756" w:rsidRPr="00637222" w:rsidDel="0062467A"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rsidR="000B3756" w:rsidRPr="00637222" w:rsidDel="0062467A" w:rsidRDefault="000B3756" w:rsidP="000B3756">
            <w:pPr>
              <w:jc w:val="center"/>
              <w:rPr>
                <w:color w:val="000000"/>
                <w:sz w:val="22"/>
                <w:szCs w:val="22"/>
                <w:lang w:val="en-GB"/>
              </w:rPr>
            </w:pPr>
          </w:p>
        </w:tc>
      </w:tr>
    </w:tbl>
    <w:p w:rsidR="00FA32FF" w:rsidRPr="000C6F86" w:rsidRDefault="00FA32FF" w:rsidP="004C67BF">
      <w:pPr>
        <w:rPr>
          <w:sz w:val="20"/>
        </w:rPr>
      </w:pPr>
      <w:r>
        <w:rPr>
          <w:sz w:val="20"/>
        </w:rPr>
        <w:t>ACT</w:t>
      </w:r>
      <w:r w:rsidRPr="000C6F86">
        <w:rPr>
          <w:sz w:val="20"/>
        </w:rPr>
        <w:t xml:space="preserve"> </w:t>
      </w:r>
      <w:r w:rsidR="004C67BF" w:rsidRPr="000C6F86">
        <w:rPr>
          <w:sz w:val="20"/>
        </w:rPr>
        <w:t xml:space="preserve">= </w:t>
      </w:r>
      <w:r>
        <w:rPr>
          <w:sz w:val="20"/>
        </w:rPr>
        <w:t>ACTEMRA</w:t>
      </w:r>
    </w:p>
    <w:p w:rsidR="00FA32FF" w:rsidRPr="00FA32FF" w:rsidRDefault="004C67BF" w:rsidP="00FA32FF">
      <w:pPr>
        <w:rPr>
          <w:rFonts w:eastAsia="MS Mincho"/>
          <w:color w:val="000000"/>
          <w:sz w:val="20"/>
          <w:lang w:val="en-GB"/>
        </w:rPr>
      </w:pPr>
      <w:r w:rsidRPr="00FA32FF">
        <w:rPr>
          <w:rFonts w:eastAsia="MS Mincho"/>
          <w:iCs/>
          <w:color w:val="000000"/>
          <w:sz w:val="20"/>
          <w:lang w:val="en-GB"/>
        </w:rPr>
        <w:t>* p</w:t>
      </w:r>
      <w:r w:rsidR="00F669BD">
        <w:rPr>
          <w:rFonts w:eastAsia="MS Mincho"/>
          <w:iCs/>
          <w:color w:val="000000"/>
          <w:sz w:val="20"/>
          <w:lang w:val="en-GB"/>
        </w:rPr>
        <w:t xml:space="preserve"> </w:t>
      </w:r>
      <w:r w:rsidRPr="00FA32FF">
        <w:rPr>
          <w:rFonts w:eastAsia="MS Mincho"/>
          <w:iCs/>
          <w:color w:val="000000"/>
          <w:sz w:val="20"/>
          <w:lang w:val="en-GB"/>
        </w:rPr>
        <w:t>&lt;</w:t>
      </w:r>
      <w:r w:rsidR="00F669BD">
        <w:rPr>
          <w:rFonts w:eastAsia="MS Mincho"/>
          <w:iCs/>
          <w:color w:val="000000"/>
          <w:sz w:val="20"/>
          <w:lang w:val="en-GB"/>
        </w:rPr>
        <w:t xml:space="preserve"> </w:t>
      </w:r>
      <w:r w:rsidRPr="00FA32FF">
        <w:rPr>
          <w:rFonts w:eastAsia="MS Mincho"/>
          <w:iCs/>
          <w:color w:val="000000"/>
          <w:sz w:val="20"/>
          <w:lang w:val="en-GB"/>
        </w:rPr>
        <w:t>0.05</w:t>
      </w:r>
      <w:r w:rsidRPr="00FA32FF">
        <w:rPr>
          <w:rFonts w:eastAsia="MS Mincho"/>
          <w:color w:val="000000"/>
          <w:sz w:val="20"/>
          <w:lang w:val="en-GB"/>
        </w:rPr>
        <w:t>,</w:t>
      </w:r>
      <w:r w:rsidRPr="00FA32FF">
        <w:rPr>
          <w:rFonts w:eastAsia="MS Mincho"/>
          <w:iCs/>
          <w:color w:val="000000"/>
          <w:sz w:val="20"/>
          <w:lang w:val="en-GB"/>
        </w:rPr>
        <w:t xml:space="preserve"> </w:t>
      </w:r>
      <w:r w:rsidR="00FA32FF">
        <w:rPr>
          <w:rFonts w:eastAsia="MS Mincho"/>
          <w:iCs/>
          <w:color w:val="000000"/>
          <w:sz w:val="20"/>
          <w:lang w:val="en-GB"/>
        </w:rPr>
        <w:t>ACTEMRA</w:t>
      </w:r>
      <w:r w:rsidR="00FA32FF" w:rsidRPr="00FA32FF">
        <w:rPr>
          <w:rFonts w:eastAsia="MS Mincho"/>
          <w:iCs/>
          <w:color w:val="000000"/>
          <w:sz w:val="20"/>
          <w:lang w:val="en-GB"/>
        </w:rPr>
        <w:t xml:space="preserve"> </w:t>
      </w:r>
      <w:r w:rsidRPr="00FA32FF">
        <w:rPr>
          <w:rFonts w:eastAsia="MS Mincho"/>
          <w:iCs/>
          <w:color w:val="000000"/>
          <w:sz w:val="20"/>
          <w:lang w:val="en-GB"/>
        </w:rPr>
        <w:t>vs. placebo</w:t>
      </w:r>
      <w:r w:rsidR="00FA32FF">
        <w:rPr>
          <w:rFonts w:eastAsia="MS Mincho"/>
          <w:iCs/>
          <w:color w:val="000000"/>
          <w:sz w:val="20"/>
          <w:lang w:val="en-GB"/>
        </w:rPr>
        <w:t xml:space="preserve"> </w:t>
      </w:r>
      <w:r w:rsidRPr="00FA32FF">
        <w:rPr>
          <w:rFonts w:eastAsia="MS Mincho"/>
          <w:iCs/>
          <w:color w:val="000000"/>
          <w:sz w:val="20"/>
          <w:lang w:val="en-GB"/>
        </w:rPr>
        <w:t>+</w:t>
      </w:r>
      <w:r w:rsidR="00FA32FF">
        <w:rPr>
          <w:rFonts w:eastAsia="MS Mincho"/>
          <w:iCs/>
          <w:color w:val="000000"/>
          <w:sz w:val="20"/>
          <w:lang w:val="en-GB"/>
        </w:rPr>
        <w:t xml:space="preserve"> </w:t>
      </w:r>
      <w:r w:rsidRPr="00FA32FF">
        <w:rPr>
          <w:rFonts w:eastAsia="MS Mincho"/>
          <w:iCs/>
          <w:color w:val="000000"/>
          <w:sz w:val="20"/>
          <w:lang w:val="en-GB"/>
        </w:rPr>
        <w:t>MTX/DMARD</w:t>
      </w:r>
    </w:p>
    <w:p w:rsidR="00FA32FF" w:rsidRPr="00FA32FF" w:rsidRDefault="004C67BF" w:rsidP="00FA32FF">
      <w:pPr>
        <w:rPr>
          <w:rFonts w:eastAsia="MS Mincho"/>
          <w:color w:val="000000"/>
          <w:sz w:val="20"/>
          <w:lang w:val="en-GB"/>
        </w:rPr>
      </w:pPr>
      <w:r w:rsidRPr="00FA32FF">
        <w:rPr>
          <w:rFonts w:eastAsia="MS Mincho"/>
          <w:iCs/>
          <w:color w:val="000000"/>
          <w:sz w:val="20"/>
          <w:lang w:val="en-GB"/>
        </w:rPr>
        <w:t>** p</w:t>
      </w:r>
      <w:r w:rsidR="00F669BD">
        <w:rPr>
          <w:rFonts w:eastAsia="MS Mincho"/>
          <w:iCs/>
          <w:color w:val="000000"/>
          <w:sz w:val="20"/>
          <w:lang w:val="en-GB"/>
        </w:rPr>
        <w:t xml:space="preserve"> </w:t>
      </w:r>
      <w:r w:rsidRPr="00FA32FF">
        <w:rPr>
          <w:rFonts w:eastAsia="MS Mincho"/>
          <w:iCs/>
          <w:color w:val="000000"/>
          <w:sz w:val="20"/>
          <w:lang w:val="en-GB"/>
        </w:rPr>
        <w:t>&lt;</w:t>
      </w:r>
      <w:r w:rsidR="00F669BD">
        <w:rPr>
          <w:rFonts w:eastAsia="MS Mincho"/>
          <w:iCs/>
          <w:color w:val="000000"/>
          <w:sz w:val="20"/>
          <w:lang w:val="en-GB"/>
        </w:rPr>
        <w:t xml:space="preserve"> </w:t>
      </w:r>
      <w:r w:rsidRPr="00FA32FF">
        <w:rPr>
          <w:rFonts w:eastAsia="MS Mincho"/>
          <w:iCs/>
          <w:color w:val="000000"/>
          <w:sz w:val="20"/>
          <w:lang w:val="en-GB"/>
        </w:rPr>
        <w:t>0.01</w:t>
      </w:r>
      <w:r w:rsidR="00FA32FF">
        <w:rPr>
          <w:rFonts w:eastAsia="MS Mincho"/>
          <w:iCs/>
          <w:color w:val="000000"/>
          <w:sz w:val="20"/>
          <w:lang w:val="en-GB"/>
        </w:rPr>
        <w:t xml:space="preserve">, </w:t>
      </w:r>
      <w:r w:rsidR="00FA32FF">
        <w:rPr>
          <w:rFonts w:eastAsia="MS Mincho"/>
          <w:color w:val="000000"/>
          <w:sz w:val="20"/>
          <w:lang w:val="en-GB"/>
        </w:rPr>
        <w:t>ACTEMRA</w:t>
      </w:r>
      <w:r w:rsidR="00FA32FF" w:rsidRPr="00FA32FF">
        <w:rPr>
          <w:rFonts w:eastAsia="MS Mincho"/>
          <w:iCs/>
          <w:color w:val="000000"/>
          <w:sz w:val="20"/>
          <w:lang w:val="en-GB"/>
        </w:rPr>
        <w:t xml:space="preserve"> </w:t>
      </w:r>
      <w:r w:rsidRPr="00FA32FF">
        <w:rPr>
          <w:rFonts w:eastAsia="MS Mincho"/>
          <w:iCs/>
          <w:color w:val="000000"/>
          <w:sz w:val="20"/>
          <w:lang w:val="en-GB"/>
        </w:rPr>
        <w:t>vs. placebo</w:t>
      </w:r>
      <w:r w:rsidR="00FA32FF">
        <w:rPr>
          <w:rFonts w:eastAsia="MS Mincho"/>
          <w:iCs/>
          <w:color w:val="000000"/>
          <w:sz w:val="20"/>
          <w:lang w:val="en-GB"/>
        </w:rPr>
        <w:t xml:space="preserve"> </w:t>
      </w:r>
      <w:r w:rsidRPr="00FA32FF">
        <w:rPr>
          <w:rFonts w:eastAsia="MS Mincho"/>
          <w:iCs/>
          <w:color w:val="000000"/>
          <w:sz w:val="20"/>
          <w:lang w:val="en-GB"/>
        </w:rPr>
        <w:t>+</w:t>
      </w:r>
      <w:r w:rsidR="00FA32FF">
        <w:rPr>
          <w:rFonts w:eastAsia="MS Mincho"/>
          <w:iCs/>
          <w:color w:val="000000"/>
          <w:sz w:val="20"/>
          <w:lang w:val="en-GB"/>
        </w:rPr>
        <w:t xml:space="preserve"> </w:t>
      </w:r>
      <w:r w:rsidRPr="00FA32FF">
        <w:rPr>
          <w:rFonts w:eastAsia="MS Mincho"/>
          <w:iCs/>
          <w:color w:val="000000"/>
          <w:sz w:val="20"/>
          <w:lang w:val="en-GB"/>
        </w:rPr>
        <w:t>MTX/DMARD</w:t>
      </w:r>
    </w:p>
    <w:p w:rsidR="004C67BF" w:rsidRDefault="004C67BF" w:rsidP="00FA32FF">
      <w:pPr>
        <w:rPr>
          <w:rFonts w:eastAsia="MS Mincho"/>
          <w:iCs/>
          <w:color w:val="000000"/>
          <w:sz w:val="20"/>
          <w:lang w:val="en-GB"/>
        </w:rPr>
      </w:pPr>
      <w:r w:rsidRPr="00FA32FF">
        <w:rPr>
          <w:rFonts w:eastAsia="MS Mincho"/>
          <w:iCs/>
          <w:color w:val="000000"/>
          <w:sz w:val="20"/>
          <w:lang w:val="en-GB"/>
        </w:rPr>
        <w:t>*** p</w:t>
      </w:r>
      <w:r w:rsidR="00F669BD">
        <w:rPr>
          <w:rFonts w:eastAsia="MS Mincho"/>
          <w:iCs/>
          <w:color w:val="000000"/>
          <w:sz w:val="20"/>
          <w:lang w:val="en-GB"/>
        </w:rPr>
        <w:t xml:space="preserve"> </w:t>
      </w:r>
      <w:r w:rsidRPr="00FA32FF">
        <w:rPr>
          <w:rFonts w:eastAsia="MS Mincho"/>
          <w:iCs/>
          <w:color w:val="000000"/>
          <w:sz w:val="20"/>
          <w:lang w:val="en-GB"/>
        </w:rPr>
        <w:t>&lt;</w:t>
      </w:r>
      <w:r w:rsidR="00F669BD">
        <w:rPr>
          <w:rFonts w:eastAsia="MS Mincho"/>
          <w:iCs/>
          <w:color w:val="000000"/>
          <w:sz w:val="20"/>
          <w:lang w:val="en-GB"/>
        </w:rPr>
        <w:t xml:space="preserve"> </w:t>
      </w:r>
      <w:r w:rsidRPr="00FA32FF">
        <w:rPr>
          <w:rFonts w:eastAsia="MS Mincho"/>
          <w:iCs/>
          <w:color w:val="000000"/>
          <w:sz w:val="20"/>
          <w:lang w:val="en-GB"/>
        </w:rPr>
        <w:t>0.0001</w:t>
      </w:r>
      <w:r w:rsidR="00FA32FF">
        <w:rPr>
          <w:rFonts w:eastAsia="MS Mincho"/>
          <w:iCs/>
          <w:color w:val="000000"/>
          <w:sz w:val="20"/>
          <w:lang w:val="en-GB"/>
        </w:rPr>
        <w:t>, ACTEMRA</w:t>
      </w:r>
      <w:r w:rsidRPr="00FA32FF">
        <w:rPr>
          <w:rFonts w:eastAsia="MS Mincho"/>
          <w:iCs/>
          <w:color w:val="000000"/>
          <w:sz w:val="20"/>
          <w:lang w:val="en-GB"/>
        </w:rPr>
        <w:t xml:space="preserve"> vs. placebo</w:t>
      </w:r>
      <w:r w:rsidR="00FA32FF">
        <w:rPr>
          <w:rFonts w:eastAsia="MS Mincho"/>
          <w:iCs/>
          <w:color w:val="000000"/>
          <w:sz w:val="20"/>
          <w:lang w:val="en-GB"/>
        </w:rPr>
        <w:t xml:space="preserve"> </w:t>
      </w:r>
      <w:r w:rsidRPr="00FA32FF">
        <w:rPr>
          <w:rFonts w:eastAsia="MS Mincho"/>
          <w:iCs/>
          <w:color w:val="000000"/>
          <w:sz w:val="20"/>
          <w:lang w:val="en-GB"/>
        </w:rPr>
        <w:t>+</w:t>
      </w:r>
      <w:r w:rsidR="00FA32FF">
        <w:rPr>
          <w:rFonts w:eastAsia="MS Mincho"/>
          <w:iCs/>
          <w:color w:val="000000"/>
          <w:sz w:val="20"/>
          <w:lang w:val="en-GB"/>
        </w:rPr>
        <w:t xml:space="preserve"> </w:t>
      </w:r>
      <w:r w:rsidRPr="00FA32FF">
        <w:rPr>
          <w:rFonts w:eastAsia="MS Mincho"/>
          <w:iCs/>
          <w:color w:val="000000"/>
          <w:sz w:val="20"/>
          <w:lang w:val="en-GB"/>
        </w:rPr>
        <w:t>MTX/DMARD</w:t>
      </w:r>
    </w:p>
    <w:p w:rsidR="00735C57" w:rsidRPr="00736B32" w:rsidRDefault="004912BE" w:rsidP="00FA32FF">
      <w:pPr>
        <w:rPr>
          <w:rFonts w:eastAsia="MS Mincho"/>
          <w:iCs/>
          <w:color w:val="000000"/>
          <w:sz w:val="20"/>
          <w:lang w:val="en-GB"/>
        </w:rPr>
      </w:pPr>
      <w:r>
        <w:rPr>
          <w:rFonts w:eastAsia="MS Mincho" w:cs="Aharoni" w:hint="cs"/>
          <w:iCs/>
          <w:color w:val="000000"/>
          <w:sz w:val="20"/>
          <w:lang w:val="en-GB"/>
        </w:rPr>
        <w:t>†</w:t>
      </w:r>
      <w:r>
        <w:rPr>
          <w:rFonts w:eastAsia="MS Mincho"/>
          <w:iCs/>
          <w:color w:val="000000"/>
          <w:sz w:val="20"/>
          <w:lang w:val="en-GB"/>
        </w:rPr>
        <w:t xml:space="preserve"> MCR = major clinical response, defined as an ACR70 response maintained for any 24 consecutive weeks or more.</w:t>
      </w:r>
      <w:r w:rsidR="00735C57">
        <w:rPr>
          <w:rFonts w:eastAsia="MS Mincho"/>
          <w:iCs/>
          <w:color w:val="000000"/>
          <w:sz w:val="20"/>
          <w:lang w:val="en-GB"/>
        </w:rPr>
        <w:t xml:space="preserve"> </w:t>
      </w:r>
      <w:r w:rsidR="00735C57" w:rsidRPr="00736B32">
        <w:rPr>
          <w:rFonts w:eastAsia="MS Mincho"/>
          <w:iCs/>
          <w:color w:val="000000"/>
          <w:sz w:val="20"/>
          <w:lang w:val="en-GB"/>
        </w:rPr>
        <w:t>Note:</w:t>
      </w:r>
      <w:r w:rsidR="00735C57" w:rsidRPr="00736B32">
        <w:rPr>
          <w:sz w:val="20"/>
        </w:rPr>
        <w:t xml:space="preserve"> the comparison for MCR occurred after the break in the hierarchical ordered testing sequence, so no significance claims can be made. </w:t>
      </w:r>
      <w:r w:rsidR="00FD6024" w:rsidRPr="00736B32">
        <w:rPr>
          <w:sz w:val="20"/>
        </w:rPr>
        <w:t>Secondary efficacy endpoints were</w:t>
      </w:r>
      <w:r w:rsidR="00735C57" w:rsidRPr="00736B32">
        <w:rPr>
          <w:sz w:val="20"/>
        </w:rPr>
        <w:t xml:space="preserve"> tested in a fixed sequence approach in order to control for the rate of false positive conclusions.</w:t>
      </w:r>
      <w:r w:rsidR="00735C57" w:rsidRPr="00736B32">
        <w:rPr>
          <w:rFonts w:ascii="Arial" w:hAnsi="Arial" w:cs="Arial"/>
          <w:sz w:val="20"/>
        </w:rPr>
        <w:t xml:space="preserve">  </w:t>
      </w:r>
    </w:p>
    <w:p w:rsidR="004912BE" w:rsidRPr="00735C57" w:rsidRDefault="00FD193A" w:rsidP="00FA32FF">
      <w:pPr>
        <w:rPr>
          <w:rFonts w:eastAsia="MS Mincho"/>
          <w:iCs/>
          <w:color w:val="000000"/>
          <w:sz w:val="20"/>
          <w:lang w:val="en-GB"/>
        </w:rPr>
      </w:pPr>
      <w:r w:rsidRPr="00736B32">
        <w:rPr>
          <w:rFonts w:eastAsia="MS Mincho"/>
          <w:color w:val="000000"/>
          <w:sz w:val="20"/>
          <w:lang w:val="en-US"/>
        </w:rPr>
        <w:t xml:space="preserve">^ </w:t>
      </w:r>
      <w:r w:rsidRPr="00736B32">
        <w:rPr>
          <w:rFonts w:eastAsia="MS Mincho"/>
          <w:iCs/>
          <w:color w:val="000000"/>
          <w:sz w:val="20"/>
          <w:lang w:val="en-GB"/>
        </w:rPr>
        <w:t xml:space="preserve">- </w:t>
      </w:r>
      <w:r w:rsidR="00735C57" w:rsidRPr="00736B32">
        <w:rPr>
          <w:rFonts w:eastAsia="MS Mincho"/>
          <w:iCs/>
          <w:color w:val="000000"/>
          <w:sz w:val="20"/>
          <w:lang w:val="en-GB"/>
        </w:rPr>
        <w:t>based on a protocol-specified interim analysis</w:t>
      </w:r>
    </w:p>
    <w:p w:rsidR="00FD193A" w:rsidRPr="00736B32" w:rsidRDefault="00FD193A" w:rsidP="00FA32FF">
      <w:pPr>
        <w:rPr>
          <w:rFonts w:eastAsia="MS Mincho"/>
          <w:iCs/>
          <w:color w:val="000000"/>
          <w:sz w:val="20"/>
          <w:lang w:val="en-GB"/>
        </w:rPr>
      </w:pPr>
    </w:p>
    <w:p w:rsidR="00731529" w:rsidRPr="00910E53" w:rsidRDefault="00731529" w:rsidP="00731529">
      <w:pPr>
        <w:spacing w:before="100" w:beforeAutospacing="1" w:after="100" w:afterAutospacing="1"/>
        <w:jc w:val="both"/>
        <w:rPr>
          <w:rFonts w:eastAsia="MS Mincho"/>
          <w:color w:val="000000"/>
          <w:lang w:val="en-GB"/>
        </w:rPr>
      </w:pPr>
      <w:r>
        <w:rPr>
          <w:rFonts w:eastAsia="MS Mincho"/>
          <w:color w:val="000000"/>
          <w:lang w:val="en-GB"/>
        </w:rPr>
        <w:t xml:space="preserve">In all studies, </w:t>
      </w:r>
      <w:r w:rsidR="004912BE">
        <w:rPr>
          <w:rFonts w:eastAsia="MS Mincho"/>
          <w:color w:val="000000"/>
          <w:lang w:val="en-GB"/>
        </w:rPr>
        <w:t xml:space="preserve">8 mg/kg </w:t>
      </w:r>
      <w:r w:rsidR="001119D9">
        <w:rPr>
          <w:rFonts w:eastAsia="MS Mincho"/>
          <w:color w:val="000000"/>
          <w:lang w:val="en-GB"/>
        </w:rPr>
        <w:t>ACTEMRA</w:t>
      </w:r>
      <w:r>
        <w:rPr>
          <w:rFonts w:eastAsia="MS Mincho"/>
          <w:color w:val="000000"/>
          <w:lang w:val="en-GB"/>
        </w:rPr>
        <w:t xml:space="preserve">-treated patients had statistically significant higher ACR20, 50, 70 response rates at 6 months compared to </w:t>
      </w:r>
      <w:r w:rsidR="00DF1769">
        <w:rPr>
          <w:rFonts w:eastAsia="MS Mincho"/>
          <w:color w:val="000000"/>
          <w:lang w:val="en-GB"/>
        </w:rPr>
        <w:t>placebo</w:t>
      </w:r>
      <w:r w:rsidRPr="0031615F">
        <w:rPr>
          <w:rFonts w:eastAsia="MS Mincho"/>
          <w:lang w:val="en-GB"/>
        </w:rPr>
        <w:t>.</w:t>
      </w:r>
      <w:r>
        <w:rPr>
          <w:rFonts w:eastAsia="MS Mincho"/>
          <w:lang w:val="en-GB"/>
        </w:rPr>
        <w:t xml:space="preserve"> The treatment effect was similar in patients independent of rheumatoid factor status, age, gender, race, number of prior treatments or disease status. </w:t>
      </w:r>
      <w:r>
        <w:rPr>
          <w:rFonts w:eastAsia="MS Mincho"/>
          <w:color w:val="000000"/>
          <w:lang w:val="en-GB"/>
        </w:rPr>
        <w:t>T</w:t>
      </w:r>
      <w:r w:rsidRPr="00D93435">
        <w:rPr>
          <w:rFonts w:eastAsia="MS Mincho"/>
          <w:color w:val="000000"/>
          <w:lang w:val="en-GB"/>
        </w:rPr>
        <w:t>ime to onset was rapid</w:t>
      </w:r>
      <w:r>
        <w:rPr>
          <w:rFonts w:eastAsia="MS Mincho"/>
          <w:color w:val="000000"/>
          <w:lang w:val="en-GB"/>
        </w:rPr>
        <w:t xml:space="preserve"> (</w:t>
      </w:r>
      <w:r w:rsidRPr="00CD2DF8">
        <w:t>as early as week</w:t>
      </w:r>
      <w:r>
        <w:t xml:space="preserve"> </w:t>
      </w:r>
      <w:r w:rsidRPr="00CD2DF8">
        <w:t>2</w:t>
      </w:r>
      <w:r>
        <w:t xml:space="preserve">) and the magnitude of response continued to improve with duration of treatment. Continued durable responses were seen for over </w:t>
      </w:r>
      <w:r w:rsidR="00902F07">
        <w:t>3 years</w:t>
      </w:r>
      <w:r>
        <w:t xml:space="preserve"> i</w:t>
      </w:r>
      <w:r w:rsidRPr="00C676FA">
        <w:t xml:space="preserve">n the </w:t>
      </w:r>
      <w:r>
        <w:t xml:space="preserve">on going </w:t>
      </w:r>
      <w:r w:rsidRPr="00C676FA">
        <w:t xml:space="preserve">open label extension studies of </w:t>
      </w:r>
      <w:r w:rsidR="00902F07">
        <w:t>s</w:t>
      </w:r>
      <w:r w:rsidRPr="00C676FA">
        <w:t>tudies I</w:t>
      </w:r>
      <w:r w:rsidR="00621DD9" w:rsidRPr="00C676FA" w:rsidDel="00621DD9">
        <w:t xml:space="preserve"> </w:t>
      </w:r>
      <w:r w:rsidRPr="00C676FA">
        <w:t>-V</w:t>
      </w:r>
      <w:r w:rsidRPr="0060567B">
        <w:t>.</w:t>
      </w:r>
    </w:p>
    <w:p w:rsidR="000A6CE3" w:rsidRDefault="00731529" w:rsidP="001C08F5">
      <w:pPr>
        <w:spacing w:before="100" w:beforeAutospacing="1" w:after="100" w:afterAutospacing="1"/>
        <w:jc w:val="both"/>
      </w:pPr>
      <w:r>
        <w:rPr>
          <w:rFonts w:eastAsia="MS Mincho"/>
          <w:color w:val="000000"/>
          <w:lang w:val="en-GB"/>
        </w:rPr>
        <w:lastRenderedPageBreak/>
        <w:t xml:space="preserve">In the </w:t>
      </w:r>
      <w:r w:rsidR="004912BE">
        <w:rPr>
          <w:rFonts w:eastAsia="MS Mincho"/>
          <w:color w:val="000000"/>
          <w:lang w:val="en-GB"/>
        </w:rPr>
        <w:t xml:space="preserve">8 mg/kg </w:t>
      </w:r>
      <w:r w:rsidR="001119D9">
        <w:rPr>
          <w:rFonts w:eastAsia="MS Mincho"/>
          <w:color w:val="000000"/>
          <w:lang w:val="en-GB"/>
        </w:rPr>
        <w:t>ACTEMRA</w:t>
      </w:r>
      <w:r>
        <w:rPr>
          <w:rFonts w:eastAsia="MS Mincho"/>
          <w:color w:val="000000"/>
          <w:lang w:val="en-GB"/>
        </w:rPr>
        <w:t xml:space="preserve">-treated patients significant improvements were noted on all individual </w:t>
      </w:r>
      <w:r w:rsidR="00100C7B">
        <w:rPr>
          <w:rFonts w:eastAsia="MS Mincho"/>
          <w:color w:val="000000"/>
          <w:lang w:val="en-GB"/>
        </w:rPr>
        <w:t>components of the ACR response: tender and swollen joint counts;</w:t>
      </w:r>
      <w:r w:rsidR="00ED23E1" w:rsidRPr="00ED23E1">
        <w:rPr>
          <w:rFonts w:eastAsia="MS Mincho"/>
          <w:color w:val="000000"/>
          <w:lang w:val="en-GB"/>
        </w:rPr>
        <w:t xml:space="preserve"> </w:t>
      </w:r>
      <w:r w:rsidR="00ED23E1">
        <w:rPr>
          <w:rFonts w:eastAsia="MS Mincho"/>
          <w:color w:val="000000"/>
          <w:lang w:val="en-GB"/>
        </w:rPr>
        <w:t>pain assessment and CRP normalisation</w:t>
      </w:r>
      <w:r w:rsidR="00100C7B">
        <w:rPr>
          <w:rFonts w:eastAsia="MS Mincho"/>
          <w:color w:val="000000"/>
          <w:lang w:val="en-GB"/>
        </w:rPr>
        <w:t>; disability index scores;</w:t>
      </w:r>
      <w:r w:rsidR="00ED23E1" w:rsidRPr="00ED23E1">
        <w:rPr>
          <w:rFonts w:eastAsia="MS Mincho"/>
          <w:color w:val="000000"/>
          <w:lang w:val="en-GB"/>
        </w:rPr>
        <w:t xml:space="preserve"> </w:t>
      </w:r>
      <w:r w:rsidR="00ED23E1">
        <w:rPr>
          <w:rFonts w:eastAsia="MS Mincho"/>
          <w:color w:val="000000"/>
          <w:lang w:val="en-GB"/>
        </w:rPr>
        <w:t>patients and physician global assessment,</w:t>
      </w:r>
      <w:r>
        <w:rPr>
          <w:rFonts w:eastAsia="MS Mincho"/>
          <w:color w:val="000000"/>
          <w:lang w:val="en-GB"/>
        </w:rPr>
        <w:t xml:space="preserve"> compared to patients receiving placebo</w:t>
      </w:r>
      <w:r w:rsidR="00100C7B">
        <w:rPr>
          <w:rFonts w:eastAsia="MS Mincho"/>
          <w:color w:val="000000"/>
          <w:lang w:val="en-GB"/>
        </w:rPr>
        <w:t xml:space="preserve"> </w:t>
      </w:r>
      <w:r>
        <w:rPr>
          <w:rFonts w:eastAsia="MS Mincho"/>
          <w:color w:val="000000"/>
          <w:lang w:val="en-GB"/>
        </w:rPr>
        <w:t>+</w:t>
      </w:r>
      <w:r w:rsidR="00100C7B">
        <w:rPr>
          <w:rFonts w:eastAsia="MS Mincho"/>
          <w:color w:val="000000"/>
          <w:lang w:val="en-GB"/>
        </w:rPr>
        <w:t xml:space="preserve"> </w:t>
      </w:r>
      <w:r>
        <w:rPr>
          <w:rFonts w:eastAsia="MS Mincho"/>
          <w:color w:val="000000"/>
          <w:lang w:val="en-GB"/>
        </w:rPr>
        <w:t>MTX/DMARDS in all studies.</w:t>
      </w:r>
      <w:r w:rsidR="001119D9">
        <w:t xml:space="preserve"> ACTEMRA</w:t>
      </w:r>
      <w:r>
        <w:t xml:space="preserve"> </w:t>
      </w:r>
      <w:r w:rsidR="004912BE">
        <w:t xml:space="preserve">8 mg/kg </w:t>
      </w:r>
      <w:r>
        <w:t>treated patients h</w:t>
      </w:r>
      <w:r w:rsidR="005E71F7">
        <w:t>ad a statistically significant</w:t>
      </w:r>
      <w:r>
        <w:t xml:space="preserve"> greater reduction in disease activity score (DAS28) than patients treated with placebo</w:t>
      </w:r>
      <w:r w:rsidR="00E058DC">
        <w:t xml:space="preserve"> </w:t>
      </w:r>
      <w:r>
        <w:t>+</w:t>
      </w:r>
      <w:r w:rsidR="00E058DC">
        <w:t xml:space="preserve"> </w:t>
      </w:r>
      <w:r>
        <w:t>DMARD.</w:t>
      </w:r>
      <w:r w:rsidR="00AF0E08">
        <w:t xml:space="preserve"> T</w:t>
      </w:r>
      <w:r w:rsidR="00D62BE4">
        <w:t xml:space="preserve">he rate of remission (defined as DAS &lt; 2.6) for patients treated with </w:t>
      </w:r>
      <w:r w:rsidR="001119D9">
        <w:t>ACTEMRA</w:t>
      </w:r>
      <w:r w:rsidR="00D62BE4">
        <w:t xml:space="preserve"> ranged from 27.5% to 33.6%.</w:t>
      </w:r>
      <w:r w:rsidR="001119D9">
        <w:t xml:space="preserve"> ACTEMRA</w:t>
      </w:r>
      <w:r w:rsidR="00D62BE4">
        <w:t xml:space="preserve"> treated patients had a</w:t>
      </w:r>
      <w:r w:rsidR="00AF0E08">
        <w:t xml:space="preserve"> statistically significant greater </w:t>
      </w:r>
      <w:r w:rsidR="00D62BE4">
        <w:t xml:space="preserve">rate of remission </w:t>
      </w:r>
      <w:r w:rsidR="00AF0E08">
        <w:t>than patients treated with placebo + DMARD.</w:t>
      </w:r>
      <w:r w:rsidR="00D62BE4">
        <w:t xml:space="preserve"> </w:t>
      </w:r>
      <w:r>
        <w:t xml:space="preserve">A good to moderate EULAR response was achieved by significantly more </w:t>
      </w:r>
      <w:r w:rsidR="001119D9">
        <w:t>ACTEMRA</w:t>
      </w:r>
      <w:r>
        <w:t xml:space="preserve"> treated patients compared to patients tre</w:t>
      </w:r>
      <w:r w:rsidR="00D61CCA">
        <w:t>ated with placebo</w:t>
      </w:r>
      <w:r w:rsidR="00E058DC">
        <w:t xml:space="preserve"> </w:t>
      </w:r>
      <w:r w:rsidR="00D61CCA">
        <w:t>+</w:t>
      </w:r>
      <w:r w:rsidR="00E058DC">
        <w:t xml:space="preserve"> </w:t>
      </w:r>
      <w:r w:rsidR="00D61CCA">
        <w:t>DMARD (Table 2</w:t>
      </w:r>
      <w:r>
        <w:t>).</w:t>
      </w:r>
    </w:p>
    <w:p w:rsidR="00731529" w:rsidRPr="00EA66CF" w:rsidRDefault="00D61CCA" w:rsidP="00EA66CF">
      <w:pPr>
        <w:rPr>
          <w:b/>
          <w:i/>
        </w:rPr>
      </w:pPr>
      <w:r w:rsidRPr="00EA66CF">
        <w:rPr>
          <w:b/>
        </w:rPr>
        <w:t>Table 2</w:t>
      </w:r>
      <w:r w:rsidR="007B58C0" w:rsidRPr="00EA66CF">
        <w:rPr>
          <w:b/>
        </w:rPr>
        <w:t xml:space="preserve"> </w:t>
      </w:r>
      <w:r w:rsidR="00731529" w:rsidRPr="00EA66CF">
        <w:rPr>
          <w:b/>
        </w:rPr>
        <w:t>Cross-Study Comparison of DAS and EULAR Responses at Week 24</w:t>
      </w:r>
    </w:p>
    <w:tbl>
      <w:tblPr>
        <w:tblW w:w="10124" w:type="dxa"/>
        <w:jc w:val="center"/>
        <w:tblCellSpacing w:w="2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1086"/>
        <w:gridCol w:w="75"/>
        <w:gridCol w:w="925"/>
        <w:gridCol w:w="702"/>
        <w:gridCol w:w="927"/>
        <w:gridCol w:w="875"/>
        <w:gridCol w:w="988"/>
        <w:gridCol w:w="875"/>
        <w:gridCol w:w="987"/>
        <w:gridCol w:w="81"/>
        <w:gridCol w:w="827"/>
        <w:gridCol w:w="76"/>
        <w:gridCol w:w="818"/>
        <w:gridCol w:w="882"/>
      </w:tblGrid>
      <w:tr w:rsidR="00731529" w:rsidRPr="00AF0F45" w:rsidTr="00EE7332">
        <w:trPr>
          <w:tblCellSpacing w:w="20" w:type="dxa"/>
          <w:jc w:val="center"/>
        </w:trPr>
        <w:tc>
          <w:tcPr>
            <w:tcW w:w="1026" w:type="dxa"/>
            <w:shd w:val="clear" w:color="auto" w:fill="auto"/>
          </w:tcPr>
          <w:p w:rsidR="00731529" w:rsidRPr="00AF0F45" w:rsidRDefault="00731529" w:rsidP="001F3753">
            <w:pPr>
              <w:jc w:val="center"/>
              <w:rPr>
                <w:b/>
                <w:bCs/>
                <w:color w:val="000000"/>
                <w:sz w:val="20"/>
                <w:lang w:val="en-GB"/>
              </w:rPr>
            </w:pPr>
          </w:p>
        </w:tc>
        <w:tc>
          <w:tcPr>
            <w:tcW w:w="1662" w:type="dxa"/>
            <w:gridSpan w:val="3"/>
            <w:shd w:val="clear" w:color="auto" w:fill="auto"/>
          </w:tcPr>
          <w:p w:rsidR="00731529" w:rsidRPr="00AF0F45" w:rsidRDefault="00731529" w:rsidP="001F3753">
            <w:pPr>
              <w:jc w:val="center"/>
              <w:rPr>
                <w:b/>
                <w:bCs/>
                <w:color w:val="000000"/>
                <w:sz w:val="20"/>
                <w:lang w:val="en-GB"/>
              </w:rPr>
            </w:pPr>
            <w:r w:rsidRPr="00AF0F45">
              <w:rPr>
                <w:b/>
                <w:bCs/>
                <w:color w:val="000000"/>
                <w:sz w:val="20"/>
                <w:lang w:val="en-GB"/>
              </w:rPr>
              <w:t xml:space="preserve">Study </w:t>
            </w:r>
            <w:r w:rsidRPr="00AF0F45">
              <w:rPr>
                <w:rFonts w:eastAsia="MS Mincho" w:hint="eastAsia"/>
                <w:b/>
                <w:bCs/>
                <w:color w:val="000000"/>
                <w:sz w:val="20"/>
                <w:lang w:val="en-GB"/>
              </w:rPr>
              <w:t>I</w:t>
            </w:r>
            <w:r w:rsidRPr="00AF0F45">
              <w:rPr>
                <w:b/>
                <w:bCs/>
                <w:color w:val="000000"/>
                <w:sz w:val="20"/>
                <w:lang w:val="en-GB"/>
              </w:rPr>
              <w:br/>
              <w:t xml:space="preserve">MTX </w:t>
            </w:r>
            <w:r w:rsidR="004154DF" w:rsidRPr="00D47FF9">
              <w:rPr>
                <w:b/>
                <w:bCs/>
                <w:color w:val="000000"/>
                <w:sz w:val="20"/>
                <w:lang w:val="en-GB"/>
              </w:rPr>
              <w:t>Naïve</w:t>
            </w:r>
          </w:p>
          <w:p w:rsidR="00731529" w:rsidRPr="00AF0F45" w:rsidRDefault="00731529" w:rsidP="001F3753">
            <w:pPr>
              <w:jc w:val="center"/>
              <w:rPr>
                <w:b/>
                <w:bCs/>
                <w:color w:val="000000"/>
                <w:sz w:val="20"/>
                <w:lang w:val="en-GB"/>
              </w:rPr>
            </w:pPr>
          </w:p>
        </w:tc>
        <w:tc>
          <w:tcPr>
            <w:tcW w:w="1762" w:type="dxa"/>
            <w:gridSpan w:val="2"/>
            <w:shd w:val="clear" w:color="auto" w:fill="auto"/>
          </w:tcPr>
          <w:p w:rsidR="00731529" w:rsidRPr="00AF0F45" w:rsidRDefault="00731529" w:rsidP="001F3753">
            <w:pPr>
              <w:jc w:val="center"/>
              <w:rPr>
                <w:b/>
                <w:bCs/>
                <w:color w:val="000000"/>
                <w:sz w:val="20"/>
              </w:rPr>
            </w:pPr>
            <w:r w:rsidRPr="00AF0F45">
              <w:rPr>
                <w:b/>
                <w:bCs/>
                <w:color w:val="000000"/>
                <w:sz w:val="20"/>
                <w:lang w:val="en-GB"/>
              </w:rPr>
              <w:t>Study II</w:t>
            </w:r>
            <w:r w:rsidRPr="00AF0F45">
              <w:rPr>
                <w:b/>
                <w:bCs/>
                <w:color w:val="000000"/>
                <w:sz w:val="20"/>
                <w:lang w:val="en-GB"/>
              </w:rPr>
              <w:br/>
              <w:t>Inadequate Response to MTX</w:t>
            </w:r>
          </w:p>
        </w:tc>
        <w:tc>
          <w:tcPr>
            <w:tcW w:w="1823" w:type="dxa"/>
            <w:gridSpan w:val="2"/>
            <w:shd w:val="clear" w:color="auto" w:fill="auto"/>
          </w:tcPr>
          <w:p w:rsidR="00731529" w:rsidRPr="00AF0F45" w:rsidRDefault="00731529" w:rsidP="001F3753">
            <w:pPr>
              <w:jc w:val="center"/>
              <w:rPr>
                <w:b/>
                <w:bCs/>
                <w:color w:val="000000"/>
                <w:sz w:val="20"/>
                <w:lang w:val="en-GB"/>
              </w:rPr>
            </w:pPr>
            <w:r w:rsidRPr="00AF0F45">
              <w:rPr>
                <w:b/>
                <w:bCs/>
                <w:color w:val="000000"/>
                <w:sz w:val="20"/>
                <w:lang w:val="en-GB"/>
              </w:rPr>
              <w:t>Study III</w:t>
            </w:r>
            <w:r w:rsidRPr="00AF0F45">
              <w:rPr>
                <w:b/>
                <w:bCs/>
                <w:color w:val="000000"/>
                <w:sz w:val="20"/>
                <w:lang w:val="en-GB"/>
              </w:rPr>
              <w:br/>
              <w:t>Inadequate Response to MTX</w:t>
            </w:r>
          </w:p>
        </w:tc>
        <w:tc>
          <w:tcPr>
            <w:tcW w:w="1931" w:type="dxa"/>
            <w:gridSpan w:val="4"/>
            <w:shd w:val="clear" w:color="auto" w:fill="auto"/>
          </w:tcPr>
          <w:p w:rsidR="00731529" w:rsidRPr="00AF0F45" w:rsidRDefault="00731529" w:rsidP="001F3753">
            <w:pPr>
              <w:jc w:val="center"/>
              <w:rPr>
                <w:b/>
                <w:bCs/>
                <w:color w:val="000000"/>
                <w:sz w:val="20"/>
              </w:rPr>
            </w:pPr>
            <w:r w:rsidRPr="00AF0F45">
              <w:rPr>
                <w:b/>
                <w:bCs/>
                <w:color w:val="000000"/>
                <w:sz w:val="20"/>
                <w:lang w:val="en-GB"/>
              </w:rPr>
              <w:t>Study IV</w:t>
            </w:r>
            <w:r w:rsidRPr="00AF0F45">
              <w:rPr>
                <w:b/>
                <w:bCs/>
                <w:color w:val="000000"/>
                <w:sz w:val="20"/>
                <w:lang w:val="en-GB"/>
              </w:rPr>
              <w:br/>
              <w:t>Inadequate Response to DMARD</w:t>
            </w:r>
          </w:p>
        </w:tc>
        <w:tc>
          <w:tcPr>
            <w:tcW w:w="1640" w:type="dxa"/>
            <w:gridSpan w:val="2"/>
            <w:shd w:val="clear" w:color="auto" w:fill="auto"/>
          </w:tcPr>
          <w:p w:rsidR="00731529" w:rsidRPr="00AF0F45" w:rsidRDefault="00731529" w:rsidP="001F3753">
            <w:pPr>
              <w:jc w:val="center"/>
              <w:rPr>
                <w:b/>
                <w:bCs/>
                <w:color w:val="000000"/>
                <w:sz w:val="20"/>
                <w:lang w:val="en-GB"/>
              </w:rPr>
            </w:pPr>
            <w:r w:rsidRPr="00AF0F45">
              <w:rPr>
                <w:b/>
                <w:bCs/>
                <w:color w:val="000000"/>
                <w:sz w:val="20"/>
                <w:lang w:val="en-GB"/>
              </w:rPr>
              <w:t>Study V</w:t>
            </w:r>
            <w:r w:rsidRPr="00AF0F45">
              <w:rPr>
                <w:b/>
                <w:bCs/>
                <w:color w:val="000000"/>
                <w:sz w:val="20"/>
                <w:lang w:val="en-GB"/>
              </w:rPr>
              <w:br/>
              <w:t xml:space="preserve">Inadequate </w:t>
            </w:r>
            <w:r w:rsidRPr="00AF0F45">
              <w:rPr>
                <w:rFonts w:eastAsia="MS Mincho" w:hint="eastAsia"/>
                <w:b/>
                <w:bCs/>
                <w:color w:val="000000"/>
                <w:sz w:val="20"/>
                <w:lang w:val="en-GB"/>
              </w:rPr>
              <w:t>R</w:t>
            </w:r>
            <w:r w:rsidRPr="00AF0F45">
              <w:rPr>
                <w:b/>
                <w:bCs/>
                <w:color w:val="000000"/>
                <w:sz w:val="20"/>
                <w:lang w:val="en-GB"/>
              </w:rPr>
              <w:t xml:space="preserve">esponse to </w:t>
            </w:r>
            <w:r w:rsidR="003710DA">
              <w:rPr>
                <w:b/>
                <w:bCs/>
                <w:color w:val="000000"/>
                <w:sz w:val="20"/>
                <w:lang w:val="en-GB"/>
              </w:rPr>
              <w:t>anti-</w:t>
            </w:r>
            <w:r w:rsidRPr="00AF0F45">
              <w:rPr>
                <w:b/>
                <w:bCs/>
                <w:color w:val="000000"/>
                <w:sz w:val="20"/>
                <w:lang w:val="en-GB"/>
              </w:rPr>
              <w:t>TNF Agent</w:t>
            </w:r>
          </w:p>
        </w:tc>
      </w:tr>
      <w:tr w:rsidR="005C4B64" w:rsidRPr="00AF0F45" w:rsidTr="00EE7332">
        <w:trPr>
          <w:tblCellSpacing w:w="20" w:type="dxa"/>
          <w:jc w:val="center"/>
        </w:trPr>
        <w:tc>
          <w:tcPr>
            <w:tcW w:w="1026" w:type="dxa"/>
            <w:shd w:val="clear" w:color="auto" w:fill="auto"/>
            <w:noWrap/>
          </w:tcPr>
          <w:p w:rsidR="00731529" w:rsidRPr="00AF0F45" w:rsidRDefault="00731529" w:rsidP="001F3753">
            <w:pPr>
              <w:jc w:val="center"/>
              <w:rPr>
                <w:color w:val="000000"/>
                <w:sz w:val="20"/>
                <w:lang w:val="en-GB"/>
              </w:rPr>
            </w:pPr>
          </w:p>
        </w:tc>
        <w:tc>
          <w:tcPr>
            <w:tcW w:w="960" w:type="dxa"/>
            <w:gridSpan w:val="2"/>
            <w:shd w:val="clear" w:color="auto" w:fill="auto"/>
            <w:noWrap/>
          </w:tcPr>
          <w:p w:rsidR="00731529" w:rsidRPr="005C4B64" w:rsidRDefault="008F5338" w:rsidP="001F3753">
            <w:pPr>
              <w:jc w:val="center"/>
              <w:rPr>
                <w:b/>
                <w:bCs/>
                <w:color w:val="000000"/>
                <w:sz w:val="20"/>
                <w:lang w:val="en-GB"/>
              </w:rPr>
            </w:pPr>
            <w:r>
              <w:rPr>
                <w:b/>
                <w:bCs/>
                <w:color w:val="000000"/>
                <w:sz w:val="20"/>
                <w:lang w:val="en-GB"/>
              </w:rPr>
              <w:t>ACT</w:t>
            </w:r>
          </w:p>
          <w:p w:rsidR="00731529" w:rsidRPr="005C4B64" w:rsidRDefault="00731529" w:rsidP="001F3753">
            <w:pPr>
              <w:jc w:val="center"/>
              <w:rPr>
                <w:b/>
                <w:bCs/>
                <w:color w:val="000000"/>
                <w:sz w:val="20"/>
                <w:lang w:val="en-GB"/>
              </w:rPr>
            </w:pPr>
            <w:r w:rsidRPr="005C4B64">
              <w:rPr>
                <w:b/>
                <w:bCs/>
                <w:color w:val="000000"/>
                <w:sz w:val="20"/>
                <w:lang w:val="en-GB"/>
              </w:rPr>
              <w:t xml:space="preserve"> 8 mg/kg</w:t>
            </w:r>
          </w:p>
          <w:p w:rsidR="00731529" w:rsidRPr="005C4B64" w:rsidDel="003C5D9D" w:rsidRDefault="005C4B64" w:rsidP="001F3753">
            <w:pPr>
              <w:jc w:val="center"/>
              <w:rPr>
                <w:b/>
                <w:bCs/>
                <w:color w:val="000000"/>
                <w:sz w:val="20"/>
                <w:lang w:val="en-GB"/>
              </w:rPr>
            </w:pPr>
            <w:r w:rsidRPr="005C4B64">
              <w:rPr>
                <w:b/>
                <w:bCs/>
                <w:color w:val="000000"/>
                <w:sz w:val="20"/>
                <w:lang w:val="en-GB"/>
              </w:rPr>
              <w:t xml:space="preserve"> </w:t>
            </w:r>
            <w:r w:rsidRPr="005C4B64">
              <w:rPr>
                <w:b/>
                <w:bCs/>
                <w:color w:val="000000"/>
                <w:sz w:val="20"/>
                <w:lang w:val="en-GB"/>
              </w:rPr>
              <w:br/>
              <w:t> </w:t>
            </w:r>
            <w:r w:rsidRPr="005C4B64">
              <w:rPr>
                <w:b/>
                <w:bCs/>
                <w:color w:val="000000"/>
                <w:sz w:val="20"/>
                <w:lang w:val="en-GB"/>
              </w:rPr>
              <w:br/>
            </w:r>
            <w:r>
              <w:rPr>
                <w:b/>
                <w:bCs/>
                <w:color w:val="000000"/>
                <w:sz w:val="20"/>
                <w:lang w:val="en-GB"/>
              </w:rPr>
              <w:t>n</w:t>
            </w:r>
            <w:r w:rsidR="00731529" w:rsidRPr="005C4B64">
              <w:rPr>
                <w:b/>
                <w:bCs/>
                <w:color w:val="000000"/>
                <w:sz w:val="20"/>
                <w:lang w:val="en-GB"/>
              </w:rPr>
              <w:t>=286</w:t>
            </w:r>
          </w:p>
        </w:tc>
        <w:tc>
          <w:tcPr>
            <w:tcW w:w="662" w:type="dxa"/>
            <w:shd w:val="clear" w:color="auto" w:fill="auto"/>
            <w:noWrap/>
          </w:tcPr>
          <w:p w:rsidR="00731529" w:rsidRPr="005C4B64" w:rsidRDefault="00731529" w:rsidP="001F3753">
            <w:pPr>
              <w:jc w:val="center"/>
              <w:rPr>
                <w:b/>
                <w:bCs/>
                <w:color w:val="000000"/>
                <w:sz w:val="20"/>
                <w:lang w:val="en-GB"/>
              </w:rPr>
            </w:pPr>
            <w:r w:rsidRPr="005C4B64">
              <w:rPr>
                <w:b/>
                <w:bCs/>
                <w:color w:val="000000"/>
                <w:sz w:val="20"/>
                <w:lang w:val="en-GB"/>
              </w:rPr>
              <w:t>MTX</w:t>
            </w:r>
          </w:p>
          <w:p w:rsidR="00731529" w:rsidRPr="005C4B64" w:rsidRDefault="005C4B64" w:rsidP="001F3753">
            <w:pPr>
              <w:jc w:val="center"/>
              <w:rPr>
                <w:b/>
                <w:bCs/>
                <w:color w:val="000000"/>
                <w:sz w:val="20"/>
                <w:lang w:val="en-GB"/>
              </w:rPr>
            </w:pPr>
            <w:r>
              <w:rPr>
                <w:b/>
                <w:bCs/>
                <w:color w:val="000000"/>
                <w:sz w:val="20"/>
                <w:lang w:val="en-GB"/>
              </w:rPr>
              <w:t xml:space="preserve"> </w:t>
            </w:r>
            <w:r>
              <w:rPr>
                <w:b/>
                <w:bCs/>
                <w:color w:val="000000"/>
                <w:sz w:val="20"/>
                <w:lang w:val="en-GB"/>
              </w:rPr>
              <w:br/>
            </w:r>
            <w:r>
              <w:rPr>
                <w:b/>
                <w:bCs/>
                <w:color w:val="000000"/>
                <w:sz w:val="20"/>
                <w:lang w:val="en-GB"/>
              </w:rPr>
              <w:br/>
            </w:r>
            <w:r>
              <w:rPr>
                <w:b/>
                <w:bCs/>
                <w:color w:val="000000"/>
                <w:sz w:val="20"/>
                <w:lang w:val="en-GB"/>
              </w:rPr>
              <w:br/>
              <w:t>n</w:t>
            </w:r>
            <w:r w:rsidR="00731529" w:rsidRPr="005C4B64">
              <w:rPr>
                <w:b/>
                <w:bCs/>
                <w:color w:val="000000"/>
                <w:sz w:val="20"/>
                <w:lang w:val="en-GB"/>
              </w:rPr>
              <w:t>=284</w:t>
            </w:r>
          </w:p>
        </w:tc>
        <w:tc>
          <w:tcPr>
            <w:tcW w:w="887" w:type="dxa"/>
            <w:shd w:val="clear" w:color="auto" w:fill="auto"/>
            <w:noWrap/>
          </w:tcPr>
          <w:p w:rsidR="00731529" w:rsidRPr="005C4B64" w:rsidRDefault="008F5338" w:rsidP="001F3753">
            <w:pPr>
              <w:jc w:val="center"/>
              <w:rPr>
                <w:b/>
                <w:bCs/>
                <w:color w:val="000000"/>
                <w:sz w:val="20"/>
                <w:lang w:val="en-GB"/>
              </w:rPr>
            </w:pPr>
            <w:r>
              <w:rPr>
                <w:b/>
                <w:bCs/>
                <w:color w:val="000000"/>
                <w:sz w:val="20"/>
                <w:lang w:val="en-GB"/>
              </w:rPr>
              <w:t>ACT</w:t>
            </w:r>
            <w:r w:rsidRPr="005C4B64">
              <w:rPr>
                <w:b/>
                <w:bCs/>
                <w:color w:val="000000"/>
                <w:sz w:val="20"/>
                <w:lang w:val="en-GB"/>
              </w:rPr>
              <w:t xml:space="preserve"> </w:t>
            </w:r>
            <w:r w:rsidR="00731529" w:rsidRPr="005C4B64">
              <w:rPr>
                <w:b/>
                <w:bCs/>
                <w:color w:val="000000"/>
                <w:sz w:val="20"/>
                <w:lang w:val="en-GB"/>
              </w:rPr>
              <w:br/>
              <w:t xml:space="preserve">8 mg/kg </w:t>
            </w:r>
            <w:r w:rsidR="00731529" w:rsidRPr="005C4B64">
              <w:rPr>
                <w:b/>
                <w:bCs/>
                <w:color w:val="000000"/>
                <w:sz w:val="20"/>
                <w:lang w:val="en-GB"/>
              </w:rPr>
              <w:br/>
              <w:t> +MTX</w:t>
            </w:r>
            <w:r w:rsidR="00731529" w:rsidRPr="005C4B64">
              <w:rPr>
                <w:b/>
                <w:bCs/>
                <w:color w:val="000000"/>
                <w:sz w:val="20"/>
                <w:lang w:val="en-GB"/>
              </w:rPr>
              <w:br/>
            </w:r>
          </w:p>
          <w:p w:rsidR="00731529" w:rsidRPr="005C4B64" w:rsidRDefault="005C4B64" w:rsidP="001F3753">
            <w:pPr>
              <w:jc w:val="center"/>
              <w:rPr>
                <w:color w:val="000000"/>
                <w:sz w:val="20"/>
                <w:lang w:val="en-GB"/>
              </w:rPr>
            </w:pPr>
            <w:r>
              <w:rPr>
                <w:b/>
                <w:bCs/>
                <w:color w:val="000000"/>
                <w:sz w:val="20"/>
                <w:lang w:val="en-GB"/>
              </w:rPr>
              <w:t>n=</w:t>
            </w:r>
            <w:r w:rsidR="00731529" w:rsidRPr="005C4B64">
              <w:rPr>
                <w:b/>
                <w:bCs/>
                <w:color w:val="000000"/>
                <w:sz w:val="20"/>
                <w:lang w:val="en-GB"/>
              </w:rPr>
              <w:t>398</w:t>
            </w:r>
          </w:p>
        </w:tc>
        <w:tc>
          <w:tcPr>
            <w:tcW w:w="835" w:type="dxa"/>
            <w:shd w:val="clear" w:color="auto" w:fill="auto"/>
            <w:noWrap/>
          </w:tcPr>
          <w:p w:rsidR="00731529" w:rsidRPr="005C4B64" w:rsidRDefault="005C4B64" w:rsidP="001F3753">
            <w:pPr>
              <w:jc w:val="center"/>
              <w:rPr>
                <w:color w:val="000000"/>
                <w:sz w:val="20"/>
                <w:lang w:val="en-GB"/>
              </w:rPr>
            </w:pPr>
            <w:r>
              <w:rPr>
                <w:b/>
                <w:bCs/>
                <w:color w:val="000000"/>
                <w:sz w:val="20"/>
                <w:lang w:val="en-GB"/>
              </w:rPr>
              <w:t>Placebo + MTX</w:t>
            </w:r>
            <w:r>
              <w:rPr>
                <w:b/>
                <w:bCs/>
                <w:color w:val="000000"/>
                <w:sz w:val="20"/>
                <w:lang w:val="en-GB"/>
              </w:rPr>
              <w:br/>
              <w:t> </w:t>
            </w:r>
            <w:r>
              <w:rPr>
                <w:b/>
                <w:bCs/>
                <w:color w:val="000000"/>
                <w:sz w:val="20"/>
                <w:lang w:val="en-GB"/>
              </w:rPr>
              <w:br/>
              <w:t> </w:t>
            </w:r>
            <w:r>
              <w:rPr>
                <w:b/>
                <w:bCs/>
                <w:color w:val="000000"/>
                <w:sz w:val="20"/>
                <w:lang w:val="en-GB"/>
              </w:rPr>
              <w:br/>
              <w:t>n</w:t>
            </w:r>
            <w:r w:rsidR="00731529" w:rsidRPr="00AF0F45">
              <w:rPr>
                <w:b/>
                <w:bCs/>
                <w:color w:val="000000"/>
                <w:sz w:val="20"/>
                <w:lang w:val="en-GB"/>
              </w:rPr>
              <w:t>=393</w:t>
            </w:r>
          </w:p>
        </w:tc>
        <w:tc>
          <w:tcPr>
            <w:tcW w:w="948" w:type="dxa"/>
            <w:shd w:val="clear" w:color="auto" w:fill="auto"/>
            <w:noWrap/>
          </w:tcPr>
          <w:p w:rsidR="00731529" w:rsidRPr="005C4B64" w:rsidRDefault="008F5338" w:rsidP="001F3753">
            <w:pPr>
              <w:jc w:val="center"/>
              <w:rPr>
                <w:b/>
                <w:bCs/>
                <w:color w:val="000000"/>
                <w:sz w:val="20"/>
                <w:lang w:val="en-GB"/>
              </w:rPr>
            </w:pPr>
            <w:r>
              <w:rPr>
                <w:b/>
                <w:bCs/>
                <w:color w:val="000000"/>
                <w:sz w:val="20"/>
                <w:lang w:val="en-GB"/>
              </w:rPr>
              <w:t>ACT</w:t>
            </w:r>
            <w:r w:rsidRPr="005C4B64">
              <w:rPr>
                <w:b/>
                <w:bCs/>
                <w:color w:val="000000"/>
                <w:sz w:val="20"/>
                <w:lang w:val="en-GB"/>
              </w:rPr>
              <w:t xml:space="preserve"> </w:t>
            </w:r>
            <w:r w:rsidR="00731529" w:rsidRPr="005C4B64">
              <w:rPr>
                <w:b/>
                <w:bCs/>
                <w:color w:val="000000"/>
                <w:sz w:val="20"/>
                <w:lang w:val="en-GB"/>
              </w:rPr>
              <w:br/>
              <w:t xml:space="preserve">8 mg/kg </w:t>
            </w:r>
            <w:r w:rsidR="00731529" w:rsidRPr="005C4B64">
              <w:rPr>
                <w:b/>
                <w:bCs/>
                <w:color w:val="000000"/>
                <w:sz w:val="20"/>
                <w:lang w:val="en-GB"/>
              </w:rPr>
              <w:br/>
              <w:t> +MTX</w:t>
            </w:r>
            <w:r w:rsidR="00731529" w:rsidRPr="005C4B64">
              <w:rPr>
                <w:b/>
                <w:bCs/>
                <w:color w:val="000000"/>
                <w:sz w:val="20"/>
                <w:lang w:val="en-GB"/>
              </w:rPr>
              <w:br/>
            </w:r>
          </w:p>
          <w:p w:rsidR="00731529" w:rsidRPr="005C4B64" w:rsidRDefault="005C4B64" w:rsidP="001F3753">
            <w:pPr>
              <w:jc w:val="center"/>
              <w:rPr>
                <w:b/>
                <w:bCs/>
                <w:color w:val="000000"/>
                <w:sz w:val="20"/>
                <w:lang w:val="en-GB"/>
              </w:rPr>
            </w:pPr>
            <w:r>
              <w:rPr>
                <w:b/>
                <w:bCs/>
                <w:color w:val="000000"/>
                <w:sz w:val="20"/>
                <w:lang w:val="en-GB"/>
              </w:rPr>
              <w:t>n=</w:t>
            </w:r>
            <w:r w:rsidR="00731529" w:rsidRPr="005C4B64">
              <w:rPr>
                <w:b/>
                <w:bCs/>
                <w:color w:val="000000"/>
                <w:sz w:val="20"/>
                <w:lang w:val="en-GB"/>
              </w:rPr>
              <w:t>205</w:t>
            </w:r>
          </w:p>
        </w:tc>
        <w:tc>
          <w:tcPr>
            <w:tcW w:w="835" w:type="dxa"/>
            <w:shd w:val="clear" w:color="auto" w:fill="auto"/>
            <w:noWrap/>
          </w:tcPr>
          <w:p w:rsidR="00731529" w:rsidRPr="00AF0F45" w:rsidRDefault="00731529" w:rsidP="001F3753">
            <w:pPr>
              <w:jc w:val="center"/>
              <w:rPr>
                <w:b/>
                <w:bCs/>
                <w:color w:val="000000"/>
                <w:sz w:val="20"/>
                <w:lang w:val="en-GB"/>
              </w:rPr>
            </w:pPr>
            <w:r w:rsidRPr="00AF0F45">
              <w:rPr>
                <w:b/>
                <w:bCs/>
                <w:color w:val="000000"/>
                <w:sz w:val="20"/>
                <w:lang w:val="en-GB"/>
              </w:rPr>
              <w:t>Placebo + MTX</w:t>
            </w:r>
            <w:r w:rsidRPr="00AF0F45">
              <w:rPr>
                <w:b/>
                <w:bCs/>
                <w:color w:val="000000"/>
                <w:sz w:val="20"/>
                <w:lang w:val="en-GB"/>
              </w:rPr>
              <w:br/>
              <w:t> </w:t>
            </w:r>
            <w:r w:rsidRPr="00AF0F45">
              <w:rPr>
                <w:b/>
                <w:bCs/>
                <w:color w:val="000000"/>
                <w:sz w:val="20"/>
                <w:lang w:val="en-GB"/>
              </w:rPr>
              <w:br/>
            </w:r>
          </w:p>
          <w:p w:rsidR="00731529" w:rsidRPr="005C4B64" w:rsidRDefault="005C4B64" w:rsidP="001F3753">
            <w:pPr>
              <w:jc w:val="center"/>
              <w:rPr>
                <w:b/>
                <w:bCs/>
                <w:color w:val="000000"/>
                <w:sz w:val="20"/>
                <w:lang w:val="en-GB"/>
              </w:rPr>
            </w:pPr>
            <w:r>
              <w:rPr>
                <w:b/>
                <w:bCs/>
                <w:color w:val="000000"/>
                <w:sz w:val="20"/>
                <w:lang w:val="en-GB"/>
              </w:rPr>
              <w:t>n</w:t>
            </w:r>
            <w:r w:rsidR="00731529" w:rsidRPr="00AF0F45">
              <w:rPr>
                <w:b/>
                <w:bCs/>
                <w:color w:val="000000"/>
                <w:sz w:val="20"/>
                <w:lang w:val="en-GB"/>
              </w:rPr>
              <w:t>=204</w:t>
            </w:r>
          </w:p>
        </w:tc>
        <w:tc>
          <w:tcPr>
            <w:tcW w:w="1028" w:type="dxa"/>
            <w:gridSpan w:val="2"/>
            <w:shd w:val="clear" w:color="auto" w:fill="auto"/>
            <w:noWrap/>
          </w:tcPr>
          <w:p w:rsidR="00731529" w:rsidRPr="005C4B64" w:rsidRDefault="008F5338" w:rsidP="001F3753">
            <w:pPr>
              <w:jc w:val="center"/>
              <w:rPr>
                <w:b/>
                <w:bCs/>
                <w:color w:val="000000"/>
                <w:sz w:val="20"/>
                <w:lang w:val="en-GB"/>
              </w:rPr>
            </w:pPr>
            <w:r>
              <w:rPr>
                <w:b/>
                <w:bCs/>
                <w:color w:val="000000"/>
                <w:sz w:val="20"/>
                <w:lang w:val="en-GB"/>
              </w:rPr>
              <w:t>ACT</w:t>
            </w:r>
            <w:r w:rsidRPr="005C4B64">
              <w:rPr>
                <w:b/>
                <w:bCs/>
                <w:color w:val="000000"/>
                <w:sz w:val="20"/>
                <w:lang w:val="en-GB"/>
              </w:rPr>
              <w:t xml:space="preserve"> </w:t>
            </w:r>
            <w:r w:rsidR="00731529" w:rsidRPr="005C4B64">
              <w:rPr>
                <w:b/>
                <w:bCs/>
                <w:color w:val="000000"/>
                <w:sz w:val="20"/>
                <w:lang w:val="en-GB"/>
              </w:rPr>
              <w:br/>
              <w:t xml:space="preserve">8 mg/kg </w:t>
            </w:r>
            <w:r w:rsidR="00731529" w:rsidRPr="005C4B64">
              <w:rPr>
                <w:b/>
                <w:bCs/>
                <w:color w:val="000000"/>
                <w:sz w:val="20"/>
                <w:lang w:val="en-GB"/>
              </w:rPr>
              <w:br/>
              <w:t>+ DMARD</w:t>
            </w:r>
          </w:p>
          <w:p w:rsidR="005C4B64" w:rsidRPr="005C4B64" w:rsidRDefault="005C4B64" w:rsidP="001F3753">
            <w:pPr>
              <w:jc w:val="center"/>
              <w:rPr>
                <w:b/>
                <w:bCs/>
                <w:color w:val="000000"/>
                <w:sz w:val="20"/>
                <w:lang w:val="en-GB"/>
              </w:rPr>
            </w:pPr>
          </w:p>
          <w:p w:rsidR="00731529" w:rsidRPr="005C4B64" w:rsidRDefault="005C4B64" w:rsidP="001F3753">
            <w:pPr>
              <w:jc w:val="center"/>
              <w:rPr>
                <w:b/>
                <w:bCs/>
                <w:color w:val="000000"/>
                <w:sz w:val="20"/>
                <w:lang w:val="en-GB"/>
              </w:rPr>
            </w:pPr>
            <w:r>
              <w:rPr>
                <w:b/>
                <w:bCs/>
                <w:color w:val="000000"/>
                <w:sz w:val="20"/>
                <w:lang w:val="en-GB"/>
              </w:rPr>
              <w:t>n</w:t>
            </w:r>
            <w:r w:rsidR="00731529" w:rsidRPr="005C4B64">
              <w:rPr>
                <w:b/>
                <w:bCs/>
                <w:color w:val="000000"/>
                <w:sz w:val="20"/>
                <w:lang w:val="en-GB"/>
              </w:rPr>
              <w:t>=803</w:t>
            </w:r>
          </w:p>
        </w:tc>
        <w:tc>
          <w:tcPr>
            <w:tcW w:w="863" w:type="dxa"/>
            <w:gridSpan w:val="2"/>
            <w:shd w:val="clear" w:color="auto" w:fill="auto"/>
            <w:noWrap/>
          </w:tcPr>
          <w:p w:rsidR="00731529" w:rsidRPr="00AF0F45" w:rsidRDefault="00731529" w:rsidP="001F3753">
            <w:pPr>
              <w:jc w:val="center"/>
              <w:rPr>
                <w:b/>
                <w:bCs/>
                <w:color w:val="000000"/>
                <w:sz w:val="20"/>
                <w:lang w:val="en-GB"/>
              </w:rPr>
            </w:pPr>
            <w:r w:rsidRPr="00AF0F45">
              <w:rPr>
                <w:b/>
                <w:bCs/>
                <w:color w:val="000000"/>
                <w:sz w:val="20"/>
                <w:lang w:val="en-GB"/>
              </w:rPr>
              <w:t>Placebo + DMA</w:t>
            </w:r>
            <w:r w:rsidR="005C4B64">
              <w:rPr>
                <w:b/>
                <w:bCs/>
                <w:color w:val="000000"/>
                <w:sz w:val="20"/>
                <w:lang w:val="en-GB"/>
              </w:rPr>
              <w:t xml:space="preserve">RD </w:t>
            </w:r>
            <w:r w:rsidR="005C4B64">
              <w:rPr>
                <w:b/>
                <w:bCs/>
                <w:color w:val="000000"/>
                <w:sz w:val="20"/>
                <w:lang w:val="en-GB"/>
              </w:rPr>
              <w:br/>
            </w:r>
            <w:r w:rsidR="005C4B64">
              <w:rPr>
                <w:b/>
                <w:bCs/>
                <w:color w:val="000000"/>
                <w:sz w:val="20"/>
                <w:lang w:val="en-GB"/>
              </w:rPr>
              <w:br/>
              <w:t>n</w:t>
            </w:r>
            <w:r w:rsidRPr="00AF0F45">
              <w:rPr>
                <w:b/>
                <w:bCs/>
                <w:color w:val="000000"/>
                <w:sz w:val="20"/>
                <w:lang w:val="en-GB"/>
              </w:rPr>
              <w:t>=413</w:t>
            </w:r>
          </w:p>
        </w:tc>
        <w:tc>
          <w:tcPr>
            <w:tcW w:w="778" w:type="dxa"/>
            <w:shd w:val="clear" w:color="auto" w:fill="auto"/>
            <w:noWrap/>
          </w:tcPr>
          <w:p w:rsidR="00731529" w:rsidRPr="005C4B64" w:rsidRDefault="008F5338" w:rsidP="001F3753">
            <w:pPr>
              <w:jc w:val="center"/>
              <w:rPr>
                <w:b/>
                <w:bCs/>
                <w:color w:val="000000"/>
                <w:sz w:val="20"/>
                <w:lang w:val="en-US"/>
              </w:rPr>
            </w:pPr>
            <w:r>
              <w:rPr>
                <w:b/>
                <w:bCs/>
                <w:color w:val="000000"/>
                <w:sz w:val="20"/>
                <w:lang w:val="en-GB"/>
              </w:rPr>
              <w:t xml:space="preserve">ACT </w:t>
            </w:r>
            <w:r w:rsidR="00731529" w:rsidRPr="005C4B64">
              <w:rPr>
                <w:b/>
                <w:bCs/>
                <w:color w:val="000000"/>
                <w:sz w:val="20"/>
                <w:lang w:val="en-GB"/>
              </w:rPr>
              <w:t>8 </w:t>
            </w:r>
            <w:r w:rsidR="00731529" w:rsidRPr="005C4B64">
              <w:rPr>
                <w:b/>
                <w:bCs/>
                <w:color w:val="000000"/>
                <w:sz w:val="20"/>
                <w:lang w:val="en-US"/>
              </w:rPr>
              <w:t>mg/kg +MTX</w:t>
            </w:r>
            <w:r w:rsidR="00731529" w:rsidRPr="005C4B64">
              <w:rPr>
                <w:b/>
                <w:bCs/>
                <w:color w:val="000000"/>
                <w:sz w:val="20"/>
                <w:lang w:val="en-US"/>
              </w:rPr>
              <w:br/>
            </w:r>
          </w:p>
          <w:p w:rsidR="00731529" w:rsidRPr="005C4B64" w:rsidRDefault="005C4B64" w:rsidP="001F3753">
            <w:pPr>
              <w:jc w:val="center"/>
              <w:rPr>
                <w:b/>
                <w:bCs/>
                <w:color w:val="000000"/>
                <w:sz w:val="20"/>
                <w:lang w:val="en-US"/>
              </w:rPr>
            </w:pPr>
            <w:r>
              <w:rPr>
                <w:b/>
                <w:bCs/>
                <w:color w:val="000000"/>
                <w:sz w:val="20"/>
                <w:lang w:val="en-US"/>
              </w:rPr>
              <w:t>n</w:t>
            </w:r>
            <w:r w:rsidR="00731529" w:rsidRPr="005C4B64">
              <w:rPr>
                <w:b/>
                <w:bCs/>
                <w:color w:val="000000"/>
                <w:sz w:val="20"/>
                <w:lang w:val="en-US"/>
              </w:rPr>
              <w:t>=170</w:t>
            </w:r>
          </w:p>
        </w:tc>
        <w:tc>
          <w:tcPr>
            <w:tcW w:w="822" w:type="dxa"/>
            <w:shd w:val="clear" w:color="auto" w:fill="auto"/>
            <w:noWrap/>
          </w:tcPr>
          <w:p w:rsidR="00731529" w:rsidRPr="00AF0F45" w:rsidRDefault="005C4B64" w:rsidP="001F3753">
            <w:pPr>
              <w:jc w:val="center"/>
              <w:rPr>
                <w:b/>
                <w:bCs/>
                <w:color w:val="000000"/>
                <w:sz w:val="20"/>
                <w:lang w:val="en-GB"/>
              </w:rPr>
            </w:pPr>
            <w:r>
              <w:rPr>
                <w:b/>
                <w:bCs/>
                <w:color w:val="000000"/>
                <w:sz w:val="20"/>
                <w:lang w:val="en-US"/>
              </w:rPr>
              <w:t>Placebo</w:t>
            </w:r>
            <w:r>
              <w:rPr>
                <w:b/>
                <w:bCs/>
                <w:color w:val="000000"/>
                <w:sz w:val="20"/>
                <w:lang w:val="en-US"/>
              </w:rPr>
              <w:br/>
              <w:t>+MTX</w:t>
            </w:r>
            <w:r>
              <w:rPr>
                <w:b/>
                <w:bCs/>
                <w:color w:val="000000"/>
                <w:sz w:val="20"/>
                <w:lang w:val="en-US"/>
              </w:rPr>
              <w:br/>
            </w:r>
            <w:r>
              <w:rPr>
                <w:b/>
                <w:bCs/>
                <w:color w:val="000000"/>
                <w:sz w:val="20"/>
                <w:lang w:val="en-US"/>
              </w:rPr>
              <w:br/>
            </w:r>
            <w:r>
              <w:rPr>
                <w:b/>
                <w:bCs/>
                <w:color w:val="000000"/>
                <w:sz w:val="20"/>
                <w:lang w:val="en-US"/>
              </w:rPr>
              <w:br/>
              <w:t> n</w:t>
            </w:r>
            <w:r w:rsidR="00731529" w:rsidRPr="005C4B64">
              <w:rPr>
                <w:b/>
                <w:bCs/>
                <w:color w:val="000000"/>
                <w:sz w:val="20"/>
                <w:lang w:val="en-US"/>
              </w:rPr>
              <w:t>=158</w:t>
            </w:r>
          </w:p>
        </w:tc>
      </w:tr>
      <w:tr w:rsidR="00731529" w:rsidRPr="00553D8A" w:rsidTr="00EE7332">
        <w:tblPrEx>
          <w:tblCellSpacing w:w="15" w:type="dxa"/>
        </w:tblPrEx>
        <w:trPr>
          <w:tblCellSpacing w:w="15" w:type="dxa"/>
          <w:jc w:val="center"/>
        </w:trPr>
        <w:tc>
          <w:tcPr>
            <w:tcW w:w="10044" w:type="dxa"/>
            <w:gridSpan w:val="14"/>
            <w:shd w:val="clear" w:color="auto" w:fill="auto"/>
          </w:tcPr>
          <w:p w:rsidR="00731529" w:rsidRPr="007B58C0" w:rsidRDefault="00731529" w:rsidP="001F3753">
            <w:pPr>
              <w:rPr>
                <w:b/>
                <w:color w:val="000000"/>
                <w:szCs w:val="24"/>
              </w:rPr>
            </w:pPr>
            <w:r w:rsidRPr="007B58C0">
              <w:rPr>
                <w:b/>
                <w:color w:val="000000"/>
                <w:szCs w:val="24"/>
              </w:rPr>
              <w:t>Change in DAS28 [mean (Adjusted mean (SE))]</w:t>
            </w:r>
          </w:p>
        </w:tc>
      </w:tr>
      <w:tr w:rsidR="005C4B64" w:rsidRPr="00AF0F45" w:rsidTr="00EE7332">
        <w:tblPrEx>
          <w:tblCellSpacing w:w="15" w:type="dxa"/>
        </w:tblPrEx>
        <w:trPr>
          <w:tblCellSpacing w:w="15" w:type="dxa"/>
          <w:jc w:val="center"/>
        </w:trPr>
        <w:tc>
          <w:tcPr>
            <w:tcW w:w="1101" w:type="dxa"/>
            <w:gridSpan w:val="2"/>
            <w:shd w:val="clear" w:color="auto" w:fill="auto"/>
          </w:tcPr>
          <w:p w:rsidR="00731529" w:rsidRPr="00AF0F45" w:rsidRDefault="00731529" w:rsidP="001F3753">
            <w:pPr>
              <w:jc w:val="center"/>
              <w:rPr>
                <w:rFonts w:eastAsia="MS Mincho"/>
                <w:color w:val="000000"/>
                <w:sz w:val="20"/>
                <w:lang w:val="en-GB"/>
              </w:rPr>
            </w:pPr>
            <w:r w:rsidRPr="00AF0F45">
              <w:rPr>
                <w:rFonts w:eastAsia="MS Mincho" w:hint="eastAsia"/>
                <w:color w:val="000000"/>
                <w:sz w:val="20"/>
                <w:lang w:val="en-GB"/>
              </w:rPr>
              <w:t>Week 24</w:t>
            </w:r>
          </w:p>
        </w:tc>
        <w:tc>
          <w:tcPr>
            <w:tcW w:w="885" w:type="dxa"/>
            <w:shd w:val="clear" w:color="auto" w:fill="auto"/>
          </w:tcPr>
          <w:p w:rsidR="00731529" w:rsidRPr="00AF0F45" w:rsidRDefault="00731529" w:rsidP="001F3753">
            <w:pPr>
              <w:jc w:val="center"/>
              <w:rPr>
                <w:color w:val="000000"/>
                <w:sz w:val="20"/>
                <w:lang w:val="en-GB"/>
              </w:rPr>
            </w:pPr>
            <w:r w:rsidRPr="00AF0F45">
              <w:rPr>
                <w:color w:val="000000"/>
                <w:sz w:val="20"/>
                <w:lang w:val="en-GB"/>
              </w:rPr>
              <w:t>-3.31 (0.12)</w:t>
            </w:r>
          </w:p>
        </w:tc>
        <w:tc>
          <w:tcPr>
            <w:tcW w:w="662" w:type="dxa"/>
            <w:shd w:val="clear" w:color="auto" w:fill="auto"/>
          </w:tcPr>
          <w:p w:rsidR="00731529" w:rsidRPr="00AF0F45" w:rsidDel="00910E53" w:rsidRDefault="00731529" w:rsidP="001F3753">
            <w:pPr>
              <w:jc w:val="center"/>
              <w:rPr>
                <w:color w:val="000000"/>
                <w:sz w:val="20"/>
                <w:lang w:val="en-GB"/>
              </w:rPr>
            </w:pPr>
            <w:r w:rsidRPr="00AF0F45">
              <w:rPr>
                <w:color w:val="000000"/>
                <w:sz w:val="20"/>
                <w:lang w:val="en-GB"/>
              </w:rPr>
              <w:t>-2.05 (0.12)</w:t>
            </w:r>
          </w:p>
        </w:tc>
        <w:tc>
          <w:tcPr>
            <w:tcW w:w="887" w:type="dxa"/>
            <w:shd w:val="clear" w:color="auto" w:fill="auto"/>
          </w:tcPr>
          <w:p w:rsidR="00731529" w:rsidRPr="00AF0F45" w:rsidRDefault="00731529" w:rsidP="001F3753">
            <w:pPr>
              <w:jc w:val="center"/>
              <w:rPr>
                <w:color w:val="000000"/>
                <w:sz w:val="20"/>
                <w:lang w:val="en-GB"/>
              </w:rPr>
            </w:pPr>
            <w:r w:rsidRPr="00AF0F45">
              <w:rPr>
                <w:color w:val="000000"/>
                <w:sz w:val="20"/>
                <w:lang w:val="en-GB"/>
              </w:rPr>
              <w:t>-3.11 (0.09)</w:t>
            </w:r>
            <w:r w:rsidRPr="00AF0F45">
              <w:rPr>
                <w:color w:val="000000"/>
                <w:sz w:val="16"/>
                <w:szCs w:val="16"/>
                <w:lang w:val="en-GB"/>
              </w:rPr>
              <w:t>***</w:t>
            </w:r>
          </w:p>
        </w:tc>
        <w:tc>
          <w:tcPr>
            <w:tcW w:w="835" w:type="dxa"/>
            <w:shd w:val="clear" w:color="auto" w:fill="auto"/>
          </w:tcPr>
          <w:p w:rsidR="00731529" w:rsidRPr="00AF0F45" w:rsidRDefault="00731529" w:rsidP="001F3753">
            <w:pPr>
              <w:jc w:val="center"/>
              <w:rPr>
                <w:color w:val="000000"/>
                <w:sz w:val="20"/>
                <w:lang w:val="en-GB"/>
              </w:rPr>
            </w:pPr>
            <w:r w:rsidRPr="00AF0F45">
              <w:rPr>
                <w:color w:val="000000"/>
                <w:sz w:val="20"/>
                <w:lang w:val="en-GB"/>
              </w:rPr>
              <w:t>-1.45 (0.11)</w:t>
            </w:r>
          </w:p>
        </w:tc>
        <w:tc>
          <w:tcPr>
            <w:tcW w:w="948" w:type="dxa"/>
            <w:shd w:val="clear" w:color="auto" w:fill="auto"/>
          </w:tcPr>
          <w:p w:rsidR="00731529" w:rsidRPr="00AF0F45" w:rsidRDefault="00731529" w:rsidP="001F3753">
            <w:pPr>
              <w:jc w:val="center"/>
              <w:rPr>
                <w:color w:val="000000"/>
                <w:sz w:val="20"/>
                <w:lang w:val="en-GB"/>
              </w:rPr>
            </w:pPr>
            <w:r w:rsidRPr="00AF0F45">
              <w:rPr>
                <w:color w:val="000000"/>
                <w:sz w:val="20"/>
                <w:lang w:val="en-GB"/>
              </w:rPr>
              <w:t xml:space="preserve"> -3.43 </w:t>
            </w:r>
            <w:r w:rsidRPr="00AF0F45">
              <w:rPr>
                <w:color w:val="000000"/>
                <w:sz w:val="20"/>
                <w:lang w:val="en-GB"/>
              </w:rPr>
              <w:br/>
              <w:t>(0.12)***</w:t>
            </w:r>
          </w:p>
        </w:tc>
        <w:tc>
          <w:tcPr>
            <w:tcW w:w="835" w:type="dxa"/>
            <w:shd w:val="clear" w:color="auto" w:fill="auto"/>
          </w:tcPr>
          <w:p w:rsidR="00731529" w:rsidRPr="00AF0F45" w:rsidRDefault="00731529" w:rsidP="001F3753">
            <w:pPr>
              <w:jc w:val="center"/>
              <w:rPr>
                <w:color w:val="000000"/>
                <w:sz w:val="20"/>
                <w:lang w:val="en-GB"/>
              </w:rPr>
            </w:pPr>
            <w:r w:rsidRPr="00AF0F45">
              <w:rPr>
                <w:color w:val="000000"/>
                <w:sz w:val="20"/>
                <w:lang w:val="en-GB"/>
              </w:rPr>
              <w:t>-1.55 (0.15)</w:t>
            </w:r>
          </w:p>
        </w:tc>
        <w:tc>
          <w:tcPr>
            <w:tcW w:w="947" w:type="dxa"/>
            <w:shd w:val="clear" w:color="auto" w:fill="auto"/>
          </w:tcPr>
          <w:p w:rsidR="00731529" w:rsidRPr="00AF0F45" w:rsidRDefault="00731529" w:rsidP="001F3753">
            <w:pPr>
              <w:jc w:val="center"/>
              <w:rPr>
                <w:color w:val="000000"/>
                <w:sz w:val="20"/>
                <w:lang w:val="en-GB"/>
              </w:rPr>
            </w:pPr>
            <w:r w:rsidRPr="00AF0F45">
              <w:rPr>
                <w:color w:val="000000"/>
                <w:sz w:val="20"/>
                <w:lang w:val="en-GB"/>
              </w:rPr>
              <w:t>-3.17 (0.07)***</w:t>
            </w:r>
          </w:p>
        </w:tc>
        <w:tc>
          <w:tcPr>
            <w:tcW w:w="868" w:type="dxa"/>
            <w:gridSpan w:val="2"/>
            <w:shd w:val="clear" w:color="auto" w:fill="auto"/>
          </w:tcPr>
          <w:p w:rsidR="00731529" w:rsidRPr="00AF0F45" w:rsidRDefault="00731529" w:rsidP="001F3753">
            <w:pPr>
              <w:jc w:val="center"/>
              <w:rPr>
                <w:color w:val="000000"/>
                <w:sz w:val="20"/>
                <w:lang w:val="en-GB"/>
              </w:rPr>
            </w:pPr>
            <w:r w:rsidRPr="00AF0F45">
              <w:rPr>
                <w:color w:val="000000"/>
                <w:sz w:val="20"/>
                <w:lang w:val="en-GB"/>
              </w:rPr>
              <w:t>-1.16 (0.09)</w:t>
            </w:r>
          </w:p>
        </w:tc>
        <w:tc>
          <w:tcPr>
            <w:tcW w:w="854" w:type="dxa"/>
            <w:gridSpan w:val="2"/>
            <w:shd w:val="clear" w:color="auto" w:fill="auto"/>
          </w:tcPr>
          <w:p w:rsidR="00731529" w:rsidRDefault="00731529" w:rsidP="001F3753">
            <w:pPr>
              <w:jc w:val="center"/>
              <w:rPr>
                <w:color w:val="000000"/>
                <w:sz w:val="20"/>
                <w:lang w:val="pt-BR"/>
              </w:rPr>
            </w:pPr>
            <w:r w:rsidRPr="00AF0F45">
              <w:rPr>
                <w:color w:val="000000"/>
                <w:sz w:val="20"/>
                <w:lang w:val="pt-BR"/>
              </w:rPr>
              <w:t>-3.16</w:t>
            </w:r>
            <w:r w:rsidRPr="00AF0F45">
              <w:rPr>
                <w:color w:val="000000"/>
                <w:sz w:val="20"/>
                <w:lang w:val="pt-BR"/>
              </w:rPr>
              <w:br/>
              <w:t>(0.14)</w:t>
            </w:r>
          </w:p>
          <w:p w:rsidR="00731529" w:rsidRPr="00AF0F45" w:rsidDel="00260C24" w:rsidRDefault="00731529" w:rsidP="001F3753">
            <w:pPr>
              <w:jc w:val="center"/>
              <w:rPr>
                <w:color w:val="000000"/>
                <w:sz w:val="20"/>
                <w:lang w:val="en-GB"/>
              </w:rPr>
            </w:pPr>
            <w:r w:rsidRPr="007A3D1E">
              <w:rPr>
                <w:color w:val="000000"/>
                <w:sz w:val="16"/>
                <w:szCs w:val="16"/>
                <w:lang w:val="pt-BR"/>
              </w:rPr>
              <w:t>***</w:t>
            </w:r>
          </w:p>
        </w:tc>
        <w:tc>
          <w:tcPr>
            <w:tcW w:w="822" w:type="dxa"/>
            <w:shd w:val="clear" w:color="auto" w:fill="auto"/>
          </w:tcPr>
          <w:p w:rsidR="00731529" w:rsidRPr="00AF0F45" w:rsidDel="00260C24" w:rsidRDefault="00731529" w:rsidP="001F3753">
            <w:pPr>
              <w:jc w:val="center"/>
              <w:rPr>
                <w:color w:val="000000"/>
                <w:sz w:val="20"/>
                <w:lang w:val="en-GB"/>
              </w:rPr>
            </w:pPr>
            <w:r w:rsidRPr="00AF0F45">
              <w:rPr>
                <w:color w:val="000000"/>
                <w:sz w:val="20"/>
                <w:lang w:val="pt-BR"/>
              </w:rPr>
              <w:t>-0.95 (0.22)</w:t>
            </w:r>
          </w:p>
        </w:tc>
      </w:tr>
      <w:tr w:rsidR="00731529" w:rsidRPr="00AF0F45" w:rsidTr="00EE7332">
        <w:tblPrEx>
          <w:tblCellSpacing w:w="15" w:type="dxa"/>
        </w:tblPrEx>
        <w:trPr>
          <w:tblCellSpacing w:w="15" w:type="dxa"/>
          <w:jc w:val="center"/>
        </w:trPr>
        <w:tc>
          <w:tcPr>
            <w:tcW w:w="10044" w:type="dxa"/>
            <w:gridSpan w:val="14"/>
            <w:shd w:val="clear" w:color="auto" w:fill="auto"/>
          </w:tcPr>
          <w:p w:rsidR="00731529" w:rsidRPr="007B58C0" w:rsidRDefault="00731529" w:rsidP="001F3753">
            <w:pPr>
              <w:rPr>
                <w:b/>
                <w:color w:val="000000"/>
                <w:szCs w:val="24"/>
                <w:lang w:val="en-GB"/>
              </w:rPr>
            </w:pPr>
            <w:r w:rsidRPr="007B58C0">
              <w:rPr>
                <w:b/>
                <w:color w:val="000000"/>
                <w:szCs w:val="24"/>
                <w:lang w:val="en-GB"/>
              </w:rPr>
              <w:t>DAS</w:t>
            </w:r>
            <w:r w:rsidR="00D74560">
              <w:rPr>
                <w:b/>
                <w:color w:val="000000"/>
                <w:szCs w:val="24"/>
                <w:lang w:val="en-GB"/>
              </w:rPr>
              <w:t xml:space="preserve"> </w:t>
            </w:r>
            <w:r w:rsidRPr="007B58C0">
              <w:rPr>
                <w:b/>
                <w:color w:val="000000"/>
                <w:szCs w:val="24"/>
                <w:lang w:val="en-GB"/>
              </w:rPr>
              <w:t>&lt;</w:t>
            </w:r>
            <w:r w:rsidR="00D74560">
              <w:rPr>
                <w:b/>
                <w:color w:val="000000"/>
                <w:szCs w:val="24"/>
                <w:lang w:val="en-GB"/>
              </w:rPr>
              <w:t xml:space="preserve"> </w:t>
            </w:r>
            <w:r w:rsidRPr="007B58C0">
              <w:rPr>
                <w:b/>
                <w:color w:val="000000"/>
                <w:szCs w:val="24"/>
                <w:lang w:val="en-GB"/>
              </w:rPr>
              <w:t>2.6 response (%)</w:t>
            </w:r>
          </w:p>
        </w:tc>
      </w:tr>
      <w:tr w:rsidR="005C4B64" w:rsidRPr="00AF0F45" w:rsidTr="00EE7332">
        <w:tblPrEx>
          <w:tblCellSpacing w:w="15" w:type="dxa"/>
        </w:tblPrEx>
        <w:trPr>
          <w:tblCellSpacing w:w="15" w:type="dxa"/>
          <w:jc w:val="center"/>
        </w:trPr>
        <w:tc>
          <w:tcPr>
            <w:tcW w:w="1026" w:type="dxa"/>
            <w:shd w:val="clear" w:color="auto" w:fill="auto"/>
          </w:tcPr>
          <w:p w:rsidR="00731529" w:rsidRPr="00AF0F45" w:rsidRDefault="00731529" w:rsidP="001F3753">
            <w:pPr>
              <w:jc w:val="center"/>
              <w:rPr>
                <w:color w:val="000000"/>
                <w:sz w:val="20"/>
                <w:lang w:val="en-GB"/>
              </w:rPr>
            </w:pPr>
            <w:r w:rsidRPr="00AF0F45">
              <w:rPr>
                <w:rFonts w:eastAsia="MS Mincho" w:hint="eastAsia"/>
                <w:color w:val="000000"/>
                <w:sz w:val="20"/>
                <w:lang w:val="en-GB"/>
              </w:rPr>
              <w:t>Week 24</w:t>
            </w:r>
          </w:p>
        </w:tc>
        <w:tc>
          <w:tcPr>
            <w:tcW w:w="960" w:type="dxa"/>
            <w:gridSpan w:val="2"/>
            <w:shd w:val="clear" w:color="auto" w:fill="auto"/>
          </w:tcPr>
          <w:p w:rsidR="00731529" w:rsidRPr="00AF0F45" w:rsidRDefault="00731529" w:rsidP="001F3753">
            <w:pPr>
              <w:jc w:val="center"/>
              <w:rPr>
                <w:color w:val="000000"/>
                <w:sz w:val="20"/>
                <w:lang w:val="en-GB"/>
              </w:rPr>
            </w:pPr>
            <w:r w:rsidRPr="00AF0F45">
              <w:rPr>
                <w:color w:val="000000"/>
                <w:sz w:val="20"/>
                <w:lang w:val="en-GB"/>
              </w:rPr>
              <w:t>33.6%</w:t>
            </w:r>
          </w:p>
        </w:tc>
        <w:tc>
          <w:tcPr>
            <w:tcW w:w="662" w:type="dxa"/>
            <w:shd w:val="clear" w:color="auto" w:fill="auto"/>
          </w:tcPr>
          <w:p w:rsidR="00731529" w:rsidRPr="00AF0F45" w:rsidRDefault="00731529" w:rsidP="001F3753">
            <w:pPr>
              <w:jc w:val="center"/>
              <w:rPr>
                <w:color w:val="000000"/>
                <w:sz w:val="20"/>
                <w:lang w:val="en-GB"/>
              </w:rPr>
            </w:pPr>
            <w:r w:rsidRPr="00AF0F45">
              <w:rPr>
                <w:color w:val="000000"/>
                <w:sz w:val="20"/>
                <w:lang w:val="en-GB"/>
              </w:rPr>
              <w:t>12.1%</w:t>
            </w:r>
          </w:p>
        </w:tc>
        <w:tc>
          <w:tcPr>
            <w:tcW w:w="887" w:type="dxa"/>
            <w:shd w:val="clear" w:color="auto" w:fill="auto"/>
          </w:tcPr>
          <w:p w:rsidR="00E42C00" w:rsidRDefault="00E42C00" w:rsidP="001F3753">
            <w:pPr>
              <w:jc w:val="center"/>
              <w:rPr>
                <w:color w:val="000000"/>
                <w:sz w:val="20"/>
                <w:lang w:val="en-GB"/>
              </w:rPr>
            </w:pPr>
            <w:r w:rsidRPr="00E42C00">
              <w:rPr>
                <w:rFonts w:eastAsia="MS Mincho"/>
                <w:i/>
                <w:iCs/>
                <w:color w:val="000000"/>
                <w:sz w:val="20"/>
                <w:lang w:val="en-GB"/>
              </w:rPr>
              <w:t>≠</w:t>
            </w:r>
            <w:r w:rsidR="00731529" w:rsidRPr="00AF0F45">
              <w:rPr>
                <w:color w:val="000000"/>
                <w:sz w:val="20"/>
                <w:lang w:val="en-GB"/>
              </w:rPr>
              <w:t>33.3%</w:t>
            </w:r>
          </w:p>
          <w:p w:rsidR="00731529" w:rsidRPr="00AF0F45" w:rsidRDefault="00731529" w:rsidP="001F3753">
            <w:pPr>
              <w:jc w:val="center"/>
              <w:rPr>
                <w:color w:val="000000"/>
                <w:sz w:val="20"/>
                <w:lang w:val="en-GB"/>
              </w:rPr>
            </w:pPr>
            <w:r w:rsidRPr="00AF0F45">
              <w:rPr>
                <w:color w:val="000000"/>
                <w:sz w:val="16"/>
                <w:szCs w:val="16"/>
                <w:lang w:val="en-GB"/>
              </w:rPr>
              <w:t>***</w:t>
            </w:r>
          </w:p>
        </w:tc>
        <w:tc>
          <w:tcPr>
            <w:tcW w:w="835" w:type="dxa"/>
            <w:shd w:val="clear" w:color="auto" w:fill="auto"/>
          </w:tcPr>
          <w:p w:rsidR="00731529" w:rsidRPr="00AF0F45" w:rsidRDefault="003C5C53" w:rsidP="001F3753">
            <w:pPr>
              <w:jc w:val="center"/>
              <w:rPr>
                <w:color w:val="000000"/>
                <w:sz w:val="20"/>
                <w:lang w:val="en-GB"/>
              </w:rPr>
            </w:pPr>
            <w:r w:rsidRPr="00736B32">
              <w:rPr>
                <w:rFonts w:eastAsia="MS Mincho"/>
                <w:color w:val="000000"/>
                <w:sz w:val="22"/>
                <w:szCs w:val="22"/>
                <w:lang w:val="pt-BR"/>
              </w:rPr>
              <w:t>^</w:t>
            </w:r>
            <w:r w:rsidR="00731529" w:rsidRPr="00AF0F45">
              <w:rPr>
                <w:color w:val="000000"/>
                <w:sz w:val="20"/>
                <w:lang w:val="en-GB"/>
              </w:rPr>
              <w:t>3.8%</w:t>
            </w:r>
          </w:p>
        </w:tc>
        <w:tc>
          <w:tcPr>
            <w:tcW w:w="948" w:type="dxa"/>
            <w:shd w:val="clear" w:color="auto" w:fill="auto"/>
          </w:tcPr>
          <w:p w:rsidR="00731529" w:rsidRPr="00AF0F45" w:rsidRDefault="00731529" w:rsidP="001F3753">
            <w:pPr>
              <w:jc w:val="center"/>
              <w:rPr>
                <w:color w:val="000000"/>
                <w:sz w:val="20"/>
                <w:lang w:val="en-GB"/>
              </w:rPr>
            </w:pPr>
            <w:r w:rsidRPr="00AF0F45">
              <w:rPr>
                <w:color w:val="000000"/>
                <w:sz w:val="20"/>
                <w:lang w:val="en-GB"/>
              </w:rPr>
              <w:t>27.5%***</w:t>
            </w:r>
          </w:p>
        </w:tc>
        <w:tc>
          <w:tcPr>
            <w:tcW w:w="835" w:type="dxa"/>
            <w:shd w:val="clear" w:color="auto" w:fill="auto"/>
          </w:tcPr>
          <w:p w:rsidR="00731529" w:rsidRPr="00AF0F45" w:rsidRDefault="00731529" w:rsidP="001F3753">
            <w:pPr>
              <w:jc w:val="center"/>
              <w:rPr>
                <w:color w:val="000000"/>
                <w:sz w:val="20"/>
                <w:lang w:val="en-GB"/>
              </w:rPr>
            </w:pPr>
            <w:r w:rsidRPr="00AF0F45">
              <w:rPr>
                <w:color w:val="000000"/>
                <w:sz w:val="20"/>
                <w:lang w:val="en-GB"/>
              </w:rPr>
              <w:t>0.8%</w:t>
            </w:r>
          </w:p>
        </w:tc>
        <w:tc>
          <w:tcPr>
            <w:tcW w:w="947" w:type="dxa"/>
            <w:shd w:val="clear" w:color="auto" w:fill="auto"/>
          </w:tcPr>
          <w:p w:rsidR="00731529" w:rsidRPr="00AF0F45" w:rsidRDefault="00731529" w:rsidP="001F3753">
            <w:pPr>
              <w:jc w:val="center"/>
              <w:rPr>
                <w:color w:val="000000"/>
                <w:sz w:val="20"/>
                <w:lang w:val="en-GB"/>
              </w:rPr>
            </w:pPr>
            <w:r w:rsidRPr="00AF0F45">
              <w:rPr>
                <w:color w:val="000000"/>
                <w:sz w:val="20"/>
                <w:lang w:val="en-GB"/>
              </w:rPr>
              <w:t>30.2%***</w:t>
            </w:r>
          </w:p>
        </w:tc>
        <w:tc>
          <w:tcPr>
            <w:tcW w:w="868" w:type="dxa"/>
            <w:gridSpan w:val="2"/>
            <w:shd w:val="clear" w:color="auto" w:fill="auto"/>
          </w:tcPr>
          <w:p w:rsidR="00731529" w:rsidRPr="00AF0F45" w:rsidRDefault="00731529" w:rsidP="001F3753">
            <w:pPr>
              <w:jc w:val="center"/>
              <w:rPr>
                <w:color w:val="000000"/>
                <w:sz w:val="20"/>
                <w:lang w:val="en-GB"/>
              </w:rPr>
            </w:pPr>
            <w:r w:rsidRPr="00AF0F45">
              <w:rPr>
                <w:color w:val="000000"/>
                <w:sz w:val="20"/>
                <w:lang w:val="en-GB"/>
              </w:rPr>
              <w:t>3.4%</w:t>
            </w:r>
          </w:p>
        </w:tc>
        <w:tc>
          <w:tcPr>
            <w:tcW w:w="854" w:type="dxa"/>
            <w:gridSpan w:val="2"/>
            <w:shd w:val="clear" w:color="auto" w:fill="auto"/>
          </w:tcPr>
          <w:p w:rsidR="00731529" w:rsidRDefault="00731529" w:rsidP="001F3753">
            <w:pPr>
              <w:jc w:val="center"/>
              <w:rPr>
                <w:color w:val="000000"/>
                <w:sz w:val="20"/>
                <w:lang w:val="pt-BR"/>
              </w:rPr>
            </w:pPr>
            <w:r w:rsidRPr="00AF0F45">
              <w:rPr>
                <w:color w:val="000000"/>
                <w:sz w:val="20"/>
                <w:lang w:val="pt-BR"/>
              </w:rPr>
              <w:t>30.1%</w:t>
            </w:r>
          </w:p>
          <w:p w:rsidR="00731529" w:rsidRPr="00AF0F45" w:rsidDel="00260C24" w:rsidRDefault="00731529" w:rsidP="001F3753">
            <w:pPr>
              <w:jc w:val="center"/>
              <w:rPr>
                <w:color w:val="000000"/>
                <w:sz w:val="20"/>
                <w:lang w:val="en-GB"/>
              </w:rPr>
            </w:pPr>
            <w:r w:rsidRPr="00AF0F45">
              <w:rPr>
                <w:color w:val="000000"/>
                <w:sz w:val="20"/>
                <w:lang w:val="pt-BR"/>
              </w:rPr>
              <w:t>***</w:t>
            </w:r>
          </w:p>
        </w:tc>
        <w:tc>
          <w:tcPr>
            <w:tcW w:w="822" w:type="dxa"/>
            <w:shd w:val="clear" w:color="auto" w:fill="auto"/>
          </w:tcPr>
          <w:p w:rsidR="00731529" w:rsidRPr="00AF0F45" w:rsidDel="00260C24" w:rsidRDefault="00731529" w:rsidP="001F3753">
            <w:pPr>
              <w:jc w:val="center"/>
              <w:rPr>
                <w:color w:val="000000"/>
                <w:sz w:val="20"/>
                <w:lang w:val="en-GB"/>
              </w:rPr>
            </w:pPr>
            <w:r w:rsidRPr="00AF0F45">
              <w:rPr>
                <w:color w:val="000000"/>
                <w:sz w:val="20"/>
                <w:lang w:val="pt-BR"/>
              </w:rPr>
              <w:t>1.6%</w:t>
            </w:r>
          </w:p>
        </w:tc>
      </w:tr>
      <w:tr w:rsidR="00731529" w:rsidRPr="00AF0F45" w:rsidTr="00EE7332">
        <w:tblPrEx>
          <w:tblCellSpacing w:w="15" w:type="dxa"/>
        </w:tblPrEx>
        <w:trPr>
          <w:tblCellSpacing w:w="15" w:type="dxa"/>
          <w:jc w:val="center"/>
        </w:trPr>
        <w:tc>
          <w:tcPr>
            <w:tcW w:w="10044" w:type="dxa"/>
            <w:gridSpan w:val="14"/>
            <w:shd w:val="clear" w:color="auto" w:fill="auto"/>
          </w:tcPr>
          <w:p w:rsidR="00731529" w:rsidRPr="007B58C0" w:rsidRDefault="00731529" w:rsidP="001F3753">
            <w:pPr>
              <w:rPr>
                <w:b/>
                <w:color w:val="000000"/>
                <w:szCs w:val="24"/>
                <w:lang w:val="en-GB"/>
              </w:rPr>
            </w:pPr>
            <w:r w:rsidRPr="007B58C0">
              <w:rPr>
                <w:b/>
                <w:color w:val="000000"/>
                <w:szCs w:val="24"/>
                <w:lang w:val="en-GB"/>
              </w:rPr>
              <w:t>EULAR response (%)</w:t>
            </w:r>
          </w:p>
        </w:tc>
      </w:tr>
      <w:tr w:rsidR="005C4B64" w:rsidRPr="00976712" w:rsidTr="00EE7332">
        <w:tblPrEx>
          <w:tblCellSpacing w:w="15" w:type="dxa"/>
        </w:tblPrEx>
        <w:trPr>
          <w:tblCellSpacing w:w="15" w:type="dxa"/>
          <w:jc w:val="center"/>
        </w:trPr>
        <w:tc>
          <w:tcPr>
            <w:tcW w:w="1101" w:type="dxa"/>
            <w:gridSpan w:val="2"/>
            <w:shd w:val="clear" w:color="auto" w:fill="auto"/>
          </w:tcPr>
          <w:p w:rsidR="00731529" w:rsidRPr="00976712" w:rsidRDefault="00731529" w:rsidP="001F3753">
            <w:pPr>
              <w:jc w:val="center"/>
              <w:rPr>
                <w:color w:val="000000"/>
                <w:sz w:val="20"/>
                <w:lang w:val="en-GB"/>
              </w:rPr>
            </w:pPr>
            <w:r w:rsidRPr="00976712">
              <w:rPr>
                <w:color w:val="000000"/>
                <w:sz w:val="20"/>
                <w:lang w:val="en-GB"/>
              </w:rPr>
              <w:t>None</w:t>
            </w:r>
          </w:p>
        </w:tc>
        <w:tc>
          <w:tcPr>
            <w:tcW w:w="88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18%</w:t>
            </w:r>
          </w:p>
        </w:tc>
        <w:tc>
          <w:tcPr>
            <w:tcW w:w="662" w:type="dxa"/>
            <w:shd w:val="clear" w:color="auto" w:fill="auto"/>
          </w:tcPr>
          <w:p w:rsidR="00731529" w:rsidRPr="00976712" w:rsidRDefault="00731529" w:rsidP="001F3753">
            <w:pPr>
              <w:jc w:val="center"/>
              <w:rPr>
                <w:color w:val="000000"/>
                <w:sz w:val="20"/>
                <w:lang w:val="en-GB"/>
              </w:rPr>
            </w:pPr>
            <w:r w:rsidRPr="00976712">
              <w:rPr>
                <w:color w:val="000000"/>
                <w:sz w:val="20"/>
                <w:lang w:val="en-GB"/>
              </w:rPr>
              <w:t>35%</w:t>
            </w:r>
          </w:p>
        </w:tc>
        <w:tc>
          <w:tcPr>
            <w:tcW w:w="887" w:type="dxa"/>
            <w:shd w:val="clear" w:color="auto" w:fill="auto"/>
          </w:tcPr>
          <w:p w:rsidR="00731529" w:rsidRPr="00976712" w:rsidRDefault="00731529" w:rsidP="001F3753">
            <w:pPr>
              <w:jc w:val="center"/>
              <w:rPr>
                <w:color w:val="000000"/>
                <w:sz w:val="20"/>
                <w:lang w:val="en-GB"/>
              </w:rPr>
            </w:pPr>
            <w:r w:rsidRPr="00976712">
              <w:rPr>
                <w:color w:val="000000"/>
                <w:sz w:val="20"/>
                <w:lang w:val="en-GB"/>
              </w:rPr>
              <w:t>26%</w:t>
            </w:r>
          </w:p>
        </w:tc>
        <w:tc>
          <w:tcPr>
            <w:tcW w:w="83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65%</w:t>
            </w:r>
          </w:p>
        </w:tc>
        <w:tc>
          <w:tcPr>
            <w:tcW w:w="948" w:type="dxa"/>
            <w:shd w:val="clear" w:color="auto" w:fill="auto"/>
          </w:tcPr>
          <w:p w:rsidR="00731529" w:rsidRPr="00976712" w:rsidRDefault="00731529" w:rsidP="001F3753">
            <w:pPr>
              <w:jc w:val="center"/>
              <w:rPr>
                <w:color w:val="000000"/>
                <w:sz w:val="20"/>
                <w:lang w:val="en-GB"/>
              </w:rPr>
            </w:pPr>
            <w:r>
              <w:rPr>
                <w:color w:val="000000"/>
                <w:sz w:val="20"/>
                <w:lang w:val="en-GB"/>
              </w:rPr>
              <w:t>20</w:t>
            </w:r>
            <w:r w:rsidRPr="00976712">
              <w:rPr>
                <w:color w:val="000000"/>
                <w:sz w:val="20"/>
                <w:lang w:val="en-GB"/>
              </w:rPr>
              <w:t>%</w:t>
            </w:r>
          </w:p>
        </w:tc>
        <w:tc>
          <w:tcPr>
            <w:tcW w:w="83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65%</w:t>
            </w:r>
          </w:p>
        </w:tc>
        <w:tc>
          <w:tcPr>
            <w:tcW w:w="947" w:type="dxa"/>
            <w:shd w:val="clear" w:color="auto" w:fill="auto"/>
          </w:tcPr>
          <w:p w:rsidR="00731529" w:rsidRPr="00976712" w:rsidRDefault="00731529" w:rsidP="001F3753">
            <w:pPr>
              <w:jc w:val="center"/>
              <w:rPr>
                <w:color w:val="000000"/>
                <w:sz w:val="20"/>
                <w:lang w:val="en-GB"/>
              </w:rPr>
            </w:pPr>
            <w:r w:rsidRPr="00976712">
              <w:rPr>
                <w:color w:val="000000"/>
                <w:sz w:val="20"/>
                <w:lang w:val="en-GB"/>
              </w:rPr>
              <w:t>20%</w:t>
            </w:r>
          </w:p>
        </w:tc>
        <w:tc>
          <w:tcPr>
            <w:tcW w:w="868" w:type="dxa"/>
            <w:gridSpan w:val="2"/>
            <w:shd w:val="clear" w:color="auto" w:fill="auto"/>
          </w:tcPr>
          <w:p w:rsidR="00731529" w:rsidRPr="00976712" w:rsidRDefault="00731529" w:rsidP="001F3753">
            <w:pPr>
              <w:jc w:val="center"/>
              <w:rPr>
                <w:color w:val="000000"/>
                <w:sz w:val="20"/>
                <w:lang w:val="en-GB"/>
              </w:rPr>
            </w:pPr>
            <w:r>
              <w:rPr>
                <w:color w:val="000000"/>
                <w:sz w:val="20"/>
                <w:lang w:val="en-GB"/>
              </w:rPr>
              <w:t>62</w:t>
            </w:r>
            <w:r w:rsidRPr="00976712">
              <w:rPr>
                <w:color w:val="000000"/>
                <w:sz w:val="20"/>
                <w:lang w:val="en-GB"/>
              </w:rPr>
              <w:t>%</w:t>
            </w:r>
          </w:p>
        </w:tc>
        <w:tc>
          <w:tcPr>
            <w:tcW w:w="854" w:type="dxa"/>
            <w:gridSpan w:val="2"/>
            <w:shd w:val="clear" w:color="auto" w:fill="auto"/>
          </w:tcPr>
          <w:p w:rsidR="00731529" w:rsidRPr="00976712" w:rsidDel="00260C24" w:rsidRDefault="00731529" w:rsidP="001F3753">
            <w:pPr>
              <w:jc w:val="center"/>
              <w:rPr>
                <w:color w:val="000000"/>
                <w:sz w:val="20"/>
                <w:lang w:val="en-GB"/>
              </w:rPr>
            </w:pPr>
            <w:r w:rsidRPr="00976712">
              <w:rPr>
                <w:color w:val="000000"/>
                <w:sz w:val="20"/>
                <w:lang w:val="pt-BR"/>
              </w:rPr>
              <w:t>32%</w:t>
            </w:r>
          </w:p>
        </w:tc>
        <w:tc>
          <w:tcPr>
            <w:tcW w:w="822" w:type="dxa"/>
            <w:shd w:val="clear" w:color="auto" w:fill="auto"/>
          </w:tcPr>
          <w:p w:rsidR="00731529" w:rsidRPr="00976712" w:rsidDel="00260C24" w:rsidRDefault="00731529" w:rsidP="001F3753">
            <w:pPr>
              <w:jc w:val="center"/>
              <w:rPr>
                <w:color w:val="000000"/>
                <w:sz w:val="20"/>
                <w:lang w:val="en-GB"/>
              </w:rPr>
            </w:pPr>
            <w:r w:rsidRPr="00976712">
              <w:rPr>
                <w:color w:val="000000"/>
                <w:sz w:val="20"/>
                <w:lang w:val="pt-BR"/>
              </w:rPr>
              <w:t>84%</w:t>
            </w:r>
          </w:p>
        </w:tc>
      </w:tr>
      <w:tr w:rsidR="005C4B64" w:rsidRPr="00976712" w:rsidTr="00EE7332">
        <w:tblPrEx>
          <w:tblCellSpacing w:w="15" w:type="dxa"/>
        </w:tblPrEx>
        <w:trPr>
          <w:tblCellSpacing w:w="15" w:type="dxa"/>
          <w:jc w:val="center"/>
        </w:trPr>
        <w:tc>
          <w:tcPr>
            <w:tcW w:w="1101" w:type="dxa"/>
            <w:gridSpan w:val="2"/>
            <w:shd w:val="clear" w:color="auto" w:fill="auto"/>
          </w:tcPr>
          <w:p w:rsidR="00731529" w:rsidRPr="00976712" w:rsidRDefault="00731529" w:rsidP="001F3753">
            <w:pPr>
              <w:jc w:val="center"/>
              <w:rPr>
                <w:color w:val="000000"/>
                <w:sz w:val="20"/>
                <w:lang w:val="en-GB"/>
              </w:rPr>
            </w:pPr>
            <w:r w:rsidRPr="00976712">
              <w:rPr>
                <w:color w:val="000000"/>
                <w:sz w:val="20"/>
                <w:lang w:val="en-GB"/>
              </w:rPr>
              <w:t>Moderate</w:t>
            </w:r>
          </w:p>
        </w:tc>
        <w:tc>
          <w:tcPr>
            <w:tcW w:w="88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42%</w:t>
            </w:r>
          </w:p>
        </w:tc>
        <w:tc>
          <w:tcPr>
            <w:tcW w:w="662" w:type="dxa"/>
            <w:shd w:val="clear" w:color="auto" w:fill="auto"/>
          </w:tcPr>
          <w:p w:rsidR="00731529" w:rsidRPr="00976712" w:rsidRDefault="00731529" w:rsidP="001F3753">
            <w:pPr>
              <w:jc w:val="center"/>
              <w:rPr>
                <w:color w:val="000000"/>
                <w:sz w:val="20"/>
                <w:lang w:val="en-GB"/>
              </w:rPr>
            </w:pPr>
            <w:r w:rsidRPr="00976712">
              <w:rPr>
                <w:color w:val="000000"/>
                <w:sz w:val="20"/>
                <w:lang w:val="en-GB"/>
              </w:rPr>
              <w:t>48%</w:t>
            </w:r>
          </w:p>
        </w:tc>
        <w:tc>
          <w:tcPr>
            <w:tcW w:w="887" w:type="dxa"/>
            <w:shd w:val="clear" w:color="auto" w:fill="auto"/>
          </w:tcPr>
          <w:p w:rsidR="00731529" w:rsidRPr="00976712" w:rsidRDefault="00731529" w:rsidP="001F3753">
            <w:pPr>
              <w:jc w:val="center"/>
              <w:rPr>
                <w:color w:val="000000"/>
                <w:sz w:val="20"/>
                <w:lang w:val="en-GB"/>
              </w:rPr>
            </w:pPr>
            <w:r w:rsidRPr="00976712">
              <w:rPr>
                <w:color w:val="000000"/>
                <w:sz w:val="20"/>
                <w:lang w:val="en-GB"/>
              </w:rPr>
              <w:t>34%</w:t>
            </w:r>
          </w:p>
        </w:tc>
        <w:tc>
          <w:tcPr>
            <w:tcW w:w="83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29%</w:t>
            </w:r>
          </w:p>
        </w:tc>
        <w:tc>
          <w:tcPr>
            <w:tcW w:w="948" w:type="dxa"/>
            <w:shd w:val="clear" w:color="auto" w:fill="auto"/>
          </w:tcPr>
          <w:p w:rsidR="00731529" w:rsidRPr="00976712" w:rsidRDefault="00731529" w:rsidP="001F3753">
            <w:pPr>
              <w:jc w:val="center"/>
              <w:rPr>
                <w:color w:val="000000"/>
                <w:sz w:val="20"/>
                <w:lang w:val="en-GB"/>
              </w:rPr>
            </w:pPr>
            <w:r>
              <w:rPr>
                <w:color w:val="000000"/>
                <w:sz w:val="20"/>
                <w:lang w:val="en-GB"/>
              </w:rPr>
              <w:t>41</w:t>
            </w:r>
            <w:r w:rsidRPr="00976712">
              <w:rPr>
                <w:color w:val="000000"/>
                <w:sz w:val="20"/>
                <w:lang w:val="en-GB"/>
              </w:rPr>
              <w:t>%</w:t>
            </w:r>
          </w:p>
        </w:tc>
        <w:tc>
          <w:tcPr>
            <w:tcW w:w="83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32%</w:t>
            </w:r>
          </w:p>
        </w:tc>
        <w:tc>
          <w:tcPr>
            <w:tcW w:w="947" w:type="dxa"/>
            <w:shd w:val="clear" w:color="auto" w:fill="auto"/>
          </w:tcPr>
          <w:p w:rsidR="00731529" w:rsidRPr="00976712" w:rsidRDefault="00731529" w:rsidP="001F3753">
            <w:pPr>
              <w:jc w:val="center"/>
              <w:rPr>
                <w:color w:val="000000"/>
                <w:sz w:val="20"/>
                <w:lang w:val="en-GB"/>
              </w:rPr>
            </w:pPr>
            <w:r w:rsidRPr="00976712">
              <w:rPr>
                <w:color w:val="000000"/>
                <w:sz w:val="20"/>
                <w:lang w:val="en-GB"/>
              </w:rPr>
              <w:t>40%</w:t>
            </w:r>
          </w:p>
        </w:tc>
        <w:tc>
          <w:tcPr>
            <w:tcW w:w="868" w:type="dxa"/>
            <w:gridSpan w:val="2"/>
            <w:shd w:val="clear" w:color="auto" w:fill="auto"/>
          </w:tcPr>
          <w:p w:rsidR="00731529" w:rsidRPr="00976712" w:rsidRDefault="00731529" w:rsidP="001F3753">
            <w:pPr>
              <w:jc w:val="center"/>
              <w:rPr>
                <w:color w:val="000000"/>
                <w:sz w:val="20"/>
                <w:lang w:val="en-GB"/>
              </w:rPr>
            </w:pPr>
            <w:r w:rsidRPr="00976712">
              <w:rPr>
                <w:color w:val="000000"/>
                <w:sz w:val="20"/>
                <w:lang w:val="en-GB"/>
              </w:rPr>
              <w:t>33%</w:t>
            </w:r>
          </w:p>
        </w:tc>
        <w:tc>
          <w:tcPr>
            <w:tcW w:w="854" w:type="dxa"/>
            <w:gridSpan w:val="2"/>
            <w:shd w:val="clear" w:color="auto" w:fill="auto"/>
          </w:tcPr>
          <w:p w:rsidR="00731529" w:rsidRPr="00976712" w:rsidDel="00260C24" w:rsidRDefault="00731529" w:rsidP="001F3753">
            <w:pPr>
              <w:jc w:val="center"/>
              <w:rPr>
                <w:color w:val="000000"/>
                <w:sz w:val="20"/>
                <w:lang w:val="en-GB"/>
              </w:rPr>
            </w:pPr>
            <w:r w:rsidRPr="00976712">
              <w:rPr>
                <w:color w:val="000000"/>
                <w:sz w:val="20"/>
                <w:lang w:val="pt-BR"/>
              </w:rPr>
              <w:t>31%</w:t>
            </w:r>
          </w:p>
        </w:tc>
        <w:tc>
          <w:tcPr>
            <w:tcW w:w="822" w:type="dxa"/>
            <w:shd w:val="clear" w:color="auto" w:fill="auto"/>
          </w:tcPr>
          <w:p w:rsidR="00731529" w:rsidRPr="00976712" w:rsidDel="00260C24" w:rsidRDefault="00731529" w:rsidP="001F3753">
            <w:pPr>
              <w:jc w:val="center"/>
              <w:rPr>
                <w:color w:val="000000"/>
                <w:sz w:val="20"/>
                <w:lang w:val="en-GB"/>
              </w:rPr>
            </w:pPr>
            <w:r w:rsidRPr="00976712">
              <w:rPr>
                <w:color w:val="000000"/>
                <w:sz w:val="20"/>
                <w:lang w:val="pt-BR"/>
              </w:rPr>
              <w:t>15%</w:t>
            </w:r>
          </w:p>
        </w:tc>
      </w:tr>
      <w:tr w:rsidR="005C4B64" w:rsidRPr="00976712" w:rsidTr="00EE7332">
        <w:tblPrEx>
          <w:tblCellSpacing w:w="15" w:type="dxa"/>
        </w:tblPrEx>
        <w:trPr>
          <w:tblCellSpacing w:w="15" w:type="dxa"/>
          <w:jc w:val="center"/>
        </w:trPr>
        <w:tc>
          <w:tcPr>
            <w:tcW w:w="1101" w:type="dxa"/>
            <w:gridSpan w:val="2"/>
            <w:shd w:val="clear" w:color="auto" w:fill="auto"/>
          </w:tcPr>
          <w:p w:rsidR="00731529" w:rsidRPr="00976712" w:rsidRDefault="00731529" w:rsidP="001F3753">
            <w:pPr>
              <w:jc w:val="center"/>
              <w:rPr>
                <w:color w:val="000000"/>
                <w:sz w:val="20"/>
                <w:lang w:val="en-GB"/>
              </w:rPr>
            </w:pPr>
            <w:r w:rsidRPr="00976712">
              <w:rPr>
                <w:color w:val="000000"/>
                <w:sz w:val="20"/>
                <w:lang w:val="en-GB"/>
              </w:rPr>
              <w:t>Good</w:t>
            </w:r>
            <w:r>
              <w:rPr>
                <w:color w:val="000000"/>
                <w:sz w:val="20"/>
                <w:lang w:val="en-GB"/>
              </w:rPr>
              <w:t>†</w:t>
            </w:r>
          </w:p>
        </w:tc>
        <w:tc>
          <w:tcPr>
            <w:tcW w:w="88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40%</w:t>
            </w:r>
          </w:p>
        </w:tc>
        <w:tc>
          <w:tcPr>
            <w:tcW w:w="662" w:type="dxa"/>
            <w:shd w:val="clear" w:color="auto" w:fill="auto"/>
          </w:tcPr>
          <w:p w:rsidR="00731529" w:rsidRPr="00976712" w:rsidRDefault="00731529" w:rsidP="001F3753">
            <w:pPr>
              <w:jc w:val="center"/>
              <w:rPr>
                <w:color w:val="000000"/>
                <w:sz w:val="20"/>
                <w:lang w:val="en-GB"/>
              </w:rPr>
            </w:pPr>
            <w:r w:rsidRPr="00976712">
              <w:rPr>
                <w:color w:val="000000"/>
                <w:sz w:val="20"/>
                <w:lang w:val="en-GB"/>
              </w:rPr>
              <w:t>17%</w:t>
            </w:r>
          </w:p>
        </w:tc>
        <w:tc>
          <w:tcPr>
            <w:tcW w:w="887" w:type="dxa"/>
            <w:shd w:val="clear" w:color="auto" w:fill="auto"/>
          </w:tcPr>
          <w:p w:rsidR="00731529" w:rsidRPr="00976712" w:rsidRDefault="00731529" w:rsidP="001F3753">
            <w:pPr>
              <w:jc w:val="center"/>
              <w:rPr>
                <w:color w:val="000000"/>
                <w:sz w:val="20"/>
                <w:lang w:val="en-GB"/>
              </w:rPr>
            </w:pPr>
            <w:r w:rsidRPr="00976712">
              <w:rPr>
                <w:color w:val="000000"/>
                <w:sz w:val="20"/>
                <w:lang w:val="en-GB"/>
              </w:rPr>
              <w:t>41%</w:t>
            </w:r>
            <w:r w:rsidRPr="00AF0F45">
              <w:rPr>
                <w:color w:val="000000"/>
                <w:sz w:val="16"/>
                <w:szCs w:val="16"/>
                <w:lang w:val="en-GB"/>
              </w:rPr>
              <w:t>***</w:t>
            </w:r>
          </w:p>
        </w:tc>
        <w:tc>
          <w:tcPr>
            <w:tcW w:w="83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6%</w:t>
            </w:r>
          </w:p>
        </w:tc>
        <w:tc>
          <w:tcPr>
            <w:tcW w:w="948" w:type="dxa"/>
            <w:shd w:val="clear" w:color="auto" w:fill="auto"/>
          </w:tcPr>
          <w:p w:rsidR="00731529" w:rsidRPr="00976712" w:rsidRDefault="00731529" w:rsidP="001F3753">
            <w:pPr>
              <w:jc w:val="center"/>
              <w:rPr>
                <w:color w:val="000000"/>
                <w:sz w:val="20"/>
                <w:lang w:val="en-GB"/>
              </w:rPr>
            </w:pPr>
            <w:r w:rsidRPr="00976712">
              <w:rPr>
                <w:color w:val="000000"/>
                <w:sz w:val="20"/>
                <w:lang w:val="en-GB"/>
              </w:rPr>
              <w:t>38%***</w:t>
            </w:r>
          </w:p>
        </w:tc>
        <w:tc>
          <w:tcPr>
            <w:tcW w:w="83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3%</w:t>
            </w:r>
          </w:p>
        </w:tc>
        <w:tc>
          <w:tcPr>
            <w:tcW w:w="947" w:type="dxa"/>
            <w:shd w:val="clear" w:color="auto" w:fill="auto"/>
          </w:tcPr>
          <w:p w:rsidR="00731529" w:rsidRPr="00976712" w:rsidRDefault="00731529" w:rsidP="001F3753">
            <w:pPr>
              <w:jc w:val="center"/>
              <w:rPr>
                <w:color w:val="000000"/>
                <w:sz w:val="20"/>
                <w:lang w:val="en-GB"/>
              </w:rPr>
            </w:pPr>
            <w:r w:rsidRPr="00976712">
              <w:rPr>
                <w:color w:val="000000"/>
                <w:sz w:val="20"/>
                <w:lang w:val="en-GB"/>
              </w:rPr>
              <w:t>40%***</w:t>
            </w:r>
          </w:p>
        </w:tc>
        <w:tc>
          <w:tcPr>
            <w:tcW w:w="868" w:type="dxa"/>
            <w:gridSpan w:val="2"/>
            <w:shd w:val="clear" w:color="auto" w:fill="auto"/>
          </w:tcPr>
          <w:p w:rsidR="00731529" w:rsidRPr="00976712" w:rsidRDefault="00731529" w:rsidP="001F3753">
            <w:pPr>
              <w:jc w:val="center"/>
              <w:rPr>
                <w:color w:val="000000"/>
                <w:sz w:val="20"/>
                <w:lang w:val="en-GB"/>
              </w:rPr>
            </w:pPr>
            <w:r w:rsidRPr="00976712">
              <w:rPr>
                <w:color w:val="000000"/>
                <w:sz w:val="20"/>
                <w:lang w:val="en-GB"/>
              </w:rPr>
              <w:t>4%</w:t>
            </w:r>
          </w:p>
        </w:tc>
        <w:tc>
          <w:tcPr>
            <w:tcW w:w="854" w:type="dxa"/>
            <w:gridSpan w:val="2"/>
            <w:shd w:val="clear" w:color="auto" w:fill="auto"/>
          </w:tcPr>
          <w:p w:rsidR="00731529" w:rsidRPr="00976712" w:rsidDel="00260C24" w:rsidRDefault="00731529" w:rsidP="001F3753">
            <w:pPr>
              <w:jc w:val="center"/>
              <w:rPr>
                <w:color w:val="000000"/>
                <w:sz w:val="20"/>
                <w:lang w:val="en-GB"/>
              </w:rPr>
            </w:pPr>
            <w:r w:rsidRPr="00976712">
              <w:rPr>
                <w:color w:val="000000"/>
                <w:sz w:val="20"/>
                <w:lang w:val="en-GB"/>
              </w:rPr>
              <w:t>37%</w:t>
            </w:r>
            <w:r w:rsidRPr="00976712">
              <w:rPr>
                <w:color w:val="000000"/>
                <w:sz w:val="20"/>
                <w:lang w:val="pt-BR"/>
              </w:rPr>
              <w:t>***</w:t>
            </w:r>
          </w:p>
        </w:tc>
        <w:tc>
          <w:tcPr>
            <w:tcW w:w="822" w:type="dxa"/>
            <w:shd w:val="clear" w:color="auto" w:fill="auto"/>
          </w:tcPr>
          <w:p w:rsidR="00731529" w:rsidRPr="00976712" w:rsidDel="00260C24" w:rsidRDefault="00731529" w:rsidP="001F3753">
            <w:pPr>
              <w:jc w:val="center"/>
              <w:rPr>
                <w:color w:val="000000"/>
                <w:sz w:val="20"/>
                <w:lang w:val="en-GB"/>
              </w:rPr>
            </w:pPr>
            <w:r w:rsidRPr="00976712">
              <w:rPr>
                <w:color w:val="000000"/>
                <w:sz w:val="20"/>
                <w:lang w:val="en-GB"/>
              </w:rPr>
              <w:t>2%</w:t>
            </w:r>
          </w:p>
        </w:tc>
      </w:tr>
    </w:tbl>
    <w:p w:rsidR="00731529" w:rsidRDefault="008F5338" w:rsidP="00731529">
      <w:pPr>
        <w:rPr>
          <w:sz w:val="20"/>
        </w:rPr>
      </w:pPr>
      <w:r>
        <w:rPr>
          <w:sz w:val="20"/>
        </w:rPr>
        <w:t>ACT</w:t>
      </w:r>
      <w:r w:rsidRPr="000C6F86">
        <w:rPr>
          <w:sz w:val="20"/>
        </w:rPr>
        <w:t xml:space="preserve"> </w:t>
      </w:r>
      <w:r w:rsidR="00731529" w:rsidRPr="000C6F86">
        <w:rPr>
          <w:sz w:val="20"/>
        </w:rPr>
        <w:t xml:space="preserve">= </w:t>
      </w:r>
      <w:r>
        <w:rPr>
          <w:sz w:val="20"/>
        </w:rPr>
        <w:t>ACTEMRA</w:t>
      </w:r>
    </w:p>
    <w:p w:rsidR="008F5338" w:rsidRPr="008F5338" w:rsidRDefault="00731529" w:rsidP="00731529">
      <w:pPr>
        <w:rPr>
          <w:sz w:val="20"/>
        </w:rPr>
      </w:pPr>
      <w:r w:rsidRPr="008F5338">
        <w:rPr>
          <w:rFonts w:eastAsia="SimSun"/>
          <w:sz w:val="20"/>
          <w:lang w:eastAsia="zh-CN"/>
        </w:rPr>
        <w:t>†The p value compares across all the EULAR categories</w:t>
      </w:r>
    </w:p>
    <w:p w:rsidR="008F5338" w:rsidRPr="008F5338" w:rsidRDefault="00731529" w:rsidP="008F5338">
      <w:pPr>
        <w:rPr>
          <w:rFonts w:eastAsia="MS Mincho"/>
          <w:color w:val="000000"/>
          <w:sz w:val="20"/>
          <w:lang w:val="en-GB"/>
        </w:rPr>
      </w:pPr>
      <w:r w:rsidRPr="008F5338">
        <w:rPr>
          <w:rFonts w:eastAsia="MS Mincho"/>
          <w:iCs/>
          <w:color w:val="000000"/>
          <w:sz w:val="20"/>
          <w:lang w:val="en-GB"/>
        </w:rPr>
        <w:t>* p</w:t>
      </w:r>
      <w:r w:rsidR="00F669BD">
        <w:rPr>
          <w:rFonts w:eastAsia="MS Mincho"/>
          <w:iCs/>
          <w:color w:val="000000"/>
          <w:sz w:val="20"/>
          <w:lang w:val="en-GB"/>
        </w:rPr>
        <w:t xml:space="preserve"> </w:t>
      </w:r>
      <w:r w:rsidRPr="008F5338">
        <w:rPr>
          <w:rFonts w:eastAsia="MS Mincho"/>
          <w:iCs/>
          <w:color w:val="000000"/>
          <w:sz w:val="20"/>
          <w:lang w:val="en-GB"/>
        </w:rPr>
        <w:t>&lt;</w:t>
      </w:r>
      <w:r w:rsidR="00F669BD">
        <w:rPr>
          <w:rFonts w:eastAsia="MS Mincho"/>
          <w:iCs/>
          <w:color w:val="000000"/>
          <w:sz w:val="20"/>
          <w:lang w:val="en-GB"/>
        </w:rPr>
        <w:t xml:space="preserve"> </w:t>
      </w:r>
      <w:r w:rsidRPr="008F5338">
        <w:rPr>
          <w:rFonts w:eastAsia="MS Mincho"/>
          <w:iCs/>
          <w:color w:val="000000"/>
          <w:sz w:val="20"/>
          <w:lang w:val="en-GB"/>
        </w:rPr>
        <w:t>0.05</w:t>
      </w:r>
      <w:r w:rsidRPr="008F5338">
        <w:rPr>
          <w:rFonts w:eastAsia="MS Mincho"/>
          <w:color w:val="000000"/>
          <w:sz w:val="20"/>
          <w:lang w:val="en-GB"/>
        </w:rPr>
        <w:t>,</w:t>
      </w:r>
      <w:r w:rsidR="008F5338">
        <w:rPr>
          <w:rFonts w:eastAsia="MS Mincho"/>
          <w:color w:val="000000"/>
          <w:sz w:val="20"/>
          <w:lang w:val="en-GB"/>
        </w:rPr>
        <w:t xml:space="preserve"> ACTEMRA</w:t>
      </w:r>
      <w:r w:rsidRPr="008F5338">
        <w:rPr>
          <w:rFonts w:eastAsia="MS Mincho"/>
          <w:iCs/>
          <w:color w:val="000000"/>
          <w:sz w:val="20"/>
          <w:lang w:val="en-GB"/>
        </w:rPr>
        <w:t xml:space="preserve"> vs. placebo</w:t>
      </w:r>
      <w:r w:rsidR="008F5338">
        <w:rPr>
          <w:rFonts w:eastAsia="MS Mincho"/>
          <w:iCs/>
          <w:color w:val="000000"/>
          <w:sz w:val="20"/>
          <w:lang w:val="en-GB"/>
        </w:rPr>
        <w:t xml:space="preserve"> </w:t>
      </w:r>
      <w:r w:rsidRPr="008F5338">
        <w:rPr>
          <w:rFonts w:eastAsia="MS Mincho"/>
          <w:iCs/>
          <w:color w:val="000000"/>
          <w:sz w:val="20"/>
          <w:lang w:val="en-GB"/>
        </w:rPr>
        <w:t>+</w:t>
      </w:r>
      <w:r w:rsidR="008F5338">
        <w:rPr>
          <w:rFonts w:eastAsia="MS Mincho"/>
          <w:iCs/>
          <w:color w:val="000000"/>
          <w:sz w:val="20"/>
          <w:lang w:val="en-GB"/>
        </w:rPr>
        <w:t xml:space="preserve"> </w:t>
      </w:r>
      <w:r w:rsidRPr="008F5338">
        <w:rPr>
          <w:rFonts w:eastAsia="MS Mincho"/>
          <w:iCs/>
          <w:color w:val="000000"/>
          <w:sz w:val="20"/>
          <w:lang w:val="en-GB"/>
        </w:rPr>
        <w:t>MTX/DMARD</w:t>
      </w:r>
    </w:p>
    <w:p w:rsidR="008F5338" w:rsidRPr="008F5338" w:rsidRDefault="00731529" w:rsidP="008F5338">
      <w:pPr>
        <w:rPr>
          <w:rFonts w:eastAsia="MS Mincho"/>
          <w:color w:val="000000"/>
          <w:sz w:val="20"/>
          <w:lang w:val="en-GB"/>
        </w:rPr>
      </w:pPr>
      <w:r w:rsidRPr="008F5338">
        <w:rPr>
          <w:rFonts w:eastAsia="MS Mincho"/>
          <w:iCs/>
          <w:color w:val="000000"/>
          <w:sz w:val="20"/>
          <w:lang w:val="en-GB"/>
        </w:rPr>
        <w:t>** p</w:t>
      </w:r>
      <w:r w:rsidR="00F669BD">
        <w:rPr>
          <w:rFonts w:eastAsia="MS Mincho"/>
          <w:iCs/>
          <w:color w:val="000000"/>
          <w:sz w:val="20"/>
          <w:lang w:val="en-GB"/>
        </w:rPr>
        <w:t xml:space="preserve"> </w:t>
      </w:r>
      <w:r w:rsidRPr="008F5338">
        <w:rPr>
          <w:rFonts w:eastAsia="MS Mincho"/>
          <w:iCs/>
          <w:color w:val="000000"/>
          <w:sz w:val="20"/>
          <w:lang w:val="en-GB"/>
        </w:rPr>
        <w:t>&lt;</w:t>
      </w:r>
      <w:r w:rsidR="00F669BD">
        <w:rPr>
          <w:rFonts w:eastAsia="MS Mincho"/>
          <w:iCs/>
          <w:color w:val="000000"/>
          <w:sz w:val="20"/>
          <w:lang w:val="en-GB"/>
        </w:rPr>
        <w:t xml:space="preserve"> </w:t>
      </w:r>
      <w:r w:rsidRPr="008F5338">
        <w:rPr>
          <w:rFonts w:eastAsia="MS Mincho"/>
          <w:iCs/>
          <w:color w:val="000000"/>
          <w:sz w:val="20"/>
          <w:lang w:val="en-GB"/>
        </w:rPr>
        <w:t>0.01,</w:t>
      </w:r>
      <w:r w:rsidR="008F5338">
        <w:rPr>
          <w:rFonts w:eastAsia="MS Mincho"/>
          <w:color w:val="000000"/>
          <w:sz w:val="20"/>
          <w:lang w:val="en-GB"/>
        </w:rPr>
        <w:t>ACTEMRA</w:t>
      </w:r>
      <w:r w:rsidRPr="008F5338">
        <w:rPr>
          <w:rFonts w:eastAsia="MS Mincho"/>
          <w:iCs/>
          <w:color w:val="000000"/>
          <w:sz w:val="20"/>
          <w:lang w:val="en-GB"/>
        </w:rPr>
        <w:t xml:space="preserve"> vs. placebo</w:t>
      </w:r>
      <w:r w:rsidR="008F5338">
        <w:rPr>
          <w:rFonts w:eastAsia="MS Mincho"/>
          <w:iCs/>
          <w:color w:val="000000"/>
          <w:sz w:val="20"/>
          <w:lang w:val="en-GB"/>
        </w:rPr>
        <w:t xml:space="preserve"> </w:t>
      </w:r>
      <w:r w:rsidRPr="008F5338">
        <w:rPr>
          <w:rFonts w:eastAsia="MS Mincho"/>
          <w:iCs/>
          <w:color w:val="000000"/>
          <w:sz w:val="20"/>
          <w:lang w:val="en-GB"/>
        </w:rPr>
        <w:t>+</w:t>
      </w:r>
      <w:r w:rsidR="008F5338">
        <w:rPr>
          <w:rFonts w:eastAsia="MS Mincho"/>
          <w:iCs/>
          <w:color w:val="000000"/>
          <w:sz w:val="20"/>
          <w:lang w:val="en-GB"/>
        </w:rPr>
        <w:t xml:space="preserve"> </w:t>
      </w:r>
      <w:r w:rsidRPr="008F5338">
        <w:rPr>
          <w:rFonts w:eastAsia="MS Mincho"/>
          <w:iCs/>
          <w:color w:val="000000"/>
          <w:sz w:val="20"/>
          <w:lang w:val="en-GB"/>
        </w:rPr>
        <w:t>MTX/DMARD</w:t>
      </w:r>
    </w:p>
    <w:p w:rsidR="00731529" w:rsidRDefault="00731529" w:rsidP="008F5338">
      <w:pPr>
        <w:rPr>
          <w:rFonts w:eastAsia="MS Mincho"/>
          <w:iCs/>
          <w:color w:val="000000"/>
          <w:sz w:val="20"/>
          <w:lang w:val="en-GB"/>
        </w:rPr>
      </w:pPr>
      <w:r w:rsidRPr="008F5338">
        <w:rPr>
          <w:rFonts w:eastAsia="MS Mincho"/>
          <w:iCs/>
          <w:color w:val="000000"/>
          <w:sz w:val="20"/>
          <w:lang w:val="en-GB"/>
        </w:rPr>
        <w:t>*** p</w:t>
      </w:r>
      <w:r w:rsidR="00F669BD">
        <w:rPr>
          <w:rFonts w:eastAsia="MS Mincho"/>
          <w:iCs/>
          <w:color w:val="000000"/>
          <w:sz w:val="20"/>
          <w:lang w:val="en-GB"/>
        </w:rPr>
        <w:t xml:space="preserve"> </w:t>
      </w:r>
      <w:r w:rsidRPr="008F5338">
        <w:rPr>
          <w:rFonts w:eastAsia="MS Mincho"/>
          <w:iCs/>
          <w:color w:val="000000"/>
          <w:sz w:val="20"/>
          <w:lang w:val="en-GB"/>
        </w:rPr>
        <w:t>&lt;</w:t>
      </w:r>
      <w:r w:rsidR="00F669BD">
        <w:rPr>
          <w:rFonts w:eastAsia="MS Mincho"/>
          <w:iCs/>
          <w:color w:val="000000"/>
          <w:sz w:val="20"/>
          <w:lang w:val="en-GB"/>
        </w:rPr>
        <w:t xml:space="preserve"> </w:t>
      </w:r>
      <w:r w:rsidRPr="008F5338">
        <w:rPr>
          <w:rFonts w:eastAsia="MS Mincho"/>
          <w:iCs/>
          <w:color w:val="000000"/>
          <w:sz w:val="20"/>
          <w:lang w:val="en-GB"/>
        </w:rPr>
        <w:t xml:space="preserve">0.0001, </w:t>
      </w:r>
      <w:r w:rsidR="008F5338">
        <w:rPr>
          <w:rFonts w:eastAsia="MS Mincho"/>
          <w:color w:val="000000"/>
          <w:sz w:val="20"/>
          <w:lang w:val="en-GB"/>
        </w:rPr>
        <w:t>ACTEMRA</w:t>
      </w:r>
      <w:r w:rsidR="008F5338" w:rsidRPr="008F5338">
        <w:rPr>
          <w:rFonts w:eastAsia="MS Mincho"/>
          <w:iCs/>
          <w:color w:val="000000"/>
          <w:sz w:val="20"/>
          <w:lang w:val="en-GB"/>
        </w:rPr>
        <w:t xml:space="preserve"> </w:t>
      </w:r>
      <w:r w:rsidRPr="008F5338">
        <w:rPr>
          <w:rFonts w:eastAsia="MS Mincho"/>
          <w:iCs/>
          <w:color w:val="000000"/>
          <w:sz w:val="20"/>
          <w:lang w:val="en-GB"/>
        </w:rPr>
        <w:t>vs. placebo</w:t>
      </w:r>
      <w:r w:rsidR="008F5338">
        <w:rPr>
          <w:rFonts w:eastAsia="MS Mincho"/>
          <w:iCs/>
          <w:color w:val="000000"/>
          <w:sz w:val="20"/>
          <w:lang w:val="en-GB"/>
        </w:rPr>
        <w:t xml:space="preserve"> </w:t>
      </w:r>
      <w:r w:rsidRPr="008F5338">
        <w:rPr>
          <w:rFonts w:eastAsia="MS Mincho"/>
          <w:iCs/>
          <w:color w:val="000000"/>
          <w:sz w:val="20"/>
          <w:lang w:val="en-GB"/>
        </w:rPr>
        <w:t>+</w:t>
      </w:r>
      <w:r w:rsidR="008F5338">
        <w:rPr>
          <w:rFonts w:eastAsia="MS Mincho"/>
          <w:iCs/>
          <w:color w:val="000000"/>
          <w:sz w:val="20"/>
          <w:lang w:val="en-GB"/>
        </w:rPr>
        <w:t xml:space="preserve"> </w:t>
      </w:r>
      <w:r w:rsidRPr="008F5338">
        <w:rPr>
          <w:rFonts w:eastAsia="MS Mincho"/>
          <w:iCs/>
          <w:color w:val="000000"/>
          <w:sz w:val="20"/>
          <w:lang w:val="en-GB"/>
        </w:rPr>
        <w:t>MTX/DMARD</w:t>
      </w:r>
    </w:p>
    <w:p w:rsidR="00E42C00" w:rsidRPr="00E42C00" w:rsidRDefault="00E42C00" w:rsidP="008F5338">
      <w:pPr>
        <w:rPr>
          <w:rFonts w:eastAsia="MS Mincho"/>
          <w:color w:val="000000"/>
          <w:sz w:val="20"/>
          <w:lang w:val="en-GB"/>
        </w:rPr>
      </w:pPr>
      <w:r w:rsidRPr="00E42C00">
        <w:rPr>
          <w:rFonts w:eastAsia="MS Mincho"/>
          <w:i/>
          <w:iCs/>
          <w:color w:val="000000"/>
          <w:sz w:val="20"/>
          <w:lang w:val="en-GB"/>
        </w:rPr>
        <w:t>≠</w:t>
      </w:r>
      <w:r w:rsidRPr="00E42C00">
        <w:rPr>
          <w:rFonts w:eastAsia="MS Mincho"/>
          <w:iCs/>
          <w:color w:val="000000"/>
          <w:sz w:val="20"/>
          <w:lang w:val="en-GB"/>
        </w:rPr>
        <w:t xml:space="preserve"> In study II, 47% of patients achieved a DAS28 &lt; 2.6 at 52 weeks compared to 33% of patients at week 24.</w:t>
      </w:r>
    </w:p>
    <w:p w:rsidR="0080308B" w:rsidRPr="00FD193A" w:rsidRDefault="0080308B" w:rsidP="0080308B">
      <w:pPr>
        <w:rPr>
          <w:rFonts w:eastAsia="MS Mincho"/>
          <w:color w:val="000000"/>
          <w:sz w:val="20"/>
          <w:lang w:val="en-US"/>
        </w:rPr>
      </w:pPr>
      <w:r w:rsidRPr="00736B32">
        <w:rPr>
          <w:rFonts w:eastAsia="MS Mincho"/>
          <w:color w:val="000000"/>
          <w:sz w:val="20"/>
          <w:lang w:val="en-US"/>
        </w:rPr>
        <w:t>^</w:t>
      </w:r>
      <w:r w:rsidR="001E023A" w:rsidRPr="00736B32">
        <w:rPr>
          <w:rFonts w:eastAsia="MS Mincho"/>
          <w:color w:val="000000"/>
          <w:sz w:val="20"/>
          <w:lang w:val="en-US"/>
        </w:rPr>
        <w:t xml:space="preserve"> </w:t>
      </w:r>
      <w:r w:rsidR="001E023A" w:rsidRPr="00736B32">
        <w:rPr>
          <w:rFonts w:eastAsia="MS Mincho"/>
          <w:iCs/>
          <w:color w:val="000000"/>
          <w:sz w:val="20"/>
          <w:lang w:val="en-GB"/>
        </w:rPr>
        <w:t>In study II, 8% of patients achieved a DAS28 &lt; 2.6 at 52 weeks compared to 4% of patients at week 24.</w:t>
      </w:r>
    </w:p>
    <w:p w:rsidR="009138DD" w:rsidRDefault="009138DD" w:rsidP="001C08F5">
      <w:pPr>
        <w:jc w:val="both"/>
        <w:rPr>
          <w:lang w:val="en-US" w:eastAsia="de-DE"/>
        </w:rPr>
      </w:pPr>
    </w:p>
    <w:p w:rsidR="00EB612B" w:rsidRPr="00B36C85" w:rsidRDefault="00EB612B" w:rsidP="00EB612B">
      <w:pPr>
        <w:jc w:val="both"/>
        <w:rPr>
          <w:i/>
          <w:lang w:eastAsia="de-DE"/>
        </w:rPr>
      </w:pPr>
      <w:r w:rsidRPr="00B36C85">
        <w:rPr>
          <w:i/>
          <w:lang w:eastAsia="de-DE"/>
        </w:rPr>
        <w:t>Major Clinical Response</w:t>
      </w:r>
    </w:p>
    <w:p w:rsidR="00EB612B" w:rsidRDefault="00EB612B" w:rsidP="00EB612B">
      <w:pPr>
        <w:jc w:val="both"/>
        <w:rPr>
          <w:lang w:val="en-US" w:eastAsia="de-DE"/>
        </w:rPr>
      </w:pPr>
      <w:r w:rsidRPr="00B36C85">
        <w:rPr>
          <w:lang w:eastAsia="de-DE"/>
        </w:rPr>
        <w:t xml:space="preserve">After 2 years of treatment with </w:t>
      </w:r>
      <w:r>
        <w:rPr>
          <w:lang w:eastAsia="de-DE"/>
        </w:rPr>
        <w:t xml:space="preserve">ACTEMRA + </w:t>
      </w:r>
      <w:r w:rsidRPr="00B36C85">
        <w:rPr>
          <w:lang w:eastAsia="de-DE"/>
        </w:rPr>
        <w:t>MTX, 1</w:t>
      </w:r>
      <w:r>
        <w:rPr>
          <w:lang w:eastAsia="de-DE"/>
        </w:rPr>
        <w:t xml:space="preserve">4% of patients achieved a major </w:t>
      </w:r>
      <w:r w:rsidRPr="00B36C85">
        <w:rPr>
          <w:lang w:eastAsia="de-DE"/>
        </w:rPr>
        <w:t>clinical response (maintenance of an ACR70 response for 24 weeks or more)</w:t>
      </w:r>
    </w:p>
    <w:p w:rsidR="001C08F5" w:rsidRPr="00CF1F4D" w:rsidRDefault="00CF1F4D" w:rsidP="001C08F5">
      <w:pPr>
        <w:jc w:val="both"/>
        <w:rPr>
          <w:i/>
          <w:lang w:eastAsia="de-DE"/>
        </w:rPr>
      </w:pPr>
      <w:r w:rsidRPr="00CF1F4D">
        <w:rPr>
          <w:i/>
          <w:lang w:eastAsia="de-DE"/>
        </w:rPr>
        <w:lastRenderedPageBreak/>
        <w:t>Radiographic response</w:t>
      </w:r>
    </w:p>
    <w:p w:rsidR="00692B8D" w:rsidRDefault="008E4D5C" w:rsidP="001C08F5">
      <w:pPr>
        <w:jc w:val="both"/>
        <w:rPr>
          <w:lang w:eastAsia="de-DE"/>
        </w:rPr>
      </w:pPr>
      <w:r>
        <w:rPr>
          <w:lang w:eastAsia="de-DE"/>
        </w:rPr>
        <w:t>In s</w:t>
      </w:r>
      <w:r w:rsidR="00CF1F4D" w:rsidRPr="00CF1F4D">
        <w:rPr>
          <w:lang w:eastAsia="de-DE"/>
        </w:rPr>
        <w:t>tudy II</w:t>
      </w:r>
      <w:r>
        <w:rPr>
          <w:lang w:eastAsia="de-DE"/>
        </w:rPr>
        <w:t xml:space="preserve"> (LITHE)</w:t>
      </w:r>
      <w:r w:rsidR="00CF1F4D" w:rsidRPr="00CF1F4D">
        <w:rPr>
          <w:lang w:eastAsia="de-DE"/>
        </w:rPr>
        <w:t>, in patients with an inadequate response to MTX, inhibition of structural joint damage was assessed radiographically and expressed as change in modified Sharp score and its components, the erosion score and joint space narrowing</w:t>
      </w:r>
      <w:r w:rsidR="00E1133C">
        <w:rPr>
          <w:lang w:eastAsia="de-DE"/>
        </w:rPr>
        <w:t xml:space="preserve"> (JSN)</w:t>
      </w:r>
      <w:r w:rsidR="00CF1F4D" w:rsidRPr="00CF1F4D">
        <w:rPr>
          <w:lang w:eastAsia="de-DE"/>
        </w:rPr>
        <w:t xml:space="preserve"> score. </w:t>
      </w:r>
      <w:r w:rsidR="007726B2" w:rsidRPr="00736B32">
        <w:rPr>
          <w:lang w:eastAsia="de-DE"/>
        </w:rPr>
        <w:t xml:space="preserve">Missing week 52 radiographic data was imputed using </w:t>
      </w:r>
      <w:r w:rsidR="00E1133C" w:rsidRPr="00736B32">
        <w:rPr>
          <w:lang w:eastAsia="de-DE"/>
        </w:rPr>
        <w:t>linear extrapolation. This was performed for any patient who had a base</w:t>
      </w:r>
      <w:r w:rsidR="007726B2" w:rsidRPr="00736B32">
        <w:rPr>
          <w:lang w:eastAsia="de-DE"/>
        </w:rPr>
        <w:t xml:space="preserve">line assessment </w:t>
      </w:r>
      <w:r w:rsidR="00E1133C" w:rsidRPr="00736B32">
        <w:rPr>
          <w:lang w:eastAsia="de-DE"/>
        </w:rPr>
        <w:t xml:space="preserve">and at least </w:t>
      </w:r>
      <w:r w:rsidR="007726B2" w:rsidRPr="00736B32">
        <w:rPr>
          <w:lang w:eastAsia="de-DE"/>
        </w:rPr>
        <w:t>one</w:t>
      </w:r>
      <w:r w:rsidR="00E1133C" w:rsidRPr="00736B32">
        <w:rPr>
          <w:lang w:eastAsia="de-DE"/>
        </w:rPr>
        <w:t xml:space="preserve"> post-ba</w:t>
      </w:r>
      <w:r w:rsidR="007726B2" w:rsidRPr="00736B32">
        <w:rPr>
          <w:lang w:eastAsia="de-DE"/>
        </w:rPr>
        <w:t>seline radiographic assessment.</w:t>
      </w:r>
      <w:r w:rsidR="00E1133C" w:rsidRPr="00736B32">
        <w:rPr>
          <w:lang w:eastAsia="de-DE"/>
        </w:rPr>
        <w:t xml:space="preserve"> The</w:t>
      </w:r>
      <w:r w:rsidR="007726B2" w:rsidRPr="00736B32">
        <w:rPr>
          <w:lang w:eastAsia="de-DE"/>
        </w:rPr>
        <w:t xml:space="preserve"> change from baseline was then </w:t>
      </w:r>
      <w:r w:rsidR="00E1133C" w:rsidRPr="00736B32">
        <w:rPr>
          <w:lang w:eastAsia="de-DE"/>
        </w:rPr>
        <w:t>calculated using the extrapolated score.</w:t>
      </w:r>
      <w:r w:rsidR="00E1133C" w:rsidRPr="00CF1F4D">
        <w:rPr>
          <w:lang w:eastAsia="de-DE"/>
        </w:rPr>
        <w:t xml:space="preserve"> </w:t>
      </w:r>
      <w:r w:rsidR="00CF1F4D" w:rsidRPr="00CF1F4D">
        <w:rPr>
          <w:lang w:eastAsia="de-DE"/>
        </w:rPr>
        <w:t xml:space="preserve">Inhibition of </w:t>
      </w:r>
      <w:r w:rsidR="00CF1F4D">
        <w:rPr>
          <w:lang w:eastAsia="de-DE"/>
        </w:rPr>
        <w:t>structural joint</w:t>
      </w:r>
      <w:r w:rsidR="00CF1F4D" w:rsidRPr="00CF1F4D">
        <w:rPr>
          <w:lang w:eastAsia="de-DE"/>
        </w:rPr>
        <w:t xml:space="preserve"> damage was shown with significantly less radiographic progression in patients receiving </w:t>
      </w:r>
      <w:r w:rsidR="007726B2">
        <w:rPr>
          <w:lang w:eastAsia="de-DE"/>
        </w:rPr>
        <w:t>ACTEMRA</w:t>
      </w:r>
      <w:r w:rsidR="00CF1F4D" w:rsidRPr="00CF1F4D">
        <w:rPr>
          <w:lang w:eastAsia="de-DE"/>
        </w:rPr>
        <w:t xml:space="preserve"> compared to control (</w:t>
      </w:r>
      <w:r w:rsidR="00CF1F4D">
        <w:rPr>
          <w:lang w:eastAsia="de-DE"/>
        </w:rPr>
        <w:t>Table 3</w:t>
      </w:r>
      <w:r w:rsidR="00CF1F4D" w:rsidRPr="00CF1F4D">
        <w:rPr>
          <w:lang w:eastAsia="de-DE"/>
        </w:rPr>
        <w:t>).</w:t>
      </w:r>
    </w:p>
    <w:p w:rsidR="00B23959" w:rsidRDefault="00B23959" w:rsidP="000A6CE3">
      <w:pPr>
        <w:jc w:val="both"/>
        <w:rPr>
          <w:lang w:eastAsia="de-DE"/>
        </w:rPr>
      </w:pPr>
    </w:p>
    <w:p w:rsidR="009C242E" w:rsidRPr="009C242E" w:rsidRDefault="00B23959" w:rsidP="000A6CE3">
      <w:pPr>
        <w:jc w:val="both"/>
      </w:pPr>
      <w:bookmarkStart w:id="3" w:name="OLE_LINK21"/>
      <w:bookmarkStart w:id="4" w:name="OLE_LINK22"/>
      <w:r>
        <w:t>In the open-label extension of study II</w:t>
      </w:r>
      <w:r w:rsidRPr="004745A7">
        <w:t xml:space="preserve"> </w:t>
      </w:r>
      <w:r>
        <w:t xml:space="preserve">further improvement in </w:t>
      </w:r>
      <w:r w:rsidRPr="004745A7">
        <w:t>the inhibiti</w:t>
      </w:r>
      <w:r>
        <w:t xml:space="preserve">on of progression of structural </w:t>
      </w:r>
      <w:r w:rsidRPr="004745A7">
        <w:t xml:space="preserve">damage in </w:t>
      </w:r>
      <w:r>
        <w:t xml:space="preserve">ACTEMRA + </w:t>
      </w:r>
      <w:r w:rsidRPr="004745A7">
        <w:t xml:space="preserve">MTX-treated patients was </w:t>
      </w:r>
      <w:r>
        <w:t>observed</w:t>
      </w:r>
      <w:r w:rsidRPr="004745A7">
        <w:t xml:space="preserve"> in the second year of</w:t>
      </w:r>
      <w:r>
        <w:t xml:space="preserve"> </w:t>
      </w:r>
      <w:r w:rsidRPr="004745A7">
        <w:t>treatment.</w:t>
      </w:r>
      <w:bookmarkEnd w:id="3"/>
      <w:bookmarkEnd w:id="4"/>
      <w:r w:rsidR="00621DD9" w:rsidRPr="00621DD9">
        <w:t xml:space="preserve"> </w:t>
      </w:r>
      <w:r w:rsidR="00621DD9">
        <w:t xml:space="preserve">Study II did not investigate the effect of ACTEMRA monotherapy on radiographic endpoints. </w:t>
      </w:r>
    </w:p>
    <w:p w:rsidR="00CF1F4D" w:rsidRPr="00EA66CF" w:rsidRDefault="00CF1F4D" w:rsidP="00EA66CF">
      <w:pPr>
        <w:rPr>
          <w:b/>
          <w:i/>
        </w:rPr>
      </w:pPr>
      <w:r w:rsidRPr="00EA66CF">
        <w:rPr>
          <w:b/>
        </w:rPr>
        <w:t xml:space="preserve">Table 3 </w:t>
      </w:r>
      <w:r w:rsidR="008E4D5C" w:rsidRPr="00EA66CF">
        <w:rPr>
          <w:b/>
        </w:rPr>
        <w:t xml:space="preserve">Radiographic mean changes </w:t>
      </w:r>
      <w:r w:rsidR="00191BE4" w:rsidRPr="00EA66CF">
        <w:rPr>
          <w:b/>
        </w:rPr>
        <w:t xml:space="preserve">at </w:t>
      </w:r>
      <w:r w:rsidR="008E4D5C" w:rsidRPr="00EA66CF">
        <w:rPr>
          <w:b/>
        </w:rPr>
        <w:t xml:space="preserve">52 </w:t>
      </w:r>
      <w:r w:rsidR="00191BE4" w:rsidRPr="00EA66CF">
        <w:rPr>
          <w:b/>
        </w:rPr>
        <w:t xml:space="preserve">and 104 </w:t>
      </w:r>
      <w:r w:rsidR="008E4D5C" w:rsidRPr="00EA66CF">
        <w:rPr>
          <w:b/>
        </w:rPr>
        <w:t>weeks in study II (LITHE)</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559"/>
        <w:gridCol w:w="3261"/>
      </w:tblGrid>
      <w:tr w:rsidR="00FB7D88" w:rsidRPr="00CF1F4D" w:rsidTr="00B4324B">
        <w:tc>
          <w:tcPr>
            <w:tcW w:w="3652" w:type="dxa"/>
          </w:tcPr>
          <w:p w:rsidR="00191BE4" w:rsidRDefault="00191BE4" w:rsidP="00304184">
            <w:pPr>
              <w:keepNext/>
            </w:pPr>
          </w:p>
        </w:tc>
        <w:tc>
          <w:tcPr>
            <w:tcW w:w="1559" w:type="dxa"/>
          </w:tcPr>
          <w:p w:rsidR="000607D5" w:rsidRPr="00B81DBF" w:rsidRDefault="008B688A" w:rsidP="00B81DBF">
            <w:pPr>
              <w:keepNext/>
              <w:jc w:val="center"/>
              <w:rPr>
                <w:b/>
                <w:sz w:val="22"/>
                <w:lang w:val="en-US"/>
              </w:rPr>
            </w:pPr>
            <w:r w:rsidRPr="00CF1F4D">
              <w:rPr>
                <w:b/>
                <w:bCs/>
                <w:sz w:val="22"/>
                <w:szCs w:val="22"/>
                <w:lang w:val="en-US"/>
              </w:rPr>
              <w:t>ACT 8 mg/kg</w:t>
            </w:r>
            <w:r w:rsidR="000607D5" w:rsidRPr="00B81DBF">
              <w:rPr>
                <w:b/>
                <w:sz w:val="22"/>
              </w:rPr>
              <w:t xml:space="preserve"> + MTX</w:t>
            </w:r>
            <w:r w:rsidRPr="00CF1F4D">
              <w:rPr>
                <w:b/>
                <w:bCs/>
                <w:sz w:val="22"/>
                <w:szCs w:val="22"/>
                <w:lang w:val="en-US"/>
              </w:rPr>
              <w:br/>
            </w:r>
          </w:p>
          <w:p w:rsidR="00191BE4" w:rsidRPr="00B81DBF" w:rsidRDefault="000607D5" w:rsidP="00B81DBF">
            <w:pPr>
              <w:keepNext/>
              <w:jc w:val="center"/>
              <w:rPr>
                <w:sz w:val="22"/>
                <w:lang w:val="en-US"/>
              </w:rPr>
            </w:pPr>
            <w:r w:rsidRPr="00B81DBF">
              <w:rPr>
                <w:b/>
                <w:sz w:val="22"/>
                <w:lang w:val="en-US"/>
              </w:rPr>
              <w:t>[n=</w:t>
            </w:r>
            <w:r w:rsidR="008B688A" w:rsidRPr="00CF1F4D">
              <w:rPr>
                <w:b/>
                <w:bCs/>
                <w:sz w:val="22"/>
                <w:szCs w:val="22"/>
                <w:lang w:val="en-US"/>
              </w:rPr>
              <w:t>398</w:t>
            </w:r>
            <w:r w:rsidRPr="00B81DBF">
              <w:rPr>
                <w:b/>
                <w:sz w:val="22"/>
                <w:lang w:val="en-US"/>
              </w:rPr>
              <w:t>]</w:t>
            </w:r>
          </w:p>
        </w:tc>
        <w:tc>
          <w:tcPr>
            <w:tcW w:w="3261" w:type="dxa"/>
          </w:tcPr>
          <w:p w:rsidR="000607D5" w:rsidRPr="00B81DBF" w:rsidRDefault="008B688A" w:rsidP="00B81DBF">
            <w:pPr>
              <w:keepNext/>
              <w:numPr>
                <w:ilvl w:val="12"/>
                <w:numId w:val="0"/>
              </w:numPr>
              <w:ind w:right="-2"/>
              <w:jc w:val="center"/>
              <w:rPr>
                <w:b/>
                <w:sz w:val="22"/>
              </w:rPr>
            </w:pPr>
            <w:r w:rsidRPr="00844846">
              <w:rPr>
                <w:b/>
                <w:bCs/>
                <w:sz w:val="22"/>
                <w:szCs w:val="22"/>
              </w:rPr>
              <w:t>P</w:t>
            </w:r>
            <w:r>
              <w:rPr>
                <w:b/>
                <w:bCs/>
                <w:sz w:val="22"/>
                <w:szCs w:val="22"/>
              </w:rPr>
              <w:t>lacebo</w:t>
            </w:r>
            <w:r w:rsidR="000607D5" w:rsidRPr="00B81DBF">
              <w:rPr>
                <w:b/>
                <w:sz w:val="22"/>
              </w:rPr>
              <w:t xml:space="preserve"> + MTX</w:t>
            </w:r>
            <w:r w:rsidRPr="00844846">
              <w:rPr>
                <w:b/>
                <w:bCs/>
                <w:sz w:val="22"/>
                <w:szCs w:val="22"/>
              </w:rPr>
              <w:t xml:space="preserve"> </w:t>
            </w:r>
          </w:p>
          <w:p w:rsidR="008B688A" w:rsidRPr="00844846" w:rsidRDefault="008B688A" w:rsidP="008B688A">
            <w:pPr>
              <w:keepNext/>
              <w:numPr>
                <w:ilvl w:val="12"/>
                <w:numId w:val="0"/>
              </w:numPr>
              <w:ind w:right="-2"/>
              <w:jc w:val="center"/>
              <w:rPr>
                <w:b/>
                <w:bCs/>
                <w:sz w:val="22"/>
                <w:szCs w:val="22"/>
              </w:rPr>
            </w:pPr>
            <w:r w:rsidRPr="00844846">
              <w:rPr>
                <w:b/>
                <w:bCs/>
                <w:sz w:val="22"/>
                <w:szCs w:val="22"/>
              </w:rPr>
              <w:t>(+ </w:t>
            </w:r>
            <w:r>
              <w:rPr>
                <w:b/>
                <w:bCs/>
                <w:sz w:val="22"/>
                <w:szCs w:val="22"/>
              </w:rPr>
              <w:t>option of ACT</w:t>
            </w:r>
            <w:r w:rsidRPr="00844846">
              <w:rPr>
                <w:b/>
                <w:bCs/>
                <w:sz w:val="22"/>
                <w:szCs w:val="22"/>
              </w:rPr>
              <w:t xml:space="preserve"> from week </w:t>
            </w:r>
            <w:r>
              <w:rPr>
                <w:b/>
                <w:bCs/>
                <w:sz w:val="22"/>
                <w:szCs w:val="22"/>
              </w:rPr>
              <w:t>16</w:t>
            </w:r>
            <w:r w:rsidRPr="00844846">
              <w:rPr>
                <w:b/>
                <w:bCs/>
                <w:sz w:val="22"/>
                <w:szCs w:val="22"/>
              </w:rPr>
              <w:t>)</w:t>
            </w:r>
          </w:p>
          <w:p w:rsidR="00FB7D88" w:rsidRDefault="00FB7D88" w:rsidP="00304184">
            <w:pPr>
              <w:keepNext/>
              <w:jc w:val="center"/>
              <w:rPr>
                <w:b/>
                <w:sz w:val="22"/>
              </w:rPr>
            </w:pPr>
          </w:p>
          <w:p w:rsidR="00191BE4" w:rsidRPr="00B81DBF" w:rsidRDefault="000607D5" w:rsidP="00304184">
            <w:pPr>
              <w:keepNext/>
              <w:jc w:val="center"/>
              <w:rPr>
                <w:b/>
                <w:sz w:val="22"/>
                <w:lang w:val="en-US"/>
              </w:rPr>
            </w:pPr>
            <w:r w:rsidRPr="00B81DBF">
              <w:rPr>
                <w:b/>
                <w:sz w:val="22"/>
              </w:rPr>
              <w:t>[n=</w:t>
            </w:r>
            <w:r w:rsidR="008B688A" w:rsidRPr="00844846">
              <w:rPr>
                <w:b/>
                <w:bCs/>
                <w:sz w:val="22"/>
                <w:szCs w:val="22"/>
              </w:rPr>
              <w:t>393</w:t>
            </w:r>
            <w:r w:rsidR="009D1D8E" w:rsidRPr="00B81DBF">
              <w:rPr>
                <w:b/>
                <w:sz w:val="22"/>
              </w:rPr>
              <w:t>]</w:t>
            </w:r>
          </w:p>
        </w:tc>
      </w:tr>
      <w:tr w:rsidR="00FB7D88" w:rsidTr="00B4324B">
        <w:tc>
          <w:tcPr>
            <w:tcW w:w="3652" w:type="dxa"/>
          </w:tcPr>
          <w:p w:rsidR="00191BE4" w:rsidRDefault="00191BE4" w:rsidP="00304184">
            <w:pPr>
              <w:keepNext/>
            </w:pPr>
            <w:r>
              <w:t>Changes from baseline to week 52</w:t>
            </w:r>
          </w:p>
        </w:tc>
        <w:tc>
          <w:tcPr>
            <w:tcW w:w="1559" w:type="dxa"/>
          </w:tcPr>
          <w:p w:rsidR="00191BE4" w:rsidRDefault="00191BE4" w:rsidP="00304184">
            <w:pPr>
              <w:keepNext/>
              <w:jc w:val="center"/>
            </w:pPr>
          </w:p>
        </w:tc>
        <w:tc>
          <w:tcPr>
            <w:tcW w:w="3261" w:type="dxa"/>
          </w:tcPr>
          <w:p w:rsidR="00191BE4" w:rsidRDefault="00191BE4" w:rsidP="00304184">
            <w:pPr>
              <w:keepNext/>
              <w:jc w:val="center"/>
            </w:pPr>
          </w:p>
        </w:tc>
      </w:tr>
      <w:tr w:rsidR="00FB7D88" w:rsidTr="00B4324B">
        <w:tc>
          <w:tcPr>
            <w:tcW w:w="3652" w:type="dxa"/>
          </w:tcPr>
          <w:p w:rsidR="00191BE4" w:rsidRDefault="008B688A" w:rsidP="00F34635">
            <w:pPr>
              <w:keepNext/>
            </w:pPr>
            <w:r>
              <w:t>n</w:t>
            </w:r>
          </w:p>
        </w:tc>
        <w:tc>
          <w:tcPr>
            <w:tcW w:w="1559" w:type="dxa"/>
          </w:tcPr>
          <w:p w:rsidR="00191BE4" w:rsidRDefault="008B688A" w:rsidP="00304184">
            <w:pPr>
              <w:keepNext/>
              <w:jc w:val="center"/>
            </w:pPr>
            <w:r>
              <w:t>353</w:t>
            </w:r>
          </w:p>
        </w:tc>
        <w:tc>
          <w:tcPr>
            <w:tcW w:w="3261" w:type="dxa"/>
          </w:tcPr>
          <w:p w:rsidR="00191BE4" w:rsidRDefault="008B688A" w:rsidP="00304184">
            <w:pPr>
              <w:keepNext/>
              <w:jc w:val="center"/>
            </w:pPr>
            <w:r>
              <w:t>294</w:t>
            </w:r>
          </w:p>
        </w:tc>
      </w:tr>
      <w:tr w:rsidR="00FB7D88" w:rsidRPr="00CF1F4D" w:rsidTr="00B4324B">
        <w:tc>
          <w:tcPr>
            <w:tcW w:w="3652" w:type="dxa"/>
            <w:tcBorders>
              <w:top w:val="single" w:sz="4" w:space="0" w:color="auto"/>
              <w:left w:val="single" w:sz="4" w:space="0" w:color="auto"/>
              <w:bottom w:val="single" w:sz="4" w:space="0" w:color="auto"/>
              <w:right w:val="single" w:sz="4" w:space="0" w:color="auto"/>
            </w:tcBorders>
          </w:tcPr>
          <w:p w:rsidR="00191BE4" w:rsidRDefault="00191BE4" w:rsidP="00304184">
            <w:pPr>
              <w:keepNext/>
            </w:pPr>
            <w:r>
              <w:t>Total Sharp-Genant score</w:t>
            </w:r>
          </w:p>
        </w:tc>
        <w:tc>
          <w:tcPr>
            <w:tcW w:w="1559" w:type="dxa"/>
            <w:tcBorders>
              <w:top w:val="single" w:sz="4" w:space="0" w:color="auto"/>
              <w:left w:val="single" w:sz="4" w:space="0" w:color="auto"/>
              <w:bottom w:val="single" w:sz="4" w:space="0" w:color="auto"/>
              <w:right w:val="single" w:sz="4" w:space="0" w:color="auto"/>
            </w:tcBorders>
          </w:tcPr>
          <w:p w:rsidR="00191BE4" w:rsidRDefault="00EE7332" w:rsidP="00EE7332">
            <w:pPr>
              <w:keepNext/>
              <w:jc w:val="center"/>
            </w:pPr>
            <w:r>
              <w:t>0.25</w:t>
            </w:r>
          </w:p>
        </w:tc>
        <w:tc>
          <w:tcPr>
            <w:tcW w:w="3261" w:type="dxa"/>
            <w:tcBorders>
              <w:top w:val="single" w:sz="4" w:space="0" w:color="auto"/>
              <w:left w:val="single" w:sz="4" w:space="0" w:color="auto"/>
              <w:bottom w:val="single" w:sz="4" w:space="0" w:color="auto"/>
              <w:right w:val="single" w:sz="4" w:space="0" w:color="auto"/>
            </w:tcBorders>
          </w:tcPr>
          <w:p w:rsidR="00191BE4" w:rsidRDefault="00EE7332" w:rsidP="00EE7332">
            <w:pPr>
              <w:keepNext/>
              <w:jc w:val="center"/>
            </w:pPr>
            <w:r>
              <w:t xml:space="preserve">1.17 </w:t>
            </w:r>
          </w:p>
        </w:tc>
      </w:tr>
      <w:tr w:rsidR="00FB7D88" w:rsidTr="00B4324B">
        <w:tc>
          <w:tcPr>
            <w:tcW w:w="3652" w:type="dxa"/>
            <w:tcBorders>
              <w:top w:val="single" w:sz="4" w:space="0" w:color="auto"/>
              <w:left w:val="single" w:sz="4" w:space="0" w:color="auto"/>
              <w:bottom w:val="single" w:sz="4" w:space="0" w:color="auto"/>
              <w:right w:val="single" w:sz="4" w:space="0" w:color="auto"/>
            </w:tcBorders>
          </w:tcPr>
          <w:p w:rsidR="00191BE4" w:rsidRDefault="00191BE4" w:rsidP="00304184">
            <w:pPr>
              <w:keepNext/>
            </w:pPr>
            <w:r>
              <w:t>Erosion score</w:t>
            </w:r>
          </w:p>
        </w:tc>
        <w:tc>
          <w:tcPr>
            <w:tcW w:w="1559"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w:t>
            </w:r>
            <w:r w:rsidR="008B688A">
              <w:t>15</w:t>
            </w:r>
          </w:p>
        </w:tc>
        <w:tc>
          <w:tcPr>
            <w:tcW w:w="3261"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w:t>
            </w:r>
            <w:r w:rsidR="008B688A">
              <w:t>76</w:t>
            </w:r>
          </w:p>
        </w:tc>
      </w:tr>
      <w:tr w:rsidR="00FB7D88" w:rsidTr="00B4324B">
        <w:tc>
          <w:tcPr>
            <w:tcW w:w="3652" w:type="dxa"/>
            <w:tcBorders>
              <w:top w:val="single" w:sz="4" w:space="0" w:color="auto"/>
              <w:left w:val="single" w:sz="4" w:space="0" w:color="auto"/>
              <w:bottom w:val="single" w:sz="4" w:space="0" w:color="auto"/>
              <w:right w:val="single" w:sz="4" w:space="0" w:color="auto"/>
            </w:tcBorders>
          </w:tcPr>
          <w:p w:rsidR="00191BE4" w:rsidRDefault="00191BE4" w:rsidP="00304184">
            <w:pPr>
              <w:keepNext/>
            </w:pPr>
            <w:r>
              <w:t>JSN score</w:t>
            </w:r>
          </w:p>
        </w:tc>
        <w:tc>
          <w:tcPr>
            <w:tcW w:w="1559"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w:t>
            </w:r>
            <w:r w:rsidR="008B688A">
              <w:t>10</w:t>
            </w:r>
          </w:p>
        </w:tc>
        <w:tc>
          <w:tcPr>
            <w:tcW w:w="3261"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w:t>
            </w:r>
            <w:r w:rsidR="008B688A">
              <w:t>41</w:t>
            </w:r>
          </w:p>
        </w:tc>
      </w:tr>
      <w:tr w:rsidR="00FB7D88" w:rsidTr="00B4324B">
        <w:tc>
          <w:tcPr>
            <w:tcW w:w="3652" w:type="dxa"/>
            <w:tcBorders>
              <w:top w:val="single" w:sz="4" w:space="0" w:color="auto"/>
              <w:left w:val="single" w:sz="4" w:space="0" w:color="auto"/>
              <w:bottom w:val="single" w:sz="4" w:space="0" w:color="auto"/>
              <w:right w:val="single" w:sz="4" w:space="0" w:color="auto"/>
            </w:tcBorders>
          </w:tcPr>
          <w:p w:rsidR="00191BE4" w:rsidRDefault="00191BE4" w:rsidP="00304184">
            <w:pPr>
              <w:keepNext/>
            </w:pPr>
            <w:r>
              <w:t>Change from week 52 to week 104</w:t>
            </w:r>
          </w:p>
        </w:tc>
        <w:tc>
          <w:tcPr>
            <w:tcW w:w="1559"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p>
        </w:tc>
        <w:tc>
          <w:tcPr>
            <w:tcW w:w="3261"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p>
        </w:tc>
      </w:tr>
      <w:tr w:rsidR="00FB7D88" w:rsidRPr="00CF1F4D" w:rsidTr="00B4324B">
        <w:tc>
          <w:tcPr>
            <w:tcW w:w="3652" w:type="dxa"/>
            <w:tcBorders>
              <w:top w:val="single" w:sz="4" w:space="0" w:color="auto"/>
              <w:left w:val="single" w:sz="4" w:space="0" w:color="auto"/>
              <w:bottom w:val="single" w:sz="4" w:space="0" w:color="auto"/>
              <w:right w:val="single" w:sz="4" w:space="0" w:color="auto"/>
            </w:tcBorders>
          </w:tcPr>
          <w:p w:rsidR="00191BE4" w:rsidRDefault="008B688A" w:rsidP="00F34635">
            <w:pPr>
              <w:keepNext/>
            </w:pPr>
            <w:r>
              <w:t>n</w:t>
            </w:r>
          </w:p>
        </w:tc>
        <w:tc>
          <w:tcPr>
            <w:tcW w:w="1559" w:type="dxa"/>
            <w:tcBorders>
              <w:top w:val="single" w:sz="4" w:space="0" w:color="auto"/>
              <w:left w:val="single" w:sz="4" w:space="0" w:color="auto"/>
              <w:bottom w:val="single" w:sz="4" w:space="0" w:color="auto"/>
              <w:right w:val="single" w:sz="4" w:space="0" w:color="auto"/>
            </w:tcBorders>
          </w:tcPr>
          <w:p w:rsidR="00191BE4" w:rsidRDefault="008B688A" w:rsidP="00304184">
            <w:pPr>
              <w:keepNext/>
              <w:jc w:val="center"/>
            </w:pPr>
            <w:r>
              <w:t>353</w:t>
            </w:r>
          </w:p>
        </w:tc>
        <w:tc>
          <w:tcPr>
            <w:tcW w:w="3261" w:type="dxa"/>
            <w:tcBorders>
              <w:top w:val="single" w:sz="4" w:space="0" w:color="auto"/>
              <w:left w:val="single" w:sz="4" w:space="0" w:color="auto"/>
              <w:bottom w:val="single" w:sz="4" w:space="0" w:color="auto"/>
              <w:right w:val="single" w:sz="4" w:space="0" w:color="auto"/>
            </w:tcBorders>
          </w:tcPr>
          <w:p w:rsidR="00191BE4" w:rsidRPr="00492D70" w:rsidRDefault="008B688A" w:rsidP="00304184">
            <w:pPr>
              <w:keepNext/>
              <w:jc w:val="center"/>
            </w:pPr>
            <w:r>
              <w:t>294</w:t>
            </w:r>
          </w:p>
        </w:tc>
      </w:tr>
      <w:tr w:rsidR="00FB7D88" w:rsidTr="00B4324B">
        <w:tc>
          <w:tcPr>
            <w:tcW w:w="3652" w:type="dxa"/>
            <w:tcBorders>
              <w:top w:val="single" w:sz="4" w:space="0" w:color="auto"/>
              <w:left w:val="single" w:sz="4" w:space="0" w:color="auto"/>
              <w:bottom w:val="single" w:sz="4" w:space="0" w:color="auto"/>
              <w:right w:val="single" w:sz="4" w:space="0" w:color="auto"/>
            </w:tcBorders>
          </w:tcPr>
          <w:p w:rsidR="00191BE4" w:rsidRDefault="00191BE4" w:rsidP="00304184">
            <w:pPr>
              <w:keepNext/>
            </w:pPr>
            <w:r>
              <w:t>Total Sharp-Genant score</w:t>
            </w:r>
          </w:p>
        </w:tc>
        <w:tc>
          <w:tcPr>
            <w:tcW w:w="1559"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w:t>
            </w:r>
            <w:r w:rsidR="008B688A">
              <w:t>12</w:t>
            </w:r>
          </w:p>
        </w:tc>
        <w:tc>
          <w:tcPr>
            <w:tcW w:w="3261"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w:t>
            </w:r>
            <w:r w:rsidR="008B688A">
              <w:t>79</w:t>
            </w:r>
          </w:p>
        </w:tc>
      </w:tr>
      <w:tr w:rsidR="00FB7D88" w:rsidTr="00B4324B">
        <w:tc>
          <w:tcPr>
            <w:tcW w:w="3652" w:type="dxa"/>
            <w:tcBorders>
              <w:top w:val="single" w:sz="4" w:space="0" w:color="auto"/>
              <w:left w:val="single" w:sz="4" w:space="0" w:color="auto"/>
              <w:bottom w:val="single" w:sz="4" w:space="0" w:color="auto"/>
              <w:right w:val="single" w:sz="4" w:space="0" w:color="auto"/>
            </w:tcBorders>
          </w:tcPr>
          <w:p w:rsidR="00191BE4" w:rsidRDefault="00191BE4" w:rsidP="00304184">
            <w:pPr>
              <w:keepNext/>
            </w:pPr>
            <w:r>
              <w:t>Erosion score</w:t>
            </w:r>
          </w:p>
        </w:tc>
        <w:tc>
          <w:tcPr>
            <w:tcW w:w="1559"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w:t>
            </w:r>
            <w:r w:rsidR="008B688A">
              <w:t>07</w:t>
            </w:r>
          </w:p>
        </w:tc>
        <w:tc>
          <w:tcPr>
            <w:tcW w:w="3261"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w:t>
            </w:r>
            <w:r w:rsidR="008B688A">
              <w:t>48</w:t>
            </w:r>
          </w:p>
        </w:tc>
      </w:tr>
      <w:tr w:rsidR="00FB7D88" w:rsidTr="00B4324B">
        <w:tc>
          <w:tcPr>
            <w:tcW w:w="3652" w:type="dxa"/>
            <w:tcBorders>
              <w:top w:val="single" w:sz="4" w:space="0" w:color="auto"/>
              <w:left w:val="single" w:sz="4" w:space="0" w:color="auto"/>
              <w:bottom w:val="single" w:sz="4" w:space="0" w:color="auto"/>
              <w:right w:val="single" w:sz="4" w:space="0" w:color="auto"/>
            </w:tcBorders>
          </w:tcPr>
          <w:p w:rsidR="00191BE4" w:rsidRDefault="00191BE4" w:rsidP="00304184">
            <w:pPr>
              <w:keepNext/>
            </w:pPr>
            <w:r>
              <w:t>JSN score</w:t>
            </w:r>
          </w:p>
        </w:tc>
        <w:tc>
          <w:tcPr>
            <w:tcW w:w="1559"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w:t>
            </w:r>
            <w:r w:rsidR="008B688A">
              <w:t>05</w:t>
            </w:r>
          </w:p>
        </w:tc>
        <w:tc>
          <w:tcPr>
            <w:tcW w:w="3261"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w:t>
            </w:r>
            <w:r w:rsidR="008B688A">
              <w:t>31</w:t>
            </w:r>
          </w:p>
        </w:tc>
      </w:tr>
    </w:tbl>
    <w:p w:rsidR="000607D5" w:rsidRPr="00CF1F4D" w:rsidRDefault="000607D5" w:rsidP="000607D5">
      <w:pPr>
        <w:keepNext/>
        <w:rPr>
          <w:sz w:val="20"/>
        </w:rPr>
      </w:pPr>
      <w:r>
        <w:rPr>
          <w:sz w:val="20"/>
        </w:rPr>
        <w:t>ACT = ACTEMRA</w:t>
      </w:r>
    </w:p>
    <w:p w:rsidR="000607D5" w:rsidRDefault="000607D5" w:rsidP="000607D5">
      <w:pPr>
        <w:keepNext/>
        <w:rPr>
          <w:sz w:val="20"/>
        </w:rPr>
      </w:pPr>
      <w:r>
        <w:rPr>
          <w:sz w:val="20"/>
        </w:rPr>
        <w:t>JSN = j</w:t>
      </w:r>
      <w:r w:rsidRPr="00CF1F4D">
        <w:rPr>
          <w:sz w:val="20"/>
        </w:rPr>
        <w:t>oint space narrowing</w:t>
      </w:r>
    </w:p>
    <w:p w:rsidR="000607D5" w:rsidRPr="000662DB" w:rsidRDefault="000607D5" w:rsidP="000607D5">
      <w:pPr>
        <w:pStyle w:val="TextTi12"/>
        <w:spacing w:after="0" w:line="240" w:lineRule="auto"/>
        <w:rPr>
          <w:iCs/>
          <w:sz w:val="20"/>
        </w:rPr>
      </w:pPr>
      <w:r>
        <w:rPr>
          <w:iCs/>
          <w:sz w:val="20"/>
        </w:rPr>
        <w:t>The</w:t>
      </w:r>
      <w:r w:rsidRPr="00B13E09">
        <w:rPr>
          <w:iCs/>
          <w:sz w:val="20"/>
        </w:rPr>
        <w:t xml:space="preserve"> data presented consists of the ev</w:t>
      </w:r>
      <w:r>
        <w:rPr>
          <w:iCs/>
          <w:sz w:val="20"/>
        </w:rPr>
        <w:t xml:space="preserve">aluations of the baseline, week </w:t>
      </w:r>
      <w:r w:rsidRPr="00B13E09">
        <w:rPr>
          <w:iCs/>
          <w:sz w:val="20"/>
        </w:rPr>
        <w:t>24, week</w:t>
      </w:r>
      <w:r>
        <w:rPr>
          <w:iCs/>
          <w:sz w:val="20"/>
        </w:rPr>
        <w:t xml:space="preserve"> </w:t>
      </w:r>
      <w:r w:rsidRPr="00B13E09">
        <w:rPr>
          <w:iCs/>
          <w:sz w:val="20"/>
        </w:rPr>
        <w:t>52, week 80, week 104 and early withdrawal or escape therap</w:t>
      </w:r>
      <w:r>
        <w:rPr>
          <w:iCs/>
          <w:sz w:val="20"/>
        </w:rPr>
        <w:t>y readings taken up to the week 104 visit.</w:t>
      </w:r>
    </w:p>
    <w:p w:rsidR="00BE5E30" w:rsidRDefault="00BE5E30" w:rsidP="001C08F5">
      <w:pPr>
        <w:jc w:val="both"/>
        <w:rPr>
          <w:lang w:eastAsia="de-DE"/>
        </w:rPr>
      </w:pPr>
    </w:p>
    <w:p w:rsidR="000607D5" w:rsidRDefault="003001D6" w:rsidP="001C08F5">
      <w:pPr>
        <w:jc w:val="both"/>
        <w:rPr>
          <w:lang w:eastAsia="de-DE"/>
        </w:rPr>
      </w:pPr>
      <w:r>
        <w:rPr>
          <w:lang w:eastAsia="de-DE"/>
        </w:rPr>
        <w:t xml:space="preserve">Following 1 year of treatment with ACTEMRA + MTX, 83% of patients had no progression of structural damage, as defined by a change in the </w:t>
      </w:r>
      <w:r w:rsidRPr="008B72F4">
        <w:rPr>
          <w:lang w:eastAsia="de-DE"/>
        </w:rPr>
        <w:t xml:space="preserve">Total Sharp Score </w:t>
      </w:r>
      <w:r>
        <w:rPr>
          <w:lang w:eastAsia="de-DE"/>
        </w:rPr>
        <w:t>of zero or less, compared with 67% of placebo + MTX-treated patients. This remained consistent following 2 years of treatment (83%). Ninety three percent (93%) of patients had no progression between week 52 and week 104.</w:t>
      </w:r>
    </w:p>
    <w:p w:rsidR="00731529" w:rsidRPr="00DF1769" w:rsidRDefault="00B8185F" w:rsidP="00E27B67">
      <w:pPr>
        <w:jc w:val="both"/>
        <w:rPr>
          <w:rFonts w:eastAsia="MS Mincho"/>
          <w:b/>
          <w:color w:val="000000"/>
          <w:u w:val="single"/>
          <w:lang w:val="en-GB"/>
        </w:rPr>
      </w:pPr>
      <w:r>
        <w:rPr>
          <w:lang w:eastAsia="de-DE"/>
        </w:rPr>
        <w:br w:type="page"/>
      </w:r>
      <w:r w:rsidR="00731529" w:rsidRPr="00DF1769">
        <w:rPr>
          <w:rFonts w:eastAsia="MS Mincho"/>
          <w:b/>
          <w:color w:val="000000"/>
          <w:u w:val="single"/>
          <w:lang w:val="en-GB"/>
        </w:rPr>
        <w:lastRenderedPageBreak/>
        <w:t>Quality of Life Outcomes</w:t>
      </w:r>
    </w:p>
    <w:p w:rsidR="00731529" w:rsidRDefault="00731529" w:rsidP="001C08F5">
      <w:pPr>
        <w:jc w:val="both"/>
        <w:rPr>
          <w:rFonts w:eastAsia="MS Mincho"/>
          <w:color w:val="000000"/>
          <w:lang w:val="en-GB"/>
        </w:rPr>
      </w:pPr>
      <w:r>
        <w:rPr>
          <w:rFonts w:eastAsia="MS Mincho"/>
          <w:color w:val="000000"/>
          <w:lang w:val="en-GB"/>
        </w:rPr>
        <w:t xml:space="preserve">Clinically significant improvements in disability index (HAQ-DI, Health Assessment Questionnaire Disability Index), fatigue (FACIT-F, Functional Assessment of Chronic Illness Therapy Fatigue) and improvement in both the physical (PCS, Physical Component Summary) and mental health (MCS, Mental Component Summary) domains of the SF-36 (Short Form 36) were observed in patients treated with </w:t>
      </w:r>
      <w:r w:rsidR="00EB283F">
        <w:rPr>
          <w:rFonts w:eastAsia="MS Mincho"/>
          <w:color w:val="000000"/>
          <w:lang w:val="en-GB"/>
        </w:rPr>
        <w:t xml:space="preserve">8 mg/kg </w:t>
      </w:r>
      <w:r w:rsidR="00807CDD">
        <w:rPr>
          <w:rFonts w:eastAsia="MS Mincho"/>
          <w:color w:val="000000"/>
          <w:lang w:val="en-GB"/>
        </w:rPr>
        <w:t xml:space="preserve">ACTEMRA </w:t>
      </w:r>
      <w:r>
        <w:rPr>
          <w:rFonts w:eastAsia="MS Mincho"/>
          <w:color w:val="000000"/>
          <w:lang w:val="en-GB"/>
        </w:rPr>
        <w:t xml:space="preserve">(monotherapy or combination with DMARDs) compared to patients </w:t>
      </w:r>
      <w:r w:rsidR="00D61CCA">
        <w:rPr>
          <w:rFonts w:eastAsia="MS Mincho"/>
          <w:color w:val="000000"/>
          <w:lang w:val="en-GB"/>
        </w:rPr>
        <w:t>treated with MTX/DMARDs</w:t>
      </w:r>
      <w:r>
        <w:rPr>
          <w:rFonts w:eastAsia="MS Mincho"/>
          <w:color w:val="000000"/>
          <w:lang w:val="en-GB"/>
        </w:rPr>
        <w:t>.</w:t>
      </w:r>
    </w:p>
    <w:p w:rsidR="00807CDD" w:rsidRDefault="00807CDD" w:rsidP="001C08F5">
      <w:pPr>
        <w:jc w:val="both"/>
        <w:rPr>
          <w:rFonts w:eastAsia="MS Mincho"/>
          <w:color w:val="000000"/>
          <w:lang w:val="en-GB"/>
        </w:rPr>
      </w:pPr>
    </w:p>
    <w:p w:rsidR="00731529" w:rsidRDefault="00731529" w:rsidP="001C08F5">
      <w:pPr>
        <w:jc w:val="both"/>
        <w:rPr>
          <w:rFonts w:eastAsia="MS Mincho"/>
          <w:color w:val="000000"/>
          <w:lang w:val="en-GB"/>
        </w:rPr>
      </w:pPr>
      <w:r>
        <w:rPr>
          <w:rFonts w:eastAsia="MS Mincho"/>
          <w:color w:val="000000"/>
          <w:lang w:val="en-GB"/>
        </w:rPr>
        <w:t xml:space="preserve">At week 24, the proportion of </w:t>
      </w:r>
      <w:r w:rsidR="00FC7D7E">
        <w:rPr>
          <w:rFonts w:eastAsia="MS Mincho"/>
          <w:color w:val="000000"/>
          <w:lang w:val="en-GB"/>
        </w:rPr>
        <w:t xml:space="preserve">8 mg/kg </w:t>
      </w:r>
      <w:r w:rsidR="00807CDD">
        <w:rPr>
          <w:rFonts w:eastAsia="MS Mincho"/>
          <w:color w:val="000000"/>
          <w:lang w:val="en-GB"/>
        </w:rPr>
        <w:t>ACTEMRA</w:t>
      </w:r>
      <w:r>
        <w:rPr>
          <w:rFonts w:eastAsia="MS Mincho"/>
          <w:color w:val="000000"/>
          <w:lang w:val="en-GB"/>
        </w:rPr>
        <w:t xml:space="preserve"> treated patients showing a clinically relevant improvement in HAQ-DI (defined as an individual total score decrease of &gt;</w:t>
      </w:r>
      <w:r w:rsidR="00DC379F">
        <w:rPr>
          <w:rFonts w:eastAsia="MS Mincho"/>
          <w:color w:val="000000"/>
          <w:lang w:val="en-GB"/>
        </w:rPr>
        <w:t xml:space="preserve"> </w:t>
      </w:r>
      <w:r>
        <w:rPr>
          <w:rFonts w:eastAsia="MS Mincho"/>
          <w:color w:val="000000"/>
          <w:lang w:val="en-GB"/>
        </w:rPr>
        <w:t>0.25), was significantly higher than among patients receiving placebo + MTX/DMARDs in all studies.</w:t>
      </w:r>
      <w:r w:rsidR="0021093E">
        <w:rPr>
          <w:rFonts w:eastAsia="MS Mincho"/>
          <w:color w:val="000000"/>
          <w:lang w:val="en-GB"/>
        </w:rPr>
        <w:t xml:space="preserve"> </w:t>
      </w:r>
      <w:r w:rsidR="0021093E" w:rsidRPr="007F1B10">
        <w:rPr>
          <w:rFonts w:eastAsia="MS Mincho"/>
          <w:color w:val="000000"/>
          <w:lang w:val="en-GB"/>
        </w:rPr>
        <w:t>D</w:t>
      </w:r>
      <w:r w:rsidR="0021093E">
        <w:rPr>
          <w:rFonts w:eastAsia="MS Mincho"/>
          <w:color w:val="000000"/>
          <w:lang w:val="en-GB"/>
        </w:rPr>
        <w:t>uring the open-label period of s</w:t>
      </w:r>
      <w:r w:rsidR="0021093E" w:rsidRPr="007F1B10">
        <w:rPr>
          <w:rFonts w:eastAsia="MS Mincho"/>
          <w:color w:val="000000"/>
          <w:lang w:val="en-GB"/>
        </w:rPr>
        <w:t>tudy II the</w:t>
      </w:r>
      <w:r w:rsidR="0021093E">
        <w:rPr>
          <w:rFonts w:eastAsia="MS Mincho"/>
          <w:color w:val="000000"/>
          <w:lang w:val="en-GB"/>
        </w:rPr>
        <w:t xml:space="preserve"> </w:t>
      </w:r>
      <w:r w:rsidR="0021093E" w:rsidRPr="007F1B10">
        <w:rPr>
          <w:rFonts w:eastAsia="MS Mincho"/>
          <w:color w:val="000000"/>
          <w:lang w:val="en-GB"/>
        </w:rPr>
        <w:t>improvement in physical function has been m</w:t>
      </w:r>
      <w:r w:rsidR="0021093E">
        <w:rPr>
          <w:rFonts w:eastAsia="MS Mincho"/>
          <w:color w:val="000000"/>
          <w:lang w:val="en-GB"/>
        </w:rPr>
        <w:t>aintained for up to 2 years</w:t>
      </w:r>
      <w:r w:rsidR="0021093E" w:rsidRPr="007F1B10">
        <w:rPr>
          <w:rFonts w:eastAsia="MS Mincho"/>
          <w:color w:val="000000"/>
          <w:lang w:val="en-GB"/>
        </w:rPr>
        <w:t>.</w:t>
      </w:r>
    </w:p>
    <w:p w:rsidR="0021093E" w:rsidRDefault="0021093E" w:rsidP="001C08F5">
      <w:pPr>
        <w:jc w:val="both"/>
        <w:rPr>
          <w:rFonts w:eastAsia="MS Mincho"/>
          <w:color w:val="000000"/>
          <w:lang w:val="en-GB"/>
        </w:rPr>
      </w:pPr>
    </w:p>
    <w:p w:rsidR="0021093E" w:rsidRPr="00621DD9" w:rsidRDefault="0021093E" w:rsidP="001C08F5">
      <w:pPr>
        <w:jc w:val="both"/>
        <w:rPr>
          <w:rFonts w:eastAsia="MS Mincho"/>
          <w:color w:val="000000"/>
          <w:lang w:val="en-GB"/>
        </w:rPr>
      </w:pPr>
      <w:r>
        <w:rPr>
          <w:rFonts w:eastAsia="MS Mincho"/>
          <w:color w:val="000000"/>
          <w:lang w:val="en-GB"/>
        </w:rPr>
        <w:t xml:space="preserve">At week 52, the mean change in </w:t>
      </w:r>
      <w:r w:rsidRPr="007F1B10">
        <w:rPr>
          <w:rFonts w:eastAsia="MS Mincho"/>
          <w:color w:val="000000"/>
          <w:lang w:val="en-GB"/>
        </w:rPr>
        <w:t xml:space="preserve">HAQ-DI was -0.58 in the </w:t>
      </w:r>
      <w:r>
        <w:rPr>
          <w:rFonts w:eastAsia="MS Mincho"/>
          <w:color w:val="000000"/>
          <w:lang w:val="en-GB"/>
        </w:rPr>
        <w:t>ACTEMRA</w:t>
      </w:r>
      <w:r w:rsidRPr="007F1B10">
        <w:rPr>
          <w:rFonts w:eastAsia="MS Mincho"/>
          <w:color w:val="000000"/>
          <w:lang w:val="en-GB"/>
        </w:rPr>
        <w:t xml:space="preserve"> 8 mg/kg + MTX group compared with -0.39 in the</w:t>
      </w:r>
      <w:r>
        <w:rPr>
          <w:rFonts w:eastAsia="MS Mincho"/>
          <w:color w:val="000000"/>
          <w:lang w:val="en-GB"/>
        </w:rPr>
        <w:t xml:space="preserve"> </w:t>
      </w:r>
      <w:r w:rsidRPr="007F1B10">
        <w:rPr>
          <w:rFonts w:eastAsia="MS Mincho"/>
          <w:color w:val="000000"/>
          <w:lang w:val="en-GB"/>
        </w:rPr>
        <w:t>placebo + MTX group. The mean chan</w:t>
      </w:r>
      <w:r>
        <w:rPr>
          <w:rFonts w:eastAsia="MS Mincho"/>
          <w:color w:val="000000"/>
          <w:lang w:val="en-GB"/>
        </w:rPr>
        <w:t>ge in HAQ-DI was maintained at w</w:t>
      </w:r>
      <w:r w:rsidRPr="007F1B10">
        <w:rPr>
          <w:rFonts w:eastAsia="MS Mincho"/>
          <w:color w:val="000000"/>
          <w:lang w:val="en-GB"/>
        </w:rPr>
        <w:t>eek 104 in</w:t>
      </w:r>
      <w:r>
        <w:rPr>
          <w:rFonts w:eastAsia="MS Mincho"/>
          <w:color w:val="000000"/>
          <w:lang w:val="en-GB"/>
        </w:rPr>
        <w:t xml:space="preserve"> </w:t>
      </w:r>
      <w:r w:rsidRPr="007F1B10">
        <w:rPr>
          <w:rFonts w:eastAsia="MS Mincho"/>
          <w:color w:val="000000"/>
          <w:lang w:val="en-GB"/>
        </w:rPr>
        <w:t xml:space="preserve">the </w:t>
      </w:r>
      <w:r>
        <w:rPr>
          <w:rFonts w:eastAsia="MS Mincho"/>
          <w:color w:val="000000"/>
          <w:lang w:val="en-GB"/>
        </w:rPr>
        <w:t>ACTEMRA</w:t>
      </w:r>
      <w:r w:rsidRPr="007F1B10">
        <w:rPr>
          <w:rFonts w:eastAsia="MS Mincho"/>
          <w:color w:val="000000"/>
          <w:lang w:val="en-GB"/>
        </w:rPr>
        <w:t xml:space="preserve"> 8 mg/kg + MTX group (-0.61).</w:t>
      </w:r>
      <w:r w:rsidR="00621DD9">
        <w:rPr>
          <w:rFonts w:eastAsia="MS Mincho"/>
          <w:color w:val="000000"/>
          <w:lang w:val="en-GB"/>
        </w:rPr>
        <w:t xml:space="preserve"> </w:t>
      </w:r>
      <w:r w:rsidR="00621DD9" w:rsidRPr="00621DD9">
        <w:rPr>
          <w:rFonts w:eastAsia="MS Mincho"/>
          <w:color w:val="000000"/>
          <w:lang w:val="en-GB"/>
        </w:rPr>
        <w:t>The percentage of ACTEMRA-treated patients showing a clinically relevant improvement in HAQ-DI (≥ 0.3 units) at weeks 52 &amp; 104 were 63% and 62%</w:t>
      </w:r>
      <w:r w:rsidR="00311780">
        <w:rPr>
          <w:rFonts w:eastAsia="MS Mincho"/>
          <w:color w:val="000000"/>
          <w:lang w:val="en-GB"/>
        </w:rPr>
        <w:t>,</w:t>
      </w:r>
      <w:r w:rsidR="00621DD9" w:rsidRPr="00621DD9">
        <w:rPr>
          <w:rFonts w:eastAsia="MS Mincho"/>
          <w:color w:val="000000"/>
          <w:lang w:val="en-GB"/>
        </w:rPr>
        <w:t xml:space="preserve"> respectively.</w:t>
      </w:r>
    </w:p>
    <w:p w:rsidR="00807CDD" w:rsidRDefault="00807CDD" w:rsidP="001C08F5">
      <w:pPr>
        <w:jc w:val="both"/>
        <w:rPr>
          <w:rFonts w:eastAsia="MS Mincho"/>
          <w:color w:val="000000"/>
          <w:lang w:val="en-GB"/>
        </w:rPr>
      </w:pPr>
    </w:p>
    <w:p w:rsidR="00731529" w:rsidRDefault="00731529" w:rsidP="00731529">
      <w:pPr>
        <w:rPr>
          <w:b/>
          <w:u w:val="single"/>
        </w:rPr>
      </w:pPr>
      <w:r w:rsidRPr="002C213A">
        <w:rPr>
          <w:b/>
          <w:u w:val="single"/>
        </w:rPr>
        <w:t>Laboratory Evaluations</w:t>
      </w:r>
    </w:p>
    <w:p w:rsidR="00731529" w:rsidRDefault="00731529" w:rsidP="00731529">
      <w:pPr>
        <w:pStyle w:val="TextTi12"/>
        <w:rPr>
          <w:lang w:val="en-GB"/>
        </w:rPr>
      </w:pPr>
      <w:r w:rsidRPr="00CD2DF8">
        <w:t xml:space="preserve">Treatment with </w:t>
      </w:r>
      <w:r w:rsidR="00EB283F">
        <w:t xml:space="preserve">8 mg/kg </w:t>
      </w:r>
      <w:r w:rsidR="001C08F5">
        <w:t>ACTEMRA</w:t>
      </w:r>
      <w:r w:rsidRPr="00CD2DF8">
        <w:t xml:space="preserve"> </w:t>
      </w:r>
      <w:r>
        <w:t>in combination with DMARD/MTX or as monotherapy</w:t>
      </w:r>
      <w:r w:rsidRPr="00CD2DF8">
        <w:t xml:space="preserve"> resulted in a statistically significant improvement in h</w:t>
      </w:r>
      <w:r w:rsidR="005E71F7">
        <w:t>a</w:t>
      </w:r>
      <w:r w:rsidRPr="00CD2DF8">
        <w:t xml:space="preserve">emoglobin </w:t>
      </w:r>
      <w:r>
        <w:t xml:space="preserve">levels </w:t>
      </w:r>
      <w:r w:rsidRPr="00CD2DF8">
        <w:t>compared with placebo + MTX</w:t>
      </w:r>
      <w:r>
        <w:t>/DMARD (p&lt;</w:t>
      </w:r>
      <w:r w:rsidR="00DC379F">
        <w:t xml:space="preserve"> </w:t>
      </w:r>
      <w:r>
        <w:t>0.0001) at week 24.</w:t>
      </w:r>
      <w:r w:rsidR="005E71F7">
        <w:t xml:space="preserve"> </w:t>
      </w:r>
      <w:r w:rsidRPr="00136B25">
        <w:t>The greatest improvement was observed in patients with chronic an</w:t>
      </w:r>
      <w:r w:rsidR="005E71F7">
        <w:t>a</w:t>
      </w:r>
      <w:r w:rsidRPr="00136B25">
        <w:t>emia associated with RA; mean h</w:t>
      </w:r>
      <w:r w:rsidR="005E71F7">
        <w:t>a</w:t>
      </w:r>
      <w:r w:rsidRPr="00136B25">
        <w:t xml:space="preserve">emoglobin levels increased </w:t>
      </w:r>
      <w:r>
        <w:t>by</w:t>
      </w:r>
      <w:r w:rsidRPr="00136B25">
        <w:t xml:space="preserve"> week 2 </w:t>
      </w:r>
      <w:r>
        <w:t xml:space="preserve">and remained within normal range through </w:t>
      </w:r>
      <w:r w:rsidRPr="00136B25">
        <w:t>week 24.</w:t>
      </w:r>
    </w:p>
    <w:p w:rsidR="004E67BF" w:rsidRDefault="00731529" w:rsidP="000640B5">
      <w:pPr>
        <w:pStyle w:val="TextTi12"/>
        <w:spacing w:after="0" w:line="240" w:lineRule="auto"/>
        <w:rPr>
          <w:lang w:val="en-GB"/>
        </w:rPr>
      </w:pPr>
      <w:r>
        <w:t>A marked decrease in m</w:t>
      </w:r>
      <w:r w:rsidRPr="00CD2DF8">
        <w:t>ean levels of acut</w:t>
      </w:r>
      <w:r>
        <w:t xml:space="preserve">e phase reactants, CRP, ESR, </w:t>
      </w:r>
      <w:r>
        <w:rPr>
          <w:rFonts w:eastAsia="MS Mincho" w:hint="eastAsia"/>
          <w:lang w:eastAsia="ja-JP"/>
        </w:rPr>
        <w:t xml:space="preserve">and </w:t>
      </w:r>
      <w:r>
        <w:t>serum amyloid A occurred rapidly after</w:t>
      </w:r>
      <w:r w:rsidRPr="00CD2DF8">
        <w:t xml:space="preserve"> </w:t>
      </w:r>
      <w:r w:rsidR="001C08F5">
        <w:rPr>
          <w:lang w:val="en-GB"/>
        </w:rPr>
        <w:t>ACTEMRA</w:t>
      </w:r>
      <w:r w:rsidRPr="00A82A0F">
        <w:rPr>
          <w:lang w:val="en-GB"/>
        </w:rPr>
        <w:t xml:space="preserve"> administration</w:t>
      </w:r>
      <w:r w:rsidR="005E71F7">
        <w:rPr>
          <w:lang w:val="en-GB"/>
        </w:rPr>
        <w:t xml:space="preserve">. </w:t>
      </w:r>
      <w:r>
        <w:rPr>
          <w:lang w:val="en-GB"/>
        </w:rPr>
        <w:t xml:space="preserve">Consistent with the effect on acute phase reactants, treatment with </w:t>
      </w:r>
      <w:r w:rsidR="001C08F5">
        <w:rPr>
          <w:lang w:val="en-GB"/>
        </w:rPr>
        <w:t>ACTEMRA</w:t>
      </w:r>
      <w:r>
        <w:rPr>
          <w:lang w:val="en-GB"/>
        </w:rPr>
        <w:t xml:space="preserve"> was associated with reduction in platelet count within the normal range</w:t>
      </w:r>
      <w:r w:rsidRPr="00A82A0F">
        <w:rPr>
          <w:lang w:val="en-GB"/>
        </w:rPr>
        <w:t>.</w:t>
      </w:r>
    </w:p>
    <w:p w:rsidR="000640B5" w:rsidRDefault="000640B5" w:rsidP="000640B5">
      <w:pPr>
        <w:pStyle w:val="TextTi12"/>
        <w:spacing w:after="0" w:line="240" w:lineRule="auto"/>
        <w:rPr>
          <w:lang w:val="en-GB"/>
        </w:rPr>
      </w:pPr>
    </w:p>
    <w:p w:rsidR="001E4C60" w:rsidRDefault="001E4C60" w:rsidP="001E4C60">
      <w:pPr>
        <w:pStyle w:val="TextTi12"/>
        <w:spacing w:after="0" w:line="240" w:lineRule="auto"/>
        <w:rPr>
          <w:b/>
          <w:u w:val="single"/>
          <w:lang w:val="en-GB"/>
        </w:rPr>
      </w:pPr>
      <w:r>
        <w:rPr>
          <w:b/>
          <w:u w:val="single"/>
          <w:lang w:val="en-GB"/>
        </w:rPr>
        <w:t>MTX</w:t>
      </w:r>
      <w:r w:rsidR="00B16389">
        <w:rPr>
          <w:b/>
          <w:u w:val="single"/>
          <w:lang w:val="en-GB"/>
        </w:rPr>
        <w:t xml:space="preserve"> </w:t>
      </w:r>
      <w:r w:rsidR="008D2590">
        <w:rPr>
          <w:b/>
          <w:u w:val="single"/>
          <w:lang w:val="en-GB"/>
        </w:rPr>
        <w:t>naive</w:t>
      </w:r>
      <w:r>
        <w:rPr>
          <w:b/>
          <w:u w:val="single"/>
          <w:lang w:val="en-GB"/>
        </w:rPr>
        <w:t>, Early RA</w:t>
      </w:r>
    </w:p>
    <w:p w:rsidR="001E4C60" w:rsidRDefault="001E4C60" w:rsidP="001E4C60">
      <w:pPr>
        <w:pStyle w:val="TextTi12"/>
        <w:rPr>
          <w:lang w:val="en-GB" w:eastAsia="ja-JP"/>
        </w:rPr>
      </w:pPr>
      <w:r>
        <w:rPr>
          <w:lang w:val="en-GB" w:eastAsia="ja-JP"/>
        </w:rPr>
        <w:t>Study VI (WA19926), a 2 year study with the planned primary analysis at week 52 evaluated 1162 MTX-naïve adult patients with moderate to severe, active early RA (mean disease duration ≤ 6 months)</w:t>
      </w:r>
      <w:r w:rsidR="001F4809">
        <w:rPr>
          <w:lang w:val="en-GB" w:eastAsia="ja-JP"/>
        </w:rPr>
        <w:t xml:space="preserve"> and </w:t>
      </w:r>
      <w:r w:rsidR="001F4809" w:rsidRPr="008F0A2B">
        <w:rPr>
          <w:lang w:val="en-GB" w:eastAsia="ja-JP"/>
        </w:rPr>
        <w:t>one or more indicators of poor prognosis, such as elevated inflammatory markers (e</w:t>
      </w:r>
      <w:r w:rsidR="001F4809">
        <w:rPr>
          <w:lang w:val="en-GB" w:eastAsia="ja-JP"/>
        </w:rPr>
        <w:t>.</w:t>
      </w:r>
      <w:r w:rsidR="001F4809" w:rsidRPr="008F0A2B">
        <w:rPr>
          <w:lang w:val="en-GB" w:eastAsia="ja-JP"/>
        </w:rPr>
        <w:t>g</w:t>
      </w:r>
      <w:r w:rsidR="001F4809">
        <w:rPr>
          <w:lang w:val="en-GB" w:eastAsia="ja-JP"/>
        </w:rPr>
        <w:t>.</w:t>
      </w:r>
      <w:r w:rsidR="001F4809" w:rsidRPr="008F0A2B">
        <w:rPr>
          <w:lang w:val="en-GB" w:eastAsia="ja-JP"/>
        </w:rPr>
        <w:t xml:space="preserve"> </w:t>
      </w:r>
      <w:r w:rsidR="001F4809">
        <w:rPr>
          <w:lang w:val="en-GB" w:eastAsia="ja-JP"/>
        </w:rPr>
        <w:t>ESR</w:t>
      </w:r>
      <w:r w:rsidR="001F4809" w:rsidRPr="008F0A2B">
        <w:rPr>
          <w:lang w:val="en-GB" w:eastAsia="ja-JP"/>
        </w:rPr>
        <w:t xml:space="preserve"> and/or </w:t>
      </w:r>
      <w:r w:rsidR="001F4809">
        <w:rPr>
          <w:lang w:val="en-GB" w:eastAsia="ja-JP"/>
        </w:rPr>
        <w:t>CRP</w:t>
      </w:r>
      <w:r w:rsidR="001F4809" w:rsidRPr="008F0A2B">
        <w:rPr>
          <w:lang w:val="en-GB" w:eastAsia="ja-JP"/>
        </w:rPr>
        <w:t xml:space="preserve">), the presence of </w:t>
      </w:r>
      <w:r w:rsidR="001F4809">
        <w:rPr>
          <w:lang w:val="en-GB" w:eastAsia="ja-JP"/>
        </w:rPr>
        <w:t xml:space="preserve">RF </w:t>
      </w:r>
      <w:r w:rsidR="001F4809" w:rsidRPr="008F0A2B">
        <w:rPr>
          <w:lang w:val="en-GB" w:eastAsia="ja-JP"/>
        </w:rPr>
        <w:t>and/or anti</w:t>
      </w:r>
      <w:r w:rsidR="001F4809">
        <w:rPr>
          <w:lang w:val="en-GB" w:eastAsia="ja-JP"/>
        </w:rPr>
        <w:t>-CCP</w:t>
      </w:r>
      <w:r w:rsidR="001F4809" w:rsidRPr="008F0A2B">
        <w:rPr>
          <w:lang w:val="en-GB" w:eastAsia="ja-JP"/>
        </w:rPr>
        <w:t>, and/or the presence of bony erosions attributable to rheumatoid arthritis</w:t>
      </w:r>
      <w:r>
        <w:rPr>
          <w:lang w:val="en-GB" w:eastAsia="ja-JP"/>
        </w:rPr>
        <w:t xml:space="preserve">. This study evaluated the efficacy of </w:t>
      </w:r>
      <w:r>
        <w:rPr>
          <w:lang w:val="en-GB"/>
        </w:rPr>
        <w:t>ACTEMRA</w:t>
      </w:r>
      <w:r>
        <w:rPr>
          <w:lang w:val="en-GB" w:eastAsia="ja-JP"/>
        </w:rPr>
        <w:t xml:space="preserve"> 4 or 8 mg/kg every 4 weeks</w:t>
      </w:r>
      <w:r w:rsidR="00B16389">
        <w:rPr>
          <w:lang w:val="en-GB" w:eastAsia="ja-JP"/>
        </w:rPr>
        <w:t xml:space="preserve"> in combination with </w:t>
      </w:r>
      <w:r>
        <w:rPr>
          <w:lang w:val="en-GB" w:eastAsia="ja-JP"/>
        </w:rPr>
        <w:t xml:space="preserve">MTX, </w:t>
      </w:r>
      <w:r>
        <w:rPr>
          <w:lang w:val="en-GB"/>
        </w:rPr>
        <w:t>ACTEMRA</w:t>
      </w:r>
      <w:r>
        <w:rPr>
          <w:lang w:val="en-GB" w:eastAsia="ja-JP"/>
        </w:rPr>
        <w:t xml:space="preserve"> 8 mg/kg monotherapy and MTX monotherapy in reducing the signs and symptoms and rate of progression of joint damage for 104 weeks. The primary endpoint was the proportion of patients achieving DAS28 remission (DAS28 &lt; 2.6) at </w:t>
      </w:r>
      <w:r>
        <w:rPr>
          <w:lang w:val="en-GB" w:eastAsia="ja-JP"/>
        </w:rPr>
        <w:lastRenderedPageBreak/>
        <w:t>week 24</w:t>
      </w:r>
      <w:r>
        <w:rPr>
          <w:lang w:eastAsia="ja-JP"/>
        </w:rPr>
        <w:t>.</w:t>
      </w:r>
      <w:r>
        <w:rPr>
          <w:lang w:val="en-GB" w:eastAsia="ja-JP"/>
        </w:rPr>
        <w:t xml:space="preserve"> A significantly higher proportion of patients in the ACTEMRA 8 mg/kg + MTX and ACTEMRA monotherapy groups met the primary endpoint compared with MTX alone. The ACTEMRA 8 mg/kg + MTX group also showed statistically significant results across the key secondary endpoints. Numerically greater responses compared with MTX alone were observed in the ACTEMRA 8 mg/kg monotherapy group in all secondary endpoints, including radiographic </w:t>
      </w:r>
      <w:r w:rsidR="00BB788D">
        <w:rPr>
          <w:lang w:val="en-GB" w:eastAsia="ja-JP"/>
        </w:rPr>
        <w:t>endpoints</w:t>
      </w:r>
      <w:r w:rsidR="002D638F">
        <w:rPr>
          <w:lang w:val="en-GB" w:eastAsia="ja-JP"/>
        </w:rPr>
        <w:t xml:space="preserve"> </w:t>
      </w:r>
      <w:r w:rsidR="002D638F" w:rsidRPr="00721938">
        <w:rPr>
          <w:lang w:val="en-GB" w:eastAsia="ja-JP"/>
        </w:rPr>
        <w:t>(although the differences between ACTEMRA 8 mg/kg monotherapy and MTX were not statistically significant</w:t>
      </w:r>
      <w:r w:rsidR="002D638F" w:rsidRPr="00C72EAB">
        <w:rPr>
          <w:lang w:val="en-GB" w:eastAsia="ja-JP"/>
        </w:rPr>
        <w:t>)</w:t>
      </w:r>
      <w:r w:rsidR="00992AD3" w:rsidRPr="00B4324B">
        <w:rPr>
          <w:lang w:val="en-GB" w:eastAsia="ja-JP"/>
        </w:rPr>
        <w:t>.</w:t>
      </w:r>
      <w:r>
        <w:rPr>
          <w:lang w:val="en-GB" w:eastAsia="ja-JP"/>
        </w:rPr>
        <w:t>The results from study VI (WA19926) are shown in Table 4.</w:t>
      </w:r>
    </w:p>
    <w:p w:rsidR="00AA25C5" w:rsidRDefault="00AA25C5" w:rsidP="001E4C60">
      <w:pPr>
        <w:pStyle w:val="TextTi12"/>
        <w:rPr>
          <w:lang w:val="en-GB" w:eastAsia="ja-JP"/>
        </w:rPr>
      </w:pPr>
    </w:p>
    <w:p w:rsidR="00AA25C5" w:rsidRPr="00EA66CF" w:rsidRDefault="00AA25C5" w:rsidP="00EA66CF">
      <w:pPr>
        <w:rPr>
          <w:b/>
          <w:i/>
        </w:rPr>
      </w:pPr>
      <w:r w:rsidRPr="00EA66CF">
        <w:rPr>
          <w:b/>
        </w:rPr>
        <w:t>Table 4 Efficacy Results for Study VI (WA19926) on MTX-naïve, early RA patients</w:t>
      </w:r>
    </w:p>
    <w:tbl>
      <w:tblPr>
        <w:tblW w:w="8505" w:type="dxa"/>
        <w:tblInd w:w="58" w:type="dxa"/>
        <w:tblLayout w:type="fixed"/>
        <w:tblCellMar>
          <w:left w:w="0" w:type="dxa"/>
          <w:right w:w="0" w:type="dxa"/>
        </w:tblCellMar>
        <w:tblLook w:val="04A0" w:firstRow="1" w:lastRow="0" w:firstColumn="1" w:lastColumn="0" w:noHBand="0" w:noVBand="1"/>
      </w:tblPr>
      <w:tblGrid>
        <w:gridCol w:w="3686"/>
        <w:gridCol w:w="283"/>
        <w:gridCol w:w="284"/>
        <w:gridCol w:w="992"/>
        <w:gridCol w:w="1418"/>
        <w:gridCol w:w="141"/>
        <w:gridCol w:w="1701"/>
      </w:tblGrid>
      <w:tr w:rsidR="00AA25C5" w:rsidTr="00B06632">
        <w:trPr>
          <w:cantSplit/>
        </w:trPr>
        <w:tc>
          <w:tcPr>
            <w:tcW w:w="3686" w:type="dxa"/>
            <w:tcBorders>
              <w:top w:val="single" w:sz="8" w:space="0" w:color="auto"/>
              <w:left w:val="single" w:sz="4" w:space="0" w:color="auto"/>
              <w:bottom w:val="single" w:sz="8" w:space="0" w:color="auto"/>
              <w:right w:val="nil"/>
            </w:tcBorders>
            <w:tcMar>
              <w:top w:w="0" w:type="dxa"/>
              <w:left w:w="57" w:type="dxa"/>
              <w:bottom w:w="0" w:type="dxa"/>
              <w:right w:w="57" w:type="dxa"/>
            </w:tcMar>
            <w:vAlign w:val="bottom"/>
            <w:hideMark/>
          </w:tcPr>
          <w:p w:rsidR="00AA25C5" w:rsidRDefault="00AA25C5" w:rsidP="00B06632">
            <w:pPr>
              <w:rPr>
                <w:rFonts w:eastAsia="MS Mincho"/>
                <w:sz w:val="20"/>
                <w:lang w:eastAsia="zh-TW"/>
              </w:rPr>
            </w:pPr>
          </w:p>
        </w:tc>
        <w:tc>
          <w:tcPr>
            <w:tcW w:w="1559" w:type="dxa"/>
            <w:gridSpan w:val="3"/>
            <w:tcBorders>
              <w:top w:val="single" w:sz="8" w:space="0" w:color="auto"/>
              <w:left w:val="nil"/>
              <w:bottom w:val="single" w:sz="8" w:space="0" w:color="auto"/>
              <w:right w:val="nil"/>
            </w:tcBorders>
            <w:tcMar>
              <w:top w:w="0" w:type="dxa"/>
              <w:left w:w="57" w:type="dxa"/>
              <w:bottom w:w="0" w:type="dxa"/>
              <w:right w:w="57" w:type="dxa"/>
            </w:tcMar>
            <w:vAlign w:val="bottom"/>
            <w:hideMark/>
          </w:tcPr>
          <w:p w:rsidR="00AA25C5" w:rsidRDefault="00AA25C5" w:rsidP="00B06632">
            <w:pPr>
              <w:keepNext/>
              <w:keepLines/>
              <w:spacing w:before="50" w:after="50" w:line="240" w:lineRule="exact"/>
              <w:jc w:val="center"/>
              <w:rPr>
                <w:rFonts w:eastAsia="SimSun"/>
                <w:b/>
                <w:sz w:val="20"/>
                <w:lang w:val="en-GB" w:eastAsia="zh-CN"/>
              </w:rPr>
            </w:pPr>
            <w:r>
              <w:rPr>
                <w:rFonts w:eastAsia="SimSun"/>
                <w:b/>
                <w:sz w:val="20"/>
                <w:lang w:val="en-GB" w:eastAsia="zh-CN"/>
              </w:rPr>
              <w:t>ACT 8 mg/kg + MTX</w:t>
            </w:r>
          </w:p>
          <w:p w:rsidR="00AA25C5" w:rsidRDefault="00AA25C5" w:rsidP="00B06632">
            <w:pPr>
              <w:keepNext/>
              <w:keepLines/>
              <w:spacing w:before="50" w:after="50" w:line="240" w:lineRule="exact"/>
              <w:jc w:val="center"/>
              <w:rPr>
                <w:rFonts w:eastAsia="SimSun"/>
                <w:b/>
                <w:sz w:val="20"/>
                <w:lang w:val="en-GB" w:eastAsia="zh-CN"/>
              </w:rPr>
            </w:pPr>
            <w:r>
              <w:rPr>
                <w:rFonts w:eastAsia="SimSun"/>
                <w:b/>
                <w:sz w:val="20"/>
                <w:lang w:val="en-GB" w:eastAsia="zh-CN"/>
              </w:rPr>
              <w:t>n=290</w:t>
            </w:r>
          </w:p>
        </w:tc>
        <w:tc>
          <w:tcPr>
            <w:tcW w:w="1418" w:type="dxa"/>
            <w:tcBorders>
              <w:top w:val="single" w:sz="8" w:space="0" w:color="auto"/>
              <w:left w:val="nil"/>
              <w:bottom w:val="single" w:sz="8" w:space="0" w:color="auto"/>
              <w:right w:val="nil"/>
            </w:tcBorders>
            <w:tcMar>
              <w:top w:w="0" w:type="dxa"/>
              <w:left w:w="57" w:type="dxa"/>
              <w:bottom w:w="0" w:type="dxa"/>
              <w:right w:w="57" w:type="dxa"/>
            </w:tcMar>
            <w:vAlign w:val="bottom"/>
            <w:hideMark/>
          </w:tcPr>
          <w:p w:rsidR="00AA25C5" w:rsidRDefault="00AA25C5" w:rsidP="00B06632">
            <w:pPr>
              <w:keepNext/>
              <w:keepLines/>
              <w:spacing w:before="50" w:after="50" w:line="240" w:lineRule="exact"/>
              <w:jc w:val="center"/>
              <w:rPr>
                <w:rFonts w:eastAsia="SimSun"/>
                <w:b/>
                <w:sz w:val="20"/>
                <w:lang w:val="en-GB" w:eastAsia="zh-CN"/>
              </w:rPr>
            </w:pPr>
            <w:r>
              <w:rPr>
                <w:rFonts w:eastAsia="SimSun"/>
                <w:b/>
                <w:sz w:val="20"/>
                <w:lang w:val="en-GB" w:eastAsia="zh-CN"/>
              </w:rPr>
              <w:t>ACT 8 mg/kg + placebo</w:t>
            </w:r>
          </w:p>
          <w:p w:rsidR="00AA25C5" w:rsidRDefault="00AA25C5" w:rsidP="00B06632">
            <w:pPr>
              <w:keepNext/>
              <w:keepLines/>
              <w:spacing w:before="50" w:after="50" w:line="240" w:lineRule="exact"/>
              <w:jc w:val="center"/>
              <w:rPr>
                <w:rFonts w:eastAsia="SimSun"/>
                <w:b/>
                <w:sz w:val="20"/>
                <w:lang w:val="en-GB" w:eastAsia="zh-CN"/>
              </w:rPr>
            </w:pPr>
            <w:r>
              <w:rPr>
                <w:rFonts w:eastAsia="SimSun"/>
                <w:b/>
                <w:sz w:val="20"/>
                <w:lang w:val="en-GB" w:eastAsia="zh-CN"/>
              </w:rPr>
              <w:t>n=292</w:t>
            </w:r>
          </w:p>
        </w:tc>
        <w:tc>
          <w:tcPr>
            <w:tcW w:w="1842" w:type="dxa"/>
            <w:gridSpan w:val="2"/>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AA25C5" w:rsidRDefault="00AA25C5" w:rsidP="00B06632">
            <w:pPr>
              <w:keepNext/>
              <w:keepLines/>
              <w:spacing w:before="50" w:after="50" w:line="240" w:lineRule="exact"/>
              <w:jc w:val="center"/>
              <w:rPr>
                <w:rFonts w:eastAsia="SimSun"/>
                <w:b/>
                <w:sz w:val="20"/>
                <w:lang w:val="en-GB" w:eastAsia="zh-CN"/>
              </w:rPr>
            </w:pPr>
            <w:r>
              <w:rPr>
                <w:rFonts w:eastAsia="SimSun"/>
                <w:b/>
                <w:sz w:val="20"/>
                <w:lang w:val="en-GB" w:eastAsia="zh-CN"/>
              </w:rPr>
              <w:t>Placebo + MTX</w:t>
            </w:r>
          </w:p>
          <w:p w:rsidR="00AA25C5" w:rsidRDefault="00AA25C5" w:rsidP="00B06632">
            <w:pPr>
              <w:keepNext/>
              <w:keepLines/>
              <w:spacing w:before="50" w:after="50" w:line="240" w:lineRule="exact"/>
              <w:jc w:val="center"/>
              <w:rPr>
                <w:rFonts w:eastAsia="SimSun"/>
                <w:sz w:val="20"/>
                <w:lang w:val="en-GB" w:eastAsia="zh-CN"/>
              </w:rPr>
            </w:pPr>
            <w:r>
              <w:rPr>
                <w:rFonts w:eastAsia="SimSun"/>
                <w:b/>
                <w:sz w:val="20"/>
                <w:lang w:val="en-GB" w:eastAsia="zh-CN"/>
              </w:rPr>
              <w:t>n=287</w:t>
            </w:r>
          </w:p>
        </w:tc>
      </w:tr>
      <w:tr w:rsidR="00AA25C5" w:rsidTr="00B06632">
        <w:trPr>
          <w:cantSplit/>
        </w:trPr>
        <w:tc>
          <w:tcPr>
            <w:tcW w:w="8505" w:type="dxa"/>
            <w:gridSpan w:val="7"/>
            <w:tcBorders>
              <w:top w:val="nil"/>
              <w:left w:val="single" w:sz="4" w:space="0" w:color="auto"/>
              <w:bottom w:val="nil"/>
              <w:right w:val="single" w:sz="8" w:space="0" w:color="auto"/>
            </w:tcBorders>
            <w:tcMar>
              <w:top w:w="0" w:type="dxa"/>
              <w:left w:w="57" w:type="dxa"/>
              <w:bottom w:w="0" w:type="dxa"/>
              <w:right w:w="57" w:type="dxa"/>
            </w:tcMar>
            <w:hideMark/>
          </w:tcPr>
          <w:p w:rsidR="00AA25C5" w:rsidRDefault="00AA25C5" w:rsidP="00B06632">
            <w:pPr>
              <w:keepNext/>
              <w:keepLines/>
              <w:spacing w:before="50" w:after="50" w:line="240" w:lineRule="exact"/>
              <w:rPr>
                <w:rFonts w:eastAsia="SimSun"/>
                <w:b/>
                <w:sz w:val="20"/>
                <w:lang w:val="en-GB" w:eastAsia="zh-CN"/>
              </w:rPr>
            </w:pPr>
            <w:r>
              <w:rPr>
                <w:rFonts w:eastAsia="SimSun"/>
                <w:b/>
                <w:sz w:val="20"/>
                <w:lang w:val="en-GB" w:eastAsia="zh-CN"/>
              </w:rPr>
              <w:t>Primary Endpoint</w:t>
            </w:r>
          </w:p>
        </w:tc>
      </w:tr>
      <w:tr w:rsidR="00AA25C5" w:rsidTr="00B06632">
        <w:trPr>
          <w:cantSplit/>
        </w:trPr>
        <w:tc>
          <w:tcPr>
            <w:tcW w:w="3686" w:type="dxa"/>
            <w:tcBorders>
              <w:top w:val="single" w:sz="4" w:space="0" w:color="auto"/>
              <w:left w:val="single" w:sz="4" w:space="0" w:color="auto"/>
              <w:bottom w:val="nil"/>
              <w:right w:val="nil"/>
            </w:tcBorders>
            <w:tcMar>
              <w:top w:w="0" w:type="dxa"/>
              <w:left w:w="57" w:type="dxa"/>
              <w:bottom w:w="0" w:type="dxa"/>
              <w:right w:w="57" w:type="dxa"/>
            </w:tcMar>
            <w:hideMark/>
          </w:tcPr>
          <w:p w:rsidR="00AA25C5" w:rsidRDefault="00AA25C5" w:rsidP="00B06632">
            <w:pPr>
              <w:keepNext/>
              <w:keepLines/>
              <w:spacing w:before="50" w:after="50" w:line="240" w:lineRule="exact"/>
              <w:rPr>
                <w:rFonts w:eastAsia="SimSun"/>
                <w:sz w:val="20"/>
                <w:lang w:val="en-GB" w:eastAsia="zh-CN"/>
              </w:rPr>
            </w:pPr>
            <w:r>
              <w:rPr>
                <w:rFonts w:eastAsia="SimSun"/>
                <w:sz w:val="20"/>
                <w:lang w:val="en-GB" w:eastAsia="zh-CN"/>
              </w:rPr>
              <w:t xml:space="preserve">DAS &lt; 2.6 response (%)                   </w:t>
            </w:r>
          </w:p>
        </w:tc>
        <w:tc>
          <w:tcPr>
            <w:tcW w:w="1559" w:type="dxa"/>
            <w:gridSpan w:val="3"/>
            <w:tcBorders>
              <w:top w:val="single" w:sz="4" w:space="0" w:color="auto"/>
              <w:left w:val="nil"/>
              <w:bottom w:val="nil"/>
              <w:right w:val="nil"/>
            </w:tcBorders>
            <w:tcMar>
              <w:top w:w="0" w:type="dxa"/>
              <w:left w:w="57" w:type="dxa"/>
              <w:bottom w:w="0" w:type="dxa"/>
              <w:right w:w="57" w:type="dxa"/>
            </w:tcMar>
          </w:tcPr>
          <w:p w:rsidR="00AA25C5" w:rsidRDefault="00AA25C5" w:rsidP="00B06632">
            <w:pPr>
              <w:keepNext/>
              <w:keepLines/>
              <w:spacing w:before="50" w:after="50" w:line="240" w:lineRule="exact"/>
              <w:jc w:val="center"/>
              <w:rPr>
                <w:rFonts w:eastAsia="SimSun"/>
                <w:sz w:val="20"/>
                <w:lang w:val="en-GB" w:eastAsia="zh-CN"/>
              </w:rPr>
            </w:pPr>
          </w:p>
        </w:tc>
        <w:tc>
          <w:tcPr>
            <w:tcW w:w="1418" w:type="dxa"/>
            <w:tcBorders>
              <w:top w:val="single" w:sz="4" w:space="0" w:color="auto"/>
              <w:left w:val="nil"/>
              <w:bottom w:val="nil"/>
              <w:right w:val="nil"/>
            </w:tcBorders>
            <w:tcMar>
              <w:top w:w="0" w:type="dxa"/>
              <w:left w:w="57" w:type="dxa"/>
              <w:bottom w:w="0" w:type="dxa"/>
              <w:right w:w="57" w:type="dxa"/>
            </w:tcMar>
          </w:tcPr>
          <w:p w:rsidR="00AA25C5" w:rsidRDefault="00AA25C5" w:rsidP="00B06632">
            <w:pPr>
              <w:keepNext/>
              <w:keepLines/>
              <w:spacing w:before="50" w:after="50" w:line="240" w:lineRule="exact"/>
              <w:jc w:val="center"/>
              <w:rPr>
                <w:rFonts w:eastAsia="SimSun"/>
                <w:sz w:val="20"/>
                <w:lang w:val="en-GB" w:eastAsia="zh-CN"/>
              </w:rPr>
            </w:pPr>
          </w:p>
        </w:tc>
        <w:tc>
          <w:tcPr>
            <w:tcW w:w="1842" w:type="dxa"/>
            <w:gridSpan w:val="2"/>
            <w:tcBorders>
              <w:top w:val="single" w:sz="4" w:space="0" w:color="auto"/>
              <w:left w:val="nil"/>
              <w:bottom w:val="nil"/>
              <w:right w:val="single" w:sz="8" w:space="0" w:color="auto"/>
            </w:tcBorders>
            <w:tcMar>
              <w:top w:w="0" w:type="dxa"/>
              <w:left w:w="57" w:type="dxa"/>
              <w:bottom w:w="0" w:type="dxa"/>
              <w:right w:w="57" w:type="dxa"/>
            </w:tcMar>
          </w:tcPr>
          <w:p w:rsidR="00AA25C5" w:rsidRDefault="00AA25C5" w:rsidP="00B06632">
            <w:pPr>
              <w:keepNext/>
              <w:keepLines/>
              <w:spacing w:before="50" w:after="50" w:line="240" w:lineRule="exact"/>
              <w:jc w:val="center"/>
              <w:rPr>
                <w:rFonts w:eastAsia="SimSun"/>
                <w:sz w:val="20"/>
                <w:lang w:val="en-GB" w:eastAsia="zh-CN"/>
              </w:rPr>
            </w:pPr>
          </w:p>
        </w:tc>
      </w:tr>
      <w:tr w:rsidR="00AA25C5" w:rsidTr="00B06632">
        <w:trPr>
          <w:cantSplit/>
        </w:trPr>
        <w:tc>
          <w:tcPr>
            <w:tcW w:w="3686" w:type="dxa"/>
            <w:tcBorders>
              <w:top w:val="nil"/>
              <w:left w:val="single" w:sz="4" w:space="0" w:color="auto"/>
              <w:bottom w:val="single" w:sz="4" w:space="0" w:color="auto"/>
              <w:right w:val="nil"/>
            </w:tcBorders>
            <w:tcMar>
              <w:top w:w="0" w:type="dxa"/>
              <w:left w:w="57" w:type="dxa"/>
              <w:bottom w:w="0" w:type="dxa"/>
              <w:right w:w="57" w:type="dxa"/>
            </w:tcMar>
            <w:hideMark/>
          </w:tcPr>
          <w:p w:rsidR="00AA25C5" w:rsidRDefault="00AA25C5" w:rsidP="00B06632">
            <w:pPr>
              <w:keepNext/>
              <w:keepLines/>
              <w:spacing w:before="50" w:after="50" w:line="240" w:lineRule="exact"/>
              <w:ind w:left="1440"/>
              <w:rPr>
                <w:rFonts w:eastAsia="SimSun"/>
                <w:sz w:val="20"/>
                <w:lang w:val="en-GB" w:eastAsia="zh-CN"/>
              </w:rPr>
            </w:pPr>
            <w:r>
              <w:rPr>
                <w:rFonts w:eastAsia="SimSun"/>
                <w:sz w:val="20"/>
                <w:lang w:val="en-GB" w:eastAsia="zh-CN"/>
              </w:rPr>
              <w:t xml:space="preserve">Week 24                  </w:t>
            </w:r>
          </w:p>
        </w:tc>
        <w:tc>
          <w:tcPr>
            <w:tcW w:w="1559" w:type="dxa"/>
            <w:gridSpan w:val="3"/>
            <w:tcBorders>
              <w:top w:val="nil"/>
              <w:left w:val="nil"/>
              <w:bottom w:val="single" w:sz="4" w:space="0" w:color="auto"/>
              <w:right w:val="nil"/>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44.8***</w:t>
            </w:r>
          </w:p>
        </w:tc>
        <w:tc>
          <w:tcPr>
            <w:tcW w:w="1418" w:type="dxa"/>
            <w:tcBorders>
              <w:top w:val="nil"/>
              <w:left w:val="nil"/>
              <w:bottom w:val="single" w:sz="4" w:space="0" w:color="auto"/>
              <w:right w:val="nil"/>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38.7***</w:t>
            </w:r>
          </w:p>
        </w:tc>
        <w:tc>
          <w:tcPr>
            <w:tcW w:w="1842" w:type="dxa"/>
            <w:gridSpan w:val="2"/>
            <w:tcBorders>
              <w:top w:val="nil"/>
              <w:left w:val="nil"/>
              <w:bottom w:val="single" w:sz="4" w:space="0" w:color="auto"/>
              <w:right w:val="single" w:sz="8" w:space="0" w:color="auto"/>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15.0</w:t>
            </w:r>
          </w:p>
        </w:tc>
      </w:tr>
      <w:tr w:rsidR="00AA25C5" w:rsidTr="00B06632">
        <w:trPr>
          <w:cantSplit/>
        </w:trPr>
        <w:tc>
          <w:tcPr>
            <w:tcW w:w="8505"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rsidR="00AA25C5" w:rsidRDefault="00AA25C5" w:rsidP="00B06632">
            <w:pPr>
              <w:keepNext/>
              <w:keepLines/>
              <w:spacing w:before="50" w:after="50" w:line="240" w:lineRule="exact"/>
              <w:rPr>
                <w:rFonts w:eastAsia="SimSun"/>
                <w:b/>
                <w:sz w:val="20"/>
                <w:lang w:val="en-GB" w:eastAsia="zh-CN"/>
              </w:rPr>
            </w:pPr>
            <w:r>
              <w:rPr>
                <w:rFonts w:eastAsia="SimSun"/>
                <w:b/>
                <w:sz w:val="20"/>
                <w:lang w:val="en-GB" w:eastAsia="zh-CN"/>
              </w:rPr>
              <w:t>Key Secondary Endpoints</w:t>
            </w:r>
          </w:p>
        </w:tc>
      </w:tr>
      <w:tr w:rsidR="00AA25C5" w:rsidTr="00B06632">
        <w:trPr>
          <w:cantSplit/>
        </w:trPr>
        <w:tc>
          <w:tcPr>
            <w:tcW w:w="3969" w:type="dxa"/>
            <w:gridSpan w:val="2"/>
            <w:tcBorders>
              <w:top w:val="single" w:sz="4" w:space="0" w:color="auto"/>
              <w:left w:val="single" w:sz="4" w:space="0" w:color="auto"/>
              <w:bottom w:val="nil"/>
              <w:right w:val="nil"/>
            </w:tcBorders>
            <w:tcMar>
              <w:top w:w="0" w:type="dxa"/>
              <w:left w:w="57" w:type="dxa"/>
              <w:bottom w:w="0" w:type="dxa"/>
              <w:right w:w="57" w:type="dxa"/>
            </w:tcMar>
            <w:hideMark/>
          </w:tcPr>
          <w:p w:rsidR="00AA25C5" w:rsidRDefault="00AA25C5" w:rsidP="00B06632">
            <w:pPr>
              <w:keepNext/>
              <w:keepLines/>
              <w:spacing w:before="50" w:after="50" w:line="240" w:lineRule="exact"/>
              <w:rPr>
                <w:rFonts w:eastAsia="SimSun"/>
                <w:sz w:val="20"/>
                <w:lang w:val="en-GB" w:eastAsia="zh-CN"/>
              </w:rPr>
            </w:pPr>
            <w:r>
              <w:rPr>
                <w:rFonts w:eastAsia="SimSun"/>
                <w:sz w:val="20"/>
                <w:lang w:val="en-GB" w:eastAsia="zh-CN"/>
              </w:rPr>
              <w:t>DAS &lt; 2.6 response (%)</w:t>
            </w:r>
          </w:p>
        </w:tc>
        <w:tc>
          <w:tcPr>
            <w:tcW w:w="1276" w:type="dxa"/>
            <w:gridSpan w:val="2"/>
            <w:tcBorders>
              <w:top w:val="single" w:sz="4" w:space="0" w:color="auto"/>
              <w:left w:val="nil"/>
              <w:bottom w:val="nil"/>
              <w:right w:val="nil"/>
            </w:tcBorders>
            <w:tcMar>
              <w:top w:w="0" w:type="dxa"/>
              <w:left w:w="57" w:type="dxa"/>
              <w:bottom w:w="0" w:type="dxa"/>
              <w:right w:w="57" w:type="dxa"/>
            </w:tcMar>
          </w:tcPr>
          <w:p w:rsidR="00AA25C5" w:rsidRDefault="00AA25C5" w:rsidP="00B06632">
            <w:pPr>
              <w:keepNext/>
              <w:keepLines/>
              <w:spacing w:before="50" w:after="50" w:line="240" w:lineRule="exact"/>
              <w:jc w:val="center"/>
              <w:rPr>
                <w:rFonts w:eastAsia="SimSun"/>
                <w:sz w:val="20"/>
                <w:lang w:val="en-GB" w:eastAsia="zh-CN"/>
              </w:rPr>
            </w:pPr>
          </w:p>
        </w:tc>
        <w:tc>
          <w:tcPr>
            <w:tcW w:w="1559" w:type="dxa"/>
            <w:gridSpan w:val="2"/>
            <w:tcBorders>
              <w:top w:val="single" w:sz="4" w:space="0" w:color="auto"/>
              <w:left w:val="nil"/>
              <w:bottom w:val="nil"/>
              <w:right w:val="nil"/>
            </w:tcBorders>
            <w:tcMar>
              <w:top w:w="0" w:type="dxa"/>
              <w:left w:w="57" w:type="dxa"/>
              <w:bottom w:w="0" w:type="dxa"/>
              <w:right w:w="57" w:type="dxa"/>
            </w:tcMar>
          </w:tcPr>
          <w:p w:rsidR="00AA25C5" w:rsidRDefault="00AA25C5" w:rsidP="00B06632">
            <w:pPr>
              <w:keepNext/>
              <w:keepLines/>
              <w:spacing w:before="50" w:after="50" w:line="240" w:lineRule="exact"/>
              <w:jc w:val="center"/>
              <w:rPr>
                <w:rFonts w:eastAsia="SimSun"/>
                <w:sz w:val="20"/>
                <w:lang w:val="en-GB" w:eastAsia="zh-CN"/>
              </w:rPr>
            </w:pPr>
          </w:p>
        </w:tc>
        <w:tc>
          <w:tcPr>
            <w:tcW w:w="1701" w:type="dxa"/>
            <w:tcBorders>
              <w:top w:val="single" w:sz="4" w:space="0" w:color="auto"/>
              <w:left w:val="nil"/>
              <w:bottom w:val="nil"/>
              <w:right w:val="single" w:sz="8" w:space="0" w:color="auto"/>
            </w:tcBorders>
            <w:tcMar>
              <w:top w:w="0" w:type="dxa"/>
              <w:left w:w="57" w:type="dxa"/>
              <w:bottom w:w="0" w:type="dxa"/>
              <w:right w:w="57" w:type="dxa"/>
            </w:tcMar>
          </w:tcPr>
          <w:p w:rsidR="00AA25C5" w:rsidRDefault="00AA25C5" w:rsidP="00B06632">
            <w:pPr>
              <w:keepNext/>
              <w:keepLines/>
              <w:spacing w:before="50" w:after="50" w:line="240" w:lineRule="exact"/>
              <w:jc w:val="center"/>
              <w:rPr>
                <w:rFonts w:eastAsia="SimSun"/>
                <w:sz w:val="20"/>
                <w:lang w:val="en-GB" w:eastAsia="zh-CN"/>
              </w:rPr>
            </w:pPr>
          </w:p>
        </w:tc>
      </w:tr>
      <w:tr w:rsidR="00AA25C5" w:rsidTr="00B06632">
        <w:trPr>
          <w:cantSplit/>
        </w:trPr>
        <w:tc>
          <w:tcPr>
            <w:tcW w:w="3969" w:type="dxa"/>
            <w:gridSpan w:val="2"/>
            <w:tcBorders>
              <w:top w:val="nil"/>
              <w:left w:val="single" w:sz="4" w:space="0" w:color="auto"/>
              <w:bottom w:val="single" w:sz="4" w:space="0" w:color="auto"/>
              <w:right w:val="nil"/>
            </w:tcBorders>
            <w:tcMar>
              <w:top w:w="0" w:type="dxa"/>
              <w:left w:w="57" w:type="dxa"/>
              <w:bottom w:w="0" w:type="dxa"/>
              <w:right w:w="57" w:type="dxa"/>
            </w:tcMar>
            <w:hideMark/>
          </w:tcPr>
          <w:p w:rsidR="00AA25C5" w:rsidRDefault="00AA25C5" w:rsidP="00B06632">
            <w:pPr>
              <w:keepNext/>
              <w:keepLines/>
              <w:spacing w:before="50" w:after="50" w:line="240" w:lineRule="exact"/>
              <w:ind w:left="1440"/>
              <w:rPr>
                <w:rFonts w:eastAsia="SimSun"/>
                <w:sz w:val="20"/>
                <w:lang w:val="en-GB" w:eastAsia="zh-CN"/>
              </w:rPr>
            </w:pPr>
            <w:r>
              <w:rPr>
                <w:rFonts w:eastAsia="SimSun"/>
                <w:sz w:val="20"/>
                <w:lang w:val="en-GB" w:eastAsia="zh-CN"/>
              </w:rPr>
              <w:t xml:space="preserve">Week 52                   </w:t>
            </w:r>
          </w:p>
        </w:tc>
        <w:tc>
          <w:tcPr>
            <w:tcW w:w="1276" w:type="dxa"/>
            <w:gridSpan w:val="2"/>
            <w:tcBorders>
              <w:top w:val="nil"/>
              <w:left w:val="nil"/>
              <w:bottom w:val="single" w:sz="4" w:space="0" w:color="auto"/>
              <w:right w:val="nil"/>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49.0***</w:t>
            </w:r>
          </w:p>
        </w:tc>
        <w:tc>
          <w:tcPr>
            <w:tcW w:w="1559" w:type="dxa"/>
            <w:gridSpan w:val="2"/>
            <w:tcBorders>
              <w:top w:val="nil"/>
              <w:left w:val="nil"/>
              <w:bottom w:val="single" w:sz="4" w:space="0" w:color="auto"/>
              <w:right w:val="nil"/>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39.4</w:t>
            </w:r>
          </w:p>
        </w:tc>
        <w:tc>
          <w:tcPr>
            <w:tcW w:w="1701" w:type="dxa"/>
            <w:tcBorders>
              <w:top w:val="nil"/>
              <w:left w:val="nil"/>
              <w:bottom w:val="single" w:sz="4" w:space="0" w:color="auto"/>
              <w:right w:val="single" w:sz="8" w:space="0" w:color="auto"/>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19.5</w:t>
            </w:r>
          </w:p>
        </w:tc>
      </w:tr>
      <w:tr w:rsidR="00AA25C5" w:rsidTr="00B06632">
        <w:trPr>
          <w:cantSplit/>
        </w:trPr>
        <w:tc>
          <w:tcPr>
            <w:tcW w:w="3969" w:type="dxa"/>
            <w:gridSpan w:val="2"/>
            <w:tcBorders>
              <w:top w:val="single" w:sz="4" w:space="0" w:color="auto"/>
              <w:left w:val="single" w:sz="4" w:space="0" w:color="auto"/>
              <w:bottom w:val="nil"/>
              <w:right w:val="nil"/>
            </w:tcBorders>
            <w:tcMar>
              <w:top w:w="0" w:type="dxa"/>
              <w:left w:w="57" w:type="dxa"/>
              <w:bottom w:w="0" w:type="dxa"/>
              <w:right w:w="57" w:type="dxa"/>
            </w:tcMar>
            <w:hideMark/>
          </w:tcPr>
          <w:p w:rsidR="00AA25C5" w:rsidRDefault="00AA25C5" w:rsidP="00B06632">
            <w:pPr>
              <w:keepNext/>
              <w:keepLines/>
              <w:spacing w:before="50" w:after="50" w:line="240" w:lineRule="exact"/>
              <w:rPr>
                <w:rFonts w:eastAsia="SimSun"/>
                <w:sz w:val="20"/>
                <w:lang w:val="en-GB" w:eastAsia="zh-CN"/>
              </w:rPr>
            </w:pPr>
            <w:r>
              <w:rPr>
                <w:rFonts w:eastAsia="SimSun"/>
                <w:sz w:val="20"/>
                <w:lang w:val="en-GB" w:eastAsia="zh-CN"/>
              </w:rPr>
              <w:t>ACR (%)</w:t>
            </w:r>
          </w:p>
        </w:tc>
        <w:tc>
          <w:tcPr>
            <w:tcW w:w="1276" w:type="dxa"/>
            <w:gridSpan w:val="2"/>
            <w:tcBorders>
              <w:top w:val="single" w:sz="4" w:space="0" w:color="auto"/>
              <w:left w:val="nil"/>
              <w:bottom w:val="nil"/>
              <w:right w:val="nil"/>
            </w:tcBorders>
            <w:tcMar>
              <w:top w:w="0" w:type="dxa"/>
              <w:left w:w="57" w:type="dxa"/>
              <w:bottom w:w="0" w:type="dxa"/>
              <w:right w:w="57" w:type="dxa"/>
            </w:tcMar>
          </w:tcPr>
          <w:p w:rsidR="00AA25C5" w:rsidRDefault="00AA25C5" w:rsidP="00B06632">
            <w:pPr>
              <w:keepNext/>
              <w:keepLines/>
              <w:spacing w:before="50" w:after="50" w:line="240" w:lineRule="exact"/>
              <w:jc w:val="center"/>
              <w:rPr>
                <w:rFonts w:eastAsia="SimSun"/>
                <w:sz w:val="20"/>
                <w:lang w:val="en-GB" w:eastAsia="zh-CN"/>
              </w:rPr>
            </w:pPr>
          </w:p>
        </w:tc>
        <w:tc>
          <w:tcPr>
            <w:tcW w:w="1559" w:type="dxa"/>
            <w:gridSpan w:val="2"/>
            <w:tcBorders>
              <w:top w:val="single" w:sz="4" w:space="0" w:color="auto"/>
              <w:left w:val="nil"/>
              <w:bottom w:val="nil"/>
              <w:right w:val="nil"/>
            </w:tcBorders>
            <w:tcMar>
              <w:top w:w="0" w:type="dxa"/>
              <w:left w:w="57" w:type="dxa"/>
              <w:bottom w:w="0" w:type="dxa"/>
              <w:right w:w="57" w:type="dxa"/>
            </w:tcMar>
          </w:tcPr>
          <w:p w:rsidR="00AA25C5" w:rsidRDefault="00AA25C5" w:rsidP="00B06632">
            <w:pPr>
              <w:keepNext/>
              <w:keepLines/>
              <w:spacing w:before="50" w:after="50" w:line="240" w:lineRule="exact"/>
              <w:jc w:val="center"/>
              <w:rPr>
                <w:rFonts w:eastAsia="SimSun"/>
                <w:sz w:val="20"/>
                <w:lang w:val="en-GB" w:eastAsia="zh-CN"/>
              </w:rPr>
            </w:pPr>
          </w:p>
        </w:tc>
        <w:tc>
          <w:tcPr>
            <w:tcW w:w="1701" w:type="dxa"/>
            <w:tcBorders>
              <w:top w:val="single" w:sz="4" w:space="0" w:color="auto"/>
              <w:left w:val="nil"/>
              <w:bottom w:val="nil"/>
              <w:right w:val="single" w:sz="4" w:space="0" w:color="auto"/>
            </w:tcBorders>
            <w:tcMar>
              <w:top w:w="0" w:type="dxa"/>
              <w:left w:w="57" w:type="dxa"/>
              <w:bottom w:w="0" w:type="dxa"/>
              <w:right w:w="57" w:type="dxa"/>
            </w:tcMar>
          </w:tcPr>
          <w:p w:rsidR="00AA25C5" w:rsidRDefault="00AA25C5" w:rsidP="00B06632">
            <w:pPr>
              <w:keepNext/>
              <w:keepLines/>
              <w:spacing w:before="50" w:after="50" w:line="240" w:lineRule="exact"/>
              <w:jc w:val="center"/>
              <w:rPr>
                <w:rFonts w:eastAsia="SimSun"/>
                <w:sz w:val="20"/>
                <w:lang w:val="en-GB" w:eastAsia="zh-CN"/>
              </w:rPr>
            </w:pPr>
          </w:p>
        </w:tc>
      </w:tr>
      <w:tr w:rsidR="00AA25C5" w:rsidTr="00B06632">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rsidR="00AA25C5" w:rsidRDefault="00AA25C5" w:rsidP="00B06632">
            <w:pPr>
              <w:keepNext/>
              <w:keepLines/>
              <w:spacing w:before="50" w:after="50" w:line="240" w:lineRule="exact"/>
              <w:ind w:left="1440"/>
              <w:rPr>
                <w:rFonts w:eastAsia="SimSun"/>
                <w:sz w:val="20"/>
                <w:lang w:val="en-GB" w:eastAsia="zh-CN"/>
              </w:rPr>
            </w:pPr>
            <w:r>
              <w:rPr>
                <w:rFonts w:eastAsia="SimSun"/>
                <w:sz w:val="20"/>
                <w:lang w:val="en-GB" w:eastAsia="zh-CN"/>
              </w:rPr>
              <w:t>Week 24          ACR20</w:t>
            </w:r>
          </w:p>
        </w:tc>
        <w:tc>
          <w:tcPr>
            <w:tcW w:w="1276" w:type="dxa"/>
            <w:gridSpan w:val="2"/>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74.5*</w:t>
            </w:r>
          </w:p>
        </w:tc>
        <w:tc>
          <w:tcPr>
            <w:tcW w:w="1559" w:type="dxa"/>
            <w:gridSpan w:val="2"/>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70.2</w:t>
            </w:r>
          </w:p>
        </w:tc>
        <w:tc>
          <w:tcPr>
            <w:tcW w:w="1701" w:type="dxa"/>
            <w:tcBorders>
              <w:top w:val="nil"/>
              <w:left w:val="nil"/>
              <w:bottom w:val="nil"/>
              <w:right w:val="single" w:sz="8" w:space="0" w:color="auto"/>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65.2</w:t>
            </w:r>
          </w:p>
        </w:tc>
      </w:tr>
      <w:tr w:rsidR="00AA25C5" w:rsidTr="00B06632">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rsidR="00AA25C5" w:rsidRDefault="00AA25C5" w:rsidP="00B06632">
            <w:pPr>
              <w:keepNext/>
              <w:keepLines/>
              <w:spacing w:before="50" w:after="50" w:line="240" w:lineRule="exact"/>
              <w:ind w:right="400"/>
              <w:jc w:val="center"/>
              <w:rPr>
                <w:rFonts w:eastAsia="SimSun"/>
                <w:sz w:val="20"/>
                <w:lang w:val="en-GB" w:eastAsia="zh-CN"/>
              </w:rPr>
            </w:pPr>
            <w:r>
              <w:rPr>
                <w:rFonts w:eastAsia="SimSun"/>
                <w:sz w:val="20"/>
                <w:lang w:val="en-GB" w:eastAsia="zh-CN"/>
              </w:rPr>
              <w:t xml:space="preserve">                                                ACR50</w:t>
            </w:r>
          </w:p>
        </w:tc>
        <w:tc>
          <w:tcPr>
            <w:tcW w:w="1276" w:type="dxa"/>
            <w:gridSpan w:val="2"/>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56.9**</w:t>
            </w:r>
          </w:p>
        </w:tc>
        <w:tc>
          <w:tcPr>
            <w:tcW w:w="1559" w:type="dxa"/>
            <w:gridSpan w:val="2"/>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47.6</w:t>
            </w:r>
          </w:p>
        </w:tc>
        <w:tc>
          <w:tcPr>
            <w:tcW w:w="1701" w:type="dxa"/>
            <w:tcBorders>
              <w:top w:val="nil"/>
              <w:left w:val="nil"/>
              <w:bottom w:val="nil"/>
              <w:right w:val="single" w:sz="8" w:space="0" w:color="auto"/>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43.2</w:t>
            </w:r>
          </w:p>
        </w:tc>
      </w:tr>
      <w:tr w:rsidR="00AA25C5" w:rsidTr="00B06632">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rsidR="00AA25C5" w:rsidRDefault="00AA25C5" w:rsidP="00B06632">
            <w:pPr>
              <w:keepNext/>
              <w:keepLines/>
              <w:spacing w:before="50" w:after="50" w:line="240" w:lineRule="exact"/>
              <w:ind w:right="400"/>
              <w:jc w:val="center"/>
              <w:rPr>
                <w:rFonts w:eastAsia="SimSun"/>
                <w:sz w:val="20"/>
                <w:lang w:val="en-GB" w:eastAsia="zh-CN"/>
              </w:rPr>
            </w:pPr>
            <w:r>
              <w:rPr>
                <w:rFonts w:eastAsia="SimSun"/>
                <w:sz w:val="20"/>
                <w:lang w:val="en-GB" w:eastAsia="zh-CN"/>
              </w:rPr>
              <w:t xml:space="preserve">                                                ACR70</w:t>
            </w:r>
          </w:p>
        </w:tc>
        <w:tc>
          <w:tcPr>
            <w:tcW w:w="1276" w:type="dxa"/>
            <w:gridSpan w:val="2"/>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38.6**</w:t>
            </w:r>
          </w:p>
        </w:tc>
        <w:tc>
          <w:tcPr>
            <w:tcW w:w="1559" w:type="dxa"/>
            <w:gridSpan w:val="2"/>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30.1</w:t>
            </w:r>
          </w:p>
        </w:tc>
        <w:tc>
          <w:tcPr>
            <w:tcW w:w="1701" w:type="dxa"/>
            <w:tcBorders>
              <w:top w:val="nil"/>
              <w:left w:val="nil"/>
              <w:bottom w:val="nil"/>
              <w:right w:val="single" w:sz="8" w:space="0" w:color="auto"/>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25.4</w:t>
            </w:r>
          </w:p>
        </w:tc>
      </w:tr>
      <w:tr w:rsidR="00AA25C5" w:rsidTr="00B06632">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rsidR="00AA25C5" w:rsidRDefault="00AA25C5" w:rsidP="00B06632">
            <w:pPr>
              <w:keepNext/>
              <w:keepLines/>
              <w:spacing w:before="50" w:after="50" w:line="240" w:lineRule="exact"/>
              <w:ind w:left="1440"/>
              <w:rPr>
                <w:rFonts w:eastAsia="SimSun"/>
                <w:sz w:val="20"/>
                <w:lang w:val="en-GB" w:eastAsia="zh-CN"/>
              </w:rPr>
            </w:pPr>
            <w:r>
              <w:rPr>
                <w:rFonts w:eastAsia="SimSun"/>
                <w:sz w:val="20"/>
                <w:lang w:val="en-GB" w:eastAsia="zh-CN"/>
              </w:rPr>
              <w:t>Week 52         ACR20</w:t>
            </w:r>
          </w:p>
        </w:tc>
        <w:tc>
          <w:tcPr>
            <w:tcW w:w="1276" w:type="dxa"/>
            <w:gridSpan w:val="2"/>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67.2*</w:t>
            </w:r>
          </w:p>
        </w:tc>
        <w:tc>
          <w:tcPr>
            <w:tcW w:w="1559" w:type="dxa"/>
            <w:gridSpan w:val="2"/>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63.0</w:t>
            </w:r>
          </w:p>
        </w:tc>
        <w:tc>
          <w:tcPr>
            <w:tcW w:w="1701" w:type="dxa"/>
            <w:tcBorders>
              <w:top w:val="nil"/>
              <w:left w:val="nil"/>
              <w:bottom w:val="nil"/>
              <w:right w:val="single" w:sz="8" w:space="0" w:color="auto"/>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57.1</w:t>
            </w:r>
          </w:p>
        </w:tc>
      </w:tr>
      <w:tr w:rsidR="00AA25C5" w:rsidTr="00B06632">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rsidR="00AA25C5" w:rsidRDefault="00AA25C5" w:rsidP="00B06632">
            <w:pPr>
              <w:keepNext/>
              <w:keepLines/>
              <w:spacing w:before="50" w:after="50" w:line="240" w:lineRule="exact"/>
              <w:ind w:right="400"/>
              <w:jc w:val="center"/>
              <w:rPr>
                <w:rFonts w:eastAsia="SimSun"/>
                <w:sz w:val="20"/>
                <w:lang w:val="en-GB" w:eastAsia="zh-CN"/>
              </w:rPr>
            </w:pPr>
            <w:r>
              <w:rPr>
                <w:rFonts w:eastAsia="SimSun"/>
                <w:sz w:val="20"/>
                <w:lang w:val="en-GB" w:eastAsia="zh-CN"/>
              </w:rPr>
              <w:t xml:space="preserve">                                              ACR50</w:t>
            </w:r>
          </w:p>
        </w:tc>
        <w:tc>
          <w:tcPr>
            <w:tcW w:w="1276" w:type="dxa"/>
            <w:gridSpan w:val="2"/>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55.9**</w:t>
            </w:r>
          </w:p>
        </w:tc>
        <w:tc>
          <w:tcPr>
            <w:tcW w:w="1559" w:type="dxa"/>
            <w:gridSpan w:val="2"/>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49.3</w:t>
            </w:r>
          </w:p>
        </w:tc>
        <w:tc>
          <w:tcPr>
            <w:tcW w:w="1701" w:type="dxa"/>
            <w:tcBorders>
              <w:top w:val="nil"/>
              <w:left w:val="nil"/>
              <w:bottom w:val="nil"/>
              <w:right w:val="single" w:sz="8" w:space="0" w:color="auto"/>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40.8</w:t>
            </w:r>
          </w:p>
        </w:tc>
      </w:tr>
      <w:tr w:rsidR="00AA25C5" w:rsidTr="00B06632">
        <w:trPr>
          <w:cantSplit/>
        </w:trPr>
        <w:tc>
          <w:tcPr>
            <w:tcW w:w="3969" w:type="dxa"/>
            <w:gridSpan w:val="2"/>
            <w:tcBorders>
              <w:top w:val="nil"/>
              <w:left w:val="single" w:sz="4" w:space="0" w:color="auto"/>
              <w:bottom w:val="single" w:sz="4" w:space="0" w:color="auto"/>
              <w:right w:val="nil"/>
            </w:tcBorders>
            <w:tcMar>
              <w:top w:w="0" w:type="dxa"/>
              <w:left w:w="57" w:type="dxa"/>
              <w:bottom w:w="0" w:type="dxa"/>
              <w:right w:w="57" w:type="dxa"/>
            </w:tcMar>
            <w:hideMark/>
          </w:tcPr>
          <w:p w:rsidR="00AA25C5" w:rsidRDefault="00AA25C5" w:rsidP="00B06632">
            <w:pPr>
              <w:keepNext/>
              <w:keepLines/>
              <w:spacing w:before="50" w:after="50" w:line="240" w:lineRule="exact"/>
              <w:ind w:right="400"/>
              <w:jc w:val="center"/>
              <w:rPr>
                <w:rFonts w:eastAsia="SimSun"/>
                <w:sz w:val="20"/>
                <w:lang w:val="en-GB" w:eastAsia="zh-CN"/>
              </w:rPr>
            </w:pPr>
            <w:r>
              <w:rPr>
                <w:rFonts w:eastAsia="SimSun"/>
                <w:sz w:val="20"/>
                <w:lang w:val="en-GB" w:eastAsia="zh-CN"/>
              </w:rPr>
              <w:t xml:space="preserve">                                              ACR70</w:t>
            </w:r>
          </w:p>
        </w:tc>
        <w:tc>
          <w:tcPr>
            <w:tcW w:w="1276" w:type="dxa"/>
            <w:gridSpan w:val="2"/>
            <w:tcBorders>
              <w:top w:val="nil"/>
              <w:left w:val="nil"/>
              <w:bottom w:val="single" w:sz="4" w:space="0" w:color="auto"/>
              <w:right w:val="nil"/>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43.1**</w:t>
            </w:r>
          </w:p>
        </w:tc>
        <w:tc>
          <w:tcPr>
            <w:tcW w:w="1559" w:type="dxa"/>
            <w:gridSpan w:val="2"/>
            <w:tcBorders>
              <w:top w:val="nil"/>
              <w:left w:val="nil"/>
              <w:bottom w:val="single" w:sz="4" w:space="0" w:color="auto"/>
              <w:right w:val="nil"/>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36.0</w:t>
            </w:r>
          </w:p>
        </w:tc>
        <w:tc>
          <w:tcPr>
            <w:tcW w:w="1701" w:type="dxa"/>
            <w:tcBorders>
              <w:top w:val="nil"/>
              <w:left w:val="nil"/>
              <w:bottom w:val="single" w:sz="4" w:space="0" w:color="auto"/>
              <w:right w:val="single" w:sz="8" w:space="0" w:color="auto"/>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28.9</w:t>
            </w:r>
          </w:p>
        </w:tc>
      </w:tr>
      <w:tr w:rsidR="00AA25C5" w:rsidTr="00B06632">
        <w:trPr>
          <w:cantSplit/>
        </w:trPr>
        <w:tc>
          <w:tcPr>
            <w:tcW w:w="3969" w:type="dxa"/>
            <w:gridSpan w:val="2"/>
            <w:tcBorders>
              <w:top w:val="single" w:sz="4" w:space="0" w:color="auto"/>
              <w:left w:val="single" w:sz="4" w:space="0" w:color="auto"/>
              <w:bottom w:val="nil"/>
              <w:right w:val="nil"/>
            </w:tcBorders>
            <w:tcMar>
              <w:top w:w="0" w:type="dxa"/>
              <w:left w:w="57" w:type="dxa"/>
              <w:bottom w:w="0" w:type="dxa"/>
              <w:right w:w="57" w:type="dxa"/>
            </w:tcMar>
            <w:hideMark/>
          </w:tcPr>
          <w:p w:rsidR="00AA25C5" w:rsidRDefault="00AA25C5" w:rsidP="00B06632">
            <w:pPr>
              <w:keepNext/>
              <w:keepLines/>
              <w:spacing w:before="50" w:after="50" w:line="240" w:lineRule="exact"/>
              <w:rPr>
                <w:rFonts w:eastAsia="SimSun"/>
                <w:sz w:val="20"/>
                <w:lang w:val="en-GB" w:eastAsia="zh-CN"/>
              </w:rPr>
            </w:pPr>
            <w:r>
              <w:rPr>
                <w:rFonts w:eastAsia="SimSun"/>
                <w:sz w:val="20"/>
                <w:lang w:val="en-GB" w:eastAsia="zh-CN"/>
              </w:rPr>
              <w:t>HAQ-DI (adjusted mean change from baseline)</w:t>
            </w:r>
          </w:p>
        </w:tc>
        <w:tc>
          <w:tcPr>
            <w:tcW w:w="1276" w:type="dxa"/>
            <w:gridSpan w:val="2"/>
            <w:tcBorders>
              <w:top w:val="single" w:sz="4" w:space="0" w:color="auto"/>
              <w:left w:val="nil"/>
              <w:bottom w:val="nil"/>
              <w:right w:val="nil"/>
            </w:tcBorders>
            <w:tcMar>
              <w:top w:w="0" w:type="dxa"/>
              <w:left w:w="57" w:type="dxa"/>
              <w:bottom w:w="0" w:type="dxa"/>
              <w:right w:w="57" w:type="dxa"/>
            </w:tcMar>
          </w:tcPr>
          <w:p w:rsidR="00AA25C5" w:rsidRDefault="00AA25C5" w:rsidP="00B06632">
            <w:pPr>
              <w:keepNext/>
              <w:keepLines/>
              <w:spacing w:before="50" w:after="50" w:line="240" w:lineRule="exact"/>
              <w:rPr>
                <w:rFonts w:eastAsia="SimSun"/>
                <w:sz w:val="20"/>
                <w:lang w:val="en-GB" w:eastAsia="zh-CN"/>
              </w:rPr>
            </w:pPr>
          </w:p>
        </w:tc>
        <w:tc>
          <w:tcPr>
            <w:tcW w:w="1559" w:type="dxa"/>
            <w:gridSpan w:val="2"/>
            <w:tcBorders>
              <w:top w:val="single" w:sz="4" w:space="0" w:color="auto"/>
              <w:left w:val="nil"/>
              <w:bottom w:val="nil"/>
              <w:right w:val="nil"/>
            </w:tcBorders>
            <w:tcMar>
              <w:top w:w="0" w:type="dxa"/>
              <w:left w:w="57" w:type="dxa"/>
              <w:bottom w:w="0" w:type="dxa"/>
              <w:right w:w="57" w:type="dxa"/>
            </w:tcMar>
          </w:tcPr>
          <w:p w:rsidR="00AA25C5" w:rsidRDefault="00AA25C5" w:rsidP="00B06632">
            <w:pPr>
              <w:keepNext/>
              <w:keepLines/>
              <w:spacing w:before="50" w:after="50" w:line="240" w:lineRule="exact"/>
              <w:rPr>
                <w:rFonts w:eastAsia="SimSun"/>
                <w:sz w:val="20"/>
                <w:lang w:val="en-GB" w:eastAsia="zh-CN"/>
              </w:rPr>
            </w:pPr>
          </w:p>
        </w:tc>
        <w:tc>
          <w:tcPr>
            <w:tcW w:w="1701" w:type="dxa"/>
            <w:tcBorders>
              <w:top w:val="single" w:sz="4" w:space="0" w:color="auto"/>
              <w:left w:val="nil"/>
              <w:bottom w:val="nil"/>
              <w:right w:val="single" w:sz="4" w:space="0" w:color="auto"/>
            </w:tcBorders>
            <w:tcMar>
              <w:top w:w="0" w:type="dxa"/>
              <w:left w:w="57" w:type="dxa"/>
              <w:bottom w:w="0" w:type="dxa"/>
              <w:right w:w="57" w:type="dxa"/>
            </w:tcMar>
          </w:tcPr>
          <w:p w:rsidR="00AA25C5" w:rsidRDefault="00AA25C5" w:rsidP="00B06632">
            <w:pPr>
              <w:keepNext/>
              <w:keepLines/>
              <w:spacing w:before="50" w:after="50" w:line="240" w:lineRule="exact"/>
              <w:rPr>
                <w:rFonts w:eastAsia="SimSun"/>
                <w:sz w:val="20"/>
                <w:lang w:val="en-GB" w:eastAsia="zh-CN"/>
              </w:rPr>
            </w:pPr>
          </w:p>
        </w:tc>
      </w:tr>
      <w:tr w:rsidR="00AA25C5" w:rsidTr="00B06632">
        <w:trPr>
          <w:cantSplit/>
        </w:trPr>
        <w:tc>
          <w:tcPr>
            <w:tcW w:w="3969" w:type="dxa"/>
            <w:gridSpan w:val="2"/>
            <w:tcBorders>
              <w:top w:val="nil"/>
              <w:left w:val="single" w:sz="4" w:space="0" w:color="auto"/>
              <w:bottom w:val="single" w:sz="4" w:space="0" w:color="auto"/>
              <w:right w:val="nil"/>
            </w:tcBorders>
            <w:tcMar>
              <w:top w:w="0" w:type="dxa"/>
              <w:left w:w="57" w:type="dxa"/>
              <w:bottom w:w="0" w:type="dxa"/>
              <w:right w:w="57" w:type="dxa"/>
            </w:tcMar>
            <w:hideMark/>
          </w:tcPr>
          <w:p w:rsidR="00AA25C5" w:rsidRDefault="00AA25C5" w:rsidP="00B06632">
            <w:pPr>
              <w:keepNext/>
              <w:keepLines/>
              <w:spacing w:before="50" w:after="50" w:line="240" w:lineRule="exact"/>
              <w:ind w:left="1440"/>
              <w:rPr>
                <w:rFonts w:eastAsia="SimSun"/>
                <w:sz w:val="20"/>
                <w:lang w:val="en-GB" w:eastAsia="zh-CN"/>
              </w:rPr>
            </w:pPr>
            <w:r>
              <w:rPr>
                <w:rFonts w:eastAsia="SimSun"/>
                <w:sz w:val="20"/>
                <w:lang w:val="en-GB" w:eastAsia="zh-CN"/>
              </w:rPr>
              <w:t>Week 52</w:t>
            </w:r>
          </w:p>
        </w:tc>
        <w:tc>
          <w:tcPr>
            <w:tcW w:w="1276" w:type="dxa"/>
            <w:gridSpan w:val="2"/>
            <w:tcBorders>
              <w:top w:val="nil"/>
              <w:left w:val="nil"/>
              <w:bottom w:val="single" w:sz="4" w:space="0" w:color="auto"/>
              <w:right w:val="nil"/>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-0.81*</w:t>
            </w:r>
          </w:p>
        </w:tc>
        <w:tc>
          <w:tcPr>
            <w:tcW w:w="1559" w:type="dxa"/>
            <w:gridSpan w:val="2"/>
            <w:tcBorders>
              <w:top w:val="nil"/>
              <w:left w:val="nil"/>
              <w:bottom w:val="single" w:sz="4" w:space="0" w:color="auto"/>
              <w:right w:val="nil"/>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-0.67</w:t>
            </w:r>
          </w:p>
        </w:tc>
        <w:tc>
          <w:tcPr>
            <w:tcW w:w="1701" w:type="dxa"/>
            <w:tcBorders>
              <w:top w:val="nil"/>
              <w:left w:val="nil"/>
              <w:bottom w:val="single" w:sz="4" w:space="0" w:color="auto"/>
              <w:right w:val="single" w:sz="4" w:space="0" w:color="auto"/>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-0.64</w:t>
            </w:r>
          </w:p>
        </w:tc>
      </w:tr>
      <w:tr w:rsidR="00AA25C5" w:rsidTr="00B06632">
        <w:trPr>
          <w:cantSplit/>
        </w:trPr>
        <w:tc>
          <w:tcPr>
            <w:tcW w:w="8505"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rsidR="00AA25C5" w:rsidRDefault="00AA25C5" w:rsidP="00B06632">
            <w:pPr>
              <w:keepNext/>
              <w:keepLines/>
              <w:spacing w:before="50" w:after="50" w:line="240" w:lineRule="exact"/>
              <w:rPr>
                <w:rFonts w:eastAsia="SimSun"/>
                <w:b/>
                <w:sz w:val="20"/>
                <w:lang w:val="en-GB" w:eastAsia="zh-CN"/>
              </w:rPr>
            </w:pPr>
            <w:r>
              <w:rPr>
                <w:rFonts w:eastAsia="SimSun"/>
                <w:b/>
                <w:sz w:val="20"/>
                <w:lang w:val="en-GB" w:eastAsia="zh-CN"/>
              </w:rPr>
              <w:t>Radiographic Endpoints (mean change from baseline)</w:t>
            </w:r>
          </w:p>
        </w:tc>
      </w:tr>
      <w:tr w:rsidR="00AA25C5" w:rsidTr="00B06632">
        <w:trPr>
          <w:cantSplit/>
        </w:trPr>
        <w:tc>
          <w:tcPr>
            <w:tcW w:w="4253" w:type="dxa"/>
            <w:gridSpan w:val="3"/>
            <w:tcBorders>
              <w:top w:val="single" w:sz="4" w:space="0" w:color="auto"/>
              <w:left w:val="single" w:sz="4" w:space="0" w:color="auto"/>
              <w:bottom w:val="nil"/>
              <w:right w:val="nil"/>
            </w:tcBorders>
            <w:tcMar>
              <w:top w:w="0" w:type="dxa"/>
              <w:left w:w="57" w:type="dxa"/>
              <w:bottom w:w="0" w:type="dxa"/>
              <w:right w:w="57" w:type="dxa"/>
            </w:tcMar>
            <w:hideMark/>
          </w:tcPr>
          <w:p w:rsidR="00AA25C5" w:rsidRPr="00981AE6" w:rsidRDefault="00AA25C5" w:rsidP="00B06632">
            <w:pPr>
              <w:keepNext/>
              <w:keepLines/>
              <w:spacing w:before="50" w:after="50" w:line="240" w:lineRule="exact"/>
              <w:ind w:left="1440"/>
              <w:rPr>
                <w:rFonts w:eastAsia="SimSun"/>
                <w:sz w:val="20"/>
                <w:vertAlign w:val="superscript"/>
                <w:lang w:val="en-GB" w:eastAsia="zh-CN"/>
              </w:rPr>
            </w:pPr>
            <w:r>
              <w:rPr>
                <w:rFonts w:eastAsia="SimSun"/>
                <w:sz w:val="20"/>
                <w:lang w:val="en-GB" w:eastAsia="zh-CN"/>
              </w:rPr>
              <w:t>Week 52                           mTSS</w:t>
            </w:r>
            <w:r>
              <w:rPr>
                <w:rFonts w:eastAsia="SimSun"/>
                <w:sz w:val="20"/>
                <w:vertAlign w:val="superscript"/>
                <w:lang w:val="en-GB" w:eastAsia="zh-CN"/>
              </w:rPr>
              <w:t>#</w:t>
            </w:r>
          </w:p>
        </w:tc>
        <w:tc>
          <w:tcPr>
            <w:tcW w:w="992" w:type="dxa"/>
            <w:tcBorders>
              <w:top w:val="single" w:sz="4" w:space="0" w:color="auto"/>
              <w:left w:val="nil"/>
              <w:bottom w:val="nil"/>
              <w:right w:val="nil"/>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0.08***</w:t>
            </w:r>
          </w:p>
        </w:tc>
        <w:tc>
          <w:tcPr>
            <w:tcW w:w="1418" w:type="dxa"/>
            <w:tcBorders>
              <w:top w:val="single" w:sz="4" w:space="0" w:color="auto"/>
              <w:left w:val="nil"/>
              <w:bottom w:val="nil"/>
              <w:right w:val="nil"/>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0.26</w:t>
            </w:r>
          </w:p>
        </w:tc>
        <w:tc>
          <w:tcPr>
            <w:tcW w:w="1842" w:type="dxa"/>
            <w:gridSpan w:val="2"/>
            <w:tcBorders>
              <w:top w:val="single" w:sz="4" w:space="0" w:color="auto"/>
              <w:left w:val="nil"/>
              <w:bottom w:val="nil"/>
              <w:right w:val="single" w:sz="8" w:space="0" w:color="auto"/>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1.14</w:t>
            </w:r>
          </w:p>
        </w:tc>
      </w:tr>
      <w:tr w:rsidR="00AA25C5" w:rsidTr="00B06632">
        <w:trPr>
          <w:cantSplit/>
        </w:trPr>
        <w:tc>
          <w:tcPr>
            <w:tcW w:w="4253" w:type="dxa"/>
            <w:gridSpan w:val="3"/>
            <w:tcBorders>
              <w:top w:val="nil"/>
              <w:left w:val="single" w:sz="4" w:space="0" w:color="auto"/>
              <w:bottom w:val="nil"/>
              <w:right w:val="nil"/>
            </w:tcBorders>
            <w:tcMar>
              <w:top w:w="0" w:type="dxa"/>
              <w:left w:w="57" w:type="dxa"/>
              <w:bottom w:w="0" w:type="dxa"/>
              <w:right w:w="57" w:type="dxa"/>
            </w:tcMar>
            <w:hideMark/>
          </w:tcPr>
          <w:p w:rsidR="00AA25C5" w:rsidRDefault="00AA25C5" w:rsidP="00B06632">
            <w:pPr>
              <w:keepNext/>
              <w:keepLines/>
              <w:spacing w:before="50" w:after="50" w:line="240" w:lineRule="exact"/>
              <w:jc w:val="right"/>
              <w:rPr>
                <w:rFonts w:eastAsia="SimSun"/>
                <w:sz w:val="20"/>
                <w:lang w:val="en-GB" w:eastAsia="zh-CN"/>
              </w:rPr>
            </w:pPr>
            <w:r>
              <w:rPr>
                <w:rFonts w:eastAsia="SimSun"/>
                <w:sz w:val="20"/>
                <w:lang w:val="en-GB" w:eastAsia="zh-CN"/>
              </w:rPr>
              <w:t>Erosion Score</w:t>
            </w:r>
          </w:p>
        </w:tc>
        <w:tc>
          <w:tcPr>
            <w:tcW w:w="992" w:type="dxa"/>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0.05**</w:t>
            </w:r>
          </w:p>
        </w:tc>
        <w:tc>
          <w:tcPr>
            <w:tcW w:w="1418" w:type="dxa"/>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0.15</w:t>
            </w:r>
          </w:p>
        </w:tc>
        <w:tc>
          <w:tcPr>
            <w:tcW w:w="1842" w:type="dxa"/>
            <w:gridSpan w:val="2"/>
            <w:tcBorders>
              <w:top w:val="nil"/>
              <w:left w:val="nil"/>
              <w:bottom w:val="nil"/>
              <w:right w:val="single" w:sz="8" w:space="0" w:color="auto"/>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0.63</w:t>
            </w:r>
          </w:p>
        </w:tc>
      </w:tr>
      <w:tr w:rsidR="00AA25C5" w:rsidTr="00B06632">
        <w:trPr>
          <w:cantSplit/>
        </w:trPr>
        <w:tc>
          <w:tcPr>
            <w:tcW w:w="4253" w:type="dxa"/>
            <w:gridSpan w:val="3"/>
            <w:tcBorders>
              <w:top w:val="nil"/>
              <w:left w:val="single" w:sz="4" w:space="0" w:color="auto"/>
              <w:right w:val="nil"/>
            </w:tcBorders>
            <w:tcMar>
              <w:top w:w="0" w:type="dxa"/>
              <w:left w:w="57" w:type="dxa"/>
              <w:bottom w:w="0" w:type="dxa"/>
              <w:right w:w="57" w:type="dxa"/>
            </w:tcMar>
            <w:hideMark/>
          </w:tcPr>
          <w:p w:rsidR="00AA25C5" w:rsidRDefault="00AA25C5" w:rsidP="00B06632">
            <w:pPr>
              <w:keepNext/>
              <w:keepLines/>
              <w:spacing w:before="50" w:after="50" w:line="240" w:lineRule="exact"/>
              <w:jc w:val="right"/>
              <w:rPr>
                <w:rFonts w:eastAsia="SimSun"/>
                <w:sz w:val="20"/>
                <w:lang w:val="en-GB" w:eastAsia="zh-CN"/>
              </w:rPr>
            </w:pPr>
            <w:r>
              <w:rPr>
                <w:rFonts w:eastAsia="SimSun"/>
                <w:sz w:val="20"/>
                <w:lang w:val="en-GB" w:eastAsia="zh-CN"/>
              </w:rPr>
              <w:t>JSN</w:t>
            </w:r>
          </w:p>
        </w:tc>
        <w:tc>
          <w:tcPr>
            <w:tcW w:w="992" w:type="dxa"/>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0.03</w:t>
            </w:r>
          </w:p>
        </w:tc>
        <w:tc>
          <w:tcPr>
            <w:tcW w:w="1418" w:type="dxa"/>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0.11</w:t>
            </w:r>
          </w:p>
        </w:tc>
        <w:tc>
          <w:tcPr>
            <w:tcW w:w="1842" w:type="dxa"/>
            <w:gridSpan w:val="2"/>
            <w:tcBorders>
              <w:top w:val="nil"/>
              <w:left w:val="nil"/>
              <w:right w:val="single" w:sz="8" w:space="0" w:color="auto"/>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0.51</w:t>
            </w:r>
          </w:p>
        </w:tc>
      </w:tr>
      <w:tr w:rsidR="00AA25C5" w:rsidTr="00B06632">
        <w:trPr>
          <w:cantSplit/>
        </w:trPr>
        <w:tc>
          <w:tcPr>
            <w:tcW w:w="4253" w:type="dxa"/>
            <w:gridSpan w:val="3"/>
            <w:tcBorders>
              <w:top w:val="nil"/>
              <w:left w:val="single" w:sz="4" w:space="0" w:color="auto"/>
              <w:bottom w:val="single" w:sz="4" w:space="0" w:color="auto"/>
              <w:right w:val="nil"/>
            </w:tcBorders>
            <w:tcMar>
              <w:top w:w="0" w:type="dxa"/>
              <w:left w:w="57" w:type="dxa"/>
              <w:bottom w:w="0" w:type="dxa"/>
              <w:right w:w="57" w:type="dxa"/>
            </w:tcMar>
            <w:hideMark/>
          </w:tcPr>
          <w:p w:rsidR="00AA25C5" w:rsidRDefault="00AA25C5" w:rsidP="00B06632">
            <w:pPr>
              <w:keepNext/>
              <w:keepLines/>
              <w:spacing w:before="50" w:after="50" w:line="240" w:lineRule="exact"/>
              <w:jc w:val="right"/>
              <w:rPr>
                <w:rFonts w:eastAsia="SimSun"/>
                <w:sz w:val="20"/>
                <w:lang w:val="en-GB" w:eastAsia="zh-CN"/>
              </w:rPr>
            </w:pPr>
            <w:r>
              <w:rPr>
                <w:rFonts w:eastAsia="SimSun"/>
                <w:sz w:val="20"/>
                <w:lang w:val="en-GB" w:eastAsia="zh-CN"/>
              </w:rPr>
              <w:t xml:space="preserve">Radiographic non-progression (%)  </w:t>
            </w:r>
          </w:p>
          <w:p w:rsidR="00AA25C5" w:rsidRDefault="00AA25C5" w:rsidP="00B06632">
            <w:pPr>
              <w:keepNext/>
              <w:keepLines/>
              <w:spacing w:before="50" w:after="50" w:line="240" w:lineRule="exact"/>
              <w:jc w:val="right"/>
              <w:rPr>
                <w:rFonts w:eastAsia="SimSun"/>
                <w:sz w:val="20"/>
                <w:lang w:val="en-GB" w:eastAsia="zh-CN"/>
              </w:rPr>
            </w:pPr>
            <w:r>
              <w:rPr>
                <w:rFonts w:eastAsia="SimSun"/>
                <w:sz w:val="20"/>
                <w:lang w:val="en-GB" w:eastAsia="zh-CN"/>
              </w:rPr>
              <w:t>(change from baseline in mTSS</w:t>
            </w:r>
            <w:r>
              <w:rPr>
                <w:rFonts w:eastAsia="SimSun"/>
                <w:sz w:val="20"/>
                <w:vertAlign w:val="superscript"/>
                <w:lang w:val="en-GB" w:eastAsia="zh-CN"/>
              </w:rPr>
              <w:t>#</w:t>
            </w:r>
            <w:r>
              <w:rPr>
                <w:rFonts w:eastAsia="SimSun"/>
                <w:sz w:val="20"/>
                <w:lang w:val="en-GB" w:eastAsia="zh-CN"/>
              </w:rPr>
              <w:t xml:space="preserve"> of ≤ 0) </w:t>
            </w:r>
          </w:p>
        </w:tc>
        <w:tc>
          <w:tcPr>
            <w:tcW w:w="992" w:type="dxa"/>
            <w:tcBorders>
              <w:bottom w:val="single" w:sz="4" w:space="0" w:color="auto"/>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83</w:t>
            </w:r>
            <w:r>
              <w:rPr>
                <w:rFonts w:cs="Arial"/>
                <w:b/>
                <w:sz w:val="20"/>
                <w:vertAlign w:val="superscript"/>
                <w:lang w:eastAsia="en-US"/>
              </w:rPr>
              <w:t>‡</w:t>
            </w:r>
          </w:p>
        </w:tc>
        <w:tc>
          <w:tcPr>
            <w:tcW w:w="1418" w:type="dxa"/>
            <w:tcBorders>
              <w:bottom w:val="single" w:sz="4" w:space="0" w:color="auto"/>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82</w:t>
            </w:r>
            <w:r>
              <w:rPr>
                <w:rFonts w:cs="Arial"/>
                <w:b/>
                <w:sz w:val="20"/>
                <w:vertAlign w:val="superscript"/>
                <w:lang w:eastAsia="en-US"/>
              </w:rPr>
              <w:t>‡</w:t>
            </w:r>
          </w:p>
        </w:tc>
        <w:tc>
          <w:tcPr>
            <w:tcW w:w="1842" w:type="dxa"/>
            <w:gridSpan w:val="2"/>
            <w:tcBorders>
              <w:top w:val="nil"/>
              <w:left w:val="nil"/>
              <w:bottom w:val="single" w:sz="4" w:space="0" w:color="auto"/>
              <w:right w:val="single" w:sz="8" w:space="0" w:color="auto"/>
            </w:tcBorders>
            <w:tcMar>
              <w:top w:w="0" w:type="dxa"/>
              <w:left w:w="57" w:type="dxa"/>
              <w:bottom w:w="0" w:type="dxa"/>
              <w:right w:w="57" w:type="dxa"/>
            </w:tcMar>
            <w:hideMark/>
          </w:tcPr>
          <w:p w:rsidR="00AA25C5" w:rsidRDefault="00AA25C5" w:rsidP="00B06632">
            <w:pPr>
              <w:keepNext/>
              <w:keepLines/>
              <w:spacing w:before="50" w:after="50" w:line="240" w:lineRule="exact"/>
              <w:jc w:val="center"/>
              <w:rPr>
                <w:rFonts w:eastAsia="SimSun"/>
                <w:sz w:val="20"/>
                <w:lang w:val="en-GB" w:eastAsia="zh-CN"/>
              </w:rPr>
            </w:pPr>
            <w:r>
              <w:rPr>
                <w:rFonts w:eastAsia="SimSun"/>
                <w:sz w:val="20"/>
                <w:lang w:val="en-GB" w:eastAsia="zh-CN"/>
              </w:rPr>
              <w:t>73</w:t>
            </w:r>
          </w:p>
        </w:tc>
      </w:tr>
    </w:tbl>
    <w:p w:rsidR="00AA25C5" w:rsidRPr="00B1230B" w:rsidRDefault="00AA25C5" w:rsidP="00AA25C5">
      <w:pPr>
        <w:pStyle w:val="TextTi12"/>
        <w:spacing w:after="0" w:line="240" w:lineRule="auto"/>
        <w:rPr>
          <w:sz w:val="18"/>
          <w:lang w:val="en-GB" w:eastAsia="en-US"/>
        </w:rPr>
      </w:pPr>
      <w:r w:rsidRPr="00B1230B">
        <w:rPr>
          <w:sz w:val="18"/>
          <w:lang w:val="en-GB" w:eastAsia="en-US"/>
        </w:rPr>
        <w:t xml:space="preserve">All efficacy comparisons vs Placebo + MTX. ***p ≤ 0.0001; **p &lt; 0.001; *p &lt; 0.05; </w:t>
      </w:r>
    </w:p>
    <w:p w:rsidR="00AA25C5" w:rsidRPr="00B1230B" w:rsidRDefault="00AA25C5" w:rsidP="00AA25C5">
      <w:pPr>
        <w:pStyle w:val="TextTi12"/>
        <w:spacing w:after="0" w:line="240" w:lineRule="auto"/>
        <w:rPr>
          <w:sz w:val="18"/>
          <w:lang w:val="en-GB"/>
        </w:rPr>
      </w:pPr>
      <w:r w:rsidRPr="00B1230B">
        <w:rPr>
          <w:sz w:val="18"/>
          <w:vertAlign w:val="superscript"/>
          <w:lang w:val="en-GB" w:eastAsia="en-US"/>
        </w:rPr>
        <w:t>#</w:t>
      </w:r>
      <w:r w:rsidRPr="00B1230B">
        <w:rPr>
          <w:sz w:val="18"/>
          <w:lang w:val="en-GB" w:eastAsia="en-US"/>
        </w:rPr>
        <w:t xml:space="preserve">  mTSS = modified Total Sharp score</w:t>
      </w:r>
    </w:p>
    <w:p w:rsidR="00AA25C5" w:rsidRDefault="00AA25C5" w:rsidP="001E4C60">
      <w:pPr>
        <w:pStyle w:val="TextTi12"/>
        <w:rPr>
          <w:lang w:val="en-GB" w:eastAsia="ja-JP"/>
        </w:rPr>
      </w:pPr>
    </w:p>
    <w:p w:rsidR="000640B5" w:rsidRPr="006815F0" w:rsidRDefault="00C72EAB" w:rsidP="000640B5">
      <w:pPr>
        <w:pStyle w:val="TextTi12"/>
        <w:spacing w:after="0" w:line="240" w:lineRule="auto"/>
        <w:rPr>
          <w:b/>
          <w:u w:val="single"/>
          <w:lang w:val="en-GB"/>
        </w:rPr>
      </w:pPr>
      <w:r>
        <w:rPr>
          <w:b/>
          <w:u w:val="single"/>
          <w:lang w:val="en-GB"/>
        </w:rPr>
        <w:br w:type="page"/>
      </w:r>
      <w:r w:rsidR="000640B5" w:rsidRPr="006815F0">
        <w:rPr>
          <w:b/>
          <w:u w:val="single"/>
          <w:lang w:val="en-GB"/>
        </w:rPr>
        <w:lastRenderedPageBreak/>
        <w:t>Monotherapy: ACTEMRA versus adalimumab</w:t>
      </w:r>
    </w:p>
    <w:p w:rsidR="000640B5" w:rsidRDefault="000640B5" w:rsidP="000640B5">
      <w:pPr>
        <w:pStyle w:val="TextTi12"/>
        <w:spacing w:after="0" w:line="240" w:lineRule="auto"/>
        <w:rPr>
          <w:lang w:val="en-GB"/>
        </w:rPr>
      </w:pPr>
      <w:r w:rsidRPr="000640B5">
        <w:rPr>
          <w:lang w:val="en-GB"/>
        </w:rPr>
        <w:t xml:space="preserve">Study WA19924 evaluated 326 patients with RA who were intolerant of MTX or </w:t>
      </w:r>
      <w:r w:rsidR="00F71826">
        <w:rPr>
          <w:lang w:val="en-GB"/>
        </w:rPr>
        <w:t>in whom</w:t>
      </w:r>
      <w:r w:rsidRPr="000640B5">
        <w:rPr>
          <w:lang w:val="en-GB"/>
        </w:rPr>
        <w:t xml:space="preserve"> continued treatment with MT</w:t>
      </w:r>
      <w:r>
        <w:rPr>
          <w:lang w:val="en-GB"/>
        </w:rPr>
        <w:t xml:space="preserve">X was considered inappropriate, </w:t>
      </w:r>
      <w:r w:rsidR="00D32122">
        <w:rPr>
          <w:lang w:val="en-GB"/>
        </w:rPr>
        <w:t>which included</w:t>
      </w:r>
      <w:r w:rsidR="00C04F60">
        <w:rPr>
          <w:lang w:val="en-GB"/>
        </w:rPr>
        <w:t xml:space="preserve"> </w:t>
      </w:r>
      <w:r w:rsidR="000A0B7C">
        <w:rPr>
          <w:lang w:val="en-GB"/>
        </w:rPr>
        <w:t xml:space="preserve">patients considered to be </w:t>
      </w:r>
      <w:r w:rsidRPr="000640B5">
        <w:rPr>
          <w:lang w:val="en-GB"/>
        </w:rPr>
        <w:t>MTX inadequate responders</w:t>
      </w:r>
      <w:r>
        <w:rPr>
          <w:lang w:val="en-GB"/>
        </w:rPr>
        <w:t>.</w:t>
      </w:r>
      <w:r w:rsidRPr="000640B5">
        <w:rPr>
          <w:lang w:val="en-GB"/>
        </w:rPr>
        <w:t xml:space="preserve"> Patients in the </w:t>
      </w:r>
      <w:r w:rsidR="00D32122">
        <w:rPr>
          <w:lang w:val="en-GB"/>
        </w:rPr>
        <w:t>ACTEMRA</w:t>
      </w:r>
      <w:r w:rsidRPr="000640B5">
        <w:rPr>
          <w:lang w:val="en-GB"/>
        </w:rPr>
        <w:t xml:space="preserve"> arm received an intravenous (IV) infusion of </w:t>
      </w:r>
      <w:r w:rsidR="00D32122">
        <w:rPr>
          <w:lang w:val="en-GB"/>
        </w:rPr>
        <w:t>ACTEMRA</w:t>
      </w:r>
      <w:r w:rsidRPr="000640B5">
        <w:rPr>
          <w:lang w:val="en-GB"/>
        </w:rPr>
        <w:t xml:space="preserve"> (8 mg/kg) every 4 weeks (q4w) and a subcutaneous (SC) placebo </w:t>
      </w:r>
      <w:r w:rsidR="00D32122">
        <w:rPr>
          <w:lang w:val="en-GB"/>
        </w:rPr>
        <w:t xml:space="preserve">injection every 2 weeks (q2w). </w:t>
      </w:r>
      <w:r w:rsidRPr="000640B5">
        <w:rPr>
          <w:lang w:val="en-GB"/>
        </w:rPr>
        <w:t>Patients in the adalimumab arm received an adalimumab SC injection (40 mg) q2w plus</w:t>
      </w:r>
      <w:r w:rsidR="00897873">
        <w:rPr>
          <w:lang w:val="en-GB"/>
        </w:rPr>
        <w:t xml:space="preserve"> an IV placebo infusion q4w</w:t>
      </w:r>
      <w:r w:rsidRPr="000640B5">
        <w:rPr>
          <w:lang w:val="en-GB"/>
        </w:rPr>
        <w:t>.</w:t>
      </w:r>
    </w:p>
    <w:p w:rsidR="000640B5" w:rsidRPr="00AC6D4C" w:rsidRDefault="000640B5" w:rsidP="00AC6D4C">
      <w:pPr>
        <w:pStyle w:val="Default"/>
        <w:jc w:val="both"/>
        <w:rPr>
          <w:rFonts w:ascii="Times New Roman" w:hAnsi="Times New Roman" w:cs="Times New Roman"/>
          <w:lang w:val="en-GB"/>
        </w:rPr>
      </w:pPr>
      <w:r w:rsidRPr="00AC6D4C">
        <w:rPr>
          <w:rFonts w:ascii="Times New Roman" w:hAnsi="Times New Roman" w:cs="Times New Roman"/>
          <w:lang w:val="en-GB"/>
        </w:rPr>
        <w:t xml:space="preserve">A statistically significant superior treatment effect was seen in favour of </w:t>
      </w:r>
      <w:r w:rsidR="00D32122" w:rsidRPr="00AC6D4C">
        <w:rPr>
          <w:rFonts w:ascii="Times New Roman" w:hAnsi="Times New Roman" w:cs="Times New Roman"/>
          <w:lang w:val="en-GB"/>
        </w:rPr>
        <w:t>ACTEMRA</w:t>
      </w:r>
      <w:r w:rsidRPr="00AC6D4C">
        <w:rPr>
          <w:rFonts w:ascii="Times New Roman" w:hAnsi="Times New Roman" w:cs="Times New Roman"/>
          <w:lang w:val="en-GB"/>
        </w:rPr>
        <w:t xml:space="preserve"> over adalimumab in control of disease activity from baseline to week 24 for the primary endpoint of change in DAS28 and for </w:t>
      </w:r>
      <w:r w:rsidR="000357B3" w:rsidRPr="00AC6D4C">
        <w:rPr>
          <w:rFonts w:ascii="Times New Roman" w:hAnsi="Times New Roman" w:cs="Times New Roman"/>
          <w:lang w:val="en-GB"/>
        </w:rPr>
        <w:t>all secondary endpoints</w:t>
      </w:r>
      <w:r w:rsidR="00887362">
        <w:rPr>
          <w:rFonts w:ascii="Times New Roman" w:hAnsi="Times New Roman" w:cs="Times New Roman"/>
          <w:lang w:val="en-GB"/>
        </w:rPr>
        <w:t xml:space="preserve"> (Table </w:t>
      </w:r>
      <w:r w:rsidR="006815F0">
        <w:rPr>
          <w:rFonts w:ascii="Times New Roman" w:hAnsi="Times New Roman" w:cs="Times New Roman"/>
          <w:lang w:val="en-GB"/>
        </w:rPr>
        <w:t>5</w:t>
      </w:r>
      <w:r w:rsidR="00887362">
        <w:rPr>
          <w:rFonts w:ascii="Times New Roman" w:hAnsi="Times New Roman" w:cs="Times New Roman"/>
          <w:lang w:val="en-GB"/>
        </w:rPr>
        <w:t>).</w:t>
      </w:r>
    </w:p>
    <w:p w:rsidR="000357B3" w:rsidRPr="002524B5" w:rsidRDefault="000357B3" w:rsidP="002524B5">
      <w:pPr>
        <w:pStyle w:val="TextTi12"/>
        <w:spacing w:after="0" w:line="240" w:lineRule="auto"/>
        <w:rPr>
          <w:lang w:val="en-GB"/>
        </w:rPr>
      </w:pPr>
    </w:p>
    <w:p w:rsidR="000A0B7C" w:rsidRPr="000A0B7C" w:rsidRDefault="000A0B7C" w:rsidP="000A0B7C">
      <w:pPr>
        <w:pStyle w:val="TextTi12"/>
        <w:spacing w:before="113" w:after="57"/>
        <w:rPr>
          <w:b/>
          <w:lang w:val="en-GB"/>
        </w:rPr>
      </w:pPr>
      <w:r w:rsidRPr="000A0B7C">
        <w:rPr>
          <w:b/>
          <w:lang w:val="en-GB"/>
        </w:rPr>
        <w:t xml:space="preserve">Table </w:t>
      </w:r>
      <w:r w:rsidR="001E4C60">
        <w:rPr>
          <w:b/>
          <w:lang w:val="en-GB"/>
        </w:rPr>
        <w:t>5</w:t>
      </w:r>
      <w:r w:rsidRPr="000A0B7C">
        <w:rPr>
          <w:b/>
          <w:lang w:val="en-GB"/>
        </w:rPr>
        <w:t xml:space="preserve"> </w:t>
      </w:r>
      <w:r w:rsidR="006305F8">
        <w:rPr>
          <w:b/>
          <w:lang w:val="en-GB"/>
        </w:rPr>
        <w:t>Efficacy Results for Study WA</w:t>
      </w:r>
      <w:r w:rsidRPr="000A0B7C">
        <w:rPr>
          <w:b/>
          <w:lang w:val="en-GB"/>
        </w:rPr>
        <w:t>19924</w:t>
      </w:r>
    </w:p>
    <w:tbl>
      <w:tblPr>
        <w:tblW w:w="8646" w:type="dxa"/>
        <w:tblInd w:w="58" w:type="dxa"/>
        <w:tblLayout w:type="fixed"/>
        <w:tblCellMar>
          <w:left w:w="0" w:type="dxa"/>
          <w:right w:w="0" w:type="dxa"/>
        </w:tblCellMar>
        <w:tblLook w:val="04A0" w:firstRow="1" w:lastRow="0" w:firstColumn="1" w:lastColumn="0" w:noHBand="0" w:noVBand="1"/>
      </w:tblPr>
      <w:tblGrid>
        <w:gridCol w:w="3968"/>
        <w:gridCol w:w="1701"/>
        <w:gridCol w:w="1843"/>
        <w:gridCol w:w="1134"/>
      </w:tblGrid>
      <w:tr w:rsidR="000357B3" w:rsidRPr="000357B3" w:rsidTr="001F1D30">
        <w:trPr>
          <w:cantSplit/>
          <w:trHeight w:val="974"/>
        </w:trPr>
        <w:tc>
          <w:tcPr>
            <w:tcW w:w="3968" w:type="dxa"/>
            <w:tcBorders>
              <w:top w:val="single" w:sz="8" w:space="0" w:color="auto"/>
              <w:left w:val="single" w:sz="4" w:space="0" w:color="auto"/>
              <w:bottom w:val="single" w:sz="8" w:space="0" w:color="auto"/>
              <w:right w:val="nil"/>
            </w:tcBorders>
            <w:tcMar>
              <w:top w:w="0" w:type="dxa"/>
              <w:left w:w="57" w:type="dxa"/>
              <w:bottom w:w="0" w:type="dxa"/>
              <w:right w:w="57" w:type="dxa"/>
            </w:tcMar>
            <w:vAlign w:val="bottom"/>
            <w:hideMark/>
          </w:tcPr>
          <w:p w:rsidR="000357B3" w:rsidRPr="000357B3" w:rsidRDefault="000357B3" w:rsidP="000357B3">
            <w:pPr>
              <w:pStyle w:val="TextTi12"/>
              <w:spacing w:after="0" w:line="240" w:lineRule="auto"/>
              <w:rPr>
                <w:sz w:val="22"/>
                <w:szCs w:val="22"/>
                <w:lang w:val="en-US"/>
              </w:rPr>
            </w:pPr>
          </w:p>
        </w:tc>
        <w:tc>
          <w:tcPr>
            <w:tcW w:w="1701" w:type="dxa"/>
            <w:tcBorders>
              <w:top w:val="single" w:sz="8" w:space="0" w:color="auto"/>
              <w:left w:val="nil"/>
              <w:bottom w:val="single" w:sz="8" w:space="0" w:color="auto"/>
              <w:right w:val="nil"/>
            </w:tcBorders>
            <w:tcMar>
              <w:top w:w="0" w:type="dxa"/>
              <w:left w:w="57" w:type="dxa"/>
              <w:bottom w:w="0" w:type="dxa"/>
              <w:right w:w="57" w:type="dxa"/>
            </w:tcMar>
            <w:vAlign w:val="center"/>
            <w:hideMark/>
          </w:tcPr>
          <w:p w:rsidR="000357B3" w:rsidRPr="000357B3" w:rsidRDefault="000357B3" w:rsidP="000357B3">
            <w:pPr>
              <w:pStyle w:val="TextTi12"/>
              <w:spacing w:after="0" w:line="240" w:lineRule="auto"/>
              <w:jc w:val="center"/>
              <w:rPr>
                <w:b/>
                <w:sz w:val="22"/>
                <w:szCs w:val="22"/>
                <w:lang w:val="en-US"/>
              </w:rPr>
            </w:pPr>
            <w:r w:rsidRPr="000357B3">
              <w:rPr>
                <w:b/>
                <w:sz w:val="22"/>
                <w:szCs w:val="22"/>
                <w:lang w:val="en-US"/>
              </w:rPr>
              <w:t>ADA + Placebo (IV)</w:t>
            </w:r>
          </w:p>
          <w:p w:rsidR="000357B3" w:rsidRPr="000357B3" w:rsidRDefault="001F1D30" w:rsidP="000357B3">
            <w:pPr>
              <w:pStyle w:val="TextTi12"/>
              <w:spacing w:after="0" w:line="240" w:lineRule="auto"/>
              <w:jc w:val="center"/>
              <w:rPr>
                <w:b/>
                <w:sz w:val="22"/>
                <w:szCs w:val="22"/>
                <w:lang w:val="en-US"/>
              </w:rPr>
            </w:pPr>
            <w:r>
              <w:rPr>
                <w:b/>
                <w:sz w:val="22"/>
                <w:szCs w:val="22"/>
                <w:lang w:val="en-US"/>
              </w:rPr>
              <w:t>n</w:t>
            </w:r>
            <w:r w:rsidR="000357B3" w:rsidRPr="000357B3">
              <w:rPr>
                <w:b/>
                <w:sz w:val="22"/>
                <w:szCs w:val="22"/>
                <w:lang w:val="en-US"/>
              </w:rPr>
              <w:t xml:space="preserve"> = 162</w:t>
            </w:r>
          </w:p>
        </w:tc>
        <w:tc>
          <w:tcPr>
            <w:tcW w:w="1843" w:type="dxa"/>
            <w:tcBorders>
              <w:top w:val="single" w:sz="8" w:space="0" w:color="auto"/>
              <w:left w:val="nil"/>
              <w:bottom w:val="single" w:sz="8" w:space="0" w:color="auto"/>
              <w:right w:val="nil"/>
            </w:tcBorders>
            <w:tcMar>
              <w:top w:w="0" w:type="dxa"/>
              <w:left w:w="57" w:type="dxa"/>
              <w:bottom w:w="0" w:type="dxa"/>
              <w:right w:w="57" w:type="dxa"/>
            </w:tcMar>
            <w:vAlign w:val="center"/>
            <w:hideMark/>
          </w:tcPr>
          <w:p w:rsidR="001F1D30" w:rsidRPr="000357B3" w:rsidRDefault="000357B3" w:rsidP="000357B3">
            <w:pPr>
              <w:pStyle w:val="TextTi12"/>
              <w:spacing w:after="0" w:line="240" w:lineRule="auto"/>
              <w:jc w:val="center"/>
              <w:rPr>
                <w:b/>
                <w:sz w:val="22"/>
                <w:szCs w:val="22"/>
                <w:lang w:val="en-US"/>
              </w:rPr>
            </w:pPr>
            <w:r>
              <w:rPr>
                <w:b/>
                <w:sz w:val="22"/>
                <w:szCs w:val="22"/>
                <w:lang w:val="en-US"/>
              </w:rPr>
              <w:t>ACT</w:t>
            </w:r>
            <w:r w:rsidRPr="000357B3">
              <w:rPr>
                <w:b/>
                <w:sz w:val="22"/>
                <w:szCs w:val="22"/>
                <w:lang w:val="en-US"/>
              </w:rPr>
              <w:t xml:space="preserve"> + Placebo (SC)</w:t>
            </w:r>
          </w:p>
          <w:p w:rsidR="000357B3" w:rsidRPr="000357B3" w:rsidRDefault="001F1D30" w:rsidP="000357B3">
            <w:pPr>
              <w:pStyle w:val="TextTi12"/>
              <w:spacing w:after="0" w:line="240" w:lineRule="auto"/>
              <w:jc w:val="center"/>
              <w:rPr>
                <w:b/>
                <w:sz w:val="22"/>
                <w:szCs w:val="22"/>
                <w:lang w:val="en-US"/>
              </w:rPr>
            </w:pPr>
            <w:r>
              <w:rPr>
                <w:b/>
                <w:sz w:val="22"/>
                <w:szCs w:val="22"/>
                <w:lang w:val="en-US"/>
              </w:rPr>
              <w:t>n</w:t>
            </w:r>
            <w:r w:rsidR="000357B3" w:rsidRPr="000357B3">
              <w:rPr>
                <w:b/>
                <w:sz w:val="22"/>
                <w:szCs w:val="22"/>
                <w:lang w:val="en-US"/>
              </w:rPr>
              <w:t xml:space="preserve"> = 163</w:t>
            </w:r>
          </w:p>
        </w:tc>
        <w:tc>
          <w:tcPr>
            <w:tcW w:w="1134"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0357B3" w:rsidRPr="000357B3" w:rsidRDefault="000357B3" w:rsidP="000357B3">
            <w:pPr>
              <w:pStyle w:val="TextTi12"/>
              <w:spacing w:after="0" w:line="240" w:lineRule="auto"/>
              <w:jc w:val="center"/>
              <w:rPr>
                <w:sz w:val="22"/>
                <w:szCs w:val="22"/>
                <w:lang w:val="en-US"/>
              </w:rPr>
            </w:pPr>
            <w:r w:rsidRPr="000357B3">
              <w:rPr>
                <w:sz w:val="22"/>
                <w:szCs w:val="22"/>
                <w:lang w:val="en-US"/>
              </w:rPr>
              <w:t>p-value</w:t>
            </w:r>
            <w:r w:rsidRPr="000357B3">
              <w:rPr>
                <w:b/>
                <w:sz w:val="22"/>
                <w:szCs w:val="22"/>
                <w:vertAlign w:val="superscript"/>
                <w:lang w:val="en-US"/>
              </w:rPr>
              <w:t>(a)</w:t>
            </w:r>
          </w:p>
        </w:tc>
      </w:tr>
      <w:tr w:rsidR="000357B3" w:rsidRPr="000357B3" w:rsidTr="001E37ED">
        <w:trPr>
          <w:cantSplit/>
          <w:trHeight w:val="367"/>
        </w:trPr>
        <w:tc>
          <w:tcPr>
            <w:tcW w:w="8646" w:type="dxa"/>
            <w:gridSpan w:val="4"/>
            <w:tcBorders>
              <w:left w:val="single" w:sz="4" w:space="0" w:color="auto"/>
              <w:right w:val="single" w:sz="8" w:space="0" w:color="auto"/>
            </w:tcBorders>
            <w:tcMar>
              <w:top w:w="0" w:type="dxa"/>
              <w:left w:w="57" w:type="dxa"/>
              <w:bottom w:w="0" w:type="dxa"/>
              <w:right w:w="57" w:type="dxa"/>
            </w:tcMar>
            <w:vAlign w:val="center"/>
            <w:hideMark/>
          </w:tcPr>
          <w:p w:rsidR="000357B3" w:rsidRPr="000357B3" w:rsidRDefault="000357B3" w:rsidP="006305F8">
            <w:pPr>
              <w:pStyle w:val="TextTi12"/>
              <w:spacing w:after="0" w:line="240" w:lineRule="auto"/>
              <w:jc w:val="left"/>
              <w:rPr>
                <w:sz w:val="22"/>
                <w:szCs w:val="22"/>
                <w:lang w:val="en-US"/>
              </w:rPr>
            </w:pPr>
            <w:r w:rsidRPr="000357B3">
              <w:rPr>
                <w:b/>
                <w:sz w:val="22"/>
                <w:szCs w:val="22"/>
                <w:lang w:val="en-US"/>
              </w:rPr>
              <w:t>Primary Endpoint - Mean Change from baseline at Week 24</w:t>
            </w:r>
          </w:p>
        </w:tc>
      </w:tr>
      <w:tr w:rsidR="000357B3" w:rsidRPr="000357B3" w:rsidTr="006305F8">
        <w:trPr>
          <w:cantSplit/>
          <w:trHeight w:val="397"/>
        </w:trPr>
        <w:tc>
          <w:tcPr>
            <w:tcW w:w="3968" w:type="dxa"/>
            <w:tcBorders>
              <w:top w:val="single" w:sz="4" w:space="0" w:color="auto"/>
              <w:left w:val="single" w:sz="4" w:space="0" w:color="auto"/>
            </w:tcBorders>
            <w:tcMar>
              <w:top w:w="0" w:type="dxa"/>
              <w:left w:w="57" w:type="dxa"/>
              <w:bottom w:w="0" w:type="dxa"/>
              <w:right w:w="57" w:type="dxa"/>
            </w:tcMar>
            <w:hideMark/>
          </w:tcPr>
          <w:p w:rsidR="000357B3" w:rsidRPr="000357B3" w:rsidRDefault="000357B3" w:rsidP="000357B3">
            <w:pPr>
              <w:pStyle w:val="TextTi12"/>
              <w:spacing w:after="0" w:line="240" w:lineRule="auto"/>
              <w:jc w:val="right"/>
              <w:rPr>
                <w:b/>
                <w:sz w:val="22"/>
                <w:szCs w:val="22"/>
                <w:lang w:val="en-US"/>
              </w:rPr>
            </w:pPr>
            <w:r w:rsidRPr="000357B3">
              <w:rPr>
                <w:b/>
                <w:sz w:val="22"/>
                <w:szCs w:val="22"/>
                <w:lang w:val="en-US"/>
              </w:rPr>
              <w:t xml:space="preserve">DAS28 (adjusted mean) </w:t>
            </w:r>
          </w:p>
        </w:tc>
        <w:tc>
          <w:tcPr>
            <w:tcW w:w="1701" w:type="dxa"/>
            <w:tcBorders>
              <w:top w:val="single" w:sz="4" w:space="0" w:color="auto"/>
            </w:tcBorders>
            <w:tcMar>
              <w:top w:w="0" w:type="dxa"/>
              <w:left w:w="57" w:type="dxa"/>
              <w:bottom w:w="0" w:type="dxa"/>
              <w:right w:w="57" w:type="dxa"/>
            </w:tcMar>
          </w:tcPr>
          <w:p w:rsidR="000357B3" w:rsidRPr="000357B3" w:rsidRDefault="000357B3" w:rsidP="000357B3">
            <w:pPr>
              <w:pStyle w:val="TextTi12"/>
              <w:spacing w:after="0" w:line="240" w:lineRule="auto"/>
              <w:jc w:val="center"/>
              <w:rPr>
                <w:sz w:val="22"/>
                <w:szCs w:val="22"/>
                <w:lang w:val="de-CH"/>
              </w:rPr>
            </w:pPr>
            <w:r w:rsidRPr="000357B3">
              <w:rPr>
                <w:sz w:val="22"/>
                <w:szCs w:val="22"/>
                <w:lang w:val="de-CH"/>
              </w:rPr>
              <w:t>-1.8</w:t>
            </w:r>
          </w:p>
        </w:tc>
        <w:tc>
          <w:tcPr>
            <w:tcW w:w="1843" w:type="dxa"/>
            <w:tcBorders>
              <w:top w:val="single" w:sz="4" w:space="0" w:color="auto"/>
            </w:tcBorders>
            <w:tcMar>
              <w:top w:w="0" w:type="dxa"/>
              <w:left w:w="57" w:type="dxa"/>
              <w:bottom w:w="0" w:type="dxa"/>
              <w:right w:w="57" w:type="dxa"/>
            </w:tcMar>
          </w:tcPr>
          <w:p w:rsidR="000357B3" w:rsidRPr="000357B3" w:rsidRDefault="000357B3" w:rsidP="000357B3">
            <w:pPr>
              <w:pStyle w:val="TextTi12"/>
              <w:spacing w:after="0" w:line="240" w:lineRule="auto"/>
              <w:jc w:val="center"/>
              <w:rPr>
                <w:sz w:val="22"/>
                <w:szCs w:val="22"/>
                <w:lang w:val="de-CH"/>
              </w:rPr>
            </w:pPr>
            <w:r w:rsidRPr="000357B3">
              <w:rPr>
                <w:sz w:val="22"/>
                <w:szCs w:val="22"/>
                <w:lang w:val="de-CH"/>
              </w:rPr>
              <w:t>-3.3</w:t>
            </w:r>
          </w:p>
        </w:tc>
        <w:tc>
          <w:tcPr>
            <w:tcW w:w="1134" w:type="dxa"/>
            <w:tcBorders>
              <w:top w:val="single" w:sz="4" w:space="0" w:color="auto"/>
              <w:left w:val="nil"/>
              <w:bottom w:val="nil"/>
              <w:right w:val="single" w:sz="8" w:space="0" w:color="auto"/>
            </w:tcBorders>
            <w:tcMar>
              <w:top w:w="0" w:type="dxa"/>
              <w:left w:w="57" w:type="dxa"/>
              <w:bottom w:w="0" w:type="dxa"/>
              <w:right w:w="57" w:type="dxa"/>
            </w:tcMar>
          </w:tcPr>
          <w:p w:rsidR="000357B3" w:rsidRPr="000357B3" w:rsidRDefault="000357B3" w:rsidP="000357B3">
            <w:pPr>
              <w:pStyle w:val="TextTi12"/>
              <w:spacing w:after="0" w:line="240" w:lineRule="auto"/>
              <w:jc w:val="center"/>
              <w:rPr>
                <w:sz w:val="22"/>
                <w:szCs w:val="22"/>
                <w:lang w:val="de-CH"/>
              </w:rPr>
            </w:pPr>
          </w:p>
        </w:tc>
      </w:tr>
      <w:tr w:rsidR="000357B3" w:rsidRPr="000357B3" w:rsidTr="001E37ED">
        <w:trPr>
          <w:cantSplit/>
          <w:trHeight w:val="315"/>
        </w:trPr>
        <w:tc>
          <w:tcPr>
            <w:tcW w:w="3968" w:type="dxa"/>
            <w:tcBorders>
              <w:left w:val="single" w:sz="4" w:space="0" w:color="auto"/>
              <w:bottom w:val="single" w:sz="4" w:space="0" w:color="auto"/>
            </w:tcBorders>
            <w:tcMar>
              <w:top w:w="0" w:type="dxa"/>
              <w:left w:w="57" w:type="dxa"/>
              <w:bottom w:w="0" w:type="dxa"/>
              <w:right w:w="57" w:type="dxa"/>
            </w:tcMar>
          </w:tcPr>
          <w:p w:rsidR="000357B3" w:rsidRPr="000357B3" w:rsidRDefault="000357B3" w:rsidP="000357B3">
            <w:pPr>
              <w:pStyle w:val="TextTi12"/>
              <w:spacing w:after="0" w:line="240" w:lineRule="auto"/>
              <w:jc w:val="right"/>
              <w:rPr>
                <w:b/>
                <w:sz w:val="22"/>
                <w:szCs w:val="22"/>
                <w:lang w:val="en-US"/>
              </w:rPr>
            </w:pPr>
            <w:r w:rsidRPr="000357B3">
              <w:rPr>
                <w:b/>
                <w:sz w:val="22"/>
                <w:szCs w:val="22"/>
                <w:lang w:val="en-US"/>
              </w:rPr>
              <w:t>Difference in adjusted mean (95% CI)</w:t>
            </w:r>
          </w:p>
        </w:tc>
        <w:tc>
          <w:tcPr>
            <w:tcW w:w="3544" w:type="dxa"/>
            <w:gridSpan w:val="2"/>
            <w:tcBorders>
              <w:bottom w:val="single" w:sz="4" w:space="0" w:color="auto"/>
            </w:tcBorders>
            <w:tcMar>
              <w:top w:w="0" w:type="dxa"/>
              <w:left w:w="57" w:type="dxa"/>
              <w:bottom w:w="0" w:type="dxa"/>
              <w:right w:w="57" w:type="dxa"/>
            </w:tcMar>
          </w:tcPr>
          <w:p w:rsidR="000357B3" w:rsidRPr="000357B3" w:rsidRDefault="000357B3" w:rsidP="000357B3">
            <w:pPr>
              <w:pStyle w:val="TextTi12"/>
              <w:spacing w:after="0" w:line="240" w:lineRule="auto"/>
              <w:jc w:val="center"/>
              <w:rPr>
                <w:sz w:val="22"/>
                <w:szCs w:val="22"/>
                <w:lang w:val="en-US"/>
              </w:rPr>
            </w:pPr>
            <w:r w:rsidRPr="000357B3">
              <w:rPr>
                <w:sz w:val="22"/>
                <w:szCs w:val="22"/>
                <w:lang w:val="en-US"/>
              </w:rPr>
              <w:t>-1.5 (-1.8, -1.1)</w:t>
            </w:r>
          </w:p>
        </w:tc>
        <w:tc>
          <w:tcPr>
            <w:tcW w:w="1134" w:type="dxa"/>
            <w:tcBorders>
              <w:top w:val="nil"/>
              <w:left w:val="nil"/>
              <w:bottom w:val="single" w:sz="4" w:space="0" w:color="auto"/>
              <w:right w:val="single" w:sz="8" w:space="0" w:color="auto"/>
            </w:tcBorders>
            <w:tcMar>
              <w:top w:w="0" w:type="dxa"/>
              <w:left w:w="57" w:type="dxa"/>
              <w:bottom w:w="0" w:type="dxa"/>
              <w:right w:w="57" w:type="dxa"/>
            </w:tcMar>
          </w:tcPr>
          <w:p w:rsidR="000357B3" w:rsidRPr="000357B3" w:rsidRDefault="000357B3" w:rsidP="000357B3">
            <w:pPr>
              <w:pStyle w:val="TextTi12"/>
              <w:spacing w:after="0" w:line="240" w:lineRule="auto"/>
              <w:jc w:val="center"/>
              <w:rPr>
                <w:sz w:val="22"/>
                <w:szCs w:val="22"/>
                <w:lang w:val="en-US"/>
              </w:rPr>
            </w:pPr>
            <w:r w:rsidRPr="000357B3">
              <w:rPr>
                <w:sz w:val="22"/>
                <w:szCs w:val="22"/>
                <w:lang w:val="en-US"/>
              </w:rPr>
              <w:t>&lt;0.0001</w:t>
            </w:r>
          </w:p>
        </w:tc>
      </w:tr>
      <w:tr w:rsidR="000357B3" w:rsidRPr="000357B3" w:rsidTr="001E37ED">
        <w:trPr>
          <w:cantSplit/>
          <w:trHeight w:val="393"/>
        </w:trPr>
        <w:tc>
          <w:tcPr>
            <w:tcW w:w="8646" w:type="dxa"/>
            <w:gridSpan w:val="4"/>
            <w:tcBorders>
              <w:left w:val="single" w:sz="4" w:space="0" w:color="auto"/>
              <w:bottom w:val="single" w:sz="4" w:space="0" w:color="auto"/>
              <w:right w:val="single" w:sz="8" w:space="0" w:color="auto"/>
            </w:tcBorders>
            <w:tcMar>
              <w:top w:w="0" w:type="dxa"/>
              <w:left w:w="57" w:type="dxa"/>
              <w:bottom w:w="0" w:type="dxa"/>
              <w:right w:w="57" w:type="dxa"/>
            </w:tcMar>
            <w:vAlign w:val="center"/>
            <w:hideMark/>
          </w:tcPr>
          <w:p w:rsidR="000357B3" w:rsidRPr="000357B3" w:rsidRDefault="000357B3" w:rsidP="006305F8">
            <w:pPr>
              <w:pStyle w:val="TextTi12"/>
              <w:spacing w:after="0" w:line="240" w:lineRule="auto"/>
              <w:jc w:val="left"/>
              <w:rPr>
                <w:sz w:val="22"/>
                <w:szCs w:val="22"/>
                <w:lang w:val="en-US"/>
              </w:rPr>
            </w:pPr>
            <w:r w:rsidRPr="000357B3">
              <w:rPr>
                <w:b/>
                <w:sz w:val="22"/>
                <w:szCs w:val="22"/>
                <w:lang w:val="en-US"/>
              </w:rPr>
              <w:t xml:space="preserve">Secondary Endpoints - Percentage of Responders at Week 24 </w:t>
            </w:r>
            <w:r w:rsidRPr="000357B3">
              <w:rPr>
                <w:b/>
                <w:sz w:val="22"/>
                <w:szCs w:val="22"/>
                <w:vertAlign w:val="superscript"/>
                <w:lang w:val="en-US"/>
              </w:rPr>
              <w:t>(b)</w:t>
            </w:r>
          </w:p>
        </w:tc>
      </w:tr>
      <w:tr w:rsidR="000357B3" w:rsidRPr="000357B3" w:rsidTr="000357B3">
        <w:trPr>
          <w:cantSplit/>
        </w:trPr>
        <w:tc>
          <w:tcPr>
            <w:tcW w:w="3968" w:type="dxa"/>
            <w:tcBorders>
              <w:top w:val="single" w:sz="4" w:space="0" w:color="auto"/>
              <w:left w:val="single" w:sz="4" w:space="0" w:color="auto"/>
            </w:tcBorders>
            <w:tcMar>
              <w:top w:w="0" w:type="dxa"/>
              <w:left w:w="57" w:type="dxa"/>
              <w:bottom w:w="0" w:type="dxa"/>
              <w:right w:w="57" w:type="dxa"/>
            </w:tcMar>
            <w:hideMark/>
          </w:tcPr>
          <w:p w:rsidR="000357B3" w:rsidRPr="000357B3" w:rsidRDefault="000357B3" w:rsidP="00142CEC">
            <w:pPr>
              <w:pStyle w:val="TextTi12"/>
              <w:spacing w:before="40" w:after="40" w:line="240" w:lineRule="auto"/>
              <w:jc w:val="right"/>
              <w:rPr>
                <w:sz w:val="22"/>
                <w:szCs w:val="22"/>
                <w:lang w:val="en-US"/>
              </w:rPr>
            </w:pPr>
            <w:r w:rsidRPr="000357B3">
              <w:rPr>
                <w:sz w:val="22"/>
                <w:szCs w:val="22"/>
                <w:lang w:val="en-US"/>
              </w:rPr>
              <w:t>DAS28 &lt; 2.6, n (%)</w:t>
            </w:r>
          </w:p>
        </w:tc>
        <w:tc>
          <w:tcPr>
            <w:tcW w:w="1701" w:type="dxa"/>
            <w:tcBorders>
              <w:top w:val="single" w:sz="4" w:space="0" w:color="auto"/>
            </w:tcBorders>
            <w:tcMar>
              <w:top w:w="0" w:type="dxa"/>
              <w:left w:w="57" w:type="dxa"/>
              <w:bottom w:w="0" w:type="dxa"/>
              <w:right w:w="57" w:type="dxa"/>
            </w:tcMar>
          </w:tcPr>
          <w:p w:rsidR="000357B3" w:rsidRPr="000357B3" w:rsidRDefault="000357B3" w:rsidP="00142CEC">
            <w:pPr>
              <w:pStyle w:val="TextTi12"/>
              <w:spacing w:before="40" w:after="40" w:line="240" w:lineRule="auto"/>
              <w:jc w:val="center"/>
              <w:rPr>
                <w:sz w:val="22"/>
                <w:szCs w:val="22"/>
                <w:lang w:val="en-US"/>
              </w:rPr>
            </w:pPr>
            <w:r w:rsidRPr="000357B3">
              <w:rPr>
                <w:sz w:val="22"/>
                <w:szCs w:val="22"/>
                <w:lang w:val="en-US"/>
              </w:rPr>
              <w:t>18 (10.5)</w:t>
            </w:r>
          </w:p>
        </w:tc>
        <w:tc>
          <w:tcPr>
            <w:tcW w:w="1843" w:type="dxa"/>
            <w:tcBorders>
              <w:top w:val="single" w:sz="4" w:space="0" w:color="auto"/>
            </w:tcBorders>
            <w:tcMar>
              <w:top w:w="0" w:type="dxa"/>
              <w:left w:w="57" w:type="dxa"/>
              <w:bottom w:w="0" w:type="dxa"/>
              <w:right w:w="57" w:type="dxa"/>
            </w:tcMar>
          </w:tcPr>
          <w:p w:rsidR="000357B3" w:rsidRPr="000357B3" w:rsidRDefault="000357B3" w:rsidP="00142CEC">
            <w:pPr>
              <w:pStyle w:val="TextTi12"/>
              <w:spacing w:before="40" w:after="40" w:line="240" w:lineRule="auto"/>
              <w:jc w:val="center"/>
              <w:rPr>
                <w:sz w:val="22"/>
                <w:szCs w:val="22"/>
                <w:lang w:val="en-US"/>
              </w:rPr>
            </w:pPr>
            <w:r w:rsidRPr="000357B3">
              <w:rPr>
                <w:sz w:val="22"/>
                <w:szCs w:val="22"/>
                <w:lang w:val="en-US"/>
              </w:rPr>
              <w:t>65 (39.9)</w:t>
            </w:r>
          </w:p>
        </w:tc>
        <w:tc>
          <w:tcPr>
            <w:tcW w:w="1134" w:type="dxa"/>
            <w:tcBorders>
              <w:top w:val="single" w:sz="4" w:space="0" w:color="auto"/>
              <w:left w:val="nil"/>
              <w:right w:val="single" w:sz="8" w:space="0" w:color="auto"/>
            </w:tcBorders>
            <w:tcMar>
              <w:top w:w="0" w:type="dxa"/>
              <w:left w:w="57" w:type="dxa"/>
              <w:bottom w:w="0" w:type="dxa"/>
              <w:right w:w="57" w:type="dxa"/>
            </w:tcMar>
          </w:tcPr>
          <w:p w:rsidR="000357B3" w:rsidRPr="000357B3" w:rsidRDefault="000357B3" w:rsidP="00142CEC">
            <w:pPr>
              <w:pStyle w:val="TextTi12"/>
              <w:spacing w:before="40" w:after="40" w:line="240" w:lineRule="auto"/>
              <w:jc w:val="center"/>
              <w:rPr>
                <w:sz w:val="22"/>
                <w:szCs w:val="22"/>
                <w:lang w:val="en-US"/>
              </w:rPr>
            </w:pPr>
            <w:r w:rsidRPr="000357B3">
              <w:rPr>
                <w:sz w:val="22"/>
                <w:szCs w:val="22"/>
                <w:lang w:val="en-US"/>
              </w:rPr>
              <w:t>&lt;0.0001</w:t>
            </w:r>
          </w:p>
        </w:tc>
      </w:tr>
      <w:tr w:rsidR="000357B3" w:rsidRPr="000357B3" w:rsidTr="000357B3">
        <w:trPr>
          <w:cantSplit/>
        </w:trPr>
        <w:tc>
          <w:tcPr>
            <w:tcW w:w="3968" w:type="dxa"/>
            <w:tcBorders>
              <w:left w:val="single" w:sz="4" w:space="0" w:color="auto"/>
            </w:tcBorders>
            <w:tcMar>
              <w:top w:w="0" w:type="dxa"/>
              <w:left w:w="57" w:type="dxa"/>
              <w:bottom w:w="0" w:type="dxa"/>
              <w:right w:w="57" w:type="dxa"/>
            </w:tcMar>
            <w:hideMark/>
          </w:tcPr>
          <w:p w:rsidR="000357B3" w:rsidRPr="000357B3" w:rsidRDefault="000357B3" w:rsidP="00142CEC">
            <w:pPr>
              <w:pStyle w:val="TextTi12"/>
              <w:spacing w:before="40" w:after="40" w:line="240" w:lineRule="auto"/>
              <w:jc w:val="right"/>
              <w:rPr>
                <w:sz w:val="22"/>
                <w:szCs w:val="22"/>
                <w:lang w:val="en-US"/>
              </w:rPr>
            </w:pPr>
            <w:r w:rsidRPr="000357B3">
              <w:rPr>
                <w:sz w:val="22"/>
                <w:szCs w:val="22"/>
                <w:lang w:val="en-US"/>
              </w:rPr>
              <w:t xml:space="preserve">DAS28 ≤ 3.2, n (%) </w:t>
            </w:r>
          </w:p>
        </w:tc>
        <w:tc>
          <w:tcPr>
            <w:tcW w:w="1701" w:type="dxa"/>
            <w:tcMar>
              <w:top w:w="0" w:type="dxa"/>
              <w:left w:w="57" w:type="dxa"/>
              <w:bottom w:w="0" w:type="dxa"/>
              <w:right w:w="57" w:type="dxa"/>
            </w:tcMar>
          </w:tcPr>
          <w:p w:rsidR="000357B3" w:rsidRPr="000357B3" w:rsidRDefault="000357B3" w:rsidP="00142CEC">
            <w:pPr>
              <w:pStyle w:val="TextTi12"/>
              <w:spacing w:before="40" w:after="40" w:line="240" w:lineRule="auto"/>
              <w:jc w:val="center"/>
              <w:rPr>
                <w:sz w:val="22"/>
                <w:szCs w:val="22"/>
                <w:lang w:val="en-US"/>
              </w:rPr>
            </w:pPr>
            <w:r w:rsidRPr="000357B3">
              <w:rPr>
                <w:sz w:val="22"/>
                <w:szCs w:val="22"/>
                <w:lang w:val="en-US"/>
              </w:rPr>
              <w:t>32 (19.8)</w:t>
            </w:r>
          </w:p>
        </w:tc>
        <w:tc>
          <w:tcPr>
            <w:tcW w:w="1843" w:type="dxa"/>
            <w:tcMar>
              <w:top w:w="0" w:type="dxa"/>
              <w:left w:w="57" w:type="dxa"/>
              <w:bottom w:w="0" w:type="dxa"/>
              <w:right w:w="57" w:type="dxa"/>
            </w:tcMar>
          </w:tcPr>
          <w:p w:rsidR="000357B3" w:rsidRPr="000357B3" w:rsidRDefault="000357B3" w:rsidP="00142CEC">
            <w:pPr>
              <w:pStyle w:val="TextTi12"/>
              <w:spacing w:before="40" w:after="40" w:line="240" w:lineRule="auto"/>
              <w:jc w:val="center"/>
              <w:rPr>
                <w:sz w:val="22"/>
                <w:szCs w:val="22"/>
                <w:lang w:val="en-US"/>
              </w:rPr>
            </w:pPr>
            <w:r w:rsidRPr="000357B3">
              <w:rPr>
                <w:sz w:val="22"/>
                <w:szCs w:val="22"/>
                <w:lang w:val="en-US"/>
              </w:rPr>
              <w:t>84 (51.5)</w:t>
            </w:r>
          </w:p>
        </w:tc>
        <w:tc>
          <w:tcPr>
            <w:tcW w:w="1134" w:type="dxa"/>
            <w:tcBorders>
              <w:left w:val="nil"/>
              <w:right w:val="single" w:sz="8" w:space="0" w:color="auto"/>
            </w:tcBorders>
            <w:tcMar>
              <w:top w:w="0" w:type="dxa"/>
              <w:left w:w="57" w:type="dxa"/>
              <w:bottom w:w="0" w:type="dxa"/>
              <w:right w:w="57" w:type="dxa"/>
            </w:tcMar>
          </w:tcPr>
          <w:p w:rsidR="000357B3" w:rsidRPr="000357B3" w:rsidRDefault="000357B3" w:rsidP="00142CEC">
            <w:pPr>
              <w:pStyle w:val="TextTi12"/>
              <w:spacing w:before="40" w:after="40" w:line="240" w:lineRule="auto"/>
              <w:jc w:val="center"/>
              <w:rPr>
                <w:sz w:val="22"/>
                <w:szCs w:val="22"/>
                <w:lang w:val="en-US"/>
              </w:rPr>
            </w:pPr>
            <w:r w:rsidRPr="000357B3">
              <w:rPr>
                <w:sz w:val="22"/>
                <w:szCs w:val="22"/>
                <w:lang w:val="en-US"/>
              </w:rPr>
              <w:t>&lt;0.0001</w:t>
            </w:r>
          </w:p>
        </w:tc>
      </w:tr>
      <w:tr w:rsidR="000357B3" w:rsidRPr="000357B3" w:rsidTr="000357B3">
        <w:trPr>
          <w:cantSplit/>
        </w:trPr>
        <w:tc>
          <w:tcPr>
            <w:tcW w:w="3968" w:type="dxa"/>
            <w:tcBorders>
              <w:left w:val="single" w:sz="4" w:space="0" w:color="auto"/>
            </w:tcBorders>
            <w:tcMar>
              <w:top w:w="0" w:type="dxa"/>
              <w:left w:w="57" w:type="dxa"/>
              <w:bottom w:w="0" w:type="dxa"/>
              <w:right w:w="57" w:type="dxa"/>
            </w:tcMar>
          </w:tcPr>
          <w:p w:rsidR="000357B3" w:rsidRPr="000357B3" w:rsidRDefault="000357B3" w:rsidP="00142CEC">
            <w:pPr>
              <w:pStyle w:val="TextTi12"/>
              <w:spacing w:before="40" w:after="40" w:line="240" w:lineRule="auto"/>
              <w:jc w:val="right"/>
              <w:rPr>
                <w:sz w:val="22"/>
                <w:szCs w:val="22"/>
                <w:lang w:val="en-US"/>
              </w:rPr>
            </w:pPr>
            <w:r w:rsidRPr="000357B3">
              <w:rPr>
                <w:sz w:val="22"/>
                <w:szCs w:val="22"/>
                <w:lang w:val="en-US"/>
              </w:rPr>
              <w:t>ACR20 response, n (%)</w:t>
            </w:r>
          </w:p>
        </w:tc>
        <w:tc>
          <w:tcPr>
            <w:tcW w:w="1701" w:type="dxa"/>
            <w:tcMar>
              <w:top w:w="0" w:type="dxa"/>
              <w:left w:w="57" w:type="dxa"/>
              <w:bottom w:w="0" w:type="dxa"/>
              <w:right w:w="57" w:type="dxa"/>
            </w:tcMar>
          </w:tcPr>
          <w:p w:rsidR="000357B3" w:rsidRPr="000357B3" w:rsidRDefault="000357B3" w:rsidP="00142CEC">
            <w:pPr>
              <w:pStyle w:val="TextTi12"/>
              <w:spacing w:before="40" w:after="40" w:line="240" w:lineRule="auto"/>
              <w:jc w:val="center"/>
              <w:rPr>
                <w:sz w:val="22"/>
                <w:szCs w:val="22"/>
                <w:lang w:val="en-US"/>
              </w:rPr>
            </w:pPr>
            <w:r w:rsidRPr="000357B3">
              <w:rPr>
                <w:sz w:val="22"/>
                <w:szCs w:val="22"/>
                <w:lang w:val="en-US"/>
              </w:rPr>
              <w:t>80 (49.4)</w:t>
            </w:r>
          </w:p>
        </w:tc>
        <w:tc>
          <w:tcPr>
            <w:tcW w:w="1843" w:type="dxa"/>
            <w:tcMar>
              <w:top w:w="0" w:type="dxa"/>
              <w:left w:w="57" w:type="dxa"/>
              <w:bottom w:w="0" w:type="dxa"/>
              <w:right w:w="57" w:type="dxa"/>
            </w:tcMar>
          </w:tcPr>
          <w:p w:rsidR="000357B3" w:rsidRPr="000357B3" w:rsidRDefault="000357B3" w:rsidP="00142CEC">
            <w:pPr>
              <w:pStyle w:val="TextTi12"/>
              <w:spacing w:before="40" w:after="40" w:line="240" w:lineRule="auto"/>
              <w:jc w:val="center"/>
              <w:rPr>
                <w:sz w:val="22"/>
                <w:szCs w:val="22"/>
                <w:lang w:val="en-US"/>
              </w:rPr>
            </w:pPr>
            <w:r w:rsidRPr="000357B3">
              <w:rPr>
                <w:sz w:val="22"/>
                <w:szCs w:val="22"/>
                <w:lang w:val="en-US"/>
              </w:rPr>
              <w:t>106 (65.0)</w:t>
            </w:r>
          </w:p>
        </w:tc>
        <w:tc>
          <w:tcPr>
            <w:tcW w:w="1134" w:type="dxa"/>
            <w:tcBorders>
              <w:left w:val="nil"/>
              <w:right w:val="single" w:sz="8" w:space="0" w:color="auto"/>
            </w:tcBorders>
            <w:tcMar>
              <w:top w:w="0" w:type="dxa"/>
              <w:left w:w="57" w:type="dxa"/>
              <w:bottom w:w="0" w:type="dxa"/>
              <w:right w:w="57" w:type="dxa"/>
            </w:tcMar>
          </w:tcPr>
          <w:p w:rsidR="000357B3" w:rsidRPr="000357B3" w:rsidRDefault="000357B3" w:rsidP="00142CEC">
            <w:pPr>
              <w:pStyle w:val="TextTi12"/>
              <w:spacing w:before="40" w:after="40" w:line="240" w:lineRule="auto"/>
              <w:jc w:val="center"/>
              <w:rPr>
                <w:sz w:val="22"/>
                <w:szCs w:val="22"/>
                <w:lang w:val="en-US"/>
              </w:rPr>
            </w:pPr>
            <w:r w:rsidRPr="000357B3">
              <w:rPr>
                <w:sz w:val="22"/>
                <w:szCs w:val="22"/>
                <w:lang w:val="en-US"/>
              </w:rPr>
              <w:t>0.0038</w:t>
            </w:r>
          </w:p>
        </w:tc>
      </w:tr>
      <w:tr w:rsidR="000357B3" w:rsidRPr="000357B3" w:rsidTr="000357B3">
        <w:trPr>
          <w:cantSplit/>
        </w:trPr>
        <w:tc>
          <w:tcPr>
            <w:tcW w:w="3968" w:type="dxa"/>
            <w:tcBorders>
              <w:left w:val="single" w:sz="4" w:space="0" w:color="auto"/>
            </w:tcBorders>
            <w:tcMar>
              <w:top w:w="0" w:type="dxa"/>
              <w:left w:w="57" w:type="dxa"/>
              <w:bottom w:w="0" w:type="dxa"/>
              <w:right w:w="57" w:type="dxa"/>
            </w:tcMar>
          </w:tcPr>
          <w:p w:rsidR="000357B3" w:rsidRPr="000357B3" w:rsidRDefault="000357B3" w:rsidP="00142CEC">
            <w:pPr>
              <w:pStyle w:val="TextTi12"/>
              <w:spacing w:before="40" w:after="40" w:line="240" w:lineRule="auto"/>
              <w:jc w:val="right"/>
              <w:rPr>
                <w:sz w:val="22"/>
                <w:szCs w:val="22"/>
                <w:lang w:val="en-US"/>
              </w:rPr>
            </w:pPr>
            <w:r w:rsidRPr="000357B3">
              <w:rPr>
                <w:sz w:val="22"/>
                <w:szCs w:val="22"/>
                <w:lang w:val="en-US"/>
              </w:rPr>
              <w:t>ACR50 response, n (%)</w:t>
            </w:r>
          </w:p>
        </w:tc>
        <w:tc>
          <w:tcPr>
            <w:tcW w:w="1701" w:type="dxa"/>
            <w:tcMar>
              <w:top w:w="0" w:type="dxa"/>
              <w:left w:w="57" w:type="dxa"/>
              <w:bottom w:w="0" w:type="dxa"/>
              <w:right w:w="57" w:type="dxa"/>
            </w:tcMar>
          </w:tcPr>
          <w:p w:rsidR="000357B3" w:rsidRPr="000357B3" w:rsidRDefault="000357B3" w:rsidP="00142CEC">
            <w:pPr>
              <w:pStyle w:val="TextTi12"/>
              <w:spacing w:before="40" w:after="40" w:line="240" w:lineRule="auto"/>
              <w:jc w:val="center"/>
              <w:rPr>
                <w:sz w:val="22"/>
                <w:szCs w:val="22"/>
                <w:lang w:val="en-US"/>
              </w:rPr>
            </w:pPr>
            <w:r w:rsidRPr="000357B3">
              <w:rPr>
                <w:sz w:val="22"/>
                <w:szCs w:val="22"/>
                <w:lang w:val="en-US"/>
              </w:rPr>
              <w:t>45 (27.8)</w:t>
            </w:r>
          </w:p>
        </w:tc>
        <w:tc>
          <w:tcPr>
            <w:tcW w:w="1843" w:type="dxa"/>
            <w:tcMar>
              <w:top w:w="0" w:type="dxa"/>
              <w:left w:w="57" w:type="dxa"/>
              <w:bottom w:w="0" w:type="dxa"/>
              <w:right w:w="57" w:type="dxa"/>
            </w:tcMar>
          </w:tcPr>
          <w:p w:rsidR="000357B3" w:rsidRPr="000357B3" w:rsidRDefault="000357B3" w:rsidP="00142CEC">
            <w:pPr>
              <w:pStyle w:val="TextTi12"/>
              <w:spacing w:before="40" w:after="40" w:line="240" w:lineRule="auto"/>
              <w:jc w:val="center"/>
              <w:rPr>
                <w:sz w:val="22"/>
                <w:szCs w:val="22"/>
                <w:lang w:val="en-US"/>
              </w:rPr>
            </w:pPr>
            <w:r w:rsidRPr="000357B3">
              <w:rPr>
                <w:sz w:val="22"/>
                <w:szCs w:val="22"/>
                <w:lang w:val="en-US"/>
              </w:rPr>
              <w:t>77 (47.2)</w:t>
            </w:r>
          </w:p>
        </w:tc>
        <w:tc>
          <w:tcPr>
            <w:tcW w:w="1134" w:type="dxa"/>
            <w:tcBorders>
              <w:left w:val="nil"/>
              <w:right w:val="single" w:sz="8" w:space="0" w:color="auto"/>
            </w:tcBorders>
            <w:tcMar>
              <w:top w:w="0" w:type="dxa"/>
              <w:left w:w="57" w:type="dxa"/>
              <w:bottom w:w="0" w:type="dxa"/>
              <w:right w:w="57" w:type="dxa"/>
            </w:tcMar>
          </w:tcPr>
          <w:p w:rsidR="000357B3" w:rsidRPr="000357B3" w:rsidRDefault="000357B3" w:rsidP="00142CEC">
            <w:pPr>
              <w:pStyle w:val="TextTi12"/>
              <w:spacing w:before="40" w:after="40" w:line="240" w:lineRule="auto"/>
              <w:jc w:val="center"/>
              <w:rPr>
                <w:sz w:val="22"/>
                <w:szCs w:val="22"/>
                <w:lang w:val="en-US"/>
              </w:rPr>
            </w:pPr>
            <w:r w:rsidRPr="000357B3">
              <w:rPr>
                <w:sz w:val="22"/>
                <w:szCs w:val="22"/>
                <w:lang w:val="en-US"/>
              </w:rPr>
              <w:t>0.0002</w:t>
            </w:r>
          </w:p>
        </w:tc>
      </w:tr>
      <w:tr w:rsidR="000357B3" w:rsidRPr="000357B3" w:rsidTr="001E37ED">
        <w:trPr>
          <w:cantSplit/>
          <w:trHeight w:val="310"/>
        </w:trPr>
        <w:tc>
          <w:tcPr>
            <w:tcW w:w="3968" w:type="dxa"/>
            <w:tcBorders>
              <w:left w:val="single" w:sz="4" w:space="0" w:color="auto"/>
              <w:bottom w:val="single" w:sz="8" w:space="0" w:color="auto"/>
            </w:tcBorders>
            <w:tcMar>
              <w:top w:w="0" w:type="dxa"/>
              <w:left w:w="57" w:type="dxa"/>
              <w:bottom w:w="0" w:type="dxa"/>
              <w:right w:w="57" w:type="dxa"/>
            </w:tcMar>
          </w:tcPr>
          <w:p w:rsidR="000357B3" w:rsidRPr="000357B3" w:rsidRDefault="000357B3" w:rsidP="00142CEC">
            <w:pPr>
              <w:pStyle w:val="TextTi12"/>
              <w:spacing w:before="40" w:after="40" w:line="240" w:lineRule="auto"/>
              <w:jc w:val="right"/>
              <w:rPr>
                <w:sz w:val="22"/>
                <w:szCs w:val="22"/>
                <w:lang w:val="en-US"/>
              </w:rPr>
            </w:pPr>
            <w:r w:rsidRPr="000357B3">
              <w:rPr>
                <w:sz w:val="22"/>
                <w:szCs w:val="22"/>
                <w:lang w:val="en-US"/>
              </w:rPr>
              <w:t>ACR70 response, n (%)</w:t>
            </w:r>
          </w:p>
        </w:tc>
        <w:tc>
          <w:tcPr>
            <w:tcW w:w="1701" w:type="dxa"/>
            <w:tcBorders>
              <w:bottom w:val="single" w:sz="8" w:space="0" w:color="auto"/>
            </w:tcBorders>
            <w:tcMar>
              <w:top w:w="0" w:type="dxa"/>
              <w:left w:w="57" w:type="dxa"/>
              <w:bottom w:w="0" w:type="dxa"/>
              <w:right w:w="57" w:type="dxa"/>
            </w:tcMar>
          </w:tcPr>
          <w:p w:rsidR="000357B3" w:rsidRPr="000357B3" w:rsidRDefault="000357B3" w:rsidP="00142CEC">
            <w:pPr>
              <w:pStyle w:val="TextTi12"/>
              <w:spacing w:before="40" w:after="40" w:line="240" w:lineRule="auto"/>
              <w:jc w:val="center"/>
              <w:rPr>
                <w:sz w:val="22"/>
                <w:szCs w:val="22"/>
                <w:lang w:val="en-US"/>
              </w:rPr>
            </w:pPr>
            <w:r w:rsidRPr="000357B3">
              <w:rPr>
                <w:sz w:val="22"/>
                <w:szCs w:val="22"/>
                <w:lang w:val="en-US"/>
              </w:rPr>
              <w:t>29 (17.9)</w:t>
            </w:r>
          </w:p>
        </w:tc>
        <w:tc>
          <w:tcPr>
            <w:tcW w:w="1843" w:type="dxa"/>
            <w:tcBorders>
              <w:bottom w:val="single" w:sz="8" w:space="0" w:color="auto"/>
            </w:tcBorders>
            <w:tcMar>
              <w:top w:w="0" w:type="dxa"/>
              <w:left w:w="57" w:type="dxa"/>
              <w:bottom w:w="0" w:type="dxa"/>
              <w:right w:w="57" w:type="dxa"/>
            </w:tcMar>
          </w:tcPr>
          <w:p w:rsidR="000357B3" w:rsidRPr="000357B3" w:rsidRDefault="000357B3" w:rsidP="00142CEC">
            <w:pPr>
              <w:pStyle w:val="TextTi12"/>
              <w:spacing w:before="40" w:after="40" w:line="240" w:lineRule="auto"/>
              <w:jc w:val="center"/>
              <w:rPr>
                <w:sz w:val="22"/>
                <w:szCs w:val="22"/>
                <w:lang w:val="en-US"/>
              </w:rPr>
            </w:pPr>
            <w:r w:rsidRPr="000357B3">
              <w:rPr>
                <w:sz w:val="22"/>
                <w:szCs w:val="22"/>
                <w:lang w:val="en-US"/>
              </w:rPr>
              <w:t>53 (32.5)</w:t>
            </w:r>
          </w:p>
        </w:tc>
        <w:tc>
          <w:tcPr>
            <w:tcW w:w="1134" w:type="dxa"/>
            <w:tcBorders>
              <w:left w:val="nil"/>
              <w:bottom w:val="single" w:sz="8" w:space="0" w:color="auto"/>
              <w:right w:val="single" w:sz="8" w:space="0" w:color="auto"/>
            </w:tcBorders>
            <w:tcMar>
              <w:top w:w="0" w:type="dxa"/>
              <w:left w:w="57" w:type="dxa"/>
              <w:bottom w:w="0" w:type="dxa"/>
              <w:right w:w="57" w:type="dxa"/>
            </w:tcMar>
          </w:tcPr>
          <w:p w:rsidR="000357B3" w:rsidRPr="000357B3" w:rsidRDefault="000357B3" w:rsidP="00142CEC">
            <w:pPr>
              <w:pStyle w:val="TextTi12"/>
              <w:spacing w:before="40" w:after="40" w:line="240" w:lineRule="auto"/>
              <w:jc w:val="center"/>
              <w:rPr>
                <w:sz w:val="22"/>
                <w:szCs w:val="22"/>
                <w:lang w:val="en-US"/>
              </w:rPr>
            </w:pPr>
            <w:r w:rsidRPr="000357B3">
              <w:rPr>
                <w:sz w:val="22"/>
                <w:szCs w:val="22"/>
                <w:lang w:val="en-US"/>
              </w:rPr>
              <w:t>0.0023</w:t>
            </w:r>
          </w:p>
        </w:tc>
      </w:tr>
    </w:tbl>
    <w:p w:rsidR="000357B3" w:rsidRPr="000357B3" w:rsidRDefault="000357B3" w:rsidP="000357B3">
      <w:pPr>
        <w:pStyle w:val="TextTi12"/>
        <w:spacing w:after="0" w:line="240" w:lineRule="auto"/>
        <w:rPr>
          <w:sz w:val="20"/>
          <w:lang w:val="en-GB"/>
        </w:rPr>
      </w:pPr>
      <w:r w:rsidRPr="000357B3">
        <w:rPr>
          <w:sz w:val="20"/>
          <w:vertAlign w:val="superscript"/>
          <w:lang w:val="en-GB"/>
        </w:rPr>
        <w:t>a</w:t>
      </w:r>
      <w:r w:rsidRPr="000357B3">
        <w:rPr>
          <w:i/>
          <w:sz w:val="20"/>
          <w:lang w:val="en-GB"/>
        </w:rPr>
        <w:t>p</w:t>
      </w:r>
      <w:r w:rsidRPr="000357B3">
        <w:rPr>
          <w:sz w:val="20"/>
          <w:lang w:val="en-GB"/>
        </w:rPr>
        <w:t xml:space="preserve"> value is adjusted for region and duration of RA for all endpoints and additionally baseline value for all continuous  endpoints.</w:t>
      </w:r>
    </w:p>
    <w:p w:rsidR="00D96EB7" w:rsidRDefault="000A0B7C" w:rsidP="000640B5">
      <w:pPr>
        <w:pStyle w:val="TextTi12"/>
        <w:spacing w:after="0" w:line="240" w:lineRule="auto"/>
        <w:rPr>
          <w:sz w:val="20"/>
          <w:lang w:val="en-GB"/>
        </w:rPr>
      </w:pPr>
      <w:r w:rsidRPr="000A0B7C">
        <w:rPr>
          <w:sz w:val="20"/>
          <w:vertAlign w:val="superscript"/>
          <w:lang w:val="en-GB"/>
        </w:rPr>
        <w:t>b</w:t>
      </w:r>
      <w:r w:rsidR="000357B3" w:rsidRPr="000357B3">
        <w:rPr>
          <w:sz w:val="20"/>
          <w:lang w:val="en-GB"/>
        </w:rPr>
        <w:t>Non-responder Im</w:t>
      </w:r>
      <w:r>
        <w:rPr>
          <w:sz w:val="20"/>
          <w:lang w:val="en-GB"/>
        </w:rPr>
        <w:t xml:space="preserve">putation used for missing data. </w:t>
      </w:r>
      <w:r w:rsidR="000357B3" w:rsidRPr="000357B3">
        <w:rPr>
          <w:sz w:val="20"/>
          <w:lang w:val="en-GB"/>
        </w:rPr>
        <w:t>Multiplicity controlled using Bonferroni-Holm Procedure</w:t>
      </w:r>
    </w:p>
    <w:p w:rsidR="00066F99" w:rsidRPr="00D96EB7" w:rsidRDefault="00066F99" w:rsidP="000640B5">
      <w:pPr>
        <w:pStyle w:val="TextTi12"/>
        <w:spacing w:after="0" w:line="240" w:lineRule="auto"/>
        <w:rPr>
          <w:sz w:val="20"/>
          <w:lang w:val="en-GB"/>
        </w:rPr>
      </w:pPr>
    </w:p>
    <w:p w:rsidR="00066F99" w:rsidRDefault="00066F99" w:rsidP="00066F99">
      <w:pPr>
        <w:pStyle w:val="TextTi12"/>
        <w:spacing w:before="100" w:beforeAutospacing="1" w:after="100" w:afterAutospacing="1" w:line="240" w:lineRule="auto"/>
        <w:rPr>
          <w:lang w:val="en-GB"/>
        </w:rPr>
      </w:pPr>
      <w:r>
        <w:rPr>
          <w:b/>
        </w:rPr>
        <w:t>Polyarticular</w:t>
      </w:r>
      <w:r w:rsidRPr="00190D02">
        <w:rPr>
          <w:b/>
        </w:rPr>
        <w:t xml:space="preserve"> Juvenile Idiopathic Arthritis</w:t>
      </w:r>
    </w:p>
    <w:p w:rsidR="0041488F" w:rsidRDefault="00066F99" w:rsidP="0041488F">
      <w:pPr>
        <w:pStyle w:val="TextTi12"/>
        <w:rPr>
          <w:lang w:val="en-GB"/>
        </w:rPr>
      </w:pPr>
      <w:r w:rsidRPr="008C1AD4">
        <w:rPr>
          <w:lang w:val="en-GB"/>
        </w:rPr>
        <w:t xml:space="preserve">The efficacy of </w:t>
      </w:r>
      <w:r>
        <w:rPr>
          <w:lang w:val="en-GB"/>
        </w:rPr>
        <w:t>ACTEMRA</w:t>
      </w:r>
      <w:r w:rsidRPr="008C1AD4">
        <w:rPr>
          <w:lang w:val="en-GB"/>
        </w:rPr>
        <w:t xml:space="preserve"> was assessed in a three-part study including an open-label extension in children with </w:t>
      </w:r>
      <w:r>
        <w:rPr>
          <w:lang w:val="en-GB"/>
        </w:rPr>
        <w:t xml:space="preserve">moderately to severely </w:t>
      </w:r>
      <w:r w:rsidRPr="008C1AD4">
        <w:rPr>
          <w:lang w:val="en-GB"/>
        </w:rPr>
        <w:t xml:space="preserve">active </w:t>
      </w:r>
      <w:r>
        <w:rPr>
          <w:lang w:val="en-GB"/>
        </w:rPr>
        <w:t>pJIA</w:t>
      </w:r>
      <w:r w:rsidR="0041488F">
        <w:rPr>
          <w:lang w:val="en-GB"/>
        </w:rPr>
        <w:t>,</w:t>
      </w:r>
      <w:r w:rsidR="00913913">
        <w:rPr>
          <w:lang w:val="en-GB"/>
        </w:rPr>
        <w:t xml:space="preserve"> who had an inadequate response to methotrexate (MTX) or inability to tolerate MTX</w:t>
      </w:r>
      <w:r w:rsidRPr="008C1AD4">
        <w:rPr>
          <w:lang w:val="en-GB"/>
        </w:rPr>
        <w:t xml:space="preserve">. </w:t>
      </w:r>
      <w:r w:rsidR="0041488F" w:rsidRPr="0041488F">
        <w:rPr>
          <w:lang w:val="en-GB"/>
        </w:rPr>
        <w:t>Patients had at least 6</w:t>
      </w:r>
      <w:r w:rsidR="0041488F">
        <w:rPr>
          <w:lang w:val="en-GB"/>
        </w:rPr>
        <w:t xml:space="preserve"> months of active disease (mean </w:t>
      </w:r>
      <w:r w:rsidR="0041488F" w:rsidRPr="0041488F">
        <w:rPr>
          <w:lang w:val="en-GB"/>
        </w:rPr>
        <w:t xml:space="preserve">disease duration of 4.2 ± 3.7 years), with at least </w:t>
      </w:r>
      <w:r w:rsidR="0041488F">
        <w:rPr>
          <w:lang w:val="en-GB"/>
        </w:rPr>
        <w:t>5</w:t>
      </w:r>
      <w:r w:rsidR="0041488F" w:rsidRPr="0041488F">
        <w:rPr>
          <w:lang w:val="en-GB"/>
        </w:rPr>
        <w:t xml:space="preserve"> joints with active arthritis (swollen or limitation of movement accompanied by pain and/or tenderness) and/or at least 3 active joints having limitation of motion</w:t>
      </w:r>
      <w:r w:rsidR="0041488F">
        <w:rPr>
          <w:lang w:val="en-GB"/>
        </w:rPr>
        <w:t xml:space="preserve"> </w:t>
      </w:r>
      <w:r w:rsidR="0041488F" w:rsidRPr="0041488F">
        <w:rPr>
          <w:lang w:val="en-GB"/>
        </w:rPr>
        <w:t>(mean, 20 ± 14 active joints). The patients treated had subtypes of JIA that at disease onset included</w:t>
      </w:r>
      <w:r w:rsidR="0041488F">
        <w:rPr>
          <w:lang w:val="en-GB"/>
        </w:rPr>
        <w:t xml:space="preserve"> </w:t>
      </w:r>
      <w:r w:rsidR="0041488F" w:rsidRPr="0041488F">
        <w:rPr>
          <w:lang w:val="en-GB"/>
        </w:rPr>
        <w:t>Rheumatoid Factor Positive or Negative Polyarticular JIA, or Extended Oligoarticular JIA. Treatment with a</w:t>
      </w:r>
      <w:r w:rsidR="0041488F">
        <w:rPr>
          <w:lang w:val="en-GB"/>
        </w:rPr>
        <w:t xml:space="preserve"> </w:t>
      </w:r>
      <w:r w:rsidR="0041488F" w:rsidRPr="0041488F">
        <w:rPr>
          <w:lang w:val="en-GB"/>
        </w:rPr>
        <w:t xml:space="preserve">stable dose of </w:t>
      </w:r>
      <w:r w:rsidR="0041488F">
        <w:rPr>
          <w:lang w:val="en-GB"/>
        </w:rPr>
        <w:t>MTX</w:t>
      </w:r>
      <w:r w:rsidR="0041488F" w:rsidRPr="0041488F">
        <w:rPr>
          <w:lang w:val="en-GB"/>
        </w:rPr>
        <w:t xml:space="preserve"> was permitted but was not required during the study. Concurrent use of </w:t>
      </w:r>
      <w:r w:rsidR="0041488F">
        <w:rPr>
          <w:lang w:val="en-GB"/>
        </w:rPr>
        <w:t xml:space="preserve">DMARDs </w:t>
      </w:r>
      <w:r w:rsidR="0041488F" w:rsidRPr="0041488F">
        <w:rPr>
          <w:lang w:val="en-GB"/>
        </w:rPr>
        <w:t xml:space="preserve">other than </w:t>
      </w:r>
      <w:r w:rsidR="0041488F">
        <w:rPr>
          <w:lang w:val="en-GB"/>
        </w:rPr>
        <w:t>MTX, or other biologics (e.g.</w:t>
      </w:r>
      <w:r w:rsidR="0041488F" w:rsidRPr="0041488F">
        <w:rPr>
          <w:lang w:val="en-GB"/>
        </w:rPr>
        <w:t xml:space="preserve"> TNF </w:t>
      </w:r>
      <w:r w:rsidR="0041488F" w:rsidRPr="0041488F">
        <w:rPr>
          <w:lang w:val="en-GB"/>
        </w:rPr>
        <w:lastRenderedPageBreak/>
        <w:t>antagonists or T cell costimulation modulator) were not permitted in the study.</w:t>
      </w:r>
      <w:r w:rsidR="002305B6">
        <w:rPr>
          <w:lang w:val="en-GB"/>
        </w:rPr>
        <w:t xml:space="preserve"> Ten patients who participated in the study were less than 4 years of age. </w:t>
      </w:r>
    </w:p>
    <w:p w:rsidR="00066F99" w:rsidRPr="008C1AD4" w:rsidRDefault="00066F99" w:rsidP="00066F99">
      <w:pPr>
        <w:pStyle w:val="TextTi12"/>
        <w:rPr>
          <w:lang w:val="en-GB"/>
        </w:rPr>
      </w:pPr>
      <w:r w:rsidRPr="008C1AD4">
        <w:rPr>
          <w:lang w:val="en-GB"/>
        </w:rPr>
        <w:t xml:space="preserve">Part I consisted of a 16 week active </w:t>
      </w:r>
      <w:r>
        <w:rPr>
          <w:lang w:val="en-GB"/>
        </w:rPr>
        <w:t>ACTEMRA</w:t>
      </w:r>
      <w:r w:rsidRPr="008C1AD4">
        <w:rPr>
          <w:lang w:val="en-GB"/>
        </w:rPr>
        <w:t xml:space="preserve"> treatment lead in period (n=188) followe</w:t>
      </w:r>
      <w:r>
        <w:rPr>
          <w:lang w:val="en-GB"/>
        </w:rPr>
        <w:t>d by Part II, a 24 week randomis</w:t>
      </w:r>
      <w:r w:rsidRPr="008C1AD4">
        <w:rPr>
          <w:lang w:val="en-GB"/>
        </w:rPr>
        <w:t>ed</w:t>
      </w:r>
      <w:r>
        <w:rPr>
          <w:lang w:val="en-GB"/>
        </w:rPr>
        <w:t>,</w:t>
      </w:r>
      <w:r w:rsidRPr="008C1AD4">
        <w:rPr>
          <w:lang w:val="en-GB"/>
        </w:rPr>
        <w:t xml:space="preserve"> double</w:t>
      </w:r>
      <w:r>
        <w:rPr>
          <w:lang w:val="en-GB"/>
        </w:rPr>
        <w:t>-</w:t>
      </w:r>
      <w:r w:rsidRPr="008C1AD4">
        <w:rPr>
          <w:lang w:val="en-GB"/>
        </w:rPr>
        <w:t>blind</w:t>
      </w:r>
      <w:r>
        <w:rPr>
          <w:lang w:val="en-GB"/>
        </w:rPr>
        <w:t>, placebo-</w:t>
      </w:r>
      <w:r w:rsidRPr="008C1AD4">
        <w:rPr>
          <w:lang w:val="en-GB"/>
        </w:rPr>
        <w:t>co</w:t>
      </w:r>
      <w:r>
        <w:rPr>
          <w:lang w:val="en-GB"/>
        </w:rPr>
        <w:t>ntrolled withdrawal period (ITT</w:t>
      </w:r>
      <w:r w:rsidRPr="008C1AD4">
        <w:rPr>
          <w:lang w:val="en-GB"/>
        </w:rPr>
        <w:t xml:space="preserve"> n=163), follo</w:t>
      </w:r>
      <w:r>
        <w:rPr>
          <w:lang w:val="en-GB"/>
        </w:rPr>
        <w:t>wed by Part III, a 64 week open-</w:t>
      </w:r>
      <w:r w:rsidRPr="008C1AD4">
        <w:rPr>
          <w:lang w:val="en-GB"/>
        </w:rPr>
        <w:t xml:space="preserve">label period. Eligible patients ≥ 30 kg received </w:t>
      </w:r>
      <w:r>
        <w:rPr>
          <w:lang w:val="en-GB"/>
        </w:rPr>
        <w:t>ACTEMRA</w:t>
      </w:r>
      <w:r w:rsidRPr="008C1AD4">
        <w:rPr>
          <w:lang w:val="en-GB"/>
        </w:rPr>
        <w:t xml:space="preserve"> at 8 mg/kg for 4 doses.  Patients &lt; 30 kg were randomi</w:t>
      </w:r>
      <w:r>
        <w:rPr>
          <w:lang w:val="en-GB"/>
        </w:rPr>
        <w:t>s</w:t>
      </w:r>
      <w:r w:rsidRPr="008C1AD4">
        <w:rPr>
          <w:lang w:val="en-GB"/>
        </w:rPr>
        <w:t xml:space="preserve">ed 1:1 to receive either </w:t>
      </w:r>
      <w:r>
        <w:rPr>
          <w:lang w:val="en-GB"/>
        </w:rPr>
        <w:t>ACTEMRA</w:t>
      </w:r>
      <w:r w:rsidRPr="008C1AD4">
        <w:rPr>
          <w:lang w:val="en-GB"/>
        </w:rPr>
        <w:t xml:space="preserve"> 8 mg/kg or 10 mg/kg IV every 4 weeks for 4 doses. Patients who completed Part I of the study and achieved at least a JIA ACR30 response at week 16 compared to baseline entered the blinded withdrawal period (Part II) of the study. In Part II, patients were randomi</w:t>
      </w:r>
      <w:r>
        <w:rPr>
          <w:lang w:val="en-GB"/>
        </w:rPr>
        <w:t>s</w:t>
      </w:r>
      <w:r w:rsidRPr="008C1AD4">
        <w:rPr>
          <w:lang w:val="en-GB"/>
        </w:rPr>
        <w:t xml:space="preserve">ed to </w:t>
      </w:r>
      <w:r>
        <w:rPr>
          <w:lang w:val="en-GB"/>
        </w:rPr>
        <w:t>ACTEMRA</w:t>
      </w:r>
      <w:r w:rsidRPr="008C1AD4">
        <w:rPr>
          <w:lang w:val="en-GB"/>
        </w:rPr>
        <w:t xml:space="preserve"> (same dose received in Pa</w:t>
      </w:r>
      <w:r>
        <w:rPr>
          <w:lang w:val="en-GB"/>
        </w:rPr>
        <w:t xml:space="preserve">rt I) or placebo in a 1:1 ratio, </w:t>
      </w:r>
      <w:r w:rsidRPr="008C1AD4">
        <w:rPr>
          <w:lang w:val="en-GB"/>
        </w:rPr>
        <w:t>stratified by concurrent</w:t>
      </w:r>
      <w:r>
        <w:rPr>
          <w:lang w:val="en-GB"/>
        </w:rPr>
        <w:t xml:space="preserve"> MTX</w:t>
      </w:r>
      <w:r w:rsidRPr="008C1AD4">
        <w:rPr>
          <w:lang w:val="en-GB"/>
        </w:rPr>
        <w:t xml:space="preserve"> use and concurrent corticosteroid use. Each patient continued in Part II of the study until Week 40 or until the patient satisfied JIA ACR30 flare criteria (relative to Week 16) and qualified for escape.  </w:t>
      </w:r>
    </w:p>
    <w:p w:rsidR="00066F99" w:rsidRPr="008C1AD4" w:rsidRDefault="00066F99" w:rsidP="00066F99">
      <w:pPr>
        <w:pStyle w:val="TextTi12"/>
        <w:rPr>
          <w:lang w:val="en-GB"/>
        </w:rPr>
      </w:pPr>
      <w:r w:rsidRPr="008C1AD4">
        <w:rPr>
          <w:lang w:val="en-GB"/>
        </w:rPr>
        <w:t xml:space="preserve">The primary endpoint was the proportion of patients with a JIA ACR30 flare at week 40 relative to week 16. </w:t>
      </w:r>
      <w:r w:rsidR="006018DA" w:rsidRPr="006018DA">
        <w:rPr>
          <w:lang w:val="en-GB"/>
        </w:rPr>
        <w:t>JIA ACR 30 flare was defined as 3 or more of the 6 core outcome variables worsening by at least 30% with no more than 1 of the remaining variables improving by more than 30% relative to Week 16.</w:t>
      </w:r>
      <w:r w:rsidR="006018DA">
        <w:rPr>
          <w:lang w:val="en-GB"/>
        </w:rPr>
        <w:t xml:space="preserve"> </w:t>
      </w:r>
      <w:r w:rsidRPr="008C1AD4">
        <w:rPr>
          <w:lang w:val="en-GB"/>
        </w:rPr>
        <w:t xml:space="preserve">Forty eight percent (48.1%, 39/81) of the patients treated with placebo flared compared with 25.6% (21/82) of </w:t>
      </w:r>
      <w:r>
        <w:rPr>
          <w:lang w:val="en-GB"/>
        </w:rPr>
        <w:t>ACTEMRA</w:t>
      </w:r>
      <w:r w:rsidRPr="008C1AD4">
        <w:rPr>
          <w:lang w:val="en-GB"/>
        </w:rPr>
        <w:t xml:space="preserve">-treated patients. These proportions were statistically significantly different (p=0.0024). </w:t>
      </w:r>
    </w:p>
    <w:p w:rsidR="00066F99" w:rsidRPr="008C1AD4" w:rsidRDefault="00066F99" w:rsidP="00066F99">
      <w:pPr>
        <w:pStyle w:val="TextTi12"/>
        <w:rPr>
          <w:lang w:val="en-GB"/>
        </w:rPr>
      </w:pPr>
      <w:r w:rsidRPr="008C1AD4">
        <w:rPr>
          <w:lang w:val="en-GB"/>
        </w:rPr>
        <w:t>At the conclusion of Part I, JIA ACR 30/50/70/90 responses were 89.4%, 83.0%, 62.2%, and 26.1%, respectively.</w:t>
      </w:r>
    </w:p>
    <w:p w:rsidR="00066F99" w:rsidRDefault="00066F99" w:rsidP="00066F99">
      <w:pPr>
        <w:pStyle w:val="TextTi12"/>
        <w:rPr>
          <w:lang w:val="en-GB"/>
        </w:rPr>
      </w:pPr>
      <w:r w:rsidRPr="008C1AD4">
        <w:rPr>
          <w:lang w:val="en-GB"/>
        </w:rPr>
        <w:t>During the withdrawal phase (Part II), the percent</w:t>
      </w:r>
      <w:r>
        <w:rPr>
          <w:lang w:val="en-GB"/>
        </w:rPr>
        <w:t>ages</w:t>
      </w:r>
      <w:r w:rsidRPr="008C1AD4">
        <w:rPr>
          <w:lang w:val="en-GB"/>
        </w:rPr>
        <w:t xml:space="preserve"> of patients achieving JIA ACR 30, 50, and 70 responses at Week 40 relative to baseline a</w:t>
      </w:r>
      <w:r>
        <w:rPr>
          <w:lang w:val="en-GB"/>
        </w:rPr>
        <w:t>re shown in the table below</w:t>
      </w:r>
      <w:r w:rsidRPr="008C1AD4">
        <w:rPr>
          <w:lang w:val="en-GB"/>
        </w:rPr>
        <w:t>.</w:t>
      </w:r>
    </w:p>
    <w:p w:rsidR="00066F99" w:rsidRPr="00EA66CF" w:rsidRDefault="00066F99" w:rsidP="00EA66CF">
      <w:pPr>
        <w:rPr>
          <w:b/>
          <w:bCs/>
          <w:i/>
          <w:lang w:val="en-GB"/>
        </w:rPr>
      </w:pPr>
      <w:r w:rsidRPr="00EA66CF">
        <w:rPr>
          <w:b/>
        </w:rPr>
        <w:t xml:space="preserve">Table </w:t>
      </w:r>
      <w:r w:rsidR="00BB788D" w:rsidRPr="00EA66CF">
        <w:rPr>
          <w:b/>
        </w:rPr>
        <w:t>6</w:t>
      </w:r>
      <w:r w:rsidRPr="00EA66CF">
        <w:rPr>
          <w:b/>
        </w:rPr>
        <w:t xml:space="preserve"> JIA ACR response rates at week 40 relative to baseline (percentages of patients)</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040"/>
        <w:gridCol w:w="1920"/>
      </w:tblGrid>
      <w:tr w:rsidR="00066F99" w:rsidRPr="008C1AD4" w:rsidTr="002B623D">
        <w:tc>
          <w:tcPr>
            <w:tcW w:w="2268" w:type="dxa"/>
          </w:tcPr>
          <w:p w:rsidR="00066F99" w:rsidRPr="008C1AD4" w:rsidRDefault="00066F99" w:rsidP="002B623D">
            <w:pPr>
              <w:pStyle w:val="TextTi12"/>
              <w:rPr>
                <w:lang w:val="en-GB"/>
              </w:rPr>
            </w:pPr>
            <w:r w:rsidRPr="008C1AD4">
              <w:rPr>
                <w:b/>
                <w:bCs/>
                <w:lang w:val="en-GB"/>
              </w:rPr>
              <w:t>Response Rate</w:t>
            </w:r>
          </w:p>
        </w:tc>
        <w:tc>
          <w:tcPr>
            <w:tcW w:w="2040" w:type="dxa"/>
          </w:tcPr>
          <w:p w:rsidR="00066F99" w:rsidRPr="0013356D" w:rsidRDefault="00066F99" w:rsidP="002B623D">
            <w:pPr>
              <w:pStyle w:val="TextTi12"/>
              <w:jc w:val="center"/>
              <w:rPr>
                <w:b/>
                <w:lang w:val="en-GB"/>
              </w:rPr>
            </w:pPr>
            <w:r w:rsidRPr="0013356D">
              <w:rPr>
                <w:b/>
                <w:lang w:val="en-GB"/>
              </w:rPr>
              <w:t>ACTEMRA</w:t>
            </w:r>
          </w:p>
          <w:p w:rsidR="00066F99" w:rsidRPr="0013356D" w:rsidRDefault="00066F99" w:rsidP="002B623D">
            <w:pPr>
              <w:pStyle w:val="TextTi12"/>
              <w:jc w:val="center"/>
              <w:rPr>
                <w:b/>
                <w:lang w:val="en-GB"/>
              </w:rPr>
            </w:pPr>
            <w:r w:rsidRPr="0013356D">
              <w:rPr>
                <w:b/>
                <w:lang w:val="en-GB"/>
              </w:rPr>
              <w:t>n=82</w:t>
            </w:r>
          </w:p>
        </w:tc>
        <w:tc>
          <w:tcPr>
            <w:tcW w:w="1920" w:type="dxa"/>
          </w:tcPr>
          <w:p w:rsidR="00066F99" w:rsidRPr="0013356D" w:rsidRDefault="00066F99" w:rsidP="002B623D">
            <w:pPr>
              <w:pStyle w:val="TextTi12"/>
              <w:jc w:val="center"/>
              <w:rPr>
                <w:b/>
                <w:lang w:val="en-GB"/>
              </w:rPr>
            </w:pPr>
            <w:r w:rsidRPr="0013356D">
              <w:rPr>
                <w:b/>
                <w:lang w:val="en-GB"/>
              </w:rPr>
              <w:t>Placebo</w:t>
            </w:r>
          </w:p>
          <w:p w:rsidR="00066F99" w:rsidRPr="0013356D" w:rsidRDefault="00066F99" w:rsidP="002B623D">
            <w:pPr>
              <w:pStyle w:val="TextTi12"/>
              <w:jc w:val="center"/>
              <w:rPr>
                <w:b/>
                <w:lang w:val="en-GB"/>
              </w:rPr>
            </w:pPr>
            <w:r w:rsidRPr="0013356D">
              <w:rPr>
                <w:b/>
                <w:lang w:val="en-GB"/>
              </w:rPr>
              <w:t>n=81</w:t>
            </w:r>
          </w:p>
        </w:tc>
      </w:tr>
      <w:tr w:rsidR="00066F99" w:rsidRPr="008C1AD4" w:rsidTr="002B623D">
        <w:tc>
          <w:tcPr>
            <w:tcW w:w="2268" w:type="dxa"/>
          </w:tcPr>
          <w:p w:rsidR="00066F99" w:rsidRPr="008C1AD4" w:rsidRDefault="00066F99" w:rsidP="002B623D">
            <w:pPr>
              <w:pStyle w:val="TextTi12"/>
              <w:rPr>
                <w:lang w:val="en-GB"/>
              </w:rPr>
            </w:pPr>
            <w:r>
              <w:rPr>
                <w:lang w:val="en-GB"/>
              </w:rPr>
              <w:t xml:space="preserve">JIA </w:t>
            </w:r>
            <w:r w:rsidRPr="008C1AD4">
              <w:rPr>
                <w:lang w:val="en-GB"/>
              </w:rPr>
              <w:t>ACR 30</w:t>
            </w:r>
          </w:p>
        </w:tc>
        <w:tc>
          <w:tcPr>
            <w:tcW w:w="2040" w:type="dxa"/>
          </w:tcPr>
          <w:p w:rsidR="00066F99" w:rsidRPr="008C1AD4" w:rsidRDefault="00066F99" w:rsidP="002B623D">
            <w:pPr>
              <w:pStyle w:val="TextTi12"/>
              <w:jc w:val="center"/>
              <w:rPr>
                <w:lang w:val="en-GB"/>
              </w:rPr>
            </w:pPr>
            <w:r w:rsidRPr="008C1AD4">
              <w:rPr>
                <w:lang w:val="en-GB"/>
              </w:rPr>
              <w:t>74.4%</w:t>
            </w:r>
            <w:r w:rsidRPr="008C1AD4">
              <w:rPr>
                <w:vertAlign w:val="superscript"/>
                <w:lang w:val="en-GB"/>
              </w:rPr>
              <w:t>†</w:t>
            </w:r>
          </w:p>
        </w:tc>
        <w:tc>
          <w:tcPr>
            <w:tcW w:w="1920" w:type="dxa"/>
          </w:tcPr>
          <w:p w:rsidR="00066F99" w:rsidRPr="008C1AD4" w:rsidRDefault="00066F99" w:rsidP="002B623D">
            <w:pPr>
              <w:pStyle w:val="TextTi12"/>
              <w:jc w:val="center"/>
              <w:rPr>
                <w:lang w:val="en-GB"/>
              </w:rPr>
            </w:pPr>
            <w:r w:rsidRPr="008C1AD4">
              <w:rPr>
                <w:lang w:val="en-GB"/>
              </w:rPr>
              <w:t>54.3%</w:t>
            </w:r>
            <w:r w:rsidRPr="008C1AD4">
              <w:rPr>
                <w:vertAlign w:val="superscript"/>
                <w:lang w:val="en-GB"/>
              </w:rPr>
              <w:t>†</w:t>
            </w:r>
          </w:p>
        </w:tc>
      </w:tr>
      <w:tr w:rsidR="00066F99" w:rsidRPr="008C1AD4" w:rsidTr="002B623D">
        <w:tc>
          <w:tcPr>
            <w:tcW w:w="2268" w:type="dxa"/>
          </w:tcPr>
          <w:p w:rsidR="00066F99" w:rsidRPr="008C1AD4" w:rsidRDefault="00066F99" w:rsidP="002B623D">
            <w:pPr>
              <w:pStyle w:val="TextTi12"/>
              <w:rPr>
                <w:lang w:val="en-GB"/>
              </w:rPr>
            </w:pPr>
            <w:r>
              <w:rPr>
                <w:lang w:val="en-GB"/>
              </w:rPr>
              <w:t xml:space="preserve">JIA </w:t>
            </w:r>
            <w:r w:rsidRPr="008C1AD4">
              <w:rPr>
                <w:lang w:val="en-GB"/>
              </w:rPr>
              <w:t>ACR 50</w:t>
            </w:r>
          </w:p>
        </w:tc>
        <w:tc>
          <w:tcPr>
            <w:tcW w:w="2040" w:type="dxa"/>
          </w:tcPr>
          <w:p w:rsidR="00066F99" w:rsidRPr="008C1AD4" w:rsidRDefault="00066F99" w:rsidP="002B623D">
            <w:pPr>
              <w:pStyle w:val="TextTi12"/>
              <w:jc w:val="center"/>
              <w:rPr>
                <w:lang w:val="en-GB"/>
              </w:rPr>
            </w:pPr>
            <w:r w:rsidRPr="008C1AD4">
              <w:rPr>
                <w:lang w:val="en-GB"/>
              </w:rPr>
              <w:t>73.2%</w:t>
            </w:r>
            <w:r w:rsidRPr="008C1AD4">
              <w:rPr>
                <w:vertAlign w:val="superscript"/>
                <w:lang w:val="en-GB"/>
              </w:rPr>
              <w:t>†</w:t>
            </w:r>
          </w:p>
        </w:tc>
        <w:tc>
          <w:tcPr>
            <w:tcW w:w="1920" w:type="dxa"/>
          </w:tcPr>
          <w:p w:rsidR="00066F99" w:rsidRPr="008C1AD4" w:rsidRDefault="00066F99" w:rsidP="002B623D">
            <w:pPr>
              <w:pStyle w:val="TextTi12"/>
              <w:jc w:val="center"/>
              <w:rPr>
                <w:lang w:val="en-GB"/>
              </w:rPr>
            </w:pPr>
            <w:r w:rsidRPr="008C1AD4">
              <w:rPr>
                <w:lang w:val="en-GB"/>
              </w:rPr>
              <w:t>51.9%</w:t>
            </w:r>
            <w:r w:rsidRPr="008C1AD4">
              <w:rPr>
                <w:vertAlign w:val="superscript"/>
                <w:lang w:val="en-GB"/>
              </w:rPr>
              <w:t>†</w:t>
            </w:r>
          </w:p>
        </w:tc>
      </w:tr>
      <w:tr w:rsidR="00066F99" w:rsidRPr="008C1AD4" w:rsidTr="002B623D">
        <w:tc>
          <w:tcPr>
            <w:tcW w:w="2268" w:type="dxa"/>
          </w:tcPr>
          <w:p w:rsidR="00066F99" w:rsidRPr="008C1AD4" w:rsidRDefault="00066F99" w:rsidP="002B623D">
            <w:pPr>
              <w:pStyle w:val="TextTi12"/>
              <w:rPr>
                <w:lang w:val="en-GB"/>
              </w:rPr>
            </w:pPr>
            <w:r>
              <w:rPr>
                <w:lang w:val="en-GB"/>
              </w:rPr>
              <w:t xml:space="preserve">JIA </w:t>
            </w:r>
            <w:r w:rsidRPr="008C1AD4">
              <w:rPr>
                <w:lang w:val="en-GB"/>
              </w:rPr>
              <w:t>ACR 70</w:t>
            </w:r>
          </w:p>
        </w:tc>
        <w:tc>
          <w:tcPr>
            <w:tcW w:w="2040" w:type="dxa"/>
          </w:tcPr>
          <w:p w:rsidR="00066F99" w:rsidRPr="008C1AD4" w:rsidRDefault="00066F99" w:rsidP="002B623D">
            <w:pPr>
              <w:pStyle w:val="TextTi12"/>
              <w:jc w:val="center"/>
              <w:rPr>
                <w:lang w:val="en-GB"/>
              </w:rPr>
            </w:pPr>
            <w:r w:rsidRPr="008C1AD4">
              <w:rPr>
                <w:lang w:val="en-GB"/>
              </w:rPr>
              <w:t>64.6%</w:t>
            </w:r>
            <w:r w:rsidRPr="008C1AD4">
              <w:rPr>
                <w:vertAlign w:val="superscript"/>
                <w:lang w:val="en-GB"/>
              </w:rPr>
              <w:t>†</w:t>
            </w:r>
          </w:p>
        </w:tc>
        <w:tc>
          <w:tcPr>
            <w:tcW w:w="1920" w:type="dxa"/>
          </w:tcPr>
          <w:p w:rsidR="00066F99" w:rsidRPr="008C1AD4" w:rsidRDefault="00066F99" w:rsidP="002B623D">
            <w:pPr>
              <w:pStyle w:val="TextTi12"/>
              <w:jc w:val="center"/>
              <w:rPr>
                <w:lang w:val="en-GB"/>
              </w:rPr>
            </w:pPr>
            <w:r w:rsidRPr="008C1AD4">
              <w:rPr>
                <w:lang w:val="en-GB"/>
              </w:rPr>
              <w:t>42.0%</w:t>
            </w:r>
            <w:r w:rsidRPr="008C1AD4">
              <w:rPr>
                <w:vertAlign w:val="superscript"/>
                <w:lang w:val="en-GB"/>
              </w:rPr>
              <w:t>†</w:t>
            </w:r>
          </w:p>
        </w:tc>
      </w:tr>
    </w:tbl>
    <w:p w:rsidR="00066F99" w:rsidRDefault="00066F99" w:rsidP="00066F99">
      <w:pPr>
        <w:rPr>
          <w:sz w:val="20"/>
          <w:lang w:val="en-GB"/>
        </w:rPr>
      </w:pPr>
      <w:r w:rsidRPr="008C1AD4">
        <w:rPr>
          <w:vertAlign w:val="superscript"/>
          <w:lang w:val="en-GB"/>
        </w:rPr>
        <w:t>†</w:t>
      </w:r>
      <w:r>
        <w:rPr>
          <w:sz w:val="20"/>
          <w:lang w:val="en-GB"/>
        </w:rPr>
        <w:t xml:space="preserve"> p&lt;0.00</w:t>
      </w:r>
      <w:r w:rsidRPr="00573FE5">
        <w:rPr>
          <w:sz w:val="20"/>
          <w:lang w:val="en-GB"/>
        </w:rPr>
        <w:t xml:space="preserve">1, </w:t>
      </w:r>
      <w:r>
        <w:rPr>
          <w:sz w:val="20"/>
          <w:lang w:val="en-GB"/>
        </w:rPr>
        <w:t>ACTEMRA</w:t>
      </w:r>
      <w:r w:rsidRPr="00573FE5">
        <w:rPr>
          <w:sz w:val="20"/>
          <w:lang w:val="en-GB"/>
        </w:rPr>
        <w:t xml:space="preserve"> vs. placebo</w:t>
      </w:r>
    </w:p>
    <w:p w:rsidR="00066F99" w:rsidRDefault="00066F99" w:rsidP="00066F99">
      <w:pPr>
        <w:rPr>
          <w:szCs w:val="24"/>
          <w:lang w:val="en-GB"/>
        </w:rPr>
      </w:pPr>
    </w:p>
    <w:p w:rsidR="00FD43BD" w:rsidRDefault="00FD43BD" w:rsidP="00B730A0">
      <w:pPr>
        <w:jc w:val="both"/>
        <w:rPr>
          <w:szCs w:val="24"/>
          <w:lang w:val="en-GB"/>
        </w:rPr>
      </w:pPr>
      <w:r w:rsidRPr="00FD43BD">
        <w:rPr>
          <w:szCs w:val="24"/>
          <w:lang w:val="en-GB"/>
        </w:rPr>
        <w:t>A difference in the incidence of JIA ACR30 flare during Week 16 to 40 was observed</w:t>
      </w:r>
      <w:r>
        <w:rPr>
          <w:szCs w:val="24"/>
          <w:lang w:val="en-GB"/>
        </w:rPr>
        <w:t xml:space="preserve"> </w:t>
      </w:r>
      <w:r w:rsidRPr="00FD43BD">
        <w:rPr>
          <w:szCs w:val="24"/>
          <w:lang w:val="en-GB"/>
        </w:rPr>
        <w:t xml:space="preserve">between those </w:t>
      </w:r>
      <w:r>
        <w:rPr>
          <w:szCs w:val="24"/>
          <w:lang w:val="en-GB"/>
        </w:rPr>
        <w:t>patients</w:t>
      </w:r>
      <w:r w:rsidRPr="00FD43BD">
        <w:rPr>
          <w:szCs w:val="24"/>
          <w:lang w:val="en-GB"/>
        </w:rPr>
        <w:t xml:space="preserve"> who were and were not taking concurrent </w:t>
      </w:r>
      <w:r>
        <w:rPr>
          <w:szCs w:val="24"/>
          <w:lang w:val="en-GB"/>
        </w:rPr>
        <w:t>MTX</w:t>
      </w:r>
      <w:r w:rsidR="00B730A0">
        <w:rPr>
          <w:szCs w:val="24"/>
          <w:lang w:val="en-GB"/>
        </w:rPr>
        <w:t xml:space="preserve">, and those patients who had previously been exposed to a biologic DMARD or not. Irrespective of concurrent MTX or previous biologic DMARD use JIA </w:t>
      </w:r>
      <w:r w:rsidR="00B730A0" w:rsidRPr="00B730A0">
        <w:rPr>
          <w:szCs w:val="24"/>
          <w:lang w:val="en-GB"/>
        </w:rPr>
        <w:t xml:space="preserve">ACR30 flare was lower for patients receiving </w:t>
      </w:r>
      <w:r w:rsidR="00B730A0">
        <w:rPr>
          <w:szCs w:val="24"/>
          <w:lang w:val="en-GB"/>
        </w:rPr>
        <w:t>ACTEMRA</w:t>
      </w:r>
      <w:r w:rsidR="00B730A0" w:rsidRPr="00B730A0">
        <w:rPr>
          <w:szCs w:val="24"/>
          <w:lang w:val="en-GB"/>
        </w:rPr>
        <w:t xml:space="preserve"> compared </w:t>
      </w:r>
      <w:r w:rsidR="004A6E24">
        <w:rPr>
          <w:szCs w:val="24"/>
          <w:lang w:val="en-GB"/>
        </w:rPr>
        <w:t xml:space="preserve">to placebo </w:t>
      </w:r>
      <w:r>
        <w:rPr>
          <w:szCs w:val="24"/>
          <w:lang w:val="en-GB"/>
        </w:rPr>
        <w:t xml:space="preserve">(Table </w:t>
      </w:r>
      <w:r w:rsidR="006815F0">
        <w:rPr>
          <w:szCs w:val="24"/>
          <w:lang w:val="en-GB"/>
        </w:rPr>
        <w:t>7</w:t>
      </w:r>
      <w:r>
        <w:rPr>
          <w:szCs w:val="24"/>
          <w:lang w:val="en-GB"/>
        </w:rPr>
        <w:t>).</w:t>
      </w:r>
    </w:p>
    <w:p w:rsidR="007602EE" w:rsidRPr="00FD43BD" w:rsidRDefault="007602EE" w:rsidP="00FD43BD">
      <w:pPr>
        <w:jc w:val="both"/>
        <w:rPr>
          <w:szCs w:val="24"/>
          <w:lang w:val="en-GB"/>
        </w:rPr>
      </w:pPr>
    </w:p>
    <w:p w:rsidR="00FD43BD" w:rsidRPr="00FD43BD" w:rsidRDefault="00FD43BD" w:rsidP="00C148C2">
      <w:pPr>
        <w:jc w:val="both"/>
        <w:rPr>
          <w:b/>
          <w:szCs w:val="24"/>
          <w:lang w:val="en-GB"/>
        </w:rPr>
      </w:pPr>
      <w:r w:rsidRPr="00FD43BD">
        <w:rPr>
          <w:b/>
        </w:rPr>
        <w:t xml:space="preserve">Table </w:t>
      </w:r>
      <w:r w:rsidR="00BB788D">
        <w:rPr>
          <w:b/>
        </w:rPr>
        <w:t>7</w:t>
      </w:r>
      <w:r w:rsidRPr="00FD43BD">
        <w:rPr>
          <w:b/>
        </w:rPr>
        <w:t xml:space="preserve"> </w:t>
      </w:r>
      <w:r>
        <w:rPr>
          <w:b/>
        </w:rPr>
        <w:t>Proportion of p</w:t>
      </w:r>
      <w:r w:rsidRPr="00FD43BD">
        <w:rPr>
          <w:b/>
        </w:rPr>
        <w:t>atients with a JIA ACR30 Flare</w:t>
      </w:r>
      <w:r w:rsidR="00C148C2">
        <w:rPr>
          <w:b/>
        </w:rPr>
        <w:t xml:space="preserve"> at Week 40 </w:t>
      </w:r>
      <w:r w:rsidRPr="00FD43BD">
        <w:rPr>
          <w:b/>
        </w:rPr>
        <w:t>by</w:t>
      </w:r>
      <w:r>
        <w:rPr>
          <w:b/>
        </w:rPr>
        <w:t xml:space="preserve"> </w:t>
      </w:r>
      <w:r w:rsidR="00E14CA5">
        <w:rPr>
          <w:b/>
        </w:rPr>
        <w:t>b</w:t>
      </w:r>
      <w:r w:rsidRPr="00FD43BD">
        <w:rPr>
          <w:b/>
        </w:rPr>
        <w:t xml:space="preserve">ackground </w:t>
      </w:r>
      <w:r>
        <w:rPr>
          <w:b/>
        </w:rPr>
        <w:t>MTX</w:t>
      </w:r>
      <w:r w:rsidRPr="00FD43BD">
        <w:rPr>
          <w:b/>
        </w:rPr>
        <w:t xml:space="preserve"> </w:t>
      </w:r>
      <w:r w:rsidR="00E14CA5">
        <w:rPr>
          <w:b/>
        </w:rPr>
        <w:t>u</w:t>
      </w:r>
      <w:r w:rsidRPr="00FD43BD">
        <w:rPr>
          <w:b/>
        </w:rPr>
        <w:t xml:space="preserve">se at </w:t>
      </w:r>
      <w:r w:rsidR="00E14CA5">
        <w:rPr>
          <w:b/>
        </w:rPr>
        <w:t>b</w:t>
      </w:r>
      <w:r w:rsidRPr="00FD43BD">
        <w:rPr>
          <w:b/>
        </w:rPr>
        <w:t>aselin</w:t>
      </w:r>
      <w:r w:rsidR="00B730A0">
        <w:rPr>
          <w:b/>
        </w:rPr>
        <w:t>e or prior biologic DMARD us</w:t>
      </w:r>
      <w:r w:rsidRPr="00FD43BD">
        <w:rPr>
          <w:b/>
        </w:rPr>
        <w:t xml:space="preserve">e </w:t>
      </w:r>
    </w:p>
    <w:p w:rsidR="004A6E24" w:rsidRDefault="004A6E24" w:rsidP="00FD43BD">
      <w:pPr>
        <w:jc w:val="both"/>
        <w:rPr>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559"/>
        <w:gridCol w:w="1418"/>
        <w:gridCol w:w="1559"/>
        <w:gridCol w:w="1444"/>
      </w:tblGrid>
      <w:tr w:rsidR="004A6E24" w:rsidRPr="00BF7097" w:rsidTr="00BF7097">
        <w:trPr>
          <w:jc w:val="center"/>
        </w:trPr>
        <w:tc>
          <w:tcPr>
            <w:tcW w:w="2118" w:type="dxa"/>
            <w:shd w:val="clear" w:color="auto" w:fill="auto"/>
            <w:vAlign w:val="center"/>
          </w:tcPr>
          <w:p w:rsidR="004A6E24" w:rsidRPr="00BF7097" w:rsidRDefault="004A6E24" w:rsidP="00BF7097">
            <w:pPr>
              <w:jc w:val="center"/>
              <w:rPr>
                <w:rFonts w:eastAsia="PMingLiU"/>
                <w:szCs w:val="24"/>
                <w:lang w:val="en-US" w:eastAsia="zh-TW"/>
              </w:rPr>
            </w:pPr>
          </w:p>
        </w:tc>
        <w:tc>
          <w:tcPr>
            <w:tcW w:w="2977" w:type="dxa"/>
            <w:gridSpan w:val="2"/>
            <w:shd w:val="clear" w:color="auto" w:fill="auto"/>
            <w:vAlign w:val="center"/>
          </w:tcPr>
          <w:p w:rsidR="004A6E24" w:rsidRPr="00BF7097" w:rsidRDefault="004A6E24" w:rsidP="00BF7097">
            <w:pPr>
              <w:jc w:val="center"/>
              <w:rPr>
                <w:rFonts w:eastAsia="PMingLiU"/>
                <w:b/>
                <w:szCs w:val="24"/>
                <w:lang w:val="en-US" w:eastAsia="zh-TW"/>
              </w:rPr>
            </w:pPr>
            <w:r w:rsidRPr="00BF7097">
              <w:rPr>
                <w:rFonts w:eastAsia="PMingLiU"/>
                <w:b/>
                <w:szCs w:val="24"/>
                <w:lang w:val="en-US" w:eastAsia="zh-TW"/>
              </w:rPr>
              <w:t>placebo</w:t>
            </w:r>
          </w:p>
        </w:tc>
        <w:tc>
          <w:tcPr>
            <w:tcW w:w="3003" w:type="dxa"/>
            <w:gridSpan w:val="2"/>
            <w:shd w:val="clear" w:color="auto" w:fill="auto"/>
            <w:vAlign w:val="center"/>
          </w:tcPr>
          <w:p w:rsidR="004A6E24" w:rsidRPr="00BF7097" w:rsidRDefault="004A6E24" w:rsidP="00BF7097">
            <w:pPr>
              <w:jc w:val="center"/>
              <w:rPr>
                <w:rFonts w:eastAsia="PMingLiU"/>
                <w:b/>
                <w:szCs w:val="24"/>
                <w:lang w:val="en-US" w:eastAsia="zh-TW"/>
              </w:rPr>
            </w:pPr>
            <w:r w:rsidRPr="00BF7097">
              <w:rPr>
                <w:rFonts w:eastAsia="PMingLiU"/>
                <w:b/>
                <w:szCs w:val="24"/>
                <w:lang w:val="en-US" w:eastAsia="zh-TW"/>
              </w:rPr>
              <w:t>ACTEMRA</w:t>
            </w:r>
          </w:p>
        </w:tc>
      </w:tr>
      <w:tr w:rsidR="004A6E24" w:rsidRPr="00BF7097" w:rsidTr="00BF7097">
        <w:trPr>
          <w:jc w:val="center"/>
        </w:trPr>
        <w:tc>
          <w:tcPr>
            <w:tcW w:w="2118" w:type="dxa"/>
            <w:shd w:val="clear" w:color="auto" w:fill="auto"/>
            <w:vAlign w:val="center"/>
          </w:tcPr>
          <w:p w:rsidR="004A6E24" w:rsidRPr="00BF7097" w:rsidRDefault="004A6E24" w:rsidP="00BF7097">
            <w:pPr>
              <w:spacing w:before="60" w:after="60"/>
              <w:rPr>
                <w:rFonts w:eastAsia="PMingLiU"/>
                <w:b/>
                <w:szCs w:val="24"/>
                <w:lang w:val="en-US" w:eastAsia="zh-TW"/>
              </w:rPr>
            </w:pPr>
            <w:r w:rsidRPr="00BF7097">
              <w:rPr>
                <w:rFonts w:eastAsia="PMingLiU"/>
                <w:b/>
                <w:szCs w:val="24"/>
                <w:lang w:val="en-US" w:eastAsia="zh-TW"/>
              </w:rPr>
              <w:t>MTX Use</w:t>
            </w:r>
          </w:p>
        </w:tc>
        <w:tc>
          <w:tcPr>
            <w:tcW w:w="1559"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rFonts w:eastAsia="PMingLiU"/>
                <w:b/>
                <w:szCs w:val="24"/>
                <w:lang w:val="en-US" w:eastAsia="zh-TW"/>
              </w:rPr>
              <w:t>Yes (n = 64)</w:t>
            </w:r>
          </w:p>
        </w:tc>
        <w:tc>
          <w:tcPr>
            <w:tcW w:w="1418"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rFonts w:eastAsia="PMingLiU"/>
                <w:b/>
                <w:szCs w:val="24"/>
                <w:lang w:val="en-US" w:eastAsia="zh-TW"/>
              </w:rPr>
              <w:t>No (n = 17)</w:t>
            </w:r>
          </w:p>
        </w:tc>
        <w:tc>
          <w:tcPr>
            <w:tcW w:w="1559"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rFonts w:eastAsia="PMingLiU"/>
                <w:b/>
                <w:szCs w:val="24"/>
                <w:lang w:val="en-US" w:eastAsia="zh-TW"/>
              </w:rPr>
              <w:t>Yes (n = 67)</w:t>
            </w:r>
          </w:p>
        </w:tc>
        <w:tc>
          <w:tcPr>
            <w:tcW w:w="1444"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rFonts w:eastAsia="PMingLiU"/>
                <w:b/>
                <w:szCs w:val="24"/>
                <w:lang w:val="en-US" w:eastAsia="zh-TW"/>
              </w:rPr>
              <w:t>No (n = 15)</w:t>
            </w:r>
          </w:p>
        </w:tc>
      </w:tr>
      <w:tr w:rsidR="004A6E24" w:rsidRPr="00BF7097" w:rsidTr="00BF7097">
        <w:trPr>
          <w:jc w:val="center"/>
        </w:trPr>
        <w:tc>
          <w:tcPr>
            <w:tcW w:w="2118" w:type="dxa"/>
            <w:shd w:val="clear" w:color="auto" w:fill="auto"/>
            <w:vAlign w:val="center"/>
          </w:tcPr>
          <w:p w:rsidR="004A6E24" w:rsidRPr="00BF7097" w:rsidRDefault="004A6E24" w:rsidP="00BF7097">
            <w:pPr>
              <w:spacing w:before="60" w:after="60"/>
              <w:rPr>
                <w:rFonts w:eastAsia="PMingLiU"/>
                <w:szCs w:val="24"/>
                <w:lang w:val="en-US" w:eastAsia="zh-TW"/>
              </w:rPr>
            </w:pPr>
            <w:r w:rsidRPr="00BF7097">
              <w:rPr>
                <w:rFonts w:eastAsia="PMingLiU"/>
                <w:szCs w:val="24"/>
                <w:lang w:val="en-US" w:eastAsia="zh-TW"/>
              </w:rPr>
              <w:t>JIA ACR30 Flare</w:t>
            </w:r>
          </w:p>
        </w:tc>
        <w:tc>
          <w:tcPr>
            <w:tcW w:w="1559" w:type="dxa"/>
            <w:shd w:val="clear" w:color="auto" w:fill="auto"/>
            <w:vAlign w:val="center"/>
          </w:tcPr>
          <w:p w:rsidR="004A6E24" w:rsidRPr="00BF7097" w:rsidRDefault="004A6E24" w:rsidP="00BF7097">
            <w:pPr>
              <w:spacing w:before="60" w:after="60"/>
              <w:jc w:val="center"/>
              <w:rPr>
                <w:rFonts w:eastAsia="PMingLiU"/>
                <w:szCs w:val="24"/>
                <w:lang w:val="en-US" w:eastAsia="zh-TW"/>
              </w:rPr>
            </w:pPr>
            <w:r w:rsidRPr="00BF7097">
              <w:rPr>
                <w:rFonts w:eastAsia="PMingLiU"/>
                <w:szCs w:val="24"/>
                <w:lang w:val="en-US" w:eastAsia="zh-TW"/>
              </w:rPr>
              <w:t>25 (39.1%)</w:t>
            </w:r>
          </w:p>
        </w:tc>
        <w:tc>
          <w:tcPr>
            <w:tcW w:w="1418" w:type="dxa"/>
            <w:shd w:val="clear" w:color="auto" w:fill="auto"/>
            <w:vAlign w:val="center"/>
          </w:tcPr>
          <w:p w:rsidR="004A6E24" w:rsidRPr="00BF7097" w:rsidRDefault="004A6E24" w:rsidP="00BF7097">
            <w:pPr>
              <w:spacing w:before="60" w:after="60"/>
              <w:jc w:val="center"/>
              <w:rPr>
                <w:rFonts w:eastAsia="PMingLiU"/>
                <w:szCs w:val="24"/>
                <w:lang w:val="en-US" w:eastAsia="zh-TW"/>
              </w:rPr>
            </w:pPr>
            <w:r w:rsidRPr="00BF7097">
              <w:rPr>
                <w:rFonts w:eastAsia="PMingLiU"/>
                <w:szCs w:val="24"/>
                <w:lang w:val="en-US" w:eastAsia="zh-TW"/>
              </w:rPr>
              <w:t>14 (82.4%)</w:t>
            </w:r>
          </w:p>
        </w:tc>
        <w:tc>
          <w:tcPr>
            <w:tcW w:w="1559" w:type="dxa"/>
            <w:shd w:val="clear" w:color="auto" w:fill="auto"/>
            <w:vAlign w:val="center"/>
          </w:tcPr>
          <w:p w:rsidR="004A6E24" w:rsidRPr="00BF7097" w:rsidRDefault="004A6E24" w:rsidP="00BF7097">
            <w:pPr>
              <w:spacing w:before="60" w:after="60"/>
              <w:jc w:val="center"/>
              <w:rPr>
                <w:rFonts w:eastAsia="PMingLiU"/>
                <w:szCs w:val="24"/>
                <w:lang w:val="en-US" w:eastAsia="zh-TW"/>
              </w:rPr>
            </w:pPr>
            <w:r w:rsidRPr="00BF7097">
              <w:rPr>
                <w:rFonts w:eastAsia="PMingLiU"/>
                <w:szCs w:val="24"/>
                <w:lang w:val="en-US" w:eastAsia="zh-TW"/>
              </w:rPr>
              <w:t>13 (19.4%)</w:t>
            </w:r>
          </w:p>
        </w:tc>
        <w:tc>
          <w:tcPr>
            <w:tcW w:w="1444" w:type="dxa"/>
            <w:shd w:val="clear" w:color="auto" w:fill="auto"/>
            <w:vAlign w:val="center"/>
          </w:tcPr>
          <w:p w:rsidR="004A6E24" w:rsidRPr="00BF7097" w:rsidRDefault="004A6E24" w:rsidP="00BF7097">
            <w:pPr>
              <w:spacing w:before="60" w:after="60"/>
              <w:jc w:val="center"/>
              <w:rPr>
                <w:rFonts w:eastAsia="PMingLiU"/>
                <w:szCs w:val="24"/>
                <w:lang w:val="en-US" w:eastAsia="zh-TW"/>
              </w:rPr>
            </w:pPr>
            <w:r w:rsidRPr="00BF7097">
              <w:rPr>
                <w:rFonts w:eastAsia="PMingLiU"/>
                <w:szCs w:val="24"/>
                <w:lang w:val="en-US" w:eastAsia="zh-TW"/>
              </w:rPr>
              <w:t>8 (53.3%)</w:t>
            </w:r>
          </w:p>
        </w:tc>
      </w:tr>
      <w:tr w:rsidR="004A6E24" w:rsidRPr="00BF7097" w:rsidTr="00BF7097">
        <w:trPr>
          <w:jc w:val="center"/>
        </w:trPr>
        <w:tc>
          <w:tcPr>
            <w:tcW w:w="2118" w:type="dxa"/>
            <w:shd w:val="clear" w:color="auto" w:fill="auto"/>
            <w:vAlign w:val="center"/>
          </w:tcPr>
          <w:p w:rsidR="004A6E24" w:rsidRPr="00BF7097" w:rsidRDefault="004A6E24" w:rsidP="00BF7097">
            <w:pPr>
              <w:spacing w:before="60" w:after="60"/>
              <w:rPr>
                <w:b/>
                <w:szCs w:val="24"/>
              </w:rPr>
            </w:pPr>
            <w:r w:rsidRPr="00BF7097">
              <w:rPr>
                <w:b/>
                <w:szCs w:val="24"/>
              </w:rPr>
              <w:t>Prior Biologic Use</w:t>
            </w:r>
          </w:p>
        </w:tc>
        <w:tc>
          <w:tcPr>
            <w:tcW w:w="1559"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b/>
                <w:szCs w:val="24"/>
              </w:rPr>
              <w:t>Yes (n = 23)</w:t>
            </w:r>
          </w:p>
        </w:tc>
        <w:tc>
          <w:tcPr>
            <w:tcW w:w="1418"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b/>
                <w:szCs w:val="24"/>
              </w:rPr>
              <w:t>No (n = 58)</w:t>
            </w:r>
          </w:p>
        </w:tc>
        <w:tc>
          <w:tcPr>
            <w:tcW w:w="1559"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b/>
                <w:szCs w:val="24"/>
              </w:rPr>
              <w:t>Yes (n = 27)</w:t>
            </w:r>
          </w:p>
        </w:tc>
        <w:tc>
          <w:tcPr>
            <w:tcW w:w="1444"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b/>
                <w:szCs w:val="24"/>
              </w:rPr>
              <w:t>No (n = 55)</w:t>
            </w:r>
          </w:p>
        </w:tc>
      </w:tr>
      <w:tr w:rsidR="004A6E24" w:rsidRPr="00BF7097" w:rsidTr="00BF7097">
        <w:trPr>
          <w:jc w:val="center"/>
        </w:trPr>
        <w:tc>
          <w:tcPr>
            <w:tcW w:w="2118" w:type="dxa"/>
            <w:shd w:val="clear" w:color="auto" w:fill="auto"/>
            <w:vAlign w:val="center"/>
          </w:tcPr>
          <w:p w:rsidR="004A6E24" w:rsidRPr="00BF7097" w:rsidRDefault="004A6E24" w:rsidP="00BF7097">
            <w:pPr>
              <w:spacing w:before="60" w:after="60"/>
              <w:rPr>
                <w:szCs w:val="24"/>
              </w:rPr>
            </w:pPr>
            <w:r w:rsidRPr="00BF7097">
              <w:rPr>
                <w:rFonts w:eastAsia="PMingLiU"/>
                <w:szCs w:val="24"/>
                <w:lang w:val="en-US" w:eastAsia="zh-TW"/>
              </w:rPr>
              <w:t>JIA ACR30 Flare</w:t>
            </w:r>
          </w:p>
        </w:tc>
        <w:tc>
          <w:tcPr>
            <w:tcW w:w="1559" w:type="dxa"/>
            <w:shd w:val="clear" w:color="auto" w:fill="auto"/>
            <w:vAlign w:val="center"/>
          </w:tcPr>
          <w:p w:rsidR="004A6E24" w:rsidRPr="00BF7097" w:rsidRDefault="004A6E24" w:rsidP="00BF7097">
            <w:pPr>
              <w:spacing w:before="60" w:after="60"/>
              <w:jc w:val="center"/>
              <w:rPr>
                <w:szCs w:val="24"/>
              </w:rPr>
            </w:pPr>
            <w:r w:rsidRPr="00BF7097">
              <w:rPr>
                <w:szCs w:val="24"/>
              </w:rPr>
              <w:t>18 (78.3)</w:t>
            </w:r>
          </w:p>
        </w:tc>
        <w:tc>
          <w:tcPr>
            <w:tcW w:w="1418" w:type="dxa"/>
            <w:shd w:val="clear" w:color="auto" w:fill="auto"/>
            <w:vAlign w:val="center"/>
          </w:tcPr>
          <w:p w:rsidR="004A6E24" w:rsidRPr="00BF7097" w:rsidRDefault="004A6E24" w:rsidP="00BF7097">
            <w:pPr>
              <w:spacing w:before="60" w:after="60"/>
              <w:jc w:val="center"/>
              <w:rPr>
                <w:szCs w:val="24"/>
              </w:rPr>
            </w:pPr>
            <w:r w:rsidRPr="00BF7097">
              <w:rPr>
                <w:szCs w:val="24"/>
              </w:rPr>
              <w:t>21 (36.2)</w:t>
            </w:r>
          </w:p>
        </w:tc>
        <w:tc>
          <w:tcPr>
            <w:tcW w:w="1559" w:type="dxa"/>
            <w:shd w:val="clear" w:color="auto" w:fill="auto"/>
            <w:vAlign w:val="center"/>
          </w:tcPr>
          <w:p w:rsidR="004A6E24" w:rsidRPr="00BF7097" w:rsidRDefault="004A6E24" w:rsidP="00BF7097">
            <w:pPr>
              <w:spacing w:before="60" w:after="60"/>
              <w:jc w:val="center"/>
              <w:rPr>
                <w:szCs w:val="24"/>
              </w:rPr>
            </w:pPr>
            <w:r w:rsidRPr="00BF7097">
              <w:rPr>
                <w:szCs w:val="24"/>
              </w:rPr>
              <w:t>12 (44.4)</w:t>
            </w:r>
          </w:p>
        </w:tc>
        <w:tc>
          <w:tcPr>
            <w:tcW w:w="1444" w:type="dxa"/>
            <w:shd w:val="clear" w:color="auto" w:fill="auto"/>
            <w:vAlign w:val="center"/>
          </w:tcPr>
          <w:p w:rsidR="004A6E24" w:rsidRPr="00BF7097" w:rsidRDefault="004A6E24" w:rsidP="00BF7097">
            <w:pPr>
              <w:spacing w:before="60" w:after="60"/>
              <w:jc w:val="center"/>
              <w:rPr>
                <w:szCs w:val="24"/>
              </w:rPr>
            </w:pPr>
            <w:r w:rsidRPr="00BF7097">
              <w:rPr>
                <w:szCs w:val="24"/>
              </w:rPr>
              <w:t>9 (16.4)</w:t>
            </w:r>
          </w:p>
        </w:tc>
      </w:tr>
    </w:tbl>
    <w:p w:rsidR="00FD43BD" w:rsidRDefault="00FD43BD" w:rsidP="00FD43BD">
      <w:pPr>
        <w:jc w:val="both"/>
        <w:rPr>
          <w:szCs w:val="24"/>
          <w:lang w:val="en-GB"/>
        </w:rPr>
      </w:pPr>
    </w:p>
    <w:p w:rsidR="003959DB" w:rsidRDefault="003959DB" w:rsidP="00CA6C3A">
      <w:pPr>
        <w:spacing w:after="170" w:line="280" w:lineRule="atLeast"/>
        <w:jc w:val="both"/>
        <w:rPr>
          <w:szCs w:val="24"/>
          <w:lang w:val="en-GB"/>
        </w:rPr>
      </w:pPr>
      <w:r>
        <w:rPr>
          <w:szCs w:val="24"/>
          <w:lang w:val="en-GB"/>
        </w:rPr>
        <w:t xml:space="preserve">In Part III maintenance of efficacy through Week 104 was demonstrated for each of the JIA responses rates and were similar between the continuous ACTEMRA-treated subgroup and the placebo-treated patients in Part II </w:t>
      </w:r>
      <w:r w:rsidR="006B1BC4">
        <w:rPr>
          <w:szCs w:val="24"/>
          <w:lang w:val="en-GB"/>
        </w:rPr>
        <w:t>who re-commenc</w:t>
      </w:r>
      <w:r>
        <w:rPr>
          <w:szCs w:val="24"/>
          <w:lang w:val="en-GB"/>
        </w:rPr>
        <w:t>ed ACTEMRA</w:t>
      </w:r>
      <w:r w:rsidR="00CA6C3A">
        <w:rPr>
          <w:szCs w:val="24"/>
          <w:lang w:val="en-GB"/>
        </w:rPr>
        <w:t xml:space="preserve">. For the </w:t>
      </w:r>
      <w:r w:rsidR="00CA6C3A" w:rsidRPr="00CA6C3A">
        <w:rPr>
          <w:szCs w:val="24"/>
          <w:lang w:val="en-GB"/>
        </w:rPr>
        <w:t xml:space="preserve">continuous </w:t>
      </w:r>
      <w:r w:rsidR="00CA6C3A">
        <w:rPr>
          <w:szCs w:val="24"/>
          <w:lang w:val="en-GB"/>
        </w:rPr>
        <w:t>ACTEMRA</w:t>
      </w:r>
      <w:r w:rsidR="00CA6C3A" w:rsidRPr="00CA6C3A">
        <w:rPr>
          <w:szCs w:val="24"/>
          <w:lang w:val="en-GB"/>
        </w:rPr>
        <w:t xml:space="preserve"> group </w:t>
      </w:r>
      <w:r w:rsidR="00CA6C3A">
        <w:rPr>
          <w:szCs w:val="24"/>
          <w:lang w:val="en-GB"/>
        </w:rPr>
        <w:t xml:space="preserve">the </w:t>
      </w:r>
      <w:r w:rsidR="00CA6C3A" w:rsidRPr="00CA6C3A">
        <w:rPr>
          <w:szCs w:val="24"/>
          <w:lang w:val="en-GB"/>
        </w:rPr>
        <w:t>JIA ACR30/50/70/90 response rates at Week 104 were 95.1%, 90.2%, 86.6% and 70.7%,</w:t>
      </w:r>
      <w:r w:rsidR="00CA6C3A">
        <w:rPr>
          <w:szCs w:val="24"/>
          <w:lang w:val="en-GB"/>
        </w:rPr>
        <w:t xml:space="preserve"> </w:t>
      </w:r>
      <w:r w:rsidR="00CA6C3A" w:rsidRPr="00CA6C3A">
        <w:rPr>
          <w:szCs w:val="24"/>
          <w:lang w:val="en-GB"/>
        </w:rPr>
        <w:t>respectively.</w:t>
      </w:r>
      <w:r>
        <w:rPr>
          <w:szCs w:val="24"/>
          <w:lang w:val="en-GB"/>
        </w:rPr>
        <w:t xml:space="preserve"> </w:t>
      </w:r>
      <w:r w:rsidR="00CA6C3A">
        <w:rPr>
          <w:szCs w:val="24"/>
          <w:lang w:val="en-GB"/>
        </w:rPr>
        <w:t>For placebo-treated</w:t>
      </w:r>
      <w:r w:rsidR="00CA6C3A" w:rsidRPr="00CA6C3A">
        <w:rPr>
          <w:szCs w:val="24"/>
          <w:lang w:val="en-GB"/>
        </w:rPr>
        <w:t xml:space="preserve"> patients </w:t>
      </w:r>
      <w:r w:rsidR="00CA6C3A">
        <w:rPr>
          <w:szCs w:val="24"/>
          <w:lang w:val="en-GB"/>
        </w:rPr>
        <w:t xml:space="preserve">in Part II who re-commenced ACTEMRA </w:t>
      </w:r>
      <w:r w:rsidR="00CA6C3A" w:rsidRPr="00CA6C3A">
        <w:rPr>
          <w:szCs w:val="24"/>
          <w:lang w:val="en-GB"/>
        </w:rPr>
        <w:t xml:space="preserve">JIA ACR30/50/70/90 response rates </w:t>
      </w:r>
      <w:r w:rsidR="00CA6C3A">
        <w:rPr>
          <w:szCs w:val="24"/>
          <w:lang w:val="en-GB"/>
        </w:rPr>
        <w:t>at Week 104 were</w:t>
      </w:r>
      <w:r w:rsidR="00CA6C3A" w:rsidRPr="00CA6C3A">
        <w:rPr>
          <w:szCs w:val="24"/>
          <w:lang w:val="en-GB"/>
        </w:rPr>
        <w:t xml:space="preserve"> 95.1%, 95.1%, 91.4%,</w:t>
      </w:r>
      <w:r w:rsidR="00CA6C3A">
        <w:rPr>
          <w:szCs w:val="24"/>
          <w:lang w:val="en-GB"/>
        </w:rPr>
        <w:t xml:space="preserve"> </w:t>
      </w:r>
      <w:r w:rsidR="00CA6C3A" w:rsidRPr="00CA6C3A">
        <w:rPr>
          <w:szCs w:val="24"/>
          <w:lang w:val="en-GB"/>
        </w:rPr>
        <w:t xml:space="preserve">and 66.7%, respectively. </w:t>
      </w:r>
      <w:r>
        <w:rPr>
          <w:szCs w:val="24"/>
          <w:lang w:val="en-GB"/>
        </w:rPr>
        <w:t xml:space="preserve">Improvement in JIA ACR core components </w:t>
      </w:r>
      <w:r w:rsidR="00CA6C3A">
        <w:rPr>
          <w:szCs w:val="24"/>
          <w:lang w:val="en-GB"/>
        </w:rPr>
        <w:t xml:space="preserve">observed at Week 40 was </w:t>
      </w:r>
      <w:r>
        <w:rPr>
          <w:szCs w:val="24"/>
          <w:lang w:val="en-GB"/>
        </w:rPr>
        <w:t>maintained.</w:t>
      </w:r>
    </w:p>
    <w:p w:rsidR="00C25759" w:rsidRPr="00190D02" w:rsidRDefault="00C25759" w:rsidP="00C25759">
      <w:pPr>
        <w:spacing w:before="100" w:beforeAutospacing="1" w:after="100" w:afterAutospacing="1"/>
        <w:jc w:val="both"/>
        <w:rPr>
          <w:b/>
        </w:rPr>
      </w:pPr>
      <w:r w:rsidRPr="00190D02">
        <w:rPr>
          <w:b/>
        </w:rPr>
        <w:t>Systemic Juvenile Idiopathic Arthritis</w:t>
      </w:r>
    </w:p>
    <w:p w:rsidR="00C25759" w:rsidRDefault="00C25759" w:rsidP="00C25759">
      <w:pPr>
        <w:jc w:val="both"/>
      </w:pPr>
      <w:r>
        <w:t>The efficacy of ACTEMRA for the treatment of active sJIA was assessed in a 12-week randomised, double blind, placebo-controlled, parallel group, 2-arm study. Patients (treated with or without MTX) were randomised (ACTEMRA:</w:t>
      </w:r>
      <w:r w:rsidR="00E361B0">
        <w:t xml:space="preserve"> </w:t>
      </w:r>
      <w:r>
        <w:t>placebo = 2:1) to one of two treatment groups. 75 patients received ACTEMRA infusions every two weeks either 8 mg/kg for patients ≥ 30kg or 12 mg/kg for patients &lt; 30 kg and 37 patients were assigned to receiving placebo infusions every two weeks. Corticosteroid tapering could occur from week 6 for patients who achieved a JIA ACR70 response. After 12 weeks or at the time of escape, due to disease worsening, patients were treated in the open-label extension phase at weight appropriate dosing.</w:t>
      </w:r>
    </w:p>
    <w:p w:rsidR="005B7921" w:rsidRDefault="005B7921" w:rsidP="00C25759">
      <w:pPr>
        <w:jc w:val="both"/>
      </w:pPr>
    </w:p>
    <w:p w:rsidR="00225F55" w:rsidRDefault="005B7921" w:rsidP="00225F55">
      <w:pPr>
        <w:jc w:val="both"/>
      </w:pPr>
      <w:r>
        <w:t>The demographic characteristics at baseline were similar between the placebo and ACTEMRA groups. Patients were evenly split between male and female, with a median age of 9 and 10 for the placebo and ACTEMRA groups, respectively.</w:t>
      </w:r>
      <w:r w:rsidR="00225F55">
        <w:t xml:space="preserve"> 27 patients in the study were aged between 2-5 years, 48 patients between 6-12 years and 37 patients between 13-18 years. Baseline disease characteristics studied included fever and rash status, previous use of DMARDs, previous use of biologics, CRP, and articular and extra-articular damage. All were similar between the placebo and ACTEMRA groups except for a higher proportion of patients with rash in the placebo group (48.6%) compared with the ACTEMRA group (29.3%). In addition, baseline CRP was lower in the placebo group in comparison with the ACTEMRA group.</w:t>
      </w:r>
    </w:p>
    <w:p w:rsidR="005B7921" w:rsidRDefault="005B7921" w:rsidP="00C25759">
      <w:pPr>
        <w:jc w:val="both"/>
      </w:pPr>
    </w:p>
    <w:p w:rsidR="00C25759" w:rsidRDefault="00C25759" w:rsidP="00C25759">
      <w:pPr>
        <w:jc w:val="both"/>
      </w:pPr>
      <w:r>
        <w:lastRenderedPageBreak/>
        <w:t xml:space="preserve">The primary endpoint was the proportion of patients with at least 30% improvement in JIA ACR core set (JIA ACR30 response) at Week 12 and absence of fever (no temperature recording ≥ 37.5°C in the preceding 7 days). Eighty five percent (64/75) of the patients treated with ACTEMRA and 24.3% (9/37) of placebo patients achieved this endpoint. These proportions were highly significantly different (p&lt;0.0001). </w:t>
      </w:r>
    </w:p>
    <w:p w:rsidR="00C25759" w:rsidRDefault="00C25759" w:rsidP="00C25759">
      <w:pPr>
        <w:jc w:val="both"/>
      </w:pPr>
    </w:p>
    <w:p w:rsidR="00C25759" w:rsidRDefault="00C25759" w:rsidP="00C25759">
      <w:pPr>
        <w:jc w:val="both"/>
      </w:pPr>
      <w:r>
        <w:t xml:space="preserve">The percent of patients achieving JIA ACR 30, 50, 70 and 90 responses are shown in the table below. </w:t>
      </w:r>
    </w:p>
    <w:p w:rsidR="009501D9" w:rsidRDefault="009501D9" w:rsidP="00C25759">
      <w:pPr>
        <w:jc w:val="both"/>
      </w:pPr>
    </w:p>
    <w:p w:rsidR="00C25759" w:rsidRPr="00EA66CF" w:rsidRDefault="00C25759" w:rsidP="00EA66CF">
      <w:pPr>
        <w:rPr>
          <w:b/>
          <w:i/>
        </w:rPr>
      </w:pPr>
      <w:r w:rsidRPr="00EA66CF">
        <w:rPr>
          <w:b/>
        </w:rPr>
        <w:t xml:space="preserve">Table </w:t>
      </w:r>
      <w:r w:rsidR="00BB788D" w:rsidRPr="00EA66CF">
        <w:rPr>
          <w:b/>
        </w:rPr>
        <w:t xml:space="preserve">8 </w:t>
      </w:r>
      <w:r w:rsidRPr="00EA66CF">
        <w:rPr>
          <w:b/>
        </w:rPr>
        <w:t>JIA ACR response rates at week 12 (percent of patients)</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040"/>
        <w:gridCol w:w="1920"/>
      </w:tblGrid>
      <w:tr w:rsidR="00C25759" w:rsidRPr="00573FE5" w:rsidTr="00C25759">
        <w:tc>
          <w:tcPr>
            <w:tcW w:w="2268" w:type="dxa"/>
          </w:tcPr>
          <w:p w:rsidR="00C25759" w:rsidRPr="00573FE5" w:rsidRDefault="00C25759" w:rsidP="00C25759">
            <w:pPr>
              <w:pStyle w:val="TextTi12"/>
              <w:rPr>
                <w:szCs w:val="24"/>
                <w:lang w:val="en-GB"/>
              </w:rPr>
            </w:pPr>
            <w:r w:rsidRPr="00573FE5">
              <w:rPr>
                <w:b/>
                <w:bCs/>
                <w:szCs w:val="24"/>
                <w:lang w:val="en-GB" w:eastAsia="ja-JP"/>
              </w:rPr>
              <w:t>Response Rate</w:t>
            </w:r>
          </w:p>
        </w:tc>
        <w:tc>
          <w:tcPr>
            <w:tcW w:w="2040" w:type="dxa"/>
          </w:tcPr>
          <w:p w:rsidR="00C25759" w:rsidRPr="00573FE5" w:rsidRDefault="00C25759" w:rsidP="00C25759">
            <w:pPr>
              <w:pStyle w:val="TextTi12"/>
              <w:jc w:val="center"/>
              <w:rPr>
                <w:b/>
                <w:szCs w:val="24"/>
                <w:lang w:val="en-GB"/>
              </w:rPr>
            </w:pPr>
            <w:r w:rsidRPr="00573FE5">
              <w:rPr>
                <w:b/>
                <w:szCs w:val="24"/>
                <w:lang w:val="en-GB"/>
              </w:rPr>
              <w:t>ACTEMRA</w:t>
            </w:r>
          </w:p>
          <w:p w:rsidR="00C25759" w:rsidRPr="00573FE5" w:rsidRDefault="00C25759" w:rsidP="00C25759">
            <w:pPr>
              <w:pStyle w:val="TextTi12"/>
              <w:jc w:val="center"/>
              <w:rPr>
                <w:b/>
                <w:szCs w:val="24"/>
                <w:lang w:val="en-GB"/>
              </w:rPr>
            </w:pPr>
            <w:r w:rsidRPr="00573FE5">
              <w:rPr>
                <w:b/>
                <w:szCs w:val="24"/>
                <w:lang w:val="en-GB"/>
              </w:rPr>
              <w:t>n=75</w:t>
            </w:r>
          </w:p>
        </w:tc>
        <w:tc>
          <w:tcPr>
            <w:tcW w:w="1920" w:type="dxa"/>
          </w:tcPr>
          <w:p w:rsidR="00C25759" w:rsidRPr="00573FE5" w:rsidRDefault="00C25759" w:rsidP="00C25759">
            <w:pPr>
              <w:pStyle w:val="TextTi12"/>
              <w:jc w:val="center"/>
              <w:rPr>
                <w:b/>
                <w:szCs w:val="24"/>
                <w:lang w:val="en-GB"/>
              </w:rPr>
            </w:pPr>
            <w:r w:rsidRPr="00573FE5">
              <w:rPr>
                <w:b/>
                <w:szCs w:val="24"/>
                <w:lang w:val="en-GB"/>
              </w:rPr>
              <w:t>Placebo</w:t>
            </w:r>
          </w:p>
          <w:p w:rsidR="00C25759" w:rsidRPr="00573FE5" w:rsidRDefault="00C25759" w:rsidP="00C25759">
            <w:pPr>
              <w:pStyle w:val="TextTi12"/>
              <w:jc w:val="center"/>
              <w:rPr>
                <w:b/>
                <w:szCs w:val="24"/>
                <w:lang w:val="en-GB"/>
              </w:rPr>
            </w:pPr>
            <w:r w:rsidRPr="00573FE5">
              <w:rPr>
                <w:b/>
                <w:szCs w:val="24"/>
                <w:lang w:val="en-GB"/>
              </w:rPr>
              <w:t>n=37</w:t>
            </w:r>
          </w:p>
        </w:tc>
      </w:tr>
      <w:tr w:rsidR="00C25759" w:rsidRPr="00573FE5" w:rsidTr="00C25759">
        <w:tc>
          <w:tcPr>
            <w:tcW w:w="2268" w:type="dxa"/>
          </w:tcPr>
          <w:p w:rsidR="00C25759" w:rsidRPr="00573FE5" w:rsidRDefault="00C25759" w:rsidP="00C25759">
            <w:pPr>
              <w:pStyle w:val="TextTi12"/>
              <w:rPr>
                <w:szCs w:val="24"/>
                <w:lang w:val="en-GB"/>
              </w:rPr>
            </w:pPr>
            <w:r w:rsidRPr="00573FE5">
              <w:rPr>
                <w:szCs w:val="24"/>
                <w:lang w:val="en-GB"/>
              </w:rPr>
              <w:t>ACR 30</w:t>
            </w:r>
          </w:p>
        </w:tc>
        <w:tc>
          <w:tcPr>
            <w:tcW w:w="2040" w:type="dxa"/>
          </w:tcPr>
          <w:p w:rsidR="00C25759" w:rsidRPr="00573FE5" w:rsidRDefault="00C25759" w:rsidP="00C25759">
            <w:pPr>
              <w:pStyle w:val="TextTi12"/>
              <w:jc w:val="center"/>
              <w:rPr>
                <w:szCs w:val="24"/>
                <w:lang w:val="en-GB"/>
              </w:rPr>
            </w:pPr>
            <w:r w:rsidRPr="00573FE5">
              <w:rPr>
                <w:szCs w:val="24"/>
                <w:lang w:val="en-GB"/>
              </w:rPr>
              <w:t>90.7%*</w:t>
            </w:r>
          </w:p>
        </w:tc>
        <w:tc>
          <w:tcPr>
            <w:tcW w:w="1920" w:type="dxa"/>
          </w:tcPr>
          <w:p w:rsidR="00C25759" w:rsidRPr="00573FE5" w:rsidRDefault="00C25759" w:rsidP="00C25759">
            <w:pPr>
              <w:pStyle w:val="TextTi12"/>
              <w:jc w:val="center"/>
              <w:rPr>
                <w:szCs w:val="24"/>
                <w:lang w:val="en-GB"/>
              </w:rPr>
            </w:pPr>
            <w:r w:rsidRPr="00573FE5">
              <w:rPr>
                <w:szCs w:val="24"/>
                <w:lang w:val="en-GB"/>
              </w:rPr>
              <w:t>24.3%</w:t>
            </w:r>
          </w:p>
        </w:tc>
      </w:tr>
      <w:tr w:rsidR="00C25759" w:rsidRPr="00573FE5" w:rsidTr="00C25759">
        <w:tc>
          <w:tcPr>
            <w:tcW w:w="2268" w:type="dxa"/>
          </w:tcPr>
          <w:p w:rsidR="00C25759" w:rsidRPr="00573FE5" w:rsidRDefault="00C25759" w:rsidP="00C25759">
            <w:pPr>
              <w:pStyle w:val="TextTi12"/>
              <w:rPr>
                <w:szCs w:val="24"/>
                <w:lang w:val="en-GB"/>
              </w:rPr>
            </w:pPr>
            <w:r w:rsidRPr="00573FE5">
              <w:rPr>
                <w:szCs w:val="24"/>
                <w:lang w:val="en-GB"/>
              </w:rPr>
              <w:t>ACR 50</w:t>
            </w:r>
          </w:p>
        </w:tc>
        <w:tc>
          <w:tcPr>
            <w:tcW w:w="2040" w:type="dxa"/>
          </w:tcPr>
          <w:p w:rsidR="00C25759" w:rsidRPr="00573FE5" w:rsidRDefault="00C25759" w:rsidP="00C25759">
            <w:pPr>
              <w:pStyle w:val="TextTi12"/>
              <w:jc w:val="center"/>
              <w:rPr>
                <w:szCs w:val="24"/>
                <w:lang w:val="en-GB"/>
              </w:rPr>
            </w:pPr>
            <w:r w:rsidRPr="00573FE5">
              <w:rPr>
                <w:szCs w:val="24"/>
                <w:lang w:val="en-GB"/>
              </w:rPr>
              <w:t>85.3%*</w:t>
            </w:r>
          </w:p>
        </w:tc>
        <w:tc>
          <w:tcPr>
            <w:tcW w:w="1920" w:type="dxa"/>
          </w:tcPr>
          <w:p w:rsidR="00C25759" w:rsidRPr="00573FE5" w:rsidRDefault="00C25759" w:rsidP="00C25759">
            <w:pPr>
              <w:pStyle w:val="TextTi12"/>
              <w:jc w:val="center"/>
              <w:rPr>
                <w:szCs w:val="24"/>
                <w:lang w:val="en-GB"/>
              </w:rPr>
            </w:pPr>
            <w:r w:rsidRPr="00573FE5">
              <w:rPr>
                <w:szCs w:val="24"/>
                <w:lang w:val="en-GB"/>
              </w:rPr>
              <w:t>10.8%</w:t>
            </w:r>
          </w:p>
        </w:tc>
      </w:tr>
      <w:tr w:rsidR="00C25759" w:rsidRPr="00573FE5" w:rsidTr="00C25759">
        <w:tc>
          <w:tcPr>
            <w:tcW w:w="2268" w:type="dxa"/>
          </w:tcPr>
          <w:p w:rsidR="00C25759" w:rsidRPr="00573FE5" w:rsidRDefault="00C25759" w:rsidP="00C25759">
            <w:pPr>
              <w:pStyle w:val="TextTi12"/>
              <w:rPr>
                <w:szCs w:val="24"/>
                <w:lang w:val="en-GB"/>
              </w:rPr>
            </w:pPr>
            <w:r w:rsidRPr="00573FE5">
              <w:rPr>
                <w:szCs w:val="24"/>
                <w:lang w:val="en-GB"/>
              </w:rPr>
              <w:t>ACR 70</w:t>
            </w:r>
          </w:p>
        </w:tc>
        <w:tc>
          <w:tcPr>
            <w:tcW w:w="2040" w:type="dxa"/>
          </w:tcPr>
          <w:p w:rsidR="00C25759" w:rsidRPr="00573FE5" w:rsidRDefault="00C25759" w:rsidP="00C25759">
            <w:pPr>
              <w:pStyle w:val="TextTi12"/>
              <w:jc w:val="center"/>
              <w:rPr>
                <w:szCs w:val="24"/>
                <w:lang w:val="en-GB"/>
              </w:rPr>
            </w:pPr>
            <w:r w:rsidRPr="00573FE5">
              <w:rPr>
                <w:szCs w:val="24"/>
                <w:lang w:val="en-GB"/>
              </w:rPr>
              <w:t>70.7%*</w:t>
            </w:r>
          </w:p>
        </w:tc>
        <w:tc>
          <w:tcPr>
            <w:tcW w:w="1920" w:type="dxa"/>
          </w:tcPr>
          <w:p w:rsidR="00C25759" w:rsidRPr="00573FE5" w:rsidRDefault="00C25759" w:rsidP="00C25759">
            <w:pPr>
              <w:pStyle w:val="TextTi12"/>
              <w:jc w:val="center"/>
              <w:rPr>
                <w:szCs w:val="24"/>
                <w:lang w:val="en-GB"/>
              </w:rPr>
            </w:pPr>
            <w:r w:rsidRPr="00573FE5">
              <w:rPr>
                <w:szCs w:val="24"/>
                <w:lang w:val="en-GB"/>
              </w:rPr>
              <w:t>8.1%</w:t>
            </w:r>
          </w:p>
        </w:tc>
      </w:tr>
      <w:tr w:rsidR="00C25759" w:rsidRPr="00573FE5" w:rsidTr="00C25759">
        <w:tc>
          <w:tcPr>
            <w:tcW w:w="2268" w:type="dxa"/>
          </w:tcPr>
          <w:p w:rsidR="00C25759" w:rsidRPr="00573FE5" w:rsidRDefault="00C25759" w:rsidP="00C25759">
            <w:pPr>
              <w:pStyle w:val="TextTi12"/>
              <w:rPr>
                <w:szCs w:val="24"/>
                <w:lang w:val="en-GB"/>
              </w:rPr>
            </w:pPr>
            <w:r w:rsidRPr="00573FE5">
              <w:rPr>
                <w:szCs w:val="24"/>
                <w:lang w:val="en-GB"/>
              </w:rPr>
              <w:t>ACR 90</w:t>
            </w:r>
          </w:p>
        </w:tc>
        <w:tc>
          <w:tcPr>
            <w:tcW w:w="2040" w:type="dxa"/>
          </w:tcPr>
          <w:p w:rsidR="00C25759" w:rsidRPr="00573FE5" w:rsidRDefault="00C25759" w:rsidP="00C25759">
            <w:pPr>
              <w:pStyle w:val="TextTi12"/>
              <w:jc w:val="center"/>
              <w:rPr>
                <w:szCs w:val="24"/>
                <w:lang w:val="en-GB"/>
              </w:rPr>
            </w:pPr>
            <w:r w:rsidRPr="00573FE5">
              <w:rPr>
                <w:szCs w:val="24"/>
                <w:lang w:val="en-GB"/>
              </w:rPr>
              <w:t>37.3%*</w:t>
            </w:r>
          </w:p>
        </w:tc>
        <w:tc>
          <w:tcPr>
            <w:tcW w:w="1920" w:type="dxa"/>
          </w:tcPr>
          <w:p w:rsidR="00C25759" w:rsidRPr="00573FE5" w:rsidRDefault="00C25759" w:rsidP="00C25759">
            <w:pPr>
              <w:pStyle w:val="TextTi12"/>
              <w:jc w:val="center"/>
              <w:rPr>
                <w:szCs w:val="24"/>
                <w:lang w:val="en-GB"/>
              </w:rPr>
            </w:pPr>
            <w:r w:rsidRPr="00573FE5">
              <w:rPr>
                <w:szCs w:val="24"/>
                <w:lang w:val="en-GB"/>
              </w:rPr>
              <w:t>5.4%</w:t>
            </w:r>
          </w:p>
        </w:tc>
      </w:tr>
    </w:tbl>
    <w:p w:rsidR="00C25759" w:rsidRPr="00573FE5" w:rsidRDefault="00C25759" w:rsidP="00C25759">
      <w:pPr>
        <w:rPr>
          <w:sz w:val="20"/>
          <w:lang w:val="en-GB"/>
        </w:rPr>
      </w:pPr>
      <w:r w:rsidRPr="00573FE5">
        <w:rPr>
          <w:sz w:val="20"/>
          <w:lang w:val="en-GB"/>
        </w:rPr>
        <w:t xml:space="preserve">* p&lt;0.0001, </w:t>
      </w:r>
      <w:r w:rsidR="004E3F35">
        <w:rPr>
          <w:sz w:val="20"/>
          <w:lang w:val="en-GB"/>
        </w:rPr>
        <w:t>ACTEMRA</w:t>
      </w:r>
      <w:r w:rsidR="004E3F35" w:rsidRPr="00573FE5">
        <w:rPr>
          <w:sz w:val="20"/>
          <w:lang w:val="en-GB"/>
        </w:rPr>
        <w:t xml:space="preserve"> </w:t>
      </w:r>
      <w:r w:rsidRPr="00573FE5">
        <w:rPr>
          <w:sz w:val="20"/>
          <w:lang w:val="en-GB"/>
        </w:rPr>
        <w:t>vs. placebo</w:t>
      </w:r>
    </w:p>
    <w:p w:rsidR="00C25759" w:rsidRDefault="00C25759" w:rsidP="00EE7679">
      <w:pPr>
        <w:jc w:val="both"/>
        <w:rPr>
          <w:szCs w:val="24"/>
        </w:rPr>
      </w:pPr>
    </w:p>
    <w:p w:rsidR="00EE7679" w:rsidRDefault="00EE7679" w:rsidP="00EE7679">
      <w:pPr>
        <w:jc w:val="both"/>
        <w:rPr>
          <w:szCs w:val="24"/>
        </w:rPr>
      </w:pPr>
      <w:r>
        <w:rPr>
          <w:szCs w:val="24"/>
        </w:rPr>
        <w:t>Secondary endpoints of the study included the</w:t>
      </w:r>
      <w:r w:rsidRPr="00EE7679">
        <w:rPr>
          <w:szCs w:val="24"/>
        </w:rPr>
        <w:t xml:space="preserve"> proportio</w:t>
      </w:r>
      <w:r>
        <w:rPr>
          <w:szCs w:val="24"/>
        </w:rPr>
        <w:t>n of patients with fever due to sJIA at baseline who were free</w:t>
      </w:r>
      <w:r w:rsidRPr="00EE7679">
        <w:rPr>
          <w:szCs w:val="24"/>
        </w:rPr>
        <w:t xml:space="preserve"> of</w:t>
      </w:r>
      <w:r>
        <w:rPr>
          <w:szCs w:val="24"/>
        </w:rPr>
        <w:t xml:space="preserve"> fever at week 12, corticosteroid tapering, quality of life improvements as measured by CHAQ-DI and </w:t>
      </w:r>
      <w:r w:rsidR="0029709A">
        <w:rPr>
          <w:szCs w:val="24"/>
        </w:rPr>
        <w:t>changes in</w:t>
      </w:r>
      <w:r w:rsidR="00EA32FE">
        <w:rPr>
          <w:szCs w:val="24"/>
        </w:rPr>
        <w:t xml:space="preserve"> labor</w:t>
      </w:r>
      <w:r w:rsidR="0029709A">
        <w:rPr>
          <w:szCs w:val="24"/>
        </w:rPr>
        <w:t>atory parameters.</w:t>
      </w:r>
    </w:p>
    <w:p w:rsidR="00EE7679" w:rsidRDefault="00EE7679" w:rsidP="00C25759">
      <w:pPr>
        <w:rPr>
          <w:szCs w:val="24"/>
        </w:rPr>
      </w:pPr>
    </w:p>
    <w:p w:rsidR="00C25759" w:rsidRPr="004728E5" w:rsidRDefault="00C25759" w:rsidP="00C25759">
      <w:pPr>
        <w:jc w:val="both"/>
        <w:rPr>
          <w:i/>
          <w:szCs w:val="24"/>
        </w:rPr>
      </w:pPr>
      <w:r w:rsidRPr="004728E5">
        <w:rPr>
          <w:i/>
          <w:szCs w:val="24"/>
        </w:rPr>
        <w:t>Systemic Features</w:t>
      </w:r>
    </w:p>
    <w:p w:rsidR="00C25759" w:rsidRDefault="00C25759" w:rsidP="00C25759">
      <w:pPr>
        <w:jc w:val="both"/>
        <w:rPr>
          <w:szCs w:val="24"/>
        </w:rPr>
      </w:pPr>
      <w:r w:rsidRPr="004728E5">
        <w:rPr>
          <w:szCs w:val="24"/>
        </w:rPr>
        <w:t xml:space="preserve">In those patients treated with </w:t>
      </w:r>
      <w:r>
        <w:rPr>
          <w:szCs w:val="24"/>
        </w:rPr>
        <w:t>ACTEMRA</w:t>
      </w:r>
      <w:r w:rsidRPr="004728E5">
        <w:rPr>
          <w:szCs w:val="24"/>
        </w:rPr>
        <w:t>, 85% who had fever due to sJIA at baseline were free of fever (no temperature recording ≥ 37.5°C in the preceding 14 days) at week 12 versus only 21% of placebo patients (</w:t>
      </w:r>
      <w:r>
        <w:rPr>
          <w:szCs w:val="24"/>
        </w:rPr>
        <w:t>p&lt;0.0001), and 64% of ACTEMRA</w:t>
      </w:r>
      <w:r w:rsidR="00067ECA">
        <w:rPr>
          <w:szCs w:val="24"/>
        </w:rPr>
        <w:t>-</w:t>
      </w:r>
      <w:r w:rsidRPr="004728E5">
        <w:rPr>
          <w:szCs w:val="24"/>
        </w:rPr>
        <w:t>treated patients with rash characteristic of sJIA at baseline were free of rash at week 12 versus 11% of placebo patients (p=0.0008).</w:t>
      </w:r>
      <w:r w:rsidR="00C21C0F">
        <w:rPr>
          <w:szCs w:val="24"/>
        </w:rPr>
        <w:t xml:space="preserve"> </w:t>
      </w:r>
    </w:p>
    <w:p w:rsidR="00C25759" w:rsidRPr="004728E5" w:rsidRDefault="00C25759" w:rsidP="00C25759">
      <w:pPr>
        <w:jc w:val="both"/>
        <w:rPr>
          <w:szCs w:val="24"/>
        </w:rPr>
      </w:pPr>
    </w:p>
    <w:p w:rsidR="00C25759" w:rsidRDefault="00C25759" w:rsidP="00C25759">
      <w:pPr>
        <w:jc w:val="both"/>
        <w:rPr>
          <w:szCs w:val="24"/>
        </w:rPr>
      </w:pPr>
      <w:r w:rsidRPr="004728E5">
        <w:rPr>
          <w:szCs w:val="24"/>
        </w:rPr>
        <w:t xml:space="preserve">There was a highly statistically significant reduction in pain for </w:t>
      </w:r>
      <w:r>
        <w:rPr>
          <w:szCs w:val="24"/>
        </w:rPr>
        <w:t>ACTEMRA-</w:t>
      </w:r>
      <w:r w:rsidRPr="004728E5">
        <w:rPr>
          <w:szCs w:val="24"/>
        </w:rPr>
        <w:t xml:space="preserve">treated patients at week 12 in </w:t>
      </w:r>
      <w:r>
        <w:rPr>
          <w:szCs w:val="24"/>
        </w:rPr>
        <w:t>comparison to placebo patients.</w:t>
      </w:r>
      <w:r w:rsidRPr="004728E5">
        <w:rPr>
          <w:szCs w:val="24"/>
        </w:rPr>
        <w:t xml:space="preserve"> The adjusted mean change in the pain VAS after 12 weeks of </w:t>
      </w:r>
      <w:r>
        <w:rPr>
          <w:szCs w:val="24"/>
        </w:rPr>
        <w:t>ACTEMRA</w:t>
      </w:r>
      <w:r w:rsidRPr="004728E5">
        <w:rPr>
          <w:szCs w:val="24"/>
        </w:rPr>
        <w:t xml:space="preserve"> treatment was a reduction of 41 points on a scale of 0 -100 compared to a reduction of 1 for placebo patients (p&lt;0.0001).</w:t>
      </w:r>
    </w:p>
    <w:p w:rsidR="00C25759" w:rsidRDefault="00C25759" w:rsidP="00C25759">
      <w:pPr>
        <w:jc w:val="both"/>
        <w:rPr>
          <w:szCs w:val="24"/>
        </w:rPr>
      </w:pPr>
    </w:p>
    <w:p w:rsidR="00C25759" w:rsidRPr="000148C3" w:rsidRDefault="00C25759" w:rsidP="00C25759">
      <w:pPr>
        <w:jc w:val="both"/>
        <w:rPr>
          <w:i/>
          <w:szCs w:val="24"/>
        </w:rPr>
      </w:pPr>
      <w:r w:rsidRPr="000148C3">
        <w:rPr>
          <w:i/>
          <w:szCs w:val="24"/>
        </w:rPr>
        <w:t>Corticosteroid Tapering</w:t>
      </w:r>
    </w:p>
    <w:p w:rsidR="007602EE" w:rsidRDefault="00C25759" w:rsidP="00C25759">
      <w:pPr>
        <w:jc w:val="both"/>
        <w:rPr>
          <w:szCs w:val="24"/>
        </w:rPr>
      </w:pPr>
      <w:r w:rsidRPr="000148C3">
        <w:rPr>
          <w:szCs w:val="24"/>
        </w:rPr>
        <w:t>Of the 31 placebo and 70</w:t>
      </w:r>
      <w:r>
        <w:rPr>
          <w:szCs w:val="24"/>
        </w:rPr>
        <w:t xml:space="preserve"> ACTEMRA</w:t>
      </w:r>
      <w:r w:rsidRPr="000148C3">
        <w:rPr>
          <w:szCs w:val="24"/>
        </w:rPr>
        <w:t xml:space="preserve"> patients receiving oral corticosteroids at baseline, 8 placebo and 48 </w:t>
      </w:r>
      <w:r>
        <w:rPr>
          <w:szCs w:val="24"/>
        </w:rPr>
        <w:t>ACTEMRA</w:t>
      </w:r>
      <w:r w:rsidRPr="000148C3">
        <w:rPr>
          <w:szCs w:val="24"/>
        </w:rPr>
        <w:t xml:space="preserve"> patients achieved a JIA ACR70 response at week 6 or 8 enabling </w:t>
      </w:r>
      <w:r>
        <w:rPr>
          <w:szCs w:val="24"/>
        </w:rPr>
        <w:t xml:space="preserve">corticosteroid dose reduction. </w:t>
      </w:r>
      <w:r w:rsidRPr="000148C3">
        <w:rPr>
          <w:szCs w:val="24"/>
        </w:rPr>
        <w:t xml:space="preserve">Seventeen (24%) </w:t>
      </w:r>
      <w:r>
        <w:rPr>
          <w:szCs w:val="24"/>
        </w:rPr>
        <w:t>ACTEMRA</w:t>
      </w:r>
      <w:r w:rsidRPr="000148C3">
        <w:rPr>
          <w:szCs w:val="24"/>
        </w:rPr>
        <w:t xml:space="preserve"> patients versus 1 (3%) placebo patient were able to reduce the dose of corticosteroid by at least 20% </w:t>
      </w:r>
      <w:r w:rsidRPr="000148C3">
        <w:rPr>
          <w:szCs w:val="24"/>
        </w:rPr>
        <w:lastRenderedPageBreak/>
        <w:t>without experiencing a subsequent JIA ACR30 flare or occurrence of systemic symptoms to week 12 (p=0.028).</w:t>
      </w:r>
    </w:p>
    <w:p w:rsidR="00C25759" w:rsidRDefault="00C25759" w:rsidP="00C25759">
      <w:pPr>
        <w:jc w:val="both"/>
        <w:rPr>
          <w:szCs w:val="24"/>
        </w:rPr>
      </w:pPr>
      <w:r w:rsidRPr="000148C3">
        <w:rPr>
          <w:szCs w:val="24"/>
        </w:rPr>
        <w:t xml:space="preserve"> </w:t>
      </w:r>
    </w:p>
    <w:p w:rsidR="00C25759" w:rsidRPr="000148C3" w:rsidRDefault="00C25759" w:rsidP="00C25759">
      <w:pPr>
        <w:jc w:val="both"/>
        <w:rPr>
          <w:i/>
          <w:szCs w:val="24"/>
        </w:rPr>
      </w:pPr>
      <w:r w:rsidRPr="000148C3">
        <w:rPr>
          <w:i/>
          <w:szCs w:val="24"/>
        </w:rPr>
        <w:t>Quality of Life</w:t>
      </w:r>
    </w:p>
    <w:p w:rsidR="00C25759" w:rsidRDefault="00C25759" w:rsidP="00C25759">
      <w:pPr>
        <w:jc w:val="both"/>
        <w:rPr>
          <w:szCs w:val="24"/>
        </w:rPr>
      </w:pPr>
      <w:r w:rsidRPr="000148C3">
        <w:rPr>
          <w:szCs w:val="24"/>
        </w:rPr>
        <w:t xml:space="preserve">At week 12, the proportion of </w:t>
      </w:r>
      <w:r>
        <w:rPr>
          <w:szCs w:val="24"/>
        </w:rPr>
        <w:t>ACT</w:t>
      </w:r>
      <w:r w:rsidR="00067ECA">
        <w:rPr>
          <w:szCs w:val="24"/>
        </w:rPr>
        <w:t>EM</w:t>
      </w:r>
      <w:r>
        <w:rPr>
          <w:szCs w:val="24"/>
        </w:rPr>
        <w:t>RA-</w:t>
      </w:r>
      <w:r w:rsidRPr="000148C3">
        <w:rPr>
          <w:szCs w:val="24"/>
        </w:rPr>
        <w:t xml:space="preserve">treated patients showing a minimally clinically important improvement in CHAQ-DI (defined as an individual total score decrease of ≥0.13) was significantly higher than in patients receiving placebo, 77% versus 19% (p&lt;0.0001). </w:t>
      </w:r>
    </w:p>
    <w:p w:rsidR="00C25759" w:rsidRDefault="00C25759" w:rsidP="00C25759">
      <w:pPr>
        <w:jc w:val="both"/>
        <w:rPr>
          <w:szCs w:val="24"/>
        </w:rPr>
      </w:pPr>
    </w:p>
    <w:p w:rsidR="00C25759" w:rsidRPr="000148C3" w:rsidRDefault="00C25759" w:rsidP="00C25759">
      <w:pPr>
        <w:jc w:val="both"/>
        <w:rPr>
          <w:i/>
          <w:szCs w:val="24"/>
        </w:rPr>
      </w:pPr>
      <w:r w:rsidRPr="000148C3">
        <w:rPr>
          <w:i/>
          <w:szCs w:val="24"/>
        </w:rPr>
        <w:t>Laboratory Parameters</w:t>
      </w:r>
    </w:p>
    <w:p w:rsidR="00C25759" w:rsidRDefault="00C25759" w:rsidP="00C25759">
      <w:pPr>
        <w:jc w:val="both"/>
        <w:rPr>
          <w:szCs w:val="24"/>
        </w:rPr>
      </w:pPr>
      <w:r w:rsidRPr="000148C3">
        <w:rPr>
          <w:szCs w:val="24"/>
        </w:rPr>
        <w:t xml:space="preserve">Fifty out of </w:t>
      </w:r>
      <w:r>
        <w:rPr>
          <w:szCs w:val="24"/>
        </w:rPr>
        <w:t>75</w:t>
      </w:r>
      <w:r w:rsidRPr="000148C3">
        <w:rPr>
          <w:szCs w:val="24"/>
        </w:rPr>
        <w:t xml:space="preserve"> (67%) patients treated with </w:t>
      </w:r>
      <w:r>
        <w:rPr>
          <w:szCs w:val="24"/>
        </w:rPr>
        <w:t>ACTEMRA</w:t>
      </w:r>
      <w:r w:rsidRPr="000148C3">
        <w:rPr>
          <w:szCs w:val="24"/>
        </w:rPr>
        <w:t xml:space="preserve"> had a</w:t>
      </w:r>
      <w:r>
        <w:rPr>
          <w:szCs w:val="24"/>
        </w:rPr>
        <w:t xml:space="preserve"> haemoglobin &lt; LLN at baseline.</w:t>
      </w:r>
      <w:r w:rsidRPr="000148C3">
        <w:rPr>
          <w:szCs w:val="24"/>
        </w:rPr>
        <w:t xml:space="preserve"> Forty (80%) of these patients with decreased haemoglobin had an increase in their haemoglobin to within the normal range at week 12, in comparison to only 2 out of 29 (7%) of placebo patients with haemoglobi</w:t>
      </w:r>
      <w:r>
        <w:rPr>
          <w:szCs w:val="24"/>
        </w:rPr>
        <w:t>n &lt; LLN at baseline (p&lt;0.0001). Forty-</w:t>
      </w:r>
      <w:r w:rsidRPr="000148C3">
        <w:rPr>
          <w:szCs w:val="24"/>
        </w:rPr>
        <w:t xml:space="preserve">four (88%) </w:t>
      </w:r>
      <w:r>
        <w:rPr>
          <w:szCs w:val="24"/>
        </w:rPr>
        <w:t>ACTEMRA</w:t>
      </w:r>
      <w:r w:rsidRPr="000148C3">
        <w:rPr>
          <w:szCs w:val="24"/>
        </w:rPr>
        <w:t xml:space="preserve"> patients with decreased haemoglobin at baseline had an increase in their haemoglobin by ≥10 g/L at week 6 versus 1 (3%) placebo patient (p&lt;0.0001).</w:t>
      </w:r>
    </w:p>
    <w:p w:rsidR="00C25759" w:rsidRPr="000148C3" w:rsidRDefault="00C25759" w:rsidP="00C25759">
      <w:pPr>
        <w:jc w:val="both"/>
        <w:rPr>
          <w:szCs w:val="24"/>
        </w:rPr>
      </w:pPr>
    </w:p>
    <w:p w:rsidR="00C25759" w:rsidRDefault="00C25759" w:rsidP="00C25759">
      <w:pPr>
        <w:jc w:val="both"/>
        <w:rPr>
          <w:szCs w:val="24"/>
        </w:rPr>
      </w:pPr>
      <w:r w:rsidRPr="000148C3">
        <w:rPr>
          <w:szCs w:val="24"/>
        </w:rPr>
        <w:t xml:space="preserve">The proportion of </w:t>
      </w:r>
      <w:r>
        <w:rPr>
          <w:szCs w:val="24"/>
        </w:rPr>
        <w:t>ACTEMRA-</w:t>
      </w:r>
      <w:r w:rsidRPr="000148C3">
        <w:rPr>
          <w:szCs w:val="24"/>
        </w:rPr>
        <w:t>treated patients with thrombocytosis at baseline who had a normal platelet count at week 12 was significantly higher than in the placebo patients, 90% versus 4%, (p&lt;0.0001).</w:t>
      </w:r>
    </w:p>
    <w:p w:rsidR="00C25759" w:rsidRPr="000148C3" w:rsidRDefault="00C25759" w:rsidP="00C25759">
      <w:pPr>
        <w:jc w:val="both"/>
        <w:rPr>
          <w:szCs w:val="24"/>
        </w:rPr>
      </w:pPr>
    </w:p>
    <w:p w:rsidR="00C25759" w:rsidRDefault="00C25759" w:rsidP="00C25759">
      <w:pPr>
        <w:pStyle w:val="TextTi12"/>
      </w:pPr>
      <w:r w:rsidRPr="000148C3">
        <w:rPr>
          <w:szCs w:val="24"/>
        </w:rPr>
        <w:t xml:space="preserve">A marked decrease in mean levels of acute phase reactants, CRP, ESR, and serum amyloid A occurred rapidly after </w:t>
      </w:r>
      <w:r>
        <w:rPr>
          <w:szCs w:val="24"/>
        </w:rPr>
        <w:t>ACTEMRA administration.</w:t>
      </w:r>
    </w:p>
    <w:p w:rsidR="00194929" w:rsidRPr="003738F6" w:rsidRDefault="003738F6" w:rsidP="003738F6">
      <w:pPr>
        <w:pStyle w:val="Heading2"/>
        <w:numPr>
          <w:ilvl w:val="0"/>
          <w:numId w:val="0"/>
        </w:numPr>
        <w:rPr>
          <w:rFonts w:ascii="Times New Roman" w:hAnsi="Times New Roman" w:cs="Times New Roman"/>
          <w:sz w:val="28"/>
        </w:rPr>
      </w:pPr>
      <w:r w:rsidRPr="003738F6">
        <w:rPr>
          <w:rFonts w:ascii="Times New Roman" w:hAnsi="Times New Roman" w:cs="Times New Roman"/>
          <w:sz w:val="28"/>
        </w:rPr>
        <w:t>INDICATIONS</w:t>
      </w:r>
    </w:p>
    <w:p w:rsidR="00C25759" w:rsidRDefault="00C25759" w:rsidP="00DC379F">
      <w:pPr>
        <w:jc w:val="both"/>
      </w:pPr>
      <w:bookmarkStart w:id="5" w:name="OLE_LINK13"/>
      <w:bookmarkStart w:id="6" w:name="OLE_LINK14"/>
      <w:r w:rsidRPr="00195E94">
        <w:rPr>
          <w:b/>
        </w:rPr>
        <w:t>Rheumatoid Arthritis</w:t>
      </w:r>
    </w:p>
    <w:p w:rsidR="003C244F" w:rsidRDefault="001E4E6E" w:rsidP="00CA5641">
      <w:pPr>
        <w:jc w:val="both"/>
      </w:pPr>
      <w:r>
        <w:t>ACTEMRA is indicated for the treatment of moderate to severe active rheumatoid arthritis (RA) in adult patients</w:t>
      </w:r>
      <w:r w:rsidR="003C244F" w:rsidRPr="003C244F">
        <w:t xml:space="preserve"> </w:t>
      </w:r>
      <w:r w:rsidR="003C244F">
        <w:t>in combination with methotrexate (MTX) or other non-biological disease-modifying anti-rheumatic drugs (DMARDs) in case of either an inadequate response or intolerance to previous therapy with one or more DMARDs.</w:t>
      </w:r>
    </w:p>
    <w:p w:rsidR="00703465" w:rsidRDefault="00703465" w:rsidP="00DC379F">
      <w:pPr>
        <w:jc w:val="both"/>
      </w:pPr>
    </w:p>
    <w:p w:rsidR="00703465" w:rsidRDefault="00703465" w:rsidP="00703465">
      <w:pPr>
        <w:tabs>
          <w:tab w:val="left" w:pos="0"/>
        </w:tabs>
        <w:jc w:val="both"/>
      </w:pPr>
      <w:r>
        <w:t xml:space="preserve">ACTEMRA is indicated for the treatment of moderate to severe active rheumatoid arthritis in adult patients with poor prognostic factors (see </w:t>
      </w:r>
      <w:r>
        <w:rPr>
          <w:i/>
        </w:rPr>
        <w:t>CLINICAL TRIALS</w:t>
      </w:r>
      <w:r>
        <w:t>) in combination with MTX in those not previously treated with MTX.</w:t>
      </w:r>
    </w:p>
    <w:bookmarkEnd w:id="5"/>
    <w:bookmarkEnd w:id="6"/>
    <w:p w:rsidR="00CF14FF" w:rsidRDefault="00CF14FF" w:rsidP="00F7303C"/>
    <w:p w:rsidR="003C244F" w:rsidRDefault="003C244F" w:rsidP="003C244F">
      <w:pPr>
        <w:jc w:val="both"/>
      </w:pPr>
      <w:r>
        <w:t xml:space="preserve">In the two groups </w:t>
      </w:r>
      <w:r w:rsidR="00703465">
        <w:t xml:space="preserve">of patients </w:t>
      </w:r>
      <w:r>
        <w:t>above, ACTEMRA can be given as monotherapy in case of intolerance to MTX or where continued treatment with MTX is inappropriate.</w:t>
      </w:r>
    </w:p>
    <w:p w:rsidR="003C244F" w:rsidRDefault="003C244F" w:rsidP="0014249D">
      <w:pPr>
        <w:jc w:val="both"/>
      </w:pPr>
    </w:p>
    <w:p w:rsidR="004E3BED" w:rsidRDefault="004E3BED" w:rsidP="0014249D">
      <w:pPr>
        <w:jc w:val="both"/>
      </w:pPr>
      <w:r>
        <w:t>ACTEMRA has been shown to inhibit the progression of joint damage</w:t>
      </w:r>
      <w:r w:rsidR="0014249D">
        <w:t xml:space="preserve"> in adults</w:t>
      </w:r>
      <w:r w:rsidR="00E053D0">
        <w:t>,</w:t>
      </w:r>
      <w:r>
        <w:t xml:space="preserve"> as measured by X-ray</w:t>
      </w:r>
      <w:r w:rsidR="00E053D0">
        <w:t>,</w:t>
      </w:r>
      <w:r>
        <w:t xml:space="preserve"> when given in combination with methotrexate.</w:t>
      </w:r>
    </w:p>
    <w:p w:rsidR="004E3BED" w:rsidRDefault="004E3BED" w:rsidP="00B81DBF">
      <w:pPr>
        <w:jc w:val="both"/>
      </w:pPr>
    </w:p>
    <w:p w:rsidR="00066F99" w:rsidRPr="00195E94" w:rsidRDefault="00066F99" w:rsidP="00713438">
      <w:pPr>
        <w:jc w:val="both"/>
        <w:rPr>
          <w:b/>
        </w:rPr>
      </w:pPr>
      <w:r>
        <w:rPr>
          <w:b/>
        </w:rPr>
        <w:t>Polyarticular Juvenile Idiopathic Arthritis</w:t>
      </w:r>
    </w:p>
    <w:p w:rsidR="00066F99" w:rsidRDefault="00066F99" w:rsidP="00713438">
      <w:pPr>
        <w:jc w:val="both"/>
      </w:pPr>
      <w:r>
        <w:lastRenderedPageBreak/>
        <w:t>ACTEMRA</w:t>
      </w:r>
      <w:r w:rsidRPr="00195E94">
        <w:t xml:space="preserve"> is indicated for the treatment of </w:t>
      </w:r>
      <w:r>
        <w:t xml:space="preserve">moderate to severe </w:t>
      </w:r>
      <w:r w:rsidRPr="00195E94">
        <w:t xml:space="preserve">active </w:t>
      </w:r>
      <w:r>
        <w:t>polyarticular</w:t>
      </w:r>
      <w:r w:rsidRPr="00195E94">
        <w:t xml:space="preserve"> juvenile idiopathic arthritis in patients 2 years of age and older</w:t>
      </w:r>
      <w:r w:rsidR="00713438">
        <w:t xml:space="preserve"> who have had an inadequate response to or intolerance to methotrexate (MTX)</w:t>
      </w:r>
      <w:r>
        <w:t>.</w:t>
      </w:r>
      <w:r w:rsidRPr="00195E94">
        <w:t xml:space="preserve"> </w:t>
      </w:r>
      <w:r>
        <w:t>ACTEMRA</w:t>
      </w:r>
      <w:r w:rsidRPr="00195E94">
        <w:t xml:space="preserve"> can be given alone or in combination with </w:t>
      </w:r>
      <w:r w:rsidR="00713438">
        <w:t>MTX</w:t>
      </w:r>
      <w:r w:rsidRPr="00195E94">
        <w:t>.</w:t>
      </w:r>
    </w:p>
    <w:p w:rsidR="007602EE" w:rsidRDefault="007602EE" w:rsidP="00713438">
      <w:pPr>
        <w:jc w:val="both"/>
      </w:pPr>
    </w:p>
    <w:p w:rsidR="00C25759" w:rsidRPr="00195E94" w:rsidRDefault="00C25759" w:rsidP="00C25759">
      <w:pPr>
        <w:jc w:val="both"/>
        <w:rPr>
          <w:b/>
        </w:rPr>
      </w:pPr>
      <w:r>
        <w:rPr>
          <w:b/>
        </w:rPr>
        <w:t>Systemic Juvenile Idiopathic Arthritis</w:t>
      </w:r>
    </w:p>
    <w:p w:rsidR="00C25759" w:rsidRPr="00195E94" w:rsidRDefault="00C25759" w:rsidP="00C25759">
      <w:pPr>
        <w:jc w:val="both"/>
      </w:pPr>
      <w:r>
        <w:t>ACTEMRA</w:t>
      </w:r>
      <w:r w:rsidRPr="00195E94">
        <w:t xml:space="preserve"> is indicated for the treatment of active systemic juvenile idiopathic arthritis in patients 2 years of age and older</w:t>
      </w:r>
      <w:r>
        <w:t>.</w:t>
      </w:r>
      <w:r w:rsidRPr="00195E94">
        <w:t xml:space="preserve"> </w:t>
      </w:r>
      <w:r>
        <w:t>ACTEMRA</w:t>
      </w:r>
      <w:r w:rsidRPr="00195E94">
        <w:t xml:space="preserve"> can be given alone or in combination with </w:t>
      </w:r>
      <w:r>
        <w:t>methotrexate (MTX)</w:t>
      </w:r>
      <w:r w:rsidRPr="00195E94">
        <w:t>.</w:t>
      </w:r>
    </w:p>
    <w:p w:rsidR="00C25759" w:rsidRDefault="00C25759" w:rsidP="00F7303C"/>
    <w:p w:rsidR="00194929" w:rsidRPr="00A91DF9" w:rsidRDefault="00A91DF9" w:rsidP="00A91DF9">
      <w:pPr>
        <w:pStyle w:val="Heading2"/>
        <w:numPr>
          <w:ilvl w:val="0"/>
          <w:numId w:val="0"/>
        </w:numPr>
        <w:rPr>
          <w:rFonts w:ascii="Times New Roman" w:hAnsi="Times New Roman" w:cs="Times New Roman"/>
          <w:sz w:val="28"/>
        </w:rPr>
      </w:pPr>
      <w:r>
        <w:rPr>
          <w:rFonts w:ascii="Times New Roman" w:hAnsi="Times New Roman" w:cs="Times New Roman"/>
          <w:sz w:val="28"/>
        </w:rPr>
        <w:t>CONTRAINDICATIONS</w:t>
      </w:r>
    </w:p>
    <w:p w:rsidR="001E4E6E" w:rsidRDefault="001E4E6E" w:rsidP="00F7303C">
      <w:pPr>
        <w:jc w:val="both"/>
      </w:pPr>
      <w:r>
        <w:t>ACTEMRA</w:t>
      </w:r>
      <w:r w:rsidR="00C06372">
        <w:t xml:space="preserve"> is contraindicated in patients with</w:t>
      </w:r>
      <w:r>
        <w:t>:</w:t>
      </w:r>
    </w:p>
    <w:p w:rsidR="001E4E6E" w:rsidRDefault="001E4E6E" w:rsidP="00F7303C">
      <w:pPr>
        <w:jc w:val="both"/>
      </w:pPr>
    </w:p>
    <w:p w:rsidR="001E4E6E" w:rsidRDefault="00C06372" w:rsidP="001E4E6E">
      <w:pPr>
        <w:numPr>
          <w:ilvl w:val="0"/>
          <w:numId w:val="31"/>
        </w:numPr>
        <w:jc w:val="both"/>
      </w:pPr>
      <w:r>
        <w:t>know</w:t>
      </w:r>
      <w:r w:rsidR="0063235F">
        <w:t>n</w:t>
      </w:r>
      <w:r>
        <w:t xml:space="preserve"> hypersensitivity </w:t>
      </w:r>
      <w:r w:rsidR="00C43B79">
        <w:t>to any component of the product</w:t>
      </w:r>
      <w:r w:rsidR="004E076C">
        <w:t xml:space="preserve"> or with a history of any reaction consistent with hypersensitivity to any component of the product</w:t>
      </w:r>
      <w:r w:rsidR="00C43B79">
        <w:t>,</w:t>
      </w:r>
      <w:r>
        <w:t xml:space="preserve"> </w:t>
      </w:r>
      <w:r w:rsidR="00C43B79">
        <w:t>Chinese hamster ovary cell products or other recombinant human or humanised antibodies</w:t>
      </w:r>
    </w:p>
    <w:p w:rsidR="00FE1D83" w:rsidRDefault="009058F1" w:rsidP="001E4E6E">
      <w:pPr>
        <w:numPr>
          <w:ilvl w:val="0"/>
          <w:numId w:val="31"/>
        </w:numPr>
        <w:jc w:val="both"/>
      </w:pPr>
      <w:r>
        <w:t>a</w:t>
      </w:r>
      <w:r w:rsidR="001E4E6E">
        <w:t>ctive, severe infections</w:t>
      </w:r>
      <w:r w:rsidR="00C47A2F">
        <w:t xml:space="preserve"> (</w:t>
      </w:r>
      <w:r w:rsidR="009947B1">
        <w:t>See PRECAUTIONS</w:t>
      </w:r>
      <w:r w:rsidR="00C47A2F">
        <w:t>)</w:t>
      </w:r>
    </w:p>
    <w:p w:rsidR="00F7303C" w:rsidRPr="00E04225" w:rsidRDefault="00F7303C" w:rsidP="00F7303C"/>
    <w:p w:rsidR="00AE62BD" w:rsidRPr="00F7303C" w:rsidRDefault="00AE62BD" w:rsidP="00AE62BD">
      <w:pPr>
        <w:pStyle w:val="Heading2"/>
        <w:numPr>
          <w:ilvl w:val="0"/>
          <w:numId w:val="0"/>
        </w:numPr>
        <w:rPr>
          <w:rFonts w:ascii="Times New Roman" w:hAnsi="Times New Roman" w:cs="Times New Roman"/>
          <w:sz w:val="28"/>
        </w:rPr>
      </w:pPr>
      <w:r w:rsidRPr="00F7303C">
        <w:rPr>
          <w:rFonts w:ascii="Times New Roman" w:hAnsi="Times New Roman" w:cs="Times New Roman"/>
          <w:sz w:val="28"/>
        </w:rPr>
        <w:t>PRECAUTIONS</w:t>
      </w:r>
    </w:p>
    <w:p w:rsidR="00703465" w:rsidRDefault="004B0834" w:rsidP="005B22FA">
      <w:r w:rsidRPr="004B0834">
        <w:t>In order to improve</w:t>
      </w:r>
      <w:r>
        <w:t xml:space="preserve"> the</w:t>
      </w:r>
      <w:r w:rsidRPr="004B0834">
        <w:t xml:space="preserve"> traceability of biological medicinal products, the tradename of the administered product should be clearly recorded in the patient medical record.</w:t>
      </w:r>
      <w:r w:rsidR="00CD31BB">
        <w:t xml:space="preserve">  </w:t>
      </w:r>
    </w:p>
    <w:p w:rsidR="00703465" w:rsidRDefault="00703465" w:rsidP="005B22FA"/>
    <w:p w:rsidR="004B0834" w:rsidRPr="00CB3626" w:rsidRDefault="00CD31BB" w:rsidP="005B22FA">
      <w:r w:rsidRPr="00CD31BB">
        <w:t>Substitution by any other biological medicinal product requires the consent of the prescribing physician</w:t>
      </w:r>
      <w:r w:rsidR="000C49ED">
        <w:t>.</w:t>
      </w:r>
    </w:p>
    <w:p w:rsidR="004B0834" w:rsidRDefault="004B0834" w:rsidP="005B22FA">
      <w:pPr>
        <w:rPr>
          <w:b/>
        </w:rPr>
      </w:pPr>
    </w:p>
    <w:p w:rsidR="005B22FA" w:rsidRPr="00B77EC5" w:rsidRDefault="005B22FA" w:rsidP="005B22FA">
      <w:pPr>
        <w:rPr>
          <w:b/>
        </w:rPr>
      </w:pPr>
      <w:r w:rsidRPr="00B77EC5">
        <w:rPr>
          <w:b/>
        </w:rPr>
        <w:t>All Indications</w:t>
      </w:r>
    </w:p>
    <w:p w:rsidR="00AE62BD" w:rsidRPr="00AE62BD" w:rsidRDefault="00AE62BD" w:rsidP="00AE62BD">
      <w:pPr>
        <w:pStyle w:val="Heading3"/>
        <w:numPr>
          <w:ilvl w:val="0"/>
          <w:numId w:val="0"/>
        </w:numPr>
        <w:rPr>
          <w:rFonts w:ascii="Times New Roman" w:hAnsi="Times New Roman" w:cs="Times New Roman"/>
        </w:rPr>
      </w:pPr>
      <w:r w:rsidRPr="00AE62BD">
        <w:rPr>
          <w:rFonts w:ascii="Times New Roman" w:hAnsi="Times New Roman" w:cs="Times New Roman"/>
        </w:rPr>
        <w:t>Infections</w:t>
      </w:r>
    </w:p>
    <w:p w:rsidR="00AE62BD" w:rsidRDefault="0057253D" w:rsidP="00AE62BD">
      <w:pPr>
        <w:jc w:val="both"/>
      </w:pPr>
      <w:r>
        <w:t xml:space="preserve">Serious and sometimes fatal infections have been reported in patients receiving immunosuppressive agents including ACTEMRA (see ADVERSE EFFECTS). </w:t>
      </w:r>
      <w:r w:rsidR="00566196">
        <w:t>ACTEMRA</w:t>
      </w:r>
      <w:r w:rsidR="00AE62BD" w:rsidRPr="00060C9A">
        <w:t xml:space="preserve"> treatment should not be initiated in patients with active infections</w:t>
      </w:r>
      <w:r w:rsidR="00566196">
        <w:t xml:space="preserve"> (see CONTRAINDICATIONS)</w:t>
      </w:r>
      <w:r w:rsidR="00AE62BD" w:rsidRPr="00060C9A">
        <w:t>.</w:t>
      </w:r>
      <w:r w:rsidR="00AE62BD">
        <w:t xml:space="preserve"> </w:t>
      </w:r>
      <w:r w:rsidR="005153B1">
        <w:rPr>
          <w:lang w:eastAsia="en-US"/>
        </w:rPr>
        <w:t>I</w:t>
      </w:r>
      <w:r w:rsidR="005153B1" w:rsidRPr="00060C9A">
        <w:rPr>
          <w:lang w:eastAsia="en-US"/>
        </w:rPr>
        <w:t>f a patient develops a serious infection</w:t>
      </w:r>
      <w:r w:rsidR="005153B1">
        <w:rPr>
          <w:lang w:eastAsia="en-US"/>
        </w:rPr>
        <w:t>,</w:t>
      </w:r>
      <w:r w:rsidR="005153B1" w:rsidRPr="00060C9A">
        <w:rPr>
          <w:lang w:eastAsia="en-US"/>
        </w:rPr>
        <w:t xml:space="preserve"> </w:t>
      </w:r>
      <w:r w:rsidR="005153B1">
        <w:rPr>
          <w:lang w:eastAsia="en-US"/>
        </w:rPr>
        <w:t>a</w:t>
      </w:r>
      <w:r w:rsidR="00AE62BD" w:rsidRPr="00060C9A">
        <w:rPr>
          <w:lang w:eastAsia="en-US"/>
        </w:rPr>
        <w:t xml:space="preserve">dministration of </w:t>
      </w:r>
      <w:r w:rsidR="00566196">
        <w:rPr>
          <w:lang w:eastAsia="en-US"/>
        </w:rPr>
        <w:t>ACTEMRA</w:t>
      </w:r>
      <w:r w:rsidR="00AE62BD" w:rsidRPr="00060C9A">
        <w:rPr>
          <w:lang w:eastAsia="en-US"/>
        </w:rPr>
        <w:t xml:space="preserve"> should be interrupted</w:t>
      </w:r>
      <w:r w:rsidR="005153B1">
        <w:rPr>
          <w:lang w:eastAsia="en-US"/>
        </w:rPr>
        <w:t xml:space="preserve"> </w:t>
      </w:r>
      <w:r w:rsidR="00AE62BD" w:rsidRPr="00060C9A">
        <w:rPr>
          <w:lang w:eastAsia="en-US"/>
        </w:rPr>
        <w:t xml:space="preserve">until </w:t>
      </w:r>
      <w:r w:rsidR="00AE62BD">
        <w:rPr>
          <w:lang w:eastAsia="en-US"/>
        </w:rPr>
        <w:t xml:space="preserve">the </w:t>
      </w:r>
      <w:r w:rsidR="00AE62BD" w:rsidRPr="00060C9A">
        <w:rPr>
          <w:lang w:eastAsia="en-US"/>
        </w:rPr>
        <w:t xml:space="preserve">infection </w:t>
      </w:r>
      <w:r w:rsidR="00AE62BD">
        <w:rPr>
          <w:lang w:eastAsia="en-US"/>
        </w:rPr>
        <w:t>is</w:t>
      </w:r>
      <w:r w:rsidR="00AE62BD" w:rsidRPr="00060C9A">
        <w:rPr>
          <w:lang w:eastAsia="en-US"/>
        </w:rPr>
        <w:t xml:space="preserve"> controlled.</w:t>
      </w:r>
      <w:r w:rsidR="00566196">
        <w:rPr>
          <w:lang w:eastAsia="en-US"/>
        </w:rPr>
        <w:t xml:space="preserve"> </w:t>
      </w:r>
      <w:r w:rsidR="00AE62BD" w:rsidRPr="00060C9A">
        <w:rPr>
          <w:lang w:eastAsia="en-US"/>
        </w:rPr>
        <w:t xml:space="preserve">Physicians should exercise caution when considering the use of </w:t>
      </w:r>
      <w:r w:rsidR="00566196">
        <w:rPr>
          <w:lang w:eastAsia="en-US"/>
        </w:rPr>
        <w:t>ACTEMRA</w:t>
      </w:r>
      <w:r w:rsidR="00AE62BD" w:rsidRPr="00060C9A">
        <w:rPr>
          <w:lang w:eastAsia="en-US"/>
        </w:rPr>
        <w:t xml:space="preserve"> in patients with a history of recurring </w:t>
      </w:r>
      <w:r w:rsidR="00566196">
        <w:rPr>
          <w:lang w:eastAsia="en-US"/>
        </w:rPr>
        <w:t xml:space="preserve">or chronic </w:t>
      </w:r>
      <w:r w:rsidR="00AE62BD" w:rsidRPr="00060C9A">
        <w:rPr>
          <w:lang w:eastAsia="en-US"/>
        </w:rPr>
        <w:t>infection</w:t>
      </w:r>
      <w:r w:rsidR="00566196">
        <w:rPr>
          <w:lang w:eastAsia="en-US"/>
        </w:rPr>
        <w:t>,</w:t>
      </w:r>
      <w:r w:rsidR="00AE62BD" w:rsidRPr="00060C9A">
        <w:rPr>
          <w:lang w:eastAsia="en-US"/>
        </w:rPr>
        <w:t xml:space="preserve"> or with underlying conditions </w:t>
      </w:r>
      <w:r w:rsidR="00AE62BD">
        <w:rPr>
          <w:lang w:eastAsia="en-US"/>
        </w:rPr>
        <w:t xml:space="preserve">(e.g. diverticulitis, diabetes) </w:t>
      </w:r>
      <w:r w:rsidR="00AE62BD" w:rsidRPr="00060C9A">
        <w:rPr>
          <w:lang w:eastAsia="en-US"/>
        </w:rPr>
        <w:t>which may predispose patients to infections</w:t>
      </w:r>
      <w:r w:rsidR="00AE62BD">
        <w:t>.</w:t>
      </w:r>
    </w:p>
    <w:p w:rsidR="00AE62BD" w:rsidRPr="00060C9A" w:rsidRDefault="00AE62BD" w:rsidP="00AE62BD">
      <w:pPr>
        <w:jc w:val="both"/>
      </w:pPr>
    </w:p>
    <w:p w:rsidR="00AE62BD" w:rsidRDefault="00AE62BD" w:rsidP="00AE62BD">
      <w:pPr>
        <w:jc w:val="both"/>
      </w:pPr>
      <w:r w:rsidRPr="006A6308">
        <w:t>Vigilance for the timely detection of serious infection is recommended for patients receiving biologic treatments for moderate to severe RA</w:t>
      </w:r>
      <w:r w:rsidR="00066F99">
        <w:t>, pJIA</w:t>
      </w:r>
      <w:r w:rsidRPr="006A6308">
        <w:t xml:space="preserve"> </w:t>
      </w:r>
      <w:r w:rsidR="005B22FA">
        <w:t xml:space="preserve">or sJIA </w:t>
      </w:r>
      <w:r w:rsidRPr="006A6308">
        <w:t>as signs and symptoms of acute inflammation may be lessened, associated with suppression of the acute phase reaction.</w:t>
      </w:r>
      <w:r w:rsidR="00566196">
        <w:t xml:space="preserve"> The effects of </w:t>
      </w:r>
      <w:r w:rsidR="004E3F35">
        <w:t xml:space="preserve">ACTEMRA </w:t>
      </w:r>
      <w:r w:rsidR="00566196">
        <w:t xml:space="preserve">on C-reactive protein (CRP), neutrophils and signs and symptoms of infection should be considered when evaluating a patient for a </w:t>
      </w:r>
      <w:r w:rsidR="00566196">
        <w:lastRenderedPageBreak/>
        <w:t>potential infection.</w:t>
      </w:r>
      <w:r>
        <w:t xml:space="preserve"> </w:t>
      </w:r>
      <w:r w:rsidRPr="00306060">
        <w:t xml:space="preserve">Patients </w:t>
      </w:r>
      <w:r w:rsidR="005B22FA">
        <w:t>and parents/guardians of minors with</w:t>
      </w:r>
      <w:r w:rsidR="00066F99">
        <w:t xml:space="preserve"> pJIA or</w:t>
      </w:r>
      <w:r w:rsidR="005B22FA">
        <w:t xml:space="preserve"> sJIA </w:t>
      </w:r>
      <w:r w:rsidRPr="00306060">
        <w:t>should be instructed to contact a physician immediately when any</w:t>
      </w:r>
      <w:r>
        <w:t xml:space="preserve"> </w:t>
      </w:r>
      <w:r w:rsidRPr="00D02A79">
        <w:t xml:space="preserve">symptoms </w:t>
      </w:r>
      <w:r>
        <w:t>suggesting</w:t>
      </w:r>
      <w:r w:rsidRPr="00D02A79">
        <w:t xml:space="preserve"> infection appear</w:t>
      </w:r>
      <w:r>
        <w:t>, in order to assure rapid evaluation and appropriate treatment</w:t>
      </w:r>
      <w:r w:rsidRPr="00D02A79">
        <w:t>.</w:t>
      </w:r>
    </w:p>
    <w:p w:rsidR="00236387" w:rsidRDefault="00236387" w:rsidP="00AE62BD">
      <w:pPr>
        <w:jc w:val="both"/>
        <w:rPr>
          <w:lang w:eastAsia="en-US"/>
        </w:rPr>
      </w:pPr>
    </w:p>
    <w:p w:rsidR="004A3A81" w:rsidRPr="003E4937" w:rsidRDefault="004A3A81" w:rsidP="00AE62BD">
      <w:pPr>
        <w:jc w:val="both"/>
        <w:rPr>
          <w:szCs w:val="24"/>
        </w:rPr>
      </w:pPr>
      <w:r w:rsidRPr="003E4937">
        <w:rPr>
          <w:szCs w:val="24"/>
          <w:lang w:eastAsia="en-US"/>
        </w:rPr>
        <w:t xml:space="preserve">The use of ACTEMRA is not recommended in patients with HIV, positive core antibody for hepatitis B, prior HCV infection, or symptomatic EBV infection. </w:t>
      </w:r>
      <w:r w:rsidR="00DE44A5" w:rsidRPr="003E4937">
        <w:rPr>
          <w:szCs w:val="24"/>
        </w:rPr>
        <w:t>Viral reactivation (e.g. hepatitis B) has been reported with biologic therapies for RA.</w:t>
      </w:r>
      <w:r w:rsidR="00845907" w:rsidRPr="003E4937">
        <w:rPr>
          <w:szCs w:val="24"/>
        </w:rPr>
        <w:t xml:space="preserve"> In clinical studies with ACTEMRA, patients who screened positive for hepatitis were excluded.</w:t>
      </w:r>
    </w:p>
    <w:p w:rsidR="00845907" w:rsidRPr="003E4937" w:rsidRDefault="00845907" w:rsidP="00845907">
      <w:pPr>
        <w:jc w:val="both"/>
        <w:rPr>
          <w:szCs w:val="24"/>
        </w:rPr>
      </w:pPr>
    </w:p>
    <w:p w:rsidR="004A3A81" w:rsidRDefault="003E4937" w:rsidP="00AE62BD">
      <w:pPr>
        <w:jc w:val="both"/>
        <w:rPr>
          <w:szCs w:val="24"/>
        </w:rPr>
      </w:pPr>
      <w:r w:rsidRPr="003E4937">
        <w:rPr>
          <w:szCs w:val="24"/>
        </w:rPr>
        <w:t xml:space="preserve">In the </w:t>
      </w:r>
      <w:r w:rsidR="00066F99">
        <w:rPr>
          <w:szCs w:val="24"/>
        </w:rPr>
        <w:t xml:space="preserve">RA </w:t>
      </w:r>
      <w:r w:rsidRPr="003E4937">
        <w:rPr>
          <w:szCs w:val="24"/>
        </w:rPr>
        <w:t>long term exposure population, the overall rate of serious infections (bacterial, viral and fungal) was 4.7 events per 100 patient years. Reported serious infections, some with fatal outcome, included active tuberculosis, which may present with intrapulmonary or extrapulmonary disease, invasive pulmonary infections, including candidiasis, aspergillosis, coccidioidomycosis and pneumocystis jirovecii, pneumonia, cellulitis, herpes zoster, gastroenteritis, diverticulitis, sepsis and bacterial arthritis. Cases of opportunistic infections have been reported.</w:t>
      </w:r>
    </w:p>
    <w:p w:rsidR="00FA592E" w:rsidRPr="00845907" w:rsidRDefault="00FA592E" w:rsidP="00AE62BD">
      <w:pPr>
        <w:jc w:val="both"/>
        <w:rPr>
          <w:szCs w:val="24"/>
          <w:lang w:eastAsia="en-US"/>
        </w:rPr>
      </w:pPr>
    </w:p>
    <w:p w:rsidR="00D20A2D" w:rsidRPr="00D20A2D" w:rsidRDefault="00972CEA" w:rsidP="00D20A2D">
      <w:pPr>
        <w:pStyle w:val="Heading3"/>
        <w:numPr>
          <w:ilvl w:val="0"/>
          <w:numId w:val="0"/>
        </w:numPr>
        <w:rPr>
          <w:rFonts w:ascii="Times New Roman" w:hAnsi="Times New Roman" w:cs="Times New Roman"/>
        </w:rPr>
      </w:pPr>
      <w:r>
        <w:rPr>
          <w:rFonts w:ascii="Times New Roman" w:hAnsi="Times New Roman" w:cs="Times New Roman"/>
        </w:rPr>
        <w:t xml:space="preserve">Gastrointestinal Perforation - </w:t>
      </w:r>
      <w:r w:rsidR="00D20A2D" w:rsidRPr="00D20A2D">
        <w:rPr>
          <w:rFonts w:ascii="Times New Roman" w:hAnsi="Times New Roman" w:cs="Times New Roman"/>
        </w:rPr>
        <w:t>Complications of Diverticulitis</w:t>
      </w:r>
    </w:p>
    <w:p w:rsidR="00D20A2D" w:rsidRDefault="00D20A2D" w:rsidP="00D20A2D">
      <w:pPr>
        <w:jc w:val="both"/>
        <w:rPr>
          <w:lang w:eastAsia="en-US"/>
        </w:rPr>
      </w:pPr>
      <w:r>
        <w:rPr>
          <w:lang w:eastAsia="en-US"/>
        </w:rPr>
        <w:t>Events of diverticular perforation as complications of diverticulitis have been reported</w:t>
      </w:r>
      <w:r w:rsidR="008869E0">
        <w:rPr>
          <w:lang w:eastAsia="en-US"/>
        </w:rPr>
        <w:t xml:space="preserve"> in RA patients</w:t>
      </w:r>
      <w:r>
        <w:rPr>
          <w:lang w:eastAsia="en-US"/>
        </w:rPr>
        <w:t>. ACTEMRA should be used with caution in patients with previous history of intestinal ulceration or diverticulitis. Patients presenting with symptoms potentially indicative of complicated diverticulitis, such as abdominal pain, should be evaluated promptly for early identification of gastrointestinal perforation.</w:t>
      </w:r>
    </w:p>
    <w:p w:rsidR="005A37DE" w:rsidRDefault="005A37DE" w:rsidP="00D20A2D">
      <w:pPr>
        <w:jc w:val="both"/>
        <w:rPr>
          <w:lang w:eastAsia="en-US"/>
        </w:rPr>
      </w:pPr>
    </w:p>
    <w:p w:rsidR="00752B13" w:rsidRPr="00AE62BD" w:rsidRDefault="00752B13" w:rsidP="00752B13">
      <w:pPr>
        <w:pStyle w:val="Heading3"/>
        <w:numPr>
          <w:ilvl w:val="0"/>
          <w:numId w:val="0"/>
        </w:numPr>
        <w:rPr>
          <w:rFonts w:ascii="Times New Roman" w:hAnsi="Times New Roman" w:cs="Times New Roman"/>
        </w:rPr>
      </w:pPr>
      <w:r>
        <w:rPr>
          <w:rFonts w:ascii="Times New Roman" w:hAnsi="Times New Roman" w:cs="Times New Roman"/>
        </w:rPr>
        <w:t>Tuberculosis</w:t>
      </w:r>
    </w:p>
    <w:p w:rsidR="003C2BB7" w:rsidRDefault="00752B13" w:rsidP="003C2BB7">
      <w:pPr>
        <w:jc w:val="both"/>
        <w:rPr>
          <w:lang w:eastAsia="en-US"/>
        </w:rPr>
      </w:pPr>
      <w:r>
        <w:rPr>
          <w:lang w:eastAsia="en-US"/>
        </w:rPr>
        <w:t xml:space="preserve">As recommended for other biological treatments </w:t>
      </w:r>
      <w:r w:rsidR="008869E0">
        <w:rPr>
          <w:lang w:eastAsia="en-US"/>
        </w:rPr>
        <w:t xml:space="preserve">for </w:t>
      </w:r>
      <w:r>
        <w:rPr>
          <w:lang w:eastAsia="en-US"/>
        </w:rPr>
        <w:t>RA</w:t>
      </w:r>
      <w:r w:rsidR="005A37DE">
        <w:rPr>
          <w:lang w:eastAsia="en-US"/>
        </w:rPr>
        <w:t>, pJIA or</w:t>
      </w:r>
      <w:r w:rsidR="008869E0">
        <w:rPr>
          <w:lang w:eastAsia="en-US"/>
        </w:rPr>
        <w:t xml:space="preserve"> sJIA</w:t>
      </w:r>
      <w:r>
        <w:rPr>
          <w:lang w:eastAsia="en-US"/>
        </w:rPr>
        <w:t>, patients should be screened for latent tuberculosis (TB) infection prior to starting ACTEMRA therapy. Patients with latent TB should be treated with standard anti-mycobacterial therapy before initiating ACTEMRA.</w:t>
      </w:r>
      <w:r w:rsidR="003C2BB7">
        <w:rPr>
          <w:lang w:eastAsia="en-US"/>
        </w:rPr>
        <w:t xml:space="preserve"> Physicians are reminded of the risk of false negative tuberculin skin and interferon-gamma TB blood test results, especially in patients who are severely ill or immunocompromised. </w:t>
      </w:r>
    </w:p>
    <w:p w:rsidR="003C2BB7" w:rsidRDefault="003C2BB7" w:rsidP="003C2BB7">
      <w:pPr>
        <w:jc w:val="both"/>
        <w:rPr>
          <w:lang w:eastAsia="en-US"/>
        </w:rPr>
      </w:pPr>
    </w:p>
    <w:p w:rsidR="003C2BB7" w:rsidRDefault="003C2BB7" w:rsidP="003C2BB7">
      <w:pPr>
        <w:jc w:val="both"/>
        <w:rPr>
          <w:lang w:eastAsia="en-US"/>
        </w:rPr>
      </w:pPr>
      <w:r>
        <w:rPr>
          <w:lang w:eastAsia="en-US"/>
        </w:rPr>
        <w:t>Patients should be instructed to seek medical advice if signs or symptoms suggestive of a TB infection (e.g. persistent cough, wasting/weight loss, low grade fever) occur during or after therapy with ACTEMRA.</w:t>
      </w:r>
    </w:p>
    <w:p w:rsidR="00236387" w:rsidRPr="00236387" w:rsidRDefault="00236387" w:rsidP="00236387">
      <w:pPr>
        <w:jc w:val="both"/>
        <w:rPr>
          <w:lang w:eastAsia="en-US"/>
        </w:rPr>
      </w:pPr>
    </w:p>
    <w:p w:rsidR="00AE62BD" w:rsidRPr="00AE62BD" w:rsidRDefault="00AE62BD" w:rsidP="00AE62BD">
      <w:pPr>
        <w:pStyle w:val="Heading3"/>
        <w:numPr>
          <w:ilvl w:val="0"/>
          <w:numId w:val="0"/>
        </w:numPr>
        <w:rPr>
          <w:rFonts w:ascii="Times New Roman" w:hAnsi="Times New Roman" w:cs="Times New Roman"/>
        </w:rPr>
      </w:pPr>
      <w:r w:rsidRPr="00AE62BD">
        <w:rPr>
          <w:rFonts w:ascii="Times New Roman" w:hAnsi="Times New Roman" w:cs="Times New Roman"/>
        </w:rPr>
        <w:t>Vaccinations</w:t>
      </w:r>
    </w:p>
    <w:p w:rsidR="00AE62BD" w:rsidRPr="00AE62BD" w:rsidRDefault="00AE62BD" w:rsidP="00AE62BD">
      <w:pPr>
        <w:rPr>
          <w:i/>
        </w:rPr>
      </w:pPr>
      <w:r w:rsidRPr="00060C9A">
        <w:t xml:space="preserve">Live </w:t>
      </w:r>
      <w:r>
        <w:t>and live attenuated</w:t>
      </w:r>
      <w:r w:rsidRPr="00060C9A">
        <w:t xml:space="preserve"> vaccin</w:t>
      </w:r>
      <w:r>
        <w:t>es</w:t>
      </w:r>
      <w:r w:rsidRPr="00060C9A">
        <w:t xml:space="preserve"> should not be given concurrently with </w:t>
      </w:r>
      <w:r w:rsidR="001A3AB1">
        <w:t>ACTEMRA</w:t>
      </w:r>
      <w:r w:rsidRPr="00060C9A">
        <w:t xml:space="preserve"> as clinical safety has not been established. </w:t>
      </w:r>
    </w:p>
    <w:p w:rsidR="00214059" w:rsidRDefault="00214059" w:rsidP="00AE62BD">
      <w:pPr>
        <w:rPr>
          <w:rFonts w:eastAsia="PMingLiU"/>
          <w:lang w:eastAsia="zh-CN"/>
        </w:rPr>
      </w:pPr>
    </w:p>
    <w:p w:rsidR="00AE62BD" w:rsidRDefault="00AE62BD" w:rsidP="00703465">
      <w:pPr>
        <w:rPr>
          <w:rFonts w:eastAsia="PMingLiU"/>
          <w:lang w:eastAsia="zh-CN"/>
        </w:rPr>
      </w:pPr>
      <w:r w:rsidRPr="007E7FE9">
        <w:rPr>
          <w:rFonts w:eastAsia="PMingLiU"/>
          <w:lang w:eastAsia="zh-CN"/>
        </w:rPr>
        <w:t>No data are available on the secondary transmission of infection from persons</w:t>
      </w:r>
      <w:r>
        <w:rPr>
          <w:rFonts w:eastAsia="PMingLiU"/>
          <w:lang w:eastAsia="zh-CN"/>
        </w:rPr>
        <w:t xml:space="preserve"> </w:t>
      </w:r>
      <w:r w:rsidRPr="007E7FE9">
        <w:rPr>
          <w:rFonts w:eastAsia="PMingLiU"/>
          <w:lang w:eastAsia="zh-CN"/>
        </w:rPr>
        <w:t xml:space="preserve">receiving live vaccines to patients receiving </w:t>
      </w:r>
      <w:r w:rsidR="001A3AB1">
        <w:rPr>
          <w:rFonts w:eastAsia="PMingLiU"/>
          <w:lang w:eastAsia="zh-CN"/>
        </w:rPr>
        <w:t>ACTEMRA</w:t>
      </w:r>
      <w:r w:rsidRPr="007E7FE9">
        <w:rPr>
          <w:rFonts w:eastAsia="PMingLiU"/>
          <w:lang w:eastAsia="zh-CN"/>
        </w:rPr>
        <w:t xml:space="preserve">. </w:t>
      </w:r>
    </w:p>
    <w:p w:rsidR="00EF2C0E" w:rsidRDefault="00EF2C0E" w:rsidP="00703465">
      <w:pPr>
        <w:rPr>
          <w:lang w:val="en-GB"/>
        </w:rPr>
      </w:pPr>
      <w:r w:rsidRPr="00004717">
        <w:rPr>
          <w:lang w:val="en-GB"/>
        </w:rPr>
        <w:lastRenderedPageBreak/>
        <w:t xml:space="preserve">In a </w:t>
      </w:r>
      <w:r w:rsidR="00703465">
        <w:rPr>
          <w:lang w:val="en-GB"/>
        </w:rPr>
        <w:t xml:space="preserve">small, </w:t>
      </w:r>
      <w:r w:rsidRPr="00004717">
        <w:rPr>
          <w:lang w:val="en-GB"/>
        </w:rPr>
        <w:t xml:space="preserve">randomised open-label study, adult RA patients treated with ACTEMRA plus MTX </w:t>
      </w:r>
      <w:r w:rsidR="00703465">
        <w:rPr>
          <w:lang w:val="en-GB"/>
        </w:rPr>
        <w:t xml:space="preserve">had a </w:t>
      </w:r>
      <w:r w:rsidRPr="00B26305">
        <w:rPr>
          <w:lang w:val="en-GB"/>
        </w:rPr>
        <w:t xml:space="preserve"> r</w:t>
      </w:r>
      <w:r w:rsidRPr="00004717">
        <w:rPr>
          <w:lang w:val="en-GB"/>
        </w:rPr>
        <w:t>esponse to both the 23-valent pneumococcal polysaccharide (PPV) and tetanus toxoid (TTV) vaccines comparable to the response seen in patien</w:t>
      </w:r>
      <w:r w:rsidRPr="004D714F">
        <w:rPr>
          <w:lang w:val="en-GB"/>
        </w:rPr>
        <w:t>ts receiving MTX only (60% vs 71% for PPV; 42% vs 39% for TTV, respectively)</w:t>
      </w:r>
      <w:r w:rsidRPr="00B26305">
        <w:rPr>
          <w:lang w:val="en-GB"/>
        </w:rPr>
        <w:t>.</w:t>
      </w:r>
      <w:r w:rsidR="00703465">
        <w:rPr>
          <w:lang w:val="en-GB"/>
        </w:rPr>
        <w:t xml:space="preserve"> Because of the small number of patients in the study no firm conclusions can be drawn about the absolute differences in antibody responses between the two groups.</w:t>
      </w:r>
    </w:p>
    <w:p w:rsidR="00703465" w:rsidRPr="00B26305" w:rsidRDefault="00703465" w:rsidP="00703465">
      <w:pPr>
        <w:rPr>
          <w:lang w:val="en-GB"/>
        </w:rPr>
      </w:pPr>
    </w:p>
    <w:p w:rsidR="008869E0" w:rsidRDefault="008869E0" w:rsidP="006B4FA4">
      <w:pPr>
        <w:jc w:val="both"/>
        <w:rPr>
          <w:rFonts w:eastAsia="PMingLiU"/>
          <w:lang w:eastAsia="zh-CN"/>
        </w:rPr>
      </w:pPr>
      <w:r w:rsidRPr="00B77EC5">
        <w:rPr>
          <w:rFonts w:eastAsia="PMingLiU"/>
          <w:lang w:eastAsia="zh-CN"/>
        </w:rPr>
        <w:t xml:space="preserve">It is recommended that all patients, particularly </w:t>
      </w:r>
      <w:r w:rsidR="005A37DE">
        <w:rPr>
          <w:rFonts w:eastAsia="PMingLiU"/>
          <w:lang w:eastAsia="zh-CN"/>
        </w:rPr>
        <w:t xml:space="preserve">pJIA or </w:t>
      </w:r>
      <w:r>
        <w:rPr>
          <w:rFonts w:eastAsia="PMingLiU"/>
          <w:lang w:eastAsia="zh-CN"/>
        </w:rPr>
        <w:t>sJIA</w:t>
      </w:r>
      <w:r w:rsidRPr="00B77EC5">
        <w:rPr>
          <w:rFonts w:eastAsia="PMingLiU"/>
          <w:lang w:eastAsia="zh-CN"/>
        </w:rPr>
        <w:t xml:space="preserve"> patients, if possible, be brought up to date with all immuni</w:t>
      </w:r>
      <w:r>
        <w:rPr>
          <w:rFonts w:eastAsia="PMingLiU"/>
          <w:lang w:eastAsia="zh-CN"/>
        </w:rPr>
        <w:t>s</w:t>
      </w:r>
      <w:r w:rsidRPr="00B77EC5">
        <w:rPr>
          <w:rFonts w:eastAsia="PMingLiU"/>
          <w:lang w:eastAsia="zh-CN"/>
        </w:rPr>
        <w:t>ations in agreement with current immuni</w:t>
      </w:r>
      <w:r>
        <w:rPr>
          <w:rFonts w:eastAsia="PMingLiU"/>
          <w:lang w:eastAsia="zh-CN"/>
        </w:rPr>
        <w:t>s</w:t>
      </w:r>
      <w:r w:rsidRPr="00B77EC5">
        <w:rPr>
          <w:rFonts w:eastAsia="PMingLiU"/>
          <w:lang w:eastAsia="zh-CN"/>
        </w:rPr>
        <w:t xml:space="preserve">ation guidelines prior to initiating </w:t>
      </w:r>
      <w:r>
        <w:rPr>
          <w:rFonts w:eastAsia="PMingLiU"/>
          <w:lang w:eastAsia="zh-CN"/>
        </w:rPr>
        <w:t xml:space="preserve">ACTEMRA therapy. </w:t>
      </w:r>
      <w:r w:rsidRPr="00B77EC5">
        <w:rPr>
          <w:rFonts w:eastAsia="PMingLiU"/>
          <w:lang w:eastAsia="zh-CN"/>
        </w:rPr>
        <w:t xml:space="preserve">The interval between live vaccinations and initiation of </w:t>
      </w:r>
      <w:r>
        <w:rPr>
          <w:rFonts w:eastAsia="PMingLiU"/>
          <w:lang w:eastAsia="zh-CN"/>
        </w:rPr>
        <w:t>ACTEMRA</w:t>
      </w:r>
      <w:r w:rsidRPr="00B77EC5">
        <w:rPr>
          <w:rFonts w:eastAsia="PMingLiU"/>
          <w:lang w:eastAsia="zh-CN"/>
        </w:rPr>
        <w:t xml:space="preserve"> therapy should be in accordance with current vaccination guidelines regarding immunosuppressive agents.</w:t>
      </w:r>
    </w:p>
    <w:p w:rsidR="00AE62BD" w:rsidRPr="00D768D7" w:rsidRDefault="00AE62BD" w:rsidP="00AE62BD">
      <w:pPr>
        <w:autoSpaceDE w:val="0"/>
        <w:autoSpaceDN w:val="0"/>
        <w:adjustRightInd w:val="0"/>
      </w:pPr>
    </w:p>
    <w:p w:rsidR="00AE62BD" w:rsidRPr="00214059" w:rsidRDefault="00AE62BD" w:rsidP="00214059">
      <w:pPr>
        <w:pStyle w:val="Heading3"/>
        <w:numPr>
          <w:ilvl w:val="0"/>
          <w:numId w:val="0"/>
        </w:numPr>
        <w:rPr>
          <w:rFonts w:ascii="Times New Roman" w:hAnsi="Times New Roman" w:cs="Times New Roman"/>
        </w:rPr>
      </w:pPr>
      <w:bookmarkStart w:id="7" w:name="OLE_LINK7"/>
      <w:bookmarkStart w:id="8" w:name="OLE_LINK8"/>
      <w:r w:rsidRPr="00214059">
        <w:rPr>
          <w:rFonts w:ascii="Times New Roman" w:hAnsi="Times New Roman" w:cs="Times New Roman"/>
        </w:rPr>
        <w:t xml:space="preserve">Hypersensitivity Reactions </w:t>
      </w:r>
    </w:p>
    <w:p w:rsidR="00AE62BD" w:rsidRDefault="00AE62BD" w:rsidP="00214059">
      <w:pPr>
        <w:jc w:val="both"/>
        <w:rPr>
          <w:rFonts w:eastAsia="MS Mincho"/>
        </w:rPr>
      </w:pPr>
      <w:r>
        <w:t>Serious h</w:t>
      </w:r>
      <w:r w:rsidRPr="00454747">
        <w:t>ypersensitivity reactions</w:t>
      </w:r>
      <w:r w:rsidR="00E53ADF">
        <w:t>, including anaphylaxis with fatal outcome,</w:t>
      </w:r>
      <w:r w:rsidRPr="00454747">
        <w:t xml:space="preserve"> have been reported </w:t>
      </w:r>
      <w:r w:rsidR="00236387">
        <w:t xml:space="preserve">in association with </w:t>
      </w:r>
      <w:r w:rsidRPr="003554CF">
        <w:rPr>
          <w:rFonts w:eastAsia="MS Mincho" w:hint="eastAsia"/>
        </w:rPr>
        <w:t xml:space="preserve">infusion of </w:t>
      </w:r>
      <w:r w:rsidR="00236387">
        <w:rPr>
          <w:rFonts w:eastAsia="MS Mincho"/>
        </w:rPr>
        <w:t>ACTEMRA</w:t>
      </w:r>
      <w:r>
        <w:rPr>
          <w:rFonts w:eastAsia="MS Mincho"/>
        </w:rPr>
        <w:t xml:space="preserve"> </w:t>
      </w:r>
      <w:r w:rsidRPr="00492D06">
        <w:rPr>
          <w:rFonts w:eastAsia="MS Mincho"/>
        </w:rPr>
        <w:t xml:space="preserve">(see </w:t>
      </w:r>
      <w:r w:rsidR="00492D06">
        <w:rPr>
          <w:rFonts w:eastAsia="MS Mincho"/>
        </w:rPr>
        <w:t>ADVERSE EFFECTS</w:t>
      </w:r>
      <w:r w:rsidR="00492D06" w:rsidRPr="00492D06">
        <w:rPr>
          <w:rFonts w:eastAsia="MS Mincho"/>
        </w:rPr>
        <w:t xml:space="preserve"> – Infusion Reactions)</w:t>
      </w:r>
      <w:r w:rsidRPr="00492D06">
        <w:t>.</w:t>
      </w:r>
      <w:r w:rsidR="00492D06">
        <w:t xml:space="preserve"> </w:t>
      </w:r>
      <w:r w:rsidR="00E53ADF">
        <w:t>I</w:t>
      </w:r>
      <w:r w:rsidR="00DF1B1C">
        <w:t>n the p</w:t>
      </w:r>
      <w:r w:rsidR="004C53C0">
        <w:t>ost-</w:t>
      </w:r>
      <w:r w:rsidR="00DF1B1C">
        <w:t>marketing setting</w:t>
      </w:r>
      <w:r w:rsidR="00E53ADF">
        <w:t>, events of serious hypersensitivity and anaphylaxis, including in some cases with a fatal outcome, have occurred in patients treated with a range of doses of ACTEMRA, with or without concomitant arthritis therapies, premedication and/or a previous hypersensitivity reaction. These events have occurred as early as the first infusion of ACTEMRA</w:t>
      </w:r>
      <w:r w:rsidR="00DF1B1C">
        <w:t xml:space="preserve"> (see </w:t>
      </w:r>
      <w:r w:rsidR="00E53ADF">
        <w:t xml:space="preserve">CONTRAINDICATIONS and </w:t>
      </w:r>
      <w:r w:rsidR="00DF1B1C">
        <w:t xml:space="preserve">POST-MARKETING EXPERIENCE). </w:t>
      </w:r>
      <w:r w:rsidRPr="002B492A">
        <w:t xml:space="preserve">Appropriate </w:t>
      </w:r>
      <w:r>
        <w:t>treatment</w:t>
      </w:r>
      <w:r w:rsidRPr="002B492A">
        <w:t xml:space="preserve"> should be available for immediate use in the event of an </w:t>
      </w:r>
      <w:r>
        <w:t>anaphylactic</w:t>
      </w:r>
      <w:r w:rsidRPr="002B492A">
        <w:t xml:space="preserve"> reaction during </w:t>
      </w:r>
      <w:r w:rsidR="00DF1B1C">
        <w:t>treatment with</w:t>
      </w:r>
      <w:r w:rsidR="00DF1B1C" w:rsidRPr="002B492A">
        <w:t xml:space="preserve"> </w:t>
      </w:r>
      <w:r w:rsidR="00236387">
        <w:t>ACTEMRA</w:t>
      </w:r>
      <w:r w:rsidRPr="002B492A">
        <w:rPr>
          <w:rFonts w:eastAsia="MS Mincho"/>
        </w:rPr>
        <w:t>.</w:t>
      </w:r>
      <w:bookmarkEnd w:id="7"/>
      <w:bookmarkEnd w:id="8"/>
      <w:r w:rsidR="00DF1B1C">
        <w:rPr>
          <w:rFonts w:eastAsia="MS Mincho"/>
        </w:rPr>
        <w:t xml:space="preserve"> If an anaphylactic reaction or other serious hypersensitivity reaction occurs, administration of ACTEMRA should be stopped immediately and ACTEMRA should be permanently discontinued.</w:t>
      </w:r>
    </w:p>
    <w:p w:rsidR="004E076C" w:rsidRDefault="004E076C" w:rsidP="00214059">
      <w:pPr>
        <w:jc w:val="both"/>
        <w:rPr>
          <w:rFonts w:eastAsia="MS Mincho"/>
        </w:rPr>
      </w:pPr>
    </w:p>
    <w:p w:rsidR="004E076C" w:rsidRDefault="004E076C" w:rsidP="00214059">
      <w:pPr>
        <w:jc w:val="both"/>
        <w:rPr>
          <w:rFonts w:eastAsia="MS Mincho"/>
        </w:rPr>
      </w:pPr>
      <w:r>
        <w:rPr>
          <w:rFonts w:eastAsia="MS Mincho"/>
        </w:rPr>
        <w:t>Patients with a history of any reaction consistent with hypersensitivity to any component of the product must not be re-challenged with ACTEMRA (see CONTRAINDICATIONS).</w:t>
      </w:r>
    </w:p>
    <w:p w:rsidR="005A37DE" w:rsidRDefault="005A37DE" w:rsidP="00214059">
      <w:pPr>
        <w:jc w:val="both"/>
        <w:rPr>
          <w:rFonts w:eastAsia="MS Mincho"/>
        </w:rPr>
      </w:pPr>
    </w:p>
    <w:p w:rsidR="00812EF6" w:rsidRPr="00736B32" w:rsidRDefault="00812EF6" w:rsidP="00812EF6">
      <w:pPr>
        <w:pStyle w:val="Heading3"/>
        <w:numPr>
          <w:ilvl w:val="0"/>
          <w:numId w:val="0"/>
        </w:numPr>
        <w:rPr>
          <w:rFonts w:ascii="Times New Roman" w:hAnsi="Times New Roman" w:cs="Times New Roman"/>
          <w:b w:val="0"/>
        </w:rPr>
      </w:pPr>
      <w:r w:rsidRPr="00736B32">
        <w:rPr>
          <w:rFonts w:ascii="Times New Roman" w:hAnsi="Times New Roman" w:cs="Times New Roman"/>
        </w:rPr>
        <w:t>Viral Reactivation</w:t>
      </w:r>
    </w:p>
    <w:p w:rsidR="00812EF6" w:rsidRDefault="00812EF6" w:rsidP="00DE44A5">
      <w:pPr>
        <w:jc w:val="both"/>
      </w:pPr>
      <w:r w:rsidRPr="00736B32">
        <w:t>Viral reactivation (e.g. hepatitis B virus) has been reported with biologic therapies for RA. In clinical studies with ACTEMRA, patients who screened positive for hepatitis were excluded.</w:t>
      </w:r>
    </w:p>
    <w:p w:rsidR="00812EF6" w:rsidRDefault="00812EF6" w:rsidP="00214059">
      <w:pPr>
        <w:jc w:val="both"/>
      </w:pPr>
    </w:p>
    <w:p w:rsidR="00AE62BD" w:rsidRPr="00214059" w:rsidRDefault="00AE62BD" w:rsidP="00214059">
      <w:pPr>
        <w:pStyle w:val="Heading3"/>
        <w:numPr>
          <w:ilvl w:val="0"/>
          <w:numId w:val="0"/>
        </w:numPr>
        <w:rPr>
          <w:rFonts w:ascii="Times New Roman" w:hAnsi="Times New Roman" w:cs="Times New Roman"/>
        </w:rPr>
      </w:pPr>
      <w:r w:rsidRPr="00214059">
        <w:rPr>
          <w:rFonts w:ascii="Times New Roman" w:hAnsi="Times New Roman" w:cs="Times New Roman"/>
        </w:rPr>
        <w:t>Active Hepatic Disease and Hepatic Impairment</w:t>
      </w:r>
    </w:p>
    <w:p w:rsidR="00EA5427" w:rsidRDefault="00AE62BD" w:rsidP="00214059">
      <w:pPr>
        <w:jc w:val="both"/>
      </w:pPr>
      <w:r>
        <w:t xml:space="preserve">Treatment with </w:t>
      </w:r>
      <w:r w:rsidR="00EE2B5A">
        <w:t>ACTEMRA</w:t>
      </w:r>
      <w:r>
        <w:t xml:space="preserve"> particularly when administered concomitantly with </w:t>
      </w:r>
      <w:r w:rsidR="004C4AE7">
        <w:t>MTX</w:t>
      </w:r>
      <w:r>
        <w:t xml:space="preserve">, may be associated with elevations in hepatic transaminases </w:t>
      </w:r>
      <w:r w:rsidR="004C4AE7">
        <w:t>t</w:t>
      </w:r>
      <w:r w:rsidRPr="00096A93">
        <w:t xml:space="preserve">herefore caution should be exercised when considering treatment of patients with </w:t>
      </w:r>
      <w:r>
        <w:t>active hepatic disease or hepatic impairment</w:t>
      </w:r>
      <w:r w:rsidR="00EE2B5A">
        <w:t xml:space="preserve"> (see </w:t>
      </w:r>
      <w:r w:rsidR="004C4AE7">
        <w:t xml:space="preserve">ADVERSE EFFECTS – Laboratory Abnormalities and </w:t>
      </w:r>
      <w:r w:rsidR="00EE2B5A">
        <w:t>DOSAGE AND ADMINISTRATION – Special Patient Groups</w:t>
      </w:r>
      <w:r w:rsidR="00B46651">
        <w:t>)</w:t>
      </w:r>
      <w:r w:rsidRPr="00C51164">
        <w:t>.</w:t>
      </w:r>
    </w:p>
    <w:p w:rsidR="00DE44A5" w:rsidRDefault="00DE44A5" w:rsidP="00214059">
      <w:pPr>
        <w:jc w:val="both"/>
      </w:pPr>
      <w:r w:rsidRPr="00736B32">
        <w:lastRenderedPageBreak/>
        <w:t>Viral reactivation (e.g. hepatitis B) has been reported with biologic therapies for RA.</w:t>
      </w:r>
      <w:r w:rsidR="00845907" w:rsidRPr="00845907">
        <w:t xml:space="preserve"> </w:t>
      </w:r>
      <w:r w:rsidR="00845907" w:rsidRPr="00736B32">
        <w:t>In clinical studies with ACTEMRA, patients who screened positive for hepatitis were excluded.</w:t>
      </w:r>
    </w:p>
    <w:p w:rsidR="00214059" w:rsidRDefault="00214059" w:rsidP="00214059">
      <w:pPr>
        <w:jc w:val="both"/>
      </w:pPr>
    </w:p>
    <w:p w:rsidR="001A3AB1" w:rsidRPr="00214059" w:rsidRDefault="001A3AB1" w:rsidP="001A3AB1">
      <w:pPr>
        <w:pStyle w:val="Heading3"/>
        <w:numPr>
          <w:ilvl w:val="0"/>
          <w:numId w:val="0"/>
        </w:numPr>
        <w:rPr>
          <w:rFonts w:ascii="Times New Roman" w:hAnsi="Times New Roman" w:cs="Times New Roman"/>
        </w:rPr>
      </w:pPr>
      <w:r w:rsidRPr="00214059">
        <w:rPr>
          <w:rFonts w:ascii="Times New Roman" w:hAnsi="Times New Roman" w:cs="Times New Roman"/>
        </w:rPr>
        <w:t xml:space="preserve">Hepatic </w:t>
      </w:r>
      <w:r w:rsidR="00675D8B">
        <w:rPr>
          <w:rFonts w:ascii="Times New Roman" w:hAnsi="Times New Roman" w:cs="Times New Roman"/>
        </w:rPr>
        <w:t>T</w:t>
      </w:r>
      <w:r w:rsidR="00346DAA">
        <w:rPr>
          <w:rFonts w:ascii="Times New Roman" w:hAnsi="Times New Roman" w:cs="Times New Roman"/>
        </w:rPr>
        <w:t xml:space="preserve">ransaminase </w:t>
      </w:r>
      <w:r w:rsidR="007A401B">
        <w:rPr>
          <w:rFonts w:ascii="Times New Roman" w:hAnsi="Times New Roman" w:cs="Times New Roman"/>
        </w:rPr>
        <w:t>and Laboratory Effects</w:t>
      </w:r>
    </w:p>
    <w:p w:rsidR="007A401B" w:rsidRDefault="001A3AB1" w:rsidP="001A3AB1">
      <w:pPr>
        <w:jc w:val="both"/>
      </w:pPr>
      <w:r>
        <w:t xml:space="preserve">In clinical trials, transient or intermittent mild and moderate elevations of hepatic transaminases </w:t>
      </w:r>
      <w:r w:rsidR="007A401B">
        <w:t xml:space="preserve">and bilirubin </w:t>
      </w:r>
      <w:r>
        <w:t>have been reported with ACTEMRA treatment, without progression to hepatic injury (see ADVERSE EFFECTS). An increased frequency of these elevations was observed when potentially hepatotoxic drugs (e.g. MTX) were used in combination with ACTEMRA.</w:t>
      </w:r>
      <w:r w:rsidR="001E16D9">
        <w:t xml:space="preserve"> There is a</w:t>
      </w:r>
      <w:r w:rsidR="007A401B">
        <w:t xml:space="preserve"> potential</w:t>
      </w:r>
      <w:r w:rsidR="001E16D9">
        <w:t xml:space="preserve"> risk of hepatotoxicity</w:t>
      </w:r>
      <w:r w:rsidR="00F8394C">
        <w:t xml:space="preserve"> with use of ACTEMRA</w:t>
      </w:r>
      <w:r w:rsidR="007A401B">
        <w:t>.</w:t>
      </w:r>
    </w:p>
    <w:p w:rsidR="008869E0" w:rsidRDefault="008869E0" w:rsidP="001A3AB1">
      <w:pPr>
        <w:jc w:val="both"/>
      </w:pPr>
    </w:p>
    <w:p w:rsidR="001A3AB1" w:rsidRDefault="001A3AB1" w:rsidP="001A3AB1">
      <w:pPr>
        <w:jc w:val="both"/>
      </w:pPr>
      <w:r>
        <w:t xml:space="preserve">Particular caution should be exercised when considering initiation of ACTEMRA treatment in patients with elevated ALT or AST &gt; 1.5 x ULN. In patients </w:t>
      </w:r>
      <w:r w:rsidR="001029E2">
        <w:t xml:space="preserve">with </w:t>
      </w:r>
      <w:r w:rsidR="00EA1831" w:rsidRPr="00736B32">
        <w:t xml:space="preserve">baseline </w:t>
      </w:r>
      <w:r w:rsidR="001029E2" w:rsidRPr="00736B32">
        <w:t>ALT or AST &gt; 5 x ULN</w:t>
      </w:r>
      <w:r w:rsidR="00EA1831" w:rsidRPr="00736B32">
        <w:t>, treatment with</w:t>
      </w:r>
      <w:r w:rsidR="0075038E" w:rsidRPr="00736B32">
        <w:t xml:space="preserve"> ACTEMRA is</w:t>
      </w:r>
      <w:r w:rsidR="00EA1831" w:rsidRPr="00736B32">
        <w:t xml:space="preserve"> not</w:t>
      </w:r>
      <w:r w:rsidR="0075038E" w:rsidRPr="00736B32">
        <w:t xml:space="preserve"> </w:t>
      </w:r>
      <w:r w:rsidR="00CE1CE1" w:rsidRPr="00736B32">
        <w:t>recommended</w:t>
      </w:r>
      <w:r w:rsidR="0075038E" w:rsidRPr="00736B32">
        <w:t>.</w:t>
      </w:r>
    </w:p>
    <w:p w:rsidR="001A3AB1" w:rsidRDefault="001A3AB1" w:rsidP="001A3AB1">
      <w:pPr>
        <w:jc w:val="both"/>
      </w:pPr>
      <w:r>
        <w:t xml:space="preserve">ALT and AST levels should be monitored </w:t>
      </w:r>
      <w:r w:rsidR="008869E0">
        <w:t xml:space="preserve">in RA </w:t>
      </w:r>
      <w:r>
        <w:t xml:space="preserve">every 4 to 8 weeks for the first 6 months of treatment followed by every 12 weeks thereafter. For recommended modifications based on transaminases see </w:t>
      </w:r>
      <w:r w:rsidR="008869E0">
        <w:t xml:space="preserve">DOSAGE </w:t>
      </w:r>
      <w:r>
        <w:t>AND ADMINISTRATION. For ALT or AST elevations &gt; 3</w:t>
      </w:r>
      <w:r w:rsidR="00DF1769">
        <w:t xml:space="preserve"> to </w:t>
      </w:r>
      <w:r>
        <w:t>5 x ULN, confirmed by repeat testing, ACTEMRA treatment should be interrupted. Once the patient’s hepatic transaminases are below 3 x ULN, treatment with ACTEMRA may recommence at 4 or 8 mg/kg.</w:t>
      </w:r>
    </w:p>
    <w:p w:rsidR="001068CE" w:rsidRDefault="001068CE" w:rsidP="001A3AB1">
      <w:pPr>
        <w:jc w:val="both"/>
      </w:pPr>
    </w:p>
    <w:p w:rsidR="008869E0" w:rsidRDefault="008869E0" w:rsidP="008869E0">
      <w:pPr>
        <w:spacing w:after="170" w:line="280" w:lineRule="atLeast"/>
        <w:jc w:val="both"/>
      </w:pPr>
      <w:r w:rsidRPr="0039620F">
        <w:t xml:space="preserve">In </w:t>
      </w:r>
      <w:r w:rsidR="005A37DE">
        <w:t xml:space="preserve">pJIA and </w:t>
      </w:r>
      <w:r w:rsidRPr="0039620F">
        <w:t xml:space="preserve">sJIA ALT and AST should be monitored at the time of the second infusion and thereafter </w:t>
      </w:r>
      <w:r w:rsidR="002456ED">
        <w:t>every 4 to 8 weeks for pJIA and every 2 to 4 weeks for sJIA</w:t>
      </w:r>
      <w:r w:rsidRPr="0039620F">
        <w:t xml:space="preserve"> (see </w:t>
      </w:r>
      <w:r>
        <w:t>DOSAGE AND ADMINISTRATION</w:t>
      </w:r>
      <w:r w:rsidRPr="0039620F">
        <w:t>).</w:t>
      </w:r>
    </w:p>
    <w:p w:rsidR="001068CE" w:rsidRDefault="00346DAA" w:rsidP="001068CE">
      <w:pPr>
        <w:pStyle w:val="Heading3"/>
        <w:numPr>
          <w:ilvl w:val="0"/>
          <w:numId w:val="0"/>
        </w:numPr>
        <w:rPr>
          <w:rFonts w:ascii="Times New Roman" w:hAnsi="Times New Roman" w:cs="Times New Roman"/>
        </w:rPr>
      </w:pPr>
      <w:r>
        <w:rPr>
          <w:rFonts w:ascii="Times New Roman" w:hAnsi="Times New Roman" w:cs="Times New Roman"/>
        </w:rPr>
        <w:t xml:space="preserve">Haematological </w:t>
      </w:r>
      <w:r w:rsidR="00675D8B">
        <w:rPr>
          <w:rFonts w:ascii="Times New Roman" w:hAnsi="Times New Roman" w:cs="Times New Roman"/>
        </w:rPr>
        <w:t>A</w:t>
      </w:r>
      <w:r w:rsidR="001068CE">
        <w:rPr>
          <w:rFonts w:ascii="Times New Roman" w:hAnsi="Times New Roman" w:cs="Times New Roman"/>
        </w:rPr>
        <w:t>bnormalities</w:t>
      </w:r>
    </w:p>
    <w:p w:rsidR="001068CE" w:rsidRDefault="001068CE" w:rsidP="001068CE">
      <w:pPr>
        <w:pStyle w:val="TextTi12"/>
      </w:pPr>
      <w:r>
        <w:t>Decreases in neutrophil and platelet counts have occurred following treatment with ACTEMRA 8 mg/kg in combination with MTX (see section ADVERSE EFFECTS – Laboratory Abnormalities). There may be an increased risk of neutropenia in patients who have previously been treated with a TNF antagonist.</w:t>
      </w:r>
    </w:p>
    <w:p w:rsidR="001068CE" w:rsidRDefault="00CF001D" w:rsidP="00CF001D">
      <w:pPr>
        <w:pStyle w:val="TextTi12"/>
      </w:pPr>
      <w:r>
        <w:t>In patients not previously treated with ACTEMRA, initiation is not recommended in patients with an absolute neutrophil count (ANC) below 2 x 10</w:t>
      </w:r>
      <w:r w:rsidRPr="00CF001D">
        <w:rPr>
          <w:vertAlign w:val="superscript"/>
        </w:rPr>
        <w:t>9</w:t>
      </w:r>
      <w:r>
        <w:t xml:space="preserve">/L. </w:t>
      </w:r>
      <w:r w:rsidR="001068CE">
        <w:t>Caution should be exercised when considering initiation of ACTEMRA treatment in patients with a low platelet count (i.e. platelet count &lt; 10</w:t>
      </w:r>
      <w:r w:rsidR="00FC4EB7">
        <w:t>0</w:t>
      </w:r>
      <w:r w:rsidR="001068CE">
        <w:t xml:space="preserve"> x </w:t>
      </w:r>
      <w:r w:rsidR="00F669BD">
        <w:t>10</w:t>
      </w:r>
      <w:r w:rsidR="00FC4EB7">
        <w:rPr>
          <w:vertAlign w:val="superscript"/>
        </w:rPr>
        <w:t>9</w:t>
      </w:r>
      <w:r w:rsidR="00DF1769">
        <w:t>/L</w:t>
      </w:r>
      <w:r w:rsidR="001068CE">
        <w:t>). In patients with an ANC &lt; 0.5 x 10</w:t>
      </w:r>
      <w:r w:rsidR="001068CE" w:rsidRPr="001068CE">
        <w:rPr>
          <w:vertAlign w:val="superscript"/>
        </w:rPr>
        <w:t>9</w:t>
      </w:r>
      <w:r w:rsidR="001068CE">
        <w:t xml:space="preserve">/L or a platelet count &lt; 50 x </w:t>
      </w:r>
      <w:r w:rsidR="00F669BD">
        <w:t>10</w:t>
      </w:r>
      <w:r w:rsidR="00FC4EB7">
        <w:rPr>
          <w:vertAlign w:val="superscript"/>
        </w:rPr>
        <w:t>9</w:t>
      </w:r>
      <w:r w:rsidR="00DF1769">
        <w:t>/L</w:t>
      </w:r>
      <w:r w:rsidR="001068CE">
        <w:t xml:space="preserve"> treatment is not recommended</w:t>
      </w:r>
      <w:r w:rsidR="000C618E">
        <w:t xml:space="preserve"> (See PRECAUTIONS – Effects of Laboratory Tests)</w:t>
      </w:r>
      <w:r w:rsidR="001068CE">
        <w:t>.</w:t>
      </w:r>
    </w:p>
    <w:p w:rsidR="00E11023" w:rsidRPr="00E11023" w:rsidRDefault="00E11023" w:rsidP="00D71727">
      <w:pPr>
        <w:jc w:val="both"/>
        <w:rPr>
          <w:lang w:eastAsia="de-DE"/>
        </w:rPr>
      </w:pPr>
      <w:r w:rsidRPr="00736B32">
        <w:rPr>
          <w:lang w:eastAsia="de-DE"/>
        </w:rPr>
        <w:t xml:space="preserve">Severe neutropenia may be associated with an increased risk of serious infections, although there has been no clear association between decreases in neutrophils and the occurrence of serious infections in clinical trials with </w:t>
      </w:r>
      <w:r w:rsidRPr="00736B32">
        <w:t>ACTEMRA</w:t>
      </w:r>
      <w:r w:rsidRPr="00736B32">
        <w:rPr>
          <w:lang w:eastAsia="de-DE"/>
        </w:rPr>
        <w:t xml:space="preserve"> to date.</w:t>
      </w:r>
    </w:p>
    <w:p w:rsidR="00E11023" w:rsidRDefault="00E11023" w:rsidP="00E11023">
      <w:pPr>
        <w:rPr>
          <w:lang w:val="en-GB"/>
        </w:rPr>
      </w:pPr>
    </w:p>
    <w:p w:rsidR="001A3AB1" w:rsidRDefault="001068CE" w:rsidP="00334370">
      <w:pPr>
        <w:pStyle w:val="TextTi12"/>
      </w:pPr>
      <w:r>
        <w:lastRenderedPageBreak/>
        <w:t xml:space="preserve">Neutrophils and platelets should be monitored </w:t>
      </w:r>
      <w:r w:rsidR="008869E0">
        <w:t xml:space="preserve">in RA </w:t>
      </w:r>
      <w:r>
        <w:t xml:space="preserve">4 to 8 weeks after start of therapy and thereafter according to standard clinical practice. For recommended dose modifications based on ANC and platelet counts, see </w:t>
      </w:r>
      <w:r w:rsidR="00334370">
        <w:t>DOS</w:t>
      </w:r>
      <w:r w:rsidR="000C618E">
        <w:t>AGE</w:t>
      </w:r>
      <w:r w:rsidR="00334370">
        <w:t xml:space="preserve"> AND ADMINISTRATION.</w:t>
      </w:r>
    </w:p>
    <w:p w:rsidR="008869E0" w:rsidRDefault="008869E0" w:rsidP="008869E0">
      <w:pPr>
        <w:pStyle w:val="TextTi12"/>
      </w:pPr>
      <w:r>
        <w:t xml:space="preserve">In </w:t>
      </w:r>
      <w:r w:rsidR="005A37DE">
        <w:t xml:space="preserve">pJIA and </w:t>
      </w:r>
      <w:r>
        <w:t xml:space="preserve">sJIA neutrophils and platelets should be monitored at the time of the second infusion and thereafter </w:t>
      </w:r>
      <w:r w:rsidR="002456ED">
        <w:t>every 4 to 8 weeks for pJIA and every 2 to 4 weeks for sJIA</w:t>
      </w:r>
      <w:r>
        <w:t xml:space="preserve"> (see DOSAGE AND ADMINISTRATION).</w:t>
      </w:r>
    </w:p>
    <w:p w:rsidR="00346DAA" w:rsidRDefault="00675D8B" w:rsidP="00346DAA">
      <w:pPr>
        <w:pStyle w:val="Heading3"/>
        <w:numPr>
          <w:ilvl w:val="0"/>
          <w:numId w:val="0"/>
        </w:numPr>
        <w:jc w:val="both"/>
        <w:rPr>
          <w:rFonts w:ascii="Times New Roman" w:hAnsi="Times New Roman" w:cs="Times New Roman"/>
        </w:rPr>
      </w:pPr>
      <w:r>
        <w:rPr>
          <w:rFonts w:ascii="Times New Roman" w:hAnsi="Times New Roman" w:cs="Times New Roman"/>
        </w:rPr>
        <w:t>Lipid P</w:t>
      </w:r>
      <w:r w:rsidR="00346DAA">
        <w:rPr>
          <w:rFonts w:ascii="Times New Roman" w:hAnsi="Times New Roman" w:cs="Times New Roman"/>
        </w:rPr>
        <w:t>arameters</w:t>
      </w:r>
    </w:p>
    <w:p w:rsidR="00346DAA" w:rsidRDefault="00346DAA" w:rsidP="00346DAA">
      <w:pPr>
        <w:jc w:val="both"/>
      </w:pPr>
      <w:r>
        <w:t xml:space="preserve">Elevations in lipid parameters including total cholesterol, low-density lipoprotein (LDL), high-density lipoprotein (HDL) and triglycerides were observed in patients treated with </w:t>
      </w:r>
      <w:r w:rsidR="00DF1769">
        <w:t>ACTEMRA</w:t>
      </w:r>
      <w:r>
        <w:t xml:space="preserve"> (see ADVERSE EFFECTS</w:t>
      </w:r>
      <w:r w:rsidR="005238E4">
        <w:t xml:space="preserve"> – Elevations in lipid parameters</w:t>
      </w:r>
      <w:r>
        <w:t>). In the majority of patients, there was no increase in atherogenic indices, and elevations in total cholesterol responded to treatment with lipid lowering agents.</w:t>
      </w:r>
    </w:p>
    <w:p w:rsidR="00346DAA" w:rsidRDefault="00346DAA" w:rsidP="00346DAA">
      <w:pPr>
        <w:jc w:val="both"/>
      </w:pPr>
    </w:p>
    <w:p w:rsidR="00497226" w:rsidRDefault="00346DAA" w:rsidP="00346DAA">
      <w:pPr>
        <w:jc w:val="both"/>
      </w:pPr>
      <w:r>
        <w:t xml:space="preserve">Assessment of lipid parameters should be performed </w:t>
      </w:r>
      <w:r w:rsidR="008869E0">
        <w:t>in RA</w:t>
      </w:r>
      <w:r w:rsidR="005A37DE">
        <w:t>, pJIA</w:t>
      </w:r>
      <w:r w:rsidR="008869E0">
        <w:t xml:space="preserve"> and sJIA </w:t>
      </w:r>
      <w:r>
        <w:t xml:space="preserve">4 to 8 weeks following initiation of ACTEMRA therapy. </w:t>
      </w:r>
      <w:r w:rsidR="00A67E9E">
        <w:t>RA and sJIA p</w:t>
      </w:r>
      <w:r>
        <w:t xml:space="preserve">atients should </w:t>
      </w:r>
      <w:r w:rsidR="00A67E9E">
        <w:t xml:space="preserve">then </w:t>
      </w:r>
      <w:r>
        <w:t>be managed according to local clinical guidelines for management of hyperlipidaemia.</w:t>
      </w:r>
      <w:r w:rsidR="00A67E9E">
        <w:t xml:space="preserve"> </w:t>
      </w:r>
      <w:r w:rsidR="007D0E37">
        <w:t>For</w:t>
      </w:r>
      <w:r w:rsidR="00A67E9E">
        <w:t xml:space="preserve"> pJIA patients assessment of lipid parameters should be performed at 3 monthly intervals during </w:t>
      </w:r>
      <w:r w:rsidR="00FD728A">
        <w:t>ACTEMRA treatment</w:t>
      </w:r>
      <w:r w:rsidR="00497226">
        <w:t xml:space="preserve"> until it is clear the risk of development of significant changes in lipid parameters has diminished</w:t>
      </w:r>
      <w:r w:rsidR="00FD728A">
        <w:t>.</w:t>
      </w:r>
      <w:r w:rsidR="00497226">
        <w:t xml:space="preserve"> </w:t>
      </w:r>
    </w:p>
    <w:p w:rsidR="007602EE" w:rsidRDefault="007602EE" w:rsidP="00346DAA">
      <w:pPr>
        <w:jc w:val="both"/>
      </w:pPr>
    </w:p>
    <w:p w:rsidR="004850CF" w:rsidRPr="00030B9C" w:rsidRDefault="00C77DC8" w:rsidP="004850CF">
      <w:pPr>
        <w:pStyle w:val="Heading3"/>
        <w:numPr>
          <w:ilvl w:val="0"/>
          <w:numId w:val="0"/>
        </w:numPr>
        <w:rPr>
          <w:rFonts w:ascii="Times New Roman" w:hAnsi="Times New Roman" w:cs="Times New Roman"/>
        </w:rPr>
      </w:pPr>
      <w:r>
        <w:rPr>
          <w:rFonts w:ascii="Times New Roman" w:hAnsi="Times New Roman" w:cs="Times New Roman"/>
        </w:rPr>
        <w:t xml:space="preserve">Demyelinating </w:t>
      </w:r>
      <w:r w:rsidR="004850CF">
        <w:rPr>
          <w:rFonts w:ascii="Times New Roman" w:hAnsi="Times New Roman" w:cs="Times New Roman"/>
        </w:rPr>
        <w:t>Disorders</w:t>
      </w:r>
    </w:p>
    <w:p w:rsidR="004850CF" w:rsidRDefault="004850CF" w:rsidP="004850CF">
      <w:pPr>
        <w:jc w:val="both"/>
      </w:pPr>
      <w:r>
        <w:t>Physicians should be vigilant for symptoms potentially indicative of new-onset central demyelinating disorders. The potential for central demyelination with ACTEMRA is currently unknown.</w:t>
      </w:r>
      <w:r w:rsidR="00F0650F">
        <w:t xml:space="preserve"> Multiple sclerosis and chronic inflammatory demyelinating polyneuropathy were reported rarely in RA clinical studies.</w:t>
      </w:r>
    </w:p>
    <w:p w:rsidR="001C4078" w:rsidRDefault="001C4078" w:rsidP="004850CF">
      <w:pPr>
        <w:jc w:val="both"/>
      </w:pPr>
    </w:p>
    <w:p w:rsidR="00F669BD" w:rsidRPr="00F669BD" w:rsidRDefault="00F669BD" w:rsidP="00F669BD">
      <w:pPr>
        <w:pStyle w:val="Heading3"/>
        <w:numPr>
          <w:ilvl w:val="0"/>
          <w:numId w:val="0"/>
        </w:numPr>
        <w:rPr>
          <w:rFonts w:ascii="Times New Roman" w:hAnsi="Times New Roman" w:cs="Times New Roman"/>
        </w:rPr>
      </w:pPr>
      <w:r w:rsidRPr="00F669BD">
        <w:rPr>
          <w:rFonts w:ascii="Times New Roman" w:hAnsi="Times New Roman" w:cs="Times New Roman"/>
        </w:rPr>
        <w:t>Malignancy</w:t>
      </w:r>
    </w:p>
    <w:p w:rsidR="00F669BD" w:rsidRDefault="00F669BD" w:rsidP="004850CF">
      <w:pPr>
        <w:jc w:val="both"/>
      </w:pPr>
      <w:r>
        <w:t>The risk of malignancy is increased in patients with RA. Immunomodulatory medicinal products may increase the risk of malignancy.</w:t>
      </w:r>
    </w:p>
    <w:p w:rsidR="00F669BD" w:rsidRDefault="00F669BD" w:rsidP="004850CF">
      <w:pPr>
        <w:jc w:val="both"/>
      </w:pPr>
    </w:p>
    <w:p w:rsidR="001C4078" w:rsidRPr="00030B9C" w:rsidRDefault="001C4078" w:rsidP="001C4078">
      <w:pPr>
        <w:pStyle w:val="Heading3"/>
        <w:numPr>
          <w:ilvl w:val="0"/>
          <w:numId w:val="0"/>
        </w:numPr>
        <w:rPr>
          <w:rFonts w:ascii="Times New Roman" w:hAnsi="Times New Roman" w:cs="Times New Roman"/>
        </w:rPr>
      </w:pPr>
      <w:r>
        <w:rPr>
          <w:rFonts w:ascii="Times New Roman" w:hAnsi="Times New Roman" w:cs="Times New Roman"/>
        </w:rPr>
        <w:t>Infusion Reactions</w:t>
      </w:r>
    </w:p>
    <w:p w:rsidR="001C4078" w:rsidRDefault="001C4078" w:rsidP="004850CF">
      <w:pPr>
        <w:jc w:val="both"/>
      </w:pPr>
      <w:r>
        <w:t xml:space="preserve">Infusion reactions have been observed </w:t>
      </w:r>
      <w:r w:rsidR="00D50BE5">
        <w:t xml:space="preserve">during and within 24 hours of </w:t>
      </w:r>
      <w:r>
        <w:t>treatment with ACTEMRA (see ADVERSE EFFECTS</w:t>
      </w:r>
      <w:r w:rsidR="005238E4">
        <w:t xml:space="preserve"> – Infusion Reactions</w:t>
      </w:r>
      <w:r>
        <w:t>).</w:t>
      </w:r>
    </w:p>
    <w:p w:rsidR="00D50BE5" w:rsidRDefault="00D50BE5" w:rsidP="004850CF">
      <w:pPr>
        <w:jc w:val="both"/>
      </w:pPr>
    </w:p>
    <w:p w:rsidR="00D50BE5" w:rsidRPr="00030B9C" w:rsidRDefault="005238E4" w:rsidP="00D50BE5">
      <w:pPr>
        <w:pStyle w:val="Heading3"/>
        <w:numPr>
          <w:ilvl w:val="0"/>
          <w:numId w:val="0"/>
        </w:numPr>
        <w:rPr>
          <w:rFonts w:ascii="Times New Roman" w:hAnsi="Times New Roman" w:cs="Times New Roman"/>
        </w:rPr>
      </w:pPr>
      <w:r>
        <w:rPr>
          <w:rFonts w:ascii="Times New Roman" w:hAnsi="Times New Roman" w:cs="Times New Roman"/>
        </w:rPr>
        <w:t>Cardiovascular Risk</w:t>
      </w:r>
    </w:p>
    <w:p w:rsidR="004850CF" w:rsidRDefault="005238E4" w:rsidP="00346DAA">
      <w:pPr>
        <w:jc w:val="both"/>
        <w:rPr>
          <w:rFonts w:eastAsia="PMingLiU"/>
          <w:lang w:eastAsia="zh-CN"/>
        </w:rPr>
      </w:pPr>
      <w:r>
        <w:t>RA patients have an increased risk for cardiovascular disorders and should have risk factors (e.g. hypertension, hyperlipidaemia) managed as part of usual standard of</w:t>
      </w:r>
      <w:r w:rsidR="00F77EA4">
        <w:t xml:space="preserve"> care (see PRECAUTIONS – Lipid P</w:t>
      </w:r>
      <w:r>
        <w:t>arameters).</w:t>
      </w:r>
      <w:r w:rsidR="00E13EE0" w:rsidRPr="00E13EE0">
        <w:rPr>
          <w:color w:val="000000"/>
        </w:rPr>
        <w:t xml:space="preserve"> </w:t>
      </w:r>
      <w:r w:rsidR="00E13EE0">
        <w:rPr>
          <w:color w:val="000000"/>
        </w:rPr>
        <w:t xml:space="preserve">Elevations in LDL and HDL lipids have been </w:t>
      </w:r>
      <w:r w:rsidR="00E13EE0">
        <w:rPr>
          <w:color w:val="000000"/>
        </w:rPr>
        <w:lastRenderedPageBreak/>
        <w:t>observed, with no clinical consequences identified.</w:t>
      </w:r>
      <w:r w:rsidR="00E13EE0">
        <w:t xml:space="preserve"> </w:t>
      </w:r>
      <w:r w:rsidR="00176D97" w:rsidRPr="007E7FE9">
        <w:rPr>
          <w:rFonts w:eastAsia="PMingLiU"/>
          <w:lang w:eastAsia="zh-CN"/>
        </w:rPr>
        <w:t>No data are available</w:t>
      </w:r>
      <w:r w:rsidR="00176D97">
        <w:rPr>
          <w:rFonts w:eastAsia="PMingLiU"/>
          <w:lang w:eastAsia="zh-CN"/>
        </w:rPr>
        <w:t xml:space="preserve"> concerning cardiovascular outcomes with long-term use of ACTEMRA.</w:t>
      </w:r>
    </w:p>
    <w:p w:rsidR="000A6CE3" w:rsidRDefault="000A6CE3" w:rsidP="00346DAA">
      <w:pPr>
        <w:jc w:val="both"/>
      </w:pPr>
    </w:p>
    <w:p w:rsidR="005B5548" w:rsidRPr="00030B9C" w:rsidRDefault="005B5548" w:rsidP="005B5548">
      <w:pPr>
        <w:pStyle w:val="Heading3"/>
        <w:numPr>
          <w:ilvl w:val="0"/>
          <w:numId w:val="0"/>
        </w:numPr>
        <w:rPr>
          <w:rFonts w:ascii="Times New Roman" w:hAnsi="Times New Roman" w:cs="Times New Roman"/>
        </w:rPr>
      </w:pPr>
      <w:r>
        <w:rPr>
          <w:rFonts w:ascii="Times New Roman" w:hAnsi="Times New Roman" w:cs="Times New Roman"/>
        </w:rPr>
        <w:t>Combination with TNF Antagonists and/or other Biological Therapies</w:t>
      </w:r>
    </w:p>
    <w:p w:rsidR="005B5548" w:rsidRDefault="005B5548" w:rsidP="005B5548">
      <w:pPr>
        <w:jc w:val="both"/>
      </w:pPr>
      <w:r>
        <w:t>There is no experience with the use of ACTEMRA with TNF antagonists or other biological treatments for RA. ACTEMRA is not recommended for use with other biological agents including TNF antagonists, anakinra, rituximab and abatacept.</w:t>
      </w:r>
    </w:p>
    <w:p w:rsidR="00BE21F7" w:rsidRDefault="00BE21F7" w:rsidP="005B5548">
      <w:pPr>
        <w:jc w:val="both"/>
      </w:pPr>
    </w:p>
    <w:p w:rsidR="00BE21F7" w:rsidRPr="00030B9C" w:rsidRDefault="00BE21F7" w:rsidP="00BE21F7">
      <w:pPr>
        <w:pStyle w:val="Heading3"/>
        <w:numPr>
          <w:ilvl w:val="0"/>
          <w:numId w:val="0"/>
        </w:numPr>
        <w:rPr>
          <w:rFonts w:ascii="Times New Roman" w:hAnsi="Times New Roman" w:cs="Times New Roman"/>
        </w:rPr>
      </w:pPr>
      <w:r>
        <w:rPr>
          <w:rFonts w:ascii="Times New Roman" w:hAnsi="Times New Roman" w:cs="Times New Roman"/>
        </w:rPr>
        <w:t>Sodium</w:t>
      </w:r>
    </w:p>
    <w:p w:rsidR="00BE21F7" w:rsidRDefault="00BE21F7" w:rsidP="00BE21F7">
      <w:pPr>
        <w:jc w:val="both"/>
      </w:pPr>
      <w:r>
        <w:t>This medicinal product contains 1.17 mmol (26.55 mg) of sodium per maximum dose of 1200 mg. This should be taken into consideration by patients on a controlled sodium diet. Doses below 1025 mg of ACTEMRA contain less than 1 mmol of sodium (23 mg) and can essentially be considered ‘sodium free’.</w:t>
      </w:r>
    </w:p>
    <w:p w:rsidR="00E66194" w:rsidRDefault="00E66194" w:rsidP="00BE21F7">
      <w:pPr>
        <w:jc w:val="both"/>
      </w:pPr>
    </w:p>
    <w:p w:rsidR="00194929" w:rsidRPr="00030B9C" w:rsidRDefault="00194929" w:rsidP="00030B9C">
      <w:pPr>
        <w:pStyle w:val="Heading3"/>
        <w:numPr>
          <w:ilvl w:val="0"/>
          <w:numId w:val="0"/>
        </w:numPr>
        <w:rPr>
          <w:rFonts w:ascii="Times New Roman" w:hAnsi="Times New Roman" w:cs="Times New Roman"/>
        </w:rPr>
      </w:pPr>
      <w:r w:rsidRPr="00030B9C">
        <w:rPr>
          <w:rFonts w:ascii="Times New Roman" w:hAnsi="Times New Roman" w:cs="Times New Roman"/>
        </w:rPr>
        <w:t>Effects on Fertility</w:t>
      </w:r>
    </w:p>
    <w:p w:rsidR="00EA5427" w:rsidRDefault="00C77DC8" w:rsidP="00030B9C">
      <w:pPr>
        <w:jc w:val="both"/>
      </w:pPr>
      <w:r>
        <w:t xml:space="preserve">Preclinical data do not suggest an effect on fertility under treatment with a murine analogue of tocilizumab. </w:t>
      </w:r>
      <w:r w:rsidR="00030B9C">
        <w:t>E</w:t>
      </w:r>
      <w:r w:rsidR="00030B9C" w:rsidRPr="00310E07">
        <w:t xml:space="preserve">ffects on endocrine active organs or on organs of the reproductive </w:t>
      </w:r>
      <w:r w:rsidR="00030B9C">
        <w:t xml:space="preserve">system were </w:t>
      </w:r>
      <w:r w:rsidR="00030B9C" w:rsidRPr="00310E07">
        <w:t xml:space="preserve">not seen in </w:t>
      </w:r>
      <w:r w:rsidR="00030B9C">
        <w:t xml:space="preserve">a chronic </w:t>
      </w:r>
      <w:r w:rsidR="00030B9C" w:rsidRPr="00656E79">
        <w:t>cynomolgus monkey</w:t>
      </w:r>
      <w:r w:rsidR="00030B9C">
        <w:t xml:space="preserve"> toxicity study, nor </w:t>
      </w:r>
      <w:r w:rsidR="0063235F">
        <w:t>was</w:t>
      </w:r>
      <w:r w:rsidR="00030B9C">
        <w:t xml:space="preserve"> </w:t>
      </w:r>
      <w:r w:rsidR="00030B9C" w:rsidRPr="00310E07">
        <w:t xml:space="preserve">reproductive performance </w:t>
      </w:r>
      <w:r w:rsidR="00030B9C">
        <w:t xml:space="preserve">affected </w:t>
      </w:r>
      <w:r w:rsidR="00030B9C" w:rsidRPr="00310E07">
        <w:t xml:space="preserve">in </w:t>
      </w:r>
      <w:r w:rsidR="00030B9C">
        <w:t>IL-6 deficient</w:t>
      </w:r>
      <w:r w:rsidR="00030B9C" w:rsidRPr="00310E07">
        <w:t xml:space="preserve"> </w:t>
      </w:r>
      <w:r w:rsidR="00B11767">
        <w:t xml:space="preserve">male and female </w:t>
      </w:r>
      <w:r w:rsidR="00030B9C" w:rsidRPr="00310E07">
        <w:t>mice</w:t>
      </w:r>
      <w:r w:rsidR="00030B9C">
        <w:t>.</w:t>
      </w:r>
    </w:p>
    <w:p w:rsidR="00030B9C" w:rsidRDefault="00030B9C" w:rsidP="00030B9C">
      <w:pPr>
        <w:jc w:val="both"/>
      </w:pPr>
    </w:p>
    <w:p w:rsidR="00194929" w:rsidRPr="00030B9C" w:rsidRDefault="00194929" w:rsidP="00030B9C">
      <w:pPr>
        <w:pStyle w:val="Heading3"/>
        <w:numPr>
          <w:ilvl w:val="0"/>
          <w:numId w:val="0"/>
        </w:numPr>
        <w:rPr>
          <w:rFonts w:ascii="Times New Roman" w:hAnsi="Times New Roman" w:cs="Times New Roman"/>
        </w:rPr>
      </w:pPr>
      <w:r w:rsidRPr="00030B9C">
        <w:rPr>
          <w:rFonts w:ascii="Times New Roman" w:hAnsi="Times New Roman" w:cs="Times New Roman"/>
        </w:rPr>
        <w:t xml:space="preserve">Use in Pregnancy - Category </w:t>
      </w:r>
      <w:r w:rsidR="00A94292" w:rsidRPr="00030B9C">
        <w:rPr>
          <w:rFonts w:ascii="Times New Roman" w:hAnsi="Times New Roman" w:cs="Times New Roman"/>
        </w:rPr>
        <w:t>C</w:t>
      </w:r>
    </w:p>
    <w:p w:rsidR="00EA5427" w:rsidRDefault="0071372E" w:rsidP="00A94292">
      <w:pPr>
        <w:jc w:val="both"/>
        <w:rPr>
          <w:rFonts w:eastAsia="SimSun"/>
          <w:lang w:eastAsia="zh-CN"/>
        </w:rPr>
      </w:pPr>
      <w:r>
        <w:rPr>
          <w:rFonts w:eastAsia="SimSun"/>
          <w:lang w:eastAsia="zh-CN"/>
        </w:rPr>
        <w:t>ACTEMRA</w:t>
      </w:r>
      <w:r w:rsidR="005153B1" w:rsidRPr="001349CF">
        <w:rPr>
          <w:rFonts w:eastAsia="SimSun"/>
          <w:lang w:eastAsia="zh-CN"/>
        </w:rPr>
        <w:t xml:space="preserve"> should not be used during pregnancy unless clearly necessary.</w:t>
      </w:r>
      <w:r w:rsidR="005153B1">
        <w:rPr>
          <w:rFonts w:eastAsia="SimSun"/>
          <w:lang w:eastAsia="zh-CN"/>
        </w:rPr>
        <w:t xml:space="preserve"> </w:t>
      </w:r>
      <w:r w:rsidR="00A94292" w:rsidRPr="001349CF">
        <w:rPr>
          <w:rFonts w:eastAsia="SimSun"/>
          <w:lang w:eastAsia="zh-CN"/>
        </w:rPr>
        <w:t xml:space="preserve">There are no adequate data from the use of </w:t>
      </w:r>
      <w:r>
        <w:rPr>
          <w:rFonts w:eastAsia="SimSun"/>
          <w:lang w:eastAsia="zh-CN"/>
        </w:rPr>
        <w:t>ACTEMRA</w:t>
      </w:r>
      <w:r w:rsidR="00A94292" w:rsidRPr="001349CF">
        <w:rPr>
          <w:rFonts w:eastAsia="SimSun"/>
          <w:lang w:eastAsia="zh-CN"/>
        </w:rPr>
        <w:t xml:space="preserve"> in pregnant </w:t>
      </w:r>
      <w:r w:rsidR="00A94292">
        <w:rPr>
          <w:rFonts w:eastAsia="SimSun"/>
          <w:lang w:eastAsia="zh-CN"/>
        </w:rPr>
        <w:t>women</w:t>
      </w:r>
      <w:r w:rsidR="00A94292" w:rsidRPr="001349CF">
        <w:rPr>
          <w:rFonts w:eastAsia="SimSun"/>
          <w:lang w:eastAsia="zh-CN"/>
        </w:rPr>
        <w:t>.</w:t>
      </w:r>
      <w:r w:rsidR="00A94292">
        <w:rPr>
          <w:rFonts w:eastAsia="SimSun"/>
          <w:lang w:eastAsia="zh-CN"/>
        </w:rPr>
        <w:t xml:space="preserve"> </w:t>
      </w:r>
      <w:r w:rsidR="00A94292" w:rsidRPr="001349CF">
        <w:rPr>
          <w:rFonts w:eastAsia="SimSun"/>
          <w:lang w:eastAsia="zh-CN"/>
        </w:rPr>
        <w:t>The potential risk for humans is unknown.</w:t>
      </w:r>
      <w:r>
        <w:rPr>
          <w:rFonts w:eastAsia="SimSun"/>
          <w:lang w:eastAsia="zh-CN"/>
        </w:rPr>
        <w:t xml:space="preserve"> Women of childbearing potential should be advised to use adequate contraception during and for several months after therapy with ACTEMRA.</w:t>
      </w:r>
    </w:p>
    <w:p w:rsidR="00A94292" w:rsidRDefault="00A94292" w:rsidP="00A94292">
      <w:pPr>
        <w:jc w:val="both"/>
        <w:rPr>
          <w:rFonts w:eastAsia="SimSun"/>
          <w:lang w:eastAsia="zh-CN"/>
        </w:rPr>
      </w:pPr>
    </w:p>
    <w:p w:rsidR="008869E0" w:rsidRDefault="00A94292" w:rsidP="00A94292">
      <w:pPr>
        <w:jc w:val="both"/>
      </w:pPr>
      <w:r>
        <w:t>In a</w:t>
      </w:r>
      <w:r w:rsidRPr="00656E79">
        <w:t>n embryo-f</w:t>
      </w:r>
      <w:r>
        <w:t>o</w:t>
      </w:r>
      <w:r w:rsidRPr="00656E79">
        <w:t>etal toxicity study conducted in cynomolgus monkeys</w:t>
      </w:r>
      <w:r w:rsidR="003710DA">
        <w:t>,</w:t>
      </w:r>
      <w:r w:rsidRPr="00656E79">
        <w:t xml:space="preserve"> </w:t>
      </w:r>
      <w:bookmarkStart w:id="9" w:name="OLE_LINK11"/>
      <w:bookmarkStart w:id="10" w:name="OLE_LINK12"/>
      <w:r>
        <w:t xml:space="preserve">a </w:t>
      </w:r>
      <w:r w:rsidRPr="00656E79">
        <w:t>slight increase of abortion/embryo-f</w:t>
      </w:r>
      <w:r>
        <w:t>o</w:t>
      </w:r>
      <w:r w:rsidRPr="00656E79">
        <w:t xml:space="preserve">etal death was observed with high systemic </w:t>
      </w:r>
      <w:r w:rsidR="00B11767">
        <w:t xml:space="preserve">cumulative </w:t>
      </w:r>
      <w:r w:rsidRPr="00656E79">
        <w:t>exposure</w:t>
      </w:r>
      <w:r w:rsidR="00C50A22">
        <w:t xml:space="preserve"> in the 10 mg/kg/day mid-dose group (&gt; 35 times human exposure) and</w:t>
      </w:r>
      <w:r>
        <w:t xml:space="preserve"> </w:t>
      </w:r>
      <w:r w:rsidRPr="00656E79">
        <w:t>in the 50</w:t>
      </w:r>
      <w:r>
        <w:t xml:space="preserve"> </w:t>
      </w:r>
      <w:r w:rsidRPr="00656E79">
        <w:t>mg/kg/day high-dose grou</w:t>
      </w:r>
      <w:r>
        <w:t xml:space="preserve">p </w:t>
      </w:r>
      <w:r w:rsidR="00C50A22">
        <w:t>(&gt; 100 times human exposure)</w:t>
      </w:r>
      <w:r w:rsidR="00C50A22" w:rsidRPr="00656E79">
        <w:t xml:space="preserve"> </w:t>
      </w:r>
      <w:r w:rsidRPr="00656E79">
        <w:t xml:space="preserve">compared to </w:t>
      </w:r>
      <w:r w:rsidR="00C50A22">
        <w:t>vehicle control</w:t>
      </w:r>
      <w:bookmarkEnd w:id="9"/>
      <w:bookmarkEnd w:id="10"/>
      <w:r w:rsidR="00C50A22">
        <w:t xml:space="preserve"> </w:t>
      </w:r>
      <w:r w:rsidRPr="00656E79">
        <w:t xml:space="preserve">and </w:t>
      </w:r>
      <w:r>
        <w:rPr>
          <w:rFonts w:eastAsia="MS Mincho" w:hint="eastAsia"/>
        </w:rPr>
        <w:t>low-</w:t>
      </w:r>
      <w:r w:rsidRPr="00656E79">
        <w:t>dose groups.</w:t>
      </w:r>
      <w:r w:rsidR="00B11767">
        <w:t xml:space="preserve"> </w:t>
      </w:r>
      <w:r w:rsidR="00C50A22">
        <w:t xml:space="preserve">It </w:t>
      </w:r>
      <w:r w:rsidRPr="00656E79">
        <w:t>cannot be excluded</w:t>
      </w:r>
      <w:r w:rsidR="00C50A22">
        <w:t xml:space="preserve"> that this finding is related to ACTEMRA treatment</w:t>
      </w:r>
      <w:r w:rsidRPr="00656E79">
        <w:t>.</w:t>
      </w:r>
      <w:r w:rsidR="00C50A22">
        <w:t xml:space="preserve"> Placental transfer of both tocilizumab and anti-tocilizumab antibodies to the foetus was seen in cynomolgus monkeys.</w:t>
      </w:r>
    </w:p>
    <w:p w:rsidR="00A94292" w:rsidRPr="00A94292" w:rsidRDefault="00A94292" w:rsidP="00A94292">
      <w:pPr>
        <w:jc w:val="both"/>
        <w:rPr>
          <w:rFonts w:eastAsia="SimSun"/>
          <w:lang w:eastAsia="zh-CN"/>
        </w:rPr>
      </w:pPr>
    </w:p>
    <w:p w:rsidR="00194929" w:rsidRPr="0060592F" w:rsidRDefault="00194929" w:rsidP="0060592F">
      <w:pPr>
        <w:pStyle w:val="Heading3"/>
        <w:numPr>
          <w:ilvl w:val="0"/>
          <w:numId w:val="0"/>
        </w:numPr>
        <w:rPr>
          <w:rFonts w:ascii="Times New Roman" w:hAnsi="Times New Roman" w:cs="Times New Roman"/>
        </w:rPr>
      </w:pPr>
      <w:r w:rsidRPr="0060592F">
        <w:rPr>
          <w:rFonts w:ascii="Times New Roman" w:hAnsi="Times New Roman" w:cs="Times New Roman"/>
        </w:rPr>
        <w:t>Use in Lactation</w:t>
      </w:r>
    </w:p>
    <w:p w:rsidR="00D266E5" w:rsidRDefault="0060592F" w:rsidP="0060592F">
      <w:pPr>
        <w:jc w:val="both"/>
      </w:pPr>
      <w:r w:rsidRPr="0032382B">
        <w:t xml:space="preserve">It is unknown whether </w:t>
      </w:r>
      <w:r w:rsidR="00362478">
        <w:t>ACTEMRA</w:t>
      </w:r>
      <w:r w:rsidRPr="0032382B">
        <w:t xml:space="preserve"> is excreted in human breast milk</w:t>
      </w:r>
      <w:r w:rsidR="00067577">
        <w:t xml:space="preserve"> and its efficacy and safety in lactating women has not been established</w:t>
      </w:r>
      <w:r w:rsidRPr="0032382B">
        <w:t>.</w:t>
      </w:r>
      <w:r>
        <w:t xml:space="preserve"> </w:t>
      </w:r>
      <w:r w:rsidR="00362478">
        <w:t xml:space="preserve">However, it is known that </w:t>
      </w:r>
      <w:r w:rsidRPr="0032382B">
        <w:t xml:space="preserve">endogenous immunoglobulins of the IgG </w:t>
      </w:r>
      <w:r>
        <w:t>isotyp</w:t>
      </w:r>
      <w:r w:rsidRPr="0032382B">
        <w:t xml:space="preserve">e are </w:t>
      </w:r>
      <w:r w:rsidR="00362478">
        <w:t xml:space="preserve">excreted </w:t>
      </w:r>
      <w:r w:rsidRPr="0032382B">
        <w:t>into human milk.</w:t>
      </w:r>
      <w:r>
        <w:t xml:space="preserve"> </w:t>
      </w:r>
      <w:r w:rsidRPr="0032382B">
        <w:t>A decision on whether to continue/d</w:t>
      </w:r>
      <w:r>
        <w:t xml:space="preserve">iscontinue breast-feeding or to </w:t>
      </w:r>
      <w:r w:rsidRPr="0032382B">
        <w:t xml:space="preserve">continue/discontinue therapy with </w:t>
      </w:r>
      <w:r w:rsidR="00362478">
        <w:t>ACTEMRA</w:t>
      </w:r>
      <w:r w:rsidRPr="0032382B">
        <w:t xml:space="preserve"> should be made taking into account the benefit of breast-feeding to the child and the benefit of </w:t>
      </w:r>
      <w:r w:rsidR="00362478">
        <w:t>ACTEMRA</w:t>
      </w:r>
      <w:r w:rsidRPr="0032382B">
        <w:t xml:space="preserve"> therapy to the woman</w:t>
      </w:r>
      <w:r>
        <w:t>.</w:t>
      </w:r>
    </w:p>
    <w:p w:rsidR="007B351C" w:rsidRPr="007B351C" w:rsidRDefault="007B351C" w:rsidP="0060592F">
      <w:pPr>
        <w:jc w:val="both"/>
        <w:rPr>
          <w:rFonts w:eastAsia="SimSun"/>
          <w:lang w:eastAsia="zh-CN"/>
        </w:rPr>
      </w:pPr>
      <w:r w:rsidRPr="008877FB">
        <w:rPr>
          <w:rFonts w:eastAsia="SimSun"/>
          <w:lang w:eastAsia="zh-CN"/>
        </w:rPr>
        <w:lastRenderedPageBreak/>
        <w:t xml:space="preserve">Transfer of a murine analogue of tocilizumab into the </w:t>
      </w:r>
      <w:r>
        <w:rPr>
          <w:rFonts w:eastAsia="SimSun"/>
          <w:lang w:eastAsia="zh-CN"/>
        </w:rPr>
        <w:t xml:space="preserve">milk of lactating mice has been </w:t>
      </w:r>
      <w:r w:rsidRPr="008877FB">
        <w:rPr>
          <w:rFonts w:eastAsia="SimSun"/>
          <w:lang w:eastAsia="zh-CN"/>
        </w:rPr>
        <w:t>observed.</w:t>
      </w:r>
    </w:p>
    <w:p w:rsidR="00673524" w:rsidRDefault="00673524" w:rsidP="0060592F">
      <w:pPr>
        <w:jc w:val="both"/>
      </w:pPr>
    </w:p>
    <w:p w:rsidR="00194929" w:rsidRPr="0060592F" w:rsidRDefault="0060592F" w:rsidP="0060592F">
      <w:pPr>
        <w:pStyle w:val="Heading3"/>
        <w:numPr>
          <w:ilvl w:val="0"/>
          <w:numId w:val="0"/>
        </w:numPr>
        <w:rPr>
          <w:rFonts w:ascii="Times New Roman" w:hAnsi="Times New Roman" w:cs="Times New Roman"/>
        </w:rPr>
      </w:pPr>
      <w:r w:rsidRPr="0060592F">
        <w:rPr>
          <w:rFonts w:ascii="Times New Roman" w:hAnsi="Times New Roman" w:cs="Times New Roman"/>
        </w:rPr>
        <w:t>Use in Children</w:t>
      </w:r>
    </w:p>
    <w:p w:rsidR="00EA108D" w:rsidRDefault="008869E0" w:rsidP="00EA108D">
      <w:pPr>
        <w:jc w:val="both"/>
      </w:pPr>
      <w:r w:rsidRPr="00F0075B">
        <w:t xml:space="preserve">The safety and efficacy of ACTEMRA in children below 18 years of age with conditions other than </w:t>
      </w:r>
      <w:r w:rsidR="002319A3">
        <w:t xml:space="preserve">pJIA and </w:t>
      </w:r>
      <w:r w:rsidRPr="00F0075B">
        <w:t xml:space="preserve">sJIA have not been established. </w:t>
      </w:r>
      <w:r w:rsidR="00522E54" w:rsidRPr="00522E54">
        <w:t xml:space="preserve">Ten patients who participated in the </w:t>
      </w:r>
      <w:r w:rsidR="00522E54">
        <w:t xml:space="preserve">pivotal </w:t>
      </w:r>
      <w:r w:rsidR="00522E54" w:rsidRPr="00522E54">
        <w:t xml:space="preserve">study </w:t>
      </w:r>
      <w:r w:rsidR="00522E54">
        <w:t xml:space="preserve">for pJIA were less than 4 years of age. </w:t>
      </w:r>
      <w:r w:rsidR="00EA108D" w:rsidRPr="00F0075B">
        <w:t>Children under the age of two have not been studied.</w:t>
      </w:r>
      <w:r w:rsidR="00EA108D">
        <w:t xml:space="preserve"> </w:t>
      </w:r>
    </w:p>
    <w:p w:rsidR="00EA108D" w:rsidRDefault="00EA108D" w:rsidP="004A260B">
      <w:pPr>
        <w:jc w:val="both"/>
      </w:pPr>
    </w:p>
    <w:p w:rsidR="00522E54" w:rsidRDefault="00EA108D" w:rsidP="004A260B">
      <w:pPr>
        <w:jc w:val="both"/>
      </w:pPr>
      <w:r>
        <w:t xml:space="preserve">Available data only support use of ACTEMRA in children with pJIA </w:t>
      </w:r>
      <w:r w:rsidRPr="00EA108D">
        <w:t xml:space="preserve">who have had an inadequate response to or intolerance to </w:t>
      </w:r>
      <w:r>
        <w:t>MTX. Long-term safety data for ACTEMRA use in children with pJIA</w:t>
      </w:r>
      <w:r w:rsidR="003719E3">
        <w:t xml:space="preserve"> are</w:t>
      </w:r>
      <w:r>
        <w:t xml:space="preserve"> currently limited</w:t>
      </w:r>
      <w:r w:rsidR="001020C7">
        <w:t xml:space="preserve"> to 2 years</w:t>
      </w:r>
      <w:r w:rsidR="003719E3">
        <w:t>,</w:t>
      </w:r>
      <w:r w:rsidR="001020C7">
        <w:t xml:space="preserve"> and at present no comparison with the safety profile of other biological DMARDs approved for use in this indication has been made</w:t>
      </w:r>
      <w:r>
        <w:t>.</w:t>
      </w:r>
    </w:p>
    <w:p w:rsidR="007D2CB0" w:rsidRDefault="007D2CB0" w:rsidP="007D2CB0">
      <w:pPr>
        <w:jc w:val="both"/>
      </w:pPr>
      <w:r w:rsidRPr="00492C31">
        <w:t>Treatment with a murine analogue did not exert toxicity in juvenile mice. In particular, there was no impairment of skeletal growth, immune function and</w:t>
      </w:r>
      <w:r>
        <w:t xml:space="preserve"> sexual maturation</w:t>
      </w:r>
      <w:r w:rsidRPr="00492C31">
        <w:t>.</w:t>
      </w:r>
    </w:p>
    <w:p w:rsidR="007D2CB0" w:rsidRPr="008F78D5" w:rsidRDefault="007D2CB0" w:rsidP="0060592F"/>
    <w:p w:rsidR="00194929" w:rsidRPr="0060592F" w:rsidRDefault="00194929" w:rsidP="0060592F">
      <w:pPr>
        <w:pStyle w:val="Heading3"/>
        <w:numPr>
          <w:ilvl w:val="0"/>
          <w:numId w:val="0"/>
        </w:numPr>
        <w:rPr>
          <w:rFonts w:ascii="Times New Roman" w:hAnsi="Times New Roman" w:cs="Times New Roman"/>
        </w:rPr>
      </w:pPr>
      <w:r w:rsidRPr="0060592F">
        <w:rPr>
          <w:rFonts w:ascii="Times New Roman" w:hAnsi="Times New Roman" w:cs="Times New Roman"/>
        </w:rPr>
        <w:t>Use in the Elderly</w:t>
      </w:r>
    </w:p>
    <w:p w:rsidR="00005008" w:rsidRPr="009F60FB" w:rsidRDefault="00005008" w:rsidP="00492D06">
      <w:pPr>
        <w:jc w:val="both"/>
        <w:rPr>
          <w:iCs/>
        </w:rPr>
      </w:pPr>
      <w:r>
        <w:t xml:space="preserve">Population analyses evaluated the potential effects of demographic characteristics on the pharmacokinetics of </w:t>
      </w:r>
      <w:r w:rsidR="003E5494">
        <w:t>ACTEMRA</w:t>
      </w:r>
      <w:r>
        <w:t xml:space="preserve"> in adult rheumatoid arthritis patients.  Results of these analyses showed that no adjustment of the dose is necessary for age, gender, or race</w:t>
      </w:r>
      <w:r>
        <w:rPr>
          <w:i/>
          <w:iCs/>
        </w:rPr>
        <w:t>.</w:t>
      </w:r>
    </w:p>
    <w:p w:rsidR="00005008" w:rsidRDefault="00005008" w:rsidP="00492D06">
      <w:pPr>
        <w:jc w:val="both"/>
        <w:rPr>
          <w:iCs/>
        </w:rPr>
      </w:pPr>
    </w:p>
    <w:p w:rsidR="00005008" w:rsidRDefault="00005008" w:rsidP="00492D06">
      <w:pPr>
        <w:jc w:val="both"/>
      </w:pPr>
      <w:r w:rsidRPr="001A7309">
        <w:t>No dose adjustment is required in elderly patients.</w:t>
      </w:r>
    </w:p>
    <w:p w:rsidR="003920BA" w:rsidRPr="00005008" w:rsidRDefault="003920BA" w:rsidP="00492D06">
      <w:pPr>
        <w:jc w:val="both"/>
      </w:pPr>
    </w:p>
    <w:p w:rsidR="00194929" w:rsidRPr="00005008" w:rsidRDefault="00194929" w:rsidP="00005008">
      <w:pPr>
        <w:pStyle w:val="Heading3"/>
        <w:numPr>
          <w:ilvl w:val="0"/>
          <w:numId w:val="0"/>
        </w:numPr>
        <w:rPr>
          <w:rFonts w:ascii="Times New Roman" w:hAnsi="Times New Roman" w:cs="Times New Roman"/>
        </w:rPr>
      </w:pPr>
      <w:r w:rsidRPr="00005008">
        <w:rPr>
          <w:rFonts w:ascii="Times New Roman" w:hAnsi="Times New Roman" w:cs="Times New Roman"/>
        </w:rPr>
        <w:t>Carcinogenicity</w:t>
      </w:r>
    </w:p>
    <w:p w:rsidR="00D266E5" w:rsidRDefault="00005008" w:rsidP="00492D06">
      <w:pPr>
        <w:jc w:val="both"/>
      </w:pPr>
      <w:r w:rsidRPr="00656E79">
        <w:t xml:space="preserve">A carcinogenicity study of </w:t>
      </w:r>
      <w:r w:rsidR="003920BA">
        <w:t>ACTEMRA</w:t>
      </w:r>
      <w:r w:rsidRPr="00656E79">
        <w:t xml:space="preserve"> has not been conducted.</w:t>
      </w:r>
      <w:r>
        <w:t xml:space="preserve"> </w:t>
      </w:r>
      <w:r w:rsidR="003920BA">
        <w:t>P</w:t>
      </w:r>
      <w:r w:rsidR="00F17FFA">
        <w:t>roliferating</w:t>
      </w:r>
      <w:r w:rsidRPr="00656E79">
        <w:t xml:space="preserve"> lesions </w:t>
      </w:r>
      <w:r w:rsidR="003920BA">
        <w:t xml:space="preserve">were </w:t>
      </w:r>
      <w:r w:rsidRPr="00656E79">
        <w:t>not observed in a chronic cynomolgus monkey 6-month toxicity study.</w:t>
      </w:r>
    </w:p>
    <w:p w:rsidR="003920BA" w:rsidRDefault="003920BA" w:rsidP="00492D06">
      <w:pPr>
        <w:jc w:val="both"/>
      </w:pPr>
    </w:p>
    <w:p w:rsidR="00194929" w:rsidRPr="00005008" w:rsidRDefault="00194929" w:rsidP="00005008">
      <w:pPr>
        <w:pStyle w:val="Heading3"/>
        <w:numPr>
          <w:ilvl w:val="0"/>
          <w:numId w:val="0"/>
        </w:numPr>
        <w:rPr>
          <w:rFonts w:ascii="Times New Roman" w:hAnsi="Times New Roman" w:cs="Times New Roman"/>
        </w:rPr>
      </w:pPr>
      <w:r w:rsidRPr="00005008">
        <w:rPr>
          <w:rFonts w:ascii="Times New Roman" w:hAnsi="Times New Roman" w:cs="Times New Roman"/>
        </w:rPr>
        <w:t>Genotoxicity</w:t>
      </w:r>
    </w:p>
    <w:p w:rsidR="00B77B7E" w:rsidRDefault="00005008" w:rsidP="00005008">
      <w:r w:rsidRPr="00656E79">
        <w:t xml:space="preserve">Standard genotoxicity studies with </w:t>
      </w:r>
      <w:r w:rsidR="00E66194">
        <w:t>ACTEMRA</w:t>
      </w:r>
      <w:r w:rsidRPr="00656E79">
        <w:t xml:space="preserve"> in both prokaryotic and eukaryotic cells were negative</w:t>
      </w:r>
      <w:r>
        <w:t>.</w:t>
      </w:r>
    </w:p>
    <w:p w:rsidR="00946D9C" w:rsidRDefault="00946D9C" w:rsidP="00005008"/>
    <w:p w:rsidR="00946D9C" w:rsidRPr="00342064" w:rsidRDefault="00946D9C" w:rsidP="00946D9C">
      <w:pPr>
        <w:pStyle w:val="Heading3"/>
        <w:numPr>
          <w:ilvl w:val="0"/>
          <w:numId w:val="0"/>
        </w:numPr>
        <w:rPr>
          <w:rFonts w:ascii="Times New Roman" w:hAnsi="Times New Roman" w:cs="Times New Roman"/>
        </w:rPr>
      </w:pPr>
      <w:r w:rsidRPr="00342064">
        <w:rPr>
          <w:rFonts w:ascii="Times New Roman" w:hAnsi="Times New Roman" w:cs="Times New Roman"/>
        </w:rPr>
        <w:t>Effects on Laboratory Tests</w:t>
      </w:r>
    </w:p>
    <w:p w:rsidR="00946D9C" w:rsidRDefault="00946D9C" w:rsidP="00946D9C">
      <w:pPr>
        <w:jc w:val="both"/>
      </w:pPr>
      <w:r>
        <w:t xml:space="preserve">Caution should be exercised when considering initiation of ACTEMRA treatment in patients with a low neutrophil count. </w:t>
      </w:r>
      <w:r w:rsidRPr="0088153C">
        <w:t>Decreases in neutrophil counts below 1 x 10</w:t>
      </w:r>
      <w:r w:rsidRPr="0088153C">
        <w:rPr>
          <w:vertAlign w:val="superscript"/>
        </w:rPr>
        <w:t>9</w:t>
      </w:r>
      <w:r w:rsidRPr="00F05706">
        <w:rPr>
          <w:rFonts w:eastAsia="MS Mincho" w:hint="eastAsia"/>
        </w:rPr>
        <w:t>/L</w:t>
      </w:r>
      <w:r>
        <w:rPr>
          <w:rFonts w:eastAsia="MS Mincho"/>
        </w:rPr>
        <w:t xml:space="preserve"> </w:t>
      </w:r>
      <w:r w:rsidRPr="0088153C">
        <w:t xml:space="preserve">occurred </w:t>
      </w:r>
      <w:r>
        <w:t>in 3.4%, with counts &lt; 0.</w:t>
      </w:r>
      <w:r w:rsidRPr="00DC72E6">
        <w:t>5 x 10</w:t>
      </w:r>
      <w:r w:rsidRPr="00AA7EA4">
        <w:rPr>
          <w:vertAlign w:val="superscript"/>
        </w:rPr>
        <w:t>9</w:t>
      </w:r>
      <w:r>
        <w:t>/L occurring</w:t>
      </w:r>
      <w:r w:rsidRPr="00DC72E6">
        <w:t xml:space="preserve"> in 0.3%</w:t>
      </w:r>
      <w:r>
        <w:t>,</w:t>
      </w:r>
      <w:r w:rsidRPr="00DC72E6">
        <w:t xml:space="preserve"> </w:t>
      </w:r>
      <w:r>
        <w:t>of patients on ACTEMRA 8 mg/kg + DMARD without clear association with serious infectio</w:t>
      </w:r>
      <w:r w:rsidRPr="00492D06">
        <w:t xml:space="preserve">n (see </w:t>
      </w:r>
      <w:r>
        <w:t xml:space="preserve">PRECAUTIONS – Haematological Abnormalities; </w:t>
      </w:r>
      <w:r w:rsidRPr="00492D06">
        <w:t>A</w:t>
      </w:r>
      <w:r>
        <w:t xml:space="preserve">DVERSE EFFECTS </w:t>
      </w:r>
      <w:r w:rsidRPr="00492D06">
        <w:t>- Laboratory Abnormalities).</w:t>
      </w:r>
      <w:r>
        <w:t xml:space="preserve"> In patients with an absolute neutrophil count &lt; 0.5 x 10</w:t>
      </w:r>
      <w:r w:rsidRPr="007A3D1E">
        <w:rPr>
          <w:vertAlign w:val="superscript"/>
        </w:rPr>
        <w:t>9</w:t>
      </w:r>
      <w:r>
        <w:t>/L treatment is not recommended.</w:t>
      </w:r>
    </w:p>
    <w:p w:rsidR="00946D9C" w:rsidRPr="00BA4535" w:rsidRDefault="00946D9C" w:rsidP="00946D9C"/>
    <w:p w:rsidR="00946D9C" w:rsidRPr="008B3DC1" w:rsidRDefault="00946D9C" w:rsidP="00946D9C">
      <w:pPr>
        <w:pStyle w:val="Heading3"/>
        <w:numPr>
          <w:ilvl w:val="0"/>
          <w:numId w:val="0"/>
        </w:numPr>
        <w:rPr>
          <w:rFonts w:ascii="Times New Roman" w:hAnsi="Times New Roman" w:cs="Times New Roman"/>
        </w:rPr>
      </w:pPr>
      <w:r w:rsidRPr="008B3DC1">
        <w:rPr>
          <w:rFonts w:ascii="Times New Roman" w:hAnsi="Times New Roman" w:cs="Times New Roman"/>
        </w:rPr>
        <w:lastRenderedPageBreak/>
        <w:t>Ability to Drive and Use Machines</w:t>
      </w:r>
    </w:p>
    <w:p w:rsidR="00946D9C" w:rsidRDefault="00946D9C" w:rsidP="00F3105D">
      <w:pPr>
        <w:jc w:val="both"/>
        <w:rPr>
          <w:rFonts w:eastAsia="MS Mincho"/>
          <w:lang w:val="en-GB"/>
        </w:rPr>
      </w:pPr>
      <w:r w:rsidRPr="002B492A">
        <w:t>No studies on the effects on the ability to drive and use machine</w:t>
      </w:r>
      <w:r>
        <w:t>s</w:t>
      </w:r>
      <w:r w:rsidRPr="002B492A">
        <w:t xml:space="preserve"> have been performed</w:t>
      </w:r>
      <w:r w:rsidR="00F3105D">
        <w:t xml:space="preserve"> and</w:t>
      </w:r>
      <w:r w:rsidR="00B81DBF">
        <w:t xml:space="preserve"> </w:t>
      </w:r>
      <w:r w:rsidRPr="002B492A">
        <w:rPr>
          <w:rFonts w:eastAsia="MS Mincho"/>
          <w:lang w:val="en-GB"/>
        </w:rPr>
        <w:t xml:space="preserve">there is no evidence from the available data that </w:t>
      </w:r>
      <w:r>
        <w:rPr>
          <w:rFonts w:eastAsia="MS Mincho"/>
          <w:lang w:val="en-GB"/>
        </w:rPr>
        <w:t>ACTEMRA</w:t>
      </w:r>
      <w:r w:rsidRPr="002B492A">
        <w:rPr>
          <w:rFonts w:eastAsia="MS Mincho"/>
          <w:lang w:val="en-GB"/>
        </w:rPr>
        <w:t xml:space="preserve"> treatment </w:t>
      </w:r>
      <w:r>
        <w:rPr>
          <w:rFonts w:eastAsia="MS Mincho" w:hint="eastAsia"/>
          <w:lang w:val="en-GB"/>
        </w:rPr>
        <w:t>affect</w:t>
      </w:r>
      <w:r>
        <w:rPr>
          <w:rFonts w:eastAsia="MS Mincho"/>
          <w:lang w:val="en-GB"/>
        </w:rPr>
        <w:t>s the</w:t>
      </w:r>
      <w:r>
        <w:rPr>
          <w:rFonts w:eastAsia="MS Mincho" w:hint="eastAsia"/>
          <w:lang w:val="en-GB"/>
        </w:rPr>
        <w:t xml:space="preserve"> ability to drive and use machines</w:t>
      </w:r>
      <w:r w:rsidRPr="002B492A">
        <w:rPr>
          <w:rFonts w:eastAsia="MS Mincho"/>
          <w:lang w:val="en-GB"/>
        </w:rPr>
        <w:t>.</w:t>
      </w:r>
      <w:r w:rsidR="00F3105D">
        <w:rPr>
          <w:rFonts w:eastAsia="MS Mincho"/>
          <w:lang w:val="en-GB"/>
        </w:rPr>
        <w:t xml:space="preserve"> </w:t>
      </w:r>
      <w:r w:rsidR="00F3105D" w:rsidRPr="00F3105D">
        <w:rPr>
          <w:rFonts w:eastAsia="MS Mincho"/>
          <w:lang w:val="en-GB"/>
        </w:rPr>
        <w:t>However,</w:t>
      </w:r>
      <w:r w:rsidR="00F3105D">
        <w:rPr>
          <w:rFonts w:eastAsia="MS Mincho"/>
          <w:lang w:val="en-GB"/>
        </w:rPr>
        <w:t xml:space="preserve"> </w:t>
      </w:r>
      <w:r w:rsidR="00F3105D" w:rsidRPr="00F3105D">
        <w:rPr>
          <w:rFonts w:eastAsia="MS Mincho"/>
          <w:lang w:val="en-GB"/>
        </w:rPr>
        <w:t>given that dizziness has b</w:t>
      </w:r>
      <w:r w:rsidR="00F3105D">
        <w:rPr>
          <w:rFonts w:eastAsia="MS Mincho"/>
          <w:lang w:val="en-GB"/>
        </w:rPr>
        <w:t xml:space="preserve">een </w:t>
      </w:r>
      <w:r w:rsidR="00F3105D" w:rsidRPr="00F3105D">
        <w:rPr>
          <w:rFonts w:eastAsia="MS Mincho"/>
          <w:lang w:val="en-GB"/>
        </w:rPr>
        <w:t>reported, patients who experience this adverse reaction</w:t>
      </w:r>
      <w:r w:rsidR="00F3105D">
        <w:rPr>
          <w:rFonts w:eastAsia="MS Mincho"/>
          <w:lang w:val="en-GB"/>
        </w:rPr>
        <w:t xml:space="preserve"> </w:t>
      </w:r>
      <w:r w:rsidR="00F3105D" w:rsidRPr="00F3105D">
        <w:rPr>
          <w:rFonts w:eastAsia="MS Mincho"/>
          <w:lang w:val="en-GB"/>
        </w:rPr>
        <w:t>should be advised not to drive or use machines until it has resolved.</w:t>
      </w:r>
    </w:p>
    <w:p w:rsidR="00946D9C" w:rsidRDefault="00946D9C" w:rsidP="00946D9C"/>
    <w:p w:rsidR="00946D9C" w:rsidRPr="00B823D0" w:rsidRDefault="00946D9C" w:rsidP="00946D9C">
      <w:pPr>
        <w:spacing w:after="57"/>
        <w:jc w:val="both"/>
        <w:rPr>
          <w:b/>
        </w:rPr>
      </w:pPr>
      <w:r w:rsidRPr="00B823D0">
        <w:rPr>
          <w:b/>
        </w:rPr>
        <w:t>Systemic Juvenile Idiopathic Arthritis</w:t>
      </w:r>
    </w:p>
    <w:p w:rsidR="00946D9C" w:rsidRPr="00B823D0" w:rsidRDefault="00946D9C" w:rsidP="00946D9C">
      <w:pPr>
        <w:pStyle w:val="Heading3"/>
        <w:numPr>
          <w:ilvl w:val="0"/>
          <w:numId w:val="0"/>
        </w:numPr>
        <w:jc w:val="both"/>
        <w:rPr>
          <w:rFonts w:ascii="Times New Roman" w:hAnsi="Times New Roman" w:cs="Times New Roman"/>
        </w:rPr>
      </w:pPr>
      <w:r w:rsidRPr="00B823D0">
        <w:rPr>
          <w:rFonts w:ascii="Times New Roman" w:hAnsi="Times New Roman" w:cs="Times New Roman"/>
        </w:rPr>
        <w:t xml:space="preserve">Macrophage activation syndrome (MAS) </w:t>
      </w:r>
    </w:p>
    <w:p w:rsidR="00946D9C" w:rsidRDefault="00946D9C" w:rsidP="00946D9C">
      <w:pPr>
        <w:jc w:val="both"/>
      </w:pPr>
      <w:r>
        <w:t xml:space="preserve">MAS is a serious life-threatening disorder that may develop in patients with sJIA. In clinical trials, ACTEMRA has not been studied in patients during an episode of active MAS (see ADVERSE EFFECTS). </w:t>
      </w:r>
    </w:p>
    <w:p w:rsidR="00005008" w:rsidRDefault="00005008" w:rsidP="00005008"/>
    <w:p w:rsidR="00194929" w:rsidRPr="00946D9C" w:rsidRDefault="00194929" w:rsidP="00946D9C">
      <w:pPr>
        <w:pStyle w:val="Heading2"/>
        <w:numPr>
          <w:ilvl w:val="0"/>
          <w:numId w:val="0"/>
        </w:numPr>
        <w:rPr>
          <w:rFonts w:ascii="Times New Roman" w:hAnsi="Times New Roman" w:cs="Times New Roman"/>
          <w:sz w:val="28"/>
        </w:rPr>
      </w:pPr>
      <w:r w:rsidRPr="00946D9C">
        <w:rPr>
          <w:rFonts w:ascii="Times New Roman" w:hAnsi="Times New Roman" w:cs="Times New Roman"/>
          <w:sz w:val="28"/>
        </w:rPr>
        <w:t>I</w:t>
      </w:r>
      <w:r w:rsidR="00946D9C" w:rsidRPr="00946D9C">
        <w:rPr>
          <w:rFonts w:ascii="Times New Roman" w:hAnsi="Times New Roman" w:cs="Times New Roman"/>
          <w:sz w:val="28"/>
        </w:rPr>
        <w:t>NTERACTIONS WITH OTHER MEDICINES</w:t>
      </w:r>
    </w:p>
    <w:p w:rsidR="00D86189" w:rsidRDefault="00D86189" w:rsidP="00EC78D3">
      <w:pPr>
        <w:jc w:val="both"/>
      </w:pPr>
      <w:bookmarkStart w:id="11" w:name="OLE_LINK17"/>
      <w:bookmarkStart w:id="12" w:name="OLE_LINK18"/>
      <w:r>
        <w:t>Population pharmacokinetic analyses did not detect any effect of MTX, non-steroidal anti-inflammatory drugs or corticosteroids on tocilizumab clearance</w:t>
      </w:r>
      <w:r w:rsidR="00087A4F">
        <w:t>.</w:t>
      </w:r>
    </w:p>
    <w:p w:rsidR="00140526" w:rsidRDefault="00140526" w:rsidP="00EC78D3">
      <w:pPr>
        <w:jc w:val="both"/>
      </w:pPr>
      <w:r>
        <w:t>Concomitant administration of a single dose of 10 mg/kg tocilizumab with 10-25 mg MTX once weekly had no clinically significant effect on MTX exposure.</w:t>
      </w:r>
      <w:bookmarkEnd w:id="11"/>
      <w:bookmarkEnd w:id="12"/>
      <w:r>
        <w:t xml:space="preserve"> </w:t>
      </w:r>
    </w:p>
    <w:p w:rsidR="00140526" w:rsidRDefault="00140526" w:rsidP="00EC78D3">
      <w:pPr>
        <w:jc w:val="both"/>
      </w:pPr>
    </w:p>
    <w:p w:rsidR="00005008" w:rsidRDefault="00140526" w:rsidP="00EC78D3">
      <w:pPr>
        <w:jc w:val="both"/>
      </w:pPr>
      <w:r>
        <w:t>ACTEMRA</w:t>
      </w:r>
      <w:r w:rsidR="00005008" w:rsidRPr="00CA77CB">
        <w:t xml:space="preserve"> </w:t>
      </w:r>
      <w:r w:rsidR="00005008">
        <w:t xml:space="preserve">has </w:t>
      </w:r>
      <w:r w:rsidR="00005008" w:rsidRPr="00CA77CB">
        <w:t xml:space="preserve">not been studied </w:t>
      </w:r>
      <w:r w:rsidR="00005008">
        <w:t>in combination with other biological DMARDs.</w:t>
      </w:r>
    </w:p>
    <w:p w:rsidR="00005008" w:rsidRDefault="00005008" w:rsidP="00EC78D3">
      <w:pPr>
        <w:jc w:val="both"/>
      </w:pPr>
    </w:p>
    <w:p w:rsidR="007204D9" w:rsidRPr="007B2545" w:rsidRDefault="00005008" w:rsidP="00DA52FD">
      <w:pPr>
        <w:jc w:val="both"/>
      </w:pPr>
      <w:bookmarkStart w:id="13" w:name="OLE_LINK1"/>
      <w:bookmarkStart w:id="14" w:name="OLE_LINK2"/>
      <w:r w:rsidRPr="007B2545">
        <w:t xml:space="preserve">The </w:t>
      </w:r>
      <w:r w:rsidR="007204D9" w:rsidRPr="007B2545">
        <w:t xml:space="preserve">expression </w:t>
      </w:r>
      <w:r w:rsidRPr="007B2545">
        <w:t xml:space="preserve">of </w:t>
      </w:r>
      <w:r w:rsidR="007204D9" w:rsidRPr="007B2545">
        <w:t xml:space="preserve">hepatic </w:t>
      </w:r>
      <w:r w:rsidRPr="007B2545">
        <w:t>CYP450 enzymes is suppressed by cytokines</w:t>
      </w:r>
      <w:r w:rsidR="00DA52FD" w:rsidRPr="007B2545">
        <w:t xml:space="preserve"> that</w:t>
      </w:r>
      <w:r w:rsidRPr="007B2545">
        <w:t xml:space="preserve"> stimulat</w:t>
      </w:r>
      <w:r w:rsidR="00DA52FD" w:rsidRPr="007B2545">
        <w:t>e</w:t>
      </w:r>
      <w:r w:rsidRPr="007B2545">
        <w:t xml:space="preserve"> chronic inflammation</w:t>
      </w:r>
      <w:r w:rsidR="00DA52FD" w:rsidRPr="007B2545">
        <w:t>, such as IL-6</w:t>
      </w:r>
      <w:r w:rsidRPr="007B2545">
        <w:t>. Thus</w:t>
      </w:r>
      <w:r w:rsidR="00DA52FD" w:rsidRPr="007B2545">
        <w:t xml:space="preserve"> </w:t>
      </w:r>
      <w:r w:rsidR="00544216">
        <w:t xml:space="preserve">suppression of </w:t>
      </w:r>
      <w:r w:rsidR="00DA52FD" w:rsidRPr="007B2545">
        <w:t>CYP450 expression may be reversed when potent cytokine inhibitory therapy, such as tocilizumab, is introduced.</w:t>
      </w:r>
      <w:r w:rsidRPr="007B2545">
        <w:t xml:space="preserve"> </w:t>
      </w:r>
    </w:p>
    <w:p w:rsidR="007204D9" w:rsidRPr="007B2545" w:rsidRDefault="007204D9" w:rsidP="00DA52FD">
      <w:pPr>
        <w:jc w:val="both"/>
      </w:pPr>
    </w:p>
    <w:p w:rsidR="00E04383" w:rsidRDefault="00DA52FD" w:rsidP="00EC78D3">
      <w:pPr>
        <w:jc w:val="both"/>
      </w:pPr>
      <w:r w:rsidRPr="00D627E8">
        <w:rPr>
          <w:i/>
          <w:color w:val="000000"/>
        </w:rPr>
        <w:t>In vitro</w:t>
      </w:r>
      <w:r w:rsidRPr="00D627E8">
        <w:rPr>
          <w:color w:val="000000"/>
        </w:rPr>
        <w:t xml:space="preserve"> studies with cultured human hepatocytes demonstrated that IL-6 caused a reduction in</w:t>
      </w:r>
      <w:r w:rsidR="00544216">
        <w:rPr>
          <w:color w:val="000000"/>
        </w:rPr>
        <w:t xml:space="preserve"> </w:t>
      </w:r>
      <w:r w:rsidR="00544216" w:rsidRPr="00544216">
        <w:rPr>
          <w:color w:val="000000"/>
        </w:rPr>
        <w:t>CYP3A4 and to a lesser extent CYP1A2, CYP2C9 and CYP2C19</w:t>
      </w:r>
      <w:r w:rsidRPr="00D627E8">
        <w:rPr>
          <w:color w:val="000000"/>
        </w:rPr>
        <w:t xml:space="preserve"> enzyme</w:t>
      </w:r>
      <w:r w:rsidR="00544216">
        <w:rPr>
          <w:color w:val="000000"/>
        </w:rPr>
        <w:t xml:space="preserve"> messenger RNA (mRNA)</w:t>
      </w:r>
      <w:r w:rsidRPr="00D627E8">
        <w:rPr>
          <w:color w:val="000000"/>
        </w:rPr>
        <w:t xml:space="preserve"> expression. Tocilizumab </w:t>
      </w:r>
      <w:r w:rsidR="00544216">
        <w:rPr>
          <w:color w:val="000000"/>
        </w:rPr>
        <w:t xml:space="preserve">was shown to </w:t>
      </w:r>
      <w:r w:rsidRPr="00D627E8">
        <w:rPr>
          <w:color w:val="000000"/>
        </w:rPr>
        <w:t>normalise expression of</w:t>
      </w:r>
      <w:r w:rsidR="00544216">
        <w:rPr>
          <w:color w:val="000000"/>
        </w:rPr>
        <w:t xml:space="preserve"> the mRNA for</w:t>
      </w:r>
      <w:r w:rsidRPr="00D627E8">
        <w:rPr>
          <w:color w:val="000000"/>
        </w:rPr>
        <w:t xml:space="preserve"> these enzymes.</w:t>
      </w:r>
      <w:r w:rsidR="00D86189">
        <w:t xml:space="preserve"> </w:t>
      </w:r>
    </w:p>
    <w:p w:rsidR="00E04383" w:rsidRDefault="00E04383" w:rsidP="00EC78D3">
      <w:pPr>
        <w:jc w:val="both"/>
      </w:pPr>
    </w:p>
    <w:p w:rsidR="00D86189" w:rsidRDefault="00005008" w:rsidP="00EC78D3">
      <w:pPr>
        <w:jc w:val="both"/>
      </w:pPr>
      <w:r w:rsidRPr="00743344">
        <w:t xml:space="preserve">This </w:t>
      </w:r>
      <w:r>
        <w:t>is clinically relevant</w:t>
      </w:r>
      <w:r w:rsidRPr="00743344">
        <w:t xml:space="preserve"> for CYP450 substrates with a narrow therapeutic index, </w:t>
      </w:r>
      <w:r w:rsidR="00AB0EDB">
        <w:t xml:space="preserve">and/or </w:t>
      </w:r>
      <w:r w:rsidRPr="00743344">
        <w:t>where the dose is individually adjusted.</w:t>
      </w:r>
      <w:r w:rsidR="00DA52FD">
        <w:t xml:space="preserve"> </w:t>
      </w:r>
    </w:p>
    <w:p w:rsidR="00D86189" w:rsidRDefault="00D86189" w:rsidP="00EC78D3">
      <w:pPr>
        <w:jc w:val="both"/>
      </w:pPr>
    </w:p>
    <w:p w:rsidR="00D86189" w:rsidRDefault="00D86189" w:rsidP="00EC78D3">
      <w:pPr>
        <w:jc w:val="both"/>
      </w:pPr>
      <w:r w:rsidRPr="00736B32">
        <w:t xml:space="preserve">In a study in RA patients, levels of simvastatin </w:t>
      </w:r>
      <w:r w:rsidR="00D510FD" w:rsidRPr="00736B32">
        <w:t xml:space="preserve">and its acid metabolite </w:t>
      </w:r>
      <w:r w:rsidRPr="00736B32">
        <w:t>(CYP3A4</w:t>
      </w:r>
      <w:r w:rsidR="00D510FD" w:rsidRPr="00736B32">
        <w:t xml:space="preserve"> substrates</w:t>
      </w:r>
      <w:r w:rsidRPr="00736B32">
        <w:t xml:space="preserve">) were decreased by 57% </w:t>
      </w:r>
      <w:r w:rsidR="00D510FD" w:rsidRPr="00736B32">
        <w:t xml:space="preserve">and 39%, respectively, </w:t>
      </w:r>
      <w:r w:rsidRPr="00736B32">
        <w:t xml:space="preserve">one week following a single dose of tocilizumab, to a level similar or slightly higher than those observed </w:t>
      </w:r>
      <w:r w:rsidR="000610A9" w:rsidRPr="00736B32">
        <w:t xml:space="preserve">(in other studies) </w:t>
      </w:r>
      <w:r w:rsidRPr="00736B32">
        <w:t>in h</w:t>
      </w:r>
      <w:r>
        <w:t>ealthy subjects.</w:t>
      </w:r>
    </w:p>
    <w:p w:rsidR="00D86189" w:rsidRDefault="00D86189" w:rsidP="00EC78D3">
      <w:pPr>
        <w:jc w:val="both"/>
      </w:pPr>
    </w:p>
    <w:p w:rsidR="002E2190" w:rsidRPr="008F78D5" w:rsidRDefault="00EC78D3" w:rsidP="005C2B63">
      <w:pPr>
        <w:jc w:val="both"/>
      </w:pPr>
      <w:r>
        <w:t>When starting or stopping therapy with ACTEMRA, patients taking medicinal products which are individually adjusted and are metabolised via CYP450 3A4, 1A2, 2C9 or 2C19 (e.g. atorvastatin, calcium channel blockers, theophylline, warfarin, phenytoin, c</w:t>
      </w:r>
      <w:r w:rsidR="00DA52FD">
        <w:t>yclosporin</w:t>
      </w:r>
      <w:r>
        <w:t xml:space="preserve"> or benzodiazepines) should be monitored as doses may need to be </w:t>
      </w:r>
      <w:r w:rsidR="00D14ED6">
        <w:t>adjusted</w:t>
      </w:r>
      <w:r>
        <w:t xml:space="preserve"> to </w:t>
      </w:r>
      <w:r>
        <w:lastRenderedPageBreak/>
        <w:t xml:space="preserve">maintain therapeutic effect. </w:t>
      </w:r>
      <w:r w:rsidR="00091A22" w:rsidRPr="00091A22">
        <w:t xml:space="preserve">The degree of dose up-titration upon initiation of therapy or dose down-titration when stopping therapy with ACTEMRA should be based on the therapeutic response and/or </w:t>
      </w:r>
      <w:r w:rsidR="00ED3843">
        <w:t>adverse</w:t>
      </w:r>
      <w:r w:rsidR="00091A22" w:rsidRPr="00091A22">
        <w:t xml:space="preserve"> effects of the patient to the individual medicine.</w:t>
      </w:r>
      <w:r w:rsidR="00091A22">
        <w:t xml:space="preserve"> </w:t>
      </w:r>
      <w:r>
        <w:t>Given a relatively long elimination half-life (t</w:t>
      </w:r>
      <w:r w:rsidRPr="00711683">
        <w:rPr>
          <w:vertAlign w:val="subscript"/>
        </w:rPr>
        <w:t>1/2</w:t>
      </w:r>
      <w:r>
        <w:t>), the effect of tocilizumab on CYP450 enzyme activity may persist for several weeks after stopping therapy.</w:t>
      </w:r>
      <w:bookmarkEnd w:id="13"/>
      <w:bookmarkEnd w:id="14"/>
    </w:p>
    <w:p w:rsidR="008869E0" w:rsidRPr="00011608" w:rsidRDefault="008869E0" w:rsidP="008B3DC1"/>
    <w:p w:rsidR="00194929" w:rsidRDefault="00047813" w:rsidP="009F2015">
      <w:pPr>
        <w:pStyle w:val="Heading2"/>
        <w:numPr>
          <w:ilvl w:val="0"/>
          <w:numId w:val="0"/>
        </w:numPr>
        <w:rPr>
          <w:rFonts w:ascii="Times New Roman" w:hAnsi="Times New Roman" w:cs="Times New Roman"/>
          <w:sz w:val="28"/>
        </w:rPr>
      </w:pPr>
      <w:r w:rsidRPr="009F2015">
        <w:rPr>
          <w:rFonts w:ascii="Times New Roman" w:hAnsi="Times New Roman" w:cs="Times New Roman"/>
          <w:sz w:val="28"/>
        </w:rPr>
        <w:t>ADVERSE EFFECTS</w:t>
      </w:r>
    </w:p>
    <w:p w:rsidR="00007EAE" w:rsidRDefault="00007EAE" w:rsidP="00F7303C">
      <w:pPr>
        <w:jc w:val="both"/>
        <w:rPr>
          <w:lang w:eastAsia="en-US"/>
        </w:rPr>
      </w:pPr>
      <w:r w:rsidRPr="00492C31">
        <w:rPr>
          <w:b/>
          <w:i/>
        </w:rPr>
        <w:t>Rheumatoid Arthritis</w:t>
      </w:r>
    </w:p>
    <w:p w:rsidR="001F5488" w:rsidRDefault="001F5488" w:rsidP="00F7303C">
      <w:pPr>
        <w:jc w:val="both"/>
        <w:rPr>
          <w:lang w:eastAsia="en-US"/>
        </w:rPr>
      </w:pPr>
      <w:r>
        <w:rPr>
          <w:lang w:eastAsia="en-US"/>
        </w:rPr>
        <w:t>T</w:t>
      </w:r>
      <w:r w:rsidR="00047813">
        <w:rPr>
          <w:lang w:eastAsia="en-US"/>
        </w:rPr>
        <w:t xml:space="preserve">he safety of </w:t>
      </w:r>
      <w:r w:rsidR="007970A8">
        <w:rPr>
          <w:lang w:eastAsia="en-US"/>
        </w:rPr>
        <w:t>ACTEMRA</w:t>
      </w:r>
      <w:r w:rsidR="00047813">
        <w:rPr>
          <w:lang w:eastAsia="en-US"/>
        </w:rPr>
        <w:t xml:space="preserve"> </w:t>
      </w:r>
      <w:r>
        <w:rPr>
          <w:lang w:eastAsia="en-US"/>
        </w:rPr>
        <w:t xml:space="preserve">has been </w:t>
      </w:r>
      <w:r w:rsidR="00047813">
        <w:rPr>
          <w:lang w:eastAsia="en-US"/>
        </w:rPr>
        <w:t xml:space="preserve">studied in </w:t>
      </w:r>
      <w:r>
        <w:rPr>
          <w:lang w:eastAsia="en-US"/>
        </w:rPr>
        <w:t xml:space="preserve">5 phase III, double-blind </w:t>
      </w:r>
      <w:r w:rsidR="00047813">
        <w:rPr>
          <w:lang w:eastAsia="en-US"/>
        </w:rPr>
        <w:t>controlled trials</w:t>
      </w:r>
      <w:r>
        <w:rPr>
          <w:lang w:eastAsia="en-US"/>
        </w:rPr>
        <w:t xml:space="preserve"> and their extension periods</w:t>
      </w:r>
      <w:r w:rsidR="00047813">
        <w:rPr>
          <w:lang w:eastAsia="en-US"/>
        </w:rPr>
        <w:t>.</w:t>
      </w:r>
    </w:p>
    <w:p w:rsidR="001F5488" w:rsidRDefault="009F2015" w:rsidP="00F7303C">
      <w:pPr>
        <w:jc w:val="both"/>
        <w:rPr>
          <w:lang w:eastAsia="en-US"/>
        </w:rPr>
      </w:pPr>
      <w:r>
        <w:rPr>
          <w:lang w:eastAsia="en-US"/>
        </w:rPr>
        <w:t xml:space="preserve"> </w:t>
      </w:r>
    </w:p>
    <w:p w:rsidR="00047813" w:rsidRDefault="001F5488" w:rsidP="00F7303C">
      <w:pPr>
        <w:jc w:val="both"/>
        <w:rPr>
          <w:lang w:eastAsia="en-US"/>
        </w:rPr>
      </w:pPr>
      <w:r>
        <w:rPr>
          <w:lang w:eastAsia="en-US"/>
        </w:rPr>
        <w:t xml:space="preserve">The </w:t>
      </w:r>
      <w:r w:rsidRPr="00B87352">
        <w:rPr>
          <w:i/>
          <w:lang w:eastAsia="en-US"/>
        </w:rPr>
        <w:t>all control</w:t>
      </w:r>
      <w:r>
        <w:rPr>
          <w:lang w:eastAsia="en-US"/>
        </w:rPr>
        <w:t xml:space="preserve"> population includes all patients who received at least one dose of ACTEMRA in the double-blind controlled period of the 5 studies. The control period in 4 of the studies was 6 months and in 1 study was up to 2 years. </w:t>
      </w:r>
      <w:r w:rsidR="00047813">
        <w:rPr>
          <w:lang w:eastAsia="en-US"/>
        </w:rPr>
        <w:t xml:space="preserve">In the </w:t>
      </w:r>
      <w:r>
        <w:rPr>
          <w:lang w:eastAsia="en-US"/>
        </w:rPr>
        <w:t xml:space="preserve">double-blind controlled </w:t>
      </w:r>
      <w:r w:rsidR="00047813">
        <w:rPr>
          <w:lang w:eastAsia="en-US"/>
        </w:rPr>
        <w:t xml:space="preserve">studies 774 patients received </w:t>
      </w:r>
      <w:r w:rsidR="007970A8">
        <w:rPr>
          <w:lang w:eastAsia="en-US"/>
        </w:rPr>
        <w:t>ACTEMRA</w:t>
      </w:r>
      <w:r w:rsidR="00047813">
        <w:rPr>
          <w:lang w:eastAsia="en-US"/>
        </w:rPr>
        <w:t xml:space="preserve"> 4 mg/kg in combination with MTX, </w:t>
      </w:r>
      <w:r>
        <w:rPr>
          <w:lang w:eastAsia="en-US"/>
        </w:rPr>
        <w:t xml:space="preserve">1870 </w:t>
      </w:r>
      <w:r w:rsidR="009F2015">
        <w:rPr>
          <w:lang w:eastAsia="en-US"/>
        </w:rPr>
        <w:t xml:space="preserve">patients received </w:t>
      </w:r>
      <w:r w:rsidR="007970A8">
        <w:rPr>
          <w:lang w:eastAsia="en-US"/>
        </w:rPr>
        <w:t>ACTEMRA</w:t>
      </w:r>
      <w:r w:rsidR="009F2015">
        <w:rPr>
          <w:lang w:eastAsia="en-US"/>
        </w:rPr>
        <w:t xml:space="preserve"> 8 </w:t>
      </w:r>
      <w:r w:rsidR="00047813">
        <w:rPr>
          <w:lang w:eastAsia="en-US"/>
        </w:rPr>
        <w:t xml:space="preserve">mg/kg in combination with MTX/other DMARDs and 288 patients received </w:t>
      </w:r>
      <w:r w:rsidR="007970A8">
        <w:rPr>
          <w:lang w:eastAsia="en-US"/>
        </w:rPr>
        <w:t>ACTEMRA</w:t>
      </w:r>
      <w:r w:rsidR="009F2015">
        <w:rPr>
          <w:lang w:eastAsia="en-US"/>
        </w:rPr>
        <w:t xml:space="preserve"> 8 mg/kg monotherapy</w:t>
      </w:r>
      <w:r w:rsidR="00047813" w:rsidRPr="00866079">
        <w:rPr>
          <w:lang w:eastAsia="en-US"/>
        </w:rPr>
        <w:t>.</w:t>
      </w:r>
    </w:p>
    <w:p w:rsidR="001F5488" w:rsidRDefault="001F5488" w:rsidP="00F7303C">
      <w:pPr>
        <w:jc w:val="both"/>
        <w:rPr>
          <w:lang w:eastAsia="en-US"/>
        </w:rPr>
      </w:pPr>
    </w:p>
    <w:p w:rsidR="001F5488" w:rsidRDefault="001F5488" w:rsidP="001F5488">
      <w:pPr>
        <w:jc w:val="both"/>
        <w:rPr>
          <w:lang w:eastAsia="en-US"/>
        </w:rPr>
      </w:pPr>
      <w:r>
        <w:rPr>
          <w:lang w:eastAsia="en-US"/>
        </w:rPr>
        <w:t xml:space="preserve">The </w:t>
      </w:r>
      <w:r w:rsidRPr="002F6A02">
        <w:rPr>
          <w:i/>
          <w:lang w:eastAsia="en-US"/>
        </w:rPr>
        <w:t>all exposure</w:t>
      </w:r>
      <w:r>
        <w:rPr>
          <w:lang w:eastAsia="en-US"/>
        </w:rPr>
        <w:t xml:space="preserve"> population includes all patients who received at least one dose of ACTEMRA either in the double-blind control period or open label extension phase in studies. Of the 4009 patients in this population, 3577 received treatment for at least 6 months, 3296 for at least one year; 2806 received treatment for at least 2 years and 1222 for 3 years. The mean duration of exposure to ACTEMRA in the </w:t>
      </w:r>
      <w:r w:rsidRPr="00EC4213">
        <w:rPr>
          <w:i/>
          <w:lang w:eastAsia="en-US"/>
        </w:rPr>
        <w:t>all exposure</w:t>
      </w:r>
      <w:r>
        <w:rPr>
          <w:lang w:eastAsia="en-US"/>
        </w:rPr>
        <w:t xml:space="preserve"> population was 2.14 years.</w:t>
      </w:r>
    </w:p>
    <w:p w:rsidR="001F5488" w:rsidRDefault="001F5488" w:rsidP="00F7303C">
      <w:pPr>
        <w:jc w:val="both"/>
        <w:rPr>
          <w:lang w:eastAsia="en-US"/>
        </w:rPr>
      </w:pPr>
    </w:p>
    <w:p w:rsidR="00C013D6" w:rsidRPr="00C013D6" w:rsidRDefault="00C013D6" w:rsidP="00C013D6">
      <w:pPr>
        <w:jc w:val="both"/>
        <w:rPr>
          <w:lang w:eastAsia="en-US"/>
        </w:rPr>
      </w:pPr>
      <w:r>
        <w:rPr>
          <w:lang w:eastAsia="en-US"/>
        </w:rPr>
        <w:t xml:space="preserve">The most commonly reported </w:t>
      </w:r>
      <w:r w:rsidR="00165107">
        <w:rPr>
          <w:lang w:eastAsia="en-US"/>
        </w:rPr>
        <w:t>AEs</w:t>
      </w:r>
      <w:r w:rsidR="001F5488">
        <w:rPr>
          <w:lang w:eastAsia="en-US"/>
        </w:rPr>
        <w:t xml:space="preserve"> in controlled studies up to 2 years</w:t>
      </w:r>
      <w:r w:rsidR="00165107">
        <w:rPr>
          <w:lang w:eastAsia="en-US"/>
        </w:rPr>
        <w:t xml:space="preserve"> </w:t>
      </w:r>
      <w:r>
        <w:rPr>
          <w:lang w:eastAsia="en-US"/>
        </w:rPr>
        <w:t xml:space="preserve">(occurring in ≥ 5% of patients treated with </w:t>
      </w:r>
      <w:r w:rsidR="001F5488">
        <w:rPr>
          <w:lang w:eastAsia="en-US"/>
        </w:rPr>
        <w:t xml:space="preserve">ACTEMRA </w:t>
      </w:r>
      <w:r>
        <w:rPr>
          <w:lang w:eastAsia="en-US"/>
        </w:rPr>
        <w:t>monotherapy or in combination with DMARDs) were upper respiratory tract infections, nasopharyngitis, headache, hypertension</w:t>
      </w:r>
      <w:r w:rsidR="001F5488">
        <w:rPr>
          <w:lang w:eastAsia="en-US"/>
        </w:rPr>
        <w:t>,</w:t>
      </w:r>
      <w:r>
        <w:rPr>
          <w:lang w:eastAsia="en-US"/>
        </w:rPr>
        <w:t xml:space="preserve"> increased ALT</w:t>
      </w:r>
      <w:r w:rsidR="001F5488">
        <w:rPr>
          <w:lang w:eastAsia="en-US"/>
        </w:rPr>
        <w:t xml:space="preserve"> and bronchitis</w:t>
      </w:r>
      <w:r>
        <w:rPr>
          <w:lang w:eastAsia="en-US"/>
        </w:rPr>
        <w:t>.</w:t>
      </w:r>
      <w:r w:rsidR="001F5488">
        <w:rPr>
          <w:lang w:eastAsia="en-US"/>
        </w:rPr>
        <w:t xml:space="preserve"> In study II the rate of AEs (including deaths, serious AEs and AEs leading to treatment withdrawal or dose modification) after 2 years, calculated as a function of exposure (i.e. events per 100 patient years), had not increased in comparison with the AE profile observed after 1 year of study II.</w:t>
      </w:r>
    </w:p>
    <w:p w:rsidR="00E66194" w:rsidRPr="00A22925" w:rsidRDefault="00E66194" w:rsidP="00C013D6">
      <w:pPr>
        <w:jc w:val="both"/>
      </w:pPr>
    </w:p>
    <w:p w:rsidR="00165107" w:rsidRPr="00EA66CF" w:rsidRDefault="00CA5641" w:rsidP="00EA66CF">
      <w:pPr>
        <w:rPr>
          <w:b/>
          <w:i/>
        </w:rPr>
      </w:pPr>
      <w:r>
        <w:br w:type="page"/>
      </w:r>
      <w:r w:rsidR="00D61CCA" w:rsidRPr="00EA66CF">
        <w:rPr>
          <w:b/>
        </w:rPr>
        <w:lastRenderedPageBreak/>
        <w:t xml:space="preserve">Table </w:t>
      </w:r>
      <w:r w:rsidR="00BB788D" w:rsidRPr="00EA66CF">
        <w:rPr>
          <w:b/>
        </w:rPr>
        <w:t>9</w:t>
      </w:r>
      <w:r w:rsidR="000A0B7C" w:rsidRPr="00EA66CF">
        <w:rPr>
          <w:b/>
        </w:rPr>
        <w:t xml:space="preserve"> </w:t>
      </w:r>
      <w:r w:rsidR="00165107" w:rsidRPr="00EA66CF">
        <w:rPr>
          <w:b/>
        </w:rPr>
        <w:t xml:space="preserve">Adverse </w:t>
      </w:r>
      <w:r w:rsidR="00587D10" w:rsidRPr="00EA66CF">
        <w:rPr>
          <w:b/>
        </w:rPr>
        <w:t>Events</w:t>
      </w:r>
      <w:r w:rsidR="00165107" w:rsidRPr="00EA66CF">
        <w:rPr>
          <w:b/>
        </w:rPr>
        <w:t xml:space="preserve"> occurring in at least 2% or more of patients on 8 mg/kg </w:t>
      </w:r>
      <w:r w:rsidR="00165107" w:rsidRPr="00EA66CF">
        <w:rPr>
          <w:b/>
        </w:rPr>
        <w:tab/>
      </w:r>
      <w:r w:rsidR="00165107" w:rsidRPr="00EA66CF">
        <w:rPr>
          <w:b/>
        </w:rPr>
        <w:tab/>
        <w:t xml:space="preserve">  ACTEMRA + DMARD and at least 1% greater than that observed in </w:t>
      </w:r>
      <w:r w:rsidR="00165107" w:rsidRPr="00EA66CF">
        <w:rPr>
          <w:b/>
        </w:rPr>
        <w:tab/>
        <w:t xml:space="preserve"> </w:t>
      </w:r>
    </w:p>
    <w:p w:rsidR="00AE0A19" w:rsidRPr="00EA66CF" w:rsidRDefault="00165107" w:rsidP="00EA66CF">
      <w:pPr>
        <w:rPr>
          <w:b/>
          <w:i/>
        </w:rPr>
      </w:pPr>
      <w:r w:rsidRPr="00EA66CF">
        <w:rPr>
          <w:b/>
        </w:rPr>
        <w:tab/>
        <w:t xml:space="preserve">  patients on placebo + DMARD</w:t>
      </w:r>
      <w:r w:rsidR="00047813" w:rsidRPr="00EA66CF">
        <w:rPr>
          <w:b/>
        </w:rPr>
        <w:t xml:space="preserve"> </w:t>
      </w:r>
    </w:p>
    <w:tbl>
      <w:tblPr>
        <w:tblW w:w="9543" w:type="dxa"/>
        <w:tblInd w:w="-930" w:type="dxa"/>
        <w:tblLayout w:type="fixed"/>
        <w:tblLook w:val="01E0" w:firstRow="1" w:lastRow="1" w:firstColumn="1" w:lastColumn="1" w:noHBand="0" w:noVBand="0"/>
      </w:tblPr>
      <w:tblGrid>
        <w:gridCol w:w="1038"/>
        <w:gridCol w:w="1245"/>
        <w:gridCol w:w="1564"/>
        <w:gridCol w:w="836"/>
        <w:gridCol w:w="1320"/>
        <w:gridCol w:w="1320"/>
        <w:gridCol w:w="1080"/>
        <w:gridCol w:w="1140"/>
      </w:tblGrid>
      <w:tr w:rsidR="000F22A2" w:rsidRPr="001F581F" w:rsidTr="00CA5641">
        <w:trPr>
          <w:gridBefore w:val="1"/>
          <w:wBefore w:w="1038" w:type="dxa"/>
        </w:trPr>
        <w:tc>
          <w:tcPr>
            <w:tcW w:w="8505" w:type="dxa"/>
            <w:gridSpan w:val="7"/>
          </w:tcPr>
          <w:p w:rsidR="000F22A2" w:rsidRPr="00387482" w:rsidRDefault="001F5488" w:rsidP="0048624F">
            <w:pPr>
              <w:pStyle w:val="TextTi10"/>
              <w:keepNext/>
              <w:jc w:val="center"/>
              <w:rPr>
                <w:b/>
                <w:sz w:val="22"/>
                <w:szCs w:val="22"/>
                <w:lang w:val="en-GB"/>
              </w:rPr>
            </w:pPr>
            <w:bookmarkStart w:id="15" w:name="OLE_LINK25"/>
            <w:bookmarkStart w:id="16" w:name="OLE_LINK26"/>
            <w:bookmarkStart w:id="17" w:name="OLE_LINK27"/>
            <w:r>
              <w:rPr>
                <w:b/>
                <w:sz w:val="22"/>
                <w:szCs w:val="22"/>
                <w:lang w:val="en-GB"/>
              </w:rPr>
              <w:t>All Control</w:t>
            </w:r>
            <w:r w:rsidR="000F22A2" w:rsidRPr="00387482">
              <w:rPr>
                <w:b/>
                <w:sz w:val="22"/>
                <w:szCs w:val="22"/>
                <w:lang w:val="en-GB"/>
              </w:rPr>
              <w:t xml:space="preserve"> Study Population</w:t>
            </w:r>
          </w:p>
        </w:tc>
      </w:tr>
      <w:tr w:rsidR="000F22A2" w:rsidRPr="0038748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vAlign w:val="bottom"/>
          </w:tcPr>
          <w:p w:rsidR="000F22A2" w:rsidRPr="000F22A2" w:rsidRDefault="000F22A2" w:rsidP="000F22A2">
            <w:pPr>
              <w:rPr>
                <w:b/>
                <w:sz w:val="20"/>
                <w:lang w:val="en-GB"/>
              </w:rPr>
            </w:pPr>
            <w:r w:rsidRPr="000F22A2">
              <w:rPr>
                <w:b/>
                <w:sz w:val="20"/>
                <w:lang w:val="en-GB"/>
              </w:rPr>
              <w:t>Preferred Term</w:t>
            </w:r>
          </w:p>
        </w:tc>
        <w:tc>
          <w:tcPr>
            <w:tcW w:w="1564" w:type="dxa"/>
          </w:tcPr>
          <w:p w:rsidR="000F22A2" w:rsidRPr="000F22A2" w:rsidRDefault="000F22A2" w:rsidP="000F22A2">
            <w:pPr>
              <w:jc w:val="center"/>
              <w:rPr>
                <w:b/>
                <w:sz w:val="20"/>
                <w:lang w:val="en-GB"/>
              </w:rPr>
            </w:pPr>
            <w:r w:rsidRPr="000F22A2">
              <w:rPr>
                <w:b/>
                <w:sz w:val="20"/>
                <w:lang w:val="en-GB"/>
              </w:rPr>
              <w:t>ACTEMRA</w:t>
            </w:r>
          </w:p>
          <w:p w:rsidR="000F22A2" w:rsidRPr="000F22A2" w:rsidRDefault="000F22A2" w:rsidP="000F22A2">
            <w:pPr>
              <w:jc w:val="center"/>
              <w:rPr>
                <w:b/>
                <w:sz w:val="20"/>
                <w:lang w:val="en-GB"/>
              </w:rPr>
            </w:pPr>
            <w:r w:rsidRPr="000F22A2">
              <w:rPr>
                <w:b/>
                <w:sz w:val="20"/>
                <w:lang w:val="en-GB"/>
              </w:rPr>
              <w:t>8 mg/kg monotherapy</w:t>
            </w:r>
          </w:p>
          <w:p w:rsidR="000F22A2" w:rsidRPr="000F22A2" w:rsidRDefault="000F22A2" w:rsidP="000F22A2">
            <w:pPr>
              <w:jc w:val="center"/>
              <w:rPr>
                <w:b/>
                <w:sz w:val="20"/>
                <w:lang w:val="pt-BR"/>
              </w:rPr>
            </w:pPr>
          </w:p>
          <w:p w:rsidR="000F22A2" w:rsidRPr="000F22A2" w:rsidRDefault="00811547" w:rsidP="000F22A2">
            <w:pPr>
              <w:jc w:val="center"/>
              <w:rPr>
                <w:b/>
                <w:sz w:val="20"/>
                <w:lang w:val="pt-BR"/>
              </w:rPr>
            </w:pPr>
            <w:r>
              <w:rPr>
                <w:b/>
                <w:sz w:val="20"/>
                <w:lang w:val="pt-BR"/>
              </w:rPr>
              <w:t>n=</w:t>
            </w:r>
            <w:r w:rsidR="000F22A2" w:rsidRPr="000F22A2">
              <w:rPr>
                <w:b/>
                <w:sz w:val="20"/>
                <w:lang w:val="pt-BR"/>
              </w:rPr>
              <w:t>288</w:t>
            </w:r>
          </w:p>
          <w:p w:rsidR="000F22A2" w:rsidRPr="000F22A2" w:rsidRDefault="000F22A2" w:rsidP="000F22A2">
            <w:pPr>
              <w:jc w:val="center"/>
              <w:rPr>
                <w:b/>
                <w:sz w:val="20"/>
                <w:lang w:val="en-GB"/>
              </w:rPr>
            </w:pPr>
            <w:r w:rsidRPr="000F22A2">
              <w:rPr>
                <w:b/>
                <w:sz w:val="20"/>
                <w:lang w:val="en-GB"/>
              </w:rPr>
              <w:t>(%)</w:t>
            </w:r>
          </w:p>
        </w:tc>
        <w:tc>
          <w:tcPr>
            <w:tcW w:w="836" w:type="dxa"/>
            <w:shd w:val="clear" w:color="auto" w:fill="auto"/>
          </w:tcPr>
          <w:p w:rsidR="000F22A2" w:rsidRPr="000F22A2" w:rsidRDefault="000F22A2" w:rsidP="000F22A2">
            <w:pPr>
              <w:jc w:val="center"/>
              <w:rPr>
                <w:b/>
                <w:sz w:val="20"/>
                <w:lang w:val="en-GB"/>
              </w:rPr>
            </w:pPr>
            <w:r w:rsidRPr="000F22A2">
              <w:rPr>
                <w:b/>
                <w:sz w:val="20"/>
                <w:lang w:val="en-GB"/>
              </w:rPr>
              <w:t>MTX</w:t>
            </w:r>
          </w:p>
          <w:p w:rsidR="000F22A2" w:rsidRPr="000F22A2" w:rsidRDefault="000F22A2" w:rsidP="000F22A2">
            <w:pPr>
              <w:jc w:val="center"/>
              <w:rPr>
                <w:b/>
                <w:sz w:val="20"/>
                <w:lang w:val="en-GB"/>
              </w:rPr>
            </w:pPr>
          </w:p>
          <w:p w:rsidR="000F22A2" w:rsidRPr="000F22A2" w:rsidRDefault="000F22A2" w:rsidP="000F22A2">
            <w:pPr>
              <w:jc w:val="center"/>
              <w:rPr>
                <w:b/>
                <w:sz w:val="20"/>
                <w:lang w:val="en-GB"/>
              </w:rPr>
            </w:pPr>
          </w:p>
          <w:p w:rsidR="000F22A2" w:rsidRPr="000F22A2" w:rsidRDefault="000F22A2" w:rsidP="000F22A2">
            <w:pPr>
              <w:jc w:val="center"/>
              <w:rPr>
                <w:b/>
                <w:sz w:val="20"/>
                <w:lang w:val="en-GB"/>
              </w:rPr>
            </w:pPr>
          </w:p>
          <w:p w:rsidR="000F22A2" w:rsidRPr="000F22A2" w:rsidRDefault="00811547" w:rsidP="000F22A2">
            <w:pPr>
              <w:jc w:val="center"/>
              <w:rPr>
                <w:b/>
                <w:sz w:val="20"/>
                <w:lang w:val="en-GB"/>
              </w:rPr>
            </w:pPr>
            <w:r>
              <w:rPr>
                <w:b/>
                <w:sz w:val="20"/>
                <w:lang w:val="en-GB"/>
              </w:rPr>
              <w:t>n=</w:t>
            </w:r>
            <w:r w:rsidR="000F22A2" w:rsidRPr="000F22A2">
              <w:rPr>
                <w:b/>
                <w:sz w:val="20"/>
                <w:lang w:val="en-GB"/>
              </w:rPr>
              <w:t>284</w:t>
            </w:r>
          </w:p>
          <w:p w:rsidR="000F22A2" w:rsidRPr="000F22A2" w:rsidRDefault="000F22A2" w:rsidP="000F22A2">
            <w:pPr>
              <w:jc w:val="center"/>
              <w:rPr>
                <w:b/>
                <w:sz w:val="20"/>
                <w:lang w:val="pt-BR"/>
              </w:rPr>
            </w:pPr>
            <w:r w:rsidRPr="000F22A2">
              <w:rPr>
                <w:b/>
                <w:sz w:val="20"/>
                <w:lang w:val="pt-BR"/>
              </w:rPr>
              <w:t>(%)</w:t>
            </w:r>
          </w:p>
        </w:tc>
        <w:tc>
          <w:tcPr>
            <w:tcW w:w="1320" w:type="dxa"/>
            <w:shd w:val="clear" w:color="auto" w:fill="auto"/>
          </w:tcPr>
          <w:p w:rsidR="000F22A2" w:rsidRPr="000F22A2" w:rsidRDefault="000F22A2" w:rsidP="000F22A2">
            <w:pPr>
              <w:jc w:val="center"/>
              <w:rPr>
                <w:b/>
                <w:sz w:val="20"/>
                <w:lang w:val="pt-BR"/>
              </w:rPr>
            </w:pPr>
            <w:r w:rsidRPr="000F22A2">
              <w:rPr>
                <w:b/>
                <w:sz w:val="20"/>
                <w:lang w:val="pt-BR"/>
              </w:rPr>
              <w:t>ACTEMRA</w:t>
            </w:r>
          </w:p>
          <w:p w:rsidR="000F22A2" w:rsidRPr="000F22A2" w:rsidRDefault="000F22A2" w:rsidP="000F22A2">
            <w:pPr>
              <w:jc w:val="center"/>
              <w:rPr>
                <w:b/>
                <w:sz w:val="20"/>
                <w:lang w:val="pt-BR"/>
              </w:rPr>
            </w:pPr>
            <w:r w:rsidRPr="000F22A2">
              <w:rPr>
                <w:b/>
                <w:sz w:val="20"/>
                <w:lang w:val="pt-BR"/>
              </w:rPr>
              <w:t>4 mg/kg + MTX</w:t>
            </w:r>
          </w:p>
          <w:p w:rsidR="000F22A2" w:rsidRPr="000F22A2" w:rsidRDefault="000F22A2" w:rsidP="000F22A2">
            <w:pPr>
              <w:jc w:val="center"/>
              <w:rPr>
                <w:b/>
                <w:sz w:val="20"/>
                <w:lang w:val="pt-BR"/>
              </w:rPr>
            </w:pPr>
          </w:p>
          <w:p w:rsidR="000F22A2" w:rsidRPr="000F22A2" w:rsidRDefault="00811547" w:rsidP="000F22A2">
            <w:pPr>
              <w:jc w:val="center"/>
              <w:rPr>
                <w:b/>
                <w:sz w:val="20"/>
                <w:lang w:val="pt-BR"/>
              </w:rPr>
            </w:pPr>
            <w:r>
              <w:rPr>
                <w:b/>
                <w:sz w:val="20"/>
                <w:lang w:val="pt-BR"/>
              </w:rPr>
              <w:t>n=</w:t>
            </w:r>
            <w:r w:rsidR="000F22A2" w:rsidRPr="000F22A2">
              <w:rPr>
                <w:b/>
                <w:sz w:val="20"/>
                <w:lang w:val="pt-BR"/>
              </w:rPr>
              <w:t>774</w:t>
            </w:r>
          </w:p>
          <w:p w:rsidR="000F22A2" w:rsidRPr="000F22A2" w:rsidRDefault="000F22A2" w:rsidP="000F22A2">
            <w:pPr>
              <w:jc w:val="center"/>
              <w:rPr>
                <w:b/>
                <w:sz w:val="20"/>
                <w:lang w:val="pt-BR"/>
              </w:rPr>
            </w:pPr>
            <w:r w:rsidRPr="000F22A2">
              <w:rPr>
                <w:b/>
                <w:sz w:val="20"/>
                <w:lang w:val="pt-BR"/>
              </w:rPr>
              <w:t>(%)</w:t>
            </w:r>
          </w:p>
        </w:tc>
        <w:tc>
          <w:tcPr>
            <w:tcW w:w="1320" w:type="dxa"/>
          </w:tcPr>
          <w:p w:rsidR="000F22A2" w:rsidRPr="000F22A2" w:rsidRDefault="000F22A2" w:rsidP="000F22A2">
            <w:pPr>
              <w:jc w:val="center"/>
              <w:rPr>
                <w:b/>
                <w:sz w:val="20"/>
                <w:lang w:val="pt-BR"/>
              </w:rPr>
            </w:pPr>
            <w:r w:rsidRPr="000F22A2">
              <w:rPr>
                <w:b/>
                <w:sz w:val="20"/>
                <w:lang w:val="pt-BR"/>
              </w:rPr>
              <w:t>ACTEMRA</w:t>
            </w:r>
          </w:p>
          <w:p w:rsidR="000F22A2" w:rsidRPr="000F22A2" w:rsidRDefault="000F22A2" w:rsidP="000F22A2">
            <w:pPr>
              <w:jc w:val="center"/>
              <w:rPr>
                <w:b/>
                <w:sz w:val="20"/>
                <w:lang w:val="pt-BR"/>
              </w:rPr>
            </w:pPr>
            <w:r w:rsidRPr="000F22A2">
              <w:rPr>
                <w:b/>
                <w:sz w:val="20"/>
                <w:lang w:val="pt-BR"/>
              </w:rPr>
              <w:t>8 mg/kg + DMARDs</w:t>
            </w:r>
          </w:p>
          <w:p w:rsidR="000F22A2" w:rsidRPr="000F22A2" w:rsidRDefault="000F22A2" w:rsidP="000F22A2">
            <w:pPr>
              <w:jc w:val="center"/>
              <w:rPr>
                <w:b/>
                <w:sz w:val="20"/>
                <w:lang w:val="pt-BR"/>
              </w:rPr>
            </w:pPr>
          </w:p>
          <w:p w:rsidR="000F22A2" w:rsidRPr="000F22A2" w:rsidRDefault="00811547" w:rsidP="000F22A2">
            <w:pPr>
              <w:jc w:val="center"/>
              <w:rPr>
                <w:b/>
                <w:sz w:val="20"/>
                <w:lang w:val="pt-BR"/>
              </w:rPr>
            </w:pPr>
            <w:r>
              <w:rPr>
                <w:b/>
                <w:sz w:val="20"/>
                <w:lang w:val="pt-BR"/>
              </w:rPr>
              <w:t>n=</w:t>
            </w:r>
            <w:r w:rsidR="001F5488">
              <w:rPr>
                <w:b/>
                <w:sz w:val="20"/>
                <w:lang w:val="pt-BR"/>
              </w:rPr>
              <w:t>1870</w:t>
            </w:r>
          </w:p>
          <w:p w:rsidR="000F22A2" w:rsidRPr="000F22A2" w:rsidRDefault="000F22A2" w:rsidP="000F22A2">
            <w:pPr>
              <w:jc w:val="center"/>
              <w:rPr>
                <w:b/>
                <w:sz w:val="20"/>
                <w:lang w:val="pt-BR"/>
              </w:rPr>
            </w:pPr>
            <w:r w:rsidRPr="000F22A2">
              <w:rPr>
                <w:b/>
                <w:sz w:val="20"/>
                <w:lang w:val="pt-BR"/>
              </w:rPr>
              <w:t>(%)</w:t>
            </w:r>
          </w:p>
        </w:tc>
        <w:tc>
          <w:tcPr>
            <w:tcW w:w="1080" w:type="dxa"/>
          </w:tcPr>
          <w:p w:rsidR="000F22A2" w:rsidRPr="000F22A2" w:rsidRDefault="000F22A2" w:rsidP="000F22A2">
            <w:pPr>
              <w:jc w:val="center"/>
              <w:rPr>
                <w:b/>
                <w:sz w:val="20"/>
                <w:lang w:val="pt-BR"/>
              </w:rPr>
            </w:pPr>
            <w:r w:rsidRPr="000F22A2">
              <w:rPr>
                <w:b/>
                <w:sz w:val="20"/>
                <w:lang w:val="pt-BR"/>
              </w:rPr>
              <w:t>Placebo + DMARDs</w:t>
            </w:r>
          </w:p>
          <w:p w:rsidR="000F22A2" w:rsidRPr="000F22A2" w:rsidRDefault="000F22A2" w:rsidP="000F22A2">
            <w:pPr>
              <w:jc w:val="center"/>
              <w:rPr>
                <w:b/>
                <w:sz w:val="20"/>
                <w:lang w:val="pt-BR"/>
              </w:rPr>
            </w:pPr>
          </w:p>
          <w:p w:rsidR="000F22A2" w:rsidRPr="000F22A2" w:rsidRDefault="000F22A2" w:rsidP="000F22A2">
            <w:pPr>
              <w:jc w:val="center"/>
              <w:rPr>
                <w:b/>
                <w:sz w:val="20"/>
                <w:lang w:val="pt-BR"/>
              </w:rPr>
            </w:pPr>
          </w:p>
          <w:p w:rsidR="000F22A2" w:rsidRPr="000F22A2" w:rsidRDefault="00811547" w:rsidP="000F22A2">
            <w:pPr>
              <w:jc w:val="center"/>
              <w:rPr>
                <w:b/>
                <w:sz w:val="20"/>
                <w:lang w:val="pt-BR"/>
              </w:rPr>
            </w:pPr>
            <w:r>
              <w:rPr>
                <w:b/>
                <w:sz w:val="20"/>
                <w:lang w:val="pt-BR"/>
              </w:rPr>
              <w:t>n=</w:t>
            </w:r>
            <w:r w:rsidR="001F5488">
              <w:rPr>
                <w:b/>
                <w:sz w:val="20"/>
                <w:lang w:val="pt-BR"/>
              </w:rPr>
              <w:t>1555</w:t>
            </w:r>
          </w:p>
          <w:p w:rsidR="000F22A2" w:rsidRPr="000F22A2" w:rsidRDefault="000F22A2" w:rsidP="000F22A2">
            <w:pPr>
              <w:jc w:val="center"/>
              <w:rPr>
                <w:b/>
                <w:sz w:val="20"/>
                <w:lang w:val="pt-BR"/>
              </w:rPr>
            </w:pPr>
            <w:r w:rsidRPr="000F22A2">
              <w:rPr>
                <w:b/>
                <w:sz w:val="20"/>
                <w:lang w:val="pt-BR"/>
              </w:rPr>
              <w:t>(%)</w:t>
            </w:r>
          </w:p>
        </w:tc>
      </w:tr>
      <w:tr w:rsidR="000F22A2" w:rsidRPr="0038748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Pr>
          <w:p w:rsidR="000F22A2" w:rsidRPr="000F22A2" w:rsidDel="00125ACD" w:rsidRDefault="000F22A2" w:rsidP="000F22A2">
            <w:pPr>
              <w:rPr>
                <w:bCs/>
                <w:sz w:val="20"/>
                <w:highlight w:val="yellow"/>
                <w:lang w:val="pt-BR"/>
              </w:rPr>
            </w:pPr>
            <w:r w:rsidRPr="000F22A2">
              <w:rPr>
                <w:bCs/>
                <w:sz w:val="20"/>
                <w:lang w:val="pt-BR"/>
              </w:rPr>
              <w:t>Upper Respiratory Tract Infection</w:t>
            </w:r>
          </w:p>
        </w:tc>
        <w:tc>
          <w:tcPr>
            <w:tcW w:w="1564" w:type="dxa"/>
            <w:vAlign w:val="center"/>
          </w:tcPr>
          <w:p w:rsidR="000F22A2" w:rsidRPr="000F22A2" w:rsidRDefault="000F22A2" w:rsidP="000F22A2">
            <w:pPr>
              <w:jc w:val="center"/>
              <w:rPr>
                <w:sz w:val="20"/>
                <w:lang w:val="pt-BR"/>
              </w:rPr>
            </w:pPr>
            <w:r w:rsidRPr="000F22A2">
              <w:rPr>
                <w:sz w:val="20"/>
                <w:lang w:val="pt-BR"/>
              </w:rPr>
              <w:t>7</w:t>
            </w:r>
          </w:p>
        </w:tc>
        <w:tc>
          <w:tcPr>
            <w:tcW w:w="836" w:type="dxa"/>
            <w:shd w:val="clear" w:color="auto" w:fill="auto"/>
            <w:vAlign w:val="center"/>
          </w:tcPr>
          <w:p w:rsidR="000F22A2" w:rsidRPr="000F22A2" w:rsidRDefault="000F22A2" w:rsidP="000F22A2">
            <w:pPr>
              <w:jc w:val="center"/>
              <w:rPr>
                <w:sz w:val="20"/>
                <w:lang w:val="pt-BR"/>
              </w:rPr>
            </w:pPr>
            <w:r w:rsidRPr="000F22A2">
              <w:rPr>
                <w:sz w:val="20"/>
                <w:lang w:val="pt-BR"/>
              </w:rPr>
              <w:t>5</w:t>
            </w:r>
          </w:p>
        </w:tc>
        <w:tc>
          <w:tcPr>
            <w:tcW w:w="1320" w:type="dxa"/>
            <w:shd w:val="clear" w:color="auto" w:fill="auto"/>
            <w:vAlign w:val="center"/>
          </w:tcPr>
          <w:p w:rsidR="000F22A2" w:rsidRPr="000F22A2" w:rsidRDefault="001F5488" w:rsidP="000F22A2">
            <w:pPr>
              <w:jc w:val="center"/>
              <w:rPr>
                <w:sz w:val="20"/>
                <w:lang w:val="pt-BR"/>
              </w:rPr>
            </w:pPr>
            <w:r>
              <w:rPr>
                <w:sz w:val="20"/>
                <w:lang w:val="pt-BR"/>
              </w:rPr>
              <w:t>9</w:t>
            </w:r>
          </w:p>
        </w:tc>
        <w:tc>
          <w:tcPr>
            <w:tcW w:w="1320" w:type="dxa"/>
            <w:vAlign w:val="center"/>
          </w:tcPr>
          <w:p w:rsidR="000F22A2" w:rsidRPr="000F22A2" w:rsidRDefault="001F5488" w:rsidP="000F22A2">
            <w:pPr>
              <w:jc w:val="center"/>
              <w:rPr>
                <w:sz w:val="20"/>
                <w:lang w:val="pt-BR"/>
              </w:rPr>
            </w:pPr>
            <w:r>
              <w:rPr>
                <w:sz w:val="20"/>
                <w:lang w:val="pt-BR"/>
              </w:rPr>
              <w:t>9</w:t>
            </w:r>
          </w:p>
        </w:tc>
        <w:tc>
          <w:tcPr>
            <w:tcW w:w="1080" w:type="dxa"/>
            <w:vAlign w:val="center"/>
          </w:tcPr>
          <w:p w:rsidR="000F22A2" w:rsidRPr="000F22A2" w:rsidRDefault="001F5488" w:rsidP="000F22A2">
            <w:pPr>
              <w:jc w:val="center"/>
              <w:rPr>
                <w:sz w:val="20"/>
                <w:lang w:val="pt-BR"/>
              </w:rPr>
            </w:pPr>
            <w:r>
              <w:rPr>
                <w:sz w:val="20"/>
                <w:lang w:val="pt-BR"/>
              </w:rPr>
              <w:t>7</w:t>
            </w:r>
          </w:p>
        </w:tc>
      </w:tr>
      <w:tr w:rsidR="000F22A2" w:rsidRPr="0038748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Pr>
          <w:p w:rsidR="000F22A2" w:rsidRPr="000F22A2" w:rsidRDefault="000F22A2" w:rsidP="000F22A2">
            <w:pPr>
              <w:rPr>
                <w:sz w:val="20"/>
                <w:lang w:val="pt-BR"/>
              </w:rPr>
            </w:pPr>
            <w:r w:rsidRPr="000F22A2">
              <w:rPr>
                <w:sz w:val="20"/>
                <w:lang w:val="pt-BR"/>
              </w:rPr>
              <w:t>Nasopharyngitis</w:t>
            </w:r>
          </w:p>
        </w:tc>
        <w:tc>
          <w:tcPr>
            <w:tcW w:w="1564" w:type="dxa"/>
            <w:vAlign w:val="center"/>
          </w:tcPr>
          <w:p w:rsidR="000F22A2" w:rsidRPr="000F22A2" w:rsidRDefault="000F22A2" w:rsidP="000F22A2">
            <w:pPr>
              <w:jc w:val="center"/>
              <w:rPr>
                <w:sz w:val="20"/>
                <w:lang w:val="pt-BR"/>
              </w:rPr>
            </w:pPr>
            <w:r w:rsidRPr="000F22A2">
              <w:rPr>
                <w:sz w:val="20"/>
                <w:lang w:val="pt-BR"/>
              </w:rPr>
              <w:t>7</w:t>
            </w:r>
          </w:p>
        </w:tc>
        <w:tc>
          <w:tcPr>
            <w:tcW w:w="836" w:type="dxa"/>
            <w:shd w:val="clear" w:color="auto" w:fill="auto"/>
            <w:vAlign w:val="center"/>
          </w:tcPr>
          <w:p w:rsidR="000F22A2" w:rsidRPr="000F22A2" w:rsidRDefault="000F22A2" w:rsidP="000F22A2">
            <w:pPr>
              <w:jc w:val="center"/>
              <w:rPr>
                <w:sz w:val="20"/>
                <w:lang w:val="pt-BR"/>
              </w:rPr>
            </w:pPr>
            <w:r w:rsidRPr="000F22A2">
              <w:rPr>
                <w:sz w:val="20"/>
                <w:lang w:val="pt-BR"/>
              </w:rPr>
              <w:t>6</w:t>
            </w:r>
          </w:p>
        </w:tc>
        <w:tc>
          <w:tcPr>
            <w:tcW w:w="1320" w:type="dxa"/>
            <w:shd w:val="clear" w:color="auto" w:fill="auto"/>
            <w:vAlign w:val="center"/>
          </w:tcPr>
          <w:p w:rsidR="000F22A2" w:rsidRPr="000F22A2" w:rsidRDefault="001F5488" w:rsidP="000F22A2">
            <w:pPr>
              <w:jc w:val="center"/>
              <w:rPr>
                <w:sz w:val="20"/>
                <w:lang w:val="pt-BR"/>
              </w:rPr>
            </w:pPr>
            <w:r>
              <w:rPr>
                <w:sz w:val="20"/>
                <w:lang w:val="pt-BR"/>
              </w:rPr>
              <w:t>5</w:t>
            </w:r>
          </w:p>
        </w:tc>
        <w:tc>
          <w:tcPr>
            <w:tcW w:w="1320" w:type="dxa"/>
            <w:vAlign w:val="center"/>
          </w:tcPr>
          <w:p w:rsidR="000F22A2" w:rsidRPr="000F22A2" w:rsidRDefault="001F5488" w:rsidP="000F22A2">
            <w:pPr>
              <w:jc w:val="center"/>
              <w:rPr>
                <w:sz w:val="20"/>
                <w:lang w:val="pt-BR"/>
              </w:rPr>
            </w:pPr>
            <w:r>
              <w:rPr>
                <w:sz w:val="20"/>
                <w:lang w:val="pt-BR"/>
              </w:rPr>
              <w:t>7</w:t>
            </w:r>
          </w:p>
        </w:tc>
        <w:tc>
          <w:tcPr>
            <w:tcW w:w="1080" w:type="dxa"/>
            <w:vAlign w:val="center"/>
          </w:tcPr>
          <w:p w:rsidR="000F22A2" w:rsidRPr="000F22A2" w:rsidRDefault="001F5488" w:rsidP="000F22A2">
            <w:pPr>
              <w:jc w:val="center"/>
              <w:rPr>
                <w:sz w:val="20"/>
                <w:lang w:val="pt-BR"/>
              </w:rPr>
            </w:pPr>
            <w:r>
              <w:rPr>
                <w:sz w:val="20"/>
                <w:lang w:val="pt-BR"/>
              </w:rPr>
              <w:t>5</w:t>
            </w:r>
          </w:p>
        </w:tc>
      </w:tr>
      <w:tr w:rsidR="000F22A2" w:rsidRPr="0038748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Pr>
          <w:p w:rsidR="000F22A2" w:rsidRPr="000F22A2" w:rsidRDefault="000F22A2" w:rsidP="000F22A2">
            <w:pPr>
              <w:rPr>
                <w:sz w:val="20"/>
                <w:lang w:val="pt-BR"/>
              </w:rPr>
            </w:pPr>
            <w:r w:rsidRPr="000F22A2">
              <w:rPr>
                <w:sz w:val="20"/>
                <w:lang w:val="pt-BR"/>
              </w:rPr>
              <w:t>Headache</w:t>
            </w:r>
          </w:p>
        </w:tc>
        <w:tc>
          <w:tcPr>
            <w:tcW w:w="1564" w:type="dxa"/>
            <w:vAlign w:val="center"/>
          </w:tcPr>
          <w:p w:rsidR="000F22A2" w:rsidRPr="000F22A2" w:rsidRDefault="000F22A2" w:rsidP="000F22A2">
            <w:pPr>
              <w:jc w:val="center"/>
              <w:rPr>
                <w:sz w:val="20"/>
                <w:lang w:val="pt-BR"/>
              </w:rPr>
            </w:pPr>
            <w:r w:rsidRPr="000F22A2">
              <w:rPr>
                <w:sz w:val="20"/>
                <w:lang w:val="pt-BR"/>
              </w:rPr>
              <w:t>7</w:t>
            </w:r>
          </w:p>
        </w:tc>
        <w:tc>
          <w:tcPr>
            <w:tcW w:w="836" w:type="dxa"/>
            <w:shd w:val="clear" w:color="auto" w:fill="auto"/>
            <w:vAlign w:val="center"/>
          </w:tcPr>
          <w:p w:rsidR="000F22A2" w:rsidRPr="000F22A2" w:rsidRDefault="000F22A2" w:rsidP="000F22A2">
            <w:pPr>
              <w:jc w:val="center"/>
              <w:rPr>
                <w:sz w:val="20"/>
                <w:lang w:val="pt-BR"/>
              </w:rPr>
            </w:pPr>
            <w:r w:rsidRPr="000F22A2">
              <w:rPr>
                <w:sz w:val="20"/>
                <w:lang w:val="pt-BR"/>
              </w:rPr>
              <w:t>2</w:t>
            </w:r>
          </w:p>
        </w:tc>
        <w:tc>
          <w:tcPr>
            <w:tcW w:w="1320" w:type="dxa"/>
            <w:shd w:val="clear" w:color="auto" w:fill="auto"/>
            <w:vAlign w:val="center"/>
          </w:tcPr>
          <w:p w:rsidR="000F22A2" w:rsidRPr="000F22A2" w:rsidRDefault="000F22A2" w:rsidP="000F22A2">
            <w:pPr>
              <w:jc w:val="center"/>
              <w:rPr>
                <w:sz w:val="20"/>
                <w:lang w:val="pt-BR"/>
              </w:rPr>
            </w:pPr>
            <w:r w:rsidRPr="000F22A2">
              <w:rPr>
                <w:sz w:val="20"/>
                <w:lang w:val="pt-BR"/>
              </w:rPr>
              <w:t>6</w:t>
            </w:r>
          </w:p>
        </w:tc>
        <w:tc>
          <w:tcPr>
            <w:tcW w:w="1320" w:type="dxa"/>
            <w:vAlign w:val="center"/>
          </w:tcPr>
          <w:p w:rsidR="000F22A2" w:rsidRPr="000F22A2" w:rsidRDefault="001F5488" w:rsidP="000F22A2">
            <w:pPr>
              <w:jc w:val="center"/>
              <w:rPr>
                <w:sz w:val="20"/>
                <w:lang w:val="pt-BR"/>
              </w:rPr>
            </w:pPr>
            <w:r>
              <w:rPr>
                <w:sz w:val="20"/>
                <w:lang w:val="pt-BR"/>
              </w:rPr>
              <w:t>6</w:t>
            </w:r>
          </w:p>
        </w:tc>
        <w:tc>
          <w:tcPr>
            <w:tcW w:w="1080" w:type="dxa"/>
            <w:vAlign w:val="center"/>
          </w:tcPr>
          <w:p w:rsidR="000F22A2" w:rsidRPr="000F22A2" w:rsidRDefault="001F5488" w:rsidP="000F22A2">
            <w:pPr>
              <w:jc w:val="center"/>
              <w:rPr>
                <w:sz w:val="20"/>
                <w:lang w:val="pt-BR"/>
              </w:rPr>
            </w:pPr>
            <w:r>
              <w:rPr>
                <w:sz w:val="20"/>
                <w:lang w:val="pt-BR"/>
              </w:rPr>
              <w:t>4</w:t>
            </w:r>
          </w:p>
        </w:tc>
      </w:tr>
      <w:tr w:rsidR="000F22A2" w:rsidRPr="0038748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Pr>
          <w:p w:rsidR="000F22A2" w:rsidRPr="000F22A2" w:rsidRDefault="000F22A2" w:rsidP="000F22A2">
            <w:pPr>
              <w:rPr>
                <w:sz w:val="20"/>
                <w:lang w:val="pt-BR"/>
              </w:rPr>
            </w:pPr>
            <w:r w:rsidRPr="000F22A2">
              <w:rPr>
                <w:sz w:val="20"/>
                <w:lang w:val="pt-BR"/>
              </w:rPr>
              <w:t>Hypertension</w:t>
            </w:r>
          </w:p>
        </w:tc>
        <w:tc>
          <w:tcPr>
            <w:tcW w:w="1564" w:type="dxa"/>
          </w:tcPr>
          <w:p w:rsidR="000F22A2" w:rsidRPr="000F22A2" w:rsidRDefault="000F22A2" w:rsidP="000F22A2">
            <w:pPr>
              <w:jc w:val="center"/>
              <w:rPr>
                <w:sz w:val="20"/>
                <w:lang w:val="pt-BR"/>
              </w:rPr>
            </w:pPr>
            <w:r w:rsidRPr="000F22A2">
              <w:rPr>
                <w:sz w:val="20"/>
                <w:lang w:val="pt-BR"/>
              </w:rPr>
              <w:t>6</w:t>
            </w:r>
          </w:p>
        </w:tc>
        <w:tc>
          <w:tcPr>
            <w:tcW w:w="836" w:type="dxa"/>
            <w:shd w:val="clear" w:color="auto" w:fill="auto"/>
          </w:tcPr>
          <w:p w:rsidR="000F22A2" w:rsidRPr="000F22A2" w:rsidRDefault="000F22A2" w:rsidP="000F22A2">
            <w:pPr>
              <w:jc w:val="center"/>
              <w:rPr>
                <w:sz w:val="20"/>
                <w:lang w:val="pt-BR"/>
              </w:rPr>
            </w:pPr>
            <w:r w:rsidRPr="000F22A2">
              <w:rPr>
                <w:sz w:val="20"/>
                <w:lang w:val="pt-BR"/>
              </w:rPr>
              <w:t>2</w:t>
            </w:r>
          </w:p>
        </w:tc>
        <w:tc>
          <w:tcPr>
            <w:tcW w:w="1320" w:type="dxa"/>
            <w:shd w:val="clear" w:color="auto" w:fill="auto"/>
          </w:tcPr>
          <w:p w:rsidR="000F22A2" w:rsidRPr="000F22A2" w:rsidRDefault="001F5488" w:rsidP="000F22A2">
            <w:pPr>
              <w:jc w:val="center"/>
              <w:rPr>
                <w:sz w:val="20"/>
                <w:lang w:val="pt-BR"/>
              </w:rPr>
            </w:pPr>
            <w:r>
              <w:rPr>
                <w:sz w:val="20"/>
                <w:lang w:val="pt-BR"/>
              </w:rPr>
              <w:t>6</w:t>
            </w:r>
          </w:p>
        </w:tc>
        <w:tc>
          <w:tcPr>
            <w:tcW w:w="1320" w:type="dxa"/>
          </w:tcPr>
          <w:p w:rsidR="000F22A2" w:rsidRPr="000F22A2" w:rsidRDefault="001F5488" w:rsidP="000F22A2">
            <w:pPr>
              <w:jc w:val="center"/>
              <w:rPr>
                <w:sz w:val="20"/>
                <w:lang w:val="pt-BR"/>
              </w:rPr>
            </w:pPr>
            <w:r>
              <w:rPr>
                <w:sz w:val="20"/>
                <w:lang w:val="pt-BR"/>
              </w:rPr>
              <w:t>5</w:t>
            </w:r>
          </w:p>
        </w:tc>
        <w:tc>
          <w:tcPr>
            <w:tcW w:w="1080" w:type="dxa"/>
          </w:tcPr>
          <w:p w:rsidR="000F22A2" w:rsidRPr="000F22A2" w:rsidRDefault="000F22A2" w:rsidP="000F22A2">
            <w:pPr>
              <w:jc w:val="center"/>
              <w:rPr>
                <w:sz w:val="20"/>
                <w:lang w:val="pt-BR"/>
              </w:rPr>
            </w:pPr>
            <w:r w:rsidRPr="000F22A2">
              <w:rPr>
                <w:sz w:val="20"/>
                <w:lang w:val="pt-BR"/>
              </w:rPr>
              <w:t>3</w:t>
            </w:r>
          </w:p>
        </w:tc>
      </w:tr>
      <w:tr w:rsidR="006A697D" w:rsidRPr="0038748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Pr>
          <w:p w:rsidR="006A697D" w:rsidRPr="000F22A2" w:rsidRDefault="006A697D" w:rsidP="00304184">
            <w:pPr>
              <w:rPr>
                <w:sz w:val="20"/>
                <w:lang w:val="pt-BR"/>
              </w:rPr>
            </w:pPr>
            <w:r>
              <w:rPr>
                <w:sz w:val="20"/>
                <w:lang w:val="pt-BR"/>
              </w:rPr>
              <w:t>Cough</w:t>
            </w:r>
          </w:p>
        </w:tc>
        <w:tc>
          <w:tcPr>
            <w:tcW w:w="1564" w:type="dxa"/>
            <w:vAlign w:val="center"/>
          </w:tcPr>
          <w:p w:rsidR="006A697D" w:rsidRPr="000F22A2" w:rsidRDefault="006A697D" w:rsidP="00304184">
            <w:pPr>
              <w:jc w:val="center"/>
              <w:rPr>
                <w:sz w:val="20"/>
                <w:lang w:val="pt-BR"/>
              </w:rPr>
            </w:pPr>
            <w:r>
              <w:rPr>
                <w:sz w:val="20"/>
                <w:lang w:val="pt-BR"/>
              </w:rPr>
              <w:t>3</w:t>
            </w:r>
          </w:p>
        </w:tc>
        <w:tc>
          <w:tcPr>
            <w:tcW w:w="836" w:type="dxa"/>
            <w:shd w:val="clear" w:color="auto" w:fill="auto"/>
            <w:vAlign w:val="center"/>
          </w:tcPr>
          <w:p w:rsidR="006A697D" w:rsidRPr="000F22A2" w:rsidRDefault="006A697D" w:rsidP="00304184">
            <w:pPr>
              <w:jc w:val="center"/>
              <w:rPr>
                <w:sz w:val="20"/>
                <w:lang w:val="pt-BR"/>
              </w:rPr>
            </w:pPr>
            <w:r>
              <w:rPr>
                <w:sz w:val="20"/>
                <w:lang w:val="pt-BR"/>
              </w:rPr>
              <w:t>0</w:t>
            </w:r>
          </w:p>
        </w:tc>
        <w:tc>
          <w:tcPr>
            <w:tcW w:w="1320" w:type="dxa"/>
            <w:shd w:val="clear" w:color="auto" w:fill="auto"/>
            <w:vAlign w:val="center"/>
          </w:tcPr>
          <w:p w:rsidR="006A697D" w:rsidRPr="000F22A2" w:rsidRDefault="006A697D" w:rsidP="00304184">
            <w:pPr>
              <w:jc w:val="center"/>
              <w:rPr>
                <w:sz w:val="20"/>
                <w:lang w:val="pt-BR"/>
              </w:rPr>
            </w:pPr>
            <w:r>
              <w:rPr>
                <w:sz w:val="20"/>
                <w:lang w:val="pt-BR"/>
              </w:rPr>
              <w:t>3</w:t>
            </w:r>
          </w:p>
        </w:tc>
        <w:tc>
          <w:tcPr>
            <w:tcW w:w="1320" w:type="dxa"/>
            <w:vAlign w:val="center"/>
          </w:tcPr>
          <w:p w:rsidR="006A697D" w:rsidRPr="000F22A2" w:rsidRDefault="006A697D" w:rsidP="00304184">
            <w:pPr>
              <w:jc w:val="center"/>
              <w:rPr>
                <w:sz w:val="20"/>
                <w:lang w:val="pt-BR"/>
              </w:rPr>
            </w:pPr>
            <w:r>
              <w:rPr>
                <w:sz w:val="20"/>
                <w:lang w:val="pt-BR"/>
              </w:rPr>
              <w:t>3</w:t>
            </w:r>
          </w:p>
        </w:tc>
        <w:tc>
          <w:tcPr>
            <w:tcW w:w="1080" w:type="dxa"/>
            <w:vAlign w:val="center"/>
          </w:tcPr>
          <w:p w:rsidR="006A697D" w:rsidRPr="000F22A2" w:rsidRDefault="006A697D" w:rsidP="00304184">
            <w:pPr>
              <w:jc w:val="center"/>
              <w:rPr>
                <w:sz w:val="20"/>
                <w:lang w:val="pt-BR"/>
              </w:rPr>
            </w:pPr>
            <w:r>
              <w:rPr>
                <w:sz w:val="20"/>
                <w:lang w:val="pt-BR"/>
              </w:rPr>
              <w:t>2</w:t>
            </w:r>
          </w:p>
        </w:tc>
      </w:tr>
      <w:tr w:rsidR="006A697D" w:rsidRPr="0038748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Pr>
          <w:p w:rsidR="006A697D" w:rsidRPr="000F22A2" w:rsidRDefault="006A697D" w:rsidP="00304184">
            <w:pPr>
              <w:rPr>
                <w:sz w:val="20"/>
                <w:highlight w:val="yellow"/>
                <w:lang w:val="pt-BR"/>
              </w:rPr>
            </w:pPr>
            <w:r w:rsidRPr="000F22A2">
              <w:rPr>
                <w:sz w:val="20"/>
                <w:lang w:val="pt-BR"/>
              </w:rPr>
              <w:t>ALT increased</w:t>
            </w:r>
          </w:p>
        </w:tc>
        <w:tc>
          <w:tcPr>
            <w:tcW w:w="1564" w:type="dxa"/>
            <w:vAlign w:val="center"/>
          </w:tcPr>
          <w:p w:rsidR="006A697D" w:rsidRPr="000F22A2" w:rsidRDefault="006A697D" w:rsidP="00304184">
            <w:pPr>
              <w:jc w:val="center"/>
              <w:rPr>
                <w:sz w:val="20"/>
                <w:lang w:val="pt-BR"/>
              </w:rPr>
            </w:pPr>
            <w:r w:rsidRPr="000F22A2">
              <w:rPr>
                <w:sz w:val="20"/>
                <w:lang w:val="pt-BR"/>
              </w:rPr>
              <w:t>6</w:t>
            </w:r>
          </w:p>
        </w:tc>
        <w:tc>
          <w:tcPr>
            <w:tcW w:w="836" w:type="dxa"/>
            <w:shd w:val="clear" w:color="auto" w:fill="auto"/>
            <w:vAlign w:val="center"/>
          </w:tcPr>
          <w:p w:rsidR="006A697D" w:rsidRPr="000F22A2" w:rsidRDefault="006A697D" w:rsidP="00304184">
            <w:pPr>
              <w:jc w:val="center"/>
              <w:rPr>
                <w:sz w:val="20"/>
                <w:lang w:val="pt-BR"/>
              </w:rPr>
            </w:pPr>
            <w:r w:rsidRPr="000F22A2">
              <w:rPr>
                <w:sz w:val="20"/>
                <w:lang w:val="pt-BR"/>
              </w:rPr>
              <w:t>4</w:t>
            </w:r>
          </w:p>
        </w:tc>
        <w:tc>
          <w:tcPr>
            <w:tcW w:w="1320" w:type="dxa"/>
            <w:shd w:val="clear" w:color="auto" w:fill="auto"/>
            <w:vAlign w:val="center"/>
          </w:tcPr>
          <w:p w:rsidR="006A697D" w:rsidRPr="000F22A2" w:rsidRDefault="006A697D" w:rsidP="00304184">
            <w:pPr>
              <w:jc w:val="center"/>
              <w:rPr>
                <w:sz w:val="20"/>
                <w:lang w:val="pt-BR"/>
              </w:rPr>
            </w:pPr>
            <w:r w:rsidRPr="000F22A2">
              <w:rPr>
                <w:sz w:val="20"/>
                <w:lang w:val="pt-BR"/>
              </w:rPr>
              <w:t>3</w:t>
            </w:r>
          </w:p>
        </w:tc>
        <w:tc>
          <w:tcPr>
            <w:tcW w:w="1320" w:type="dxa"/>
            <w:vAlign w:val="center"/>
          </w:tcPr>
          <w:p w:rsidR="006A697D" w:rsidRPr="000F22A2" w:rsidRDefault="006A697D" w:rsidP="00304184">
            <w:pPr>
              <w:jc w:val="center"/>
              <w:rPr>
                <w:sz w:val="20"/>
                <w:lang w:val="pt-BR"/>
              </w:rPr>
            </w:pPr>
            <w:r w:rsidRPr="000F22A2">
              <w:rPr>
                <w:sz w:val="20"/>
                <w:lang w:val="pt-BR"/>
              </w:rPr>
              <w:t>3</w:t>
            </w:r>
          </w:p>
        </w:tc>
        <w:tc>
          <w:tcPr>
            <w:tcW w:w="1080" w:type="dxa"/>
            <w:vAlign w:val="center"/>
          </w:tcPr>
          <w:p w:rsidR="006A697D" w:rsidRPr="000F22A2" w:rsidRDefault="006A697D" w:rsidP="00304184">
            <w:pPr>
              <w:jc w:val="center"/>
              <w:rPr>
                <w:sz w:val="20"/>
                <w:lang w:val="pt-BR"/>
              </w:rPr>
            </w:pPr>
            <w:r w:rsidRPr="000F22A2">
              <w:rPr>
                <w:sz w:val="20"/>
                <w:lang w:val="pt-BR"/>
              </w:rPr>
              <w:t>1</w:t>
            </w:r>
          </w:p>
        </w:tc>
      </w:tr>
      <w:tr w:rsidR="006A697D" w:rsidRPr="0038748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Pr>
          <w:p w:rsidR="006A697D" w:rsidRPr="000F22A2" w:rsidRDefault="006A697D" w:rsidP="00304184">
            <w:pPr>
              <w:rPr>
                <w:sz w:val="20"/>
                <w:lang w:val="pt-BR"/>
              </w:rPr>
            </w:pPr>
            <w:r>
              <w:rPr>
                <w:sz w:val="20"/>
                <w:lang w:val="pt-BR"/>
              </w:rPr>
              <w:t>Diarrhoea</w:t>
            </w:r>
          </w:p>
        </w:tc>
        <w:tc>
          <w:tcPr>
            <w:tcW w:w="1564" w:type="dxa"/>
            <w:vAlign w:val="center"/>
          </w:tcPr>
          <w:p w:rsidR="006A697D" w:rsidRPr="000F22A2" w:rsidRDefault="006A697D" w:rsidP="00304184">
            <w:pPr>
              <w:jc w:val="center"/>
              <w:rPr>
                <w:sz w:val="20"/>
                <w:lang w:val="pt-BR"/>
              </w:rPr>
            </w:pPr>
            <w:r>
              <w:rPr>
                <w:sz w:val="20"/>
                <w:lang w:val="pt-BR"/>
              </w:rPr>
              <w:t>5</w:t>
            </w:r>
          </w:p>
        </w:tc>
        <w:tc>
          <w:tcPr>
            <w:tcW w:w="836" w:type="dxa"/>
            <w:shd w:val="clear" w:color="auto" w:fill="auto"/>
            <w:vAlign w:val="center"/>
          </w:tcPr>
          <w:p w:rsidR="006A697D" w:rsidRPr="000F22A2" w:rsidRDefault="006A697D" w:rsidP="00304184">
            <w:pPr>
              <w:jc w:val="center"/>
              <w:rPr>
                <w:sz w:val="20"/>
                <w:lang w:val="pt-BR"/>
              </w:rPr>
            </w:pPr>
            <w:r>
              <w:rPr>
                <w:sz w:val="20"/>
                <w:lang w:val="pt-BR"/>
              </w:rPr>
              <w:t>5</w:t>
            </w:r>
          </w:p>
        </w:tc>
        <w:tc>
          <w:tcPr>
            <w:tcW w:w="1320" w:type="dxa"/>
            <w:shd w:val="clear" w:color="auto" w:fill="auto"/>
            <w:vAlign w:val="center"/>
          </w:tcPr>
          <w:p w:rsidR="006A697D" w:rsidRPr="000F22A2" w:rsidRDefault="006A697D" w:rsidP="00304184">
            <w:pPr>
              <w:jc w:val="center"/>
              <w:rPr>
                <w:sz w:val="20"/>
                <w:lang w:val="pt-BR"/>
              </w:rPr>
            </w:pPr>
            <w:r>
              <w:rPr>
                <w:sz w:val="20"/>
                <w:lang w:val="pt-BR"/>
              </w:rPr>
              <w:t>5</w:t>
            </w:r>
          </w:p>
        </w:tc>
        <w:tc>
          <w:tcPr>
            <w:tcW w:w="1320" w:type="dxa"/>
            <w:vAlign w:val="center"/>
          </w:tcPr>
          <w:p w:rsidR="006A697D" w:rsidRPr="000F22A2" w:rsidRDefault="006A697D" w:rsidP="00304184">
            <w:pPr>
              <w:jc w:val="center"/>
              <w:rPr>
                <w:sz w:val="20"/>
                <w:lang w:val="pt-BR"/>
              </w:rPr>
            </w:pPr>
            <w:r>
              <w:rPr>
                <w:sz w:val="20"/>
                <w:lang w:val="pt-BR"/>
              </w:rPr>
              <w:t>4</w:t>
            </w:r>
          </w:p>
        </w:tc>
        <w:tc>
          <w:tcPr>
            <w:tcW w:w="1080" w:type="dxa"/>
            <w:vAlign w:val="center"/>
          </w:tcPr>
          <w:p w:rsidR="006A697D" w:rsidRPr="000F22A2" w:rsidRDefault="006A697D" w:rsidP="00304184">
            <w:pPr>
              <w:jc w:val="center"/>
              <w:rPr>
                <w:sz w:val="20"/>
                <w:lang w:val="pt-BR"/>
              </w:rPr>
            </w:pPr>
            <w:r>
              <w:rPr>
                <w:sz w:val="20"/>
                <w:lang w:val="pt-BR"/>
              </w:rPr>
              <w:t>4</w:t>
            </w:r>
          </w:p>
        </w:tc>
      </w:tr>
      <w:tr w:rsidR="006A697D" w:rsidRPr="0038748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Pr>
          <w:p w:rsidR="006A697D" w:rsidRPr="000F22A2" w:rsidRDefault="006A697D" w:rsidP="00304184">
            <w:pPr>
              <w:rPr>
                <w:sz w:val="20"/>
                <w:lang w:val="pt-BR"/>
              </w:rPr>
            </w:pPr>
            <w:r>
              <w:rPr>
                <w:sz w:val="20"/>
                <w:lang w:val="pt-BR"/>
              </w:rPr>
              <w:t>Back Pain</w:t>
            </w:r>
          </w:p>
        </w:tc>
        <w:tc>
          <w:tcPr>
            <w:tcW w:w="1564" w:type="dxa"/>
            <w:vAlign w:val="center"/>
          </w:tcPr>
          <w:p w:rsidR="006A697D" w:rsidRPr="000F22A2" w:rsidRDefault="006A697D" w:rsidP="00304184">
            <w:pPr>
              <w:jc w:val="center"/>
              <w:rPr>
                <w:sz w:val="20"/>
                <w:lang w:val="pt-BR"/>
              </w:rPr>
            </w:pPr>
            <w:r>
              <w:rPr>
                <w:sz w:val="20"/>
                <w:lang w:val="pt-BR"/>
              </w:rPr>
              <w:t>2</w:t>
            </w:r>
          </w:p>
        </w:tc>
        <w:tc>
          <w:tcPr>
            <w:tcW w:w="836" w:type="dxa"/>
            <w:shd w:val="clear" w:color="auto" w:fill="auto"/>
            <w:vAlign w:val="center"/>
          </w:tcPr>
          <w:p w:rsidR="006A697D" w:rsidRPr="000F22A2" w:rsidRDefault="006A697D" w:rsidP="00304184">
            <w:pPr>
              <w:jc w:val="center"/>
              <w:rPr>
                <w:sz w:val="20"/>
                <w:lang w:val="pt-BR"/>
              </w:rPr>
            </w:pPr>
            <w:r>
              <w:rPr>
                <w:sz w:val="20"/>
                <w:lang w:val="pt-BR"/>
              </w:rPr>
              <w:t>1</w:t>
            </w:r>
          </w:p>
        </w:tc>
        <w:tc>
          <w:tcPr>
            <w:tcW w:w="1320" w:type="dxa"/>
            <w:shd w:val="clear" w:color="auto" w:fill="auto"/>
            <w:vAlign w:val="center"/>
          </w:tcPr>
          <w:p w:rsidR="006A697D" w:rsidRPr="000F22A2" w:rsidRDefault="006A697D" w:rsidP="00304184">
            <w:pPr>
              <w:jc w:val="center"/>
              <w:rPr>
                <w:sz w:val="20"/>
                <w:lang w:val="pt-BR"/>
              </w:rPr>
            </w:pPr>
            <w:r>
              <w:rPr>
                <w:sz w:val="20"/>
                <w:lang w:val="pt-BR"/>
              </w:rPr>
              <w:t>3</w:t>
            </w:r>
          </w:p>
        </w:tc>
        <w:tc>
          <w:tcPr>
            <w:tcW w:w="1320" w:type="dxa"/>
            <w:vAlign w:val="center"/>
          </w:tcPr>
          <w:p w:rsidR="006A697D" w:rsidRPr="000F22A2" w:rsidRDefault="006A697D" w:rsidP="00304184">
            <w:pPr>
              <w:jc w:val="center"/>
              <w:rPr>
                <w:sz w:val="20"/>
                <w:lang w:val="pt-BR"/>
              </w:rPr>
            </w:pPr>
            <w:r>
              <w:rPr>
                <w:sz w:val="20"/>
                <w:lang w:val="pt-BR"/>
              </w:rPr>
              <w:t>4</w:t>
            </w:r>
          </w:p>
        </w:tc>
        <w:tc>
          <w:tcPr>
            <w:tcW w:w="1080" w:type="dxa"/>
            <w:vAlign w:val="center"/>
          </w:tcPr>
          <w:p w:rsidR="006A697D" w:rsidRPr="000F22A2" w:rsidRDefault="006A697D" w:rsidP="00304184">
            <w:pPr>
              <w:jc w:val="center"/>
              <w:rPr>
                <w:sz w:val="20"/>
                <w:lang w:val="pt-BR"/>
              </w:rPr>
            </w:pPr>
            <w:r>
              <w:rPr>
                <w:sz w:val="20"/>
                <w:lang w:val="pt-BR"/>
              </w:rPr>
              <w:t>3</w:t>
            </w:r>
          </w:p>
        </w:tc>
      </w:tr>
      <w:tr w:rsidR="006A697D" w:rsidRPr="0038748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Pr>
          <w:p w:rsidR="006A697D" w:rsidRPr="00736B32" w:rsidRDefault="006A697D" w:rsidP="00304184">
            <w:pPr>
              <w:rPr>
                <w:sz w:val="20"/>
                <w:lang w:val="pt-BR"/>
              </w:rPr>
            </w:pPr>
            <w:r>
              <w:rPr>
                <w:sz w:val="20"/>
                <w:lang w:val="pt-BR"/>
              </w:rPr>
              <w:t>Peripheral Oedema</w:t>
            </w:r>
          </w:p>
        </w:tc>
        <w:tc>
          <w:tcPr>
            <w:tcW w:w="1564" w:type="dxa"/>
          </w:tcPr>
          <w:p w:rsidR="006A697D" w:rsidRPr="00736B32" w:rsidRDefault="006A697D" w:rsidP="00304184">
            <w:pPr>
              <w:jc w:val="center"/>
              <w:rPr>
                <w:sz w:val="20"/>
                <w:lang w:val="pt-BR"/>
              </w:rPr>
            </w:pPr>
            <w:r>
              <w:rPr>
                <w:sz w:val="20"/>
                <w:lang w:val="pt-BR"/>
              </w:rPr>
              <w:t>2</w:t>
            </w:r>
          </w:p>
        </w:tc>
        <w:tc>
          <w:tcPr>
            <w:tcW w:w="836" w:type="dxa"/>
            <w:shd w:val="clear" w:color="auto" w:fill="auto"/>
          </w:tcPr>
          <w:p w:rsidR="006A697D" w:rsidRPr="00736B32" w:rsidRDefault="006A697D" w:rsidP="00304184">
            <w:pPr>
              <w:jc w:val="center"/>
              <w:rPr>
                <w:sz w:val="20"/>
                <w:lang w:val="pt-BR"/>
              </w:rPr>
            </w:pPr>
            <w:r>
              <w:rPr>
                <w:sz w:val="20"/>
                <w:lang w:val="pt-BR"/>
              </w:rPr>
              <w:t>0</w:t>
            </w:r>
          </w:p>
        </w:tc>
        <w:tc>
          <w:tcPr>
            <w:tcW w:w="1320" w:type="dxa"/>
            <w:shd w:val="clear" w:color="auto" w:fill="auto"/>
          </w:tcPr>
          <w:p w:rsidR="006A697D" w:rsidRPr="00736B32" w:rsidRDefault="006A697D" w:rsidP="00304184">
            <w:pPr>
              <w:jc w:val="center"/>
              <w:rPr>
                <w:sz w:val="20"/>
                <w:lang w:val="pt-BR"/>
              </w:rPr>
            </w:pPr>
            <w:r>
              <w:rPr>
                <w:sz w:val="20"/>
                <w:lang w:val="pt-BR"/>
              </w:rPr>
              <w:t>2</w:t>
            </w:r>
          </w:p>
        </w:tc>
        <w:tc>
          <w:tcPr>
            <w:tcW w:w="1320" w:type="dxa"/>
          </w:tcPr>
          <w:p w:rsidR="006A697D" w:rsidRPr="00736B32" w:rsidRDefault="006A697D" w:rsidP="00304184">
            <w:pPr>
              <w:jc w:val="center"/>
              <w:rPr>
                <w:sz w:val="20"/>
                <w:lang w:val="pt-BR"/>
              </w:rPr>
            </w:pPr>
            <w:r>
              <w:rPr>
                <w:sz w:val="20"/>
                <w:lang w:val="pt-BR"/>
              </w:rPr>
              <w:t>3</w:t>
            </w:r>
          </w:p>
        </w:tc>
        <w:tc>
          <w:tcPr>
            <w:tcW w:w="1080" w:type="dxa"/>
          </w:tcPr>
          <w:p w:rsidR="006A697D" w:rsidRPr="00736B32" w:rsidRDefault="006A697D" w:rsidP="00304184">
            <w:pPr>
              <w:jc w:val="center"/>
              <w:rPr>
                <w:sz w:val="20"/>
                <w:lang w:val="pt-BR"/>
              </w:rPr>
            </w:pPr>
            <w:r>
              <w:rPr>
                <w:sz w:val="20"/>
                <w:lang w:val="pt-BR"/>
              </w:rPr>
              <w:t>1</w:t>
            </w:r>
          </w:p>
        </w:tc>
      </w:tr>
      <w:tr w:rsidR="006A697D" w:rsidRPr="0038748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Pr>
          <w:p w:rsidR="006A697D" w:rsidRPr="000F22A2" w:rsidRDefault="006A697D" w:rsidP="00304184">
            <w:pPr>
              <w:rPr>
                <w:sz w:val="20"/>
                <w:lang w:val="pt-BR"/>
              </w:rPr>
            </w:pPr>
            <w:r w:rsidRPr="000F22A2">
              <w:rPr>
                <w:sz w:val="20"/>
                <w:lang w:val="pt-BR"/>
              </w:rPr>
              <w:t>Dizziness</w:t>
            </w:r>
          </w:p>
        </w:tc>
        <w:tc>
          <w:tcPr>
            <w:tcW w:w="1564" w:type="dxa"/>
            <w:vAlign w:val="center"/>
          </w:tcPr>
          <w:p w:rsidR="006A697D" w:rsidRPr="000F22A2" w:rsidRDefault="006A697D" w:rsidP="00304184">
            <w:pPr>
              <w:jc w:val="center"/>
              <w:rPr>
                <w:sz w:val="20"/>
                <w:lang w:val="pt-BR"/>
              </w:rPr>
            </w:pPr>
            <w:r w:rsidRPr="000F22A2">
              <w:rPr>
                <w:sz w:val="20"/>
                <w:lang w:val="pt-BR"/>
              </w:rPr>
              <w:t>3</w:t>
            </w:r>
          </w:p>
        </w:tc>
        <w:tc>
          <w:tcPr>
            <w:tcW w:w="836" w:type="dxa"/>
            <w:shd w:val="clear" w:color="auto" w:fill="auto"/>
            <w:vAlign w:val="center"/>
          </w:tcPr>
          <w:p w:rsidR="006A697D" w:rsidRPr="000F22A2" w:rsidRDefault="006A697D" w:rsidP="00304184">
            <w:pPr>
              <w:jc w:val="center"/>
              <w:rPr>
                <w:sz w:val="20"/>
                <w:lang w:val="pt-BR"/>
              </w:rPr>
            </w:pPr>
            <w:r w:rsidRPr="000F22A2">
              <w:rPr>
                <w:sz w:val="20"/>
                <w:lang w:val="pt-BR"/>
              </w:rPr>
              <w:t>1</w:t>
            </w:r>
          </w:p>
        </w:tc>
        <w:tc>
          <w:tcPr>
            <w:tcW w:w="1320" w:type="dxa"/>
            <w:shd w:val="clear" w:color="auto" w:fill="auto"/>
            <w:vAlign w:val="center"/>
          </w:tcPr>
          <w:p w:rsidR="006A697D" w:rsidRPr="000F22A2" w:rsidRDefault="006A697D" w:rsidP="00304184">
            <w:pPr>
              <w:jc w:val="center"/>
              <w:rPr>
                <w:sz w:val="20"/>
                <w:lang w:val="pt-BR"/>
              </w:rPr>
            </w:pPr>
            <w:r w:rsidRPr="000F22A2">
              <w:rPr>
                <w:sz w:val="20"/>
                <w:lang w:val="pt-BR"/>
              </w:rPr>
              <w:t>2</w:t>
            </w:r>
          </w:p>
        </w:tc>
        <w:tc>
          <w:tcPr>
            <w:tcW w:w="1320" w:type="dxa"/>
            <w:vAlign w:val="center"/>
          </w:tcPr>
          <w:p w:rsidR="006A697D" w:rsidRPr="000F22A2" w:rsidRDefault="006A697D" w:rsidP="00304184">
            <w:pPr>
              <w:jc w:val="center"/>
              <w:rPr>
                <w:sz w:val="20"/>
                <w:lang w:val="pt-BR"/>
              </w:rPr>
            </w:pPr>
            <w:r w:rsidRPr="000F22A2">
              <w:rPr>
                <w:sz w:val="20"/>
                <w:lang w:val="pt-BR"/>
              </w:rPr>
              <w:t>3</w:t>
            </w:r>
          </w:p>
        </w:tc>
        <w:tc>
          <w:tcPr>
            <w:tcW w:w="1080" w:type="dxa"/>
            <w:vAlign w:val="center"/>
          </w:tcPr>
          <w:p w:rsidR="006A697D" w:rsidRPr="000F22A2" w:rsidRDefault="006A697D" w:rsidP="00304184">
            <w:pPr>
              <w:jc w:val="center"/>
              <w:rPr>
                <w:sz w:val="20"/>
                <w:lang w:val="pt-BR"/>
              </w:rPr>
            </w:pPr>
            <w:r w:rsidRPr="000F22A2">
              <w:rPr>
                <w:sz w:val="20"/>
                <w:lang w:val="pt-BR"/>
              </w:rPr>
              <w:t>2</w:t>
            </w:r>
          </w:p>
        </w:tc>
      </w:tr>
      <w:tr w:rsidR="006A697D" w:rsidRPr="0038748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Pr>
          <w:p w:rsidR="006A697D" w:rsidRPr="00736B32" w:rsidRDefault="006A697D" w:rsidP="00304184">
            <w:pPr>
              <w:rPr>
                <w:sz w:val="20"/>
                <w:lang w:val="pt-BR"/>
              </w:rPr>
            </w:pPr>
            <w:r w:rsidRPr="00736B32">
              <w:rPr>
                <w:sz w:val="20"/>
                <w:lang w:val="pt-BR"/>
              </w:rPr>
              <w:t>Bronchitis</w:t>
            </w:r>
          </w:p>
        </w:tc>
        <w:tc>
          <w:tcPr>
            <w:tcW w:w="1564" w:type="dxa"/>
          </w:tcPr>
          <w:p w:rsidR="006A697D" w:rsidRPr="00736B32" w:rsidRDefault="006A697D" w:rsidP="00304184">
            <w:pPr>
              <w:jc w:val="center"/>
              <w:rPr>
                <w:sz w:val="20"/>
                <w:lang w:val="pt-BR"/>
              </w:rPr>
            </w:pPr>
            <w:r w:rsidRPr="00736B32">
              <w:rPr>
                <w:sz w:val="20"/>
                <w:lang w:val="pt-BR"/>
              </w:rPr>
              <w:t>3</w:t>
            </w:r>
          </w:p>
        </w:tc>
        <w:tc>
          <w:tcPr>
            <w:tcW w:w="836" w:type="dxa"/>
            <w:shd w:val="clear" w:color="auto" w:fill="auto"/>
          </w:tcPr>
          <w:p w:rsidR="006A697D" w:rsidRPr="00736B32" w:rsidRDefault="006A697D" w:rsidP="00304184">
            <w:pPr>
              <w:jc w:val="center"/>
              <w:rPr>
                <w:sz w:val="20"/>
                <w:lang w:val="pt-BR"/>
              </w:rPr>
            </w:pPr>
            <w:r w:rsidRPr="00736B32">
              <w:rPr>
                <w:sz w:val="20"/>
                <w:lang w:val="pt-BR"/>
              </w:rPr>
              <w:t>2</w:t>
            </w:r>
          </w:p>
        </w:tc>
        <w:tc>
          <w:tcPr>
            <w:tcW w:w="1320" w:type="dxa"/>
            <w:shd w:val="clear" w:color="auto" w:fill="auto"/>
          </w:tcPr>
          <w:p w:rsidR="006A697D" w:rsidRPr="00736B32" w:rsidRDefault="006A697D" w:rsidP="00304184">
            <w:pPr>
              <w:jc w:val="center"/>
              <w:rPr>
                <w:sz w:val="20"/>
                <w:lang w:val="pt-BR"/>
              </w:rPr>
            </w:pPr>
            <w:r w:rsidRPr="00736B32">
              <w:rPr>
                <w:sz w:val="20"/>
                <w:lang w:val="pt-BR"/>
              </w:rPr>
              <w:t>4</w:t>
            </w:r>
          </w:p>
        </w:tc>
        <w:tc>
          <w:tcPr>
            <w:tcW w:w="1320" w:type="dxa"/>
          </w:tcPr>
          <w:p w:rsidR="006A697D" w:rsidRPr="00736B32" w:rsidRDefault="006A697D" w:rsidP="00304184">
            <w:pPr>
              <w:jc w:val="center"/>
              <w:rPr>
                <w:sz w:val="20"/>
                <w:lang w:val="pt-BR"/>
              </w:rPr>
            </w:pPr>
            <w:r w:rsidRPr="00736B32">
              <w:rPr>
                <w:sz w:val="20"/>
                <w:lang w:val="pt-BR"/>
              </w:rPr>
              <w:t>3</w:t>
            </w:r>
          </w:p>
        </w:tc>
        <w:tc>
          <w:tcPr>
            <w:tcW w:w="1080" w:type="dxa"/>
          </w:tcPr>
          <w:p w:rsidR="006A697D" w:rsidRPr="00736B32" w:rsidRDefault="006A697D" w:rsidP="00304184">
            <w:pPr>
              <w:jc w:val="center"/>
              <w:rPr>
                <w:sz w:val="20"/>
                <w:lang w:val="pt-BR"/>
              </w:rPr>
            </w:pPr>
            <w:r w:rsidRPr="00736B32">
              <w:rPr>
                <w:sz w:val="20"/>
                <w:lang w:val="pt-BR"/>
              </w:rPr>
              <w:t>3</w:t>
            </w:r>
          </w:p>
        </w:tc>
      </w:tr>
      <w:tr w:rsidR="006A697D" w:rsidRPr="0038748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Pr>
          <w:p w:rsidR="006A697D" w:rsidRPr="000F22A2" w:rsidRDefault="006A697D" w:rsidP="00304184">
            <w:pPr>
              <w:rPr>
                <w:sz w:val="20"/>
                <w:lang w:val="pt-BR"/>
              </w:rPr>
            </w:pPr>
            <w:r w:rsidRPr="000F22A2">
              <w:rPr>
                <w:sz w:val="20"/>
                <w:lang w:val="pt-BR"/>
              </w:rPr>
              <w:t>Rash</w:t>
            </w:r>
          </w:p>
        </w:tc>
        <w:tc>
          <w:tcPr>
            <w:tcW w:w="1564" w:type="dxa"/>
          </w:tcPr>
          <w:p w:rsidR="006A697D" w:rsidRPr="000F22A2" w:rsidRDefault="006A697D" w:rsidP="00304184">
            <w:pPr>
              <w:jc w:val="center"/>
              <w:rPr>
                <w:sz w:val="20"/>
                <w:lang w:val="pt-BR"/>
              </w:rPr>
            </w:pPr>
            <w:r w:rsidRPr="000F22A2">
              <w:rPr>
                <w:sz w:val="20"/>
                <w:lang w:val="pt-BR"/>
              </w:rPr>
              <w:t>2</w:t>
            </w:r>
          </w:p>
        </w:tc>
        <w:tc>
          <w:tcPr>
            <w:tcW w:w="836" w:type="dxa"/>
            <w:shd w:val="clear" w:color="auto" w:fill="auto"/>
          </w:tcPr>
          <w:p w:rsidR="006A697D" w:rsidRPr="000F22A2" w:rsidRDefault="006A697D" w:rsidP="00304184">
            <w:pPr>
              <w:jc w:val="center"/>
              <w:rPr>
                <w:sz w:val="20"/>
                <w:lang w:val="pt-BR"/>
              </w:rPr>
            </w:pPr>
            <w:r w:rsidRPr="000F22A2">
              <w:rPr>
                <w:sz w:val="20"/>
                <w:lang w:val="pt-BR"/>
              </w:rPr>
              <w:t>1</w:t>
            </w:r>
          </w:p>
        </w:tc>
        <w:tc>
          <w:tcPr>
            <w:tcW w:w="1320" w:type="dxa"/>
            <w:shd w:val="clear" w:color="auto" w:fill="auto"/>
          </w:tcPr>
          <w:p w:rsidR="006A697D" w:rsidRPr="000F22A2" w:rsidRDefault="006A697D" w:rsidP="00304184">
            <w:pPr>
              <w:jc w:val="center"/>
              <w:rPr>
                <w:sz w:val="20"/>
                <w:lang w:val="pt-BR"/>
              </w:rPr>
            </w:pPr>
            <w:r w:rsidRPr="000F22A2">
              <w:rPr>
                <w:sz w:val="20"/>
                <w:lang w:val="pt-BR"/>
              </w:rPr>
              <w:t>4</w:t>
            </w:r>
          </w:p>
        </w:tc>
        <w:tc>
          <w:tcPr>
            <w:tcW w:w="1320" w:type="dxa"/>
          </w:tcPr>
          <w:p w:rsidR="006A697D" w:rsidRPr="000F22A2" w:rsidRDefault="006A697D" w:rsidP="00304184">
            <w:pPr>
              <w:jc w:val="center"/>
              <w:rPr>
                <w:sz w:val="20"/>
                <w:lang w:val="pt-BR"/>
              </w:rPr>
            </w:pPr>
            <w:r w:rsidRPr="000F22A2">
              <w:rPr>
                <w:sz w:val="20"/>
                <w:lang w:val="pt-BR"/>
              </w:rPr>
              <w:t>3</w:t>
            </w:r>
          </w:p>
        </w:tc>
        <w:tc>
          <w:tcPr>
            <w:tcW w:w="1080" w:type="dxa"/>
          </w:tcPr>
          <w:p w:rsidR="006A697D" w:rsidRPr="000F22A2" w:rsidRDefault="006A697D" w:rsidP="00304184">
            <w:pPr>
              <w:jc w:val="center"/>
              <w:rPr>
                <w:sz w:val="20"/>
                <w:lang w:val="pt-BR"/>
              </w:rPr>
            </w:pPr>
            <w:r w:rsidRPr="000F22A2">
              <w:rPr>
                <w:sz w:val="20"/>
                <w:lang w:val="pt-BR"/>
              </w:rPr>
              <w:t>1</w:t>
            </w:r>
          </w:p>
        </w:tc>
      </w:tr>
      <w:tr w:rsidR="006A697D" w:rsidRPr="000F22A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Borders>
              <w:top w:val="single" w:sz="4" w:space="0" w:color="auto"/>
              <w:left w:val="single" w:sz="4" w:space="0" w:color="auto"/>
              <w:bottom w:val="single" w:sz="4" w:space="0" w:color="auto"/>
              <w:right w:val="single" w:sz="4" w:space="0" w:color="auto"/>
            </w:tcBorders>
          </w:tcPr>
          <w:p w:rsidR="006A697D" w:rsidRPr="000F22A2" w:rsidRDefault="006A697D" w:rsidP="00304184">
            <w:pPr>
              <w:rPr>
                <w:sz w:val="20"/>
                <w:lang w:val="pt-BR"/>
              </w:rPr>
            </w:pPr>
            <w:r w:rsidRPr="000F22A2">
              <w:rPr>
                <w:sz w:val="20"/>
                <w:lang w:val="pt-BR"/>
              </w:rPr>
              <w:t>Mouth Ulceration</w:t>
            </w:r>
          </w:p>
        </w:tc>
        <w:tc>
          <w:tcPr>
            <w:tcW w:w="1564"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2</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0F22A2" w:rsidRDefault="006A697D" w:rsidP="00304184">
            <w:pPr>
              <w:jc w:val="center"/>
              <w:rPr>
                <w:sz w:val="20"/>
                <w:lang w:val="pt-BR"/>
              </w:rPr>
            </w:pPr>
            <w:r w:rsidRPr="000F22A2">
              <w:rPr>
                <w:sz w:val="20"/>
                <w:lang w:val="pt-BR"/>
              </w:rP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0F22A2" w:rsidRDefault="006A697D" w:rsidP="00304184">
            <w:pPr>
              <w:jc w:val="center"/>
              <w:rPr>
                <w:sz w:val="20"/>
                <w:lang w:val="pt-BR"/>
              </w:rPr>
            </w:pPr>
            <w:r w:rsidRPr="000F22A2">
              <w:rPr>
                <w:sz w:val="20"/>
                <w:lang w:val="pt-BR"/>
              </w:rPr>
              <w:t>1</w:t>
            </w:r>
          </w:p>
        </w:tc>
        <w:tc>
          <w:tcPr>
            <w:tcW w:w="1320"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2</w:t>
            </w:r>
          </w:p>
        </w:tc>
        <w:tc>
          <w:tcPr>
            <w:tcW w:w="1080"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1</w:t>
            </w:r>
          </w:p>
        </w:tc>
      </w:tr>
      <w:tr w:rsidR="006A697D" w:rsidRPr="000F22A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Borders>
              <w:top w:val="single" w:sz="4" w:space="0" w:color="auto"/>
              <w:left w:val="single" w:sz="4" w:space="0" w:color="auto"/>
              <w:bottom w:val="single" w:sz="4" w:space="0" w:color="auto"/>
              <w:right w:val="single" w:sz="4" w:space="0" w:color="auto"/>
            </w:tcBorders>
          </w:tcPr>
          <w:p w:rsidR="006A697D" w:rsidRPr="00736B32" w:rsidRDefault="006A697D" w:rsidP="00304184">
            <w:pPr>
              <w:rPr>
                <w:sz w:val="20"/>
                <w:lang w:val="pt-BR"/>
              </w:rPr>
            </w:pPr>
            <w:r w:rsidRPr="00736B32">
              <w:rPr>
                <w:sz w:val="20"/>
                <w:lang w:val="pt-BR"/>
              </w:rPr>
              <w:t>Abdominal Pain Upper</w:t>
            </w:r>
          </w:p>
        </w:tc>
        <w:tc>
          <w:tcPr>
            <w:tcW w:w="1564" w:type="dxa"/>
            <w:tcBorders>
              <w:top w:val="single" w:sz="4" w:space="0" w:color="auto"/>
              <w:left w:val="single" w:sz="4" w:space="0" w:color="auto"/>
              <w:bottom w:val="single" w:sz="4" w:space="0" w:color="auto"/>
              <w:right w:val="single" w:sz="4" w:space="0" w:color="auto"/>
            </w:tcBorders>
            <w:vAlign w:val="center"/>
          </w:tcPr>
          <w:p w:rsidR="006A697D" w:rsidRPr="00736B32" w:rsidRDefault="006A697D" w:rsidP="00304184">
            <w:pPr>
              <w:jc w:val="center"/>
              <w:rPr>
                <w:sz w:val="20"/>
                <w:lang w:val="pt-BR"/>
              </w:rPr>
            </w:pPr>
            <w:r w:rsidRPr="00736B32">
              <w:rPr>
                <w:sz w:val="20"/>
                <w:lang w:val="pt-BR"/>
              </w:rPr>
              <w:t>2</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736B32" w:rsidRDefault="006A697D" w:rsidP="00304184">
            <w:pPr>
              <w:jc w:val="center"/>
              <w:rPr>
                <w:sz w:val="20"/>
                <w:lang w:val="pt-BR"/>
              </w:rPr>
            </w:pPr>
            <w:r w:rsidRPr="00736B32">
              <w:rPr>
                <w:sz w:val="20"/>
                <w:lang w:val="pt-BR"/>
              </w:rP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736B32" w:rsidRDefault="006A697D" w:rsidP="00304184">
            <w:pPr>
              <w:jc w:val="center"/>
              <w:rPr>
                <w:sz w:val="20"/>
                <w:lang w:val="pt-BR"/>
              </w:rPr>
            </w:pPr>
            <w:r w:rsidRPr="00736B32">
              <w:rPr>
                <w:sz w:val="20"/>
                <w:lang w:val="pt-BR"/>
              </w:rPr>
              <w:t>3</w:t>
            </w:r>
          </w:p>
        </w:tc>
        <w:tc>
          <w:tcPr>
            <w:tcW w:w="1320" w:type="dxa"/>
            <w:tcBorders>
              <w:top w:val="single" w:sz="4" w:space="0" w:color="auto"/>
              <w:left w:val="single" w:sz="4" w:space="0" w:color="auto"/>
              <w:bottom w:val="single" w:sz="4" w:space="0" w:color="auto"/>
              <w:right w:val="single" w:sz="4" w:space="0" w:color="auto"/>
            </w:tcBorders>
            <w:vAlign w:val="center"/>
          </w:tcPr>
          <w:p w:rsidR="006A697D" w:rsidRPr="00736B32" w:rsidRDefault="006A697D" w:rsidP="00304184">
            <w:pPr>
              <w:jc w:val="center"/>
              <w:rPr>
                <w:sz w:val="20"/>
                <w:lang w:val="pt-BR"/>
              </w:rPr>
            </w:pPr>
            <w:r w:rsidRPr="00736B32">
              <w:rPr>
                <w:sz w:val="20"/>
                <w:lang w:val="pt-BR"/>
              </w:rPr>
              <w:t>3</w:t>
            </w:r>
          </w:p>
        </w:tc>
        <w:tc>
          <w:tcPr>
            <w:tcW w:w="1080" w:type="dxa"/>
            <w:tcBorders>
              <w:top w:val="single" w:sz="4" w:space="0" w:color="auto"/>
              <w:left w:val="single" w:sz="4" w:space="0" w:color="auto"/>
              <w:bottom w:val="single" w:sz="4" w:space="0" w:color="auto"/>
              <w:right w:val="single" w:sz="4" w:space="0" w:color="auto"/>
            </w:tcBorders>
            <w:vAlign w:val="center"/>
          </w:tcPr>
          <w:p w:rsidR="006A697D" w:rsidRPr="00736B32" w:rsidRDefault="006A697D" w:rsidP="00304184">
            <w:pPr>
              <w:jc w:val="center"/>
              <w:rPr>
                <w:sz w:val="20"/>
                <w:lang w:val="pt-BR"/>
              </w:rPr>
            </w:pPr>
            <w:r w:rsidRPr="00736B32">
              <w:rPr>
                <w:sz w:val="20"/>
                <w:lang w:val="pt-BR"/>
              </w:rPr>
              <w:t>2</w:t>
            </w:r>
          </w:p>
        </w:tc>
      </w:tr>
      <w:tr w:rsidR="006A697D" w:rsidRPr="000F22A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Borders>
              <w:top w:val="single" w:sz="4" w:space="0" w:color="auto"/>
              <w:left w:val="single" w:sz="4" w:space="0" w:color="auto"/>
              <w:bottom w:val="single" w:sz="4" w:space="0" w:color="auto"/>
              <w:right w:val="single" w:sz="4" w:space="0" w:color="auto"/>
            </w:tcBorders>
          </w:tcPr>
          <w:p w:rsidR="006A697D" w:rsidRPr="000F22A2" w:rsidRDefault="006A697D" w:rsidP="00304184">
            <w:pPr>
              <w:rPr>
                <w:sz w:val="20"/>
                <w:lang w:val="pt-BR"/>
              </w:rPr>
            </w:pPr>
            <w:r w:rsidRPr="000F22A2">
              <w:rPr>
                <w:sz w:val="20"/>
                <w:lang w:val="pt-BR"/>
              </w:rPr>
              <w:t>Gastritis</w:t>
            </w:r>
          </w:p>
        </w:tc>
        <w:tc>
          <w:tcPr>
            <w:tcW w:w="1564"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1</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0F22A2" w:rsidRDefault="006A697D" w:rsidP="00304184">
            <w:pPr>
              <w:jc w:val="center"/>
              <w:rPr>
                <w:sz w:val="20"/>
                <w:lang w:val="pt-BR"/>
              </w:rPr>
            </w:pPr>
            <w:r w:rsidRPr="000F22A2">
              <w:rPr>
                <w:sz w:val="20"/>
                <w:lang w:val="pt-BR"/>
              </w:rP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0F22A2" w:rsidRDefault="00073349" w:rsidP="00304184">
            <w:pPr>
              <w:jc w:val="center"/>
              <w:rPr>
                <w:sz w:val="20"/>
                <w:lang w:val="pt-BR"/>
              </w:rPr>
            </w:pPr>
            <w:r>
              <w:rPr>
                <w:sz w:val="20"/>
                <w:lang w:val="pt-BR"/>
              </w:rPr>
              <w:t>2</w:t>
            </w:r>
          </w:p>
        </w:tc>
        <w:tc>
          <w:tcPr>
            <w:tcW w:w="1320"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2</w:t>
            </w:r>
          </w:p>
        </w:tc>
        <w:tc>
          <w:tcPr>
            <w:tcW w:w="1080"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1</w:t>
            </w:r>
          </w:p>
        </w:tc>
      </w:tr>
      <w:tr w:rsidR="006A697D" w:rsidRPr="000F22A2" w:rsidTr="00CA56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jc w:val="center"/>
        </w:trPr>
        <w:tc>
          <w:tcPr>
            <w:tcW w:w="2283" w:type="dxa"/>
            <w:gridSpan w:val="2"/>
            <w:tcBorders>
              <w:top w:val="single" w:sz="4" w:space="0" w:color="auto"/>
              <w:left w:val="single" w:sz="4" w:space="0" w:color="auto"/>
              <w:bottom w:val="single" w:sz="4" w:space="0" w:color="auto"/>
              <w:right w:val="single" w:sz="4" w:space="0" w:color="auto"/>
            </w:tcBorders>
          </w:tcPr>
          <w:p w:rsidR="006A697D" w:rsidRPr="000F22A2" w:rsidRDefault="006A697D" w:rsidP="00304184">
            <w:pPr>
              <w:rPr>
                <w:sz w:val="20"/>
                <w:lang w:val="pt-BR"/>
              </w:rPr>
            </w:pPr>
            <w:r w:rsidRPr="000F22A2">
              <w:rPr>
                <w:sz w:val="20"/>
                <w:lang w:val="pt-BR"/>
              </w:rPr>
              <w:t>Transaminase increased</w:t>
            </w:r>
          </w:p>
        </w:tc>
        <w:tc>
          <w:tcPr>
            <w:tcW w:w="1564"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1</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0F22A2" w:rsidRDefault="006A697D" w:rsidP="00304184">
            <w:pPr>
              <w:jc w:val="center"/>
              <w:rPr>
                <w:sz w:val="20"/>
                <w:lang w:val="pt-BR"/>
              </w:rPr>
            </w:pPr>
            <w:r w:rsidRPr="000F22A2">
              <w:rPr>
                <w:sz w:val="20"/>
                <w:lang w:val="pt-BR"/>
              </w:rPr>
              <w:t>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0F22A2" w:rsidRDefault="00073349" w:rsidP="00304184">
            <w:pPr>
              <w:jc w:val="center"/>
              <w:rPr>
                <w:sz w:val="20"/>
                <w:lang w:val="pt-BR"/>
              </w:rPr>
            </w:pPr>
            <w:r>
              <w:rPr>
                <w:sz w:val="20"/>
                <w:lang w:val="pt-BR"/>
              </w:rPr>
              <w:t>3</w:t>
            </w:r>
          </w:p>
        </w:tc>
        <w:tc>
          <w:tcPr>
            <w:tcW w:w="1320" w:type="dxa"/>
            <w:tcBorders>
              <w:top w:val="single" w:sz="4" w:space="0" w:color="auto"/>
              <w:left w:val="single" w:sz="4" w:space="0" w:color="auto"/>
              <w:bottom w:val="single" w:sz="4" w:space="0" w:color="auto"/>
              <w:right w:val="single" w:sz="4" w:space="0" w:color="auto"/>
            </w:tcBorders>
            <w:vAlign w:val="center"/>
          </w:tcPr>
          <w:p w:rsidR="006A697D" w:rsidRPr="000F22A2" w:rsidRDefault="00073349" w:rsidP="00304184">
            <w:pPr>
              <w:jc w:val="center"/>
              <w:rPr>
                <w:sz w:val="20"/>
                <w:lang w:val="pt-BR"/>
              </w:rPr>
            </w:pPr>
            <w:r>
              <w:rPr>
                <w:sz w:val="20"/>
                <w:lang w:val="pt-BR"/>
              </w:rPr>
              <w:t>3</w:t>
            </w:r>
          </w:p>
        </w:tc>
        <w:tc>
          <w:tcPr>
            <w:tcW w:w="1080"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1</w:t>
            </w:r>
          </w:p>
        </w:tc>
      </w:tr>
    </w:tbl>
    <w:bookmarkEnd w:id="15"/>
    <w:bookmarkEnd w:id="16"/>
    <w:bookmarkEnd w:id="17"/>
    <w:p w:rsidR="000F22A2" w:rsidRDefault="000F22A2" w:rsidP="000F22A2">
      <w:pPr>
        <w:jc w:val="both"/>
      </w:pPr>
      <w:r>
        <w:t xml:space="preserve">Other infrequent </w:t>
      </w:r>
      <w:r w:rsidR="00073349">
        <w:t xml:space="preserve">and medically relevant </w:t>
      </w:r>
      <w:r>
        <w:t xml:space="preserve">adverse </w:t>
      </w:r>
      <w:r w:rsidR="00587D10">
        <w:t>events</w:t>
      </w:r>
      <w:r>
        <w:t xml:space="preserve"> occurring at an incidence of less than 2% in rheumatoid arthritis patients treated with ACTEMRA </w:t>
      </w:r>
      <w:r w:rsidR="00073349">
        <w:t xml:space="preserve">in controlled trials </w:t>
      </w:r>
      <w:r>
        <w:t>were:</w:t>
      </w:r>
    </w:p>
    <w:p w:rsidR="000F22A2" w:rsidRDefault="000F22A2" w:rsidP="000F22A2">
      <w:pPr>
        <w:jc w:val="both"/>
      </w:pPr>
    </w:p>
    <w:p w:rsidR="000F22A2" w:rsidRPr="000662DB" w:rsidRDefault="000F22A2" w:rsidP="000F22A2">
      <w:pPr>
        <w:jc w:val="both"/>
      </w:pPr>
      <w:r w:rsidRPr="000662DB">
        <w:rPr>
          <w:i/>
        </w:rPr>
        <w:t>Infections</w:t>
      </w:r>
      <w:r w:rsidR="00073349" w:rsidRPr="000662DB">
        <w:rPr>
          <w:i/>
        </w:rPr>
        <w:t xml:space="preserve"> and infestations</w:t>
      </w:r>
      <w:r w:rsidRPr="000662DB">
        <w:rPr>
          <w:i/>
        </w:rPr>
        <w:t>:</w:t>
      </w:r>
      <w:r w:rsidRPr="000662DB">
        <w:t xml:space="preserve"> cellulitis, oral herpes simplex, herpes zoster, diverticulitis</w:t>
      </w:r>
    </w:p>
    <w:p w:rsidR="000F22A2" w:rsidRPr="00FB6602" w:rsidRDefault="000F22A2" w:rsidP="000F22A2">
      <w:pPr>
        <w:jc w:val="both"/>
        <w:rPr>
          <w:lang w:val="en-US"/>
        </w:rPr>
      </w:pPr>
      <w:r w:rsidRPr="00FB6602">
        <w:rPr>
          <w:i/>
          <w:lang w:val="en-US"/>
        </w:rPr>
        <w:t>Gastrointestinal disorders:</w:t>
      </w:r>
      <w:r w:rsidRPr="00FB6602">
        <w:rPr>
          <w:lang w:val="en-US"/>
        </w:rPr>
        <w:t xml:space="preserve"> stomatitis</w:t>
      </w:r>
      <w:r w:rsidR="00073349">
        <w:rPr>
          <w:lang w:val="en-US"/>
        </w:rPr>
        <w:t>, gastric ulcer</w:t>
      </w:r>
    </w:p>
    <w:p w:rsidR="000F22A2" w:rsidRDefault="000F22A2" w:rsidP="000F22A2">
      <w:pPr>
        <w:jc w:val="both"/>
        <w:rPr>
          <w:lang w:val="en-US"/>
        </w:rPr>
      </w:pPr>
      <w:r w:rsidRPr="000F22A2">
        <w:rPr>
          <w:i/>
          <w:lang w:val="en-US"/>
        </w:rPr>
        <w:t>Skin and subcutaneous tissue disorders:</w:t>
      </w:r>
      <w:r w:rsidRPr="000F22A2">
        <w:rPr>
          <w:lang w:val="en-US"/>
        </w:rPr>
        <w:t xml:space="preserve"> p</w:t>
      </w:r>
      <w:r w:rsidR="0069699E">
        <w:rPr>
          <w:lang w:val="en-US"/>
        </w:rPr>
        <w:t>ruritu</w:t>
      </w:r>
      <w:r>
        <w:rPr>
          <w:lang w:val="en-US"/>
        </w:rPr>
        <w:t>s, urticaria</w:t>
      </w:r>
    </w:p>
    <w:p w:rsidR="000F22A2" w:rsidRDefault="000F22A2" w:rsidP="000F22A2">
      <w:pPr>
        <w:jc w:val="both"/>
        <w:rPr>
          <w:lang w:val="en-US"/>
        </w:rPr>
      </w:pPr>
      <w:r w:rsidRPr="000F22A2">
        <w:rPr>
          <w:i/>
          <w:lang w:val="en-US"/>
        </w:rPr>
        <w:t>Investigations:</w:t>
      </w:r>
      <w:r>
        <w:rPr>
          <w:lang w:val="en-US"/>
        </w:rPr>
        <w:t xml:space="preserve"> </w:t>
      </w:r>
      <w:r w:rsidR="00073349">
        <w:rPr>
          <w:lang w:val="en-US"/>
        </w:rPr>
        <w:t xml:space="preserve">weight increased, total </w:t>
      </w:r>
      <w:r>
        <w:rPr>
          <w:lang w:val="en-US"/>
        </w:rPr>
        <w:t>bilirubin increased</w:t>
      </w:r>
    </w:p>
    <w:p w:rsidR="000F22A2" w:rsidRDefault="00247AA8" w:rsidP="000F22A2">
      <w:pPr>
        <w:jc w:val="both"/>
        <w:rPr>
          <w:lang w:val="en-US"/>
        </w:rPr>
      </w:pPr>
      <w:r w:rsidRPr="00247AA8">
        <w:rPr>
          <w:i/>
          <w:lang w:val="en-US"/>
        </w:rPr>
        <w:t>Blood and lymphatic</w:t>
      </w:r>
      <w:r w:rsidR="00073349">
        <w:rPr>
          <w:i/>
          <w:lang w:val="en-US"/>
        </w:rPr>
        <w:t>system</w:t>
      </w:r>
      <w:r w:rsidRPr="00247AA8">
        <w:rPr>
          <w:i/>
          <w:lang w:val="en-US"/>
        </w:rPr>
        <w:t xml:space="preserve"> disorders:</w:t>
      </w:r>
      <w:r>
        <w:rPr>
          <w:lang w:val="en-US"/>
        </w:rPr>
        <w:t xml:space="preserve"> leucopenia, neutropenia</w:t>
      </w:r>
    </w:p>
    <w:p w:rsidR="00247AA8" w:rsidRDefault="00247AA8" w:rsidP="000F22A2">
      <w:pPr>
        <w:jc w:val="both"/>
        <w:rPr>
          <w:lang w:val="en-US"/>
        </w:rPr>
      </w:pPr>
      <w:r w:rsidRPr="00247AA8">
        <w:rPr>
          <w:i/>
          <w:lang w:val="en-US"/>
        </w:rPr>
        <w:t>Metabolism and nutrition disorders:</w:t>
      </w:r>
      <w:r>
        <w:rPr>
          <w:lang w:val="en-US"/>
        </w:rPr>
        <w:t xml:space="preserve"> hypercholesterolaemia, hypertriglyceridaemia</w:t>
      </w:r>
    </w:p>
    <w:p w:rsidR="000F22A2" w:rsidRDefault="00247AA8" w:rsidP="00247AA8">
      <w:pPr>
        <w:jc w:val="both"/>
        <w:rPr>
          <w:lang w:val="en-US"/>
        </w:rPr>
      </w:pPr>
      <w:r w:rsidRPr="00247AA8">
        <w:rPr>
          <w:i/>
          <w:lang w:val="en-US"/>
        </w:rPr>
        <w:t>General</w:t>
      </w:r>
      <w:r w:rsidR="00073349">
        <w:rPr>
          <w:i/>
          <w:lang w:val="en-US"/>
        </w:rPr>
        <w:t xml:space="preserve"> disorders and administration site conditions</w:t>
      </w:r>
      <w:r w:rsidRPr="00247AA8">
        <w:rPr>
          <w:i/>
          <w:lang w:val="en-US"/>
        </w:rPr>
        <w:t>:</w:t>
      </w:r>
      <w:r>
        <w:rPr>
          <w:lang w:val="en-US"/>
        </w:rPr>
        <w:t xml:space="preserve"> hypersensitivity reaction</w:t>
      </w:r>
    </w:p>
    <w:p w:rsidR="00073349" w:rsidRDefault="00073349" w:rsidP="00247AA8">
      <w:pPr>
        <w:jc w:val="both"/>
        <w:rPr>
          <w:lang w:val="en-US"/>
        </w:rPr>
      </w:pPr>
      <w:r w:rsidRPr="00073349">
        <w:rPr>
          <w:i/>
          <w:lang w:val="en-US"/>
        </w:rPr>
        <w:t>Respiratory, thoracic and mediastinal disorders:</w:t>
      </w:r>
      <w:r>
        <w:rPr>
          <w:lang w:val="en-US"/>
        </w:rPr>
        <w:t xml:space="preserve"> dyspnoea</w:t>
      </w:r>
    </w:p>
    <w:p w:rsidR="00247AA8" w:rsidRDefault="00073349" w:rsidP="00247AA8">
      <w:pPr>
        <w:jc w:val="both"/>
        <w:rPr>
          <w:lang w:val="en-US"/>
        </w:rPr>
      </w:pPr>
      <w:r w:rsidRPr="00073349">
        <w:rPr>
          <w:i/>
          <w:lang w:val="en-US"/>
        </w:rPr>
        <w:t>Eye disorders:</w:t>
      </w:r>
      <w:r>
        <w:rPr>
          <w:lang w:val="en-US"/>
        </w:rPr>
        <w:t xml:space="preserve"> conjunctivitis</w:t>
      </w:r>
    </w:p>
    <w:p w:rsidR="00073349" w:rsidRDefault="00073349" w:rsidP="00073349">
      <w:pPr>
        <w:jc w:val="both"/>
        <w:rPr>
          <w:lang w:val="en-US"/>
        </w:rPr>
      </w:pPr>
      <w:r w:rsidRPr="00410FA8">
        <w:rPr>
          <w:i/>
          <w:lang w:val="en-US"/>
        </w:rPr>
        <w:t>Renal disorders:</w:t>
      </w:r>
      <w:r>
        <w:rPr>
          <w:lang w:val="en-US"/>
        </w:rPr>
        <w:t xml:space="preserve"> nephrolithiasis</w:t>
      </w:r>
    </w:p>
    <w:p w:rsidR="00073349" w:rsidRDefault="00073349" w:rsidP="00073349">
      <w:pPr>
        <w:jc w:val="both"/>
        <w:rPr>
          <w:lang w:val="en-US"/>
        </w:rPr>
      </w:pPr>
      <w:r w:rsidRPr="00410FA8">
        <w:rPr>
          <w:i/>
          <w:lang w:val="en-US"/>
        </w:rPr>
        <w:t>Endocrine disorders:</w:t>
      </w:r>
      <w:r>
        <w:rPr>
          <w:lang w:val="en-US"/>
        </w:rPr>
        <w:t xml:space="preserve"> hypothyroidism</w:t>
      </w:r>
    </w:p>
    <w:p w:rsidR="00073349" w:rsidRPr="000F22A2" w:rsidRDefault="00073349" w:rsidP="00073349">
      <w:pPr>
        <w:jc w:val="both"/>
        <w:rPr>
          <w:lang w:val="en-US"/>
        </w:rPr>
      </w:pPr>
    </w:p>
    <w:p w:rsidR="00047813" w:rsidRPr="00141CEF" w:rsidRDefault="00141CEF" w:rsidP="00141CEF">
      <w:pPr>
        <w:pStyle w:val="Heading3"/>
        <w:numPr>
          <w:ilvl w:val="0"/>
          <w:numId w:val="0"/>
        </w:numPr>
        <w:rPr>
          <w:rFonts w:ascii="Times New Roman" w:hAnsi="Times New Roman" w:cs="Times New Roman"/>
        </w:rPr>
      </w:pPr>
      <w:r w:rsidRPr="00141CEF">
        <w:rPr>
          <w:rFonts w:ascii="Times New Roman" w:hAnsi="Times New Roman" w:cs="Times New Roman"/>
        </w:rPr>
        <w:t>Infections</w:t>
      </w:r>
    </w:p>
    <w:p w:rsidR="00141CEF" w:rsidRDefault="00047813" w:rsidP="00141CEF">
      <w:pPr>
        <w:jc w:val="both"/>
      </w:pPr>
      <w:r>
        <w:t xml:space="preserve">In the </w:t>
      </w:r>
      <w:r w:rsidR="00073349">
        <w:t xml:space="preserve">6 month </w:t>
      </w:r>
      <w:r>
        <w:t xml:space="preserve">controlled </w:t>
      </w:r>
      <w:r w:rsidR="00A1400C">
        <w:t xml:space="preserve">clinical </w:t>
      </w:r>
      <w:r>
        <w:t xml:space="preserve">trials, the rate of all infections reported with </w:t>
      </w:r>
      <w:r w:rsidR="00C013D6">
        <w:t>ACTEMRA</w:t>
      </w:r>
      <w:r w:rsidR="00141CEF">
        <w:t xml:space="preserve"> 8 </w:t>
      </w:r>
      <w:r>
        <w:t>mg/kg</w:t>
      </w:r>
      <w:r w:rsidR="00141CEF">
        <w:t xml:space="preserve"> </w:t>
      </w:r>
      <w:r>
        <w:t>+</w:t>
      </w:r>
      <w:r w:rsidR="00141CEF">
        <w:t xml:space="preserve"> </w:t>
      </w:r>
      <w:r>
        <w:t xml:space="preserve">DMARD treatment was </w:t>
      </w:r>
      <w:r w:rsidR="001451BD">
        <w:t>127</w:t>
      </w:r>
      <w:r w:rsidR="00C013D6">
        <w:t xml:space="preserve"> </w:t>
      </w:r>
      <w:r w:rsidRPr="00D8758D">
        <w:t xml:space="preserve">events per 100 patient </w:t>
      </w:r>
      <w:r>
        <w:t>(pt)</w:t>
      </w:r>
      <w:r>
        <w:rPr>
          <w:rFonts w:eastAsia="MS Mincho" w:hint="eastAsia"/>
        </w:rPr>
        <w:t xml:space="preserve"> </w:t>
      </w:r>
      <w:r w:rsidRPr="00D8758D">
        <w:t xml:space="preserve">years </w:t>
      </w:r>
      <w:r w:rsidRPr="00D8758D">
        <w:lastRenderedPageBreak/>
        <w:t xml:space="preserve">compared to </w:t>
      </w:r>
      <w:r w:rsidR="001451BD">
        <w:t>112</w:t>
      </w:r>
      <w:r w:rsidR="001451BD" w:rsidRPr="00D8758D">
        <w:t xml:space="preserve"> </w:t>
      </w:r>
      <w:r w:rsidRPr="00D8758D">
        <w:t xml:space="preserve">events per 100 </w:t>
      </w:r>
      <w:r>
        <w:t>pt</w:t>
      </w:r>
      <w:r w:rsidRPr="00D8758D">
        <w:t xml:space="preserve"> years in the placebo</w:t>
      </w:r>
      <w:r w:rsidR="00141CEF">
        <w:t xml:space="preserve"> </w:t>
      </w:r>
      <w:r w:rsidRPr="00D8758D">
        <w:t>+</w:t>
      </w:r>
      <w:r w:rsidR="00141CEF">
        <w:t xml:space="preserve"> </w:t>
      </w:r>
      <w:r w:rsidRPr="00D8758D">
        <w:t>DMARD group</w:t>
      </w:r>
      <w:r>
        <w:t>.</w:t>
      </w:r>
      <w:r w:rsidR="00141CEF">
        <w:t xml:space="preserve"> </w:t>
      </w:r>
      <w:r w:rsidRPr="00D8758D">
        <w:t xml:space="preserve">In the </w:t>
      </w:r>
      <w:r w:rsidR="00073349" w:rsidRPr="00073349">
        <w:rPr>
          <w:i/>
        </w:rPr>
        <w:t>all exposure</w:t>
      </w:r>
      <w:r w:rsidR="00073349">
        <w:t xml:space="preserve"> population </w:t>
      </w:r>
      <w:r w:rsidRPr="00D8758D">
        <w:t xml:space="preserve">the </w:t>
      </w:r>
      <w:r w:rsidR="00073349">
        <w:t xml:space="preserve">overall </w:t>
      </w:r>
      <w:r w:rsidRPr="00D8758D">
        <w:t xml:space="preserve">rate of infections with </w:t>
      </w:r>
      <w:r w:rsidR="00C013D6">
        <w:t>ACTEMRA</w:t>
      </w:r>
      <w:r w:rsidRPr="00D8758D">
        <w:t xml:space="preserve"> was </w:t>
      </w:r>
      <w:r w:rsidR="00073349">
        <w:t>108</w:t>
      </w:r>
      <w:r w:rsidR="00073349" w:rsidRPr="00D8758D">
        <w:t xml:space="preserve"> </w:t>
      </w:r>
      <w:r w:rsidRPr="00D8758D">
        <w:t xml:space="preserve">events per 100 </w:t>
      </w:r>
      <w:r>
        <w:t>pt</w:t>
      </w:r>
      <w:r w:rsidRPr="00D8758D">
        <w:t xml:space="preserve"> years exposure.</w:t>
      </w:r>
    </w:p>
    <w:p w:rsidR="00C95B70" w:rsidRPr="00D8758D" w:rsidRDefault="00C95B70" w:rsidP="00141CEF">
      <w:pPr>
        <w:jc w:val="both"/>
      </w:pPr>
    </w:p>
    <w:p w:rsidR="00141CEF" w:rsidRDefault="00047813" w:rsidP="00141CEF">
      <w:pPr>
        <w:jc w:val="both"/>
      </w:pPr>
      <w:r>
        <w:t xml:space="preserve">In </w:t>
      </w:r>
      <w:r w:rsidR="00073349">
        <w:t xml:space="preserve">the 6 month </w:t>
      </w:r>
      <w:r>
        <w:t>controlled clinical trials</w:t>
      </w:r>
      <w:r w:rsidR="00073349">
        <w:t>, the</w:t>
      </w:r>
      <w:r>
        <w:t xml:space="preserve"> r</w:t>
      </w:r>
      <w:r w:rsidRPr="00D8758D">
        <w:t xml:space="preserve">ate of serious infections </w:t>
      </w:r>
      <w:r w:rsidR="00073349">
        <w:t xml:space="preserve">(bacterial, viral and fungal) </w:t>
      </w:r>
      <w:r w:rsidRPr="00D8758D">
        <w:t xml:space="preserve">with </w:t>
      </w:r>
      <w:r w:rsidR="00680192">
        <w:t>ACTEMRA</w:t>
      </w:r>
      <w:r w:rsidRPr="00D8758D">
        <w:t xml:space="preserve"> 8</w:t>
      </w:r>
      <w:r w:rsidR="00141CEF">
        <w:t xml:space="preserve"> </w:t>
      </w:r>
      <w:r w:rsidRPr="00D8758D">
        <w:t>mg/kg</w:t>
      </w:r>
      <w:r w:rsidR="00141CEF">
        <w:t xml:space="preserve"> </w:t>
      </w:r>
      <w:r w:rsidRPr="00D8758D">
        <w:t>+</w:t>
      </w:r>
      <w:r w:rsidR="00141CEF">
        <w:t xml:space="preserve"> </w:t>
      </w:r>
      <w:r w:rsidRPr="00D8758D">
        <w:t>DMARD was 5.</w:t>
      </w:r>
      <w:r w:rsidR="001451BD">
        <w:t>3</w:t>
      </w:r>
      <w:r>
        <w:t xml:space="preserve"> </w:t>
      </w:r>
      <w:r w:rsidRPr="00D8758D">
        <w:t xml:space="preserve">events per 100 </w:t>
      </w:r>
      <w:r>
        <w:t>pt</w:t>
      </w:r>
      <w:r w:rsidRPr="00D8758D">
        <w:t xml:space="preserve"> years exposure compared to 3.</w:t>
      </w:r>
      <w:r w:rsidR="001451BD">
        <w:rPr>
          <w:rFonts w:eastAsia="MS Mincho"/>
        </w:rPr>
        <w:t>9</w:t>
      </w:r>
      <w:r w:rsidRPr="00D8758D">
        <w:t xml:space="preserve"> events per 100 </w:t>
      </w:r>
      <w:r>
        <w:t>pt</w:t>
      </w:r>
      <w:r w:rsidRPr="00D8758D">
        <w:t xml:space="preserve"> years exposure in the placebo</w:t>
      </w:r>
      <w:r w:rsidR="00141CEF">
        <w:t xml:space="preserve"> </w:t>
      </w:r>
      <w:r w:rsidRPr="00D8758D">
        <w:t>+</w:t>
      </w:r>
      <w:r w:rsidR="00141CEF">
        <w:t xml:space="preserve"> </w:t>
      </w:r>
      <w:r w:rsidRPr="00D8758D">
        <w:t>DMARD group.</w:t>
      </w:r>
      <w:r w:rsidR="00141CEF">
        <w:t xml:space="preserve"> </w:t>
      </w:r>
      <w:r w:rsidRPr="00D8758D">
        <w:t xml:space="preserve">In the monotherapy study the rate of serious infections was </w:t>
      </w:r>
      <w:r w:rsidR="001451BD">
        <w:t>3.6</w:t>
      </w:r>
      <w:r>
        <w:t xml:space="preserve"> events</w:t>
      </w:r>
      <w:r w:rsidRPr="00D8758D">
        <w:t xml:space="preserve"> per 100 pt years of exposure in the </w:t>
      </w:r>
      <w:r w:rsidR="00680192">
        <w:t>ACTEMRA</w:t>
      </w:r>
      <w:r w:rsidRPr="00D8758D">
        <w:t xml:space="preserve"> group and 1.5</w:t>
      </w:r>
      <w:r>
        <w:t xml:space="preserve"> events</w:t>
      </w:r>
      <w:r w:rsidRPr="00D8758D">
        <w:t xml:space="preserve"> per 100 pt years of exposure in the MTX group.</w:t>
      </w:r>
    </w:p>
    <w:p w:rsidR="00047813" w:rsidRDefault="00047813" w:rsidP="00141CEF"/>
    <w:p w:rsidR="00047813" w:rsidRDefault="00047813" w:rsidP="00141CEF">
      <w:pPr>
        <w:jc w:val="both"/>
      </w:pPr>
      <w:r w:rsidRPr="00D8758D">
        <w:t>In the</w:t>
      </w:r>
      <w:r w:rsidR="00073349">
        <w:t xml:space="preserve"> </w:t>
      </w:r>
      <w:r w:rsidR="00073349" w:rsidRPr="00073349">
        <w:rPr>
          <w:i/>
        </w:rPr>
        <w:t>all exposure</w:t>
      </w:r>
      <w:r w:rsidR="00073349">
        <w:t xml:space="preserve"> population</w:t>
      </w:r>
      <w:r w:rsidRPr="00D8758D">
        <w:t xml:space="preserve"> </w:t>
      </w:r>
      <w:r w:rsidR="003710DA">
        <w:t xml:space="preserve">the </w:t>
      </w:r>
      <w:r w:rsidR="00073349">
        <w:t xml:space="preserve">overall </w:t>
      </w:r>
      <w:r w:rsidRPr="00D8758D">
        <w:t xml:space="preserve">rate of serious infections was </w:t>
      </w:r>
      <w:r w:rsidR="00073349">
        <w:t>4.7</w:t>
      </w:r>
      <w:r w:rsidR="001451BD" w:rsidRPr="00D8758D">
        <w:t xml:space="preserve"> </w:t>
      </w:r>
      <w:r w:rsidRPr="00D8758D">
        <w:t xml:space="preserve">events per 100 </w:t>
      </w:r>
      <w:r>
        <w:t>pt</w:t>
      </w:r>
      <w:r w:rsidRPr="00D8758D">
        <w:t xml:space="preserve"> years.</w:t>
      </w:r>
      <w:r w:rsidR="00141CEF">
        <w:t xml:space="preserve"> </w:t>
      </w:r>
      <w:r w:rsidRPr="005C56E8">
        <w:t>Reported serious infections</w:t>
      </w:r>
      <w:r w:rsidR="00715DFC">
        <w:t>, some with fatal outcome,</w:t>
      </w:r>
      <w:r w:rsidRPr="005C56E8">
        <w:t xml:space="preserve"> included pneumonia, cellulitis, herpes zoster, gastroenteritis, diverticulitis</w:t>
      </w:r>
      <w:r>
        <w:t>,</w:t>
      </w:r>
      <w:r w:rsidRPr="005C56E8">
        <w:t xml:space="preserve"> sepsis</w:t>
      </w:r>
      <w:r w:rsidR="00715DFC">
        <w:t xml:space="preserve"> and</w:t>
      </w:r>
      <w:r w:rsidR="00715DFC" w:rsidRPr="005C56E8">
        <w:t xml:space="preserve"> </w:t>
      </w:r>
      <w:r w:rsidRPr="005C56E8">
        <w:t>bacterial arthritis.</w:t>
      </w:r>
      <w:r w:rsidR="00141CEF">
        <w:t xml:space="preserve"> </w:t>
      </w:r>
      <w:r w:rsidR="003207F3">
        <w:t>C</w:t>
      </w:r>
      <w:r w:rsidRPr="005C56E8">
        <w:t>ases of opportunistic infections</w:t>
      </w:r>
      <w:r w:rsidR="003207F3">
        <w:t xml:space="preserve"> have also been reported</w:t>
      </w:r>
      <w:r w:rsidR="00141CEF">
        <w:t>.</w:t>
      </w:r>
    </w:p>
    <w:p w:rsidR="0002270A" w:rsidRDefault="0002270A" w:rsidP="00141CEF">
      <w:pPr>
        <w:jc w:val="both"/>
      </w:pPr>
    </w:p>
    <w:p w:rsidR="0002270A" w:rsidRPr="00505194" w:rsidRDefault="0002270A" w:rsidP="00505194">
      <w:pPr>
        <w:pStyle w:val="Heading3"/>
        <w:numPr>
          <w:ilvl w:val="0"/>
          <w:numId w:val="0"/>
        </w:numPr>
        <w:rPr>
          <w:rFonts w:ascii="Times New Roman" w:hAnsi="Times New Roman" w:cs="Times New Roman"/>
        </w:rPr>
      </w:pPr>
      <w:bookmarkStart w:id="18" w:name="OLE_LINK19"/>
      <w:bookmarkStart w:id="19" w:name="OLE_LINK20"/>
      <w:r w:rsidRPr="00505194">
        <w:rPr>
          <w:rFonts w:ascii="Times New Roman" w:hAnsi="Times New Roman" w:cs="Times New Roman"/>
        </w:rPr>
        <w:t>Gast</w:t>
      </w:r>
      <w:r w:rsidR="00505194" w:rsidRPr="00505194">
        <w:rPr>
          <w:rFonts w:ascii="Times New Roman" w:hAnsi="Times New Roman" w:cs="Times New Roman"/>
        </w:rPr>
        <w:t>rointestinal Perforation</w:t>
      </w:r>
    </w:p>
    <w:p w:rsidR="0002270A" w:rsidRDefault="0002270A" w:rsidP="0002270A">
      <w:pPr>
        <w:jc w:val="both"/>
      </w:pPr>
      <w:r>
        <w:t xml:space="preserve">During the </w:t>
      </w:r>
      <w:r w:rsidR="00505194">
        <w:t xml:space="preserve">6 </w:t>
      </w:r>
      <w:r>
        <w:t xml:space="preserve">month controlled clinical trials, </w:t>
      </w:r>
      <w:r w:rsidR="00073349">
        <w:t xml:space="preserve">the overall rate of </w:t>
      </w:r>
      <w:r>
        <w:t xml:space="preserve">gastrointestinal </w:t>
      </w:r>
      <w:r w:rsidR="00505194">
        <w:t xml:space="preserve">(GI) </w:t>
      </w:r>
      <w:r>
        <w:t xml:space="preserve">perforation </w:t>
      </w:r>
      <w:r w:rsidR="00073349">
        <w:t xml:space="preserve">was 0.26 events per 100 pt years </w:t>
      </w:r>
      <w:r>
        <w:t xml:space="preserve">with </w:t>
      </w:r>
      <w:r w:rsidR="00505194">
        <w:t>ACTEMRA</w:t>
      </w:r>
      <w:r>
        <w:t xml:space="preserve"> therapy. </w:t>
      </w:r>
      <w:r w:rsidR="00073349">
        <w:t xml:space="preserve">In the </w:t>
      </w:r>
      <w:r w:rsidR="00073349" w:rsidRPr="00147C1C">
        <w:rPr>
          <w:i/>
        </w:rPr>
        <w:t>all exposure</w:t>
      </w:r>
      <w:r w:rsidR="00073349">
        <w:t xml:space="preserve"> population the overall rate of gastrointestinal perforation was 0.28 events per 100 pt years.</w:t>
      </w:r>
      <w:r w:rsidR="00304184">
        <w:t xml:space="preserve"> </w:t>
      </w:r>
      <w:r>
        <w:t>Reports of gastrointestinal perforation were primarily reported as complications of diverticulitis including generali</w:t>
      </w:r>
      <w:r w:rsidR="00505194">
        <w:t>s</w:t>
      </w:r>
      <w:r>
        <w:t>ed purulent peritonitis, lower GI perforation, fistula</w:t>
      </w:r>
      <w:r w:rsidR="00AA34EC">
        <w:t>e</w:t>
      </w:r>
      <w:r>
        <w:t xml:space="preserve"> and abscess.</w:t>
      </w:r>
      <w:bookmarkEnd w:id="18"/>
      <w:bookmarkEnd w:id="19"/>
    </w:p>
    <w:p w:rsidR="00505194" w:rsidRDefault="00505194" w:rsidP="0002270A">
      <w:pPr>
        <w:jc w:val="both"/>
      </w:pPr>
    </w:p>
    <w:p w:rsidR="00047813" w:rsidRPr="007C429F" w:rsidRDefault="00047813" w:rsidP="007C429F">
      <w:pPr>
        <w:pStyle w:val="Heading3"/>
        <w:numPr>
          <w:ilvl w:val="0"/>
          <w:numId w:val="0"/>
        </w:numPr>
        <w:rPr>
          <w:rFonts w:ascii="Times New Roman" w:hAnsi="Times New Roman" w:cs="Times New Roman"/>
        </w:rPr>
      </w:pPr>
      <w:r w:rsidRPr="007C429F">
        <w:rPr>
          <w:rFonts w:ascii="Times New Roman" w:hAnsi="Times New Roman" w:cs="Times New Roman"/>
        </w:rPr>
        <w:t xml:space="preserve">Infusion </w:t>
      </w:r>
      <w:r w:rsidR="00680192">
        <w:rPr>
          <w:rFonts w:ascii="Times New Roman" w:hAnsi="Times New Roman" w:cs="Times New Roman"/>
        </w:rPr>
        <w:t>R</w:t>
      </w:r>
      <w:r w:rsidRPr="007C429F">
        <w:rPr>
          <w:rFonts w:ascii="Times New Roman" w:hAnsi="Times New Roman" w:cs="Times New Roman"/>
        </w:rPr>
        <w:t>eaction</w:t>
      </w:r>
      <w:r w:rsidR="007C429F">
        <w:rPr>
          <w:rFonts w:ascii="Times New Roman" w:hAnsi="Times New Roman" w:cs="Times New Roman"/>
        </w:rPr>
        <w:t>s</w:t>
      </w:r>
    </w:p>
    <w:p w:rsidR="00047813" w:rsidRDefault="00304184" w:rsidP="007C429F">
      <w:pPr>
        <w:jc w:val="both"/>
      </w:pPr>
      <w:r>
        <w:t>In the 6 month controlled trials</w:t>
      </w:r>
      <w:r w:rsidR="00A55A08">
        <w:t>,</w:t>
      </w:r>
      <w:r>
        <w:t xml:space="preserve"> a</w:t>
      </w:r>
      <w:r w:rsidR="00047813">
        <w:t xml:space="preserve">dverse events associated with infusion (selected events occurring during or within 24 </w:t>
      </w:r>
      <w:r w:rsidR="00047813">
        <w:rPr>
          <w:rFonts w:eastAsia="MS Mincho" w:hint="eastAsia"/>
        </w:rPr>
        <w:t>hours</w:t>
      </w:r>
      <w:r w:rsidR="00047813">
        <w:t xml:space="preserve"> of infusion) were reported by </w:t>
      </w:r>
      <w:r w:rsidR="00E72C45">
        <w:t>6.9</w:t>
      </w:r>
      <w:r w:rsidR="00047813">
        <w:t xml:space="preserve">% of patients in the </w:t>
      </w:r>
      <w:r w:rsidR="00BD31A7">
        <w:t>ACTEMRA</w:t>
      </w:r>
      <w:r w:rsidR="007C429F">
        <w:t xml:space="preserve"> 8 </w:t>
      </w:r>
      <w:r w:rsidR="00047813">
        <w:t>mg/kg</w:t>
      </w:r>
      <w:r w:rsidR="007C429F">
        <w:t xml:space="preserve"> </w:t>
      </w:r>
      <w:r w:rsidR="00047813">
        <w:t>+</w:t>
      </w:r>
      <w:r w:rsidR="007C429F">
        <w:t xml:space="preserve"> </w:t>
      </w:r>
      <w:r w:rsidR="00047813">
        <w:t xml:space="preserve">DMARD and </w:t>
      </w:r>
      <w:r w:rsidR="00E72C45">
        <w:t>5.1</w:t>
      </w:r>
      <w:r w:rsidR="00047813">
        <w:t>% of patients in the placebo</w:t>
      </w:r>
      <w:r w:rsidR="007C429F">
        <w:t xml:space="preserve"> </w:t>
      </w:r>
      <w:r w:rsidR="00047813">
        <w:t>+</w:t>
      </w:r>
      <w:r w:rsidR="007C429F">
        <w:t xml:space="preserve"> </w:t>
      </w:r>
      <w:r w:rsidR="00047813">
        <w:t>DMARD group.</w:t>
      </w:r>
      <w:r w:rsidR="007C429F">
        <w:t xml:space="preserve"> </w:t>
      </w:r>
      <w:r w:rsidR="00047813">
        <w:t>Events reported during the infusion were prima</w:t>
      </w:r>
      <w:r w:rsidR="007C429F">
        <w:t>rily episodes of hypertension. E</w:t>
      </w:r>
      <w:r w:rsidR="00047813">
        <w:t xml:space="preserve">vents reported within 24 hours of finishing an infusion were </w:t>
      </w:r>
      <w:r w:rsidR="00E72C45">
        <w:t xml:space="preserve">headache and </w:t>
      </w:r>
      <w:r w:rsidR="00047813">
        <w:t>skin reactions (rash, urticaria).</w:t>
      </w:r>
      <w:r w:rsidR="007C429F">
        <w:t xml:space="preserve"> </w:t>
      </w:r>
      <w:r w:rsidR="00047813" w:rsidRPr="004C7AA1">
        <w:t>These events were not treatment limiting.</w:t>
      </w:r>
    </w:p>
    <w:p w:rsidR="007C429F" w:rsidRDefault="007C429F" w:rsidP="007C429F">
      <w:pPr>
        <w:jc w:val="both"/>
      </w:pPr>
    </w:p>
    <w:p w:rsidR="00BD31A7" w:rsidRDefault="001029E2" w:rsidP="007C429F">
      <w:pPr>
        <w:jc w:val="both"/>
      </w:pPr>
      <w:bookmarkStart w:id="20" w:name="OLE_LINK3"/>
      <w:bookmarkStart w:id="21" w:name="OLE_LINK4"/>
      <w:r>
        <w:t xml:space="preserve">In the 6 month controlled </w:t>
      </w:r>
      <w:r w:rsidR="00A1400C">
        <w:t xml:space="preserve">clinical </w:t>
      </w:r>
      <w:r>
        <w:t xml:space="preserve">trials, the rate of anaphylactic reactions in those receiving the lower dose of 4 mg/kg was 3/744 (0.4%) and in the higher dose of 8 mg/kg was 3/1870 (0.2%). As anaphylactic reactions tend to occur early in the course of treatment, the overall rate of anaphylaxis </w:t>
      </w:r>
      <w:r w:rsidR="001720F1">
        <w:t>cumulatively in the long term extensions remained at 6/3778 or 0.2%.</w:t>
      </w:r>
    </w:p>
    <w:bookmarkEnd w:id="20"/>
    <w:bookmarkEnd w:id="21"/>
    <w:p w:rsidR="00BD31A7" w:rsidRDefault="00BD31A7" w:rsidP="007C429F">
      <w:pPr>
        <w:jc w:val="both"/>
      </w:pPr>
    </w:p>
    <w:p w:rsidR="00047813" w:rsidRDefault="00BD31A7" w:rsidP="007C429F">
      <w:pPr>
        <w:jc w:val="both"/>
      </w:pPr>
      <w:r>
        <w:t xml:space="preserve">Clinically significant </w:t>
      </w:r>
      <w:r w:rsidR="00047813">
        <w:t xml:space="preserve">hypersensitivity reactions associated with </w:t>
      </w:r>
      <w:r>
        <w:t>ACTEMRA</w:t>
      </w:r>
      <w:r w:rsidR="00047813">
        <w:t xml:space="preserve"> and requiring treatment discontinuation, were reported in a total of </w:t>
      </w:r>
      <w:r w:rsidR="00E72C45">
        <w:t xml:space="preserve">13 </w:t>
      </w:r>
      <w:r w:rsidR="00047813">
        <w:t xml:space="preserve">out of </w:t>
      </w:r>
      <w:r w:rsidR="00E72C45">
        <w:t xml:space="preserve">3778 </w:t>
      </w:r>
      <w:r w:rsidR="00047813">
        <w:t xml:space="preserve">patients (0.3%) treated with </w:t>
      </w:r>
      <w:r>
        <w:t>ACTEMRA</w:t>
      </w:r>
      <w:r w:rsidR="00047813">
        <w:t xml:space="preserve"> during the controlled and open label clinical trials.</w:t>
      </w:r>
      <w:r w:rsidR="007C429F">
        <w:t xml:space="preserve"> </w:t>
      </w:r>
      <w:r w:rsidR="00047813">
        <w:t xml:space="preserve"> These reactions were </w:t>
      </w:r>
      <w:r w:rsidR="00055E2C">
        <w:t xml:space="preserve">generally </w:t>
      </w:r>
      <w:r w:rsidR="00047813">
        <w:t xml:space="preserve">observed during the second to fifth infusions of </w:t>
      </w:r>
      <w:r>
        <w:t>ACTEMRA</w:t>
      </w:r>
      <w:r w:rsidR="00492D06">
        <w:rPr>
          <w:color w:val="FF0000"/>
        </w:rPr>
        <w:t>.</w:t>
      </w:r>
    </w:p>
    <w:p w:rsidR="007C429F" w:rsidRDefault="007C429F" w:rsidP="007C429F">
      <w:pPr>
        <w:jc w:val="both"/>
      </w:pPr>
    </w:p>
    <w:p w:rsidR="00047813" w:rsidRPr="00A27084" w:rsidRDefault="00047813" w:rsidP="00A27084">
      <w:pPr>
        <w:pStyle w:val="Heading3"/>
        <w:numPr>
          <w:ilvl w:val="0"/>
          <w:numId w:val="0"/>
        </w:numPr>
        <w:rPr>
          <w:rFonts w:ascii="Times New Roman" w:hAnsi="Times New Roman" w:cs="Times New Roman"/>
        </w:rPr>
      </w:pPr>
      <w:r w:rsidRPr="00A27084">
        <w:rPr>
          <w:rFonts w:ascii="Times New Roman" w:hAnsi="Times New Roman" w:cs="Times New Roman"/>
        </w:rPr>
        <w:t xml:space="preserve">Immunogenicity </w:t>
      </w:r>
    </w:p>
    <w:p w:rsidR="00047813" w:rsidRDefault="00047813" w:rsidP="00A27084">
      <w:pPr>
        <w:jc w:val="both"/>
      </w:pPr>
      <w:r>
        <w:rPr>
          <w:rFonts w:eastAsia="MS Mincho"/>
          <w:lang w:eastAsia="zh-CN"/>
        </w:rPr>
        <w:t xml:space="preserve">A total of </w:t>
      </w:r>
      <w:r w:rsidR="00900244">
        <w:rPr>
          <w:rFonts w:eastAsia="MS Mincho"/>
          <w:lang w:eastAsia="zh-CN"/>
        </w:rPr>
        <w:t xml:space="preserve">2876 </w:t>
      </w:r>
      <w:r>
        <w:rPr>
          <w:rFonts w:eastAsia="MS Mincho"/>
          <w:lang w:eastAsia="zh-CN"/>
        </w:rPr>
        <w:t>patients have been tested for anti-</w:t>
      </w:r>
      <w:r w:rsidR="0007465A">
        <w:rPr>
          <w:rFonts w:eastAsia="MS Mincho"/>
          <w:lang w:eastAsia="zh-CN"/>
        </w:rPr>
        <w:t>tocilizumab</w:t>
      </w:r>
      <w:r>
        <w:rPr>
          <w:rFonts w:eastAsia="MS Mincho"/>
          <w:lang w:eastAsia="zh-CN"/>
        </w:rPr>
        <w:t xml:space="preserve"> antibodies in the </w:t>
      </w:r>
      <w:r w:rsidR="00304184">
        <w:rPr>
          <w:rFonts w:eastAsia="MS Mincho"/>
          <w:lang w:eastAsia="zh-CN"/>
        </w:rPr>
        <w:t xml:space="preserve">6 month </w:t>
      </w:r>
      <w:r>
        <w:rPr>
          <w:rFonts w:eastAsia="MS Mincho"/>
          <w:lang w:eastAsia="zh-CN"/>
        </w:rPr>
        <w:t>controlled clinical trials.</w:t>
      </w:r>
      <w:r w:rsidR="00A27084">
        <w:rPr>
          <w:rFonts w:eastAsia="MS Mincho"/>
          <w:lang w:eastAsia="zh-CN"/>
        </w:rPr>
        <w:t xml:space="preserve"> </w:t>
      </w:r>
      <w:r w:rsidR="00A1400C">
        <w:rPr>
          <w:rFonts w:eastAsia="MS Mincho"/>
          <w:lang w:eastAsia="zh-CN"/>
        </w:rPr>
        <w:t>Forty six</w:t>
      </w:r>
      <w:r w:rsidRPr="009A45B6">
        <w:rPr>
          <w:rFonts w:eastAsia="MS Mincho"/>
          <w:lang w:eastAsia="zh-CN"/>
        </w:rPr>
        <w:t xml:space="preserve"> patients</w:t>
      </w:r>
      <w:r>
        <w:rPr>
          <w:rFonts w:eastAsia="MS Mincho"/>
          <w:lang w:eastAsia="zh-CN"/>
        </w:rPr>
        <w:t xml:space="preserve"> (1.</w:t>
      </w:r>
      <w:r w:rsidR="00900244">
        <w:rPr>
          <w:rFonts w:eastAsia="MS Mincho"/>
          <w:lang w:eastAsia="zh-CN"/>
        </w:rPr>
        <w:t>6</w:t>
      </w:r>
      <w:r>
        <w:rPr>
          <w:rFonts w:eastAsia="MS Mincho"/>
          <w:lang w:eastAsia="zh-CN"/>
        </w:rPr>
        <w:t>%)</w:t>
      </w:r>
      <w:r w:rsidRPr="009A45B6">
        <w:rPr>
          <w:rFonts w:eastAsia="MS Mincho"/>
          <w:lang w:eastAsia="zh-CN"/>
        </w:rPr>
        <w:t xml:space="preserve"> developed </w:t>
      </w:r>
      <w:r>
        <w:rPr>
          <w:rFonts w:eastAsia="MS Mincho"/>
          <w:lang w:eastAsia="zh-CN"/>
        </w:rPr>
        <w:t>positive anti-</w:t>
      </w:r>
      <w:r w:rsidR="0007465A">
        <w:rPr>
          <w:rFonts w:eastAsia="MS Mincho"/>
          <w:lang w:eastAsia="zh-CN"/>
        </w:rPr>
        <w:t>tocilizumab</w:t>
      </w:r>
      <w:r>
        <w:rPr>
          <w:rFonts w:eastAsia="MS Mincho"/>
          <w:lang w:eastAsia="zh-CN"/>
        </w:rPr>
        <w:t xml:space="preserve"> </w:t>
      </w:r>
      <w:r w:rsidRPr="009A45B6">
        <w:rPr>
          <w:rFonts w:eastAsia="MS Mincho"/>
          <w:lang w:eastAsia="zh-CN"/>
        </w:rPr>
        <w:t>antibodies</w:t>
      </w:r>
      <w:r>
        <w:rPr>
          <w:rFonts w:eastAsia="MS Mincho"/>
          <w:lang w:eastAsia="zh-CN"/>
        </w:rPr>
        <w:t xml:space="preserve"> of whom</w:t>
      </w:r>
      <w:r w:rsidRPr="00336A67">
        <w:t xml:space="preserve"> </w:t>
      </w:r>
      <w:r w:rsidR="00900244">
        <w:t>5 had an associated medically significant hypersensitivity reaction leading to withdrawal</w:t>
      </w:r>
      <w:r>
        <w:rPr>
          <w:rFonts w:eastAsia="MS Mincho"/>
          <w:lang w:eastAsia="zh-CN"/>
        </w:rPr>
        <w:t>.</w:t>
      </w:r>
      <w:r w:rsidR="00A27084">
        <w:rPr>
          <w:rFonts w:eastAsia="MS Mincho"/>
          <w:lang w:eastAsia="zh-CN"/>
        </w:rPr>
        <w:t xml:space="preserve"> </w:t>
      </w:r>
      <w:r w:rsidR="00304184">
        <w:rPr>
          <w:rFonts w:eastAsia="MS Mincho"/>
          <w:lang w:eastAsia="zh-CN"/>
        </w:rPr>
        <w:t>Thirty</w:t>
      </w:r>
      <w:r w:rsidR="00900244">
        <w:rPr>
          <w:rFonts w:eastAsia="MS Mincho"/>
          <w:lang w:eastAsia="zh-CN"/>
        </w:rPr>
        <w:t xml:space="preserve"> </w:t>
      </w:r>
      <w:r>
        <w:rPr>
          <w:rFonts w:eastAsia="MS Mincho"/>
          <w:lang w:eastAsia="zh-CN"/>
        </w:rPr>
        <w:t>patie</w:t>
      </w:r>
      <w:r w:rsidR="00AE0A19">
        <w:rPr>
          <w:rFonts w:eastAsia="MS Mincho"/>
          <w:lang w:eastAsia="zh-CN"/>
        </w:rPr>
        <w:t>nts (1</w:t>
      </w:r>
      <w:r w:rsidR="00900244">
        <w:rPr>
          <w:rFonts w:eastAsia="MS Mincho"/>
          <w:lang w:eastAsia="zh-CN"/>
        </w:rPr>
        <w:t>.1</w:t>
      </w:r>
      <w:r w:rsidR="00AE0A19">
        <w:rPr>
          <w:rFonts w:eastAsia="MS Mincho"/>
          <w:lang w:eastAsia="zh-CN"/>
        </w:rPr>
        <w:t>%) developed neutralis</w:t>
      </w:r>
      <w:r>
        <w:rPr>
          <w:rFonts w:eastAsia="MS Mincho"/>
          <w:lang w:eastAsia="zh-CN"/>
        </w:rPr>
        <w:t>ing antibodies</w:t>
      </w:r>
      <w:r w:rsidR="00900244">
        <w:t>.</w:t>
      </w:r>
    </w:p>
    <w:p w:rsidR="00007EAE" w:rsidRDefault="00007EAE" w:rsidP="00A27084">
      <w:pPr>
        <w:jc w:val="both"/>
      </w:pPr>
    </w:p>
    <w:p w:rsidR="004310EA" w:rsidRPr="00184317" w:rsidRDefault="004310EA" w:rsidP="004310EA">
      <w:pPr>
        <w:pStyle w:val="Heading3"/>
        <w:numPr>
          <w:ilvl w:val="0"/>
          <w:numId w:val="0"/>
        </w:numPr>
        <w:tabs>
          <w:tab w:val="left" w:pos="720"/>
        </w:tabs>
        <w:rPr>
          <w:rFonts w:ascii="Times New Roman" w:hAnsi="Times New Roman" w:cs="Times New Roman"/>
          <w:i/>
        </w:rPr>
      </w:pPr>
      <w:r w:rsidRPr="00184317">
        <w:rPr>
          <w:rFonts w:ascii="Times New Roman" w:hAnsi="Times New Roman" w:cs="Times New Roman"/>
          <w:i/>
        </w:rPr>
        <w:t>Early Rheumatoid Arthritis</w:t>
      </w:r>
    </w:p>
    <w:p w:rsidR="00D5545D" w:rsidRDefault="004310EA" w:rsidP="004310EA">
      <w:pPr>
        <w:pStyle w:val="TextTi12"/>
        <w:rPr>
          <w:lang w:val="en-GB"/>
        </w:rPr>
      </w:pPr>
      <w:r>
        <w:rPr>
          <w:lang w:val="en-GB"/>
        </w:rPr>
        <w:t xml:space="preserve">Study VI (WA19926) evaluated 1162 patients with early, moderate to severe RA who were naïve to treatment with both MTX and a biologic agent. The overall safety profile observed in the ACTEMRA treatment groups was consistent with the known safety profile of ACTEMRA (Table </w:t>
      </w:r>
      <w:r w:rsidR="00703465">
        <w:rPr>
          <w:lang w:val="en-GB"/>
        </w:rPr>
        <w:t>9</w:t>
      </w:r>
      <w:r>
        <w:rPr>
          <w:lang w:val="en-GB"/>
        </w:rPr>
        <w:t>).</w:t>
      </w:r>
    </w:p>
    <w:p w:rsidR="00D30670" w:rsidRDefault="00D30670" w:rsidP="00D30670">
      <w:pPr>
        <w:pStyle w:val="TextTi12"/>
        <w:rPr>
          <w:lang w:val="en-US"/>
        </w:rPr>
      </w:pPr>
      <w:r>
        <w:rPr>
          <w:rFonts w:eastAsia="Calibri"/>
          <w:szCs w:val="22"/>
          <w:lang w:val="en-US" w:eastAsia="en-US"/>
        </w:rPr>
        <w:t xml:space="preserve">The overall rate of serious adverse events (SAEs) per 100 patient years (PY) was numerically higher for the ACTEMRA arms (13.2 SAEs per 100 PY) than the </w:t>
      </w:r>
      <w:r w:rsidR="00703465">
        <w:rPr>
          <w:rFonts w:eastAsia="Calibri"/>
          <w:szCs w:val="22"/>
          <w:lang w:val="en-US" w:eastAsia="en-US"/>
        </w:rPr>
        <w:t>p</w:t>
      </w:r>
      <w:r>
        <w:rPr>
          <w:rFonts w:eastAsia="Calibri"/>
          <w:szCs w:val="22"/>
          <w:lang w:val="en-US" w:eastAsia="en-US"/>
        </w:rPr>
        <w:t>lacebo + MTX arm (10.6 SAEs per 100 PY).  These were reported under ‘Infections and Infestations’, ‘Neoplasms Benign, Malignant and Unspecified’, ‘Respiratory, Thoracic and Mediastinal Disorders’ and ‘Injury, Poisoning and Procedural Complications</w:t>
      </w:r>
      <w:r w:rsidR="008976AA">
        <w:rPr>
          <w:rFonts w:eastAsia="Calibri"/>
          <w:szCs w:val="22"/>
          <w:lang w:val="en-US" w:eastAsia="en-US"/>
        </w:rPr>
        <w:t>’</w:t>
      </w:r>
      <w:r>
        <w:rPr>
          <w:rFonts w:eastAsia="Calibri"/>
          <w:szCs w:val="22"/>
          <w:lang w:val="en-US" w:eastAsia="en-US"/>
        </w:rPr>
        <w:t>.</w:t>
      </w:r>
      <w:r>
        <w:rPr>
          <w:lang w:val="en-US"/>
        </w:rPr>
        <w:t xml:space="preserve">  </w:t>
      </w:r>
    </w:p>
    <w:p w:rsidR="00D30670" w:rsidRPr="009874D6" w:rsidRDefault="00D30670" w:rsidP="00D30670">
      <w:pPr>
        <w:pStyle w:val="TextTi12"/>
        <w:rPr>
          <w:rFonts w:ascii="Minion" w:eastAsia="Calibri" w:hAnsi="Minion"/>
          <w:sz w:val="22"/>
          <w:szCs w:val="22"/>
          <w:lang w:val="en-US" w:eastAsia="en-US"/>
        </w:rPr>
      </w:pPr>
      <w:r>
        <w:rPr>
          <w:lang w:val="en-US"/>
        </w:rPr>
        <w:t xml:space="preserve">The rate of discontinuation due to an adverse event was </w:t>
      </w:r>
      <w:r w:rsidR="008976AA">
        <w:rPr>
          <w:lang w:val="en-US"/>
        </w:rPr>
        <w:t>approximately</w:t>
      </w:r>
      <w:r>
        <w:rPr>
          <w:lang w:val="en-US"/>
        </w:rPr>
        <w:t xml:space="preserve"> twice as high in the ACTEMRA arms</w:t>
      </w:r>
      <w:r w:rsidR="008976AA">
        <w:rPr>
          <w:lang w:val="en-US"/>
        </w:rPr>
        <w:t>,</w:t>
      </w:r>
      <w:r>
        <w:rPr>
          <w:lang w:val="en-US"/>
        </w:rPr>
        <w:t xml:space="preserve"> as in the placebo + MTX arm </w:t>
      </w:r>
      <w:r w:rsidR="008976AA">
        <w:rPr>
          <w:lang w:val="en-US"/>
        </w:rPr>
        <w:t>(</w:t>
      </w:r>
      <w:r>
        <w:rPr>
          <w:lang w:val="en-US"/>
        </w:rPr>
        <w:t>16.1 and 8.2 events per 100 PY respectively</w:t>
      </w:r>
      <w:r w:rsidR="008976AA">
        <w:rPr>
          <w:lang w:val="en-US"/>
        </w:rPr>
        <w:t>)</w:t>
      </w:r>
      <w:r>
        <w:rPr>
          <w:lang w:val="en-US"/>
        </w:rPr>
        <w:t xml:space="preserve">. In all </w:t>
      </w:r>
      <w:r w:rsidR="008976AA">
        <w:rPr>
          <w:lang w:val="en-US"/>
        </w:rPr>
        <w:t>3</w:t>
      </w:r>
      <w:r>
        <w:rPr>
          <w:lang w:val="en-US"/>
        </w:rPr>
        <w:t xml:space="preserve"> ACTEMRA treatment arms</w:t>
      </w:r>
      <w:r w:rsidR="008976AA">
        <w:rPr>
          <w:lang w:val="en-US"/>
        </w:rPr>
        <w:t>,</w:t>
      </w:r>
      <w:r>
        <w:rPr>
          <w:lang w:val="en-US"/>
        </w:rPr>
        <w:t xml:space="preserve"> the most common reason for treatment discon</w:t>
      </w:r>
      <w:r w:rsidR="0064413E">
        <w:rPr>
          <w:lang w:val="en-US"/>
        </w:rPr>
        <w:t xml:space="preserve">tinuation was attributed to </w:t>
      </w:r>
      <w:r>
        <w:rPr>
          <w:lang w:val="en-US"/>
        </w:rPr>
        <w:t xml:space="preserve">‘Investigations’ </w:t>
      </w:r>
      <w:r w:rsidR="0064413E">
        <w:rPr>
          <w:lang w:val="en-US"/>
        </w:rPr>
        <w:t>events</w:t>
      </w:r>
      <w:r>
        <w:rPr>
          <w:lang w:val="en-US"/>
        </w:rPr>
        <w:t xml:space="preserve">, in particular events related to liver enzyme elevations.  </w:t>
      </w:r>
      <w:r w:rsidRPr="00DD3FD8">
        <w:rPr>
          <w:lang w:val="en-US"/>
        </w:rPr>
        <w:t xml:space="preserve">In the study there were </w:t>
      </w:r>
      <w:r>
        <w:rPr>
          <w:lang w:val="en-US"/>
        </w:rPr>
        <w:t>14 patient deaths reported, 12</w:t>
      </w:r>
      <w:r w:rsidRPr="00DD3FD8">
        <w:rPr>
          <w:lang w:val="en-US"/>
        </w:rPr>
        <w:t xml:space="preserve"> in </w:t>
      </w:r>
      <w:r w:rsidR="008976AA">
        <w:rPr>
          <w:lang w:val="en-US"/>
        </w:rPr>
        <w:t>ACTEMRA</w:t>
      </w:r>
      <w:r w:rsidRPr="00DD3FD8">
        <w:rPr>
          <w:lang w:val="en-US"/>
        </w:rPr>
        <w:t xml:space="preserve">-treated patients </w:t>
      </w:r>
      <w:r>
        <w:rPr>
          <w:lang w:val="en-US"/>
        </w:rPr>
        <w:t xml:space="preserve">and </w:t>
      </w:r>
      <w:r w:rsidR="008976AA">
        <w:rPr>
          <w:lang w:val="en-US"/>
        </w:rPr>
        <w:t>2</w:t>
      </w:r>
      <w:r>
        <w:rPr>
          <w:lang w:val="en-US"/>
        </w:rPr>
        <w:t xml:space="preserve"> in </w:t>
      </w:r>
      <w:r w:rsidRPr="00DD3FD8">
        <w:rPr>
          <w:lang w:val="en-US"/>
        </w:rPr>
        <w:t>Placebo</w:t>
      </w:r>
      <w:r w:rsidR="008976AA">
        <w:rPr>
          <w:lang w:val="en-US"/>
        </w:rPr>
        <w:t xml:space="preserve"> </w:t>
      </w:r>
      <w:r w:rsidRPr="00DD3FD8">
        <w:rPr>
          <w:lang w:val="en-US"/>
        </w:rPr>
        <w:t>+</w:t>
      </w:r>
      <w:r w:rsidR="008976AA">
        <w:rPr>
          <w:lang w:val="en-US"/>
        </w:rPr>
        <w:t xml:space="preserve"> </w:t>
      </w:r>
      <w:r w:rsidRPr="00DD3FD8">
        <w:rPr>
          <w:lang w:val="en-US"/>
        </w:rPr>
        <w:t>MTX-treated patients</w:t>
      </w:r>
      <w:r w:rsidR="008976AA">
        <w:rPr>
          <w:lang w:val="en-US"/>
        </w:rPr>
        <w:t>.</w:t>
      </w:r>
    </w:p>
    <w:p w:rsidR="000640B5" w:rsidRPr="00B4324B" w:rsidRDefault="000640B5" w:rsidP="000640B5">
      <w:pPr>
        <w:pStyle w:val="Heading3"/>
        <w:numPr>
          <w:ilvl w:val="0"/>
          <w:numId w:val="0"/>
        </w:numPr>
        <w:rPr>
          <w:rFonts w:ascii="Times New Roman" w:hAnsi="Times New Roman" w:cs="Times New Roman"/>
          <w:i/>
        </w:rPr>
      </w:pPr>
      <w:r w:rsidRPr="00B4324B">
        <w:rPr>
          <w:rFonts w:ascii="Times New Roman" w:hAnsi="Times New Roman" w:cs="Times New Roman"/>
          <w:i/>
        </w:rPr>
        <w:t>Monotherapy: ACTEMRA vs adalimumab</w:t>
      </w:r>
    </w:p>
    <w:p w:rsidR="0012563F" w:rsidRDefault="000640B5" w:rsidP="0012563F">
      <w:pPr>
        <w:jc w:val="both"/>
      </w:pPr>
      <w:r w:rsidRPr="000640B5">
        <w:t xml:space="preserve">In a 24 week double-blinded, parallel study (monotherapy with </w:t>
      </w:r>
      <w:r>
        <w:t>ACTEMRA</w:t>
      </w:r>
      <w:r w:rsidRPr="000640B5">
        <w:t xml:space="preserve"> 8 mg/kg IV q4w (</w:t>
      </w:r>
      <w:r>
        <w:t>n</w:t>
      </w:r>
      <w:r w:rsidRPr="000640B5">
        <w:t>=162) compared to adalimumab 40 mg SC q2w (</w:t>
      </w:r>
      <w:r>
        <w:t>n</w:t>
      </w:r>
      <w:r w:rsidRPr="000640B5">
        <w:t xml:space="preserve">=162)), the overall clinical adverse event profile was similar between </w:t>
      </w:r>
      <w:r>
        <w:t>ACTEMRA</w:t>
      </w:r>
      <w:r w:rsidRPr="000640B5">
        <w:t xml:space="preserve"> and adalimumab. The proportion of patients with serious adverse events was balanced between the treatment groups (</w:t>
      </w:r>
      <w:r>
        <w:t>ACTEMRA</w:t>
      </w:r>
      <w:r w:rsidRPr="000640B5">
        <w:t xml:space="preserve"> 11.7% vs. adalimumab 9.9%) with the most common even</w:t>
      </w:r>
      <w:r>
        <w:t>t being infections (3.1% each).</w:t>
      </w:r>
      <w:r w:rsidR="00C01846">
        <w:t xml:space="preserve"> </w:t>
      </w:r>
      <w:r w:rsidR="00C04F60" w:rsidRPr="00C04F60">
        <w:t>There was a sudden death in the ACTEMRA arm of a patient who died 10 days after the last dose. The cause of death was unknown. The patient had a history of peripheral vascular disease, hypertension, smoking and interstitial lung disease.</w:t>
      </w:r>
      <w:r w:rsidR="00C04F60">
        <w:t xml:space="preserve"> </w:t>
      </w:r>
      <w:r w:rsidRPr="000640B5">
        <w:t xml:space="preserve">Both study treatments induced the same pattern of changes in laboratory safety parameters (decreases in neutrophil and platelet counts, increases in ALT, AST and lipids), however, the magnitude of change and the frequency of marked abnormalities was higher with </w:t>
      </w:r>
      <w:r>
        <w:t>ACTEMRA compared with adalimumab.</w:t>
      </w:r>
      <w:r w:rsidRPr="000640B5">
        <w:t xml:space="preserve"> Four (2.5%) patients in the </w:t>
      </w:r>
      <w:r>
        <w:t>ACTEMRA</w:t>
      </w:r>
      <w:r w:rsidRPr="000640B5">
        <w:t xml:space="preserve"> arm and two (1.2%) patients in the adalimumab arm experienced CTC grade 3 o</w:t>
      </w:r>
      <w:r>
        <w:t>r 4 neutrophil count decreases.</w:t>
      </w:r>
      <w:r w:rsidRPr="000640B5">
        <w:t xml:space="preserve"> Eleven (6.8%) patients in the </w:t>
      </w:r>
      <w:r>
        <w:t>ACTEMRA</w:t>
      </w:r>
      <w:r w:rsidRPr="000640B5">
        <w:t xml:space="preserve"> arm and </w:t>
      </w:r>
      <w:r>
        <w:t>5</w:t>
      </w:r>
      <w:r w:rsidRPr="000640B5">
        <w:t xml:space="preserve"> (3.1%) patients in the adalimumab arm experienced ALT incr</w:t>
      </w:r>
      <w:r>
        <w:t>eases of CTC grade 2 or higher.</w:t>
      </w:r>
      <w:r w:rsidRPr="000640B5">
        <w:t xml:space="preserve"> </w:t>
      </w:r>
      <w:r w:rsidR="003831F6">
        <w:t>For patients not receiving lipid lowering agents t</w:t>
      </w:r>
      <w:r w:rsidRPr="000640B5">
        <w:t xml:space="preserve">he mean </w:t>
      </w:r>
      <w:r w:rsidR="0012563F">
        <w:t xml:space="preserve">increase in </w:t>
      </w:r>
      <w:r w:rsidRPr="000640B5">
        <w:t xml:space="preserve">LDL </w:t>
      </w:r>
      <w:r w:rsidR="006305F8">
        <w:t>from baseline</w:t>
      </w:r>
      <w:r w:rsidR="0012563F">
        <w:t xml:space="preserve"> to week 24</w:t>
      </w:r>
      <w:r w:rsidR="006305F8">
        <w:t xml:space="preserve"> </w:t>
      </w:r>
      <w:r w:rsidR="006305F8">
        <w:lastRenderedPageBreak/>
        <w:t>was 0.64 mmol/L (25 mg/dL</w:t>
      </w:r>
      <w:r w:rsidRPr="000640B5">
        <w:t xml:space="preserve">) for patients in the </w:t>
      </w:r>
      <w:r>
        <w:t>ACTEMRA</w:t>
      </w:r>
      <w:r w:rsidR="006305F8">
        <w:t xml:space="preserve"> arm and 0.19 mmol/L</w:t>
      </w:r>
      <w:r w:rsidR="0012563F">
        <w:t xml:space="preserve"> (7 </w:t>
      </w:r>
      <w:r w:rsidR="006305F8">
        <w:t>mg/dL</w:t>
      </w:r>
      <w:r w:rsidRPr="000640B5">
        <w:t xml:space="preserve">) for </w:t>
      </w:r>
      <w:r>
        <w:t>patients in the adalimumab arm.</w:t>
      </w:r>
      <w:r w:rsidRPr="000640B5">
        <w:t xml:space="preserve"> The safety observed in the </w:t>
      </w:r>
      <w:r>
        <w:t>ACTEMRA</w:t>
      </w:r>
      <w:r w:rsidRPr="000640B5">
        <w:t xml:space="preserve"> arm was consistent with the known safety profile of </w:t>
      </w:r>
      <w:r>
        <w:t>ACTEMRA</w:t>
      </w:r>
      <w:r w:rsidRPr="000640B5">
        <w:t xml:space="preserve"> and no new or unexpected adverse drug reactions were observed.</w:t>
      </w:r>
    </w:p>
    <w:p w:rsidR="000640B5" w:rsidRDefault="000640B5" w:rsidP="00A27084">
      <w:pPr>
        <w:jc w:val="both"/>
      </w:pPr>
    </w:p>
    <w:p w:rsidR="005A37DE" w:rsidRPr="00492C31" w:rsidRDefault="005A37DE" w:rsidP="005A37DE">
      <w:pPr>
        <w:jc w:val="both"/>
        <w:rPr>
          <w:b/>
          <w:i/>
        </w:rPr>
      </w:pPr>
      <w:r>
        <w:rPr>
          <w:b/>
          <w:i/>
        </w:rPr>
        <w:t>Polyarticular</w:t>
      </w:r>
      <w:r w:rsidRPr="00492C31">
        <w:rPr>
          <w:b/>
          <w:i/>
        </w:rPr>
        <w:t xml:space="preserve"> Juvenile Idiopathic Arthritis</w:t>
      </w:r>
    </w:p>
    <w:p w:rsidR="0066580D" w:rsidRDefault="005A37DE" w:rsidP="0066580D">
      <w:pPr>
        <w:jc w:val="both"/>
      </w:pPr>
      <w:r>
        <w:t>The safety of ACTEMRA was studied in 188 paediatric patients, 2 to 17 years of age, with pJIA</w:t>
      </w:r>
      <w:r w:rsidR="0083322A">
        <w:t xml:space="preserve"> who had an inadequate clinical response or were intolerant to MTX</w:t>
      </w:r>
      <w:r>
        <w:t>. The total patient exposure in the ACTEMRA all exposure population was 184.4 pt years. In general, with the exception of MAS, the types of adverse drug reactions (ADRs) in patients with pJIA were similar to those seen in RA and sJIA patients.</w:t>
      </w:r>
      <w:r w:rsidR="0066580D">
        <w:t xml:space="preserve"> </w:t>
      </w:r>
    </w:p>
    <w:p w:rsidR="0066580D" w:rsidRDefault="0066580D" w:rsidP="0066580D">
      <w:pPr>
        <w:jc w:val="both"/>
      </w:pPr>
    </w:p>
    <w:p w:rsidR="005A37DE" w:rsidRDefault="0066580D" w:rsidP="0066580D">
      <w:pPr>
        <w:jc w:val="both"/>
      </w:pPr>
      <w:r>
        <w:t>The overall safety profile remained unchanged through Week 104 of the study, and was consistent with the safety experience at Week 40. The majority of AEs reported were mild or moderate in intensity, reversible and not treatment-limiting.</w:t>
      </w:r>
    </w:p>
    <w:p w:rsidR="005A37DE" w:rsidRDefault="005A37DE" w:rsidP="005A37DE">
      <w:pPr>
        <w:jc w:val="both"/>
      </w:pPr>
    </w:p>
    <w:p w:rsidR="005A37DE" w:rsidRDefault="005A37DE" w:rsidP="005A37DE">
      <w:pPr>
        <w:pStyle w:val="Heading3"/>
        <w:numPr>
          <w:ilvl w:val="0"/>
          <w:numId w:val="0"/>
        </w:numPr>
        <w:jc w:val="both"/>
        <w:rPr>
          <w:rFonts w:ascii="Times New Roman" w:hAnsi="Times New Roman" w:cs="Times New Roman"/>
        </w:rPr>
      </w:pPr>
      <w:r w:rsidRPr="006D4525">
        <w:rPr>
          <w:rFonts w:ascii="Times New Roman" w:hAnsi="Times New Roman" w:cs="Times New Roman"/>
        </w:rPr>
        <w:t>Infections</w:t>
      </w:r>
    </w:p>
    <w:p w:rsidR="005A37DE" w:rsidRDefault="005A37DE" w:rsidP="00705E3F">
      <w:pPr>
        <w:jc w:val="both"/>
      </w:pPr>
      <w:r>
        <w:t xml:space="preserve">The rate of infections in the ACTEMRA all exposure population was 163.7 per 100 pt years. The most common events observed were nasopharyngitis and upper respiratory tract infections. The rate of serious infections was 4.9 per 100 pt years. </w:t>
      </w:r>
      <w:r w:rsidR="00705E3F">
        <w:t>The rate of serious infections was numerically higher in patients weighing &lt; 30 kg treated with 10 mg/kg ACTEMRA (12.2 per 100 pt years) compared to patients weighing ≥ 30 kg, treated with 8 mg/kg ACTEMRA (4.0 per 100 pt years). The incidence of infections leading to dose interruptions was also numerically higher in patients weighing &lt; 30 kg treated with 10 mg/kg ACTEMRA (21%) compared to patients weighing ≥ 30 kg, treated with 8 mg/kg ACTEMRA (8%).</w:t>
      </w:r>
    </w:p>
    <w:p w:rsidR="005A37DE" w:rsidRDefault="005A37DE" w:rsidP="005A37DE">
      <w:pPr>
        <w:pStyle w:val="Heading3"/>
        <w:numPr>
          <w:ilvl w:val="0"/>
          <w:numId w:val="0"/>
        </w:numPr>
        <w:jc w:val="both"/>
        <w:rPr>
          <w:rFonts w:ascii="Times New Roman" w:hAnsi="Times New Roman" w:cs="Times New Roman"/>
        </w:rPr>
      </w:pPr>
      <w:r w:rsidRPr="006D4525">
        <w:rPr>
          <w:rFonts w:ascii="Times New Roman" w:hAnsi="Times New Roman" w:cs="Times New Roman"/>
        </w:rPr>
        <w:t>Inf</w:t>
      </w:r>
      <w:r>
        <w:rPr>
          <w:rFonts w:ascii="Times New Roman" w:hAnsi="Times New Roman" w:cs="Times New Roman"/>
        </w:rPr>
        <w:t>usion Reactions</w:t>
      </w:r>
    </w:p>
    <w:p w:rsidR="005A37DE" w:rsidRDefault="005A37DE" w:rsidP="005A37DE">
      <w:pPr>
        <w:jc w:val="both"/>
      </w:pPr>
      <w:r>
        <w:t>In pJIA patients, infusion related reactions are defined as all events occurring during or within 24 hours of an infusion. In the ACTEMRA all exposure population, 11 patients (5.9%) experienced infusion reactions during the infusion, and 38 patients (20.2%) experienced an event within 24 hours of an infusion. The most common events occurring during infusion were headache, nausea and hypotension and within 24 hours of infusion were dizziness and hypotension. In general, the ADRs observed during or within 24 hours of an infusion were similar in nature to those seen in RA and sJIA patients.</w:t>
      </w:r>
    </w:p>
    <w:p w:rsidR="005A37DE" w:rsidRDefault="005A37DE" w:rsidP="005A37DE">
      <w:pPr>
        <w:jc w:val="both"/>
      </w:pPr>
    </w:p>
    <w:p w:rsidR="005A37DE" w:rsidRDefault="005A37DE" w:rsidP="005A37DE">
      <w:pPr>
        <w:jc w:val="both"/>
      </w:pPr>
      <w:r>
        <w:t>No clinically significant hypersensitivity reactions were reported.</w:t>
      </w:r>
    </w:p>
    <w:p w:rsidR="005A37DE" w:rsidRDefault="005A37DE" w:rsidP="005A37DE">
      <w:pPr>
        <w:jc w:val="both"/>
      </w:pPr>
    </w:p>
    <w:p w:rsidR="005A37DE" w:rsidRDefault="005A37DE" w:rsidP="005A37DE">
      <w:pPr>
        <w:pStyle w:val="Heading3"/>
        <w:numPr>
          <w:ilvl w:val="0"/>
          <w:numId w:val="0"/>
        </w:numPr>
        <w:jc w:val="both"/>
        <w:rPr>
          <w:rFonts w:ascii="Times New Roman" w:hAnsi="Times New Roman" w:cs="Times New Roman"/>
        </w:rPr>
      </w:pPr>
      <w:r w:rsidRPr="006D4525">
        <w:rPr>
          <w:rFonts w:ascii="Times New Roman" w:hAnsi="Times New Roman" w:cs="Times New Roman"/>
        </w:rPr>
        <w:t>I</w:t>
      </w:r>
      <w:r>
        <w:rPr>
          <w:rFonts w:ascii="Times New Roman" w:hAnsi="Times New Roman" w:cs="Times New Roman"/>
        </w:rPr>
        <w:t>mmunogenicity</w:t>
      </w:r>
    </w:p>
    <w:p w:rsidR="005A37DE" w:rsidRDefault="005A37DE" w:rsidP="005A37DE">
      <w:pPr>
        <w:jc w:val="both"/>
      </w:pPr>
      <w:r>
        <w:t>One patient in the 10 mg/kg &lt; 30 kg group developed positive anti-tocilizumab antibodies without developing a hypersensitivity reaction and subsequently withdrew from the study.</w:t>
      </w:r>
    </w:p>
    <w:p w:rsidR="005A37DE" w:rsidRDefault="005A37DE" w:rsidP="00A27084">
      <w:pPr>
        <w:jc w:val="both"/>
      </w:pPr>
    </w:p>
    <w:p w:rsidR="00007EAE" w:rsidRPr="00492C31" w:rsidRDefault="00CA5641" w:rsidP="00007EAE">
      <w:pPr>
        <w:jc w:val="both"/>
        <w:rPr>
          <w:b/>
          <w:i/>
        </w:rPr>
      </w:pPr>
      <w:r>
        <w:rPr>
          <w:b/>
          <w:i/>
        </w:rPr>
        <w:br w:type="page"/>
      </w:r>
      <w:r w:rsidR="00007EAE" w:rsidRPr="00492C31">
        <w:rPr>
          <w:b/>
          <w:i/>
        </w:rPr>
        <w:lastRenderedPageBreak/>
        <w:t>Systemic Juvenile Idiopathic Arthritis</w:t>
      </w:r>
    </w:p>
    <w:p w:rsidR="00007EAE" w:rsidRDefault="00007EAE" w:rsidP="00007EAE">
      <w:pPr>
        <w:jc w:val="both"/>
      </w:pPr>
      <w:r w:rsidRPr="0039620F">
        <w:t xml:space="preserve">The safety of </w:t>
      </w:r>
      <w:r>
        <w:t>ACTEMRA</w:t>
      </w:r>
      <w:r w:rsidRPr="0039620F">
        <w:t xml:space="preserve"> in sJIA has been studied in 112 </w:t>
      </w:r>
      <w:r w:rsidR="00E361B0" w:rsidRPr="0039620F">
        <w:t>paediatric</w:t>
      </w:r>
      <w:r>
        <w:t xml:space="preserve"> patients 2 to 17 years of age.</w:t>
      </w:r>
      <w:r w:rsidRPr="0039620F">
        <w:t xml:space="preserve"> In the 12 week double-blind, controlled portion of the clinical trial 75 patients received treatment with </w:t>
      </w:r>
      <w:r>
        <w:t xml:space="preserve">ACTEMRA </w:t>
      </w:r>
      <w:r w:rsidRPr="0039620F">
        <w:t xml:space="preserve">(8 or </w:t>
      </w:r>
      <w:r>
        <w:t xml:space="preserve">12 mg/kg based upon body weight. </w:t>
      </w:r>
      <w:r w:rsidRPr="0039620F">
        <w:t>After 12 weeks or at the time of escape, due to disease worsening, patients were treated in the on-going open-label extension phase.</w:t>
      </w:r>
    </w:p>
    <w:p w:rsidR="00007EAE" w:rsidRPr="0039620F" w:rsidRDefault="00007EAE" w:rsidP="00007EAE">
      <w:pPr>
        <w:jc w:val="both"/>
      </w:pPr>
    </w:p>
    <w:p w:rsidR="00007EAE" w:rsidRDefault="00007EAE" w:rsidP="00007EAE">
      <w:pPr>
        <w:jc w:val="both"/>
      </w:pPr>
      <w:r w:rsidRPr="0039620F">
        <w:t xml:space="preserve">In general, the </w:t>
      </w:r>
      <w:r w:rsidR="00BD6B54">
        <w:t>ADRs</w:t>
      </w:r>
      <w:r w:rsidRPr="0039620F">
        <w:t xml:space="preserve"> in patients with sJIA were similar in type to those seen in RA</w:t>
      </w:r>
      <w:r w:rsidR="00BD6B54">
        <w:t xml:space="preserve"> and pJIA</w:t>
      </w:r>
      <w:r w:rsidRPr="0039620F">
        <w:t xml:space="preserve"> patients (see </w:t>
      </w:r>
      <w:r>
        <w:t>ADVERSE EFFECTS – Rheumatoid Arthritis</w:t>
      </w:r>
      <w:r w:rsidRPr="0039620F">
        <w:t>).</w:t>
      </w:r>
    </w:p>
    <w:p w:rsidR="00007EAE" w:rsidRPr="006D4525" w:rsidRDefault="00007EAE" w:rsidP="00007EAE">
      <w:pPr>
        <w:jc w:val="both"/>
      </w:pPr>
    </w:p>
    <w:p w:rsidR="00007EAE" w:rsidRDefault="00007EAE" w:rsidP="00007EAE">
      <w:pPr>
        <w:pStyle w:val="Heading3"/>
        <w:numPr>
          <w:ilvl w:val="0"/>
          <w:numId w:val="0"/>
        </w:numPr>
        <w:jc w:val="both"/>
        <w:rPr>
          <w:rFonts w:ascii="Times New Roman" w:hAnsi="Times New Roman" w:cs="Times New Roman"/>
        </w:rPr>
      </w:pPr>
      <w:r w:rsidRPr="006D4525">
        <w:rPr>
          <w:rFonts w:ascii="Times New Roman" w:hAnsi="Times New Roman" w:cs="Times New Roman"/>
        </w:rPr>
        <w:t>Infections</w:t>
      </w:r>
    </w:p>
    <w:p w:rsidR="00007EAE" w:rsidRDefault="00007EAE" w:rsidP="00007EAE">
      <w:pPr>
        <w:jc w:val="both"/>
      </w:pPr>
      <w:r>
        <w:t>In the 12 week controlled trial the rate of all infections in the ACTEMRA group was 344.7 per 100 patient years and 287.0 per 100 patient years in the placebo group. In the on-going open label extension study (Part II) the overall rate of infections remained similar at 306.6 per 100 patient years.</w:t>
      </w:r>
    </w:p>
    <w:p w:rsidR="00007EAE" w:rsidRDefault="00007EAE" w:rsidP="00007EAE">
      <w:pPr>
        <w:jc w:val="both"/>
      </w:pPr>
    </w:p>
    <w:p w:rsidR="00007EAE" w:rsidRDefault="00007EAE" w:rsidP="00007EAE">
      <w:pPr>
        <w:jc w:val="both"/>
      </w:pPr>
      <w:r>
        <w:t>In the 12 week controlled trial the rate of serious infections in the ACTEMRA group was 11.5 per 100 patient years. In the on-going open label extension study the overall rate of serious infections remained stable at 11.3 per 100 patient years. Reported serious infections were similar to those seen in RA patients with the addition of varicella and otitis media.</w:t>
      </w:r>
    </w:p>
    <w:p w:rsidR="00FF15E4" w:rsidRDefault="00FF15E4" w:rsidP="00007EAE">
      <w:pPr>
        <w:jc w:val="both"/>
      </w:pPr>
    </w:p>
    <w:p w:rsidR="00AD45B9" w:rsidRDefault="00AD45B9" w:rsidP="00007EAE">
      <w:pPr>
        <w:jc w:val="both"/>
      </w:pPr>
      <w:r w:rsidRPr="00AD45B9">
        <w:t>In Australia, a case of fatal sepsis occurred in a 6-year old who had been treated with A</w:t>
      </w:r>
      <w:r>
        <w:t>CTMERA</w:t>
      </w:r>
      <w:r w:rsidRPr="00AD45B9">
        <w:t xml:space="preserve"> for approximately 2 years for sJIA. Methotrexate was given concomitantly.  The patient had symptoms of gastroenteritis on the day preceding his death, and the last do</w:t>
      </w:r>
      <w:r w:rsidR="00706387">
        <w:t>se</w:t>
      </w:r>
      <w:r w:rsidRPr="00AD45B9">
        <w:t xml:space="preserve"> of </w:t>
      </w:r>
      <w:r>
        <w:t>ACTEMRA</w:t>
      </w:r>
      <w:r w:rsidRPr="00AD45B9">
        <w:t xml:space="preserve"> was administer</w:t>
      </w:r>
      <w:r>
        <w:t xml:space="preserve">ed 10 days prior to the event. </w:t>
      </w:r>
      <w:r w:rsidRPr="00AD45B9">
        <w:t>The death was assessed as related to septicemia.</w:t>
      </w:r>
    </w:p>
    <w:p w:rsidR="00007EAE" w:rsidRDefault="00007EAE" w:rsidP="00007EAE">
      <w:pPr>
        <w:jc w:val="both"/>
      </w:pPr>
    </w:p>
    <w:p w:rsidR="008347BE" w:rsidRPr="008347BE" w:rsidRDefault="008347BE" w:rsidP="00007EAE">
      <w:pPr>
        <w:jc w:val="both"/>
        <w:rPr>
          <w:i/>
        </w:rPr>
      </w:pPr>
      <w:r w:rsidRPr="008347BE">
        <w:rPr>
          <w:i/>
        </w:rPr>
        <w:t>Macrophage Activation Syndrome</w:t>
      </w:r>
    </w:p>
    <w:p w:rsidR="007D153B" w:rsidRDefault="008347BE" w:rsidP="00007EAE">
      <w:pPr>
        <w:jc w:val="both"/>
      </w:pPr>
      <w:r w:rsidRPr="008347BE">
        <w:t>In the 12 week controlled study, no patient in any treatment group experienced macrophage activation syndrome (M</w:t>
      </w:r>
      <w:r>
        <w:t>AS) while on assigned treatment. Three</w:t>
      </w:r>
      <w:r w:rsidRPr="008347BE">
        <w:t xml:space="preserve"> per 112 (3%) developed MAS during open-label treatment with ACTEMRA. One patient in the placebo group escaped to ACTEMRA 12 mg per kg at Week 2 due to severe disease activity, and ultimately developed MAS at Day 70. Two additional patients developed MAS during the long-term extension. All 3 patients had ACTEMRA dose interrupted (2 patients) or discontinued (1 patient) for the MAS event, received treatment, and the MAS resolved without sequelae. Based on a limited number of cases, the incidence of MAS does not appear</w:t>
      </w:r>
      <w:r>
        <w:t xml:space="preserve"> to be elevated in the ACTEMRA s</w:t>
      </w:r>
      <w:r w:rsidRPr="008347BE">
        <w:t xml:space="preserve">JIA </w:t>
      </w:r>
      <w:r>
        <w:t>clinical development experience,</w:t>
      </w:r>
      <w:r w:rsidRPr="008347BE">
        <w:t xml:space="preserve"> however no definitive conclusions can be made.</w:t>
      </w:r>
    </w:p>
    <w:p w:rsidR="008347BE" w:rsidRDefault="008347BE" w:rsidP="00007EAE">
      <w:pPr>
        <w:jc w:val="both"/>
      </w:pPr>
    </w:p>
    <w:p w:rsidR="00AD45B9" w:rsidRDefault="00AD45B9" w:rsidP="00007EAE">
      <w:pPr>
        <w:jc w:val="both"/>
      </w:pPr>
      <w:r w:rsidRPr="00AD45B9">
        <w:t xml:space="preserve">A case of MAS with a fatal outcome was reported in </w:t>
      </w:r>
      <w:r>
        <w:t xml:space="preserve">a </w:t>
      </w:r>
      <w:r w:rsidRPr="00AD45B9">
        <w:t xml:space="preserve">patient enrolled in a clinical study of </w:t>
      </w:r>
      <w:r>
        <w:t xml:space="preserve">ACTEMRA in sJIA. </w:t>
      </w:r>
      <w:r w:rsidRPr="00AD45B9">
        <w:t xml:space="preserve">The patient had interrupted </w:t>
      </w:r>
      <w:r>
        <w:t>ACTEMRA</w:t>
      </w:r>
      <w:r w:rsidRPr="00AD45B9">
        <w:t xml:space="preserve"> treatment 4 weeks prior </w:t>
      </w:r>
      <w:r w:rsidRPr="00AD45B9">
        <w:lastRenderedPageBreak/>
        <w:t>to the onset of MAS becaus</w:t>
      </w:r>
      <w:r>
        <w:t xml:space="preserve">e of a rotavirus infection. </w:t>
      </w:r>
      <w:r w:rsidRPr="00AD45B9">
        <w:t>The patient also experienced a worsening of sJIA prior to the diagnosis of MAS.</w:t>
      </w:r>
    </w:p>
    <w:p w:rsidR="00146DA7" w:rsidRDefault="00146DA7" w:rsidP="00007EAE">
      <w:pPr>
        <w:jc w:val="both"/>
      </w:pPr>
    </w:p>
    <w:p w:rsidR="00007EAE" w:rsidRPr="006D4525" w:rsidRDefault="00007EAE" w:rsidP="00007EAE">
      <w:pPr>
        <w:pStyle w:val="Heading3"/>
        <w:numPr>
          <w:ilvl w:val="0"/>
          <w:numId w:val="0"/>
        </w:numPr>
        <w:jc w:val="both"/>
        <w:rPr>
          <w:rFonts w:ascii="Times New Roman" w:hAnsi="Times New Roman" w:cs="Times New Roman"/>
        </w:rPr>
      </w:pPr>
      <w:r w:rsidRPr="006D4525">
        <w:rPr>
          <w:rFonts w:ascii="Times New Roman" w:hAnsi="Times New Roman" w:cs="Times New Roman"/>
        </w:rPr>
        <w:t xml:space="preserve">Infusion Reactions </w:t>
      </w:r>
    </w:p>
    <w:p w:rsidR="00007EAE" w:rsidRDefault="00007EAE" w:rsidP="00007EAE">
      <w:pPr>
        <w:jc w:val="both"/>
      </w:pPr>
      <w:r>
        <w:t>For sJIA patients, infusion related reactions are defined as all events occurring during or within 24 hours of an infusion. In the 12 week controlled trial, 4.0% of patients from the ACTEMRA group experienced events occurring during infusion, one event (angioedema) was considered serious and life-threatening, and the patient was discontinued from study treatment.</w:t>
      </w:r>
    </w:p>
    <w:p w:rsidR="00007EAE" w:rsidRDefault="00007EAE" w:rsidP="00007EAE">
      <w:pPr>
        <w:jc w:val="both"/>
      </w:pPr>
    </w:p>
    <w:p w:rsidR="00007EAE" w:rsidRDefault="00007EAE" w:rsidP="00007EAE">
      <w:pPr>
        <w:jc w:val="both"/>
      </w:pPr>
      <w:r>
        <w:t>In the 12 week controlled trial experience, 16% of patients in the ACTEMRA group and 5.4% of patients in the placebo group experienced an event within 24 hours of infusion. In the ACTEMRA group, the events included, but not limited to rash, urticaria, diarrhoea, epigastric discomfort, arthralgia and headache. One of these events (urticaria) was considered serious.</w:t>
      </w:r>
    </w:p>
    <w:p w:rsidR="00007EAE" w:rsidRDefault="00007EAE" w:rsidP="00007EAE">
      <w:pPr>
        <w:jc w:val="both"/>
      </w:pPr>
    </w:p>
    <w:p w:rsidR="00007EAE" w:rsidRDefault="00007EAE" w:rsidP="00007EAE">
      <w:pPr>
        <w:jc w:val="both"/>
      </w:pPr>
      <w:r>
        <w:t>Clinically significant hypersensitivity reactions associated with ACTEMRA and requiring treatment discontinuation were reported in 1 out of 112 patients (&lt;1%) treated with ACTEMRA during the controlled and open-label parts of the clinical trial.</w:t>
      </w:r>
    </w:p>
    <w:p w:rsidR="00007EAE" w:rsidRDefault="00007EAE" w:rsidP="00007EAE">
      <w:pPr>
        <w:jc w:val="both"/>
      </w:pPr>
    </w:p>
    <w:p w:rsidR="00414AFF" w:rsidRDefault="00414AFF" w:rsidP="00007EAE">
      <w:pPr>
        <w:jc w:val="both"/>
      </w:pPr>
      <w:r w:rsidRPr="00414AFF">
        <w:t>Reports of anaphylaxis, anaphylactoid reactions, and hypersensitivity reactions in patients under 18 years of age have been reported in the post-marketing setting.</w:t>
      </w:r>
    </w:p>
    <w:p w:rsidR="00BD6B54" w:rsidRDefault="00BD6B54" w:rsidP="00007EAE">
      <w:pPr>
        <w:jc w:val="both"/>
      </w:pPr>
    </w:p>
    <w:p w:rsidR="00007EAE" w:rsidRDefault="00007EAE" w:rsidP="00007EAE">
      <w:pPr>
        <w:pStyle w:val="Heading3"/>
        <w:numPr>
          <w:ilvl w:val="0"/>
          <w:numId w:val="0"/>
        </w:numPr>
        <w:jc w:val="both"/>
        <w:rPr>
          <w:rFonts w:ascii="Times New Roman" w:hAnsi="Times New Roman" w:cs="Times New Roman"/>
        </w:rPr>
      </w:pPr>
      <w:r w:rsidRPr="006D4525">
        <w:rPr>
          <w:rFonts w:ascii="Times New Roman" w:hAnsi="Times New Roman" w:cs="Times New Roman"/>
        </w:rPr>
        <w:t>I</w:t>
      </w:r>
      <w:r>
        <w:rPr>
          <w:rFonts w:ascii="Times New Roman" w:hAnsi="Times New Roman" w:cs="Times New Roman"/>
        </w:rPr>
        <w:t>mmunogenicity</w:t>
      </w:r>
    </w:p>
    <w:p w:rsidR="00A27084" w:rsidRDefault="00007EAE" w:rsidP="00007EAE">
      <w:pPr>
        <w:jc w:val="both"/>
      </w:pPr>
      <w:r w:rsidRPr="006D4525">
        <w:t>All 112 patients were tested for anti-tocilizumab antibodies at baseline. Two patients developed positive anti-tocilizumab antibodies with one of these patients having a hypersensitivity reaction leading to withdrawal.</w:t>
      </w:r>
    </w:p>
    <w:p w:rsidR="00541153" w:rsidRPr="00541153" w:rsidRDefault="00541153" w:rsidP="00541153">
      <w:pPr>
        <w:jc w:val="both"/>
      </w:pPr>
    </w:p>
    <w:p w:rsidR="00047813" w:rsidRPr="00FD39DC" w:rsidRDefault="00047813" w:rsidP="00FD39DC">
      <w:pPr>
        <w:pStyle w:val="Heading3"/>
        <w:numPr>
          <w:ilvl w:val="0"/>
          <w:numId w:val="0"/>
        </w:numPr>
        <w:rPr>
          <w:rFonts w:ascii="Times New Roman" w:hAnsi="Times New Roman" w:cs="Times New Roman"/>
        </w:rPr>
      </w:pPr>
      <w:r w:rsidRPr="00FD39DC">
        <w:rPr>
          <w:rFonts w:ascii="Times New Roman" w:hAnsi="Times New Roman" w:cs="Times New Roman"/>
        </w:rPr>
        <w:t>Laboratory Abnormalities</w:t>
      </w:r>
    </w:p>
    <w:p w:rsidR="00047813" w:rsidRPr="0088153C" w:rsidRDefault="00047813" w:rsidP="00047813">
      <w:pPr>
        <w:pStyle w:val="TextTi12"/>
      </w:pPr>
      <w:r w:rsidRPr="00FD39DC">
        <w:rPr>
          <w:rStyle w:val="Heading4Char"/>
          <w:rFonts w:ascii="Times New Roman" w:hAnsi="Times New Roman"/>
        </w:rPr>
        <w:t>Haematology abnormalities</w:t>
      </w:r>
    </w:p>
    <w:p w:rsidR="00007EAE" w:rsidRPr="006D4525" w:rsidRDefault="00007EAE" w:rsidP="00007EAE">
      <w:pPr>
        <w:jc w:val="both"/>
        <w:rPr>
          <w:i/>
        </w:rPr>
      </w:pPr>
      <w:r w:rsidRPr="006D4525">
        <w:rPr>
          <w:i/>
        </w:rPr>
        <w:t>Rheumatoid Arthritis</w:t>
      </w:r>
    </w:p>
    <w:p w:rsidR="00304184" w:rsidRPr="00304184" w:rsidRDefault="00304184" w:rsidP="004241E4">
      <w:pPr>
        <w:jc w:val="both"/>
        <w:rPr>
          <w:i/>
        </w:rPr>
      </w:pPr>
      <w:r w:rsidRPr="00304184">
        <w:rPr>
          <w:i/>
        </w:rPr>
        <w:t>Neutrophils</w:t>
      </w:r>
    </w:p>
    <w:p w:rsidR="00047813" w:rsidRDefault="00304184" w:rsidP="004241E4">
      <w:pPr>
        <w:jc w:val="both"/>
      </w:pPr>
      <w:r>
        <w:t>In the 6 month controlled trials d</w:t>
      </w:r>
      <w:r w:rsidR="00047813" w:rsidRPr="0088153C">
        <w:t>ecreases in neutrophil counts below 1 x 10</w:t>
      </w:r>
      <w:r w:rsidR="00047813" w:rsidRPr="0088153C">
        <w:rPr>
          <w:vertAlign w:val="superscript"/>
        </w:rPr>
        <w:t>9</w:t>
      </w:r>
      <w:r w:rsidR="00047813" w:rsidRPr="00F05706">
        <w:rPr>
          <w:rFonts w:eastAsia="MS Mincho" w:hint="eastAsia"/>
        </w:rPr>
        <w:t>/L</w:t>
      </w:r>
      <w:r w:rsidR="00047813" w:rsidRPr="0088153C">
        <w:rPr>
          <w:vertAlign w:val="superscript"/>
        </w:rPr>
        <w:t xml:space="preserve"> </w:t>
      </w:r>
      <w:r w:rsidR="00047813" w:rsidRPr="0088153C">
        <w:t xml:space="preserve">occurred </w:t>
      </w:r>
      <w:r w:rsidR="00047813">
        <w:t xml:space="preserve">in 3.4% of patients on </w:t>
      </w:r>
      <w:r w:rsidR="004241E4">
        <w:t>ACTEMRA</w:t>
      </w:r>
      <w:r w:rsidR="00FD39DC">
        <w:t xml:space="preserve"> 8 </w:t>
      </w:r>
      <w:r w:rsidR="00047813">
        <w:t>mg/kg</w:t>
      </w:r>
      <w:r w:rsidR="00FD39DC">
        <w:t xml:space="preserve"> </w:t>
      </w:r>
      <w:r w:rsidR="00047813">
        <w:t>+</w:t>
      </w:r>
      <w:r w:rsidR="00FD39DC">
        <w:t xml:space="preserve"> </w:t>
      </w:r>
      <w:r w:rsidR="00047813">
        <w:t>DMARD compared to &lt;</w:t>
      </w:r>
      <w:r w:rsidR="00FD39DC">
        <w:t xml:space="preserve"> </w:t>
      </w:r>
      <w:r w:rsidR="00047813">
        <w:t>0.1% of patients on placebo</w:t>
      </w:r>
      <w:r w:rsidR="00FD39DC">
        <w:t xml:space="preserve"> </w:t>
      </w:r>
      <w:r w:rsidR="00047813">
        <w:t>+</w:t>
      </w:r>
      <w:r w:rsidR="00FD39DC">
        <w:t xml:space="preserve"> </w:t>
      </w:r>
      <w:r w:rsidR="00047813">
        <w:t>DMARD.</w:t>
      </w:r>
      <w:r w:rsidR="004241E4">
        <w:t xml:space="preserve"> Approximately half of the patients who developed an ANC &lt; 1 x 10</w:t>
      </w:r>
      <w:r w:rsidR="004241E4" w:rsidRPr="004241E4">
        <w:rPr>
          <w:vertAlign w:val="superscript"/>
        </w:rPr>
        <w:t>9</w:t>
      </w:r>
      <w:r w:rsidR="004241E4">
        <w:t>/L did so within 8 weeks after starting therapy.</w:t>
      </w:r>
      <w:r w:rsidR="00FD39DC">
        <w:t xml:space="preserve"> </w:t>
      </w:r>
      <w:r w:rsidR="00047813">
        <w:t xml:space="preserve">Decreases </w:t>
      </w:r>
      <w:r w:rsidR="00047813" w:rsidRPr="000C6433">
        <w:t>below 0.5 x 10</w:t>
      </w:r>
      <w:r w:rsidR="00047813" w:rsidRPr="000C6433">
        <w:rPr>
          <w:vertAlign w:val="superscript"/>
        </w:rPr>
        <w:t>9</w:t>
      </w:r>
      <w:r w:rsidR="00047813" w:rsidRPr="000C6433">
        <w:rPr>
          <w:rFonts w:eastAsia="MS Mincho" w:hint="eastAsia"/>
        </w:rPr>
        <w:t>/L</w:t>
      </w:r>
      <w:r w:rsidR="00047813" w:rsidRPr="000C6433">
        <w:rPr>
          <w:vertAlign w:val="superscript"/>
        </w:rPr>
        <w:t xml:space="preserve"> </w:t>
      </w:r>
      <w:r w:rsidR="00047813" w:rsidRPr="000C6433">
        <w:t xml:space="preserve">were reported in </w:t>
      </w:r>
      <w:r w:rsidR="00047813">
        <w:t xml:space="preserve">0.3% </w:t>
      </w:r>
      <w:r w:rsidR="00047813" w:rsidRPr="000C6433">
        <w:t>p</w:t>
      </w:r>
      <w:r w:rsidR="00FD39DC">
        <w:t xml:space="preserve">atients receiving </w:t>
      </w:r>
      <w:r w:rsidR="004241E4">
        <w:t>ACTEMRA</w:t>
      </w:r>
      <w:r w:rsidR="00FD39DC">
        <w:t xml:space="preserve"> 8 </w:t>
      </w:r>
      <w:r w:rsidR="00047813" w:rsidRPr="000C6433">
        <w:t>mg/kg +</w:t>
      </w:r>
      <w:r w:rsidR="00FD39DC">
        <w:t xml:space="preserve"> </w:t>
      </w:r>
      <w:r w:rsidR="00047813" w:rsidRPr="000C6433">
        <w:t>DMARD</w:t>
      </w:r>
      <w:r w:rsidR="00492D06">
        <w:t xml:space="preserve"> (see PRECAUTIONS – Effects on Laboratory Tests).</w:t>
      </w:r>
    </w:p>
    <w:p w:rsidR="00FD39DC" w:rsidRDefault="00FD39DC" w:rsidP="00FD39DC">
      <w:pPr>
        <w:jc w:val="both"/>
      </w:pPr>
    </w:p>
    <w:p w:rsidR="004241E4" w:rsidRDefault="00047813" w:rsidP="004241E4">
      <w:pPr>
        <w:jc w:val="both"/>
      </w:pPr>
      <w:r>
        <w:t>There was no clear relationship between decreases in neutrophils below 1 x 10</w:t>
      </w:r>
      <w:r w:rsidRPr="00053C6A">
        <w:rPr>
          <w:vertAlign w:val="superscript"/>
        </w:rPr>
        <w:t>9</w:t>
      </w:r>
      <w:r>
        <w:t>/L and the occurrence of serious infections.</w:t>
      </w:r>
    </w:p>
    <w:p w:rsidR="00304184" w:rsidRDefault="00304184" w:rsidP="004241E4">
      <w:pPr>
        <w:jc w:val="both"/>
      </w:pPr>
    </w:p>
    <w:p w:rsidR="00304184" w:rsidRDefault="00304184" w:rsidP="004241E4">
      <w:pPr>
        <w:jc w:val="both"/>
      </w:pPr>
      <w:r>
        <w:t xml:space="preserve">In the </w:t>
      </w:r>
      <w:r w:rsidRPr="006238F6">
        <w:rPr>
          <w:i/>
        </w:rPr>
        <w:t>all control</w:t>
      </w:r>
      <w:r>
        <w:t xml:space="preserve"> and </w:t>
      </w:r>
      <w:r w:rsidRPr="006238F6">
        <w:rPr>
          <w:i/>
        </w:rPr>
        <w:t>all exposure</w:t>
      </w:r>
      <w:r>
        <w:t xml:space="preserve"> population, the pattern and incidence of decreases in neutrophil counts remained consistent with what was seen in the 6 month controlled clinical trials.</w:t>
      </w:r>
    </w:p>
    <w:p w:rsidR="000C618E" w:rsidRDefault="000C618E" w:rsidP="004241E4">
      <w:pPr>
        <w:jc w:val="both"/>
      </w:pPr>
    </w:p>
    <w:p w:rsidR="00304184" w:rsidRPr="00304184" w:rsidRDefault="00304184" w:rsidP="004241E4">
      <w:pPr>
        <w:jc w:val="both"/>
        <w:rPr>
          <w:i/>
        </w:rPr>
      </w:pPr>
      <w:r>
        <w:rPr>
          <w:i/>
        </w:rPr>
        <w:t>Platelets</w:t>
      </w:r>
    </w:p>
    <w:p w:rsidR="004241E4" w:rsidRDefault="00DA619C" w:rsidP="004241E4">
      <w:pPr>
        <w:jc w:val="both"/>
      </w:pPr>
      <w:r>
        <w:t>In the 6 month controlled trials</w:t>
      </w:r>
      <w:r w:rsidR="00A55A08">
        <w:t>,</w:t>
      </w:r>
      <w:r>
        <w:t xml:space="preserve"> d</w:t>
      </w:r>
      <w:r w:rsidR="004241E4">
        <w:t xml:space="preserve">ecreases in platelet counts below 100 x </w:t>
      </w:r>
      <w:r w:rsidR="009F4A0F">
        <w:t>10</w:t>
      </w:r>
      <w:r w:rsidR="009F4A0F">
        <w:rPr>
          <w:vertAlign w:val="superscript"/>
        </w:rPr>
        <w:t>9</w:t>
      </w:r>
      <w:r w:rsidR="00FF0823">
        <w:t>/L</w:t>
      </w:r>
      <w:r w:rsidR="004241E4">
        <w:t xml:space="preserve"> occurred in 1.7% of patients on ACTEMRA 8 mg/kg </w:t>
      </w:r>
      <w:r w:rsidR="00FF0823">
        <w:t>+</w:t>
      </w:r>
      <w:r w:rsidR="004241E4">
        <w:t xml:space="preserve"> DMARDs compared to &lt; 1% on placebo </w:t>
      </w:r>
      <w:r w:rsidR="00FF0823">
        <w:t>+</w:t>
      </w:r>
      <w:r w:rsidR="004241E4">
        <w:t xml:space="preserve"> DMARDs. These decreases occurred without associated bleeding events.</w:t>
      </w:r>
      <w:r w:rsidR="009C1648">
        <w:t xml:space="preserve"> (See DOSAGE AND ADMINISTRATION and PRECAUTIONS – Haematological Abnormalities.)</w:t>
      </w:r>
    </w:p>
    <w:p w:rsidR="00DA619C" w:rsidRDefault="00DA619C" w:rsidP="004241E4">
      <w:pPr>
        <w:jc w:val="both"/>
      </w:pPr>
    </w:p>
    <w:p w:rsidR="00DA619C" w:rsidRDefault="00DA619C" w:rsidP="004241E4">
      <w:pPr>
        <w:jc w:val="both"/>
      </w:pPr>
      <w:r>
        <w:t xml:space="preserve">In the </w:t>
      </w:r>
      <w:r w:rsidRPr="00C95958">
        <w:rPr>
          <w:i/>
        </w:rPr>
        <w:t>all control</w:t>
      </w:r>
      <w:r>
        <w:t xml:space="preserve"> and </w:t>
      </w:r>
      <w:r w:rsidRPr="00C2100E">
        <w:rPr>
          <w:i/>
        </w:rPr>
        <w:t>all</w:t>
      </w:r>
      <w:r>
        <w:t xml:space="preserve"> </w:t>
      </w:r>
      <w:r w:rsidRPr="00C95958">
        <w:rPr>
          <w:i/>
        </w:rPr>
        <w:t>exposure population</w:t>
      </w:r>
      <w:r>
        <w:t>, the pattern and incidence of decreases in platelet counts remained consistent with what was seen in the 6 month controlled clinical trials.</w:t>
      </w:r>
    </w:p>
    <w:p w:rsidR="00E66194" w:rsidRDefault="00E66194" w:rsidP="004241E4">
      <w:pPr>
        <w:jc w:val="both"/>
      </w:pPr>
    </w:p>
    <w:p w:rsidR="00BD6B54" w:rsidRDefault="00BD6B54" w:rsidP="00BD6B54">
      <w:pPr>
        <w:jc w:val="both"/>
        <w:rPr>
          <w:i/>
        </w:rPr>
      </w:pPr>
      <w:r>
        <w:rPr>
          <w:i/>
        </w:rPr>
        <w:t>Polyarticular Juvenile Idiopathic A</w:t>
      </w:r>
      <w:r w:rsidRPr="006D4525">
        <w:rPr>
          <w:i/>
        </w:rPr>
        <w:t>rthritis</w:t>
      </w:r>
    </w:p>
    <w:p w:rsidR="00BD6B54" w:rsidRPr="00304184" w:rsidRDefault="00BD6B54" w:rsidP="00BD6B54">
      <w:pPr>
        <w:jc w:val="both"/>
        <w:rPr>
          <w:i/>
        </w:rPr>
      </w:pPr>
      <w:r w:rsidRPr="00304184">
        <w:rPr>
          <w:i/>
        </w:rPr>
        <w:t>Neutrophils</w:t>
      </w:r>
    </w:p>
    <w:p w:rsidR="00BD6B54" w:rsidRDefault="00BD6B54" w:rsidP="00BD6B54">
      <w:pPr>
        <w:jc w:val="both"/>
      </w:pPr>
      <w:r>
        <w:t>During routine laboratory monitoring in the ACTEMRA all exposure population, a decrease in neutrophil count below 1 × 10</w:t>
      </w:r>
      <w:r w:rsidRPr="0014799F">
        <w:rPr>
          <w:vertAlign w:val="superscript"/>
        </w:rPr>
        <w:t>9</w:t>
      </w:r>
      <w:r>
        <w:t>/L occurred in 3.7% of patients. There was no clear relationship between decreases in neutrophils below 1 x 10</w:t>
      </w:r>
      <w:r w:rsidRPr="0014799F">
        <w:rPr>
          <w:vertAlign w:val="superscript"/>
        </w:rPr>
        <w:t>9</w:t>
      </w:r>
      <w:r>
        <w:t>/L and the occurrence of serious infections.</w:t>
      </w:r>
    </w:p>
    <w:p w:rsidR="00BD6B54" w:rsidRDefault="00BD6B54" w:rsidP="00BD6B54">
      <w:pPr>
        <w:jc w:val="both"/>
      </w:pPr>
    </w:p>
    <w:p w:rsidR="00BD6B54" w:rsidRDefault="00BD6B54" w:rsidP="00BD6B54">
      <w:pPr>
        <w:jc w:val="both"/>
        <w:rPr>
          <w:i/>
        </w:rPr>
      </w:pPr>
      <w:r>
        <w:rPr>
          <w:i/>
        </w:rPr>
        <w:t>Platelets</w:t>
      </w:r>
    </w:p>
    <w:p w:rsidR="00BD6B54" w:rsidRDefault="00BD6B54" w:rsidP="00BD6B54">
      <w:pPr>
        <w:jc w:val="both"/>
      </w:pPr>
      <w:r w:rsidRPr="0014799F">
        <w:t xml:space="preserve">During routine laboratory monitoring in the </w:t>
      </w:r>
      <w:r>
        <w:t>ACTEMRA</w:t>
      </w:r>
      <w:r w:rsidRPr="0014799F">
        <w:t xml:space="preserve"> all exposure population, 1% of patients had a decrease in platelet count to </w:t>
      </w:r>
      <w:r>
        <w:t>≤ 5</w:t>
      </w:r>
      <w:r w:rsidRPr="0014799F">
        <w:t>0 × 10</w:t>
      </w:r>
      <w:r w:rsidRPr="0014799F">
        <w:rPr>
          <w:vertAlign w:val="superscript"/>
        </w:rPr>
        <w:t>3</w:t>
      </w:r>
      <w:r>
        <w:t>/</w:t>
      </w:r>
      <w:r w:rsidRPr="0014799F">
        <w:t>μL without</w:t>
      </w:r>
      <w:r>
        <w:t xml:space="preserve"> associated bleeding events</w:t>
      </w:r>
      <w:r w:rsidRPr="0014799F">
        <w:t>.</w:t>
      </w:r>
    </w:p>
    <w:p w:rsidR="00BD6B54" w:rsidRDefault="00BD6B54" w:rsidP="004241E4">
      <w:pPr>
        <w:jc w:val="both"/>
      </w:pPr>
    </w:p>
    <w:p w:rsidR="00007EAE" w:rsidRPr="006D4525" w:rsidRDefault="00007EAE" w:rsidP="00007EAE">
      <w:pPr>
        <w:jc w:val="both"/>
        <w:rPr>
          <w:i/>
        </w:rPr>
      </w:pPr>
      <w:r w:rsidRPr="006D4525">
        <w:rPr>
          <w:i/>
        </w:rPr>
        <w:t xml:space="preserve">Systemic </w:t>
      </w:r>
      <w:r w:rsidR="00BD6B54">
        <w:rPr>
          <w:i/>
        </w:rPr>
        <w:t>J</w:t>
      </w:r>
      <w:r w:rsidRPr="006D4525">
        <w:rPr>
          <w:i/>
        </w:rPr>
        <w:t xml:space="preserve">uvenile </w:t>
      </w:r>
      <w:r w:rsidR="00BD6B54">
        <w:rPr>
          <w:i/>
        </w:rPr>
        <w:t>I</w:t>
      </w:r>
      <w:r w:rsidRPr="006D4525">
        <w:rPr>
          <w:i/>
        </w:rPr>
        <w:t xml:space="preserve">diopathic </w:t>
      </w:r>
      <w:r w:rsidR="00BD6B54">
        <w:rPr>
          <w:i/>
        </w:rPr>
        <w:t>A</w:t>
      </w:r>
      <w:r w:rsidRPr="006D4525">
        <w:rPr>
          <w:i/>
        </w:rPr>
        <w:t xml:space="preserve">rthritis </w:t>
      </w:r>
    </w:p>
    <w:p w:rsidR="00BD6B54" w:rsidRPr="00BD6B54" w:rsidRDefault="00BD6B54" w:rsidP="00007EAE">
      <w:pPr>
        <w:jc w:val="both"/>
        <w:rPr>
          <w:i/>
        </w:rPr>
      </w:pPr>
      <w:r w:rsidRPr="00BD6B54">
        <w:rPr>
          <w:i/>
        </w:rPr>
        <w:t>Neutrophils</w:t>
      </w:r>
    </w:p>
    <w:p w:rsidR="00007EAE" w:rsidRDefault="00007EAE" w:rsidP="00007EAE">
      <w:pPr>
        <w:jc w:val="both"/>
      </w:pPr>
      <w:r>
        <w:t>During routine laboratory monitoring in the 12 week controlled trial, a decrease in neutrophil counts below 1 × 10</w:t>
      </w:r>
      <w:r w:rsidRPr="006D4525">
        <w:rPr>
          <w:vertAlign w:val="superscript"/>
        </w:rPr>
        <w:t>9</w:t>
      </w:r>
      <w:r>
        <w:t>/L occurred in 7% of patients in the ACTEMRA group, and in none in the placebo group. In the ongoing open-label extension study decreases in neutrophil counts below 1 x 10</w:t>
      </w:r>
      <w:r w:rsidRPr="006D4525">
        <w:rPr>
          <w:vertAlign w:val="superscript"/>
        </w:rPr>
        <w:t>9</w:t>
      </w:r>
      <w:r>
        <w:t xml:space="preserve">/L occurred in 15% of patients in the ACTEMRA group. </w:t>
      </w:r>
    </w:p>
    <w:p w:rsidR="00007EAE" w:rsidRDefault="00007EAE" w:rsidP="00007EAE">
      <w:pPr>
        <w:jc w:val="both"/>
      </w:pPr>
    </w:p>
    <w:p w:rsidR="00007EAE" w:rsidRDefault="00007EAE" w:rsidP="00007EAE">
      <w:pPr>
        <w:jc w:val="both"/>
      </w:pPr>
      <w:r>
        <w:t>There was no clear relationship between decreases in neutrophils below 1 x 10</w:t>
      </w:r>
      <w:r w:rsidRPr="006D4525">
        <w:rPr>
          <w:vertAlign w:val="superscript"/>
        </w:rPr>
        <w:t>9</w:t>
      </w:r>
      <w:r>
        <w:t>/L and the occurrence of serious infections.</w:t>
      </w:r>
    </w:p>
    <w:p w:rsidR="0099580F" w:rsidRDefault="0099580F" w:rsidP="00007EAE">
      <w:pPr>
        <w:jc w:val="both"/>
      </w:pPr>
    </w:p>
    <w:p w:rsidR="00BD6B54" w:rsidRPr="00BD6B54" w:rsidRDefault="00BD6B54" w:rsidP="00007EAE">
      <w:pPr>
        <w:jc w:val="both"/>
        <w:rPr>
          <w:i/>
        </w:rPr>
      </w:pPr>
      <w:r w:rsidRPr="00BD6B54">
        <w:rPr>
          <w:i/>
        </w:rPr>
        <w:t>Platelets</w:t>
      </w:r>
    </w:p>
    <w:p w:rsidR="00007EAE" w:rsidRDefault="00007EAE" w:rsidP="00007EAE">
      <w:pPr>
        <w:jc w:val="both"/>
      </w:pPr>
      <w:r>
        <w:t>During routine laboratory monitoring in the 12 week controlled trial, 3% of patients in the placebo group and 1% in the ACTEMRA group had a decrease in platelet count to ≤ 100 × 10</w:t>
      </w:r>
      <w:r w:rsidRPr="0006485E">
        <w:rPr>
          <w:vertAlign w:val="superscript"/>
        </w:rPr>
        <w:t>3</w:t>
      </w:r>
      <w:r>
        <w:t>/μL. In the ongoing open-label extension study decreases in platelet counts below 100 x 10</w:t>
      </w:r>
      <w:r w:rsidRPr="0006485E">
        <w:rPr>
          <w:vertAlign w:val="superscript"/>
        </w:rPr>
        <w:t>3</w:t>
      </w:r>
      <w:r>
        <w:t>/μL occurred in 3% of patients in the ACTEMRA group, without associated bleeding events.</w:t>
      </w:r>
    </w:p>
    <w:p w:rsidR="00007EAE" w:rsidRPr="0088153C" w:rsidRDefault="00007EAE" w:rsidP="00007EAE">
      <w:pPr>
        <w:jc w:val="both"/>
      </w:pPr>
    </w:p>
    <w:p w:rsidR="00047813" w:rsidRPr="00FD39DC" w:rsidRDefault="00047813" w:rsidP="00FD39DC">
      <w:pPr>
        <w:pStyle w:val="Heading4"/>
        <w:numPr>
          <w:ilvl w:val="0"/>
          <w:numId w:val="0"/>
        </w:numPr>
        <w:rPr>
          <w:rFonts w:ascii="Times New Roman" w:hAnsi="Times New Roman"/>
        </w:rPr>
      </w:pPr>
      <w:r w:rsidRPr="00FD39DC">
        <w:rPr>
          <w:rFonts w:ascii="Times New Roman" w:hAnsi="Times New Roman"/>
        </w:rPr>
        <w:lastRenderedPageBreak/>
        <w:t>Liver enzyme elevations</w:t>
      </w:r>
    </w:p>
    <w:p w:rsidR="00007EAE" w:rsidRPr="00190D02" w:rsidRDefault="00007EAE" w:rsidP="00007EAE">
      <w:pPr>
        <w:jc w:val="both"/>
        <w:rPr>
          <w:i/>
        </w:rPr>
      </w:pPr>
      <w:r w:rsidRPr="00190D02">
        <w:rPr>
          <w:i/>
        </w:rPr>
        <w:t>Rheumatoid Arthritis</w:t>
      </w:r>
    </w:p>
    <w:p w:rsidR="00DA619C" w:rsidRPr="007A5D9B" w:rsidRDefault="001C3D1F" w:rsidP="00DA619C">
      <w:pPr>
        <w:jc w:val="both"/>
      </w:pPr>
      <w:r>
        <w:t xml:space="preserve">During </w:t>
      </w:r>
      <w:r w:rsidR="00DA619C">
        <w:t>the 6 month controlled trials t</w:t>
      </w:r>
      <w:r w:rsidR="00047813" w:rsidRPr="000C6433">
        <w:t>ransient elevations in ALT</w:t>
      </w:r>
      <w:r w:rsidR="00D61CCA">
        <w:t xml:space="preserve"> (alanine transaminase)</w:t>
      </w:r>
      <w:r w:rsidR="00047813" w:rsidRPr="000C6433">
        <w:t>/AST</w:t>
      </w:r>
      <w:r w:rsidR="00D61CCA">
        <w:t xml:space="preserve"> (aspartate transaminase) </w:t>
      </w:r>
      <w:r w:rsidR="00FD39DC">
        <w:t xml:space="preserve">&gt; </w:t>
      </w:r>
      <w:r w:rsidR="00047813" w:rsidRPr="000C6433">
        <w:t>3</w:t>
      </w:r>
      <w:r w:rsidR="0039286D">
        <w:t xml:space="preserve"> </w:t>
      </w:r>
      <w:r w:rsidR="00047813">
        <w:t>x</w:t>
      </w:r>
      <w:r w:rsidR="00D61CCA">
        <w:t xml:space="preserve"> </w:t>
      </w:r>
      <w:r w:rsidR="00047813" w:rsidRPr="000C6433">
        <w:t>ULN</w:t>
      </w:r>
      <w:r w:rsidR="00FD39DC">
        <w:t xml:space="preserve"> </w:t>
      </w:r>
      <w:r w:rsidR="00D61CCA">
        <w:t>(Upper Limit of Normal)</w:t>
      </w:r>
      <w:r w:rsidR="00047813" w:rsidRPr="000C6433">
        <w:t xml:space="preserve"> were observed in 2.1% of patients on </w:t>
      </w:r>
      <w:r w:rsidR="006326F3">
        <w:t>ACTEMRA</w:t>
      </w:r>
      <w:r w:rsidR="00047813" w:rsidRPr="000C6433">
        <w:t xml:space="preserve"> 8 mg/kg compared to 4.9% of patients on MTX</w:t>
      </w:r>
      <w:r w:rsidR="00047813">
        <w:t>, and in</w:t>
      </w:r>
      <w:r w:rsidR="00047813" w:rsidRPr="000C6433">
        <w:t xml:space="preserve"> 6.5% of patients who received </w:t>
      </w:r>
      <w:r w:rsidR="006326F3">
        <w:t>ACTEMRA</w:t>
      </w:r>
      <w:r w:rsidR="00047813" w:rsidRPr="000C6433">
        <w:t xml:space="preserve"> 8 mg/kg</w:t>
      </w:r>
      <w:r w:rsidR="00047813">
        <w:t xml:space="preserve"> </w:t>
      </w:r>
      <w:r w:rsidR="00047813" w:rsidRPr="000C6433">
        <w:t>+</w:t>
      </w:r>
      <w:r w:rsidR="00047813">
        <w:t xml:space="preserve"> </w:t>
      </w:r>
      <w:r w:rsidR="00047813" w:rsidRPr="000C6433">
        <w:t xml:space="preserve">DMARD compared to </w:t>
      </w:r>
      <w:r w:rsidR="00047813" w:rsidRPr="00443E25">
        <w:t>1.5%</w:t>
      </w:r>
      <w:r w:rsidR="00047813" w:rsidRPr="000C6433">
        <w:t xml:space="preserve"> of patients on placebo</w:t>
      </w:r>
      <w:r w:rsidR="001E23F6">
        <w:t xml:space="preserve"> </w:t>
      </w:r>
      <w:r w:rsidR="00047813" w:rsidRPr="000C6433">
        <w:t>+</w:t>
      </w:r>
      <w:r w:rsidR="001E23F6">
        <w:t xml:space="preserve"> </w:t>
      </w:r>
      <w:r w:rsidR="00047813" w:rsidRPr="000C6433">
        <w:t>DMARD.</w:t>
      </w:r>
      <w:r w:rsidR="00FD39DC">
        <w:t xml:space="preserve"> </w:t>
      </w:r>
      <w:r w:rsidR="00047813">
        <w:t>The addition of</w:t>
      </w:r>
      <w:r w:rsidR="00047813" w:rsidRPr="000C6433">
        <w:t xml:space="preserve"> </w:t>
      </w:r>
      <w:r w:rsidR="00047813">
        <w:t>potentially hepatotoxic drugs (</w:t>
      </w:r>
      <w:r w:rsidR="00AE0A19">
        <w:t>for example</w:t>
      </w:r>
      <w:r w:rsidR="00047813">
        <w:t xml:space="preserve"> MTX) to </w:t>
      </w:r>
      <w:r w:rsidR="006326F3">
        <w:t>ACTEMRA</w:t>
      </w:r>
      <w:r w:rsidR="00047813">
        <w:t xml:space="preserve"> monotherapy resulted in increased frequency of these elevations</w:t>
      </w:r>
      <w:r w:rsidR="00047813" w:rsidRPr="00280FAB">
        <w:t>.</w:t>
      </w:r>
      <w:r w:rsidR="00047813">
        <w:t xml:space="preserve"> Elevations of ALT/AST &gt;</w:t>
      </w:r>
      <w:r w:rsidR="00FD39DC">
        <w:t xml:space="preserve"> </w:t>
      </w:r>
      <w:r w:rsidR="00047813">
        <w:t>5x</w:t>
      </w:r>
      <w:r w:rsidR="00D61CCA">
        <w:t xml:space="preserve"> </w:t>
      </w:r>
      <w:r w:rsidR="00047813">
        <w:t xml:space="preserve">ULN were observed in 0.7% of </w:t>
      </w:r>
      <w:r w:rsidR="006326F3">
        <w:t>ACTEMRA</w:t>
      </w:r>
      <w:r w:rsidR="00047813">
        <w:t xml:space="preserve"> monotherapy patients and 1.4% of </w:t>
      </w:r>
      <w:r w:rsidR="006326F3">
        <w:t>ACTEMRA</w:t>
      </w:r>
      <w:r w:rsidR="00FD39DC">
        <w:t xml:space="preserve"> </w:t>
      </w:r>
      <w:r w:rsidR="00047813">
        <w:t>+</w:t>
      </w:r>
      <w:r w:rsidR="00FD39DC">
        <w:t xml:space="preserve"> </w:t>
      </w:r>
      <w:r w:rsidR="00047813">
        <w:t xml:space="preserve">DMARD patients, the majority of whom were discontinued from </w:t>
      </w:r>
      <w:r w:rsidR="006326F3">
        <w:t>ACTEMRA</w:t>
      </w:r>
      <w:r w:rsidR="00047813">
        <w:t xml:space="preserve"> treatment. </w:t>
      </w:r>
      <w:r w:rsidR="00047813" w:rsidRPr="000C6433">
        <w:t xml:space="preserve">These elevations were not associated with </w:t>
      </w:r>
      <w:r w:rsidR="00047813">
        <w:t xml:space="preserve">any </w:t>
      </w:r>
      <w:r w:rsidR="00047813" w:rsidRPr="000C6433">
        <w:t>clinically relevant increase</w:t>
      </w:r>
      <w:r w:rsidR="00047813">
        <w:t>s</w:t>
      </w:r>
      <w:r w:rsidR="00047813" w:rsidRPr="000C6433">
        <w:t xml:space="preserve"> in </w:t>
      </w:r>
      <w:r w:rsidR="00047813">
        <w:t xml:space="preserve">direct </w:t>
      </w:r>
      <w:r w:rsidR="00047813" w:rsidRPr="000C6433">
        <w:t>bilirubin</w:t>
      </w:r>
      <w:r w:rsidR="00047813">
        <w:t xml:space="preserve">, nor were they </w:t>
      </w:r>
      <w:r w:rsidR="00047813" w:rsidRPr="000C6433">
        <w:t xml:space="preserve">associated with clinical </w:t>
      </w:r>
      <w:r w:rsidR="00047813">
        <w:t>evidence</w:t>
      </w:r>
      <w:r w:rsidR="00047813" w:rsidRPr="000C6433">
        <w:t xml:space="preserve"> of </w:t>
      </w:r>
      <w:r w:rsidR="00047813">
        <w:t xml:space="preserve">hepatitis or </w:t>
      </w:r>
      <w:r w:rsidR="00047813" w:rsidRPr="000C6433">
        <w:t>hepatic insufficiency</w:t>
      </w:r>
      <w:r w:rsidR="00047813">
        <w:t>.</w:t>
      </w:r>
      <w:r w:rsidR="00DA619C">
        <w:t xml:space="preserve"> </w:t>
      </w:r>
      <w:r>
        <w:t>During routine laboratory monitoring, t</w:t>
      </w:r>
      <w:r w:rsidR="00DA619C">
        <w:t>he incidence of indirect bilirubin &gt; ULN is 6.2% in patients treated with 8 mg/kg ACTEMRA</w:t>
      </w:r>
      <w:r>
        <w:t xml:space="preserve"> + DMARD in the </w:t>
      </w:r>
      <w:r w:rsidRPr="001C3D1F">
        <w:rPr>
          <w:i/>
        </w:rPr>
        <w:t>all control</w:t>
      </w:r>
      <w:r>
        <w:t xml:space="preserve"> population</w:t>
      </w:r>
      <w:r w:rsidR="00DA619C">
        <w:t>.</w:t>
      </w:r>
    </w:p>
    <w:p w:rsidR="00DA619C" w:rsidRDefault="00DA619C" w:rsidP="00DA619C">
      <w:pPr>
        <w:jc w:val="both"/>
        <w:rPr>
          <w:rFonts w:eastAsia="PMingLiU"/>
          <w:lang w:eastAsia="zh-CN"/>
        </w:rPr>
      </w:pPr>
    </w:p>
    <w:p w:rsidR="00047813" w:rsidRDefault="00DA619C" w:rsidP="00DA619C">
      <w:pPr>
        <w:jc w:val="both"/>
        <w:rPr>
          <w:rFonts w:eastAsia="PMingLiU"/>
          <w:lang w:eastAsia="zh-CN"/>
        </w:rPr>
      </w:pPr>
      <w:r w:rsidRPr="00714267">
        <w:rPr>
          <w:rFonts w:eastAsia="PMingLiU"/>
          <w:lang w:eastAsia="zh-CN"/>
        </w:rPr>
        <w:t xml:space="preserve">In the </w:t>
      </w:r>
      <w:r w:rsidRPr="00714267">
        <w:rPr>
          <w:rFonts w:eastAsia="PMingLiU"/>
          <w:i/>
          <w:lang w:eastAsia="zh-CN"/>
        </w:rPr>
        <w:t>all control</w:t>
      </w:r>
      <w:r w:rsidRPr="00714267">
        <w:rPr>
          <w:rFonts w:eastAsia="PMingLiU"/>
          <w:lang w:eastAsia="zh-CN"/>
        </w:rPr>
        <w:t xml:space="preserve"> and </w:t>
      </w:r>
      <w:r w:rsidRPr="00714267">
        <w:rPr>
          <w:rFonts w:eastAsia="PMingLiU"/>
          <w:i/>
          <w:lang w:eastAsia="zh-CN"/>
        </w:rPr>
        <w:t>all exposure</w:t>
      </w:r>
      <w:r w:rsidRPr="00714267">
        <w:rPr>
          <w:rFonts w:eastAsia="PMingLiU"/>
          <w:lang w:eastAsia="zh-CN"/>
        </w:rPr>
        <w:t xml:space="preserve"> population, the pattern</w:t>
      </w:r>
      <w:r>
        <w:rPr>
          <w:rFonts w:eastAsia="PMingLiU"/>
          <w:lang w:eastAsia="zh-CN"/>
        </w:rPr>
        <w:t xml:space="preserve"> and incidence of elevations in </w:t>
      </w:r>
      <w:r w:rsidRPr="00714267">
        <w:rPr>
          <w:rFonts w:eastAsia="PMingLiU"/>
          <w:lang w:eastAsia="zh-CN"/>
        </w:rPr>
        <w:t>ALT/AST remained consistent with what was seen in the 6 month controlled clinical</w:t>
      </w:r>
      <w:r>
        <w:rPr>
          <w:rFonts w:eastAsia="PMingLiU"/>
          <w:lang w:eastAsia="zh-CN"/>
        </w:rPr>
        <w:t xml:space="preserve"> </w:t>
      </w:r>
      <w:r w:rsidRPr="00714267">
        <w:rPr>
          <w:rFonts w:eastAsia="PMingLiU"/>
          <w:lang w:eastAsia="zh-CN"/>
        </w:rPr>
        <w:t>tria</w:t>
      </w:r>
      <w:r>
        <w:rPr>
          <w:rFonts w:eastAsia="PMingLiU"/>
          <w:lang w:eastAsia="zh-CN"/>
        </w:rPr>
        <w:t>ls</w:t>
      </w:r>
      <w:r w:rsidRPr="00714267">
        <w:rPr>
          <w:rFonts w:eastAsia="PMingLiU"/>
          <w:lang w:eastAsia="zh-CN"/>
        </w:rPr>
        <w:t>.</w:t>
      </w:r>
    </w:p>
    <w:p w:rsidR="00BB788D" w:rsidRDefault="00BB788D" w:rsidP="00BB788D">
      <w:pPr>
        <w:jc w:val="both"/>
        <w:rPr>
          <w:rFonts w:eastAsia="PMingLiU"/>
          <w:lang w:eastAsia="zh-CN"/>
        </w:rPr>
      </w:pPr>
    </w:p>
    <w:p w:rsidR="00BB788D" w:rsidRDefault="00BB788D" w:rsidP="00BB788D">
      <w:pPr>
        <w:pStyle w:val="TextTi12"/>
        <w:rPr>
          <w:lang w:val="en-GB"/>
        </w:rPr>
      </w:pPr>
      <w:r>
        <w:rPr>
          <w:lang w:val="en-GB"/>
        </w:rPr>
        <w:t>In Study VI</w:t>
      </w:r>
      <w:r w:rsidR="005F6283">
        <w:rPr>
          <w:lang w:val="en-GB"/>
        </w:rPr>
        <w:t xml:space="preserve"> (WA19926)</w:t>
      </w:r>
      <w:r>
        <w:rPr>
          <w:lang w:val="en-GB"/>
        </w:rPr>
        <w:t xml:space="preserve">, MTX-naïve adult patients with moderate to severe, active early RA (mean disease duration ≤ 6 months) experienced more transient elevations in ALT &gt; 3 x ULN compared with the </w:t>
      </w:r>
      <w:r>
        <w:rPr>
          <w:i/>
          <w:lang w:val="en-GB"/>
        </w:rPr>
        <w:t>all control</w:t>
      </w:r>
      <w:r w:rsidR="007671F1">
        <w:rPr>
          <w:lang w:val="en-GB"/>
        </w:rPr>
        <w:t xml:space="preserve"> population. </w:t>
      </w:r>
      <w:r w:rsidR="00CA5641">
        <w:rPr>
          <w:lang w:val="en-GB"/>
        </w:rPr>
        <w:t>Transient elevations</w:t>
      </w:r>
      <w:r w:rsidR="007671F1">
        <w:rPr>
          <w:lang w:val="en-GB"/>
        </w:rPr>
        <w:t xml:space="preserve"> in ALT</w:t>
      </w:r>
      <w:r w:rsidR="005F6283">
        <w:rPr>
          <w:lang w:val="en-GB"/>
        </w:rPr>
        <w:t xml:space="preserve"> </w:t>
      </w:r>
      <w:r w:rsidR="007671F1">
        <w:rPr>
          <w:lang w:val="en-GB"/>
        </w:rPr>
        <w:t>&gt;</w:t>
      </w:r>
      <w:r w:rsidR="00FC2D2A">
        <w:rPr>
          <w:lang w:val="en-GB"/>
        </w:rPr>
        <w:t xml:space="preserve"> </w:t>
      </w:r>
      <w:r w:rsidR="007671F1">
        <w:rPr>
          <w:lang w:val="en-GB"/>
        </w:rPr>
        <w:t xml:space="preserve">3 to 5 </w:t>
      </w:r>
      <w:r w:rsidR="005F6283">
        <w:rPr>
          <w:lang w:val="en-GB"/>
        </w:rPr>
        <w:t>x</w:t>
      </w:r>
      <w:r w:rsidR="007671F1">
        <w:rPr>
          <w:lang w:val="en-GB"/>
        </w:rPr>
        <w:t xml:space="preserve"> ULN </w:t>
      </w:r>
      <w:r w:rsidR="007671F1" w:rsidRPr="000C6433">
        <w:t>were observed in</w:t>
      </w:r>
      <w:r w:rsidR="007671F1">
        <w:t xml:space="preserve"> 6.6</w:t>
      </w:r>
      <w:r w:rsidR="007671F1" w:rsidRPr="000C6433">
        <w:t xml:space="preserve">% of patients </w:t>
      </w:r>
      <w:r w:rsidR="00A11F29">
        <w:t>on</w:t>
      </w:r>
      <w:r w:rsidR="007671F1" w:rsidRPr="000C6433">
        <w:t xml:space="preserve"> </w:t>
      </w:r>
      <w:r w:rsidR="007671F1">
        <w:t>ACTEMRA</w:t>
      </w:r>
      <w:r w:rsidR="007671F1" w:rsidRPr="000C6433">
        <w:t xml:space="preserve"> </w:t>
      </w:r>
      <w:r w:rsidR="007671F1">
        <w:t>4</w:t>
      </w:r>
      <w:r w:rsidR="007671F1" w:rsidRPr="000C6433">
        <w:t xml:space="preserve"> mg/kg</w:t>
      </w:r>
      <w:r w:rsidR="007671F1">
        <w:t xml:space="preserve"> </w:t>
      </w:r>
      <w:r w:rsidR="007671F1" w:rsidRPr="000C6433">
        <w:t>+</w:t>
      </w:r>
      <w:r w:rsidR="007671F1">
        <w:t xml:space="preserve"> MTX</w:t>
      </w:r>
      <w:r w:rsidR="009353B3">
        <w:t>,</w:t>
      </w:r>
      <w:r w:rsidR="007671F1">
        <w:t xml:space="preserve"> 9.7% </w:t>
      </w:r>
      <w:r w:rsidR="007671F1" w:rsidRPr="000C6433">
        <w:t>of patients on</w:t>
      </w:r>
      <w:r w:rsidR="007671F1" w:rsidRPr="002938FD">
        <w:t xml:space="preserve"> </w:t>
      </w:r>
      <w:r w:rsidR="007671F1">
        <w:t>ACTEMRA</w:t>
      </w:r>
      <w:r w:rsidR="007671F1" w:rsidRPr="000C6433">
        <w:t xml:space="preserve"> </w:t>
      </w:r>
      <w:r w:rsidR="007671F1">
        <w:t>8</w:t>
      </w:r>
      <w:r w:rsidR="007671F1" w:rsidRPr="000C6433">
        <w:t>mg/kg</w:t>
      </w:r>
      <w:r w:rsidR="007671F1">
        <w:t xml:space="preserve"> </w:t>
      </w:r>
      <w:r w:rsidR="007671F1" w:rsidRPr="000C6433">
        <w:t>+</w:t>
      </w:r>
      <w:r w:rsidR="007671F1">
        <w:t xml:space="preserve"> MTX</w:t>
      </w:r>
      <w:r w:rsidR="007671F1" w:rsidRPr="002938FD">
        <w:t xml:space="preserve"> </w:t>
      </w:r>
      <w:r w:rsidR="009353B3">
        <w:t>compared to</w:t>
      </w:r>
      <w:r w:rsidR="007671F1">
        <w:t xml:space="preserve"> 3.4</w:t>
      </w:r>
      <w:r w:rsidR="007671F1" w:rsidRPr="000C6433">
        <w:t>% of patients on</w:t>
      </w:r>
      <w:r w:rsidR="007671F1">
        <w:t xml:space="preserve"> ACTEMRA</w:t>
      </w:r>
      <w:r w:rsidR="007671F1" w:rsidRPr="000C6433">
        <w:t xml:space="preserve"> 8 mg/kg</w:t>
      </w:r>
      <w:r w:rsidR="002C4767">
        <w:t xml:space="preserve"> </w:t>
      </w:r>
      <w:r w:rsidR="00FC2D2A">
        <w:t xml:space="preserve">+ placebo </w:t>
      </w:r>
      <w:r w:rsidR="009353B3">
        <w:t>and</w:t>
      </w:r>
      <w:r w:rsidR="002C4767">
        <w:t xml:space="preserve"> 3.9</w:t>
      </w:r>
      <w:r w:rsidR="002C4767" w:rsidRPr="000C6433">
        <w:t>% of patients on MTX</w:t>
      </w:r>
      <w:r w:rsidR="00FC2D2A">
        <w:t xml:space="preserve"> + placebo</w:t>
      </w:r>
      <w:r>
        <w:rPr>
          <w:lang w:val="en-GB"/>
        </w:rPr>
        <w:t>.</w:t>
      </w:r>
    </w:p>
    <w:p w:rsidR="0099580F" w:rsidRDefault="0099580F" w:rsidP="00462272">
      <w:pPr>
        <w:jc w:val="both"/>
        <w:rPr>
          <w:i/>
        </w:rPr>
      </w:pPr>
    </w:p>
    <w:p w:rsidR="00462272" w:rsidRPr="00190D02" w:rsidRDefault="00462272" w:rsidP="00462272">
      <w:pPr>
        <w:jc w:val="both"/>
        <w:rPr>
          <w:rFonts w:eastAsia="PMingLiU"/>
          <w:lang w:val="en-GB" w:eastAsia="zh-CN"/>
        </w:rPr>
      </w:pPr>
      <w:r>
        <w:rPr>
          <w:i/>
        </w:rPr>
        <w:t>Polyarticular Juvenile Idiopathic A</w:t>
      </w:r>
      <w:r w:rsidRPr="006D4525">
        <w:rPr>
          <w:i/>
        </w:rPr>
        <w:t>rthritis</w:t>
      </w:r>
    </w:p>
    <w:p w:rsidR="00007EAE" w:rsidRDefault="00462272" w:rsidP="00DA619C">
      <w:pPr>
        <w:jc w:val="both"/>
        <w:rPr>
          <w:rFonts w:eastAsia="PMingLiU"/>
          <w:lang w:eastAsia="zh-CN"/>
        </w:rPr>
      </w:pPr>
      <w:r w:rsidRPr="008C1AD4">
        <w:rPr>
          <w:rFonts w:eastAsia="PMingLiU"/>
          <w:lang w:val="en-GB" w:eastAsia="zh-CN"/>
        </w:rPr>
        <w:t xml:space="preserve">During routine laboratory monitoring in the </w:t>
      </w:r>
      <w:r>
        <w:rPr>
          <w:rFonts w:eastAsia="PMingLiU"/>
          <w:lang w:val="en-GB" w:eastAsia="zh-CN"/>
        </w:rPr>
        <w:t>ACTEMRA</w:t>
      </w:r>
      <w:r w:rsidRPr="008C1AD4">
        <w:rPr>
          <w:rFonts w:eastAsia="PMingLiU"/>
          <w:lang w:val="en-GB" w:eastAsia="zh-CN"/>
        </w:rPr>
        <w:t xml:space="preserve"> all exposure population, elevation in ALT or AST ≥</w:t>
      </w:r>
      <w:r>
        <w:rPr>
          <w:rFonts w:eastAsia="PMingLiU"/>
          <w:lang w:val="en-GB" w:eastAsia="zh-CN"/>
        </w:rPr>
        <w:t xml:space="preserve"> </w:t>
      </w:r>
      <w:r w:rsidRPr="008C1AD4">
        <w:rPr>
          <w:rFonts w:eastAsia="PMingLiU"/>
          <w:lang w:val="en-GB" w:eastAsia="zh-CN"/>
        </w:rPr>
        <w:t>3 x ULN occurred in 3.7% and &lt;1</w:t>
      </w:r>
      <w:r>
        <w:rPr>
          <w:rFonts w:eastAsia="PMingLiU"/>
          <w:lang w:val="en-GB" w:eastAsia="zh-CN"/>
        </w:rPr>
        <w:t>% of patients, respectively</w:t>
      </w:r>
      <w:r w:rsidRPr="008C1AD4">
        <w:rPr>
          <w:rFonts w:eastAsia="PMingLiU"/>
          <w:lang w:val="en-GB" w:eastAsia="zh-CN"/>
        </w:rPr>
        <w:t>.</w:t>
      </w:r>
    </w:p>
    <w:p w:rsidR="00AA5311" w:rsidRDefault="00AA5311" w:rsidP="00DA619C">
      <w:pPr>
        <w:jc w:val="both"/>
        <w:rPr>
          <w:rFonts w:eastAsia="PMingLiU"/>
          <w:lang w:eastAsia="zh-CN"/>
        </w:rPr>
      </w:pPr>
    </w:p>
    <w:p w:rsidR="00007EAE" w:rsidRDefault="00007EAE" w:rsidP="00007EAE">
      <w:pPr>
        <w:jc w:val="both"/>
      </w:pPr>
      <w:r w:rsidRPr="006D4525">
        <w:rPr>
          <w:i/>
        </w:rPr>
        <w:t xml:space="preserve">Systemic </w:t>
      </w:r>
      <w:r w:rsidR="00462272">
        <w:rPr>
          <w:i/>
        </w:rPr>
        <w:t>J</w:t>
      </w:r>
      <w:r w:rsidRPr="006D4525">
        <w:rPr>
          <w:i/>
        </w:rPr>
        <w:t xml:space="preserve">uvenile </w:t>
      </w:r>
      <w:r w:rsidR="00462272">
        <w:rPr>
          <w:i/>
        </w:rPr>
        <w:t>I</w:t>
      </w:r>
      <w:r w:rsidRPr="006D4525">
        <w:rPr>
          <w:i/>
        </w:rPr>
        <w:t xml:space="preserve">diopathic </w:t>
      </w:r>
      <w:r w:rsidR="00462272">
        <w:rPr>
          <w:i/>
        </w:rPr>
        <w:t>A</w:t>
      </w:r>
      <w:r w:rsidRPr="006D4525">
        <w:rPr>
          <w:i/>
        </w:rPr>
        <w:t>rthritis</w:t>
      </w:r>
    </w:p>
    <w:p w:rsidR="00007EAE" w:rsidRDefault="00007EAE" w:rsidP="00007EAE">
      <w:pPr>
        <w:jc w:val="both"/>
        <w:rPr>
          <w:rFonts w:eastAsia="PMingLiU"/>
          <w:lang w:eastAsia="zh-CN"/>
        </w:rPr>
      </w:pPr>
      <w:r w:rsidRPr="00190D02">
        <w:rPr>
          <w:rFonts w:eastAsia="PMingLiU"/>
          <w:lang w:eastAsia="zh-CN"/>
        </w:rPr>
        <w:t>During routine laboratory monitoring in the 12 week controlled trial, elevation in ALT or AST ≥ 3</w:t>
      </w:r>
      <w:r>
        <w:rPr>
          <w:rFonts w:eastAsia="PMingLiU"/>
          <w:lang w:eastAsia="zh-CN"/>
        </w:rPr>
        <w:t xml:space="preserve"> </w:t>
      </w:r>
      <w:r w:rsidRPr="00190D02">
        <w:rPr>
          <w:rFonts w:eastAsia="PMingLiU"/>
          <w:lang w:eastAsia="zh-CN"/>
        </w:rPr>
        <w:t>x</w:t>
      </w:r>
      <w:r>
        <w:rPr>
          <w:rFonts w:eastAsia="PMingLiU"/>
          <w:lang w:eastAsia="zh-CN"/>
        </w:rPr>
        <w:t xml:space="preserve"> </w:t>
      </w:r>
      <w:r w:rsidRPr="00190D02">
        <w:rPr>
          <w:rFonts w:eastAsia="PMingLiU"/>
          <w:lang w:eastAsia="zh-CN"/>
        </w:rPr>
        <w:t xml:space="preserve">ULN occurred in 5% and 3% of patients, respectively, in the </w:t>
      </w:r>
      <w:r>
        <w:rPr>
          <w:rFonts w:eastAsia="PMingLiU"/>
          <w:lang w:eastAsia="zh-CN"/>
        </w:rPr>
        <w:t xml:space="preserve">ACTEMRA </w:t>
      </w:r>
      <w:r w:rsidRPr="00190D02">
        <w:rPr>
          <w:rFonts w:eastAsia="PMingLiU"/>
          <w:lang w:eastAsia="zh-CN"/>
        </w:rPr>
        <w:t>group, and in 0% of placebo patients.</w:t>
      </w:r>
    </w:p>
    <w:p w:rsidR="00007EAE" w:rsidRPr="00190D02" w:rsidRDefault="00007EAE" w:rsidP="00007EAE">
      <w:pPr>
        <w:jc w:val="both"/>
        <w:rPr>
          <w:rFonts w:eastAsia="PMingLiU"/>
          <w:lang w:eastAsia="zh-CN"/>
        </w:rPr>
      </w:pPr>
    </w:p>
    <w:p w:rsidR="00007EAE" w:rsidRPr="00DA619C" w:rsidRDefault="00007EAE" w:rsidP="00DA619C">
      <w:pPr>
        <w:jc w:val="both"/>
        <w:rPr>
          <w:rFonts w:eastAsia="PMingLiU"/>
          <w:lang w:eastAsia="zh-CN"/>
        </w:rPr>
      </w:pPr>
      <w:r w:rsidRPr="00190D02">
        <w:rPr>
          <w:rFonts w:eastAsia="PMingLiU"/>
          <w:lang w:eastAsia="zh-CN"/>
        </w:rPr>
        <w:t>In the ongoing open-label extension study, elevation in ALT or AST ≥ 3</w:t>
      </w:r>
      <w:r>
        <w:rPr>
          <w:rFonts w:eastAsia="PMingLiU"/>
          <w:lang w:eastAsia="zh-CN"/>
        </w:rPr>
        <w:t xml:space="preserve"> </w:t>
      </w:r>
      <w:r w:rsidRPr="00190D02">
        <w:rPr>
          <w:rFonts w:eastAsia="PMingLiU"/>
          <w:lang w:eastAsia="zh-CN"/>
        </w:rPr>
        <w:t>x</w:t>
      </w:r>
      <w:r>
        <w:rPr>
          <w:rFonts w:eastAsia="PMingLiU"/>
          <w:lang w:eastAsia="zh-CN"/>
        </w:rPr>
        <w:t xml:space="preserve"> </w:t>
      </w:r>
      <w:r w:rsidRPr="00190D02">
        <w:rPr>
          <w:rFonts w:eastAsia="PMingLiU"/>
          <w:lang w:eastAsia="zh-CN"/>
        </w:rPr>
        <w:t>ULN occurred in 12% and 4% of patients, respectivel</w:t>
      </w:r>
      <w:r>
        <w:rPr>
          <w:rFonts w:eastAsia="PMingLiU"/>
          <w:lang w:eastAsia="zh-CN"/>
        </w:rPr>
        <w:t xml:space="preserve">y, in the </w:t>
      </w:r>
      <w:r w:rsidR="00672623">
        <w:rPr>
          <w:rFonts w:eastAsia="PMingLiU"/>
          <w:lang w:eastAsia="zh-CN"/>
        </w:rPr>
        <w:t xml:space="preserve">ACTEMRA </w:t>
      </w:r>
      <w:r>
        <w:rPr>
          <w:rFonts w:eastAsia="PMingLiU"/>
          <w:lang w:eastAsia="zh-CN"/>
        </w:rPr>
        <w:t>group</w:t>
      </w:r>
      <w:r w:rsidRPr="00190D02">
        <w:rPr>
          <w:rFonts w:eastAsia="PMingLiU"/>
          <w:lang w:eastAsia="zh-CN"/>
        </w:rPr>
        <w:t>.</w:t>
      </w:r>
    </w:p>
    <w:p w:rsidR="00047813" w:rsidRPr="00FD39DC" w:rsidRDefault="00047813" w:rsidP="002A4150">
      <w:pPr>
        <w:pStyle w:val="Heading4"/>
        <w:numPr>
          <w:ilvl w:val="0"/>
          <w:numId w:val="0"/>
        </w:numPr>
        <w:jc w:val="both"/>
        <w:rPr>
          <w:rFonts w:ascii="Times New Roman" w:hAnsi="Times New Roman"/>
        </w:rPr>
      </w:pPr>
      <w:r w:rsidRPr="00FD39DC">
        <w:rPr>
          <w:rFonts w:ascii="Times New Roman" w:hAnsi="Times New Roman"/>
        </w:rPr>
        <w:t>Elevations in lipid parameters</w:t>
      </w:r>
    </w:p>
    <w:p w:rsidR="00D717CE" w:rsidRDefault="00D717CE" w:rsidP="002A4150">
      <w:pPr>
        <w:jc w:val="both"/>
        <w:rPr>
          <w:rFonts w:eastAsia="PMingLiU"/>
          <w:lang w:val="en-GB" w:eastAsia="zh-CN"/>
        </w:rPr>
      </w:pPr>
      <w:r w:rsidRPr="00190D02">
        <w:rPr>
          <w:i/>
        </w:rPr>
        <w:t>Rheumatoid Arthritis</w:t>
      </w:r>
      <w:r w:rsidRPr="00295B94">
        <w:rPr>
          <w:rFonts w:eastAsia="PMingLiU"/>
          <w:lang w:val="en-GB" w:eastAsia="zh-CN"/>
        </w:rPr>
        <w:t xml:space="preserve"> </w:t>
      </w:r>
    </w:p>
    <w:p w:rsidR="00295B94" w:rsidRDefault="00295B94" w:rsidP="002A4150">
      <w:pPr>
        <w:jc w:val="both"/>
        <w:rPr>
          <w:rFonts w:eastAsia="PMingLiU"/>
          <w:lang w:val="en-GB" w:eastAsia="zh-CN"/>
        </w:rPr>
      </w:pPr>
      <w:r w:rsidRPr="00295B94">
        <w:rPr>
          <w:rFonts w:eastAsia="PMingLiU"/>
          <w:lang w:val="en-GB" w:eastAsia="zh-CN"/>
        </w:rPr>
        <w:t xml:space="preserve">During </w:t>
      </w:r>
      <w:r w:rsidR="001C3D1F">
        <w:rPr>
          <w:rFonts w:eastAsia="PMingLiU"/>
          <w:lang w:val="en-GB" w:eastAsia="zh-CN"/>
        </w:rPr>
        <w:t xml:space="preserve">routine laboratory monitoring in </w:t>
      </w:r>
      <w:r w:rsidRPr="00295B94">
        <w:rPr>
          <w:rFonts w:eastAsia="PMingLiU"/>
          <w:lang w:val="en-GB" w:eastAsia="zh-CN"/>
        </w:rPr>
        <w:t xml:space="preserve">the </w:t>
      </w:r>
      <w:r w:rsidR="0039286D">
        <w:rPr>
          <w:rFonts w:eastAsia="PMingLiU"/>
          <w:lang w:val="en-GB" w:eastAsia="zh-CN"/>
        </w:rPr>
        <w:t>6</w:t>
      </w:r>
      <w:r w:rsidRPr="00295B94">
        <w:rPr>
          <w:rFonts w:eastAsia="PMingLiU"/>
          <w:lang w:val="en-GB" w:eastAsia="zh-CN"/>
        </w:rPr>
        <w:t xml:space="preserve"> month controlled </w:t>
      </w:r>
      <w:r w:rsidR="0039286D">
        <w:rPr>
          <w:rFonts w:eastAsia="PMingLiU"/>
          <w:lang w:val="en-GB" w:eastAsia="zh-CN"/>
        </w:rPr>
        <w:t xml:space="preserve">clinical </w:t>
      </w:r>
      <w:r w:rsidRPr="00295B94">
        <w:rPr>
          <w:rFonts w:eastAsia="PMingLiU"/>
          <w:lang w:val="en-GB" w:eastAsia="zh-CN"/>
        </w:rPr>
        <w:t>trials, increases of</w:t>
      </w:r>
      <w:r>
        <w:rPr>
          <w:rFonts w:eastAsia="PMingLiU"/>
          <w:lang w:val="en-GB" w:eastAsia="zh-CN"/>
        </w:rPr>
        <w:t xml:space="preserve"> lipid parameters such as total </w:t>
      </w:r>
      <w:r w:rsidRPr="00295B94">
        <w:rPr>
          <w:rFonts w:eastAsia="PMingLiU"/>
          <w:lang w:val="en-GB" w:eastAsia="zh-CN"/>
        </w:rPr>
        <w:t>cholesterol,</w:t>
      </w:r>
      <w:r>
        <w:rPr>
          <w:rFonts w:eastAsia="PMingLiU"/>
          <w:lang w:val="en-GB" w:eastAsia="zh-CN"/>
        </w:rPr>
        <w:t xml:space="preserve"> </w:t>
      </w:r>
      <w:r w:rsidRPr="00295B94">
        <w:rPr>
          <w:rFonts w:eastAsia="PMingLiU"/>
          <w:lang w:val="en-GB" w:eastAsia="zh-CN"/>
        </w:rPr>
        <w:t xml:space="preserve">triglycerides, LDL cholesterol, and/or HDL </w:t>
      </w:r>
      <w:r w:rsidRPr="00295B94">
        <w:rPr>
          <w:rFonts w:eastAsia="PMingLiU"/>
          <w:lang w:val="en-GB" w:eastAsia="zh-CN"/>
        </w:rPr>
        <w:lastRenderedPageBreak/>
        <w:t>cholester</w:t>
      </w:r>
      <w:r>
        <w:rPr>
          <w:rFonts w:eastAsia="PMingLiU"/>
          <w:lang w:val="en-GB" w:eastAsia="zh-CN"/>
        </w:rPr>
        <w:t xml:space="preserve">ol have been reported commonly. </w:t>
      </w:r>
      <w:r w:rsidRPr="00295B94">
        <w:rPr>
          <w:rFonts w:eastAsia="PMingLiU"/>
          <w:lang w:val="en-GB" w:eastAsia="zh-CN"/>
        </w:rPr>
        <w:t>Approximately</w:t>
      </w:r>
      <w:r>
        <w:rPr>
          <w:rFonts w:eastAsia="PMingLiU"/>
          <w:lang w:val="en-GB" w:eastAsia="zh-CN"/>
        </w:rPr>
        <w:t xml:space="preserve"> </w:t>
      </w:r>
      <w:r w:rsidRPr="00295B94">
        <w:rPr>
          <w:rFonts w:eastAsia="PMingLiU"/>
          <w:lang w:val="en-GB" w:eastAsia="zh-CN"/>
        </w:rPr>
        <w:t xml:space="preserve">24% of patients receiving </w:t>
      </w:r>
      <w:r>
        <w:rPr>
          <w:rFonts w:eastAsia="PMingLiU"/>
          <w:lang w:val="en-GB" w:eastAsia="zh-CN"/>
        </w:rPr>
        <w:t>ACTEMRA</w:t>
      </w:r>
      <w:r w:rsidRPr="00295B94">
        <w:rPr>
          <w:rFonts w:eastAsia="PMingLiU"/>
          <w:lang w:val="en-GB" w:eastAsia="zh-CN"/>
        </w:rPr>
        <w:t xml:space="preserve"> in clinical trial</w:t>
      </w:r>
      <w:r>
        <w:rPr>
          <w:rFonts w:eastAsia="PMingLiU"/>
          <w:lang w:val="en-GB" w:eastAsia="zh-CN"/>
        </w:rPr>
        <w:t xml:space="preserve">s </w:t>
      </w:r>
      <w:r w:rsidRPr="00295B94">
        <w:rPr>
          <w:rFonts w:eastAsia="PMingLiU"/>
          <w:lang w:val="en-GB" w:eastAsia="zh-CN"/>
        </w:rPr>
        <w:t>experienced sustained elevations in total</w:t>
      </w:r>
      <w:r>
        <w:rPr>
          <w:rFonts w:eastAsia="PMingLiU"/>
          <w:lang w:val="en-GB" w:eastAsia="zh-CN"/>
        </w:rPr>
        <w:t xml:space="preserve"> </w:t>
      </w:r>
      <w:r w:rsidRPr="00295B94">
        <w:rPr>
          <w:rFonts w:eastAsia="PMingLiU"/>
          <w:lang w:val="en-GB" w:eastAsia="zh-CN"/>
        </w:rPr>
        <w:t>chol</w:t>
      </w:r>
      <w:r>
        <w:rPr>
          <w:rFonts w:eastAsia="PMingLiU"/>
          <w:lang w:val="en-GB" w:eastAsia="zh-CN"/>
        </w:rPr>
        <w:t xml:space="preserve">esterol </w:t>
      </w:r>
      <w:r w:rsidR="009F4A0F">
        <w:rPr>
          <w:rFonts w:eastAsia="PMingLiU"/>
          <w:lang w:val="en-GB" w:eastAsia="zh-CN"/>
        </w:rPr>
        <w:t>&gt; 6.2 mmol/L (</w:t>
      </w:r>
      <w:r w:rsidR="00D27278">
        <w:rPr>
          <w:rFonts w:eastAsia="PMingLiU"/>
          <w:lang w:val="en-GB" w:eastAsia="zh-CN"/>
        </w:rPr>
        <w:t>240 mg/dL</w:t>
      </w:r>
      <w:r w:rsidR="009F4A0F">
        <w:rPr>
          <w:rFonts w:eastAsia="PMingLiU"/>
          <w:lang w:val="en-GB" w:eastAsia="zh-CN"/>
        </w:rPr>
        <w:t>)</w:t>
      </w:r>
      <w:r>
        <w:rPr>
          <w:rFonts w:eastAsia="PMingLiU"/>
          <w:lang w:val="en-GB" w:eastAsia="zh-CN"/>
        </w:rPr>
        <w:t xml:space="preserve">, with 15% </w:t>
      </w:r>
      <w:r w:rsidRPr="00295B94">
        <w:rPr>
          <w:rFonts w:eastAsia="PMingLiU"/>
          <w:lang w:val="en-GB" w:eastAsia="zh-CN"/>
        </w:rPr>
        <w:t xml:space="preserve">experiencing a sustained </w:t>
      </w:r>
      <w:r>
        <w:rPr>
          <w:rFonts w:eastAsia="PMingLiU"/>
          <w:lang w:val="en-GB" w:eastAsia="zh-CN"/>
        </w:rPr>
        <w:t xml:space="preserve">increase in LDL to ≥ </w:t>
      </w:r>
      <w:r w:rsidR="009F4A0F">
        <w:rPr>
          <w:rFonts w:eastAsia="PMingLiU"/>
          <w:lang w:val="en-GB" w:eastAsia="zh-CN"/>
        </w:rPr>
        <w:t>4.1 mmol/L (</w:t>
      </w:r>
      <w:r w:rsidR="00D27278">
        <w:rPr>
          <w:rFonts w:eastAsia="PMingLiU"/>
          <w:lang w:val="en-GB" w:eastAsia="zh-CN"/>
        </w:rPr>
        <w:t>160 mg</w:t>
      </w:r>
      <w:r>
        <w:rPr>
          <w:rFonts w:eastAsia="PMingLiU"/>
          <w:lang w:val="en-GB" w:eastAsia="zh-CN"/>
        </w:rPr>
        <w:t>/</w:t>
      </w:r>
      <w:r w:rsidR="00D27278">
        <w:rPr>
          <w:rFonts w:eastAsia="PMingLiU"/>
          <w:lang w:val="en-GB" w:eastAsia="zh-CN"/>
        </w:rPr>
        <w:t>d</w:t>
      </w:r>
      <w:r>
        <w:rPr>
          <w:rFonts w:eastAsia="PMingLiU"/>
          <w:lang w:val="en-GB" w:eastAsia="zh-CN"/>
        </w:rPr>
        <w:t>L</w:t>
      </w:r>
      <w:r w:rsidR="009F4A0F">
        <w:rPr>
          <w:rFonts w:eastAsia="PMingLiU"/>
          <w:lang w:val="en-GB" w:eastAsia="zh-CN"/>
        </w:rPr>
        <w:t>)</w:t>
      </w:r>
      <w:r w:rsidRPr="00295B94">
        <w:rPr>
          <w:rFonts w:eastAsia="PMingLiU"/>
          <w:lang w:val="en-GB" w:eastAsia="zh-CN"/>
        </w:rPr>
        <w:t>.</w:t>
      </w:r>
      <w:r>
        <w:rPr>
          <w:rFonts w:eastAsia="PMingLiU"/>
          <w:lang w:val="en-GB" w:eastAsia="zh-CN"/>
        </w:rPr>
        <w:t xml:space="preserve"> </w:t>
      </w:r>
      <w:r w:rsidRPr="00295B94">
        <w:rPr>
          <w:rFonts w:eastAsia="PMingLiU"/>
          <w:lang w:val="en-GB" w:eastAsia="zh-CN"/>
        </w:rPr>
        <w:t>Elevations in lipid parameters responded to treatment with lipid-lowering agents.</w:t>
      </w:r>
    </w:p>
    <w:p w:rsidR="0013581B" w:rsidRDefault="0013581B" w:rsidP="002A4150">
      <w:pPr>
        <w:jc w:val="both"/>
        <w:rPr>
          <w:rFonts w:eastAsia="PMingLiU"/>
          <w:lang w:val="en-GB" w:eastAsia="zh-CN"/>
        </w:rPr>
      </w:pPr>
    </w:p>
    <w:p w:rsidR="003D5817" w:rsidRPr="002047C9" w:rsidRDefault="003D5817" w:rsidP="003D5817">
      <w:pPr>
        <w:jc w:val="both"/>
        <w:rPr>
          <w:rFonts w:eastAsia="PMingLiU"/>
          <w:lang w:val="en-GB" w:eastAsia="zh-CN"/>
        </w:rPr>
      </w:pPr>
      <w:r w:rsidRPr="002047C9">
        <w:rPr>
          <w:rFonts w:eastAsia="PMingLiU"/>
          <w:lang w:val="en-GB" w:eastAsia="zh-CN"/>
        </w:rPr>
        <w:t xml:space="preserve">In the </w:t>
      </w:r>
      <w:r w:rsidRPr="002047C9">
        <w:rPr>
          <w:rFonts w:eastAsia="PMingLiU"/>
          <w:i/>
          <w:lang w:val="en-GB" w:eastAsia="zh-CN"/>
        </w:rPr>
        <w:t>all control</w:t>
      </w:r>
      <w:r w:rsidRPr="002047C9">
        <w:rPr>
          <w:rFonts w:eastAsia="PMingLiU"/>
          <w:lang w:val="en-GB" w:eastAsia="zh-CN"/>
        </w:rPr>
        <w:t xml:space="preserve"> and </w:t>
      </w:r>
      <w:r w:rsidRPr="002047C9">
        <w:rPr>
          <w:rFonts w:eastAsia="PMingLiU"/>
          <w:i/>
          <w:lang w:val="en-GB" w:eastAsia="zh-CN"/>
        </w:rPr>
        <w:t>all exposure</w:t>
      </w:r>
      <w:r w:rsidRPr="002047C9">
        <w:rPr>
          <w:rFonts w:eastAsia="PMingLiU"/>
          <w:lang w:val="en-GB" w:eastAsia="zh-CN"/>
        </w:rPr>
        <w:t xml:space="preserve"> population, the pattern</w:t>
      </w:r>
      <w:r>
        <w:rPr>
          <w:rFonts w:eastAsia="PMingLiU"/>
          <w:lang w:val="en-GB" w:eastAsia="zh-CN"/>
        </w:rPr>
        <w:t xml:space="preserve"> and incidence of elevations in </w:t>
      </w:r>
      <w:r w:rsidRPr="002047C9">
        <w:rPr>
          <w:rFonts w:eastAsia="PMingLiU"/>
          <w:lang w:val="en-GB" w:eastAsia="zh-CN"/>
        </w:rPr>
        <w:t>lipid parameters remained consistent with what was seen in the 6 month controlled</w:t>
      </w:r>
      <w:r>
        <w:rPr>
          <w:rFonts w:eastAsia="PMingLiU"/>
          <w:lang w:val="en-GB" w:eastAsia="zh-CN"/>
        </w:rPr>
        <w:t xml:space="preserve"> </w:t>
      </w:r>
      <w:r w:rsidRPr="002047C9">
        <w:rPr>
          <w:rFonts w:eastAsia="PMingLiU"/>
          <w:lang w:val="en-GB" w:eastAsia="zh-CN"/>
        </w:rPr>
        <w:t>clinical trials.</w:t>
      </w:r>
    </w:p>
    <w:p w:rsidR="003D5817" w:rsidRDefault="003D5817" w:rsidP="002A4150">
      <w:pPr>
        <w:jc w:val="both"/>
        <w:rPr>
          <w:rFonts w:eastAsia="PMingLiU"/>
          <w:lang w:val="en-GB" w:eastAsia="zh-CN"/>
        </w:rPr>
      </w:pPr>
    </w:p>
    <w:p w:rsidR="002B623D" w:rsidRPr="002047C9" w:rsidRDefault="002B623D" w:rsidP="002B623D">
      <w:pPr>
        <w:jc w:val="both"/>
        <w:rPr>
          <w:rFonts w:eastAsia="PMingLiU"/>
          <w:lang w:val="en-GB" w:eastAsia="zh-CN"/>
        </w:rPr>
      </w:pPr>
      <w:r>
        <w:rPr>
          <w:i/>
        </w:rPr>
        <w:t>Polyarticular Juvenile Idiopathic A</w:t>
      </w:r>
      <w:r w:rsidRPr="006D4525">
        <w:rPr>
          <w:i/>
        </w:rPr>
        <w:t>rthritis</w:t>
      </w:r>
    </w:p>
    <w:p w:rsidR="002B623D" w:rsidRDefault="002B623D" w:rsidP="00C3005B">
      <w:pPr>
        <w:jc w:val="both"/>
        <w:rPr>
          <w:rFonts w:eastAsia="PMingLiU"/>
          <w:lang w:val="en-GB" w:eastAsia="zh-CN"/>
        </w:rPr>
      </w:pPr>
      <w:r w:rsidRPr="008C1AD4">
        <w:rPr>
          <w:rFonts w:eastAsia="PMingLiU"/>
          <w:lang w:val="en-GB" w:eastAsia="zh-CN"/>
        </w:rPr>
        <w:t xml:space="preserve">During routine laboratory monitoring in the </w:t>
      </w:r>
      <w:r>
        <w:rPr>
          <w:rFonts w:eastAsia="PMingLiU"/>
          <w:lang w:val="en-GB" w:eastAsia="zh-CN"/>
        </w:rPr>
        <w:t>ACTEMRA</w:t>
      </w:r>
      <w:r w:rsidRPr="008C1AD4">
        <w:rPr>
          <w:rFonts w:eastAsia="PMingLiU"/>
          <w:lang w:val="en-GB" w:eastAsia="zh-CN"/>
        </w:rPr>
        <w:t xml:space="preserve"> all exposure population, the highest post-baseline values for total cholesterol were &gt;</w:t>
      </w:r>
      <w:r>
        <w:rPr>
          <w:rFonts w:eastAsia="PMingLiU"/>
          <w:lang w:val="en-GB" w:eastAsia="zh-CN"/>
        </w:rPr>
        <w:t xml:space="preserve"> </w:t>
      </w:r>
      <w:r w:rsidRPr="008C1AD4">
        <w:rPr>
          <w:rFonts w:eastAsia="PMingLiU"/>
          <w:lang w:val="en-GB" w:eastAsia="zh-CN"/>
        </w:rPr>
        <w:t>1.5-2 x ULN in one patient (0.5%) and for LDL &gt;</w:t>
      </w:r>
      <w:r>
        <w:rPr>
          <w:rFonts w:eastAsia="PMingLiU"/>
          <w:lang w:val="en-GB" w:eastAsia="zh-CN"/>
        </w:rPr>
        <w:t xml:space="preserve"> </w:t>
      </w:r>
      <w:r w:rsidRPr="008C1AD4">
        <w:rPr>
          <w:rFonts w:eastAsia="PMingLiU"/>
          <w:lang w:val="en-GB" w:eastAsia="zh-CN"/>
        </w:rPr>
        <w:t xml:space="preserve">1.5-2 </w:t>
      </w:r>
      <w:r>
        <w:rPr>
          <w:rFonts w:eastAsia="PMingLiU"/>
          <w:lang w:val="en-GB" w:eastAsia="zh-CN"/>
        </w:rPr>
        <w:t>x ULN in one patient (0.5%)</w:t>
      </w:r>
      <w:r w:rsidRPr="008C1AD4">
        <w:rPr>
          <w:rFonts w:eastAsia="PMingLiU"/>
          <w:lang w:val="en-GB" w:eastAsia="zh-CN"/>
        </w:rPr>
        <w:t>.</w:t>
      </w:r>
      <w:r w:rsidR="00C3005B">
        <w:rPr>
          <w:rFonts w:eastAsia="PMingLiU"/>
          <w:lang w:val="en-GB" w:eastAsia="zh-CN"/>
        </w:rPr>
        <w:t xml:space="preserve"> </w:t>
      </w:r>
      <w:r w:rsidR="007E4B8C">
        <w:rPr>
          <w:rFonts w:eastAsia="PMingLiU"/>
          <w:lang w:val="en-GB" w:eastAsia="zh-CN"/>
        </w:rPr>
        <w:t xml:space="preserve">Of 185 </w:t>
      </w:r>
      <w:r w:rsidR="00C3005B">
        <w:rPr>
          <w:rFonts w:eastAsia="PMingLiU"/>
          <w:lang w:val="en-GB" w:eastAsia="zh-CN"/>
        </w:rPr>
        <w:t>patients</w:t>
      </w:r>
      <w:r w:rsidR="007E4B8C">
        <w:rPr>
          <w:rFonts w:eastAsia="PMingLiU"/>
          <w:lang w:val="en-GB" w:eastAsia="zh-CN"/>
        </w:rPr>
        <w:t xml:space="preserve"> assessed 19 patients</w:t>
      </w:r>
      <w:r w:rsidR="00C3005B">
        <w:rPr>
          <w:rFonts w:eastAsia="PMingLiU"/>
          <w:lang w:val="en-GB" w:eastAsia="zh-CN"/>
        </w:rPr>
        <w:t xml:space="preserve"> </w:t>
      </w:r>
      <w:r w:rsidR="00C3005B" w:rsidRPr="00C3005B">
        <w:rPr>
          <w:rFonts w:eastAsia="PMingLiU"/>
          <w:lang w:val="en-GB" w:eastAsia="zh-CN"/>
        </w:rPr>
        <w:t xml:space="preserve">experienced </w:t>
      </w:r>
      <w:r w:rsidR="00C3005B">
        <w:rPr>
          <w:rFonts w:eastAsia="PMingLiU"/>
          <w:lang w:val="en-GB" w:eastAsia="zh-CN"/>
        </w:rPr>
        <w:t xml:space="preserve">consecutive sustained elevation </w:t>
      </w:r>
      <w:r w:rsidR="00C3005B" w:rsidRPr="00C3005B">
        <w:rPr>
          <w:rFonts w:eastAsia="PMingLiU"/>
          <w:lang w:val="en-GB" w:eastAsia="zh-CN"/>
        </w:rPr>
        <w:t xml:space="preserve">of their total cholesterol value ≥ </w:t>
      </w:r>
      <w:r w:rsidR="00AE12D8">
        <w:rPr>
          <w:rFonts w:eastAsia="PMingLiU"/>
          <w:lang w:val="en-GB" w:eastAsia="zh-CN"/>
        </w:rPr>
        <w:t>4.4 mmol/L (</w:t>
      </w:r>
      <w:r w:rsidR="00C3005B" w:rsidRPr="00C3005B">
        <w:rPr>
          <w:rFonts w:eastAsia="PMingLiU"/>
          <w:lang w:val="en-GB" w:eastAsia="zh-CN"/>
        </w:rPr>
        <w:t>170 mg/dL</w:t>
      </w:r>
      <w:r w:rsidR="00AE12D8">
        <w:rPr>
          <w:rFonts w:eastAsia="PMingLiU"/>
          <w:lang w:val="en-GB" w:eastAsia="zh-CN"/>
        </w:rPr>
        <w:t>)</w:t>
      </w:r>
      <w:r w:rsidR="00C3005B" w:rsidRPr="00C3005B">
        <w:rPr>
          <w:rFonts w:eastAsia="PMingLiU"/>
          <w:lang w:val="en-GB" w:eastAsia="zh-CN"/>
        </w:rPr>
        <w:t xml:space="preserve"> at any time during study treatment</w:t>
      </w:r>
      <w:r w:rsidR="00C3005B">
        <w:rPr>
          <w:rFonts w:eastAsia="PMingLiU"/>
          <w:lang w:val="en-GB" w:eastAsia="zh-CN"/>
        </w:rPr>
        <w:t>.</w:t>
      </w:r>
    </w:p>
    <w:p w:rsidR="002B623D" w:rsidRDefault="002B623D" w:rsidP="002A4150">
      <w:pPr>
        <w:jc w:val="both"/>
        <w:rPr>
          <w:rFonts w:eastAsia="PMingLiU"/>
          <w:lang w:val="en-GB" w:eastAsia="zh-CN"/>
        </w:rPr>
      </w:pPr>
    </w:p>
    <w:p w:rsidR="00D717CE" w:rsidRPr="00190D02" w:rsidRDefault="00D717CE" w:rsidP="00D717CE">
      <w:pPr>
        <w:jc w:val="both"/>
        <w:rPr>
          <w:rFonts w:eastAsia="PMingLiU"/>
          <w:lang w:val="en-GB" w:eastAsia="zh-CN"/>
        </w:rPr>
      </w:pPr>
      <w:r w:rsidRPr="006D4525">
        <w:rPr>
          <w:i/>
        </w:rPr>
        <w:t xml:space="preserve">Systemic </w:t>
      </w:r>
      <w:r w:rsidR="002B623D">
        <w:rPr>
          <w:i/>
        </w:rPr>
        <w:t>J</w:t>
      </w:r>
      <w:r w:rsidRPr="006D4525">
        <w:rPr>
          <w:i/>
        </w:rPr>
        <w:t xml:space="preserve">uvenile </w:t>
      </w:r>
      <w:r w:rsidR="002B623D">
        <w:rPr>
          <w:i/>
        </w:rPr>
        <w:t>I</w:t>
      </w:r>
      <w:r w:rsidRPr="006D4525">
        <w:rPr>
          <w:i/>
        </w:rPr>
        <w:t xml:space="preserve">diopathic </w:t>
      </w:r>
      <w:r w:rsidR="002B623D">
        <w:rPr>
          <w:i/>
        </w:rPr>
        <w:t>A</w:t>
      </w:r>
      <w:r w:rsidRPr="006D4525">
        <w:rPr>
          <w:i/>
        </w:rPr>
        <w:t>rthritis</w:t>
      </w:r>
    </w:p>
    <w:p w:rsidR="00D717CE" w:rsidRDefault="00D717CE" w:rsidP="00D717CE">
      <w:pPr>
        <w:jc w:val="both"/>
        <w:rPr>
          <w:rFonts w:eastAsia="PMingLiU"/>
          <w:lang w:val="en-GB" w:eastAsia="zh-CN"/>
        </w:rPr>
      </w:pPr>
      <w:r w:rsidRPr="00190D02">
        <w:rPr>
          <w:rFonts w:eastAsia="PMingLiU"/>
          <w:lang w:val="en-GB" w:eastAsia="zh-CN"/>
        </w:rPr>
        <w:t xml:space="preserve">During routine laboratory monitoring in the 12 week controlled trial, elevation in total cholesterol &gt;1.5 x ULN to 2 x ULN occurred in 1.5% of the </w:t>
      </w:r>
      <w:r>
        <w:rPr>
          <w:rFonts w:eastAsia="PMingLiU"/>
          <w:lang w:val="en-GB" w:eastAsia="zh-CN"/>
        </w:rPr>
        <w:t>ACTEMRA</w:t>
      </w:r>
      <w:r w:rsidRPr="00190D02">
        <w:rPr>
          <w:rFonts w:eastAsia="PMingLiU"/>
          <w:lang w:val="en-GB" w:eastAsia="zh-CN"/>
        </w:rPr>
        <w:t xml:space="preserve"> group and in 0% of placebo patients. Elevation in LDL &gt;1.5 x ULN to 2 x ULN occurred in 1.9% of patients in the </w:t>
      </w:r>
      <w:r>
        <w:rPr>
          <w:rFonts w:eastAsia="PMingLiU"/>
          <w:lang w:val="en-GB" w:eastAsia="zh-CN"/>
        </w:rPr>
        <w:t xml:space="preserve">ACTEMRA </w:t>
      </w:r>
      <w:r w:rsidRPr="00190D02">
        <w:rPr>
          <w:rFonts w:eastAsia="PMingLiU"/>
          <w:lang w:val="en-GB" w:eastAsia="zh-CN"/>
        </w:rPr>
        <w:t xml:space="preserve">group </w:t>
      </w:r>
      <w:r>
        <w:rPr>
          <w:rFonts w:eastAsia="PMingLiU"/>
          <w:lang w:val="en-GB" w:eastAsia="zh-CN"/>
        </w:rPr>
        <w:t>and 0% of the placebo group</w:t>
      </w:r>
      <w:r w:rsidRPr="00190D02">
        <w:rPr>
          <w:rFonts w:eastAsia="PMingLiU"/>
          <w:lang w:val="en-GB" w:eastAsia="zh-CN"/>
        </w:rPr>
        <w:t>.</w:t>
      </w:r>
    </w:p>
    <w:p w:rsidR="00D510AE" w:rsidRDefault="00D510AE" w:rsidP="00D717CE">
      <w:pPr>
        <w:jc w:val="both"/>
        <w:rPr>
          <w:rFonts w:eastAsia="PMingLiU"/>
          <w:lang w:val="en-GB" w:eastAsia="zh-CN"/>
        </w:rPr>
      </w:pPr>
    </w:p>
    <w:p w:rsidR="00D717CE" w:rsidRDefault="00D717CE" w:rsidP="00D717CE">
      <w:pPr>
        <w:jc w:val="both"/>
        <w:rPr>
          <w:rFonts w:eastAsia="PMingLiU"/>
          <w:lang w:val="en-GB" w:eastAsia="zh-CN"/>
        </w:rPr>
      </w:pPr>
      <w:r w:rsidRPr="00190D02">
        <w:rPr>
          <w:rFonts w:eastAsia="PMingLiU"/>
          <w:lang w:val="en-GB" w:eastAsia="zh-CN"/>
        </w:rPr>
        <w:t>In the ongoing open-label extension study the pattern and incidence of elevations in lipid parameters remained consistent with the 12</w:t>
      </w:r>
      <w:r>
        <w:rPr>
          <w:rFonts w:eastAsia="PMingLiU"/>
          <w:lang w:val="en-GB" w:eastAsia="zh-CN"/>
        </w:rPr>
        <w:t xml:space="preserve"> week controlled trial data</w:t>
      </w:r>
      <w:r w:rsidRPr="00190D02">
        <w:rPr>
          <w:rFonts w:eastAsia="PMingLiU"/>
          <w:lang w:val="en-GB" w:eastAsia="zh-CN"/>
        </w:rPr>
        <w:t>.</w:t>
      </w:r>
      <w:r w:rsidR="004319E6">
        <w:rPr>
          <w:rFonts w:eastAsia="PMingLiU"/>
          <w:lang w:val="en-GB" w:eastAsia="zh-CN"/>
        </w:rPr>
        <w:t xml:space="preserve"> </w:t>
      </w:r>
      <w:r w:rsidR="004319E6" w:rsidRPr="004319E6">
        <w:rPr>
          <w:rFonts w:eastAsia="PMingLiU"/>
          <w:lang w:val="en-GB" w:eastAsia="zh-CN"/>
        </w:rPr>
        <w:t xml:space="preserve">Of </w:t>
      </w:r>
      <w:r w:rsidR="004319E6">
        <w:rPr>
          <w:rFonts w:eastAsia="PMingLiU"/>
          <w:lang w:val="en-GB" w:eastAsia="zh-CN"/>
        </w:rPr>
        <w:t>107 patients assessed</w:t>
      </w:r>
      <w:r w:rsidR="004319E6" w:rsidRPr="004319E6">
        <w:rPr>
          <w:rFonts w:eastAsia="PMingLiU"/>
          <w:lang w:val="en-GB" w:eastAsia="zh-CN"/>
        </w:rPr>
        <w:t xml:space="preserve"> 22 experienced consecutive sustained elevation of their total cholesterol value ≥</w:t>
      </w:r>
      <w:r w:rsidR="00AE12D8">
        <w:rPr>
          <w:rFonts w:eastAsia="PMingLiU"/>
          <w:lang w:val="en-GB" w:eastAsia="zh-CN"/>
        </w:rPr>
        <w:t xml:space="preserve"> 4.4 mmol/L</w:t>
      </w:r>
      <w:r w:rsidR="004319E6" w:rsidRPr="004319E6">
        <w:rPr>
          <w:rFonts w:eastAsia="PMingLiU"/>
          <w:lang w:val="en-GB" w:eastAsia="zh-CN"/>
        </w:rPr>
        <w:t xml:space="preserve"> </w:t>
      </w:r>
      <w:r w:rsidR="00AE12D8">
        <w:rPr>
          <w:rFonts w:eastAsia="PMingLiU"/>
          <w:lang w:val="en-GB" w:eastAsia="zh-CN"/>
        </w:rPr>
        <w:t>(</w:t>
      </w:r>
      <w:r w:rsidR="004319E6" w:rsidRPr="004319E6">
        <w:rPr>
          <w:rFonts w:eastAsia="PMingLiU"/>
          <w:lang w:val="en-GB" w:eastAsia="zh-CN"/>
        </w:rPr>
        <w:t>170 mg/dL</w:t>
      </w:r>
      <w:r w:rsidR="00AE12D8">
        <w:rPr>
          <w:rFonts w:eastAsia="PMingLiU"/>
          <w:lang w:val="en-GB" w:eastAsia="zh-CN"/>
        </w:rPr>
        <w:t>)</w:t>
      </w:r>
      <w:r w:rsidR="004319E6" w:rsidRPr="004319E6">
        <w:rPr>
          <w:rFonts w:eastAsia="PMingLiU"/>
          <w:lang w:val="en-GB" w:eastAsia="zh-CN"/>
        </w:rPr>
        <w:t xml:space="preserve"> at any time during study treatment</w:t>
      </w:r>
      <w:r w:rsidR="004319E6">
        <w:rPr>
          <w:rFonts w:eastAsia="PMingLiU"/>
          <w:lang w:val="en-GB" w:eastAsia="zh-CN"/>
        </w:rPr>
        <w:t>.</w:t>
      </w:r>
    </w:p>
    <w:p w:rsidR="0048766D" w:rsidRDefault="0048766D" w:rsidP="00D717CE">
      <w:pPr>
        <w:jc w:val="both"/>
        <w:rPr>
          <w:rFonts w:eastAsia="PMingLiU"/>
          <w:lang w:val="en-GB" w:eastAsia="zh-CN"/>
        </w:rPr>
      </w:pPr>
    </w:p>
    <w:p w:rsidR="0013581B" w:rsidRPr="00736B32" w:rsidRDefault="0013581B" w:rsidP="009B3234">
      <w:pPr>
        <w:pStyle w:val="Heading4"/>
        <w:numPr>
          <w:ilvl w:val="0"/>
          <w:numId w:val="0"/>
        </w:numPr>
        <w:jc w:val="both"/>
        <w:rPr>
          <w:rFonts w:ascii="Times New Roman" w:hAnsi="Times New Roman"/>
        </w:rPr>
      </w:pPr>
      <w:r w:rsidRPr="00736B32">
        <w:rPr>
          <w:rFonts w:ascii="Times New Roman" w:hAnsi="Times New Roman"/>
        </w:rPr>
        <w:t>Malignancies</w:t>
      </w:r>
    </w:p>
    <w:p w:rsidR="0013581B" w:rsidRDefault="0013581B" w:rsidP="009B3234">
      <w:pPr>
        <w:autoSpaceDE w:val="0"/>
        <w:autoSpaceDN w:val="0"/>
        <w:adjustRightInd w:val="0"/>
        <w:jc w:val="both"/>
        <w:rPr>
          <w:rFonts w:eastAsia="PMingLiU"/>
          <w:lang w:val="en-GB" w:eastAsia="zh-CN"/>
        </w:rPr>
      </w:pPr>
      <w:r w:rsidRPr="00736B32">
        <w:rPr>
          <w:rFonts w:eastAsia="PMingLiU"/>
          <w:lang w:val="en-GB" w:eastAsia="zh-CN"/>
        </w:rPr>
        <w:t xml:space="preserve">The clinical data are insufficient to assess the potential incidence of malignancy following exposure to </w:t>
      </w:r>
      <w:r w:rsidR="00672623">
        <w:rPr>
          <w:rFonts w:eastAsia="PMingLiU"/>
          <w:lang w:val="en-GB" w:eastAsia="zh-CN"/>
        </w:rPr>
        <w:t>ACTEMRA</w:t>
      </w:r>
      <w:r w:rsidRPr="00736B32">
        <w:rPr>
          <w:rFonts w:eastAsia="PMingLiU"/>
          <w:lang w:val="en-GB" w:eastAsia="zh-CN"/>
        </w:rPr>
        <w:t>. Long-term safety evaluations are ongoing.</w:t>
      </w:r>
    </w:p>
    <w:p w:rsidR="0048766D" w:rsidRPr="00B81DBF" w:rsidRDefault="0048766D" w:rsidP="00B81DBF">
      <w:pPr>
        <w:jc w:val="both"/>
        <w:rPr>
          <w:rFonts w:eastAsia="PMingLiU"/>
        </w:rPr>
      </w:pPr>
    </w:p>
    <w:p w:rsidR="00DF1B1C" w:rsidRPr="00DF1B1C" w:rsidRDefault="00DF1B1C" w:rsidP="009B3234">
      <w:pPr>
        <w:pStyle w:val="Heading3"/>
        <w:numPr>
          <w:ilvl w:val="0"/>
          <w:numId w:val="0"/>
        </w:numPr>
        <w:jc w:val="both"/>
        <w:rPr>
          <w:rFonts w:ascii="Times New Roman" w:hAnsi="Times New Roman" w:cs="Times New Roman"/>
        </w:rPr>
      </w:pPr>
      <w:bookmarkStart w:id="22" w:name="OLE_LINK9"/>
      <w:bookmarkStart w:id="23" w:name="OLE_LINK10"/>
      <w:r w:rsidRPr="00DF1B1C">
        <w:rPr>
          <w:rFonts w:ascii="Times New Roman" w:hAnsi="Times New Roman" w:cs="Times New Roman"/>
        </w:rPr>
        <w:t>Post-Marketing Experience</w:t>
      </w:r>
    </w:p>
    <w:p w:rsidR="00F62875" w:rsidRDefault="00F45A6B" w:rsidP="009B3234">
      <w:pPr>
        <w:jc w:val="both"/>
      </w:pPr>
      <w:r>
        <w:t>The safety profile in post-marketing experience is consistent with clinical trial data with the exception of</w:t>
      </w:r>
      <w:r w:rsidR="00F62875">
        <w:t>:</w:t>
      </w:r>
    </w:p>
    <w:p w:rsidR="00F62875" w:rsidRDefault="00F62875" w:rsidP="009B3234">
      <w:pPr>
        <w:jc w:val="both"/>
      </w:pPr>
    </w:p>
    <w:p w:rsidR="00DF1B1C" w:rsidRDefault="00F62875" w:rsidP="009B3234">
      <w:pPr>
        <w:jc w:val="both"/>
      </w:pPr>
      <w:r w:rsidRPr="00F62875">
        <w:rPr>
          <w:i/>
        </w:rPr>
        <w:t>Immune system disorders</w:t>
      </w:r>
      <w:r>
        <w:t>:</w:t>
      </w:r>
      <w:r w:rsidR="00F45A6B">
        <w:t xml:space="preserve"> </w:t>
      </w:r>
      <w:r w:rsidR="00731487">
        <w:t>reports of fatal anaphylaxis</w:t>
      </w:r>
      <w:r w:rsidR="00DF1B1C">
        <w:t xml:space="preserve"> during </w:t>
      </w:r>
      <w:r w:rsidR="00E4073E">
        <w:t>ACTEMRA treatment</w:t>
      </w:r>
      <w:r w:rsidR="00DF1B1C">
        <w:t xml:space="preserve"> (see </w:t>
      </w:r>
      <w:r w:rsidR="00731487">
        <w:t xml:space="preserve">CONTRAINDICATIONS and </w:t>
      </w:r>
      <w:r w:rsidR="00DF1B1C">
        <w:t>PRECAUTIONS – Hypersensitivity Reactions).</w:t>
      </w:r>
    </w:p>
    <w:p w:rsidR="00B4324B" w:rsidRDefault="00B4324B" w:rsidP="009B3234">
      <w:pPr>
        <w:jc w:val="both"/>
      </w:pPr>
    </w:p>
    <w:p w:rsidR="00B4324B" w:rsidRDefault="00B4324B" w:rsidP="009B3234">
      <w:pPr>
        <w:jc w:val="both"/>
      </w:pPr>
      <w:r>
        <w:rPr>
          <w:i/>
          <w:iCs/>
          <w:sz w:val="23"/>
          <w:szCs w:val="23"/>
        </w:rPr>
        <w:t>Skin and subcutaneous tissue disorders</w:t>
      </w:r>
      <w:r>
        <w:rPr>
          <w:sz w:val="23"/>
          <w:szCs w:val="23"/>
        </w:rPr>
        <w:t>: Stevens-Johnson Syndrome (SJS) has been reported during treatment with ACTEMRA.</w:t>
      </w:r>
    </w:p>
    <w:p w:rsidR="00DF1B1C" w:rsidRDefault="00DF1B1C" w:rsidP="004E076C">
      <w:pPr>
        <w:jc w:val="both"/>
      </w:pPr>
    </w:p>
    <w:bookmarkEnd w:id="22"/>
    <w:bookmarkEnd w:id="23"/>
    <w:p w:rsidR="00194929" w:rsidRPr="009F45F4" w:rsidRDefault="009F45F4" w:rsidP="009F45F4">
      <w:pPr>
        <w:pStyle w:val="Heading2"/>
        <w:numPr>
          <w:ilvl w:val="0"/>
          <w:numId w:val="0"/>
        </w:numPr>
        <w:rPr>
          <w:rFonts w:ascii="Times New Roman" w:hAnsi="Times New Roman" w:cs="Times New Roman"/>
          <w:sz w:val="28"/>
        </w:rPr>
      </w:pPr>
      <w:r>
        <w:rPr>
          <w:rFonts w:ascii="Times New Roman" w:hAnsi="Times New Roman" w:cs="Times New Roman"/>
          <w:sz w:val="28"/>
        </w:rPr>
        <w:lastRenderedPageBreak/>
        <w:t>DOSAGE AND ADMINISTRATION</w:t>
      </w:r>
    </w:p>
    <w:p w:rsidR="00A01F47" w:rsidRDefault="00A01F47" w:rsidP="00A01F47">
      <w:pPr>
        <w:jc w:val="both"/>
      </w:pPr>
      <w:bookmarkStart w:id="24" w:name="OLE_LINK28"/>
      <w:r>
        <w:t>Treatment should be initiated by healthcare professionals experienced not only in the diagnosis and treatment of RA</w:t>
      </w:r>
      <w:r w:rsidR="00145886">
        <w:t>, pJIA</w:t>
      </w:r>
      <w:r w:rsidR="00AD0403">
        <w:t xml:space="preserve"> or sJIA</w:t>
      </w:r>
      <w:r>
        <w:t xml:space="preserve"> but also in the use of biological therapies for </w:t>
      </w:r>
      <w:r w:rsidR="00145886">
        <w:t xml:space="preserve">these </w:t>
      </w:r>
      <w:r>
        <w:t>condition</w:t>
      </w:r>
      <w:r w:rsidR="00145886">
        <w:t>s</w:t>
      </w:r>
      <w:r>
        <w:t>.</w:t>
      </w:r>
      <w:r w:rsidR="00CD52B1">
        <w:t xml:space="preserve"> For pJIA and sJIA treatment should be prescribed by medical practitioners experienced in the management of these conditions.</w:t>
      </w:r>
    </w:p>
    <w:p w:rsidR="001020C7" w:rsidRDefault="001020C7" w:rsidP="00A01F47">
      <w:pPr>
        <w:jc w:val="both"/>
      </w:pPr>
    </w:p>
    <w:p w:rsidR="00D74144" w:rsidRDefault="00D74144" w:rsidP="00D74144">
      <w:pPr>
        <w:jc w:val="both"/>
      </w:pPr>
      <w:r>
        <w:t>ACTEMRA should be diluted by a healthcare professional with sterile 0.9% w/v sodium chloride solution using aseptic technique (see section Preparing the Infusion).</w:t>
      </w:r>
    </w:p>
    <w:p w:rsidR="00D74144" w:rsidRDefault="00D74144" w:rsidP="00D74144">
      <w:pPr>
        <w:jc w:val="both"/>
      </w:pPr>
    </w:p>
    <w:p w:rsidR="004B0B53" w:rsidRDefault="00D74144" w:rsidP="00D74144">
      <w:pPr>
        <w:jc w:val="both"/>
      </w:pPr>
      <w:r>
        <w:t>ACTEMRA is recommended for IV infusion over 1 hour.</w:t>
      </w:r>
    </w:p>
    <w:p w:rsidR="00D74144" w:rsidRDefault="00D74144" w:rsidP="00D74144">
      <w:pPr>
        <w:jc w:val="both"/>
        <w:rPr>
          <w:b/>
        </w:rPr>
      </w:pPr>
    </w:p>
    <w:p w:rsidR="00A01F47" w:rsidRPr="00B81DBF" w:rsidRDefault="00A01F47" w:rsidP="009F45F4">
      <w:pPr>
        <w:jc w:val="both"/>
        <w:rPr>
          <w:rFonts w:eastAsia="SimSun"/>
          <w:b/>
        </w:rPr>
      </w:pPr>
      <w:r>
        <w:rPr>
          <w:rFonts w:eastAsia="SimSun" w:cs="Arial"/>
          <w:lang w:val="en-GB" w:eastAsia="zh-CN" w:bidi="th-TH"/>
        </w:rPr>
        <w:t>During IV infusion, and for 30 minutes post-infusion with ACTEMRA, the patient must be closely monitored at all times for any signs or symptoms of a hypersensitivity reaction. Should any such reaction occur then appropriate urgent responses and treatments are to be initiated. The necessary equipment, treatments and protocols sufficient to initiate the management of acute anaphylaxis are to be in place along with the availability of appropriately trained personnel. There must be continued education and training of the health care professionals who administer the infusions. As part of the informed consent process patients should be made aware of the risk of anaphylaxis and the equipment, treatments and protocols in place to manage this risk.</w:t>
      </w:r>
    </w:p>
    <w:p w:rsidR="00A4076D" w:rsidRPr="00B81DBF" w:rsidRDefault="00A4076D" w:rsidP="009F45F4">
      <w:pPr>
        <w:jc w:val="both"/>
        <w:rPr>
          <w:rFonts w:eastAsia="SimSun"/>
          <w:lang w:val="en-GB"/>
        </w:rPr>
      </w:pPr>
    </w:p>
    <w:p w:rsidR="00A4076D" w:rsidRPr="00A4076D" w:rsidRDefault="00A4076D" w:rsidP="009F45F4">
      <w:pPr>
        <w:jc w:val="both"/>
      </w:pPr>
      <w:r>
        <w:t xml:space="preserve">For the treatment of pJIA and sJIA ACTEMRA should be administered in a hospital setting with immediate access to the necessary medical personnel and full resuscitation facilities </w:t>
      </w:r>
      <w:r w:rsidR="0031127A">
        <w:t xml:space="preserve">(see PRECAUTIONS - </w:t>
      </w:r>
      <w:r w:rsidR="0031127A" w:rsidRPr="0031127A">
        <w:t>Hypersensitivity Reactions</w:t>
      </w:r>
      <w:r w:rsidR="0031127A">
        <w:t>, ADVERSE EFFECTS - Infusion</w:t>
      </w:r>
      <w:r w:rsidR="0031127A" w:rsidRPr="0031127A">
        <w:t xml:space="preserve"> Reactions</w:t>
      </w:r>
      <w:r w:rsidR="0031127A">
        <w:t xml:space="preserve"> and Post-marketing Experience)</w:t>
      </w:r>
      <w:r>
        <w:t>.</w:t>
      </w:r>
    </w:p>
    <w:p w:rsidR="00A01F47" w:rsidRDefault="00A01F47" w:rsidP="009F45F4">
      <w:pPr>
        <w:jc w:val="both"/>
        <w:rPr>
          <w:b/>
        </w:rPr>
      </w:pPr>
    </w:p>
    <w:p w:rsidR="00D717CE" w:rsidRDefault="00D717CE" w:rsidP="009F45F4">
      <w:pPr>
        <w:jc w:val="both"/>
      </w:pPr>
      <w:r w:rsidRPr="00195E94">
        <w:rPr>
          <w:b/>
        </w:rPr>
        <w:t>Rheumatoid Arthritis</w:t>
      </w:r>
      <w:r w:rsidR="00541153">
        <w:rPr>
          <w:b/>
        </w:rPr>
        <w:t xml:space="preserve"> in Adults</w:t>
      </w:r>
    </w:p>
    <w:bookmarkEnd w:id="24"/>
    <w:p w:rsidR="003D5817" w:rsidRDefault="009F45F4" w:rsidP="009F45F4">
      <w:pPr>
        <w:jc w:val="both"/>
      </w:pPr>
      <w:r w:rsidRPr="00A56D8D">
        <w:t xml:space="preserve">The </w:t>
      </w:r>
      <w:r>
        <w:t>recommended dose of</w:t>
      </w:r>
      <w:r w:rsidRPr="00A56D8D">
        <w:t xml:space="preserve"> </w:t>
      </w:r>
      <w:r w:rsidR="00AC1387">
        <w:t>ACTEMRA</w:t>
      </w:r>
      <w:r>
        <w:t xml:space="preserve"> for adult patients</w:t>
      </w:r>
      <w:r w:rsidRPr="00A56D8D">
        <w:rPr>
          <w:rFonts w:ascii="Arial" w:hAnsi="Arial"/>
        </w:rPr>
        <w:t xml:space="preserve"> </w:t>
      </w:r>
      <w:r w:rsidRPr="00A76254">
        <w:t xml:space="preserve">is </w:t>
      </w:r>
      <w:r>
        <w:t xml:space="preserve">8 mg/kg given once every </w:t>
      </w:r>
      <w:r w:rsidR="00A61963">
        <w:t xml:space="preserve">4 </w:t>
      </w:r>
      <w:r>
        <w:t>weeks as an IV infusion.</w:t>
      </w:r>
    </w:p>
    <w:p w:rsidR="003D5817" w:rsidRDefault="003D5817" w:rsidP="009F45F4">
      <w:pPr>
        <w:jc w:val="both"/>
      </w:pPr>
    </w:p>
    <w:p w:rsidR="009F45F4" w:rsidRDefault="003D5817" w:rsidP="009F45F4">
      <w:pPr>
        <w:jc w:val="both"/>
      </w:pPr>
      <w:r>
        <w:t>For individuals whose body weight is more than 100 kg, doses exceeding 800 mg per infusion are not recommended (see PHARMACOLOGY – PHARMACOKINETICS).</w:t>
      </w:r>
    </w:p>
    <w:p w:rsidR="004856C1" w:rsidRDefault="004856C1" w:rsidP="009F45F4">
      <w:pPr>
        <w:jc w:val="both"/>
      </w:pPr>
    </w:p>
    <w:p w:rsidR="009F45F4" w:rsidRDefault="004856C1" w:rsidP="009F45F4">
      <w:pPr>
        <w:jc w:val="both"/>
      </w:pPr>
      <w:r>
        <w:t xml:space="preserve">The calculated dose of </w:t>
      </w:r>
      <w:r w:rsidR="00AC1387">
        <w:t>ACTEMRA</w:t>
      </w:r>
      <w:r w:rsidR="009F45F4" w:rsidRPr="00305233">
        <w:t xml:space="preserve"> should be </w:t>
      </w:r>
      <w:r w:rsidR="009F45F4">
        <w:t>diluted to 100 mL</w:t>
      </w:r>
      <w:r>
        <w:t xml:space="preserve"> and administered as an</w:t>
      </w:r>
      <w:r w:rsidR="00467E8D">
        <w:t xml:space="preserve"> IV</w:t>
      </w:r>
      <w:r w:rsidR="00467E8D" w:rsidRPr="0006511B">
        <w:t xml:space="preserve"> infusion</w:t>
      </w:r>
      <w:r w:rsidR="00467E8D">
        <w:t xml:space="preserve"> over a period of 1 hour</w:t>
      </w:r>
      <w:r w:rsidR="005D1B70">
        <w:t>.</w:t>
      </w:r>
    </w:p>
    <w:p w:rsidR="004856C1" w:rsidRDefault="004856C1" w:rsidP="009F45F4">
      <w:pPr>
        <w:jc w:val="both"/>
      </w:pPr>
    </w:p>
    <w:p w:rsidR="00D717CE" w:rsidRDefault="00AC1387" w:rsidP="00A87778">
      <w:pPr>
        <w:jc w:val="both"/>
        <w:rPr>
          <w:rFonts w:eastAsia="SimSun" w:cs="Arial"/>
          <w:lang w:val="en-GB" w:eastAsia="zh-CN" w:bidi="th-TH"/>
        </w:rPr>
      </w:pPr>
      <w:r>
        <w:t>ACTEMRA</w:t>
      </w:r>
      <w:r w:rsidR="004856C1" w:rsidRPr="004A6E8C">
        <w:t xml:space="preserve"> </w:t>
      </w:r>
      <w:r w:rsidR="004856C1" w:rsidRPr="004A6E8C">
        <w:rPr>
          <w:rFonts w:eastAsia="SimSun" w:cs="Arial"/>
          <w:lang w:val="en-GB" w:eastAsia="zh-CN" w:bidi="th-TH"/>
        </w:rPr>
        <w:t xml:space="preserve">can be used alone or in combination with MTX </w:t>
      </w:r>
      <w:r w:rsidR="004856C1">
        <w:rPr>
          <w:rFonts w:eastAsia="SimSun" w:cs="Arial"/>
          <w:lang w:val="en-GB" w:eastAsia="zh-CN" w:bidi="th-TH"/>
        </w:rPr>
        <w:t>and/</w:t>
      </w:r>
      <w:r w:rsidR="004856C1" w:rsidRPr="004A6E8C">
        <w:rPr>
          <w:rFonts w:eastAsia="SimSun" w:cs="Arial"/>
          <w:lang w:val="en-GB" w:eastAsia="zh-CN" w:bidi="th-TH"/>
        </w:rPr>
        <w:t>or</w:t>
      </w:r>
      <w:r w:rsidR="00233D27">
        <w:rPr>
          <w:rFonts w:eastAsia="SimSun" w:cs="Arial"/>
          <w:lang w:val="en-GB" w:eastAsia="zh-CN" w:bidi="th-TH"/>
        </w:rPr>
        <w:t xml:space="preserve"> </w:t>
      </w:r>
      <w:r w:rsidR="004856C1" w:rsidRPr="004A6E8C">
        <w:rPr>
          <w:rFonts w:eastAsia="SimSun" w:cs="Arial"/>
          <w:lang w:val="en-GB" w:eastAsia="zh-CN" w:bidi="th-TH"/>
        </w:rPr>
        <w:t xml:space="preserve">other </w:t>
      </w:r>
      <w:r w:rsidR="00233D27">
        <w:rPr>
          <w:rFonts w:eastAsia="SimSun" w:cs="Arial"/>
          <w:lang w:val="en-GB" w:eastAsia="zh-CN" w:bidi="th-TH"/>
        </w:rPr>
        <w:t>non-biological</w:t>
      </w:r>
      <w:r w:rsidR="00233D27" w:rsidRPr="004A6E8C">
        <w:rPr>
          <w:rFonts w:eastAsia="SimSun" w:cs="Arial"/>
          <w:lang w:val="en-GB" w:eastAsia="zh-CN" w:bidi="th-TH"/>
        </w:rPr>
        <w:t xml:space="preserve"> </w:t>
      </w:r>
      <w:r w:rsidR="004856C1" w:rsidRPr="004A6E8C">
        <w:rPr>
          <w:rFonts w:eastAsia="SimSun" w:cs="Arial"/>
          <w:lang w:val="en-GB" w:eastAsia="zh-CN" w:bidi="th-TH"/>
        </w:rPr>
        <w:t>DMARDs</w:t>
      </w:r>
      <w:r w:rsidR="004856C1">
        <w:rPr>
          <w:rFonts w:eastAsia="SimSun" w:cs="Arial"/>
          <w:lang w:val="en-GB" w:eastAsia="zh-CN" w:bidi="th-TH"/>
        </w:rPr>
        <w:t>.</w:t>
      </w:r>
    </w:p>
    <w:p w:rsidR="006D35F1" w:rsidRDefault="006D35F1" w:rsidP="00A87778">
      <w:pPr>
        <w:jc w:val="both"/>
      </w:pPr>
    </w:p>
    <w:p w:rsidR="00AC1387" w:rsidRPr="009F45F4" w:rsidRDefault="00EE7332" w:rsidP="00AC1387">
      <w:pPr>
        <w:pStyle w:val="Heading3"/>
        <w:numPr>
          <w:ilvl w:val="0"/>
          <w:numId w:val="0"/>
        </w:numPr>
        <w:rPr>
          <w:rFonts w:ascii="Times New Roman" w:hAnsi="Times New Roman" w:cs="Times New Roman"/>
        </w:rPr>
      </w:pPr>
      <w:r>
        <w:rPr>
          <w:rFonts w:ascii="Times New Roman" w:hAnsi="Times New Roman" w:cs="Times New Roman"/>
        </w:rPr>
        <w:br w:type="page"/>
      </w:r>
      <w:r w:rsidR="00AC1387">
        <w:rPr>
          <w:rFonts w:ascii="Times New Roman" w:hAnsi="Times New Roman" w:cs="Times New Roman"/>
        </w:rPr>
        <w:lastRenderedPageBreak/>
        <w:t>Dose Modification</w:t>
      </w:r>
      <w:r w:rsidR="002D62D4">
        <w:rPr>
          <w:rFonts w:ascii="Times New Roman" w:hAnsi="Times New Roman" w:cs="Times New Roman"/>
        </w:rPr>
        <w:t xml:space="preserve"> Recommendations</w:t>
      </w:r>
      <w:r w:rsidR="00234265">
        <w:rPr>
          <w:rFonts w:ascii="Times New Roman" w:hAnsi="Times New Roman" w:cs="Times New Roman"/>
        </w:rPr>
        <w:t xml:space="preserve"> for RA</w:t>
      </w:r>
    </w:p>
    <w:p w:rsidR="00AC1387" w:rsidRDefault="00AC1387" w:rsidP="00AC1387">
      <w:pPr>
        <w:numPr>
          <w:ilvl w:val="0"/>
          <w:numId w:val="32"/>
        </w:numPr>
        <w:jc w:val="both"/>
      </w:pPr>
      <w:r>
        <w:t>Liver enzyme abnormalities</w:t>
      </w:r>
    </w:p>
    <w:p w:rsidR="00A61963" w:rsidRDefault="00A61963" w:rsidP="00A61963">
      <w:pPr>
        <w:jc w:val="both"/>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109"/>
      </w:tblGrid>
      <w:tr w:rsidR="00AC1387" w:rsidTr="00B81351">
        <w:tc>
          <w:tcPr>
            <w:tcW w:w="2400" w:type="dxa"/>
            <w:shd w:val="clear" w:color="auto" w:fill="auto"/>
          </w:tcPr>
          <w:p w:rsidR="00AC1387" w:rsidRPr="00B81351" w:rsidRDefault="00AC1387" w:rsidP="00B81351">
            <w:pPr>
              <w:pStyle w:val="TextTi12"/>
              <w:spacing w:after="0" w:line="240" w:lineRule="auto"/>
              <w:jc w:val="center"/>
              <w:rPr>
                <w:b/>
              </w:rPr>
            </w:pPr>
            <w:r w:rsidRPr="00B81351">
              <w:rPr>
                <w:b/>
              </w:rPr>
              <w:t>Lab Value</w:t>
            </w:r>
          </w:p>
        </w:tc>
        <w:tc>
          <w:tcPr>
            <w:tcW w:w="6109" w:type="dxa"/>
            <w:shd w:val="clear" w:color="auto" w:fill="auto"/>
          </w:tcPr>
          <w:p w:rsidR="00AC1387" w:rsidRPr="00B81351" w:rsidRDefault="00AC1387" w:rsidP="00B81351">
            <w:pPr>
              <w:pStyle w:val="TextTi12"/>
              <w:spacing w:after="0" w:line="240" w:lineRule="auto"/>
              <w:jc w:val="center"/>
              <w:rPr>
                <w:b/>
              </w:rPr>
            </w:pPr>
            <w:r w:rsidRPr="00B81351">
              <w:rPr>
                <w:b/>
              </w:rPr>
              <w:t>Action</w:t>
            </w:r>
          </w:p>
        </w:tc>
      </w:tr>
      <w:tr w:rsidR="00AC1387" w:rsidTr="00B81351">
        <w:tc>
          <w:tcPr>
            <w:tcW w:w="2400" w:type="dxa"/>
            <w:shd w:val="clear" w:color="auto" w:fill="auto"/>
          </w:tcPr>
          <w:p w:rsidR="00AC1387" w:rsidRDefault="00AC1387" w:rsidP="00B81351">
            <w:pPr>
              <w:pStyle w:val="TextTi12"/>
              <w:spacing w:after="0" w:line="240" w:lineRule="auto"/>
            </w:pPr>
            <w:r>
              <w:t>&gt; 1 to 3</w:t>
            </w:r>
            <w:r w:rsidR="00A61963">
              <w:t xml:space="preserve"> </w:t>
            </w:r>
            <w:r>
              <w:t>x ULN</w:t>
            </w:r>
          </w:p>
        </w:tc>
        <w:tc>
          <w:tcPr>
            <w:tcW w:w="6109" w:type="dxa"/>
            <w:shd w:val="clear" w:color="auto" w:fill="auto"/>
          </w:tcPr>
          <w:p w:rsidR="00AC1387" w:rsidRDefault="00AC1387" w:rsidP="00B81351">
            <w:pPr>
              <w:pStyle w:val="TextTi12"/>
              <w:spacing w:after="0" w:line="240" w:lineRule="auto"/>
            </w:pPr>
            <w:r>
              <w:t xml:space="preserve">Dose modify concomitant </w:t>
            </w:r>
            <w:r w:rsidR="00981E1D">
              <w:t xml:space="preserve">DMARDs </w:t>
            </w:r>
            <w:r>
              <w:t>if appropriate</w:t>
            </w:r>
          </w:p>
          <w:p w:rsidR="00D7213E" w:rsidRDefault="00D7213E" w:rsidP="00B81351">
            <w:pPr>
              <w:pStyle w:val="TextTi12"/>
              <w:spacing w:after="0" w:line="240" w:lineRule="auto"/>
            </w:pPr>
          </w:p>
          <w:p w:rsidR="00AC1387" w:rsidRDefault="00AC1387" w:rsidP="00B81351">
            <w:pPr>
              <w:pStyle w:val="TextTi12"/>
              <w:spacing w:after="0" w:line="240" w:lineRule="auto"/>
            </w:pPr>
            <w:r>
              <w:t>For persistent increases in this range, reduce ACTEMRA dose to 4 mg/kg or interrupt ACTEMRA until ALT/AST have normalised</w:t>
            </w:r>
          </w:p>
          <w:p w:rsidR="00D7213E" w:rsidRDefault="00D7213E" w:rsidP="00B81351">
            <w:pPr>
              <w:pStyle w:val="TextTi12"/>
              <w:spacing w:after="0" w:line="240" w:lineRule="auto"/>
            </w:pPr>
          </w:p>
          <w:p w:rsidR="00AC1387" w:rsidRDefault="00AC1387" w:rsidP="00B81351">
            <w:pPr>
              <w:pStyle w:val="TextTi12"/>
              <w:spacing w:after="0" w:line="240" w:lineRule="auto"/>
            </w:pPr>
            <w:r w:rsidRPr="00775554">
              <w:t>Restart with 4 mg/kg or 8 mg/kg, as clinically appropriate</w:t>
            </w:r>
          </w:p>
        </w:tc>
      </w:tr>
      <w:tr w:rsidR="00AC1387" w:rsidTr="00B81351">
        <w:tc>
          <w:tcPr>
            <w:tcW w:w="2400" w:type="dxa"/>
            <w:shd w:val="clear" w:color="auto" w:fill="auto"/>
          </w:tcPr>
          <w:p w:rsidR="00AC1387" w:rsidRDefault="00AC1387" w:rsidP="00B81351">
            <w:pPr>
              <w:pStyle w:val="TextTi12"/>
              <w:spacing w:after="0" w:line="240" w:lineRule="auto"/>
            </w:pPr>
            <w:r>
              <w:t>&gt; 3 to 5</w:t>
            </w:r>
            <w:r w:rsidR="00A61963">
              <w:t xml:space="preserve"> </w:t>
            </w:r>
            <w:r>
              <w:t>x ULN</w:t>
            </w:r>
          </w:p>
          <w:p w:rsidR="00AC1387" w:rsidRPr="00AC1387" w:rsidRDefault="00AC1387" w:rsidP="00B81351">
            <w:pPr>
              <w:pStyle w:val="TextTi12"/>
              <w:spacing w:after="0" w:line="240" w:lineRule="auto"/>
              <w:jc w:val="left"/>
            </w:pPr>
            <w:r w:rsidRPr="00E63958">
              <w:t xml:space="preserve">(confirmed by repeat testing, see </w:t>
            </w:r>
            <w:r>
              <w:t xml:space="preserve">PRECAUTIONS - </w:t>
            </w:r>
            <w:r w:rsidRPr="00AC1387">
              <w:t>Hepatic Transaminase Elevations</w:t>
            </w:r>
            <w:r w:rsidR="000C2E64">
              <w:t>)</w:t>
            </w:r>
          </w:p>
        </w:tc>
        <w:tc>
          <w:tcPr>
            <w:tcW w:w="6109" w:type="dxa"/>
            <w:shd w:val="clear" w:color="auto" w:fill="auto"/>
          </w:tcPr>
          <w:p w:rsidR="00AC1387" w:rsidRDefault="00AC1387" w:rsidP="00B81351">
            <w:pPr>
              <w:pStyle w:val="TextTi12"/>
              <w:spacing w:after="0" w:line="240" w:lineRule="auto"/>
            </w:pPr>
            <w:r>
              <w:t>Interrupt ACTEMRA dosing until &lt; 3</w:t>
            </w:r>
            <w:r w:rsidR="00A61963">
              <w:t xml:space="preserve"> </w:t>
            </w:r>
            <w:r>
              <w:t xml:space="preserve">x ULN </w:t>
            </w:r>
            <w:bookmarkStart w:id="25" w:name="OLE_LINK15"/>
            <w:bookmarkStart w:id="26" w:name="OLE_LINK16"/>
            <w:r>
              <w:t>and follow recommendations above  for &gt; 1 to 3</w:t>
            </w:r>
            <w:r w:rsidR="00A61963">
              <w:t xml:space="preserve"> </w:t>
            </w:r>
            <w:r>
              <w:t>x ULN</w:t>
            </w:r>
          </w:p>
          <w:bookmarkEnd w:id="25"/>
          <w:bookmarkEnd w:id="26"/>
          <w:p w:rsidR="00D7213E" w:rsidRDefault="00D7213E" w:rsidP="00B81351">
            <w:pPr>
              <w:pStyle w:val="TextTi12"/>
              <w:spacing w:after="0" w:line="240" w:lineRule="auto"/>
            </w:pPr>
          </w:p>
          <w:p w:rsidR="00AC1387" w:rsidRDefault="00AC1387" w:rsidP="00B81351">
            <w:pPr>
              <w:pStyle w:val="TextTi12"/>
              <w:spacing w:after="0" w:line="240" w:lineRule="auto"/>
            </w:pPr>
            <w:r>
              <w:t>For persistent increases &gt; 3</w:t>
            </w:r>
            <w:r w:rsidR="00A61963">
              <w:t xml:space="preserve"> </w:t>
            </w:r>
            <w:r>
              <w:t>x ULN, discontinue ACTEMRA</w:t>
            </w:r>
          </w:p>
        </w:tc>
      </w:tr>
      <w:tr w:rsidR="00AC1387" w:rsidTr="00B81351">
        <w:tc>
          <w:tcPr>
            <w:tcW w:w="2400" w:type="dxa"/>
            <w:shd w:val="clear" w:color="auto" w:fill="auto"/>
          </w:tcPr>
          <w:p w:rsidR="00AC1387" w:rsidRDefault="00AC1387" w:rsidP="00B81351">
            <w:pPr>
              <w:pStyle w:val="TextTi12"/>
              <w:spacing w:after="0" w:line="240" w:lineRule="auto"/>
            </w:pPr>
            <w:r>
              <w:t>&gt; 5</w:t>
            </w:r>
            <w:r w:rsidR="00A61963">
              <w:t xml:space="preserve"> </w:t>
            </w:r>
            <w:r>
              <w:t>x ULN</w:t>
            </w:r>
          </w:p>
        </w:tc>
        <w:tc>
          <w:tcPr>
            <w:tcW w:w="6109" w:type="dxa"/>
            <w:shd w:val="clear" w:color="auto" w:fill="auto"/>
          </w:tcPr>
          <w:p w:rsidR="00AC1387" w:rsidRDefault="00AC1387" w:rsidP="00B81351">
            <w:pPr>
              <w:pStyle w:val="TextTi12"/>
              <w:spacing w:after="0" w:line="240" w:lineRule="auto"/>
            </w:pPr>
            <w:r>
              <w:t>Discontinue ACTEMRA</w:t>
            </w:r>
          </w:p>
        </w:tc>
      </w:tr>
    </w:tbl>
    <w:p w:rsidR="00AC1387" w:rsidRDefault="00AC1387" w:rsidP="009F45F4">
      <w:pPr>
        <w:jc w:val="both"/>
      </w:pPr>
    </w:p>
    <w:p w:rsidR="00AC1387" w:rsidRDefault="00AC1387" w:rsidP="00AC1387">
      <w:pPr>
        <w:numPr>
          <w:ilvl w:val="0"/>
          <w:numId w:val="32"/>
        </w:numPr>
        <w:jc w:val="both"/>
      </w:pPr>
      <w:r w:rsidRPr="00AC1387">
        <w:t>Low absolute neutrophil count (ANC)</w:t>
      </w:r>
    </w:p>
    <w:p w:rsidR="00AC1387" w:rsidRDefault="00AC1387" w:rsidP="009F45F4">
      <w:pPr>
        <w:jc w:val="both"/>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109"/>
      </w:tblGrid>
      <w:tr w:rsidR="00D7213E" w:rsidTr="00B81351">
        <w:tc>
          <w:tcPr>
            <w:tcW w:w="2400" w:type="dxa"/>
            <w:shd w:val="clear" w:color="auto" w:fill="auto"/>
          </w:tcPr>
          <w:p w:rsidR="00D7213E" w:rsidRPr="00B81351" w:rsidRDefault="00D7213E" w:rsidP="00B81351">
            <w:pPr>
              <w:pStyle w:val="TextTi12"/>
              <w:spacing w:after="0" w:line="240" w:lineRule="auto"/>
              <w:jc w:val="center"/>
              <w:rPr>
                <w:b/>
              </w:rPr>
            </w:pPr>
            <w:r w:rsidRPr="00B81351">
              <w:rPr>
                <w:b/>
              </w:rPr>
              <w:t>Lab Value</w:t>
            </w:r>
            <w:r w:rsidRPr="00B81351">
              <w:rPr>
                <w:b/>
              </w:rPr>
              <w:br/>
              <w:t>(cells x 10</w:t>
            </w:r>
            <w:r w:rsidRPr="00B81351">
              <w:rPr>
                <w:b/>
                <w:vertAlign w:val="superscript"/>
              </w:rPr>
              <w:t>9</w:t>
            </w:r>
            <w:r w:rsidRPr="00B81351">
              <w:rPr>
                <w:b/>
              </w:rPr>
              <w:t xml:space="preserve">/L) </w:t>
            </w:r>
          </w:p>
        </w:tc>
        <w:tc>
          <w:tcPr>
            <w:tcW w:w="6109" w:type="dxa"/>
            <w:shd w:val="clear" w:color="auto" w:fill="auto"/>
          </w:tcPr>
          <w:p w:rsidR="00D7213E" w:rsidRPr="00B81351" w:rsidRDefault="00D7213E" w:rsidP="00B81351">
            <w:pPr>
              <w:pStyle w:val="TextTi12"/>
              <w:spacing w:after="0" w:line="240" w:lineRule="auto"/>
              <w:jc w:val="center"/>
              <w:rPr>
                <w:b/>
              </w:rPr>
            </w:pPr>
            <w:r w:rsidRPr="00B81351">
              <w:rPr>
                <w:b/>
              </w:rPr>
              <w:t>Action</w:t>
            </w:r>
          </w:p>
        </w:tc>
      </w:tr>
      <w:tr w:rsidR="00D7213E" w:rsidTr="00B81351">
        <w:tc>
          <w:tcPr>
            <w:tcW w:w="2400" w:type="dxa"/>
            <w:shd w:val="clear" w:color="auto" w:fill="auto"/>
          </w:tcPr>
          <w:p w:rsidR="00D7213E" w:rsidRDefault="00D7213E" w:rsidP="00B81351">
            <w:pPr>
              <w:pStyle w:val="TextTi12"/>
              <w:spacing w:after="0" w:line="240" w:lineRule="auto"/>
            </w:pPr>
            <w:r>
              <w:t>ANC &gt; 1</w:t>
            </w:r>
          </w:p>
        </w:tc>
        <w:tc>
          <w:tcPr>
            <w:tcW w:w="6109" w:type="dxa"/>
            <w:shd w:val="clear" w:color="auto" w:fill="auto"/>
          </w:tcPr>
          <w:p w:rsidR="00D7213E" w:rsidRDefault="00D7213E" w:rsidP="00B81351">
            <w:pPr>
              <w:pStyle w:val="TextTi12"/>
              <w:spacing w:after="0" w:line="240" w:lineRule="auto"/>
            </w:pPr>
            <w:r>
              <w:t>Maintain dose</w:t>
            </w:r>
          </w:p>
        </w:tc>
      </w:tr>
      <w:tr w:rsidR="00D7213E" w:rsidTr="00B81351">
        <w:tc>
          <w:tcPr>
            <w:tcW w:w="2400" w:type="dxa"/>
            <w:shd w:val="clear" w:color="auto" w:fill="auto"/>
          </w:tcPr>
          <w:p w:rsidR="00D7213E" w:rsidRDefault="00D7213E" w:rsidP="00B81351">
            <w:pPr>
              <w:pStyle w:val="TextTi12"/>
              <w:spacing w:after="0" w:line="240" w:lineRule="auto"/>
            </w:pPr>
            <w:r>
              <w:t>ANC 0.5 to 1</w:t>
            </w:r>
          </w:p>
        </w:tc>
        <w:tc>
          <w:tcPr>
            <w:tcW w:w="6109" w:type="dxa"/>
            <w:shd w:val="clear" w:color="auto" w:fill="auto"/>
          </w:tcPr>
          <w:p w:rsidR="00D7213E" w:rsidRDefault="00D7213E" w:rsidP="00B81351">
            <w:pPr>
              <w:pStyle w:val="TextTi12"/>
              <w:spacing w:after="0" w:line="240" w:lineRule="auto"/>
            </w:pPr>
            <w:r>
              <w:t>Interrupt ACTEMRA dosing</w:t>
            </w:r>
          </w:p>
          <w:p w:rsidR="00D7213E" w:rsidRDefault="00D7213E" w:rsidP="00B81351">
            <w:pPr>
              <w:pStyle w:val="TextTi12"/>
              <w:spacing w:after="0" w:line="240" w:lineRule="auto"/>
            </w:pPr>
          </w:p>
          <w:p w:rsidR="00D7213E" w:rsidRDefault="00D7213E" w:rsidP="00B81351">
            <w:pPr>
              <w:pStyle w:val="TextTi12"/>
              <w:spacing w:after="0" w:line="240" w:lineRule="auto"/>
            </w:pPr>
            <w:r>
              <w:t>When ANC &gt; 1 x 10</w:t>
            </w:r>
            <w:r w:rsidRPr="00B81351">
              <w:rPr>
                <w:vertAlign w:val="superscript"/>
              </w:rPr>
              <w:t>9</w:t>
            </w:r>
            <w:r>
              <w:t>/L resume ACTEMRA at 4 mg/kg and increase to 8 mg/kg as clinically appropriate</w:t>
            </w:r>
          </w:p>
        </w:tc>
      </w:tr>
      <w:tr w:rsidR="00D7213E" w:rsidTr="00B81351">
        <w:tc>
          <w:tcPr>
            <w:tcW w:w="2400" w:type="dxa"/>
            <w:shd w:val="clear" w:color="auto" w:fill="auto"/>
          </w:tcPr>
          <w:p w:rsidR="00D7213E" w:rsidRDefault="00D7213E" w:rsidP="00B81351">
            <w:pPr>
              <w:pStyle w:val="TextTi12"/>
              <w:spacing w:after="0" w:line="240" w:lineRule="auto"/>
            </w:pPr>
            <w:r>
              <w:t>ANC &lt; 0.5</w:t>
            </w:r>
          </w:p>
        </w:tc>
        <w:tc>
          <w:tcPr>
            <w:tcW w:w="6109" w:type="dxa"/>
            <w:shd w:val="clear" w:color="auto" w:fill="auto"/>
          </w:tcPr>
          <w:p w:rsidR="00D7213E" w:rsidRDefault="00D7213E" w:rsidP="00B81351">
            <w:pPr>
              <w:pStyle w:val="TextTi12"/>
              <w:spacing w:after="0" w:line="240" w:lineRule="auto"/>
            </w:pPr>
            <w:r>
              <w:t>Discontinue ACTEMRA</w:t>
            </w:r>
          </w:p>
        </w:tc>
      </w:tr>
    </w:tbl>
    <w:p w:rsidR="00B8185F" w:rsidRDefault="00B8185F" w:rsidP="009F45F4">
      <w:pPr>
        <w:jc w:val="both"/>
      </w:pPr>
    </w:p>
    <w:p w:rsidR="00892840" w:rsidRDefault="00892840" w:rsidP="00B4324B">
      <w:pPr>
        <w:pStyle w:val="TextTi12"/>
      </w:pPr>
    </w:p>
    <w:p w:rsidR="00EC09D3" w:rsidRDefault="00EC09D3" w:rsidP="00EC09D3">
      <w:pPr>
        <w:numPr>
          <w:ilvl w:val="0"/>
          <w:numId w:val="32"/>
        </w:numPr>
        <w:jc w:val="both"/>
      </w:pPr>
      <w:r>
        <w:t>Low platelet count</w:t>
      </w:r>
    </w:p>
    <w:p w:rsidR="00EC09D3" w:rsidRDefault="00EC09D3" w:rsidP="00EC09D3">
      <w:pPr>
        <w:jc w:val="both"/>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109"/>
      </w:tblGrid>
      <w:tr w:rsidR="00EC09D3" w:rsidTr="00B81351">
        <w:tc>
          <w:tcPr>
            <w:tcW w:w="2400" w:type="dxa"/>
            <w:shd w:val="clear" w:color="auto" w:fill="auto"/>
          </w:tcPr>
          <w:p w:rsidR="00EC09D3" w:rsidRDefault="00EC09D3" w:rsidP="00B81351">
            <w:pPr>
              <w:pStyle w:val="TextTi12"/>
              <w:spacing w:after="0" w:line="240" w:lineRule="auto"/>
              <w:jc w:val="center"/>
            </w:pPr>
            <w:r w:rsidRPr="00B81351">
              <w:rPr>
                <w:b/>
              </w:rPr>
              <w:t>Lab Value</w:t>
            </w:r>
            <w:r w:rsidRPr="00B81351">
              <w:rPr>
                <w:b/>
              </w:rPr>
              <w:br/>
              <w:t xml:space="preserve">(cells x </w:t>
            </w:r>
            <w:r w:rsidR="009F4A0F" w:rsidRPr="00B81351">
              <w:rPr>
                <w:b/>
              </w:rPr>
              <w:t>10</w:t>
            </w:r>
            <w:r w:rsidR="009F4A0F" w:rsidRPr="00B81351">
              <w:rPr>
                <w:b/>
                <w:vertAlign w:val="superscript"/>
              </w:rPr>
              <w:t>9</w:t>
            </w:r>
            <w:r w:rsidRPr="00B81351">
              <w:rPr>
                <w:b/>
              </w:rPr>
              <w:t>/</w:t>
            </w:r>
            <w:r w:rsidR="00A61963" w:rsidRPr="00B81351">
              <w:rPr>
                <w:b/>
              </w:rPr>
              <w:t>L</w:t>
            </w:r>
            <w:r w:rsidRPr="00B81351">
              <w:rPr>
                <w:b/>
              </w:rPr>
              <w:t>)</w:t>
            </w:r>
          </w:p>
        </w:tc>
        <w:tc>
          <w:tcPr>
            <w:tcW w:w="6109" w:type="dxa"/>
            <w:shd w:val="clear" w:color="auto" w:fill="auto"/>
          </w:tcPr>
          <w:p w:rsidR="00EC09D3" w:rsidRDefault="00EC09D3" w:rsidP="00B81351">
            <w:pPr>
              <w:pStyle w:val="TextTi12"/>
              <w:spacing w:after="0" w:line="240" w:lineRule="auto"/>
              <w:jc w:val="center"/>
            </w:pPr>
            <w:r w:rsidRPr="00B81351">
              <w:rPr>
                <w:b/>
              </w:rPr>
              <w:t>Action</w:t>
            </w:r>
          </w:p>
        </w:tc>
      </w:tr>
      <w:tr w:rsidR="00EC09D3" w:rsidTr="00B81351">
        <w:tc>
          <w:tcPr>
            <w:tcW w:w="2400" w:type="dxa"/>
            <w:shd w:val="clear" w:color="auto" w:fill="auto"/>
          </w:tcPr>
          <w:p w:rsidR="00EC09D3" w:rsidRDefault="00EC09D3" w:rsidP="00B81351">
            <w:pPr>
              <w:pStyle w:val="TextTi12"/>
              <w:spacing w:after="0" w:line="240" w:lineRule="auto"/>
            </w:pPr>
            <w:r>
              <w:t>50 to 100</w:t>
            </w:r>
          </w:p>
        </w:tc>
        <w:tc>
          <w:tcPr>
            <w:tcW w:w="6109" w:type="dxa"/>
            <w:shd w:val="clear" w:color="auto" w:fill="auto"/>
          </w:tcPr>
          <w:p w:rsidR="00EC09D3" w:rsidRDefault="00EC09D3" w:rsidP="00B81351">
            <w:pPr>
              <w:pStyle w:val="TextTi12"/>
              <w:spacing w:after="0" w:line="240" w:lineRule="auto"/>
            </w:pPr>
            <w:r>
              <w:t>Interrupt ACTEMRA dosing</w:t>
            </w:r>
          </w:p>
          <w:p w:rsidR="00EC09D3" w:rsidRDefault="00EC09D3" w:rsidP="00B81351">
            <w:pPr>
              <w:pStyle w:val="TextTi12"/>
              <w:spacing w:after="0" w:line="240" w:lineRule="auto"/>
            </w:pPr>
          </w:p>
          <w:p w:rsidR="00EC09D3" w:rsidRDefault="00EC09D3" w:rsidP="00B81351">
            <w:pPr>
              <w:pStyle w:val="TextTi12"/>
              <w:spacing w:after="0" w:line="240" w:lineRule="auto"/>
            </w:pPr>
            <w:r>
              <w:t xml:space="preserve">When platelet count is &gt; 100 x </w:t>
            </w:r>
            <w:r w:rsidR="009F4A0F" w:rsidRPr="00610FD8">
              <w:t>10</w:t>
            </w:r>
            <w:r w:rsidR="009F4A0F" w:rsidRPr="00B81351">
              <w:rPr>
                <w:vertAlign w:val="superscript"/>
              </w:rPr>
              <w:t>9</w:t>
            </w:r>
            <w:r w:rsidRPr="00610FD8">
              <w:t>/</w:t>
            </w:r>
            <w:r w:rsidR="00A61963">
              <w:t>L</w:t>
            </w:r>
            <w:r>
              <w:t xml:space="preserve"> resume ACTEMRA at 4 mg/kg and increase to 8 mg/kg as clinically appropriate</w:t>
            </w:r>
          </w:p>
        </w:tc>
      </w:tr>
      <w:tr w:rsidR="00EC09D3" w:rsidTr="00B81351">
        <w:tc>
          <w:tcPr>
            <w:tcW w:w="2400" w:type="dxa"/>
            <w:shd w:val="clear" w:color="auto" w:fill="auto"/>
          </w:tcPr>
          <w:p w:rsidR="00EC09D3" w:rsidRDefault="00EC09D3" w:rsidP="00B81351">
            <w:pPr>
              <w:pStyle w:val="TextTi12"/>
              <w:spacing w:after="0" w:line="240" w:lineRule="auto"/>
            </w:pPr>
            <w:r>
              <w:t>&lt; 50</w:t>
            </w:r>
          </w:p>
        </w:tc>
        <w:tc>
          <w:tcPr>
            <w:tcW w:w="6109" w:type="dxa"/>
            <w:shd w:val="clear" w:color="auto" w:fill="auto"/>
          </w:tcPr>
          <w:p w:rsidR="00EC09D3" w:rsidRDefault="00EC09D3" w:rsidP="00B81351">
            <w:pPr>
              <w:pStyle w:val="TextTi12"/>
              <w:spacing w:after="0" w:line="240" w:lineRule="auto"/>
            </w:pPr>
            <w:r>
              <w:t>Discontinue ACTEMRA</w:t>
            </w:r>
          </w:p>
        </w:tc>
      </w:tr>
    </w:tbl>
    <w:p w:rsidR="00EC09D3" w:rsidRDefault="00EC09D3" w:rsidP="00A87778">
      <w:pPr>
        <w:jc w:val="both"/>
      </w:pPr>
    </w:p>
    <w:p w:rsidR="006D35F1" w:rsidRDefault="006D35F1" w:rsidP="00A87778">
      <w:pPr>
        <w:jc w:val="both"/>
      </w:pPr>
    </w:p>
    <w:p w:rsidR="00234265" w:rsidRPr="00195E94" w:rsidRDefault="00234265" w:rsidP="00234265">
      <w:pPr>
        <w:jc w:val="both"/>
        <w:rPr>
          <w:b/>
        </w:rPr>
      </w:pPr>
      <w:r>
        <w:rPr>
          <w:b/>
        </w:rPr>
        <w:lastRenderedPageBreak/>
        <w:t>Polyarticular</w:t>
      </w:r>
      <w:r w:rsidRPr="00195E94">
        <w:rPr>
          <w:b/>
        </w:rPr>
        <w:t xml:space="preserve"> </w:t>
      </w:r>
      <w:r>
        <w:rPr>
          <w:b/>
        </w:rPr>
        <w:t>Juvenile Idiopathic A</w:t>
      </w:r>
      <w:r w:rsidRPr="00195E94">
        <w:rPr>
          <w:b/>
        </w:rPr>
        <w:t>rthritis (</w:t>
      </w:r>
      <w:r>
        <w:rPr>
          <w:b/>
        </w:rPr>
        <w:t>p</w:t>
      </w:r>
      <w:r w:rsidRPr="00195E94">
        <w:rPr>
          <w:b/>
        </w:rPr>
        <w:t>JIA)</w:t>
      </w:r>
    </w:p>
    <w:p w:rsidR="00234265" w:rsidRDefault="00234265" w:rsidP="00234265">
      <w:pPr>
        <w:jc w:val="both"/>
      </w:pPr>
      <w:r>
        <w:t>The recommended dose of ACTEMRA for patients with pJIA is:</w:t>
      </w:r>
    </w:p>
    <w:p w:rsidR="00234265" w:rsidRDefault="00234265" w:rsidP="00234265">
      <w:pPr>
        <w:jc w:val="both"/>
      </w:pPr>
    </w:p>
    <w:p w:rsidR="00234265" w:rsidRDefault="00234265" w:rsidP="00234265">
      <w:pPr>
        <w:numPr>
          <w:ilvl w:val="0"/>
          <w:numId w:val="33"/>
        </w:numPr>
        <w:jc w:val="both"/>
      </w:pPr>
      <w:r>
        <w:t>10 mg/kg for patients &lt; 30 kilograms,</w:t>
      </w:r>
    </w:p>
    <w:p w:rsidR="00234265" w:rsidRDefault="00234265" w:rsidP="00234265">
      <w:pPr>
        <w:numPr>
          <w:ilvl w:val="0"/>
          <w:numId w:val="33"/>
        </w:numPr>
        <w:jc w:val="both"/>
      </w:pPr>
      <w:r>
        <w:t xml:space="preserve">8 mg/kg for patients ≥ 30 kilograms, </w:t>
      </w:r>
    </w:p>
    <w:p w:rsidR="00234265" w:rsidRDefault="00234265" w:rsidP="00234265">
      <w:pPr>
        <w:jc w:val="both"/>
      </w:pPr>
    </w:p>
    <w:p w:rsidR="00234265" w:rsidRDefault="00234265" w:rsidP="00234265">
      <w:pPr>
        <w:jc w:val="both"/>
        <w:rPr>
          <w:b/>
        </w:rPr>
      </w:pPr>
      <w:r>
        <w:t>given once every four weeks as an IV infusion. A change in dose should only be based on a consistent change in the patient’s body weight over time. ACTEMRA can be used alone or in combination with MTX.</w:t>
      </w:r>
    </w:p>
    <w:p w:rsidR="00234265" w:rsidRDefault="00234265" w:rsidP="00A87778">
      <w:pPr>
        <w:jc w:val="both"/>
        <w:rPr>
          <w:b/>
        </w:rPr>
      </w:pPr>
    </w:p>
    <w:p w:rsidR="0048766D" w:rsidRDefault="0048766D" w:rsidP="00A87778">
      <w:pPr>
        <w:jc w:val="both"/>
        <w:rPr>
          <w:b/>
        </w:rPr>
      </w:pPr>
    </w:p>
    <w:p w:rsidR="00D717CE" w:rsidRPr="00195E94" w:rsidRDefault="00D717CE" w:rsidP="00A87778">
      <w:pPr>
        <w:jc w:val="both"/>
        <w:rPr>
          <w:b/>
        </w:rPr>
      </w:pPr>
      <w:r w:rsidRPr="00195E94">
        <w:rPr>
          <w:b/>
        </w:rPr>
        <w:t xml:space="preserve">Systemic </w:t>
      </w:r>
      <w:r w:rsidR="00234265">
        <w:rPr>
          <w:b/>
        </w:rPr>
        <w:t>J</w:t>
      </w:r>
      <w:r w:rsidRPr="00195E94">
        <w:rPr>
          <w:b/>
        </w:rPr>
        <w:t xml:space="preserve">uvenile </w:t>
      </w:r>
      <w:r w:rsidR="00234265">
        <w:rPr>
          <w:b/>
        </w:rPr>
        <w:t>I</w:t>
      </w:r>
      <w:r w:rsidRPr="00195E94">
        <w:rPr>
          <w:b/>
        </w:rPr>
        <w:t xml:space="preserve">diopathic </w:t>
      </w:r>
      <w:r w:rsidR="00234265">
        <w:rPr>
          <w:b/>
        </w:rPr>
        <w:t>A</w:t>
      </w:r>
      <w:r w:rsidRPr="00195E94">
        <w:rPr>
          <w:b/>
        </w:rPr>
        <w:t>rthritis (sJIA)</w:t>
      </w:r>
    </w:p>
    <w:p w:rsidR="00D717CE" w:rsidRDefault="00D717CE" w:rsidP="00E361B0">
      <w:pPr>
        <w:jc w:val="both"/>
      </w:pPr>
      <w:r>
        <w:t>The recommended dose of ACTEMRA for patients with sJIA is:</w:t>
      </w:r>
    </w:p>
    <w:p w:rsidR="00D717CE" w:rsidRDefault="00D717CE" w:rsidP="00E361B0">
      <w:pPr>
        <w:jc w:val="both"/>
      </w:pPr>
    </w:p>
    <w:p w:rsidR="00D717CE" w:rsidRDefault="00D717CE" w:rsidP="00E361B0">
      <w:pPr>
        <w:numPr>
          <w:ilvl w:val="0"/>
          <w:numId w:val="33"/>
        </w:numPr>
        <w:jc w:val="both"/>
      </w:pPr>
      <w:r>
        <w:t>12 mg/kg for patients &lt; 30 kilograms,</w:t>
      </w:r>
    </w:p>
    <w:p w:rsidR="00D717CE" w:rsidRDefault="00D717CE" w:rsidP="000C5846">
      <w:pPr>
        <w:numPr>
          <w:ilvl w:val="0"/>
          <w:numId w:val="33"/>
        </w:numPr>
        <w:jc w:val="both"/>
      </w:pPr>
      <w:r>
        <w:t xml:space="preserve">8 mg/kg for patients ≥ 30 kilograms, </w:t>
      </w:r>
    </w:p>
    <w:p w:rsidR="00F0584D" w:rsidRDefault="00F0584D" w:rsidP="000C5846">
      <w:pPr>
        <w:jc w:val="both"/>
      </w:pPr>
    </w:p>
    <w:p w:rsidR="00D717CE" w:rsidRDefault="00D717CE" w:rsidP="000C5846">
      <w:pPr>
        <w:jc w:val="both"/>
      </w:pPr>
      <w:r>
        <w:t>given once every two weeks as an IV infusion. A change in dose should only be based on a consistent change in the patient’s body weight over time. ACTEMRA can be used alone or in combination with MTX.</w:t>
      </w:r>
    </w:p>
    <w:p w:rsidR="00D717CE" w:rsidRDefault="00D717CE" w:rsidP="000C5846">
      <w:pPr>
        <w:jc w:val="both"/>
      </w:pPr>
    </w:p>
    <w:p w:rsidR="00D717CE" w:rsidRPr="00B77EC5" w:rsidRDefault="00D717CE" w:rsidP="00A55A08">
      <w:pPr>
        <w:jc w:val="both"/>
        <w:rPr>
          <w:i/>
        </w:rPr>
      </w:pPr>
      <w:r w:rsidRPr="00B77EC5">
        <w:rPr>
          <w:i/>
        </w:rPr>
        <w:t>Dose Modification Recommendations</w:t>
      </w:r>
      <w:r w:rsidR="00234265">
        <w:rPr>
          <w:i/>
        </w:rPr>
        <w:t xml:space="preserve"> for pJIA and sJIA</w:t>
      </w:r>
      <w:r w:rsidRPr="00B77EC5">
        <w:rPr>
          <w:i/>
        </w:rPr>
        <w:t>:</w:t>
      </w:r>
    </w:p>
    <w:p w:rsidR="00D717CE" w:rsidRDefault="00D717CE" w:rsidP="00A87778">
      <w:pPr>
        <w:jc w:val="both"/>
      </w:pPr>
      <w:r>
        <w:t>Dose reduction of ACTEMRA has not been studied in the</w:t>
      </w:r>
      <w:r w:rsidR="00234265">
        <w:t xml:space="preserve"> pJIA or</w:t>
      </w:r>
      <w:r>
        <w:t xml:space="preserve"> sJIA population. Dose interruptions of ACTEMRA for laboratory abnormalities are recommended in patients with </w:t>
      </w:r>
      <w:r w:rsidR="00234265">
        <w:t xml:space="preserve">pJIA or </w:t>
      </w:r>
      <w:r>
        <w:t xml:space="preserve">sJIA and are similar to what is outlined above for patients with RA (see PRECAUTIONS - </w:t>
      </w:r>
      <w:r w:rsidRPr="00B77EC5">
        <w:t>Haematological Abnormalities</w:t>
      </w:r>
      <w:r>
        <w:t xml:space="preserve">). If appropriate, concomitant MTX and/or other medications should be dose modified or stopped and ACTEMRA dosing interrupted until the clinical situation has been evaluated. In </w:t>
      </w:r>
      <w:r w:rsidR="00234265">
        <w:t xml:space="preserve">pJIA or </w:t>
      </w:r>
      <w:r>
        <w:t>sJIA the decision to discontinue ACTEMRA for a laboratory abnormality should be based upon the medical assessment of the individual patient.</w:t>
      </w:r>
    </w:p>
    <w:p w:rsidR="00D717CE" w:rsidRDefault="00D717CE" w:rsidP="00946D9C">
      <w:pPr>
        <w:jc w:val="both"/>
      </w:pPr>
    </w:p>
    <w:p w:rsidR="00194929" w:rsidRPr="009F45F4" w:rsidRDefault="00194929" w:rsidP="00946D9C">
      <w:pPr>
        <w:pStyle w:val="Heading3"/>
        <w:numPr>
          <w:ilvl w:val="0"/>
          <w:numId w:val="0"/>
        </w:numPr>
        <w:jc w:val="both"/>
        <w:rPr>
          <w:rFonts w:ascii="Times New Roman" w:hAnsi="Times New Roman" w:cs="Times New Roman"/>
        </w:rPr>
      </w:pPr>
      <w:r w:rsidRPr="009F45F4">
        <w:rPr>
          <w:rFonts w:ascii="Times New Roman" w:hAnsi="Times New Roman" w:cs="Times New Roman"/>
        </w:rPr>
        <w:t>Special Patient Groups</w:t>
      </w:r>
    </w:p>
    <w:p w:rsidR="009F45F4" w:rsidRDefault="009F45F4" w:rsidP="00946D9C">
      <w:pPr>
        <w:jc w:val="both"/>
      </w:pPr>
      <w:r w:rsidRPr="009F45F4">
        <w:rPr>
          <w:b/>
          <w:i/>
        </w:rPr>
        <w:t>Children:</w:t>
      </w:r>
      <w:r w:rsidRPr="001A7309">
        <w:rPr>
          <w:i/>
        </w:rPr>
        <w:t xml:space="preserve"> </w:t>
      </w:r>
      <w:r w:rsidRPr="001A7309">
        <w:t xml:space="preserve">The safety and efficacy of </w:t>
      </w:r>
      <w:r w:rsidR="00994998">
        <w:t>ACTEMRA</w:t>
      </w:r>
      <w:r w:rsidRPr="001A7309">
        <w:t xml:space="preserve"> in </w:t>
      </w:r>
      <w:r>
        <w:t>children</w:t>
      </w:r>
      <w:r w:rsidRPr="001A7309">
        <w:t xml:space="preserve"> </w:t>
      </w:r>
      <w:r w:rsidR="00994998">
        <w:t xml:space="preserve">below 18 years of age </w:t>
      </w:r>
      <w:r w:rsidR="00D717CE">
        <w:t xml:space="preserve">with conditions other than </w:t>
      </w:r>
      <w:r w:rsidR="00234265">
        <w:t xml:space="preserve">pJIA or </w:t>
      </w:r>
      <w:r w:rsidR="00D717CE">
        <w:t xml:space="preserve">sJIA </w:t>
      </w:r>
      <w:r w:rsidRPr="001A7309">
        <w:t>have not</w:t>
      </w:r>
      <w:r w:rsidRPr="003B5C7D">
        <w:t xml:space="preserve"> been established.</w:t>
      </w:r>
      <w:r w:rsidR="00D717CE">
        <w:t xml:space="preserve"> Children under the age of two have not been studied.</w:t>
      </w:r>
    </w:p>
    <w:p w:rsidR="009F45F4" w:rsidRPr="003B5C7D" w:rsidRDefault="009F45F4" w:rsidP="00946D9C">
      <w:pPr>
        <w:jc w:val="both"/>
      </w:pPr>
    </w:p>
    <w:p w:rsidR="009F45F4" w:rsidRDefault="009F45F4" w:rsidP="00C5478E">
      <w:pPr>
        <w:jc w:val="both"/>
      </w:pPr>
      <w:r w:rsidRPr="009F45F4">
        <w:rPr>
          <w:b/>
          <w:i/>
        </w:rPr>
        <w:t>Elderly:</w:t>
      </w:r>
      <w:r w:rsidRPr="001A7309">
        <w:rPr>
          <w:i/>
        </w:rPr>
        <w:t xml:space="preserve"> </w:t>
      </w:r>
      <w:r w:rsidRPr="001A7309">
        <w:t>No dose adjustment is required in elderly patients</w:t>
      </w:r>
      <w:r w:rsidR="00994998">
        <w:t xml:space="preserve"> aged 65 years and older</w:t>
      </w:r>
      <w:r w:rsidRPr="001A7309">
        <w:t>.</w:t>
      </w:r>
    </w:p>
    <w:p w:rsidR="009F45F4" w:rsidRPr="001A7309" w:rsidRDefault="009F45F4" w:rsidP="00C5478E">
      <w:pPr>
        <w:jc w:val="both"/>
      </w:pPr>
    </w:p>
    <w:p w:rsidR="009F45F4" w:rsidRPr="00D61CCA" w:rsidRDefault="009F45F4" w:rsidP="007D2CB0">
      <w:pPr>
        <w:jc w:val="both"/>
      </w:pPr>
      <w:r w:rsidRPr="009F45F4">
        <w:rPr>
          <w:b/>
          <w:i/>
        </w:rPr>
        <w:t>Renal impairment</w:t>
      </w:r>
      <w:r w:rsidRPr="009F45F4">
        <w:rPr>
          <w:b/>
        </w:rPr>
        <w:t>:</w:t>
      </w:r>
      <w:r w:rsidRPr="001A7309">
        <w:t xml:space="preserve"> No dose adjustment is required in patients with </w:t>
      </w:r>
      <w:r w:rsidR="00F97600">
        <w:t xml:space="preserve">mild </w:t>
      </w:r>
      <w:r w:rsidRPr="001A7309">
        <w:rPr>
          <w:rFonts w:eastAsia="MS Mincho" w:hint="eastAsia"/>
        </w:rPr>
        <w:t>renal</w:t>
      </w:r>
      <w:r w:rsidRPr="001A7309">
        <w:t xml:space="preserve"> impairment </w:t>
      </w:r>
      <w:r w:rsidRPr="00D61CCA">
        <w:t>(see</w:t>
      </w:r>
      <w:r w:rsidR="00D61CCA" w:rsidRPr="00D61CCA">
        <w:t xml:space="preserve"> PHARMACOLOGY – Pharmacokinetics </w:t>
      </w:r>
      <w:r w:rsidRPr="00D61CCA">
        <w:t>in Special Populations).</w:t>
      </w:r>
      <w:r w:rsidR="00994998">
        <w:t xml:space="preserve"> ACTEMRA has not been studied in patients with moderate to severe renal impairment.</w:t>
      </w:r>
    </w:p>
    <w:p w:rsidR="009F45F4" w:rsidRPr="00C51164" w:rsidRDefault="009F45F4" w:rsidP="007D2CB0">
      <w:pPr>
        <w:jc w:val="both"/>
      </w:pPr>
    </w:p>
    <w:p w:rsidR="009F45F4" w:rsidRPr="00B84B53" w:rsidRDefault="009F45F4" w:rsidP="007D2CB0">
      <w:pPr>
        <w:jc w:val="both"/>
      </w:pPr>
      <w:r w:rsidRPr="009F45F4">
        <w:rPr>
          <w:b/>
          <w:i/>
        </w:rPr>
        <w:lastRenderedPageBreak/>
        <w:t>Hepatic impairment:</w:t>
      </w:r>
      <w:r w:rsidRPr="001A7309">
        <w:t xml:space="preserve"> The safety and efficacy of </w:t>
      </w:r>
      <w:r w:rsidR="00994998">
        <w:t>ACTEMRA</w:t>
      </w:r>
      <w:r w:rsidRPr="001A7309">
        <w:t xml:space="preserve"> has not been studied in</w:t>
      </w:r>
      <w:r w:rsidRPr="00BC1FBD">
        <w:t xml:space="preserve"> patients with hepatic impairment</w:t>
      </w:r>
      <w:r>
        <w:t xml:space="preserve"> </w:t>
      </w:r>
      <w:r w:rsidRPr="00D61CCA">
        <w:t xml:space="preserve">(see </w:t>
      </w:r>
      <w:r w:rsidR="00D61CCA" w:rsidRPr="00D61CCA">
        <w:t>PRECAUTIONS – Active Hepatic Disease and Hepatic Impairment)</w:t>
      </w:r>
      <w:r w:rsidR="003D77D1">
        <w:t xml:space="preserve"> and therefore no dose recommendations can be made.</w:t>
      </w:r>
    </w:p>
    <w:p w:rsidR="00AC1387" w:rsidRDefault="00AC1387" w:rsidP="00946D9C">
      <w:pPr>
        <w:jc w:val="both"/>
      </w:pPr>
    </w:p>
    <w:p w:rsidR="00C0600D" w:rsidRDefault="00C0600D" w:rsidP="00946D9C">
      <w:pPr>
        <w:pStyle w:val="Heading3"/>
        <w:numPr>
          <w:ilvl w:val="0"/>
          <w:numId w:val="0"/>
        </w:numPr>
        <w:jc w:val="both"/>
        <w:rPr>
          <w:rFonts w:ascii="Times New Roman" w:hAnsi="Times New Roman" w:cs="Times New Roman"/>
        </w:rPr>
      </w:pPr>
      <w:r w:rsidRPr="00C0600D">
        <w:rPr>
          <w:rFonts w:ascii="Times New Roman" w:hAnsi="Times New Roman" w:cs="Times New Roman"/>
        </w:rPr>
        <w:t>Preparing the Infusion</w:t>
      </w:r>
    </w:p>
    <w:p w:rsidR="00E621AD" w:rsidRDefault="00E621AD" w:rsidP="00946D9C">
      <w:pPr>
        <w:jc w:val="both"/>
      </w:pPr>
      <w:r>
        <w:t>Parenteral medications should be inspected visually for particulate matter or discolouration prior to administration.</w:t>
      </w:r>
    </w:p>
    <w:p w:rsidR="00E621AD" w:rsidRDefault="00E621AD" w:rsidP="00C5478E">
      <w:pPr>
        <w:jc w:val="both"/>
      </w:pPr>
    </w:p>
    <w:p w:rsidR="00E621AD" w:rsidRDefault="00E621AD" w:rsidP="00C5478E">
      <w:pPr>
        <w:jc w:val="both"/>
      </w:pPr>
      <w:r w:rsidRPr="00030F03">
        <w:t xml:space="preserve">Only solutions which are clear to opalescent, colourless to pale yellow and free of visible particles must be </w:t>
      </w:r>
      <w:r>
        <w:t>infused</w:t>
      </w:r>
      <w:r w:rsidRPr="00030F03">
        <w:t>.</w:t>
      </w:r>
    </w:p>
    <w:p w:rsidR="00D717CE" w:rsidRDefault="00D717CE" w:rsidP="00E621AD">
      <w:pPr>
        <w:jc w:val="both"/>
      </w:pPr>
    </w:p>
    <w:p w:rsidR="0048766D" w:rsidRDefault="0048766D" w:rsidP="00E621AD">
      <w:pPr>
        <w:jc w:val="both"/>
      </w:pPr>
    </w:p>
    <w:p w:rsidR="00E621AD" w:rsidRDefault="00D717CE" w:rsidP="00C0600D">
      <w:pPr>
        <w:jc w:val="both"/>
      </w:pPr>
      <w:r w:rsidRPr="006B39D3">
        <w:rPr>
          <w:i/>
        </w:rPr>
        <w:t>Rheumatoid Arthritis</w:t>
      </w:r>
    </w:p>
    <w:p w:rsidR="002D62D4" w:rsidRDefault="00EE2836" w:rsidP="00C0600D">
      <w:pPr>
        <w:jc w:val="both"/>
      </w:pPr>
      <w:r>
        <w:t>From a 100 mL infusion bag, withdraw a volume of 0.9% sodium chloride solution equal to the volume of the ACTEMRA solution required for the patient’s dose</w:t>
      </w:r>
      <w:r w:rsidR="002D62D4">
        <w:t>, and discard</w:t>
      </w:r>
      <w:r>
        <w:t xml:space="preserve">. </w:t>
      </w:r>
      <w:r w:rsidR="00C0600D">
        <w:t xml:space="preserve">Withdraw the required amount of </w:t>
      </w:r>
      <w:r w:rsidR="00E66194">
        <w:t>ACTEMRA</w:t>
      </w:r>
      <w:r w:rsidR="00C0600D">
        <w:t xml:space="preserve"> (0.4 mL</w:t>
      </w:r>
      <w:r w:rsidR="00467E8D">
        <w:t xml:space="preserve"> per kg of the patient’s body weight</w:t>
      </w:r>
      <w:r w:rsidR="00C0600D">
        <w:t xml:space="preserve">) under aseptic conditions </w:t>
      </w:r>
      <w:r w:rsidR="00C0600D" w:rsidRPr="00D8566B">
        <w:rPr>
          <w:rFonts w:eastAsia="SimSun"/>
          <w:lang w:eastAsia="zh-CN"/>
        </w:rPr>
        <w:t xml:space="preserve">and </w:t>
      </w:r>
      <w:r w:rsidR="002D62D4">
        <w:t>add to the</w:t>
      </w:r>
      <w:r w:rsidR="00C0600D" w:rsidRPr="00D8566B">
        <w:t xml:space="preserve"> infusion bag</w:t>
      </w:r>
      <w:r w:rsidR="00C0600D">
        <w:t>. To mix the solution, gently invert the bag to avoid foaming.</w:t>
      </w:r>
    </w:p>
    <w:p w:rsidR="00D717CE" w:rsidRDefault="00D717CE" w:rsidP="00C0600D">
      <w:pPr>
        <w:jc w:val="both"/>
      </w:pPr>
    </w:p>
    <w:p w:rsidR="00D717CE" w:rsidRPr="006B39D3" w:rsidRDefault="00234265" w:rsidP="00D717CE">
      <w:pPr>
        <w:jc w:val="both"/>
        <w:rPr>
          <w:i/>
        </w:rPr>
      </w:pPr>
      <w:r>
        <w:rPr>
          <w:i/>
        </w:rPr>
        <w:t xml:space="preserve">pJIA and </w:t>
      </w:r>
      <w:r w:rsidR="00D717CE">
        <w:rPr>
          <w:i/>
        </w:rPr>
        <w:t>sJIA patients ≥ 30 kg</w:t>
      </w:r>
    </w:p>
    <w:p w:rsidR="00D717CE" w:rsidRDefault="00D717CE" w:rsidP="00D717CE">
      <w:pPr>
        <w:jc w:val="both"/>
      </w:pPr>
      <w:r>
        <w:t>From a 100 mL infusion bag, withdraw a volume of 0.9% sodium chloride solution equal to the volume of the ACTEMRA solution required for the patient’s dose. Withdraw the required amount of ACTEMRA (0.4 mL per kg of the patient’s body weight) under aseptic conditions and dilute in a 100 mL infusion bag containing sterile, non-pyrogenic 0.9% sodium chloride solution. To mix the solution, gently invert the bag to avoid foaming.</w:t>
      </w:r>
    </w:p>
    <w:p w:rsidR="00080478" w:rsidRDefault="00080478" w:rsidP="00D717CE">
      <w:pPr>
        <w:jc w:val="both"/>
      </w:pPr>
    </w:p>
    <w:p w:rsidR="00234265" w:rsidRDefault="00234265" w:rsidP="00234265">
      <w:pPr>
        <w:jc w:val="both"/>
      </w:pPr>
      <w:r>
        <w:rPr>
          <w:i/>
        </w:rPr>
        <w:t>pJIA patients &lt; 30 kg</w:t>
      </w:r>
    </w:p>
    <w:p w:rsidR="00234265" w:rsidRDefault="00234265" w:rsidP="00D717CE">
      <w:pPr>
        <w:jc w:val="both"/>
      </w:pPr>
      <w:r w:rsidRPr="00A867C6">
        <w:t xml:space="preserve">From a 50 mL infusion bag, withdraw a volume of 0.9% </w:t>
      </w:r>
      <w:r>
        <w:t>s</w:t>
      </w:r>
      <w:r w:rsidRPr="00A867C6">
        <w:t xml:space="preserve">odium </w:t>
      </w:r>
      <w:r>
        <w:t>c</w:t>
      </w:r>
      <w:r w:rsidRPr="00A867C6">
        <w:t xml:space="preserve">hloride solution equal to 0.5 mL/kg of the patient’s body weight and discard. This volume should be replaced in the saline bag with an equal volume of </w:t>
      </w:r>
      <w:r>
        <w:t>ACTEMRA</w:t>
      </w:r>
      <w:r w:rsidRPr="00A867C6">
        <w:t xml:space="preserve"> under aseptic conditions. To mix the solution, gently invert the bag to avoid foaming.</w:t>
      </w:r>
    </w:p>
    <w:p w:rsidR="00D717CE" w:rsidRPr="00924EDA" w:rsidRDefault="00D717CE" w:rsidP="00D717CE">
      <w:pPr>
        <w:jc w:val="both"/>
        <w:rPr>
          <w:i/>
        </w:rPr>
      </w:pPr>
      <w:r>
        <w:rPr>
          <w:i/>
        </w:rPr>
        <w:t xml:space="preserve">sJIA </w:t>
      </w:r>
      <w:r w:rsidR="00234265">
        <w:rPr>
          <w:i/>
        </w:rPr>
        <w:t>p</w:t>
      </w:r>
      <w:r>
        <w:rPr>
          <w:i/>
        </w:rPr>
        <w:t>atients &lt; 30 kg</w:t>
      </w:r>
    </w:p>
    <w:p w:rsidR="00D717CE" w:rsidRDefault="00D717CE" w:rsidP="00C0600D">
      <w:pPr>
        <w:jc w:val="both"/>
      </w:pPr>
      <w:r>
        <w:t>From a 50 mL infusion bag, withdraw a volume of 0.9% sodium chloride solution equal to 0.6 mL/kg of the patient’s body weight and discard. This volume should be replaced in the saline bag with an equal volume of ACTEMRA under aseptic conditions. To mix the solution, gently invert the bag to avoid foaming.</w:t>
      </w:r>
    </w:p>
    <w:p w:rsidR="00C83D40" w:rsidRDefault="00C83D40" w:rsidP="00C0600D">
      <w:pPr>
        <w:jc w:val="both"/>
      </w:pPr>
    </w:p>
    <w:p w:rsidR="00194929" w:rsidRPr="005E5A18" w:rsidRDefault="005E5A18" w:rsidP="005E5A18">
      <w:pPr>
        <w:pStyle w:val="Heading2"/>
        <w:numPr>
          <w:ilvl w:val="0"/>
          <w:numId w:val="0"/>
        </w:numPr>
        <w:rPr>
          <w:rFonts w:ascii="Times New Roman" w:hAnsi="Times New Roman" w:cs="Times New Roman"/>
          <w:sz w:val="28"/>
        </w:rPr>
      </w:pPr>
      <w:r>
        <w:rPr>
          <w:rFonts w:ascii="Times New Roman" w:hAnsi="Times New Roman" w:cs="Times New Roman"/>
          <w:sz w:val="28"/>
        </w:rPr>
        <w:t>OVERDOSAGE</w:t>
      </w:r>
    </w:p>
    <w:p w:rsidR="005E5A18" w:rsidRDefault="005E5A18" w:rsidP="005E5A18">
      <w:pPr>
        <w:jc w:val="both"/>
      </w:pPr>
      <w:r>
        <w:t xml:space="preserve">There are limited data available on overdosage with </w:t>
      </w:r>
      <w:r w:rsidR="00E66194">
        <w:t>ACTEMRA</w:t>
      </w:r>
      <w:r>
        <w:t xml:space="preserve">. </w:t>
      </w:r>
      <w:r w:rsidRPr="00FA1579">
        <w:t xml:space="preserve">One case of accidental overdose </w:t>
      </w:r>
      <w:r>
        <w:t>was</w:t>
      </w:r>
      <w:r w:rsidRPr="00FA1579">
        <w:t xml:space="preserve"> reported in which a patient with multiple myeloma </w:t>
      </w:r>
      <w:r>
        <w:t>received</w:t>
      </w:r>
      <w:r w:rsidRPr="00FA1579">
        <w:t xml:space="preserve"> </w:t>
      </w:r>
      <w:r>
        <w:t xml:space="preserve">a single dose of 40 </w:t>
      </w:r>
      <w:r w:rsidRPr="00FA1579">
        <w:t>mg/kg</w:t>
      </w:r>
      <w:r>
        <w:t xml:space="preserve">. No adverse drug reactions were observed. </w:t>
      </w:r>
      <w:r w:rsidRPr="000C6433">
        <w:t xml:space="preserve">No serious adverse </w:t>
      </w:r>
      <w:r>
        <w:t>drug reactions</w:t>
      </w:r>
      <w:r w:rsidRPr="000C6433">
        <w:t xml:space="preserve"> </w:t>
      </w:r>
      <w:r w:rsidRPr="000C6433">
        <w:lastRenderedPageBreak/>
        <w:t xml:space="preserve">were observed in healthy volunteers who received </w:t>
      </w:r>
      <w:r>
        <w:t xml:space="preserve">a single </w:t>
      </w:r>
      <w:r w:rsidRPr="000C6433">
        <w:t>dose up to 28 mg/kg, although dose-limiting neutropenia w</w:t>
      </w:r>
      <w:r>
        <w:t>as</w:t>
      </w:r>
      <w:r w:rsidRPr="000C6433">
        <w:t xml:space="preserve"> </w:t>
      </w:r>
      <w:r>
        <w:t>observed.</w:t>
      </w:r>
    </w:p>
    <w:p w:rsidR="00A809FA" w:rsidRDefault="00A809FA" w:rsidP="005E5A18"/>
    <w:p w:rsidR="002667EA" w:rsidRDefault="002667EA" w:rsidP="002667EA">
      <w:r>
        <w:t>Treatment of overdose should consist of general supportive measures.</w:t>
      </w:r>
    </w:p>
    <w:p w:rsidR="002667EA" w:rsidRDefault="002667EA" w:rsidP="002667EA"/>
    <w:p w:rsidR="002667EA" w:rsidRDefault="00D51838" w:rsidP="002667EA">
      <w:r>
        <w:t>For information on the management of overdose, c</w:t>
      </w:r>
      <w:r w:rsidR="002667EA">
        <w:t>ontact the Poisons Information Centre</w:t>
      </w:r>
      <w:r w:rsidR="00B8185F">
        <w:t xml:space="preserve"> </w:t>
      </w:r>
      <w:r>
        <w:t>on 131126 (Australia)</w:t>
      </w:r>
      <w:r w:rsidR="002667EA">
        <w:t>.</w:t>
      </w:r>
    </w:p>
    <w:p w:rsidR="00892840" w:rsidRDefault="00892840" w:rsidP="002667EA"/>
    <w:p w:rsidR="00194929" w:rsidRDefault="000917D6" w:rsidP="000917D6">
      <w:pPr>
        <w:pStyle w:val="Heading2"/>
        <w:numPr>
          <w:ilvl w:val="0"/>
          <w:numId w:val="0"/>
        </w:numPr>
        <w:rPr>
          <w:rFonts w:ascii="Times New Roman" w:hAnsi="Times New Roman" w:cs="Times New Roman"/>
          <w:sz w:val="28"/>
        </w:rPr>
      </w:pPr>
      <w:r>
        <w:rPr>
          <w:rFonts w:ascii="Times New Roman" w:hAnsi="Times New Roman" w:cs="Times New Roman"/>
          <w:sz w:val="28"/>
        </w:rPr>
        <w:t>PRESENTATION AND STORAGE</w:t>
      </w:r>
    </w:p>
    <w:p w:rsidR="00AB5F08" w:rsidRDefault="00292D08" w:rsidP="00AB5F08">
      <w:r>
        <w:t>ACTEMRA</w:t>
      </w:r>
      <w:r w:rsidR="00AB5F08">
        <w:t xml:space="preserve"> is available as:</w:t>
      </w:r>
    </w:p>
    <w:p w:rsidR="00AB5F08" w:rsidRPr="00736B32" w:rsidRDefault="00812EF6" w:rsidP="00AB5F08">
      <w:pPr>
        <w:rPr>
          <w:szCs w:val="24"/>
        </w:rPr>
      </w:pPr>
      <w:r w:rsidRPr="00736B32">
        <w:rPr>
          <w:szCs w:val="24"/>
        </w:rPr>
        <w:t>*(not marketed)</w:t>
      </w:r>
    </w:p>
    <w:p w:rsidR="00AB5F08" w:rsidRPr="00736B32" w:rsidRDefault="00AB5F08" w:rsidP="00AB5F08">
      <w:pPr>
        <w:numPr>
          <w:ilvl w:val="0"/>
          <w:numId w:val="29"/>
        </w:numPr>
        <w:rPr>
          <w:szCs w:val="24"/>
          <w:lang w:val="en-GB"/>
        </w:rPr>
      </w:pPr>
      <w:r w:rsidRPr="00736B32">
        <w:rPr>
          <w:szCs w:val="24"/>
        </w:rPr>
        <w:t>S</w:t>
      </w:r>
      <w:r w:rsidRPr="00736B32">
        <w:rPr>
          <w:szCs w:val="24"/>
          <w:lang w:val="en-GB"/>
        </w:rPr>
        <w:t xml:space="preserve">ingle use vial </w:t>
      </w:r>
      <w:r w:rsidRPr="00736B32">
        <w:rPr>
          <w:iCs/>
          <w:szCs w:val="24"/>
          <w:lang w:val="en-GB"/>
        </w:rPr>
        <w:t xml:space="preserve">containing 80 mg of </w:t>
      </w:r>
      <w:r w:rsidR="00684FB7" w:rsidRPr="00736B32">
        <w:rPr>
          <w:iCs/>
          <w:szCs w:val="24"/>
          <w:lang w:val="en-GB"/>
        </w:rPr>
        <w:t>ACTEMRA</w:t>
      </w:r>
      <w:r w:rsidRPr="00736B32">
        <w:rPr>
          <w:iCs/>
          <w:szCs w:val="24"/>
          <w:lang w:val="en-GB"/>
        </w:rPr>
        <w:t xml:space="preserve"> in 4 </w:t>
      </w:r>
      <w:r w:rsidR="0000373E" w:rsidRPr="00736B32">
        <w:rPr>
          <w:iCs/>
          <w:szCs w:val="24"/>
          <w:lang w:val="en-GB"/>
        </w:rPr>
        <w:t>m</w:t>
      </w:r>
      <w:r w:rsidR="00467E8D" w:rsidRPr="00736B32">
        <w:rPr>
          <w:iCs/>
          <w:szCs w:val="24"/>
          <w:lang w:val="en-GB"/>
        </w:rPr>
        <w:t>L</w:t>
      </w:r>
      <w:r w:rsidR="0000373E" w:rsidRPr="00736B32">
        <w:rPr>
          <w:iCs/>
          <w:szCs w:val="24"/>
          <w:lang w:val="en-GB"/>
        </w:rPr>
        <w:t xml:space="preserve"> (20 mg/mL</w:t>
      </w:r>
      <w:r w:rsidRPr="00736B32">
        <w:rPr>
          <w:iCs/>
          <w:szCs w:val="24"/>
          <w:lang w:val="en-GB"/>
        </w:rPr>
        <w:t>).  Packs of 1</w:t>
      </w:r>
      <w:r w:rsidR="00812EF6" w:rsidRPr="00736B32">
        <w:rPr>
          <w:iCs/>
          <w:szCs w:val="24"/>
          <w:lang w:val="en-GB"/>
        </w:rPr>
        <w:t xml:space="preserve"> and 4*</w:t>
      </w:r>
      <w:r w:rsidRPr="00736B32">
        <w:rPr>
          <w:iCs/>
          <w:szCs w:val="24"/>
          <w:lang w:val="en-GB"/>
        </w:rPr>
        <w:t xml:space="preserve"> vial</w:t>
      </w:r>
      <w:r w:rsidR="00812EF6" w:rsidRPr="00736B32">
        <w:rPr>
          <w:iCs/>
          <w:szCs w:val="24"/>
          <w:lang w:val="en-GB"/>
        </w:rPr>
        <w:t>s</w:t>
      </w:r>
      <w:r w:rsidRPr="00736B32">
        <w:rPr>
          <w:iCs/>
          <w:szCs w:val="24"/>
          <w:lang w:val="en-GB"/>
        </w:rPr>
        <w:t>.</w:t>
      </w:r>
    </w:p>
    <w:p w:rsidR="00AB5F08" w:rsidRPr="00736B32" w:rsidRDefault="00AB5F08" w:rsidP="00AB5F08"/>
    <w:p w:rsidR="00AB5F08" w:rsidRPr="00736B32" w:rsidRDefault="00AB5F08" w:rsidP="00AB5F08">
      <w:pPr>
        <w:numPr>
          <w:ilvl w:val="0"/>
          <w:numId w:val="28"/>
        </w:numPr>
      </w:pPr>
      <w:r w:rsidRPr="00736B32">
        <w:t xml:space="preserve">Single use vial containing 200 mg of </w:t>
      </w:r>
      <w:r w:rsidR="009D3BCE" w:rsidRPr="00736B32">
        <w:t>ACTEMRA</w:t>
      </w:r>
      <w:r w:rsidRPr="00736B32">
        <w:t xml:space="preserve"> in 10 mL</w:t>
      </w:r>
      <w:r w:rsidR="0000373E" w:rsidRPr="00736B32">
        <w:t xml:space="preserve"> (20 mg/mL).  Packs of 1 </w:t>
      </w:r>
      <w:r w:rsidR="00812EF6" w:rsidRPr="00736B32">
        <w:rPr>
          <w:iCs/>
          <w:szCs w:val="24"/>
          <w:lang w:val="en-GB"/>
        </w:rPr>
        <w:t xml:space="preserve">and 4* </w:t>
      </w:r>
      <w:r w:rsidR="0000373E" w:rsidRPr="00736B32">
        <w:t>vial</w:t>
      </w:r>
      <w:r w:rsidR="00812EF6" w:rsidRPr="00736B32">
        <w:t>s</w:t>
      </w:r>
      <w:r w:rsidR="0000373E" w:rsidRPr="00736B32">
        <w:t>.</w:t>
      </w:r>
    </w:p>
    <w:p w:rsidR="0000373E" w:rsidRPr="00736B32" w:rsidRDefault="0000373E" w:rsidP="0000373E"/>
    <w:p w:rsidR="00AB5F08" w:rsidRPr="00736B32" w:rsidRDefault="0000373E" w:rsidP="00AB5F08">
      <w:pPr>
        <w:numPr>
          <w:ilvl w:val="0"/>
          <w:numId w:val="28"/>
        </w:numPr>
      </w:pPr>
      <w:r w:rsidRPr="00736B32">
        <w:t xml:space="preserve">Single use vial containing 400 mg of </w:t>
      </w:r>
      <w:r w:rsidR="009D3BCE" w:rsidRPr="00736B32">
        <w:t>ACTEMRA</w:t>
      </w:r>
      <w:r w:rsidRPr="00736B32">
        <w:t xml:space="preserve"> in 20 mL (20 mg/mL).  Packs of 1</w:t>
      </w:r>
      <w:r w:rsidR="00812EF6" w:rsidRPr="00736B32">
        <w:t xml:space="preserve"> </w:t>
      </w:r>
      <w:r w:rsidR="00812EF6" w:rsidRPr="00736B32">
        <w:rPr>
          <w:iCs/>
          <w:szCs w:val="24"/>
          <w:lang w:val="en-GB"/>
        </w:rPr>
        <w:t>and 4*</w:t>
      </w:r>
      <w:r w:rsidRPr="00736B32">
        <w:t xml:space="preserve"> vial</w:t>
      </w:r>
      <w:r w:rsidR="00812EF6" w:rsidRPr="00736B32">
        <w:t>s</w:t>
      </w:r>
      <w:r w:rsidRPr="00736B32">
        <w:t xml:space="preserve">. </w:t>
      </w:r>
    </w:p>
    <w:p w:rsidR="00AB5F08" w:rsidRPr="000917D6" w:rsidRDefault="00AB5F08" w:rsidP="00AB5F08"/>
    <w:p w:rsidR="00272253" w:rsidRDefault="00272253" w:rsidP="00272253">
      <w:pPr>
        <w:jc w:val="both"/>
      </w:pPr>
      <w:r>
        <w:t>Store vials at 2ºC – 8ºC. (Refrigerate. Do not freeze.) Keep the container in the outer carton in order to protect from light.</w:t>
      </w:r>
    </w:p>
    <w:p w:rsidR="00272253" w:rsidRPr="00E66384" w:rsidRDefault="00272253" w:rsidP="00272253">
      <w:pPr>
        <w:jc w:val="both"/>
      </w:pPr>
    </w:p>
    <w:p w:rsidR="00272253" w:rsidRDefault="009D3BCE" w:rsidP="00272253">
      <w:pPr>
        <w:jc w:val="both"/>
      </w:pPr>
      <w:r>
        <w:t>ACTEMRA</w:t>
      </w:r>
      <w:r w:rsidR="00272253" w:rsidRPr="004742E2">
        <w:t xml:space="preserve"> does not contain any antimicrobial </w:t>
      </w:r>
      <w:r w:rsidR="00272253">
        <w:t>agent;</w:t>
      </w:r>
      <w:r w:rsidR="00272253" w:rsidRPr="004742E2">
        <w:t xml:space="preserve"> therefore care must be taken to ensure the sterility of the prepared solution.</w:t>
      </w:r>
      <w:r w:rsidR="00272253">
        <w:t xml:space="preserve"> Product is for single use in one patient only.  Discard any residue.</w:t>
      </w:r>
      <w:r w:rsidR="00272253" w:rsidRPr="00272253">
        <w:t xml:space="preserve"> </w:t>
      </w:r>
    </w:p>
    <w:p w:rsidR="00272253" w:rsidRDefault="00272253" w:rsidP="00272253">
      <w:pPr>
        <w:jc w:val="both"/>
      </w:pPr>
    </w:p>
    <w:p w:rsidR="00085DD9" w:rsidRDefault="00085DD9" w:rsidP="00272253">
      <w:pPr>
        <w:jc w:val="both"/>
      </w:pPr>
      <w:r>
        <w:t xml:space="preserve">The prepared infusion solution of </w:t>
      </w:r>
      <w:r w:rsidR="009D3BCE">
        <w:t>ACTEMRA</w:t>
      </w:r>
      <w:r>
        <w:t xml:space="preserve"> is physically and chemically stable in 0.9% </w:t>
      </w:r>
      <w:r>
        <w:rPr>
          <w:rFonts w:eastAsia="MS Mincho" w:hint="eastAsia"/>
        </w:rPr>
        <w:t xml:space="preserve">w/v </w:t>
      </w:r>
      <w:r>
        <w:t>sodium chloride solution</w:t>
      </w:r>
      <w:r w:rsidDel="000C5BDA">
        <w:t xml:space="preserve"> </w:t>
      </w:r>
      <w:r>
        <w:t>at 30ºC</w:t>
      </w:r>
      <w:r w:rsidRPr="000C5BDA">
        <w:t xml:space="preserve"> </w:t>
      </w:r>
      <w:r>
        <w:t>for 24 hours</w:t>
      </w:r>
      <w:r>
        <w:rPr>
          <w:rFonts w:eastAsia="MS Mincho" w:hint="eastAsia"/>
        </w:rPr>
        <w:t>.</w:t>
      </w:r>
      <w:r w:rsidR="009D3BCE">
        <w:rPr>
          <w:snapToGrid w:val="0"/>
          <w:lang w:eastAsia="en-US"/>
        </w:rPr>
        <w:t xml:space="preserve"> To reduce mi</w:t>
      </w:r>
      <w:r w:rsidR="009D3BCE" w:rsidRPr="004742E2">
        <w:rPr>
          <w:snapToGrid w:val="0"/>
          <w:lang w:eastAsia="en-US"/>
        </w:rPr>
        <w:t xml:space="preserve">crobiological </w:t>
      </w:r>
      <w:r w:rsidR="009D3BCE">
        <w:rPr>
          <w:snapToGrid w:val="0"/>
          <w:lang w:eastAsia="en-US"/>
        </w:rPr>
        <w:t>hazard</w:t>
      </w:r>
      <w:r w:rsidR="009D3BCE">
        <w:t>, the prepared infusion should be used immediately. If storage is necessary, hold at 2ºC – 8ºC for not more than 24 hours.</w:t>
      </w:r>
    </w:p>
    <w:p w:rsidR="00272253" w:rsidRDefault="00272253" w:rsidP="00272253">
      <w:pPr>
        <w:jc w:val="both"/>
      </w:pPr>
      <w:r>
        <w:t>Do not use after the expiry date (EXP) shown on the pack.</w:t>
      </w:r>
    </w:p>
    <w:p w:rsidR="00AC7C44" w:rsidRPr="00736B32" w:rsidRDefault="00AC7C44" w:rsidP="00D71727">
      <w:pPr>
        <w:adjustRightInd w:val="0"/>
        <w:jc w:val="both"/>
        <w:rPr>
          <w:rFonts w:eastAsia="SimSun"/>
          <w:b/>
          <w:bCs/>
          <w:szCs w:val="24"/>
          <w:lang w:eastAsia="zh-CN"/>
        </w:rPr>
      </w:pPr>
      <w:r w:rsidRPr="00736B32">
        <w:rPr>
          <w:rFonts w:eastAsia="SimSun"/>
          <w:b/>
          <w:bCs/>
          <w:iCs/>
          <w:szCs w:val="24"/>
          <w:lang w:val="en-GB" w:eastAsia="zh-CN"/>
        </w:rPr>
        <w:t xml:space="preserve">Disposal </w:t>
      </w:r>
      <w:r w:rsidRPr="00736B32">
        <w:rPr>
          <w:rFonts w:eastAsia="SimSun"/>
          <w:b/>
          <w:bCs/>
          <w:iCs/>
          <w:szCs w:val="24"/>
          <w:lang w:eastAsia="zh-CN"/>
        </w:rPr>
        <w:t xml:space="preserve">of Medicines </w:t>
      </w:r>
    </w:p>
    <w:p w:rsidR="00AC7C44" w:rsidRPr="00DC0421" w:rsidRDefault="00AC7C44" w:rsidP="00D71727">
      <w:pPr>
        <w:adjustRightInd w:val="0"/>
        <w:jc w:val="both"/>
        <w:rPr>
          <w:rFonts w:eastAsia="SimSun"/>
          <w:szCs w:val="24"/>
          <w:lang w:eastAsia="zh-CN"/>
        </w:rPr>
      </w:pPr>
      <w:r w:rsidRPr="00736B32">
        <w:rPr>
          <w:rFonts w:eastAsia="SimSun"/>
          <w:bCs/>
          <w:iCs/>
          <w:szCs w:val="24"/>
          <w:lang w:val="en-GB" w:eastAsia="zh-CN"/>
        </w:rPr>
        <w:t>The release of m</w:t>
      </w:r>
      <w:r w:rsidRPr="00736B32">
        <w:rPr>
          <w:rFonts w:eastAsia="SimSun"/>
          <w:bCs/>
          <w:iCs/>
          <w:szCs w:val="24"/>
          <w:lang w:eastAsia="zh-CN"/>
        </w:rPr>
        <w:t xml:space="preserve">edicines </w:t>
      </w:r>
      <w:r w:rsidRPr="00736B32">
        <w:rPr>
          <w:rFonts w:eastAsia="SimSun"/>
          <w:bCs/>
          <w:iCs/>
          <w:szCs w:val="24"/>
          <w:lang w:val="en-GB" w:eastAsia="zh-CN"/>
        </w:rPr>
        <w:t>into the environment should be minimised.  Medicines should not be disposed of via wastewater and disposal through h</w:t>
      </w:r>
      <w:r w:rsidRPr="00736B32">
        <w:rPr>
          <w:rFonts w:eastAsia="SimSun"/>
          <w:bCs/>
          <w:iCs/>
          <w:szCs w:val="24"/>
          <w:lang w:eastAsia="zh-CN"/>
        </w:rPr>
        <w:t>ousehold waste should be avoided. Unused or expired medicine should be returned to a pharmacy for disposal.</w:t>
      </w:r>
      <w:r w:rsidRPr="00DC0421">
        <w:rPr>
          <w:rFonts w:eastAsia="SimSun"/>
          <w:bCs/>
          <w:iCs/>
          <w:szCs w:val="24"/>
          <w:lang w:eastAsia="zh-CN"/>
        </w:rPr>
        <w:t xml:space="preserve"> </w:t>
      </w:r>
    </w:p>
    <w:p w:rsidR="00AC7C44" w:rsidRDefault="00AC7C44" w:rsidP="00272253">
      <w:pPr>
        <w:jc w:val="both"/>
      </w:pPr>
    </w:p>
    <w:p w:rsidR="00194929" w:rsidRPr="00272253" w:rsidRDefault="00272253" w:rsidP="00272253">
      <w:pPr>
        <w:pStyle w:val="Heading2"/>
        <w:numPr>
          <w:ilvl w:val="0"/>
          <w:numId w:val="0"/>
        </w:numPr>
        <w:rPr>
          <w:rFonts w:ascii="Times New Roman" w:hAnsi="Times New Roman" w:cs="Times New Roman"/>
          <w:sz w:val="28"/>
        </w:rPr>
      </w:pPr>
      <w:r>
        <w:rPr>
          <w:rFonts w:ascii="Times New Roman" w:hAnsi="Times New Roman" w:cs="Times New Roman"/>
          <w:sz w:val="28"/>
        </w:rPr>
        <w:t>POISON SCHEDULE</w:t>
      </w:r>
    </w:p>
    <w:p w:rsidR="00194929" w:rsidRDefault="00272253" w:rsidP="00272253">
      <w:r>
        <w:t>Prescription Only Medicine (S4)</w:t>
      </w:r>
    </w:p>
    <w:p w:rsidR="00272253" w:rsidRPr="00E04225" w:rsidRDefault="00272253" w:rsidP="00272253"/>
    <w:p w:rsidR="00194929" w:rsidRPr="000E396D" w:rsidRDefault="008B092A" w:rsidP="000E396D">
      <w:pPr>
        <w:pStyle w:val="Heading2"/>
        <w:numPr>
          <w:ilvl w:val="0"/>
          <w:numId w:val="0"/>
        </w:numPr>
        <w:rPr>
          <w:rFonts w:ascii="Times New Roman" w:hAnsi="Times New Roman" w:cs="Times New Roman"/>
          <w:sz w:val="28"/>
        </w:rPr>
      </w:pPr>
      <w:r>
        <w:rPr>
          <w:rFonts w:ascii="Times New Roman" w:hAnsi="Times New Roman" w:cs="Times New Roman"/>
          <w:sz w:val="28"/>
        </w:rPr>
        <w:br w:type="page"/>
      </w:r>
      <w:r w:rsidR="000E396D">
        <w:rPr>
          <w:rFonts w:ascii="Times New Roman" w:hAnsi="Times New Roman" w:cs="Times New Roman"/>
          <w:sz w:val="28"/>
        </w:rPr>
        <w:lastRenderedPageBreak/>
        <w:t>SPONSOR</w:t>
      </w:r>
    </w:p>
    <w:p w:rsidR="00194929" w:rsidRPr="00736B32" w:rsidRDefault="00325F4C" w:rsidP="000E396D">
      <w:r w:rsidRPr="00736B32">
        <w:t>Roche Products Pty Limited</w:t>
      </w:r>
    </w:p>
    <w:p w:rsidR="00194929" w:rsidRPr="00736B32" w:rsidRDefault="00194929" w:rsidP="000E396D">
      <w:r w:rsidRPr="00736B32">
        <w:t>ABN 70 000 132 865</w:t>
      </w:r>
    </w:p>
    <w:p w:rsidR="00194929" w:rsidRPr="00736B32" w:rsidRDefault="00194929" w:rsidP="000E396D">
      <w:r w:rsidRPr="00736B32">
        <w:t>4</w:t>
      </w:r>
      <w:r w:rsidRPr="00736B32">
        <w:sym w:font="Symbol" w:char="F02D"/>
      </w:r>
      <w:r w:rsidRPr="00736B32">
        <w:t xml:space="preserve">10 </w:t>
      </w:r>
      <w:r w:rsidR="00325F4C" w:rsidRPr="00736B32">
        <w:t>Inman Road</w:t>
      </w:r>
    </w:p>
    <w:p w:rsidR="00A03033" w:rsidRPr="00736B32" w:rsidRDefault="00325F4C" w:rsidP="000E396D">
      <w:r w:rsidRPr="00736B32">
        <w:t>Dee Why</w:t>
      </w:r>
      <w:r w:rsidR="00194929" w:rsidRPr="00736B32">
        <w:t xml:space="preserve">   NSW   2099</w:t>
      </w:r>
    </w:p>
    <w:p w:rsidR="00325F4C" w:rsidRPr="00736B32" w:rsidRDefault="00325F4C" w:rsidP="000E396D">
      <w:r w:rsidRPr="00736B32">
        <w:t>AUSTRALIA</w:t>
      </w:r>
    </w:p>
    <w:p w:rsidR="00325F4C" w:rsidRPr="00736B32" w:rsidRDefault="00325F4C" w:rsidP="000E396D"/>
    <w:p w:rsidR="00325F4C" w:rsidRPr="00736B32" w:rsidRDefault="00325F4C" w:rsidP="000E396D">
      <w:r w:rsidRPr="00736B32">
        <w:t>Customer enquiries: 1800 233 950</w:t>
      </w:r>
    </w:p>
    <w:p w:rsidR="00325F4C" w:rsidRPr="00736B32" w:rsidRDefault="00325F4C" w:rsidP="000E396D"/>
    <w:p w:rsidR="009A2277" w:rsidRPr="00736B32" w:rsidRDefault="009A2277" w:rsidP="000E396D">
      <w:r w:rsidRPr="00736B32">
        <w:t>Distributed in New Zealand by:</w:t>
      </w:r>
    </w:p>
    <w:p w:rsidR="009A2277" w:rsidRPr="00736B32" w:rsidRDefault="009A2277" w:rsidP="000E396D">
      <w:r w:rsidRPr="00736B32">
        <w:t>Roche Products (New Zealand) Limited</w:t>
      </w:r>
    </w:p>
    <w:p w:rsidR="009A2277" w:rsidRPr="00736B32" w:rsidRDefault="009A2277" w:rsidP="000E396D">
      <w:r w:rsidRPr="00736B32">
        <w:t>PO Box 1</w:t>
      </w:r>
      <w:r w:rsidR="00B4324B">
        <w:t>09113</w:t>
      </w:r>
      <w:r w:rsidRPr="00736B32">
        <w:t xml:space="preserve"> </w:t>
      </w:r>
      <w:r w:rsidR="00B4324B">
        <w:t>Newmarket</w:t>
      </w:r>
    </w:p>
    <w:p w:rsidR="009A2277" w:rsidRPr="00736B32" w:rsidRDefault="009A2277" w:rsidP="000E396D">
      <w:r w:rsidRPr="00736B32">
        <w:t>Auckland 1</w:t>
      </w:r>
      <w:r w:rsidR="00B4324B">
        <w:t>149</w:t>
      </w:r>
    </w:p>
    <w:p w:rsidR="009A2277" w:rsidRPr="00736B32" w:rsidRDefault="009A2277" w:rsidP="000E396D">
      <w:r w:rsidRPr="00736B32">
        <w:t>NEW ZEALAND</w:t>
      </w:r>
    </w:p>
    <w:p w:rsidR="009A2277" w:rsidRPr="00736B32" w:rsidRDefault="009A2277" w:rsidP="000E396D"/>
    <w:p w:rsidR="009A2277" w:rsidRDefault="009A2277" w:rsidP="000E396D">
      <w:r w:rsidRPr="00736B32">
        <w:t>Customer enquiries: 0800 656 464</w:t>
      </w:r>
    </w:p>
    <w:p w:rsidR="009A2277" w:rsidRPr="002D798E" w:rsidRDefault="009A2277" w:rsidP="000E396D"/>
    <w:p w:rsidR="003A65AC" w:rsidRPr="004B08B0" w:rsidRDefault="003A65AC" w:rsidP="003A65AC">
      <w:pPr>
        <w:pStyle w:val="Heading2"/>
        <w:numPr>
          <w:ilvl w:val="0"/>
          <w:numId w:val="0"/>
        </w:numPr>
        <w:spacing w:before="0" w:after="0"/>
      </w:pPr>
      <w:r w:rsidRPr="004B08B0">
        <w:t>DATE OF FIRST INCLUSION IN THE AUSTRALIAN REGISTER OF</w:t>
      </w:r>
      <w:r>
        <w:t xml:space="preserve"> </w:t>
      </w:r>
      <w:r w:rsidRPr="004B08B0">
        <w:t>THERAPEUTIC GOODS (THE ARTG)</w:t>
      </w:r>
    </w:p>
    <w:p w:rsidR="003A65AC" w:rsidRDefault="00AF4332" w:rsidP="003A65AC">
      <w:r>
        <w:t>21 May 2009</w:t>
      </w:r>
    </w:p>
    <w:p w:rsidR="003A65AC" w:rsidRDefault="003A65AC" w:rsidP="003A65AC"/>
    <w:p w:rsidR="003A65AC" w:rsidRPr="00B25935" w:rsidRDefault="003A65AC" w:rsidP="003A65AC">
      <w:pPr>
        <w:pStyle w:val="Heading2"/>
        <w:numPr>
          <w:ilvl w:val="0"/>
          <w:numId w:val="0"/>
        </w:numPr>
        <w:spacing w:before="0" w:after="0"/>
      </w:pPr>
      <w:r w:rsidRPr="004B08B0">
        <w:t>DATE OF MOST RECENT AMENDMENT</w:t>
      </w:r>
      <w:r w:rsidRPr="00D61D01">
        <w:t xml:space="preserve"> </w:t>
      </w:r>
    </w:p>
    <w:p w:rsidR="008325AF" w:rsidRPr="008325AF" w:rsidRDefault="00CA5641" w:rsidP="008325AF">
      <w:pPr>
        <w:pStyle w:val="TextTi12"/>
        <w:spacing w:after="0" w:line="240" w:lineRule="auto"/>
      </w:pPr>
      <w:r>
        <w:t>14 October 2014</w:t>
      </w:r>
    </w:p>
    <w:sectPr w:rsidR="008325AF" w:rsidRPr="008325AF" w:rsidSect="008A1EBE">
      <w:headerReference w:type="even" r:id="rId10"/>
      <w:headerReference w:type="default" r:id="rId11"/>
      <w:footerReference w:type="even" r:id="rId12"/>
      <w:footerReference w:type="default" r:id="rId13"/>
      <w:headerReference w:type="first" r:id="rId14"/>
      <w:footerReference w:type="first" r:id="rId15"/>
      <w:pgSz w:w="11907" w:h="16840" w:code="9"/>
      <w:pgMar w:top="1905" w:right="1196" w:bottom="1871" w:left="2070" w:header="1066" w:footer="1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6C8" w:rsidRDefault="00EC56C8">
      <w:r>
        <w:separator/>
      </w:r>
    </w:p>
    <w:p w:rsidR="00EC56C8" w:rsidRDefault="00EC56C8"/>
    <w:p w:rsidR="00EC56C8" w:rsidRDefault="00EC56C8"/>
    <w:p w:rsidR="00EC56C8" w:rsidRDefault="00EC56C8"/>
    <w:p w:rsidR="00EC56C8" w:rsidRDefault="00EC56C8"/>
  </w:endnote>
  <w:endnote w:type="continuationSeparator" w:id="0">
    <w:p w:rsidR="00EC56C8" w:rsidRDefault="00EC56C8">
      <w:r>
        <w:continuationSeparator/>
      </w:r>
    </w:p>
    <w:p w:rsidR="00EC56C8" w:rsidRDefault="00EC56C8"/>
    <w:p w:rsidR="00EC56C8" w:rsidRDefault="00EC56C8"/>
    <w:p w:rsidR="00EC56C8" w:rsidRDefault="00EC56C8"/>
    <w:p w:rsidR="00EC56C8" w:rsidRDefault="00EC56C8"/>
  </w:endnote>
  <w:endnote w:type="continuationNotice" w:id="1">
    <w:p w:rsidR="00EC56C8" w:rsidRDefault="00EC5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haroni">
    <w:panose1 w:val="02010803020104030203"/>
    <w:charset w:val="B1"/>
    <w:family w:val="auto"/>
    <w:pitch w:val="variable"/>
    <w:sig w:usb0="00000801"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Minion">
    <w:altName w:val="Cambria Math"/>
    <w:charset w:val="00"/>
    <w:family w:val="roman"/>
    <w:pitch w:val="variable"/>
    <w:sig w:usb0="00000001"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E2" w:rsidRDefault="005E0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809" w:rsidRDefault="001F4809" w:rsidP="0046555F">
    <w:pPr>
      <w:pStyle w:val="Footer"/>
      <w:rPr>
        <w:rFonts w:ascii="Times New Roman" w:hAnsi="Times New Roman"/>
        <w:sz w:val="16"/>
        <w:szCs w:val="16"/>
      </w:rPr>
    </w:pPr>
    <w:r>
      <w:rPr>
        <w:rFonts w:ascii="Times New Roman" w:hAnsi="Times New Roman"/>
        <w:sz w:val="16"/>
        <w:szCs w:val="16"/>
      </w:rPr>
      <w:t>Actemra 141014</w:t>
    </w:r>
    <w:r w:rsidRPr="0046555F">
      <w:tab/>
    </w:r>
    <w:r w:rsidRPr="00811547">
      <w:rPr>
        <w:rFonts w:ascii="Times New Roman" w:hAnsi="Times New Roman"/>
        <w:sz w:val="16"/>
        <w:szCs w:val="16"/>
      </w:rPr>
      <w:fldChar w:fldCharType="begin"/>
    </w:r>
    <w:r w:rsidRPr="00811547">
      <w:rPr>
        <w:rFonts w:ascii="Times New Roman" w:hAnsi="Times New Roman"/>
        <w:sz w:val="16"/>
        <w:szCs w:val="16"/>
      </w:rPr>
      <w:instrText xml:space="preserve"> PAGE </w:instrText>
    </w:r>
    <w:r w:rsidRPr="00811547">
      <w:rPr>
        <w:rFonts w:ascii="Times New Roman" w:hAnsi="Times New Roman"/>
        <w:sz w:val="16"/>
        <w:szCs w:val="16"/>
      </w:rPr>
      <w:fldChar w:fldCharType="separate"/>
    </w:r>
    <w:r w:rsidR="0016545F">
      <w:rPr>
        <w:rFonts w:ascii="Times New Roman" w:hAnsi="Times New Roman"/>
        <w:noProof/>
        <w:sz w:val="16"/>
        <w:szCs w:val="16"/>
      </w:rPr>
      <w:t>1</w:t>
    </w:r>
    <w:r w:rsidRPr="00811547">
      <w:rPr>
        <w:rFonts w:ascii="Times New Roman" w:hAnsi="Times New Roman"/>
        <w:sz w:val="16"/>
        <w:szCs w:val="16"/>
      </w:rPr>
      <w:fldChar w:fldCharType="end"/>
    </w:r>
    <w:r w:rsidRPr="00811547">
      <w:rPr>
        <w:rFonts w:ascii="Times New Roman" w:hAnsi="Times New Roman"/>
        <w:sz w:val="16"/>
        <w:szCs w:val="16"/>
      </w:rPr>
      <w:t xml:space="preserve"> </w:t>
    </w:r>
  </w:p>
  <w:p w:rsidR="001F4809" w:rsidRDefault="001F4809" w:rsidP="00C0161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E2" w:rsidRDefault="005E0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6C8" w:rsidRDefault="00EC56C8">
      <w:r>
        <w:separator/>
      </w:r>
    </w:p>
    <w:p w:rsidR="00EC56C8" w:rsidRDefault="00EC56C8"/>
    <w:p w:rsidR="00EC56C8" w:rsidRDefault="00EC56C8"/>
    <w:p w:rsidR="00EC56C8" w:rsidRDefault="00EC56C8"/>
    <w:p w:rsidR="00EC56C8" w:rsidRDefault="00EC56C8"/>
  </w:footnote>
  <w:footnote w:type="continuationSeparator" w:id="0">
    <w:p w:rsidR="00EC56C8" w:rsidRDefault="00EC56C8">
      <w:r>
        <w:continuationSeparator/>
      </w:r>
    </w:p>
    <w:p w:rsidR="00EC56C8" w:rsidRDefault="00EC56C8"/>
    <w:p w:rsidR="00EC56C8" w:rsidRDefault="00EC56C8"/>
    <w:p w:rsidR="00EC56C8" w:rsidRDefault="00EC56C8"/>
    <w:p w:rsidR="00EC56C8" w:rsidRDefault="00EC56C8"/>
  </w:footnote>
  <w:footnote w:type="continuationNotice" w:id="1">
    <w:p w:rsidR="00EC56C8" w:rsidRDefault="00EC56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E2" w:rsidRDefault="005E06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5E06E2" w:rsidTr="00CC7231">
      <w:tc>
        <w:tcPr>
          <w:tcW w:w="8720" w:type="dxa"/>
          <w:shd w:val="clear" w:color="auto" w:fill="E4F2E0"/>
        </w:tcPr>
        <w:p w:rsidR="005E06E2" w:rsidRPr="005E06E2" w:rsidRDefault="005E06E2" w:rsidP="00CC7231">
          <w:pPr>
            <w:spacing w:before="40" w:after="40"/>
            <w:rPr>
              <w:rFonts w:ascii="Cambria" w:hAnsi="Cambria"/>
              <w:b/>
              <w:sz w:val="20"/>
            </w:rPr>
          </w:pPr>
          <w:r w:rsidRPr="005E06E2">
            <w:rPr>
              <w:rFonts w:ascii="Cambria" w:hAnsi="Cambria"/>
              <w:b/>
              <w:sz w:val="20"/>
            </w:rPr>
            <w:t>Attachment 1: Product information for AusPAR Actemra Tocilizumab (rch) Roche Products PM-2013-02398-1-3 Date of Finalisation 13 January 2015 This Product Information was approved at the time this AusPAR was published.</w:t>
          </w:r>
        </w:p>
      </w:tc>
    </w:tr>
  </w:tbl>
  <w:p w:rsidR="005E06E2" w:rsidRDefault="005E06E2" w:rsidP="005E06E2">
    <w:pPr>
      <w:pStyle w:val="Header"/>
    </w:pPr>
  </w:p>
  <w:p w:rsidR="001F4809" w:rsidRPr="00194929" w:rsidRDefault="0016545F" w:rsidP="00194929">
    <w:pPr>
      <w:pStyle w:val="Header"/>
      <w:jc w:val="right"/>
    </w:pPr>
    <w:r>
      <w:pict w14:anchorId="4391C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5pt;height:22.6pt">
          <v:imagedata r:id="rId1" o:title="roche-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E2" w:rsidRDefault="005E06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EE7"/>
    <w:multiLevelType w:val="hybridMultilevel"/>
    <w:tmpl w:val="C0ECA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F55EF5"/>
    <w:multiLevelType w:val="hybridMultilevel"/>
    <w:tmpl w:val="75A49874"/>
    <w:lvl w:ilvl="0" w:tplc="A2FACC9C">
      <w:start w:val="1"/>
      <w:numFmt w:val="bullet"/>
      <w:pStyle w:val="TextBull"/>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7E845F1"/>
    <w:multiLevelType w:val="hybridMultilevel"/>
    <w:tmpl w:val="E3829396"/>
    <w:lvl w:ilvl="0" w:tplc="5950BB0C">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7E3D78"/>
    <w:multiLevelType w:val="singleLevel"/>
    <w:tmpl w:val="E43EDEE6"/>
    <w:lvl w:ilvl="0">
      <w:start w:val="1"/>
      <w:numFmt w:val="decimal"/>
      <w:pStyle w:val="TextRef"/>
      <w:lvlText w:val="%1."/>
      <w:lvlJc w:val="left"/>
      <w:pPr>
        <w:tabs>
          <w:tab w:val="num" w:pos="360"/>
        </w:tabs>
        <w:ind w:left="360" w:hanging="360"/>
      </w:pPr>
    </w:lvl>
  </w:abstractNum>
  <w:abstractNum w:abstractNumId="4">
    <w:nsid w:val="2D5A7FE1"/>
    <w:multiLevelType w:val="hybridMultilevel"/>
    <w:tmpl w:val="EA5EB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614B70"/>
    <w:multiLevelType w:val="singleLevel"/>
    <w:tmpl w:val="E43EDEE6"/>
    <w:lvl w:ilvl="0">
      <w:start w:val="1"/>
      <w:numFmt w:val="decimal"/>
      <w:lvlText w:val="%1."/>
      <w:legacy w:legacy="1" w:legacySpace="0" w:legacyIndent="283"/>
      <w:lvlJc w:val="left"/>
      <w:pPr>
        <w:ind w:left="283" w:hanging="283"/>
      </w:pPr>
    </w:lvl>
  </w:abstractNum>
  <w:abstractNum w:abstractNumId="6">
    <w:nsid w:val="300F64FA"/>
    <w:multiLevelType w:val="hybridMultilevel"/>
    <w:tmpl w:val="2F3C6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197AF0"/>
    <w:multiLevelType w:val="hybridMultilevel"/>
    <w:tmpl w:val="4E92BCD0"/>
    <w:lvl w:ilvl="0" w:tplc="EE98D13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101F96"/>
    <w:multiLevelType w:val="multilevel"/>
    <w:tmpl w:val="17A80DDC"/>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9">
    <w:nsid w:val="4CBB70D3"/>
    <w:multiLevelType w:val="hybridMultilevel"/>
    <w:tmpl w:val="A992F9BE"/>
    <w:lvl w:ilvl="0" w:tplc="8C286C60">
      <w:start w:val="1"/>
      <w:numFmt w:val="lowerLetter"/>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4E9E388A"/>
    <w:multiLevelType w:val="hybridMultilevel"/>
    <w:tmpl w:val="A94C7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170A74"/>
    <w:multiLevelType w:val="hybridMultilevel"/>
    <w:tmpl w:val="86061778"/>
    <w:lvl w:ilvl="0" w:tplc="681A2C44">
      <w:start w:val="1"/>
      <w:numFmt w:val="bullet"/>
      <w:pStyle w:val="TextDash"/>
      <w:lvlText w:val="–"/>
      <w:lvlJc w:val="left"/>
      <w:pPr>
        <w:tabs>
          <w:tab w:val="num" w:pos="357"/>
        </w:tabs>
        <w:ind w:left="357" w:hanging="357"/>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7FF62B6"/>
    <w:multiLevelType w:val="hybridMultilevel"/>
    <w:tmpl w:val="26389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363915"/>
    <w:multiLevelType w:val="singleLevel"/>
    <w:tmpl w:val="E43EDEE6"/>
    <w:lvl w:ilvl="0">
      <w:start w:val="1"/>
      <w:numFmt w:val="decimal"/>
      <w:lvlText w:val="%1."/>
      <w:legacy w:legacy="1" w:legacySpace="0" w:legacyIndent="283"/>
      <w:lvlJc w:val="left"/>
      <w:pPr>
        <w:ind w:left="283" w:hanging="283"/>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9"/>
  </w:num>
  <w:num w:numId="11">
    <w:abstractNumId w:val="1"/>
  </w:num>
  <w:num w:numId="12">
    <w:abstractNumId w:val="11"/>
  </w:num>
  <w:num w:numId="13">
    <w:abstractNumId w:val="2"/>
  </w:num>
  <w:num w:numId="14">
    <w:abstractNumId w:val="3"/>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3"/>
  </w:num>
  <w:num w:numId="25">
    <w:abstractNumId w:val="3"/>
  </w:num>
  <w:num w:numId="26">
    <w:abstractNumId w:val="5"/>
  </w:num>
  <w:num w:numId="27">
    <w:abstractNumId w:val="13"/>
  </w:num>
  <w:num w:numId="28">
    <w:abstractNumId w:val="4"/>
  </w:num>
  <w:num w:numId="29">
    <w:abstractNumId w:val="6"/>
  </w:num>
  <w:num w:numId="30">
    <w:abstractNumId w:val="0"/>
  </w:num>
  <w:num w:numId="31">
    <w:abstractNumId w:val="10"/>
  </w:num>
  <w:num w:numId="32">
    <w:abstractNumId w:val="12"/>
  </w:num>
  <w:num w:numId="33">
    <w:abstractNumId w:val="7"/>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de-CH"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6146"/>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496F"/>
    <w:rsid w:val="00000BA8"/>
    <w:rsid w:val="00001D5F"/>
    <w:rsid w:val="000025B5"/>
    <w:rsid w:val="0000373E"/>
    <w:rsid w:val="00003E42"/>
    <w:rsid w:val="00004717"/>
    <w:rsid w:val="00005008"/>
    <w:rsid w:val="00005AEC"/>
    <w:rsid w:val="00007EAE"/>
    <w:rsid w:val="00010D23"/>
    <w:rsid w:val="00014716"/>
    <w:rsid w:val="00015F63"/>
    <w:rsid w:val="000178FD"/>
    <w:rsid w:val="0002270A"/>
    <w:rsid w:val="000233A2"/>
    <w:rsid w:val="00026225"/>
    <w:rsid w:val="00030B9C"/>
    <w:rsid w:val="00032253"/>
    <w:rsid w:val="00032848"/>
    <w:rsid w:val="00034B56"/>
    <w:rsid w:val="000357B3"/>
    <w:rsid w:val="00040AE1"/>
    <w:rsid w:val="0004227C"/>
    <w:rsid w:val="00047813"/>
    <w:rsid w:val="000504F2"/>
    <w:rsid w:val="00050D86"/>
    <w:rsid w:val="000519B6"/>
    <w:rsid w:val="00051B5C"/>
    <w:rsid w:val="000533B6"/>
    <w:rsid w:val="0005369E"/>
    <w:rsid w:val="00055E2C"/>
    <w:rsid w:val="000607D5"/>
    <w:rsid w:val="000610A9"/>
    <w:rsid w:val="000640B5"/>
    <w:rsid w:val="000662DB"/>
    <w:rsid w:val="00066F99"/>
    <w:rsid w:val="00067577"/>
    <w:rsid w:val="00067ECA"/>
    <w:rsid w:val="00073349"/>
    <w:rsid w:val="0007465A"/>
    <w:rsid w:val="000761B6"/>
    <w:rsid w:val="00080478"/>
    <w:rsid w:val="00080FC8"/>
    <w:rsid w:val="00085DD9"/>
    <w:rsid w:val="00087A4F"/>
    <w:rsid w:val="00087B1B"/>
    <w:rsid w:val="000917D6"/>
    <w:rsid w:val="00091A22"/>
    <w:rsid w:val="00094837"/>
    <w:rsid w:val="00094849"/>
    <w:rsid w:val="000A0206"/>
    <w:rsid w:val="000A0B7C"/>
    <w:rsid w:val="000A33E1"/>
    <w:rsid w:val="000A478A"/>
    <w:rsid w:val="000A60BA"/>
    <w:rsid w:val="000A6CE3"/>
    <w:rsid w:val="000B07A3"/>
    <w:rsid w:val="000B3333"/>
    <w:rsid w:val="000B3634"/>
    <w:rsid w:val="000B3756"/>
    <w:rsid w:val="000B3D9A"/>
    <w:rsid w:val="000B4FC3"/>
    <w:rsid w:val="000B54B3"/>
    <w:rsid w:val="000B6A61"/>
    <w:rsid w:val="000C1D35"/>
    <w:rsid w:val="000C2E64"/>
    <w:rsid w:val="000C3C85"/>
    <w:rsid w:val="000C3D70"/>
    <w:rsid w:val="000C49ED"/>
    <w:rsid w:val="000C5846"/>
    <w:rsid w:val="000C5EF2"/>
    <w:rsid w:val="000C618E"/>
    <w:rsid w:val="000C6A99"/>
    <w:rsid w:val="000C6E2A"/>
    <w:rsid w:val="000C70A2"/>
    <w:rsid w:val="000D03C8"/>
    <w:rsid w:val="000D4370"/>
    <w:rsid w:val="000D5F4F"/>
    <w:rsid w:val="000D697C"/>
    <w:rsid w:val="000D7CB2"/>
    <w:rsid w:val="000D7D9E"/>
    <w:rsid w:val="000E396D"/>
    <w:rsid w:val="000E47CC"/>
    <w:rsid w:val="000E7A7B"/>
    <w:rsid w:val="000E7F98"/>
    <w:rsid w:val="000F0BB8"/>
    <w:rsid w:val="000F1463"/>
    <w:rsid w:val="000F22A2"/>
    <w:rsid w:val="000F5424"/>
    <w:rsid w:val="000F7534"/>
    <w:rsid w:val="001002A1"/>
    <w:rsid w:val="0010091B"/>
    <w:rsid w:val="00100C7B"/>
    <w:rsid w:val="001020C7"/>
    <w:rsid w:val="001029E2"/>
    <w:rsid w:val="001056FF"/>
    <w:rsid w:val="00105D7D"/>
    <w:rsid w:val="001068CE"/>
    <w:rsid w:val="00111567"/>
    <w:rsid w:val="001119D9"/>
    <w:rsid w:val="001173F5"/>
    <w:rsid w:val="0012563F"/>
    <w:rsid w:val="0013073A"/>
    <w:rsid w:val="00131061"/>
    <w:rsid w:val="001315F8"/>
    <w:rsid w:val="001320D3"/>
    <w:rsid w:val="0013581B"/>
    <w:rsid w:val="00136495"/>
    <w:rsid w:val="00136E50"/>
    <w:rsid w:val="001370C5"/>
    <w:rsid w:val="001376FC"/>
    <w:rsid w:val="00140526"/>
    <w:rsid w:val="0014162F"/>
    <w:rsid w:val="00141872"/>
    <w:rsid w:val="00141CEF"/>
    <w:rsid w:val="0014249D"/>
    <w:rsid w:val="00142CEC"/>
    <w:rsid w:val="00144ED7"/>
    <w:rsid w:val="00144F06"/>
    <w:rsid w:val="001451BD"/>
    <w:rsid w:val="00145886"/>
    <w:rsid w:val="001458F3"/>
    <w:rsid w:val="00146DA7"/>
    <w:rsid w:val="00147360"/>
    <w:rsid w:val="00147908"/>
    <w:rsid w:val="00150394"/>
    <w:rsid w:val="00153025"/>
    <w:rsid w:val="0015435D"/>
    <w:rsid w:val="00155847"/>
    <w:rsid w:val="001568D5"/>
    <w:rsid w:val="001636EB"/>
    <w:rsid w:val="001643A1"/>
    <w:rsid w:val="00165107"/>
    <w:rsid w:val="0016545F"/>
    <w:rsid w:val="00167473"/>
    <w:rsid w:val="001720F1"/>
    <w:rsid w:val="00174B1A"/>
    <w:rsid w:val="0017515B"/>
    <w:rsid w:val="00176D97"/>
    <w:rsid w:val="00182374"/>
    <w:rsid w:val="00184317"/>
    <w:rsid w:val="00184D0A"/>
    <w:rsid w:val="00190DE4"/>
    <w:rsid w:val="00191BE4"/>
    <w:rsid w:val="00192DDF"/>
    <w:rsid w:val="00194929"/>
    <w:rsid w:val="00196958"/>
    <w:rsid w:val="00196FEF"/>
    <w:rsid w:val="001A12D5"/>
    <w:rsid w:val="001A13E3"/>
    <w:rsid w:val="001A3AB1"/>
    <w:rsid w:val="001A4B2A"/>
    <w:rsid w:val="001A692B"/>
    <w:rsid w:val="001B1AB3"/>
    <w:rsid w:val="001B1B09"/>
    <w:rsid w:val="001B4746"/>
    <w:rsid w:val="001B5F82"/>
    <w:rsid w:val="001C009D"/>
    <w:rsid w:val="001C08F5"/>
    <w:rsid w:val="001C3D1F"/>
    <w:rsid w:val="001C4078"/>
    <w:rsid w:val="001D41D6"/>
    <w:rsid w:val="001D4D32"/>
    <w:rsid w:val="001D53ED"/>
    <w:rsid w:val="001E023A"/>
    <w:rsid w:val="001E16D9"/>
    <w:rsid w:val="001E23F6"/>
    <w:rsid w:val="001E37ED"/>
    <w:rsid w:val="001E4C60"/>
    <w:rsid w:val="001E4E6E"/>
    <w:rsid w:val="001E7784"/>
    <w:rsid w:val="001F1BB9"/>
    <w:rsid w:val="001F1D30"/>
    <w:rsid w:val="001F28F8"/>
    <w:rsid w:val="001F3753"/>
    <w:rsid w:val="001F3E0D"/>
    <w:rsid w:val="001F4809"/>
    <w:rsid w:val="001F4FF5"/>
    <w:rsid w:val="001F5488"/>
    <w:rsid w:val="001F5EE5"/>
    <w:rsid w:val="001F794C"/>
    <w:rsid w:val="002034B2"/>
    <w:rsid w:val="00203DCA"/>
    <w:rsid w:val="0021093E"/>
    <w:rsid w:val="0021249E"/>
    <w:rsid w:val="00214059"/>
    <w:rsid w:val="002140E5"/>
    <w:rsid w:val="0021768D"/>
    <w:rsid w:val="002179C0"/>
    <w:rsid w:val="002232C3"/>
    <w:rsid w:val="0022458F"/>
    <w:rsid w:val="00225F55"/>
    <w:rsid w:val="00226014"/>
    <w:rsid w:val="002275CF"/>
    <w:rsid w:val="002300D9"/>
    <w:rsid w:val="002305B6"/>
    <w:rsid w:val="002312D3"/>
    <w:rsid w:val="002316D0"/>
    <w:rsid w:val="002319A3"/>
    <w:rsid w:val="0023253B"/>
    <w:rsid w:val="00233D27"/>
    <w:rsid w:val="00233F1A"/>
    <w:rsid w:val="00234265"/>
    <w:rsid w:val="002357A2"/>
    <w:rsid w:val="00236387"/>
    <w:rsid w:val="00236EF0"/>
    <w:rsid w:val="002406CB"/>
    <w:rsid w:val="002452E2"/>
    <w:rsid w:val="002456ED"/>
    <w:rsid w:val="00247AA8"/>
    <w:rsid w:val="002524B5"/>
    <w:rsid w:val="00253B82"/>
    <w:rsid w:val="00255328"/>
    <w:rsid w:val="00265A5C"/>
    <w:rsid w:val="002667EA"/>
    <w:rsid w:val="00266876"/>
    <w:rsid w:val="00271D5E"/>
    <w:rsid w:val="00271F0A"/>
    <w:rsid w:val="00272253"/>
    <w:rsid w:val="002777E8"/>
    <w:rsid w:val="002839D8"/>
    <w:rsid w:val="002857D7"/>
    <w:rsid w:val="00285866"/>
    <w:rsid w:val="00285A04"/>
    <w:rsid w:val="0028664F"/>
    <w:rsid w:val="00291CED"/>
    <w:rsid w:val="00292D08"/>
    <w:rsid w:val="002941A4"/>
    <w:rsid w:val="00295B94"/>
    <w:rsid w:val="0029709A"/>
    <w:rsid w:val="002978A7"/>
    <w:rsid w:val="002A0004"/>
    <w:rsid w:val="002A3603"/>
    <w:rsid w:val="002A4150"/>
    <w:rsid w:val="002A7BD6"/>
    <w:rsid w:val="002B03C8"/>
    <w:rsid w:val="002B4FD7"/>
    <w:rsid w:val="002B5DE1"/>
    <w:rsid w:val="002B623D"/>
    <w:rsid w:val="002C4767"/>
    <w:rsid w:val="002D0E50"/>
    <w:rsid w:val="002D2D63"/>
    <w:rsid w:val="002D2E8B"/>
    <w:rsid w:val="002D4B1F"/>
    <w:rsid w:val="002D5FD7"/>
    <w:rsid w:val="002D62D4"/>
    <w:rsid w:val="002D638F"/>
    <w:rsid w:val="002D7FC7"/>
    <w:rsid w:val="002E2190"/>
    <w:rsid w:val="002E4C3C"/>
    <w:rsid w:val="002F0F89"/>
    <w:rsid w:val="002F2A33"/>
    <w:rsid w:val="003001D6"/>
    <w:rsid w:val="00300DF6"/>
    <w:rsid w:val="00301547"/>
    <w:rsid w:val="00304184"/>
    <w:rsid w:val="0031127A"/>
    <w:rsid w:val="00311780"/>
    <w:rsid w:val="00311AF2"/>
    <w:rsid w:val="003138FA"/>
    <w:rsid w:val="00314026"/>
    <w:rsid w:val="003145FF"/>
    <w:rsid w:val="00320046"/>
    <w:rsid w:val="00320494"/>
    <w:rsid w:val="003207F3"/>
    <w:rsid w:val="00320B92"/>
    <w:rsid w:val="00320B93"/>
    <w:rsid w:val="0032377B"/>
    <w:rsid w:val="00325A0D"/>
    <w:rsid w:val="00325F4C"/>
    <w:rsid w:val="0032617C"/>
    <w:rsid w:val="00331BED"/>
    <w:rsid w:val="00334370"/>
    <w:rsid w:val="00334A00"/>
    <w:rsid w:val="00342064"/>
    <w:rsid w:val="00342594"/>
    <w:rsid w:val="00342699"/>
    <w:rsid w:val="00346DAA"/>
    <w:rsid w:val="00351276"/>
    <w:rsid w:val="00355813"/>
    <w:rsid w:val="00362478"/>
    <w:rsid w:val="00362C49"/>
    <w:rsid w:val="00364325"/>
    <w:rsid w:val="003708CE"/>
    <w:rsid w:val="00370963"/>
    <w:rsid w:val="00370EFA"/>
    <w:rsid w:val="003710DA"/>
    <w:rsid w:val="003719E3"/>
    <w:rsid w:val="003738F6"/>
    <w:rsid w:val="003745B8"/>
    <w:rsid w:val="003831F6"/>
    <w:rsid w:val="00383618"/>
    <w:rsid w:val="0039119D"/>
    <w:rsid w:val="00391704"/>
    <w:rsid w:val="003920BA"/>
    <w:rsid w:val="0039286D"/>
    <w:rsid w:val="003947EF"/>
    <w:rsid w:val="00395018"/>
    <w:rsid w:val="003959DB"/>
    <w:rsid w:val="00396E2F"/>
    <w:rsid w:val="003A3202"/>
    <w:rsid w:val="003A65AC"/>
    <w:rsid w:val="003A6BF1"/>
    <w:rsid w:val="003A797A"/>
    <w:rsid w:val="003B0423"/>
    <w:rsid w:val="003B0D5E"/>
    <w:rsid w:val="003C10C4"/>
    <w:rsid w:val="003C244F"/>
    <w:rsid w:val="003C2BB7"/>
    <w:rsid w:val="003C5C53"/>
    <w:rsid w:val="003D0E2A"/>
    <w:rsid w:val="003D0EB5"/>
    <w:rsid w:val="003D21A4"/>
    <w:rsid w:val="003D2C54"/>
    <w:rsid w:val="003D5817"/>
    <w:rsid w:val="003D77D1"/>
    <w:rsid w:val="003E42CA"/>
    <w:rsid w:val="003E4937"/>
    <w:rsid w:val="003E5494"/>
    <w:rsid w:val="003E5F0F"/>
    <w:rsid w:val="003E78F9"/>
    <w:rsid w:val="003E7961"/>
    <w:rsid w:val="003F2359"/>
    <w:rsid w:val="003F53E5"/>
    <w:rsid w:val="003F7DDC"/>
    <w:rsid w:val="00405685"/>
    <w:rsid w:val="00406249"/>
    <w:rsid w:val="00411052"/>
    <w:rsid w:val="0041488F"/>
    <w:rsid w:val="00414AFF"/>
    <w:rsid w:val="004154DF"/>
    <w:rsid w:val="004241E4"/>
    <w:rsid w:val="004275ED"/>
    <w:rsid w:val="004310EA"/>
    <w:rsid w:val="004319E6"/>
    <w:rsid w:val="00432A45"/>
    <w:rsid w:val="00436656"/>
    <w:rsid w:val="00442485"/>
    <w:rsid w:val="0044452B"/>
    <w:rsid w:val="0045366F"/>
    <w:rsid w:val="00460334"/>
    <w:rsid w:val="004609A5"/>
    <w:rsid w:val="00462272"/>
    <w:rsid w:val="00465537"/>
    <w:rsid w:val="0046555F"/>
    <w:rsid w:val="0046574E"/>
    <w:rsid w:val="00465784"/>
    <w:rsid w:val="00467E8D"/>
    <w:rsid w:val="0047391C"/>
    <w:rsid w:val="004744FF"/>
    <w:rsid w:val="00474E9B"/>
    <w:rsid w:val="00475338"/>
    <w:rsid w:val="0048150B"/>
    <w:rsid w:val="00483503"/>
    <w:rsid w:val="00484DC3"/>
    <w:rsid w:val="004850CF"/>
    <w:rsid w:val="0048549B"/>
    <w:rsid w:val="004856C1"/>
    <w:rsid w:val="0048624F"/>
    <w:rsid w:val="0048766D"/>
    <w:rsid w:val="004912BE"/>
    <w:rsid w:val="00492D06"/>
    <w:rsid w:val="00497226"/>
    <w:rsid w:val="00497429"/>
    <w:rsid w:val="004A08A7"/>
    <w:rsid w:val="004A1CF6"/>
    <w:rsid w:val="004A260B"/>
    <w:rsid w:val="004A3A81"/>
    <w:rsid w:val="004A6E24"/>
    <w:rsid w:val="004A79B6"/>
    <w:rsid w:val="004B0834"/>
    <w:rsid w:val="004B0B53"/>
    <w:rsid w:val="004B307A"/>
    <w:rsid w:val="004B3303"/>
    <w:rsid w:val="004B3A7D"/>
    <w:rsid w:val="004B4C70"/>
    <w:rsid w:val="004C077E"/>
    <w:rsid w:val="004C2CAD"/>
    <w:rsid w:val="004C323A"/>
    <w:rsid w:val="004C3763"/>
    <w:rsid w:val="004C4AE7"/>
    <w:rsid w:val="004C4CC8"/>
    <w:rsid w:val="004C53C0"/>
    <w:rsid w:val="004C67BF"/>
    <w:rsid w:val="004C7AE7"/>
    <w:rsid w:val="004D23CB"/>
    <w:rsid w:val="004D714F"/>
    <w:rsid w:val="004E076C"/>
    <w:rsid w:val="004E39F2"/>
    <w:rsid w:val="004E3BED"/>
    <w:rsid w:val="004E3F35"/>
    <w:rsid w:val="004E40C5"/>
    <w:rsid w:val="004E4913"/>
    <w:rsid w:val="004E5755"/>
    <w:rsid w:val="004E67BF"/>
    <w:rsid w:val="004F60FD"/>
    <w:rsid w:val="004F6463"/>
    <w:rsid w:val="00502A72"/>
    <w:rsid w:val="005046AE"/>
    <w:rsid w:val="00505194"/>
    <w:rsid w:val="005153B1"/>
    <w:rsid w:val="00520AE5"/>
    <w:rsid w:val="00520D83"/>
    <w:rsid w:val="00521C9D"/>
    <w:rsid w:val="00522E54"/>
    <w:rsid w:val="005238E4"/>
    <w:rsid w:val="005243A1"/>
    <w:rsid w:val="00530AC6"/>
    <w:rsid w:val="00531A81"/>
    <w:rsid w:val="00541153"/>
    <w:rsid w:val="00543326"/>
    <w:rsid w:val="0054370D"/>
    <w:rsid w:val="00544216"/>
    <w:rsid w:val="0054479E"/>
    <w:rsid w:val="00546556"/>
    <w:rsid w:val="00547B4C"/>
    <w:rsid w:val="005548BF"/>
    <w:rsid w:val="00556DA8"/>
    <w:rsid w:val="00560702"/>
    <w:rsid w:val="00562C1A"/>
    <w:rsid w:val="0056455C"/>
    <w:rsid w:val="00565039"/>
    <w:rsid w:val="00565603"/>
    <w:rsid w:val="00566196"/>
    <w:rsid w:val="0056724E"/>
    <w:rsid w:val="00572251"/>
    <w:rsid w:val="00572423"/>
    <w:rsid w:val="0057253D"/>
    <w:rsid w:val="00573FE5"/>
    <w:rsid w:val="005740CF"/>
    <w:rsid w:val="00576A8C"/>
    <w:rsid w:val="00577492"/>
    <w:rsid w:val="0058082F"/>
    <w:rsid w:val="00581333"/>
    <w:rsid w:val="00582901"/>
    <w:rsid w:val="00582E3E"/>
    <w:rsid w:val="00583885"/>
    <w:rsid w:val="00587D10"/>
    <w:rsid w:val="005901AD"/>
    <w:rsid w:val="00592936"/>
    <w:rsid w:val="00592F92"/>
    <w:rsid w:val="0059337A"/>
    <w:rsid w:val="00593571"/>
    <w:rsid w:val="00595135"/>
    <w:rsid w:val="00595AE2"/>
    <w:rsid w:val="00595E72"/>
    <w:rsid w:val="005A00D0"/>
    <w:rsid w:val="005A2F8A"/>
    <w:rsid w:val="005A37DE"/>
    <w:rsid w:val="005A5DEF"/>
    <w:rsid w:val="005B22FA"/>
    <w:rsid w:val="005B5548"/>
    <w:rsid w:val="005B6B75"/>
    <w:rsid w:val="005B6D00"/>
    <w:rsid w:val="005B7241"/>
    <w:rsid w:val="005B7921"/>
    <w:rsid w:val="005C2B63"/>
    <w:rsid w:val="005C4B64"/>
    <w:rsid w:val="005C67B7"/>
    <w:rsid w:val="005D1B70"/>
    <w:rsid w:val="005D70F1"/>
    <w:rsid w:val="005E06E2"/>
    <w:rsid w:val="005E2F23"/>
    <w:rsid w:val="005E4FDB"/>
    <w:rsid w:val="005E5A0D"/>
    <w:rsid w:val="005E5A18"/>
    <w:rsid w:val="005E71F7"/>
    <w:rsid w:val="005F3A3C"/>
    <w:rsid w:val="005F6283"/>
    <w:rsid w:val="005F7210"/>
    <w:rsid w:val="00601207"/>
    <w:rsid w:val="006018DA"/>
    <w:rsid w:val="006021FD"/>
    <w:rsid w:val="00602221"/>
    <w:rsid w:val="0060592F"/>
    <w:rsid w:val="0060784C"/>
    <w:rsid w:val="00610960"/>
    <w:rsid w:val="00611360"/>
    <w:rsid w:val="00612018"/>
    <w:rsid w:val="00615EC0"/>
    <w:rsid w:val="00617A9A"/>
    <w:rsid w:val="00621DD9"/>
    <w:rsid w:val="0062220B"/>
    <w:rsid w:val="00627862"/>
    <w:rsid w:val="006305F8"/>
    <w:rsid w:val="0063235F"/>
    <w:rsid w:val="006326F3"/>
    <w:rsid w:val="00640054"/>
    <w:rsid w:val="00640608"/>
    <w:rsid w:val="006433F8"/>
    <w:rsid w:val="00643873"/>
    <w:rsid w:val="006438C6"/>
    <w:rsid w:val="0064413E"/>
    <w:rsid w:val="00644B41"/>
    <w:rsid w:val="00646178"/>
    <w:rsid w:val="00647310"/>
    <w:rsid w:val="00657413"/>
    <w:rsid w:val="00661113"/>
    <w:rsid w:val="00662B7D"/>
    <w:rsid w:val="00665522"/>
    <w:rsid w:val="0066580D"/>
    <w:rsid w:val="00672623"/>
    <w:rsid w:val="00673045"/>
    <w:rsid w:val="00673524"/>
    <w:rsid w:val="00674990"/>
    <w:rsid w:val="00675D8B"/>
    <w:rsid w:val="0067640C"/>
    <w:rsid w:val="00680192"/>
    <w:rsid w:val="006815F0"/>
    <w:rsid w:val="00682810"/>
    <w:rsid w:val="00684FB7"/>
    <w:rsid w:val="006853AA"/>
    <w:rsid w:val="00692B8D"/>
    <w:rsid w:val="00693DE2"/>
    <w:rsid w:val="00695405"/>
    <w:rsid w:val="0069699E"/>
    <w:rsid w:val="006A4648"/>
    <w:rsid w:val="006A62AE"/>
    <w:rsid w:val="006A697D"/>
    <w:rsid w:val="006B107E"/>
    <w:rsid w:val="006B1BC4"/>
    <w:rsid w:val="006B24E0"/>
    <w:rsid w:val="006B3092"/>
    <w:rsid w:val="006B4FA4"/>
    <w:rsid w:val="006C128E"/>
    <w:rsid w:val="006C2485"/>
    <w:rsid w:val="006C6DB3"/>
    <w:rsid w:val="006D16C8"/>
    <w:rsid w:val="006D35F1"/>
    <w:rsid w:val="006D720E"/>
    <w:rsid w:val="006F107B"/>
    <w:rsid w:val="006F3CC0"/>
    <w:rsid w:val="0070045D"/>
    <w:rsid w:val="00701407"/>
    <w:rsid w:val="00703465"/>
    <w:rsid w:val="00705E3F"/>
    <w:rsid w:val="00706387"/>
    <w:rsid w:val="00711683"/>
    <w:rsid w:val="00711F14"/>
    <w:rsid w:val="00713438"/>
    <w:rsid w:val="0071372E"/>
    <w:rsid w:val="00713C8C"/>
    <w:rsid w:val="00715DFC"/>
    <w:rsid w:val="007164C1"/>
    <w:rsid w:val="00716D7F"/>
    <w:rsid w:val="007204D9"/>
    <w:rsid w:val="00721938"/>
    <w:rsid w:val="007266D3"/>
    <w:rsid w:val="00731487"/>
    <w:rsid w:val="00731529"/>
    <w:rsid w:val="00735C57"/>
    <w:rsid w:val="00736B32"/>
    <w:rsid w:val="007420C0"/>
    <w:rsid w:val="00747544"/>
    <w:rsid w:val="00750068"/>
    <w:rsid w:val="0075038E"/>
    <w:rsid w:val="00752044"/>
    <w:rsid w:val="0075230A"/>
    <w:rsid w:val="00752B13"/>
    <w:rsid w:val="007541E1"/>
    <w:rsid w:val="007602EE"/>
    <w:rsid w:val="00766379"/>
    <w:rsid w:val="007671F1"/>
    <w:rsid w:val="00767507"/>
    <w:rsid w:val="007726B2"/>
    <w:rsid w:val="007816AC"/>
    <w:rsid w:val="007863E9"/>
    <w:rsid w:val="00793279"/>
    <w:rsid w:val="00793E47"/>
    <w:rsid w:val="00795309"/>
    <w:rsid w:val="007970A8"/>
    <w:rsid w:val="007A401B"/>
    <w:rsid w:val="007A58EF"/>
    <w:rsid w:val="007B00B2"/>
    <w:rsid w:val="007B0843"/>
    <w:rsid w:val="007B2545"/>
    <w:rsid w:val="007B2DB1"/>
    <w:rsid w:val="007B351C"/>
    <w:rsid w:val="007B58C0"/>
    <w:rsid w:val="007B7B1C"/>
    <w:rsid w:val="007B7CCC"/>
    <w:rsid w:val="007C1880"/>
    <w:rsid w:val="007C38FF"/>
    <w:rsid w:val="007C3E1B"/>
    <w:rsid w:val="007C429F"/>
    <w:rsid w:val="007C4F1A"/>
    <w:rsid w:val="007D0E37"/>
    <w:rsid w:val="007D153B"/>
    <w:rsid w:val="007D2CB0"/>
    <w:rsid w:val="007D61A0"/>
    <w:rsid w:val="007D7346"/>
    <w:rsid w:val="007E452F"/>
    <w:rsid w:val="007E4B8C"/>
    <w:rsid w:val="007E5046"/>
    <w:rsid w:val="007E73AF"/>
    <w:rsid w:val="007F00F0"/>
    <w:rsid w:val="007F026C"/>
    <w:rsid w:val="007F0D05"/>
    <w:rsid w:val="007F2784"/>
    <w:rsid w:val="007F35F2"/>
    <w:rsid w:val="007F39FA"/>
    <w:rsid w:val="007F3D75"/>
    <w:rsid w:val="007F5265"/>
    <w:rsid w:val="0080308B"/>
    <w:rsid w:val="00803DEE"/>
    <w:rsid w:val="0080457C"/>
    <w:rsid w:val="00804841"/>
    <w:rsid w:val="00804E31"/>
    <w:rsid w:val="00807CDD"/>
    <w:rsid w:val="00810198"/>
    <w:rsid w:val="008109B9"/>
    <w:rsid w:val="00811547"/>
    <w:rsid w:val="00812E95"/>
    <w:rsid w:val="00812EF6"/>
    <w:rsid w:val="008165B7"/>
    <w:rsid w:val="008165E0"/>
    <w:rsid w:val="0082408C"/>
    <w:rsid w:val="00825CE1"/>
    <w:rsid w:val="008260F3"/>
    <w:rsid w:val="00826F54"/>
    <w:rsid w:val="00827F2E"/>
    <w:rsid w:val="00831B82"/>
    <w:rsid w:val="008325AF"/>
    <w:rsid w:val="00832BA7"/>
    <w:rsid w:val="0083322A"/>
    <w:rsid w:val="008347BE"/>
    <w:rsid w:val="008355B9"/>
    <w:rsid w:val="00845907"/>
    <w:rsid w:val="00847EAD"/>
    <w:rsid w:val="0085056C"/>
    <w:rsid w:val="008542D0"/>
    <w:rsid w:val="008570B5"/>
    <w:rsid w:val="008668DE"/>
    <w:rsid w:val="00871AC8"/>
    <w:rsid w:val="008744F8"/>
    <w:rsid w:val="00875D72"/>
    <w:rsid w:val="0087727E"/>
    <w:rsid w:val="00877984"/>
    <w:rsid w:val="0088428B"/>
    <w:rsid w:val="008853FE"/>
    <w:rsid w:val="008869E0"/>
    <w:rsid w:val="00887362"/>
    <w:rsid w:val="008923BF"/>
    <w:rsid w:val="00892840"/>
    <w:rsid w:val="008976AA"/>
    <w:rsid w:val="00897873"/>
    <w:rsid w:val="008A1EBE"/>
    <w:rsid w:val="008A65B1"/>
    <w:rsid w:val="008B092A"/>
    <w:rsid w:val="008B1CF9"/>
    <w:rsid w:val="008B230B"/>
    <w:rsid w:val="008B29C1"/>
    <w:rsid w:val="008B3DC1"/>
    <w:rsid w:val="008B482E"/>
    <w:rsid w:val="008B688A"/>
    <w:rsid w:val="008C018A"/>
    <w:rsid w:val="008C1BCA"/>
    <w:rsid w:val="008D0394"/>
    <w:rsid w:val="008D1F32"/>
    <w:rsid w:val="008D2590"/>
    <w:rsid w:val="008D4523"/>
    <w:rsid w:val="008D55BB"/>
    <w:rsid w:val="008E0E6D"/>
    <w:rsid w:val="008E216B"/>
    <w:rsid w:val="008E4D5C"/>
    <w:rsid w:val="008F3FE7"/>
    <w:rsid w:val="008F498D"/>
    <w:rsid w:val="008F5338"/>
    <w:rsid w:val="008F7231"/>
    <w:rsid w:val="008F72D8"/>
    <w:rsid w:val="00900244"/>
    <w:rsid w:val="009018B8"/>
    <w:rsid w:val="00902F07"/>
    <w:rsid w:val="00903701"/>
    <w:rsid w:val="009058F1"/>
    <w:rsid w:val="00906C7C"/>
    <w:rsid w:val="00911BBF"/>
    <w:rsid w:val="009138DD"/>
    <w:rsid w:val="00913913"/>
    <w:rsid w:val="009142B7"/>
    <w:rsid w:val="009147DD"/>
    <w:rsid w:val="00915CE5"/>
    <w:rsid w:val="009201B5"/>
    <w:rsid w:val="00921484"/>
    <w:rsid w:val="00921F79"/>
    <w:rsid w:val="00923705"/>
    <w:rsid w:val="00924ADF"/>
    <w:rsid w:val="00925726"/>
    <w:rsid w:val="009279F9"/>
    <w:rsid w:val="0093147D"/>
    <w:rsid w:val="00932C32"/>
    <w:rsid w:val="009353B3"/>
    <w:rsid w:val="00936933"/>
    <w:rsid w:val="00937C9D"/>
    <w:rsid w:val="00945407"/>
    <w:rsid w:val="00946D9C"/>
    <w:rsid w:val="009501D9"/>
    <w:rsid w:val="00953F97"/>
    <w:rsid w:val="00963AE6"/>
    <w:rsid w:val="00967E5A"/>
    <w:rsid w:val="00972CEA"/>
    <w:rsid w:val="00976F16"/>
    <w:rsid w:val="00980804"/>
    <w:rsid w:val="00981AE6"/>
    <w:rsid w:val="00981E1D"/>
    <w:rsid w:val="00991128"/>
    <w:rsid w:val="009921E7"/>
    <w:rsid w:val="00992AD3"/>
    <w:rsid w:val="009947B1"/>
    <w:rsid w:val="00994998"/>
    <w:rsid w:val="0099580F"/>
    <w:rsid w:val="009A2277"/>
    <w:rsid w:val="009A6BAC"/>
    <w:rsid w:val="009A71B8"/>
    <w:rsid w:val="009A72BA"/>
    <w:rsid w:val="009A73CD"/>
    <w:rsid w:val="009A79CB"/>
    <w:rsid w:val="009B2421"/>
    <w:rsid w:val="009B2E27"/>
    <w:rsid w:val="009B3234"/>
    <w:rsid w:val="009B534A"/>
    <w:rsid w:val="009C11E0"/>
    <w:rsid w:val="009C1648"/>
    <w:rsid w:val="009C2384"/>
    <w:rsid w:val="009C242E"/>
    <w:rsid w:val="009C3EA1"/>
    <w:rsid w:val="009C67AB"/>
    <w:rsid w:val="009D02BA"/>
    <w:rsid w:val="009D069D"/>
    <w:rsid w:val="009D1D8E"/>
    <w:rsid w:val="009D3BCE"/>
    <w:rsid w:val="009D4560"/>
    <w:rsid w:val="009D5694"/>
    <w:rsid w:val="009D617A"/>
    <w:rsid w:val="009E359B"/>
    <w:rsid w:val="009E54DC"/>
    <w:rsid w:val="009E791C"/>
    <w:rsid w:val="009F2015"/>
    <w:rsid w:val="009F4377"/>
    <w:rsid w:val="009F45F4"/>
    <w:rsid w:val="009F4A0F"/>
    <w:rsid w:val="009F4D6B"/>
    <w:rsid w:val="009F60FB"/>
    <w:rsid w:val="009F6E19"/>
    <w:rsid w:val="00A003CC"/>
    <w:rsid w:val="00A01A49"/>
    <w:rsid w:val="00A01F47"/>
    <w:rsid w:val="00A03033"/>
    <w:rsid w:val="00A03B13"/>
    <w:rsid w:val="00A048C9"/>
    <w:rsid w:val="00A05BA0"/>
    <w:rsid w:val="00A1183B"/>
    <w:rsid w:val="00A11F29"/>
    <w:rsid w:val="00A1400C"/>
    <w:rsid w:val="00A150A2"/>
    <w:rsid w:val="00A16A72"/>
    <w:rsid w:val="00A17D2F"/>
    <w:rsid w:val="00A210F2"/>
    <w:rsid w:val="00A220CA"/>
    <w:rsid w:val="00A22D91"/>
    <w:rsid w:val="00A27084"/>
    <w:rsid w:val="00A30C04"/>
    <w:rsid w:val="00A33DDC"/>
    <w:rsid w:val="00A34E03"/>
    <w:rsid w:val="00A3704B"/>
    <w:rsid w:val="00A4076D"/>
    <w:rsid w:val="00A41BD1"/>
    <w:rsid w:val="00A429C5"/>
    <w:rsid w:val="00A47204"/>
    <w:rsid w:val="00A50C71"/>
    <w:rsid w:val="00A513C2"/>
    <w:rsid w:val="00A55A08"/>
    <w:rsid w:val="00A57C51"/>
    <w:rsid w:val="00A616F7"/>
    <w:rsid w:val="00A61963"/>
    <w:rsid w:val="00A62B0A"/>
    <w:rsid w:val="00A674C4"/>
    <w:rsid w:val="00A67E9E"/>
    <w:rsid w:val="00A706CC"/>
    <w:rsid w:val="00A737B4"/>
    <w:rsid w:val="00A743DE"/>
    <w:rsid w:val="00A7541C"/>
    <w:rsid w:val="00A8097B"/>
    <w:rsid w:val="00A809FA"/>
    <w:rsid w:val="00A81AAA"/>
    <w:rsid w:val="00A87778"/>
    <w:rsid w:val="00A91DF9"/>
    <w:rsid w:val="00A94292"/>
    <w:rsid w:val="00AA0F0D"/>
    <w:rsid w:val="00AA257B"/>
    <w:rsid w:val="00AA25C5"/>
    <w:rsid w:val="00AA2921"/>
    <w:rsid w:val="00AA34EC"/>
    <w:rsid w:val="00AA5311"/>
    <w:rsid w:val="00AA7F73"/>
    <w:rsid w:val="00AB0EDB"/>
    <w:rsid w:val="00AB5F08"/>
    <w:rsid w:val="00AB7D32"/>
    <w:rsid w:val="00AC1387"/>
    <w:rsid w:val="00AC2302"/>
    <w:rsid w:val="00AC3B8E"/>
    <w:rsid w:val="00AC61DF"/>
    <w:rsid w:val="00AC690E"/>
    <w:rsid w:val="00AC6D4C"/>
    <w:rsid w:val="00AC7C44"/>
    <w:rsid w:val="00AD0403"/>
    <w:rsid w:val="00AD2183"/>
    <w:rsid w:val="00AD27B6"/>
    <w:rsid w:val="00AD45B9"/>
    <w:rsid w:val="00AD5F78"/>
    <w:rsid w:val="00AE0A19"/>
    <w:rsid w:val="00AE12D8"/>
    <w:rsid w:val="00AE24D9"/>
    <w:rsid w:val="00AE62BD"/>
    <w:rsid w:val="00AE6FB9"/>
    <w:rsid w:val="00AF0BFC"/>
    <w:rsid w:val="00AF0E08"/>
    <w:rsid w:val="00AF1B83"/>
    <w:rsid w:val="00AF4332"/>
    <w:rsid w:val="00AF4DCB"/>
    <w:rsid w:val="00B0502A"/>
    <w:rsid w:val="00B076F2"/>
    <w:rsid w:val="00B11767"/>
    <w:rsid w:val="00B1230B"/>
    <w:rsid w:val="00B13D6C"/>
    <w:rsid w:val="00B16389"/>
    <w:rsid w:val="00B163B3"/>
    <w:rsid w:val="00B1706D"/>
    <w:rsid w:val="00B17AB5"/>
    <w:rsid w:val="00B20E58"/>
    <w:rsid w:val="00B218E9"/>
    <w:rsid w:val="00B22222"/>
    <w:rsid w:val="00B23959"/>
    <w:rsid w:val="00B24384"/>
    <w:rsid w:val="00B2571C"/>
    <w:rsid w:val="00B26305"/>
    <w:rsid w:val="00B266B0"/>
    <w:rsid w:val="00B312DE"/>
    <w:rsid w:val="00B32514"/>
    <w:rsid w:val="00B3294E"/>
    <w:rsid w:val="00B36058"/>
    <w:rsid w:val="00B37882"/>
    <w:rsid w:val="00B4324B"/>
    <w:rsid w:val="00B45DCD"/>
    <w:rsid w:val="00B46651"/>
    <w:rsid w:val="00B548BE"/>
    <w:rsid w:val="00B61A68"/>
    <w:rsid w:val="00B630B5"/>
    <w:rsid w:val="00B65674"/>
    <w:rsid w:val="00B730A0"/>
    <w:rsid w:val="00B736A0"/>
    <w:rsid w:val="00B74B9C"/>
    <w:rsid w:val="00B77822"/>
    <w:rsid w:val="00B77B7E"/>
    <w:rsid w:val="00B77DAD"/>
    <w:rsid w:val="00B80078"/>
    <w:rsid w:val="00B81351"/>
    <w:rsid w:val="00B8185F"/>
    <w:rsid w:val="00B81DBF"/>
    <w:rsid w:val="00B827DD"/>
    <w:rsid w:val="00B83822"/>
    <w:rsid w:val="00B8473A"/>
    <w:rsid w:val="00B8580D"/>
    <w:rsid w:val="00B86AEA"/>
    <w:rsid w:val="00B86D66"/>
    <w:rsid w:val="00B903DA"/>
    <w:rsid w:val="00B9374C"/>
    <w:rsid w:val="00B979CE"/>
    <w:rsid w:val="00BA4535"/>
    <w:rsid w:val="00BB0C81"/>
    <w:rsid w:val="00BB36D5"/>
    <w:rsid w:val="00BB580E"/>
    <w:rsid w:val="00BB7646"/>
    <w:rsid w:val="00BB788D"/>
    <w:rsid w:val="00BC3E7D"/>
    <w:rsid w:val="00BD0978"/>
    <w:rsid w:val="00BD0C40"/>
    <w:rsid w:val="00BD31A7"/>
    <w:rsid w:val="00BD4122"/>
    <w:rsid w:val="00BD585A"/>
    <w:rsid w:val="00BD6B54"/>
    <w:rsid w:val="00BE21F7"/>
    <w:rsid w:val="00BE3BA6"/>
    <w:rsid w:val="00BE4A4C"/>
    <w:rsid w:val="00BE5E30"/>
    <w:rsid w:val="00BF0199"/>
    <w:rsid w:val="00BF0285"/>
    <w:rsid w:val="00BF1BE4"/>
    <w:rsid w:val="00BF3323"/>
    <w:rsid w:val="00BF5B29"/>
    <w:rsid w:val="00BF7097"/>
    <w:rsid w:val="00C013D6"/>
    <w:rsid w:val="00C01617"/>
    <w:rsid w:val="00C01846"/>
    <w:rsid w:val="00C01E48"/>
    <w:rsid w:val="00C0285C"/>
    <w:rsid w:val="00C03535"/>
    <w:rsid w:val="00C04F60"/>
    <w:rsid w:val="00C0600D"/>
    <w:rsid w:val="00C06372"/>
    <w:rsid w:val="00C100BA"/>
    <w:rsid w:val="00C148C2"/>
    <w:rsid w:val="00C15E01"/>
    <w:rsid w:val="00C17354"/>
    <w:rsid w:val="00C21382"/>
    <w:rsid w:val="00C218E6"/>
    <w:rsid w:val="00C21C0F"/>
    <w:rsid w:val="00C233D9"/>
    <w:rsid w:val="00C252F7"/>
    <w:rsid w:val="00C25759"/>
    <w:rsid w:val="00C2590E"/>
    <w:rsid w:val="00C2709B"/>
    <w:rsid w:val="00C27958"/>
    <w:rsid w:val="00C3005B"/>
    <w:rsid w:val="00C32290"/>
    <w:rsid w:val="00C354F7"/>
    <w:rsid w:val="00C35817"/>
    <w:rsid w:val="00C374EC"/>
    <w:rsid w:val="00C43B79"/>
    <w:rsid w:val="00C45F21"/>
    <w:rsid w:val="00C47A2F"/>
    <w:rsid w:val="00C50A22"/>
    <w:rsid w:val="00C52FCF"/>
    <w:rsid w:val="00C5478E"/>
    <w:rsid w:val="00C628F6"/>
    <w:rsid w:val="00C62E0C"/>
    <w:rsid w:val="00C6592E"/>
    <w:rsid w:val="00C70B6E"/>
    <w:rsid w:val="00C72EAB"/>
    <w:rsid w:val="00C76AA4"/>
    <w:rsid w:val="00C7715B"/>
    <w:rsid w:val="00C77DC8"/>
    <w:rsid w:val="00C80F3D"/>
    <w:rsid w:val="00C83D40"/>
    <w:rsid w:val="00C85889"/>
    <w:rsid w:val="00C8595D"/>
    <w:rsid w:val="00C8643F"/>
    <w:rsid w:val="00C87934"/>
    <w:rsid w:val="00C927D0"/>
    <w:rsid w:val="00C95B70"/>
    <w:rsid w:val="00C96604"/>
    <w:rsid w:val="00C9693C"/>
    <w:rsid w:val="00CA5641"/>
    <w:rsid w:val="00CA6C3A"/>
    <w:rsid w:val="00CA7BE5"/>
    <w:rsid w:val="00CB3626"/>
    <w:rsid w:val="00CB793F"/>
    <w:rsid w:val="00CC057D"/>
    <w:rsid w:val="00CC2D60"/>
    <w:rsid w:val="00CD1EC5"/>
    <w:rsid w:val="00CD31BB"/>
    <w:rsid w:val="00CD514F"/>
    <w:rsid w:val="00CD52B1"/>
    <w:rsid w:val="00CD6B2F"/>
    <w:rsid w:val="00CE0D02"/>
    <w:rsid w:val="00CE1CE1"/>
    <w:rsid w:val="00CE2E87"/>
    <w:rsid w:val="00CE346A"/>
    <w:rsid w:val="00CE6199"/>
    <w:rsid w:val="00CE6652"/>
    <w:rsid w:val="00CE7485"/>
    <w:rsid w:val="00CF001D"/>
    <w:rsid w:val="00CF14FF"/>
    <w:rsid w:val="00CF1F4D"/>
    <w:rsid w:val="00CF5FE7"/>
    <w:rsid w:val="00CF67A6"/>
    <w:rsid w:val="00D022E6"/>
    <w:rsid w:val="00D040A1"/>
    <w:rsid w:val="00D10BDA"/>
    <w:rsid w:val="00D14ED6"/>
    <w:rsid w:val="00D20A2D"/>
    <w:rsid w:val="00D20C07"/>
    <w:rsid w:val="00D22063"/>
    <w:rsid w:val="00D2235F"/>
    <w:rsid w:val="00D258A8"/>
    <w:rsid w:val="00D25A6D"/>
    <w:rsid w:val="00D266E5"/>
    <w:rsid w:val="00D267BC"/>
    <w:rsid w:val="00D27278"/>
    <w:rsid w:val="00D30670"/>
    <w:rsid w:val="00D30713"/>
    <w:rsid w:val="00D32122"/>
    <w:rsid w:val="00D33497"/>
    <w:rsid w:val="00D340E4"/>
    <w:rsid w:val="00D3644A"/>
    <w:rsid w:val="00D41870"/>
    <w:rsid w:val="00D4315C"/>
    <w:rsid w:val="00D431A0"/>
    <w:rsid w:val="00D474E2"/>
    <w:rsid w:val="00D47C8D"/>
    <w:rsid w:val="00D50BE5"/>
    <w:rsid w:val="00D510AE"/>
    <w:rsid w:val="00D510FD"/>
    <w:rsid w:val="00D51838"/>
    <w:rsid w:val="00D5545D"/>
    <w:rsid w:val="00D61CCA"/>
    <w:rsid w:val="00D627E8"/>
    <w:rsid w:val="00D62BE4"/>
    <w:rsid w:val="00D71727"/>
    <w:rsid w:val="00D717CE"/>
    <w:rsid w:val="00D7213E"/>
    <w:rsid w:val="00D74144"/>
    <w:rsid w:val="00D74560"/>
    <w:rsid w:val="00D74C72"/>
    <w:rsid w:val="00D7794D"/>
    <w:rsid w:val="00D832AB"/>
    <w:rsid w:val="00D84D31"/>
    <w:rsid w:val="00D86116"/>
    <w:rsid w:val="00D86189"/>
    <w:rsid w:val="00D93750"/>
    <w:rsid w:val="00D9483B"/>
    <w:rsid w:val="00D95101"/>
    <w:rsid w:val="00D96D8A"/>
    <w:rsid w:val="00D96EB7"/>
    <w:rsid w:val="00DA0E70"/>
    <w:rsid w:val="00DA4FE3"/>
    <w:rsid w:val="00DA52AF"/>
    <w:rsid w:val="00DA52FD"/>
    <w:rsid w:val="00DA619C"/>
    <w:rsid w:val="00DB1847"/>
    <w:rsid w:val="00DB1F5D"/>
    <w:rsid w:val="00DB3E28"/>
    <w:rsid w:val="00DB717A"/>
    <w:rsid w:val="00DC0200"/>
    <w:rsid w:val="00DC0421"/>
    <w:rsid w:val="00DC0721"/>
    <w:rsid w:val="00DC379F"/>
    <w:rsid w:val="00DC3E3A"/>
    <w:rsid w:val="00DC5632"/>
    <w:rsid w:val="00DC6E17"/>
    <w:rsid w:val="00DD162D"/>
    <w:rsid w:val="00DE38DF"/>
    <w:rsid w:val="00DE44A5"/>
    <w:rsid w:val="00DE4681"/>
    <w:rsid w:val="00DE4D18"/>
    <w:rsid w:val="00DE5260"/>
    <w:rsid w:val="00DF1769"/>
    <w:rsid w:val="00DF1B1C"/>
    <w:rsid w:val="00DF5EE7"/>
    <w:rsid w:val="00DF782A"/>
    <w:rsid w:val="00E04383"/>
    <w:rsid w:val="00E053D0"/>
    <w:rsid w:val="00E058DC"/>
    <w:rsid w:val="00E06B1D"/>
    <w:rsid w:val="00E11023"/>
    <w:rsid w:val="00E1133C"/>
    <w:rsid w:val="00E1213A"/>
    <w:rsid w:val="00E13EE0"/>
    <w:rsid w:val="00E149FC"/>
    <w:rsid w:val="00E14CA5"/>
    <w:rsid w:val="00E154B1"/>
    <w:rsid w:val="00E2022A"/>
    <w:rsid w:val="00E2603C"/>
    <w:rsid w:val="00E2713F"/>
    <w:rsid w:val="00E27B67"/>
    <w:rsid w:val="00E33996"/>
    <w:rsid w:val="00E33A46"/>
    <w:rsid w:val="00E340D2"/>
    <w:rsid w:val="00E361B0"/>
    <w:rsid w:val="00E37D41"/>
    <w:rsid w:val="00E4073E"/>
    <w:rsid w:val="00E410B0"/>
    <w:rsid w:val="00E4217E"/>
    <w:rsid w:val="00E42C00"/>
    <w:rsid w:val="00E43357"/>
    <w:rsid w:val="00E44006"/>
    <w:rsid w:val="00E46115"/>
    <w:rsid w:val="00E46FC0"/>
    <w:rsid w:val="00E47840"/>
    <w:rsid w:val="00E50CD1"/>
    <w:rsid w:val="00E5326F"/>
    <w:rsid w:val="00E53ADF"/>
    <w:rsid w:val="00E61B03"/>
    <w:rsid w:val="00E621AD"/>
    <w:rsid w:val="00E65C46"/>
    <w:rsid w:val="00E66194"/>
    <w:rsid w:val="00E67BB0"/>
    <w:rsid w:val="00E67F75"/>
    <w:rsid w:val="00E72C45"/>
    <w:rsid w:val="00E75321"/>
    <w:rsid w:val="00E75849"/>
    <w:rsid w:val="00E76414"/>
    <w:rsid w:val="00E841F8"/>
    <w:rsid w:val="00E87144"/>
    <w:rsid w:val="00E9035E"/>
    <w:rsid w:val="00E92D3E"/>
    <w:rsid w:val="00E969B2"/>
    <w:rsid w:val="00E978BE"/>
    <w:rsid w:val="00EA108D"/>
    <w:rsid w:val="00EA1831"/>
    <w:rsid w:val="00EA32FE"/>
    <w:rsid w:val="00EA348E"/>
    <w:rsid w:val="00EA5427"/>
    <w:rsid w:val="00EA66CF"/>
    <w:rsid w:val="00EA6787"/>
    <w:rsid w:val="00EB003E"/>
    <w:rsid w:val="00EB283F"/>
    <w:rsid w:val="00EB372D"/>
    <w:rsid w:val="00EB550C"/>
    <w:rsid w:val="00EB612B"/>
    <w:rsid w:val="00EB75AA"/>
    <w:rsid w:val="00EC09D3"/>
    <w:rsid w:val="00EC23C5"/>
    <w:rsid w:val="00EC276B"/>
    <w:rsid w:val="00EC56C8"/>
    <w:rsid w:val="00EC6358"/>
    <w:rsid w:val="00EC78D3"/>
    <w:rsid w:val="00ED23E1"/>
    <w:rsid w:val="00ED3843"/>
    <w:rsid w:val="00ED66B8"/>
    <w:rsid w:val="00EE2836"/>
    <w:rsid w:val="00EE2B5A"/>
    <w:rsid w:val="00EE3F8C"/>
    <w:rsid w:val="00EE58D0"/>
    <w:rsid w:val="00EE7332"/>
    <w:rsid w:val="00EE7679"/>
    <w:rsid w:val="00EF0799"/>
    <w:rsid w:val="00EF272E"/>
    <w:rsid w:val="00EF2757"/>
    <w:rsid w:val="00EF2C0E"/>
    <w:rsid w:val="00EF78A2"/>
    <w:rsid w:val="00F0584D"/>
    <w:rsid w:val="00F0650F"/>
    <w:rsid w:val="00F14F66"/>
    <w:rsid w:val="00F15120"/>
    <w:rsid w:val="00F17FFA"/>
    <w:rsid w:val="00F303F6"/>
    <w:rsid w:val="00F3105D"/>
    <w:rsid w:val="00F31590"/>
    <w:rsid w:val="00F34635"/>
    <w:rsid w:val="00F405A4"/>
    <w:rsid w:val="00F423A9"/>
    <w:rsid w:val="00F45A6B"/>
    <w:rsid w:val="00F47999"/>
    <w:rsid w:val="00F51852"/>
    <w:rsid w:val="00F54B99"/>
    <w:rsid w:val="00F604F8"/>
    <w:rsid w:val="00F6143E"/>
    <w:rsid w:val="00F6275E"/>
    <w:rsid w:val="00F62875"/>
    <w:rsid w:val="00F63441"/>
    <w:rsid w:val="00F669BD"/>
    <w:rsid w:val="00F70E3A"/>
    <w:rsid w:val="00F71826"/>
    <w:rsid w:val="00F71BBE"/>
    <w:rsid w:val="00F7303C"/>
    <w:rsid w:val="00F74982"/>
    <w:rsid w:val="00F76ACF"/>
    <w:rsid w:val="00F775B3"/>
    <w:rsid w:val="00F77EA4"/>
    <w:rsid w:val="00F8052F"/>
    <w:rsid w:val="00F80F9A"/>
    <w:rsid w:val="00F82FE4"/>
    <w:rsid w:val="00F8394C"/>
    <w:rsid w:val="00F849E9"/>
    <w:rsid w:val="00F919C1"/>
    <w:rsid w:val="00F9496F"/>
    <w:rsid w:val="00F9577F"/>
    <w:rsid w:val="00F97600"/>
    <w:rsid w:val="00FA1073"/>
    <w:rsid w:val="00FA1076"/>
    <w:rsid w:val="00FA32FF"/>
    <w:rsid w:val="00FA3D30"/>
    <w:rsid w:val="00FA592E"/>
    <w:rsid w:val="00FB6602"/>
    <w:rsid w:val="00FB6E68"/>
    <w:rsid w:val="00FB71FA"/>
    <w:rsid w:val="00FB7CBF"/>
    <w:rsid w:val="00FB7D88"/>
    <w:rsid w:val="00FB7E26"/>
    <w:rsid w:val="00FC0522"/>
    <w:rsid w:val="00FC2D2A"/>
    <w:rsid w:val="00FC39E7"/>
    <w:rsid w:val="00FC4EB7"/>
    <w:rsid w:val="00FC7D7E"/>
    <w:rsid w:val="00FD1203"/>
    <w:rsid w:val="00FD193A"/>
    <w:rsid w:val="00FD38E0"/>
    <w:rsid w:val="00FD39DC"/>
    <w:rsid w:val="00FD43BD"/>
    <w:rsid w:val="00FD6024"/>
    <w:rsid w:val="00FD728A"/>
    <w:rsid w:val="00FE18A7"/>
    <w:rsid w:val="00FE1C6F"/>
    <w:rsid w:val="00FE1D83"/>
    <w:rsid w:val="00FE71E4"/>
    <w:rsid w:val="00FF0491"/>
    <w:rsid w:val="00FF0823"/>
    <w:rsid w:val="00FF0E45"/>
    <w:rsid w:val="00FF15E4"/>
    <w:rsid w:val="00FF468B"/>
    <w:rsid w:val="00FF5C8F"/>
    <w:rsid w:val="00FF64D2"/>
    <w:rsid w:val="00FF658F"/>
    <w:rsid w:val="00FF78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929"/>
    <w:rPr>
      <w:rFonts w:eastAsia="Times New Roman"/>
      <w:sz w:val="24"/>
      <w:lang w:eastAsia="ja-JP"/>
    </w:rPr>
  </w:style>
  <w:style w:type="paragraph" w:styleId="Heading1">
    <w:name w:val="heading 1"/>
    <w:basedOn w:val="Normal"/>
    <w:next w:val="TextTi12"/>
    <w:qFormat/>
    <w:pPr>
      <w:keepNext/>
      <w:numPr>
        <w:numId w:val="23"/>
      </w:numPr>
      <w:spacing w:before="113" w:after="57" w:line="280" w:lineRule="atLeast"/>
      <w:outlineLvl w:val="0"/>
    </w:pPr>
    <w:rPr>
      <w:rFonts w:ascii="Arial" w:hAnsi="Arial" w:cs="Arial"/>
      <w:b/>
      <w:bCs/>
      <w:smallCaps/>
      <w:sz w:val="28"/>
      <w:szCs w:val="28"/>
      <w:lang w:eastAsia="de-DE"/>
    </w:rPr>
  </w:style>
  <w:style w:type="paragraph" w:styleId="Heading2">
    <w:name w:val="heading 2"/>
    <w:basedOn w:val="Normal"/>
    <w:next w:val="TextTi12"/>
    <w:qFormat/>
    <w:pPr>
      <w:keepNext/>
      <w:numPr>
        <w:ilvl w:val="1"/>
        <w:numId w:val="23"/>
      </w:numPr>
      <w:spacing w:before="113" w:after="57" w:line="280" w:lineRule="atLeast"/>
      <w:outlineLvl w:val="1"/>
    </w:pPr>
    <w:rPr>
      <w:rFonts w:ascii="Arial" w:hAnsi="Arial" w:cs="Arial"/>
      <w:b/>
      <w:bCs/>
      <w:iCs/>
      <w:sz w:val="26"/>
      <w:szCs w:val="28"/>
      <w:lang w:eastAsia="de-DE"/>
    </w:rPr>
  </w:style>
  <w:style w:type="paragraph" w:styleId="Heading3">
    <w:name w:val="heading 3"/>
    <w:basedOn w:val="Normal"/>
    <w:next w:val="TextTi12"/>
    <w:link w:val="Heading3Char"/>
    <w:qFormat/>
    <w:pPr>
      <w:keepNext/>
      <w:numPr>
        <w:ilvl w:val="2"/>
        <w:numId w:val="23"/>
      </w:numPr>
      <w:spacing w:before="113" w:after="57" w:line="280" w:lineRule="atLeast"/>
      <w:outlineLvl w:val="2"/>
    </w:pPr>
    <w:rPr>
      <w:rFonts w:ascii="Arial" w:hAnsi="Arial" w:cs="Arial"/>
      <w:b/>
      <w:bCs/>
      <w:szCs w:val="26"/>
      <w:lang w:eastAsia="de-DE"/>
    </w:rPr>
  </w:style>
  <w:style w:type="paragraph" w:styleId="Heading4">
    <w:name w:val="heading 4"/>
    <w:basedOn w:val="Normal"/>
    <w:next w:val="TextTi12"/>
    <w:link w:val="Heading4Char"/>
    <w:qFormat/>
    <w:pPr>
      <w:keepNext/>
      <w:numPr>
        <w:ilvl w:val="3"/>
        <w:numId w:val="23"/>
      </w:numPr>
      <w:spacing w:before="113" w:after="57" w:line="280" w:lineRule="atLeast"/>
      <w:outlineLvl w:val="3"/>
    </w:pPr>
    <w:rPr>
      <w:rFonts w:ascii="Arial" w:hAnsi="Arial"/>
      <w:b/>
      <w:bCs/>
      <w:i/>
      <w:szCs w:val="28"/>
      <w:lang w:eastAsia="de-DE"/>
    </w:rPr>
  </w:style>
  <w:style w:type="paragraph" w:styleId="Heading5">
    <w:name w:val="heading 5"/>
    <w:basedOn w:val="Normal"/>
    <w:next w:val="TextTi12"/>
    <w:qFormat/>
    <w:pPr>
      <w:keepNext/>
      <w:numPr>
        <w:ilvl w:val="4"/>
        <w:numId w:val="23"/>
      </w:numPr>
      <w:tabs>
        <w:tab w:val="clear" w:pos="1701"/>
        <w:tab w:val="num" w:pos="1008"/>
      </w:tabs>
      <w:spacing w:before="113" w:after="57" w:line="280" w:lineRule="atLeast"/>
      <w:ind w:left="1008" w:hanging="1008"/>
      <w:outlineLvl w:val="4"/>
    </w:pPr>
    <w:rPr>
      <w:rFonts w:ascii="Arial" w:hAnsi="Arial"/>
      <w:b/>
      <w:bCs/>
      <w:i/>
      <w:iCs/>
      <w:szCs w:val="26"/>
      <w:lang w:eastAsia="de-DE"/>
    </w:rPr>
  </w:style>
  <w:style w:type="paragraph" w:styleId="Heading6">
    <w:name w:val="heading 6"/>
    <w:basedOn w:val="Normal"/>
    <w:next w:val="TextTi12"/>
    <w:qFormat/>
    <w:pPr>
      <w:keepNext/>
      <w:numPr>
        <w:ilvl w:val="5"/>
        <w:numId w:val="23"/>
      </w:numPr>
      <w:tabs>
        <w:tab w:val="clear" w:pos="1701"/>
        <w:tab w:val="num" w:pos="1152"/>
      </w:tabs>
      <w:spacing w:before="113" w:after="57" w:line="280" w:lineRule="atLeast"/>
      <w:ind w:left="1152" w:hanging="1152"/>
      <w:outlineLvl w:val="5"/>
    </w:pPr>
    <w:rPr>
      <w:rFonts w:ascii="Arial" w:hAnsi="Arial"/>
      <w:b/>
      <w:i/>
      <w:lang w:eastAsia="de-DE"/>
    </w:rPr>
  </w:style>
  <w:style w:type="paragraph" w:styleId="Heading7">
    <w:name w:val="heading 7"/>
    <w:basedOn w:val="Normal"/>
    <w:next w:val="TextTi12"/>
    <w:qFormat/>
    <w:pPr>
      <w:keepNext/>
      <w:numPr>
        <w:ilvl w:val="6"/>
        <w:numId w:val="23"/>
      </w:numPr>
      <w:tabs>
        <w:tab w:val="clear" w:pos="1701"/>
        <w:tab w:val="num" w:pos="1296"/>
      </w:tabs>
      <w:spacing w:before="113" w:after="57" w:line="280" w:lineRule="atLeast"/>
      <w:ind w:left="1296" w:hanging="1296"/>
      <w:outlineLvl w:val="6"/>
    </w:pPr>
    <w:rPr>
      <w:rFonts w:ascii="Arial" w:hAnsi="Arial"/>
      <w:b/>
      <w:i/>
      <w:lang w:eastAsia="de-DE"/>
    </w:rPr>
  </w:style>
  <w:style w:type="paragraph" w:styleId="Heading8">
    <w:name w:val="heading 8"/>
    <w:basedOn w:val="Normal"/>
    <w:next w:val="TextTi12"/>
    <w:qFormat/>
    <w:pPr>
      <w:keepNext/>
      <w:numPr>
        <w:ilvl w:val="7"/>
        <w:numId w:val="23"/>
      </w:numPr>
      <w:tabs>
        <w:tab w:val="clear" w:pos="1701"/>
        <w:tab w:val="num" w:pos="1440"/>
      </w:tabs>
      <w:spacing w:before="113" w:after="57" w:line="280" w:lineRule="atLeast"/>
      <w:ind w:left="1440" w:hanging="1440"/>
      <w:outlineLvl w:val="7"/>
    </w:pPr>
    <w:rPr>
      <w:rFonts w:ascii="Arial" w:hAnsi="Arial"/>
      <w:b/>
      <w:i/>
      <w:iCs/>
      <w:lang w:eastAsia="de-DE"/>
    </w:rPr>
  </w:style>
  <w:style w:type="paragraph" w:styleId="Heading9">
    <w:name w:val="heading 9"/>
    <w:basedOn w:val="Normal"/>
    <w:next w:val="TextTi12"/>
    <w:qFormat/>
    <w:pPr>
      <w:keepNext/>
      <w:numPr>
        <w:ilvl w:val="8"/>
        <w:numId w:val="23"/>
      </w:numPr>
      <w:tabs>
        <w:tab w:val="clear" w:pos="1701"/>
        <w:tab w:val="num" w:pos="1584"/>
      </w:tabs>
      <w:spacing w:before="113" w:after="57" w:line="280" w:lineRule="atLeast"/>
      <w:ind w:left="1584" w:hanging="1584"/>
      <w:outlineLvl w:val="8"/>
    </w:pPr>
    <w:rPr>
      <w:rFonts w:ascii="Arial" w:hAnsi="Arial" w:cs="Arial"/>
      <w:b/>
      <w:i/>
      <w:szCs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XrefAr9">
    <w:name w:val="BibliXref:Ar9"/>
    <w:basedOn w:val="Normal"/>
    <w:pPr>
      <w:spacing w:after="170"/>
    </w:pPr>
    <w:rPr>
      <w:rFonts w:ascii="Arial" w:hAnsi="Arial"/>
      <w:b/>
      <w:sz w:val="18"/>
    </w:rPr>
  </w:style>
  <w:style w:type="paragraph" w:styleId="Caption">
    <w:name w:val="caption"/>
    <w:basedOn w:val="Normal"/>
    <w:next w:val="Normal"/>
    <w:qFormat/>
    <w:pPr>
      <w:spacing w:before="113" w:after="57" w:line="280" w:lineRule="atLeast"/>
      <w:ind w:left="1701" w:hanging="1701"/>
    </w:pPr>
    <w:rPr>
      <w:rFonts w:ascii="Arial" w:hAnsi="Arial"/>
      <w:b/>
      <w:bCs/>
      <w:lang w:eastAsia="de-DE"/>
    </w:rPr>
  </w:style>
  <w:style w:type="paragraph" w:styleId="Footer">
    <w:name w:val="footer"/>
    <w:basedOn w:val="Normal"/>
    <w:pPr>
      <w:tabs>
        <w:tab w:val="right" w:pos="8647"/>
      </w:tabs>
    </w:pPr>
    <w:rPr>
      <w:rFonts w:ascii="Arial" w:hAnsi="Arial"/>
      <w:sz w:val="20"/>
    </w:rPr>
  </w:style>
  <w:style w:type="paragraph" w:customStyle="1" w:styleId="Hd1">
    <w:name w:val="Hd:1"/>
    <w:basedOn w:val="Normal"/>
    <w:next w:val="Normal"/>
    <w:pPr>
      <w:keepNext/>
      <w:spacing w:before="113" w:after="57" w:line="280" w:lineRule="atLeast"/>
      <w:ind w:left="1134" w:hanging="1134"/>
    </w:pPr>
    <w:rPr>
      <w:rFonts w:ascii="Arial" w:hAnsi="Arial"/>
      <w:b/>
      <w:smallCaps/>
      <w:sz w:val="28"/>
      <w:szCs w:val="28"/>
      <w:lang w:eastAsia="de-DE"/>
    </w:rPr>
  </w:style>
  <w:style w:type="paragraph" w:customStyle="1" w:styleId="Hd2">
    <w:name w:val="Hd:2"/>
    <w:basedOn w:val="Normal"/>
    <w:next w:val="Normal"/>
    <w:pPr>
      <w:keepNext/>
      <w:spacing w:before="113" w:after="57" w:line="280" w:lineRule="atLeast"/>
      <w:ind w:left="1134" w:hanging="1134"/>
    </w:pPr>
    <w:rPr>
      <w:rFonts w:ascii="Arial" w:hAnsi="Arial"/>
      <w:b/>
      <w:sz w:val="26"/>
      <w:lang w:eastAsia="de-DE"/>
    </w:rPr>
  </w:style>
  <w:style w:type="paragraph" w:customStyle="1" w:styleId="Hd3">
    <w:name w:val="Hd:3"/>
    <w:basedOn w:val="Normal"/>
    <w:next w:val="Normal"/>
    <w:pPr>
      <w:keepNext/>
      <w:spacing w:before="113" w:after="57" w:line="280" w:lineRule="atLeast"/>
      <w:ind w:left="1134" w:hanging="1134"/>
    </w:pPr>
    <w:rPr>
      <w:rFonts w:ascii="Arial" w:hAnsi="Arial"/>
      <w:b/>
      <w:lang w:eastAsia="de-DE"/>
    </w:rPr>
  </w:style>
  <w:style w:type="paragraph" w:customStyle="1" w:styleId="Hd4">
    <w:name w:val="Hd:4"/>
    <w:basedOn w:val="Normal"/>
    <w:next w:val="Normal"/>
    <w:pPr>
      <w:keepNext/>
      <w:spacing w:before="113" w:after="57" w:line="280" w:lineRule="atLeast"/>
      <w:ind w:left="1134" w:hanging="1134"/>
    </w:pPr>
    <w:rPr>
      <w:rFonts w:ascii="Arial" w:hAnsi="Arial"/>
      <w:b/>
      <w:i/>
      <w:lang w:eastAsia="de-DE"/>
    </w:rPr>
  </w:style>
  <w:style w:type="paragraph" w:customStyle="1" w:styleId="HdApp1">
    <w:name w:val="Hd:App:1"/>
    <w:basedOn w:val="Caption"/>
    <w:next w:val="TextTi12"/>
    <w:pPr>
      <w:keepNext/>
      <w:spacing w:before="0"/>
      <w:outlineLvl w:val="4"/>
    </w:pPr>
    <w:rPr>
      <w:bCs w:val="0"/>
      <w:lang w:eastAsia="ja-JP"/>
    </w:rPr>
  </w:style>
  <w:style w:type="paragraph" w:customStyle="1" w:styleId="HdCentNoNum">
    <w:name w:val="Hd:CentNoNum"/>
    <w:basedOn w:val="Normal"/>
    <w:next w:val="TextTi12"/>
    <w:pPr>
      <w:keepNext/>
      <w:spacing w:before="113" w:after="57" w:line="280" w:lineRule="atLeast"/>
      <w:jc w:val="center"/>
    </w:pPr>
    <w:rPr>
      <w:rFonts w:ascii="Arial" w:hAnsi="Arial"/>
      <w:b/>
      <w:caps/>
      <w:sz w:val="28"/>
      <w:szCs w:val="26"/>
      <w:lang w:eastAsia="de-DE"/>
    </w:rPr>
  </w:style>
  <w:style w:type="paragraph" w:customStyle="1" w:styleId="HdCont">
    <w:name w:val="Hd:Cont"/>
    <w:basedOn w:val="HdApp1"/>
    <w:next w:val="TextTi12"/>
  </w:style>
  <w:style w:type="paragraph" w:customStyle="1" w:styleId="HdFig1">
    <w:name w:val="Hd:Fig:1"/>
    <w:basedOn w:val="Caption"/>
    <w:next w:val="TextTi12"/>
    <w:pPr>
      <w:keepNext/>
      <w:outlineLvl w:val="4"/>
    </w:pPr>
    <w:rPr>
      <w:bCs w:val="0"/>
      <w:lang w:eastAsia="ja-JP"/>
    </w:rPr>
  </w:style>
  <w:style w:type="paragraph" w:customStyle="1" w:styleId="HdTab1">
    <w:name w:val="Hd:Tab:1"/>
    <w:basedOn w:val="Caption"/>
    <w:next w:val="TextTi12"/>
    <w:pPr>
      <w:keepNext/>
      <w:outlineLvl w:val="4"/>
    </w:pPr>
    <w:rPr>
      <w:bCs w:val="0"/>
      <w:lang w:eastAsia="ja-JP"/>
    </w:rPr>
  </w:style>
  <w:style w:type="paragraph" w:styleId="Header">
    <w:name w:val="header"/>
    <w:basedOn w:val="Normal"/>
    <w:pPr>
      <w:tabs>
        <w:tab w:val="center" w:pos="4321"/>
        <w:tab w:val="right" w:pos="8647"/>
      </w:tabs>
    </w:pPr>
    <w:rPr>
      <w:rFonts w:ascii="Arial" w:hAnsi="Arial"/>
      <w:b/>
    </w:rPr>
  </w:style>
  <w:style w:type="paragraph" w:customStyle="1" w:styleId="HeadingReference">
    <w:name w:val="Heading Reference"/>
    <w:basedOn w:val="Normal"/>
    <w:pPr>
      <w:ind w:left="1701" w:hanging="1701"/>
    </w:pPr>
    <w:rPr>
      <w:i/>
      <w:sz w:val="20"/>
      <w:lang w:eastAsia="de-DE"/>
    </w:rPr>
  </w:style>
  <w:style w:type="character" w:customStyle="1" w:styleId="HiddenChar">
    <w:name w:val="Hidden:Char"/>
    <w:rPr>
      <w:rFonts w:ascii="Arial" w:hAnsi="Arial"/>
      <w:b/>
      <w:vanish/>
      <w:color w:val="008000"/>
      <w:sz w:val="20"/>
      <w:szCs w:val="20"/>
      <w:u w:val="dotted"/>
    </w:rPr>
  </w:style>
  <w:style w:type="paragraph" w:customStyle="1" w:styleId="HiddenPara">
    <w:name w:val="Hidden:Para"/>
    <w:basedOn w:val="Normal"/>
    <w:rPr>
      <w:rFonts w:ascii="Arial" w:hAnsi="Arial"/>
      <w:b/>
      <w:vanish/>
      <w:color w:val="008000"/>
      <w:sz w:val="20"/>
      <w:u w:val="dotted"/>
    </w:rPr>
  </w:style>
  <w:style w:type="paragraph" w:customStyle="1" w:styleId="SAS10">
    <w:name w:val="SAS:10"/>
    <w:basedOn w:val="Normal"/>
    <w:pPr>
      <w:spacing w:line="190" w:lineRule="exact"/>
    </w:pPr>
    <w:rPr>
      <w:rFonts w:ascii="Courier New" w:hAnsi="Courier New"/>
      <w:spacing w:val="-14"/>
      <w:sz w:val="20"/>
      <w:lang w:eastAsia="de-DE"/>
    </w:rPr>
  </w:style>
  <w:style w:type="paragraph" w:customStyle="1" w:styleId="SAS7">
    <w:name w:val="SAS:7"/>
    <w:basedOn w:val="Normal"/>
    <w:pPr>
      <w:spacing w:line="130" w:lineRule="exact"/>
    </w:pPr>
    <w:rPr>
      <w:rFonts w:ascii="Courier New" w:hAnsi="Courier New"/>
      <w:spacing w:val="-10"/>
      <w:sz w:val="14"/>
      <w:szCs w:val="14"/>
      <w:lang w:eastAsia="de-DE"/>
    </w:rPr>
  </w:style>
  <w:style w:type="paragraph" w:customStyle="1" w:styleId="SAS8">
    <w:name w:val="SAS:8"/>
    <w:basedOn w:val="Normal"/>
    <w:pPr>
      <w:spacing w:line="150" w:lineRule="exact"/>
    </w:pPr>
    <w:rPr>
      <w:rFonts w:ascii="Courier New" w:hAnsi="Courier New"/>
      <w:spacing w:val="-10"/>
      <w:sz w:val="16"/>
      <w:szCs w:val="16"/>
      <w:lang w:eastAsia="de-DE"/>
    </w:rPr>
  </w:style>
  <w:style w:type="paragraph" w:customStyle="1" w:styleId="TextAlpha">
    <w:name w:val="Text:Alpha"/>
    <w:basedOn w:val="Normal"/>
    <w:pPr>
      <w:ind w:left="357" w:hanging="357"/>
    </w:pPr>
  </w:style>
  <w:style w:type="paragraph" w:customStyle="1" w:styleId="TextTi12">
    <w:name w:val="Text:Ti12"/>
    <w:basedOn w:val="Normal"/>
    <w:link w:val="TextTi12Char"/>
    <w:pPr>
      <w:spacing w:after="170" w:line="280" w:lineRule="atLeast"/>
      <w:jc w:val="both"/>
    </w:pPr>
    <w:rPr>
      <w:lang w:eastAsia="de-DE"/>
    </w:rPr>
  </w:style>
  <w:style w:type="character" w:customStyle="1" w:styleId="PIexplanationChar">
    <w:name w:val="PI explanation Char"/>
    <w:link w:val="PIexplanation"/>
    <w:rsid w:val="00194929"/>
    <w:rPr>
      <w:i/>
      <w:color w:val="FF0000"/>
      <w:sz w:val="24"/>
      <w:lang w:val="en-AU" w:eastAsia="ja-JP" w:bidi="ar-SA"/>
    </w:rPr>
  </w:style>
  <w:style w:type="paragraph" w:customStyle="1" w:styleId="TextBull">
    <w:name w:val="Text:Bull"/>
    <w:basedOn w:val="Normal"/>
    <w:pPr>
      <w:numPr>
        <w:numId w:val="11"/>
      </w:numPr>
      <w:tabs>
        <w:tab w:val="clear" w:pos="357"/>
        <w:tab w:val="num" w:pos="360"/>
      </w:tabs>
      <w:spacing w:line="280" w:lineRule="atLeast"/>
      <w:ind w:left="360" w:hanging="360"/>
    </w:pPr>
    <w:rPr>
      <w:lang w:eastAsia="de-DE"/>
    </w:rPr>
  </w:style>
  <w:style w:type="paragraph" w:customStyle="1" w:styleId="TextDash">
    <w:name w:val="Text:Dash"/>
    <w:basedOn w:val="Normal"/>
    <w:pPr>
      <w:numPr>
        <w:numId w:val="12"/>
      </w:numPr>
      <w:tabs>
        <w:tab w:val="clear" w:pos="357"/>
        <w:tab w:val="num" w:pos="360"/>
      </w:tabs>
      <w:spacing w:after="170" w:line="280" w:lineRule="atLeast"/>
      <w:ind w:left="360" w:hanging="360"/>
      <w:jc w:val="both"/>
    </w:pPr>
    <w:rPr>
      <w:lang w:eastAsia="de-DE"/>
    </w:rPr>
  </w:style>
  <w:style w:type="paragraph" w:customStyle="1" w:styleId="TextNum">
    <w:name w:val="Text:Num"/>
    <w:basedOn w:val="Normal"/>
    <w:pPr>
      <w:tabs>
        <w:tab w:val="left" w:pos="357"/>
      </w:tabs>
      <w:ind w:left="357" w:hanging="357"/>
    </w:pPr>
  </w:style>
  <w:style w:type="paragraph" w:customStyle="1" w:styleId="TextRef">
    <w:name w:val="Text:Ref"/>
    <w:basedOn w:val="Normal"/>
    <w:pPr>
      <w:numPr>
        <w:numId w:val="25"/>
      </w:numPr>
      <w:tabs>
        <w:tab w:val="clear" w:pos="360"/>
        <w:tab w:val="left" w:pos="1134"/>
      </w:tabs>
      <w:spacing w:after="170"/>
      <w:ind w:left="1134" w:hanging="1134"/>
    </w:pPr>
  </w:style>
  <w:style w:type="paragraph" w:customStyle="1" w:styleId="TextTi10">
    <w:name w:val="Text:Ti10"/>
    <w:basedOn w:val="Normal"/>
    <w:link w:val="TextTi10Char"/>
    <w:rPr>
      <w:sz w:val="20"/>
    </w:rPr>
  </w:style>
  <w:style w:type="paragraph" w:styleId="TOC1">
    <w:name w:val="toc 1"/>
    <w:basedOn w:val="Normal"/>
    <w:next w:val="Normal"/>
    <w:autoRedefine/>
    <w:pPr>
      <w:tabs>
        <w:tab w:val="right" w:leader="dot" w:pos="8640"/>
      </w:tabs>
      <w:spacing w:before="227" w:after="113" w:line="280" w:lineRule="atLeast"/>
      <w:ind w:left="397" w:right="567" w:hanging="397"/>
    </w:pPr>
    <w:rPr>
      <w:caps/>
      <w:lang w:eastAsia="de-DE"/>
    </w:rPr>
  </w:style>
  <w:style w:type="paragraph" w:styleId="TOC2">
    <w:name w:val="toc 2"/>
    <w:basedOn w:val="Normal"/>
    <w:next w:val="Normal"/>
    <w:autoRedefine/>
    <w:pPr>
      <w:tabs>
        <w:tab w:val="right" w:leader="dot" w:pos="8640"/>
      </w:tabs>
      <w:spacing w:line="280" w:lineRule="atLeast"/>
      <w:ind w:left="1474" w:right="567" w:hanging="1077"/>
    </w:pPr>
    <w:rPr>
      <w:lang w:eastAsia="de-DE"/>
    </w:rPr>
  </w:style>
  <w:style w:type="paragraph" w:styleId="TOC3">
    <w:name w:val="toc 3"/>
    <w:basedOn w:val="Normal"/>
    <w:next w:val="Normal"/>
    <w:autoRedefine/>
    <w:pPr>
      <w:tabs>
        <w:tab w:val="right" w:leader="dot" w:pos="8640"/>
      </w:tabs>
      <w:spacing w:line="280" w:lineRule="atLeast"/>
      <w:ind w:left="1474" w:right="567" w:hanging="1077"/>
    </w:pPr>
    <w:rPr>
      <w:lang w:eastAsia="de-DE"/>
    </w:rPr>
  </w:style>
  <w:style w:type="paragraph" w:styleId="TOC4">
    <w:name w:val="toc 4"/>
    <w:basedOn w:val="Normal"/>
    <w:next w:val="Normal"/>
    <w:autoRedefine/>
    <w:pPr>
      <w:tabs>
        <w:tab w:val="right" w:leader="dot" w:pos="8640"/>
      </w:tabs>
      <w:spacing w:line="280" w:lineRule="atLeast"/>
      <w:ind w:left="1474" w:right="567" w:hanging="1077"/>
    </w:pPr>
    <w:rPr>
      <w:lang w:eastAsia="de-DE"/>
    </w:rPr>
  </w:style>
  <w:style w:type="paragraph" w:styleId="TOC5">
    <w:name w:val="toc 5"/>
    <w:basedOn w:val="TOC4"/>
    <w:next w:val="Normal"/>
    <w:autoRedefine/>
  </w:style>
  <w:style w:type="paragraph" w:styleId="TOC6">
    <w:name w:val="toc 6"/>
    <w:basedOn w:val="TOC5"/>
    <w:next w:val="Normal"/>
    <w:autoRedefine/>
  </w:style>
  <w:style w:type="paragraph" w:styleId="TOC7">
    <w:name w:val="toc 7"/>
    <w:basedOn w:val="TOC6"/>
    <w:next w:val="Normal"/>
    <w:autoRedefine/>
    <w:pPr>
      <w:ind w:left="2608" w:hanging="2211"/>
    </w:pPr>
  </w:style>
  <w:style w:type="paragraph" w:styleId="TOC8">
    <w:name w:val="toc 8"/>
    <w:basedOn w:val="TOC7"/>
    <w:next w:val="Normal"/>
    <w:autoRedefine/>
  </w:style>
  <w:style w:type="paragraph" w:styleId="TOC9">
    <w:name w:val="toc 9"/>
    <w:basedOn w:val="TOC8"/>
    <w:next w:val="Normal"/>
    <w:autoRedefine/>
  </w:style>
  <w:style w:type="paragraph" w:customStyle="1" w:styleId="TOCHeadings">
    <w:name w:val="TOC Headings"/>
    <w:basedOn w:val="Normal"/>
    <w:pPr>
      <w:tabs>
        <w:tab w:val="center" w:pos="4320"/>
        <w:tab w:val="right" w:pos="8640"/>
      </w:tabs>
      <w:spacing w:before="397" w:after="227" w:line="280" w:lineRule="atLeast"/>
    </w:pPr>
    <w:rPr>
      <w:rFonts w:ascii="Arial" w:hAnsi="Arial"/>
      <w:b/>
      <w:lang w:eastAsia="de-DE"/>
    </w:rPr>
  </w:style>
  <w:style w:type="character" w:styleId="PageNumber">
    <w:name w:val="page number"/>
    <w:basedOn w:val="DefaultParagraphFont"/>
  </w:style>
  <w:style w:type="paragraph" w:styleId="TableofFigures">
    <w:name w:val="table of figures"/>
    <w:basedOn w:val="Normal"/>
    <w:pPr>
      <w:tabs>
        <w:tab w:val="right" w:leader="dot" w:pos="8641"/>
      </w:tabs>
      <w:ind w:left="1474" w:right="567" w:hanging="1474"/>
    </w:pPr>
  </w:style>
  <w:style w:type="paragraph" w:customStyle="1" w:styleId="PIexplanation">
    <w:name w:val="PI explanation"/>
    <w:basedOn w:val="Normal"/>
    <w:link w:val="PIexplanationChar"/>
    <w:rsid w:val="00194929"/>
    <w:pPr>
      <w:spacing w:before="120" w:after="120"/>
    </w:pPr>
    <w:rPr>
      <w:i/>
      <w:color w:val="FF0000"/>
    </w:rPr>
  </w:style>
  <w:style w:type="paragraph" w:styleId="BodyText">
    <w:name w:val="Body Text"/>
    <w:basedOn w:val="Normal"/>
    <w:rsid w:val="00194929"/>
    <w:pPr>
      <w:spacing w:after="240"/>
    </w:pPr>
    <w:rPr>
      <w:szCs w:val="24"/>
    </w:rPr>
  </w:style>
  <w:style w:type="paragraph" w:customStyle="1" w:styleId="TableHeading">
    <w:name w:val="Table Heading"/>
    <w:basedOn w:val="Heading3"/>
    <w:rsid w:val="00194929"/>
    <w:pPr>
      <w:numPr>
        <w:ilvl w:val="0"/>
        <w:numId w:val="0"/>
      </w:numPr>
      <w:tabs>
        <w:tab w:val="left" w:pos="1134"/>
      </w:tabs>
      <w:spacing w:before="240" w:after="240" w:line="240" w:lineRule="auto"/>
      <w:ind w:left="1134" w:hanging="1134"/>
    </w:pPr>
    <w:rPr>
      <w:rFonts w:ascii="Times New Roman" w:hAnsi="Times New Roman" w:cs="Times New Roman"/>
      <w:bCs w:val="0"/>
      <w:szCs w:val="20"/>
      <w:lang w:eastAsia="ja-JP"/>
    </w:rPr>
  </w:style>
  <w:style w:type="character" w:styleId="CommentReference">
    <w:name w:val="annotation reference"/>
    <w:semiHidden/>
    <w:rsid w:val="00A34E03"/>
    <w:rPr>
      <w:sz w:val="16"/>
      <w:szCs w:val="16"/>
    </w:rPr>
  </w:style>
  <w:style w:type="paragraph" w:styleId="CommentText">
    <w:name w:val="annotation text"/>
    <w:basedOn w:val="Normal"/>
    <w:link w:val="CommentTextChar"/>
    <w:semiHidden/>
    <w:rsid w:val="00A34E03"/>
    <w:rPr>
      <w:sz w:val="20"/>
    </w:rPr>
  </w:style>
  <w:style w:type="paragraph" w:styleId="CommentSubject">
    <w:name w:val="annotation subject"/>
    <w:basedOn w:val="CommentText"/>
    <w:next w:val="CommentText"/>
    <w:semiHidden/>
    <w:rsid w:val="00A34E03"/>
    <w:rPr>
      <w:b/>
      <w:bCs/>
    </w:rPr>
  </w:style>
  <w:style w:type="paragraph" w:styleId="BalloonText">
    <w:name w:val="Balloon Text"/>
    <w:basedOn w:val="Normal"/>
    <w:semiHidden/>
    <w:rsid w:val="00A34E03"/>
    <w:rPr>
      <w:rFonts w:ascii="Tahoma" w:hAnsi="Tahoma" w:cs="Tahoma"/>
      <w:sz w:val="16"/>
      <w:szCs w:val="16"/>
    </w:rPr>
  </w:style>
  <w:style w:type="character" w:customStyle="1" w:styleId="TextTi12Char">
    <w:name w:val="Text:Ti12 Char"/>
    <w:link w:val="TextTi12"/>
    <w:rsid w:val="00B77822"/>
    <w:rPr>
      <w:sz w:val="24"/>
      <w:lang w:val="en-AU" w:eastAsia="de-DE" w:bidi="ar-SA"/>
    </w:rPr>
  </w:style>
  <w:style w:type="paragraph" w:styleId="NormalWeb">
    <w:name w:val="Normal (Web)"/>
    <w:basedOn w:val="Normal"/>
    <w:rsid w:val="00AE62BD"/>
    <w:pPr>
      <w:spacing w:before="100" w:beforeAutospacing="1" w:after="100" w:afterAutospacing="1"/>
    </w:pPr>
    <w:rPr>
      <w:szCs w:val="24"/>
      <w:lang w:val="en-US" w:eastAsia="en-US"/>
    </w:rPr>
  </w:style>
  <w:style w:type="table" w:styleId="TableGrid">
    <w:name w:val="Table Grid"/>
    <w:basedOn w:val="TableNormal"/>
    <w:uiPriority w:val="59"/>
    <w:rsid w:val="00047813"/>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10Char">
    <w:name w:val="Text:Ti10 Char"/>
    <w:link w:val="TextTi10"/>
    <w:rsid w:val="00047813"/>
    <w:rPr>
      <w:lang w:val="en-AU" w:eastAsia="ja-JP" w:bidi="ar-SA"/>
    </w:rPr>
  </w:style>
  <w:style w:type="character" w:customStyle="1" w:styleId="Heading4Char">
    <w:name w:val="Heading 4 Char"/>
    <w:link w:val="Heading4"/>
    <w:rsid w:val="00FD39DC"/>
    <w:rPr>
      <w:rFonts w:ascii="Arial" w:hAnsi="Arial"/>
      <w:b/>
      <w:bCs/>
      <w:i/>
      <w:sz w:val="24"/>
      <w:szCs w:val="28"/>
      <w:lang w:val="en-AU" w:eastAsia="de-DE" w:bidi="ar-SA"/>
    </w:rPr>
  </w:style>
  <w:style w:type="character" w:customStyle="1" w:styleId="TextTi12Char1">
    <w:name w:val="Text:Ti12 Char1"/>
    <w:rsid w:val="00272253"/>
    <w:rPr>
      <w:sz w:val="24"/>
      <w:lang w:val="en-US" w:eastAsia="ja-JP" w:bidi="ar-SA"/>
    </w:rPr>
  </w:style>
  <w:style w:type="character" w:customStyle="1" w:styleId="JackyArkell">
    <w:name w:val="Jacky Arkell"/>
    <w:semiHidden/>
    <w:rsid w:val="008D1F32"/>
    <w:rPr>
      <w:rFonts w:ascii="Arial" w:hAnsi="Arial" w:cs="Arial"/>
      <w:color w:val="000080"/>
      <w:sz w:val="20"/>
      <w:szCs w:val="20"/>
    </w:rPr>
  </w:style>
  <w:style w:type="paragraph" w:styleId="Date">
    <w:name w:val="Date"/>
    <w:basedOn w:val="Normal"/>
    <w:next w:val="Normal"/>
    <w:link w:val="DateChar"/>
    <w:rsid w:val="003A65AC"/>
  </w:style>
  <w:style w:type="character" w:customStyle="1" w:styleId="DateChar">
    <w:name w:val="Date Char"/>
    <w:link w:val="Date"/>
    <w:rsid w:val="003A65AC"/>
    <w:rPr>
      <w:rFonts w:eastAsia="Times New Roman"/>
      <w:sz w:val="24"/>
      <w:lang w:eastAsia="ja-JP"/>
    </w:rPr>
  </w:style>
  <w:style w:type="paragraph" w:customStyle="1" w:styleId="Default">
    <w:name w:val="Default"/>
    <w:rsid w:val="00C17354"/>
    <w:pPr>
      <w:autoSpaceDE w:val="0"/>
      <w:autoSpaceDN w:val="0"/>
      <w:adjustRightInd w:val="0"/>
    </w:pPr>
    <w:rPr>
      <w:rFonts w:ascii="Arial" w:hAnsi="Arial" w:cs="Arial"/>
      <w:color w:val="000000"/>
      <w:sz w:val="24"/>
      <w:szCs w:val="24"/>
      <w:lang w:eastAsia="zh-TW"/>
    </w:rPr>
  </w:style>
  <w:style w:type="table" w:customStyle="1" w:styleId="TableGrid1">
    <w:name w:val="Table Grid1"/>
    <w:basedOn w:val="TableNormal"/>
    <w:next w:val="TableGrid"/>
    <w:uiPriority w:val="59"/>
    <w:rsid w:val="00E14CA5"/>
    <w:rPr>
      <w:rFonts w:ascii="Calibri" w:eastAsia="PMingLiU"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B81DBF"/>
    <w:rPr>
      <w:rFonts w:eastAsia="Times New Roman"/>
      <w:lang w:eastAsia="ja-JP"/>
    </w:rPr>
  </w:style>
  <w:style w:type="character" w:customStyle="1" w:styleId="Heading3Char">
    <w:name w:val="Heading 3 Char"/>
    <w:link w:val="Heading3"/>
    <w:rsid w:val="00B81DBF"/>
    <w:rPr>
      <w:rFonts w:ascii="Arial" w:eastAsia="Times New Roman" w:hAnsi="Arial" w:cs="Arial"/>
      <w:b/>
      <w:bCs/>
      <w:sz w:val="24"/>
      <w:szCs w:val="26"/>
      <w:lang w:eastAsia="de-DE"/>
    </w:rPr>
  </w:style>
  <w:style w:type="paragraph" w:styleId="Revision">
    <w:name w:val="Revision"/>
    <w:hidden/>
    <w:uiPriority w:val="99"/>
    <w:semiHidden/>
    <w:rsid w:val="00B8185F"/>
    <w:rPr>
      <w:rFonts w:eastAsia="Times New Roman"/>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929"/>
    <w:rPr>
      <w:rFonts w:eastAsia="Times New Roman"/>
      <w:sz w:val="24"/>
      <w:lang w:eastAsia="ja-JP"/>
    </w:rPr>
  </w:style>
  <w:style w:type="paragraph" w:styleId="Heading1">
    <w:name w:val="heading 1"/>
    <w:basedOn w:val="Normal"/>
    <w:next w:val="TextTi12"/>
    <w:qFormat/>
    <w:pPr>
      <w:keepNext/>
      <w:numPr>
        <w:numId w:val="23"/>
      </w:numPr>
      <w:spacing w:before="113" w:after="57" w:line="280" w:lineRule="atLeast"/>
      <w:outlineLvl w:val="0"/>
    </w:pPr>
    <w:rPr>
      <w:rFonts w:ascii="Arial" w:hAnsi="Arial" w:cs="Arial"/>
      <w:b/>
      <w:bCs/>
      <w:smallCaps/>
      <w:sz w:val="28"/>
      <w:szCs w:val="28"/>
      <w:lang w:eastAsia="de-DE"/>
    </w:rPr>
  </w:style>
  <w:style w:type="paragraph" w:styleId="Heading2">
    <w:name w:val="heading 2"/>
    <w:basedOn w:val="Normal"/>
    <w:next w:val="TextTi12"/>
    <w:qFormat/>
    <w:pPr>
      <w:keepNext/>
      <w:numPr>
        <w:ilvl w:val="1"/>
        <w:numId w:val="23"/>
      </w:numPr>
      <w:spacing w:before="113" w:after="57" w:line="280" w:lineRule="atLeast"/>
      <w:outlineLvl w:val="1"/>
    </w:pPr>
    <w:rPr>
      <w:rFonts w:ascii="Arial" w:hAnsi="Arial" w:cs="Arial"/>
      <w:b/>
      <w:bCs/>
      <w:iCs/>
      <w:sz w:val="26"/>
      <w:szCs w:val="28"/>
      <w:lang w:eastAsia="de-DE"/>
    </w:rPr>
  </w:style>
  <w:style w:type="paragraph" w:styleId="Heading3">
    <w:name w:val="heading 3"/>
    <w:basedOn w:val="Normal"/>
    <w:next w:val="TextTi12"/>
    <w:link w:val="Heading3Char"/>
    <w:qFormat/>
    <w:pPr>
      <w:keepNext/>
      <w:numPr>
        <w:ilvl w:val="2"/>
        <w:numId w:val="23"/>
      </w:numPr>
      <w:spacing w:before="113" w:after="57" w:line="280" w:lineRule="atLeast"/>
      <w:outlineLvl w:val="2"/>
    </w:pPr>
    <w:rPr>
      <w:rFonts w:ascii="Arial" w:hAnsi="Arial" w:cs="Arial"/>
      <w:b/>
      <w:bCs/>
      <w:szCs w:val="26"/>
      <w:lang w:eastAsia="de-DE"/>
    </w:rPr>
  </w:style>
  <w:style w:type="paragraph" w:styleId="Heading4">
    <w:name w:val="heading 4"/>
    <w:basedOn w:val="Normal"/>
    <w:next w:val="TextTi12"/>
    <w:link w:val="Heading4Char"/>
    <w:qFormat/>
    <w:pPr>
      <w:keepNext/>
      <w:numPr>
        <w:ilvl w:val="3"/>
        <w:numId w:val="23"/>
      </w:numPr>
      <w:spacing w:before="113" w:after="57" w:line="280" w:lineRule="atLeast"/>
      <w:outlineLvl w:val="3"/>
    </w:pPr>
    <w:rPr>
      <w:rFonts w:ascii="Arial" w:hAnsi="Arial"/>
      <w:b/>
      <w:bCs/>
      <w:i/>
      <w:szCs w:val="28"/>
      <w:lang w:eastAsia="de-DE"/>
    </w:rPr>
  </w:style>
  <w:style w:type="paragraph" w:styleId="Heading5">
    <w:name w:val="heading 5"/>
    <w:basedOn w:val="Normal"/>
    <w:next w:val="TextTi12"/>
    <w:qFormat/>
    <w:pPr>
      <w:keepNext/>
      <w:numPr>
        <w:ilvl w:val="4"/>
        <w:numId w:val="23"/>
      </w:numPr>
      <w:tabs>
        <w:tab w:val="clear" w:pos="1701"/>
        <w:tab w:val="num" w:pos="1008"/>
      </w:tabs>
      <w:spacing w:before="113" w:after="57" w:line="280" w:lineRule="atLeast"/>
      <w:ind w:left="1008" w:hanging="1008"/>
      <w:outlineLvl w:val="4"/>
    </w:pPr>
    <w:rPr>
      <w:rFonts w:ascii="Arial" w:hAnsi="Arial"/>
      <w:b/>
      <w:bCs/>
      <w:i/>
      <w:iCs/>
      <w:szCs w:val="26"/>
      <w:lang w:eastAsia="de-DE"/>
    </w:rPr>
  </w:style>
  <w:style w:type="paragraph" w:styleId="Heading6">
    <w:name w:val="heading 6"/>
    <w:basedOn w:val="Normal"/>
    <w:next w:val="TextTi12"/>
    <w:qFormat/>
    <w:pPr>
      <w:keepNext/>
      <w:numPr>
        <w:ilvl w:val="5"/>
        <w:numId w:val="23"/>
      </w:numPr>
      <w:tabs>
        <w:tab w:val="clear" w:pos="1701"/>
        <w:tab w:val="num" w:pos="1152"/>
      </w:tabs>
      <w:spacing w:before="113" w:after="57" w:line="280" w:lineRule="atLeast"/>
      <w:ind w:left="1152" w:hanging="1152"/>
      <w:outlineLvl w:val="5"/>
    </w:pPr>
    <w:rPr>
      <w:rFonts w:ascii="Arial" w:hAnsi="Arial"/>
      <w:b/>
      <w:i/>
      <w:lang w:eastAsia="de-DE"/>
    </w:rPr>
  </w:style>
  <w:style w:type="paragraph" w:styleId="Heading7">
    <w:name w:val="heading 7"/>
    <w:basedOn w:val="Normal"/>
    <w:next w:val="TextTi12"/>
    <w:qFormat/>
    <w:pPr>
      <w:keepNext/>
      <w:numPr>
        <w:ilvl w:val="6"/>
        <w:numId w:val="23"/>
      </w:numPr>
      <w:tabs>
        <w:tab w:val="clear" w:pos="1701"/>
        <w:tab w:val="num" w:pos="1296"/>
      </w:tabs>
      <w:spacing w:before="113" w:after="57" w:line="280" w:lineRule="atLeast"/>
      <w:ind w:left="1296" w:hanging="1296"/>
      <w:outlineLvl w:val="6"/>
    </w:pPr>
    <w:rPr>
      <w:rFonts w:ascii="Arial" w:hAnsi="Arial"/>
      <w:b/>
      <w:i/>
      <w:lang w:eastAsia="de-DE"/>
    </w:rPr>
  </w:style>
  <w:style w:type="paragraph" w:styleId="Heading8">
    <w:name w:val="heading 8"/>
    <w:basedOn w:val="Normal"/>
    <w:next w:val="TextTi12"/>
    <w:qFormat/>
    <w:pPr>
      <w:keepNext/>
      <w:numPr>
        <w:ilvl w:val="7"/>
        <w:numId w:val="23"/>
      </w:numPr>
      <w:tabs>
        <w:tab w:val="clear" w:pos="1701"/>
        <w:tab w:val="num" w:pos="1440"/>
      </w:tabs>
      <w:spacing w:before="113" w:after="57" w:line="280" w:lineRule="atLeast"/>
      <w:ind w:left="1440" w:hanging="1440"/>
      <w:outlineLvl w:val="7"/>
    </w:pPr>
    <w:rPr>
      <w:rFonts w:ascii="Arial" w:hAnsi="Arial"/>
      <w:b/>
      <w:i/>
      <w:iCs/>
      <w:lang w:eastAsia="de-DE"/>
    </w:rPr>
  </w:style>
  <w:style w:type="paragraph" w:styleId="Heading9">
    <w:name w:val="heading 9"/>
    <w:basedOn w:val="Normal"/>
    <w:next w:val="TextTi12"/>
    <w:qFormat/>
    <w:pPr>
      <w:keepNext/>
      <w:numPr>
        <w:ilvl w:val="8"/>
        <w:numId w:val="23"/>
      </w:numPr>
      <w:tabs>
        <w:tab w:val="clear" w:pos="1701"/>
        <w:tab w:val="num" w:pos="1584"/>
      </w:tabs>
      <w:spacing w:before="113" w:after="57" w:line="280" w:lineRule="atLeast"/>
      <w:ind w:left="1584" w:hanging="1584"/>
      <w:outlineLvl w:val="8"/>
    </w:pPr>
    <w:rPr>
      <w:rFonts w:ascii="Arial" w:hAnsi="Arial" w:cs="Arial"/>
      <w:b/>
      <w:i/>
      <w:szCs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XrefAr9">
    <w:name w:val="BibliXref:Ar9"/>
    <w:basedOn w:val="Normal"/>
    <w:pPr>
      <w:spacing w:after="170"/>
    </w:pPr>
    <w:rPr>
      <w:rFonts w:ascii="Arial" w:hAnsi="Arial"/>
      <w:b/>
      <w:sz w:val="18"/>
    </w:rPr>
  </w:style>
  <w:style w:type="paragraph" w:styleId="Caption">
    <w:name w:val="caption"/>
    <w:basedOn w:val="Normal"/>
    <w:next w:val="Normal"/>
    <w:qFormat/>
    <w:pPr>
      <w:spacing w:before="113" w:after="57" w:line="280" w:lineRule="atLeast"/>
      <w:ind w:left="1701" w:hanging="1701"/>
    </w:pPr>
    <w:rPr>
      <w:rFonts w:ascii="Arial" w:hAnsi="Arial"/>
      <w:b/>
      <w:bCs/>
      <w:lang w:eastAsia="de-DE"/>
    </w:rPr>
  </w:style>
  <w:style w:type="paragraph" w:styleId="Footer">
    <w:name w:val="footer"/>
    <w:basedOn w:val="Normal"/>
    <w:pPr>
      <w:tabs>
        <w:tab w:val="right" w:pos="8647"/>
      </w:tabs>
    </w:pPr>
    <w:rPr>
      <w:rFonts w:ascii="Arial" w:hAnsi="Arial"/>
      <w:sz w:val="20"/>
    </w:rPr>
  </w:style>
  <w:style w:type="paragraph" w:customStyle="1" w:styleId="Hd1">
    <w:name w:val="Hd:1"/>
    <w:basedOn w:val="Normal"/>
    <w:next w:val="Normal"/>
    <w:pPr>
      <w:keepNext/>
      <w:spacing w:before="113" w:after="57" w:line="280" w:lineRule="atLeast"/>
      <w:ind w:left="1134" w:hanging="1134"/>
    </w:pPr>
    <w:rPr>
      <w:rFonts w:ascii="Arial" w:hAnsi="Arial"/>
      <w:b/>
      <w:smallCaps/>
      <w:sz w:val="28"/>
      <w:szCs w:val="28"/>
      <w:lang w:eastAsia="de-DE"/>
    </w:rPr>
  </w:style>
  <w:style w:type="paragraph" w:customStyle="1" w:styleId="Hd2">
    <w:name w:val="Hd:2"/>
    <w:basedOn w:val="Normal"/>
    <w:next w:val="Normal"/>
    <w:pPr>
      <w:keepNext/>
      <w:spacing w:before="113" w:after="57" w:line="280" w:lineRule="atLeast"/>
      <w:ind w:left="1134" w:hanging="1134"/>
    </w:pPr>
    <w:rPr>
      <w:rFonts w:ascii="Arial" w:hAnsi="Arial"/>
      <w:b/>
      <w:sz w:val="26"/>
      <w:lang w:eastAsia="de-DE"/>
    </w:rPr>
  </w:style>
  <w:style w:type="paragraph" w:customStyle="1" w:styleId="Hd3">
    <w:name w:val="Hd:3"/>
    <w:basedOn w:val="Normal"/>
    <w:next w:val="Normal"/>
    <w:pPr>
      <w:keepNext/>
      <w:spacing w:before="113" w:after="57" w:line="280" w:lineRule="atLeast"/>
      <w:ind w:left="1134" w:hanging="1134"/>
    </w:pPr>
    <w:rPr>
      <w:rFonts w:ascii="Arial" w:hAnsi="Arial"/>
      <w:b/>
      <w:lang w:eastAsia="de-DE"/>
    </w:rPr>
  </w:style>
  <w:style w:type="paragraph" w:customStyle="1" w:styleId="Hd4">
    <w:name w:val="Hd:4"/>
    <w:basedOn w:val="Normal"/>
    <w:next w:val="Normal"/>
    <w:pPr>
      <w:keepNext/>
      <w:spacing w:before="113" w:after="57" w:line="280" w:lineRule="atLeast"/>
      <w:ind w:left="1134" w:hanging="1134"/>
    </w:pPr>
    <w:rPr>
      <w:rFonts w:ascii="Arial" w:hAnsi="Arial"/>
      <w:b/>
      <w:i/>
      <w:lang w:eastAsia="de-DE"/>
    </w:rPr>
  </w:style>
  <w:style w:type="paragraph" w:customStyle="1" w:styleId="HdApp1">
    <w:name w:val="Hd:App:1"/>
    <w:basedOn w:val="Caption"/>
    <w:next w:val="TextTi12"/>
    <w:pPr>
      <w:keepNext/>
      <w:spacing w:before="0"/>
      <w:outlineLvl w:val="4"/>
    </w:pPr>
    <w:rPr>
      <w:bCs w:val="0"/>
      <w:lang w:eastAsia="ja-JP"/>
    </w:rPr>
  </w:style>
  <w:style w:type="paragraph" w:customStyle="1" w:styleId="HdCentNoNum">
    <w:name w:val="Hd:CentNoNum"/>
    <w:basedOn w:val="Normal"/>
    <w:next w:val="TextTi12"/>
    <w:pPr>
      <w:keepNext/>
      <w:spacing w:before="113" w:after="57" w:line="280" w:lineRule="atLeast"/>
      <w:jc w:val="center"/>
    </w:pPr>
    <w:rPr>
      <w:rFonts w:ascii="Arial" w:hAnsi="Arial"/>
      <w:b/>
      <w:caps/>
      <w:sz w:val="28"/>
      <w:szCs w:val="26"/>
      <w:lang w:eastAsia="de-DE"/>
    </w:rPr>
  </w:style>
  <w:style w:type="paragraph" w:customStyle="1" w:styleId="HdCont">
    <w:name w:val="Hd:Cont"/>
    <w:basedOn w:val="HdApp1"/>
    <w:next w:val="TextTi12"/>
  </w:style>
  <w:style w:type="paragraph" w:customStyle="1" w:styleId="HdFig1">
    <w:name w:val="Hd:Fig:1"/>
    <w:basedOn w:val="Caption"/>
    <w:next w:val="TextTi12"/>
    <w:pPr>
      <w:keepNext/>
      <w:outlineLvl w:val="4"/>
    </w:pPr>
    <w:rPr>
      <w:bCs w:val="0"/>
      <w:lang w:eastAsia="ja-JP"/>
    </w:rPr>
  </w:style>
  <w:style w:type="paragraph" w:customStyle="1" w:styleId="HdTab1">
    <w:name w:val="Hd:Tab:1"/>
    <w:basedOn w:val="Caption"/>
    <w:next w:val="TextTi12"/>
    <w:pPr>
      <w:keepNext/>
      <w:outlineLvl w:val="4"/>
    </w:pPr>
    <w:rPr>
      <w:bCs w:val="0"/>
      <w:lang w:eastAsia="ja-JP"/>
    </w:rPr>
  </w:style>
  <w:style w:type="paragraph" w:styleId="Header">
    <w:name w:val="header"/>
    <w:basedOn w:val="Normal"/>
    <w:pPr>
      <w:tabs>
        <w:tab w:val="center" w:pos="4321"/>
        <w:tab w:val="right" w:pos="8647"/>
      </w:tabs>
    </w:pPr>
    <w:rPr>
      <w:rFonts w:ascii="Arial" w:hAnsi="Arial"/>
      <w:b/>
    </w:rPr>
  </w:style>
  <w:style w:type="paragraph" w:customStyle="1" w:styleId="HeadingReference">
    <w:name w:val="Heading Reference"/>
    <w:basedOn w:val="Normal"/>
    <w:pPr>
      <w:ind w:left="1701" w:hanging="1701"/>
    </w:pPr>
    <w:rPr>
      <w:i/>
      <w:sz w:val="20"/>
      <w:lang w:eastAsia="de-DE"/>
    </w:rPr>
  </w:style>
  <w:style w:type="character" w:customStyle="1" w:styleId="HiddenChar">
    <w:name w:val="Hidden:Char"/>
    <w:rPr>
      <w:rFonts w:ascii="Arial" w:hAnsi="Arial"/>
      <w:b/>
      <w:vanish/>
      <w:color w:val="008000"/>
      <w:sz w:val="20"/>
      <w:szCs w:val="20"/>
      <w:u w:val="dotted"/>
    </w:rPr>
  </w:style>
  <w:style w:type="paragraph" w:customStyle="1" w:styleId="HiddenPara">
    <w:name w:val="Hidden:Para"/>
    <w:basedOn w:val="Normal"/>
    <w:rPr>
      <w:rFonts w:ascii="Arial" w:hAnsi="Arial"/>
      <w:b/>
      <w:vanish/>
      <w:color w:val="008000"/>
      <w:sz w:val="20"/>
      <w:u w:val="dotted"/>
    </w:rPr>
  </w:style>
  <w:style w:type="paragraph" w:customStyle="1" w:styleId="SAS10">
    <w:name w:val="SAS:10"/>
    <w:basedOn w:val="Normal"/>
    <w:pPr>
      <w:spacing w:line="190" w:lineRule="exact"/>
    </w:pPr>
    <w:rPr>
      <w:rFonts w:ascii="Courier New" w:hAnsi="Courier New"/>
      <w:spacing w:val="-14"/>
      <w:sz w:val="20"/>
      <w:lang w:eastAsia="de-DE"/>
    </w:rPr>
  </w:style>
  <w:style w:type="paragraph" w:customStyle="1" w:styleId="SAS7">
    <w:name w:val="SAS:7"/>
    <w:basedOn w:val="Normal"/>
    <w:pPr>
      <w:spacing w:line="130" w:lineRule="exact"/>
    </w:pPr>
    <w:rPr>
      <w:rFonts w:ascii="Courier New" w:hAnsi="Courier New"/>
      <w:spacing w:val="-10"/>
      <w:sz w:val="14"/>
      <w:szCs w:val="14"/>
      <w:lang w:eastAsia="de-DE"/>
    </w:rPr>
  </w:style>
  <w:style w:type="paragraph" w:customStyle="1" w:styleId="SAS8">
    <w:name w:val="SAS:8"/>
    <w:basedOn w:val="Normal"/>
    <w:pPr>
      <w:spacing w:line="150" w:lineRule="exact"/>
    </w:pPr>
    <w:rPr>
      <w:rFonts w:ascii="Courier New" w:hAnsi="Courier New"/>
      <w:spacing w:val="-10"/>
      <w:sz w:val="16"/>
      <w:szCs w:val="16"/>
      <w:lang w:eastAsia="de-DE"/>
    </w:rPr>
  </w:style>
  <w:style w:type="paragraph" w:customStyle="1" w:styleId="TextAlpha">
    <w:name w:val="Text:Alpha"/>
    <w:basedOn w:val="Normal"/>
    <w:pPr>
      <w:ind w:left="357" w:hanging="357"/>
    </w:pPr>
  </w:style>
  <w:style w:type="paragraph" w:customStyle="1" w:styleId="TextTi12">
    <w:name w:val="Text:Ti12"/>
    <w:basedOn w:val="Normal"/>
    <w:link w:val="TextTi12Char"/>
    <w:pPr>
      <w:spacing w:after="170" w:line="280" w:lineRule="atLeast"/>
      <w:jc w:val="both"/>
    </w:pPr>
    <w:rPr>
      <w:lang w:eastAsia="de-DE"/>
    </w:rPr>
  </w:style>
  <w:style w:type="character" w:customStyle="1" w:styleId="PIexplanationChar">
    <w:name w:val="PI explanation Char"/>
    <w:link w:val="PIexplanation"/>
    <w:rsid w:val="00194929"/>
    <w:rPr>
      <w:i/>
      <w:color w:val="FF0000"/>
      <w:sz w:val="24"/>
      <w:lang w:val="en-AU" w:eastAsia="ja-JP" w:bidi="ar-SA"/>
    </w:rPr>
  </w:style>
  <w:style w:type="paragraph" w:customStyle="1" w:styleId="TextBull">
    <w:name w:val="Text:Bull"/>
    <w:basedOn w:val="Normal"/>
    <w:pPr>
      <w:numPr>
        <w:numId w:val="11"/>
      </w:numPr>
      <w:tabs>
        <w:tab w:val="clear" w:pos="357"/>
        <w:tab w:val="num" w:pos="360"/>
      </w:tabs>
      <w:spacing w:line="280" w:lineRule="atLeast"/>
      <w:ind w:left="360" w:hanging="360"/>
    </w:pPr>
    <w:rPr>
      <w:lang w:eastAsia="de-DE"/>
    </w:rPr>
  </w:style>
  <w:style w:type="paragraph" w:customStyle="1" w:styleId="TextDash">
    <w:name w:val="Text:Dash"/>
    <w:basedOn w:val="Normal"/>
    <w:pPr>
      <w:numPr>
        <w:numId w:val="12"/>
      </w:numPr>
      <w:tabs>
        <w:tab w:val="clear" w:pos="357"/>
        <w:tab w:val="num" w:pos="360"/>
      </w:tabs>
      <w:spacing w:after="170" w:line="280" w:lineRule="atLeast"/>
      <w:ind w:left="360" w:hanging="360"/>
      <w:jc w:val="both"/>
    </w:pPr>
    <w:rPr>
      <w:lang w:eastAsia="de-DE"/>
    </w:rPr>
  </w:style>
  <w:style w:type="paragraph" w:customStyle="1" w:styleId="TextNum">
    <w:name w:val="Text:Num"/>
    <w:basedOn w:val="Normal"/>
    <w:pPr>
      <w:tabs>
        <w:tab w:val="left" w:pos="357"/>
      </w:tabs>
      <w:ind w:left="357" w:hanging="357"/>
    </w:pPr>
  </w:style>
  <w:style w:type="paragraph" w:customStyle="1" w:styleId="TextRef">
    <w:name w:val="Text:Ref"/>
    <w:basedOn w:val="Normal"/>
    <w:pPr>
      <w:numPr>
        <w:numId w:val="25"/>
      </w:numPr>
      <w:tabs>
        <w:tab w:val="clear" w:pos="360"/>
        <w:tab w:val="left" w:pos="1134"/>
      </w:tabs>
      <w:spacing w:after="170"/>
      <w:ind w:left="1134" w:hanging="1134"/>
    </w:pPr>
  </w:style>
  <w:style w:type="paragraph" w:customStyle="1" w:styleId="TextTi10">
    <w:name w:val="Text:Ti10"/>
    <w:basedOn w:val="Normal"/>
    <w:link w:val="TextTi10Char"/>
    <w:rPr>
      <w:sz w:val="20"/>
    </w:rPr>
  </w:style>
  <w:style w:type="paragraph" w:styleId="TOC1">
    <w:name w:val="toc 1"/>
    <w:basedOn w:val="Normal"/>
    <w:next w:val="Normal"/>
    <w:autoRedefine/>
    <w:pPr>
      <w:tabs>
        <w:tab w:val="right" w:leader="dot" w:pos="8640"/>
      </w:tabs>
      <w:spacing w:before="227" w:after="113" w:line="280" w:lineRule="atLeast"/>
      <w:ind w:left="397" w:right="567" w:hanging="397"/>
    </w:pPr>
    <w:rPr>
      <w:caps/>
      <w:lang w:eastAsia="de-DE"/>
    </w:rPr>
  </w:style>
  <w:style w:type="paragraph" w:styleId="TOC2">
    <w:name w:val="toc 2"/>
    <w:basedOn w:val="Normal"/>
    <w:next w:val="Normal"/>
    <w:autoRedefine/>
    <w:pPr>
      <w:tabs>
        <w:tab w:val="right" w:leader="dot" w:pos="8640"/>
      </w:tabs>
      <w:spacing w:line="280" w:lineRule="atLeast"/>
      <w:ind w:left="1474" w:right="567" w:hanging="1077"/>
    </w:pPr>
    <w:rPr>
      <w:lang w:eastAsia="de-DE"/>
    </w:rPr>
  </w:style>
  <w:style w:type="paragraph" w:styleId="TOC3">
    <w:name w:val="toc 3"/>
    <w:basedOn w:val="Normal"/>
    <w:next w:val="Normal"/>
    <w:autoRedefine/>
    <w:pPr>
      <w:tabs>
        <w:tab w:val="right" w:leader="dot" w:pos="8640"/>
      </w:tabs>
      <w:spacing w:line="280" w:lineRule="atLeast"/>
      <w:ind w:left="1474" w:right="567" w:hanging="1077"/>
    </w:pPr>
    <w:rPr>
      <w:lang w:eastAsia="de-DE"/>
    </w:rPr>
  </w:style>
  <w:style w:type="paragraph" w:styleId="TOC4">
    <w:name w:val="toc 4"/>
    <w:basedOn w:val="Normal"/>
    <w:next w:val="Normal"/>
    <w:autoRedefine/>
    <w:pPr>
      <w:tabs>
        <w:tab w:val="right" w:leader="dot" w:pos="8640"/>
      </w:tabs>
      <w:spacing w:line="280" w:lineRule="atLeast"/>
      <w:ind w:left="1474" w:right="567" w:hanging="1077"/>
    </w:pPr>
    <w:rPr>
      <w:lang w:eastAsia="de-DE"/>
    </w:rPr>
  </w:style>
  <w:style w:type="paragraph" w:styleId="TOC5">
    <w:name w:val="toc 5"/>
    <w:basedOn w:val="TOC4"/>
    <w:next w:val="Normal"/>
    <w:autoRedefine/>
  </w:style>
  <w:style w:type="paragraph" w:styleId="TOC6">
    <w:name w:val="toc 6"/>
    <w:basedOn w:val="TOC5"/>
    <w:next w:val="Normal"/>
    <w:autoRedefine/>
  </w:style>
  <w:style w:type="paragraph" w:styleId="TOC7">
    <w:name w:val="toc 7"/>
    <w:basedOn w:val="TOC6"/>
    <w:next w:val="Normal"/>
    <w:autoRedefine/>
    <w:pPr>
      <w:ind w:left="2608" w:hanging="2211"/>
    </w:pPr>
  </w:style>
  <w:style w:type="paragraph" w:styleId="TOC8">
    <w:name w:val="toc 8"/>
    <w:basedOn w:val="TOC7"/>
    <w:next w:val="Normal"/>
    <w:autoRedefine/>
  </w:style>
  <w:style w:type="paragraph" w:styleId="TOC9">
    <w:name w:val="toc 9"/>
    <w:basedOn w:val="TOC8"/>
    <w:next w:val="Normal"/>
    <w:autoRedefine/>
  </w:style>
  <w:style w:type="paragraph" w:customStyle="1" w:styleId="TOCHeadings">
    <w:name w:val="TOC Headings"/>
    <w:basedOn w:val="Normal"/>
    <w:pPr>
      <w:tabs>
        <w:tab w:val="center" w:pos="4320"/>
        <w:tab w:val="right" w:pos="8640"/>
      </w:tabs>
      <w:spacing w:before="397" w:after="227" w:line="280" w:lineRule="atLeast"/>
    </w:pPr>
    <w:rPr>
      <w:rFonts w:ascii="Arial" w:hAnsi="Arial"/>
      <w:b/>
      <w:lang w:eastAsia="de-DE"/>
    </w:rPr>
  </w:style>
  <w:style w:type="character" w:styleId="PageNumber">
    <w:name w:val="page number"/>
    <w:basedOn w:val="DefaultParagraphFont"/>
  </w:style>
  <w:style w:type="paragraph" w:styleId="TableofFigures">
    <w:name w:val="table of figures"/>
    <w:basedOn w:val="Normal"/>
    <w:pPr>
      <w:tabs>
        <w:tab w:val="right" w:leader="dot" w:pos="8641"/>
      </w:tabs>
      <w:ind w:left="1474" w:right="567" w:hanging="1474"/>
    </w:pPr>
  </w:style>
  <w:style w:type="paragraph" w:customStyle="1" w:styleId="PIexplanation">
    <w:name w:val="PI explanation"/>
    <w:basedOn w:val="Normal"/>
    <w:link w:val="PIexplanationChar"/>
    <w:rsid w:val="00194929"/>
    <w:pPr>
      <w:spacing w:before="120" w:after="120"/>
    </w:pPr>
    <w:rPr>
      <w:i/>
      <w:color w:val="FF0000"/>
    </w:rPr>
  </w:style>
  <w:style w:type="paragraph" w:styleId="BodyText">
    <w:name w:val="Body Text"/>
    <w:basedOn w:val="Normal"/>
    <w:rsid w:val="00194929"/>
    <w:pPr>
      <w:spacing w:after="240"/>
    </w:pPr>
    <w:rPr>
      <w:szCs w:val="24"/>
    </w:rPr>
  </w:style>
  <w:style w:type="paragraph" w:customStyle="1" w:styleId="TableHeading">
    <w:name w:val="Table Heading"/>
    <w:basedOn w:val="Heading3"/>
    <w:rsid w:val="00194929"/>
    <w:pPr>
      <w:numPr>
        <w:ilvl w:val="0"/>
        <w:numId w:val="0"/>
      </w:numPr>
      <w:tabs>
        <w:tab w:val="left" w:pos="1134"/>
      </w:tabs>
      <w:spacing w:before="240" w:after="240" w:line="240" w:lineRule="auto"/>
      <w:ind w:left="1134" w:hanging="1134"/>
    </w:pPr>
    <w:rPr>
      <w:rFonts w:ascii="Times New Roman" w:hAnsi="Times New Roman" w:cs="Times New Roman"/>
      <w:bCs w:val="0"/>
      <w:szCs w:val="20"/>
      <w:lang w:eastAsia="ja-JP"/>
    </w:rPr>
  </w:style>
  <w:style w:type="character" w:styleId="CommentReference">
    <w:name w:val="annotation reference"/>
    <w:semiHidden/>
    <w:rsid w:val="00A34E03"/>
    <w:rPr>
      <w:sz w:val="16"/>
      <w:szCs w:val="16"/>
    </w:rPr>
  </w:style>
  <w:style w:type="paragraph" w:styleId="CommentText">
    <w:name w:val="annotation text"/>
    <w:basedOn w:val="Normal"/>
    <w:link w:val="CommentTextChar"/>
    <w:semiHidden/>
    <w:rsid w:val="00A34E03"/>
    <w:rPr>
      <w:sz w:val="20"/>
    </w:rPr>
  </w:style>
  <w:style w:type="paragraph" w:styleId="CommentSubject">
    <w:name w:val="annotation subject"/>
    <w:basedOn w:val="CommentText"/>
    <w:next w:val="CommentText"/>
    <w:semiHidden/>
    <w:rsid w:val="00A34E03"/>
    <w:rPr>
      <w:b/>
      <w:bCs/>
    </w:rPr>
  </w:style>
  <w:style w:type="paragraph" w:styleId="BalloonText">
    <w:name w:val="Balloon Text"/>
    <w:basedOn w:val="Normal"/>
    <w:semiHidden/>
    <w:rsid w:val="00A34E03"/>
    <w:rPr>
      <w:rFonts w:ascii="Tahoma" w:hAnsi="Tahoma" w:cs="Tahoma"/>
      <w:sz w:val="16"/>
      <w:szCs w:val="16"/>
    </w:rPr>
  </w:style>
  <w:style w:type="character" w:customStyle="1" w:styleId="TextTi12Char">
    <w:name w:val="Text:Ti12 Char"/>
    <w:link w:val="TextTi12"/>
    <w:rsid w:val="00B77822"/>
    <w:rPr>
      <w:sz w:val="24"/>
      <w:lang w:val="en-AU" w:eastAsia="de-DE" w:bidi="ar-SA"/>
    </w:rPr>
  </w:style>
  <w:style w:type="paragraph" w:styleId="NormalWeb">
    <w:name w:val="Normal (Web)"/>
    <w:basedOn w:val="Normal"/>
    <w:rsid w:val="00AE62BD"/>
    <w:pPr>
      <w:spacing w:before="100" w:beforeAutospacing="1" w:after="100" w:afterAutospacing="1"/>
    </w:pPr>
    <w:rPr>
      <w:szCs w:val="24"/>
      <w:lang w:val="en-US" w:eastAsia="en-US"/>
    </w:rPr>
  </w:style>
  <w:style w:type="table" w:styleId="TableGrid">
    <w:name w:val="Table Grid"/>
    <w:basedOn w:val="TableNormal"/>
    <w:uiPriority w:val="59"/>
    <w:rsid w:val="00047813"/>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10Char">
    <w:name w:val="Text:Ti10 Char"/>
    <w:link w:val="TextTi10"/>
    <w:rsid w:val="00047813"/>
    <w:rPr>
      <w:lang w:val="en-AU" w:eastAsia="ja-JP" w:bidi="ar-SA"/>
    </w:rPr>
  </w:style>
  <w:style w:type="character" w:customStyle="1" w:styleId="Heading4Char">
    <w:name w:val="Heading 4 Char"/>
    <w:link w:val="Heading4"/>
    <w:rsid w:val="00FD39DC"/>
    <w:rPr>
      <w:rFonts w:ascii="Arial" w:hAnsi="Arial"/>
      <w:b/>
      <w:bCs/>
      <w:i/>
      <w:sz w:val="24"/>
      <w:szCs w:val="28"/>
      <w:lang w:val="en-AU" w:eastAsia="de-DE" w:bidi="ar-SA"/>
    </w:rPr>
  </w:style>
  <w:style w:type="character" w:customStyle="1" w:styleId="TextTi12Char1">
    <w:name w:val="Text:Ti12 Char1"/>
    <w:rsid w:val="00272253"/>
    <w:rPr>
      <w:sz w:val="24"/>
      <w:lang w:val="en-US" w:eastAsia="ja-JP" w:bidi="ar-SA"/>
    </w:rPr>
  </w:style>
  <w:style w:type="character" w:customStyle="1" w:styleId="JackyArkell">
    <w:name w:val="Jacky Arkell"/>
    <w:semiHidden/>
    <w:rsid w:val="008D1F32"/>
    <w:rPr>
      <w:rFonts w:ascii="Arial" w:hAnsi="Arial" w:cs="Arial"/>
      <w:color w:val="000080"/>
      <w:sz w:val="20"/>
      <w:szCs w:val="20"/>
    </w:rPr>
  </w:style>
  <w:style w:type="paragraph" w:styleId="Date">
    <w:name w:val="Date"/>
    <w:basedOn w:val="Normal"/>
    <w:next w:val="Normal"/>
    <w:link w:val="DateChar"/>
    <w:rsid w:val="003A65AC"/>
  </w:style>
  <w:style w:type="character" w:customStyle="1" w:styleId="DateChar">
    <w:name w:val="Date Char"/>
    <w:link w:val="Date"/>
    <w:rsid w:val="003A65AC"/>
    <w:rPr>
      <w:rFonts w:eastAsia="Times New Roman"/>
      <w:sz w:val="24"/>
      <w:lang w:eastAsia="ja-JP"/>
    </w:rPr>
  </w:style>
  <w:style w:type="paragraph" w:customStyle="1" w:styleId="Default">
    <w:name w:val="Default"/>
    <w:rsid w:val="00C17354"/>
    <w:pPr>
      <w:autoSpaceDE w:val="0"/>
      <w:autoSpaceDN w:val="0"/>
      <w:adjustRightInd w:val="0"/>
    </w:pPr>
    <w:rPr>
      <w:rFonts w:ascii="Arial" w:hAnsi="Arial" w:cs="Arial"/>
      <w:color w:val="000000"/>
      <w:sz w:val="24"/>
      <w:szCs w:val="24"/>
      <w:lang w:eastAsia="zh-TW"/>
    </w:rPr>
  </w:style>
  <w:style w:type="table" w:customStyle="1" w:styleId="TableGrid1">
    <w:name w:val="Table Grid1"/>
    <w:basedOn w:val="TableNormal"/>
    <w:next w:val="TableGrid"/>
    <w:uiPriority w:val="59"/>
    <w:rsid w:val="00E14CA5"/>
    <w:rPr>
      <w:rFonts w:ascii="Calibri" w:eastAsia="PMingLiU"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B81DBF"/>
    <w:rPr>
      <w:rFonts w:eastAsia="Times New Roman"/>
      <w:lang w:eastAsia="ja-JP"/>
    </w:rPr>
  </w:style>
  <w:style w:type="character" w:customStyle="1" w:styleId="Heading3Char">
    <w:name w:val="Heading 3 Char"/>
    <w:link w:val="Heading3"/>
    <w:rsid w:val="00B81DBF"/>
    <w:rPr>
      <w:rFonts w:ascii="Arial" w:eastAsia="Times New Roman" w:hAnsi="Arial" w:cs="Arial"/>
      <w:b/>
      <w:bCs/>
      <w:sz w:val="24"/>
      <w:szCs w:val="26"/>
      <w:lang w:eastAsia="de-DE"/>
    </w:rPr>
  </w:style>
  <w:style w:type="paragraph" w:styleId="Revision">
    <w:name w:val="Revision"/>
    <w:hidden/>
    <w:uiPriority w:val="99"/>
    <w:semiHidden/>
    <w:rsid w:val="00B8185F"/>
    <w:rPr>
      <w:rFonts w:eastAsia="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06054">
      <w:bodyDiv w:val="1"/>
      <w:marLeft w:val="0"/>
      <w:marRight w:val="0"/>
      <w:marTop w:val="0"/>
      <w:marBottom w:val="0"/>
      <w:divBdr>
        <w:top w:val="none" w:sz="0" w:space="0" w:color="auto"/>
        <w:left w:val="none" w:sz="0" w:space="0" w:color="auto"/>
        <w:bottom w:val="none" w:sz="0" w:space="0" w:color="auto"/>
        <w:right w:val="none" w:sz="0" w:space="0" w:color="auto"/>
      </w:divBdr>
    </w:div>
    <w:div w:id="924806288">
      <w:bodyDiv w:val="1"/>
      <w:marLeft w:val="0"/>
      <w:marRight w:val="0"/>
      <w:marTop w:val="0"/>
      <w:marBottom w:val="0"/>
      <w:divBdr>
        <w:top w:val="none" w:sz="0" w:space="0" w:color="auto"/>
        <w:left w:val="none" w:sz="0" w:space="0" w:color="auto"/>
        <w:bottom w:val="none" w:sz="0" w:space="0" w:color="auto"/>
        <w:right w:val="none" w:sz="0" w:space="0" w:color="auto"/>
      </w:divBdr>
    </w:div>
    <w:div w:id="1074819499">
      <w:bodyDiv w:val="1"/>
      <w:marLeft w:val="0"/>
      <w:marRight w:val="0"/>
      <w:marTop w:val="0"/>
      <w:marBottom w:val="0"/>
      <w:divBdr>
        <w:top w:val="none" w:sz="0" w:space="0" w:color="auto"/>
        <w:left w:val="none" w:sz="0" w:space="0" w:color="auto"/>
        <w:bottom w:val="none" w:sz="0" w:space="0" w:color="auto"/>
        <w:right w:val="none" w:sz="0" w:space="0" w:color="auto"/>
      </w:divBdr>
    </w:div>
    <w:div w:id="1631936630">
      <w:bodyDiv w:val="1"/>
      <w:marLeft w:val="0"/>
      <w:marRight w:val="0"/>
      <w:marTop w:val="0"/>
      <w:marBottom w:val="0"/>
      <w:divBdr>
        <w:top w:val="none" w:sz="0" w:space="0" w:color="auto"/>
        <w:left w:val="none" w:sz="0" w:space="0" w:color="auto"/>
        <w:bottom w:val="none" w:sz="0" w:space="0" w:color="auto"/>
        <w:right w:val="none" w:sz="0" w:space="0" w:color="auto"/>
      </w:divBdr>
    </w:div>
    <w:div w:id="1702363494">
      <w:bodyDiv w:val="1"/>
      <w:marLeft w:val="0"/>
      <w:marRight w:val="0"/>
      <w:marTop w:val="0"/>
      <w:marBottom w:val="0"/>
      <w:divBdr>
        <w:top w:val="none" w:sz="0" w:space="0" w:color="auto"/>
        <w:left w:val="none" w:sz="0" w:space="0" w:color="auto"/>
        <w:bottom w:val="none" w:sz="0" w:space="0" w:color="auto"/>
        <w:right w:val="none" w:sz="0" w:space="0" w:color="auto"/>
      </w:divBdr>
    </w:div>
    <w:div w:id="1964338129">
      <w:bodyDiv w:val="1"/>
      <w:marLeft w:val="0"/>
      <w:marRight w:val="0"/>
      <w:marTop w:val="0"/>
      <w:marBottom w:val="0"/>
      <w:divBdr>
        <w:top w:val="none" w:sz="0" w:space="0" w:color="auto"/>
        <w:left w:val="none" w:sz="0" w:space="0" w:color="auto"/>
        <w:bottom w:val="none" w:sz="0" w:space="0" w:color="auto"/>
        <w:right w:val="none" w:sz="0" w:space="0" w:color="auto"/>
      </w:divBdr>
      <w:divsChild>
        <w:div w:id="705907980">
          <w:marLeft w:val="0"/>
          <w:marRight w:val="0"/>
          <w:marTop w:val="0"/>
          <w:marBottom w:val="0"/>
          <w:divBdr>
            <w:top w:val="none" w:sz="0" w:space="0" w:color="auto"/>
            <w:left w:val="none" w:sz="0" w:space="0" w:color="auto"/>
            <w:bottom w:val="none" w:sz="0" w:space="0" w:color="auto"/>
            <w:right w:val="none" w:sz="0" w:space="0" w:color="auto"/>
          </w:divBdr>
        </w:div>
      </w:divsChild>
    </w:div>
    <w:div w:id="2038964655">
      <w:bodyDiv w:val="1"/>
      <w:marLeft w:val="0"/>
      <w:marRight w:val="0"/>
      <w:marTop w:val="0"/>
      <w:marBottom w:val="0"/>
      <w:divBdr>
        <w:top w:val="none" w:sz="0" w:space="0" w:color="auto"/>
        <w:left w:val="none" w:sz="0" w:space="0" w:color="auto"/>
        <w:bottom w:val="none" w:sz="0" w:space="0" w:color="auto"/>
        <w:right w:val="none" w:sz="0" w:space="0" w:color="auto"/>
      </w:divBdr>
      <w:divsChild>
        <w:div w:id="495341597">
          <w:marLeft w:val="0"/>
          <w:marRight w:val="0"/>
          <w:marTop w:val="0"/>
          <w:marBottom w:val="0"/>
          <w:divBdr>
            <w:top w:val="none" w:sz="0" w:space="0" w:color="auto"/>
            <w:left w:val="none" w:sz="0" w:space="0" w:color="auto"/>
            <w:bottom w:val="none" w:sz="0" w:space="0" w:color="auto"/>
            <w:right w:val="none" w:sz="0" w:space="0" w:color="auto"/>
          </w:divBdr>
        </w:div>
      </w:divsChild>
    </w:div>
    <w:div w:id="205261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56DE3-DF76-4B1D-BC54-66D2D4181E1C}">
  <ds:schemaRefs>
    <ds:schemaRef ds:uri="http://schemas.openxmlformats.org/officeDocument/2006/bibliography"/>
  </ds:schemaRefs>
</ds:datastoreItem>
</file>

<file path=customXml/itemProps2.xml><?xml version="1.0" encoding="utf-8"?>
<ds:datastoreItem xmlns:ds="http://schemas.openxmlformats.org/officeDocument/2006/customXml" ds:itemID="{54E2BC68-2459-46CF-BEF4-7C9A0F88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39</Pages>
  <Words>13653</Words>
  <Characters>73924</Characters>
  <Application>Microsoft Office Word</Application>
  <DocSecurity>0</DocSecurity>
  <Lines>616</Lines>
  <Paragraphs>174</Paragraphs>
  <ScaleCrop>false</ScaleCrop>
  <HeadingPairs>
    <vt:vector size="2" baseType="variant">
      <vt:variant>
        <vt:lpstr>Title</vt:lpstr>
      </vt:variant>
      <vt:variant>
        <vt:i4>1</vt:i4>
      </vt:variant>
    </vt:vector>
  </HeadingPairs>
  <TitlesOfParts>
    <vt:vector size="1" baseType="lpstr">
      <vt:lpstr>AusPAR Attachment 1. Product Information for Tocilizumab (rch)</vt:lpstr>
    </vt:vector>
  </TitlesOfParts>
  <Company>Roche Products Pty Limited</Company>
  <LinksUpToDate>false</LinksUpToDate>
  <CharactersWithSpaces>87403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Tocilizumab (rch)</dc:title>
  <dc:subject>prescription medicine regulation</dc:subject>
  <dc:creator>Roche Products Pty Limited</dc:creator>
  <cp:keywords>product, information, prescription, medicine, regulation, actemra, tocilizumab, roche</cp:keywords>
  <cp:lastModifiedBy>Dixon, Jenna</cp:lastModifiedBy>
  <cp:revision>6</cp:revision>
  <cp:lastPrinted>2014-10-15T05:05:00Z</cp:lastPrinted>
  <dcterms:created xsi:type="dcterms:W3CDTF">2015-01-12T03:44:00Z</dcterms:created>
  <dcterms:modified xsi:type="dcterms:W3CDTF">2015-02-24T03:20:00Z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used">
    <vt:lpwstr>CTD_Basic_XP.dot</vt:lpwstr>
  </property>
</Properties>
</file>