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0D2B80A3" w14:textId="77777777" w:rsidTr="00BF1190">
        <w:trPr>
          <w:trHeight w:val="1863"/>
        </w:trPr>
        <w:tc>
          <w:tcPr>
            <w:tcW w:w="3652" w:type="dxa"/>
            <w:tcBorders>
              <w:top w:val="nil"/>
              <w:left w:val="nil"/>
              <w:bottom w:val="nil"/>
              <w:right w:val="nil"/>
            </w:tcBorders>
          </w:tcPr>
          <w:p w14:paraId="1F0E9309" w14:textId="6FE87666" w:rsidR="008E7846" w:rsidRPr="00096AA7" w:rsidRDefault="00E67601" w:rsidP="00096AA7">
            <w:pPr>
              <w:rPr>
                <w:rFonts w:ascii="Arial" w:hAnsi="Arial" w:cs="Arial"/>
                <w:b/>
                <w:color w:val="002C47"/>
                <w:sz w:val="36"/>
                <w:szCs w:val="36"/>
              </w:rPr>
            </w:pPr>
            <w:r>
              <w:rPr>
                <w:rFonts w:ascii="Arial" w:hAnsi="Arial" w:cs="Arial"/>
                <w:b/>
                <w:color w:val="002C47"/>
                <w:sz w:val="36"/>
                <w:szCs w:val="36"/>
              </w:rPr>
              <w:t xml:space="preserve">March </w:t>
            </w:r>
            <w:r w:rsidR="0007122B">
              <w:rPr>
                <w:rFonts w:ascii="Arial" w:hAnsi="Arial" w:cs="Arial"/>
                <w:b/>
                <w:color w:val="002C47"/>
                <w:sz w:val="36"/>
                <w:szCs w:val="36"/>
              </w:rP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6F369608" w14:textId="77777777" w:rsidTr="0032583B">
        <w:trPr>
          <w:trHeight w:val="868"/>
        </w:trPr>
        <w:tc>
          <w:tcPr>
            <w:tcW w:w="9079" w:type="dxa"/>
          </w:tcPr>
          <w:p w14:paraId="58F2A1D0" w14:textId="77777777" w:rsidR="0032583B" w:rsidRPr="00A964D1" w:rsidRDefault="0032583B" w:rsidP="0007122B">
            <w:pPr>
              <w:pStyle w:val="Title"/>
              <w:rPr>
                <w:color w:val="FFFFFF" w:themeColor="background1"/>
              </w:rPr>
            </w:pPr>
            <w:r w:rsidRPr="00A964D1">
              <w:rPr>
                <w:color w:val="FFFFFF" w:themeColor="background1"/>
              </w:rPr>
              <w:t xml:space="preserve">Australian Public Assessment Report for </w:t>
            </w:r>
            <w:proofErr w:type="spellStart"/>
            <w:r w:rsidR="0007122B">
              <w:rPr>
                <w:color w:val="FFFFFF" w:themeColor="background1"/>
              </w:rPr>
              <w:t>tixagevimab</w:t>
            </w:r>
            <w:proofErr w:type="spellEnd"/>
            <w:r w:rsidR="0007122B">
              <w:rPr>
                <w:color w:val="FFFFFF" w:themeColor="background1"/>
              </w:rPr>
              <w:t>/</w:t>
            </w:r>
            <w:proofErr w:type="spellStart"/>
            <w:r w:rsidR="0007122B">
              <w:rPr>
                <w:color w:val="FFFFFF" w:themeColor="background1"/>
              </w:rPr>
              <w:t>cilgavimab</w:t>
            </w:r>
            <w:proofErr w:type="spellEnd"/>
          </w:p>
        </w:tc>
      </w:tr>
      <w:tr w:rsidR="0032583B" w:rsidRPr="00B64760" w14:paraId="0FD05A1A" w14:textId="77777777" w:rsidTr="0032583B">
        <w:tc>
          <w:tcPr>
            <w:tcW w:w="9079" w:type="dxa"/>
          </w:tcPr>
          <w:p w14:paraId="1C269935" w14:textId="77777777" w:rsidR="0032583B" w:rsidRPr="008E7846" w:rsidRDefault="0007122B" w:rsidP="00460036">
            <w:pPr>
              <w:pStyle w:val="Subtitle"/>
              <w:rPr>
                <w:color w:val="FFFFFF" w:themeColor="background1"/>
              </w:rPr>
            </w:pPr>
            <w:r>
              <w:rPr>
                <w:color w:val="FFFFFF" w:themeColor="background1"/>
              </w:rPr>
              <w:t xml:space="preserve">Proprietary Product Name: </w:t>
            </w:r>
            <w:proofErr w:type="spellStart"/>
            <w:r>
              <w:rPr>
                <w:color w:val="FFFFFF" w:themeColor="background1"/>
              </w:rPr>
              <w:t>Evusheld</w:t>
            </w:r>
            <w:proofErr w:type="spellEnd"/>
          </w:p>
        </w:tc>
      </w:tr>
      <w:tr w:rsidR="0032583B" w:rsidRPr="00B64760" w14:paraId="4B48A077" w14:textId="77777777" w:rsidTr="0032583B">
        <w:trPr>
          <w:trHeight w:val="486"/>
        </w:trPr>
        <w:tc>
          <w:tcPr>
            <w:tcW w:w="9079" w:type="dxa"/>
          </w:tcPr>
          <w:p w14:paraId="471D54BD" w14:textId="77777777" w:rsidR="0032583B" w:rsidRPr="008E7846" w:rsidRDefault="0007122B" w:rsidP="0032583B">
            <w:pPr>
              <w:pStyle w:val="Subtitle"/>
              <w:rPr>
                <w:color w:val="FFFFFF" w:themeColor="background1"/>
              </w:rPr>
            </w:pPr>
            <w:r>
              <w:rPr>
                <w:color w:val="FFFFFF" w:themeColor="background1"/>
              </w:rPr>
              <w:t>Sponsor: AstraZeneca Pty Ltd</w:t>
            </w:r>
          </w:p>
        </w:tc>
      </w:tr>
    </w:tbl>
    <w:p w14:paraId="3C40CBD9" w14:textId="77777777" w:rsidR="008E7846" w:rsidRPr="0085156D" w:rsidRDefault="008E7846" w:rsidP="0085156D">
      <w:r w:rsidRPr="0085156D">
        <w:br w:type="page"/>
      </w:r>
    </w:p>
    <w:p w14:paraId="1CD91CC6" w14:textId="77777777" w:rsidR="008E7846" w:rsidRPr="001F6CBA" w:rsidRDefault="008E7846" w:rsidP="008E7846">
      <w:pPr>
        <w:pStyle w:val="NonTOCHeading2"/>
      </w:pPr>
      <w:r w:rsidRPr="001F6CBA">
        <w:lastRenderedPageBreak/>
        <w:t>About the Therapeutic Goods Administration (TGA)</w:t>
      </w:r>
    </w:p>
    <w:p w14:paraId="5031A2B5" w14:textId="77777777" w:rsidR="008E7846" w:rsidRDefault="008E7846" w:rsidP="00C6214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B3BDE3C" w14:textId="77777777" w:rsidR="008E7846" w:rsidRDefault="00C80137" w:rsidP="00C6214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62C96D86" w14:textId="77777777" w:rsidR="008E7846" w:rsidRDefault="008E7846" w:rsidP="00C6214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647BA3B1" w14:textId="77777777" w:rsidR="008E7846" w:rsidRDefault="008E7846" w:rsidP="00C6214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6439A5C" w14:textId="4D11EA77" w:rsidR="00441C3F" w:rsidRDefault="008E7846" w:rsidP="00C6214F">
      <w:pPr>
        <w:pStyle w:val="ListBullet"/>
        <w:numPr>
          <w:ilvl w:val="0"/>
          <w:numId w:val="1"/>
        </w:numPr>
        <w:ind w:left="357" w:hanging="357"/>
      </w:pPr>
      <w:r>
        <w:t xml:space="preserve">To report a problem with a medicine or medical device, please see the information on </w:t>
      </w:r>
      <w:r w:rsidR="00441C3F">
        <w:t>the TGA website &lt;</w:t>
      </w:r>
      <w:hyperlink r:id="rId13" w:history="1">
        <w:r w:rsidR="00441C3F">
          <w:rPr>
            <w:rStyle w:val="Hyperlink"/>
          </w:rPr>
          <w:t>https://www.tga.gov.au</w:t>
        </w:r>
      </w:hyperlink>
      <w:r w:rsidR="00441C3F">
        <w:t>&gt;.</w:t>
      </w:r>
    </w:p>
    <w:p w14:paraId="1A85AC31" w14:textId="77777777" w:rsidR="008E7846" w:rsidRDefault="008E7846" w:rsidP="00875A6B">
      <w:pPr>
        <w:pStyle w:val="NonTOCHeading2"/>
      </w:pPr>
      <w:r>
        <w:t xml:space="preserve">About </w:t>
      </w:r>
      <w:proofErr w:type="spellStart"/>
      <w:r>
        <w:t>AusPARs</w:t>
      </w:r>
      <w:proofErr w:type="spellEnd"/>
    </w:p>
    <w:p w14:paraId="152B9584" w14:textId="77777777" w:rsidR="008E7846" w:rsidRDefault="008E7846" w:rsidP="00C6214F">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4413A7E5" w14:textId="77777777" w:rsidR="008E7846" w:rsidRDefault="008E7846" w:rsidP="00C6214F">
      <w:pPr>
        <w:pStyle w:val="ListBullet"/>
        <w:numPr>
          <w:ilvl w:val="0"/>
          <w:numId w:val="1"/>
        </w:numPr>
        <w:ind w:left="357" w:hanging="357"/>
      </w:pPr>
      <w:proofErr w:type="spellStart"/>
      <w:r>
        <w:t>AusPARs</w:t>
      </w:r>
      <w:proofErr w:type="spellEnd"/>
      <w:r>
        <w:t xml:space="preserve"> are prepared and published by the TGA.</w:t>
      </w:r>
    </w:p>
    <w:p w14:paraId="411CC5D9" w14:textId="77777777" w:rsidR="008E7846" w:rsidRDefault="008E7846" w:rsidP="00C6214F">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07DEDE84" w14:textId="77777777" w:rsidR="008E7846" w:rsidRDefault="008E7846" w:rsidP="00C6214F">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0C0B28C6" w14:textId="77777777" w:rsidR="00B452CE" w:rsidRDefault="008E7846" w:rsidP="00C6214F">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2327FDF6" w14:textId="77777777" w:rsidR="00924482" w:rsidRPr="00DF1D7F" w:rsidRDefault="00924482" w:rsidP="00F54B65">
      <w:pPr>
        <w:pStyle w:val="LegalSubheading"/>
        <w:spacing w:before="3120"/>
      </w:pPr>
      <w:r w:rsidRPr="00DF1D7F">
        <w:t>Copyright</w:t>
      </w:r>
    </w:p>
    <w:p w14:paraId="50468B86" w14:textId="435CBF4E"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D46E14">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4" w:history="1">
        <w:r w:rsidRPr="00191B3B">
          <w:rPr>
            <w:rStyle w:val="Hyperlink"/>
            <w:rFonts w:cs="Arial"/>
            <w:lang w:val="en-GB"/>
          </w:rPr>
          <w:t>tga.copyright@tga.gov.au</w:t>
        </w:r>
      </w:hyperlink>
      <w:r w:rsidRPr="00191B3B">
        <w:rPr>
          <w:rFonts w:cs="Arial"/>
        </w:rPr>
        <w:t>&gt;.</w:t>
      </w:r>
    </w:p>
    <w:p w14:paraId="3D63869F" w14:textId="77777777" w:rsidR="00924482" w:rsidRDefault="00924482" w:rsidP="00924482">
      <w:pPr>
        <w:pStyle w:val="LegalCopy"/>
        <w:sectPr w:rsidR="00924482" w:rsidSect="003D1E62">
          <w:headerReference w:type="default" r:id="rId15"/>
          <w:footerReference w:type="default" r:id="rId16"/>
          <w:headerReference w:type="first" r:id="rId17"/>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E304DAA" w14:textId="77777777" w:rsidR="0089635C" w:rsidRPr="0089635C" w:rsidRDefault="0089635C" w:rsidP="0010788A">
          <w:pPr>
            <w:pStyle w:val="Contents"/>
          </w:pPr>
          <w:r w:rsidRPr="0010788A">
            <w:t>Contents</w:t>
          </w:r>
        </w:p>
        <w:p w14:paraId="716590BF" w14:textId="01357513" w:rsidR="004D0A2C"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97646293" w:history="1">
            <w:r w:rsidR="004D0A2C" w:rsidRPr="00A427CF">
              <w:rPr>
                <w:rStyle w:val="Hyperlink"/>
                <w:noProof/>
              </w:rPr>
              <w:t>List of abbreviations</w:t>
            </w:r>
            <w:r w:rsidR="004D0A2C">
              <w:rPr>
                <w:noProof/>
                <w:webHidden/>
              </w:rPr>
              <w:tab/>
            </w:r>
            <w:r w:rsidR="004D0A2C">
              <w:rPr>
                <w:noProof/>
                <w:webHidden/>
              </w:rPr>
              <w:fldChar w:fldCharType="begin"/>
            </w:r>
            <w:r w:rsidR="004D0A2C">
              <w:rPr>
                <w:noProof/>
                <w:webHidden/>
              </w:rPr>
              <w:instrText xml:space="preserve"> PAGEREF _Toc97646293 \h </w:instrText>
            </w:r>
            <w:r w:rsidR="004D0A2C">
              <w:rPr>
                <w:noProof/>
                <w:webHidden/>
              </w:rPr>
            </w:r>
            <w:r w:rsidR="004D0A2C">
              <w:rPr>
                <w:noProof/>
                <w:webHidden/>
              </w:rPr>
              <w:fldChar w:fldCharType="separate"/>
            </w:r>
            <w:r w:rsidR="004D0A2C">
              <w:rPr>
                <w:noProof/>
                <w:webHidden/>
              </w:rPr>
              <w:t>4</w:t>
            </w:r>
            <w:r w:rsidR="004D0A2C">
              <w:rPr>
                <w:noProof/>
                <w:webHidden/>
              </w:rPr>
              <w:fldChar w:fldCharType="end"/>
            </w:r>
          </w:hyperlink>
        </w:p>
        <w:p w14:paraId="606EDCC8" w14:textId="7D9C1D3F" w:rsidR="004D0A2C" w:rsidRDefault="006B3C32">
          <w:pPr>
            <w:pStyle w:val="TOC1"/>
            <w:rPr>
              <w:rFonts w:asciiTheme="minorHAnsi" w:eastAsiaTheme="minorEastAsia" w:hAnsiTheme="minorHAnsi" w:cstheme="minorBidi"/>
              <w:b w:val="0"/>
              <w:noProof/>
              <w:sz w:val="22"/>
              <w:lang w:eastAsia="en-AU"/>
            </w:rPr>
          </w:pPr>
          <w:hyperlink w:anchor="_Toc97646294" w:history="1">
            <w:r w:rsidR="004D0A2C" w:rsidRPr="00A427CF">
              <w:rPr>
                <w:rStyle w:val="Hyperlink"/>
                <w:noProof/>
              </w:rPr>
              <w:t>I. Introduction to product submission</w:t>
            </w:r>
            <w:r w:rsidR="004D0A2C">
              <w:rPr>
                <w:noProof/>
                <w:webHidden/>
              </w:rPr>
              <w:tab/>
            </w:r>
            <w:r w:rsidR="004D0A2C">
              <w:rPr>
                <w:noProof/>
                <w:webHidden/>
              </w:rPr>
              <w:fldChar w:fldCharType="begin"/>
            </w:r>
            <w:r w:rsidR="004D0A2C">
              <w:rPr>
                <w:noProof/>
                <w:webHidden/>
              </w:rPr>
              <w:instrText xml:space="preserve"> PAGEREF _Toc97646294 \h </w:instrText>
            </w:r>
            <w:r w:rsidR="004D0A2C">
              <w:rPr>
                <w:noProof/>
                <w:webHidden/>
              </w:rPr>
            </w:r>
            <w:r w:rsidR="004D0A2C">
              <w:rPr>
                <w:noProof/>
                <w:webHidden/>
              </w:rPr>
              <w:fldChar w:fldCharType="separate"/>
            </w:r>
            <w:r w:rsidR="004D0A2C">
              <w:rPr>
                <w:noProof/>
                <w:webHidden/>
              </w:rPr>
              <w:t>6</w:t>
            </w:r>
            <w:r w:rsidR="004D0A2C">
              <w:rPr>
                <w:noProof/>
                <w:webHidden/>
              </w:rPr>
              <w:fldChar w:fldCharType="end"/>
            </w:r>
          </w:hyperlink>
        </w:p>
        <w:p w14:paraId="1818C5FE" w14:textId="0065F632" w:rsidR="004D0A2C" w:rsidRDefault="006B3C32">
          <w:pPr>
            <w:pStyle w:val="TOC2"/>
            <w:rPr>
              <w:rFonts w:asciiTheme="minorHAnsi" w:eastAsiaTheme="minorEastAsia" w:hAnsiTheme="minorHAnsi" w:cstheme="minorBidi"/>
              <w:b w:val="0"/>
              <w:noProof/>
              <w:sz w:val="22"/>
              <w:lang w:eastAsia="en-AU"/>
            </w:rPr>
          </w:pPr>
          <w:hyperlink w:anchor="_Toc97646295" w:history="1">
            <w:r w:rsidR="004D0A2C" w:rsidRPr="00A427CF">
              <w:rPr>
                <w:rStyle w:val="Hyperlink"/>
                <w:noProof/>
                <w:lang w:eastAsia="en-AU"/>
              </w:rPr>
              <w:t>Submission details</w:t>
            </w:r>
            <w:r w:rsidR="004D0A2C">
              <w:rPr>
                <w:noProof/>
                <w:webHidden/>
              </w:rPr>
              <w:tab/>
            </w:r>
            <w:r w:rsidR="004D0A2C">
              <w:rPr>
                <w:noProof/>
                <w:webHidden/>
              </w:rPr>
              <w:fldChar w:fldCharType="begin"/>
            </w:r>
            <w:r w:rsidR="004D0A2C">
              <w:rPr>
                <w:noProof/>
                <w:webHidden/>
              </w:rPr>
              <w:instrText xml:space="preserve"> PAGEREF _Toc97646295 \h </w:instrText>
            </w:r>
            <w:r w:rsidR="004D0A2C">
              <w:rPr>
                <w:noProof/>
                <w:webHidden/>
              </w:rPr>
            </w:r>
            <w:r w:rsidR="004D0A2C">
              <w:rPr>
                <w:noProof/>
                <w:webHidden/>
              </w:rPr>
              <w:fldChar w:fldCharType="separate"/>
            </w:r>
            <w:r w:rsidR="004D0A2C">
              <w:rPr>
                <w:noProof/>
                <w:webHidden/>
              </w:rPr>
              <w:t>6</w:t>
            </w:r>
            <w:r w:rsidR="004D0A2C">
              <w:rPr>
                <w:noProof/>
                <w:webHidden/>
              </w:rPr>
              <w:fldChar w:fldCharType="end"/>
            </w:r>
          </w:hyperlink>
        </w:p>
        <w:p w14:paraId="097052E1" w14:textId="7D4ADEEA" w:rsidR="004D0A2C" w:rsidRDefault="006B3C32">
          <w:pPr>
            <w:pStyle w:val="TOC2"/>
            <w:rPr>
              <w:rFonts w:asciiTheme="minorHAnsi" w:eastAsiaTheme="minorEastAsia" w:hAnsiTheme="minorHAnsi" w:cstheme="minorBidi"/>
              <w:b w:val="0"/>
              <w:noProof/>
              <w:sz w:val="22"/>
              <w:lang w:eastAsia="en-AU"/>
            </w:rPr>
          </w:pPr>
          <w:hyperlink w:anchor="_Toc97646296" w:history="1">
            <w:r w:rsidR="004D0A2C" w:rsidRPr="00A427CF">
              <w:rPr>
                <w:rStyle w:val="Hyperlink"/>
                <w:noProof/>
              </w:rPr>
              <w:t>Product background</w:t>
            </w:r>
            <w:r w:rsidR="004D0A2C">
              <w:rPr>
                <w:noProof/>
                <w:webHidden/>
              </w:rPr>
              <w:tab/>
            </w:r>
            <w:r w:rsidR="004D0A2C">
              <w:rPr>
                <w:noProof/>
                <w:webHidden/>
              </w:rPr>
              <w:fldChar w:fldCharType="begin"/>
            </w:r>
            <w:r w:rsidR="004D0A2C">
              <w:rPr>
                <w:noProof/>
                <w:webHidden/>
              </w:rPr>
              <w:instrText xml:space="preserve"> PAGEREF _Toc97646296 \h </w:instrText>
            </w:r>
            <w:r w:rsidR="004D0A2C">
              <w:rPr>
                <w:noProof/>
                <w:webHidden/>
              </w:rPr>
            </w:r>
            <w:r w:rsidR="004D0A2C">
              <w:rPr>
                <w:noProof/>
                <w:webHidden/>
              </w:rPr>
              <w:fldChar w:fldCharType="separate"/>
            </w:r>
            <w:r w:rsidR="004D0A2C">
              <w:rPr>
                <w:noProof/>
                <w:webHidden/>
              </w:rPr>
              <w:t>8</w:t>
            </w:r>
            <w:r w:rsidR="004D0A2C">
              <w:rPr>
                <w:noProof/>
                <w:webHidden/>
              </w:rPr>
              <w:fldChar w:fldCharType="end"/>
            </w:r>
          </w:hyperlink>
        </w:p>
        <w:p w14:paraId="35283EA8" w14:textId="0E76B6A7" w:rsidR="004D0A2C" w:rsidRDefault="006B3C32">
          <w:pPr>
            <w:pStyle w:val="TOC2"/>
            <w:rPr>
              <w:rFonts w:asciiTheme="minorHAnsi" w:eastAsiaTheme="minorEastAsia" w:hAnsiTheme="minorHAnsi" w:cstheme="minorBidi"/>
              <w:b w:val="0"/>
              <w:noProof/>
              <w:sz w:val="22"/>
              <w:lang w:eastAsia="en-AU"/>
            </w:rPr>
          </w:pPr>
          <w:hyperlink w:anchor="_Toc97646297" w:history="1">
            <w:r w:rsidR="004D0A2C" w:rsidRPr="00A427CF">
              <w:rPr>
                <w:rStyle w:val="Hyperlink"/>
                <w:noProof/>
              </w:rPr>
              <w:t>Regulatory status</w:t>
            </w:r>
            <w:r w:rsidR="004D0A2C">
              <w:rPr>
                <w:noProof/>
                <w:webHidden/>
              </w:rPr>
              <w:tab/>
            </w:r>
            <w:r w:rsidR="004D0A2C">
              <w:rPr>
                <w:noProof/>
                <w:webHidden/>
              </w:rPr>
              <w:fldChar w:fldCharType="begin"/>
            </w:r>
            <w:r w:rsidR="004D0A2C">
              <w:rPr>
                <w:noProof/>
                <w:webHidden/>
              </w:rPr>
              <w:instrText xml:space="preserve"> PAGEREF _Toc97646297 \h </w:instrText>
            </w:r>
            <w:r w:rsidR="004D0A2C">
              <w:rPr>
                <w:noProof/>
                <w:webHidden/>
              </w:rPr>
            </w:r>
            <w:r w:rsidR="004D0A2C">
              <w:rPr>
                <w:noProof/>
                <w:webHidden/>
              </w:rPr>
              <w:fldChar w:fldCharType="separate"/>
            </w:r>
            <w:r w:rsidR="004D0A2C">
              <w:rPr>
                <w:noProof/>
                <w:webHidden/>
              </w:rPr>
              <w:t>15</w:t>
            </w:r>
            <w:r w:rsidR="004D0A2C">
              <w:rPr>
                <w:noProof/>
                <w:webHidden/>
              </w:rPr>
              <w:fldChar w:fldCharType="end"/>
            </w:r>
          </w:hyperlink>
        </w:p>
        <w:p w14:paraId="63F8805B" w14:textId="111190EA" w:rsidR="004D0A2C" w:rsidRDefault="006B3C32">
          <w:pPr>
            <w:pStyle w:val="TOC2"/>
            <w:rPr>
              <w:rFonts w:asciiTheme="minorHAnsi" w:eastAsiaTheme="minorEastAsia" w:hAnsiTheme="minorHAnsi" w:cstheme="minorBidi"/>
              <w:b w:val="0"/>
              <w:noProof/>
              <w:sz w:val="22"/>
              <w:lang w:eastAsia="en-AU"/>
            </w:rPr>
          </w:pPr>
          <w:hyperlink w:anchor="_Toc97646298" w:history="1">
            <w:r w:rsidR="004D0A2C" w:rsidRPr="00A427CF">
              <w:rPr>
                <w:rStyle w:val="Hyperlink"/>
                <w:noProof/>
              </w:rPr>
              <w:t>Product Information</w:t>
            </w:r>
            <w:r w:rsidR="004D0A2C">
              <w:rPr>
                <w:noProof/>
                <w:webHidden/>
              </w:rPr>
              <w:tab/>
            </w:r>
            <w:r w:rsidR="004D0A2C">
              <w:rPr>
                <w:noProof/>
                <w:webHidden/>
              </w:rPr>
              <w:fldChar w:fldCharType="begin"/>
            </w:r>
            <w:r w:rsidR="004D0A2C">
              <w:rPr>
                <w:noProof/>
                <w:webHidden/>
              </w:rPr>
              <w:instrText xml:space="preserve"> PAGEREF _Toc97646298 \h </w:instrText>
            </w:r>
            <w:r w:rsidR="004D0A2C">
              <w:rPr>
                <w:noProof/>
                <w:webHidden/>
              </w:rPr>
            </w:r>
            <w:r w:rsidR="004D0A2C">
              <w:rPr>
                <w:noProof/>
                <w:webHidden/>
              </w:rPr>
              <w:fldChar w:fldCharType="separate"/>
            </w:r>
            <w:r w:rsidR="004D0A2C">
              <w:rPr>
                <w:noProof/>
                <w:webHidden/>
              </w:rPr>
              <w:t>15</w:t>
            </w:r>
            <w:r w:rsidR="004D0A2C">
              <w:rPr>
                <w:noProof/>
                <w:webHidden/>
              </w:rPr>
              <w:fldChar w:fldCharType="end"/>
            </w:r>
          </w:hyperlink>
        </w:p>
        <w:p w14:paraId="4F610E48" w14:textId="317A8B09" w:rsidR="004D0A2C" w:rsidRDefault="006B3C32">
          <w:pPr>
            <w:pStyle w:val="TOC1"/>
            <w:rPr>
              <w:rFonts w:asciiTheme="minorHAnsi" w:eastAsiaTheme="minorEastAsia" w:hAnsiTheme="minorHAnsi" w:cstheme="minorBidi"/>
              <w:b w:val="0"/>
              <w:noProof/>
              <w:sz w:val="22"/>
              <w:lang w:eastAsia="en-AU"/>
            </w:rPr>
          </w:pPr>
          <w:hyperlink w:anchor="_Toc97646299" w:history="1">
            <w:r w:rsidR="004D0A2C" w:rsidRPr="00A427CF">
              <w:rPr>
                <w:rStyle w:val="Hyperlink"/>
                <w:noProof/>
              </w:rPr>
              <w:t>II. Registration timeline</w:t>
            </w:r>
            <w:r w:rsidR="004D0A2C">
              <w:rPr>
                <w:noProof/>
                <w:webHidden/>
              </w:rPr>
              <w:tab/>
            </w:r>
            <w:r w:rsidR="004D0A2C">
              <w:rPr>
                <w:noProof/>
                <w:webHidden/>
              </w:rPr>
              <w:fldChar w:fldCharType="begin"/>
            </w:r>
            <w:r w:rsidR="004D0A2C">
              <w:rPr>
                <w:noProof/>
                <w:webHidden/>
              </w:rPr>
              <w:instrText xml:space="preserve"> PAGEREF _Toc97646299 \h </w:instrText>
            </w:r>
            <w:r w:rsidR="004D0A2C">
              <w:rPr>
                <w:noProof/>
                <w:webHidden/>
              </w:rPr>
            </w:r>
            <w:r w:rsidR="004D0A2C">
              <w:rPr>
                <w:noProof/>
                <w:webHidden/>
              </w:rPr>
              <w:fldChar w:fldCharType="separate"/>
            </w:r>
            <w:r w:rsidR="004D0A2C">
              <w:rPr>
                <w:noProof/>
                <w:webHidden/>
              </w:rPr>
              <w:t>15</w:t>
            </w:r>
            <w:r w:rsidR="004D0A2C">
              <w:rPr>
                <w:noProof/>
                <w:webHidden/>
              </w:rPr>
              <w:fldChar w:fldCharType="end"/>
            </w:r>
          </w:hyperlink>
        </w:p>
        <w:p w14:paraId="596DB739" w14:textId="6FC8D729" w:rsidR="004D0A2C" w:rsidRDefault="006B3C32">
          <w:pPr>
            <w:pStyle w:val="TOC1"/>
            <w:rPr>
              <w:rFonts w:asciiTheme="minorHAnsi" w:eastAsiaTheme="minorEastAsia" w:hAnsiTheme="minorHAnsi" w:cstheme="minorBidi"/>
              <w:b w:val="0"/>
              <w:noProof/>
              <w:sz w:val="22"/>
              <w:lang w:eastAsia="en-AU"/>
            </w:rPr>
          </w:pPr>
          <w:hyperlink w:anchor="_Toc97646300" w:history="1">
            <w:r w:rsidR="004D0A2C" w:rsidRPr="00A427CF">
              <w:rPr>
                <w:rStyle w:val="Hyperlink"/>
                <w:noProof/>
              </w:rPr>
              <w:t>III. Submission overview and risk/benefit assessment</w:t>
            </w:r>
            <w:r w:rsidR="004D0A2C">
              <w:rPr>
                <w:noProof/>
                <w:webHidden/>
              </w:rPr>
              <w:tab/>
            </w:r>
            <w:r w:rsidR="004D0A2C">
              <w:rPr>
                <w:noProof/>
                <w:webHidden/>
              </w:rPr>
              <w:fldChar w:fldCharType="begin"/>
            </w:r>
            <w:r w:rsidR="004D0A2C">
              <w:rPr>
                <w:noProof/>
                <w:webHidden/>
              </w:rPr>
              <w:instrText xml:space="preserve"> PAGEREF _Toc97646300 \h </w:instrText>
            </w:r>
            <w:r w:rsidR="004D0A2C">
              <w:rPr>
                <w:noProof/>
                <w:webHidden/>
              </w:rPr>
            </w:r>
            <w:r w:rsidR="004D0A2C">
              <w:rPr>
                <w:noProof/>
                <w:webHidden/>
              </w:rPr>
              <w:fldChar w:fldCharType="separate"/>
            </w:r>
            <w:r w:rsidR="004D0A2C">
              <w:rPr>
                <w:noProof/>
                <w:webHidden/>
              </w:rPr>
              <w:t>16</w:t>
            </w:r>
            <w:r w:rsidR="004D0A2C">
              <w:rPr>
                <w:noProof/>
                <w:webHidden/>
              </w:rPr>
              <w:fldChar w:fldCharType="end"/>
            </w:r>
          </w:hyperlink>
        </w:p>
        <w:p w14:paraId="611AE218" w14:textId="0BBD2DF3" w:rsidR="004D0A2C" w:rsidRDefault="006B3C32">
          <w:pPr>
            <w:pStyle w:val="TOC2"/>
            <w:rPr>
              <w:rFonts w:asciiTheme="minorHAnsi" w:eastAsiaTheme="minorEastAsia" w:hAnsiTheme="minorHAnsi" w:cstheme="minorBidi"/>
              <w:b w:val="0"/>
              <w:noProof/>
              <w:sz w:val="22"/>
              <w:lang w:eastAsia="en-AU"/>
            </w:rPr>
          </w:pPr>
          <w:hyperlink w:anchor="_Toc97646301" w:history="1">
            <w:r w:rsidR="004D0A2C" w:rsidRPr="00A427CF">
              <w:rPr>
                <w:rStyle w:val="Hyperlink"/>
                <w:noProof/>
              </w:rPr>
              <w:t>Quality</w:t>
            </w:r>
            <w:r w:rsidR="004D0A2C">
              <w:rPr>
                <w:noProof/>
                <w:webHidden/>
              </w:rPr>
              <w:tab/>
            </w:r>
            <w:r w:rsidR="004D0A2C">
              <w:rPr>
                <w:noProof/>
                <w:webHidden/>
              </w:rPr>
              <w:fldChar w:fldCharType="begin"/>
            </w:r>
            <w:r w:rsidR="004D0A2C">
              <w:rPr>
                <w:noProof/>
                <w:webHidden/>
              </w:rPr>
              <w:instrText xml:space="preserve"> PAGEREF _Toc97646301 \h </w:instrText>
            </w:r>
            <w:r w:rsidR="004D0A2C">
              <w:rPr>
                <w:noProof/>
                <w:webHidden/>
              </w:rPr>
            </w:r>
            <w:r w:rsidR="004D0A2C">
              <w:rPr>
                <w:noProof/>
                <w:webHidden/>
              </w:rPr>
              <w:fldChar w:fldCharType="separate"/>
            </w:r>
            <w:r w:rsidR="004D0A2C">
              <w:rPr>
                <w:noProof/>
                <w:webHidden/>
              </w:rPr>
              <w:t>16</w:t>
            </w:r>
            <w:r w:rsidR="004D0A2C">
              <w:rPr>
                <w:noProof/>
                <w:webHidden/>
              </w:rPr>
              <w:fldChar w:fldCharType="end"/>
            </w:r>
          </w:hyperlink>
        </w:p>
        <w:p w14:paraId="5F608B22" w14:textId="4126F127" w:rsidR="004D0A2C" w:rsidRDefault="006B3C32">
          <w:pPr>
            <w:pStyle w:val="TOC2"/>
            <w:rPr>
              <w:rFonts w:asciiTheme="minorHAnsi" w:eastAsiaTheme="minorEastAsia" w:hAnsiTheme="minorHAnsi" w:cstheme="minorBidi"/>
              <w:b w:val="0"/>
              <w:noProof/>
              <w:sz w:val="22"/>
              <w:lang w:eastAsia="en-AU"/>
            </w:rPr>
          </w:pPr>
          <w:hyperlink w:anchor="_Toc97646302" w:history="1">
            <w:r w:rsidR="004D0A2C" w:rsidRPr="00A427CF">
              <w:rPr>
                <w:rStyle w:val="Hyperlink"/>
                <w:noProof/>
              </w:rPr>
              <w:t>Nonclinical</w:t>
            </w:r>
            <w:r w:rsidR="004D0A2C">
              <w:rPr>
                <w:noProof/>
                <w:webHidden/>
              </w:rPr>
              <w:tab/>
            </w:r>
            <w:r w:rsidR="004D0A2C">
              <w:rPr>
                <w:noProof/>
                <w:webHidden/>
              </w:rPr>
              <w:fldChar w:fldCharType="begin"/>
            </w:r>
            <w:r w:rsidR="004D0A2C">
              <w:rPr>
                <w:noProof/>
                <w:webHidden/>
              </w:rPr>
              <w:instrText xml:space="preserve"> PAGEREF _Toc97646302 \h </w:instrText>
            </w:r>
            <w:r w:rsidR="004D0A2C">
              <w:rPr>
                <w:noProof/>
                <w:webHidden/>
              </w:rPr>
            </w:r>
            <w:r w:rsidR="004D0A2C">
              <w:rPr>
                <w:noProof/>
                <w:webHidden/>
              </w:rPr>
              <w:fldChar w:fldCharType="separate"/>
            </w:r>
            <w:r w:rsidR="004D0A2C">
              <w:rPr>
                <w:noProof/>
                <w:webHidden/>
              </w:rPr>
              <w:t>17</w:t>
            </w:r>
            <w:r w:rsidR="004D0A2C">
              <w:rPr>
                <w:noProof/>
                <w:webHidden/>
              </w:rPr>
              <w:fldChar w:fldCharType="end"/>
            </w:r>
          </w:hyperlink>
        </w:p>
        <w:p w14:paraId="15C67E15" w14:textId="1A480B07" w:rsidR="004D0A2C" w:rsidRDefault="006B3C32">
          <w:pPr>
            <w:pStyle w:val="TOC2"/>
            <w:rPr>
              <w:rFonts w:asciiTheme="minorHAnsi" w:eastAsiaTheme="minorEastAsia" w:hAnsiTheme="minorHAnsi" w:cstheme="minorBidi"/>
              <w:b w:val="0"/>
              <w:noProof/>
              <w:sz w:val="22"/>
              <w:lang w:eastAsia="en-AU"/>
            </w:rPr>
          </w:pPr>
          <w:hyperlink w:anchor="_Toc97646303" w:history="1">
            <w:r w:rsidR="004D0A2C" w:rsidRPr="00A427CF">
              <w:rPr>
                <w:rStyle w:val="Hyperlink"/>
                <w:noProof/>
              </w:rPr>
              <w:t>Clinical</w:t>
            </w:r>
            <w:r w:rsidR="004D0A2C">
              <w:rPr>
                <w:noProof/>
                <w:webHidden/>
              </w:rPr>
              <w:tab/>
            </w:r>
            <w:r w:rsidR="004D0A2C">
              <w:rPr>
                <w:noProof/>
                <w:webHidden/>
              </w:rPr>
              <w:fldChar w:fldCharType="begin"/>
            </w:r>
            <w:r w:rsidR="004D0A2C">
              <w:rPr>
                <w:noProof/>
                <w:webHidden/>
              </w:rPr>
              <w:instrText xml:space="preserve"> PAGEREF _Toc97646303 \h </w:instrText>
            </w:r>
            <w:r w:rsidR="004D0A2C">
              <w:rPr>
                <w:noProof/>
                <w:webHidden/>
              </w:rPr>
            </w:r>
            <w:r w:rsidR="004D0A2C">
              <w:rPr>
                <w:noProof/>
                <w:webHidden/>
              </w:rPr>
              <w:fldChar w:fldCharType="separate"/>
            </w:r>
            <w:r w:rsidR="004D0A2C">
              <w:rPr>
                <w:noProof/>
                <w:webHidden/>
              </w:rPr>
              <w:t>18</w:t>
            </w:r>
            <w:r w:rsidR="004D0A2C">
              <w:rPr>
                <w:noProof/>
                <w:webHidden/>
              </w:rPr>
              <w:fldChar w:fldCharType="end"/>
            </w:r>
          </w:hyperlink>
        </w:p>
        <w:p w14:paraId="7ADFA03A" w14:textId="009CB7EF" w:rsidR="004D0A2C" w:rsidRDefault="006B3C32">
          <w:pPr>
            <w:pStyle w:val="TOC2"/>
            <w:rPr>
              <w:rFonts w:asciiTheme="minorHAnsi" w:eastAsiaTheme="minorEastAsia" w:hAnsiTheme="minorHAnsi" w:cstheme="minorBidi"/>
              <w:b w:val="0"/>
              <w:noProof/>
              <w:sz w:val="22"/>
              <w:lang w:eastAsia="en-AU"/>
            </w:rPr>
          </w:pPr>
          <w:hyperlink w:anchor="_Toc97646304" w:history="1">
            <w:r w:rsidR="004D0A2C" w:rsidRPr="00A427CF">
              <w:rPr>
                <w:rStyle w:val="Hyperlink"/>
                <w:noProof/>
                <w:lang w:eastAsia="en-AU"/>
              </w:rPr>
              <w:t>Risk management plan</w:t>
            </w:r>
            <w:r w:rsidR="004D0A2C">
              <w:rPr>
                <w:noProof/>
                <w:webHidden/>
              </w:rPr>
              <w:tab/>
            </w:r>
            <w:r w:rsidR="004D0A2C">
              <w:rPr>
                <w:noProof/>
                <w:webHidden/>
              </w:rPr>
              <w:fldChar w:fldCharType="begin"/>
            </w:r>
            <w:r w:rsidR="004D0A2C">
              <w:rPr>
                <w:noProof/>
                <w:webHidden/>
              </w:rPr>
              <w:instrText xml:space="preserve"> PAGEREF _Toc97646304 \h </w:instrText>
            </w:r>
            <w:r w:rsidR="004D0A2C">
              <w:rPr>
                <w:noProof/>
                <w:webHidden/>
              </w:rPr>
            </w:r>
            <w:r w:rsidR="004D0A2C">
              <w:rPr>
                <w:noProof/>
                <w:webHidden/>
              </w:rPr>
              <w:fldChar w:fldCharType="separate"/>
            </w:r>
            <w:r w:rsidR="004D0A2C">
              <w:rPr>
                <w:noProof/>
                <w:webHidden/>
              </w:rPr>
              <w:t>73</w:t>
            </w:r>
            <w:r w:rsidR="004D0A2C">
              <w:rPr>
                <w:noProof/>
                <w:webHidden/>
              </w:rPr>
              <w:fldChar w:fldCharType="end"/>
            </w:r>
          </w:hyperlink>
        </w:p>
        <w:p w14:paraId="7012BE8A" w14:textId="4D28E608" w:rsidR="004D0A2C" w:rsidRDefault="006B3C32">
          <w:pPr>
            <w:pStyle w:val="TOC2"/>
            <w:rPr>
              <w:rFonts w:asciiTheme="minorHAnsi" w:eastAsiaTheme="minorEastAsia" w:hAnsiTheme="minorHAnsi" w:cstheme="minorBidi"/>
              <w:b w:val="0"/>
              <w:noProof/>
              <w:sz w:val="22"/>
              <w:lang w:eastAsia="en-AU"/>
            </w:rPr>
          </w:pPr>
          <w:hyperlink w:anchor="_Toc97646305" w:history="1">
            <w:r w:rsidR="004D0A2C" w:rsidRPr="00A427CF">
              <w:rPr>
                <w:rStyle w:val="Hyperlink"/>
                <w:noProof/>
              </w:rPr>
              <w:t>Risk-benefit analysis</w:t>
            </w:r>
            <w:r w:rsidR="004D0A2C">
              <w:rPr>
                <w:noProof/>
                <w:webHidden/>
              </w:rPr>
              <w:tab/>
            </w:r>
            <w:r w:rsidR="004D0A2C">
              <w:rPr>
                <w:noProof/>
                <w:webHidden/>
              </w:rPr>
              <w:fldChar w:fldCharType="begin"/>
            </w:r>
            <w:r w:rsidR="004D0A2C">
              <w:rPr>
                <w:noProof/>
                <w:webHidden/>
              </w:rPr>
              <w:instrText xml:space="preserve"> PAGEREF _Toc97646305 \h </w:instrText>
            </w:r>
            <w:r w:rsidR="004D0A2C">
              <w:rPr>
                <w:noProof/>
                <w:webHidden/>
              </w:rPr>
            </w:r>
            <w:r w:rsidR="004D0A2C">
              <w:rPr>
                <w:noProof/>
                <w:webHidden/>
              </w:rPr>
              <w:fldChar w:fldCharType="separate"/>
            </w:r>
            <w:r w:rsidR="004D0A2C">
              <w:rPr>
                <w:noProof/>
                <w:webHidden/>
              </w:rPr>
              <w:t>74</w:t>
            </w:r>
            <w:r w:rsidR="004D0A2C">
              <w:rPr>
                <w:noProof/>
                <w:webHidden/>
              </w:rPr>
              <w:fldChar w:fldCharType="end"/>
            </w:r>
          </w:hyperlink>
        </w:p>
        <w:p w14:paraId="1A249C83" w14:textId="0C04186E" w:rsidR="004D0A2C" w:rsidRDefault="006B3C32">
          <w:pPr>
            <w:pStyle w:val="TOC2"/>
            <w:rPr>
              <w:rFonts w:asciiTheme="minorHAnsi" w:eastAsiaTheme="minorEastAsia" w:hAnsiTheme="minorHAnsi" w:cstheme="minorBidi"/>
              <w:b w:val="0"/>
              <w:noProof/>
              <w:sz w:val="22"/>
              <w:lang w:eastAsia="en-AU"/>
            </w:rPr>
          </w:pPr>
          <w:hyperlink w:anchor="_Toc97646306" w:history="1">
            <w:r w:rsidR="004D0A2C" w:rsidRPr="00A427CF">
              <w:rPr>
                <w:rStyle w:val="Hyperlink"/>
                <w:noProof/>
              </w:rPr>
              <w:t>Outcome</w:t>
            </w:r>
            <w:r w:rsidR="004D0A2C">
              <w:rPr>
                <w:noProof/>
                <w:webHidden/>
              </w:rPr>
              <w:tab/>
            </w:r>
            <w:r w:rsidR="004D0A2C">
              <w:rPr>
                <w:noProof/>
                <w:webHidden/>
              </w:rPr>
              <w:fldChar w:fldCharType="begin"/>
            </w:r>
            <w:r w:rsidR="004D0A2C">
              <w:rPr>
                <w:noProof/>
                <w:webHidden/>
              </w:rPr>
              <w:instrText xml:space="preserve"> PAGEREF _Toc97646306 \h </w:instrText>
            </w:r>
            <w:r w:rsidR="004D0A2C">
              <w:rPr>
                <w:noProof/>
                <w:webHidden/>
              </w:rPr>
            </w:r>
            <w:r w:rsidR="004D0A2C">
              <w:rPr>
                <w:noProof/>
                <w:webHidden/>
              </w:rPr>
              <w:fldChar w:fldCharType="separate"/>
            </w:r>
            <w:r w:rsidR="004D0A2C">
              <w:rPr>
                <w:noProof/>
                <w:webHidden/>
              </w:rPr>
              <w:t>89</w:t>
            </w:r>
            <w:r w:rsidR="004D0A2C">
              <w:rPr>
                <w:noProof/>
                <w:webHidden/>
              </w:rPr>
              <w:fldChar w:fldCharType="end"/>
            </w:r>
          </w:hyperlink>
        </w:p>
        <w:p w14:paraId="0995021E" w14:textId="72827D82" w:rsidR="004D0A2C" w:rsidRDefault="006B3C32">
          <w:pPr>
            <w:pStyle w:val="TOC1"/>
            <w:rPr>
              <w:rFonts w:asciiTheme="minorHAnsi" w:eastAsiaTheme="minorEastAsia" w:hAnsiTheme="minorHAnsi" w:cstheme="minorBidi"/>
              <w:b w:val="0"/>
              <w:noProof/>
              <w:sz w:val="22"/>
              <w:lang w:eastAsia="en-AU"/>
            </w:rPr>
          </w:pPr>
          <w:hyperlink w:anchor="_Toc97646307" w:history="1">
            <w:r w:rsidR="004D0A2C" w:rsidRPr="00A427CF">
              <w:rPr>
                <w:rStyle w:val="Hyperlink"/>
                <w:noProof/>
              </w:rPr>
              <w:t>Attachment 1. Product Information</w:t>
            </w:r>
            <w:r w:rsidR="004D0A2C">
              <w:rPr>
                <w:noProof/>
                <w:webHidden/>
              </w:rPr>
              <w:tab/>
            </w:r>
            <w:r w:rsidR="004D0A2C">
              <w:rPr>
                <w:noProof/>
                <w:webHidden/>
              </w:rPr>
              <w:fldChar w:fldCharType="begin"/>
            </w:r>
            <w:r w:rsidR="004D0A2C">
              <w:rPr>
                <w:noProof/>
                <w:webHidden/>
              </w:rPr>
              <w:instrText xml:space="preserve"> PAGEREF _Toc97646307 \h </w:instrText>
            </w:r>
            <w:r w:rsidR="004D0A2C">
              <w:rPr>
                <w:noProof/>
                <w:webHidden/>
              </w:rPr>
            </w:r>
            <w:r w:rsidR="004D0A2C">
              <w:rPr>
                <w:noProof/>
                <w:webHidden/>
              </w:rPr>
              <w:fldChar w:fldCharType="separate"/>
            </w:r>
            <w:r w:rsidR="004D0A2C">
              <w:rPr>
                <w:noProof/>
                <w:webHidden/>
              </w:rPr>
              <w:t>91</w:t>
            </w:r>
            <w:r w:rsidR="004D0A2C">
              <w:rPr>
                <w:noProof/>
                <w:webHidden/>
              </w:rPr>
              <w:fldChar w:fldCharType="end"/>
            </w:r>
          </w:hyperlink>
        </w:p>
        <w:p w14:paraId="6A0B32CB" w14:textId="347EF90A" w:rsidR="003A7F6C" w:rsidRPr="00B811C6" w:rsidRDefault="00C525A2" w:rsidP="00B811C6">
          <w:pPr>
            <w:pStyle w:val="TOC2"/>
          </w:pPr>
          <w:r>
            <w:fldChar w:fldCharType="end"/>
          </w:r>
        </w:p>
      </w:sdtContent>
    </w:sdt>
    <w:bookmarkStart w:id="2" w:name="_Toc314842482" w:displacedByCustomXml="prev"/>
    <w:p w14:paraId="4AA87F3F" w14:textId="77777777" w:rsidR="00FD119B" w:rsidRDefault="00FD119B">
      <w:pPr>
        <w:spacing w:before="0" w:after="200" w:line="0" w:lineRule="auto"/>
      </w:pPr>
      <w:r>
        <w:br w:type="page"/>
      </w:r>
    </w:p>
    <w:p w14:paraId="3D266423" w14:textId="77777777" w:rsidR="00C52E24" w:rsidRPr="00C52E24" w:rsidRDefault="00324E45" w:rsidP="00B90C21">
      <w:pPr>
        <w:pStyle w:val="Heading2"/>
      </w:pPr>
      <w:bookmarkStart w:id="3" w:name="_Toc351716269"/>
      <w:bookmarkStart w:id="4" w:name="_Toc351718881"/>
      <w:bookmarkStart w:id="5" w:name="_Toc355338616"/>
      <w:bookmarkStart w:id="6" w:name="_Toc356306144"/>
      <w:bookmarkStart w:id="7" w:name="_Toc97646293"/>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6"/>
        <w:gridCol w:w="6698"/>
      </w:tblGrid>
      <w:tr w:rsidR="00134CBE" w:rsidRPr="00FD119B" w14:paraId="5AE6E7DD" w14:textId="77777777" w:rsidTr="00CF5DAD">
        <w:trPr>
          <w:cnfStyle w:val="100000000000" w:firstRow="1" w:lastRow="0" w:firstColumn="0" w:lastColumn="0" w:oddVBand="0" w:evenVBand="0" w:oddHBand="0" w:evenHBand="0" w:firstRowFirstColumn="0" w:firstRowLastColumn="0" w:lastRowFirstColumn="0" w:lastRowLastColumn="0"/>
        </w:trPr>
        <w:tc>
          <w:tcPr>
            <w:tcW w:w="1809" w:type="dxa"/>
            <w:tcBorders>
              <w:top w:val="single" w:sz="4" w:space="0" w:color="auto"/>
              <w:left w:val="single" w:sz="4" w:space="0" w:color="auto"/>
              <w:bottom w:val="single" w:sz="4" w:space="0" w:color="auto"/>
              <w:right w:val="single" w:sz="4" w:space="0" w:color="auto"/>
            </w:tcBorders>
          </w:tcPr>
          <w:p w14:paraId="4A85D270" w14:textId="77777777" w:rsidR="00134CBE" w:rsidRPr="00FD119B" w:rsidRDefault="00134CBE" w:rsidP="00CF5DAD">
            <w:pPr>
              <w:keepNext w:val="0"/>
              <w:ind w:left="0" w:right="0"/>
              <w:rPr>
                <w:szCs w:val="22"/>
                <w:lang w:eastAsia="en-US"/>
              </w:rPr>
            </w:pPr>
            <w:r w:rsidRPr="00FD119B">
              <w:rPr>
                <w:szCs w:val="22"/>
                <w:lang w:eastAsia="en-US"/>
              </w:rPr>
              <w:t>Abbreviation</w:t>
            </w:r>
          </w:p>
        </w:tc>
        <w:tc>
          <w:tcPr>
            <w:tcW w:w="6911" w:type="dxa"/>
            <w:tcBorders>
              <w:top w:val="single" w:sz="4" w:space="0" w:color="auto"/>
              <w:left w:val="single" w:sz="4" w:space="0" w:color="auto"/>
              <w:bottom w:val="single" w:sz="4" w:space="0" w:color="auto"/>
              <w:right w:val="single" w:sz="4" w:space="0" w:color="auto"/>
            </w:tcBorders>
          </w:tcPr>
          <w:p w14:paraId="0AE6FF90" w14:textId="77777777" w:rsidR="00134CBE" w:rsidRPr="00FD119B" w:rsidRDefault="00134CBE" w:rsidP="00CF5DAD">
            <w:pPr>
              <w:keepNext w:val="0"/>
              <w:ind w:left="0" w:right="0"/>
              <w:rPr>
                <w:szCs w:val="22"/>
                <w:lang w:eastAsia="en-US"/>
              </w:rPr>
            </w:pPr>
            <w:r w:rsidRPr="00FD119B">
              <w:rPr>
                <w:szCs w:val="22"/>
                <w:lang w:eastAsia="en-US"/>
              </w:rPr>
              <w:t>Meaning</w:t>
            </w:r>
          </w:p>
        </w:tc>
      </w:tr>
      <w:tr w:rsidR="00134CBE" w:rsidRPr="00FD119B" w14:paraId="7FFB69A2" w14:textId="77777777" w:rsidTr="00FD119B">
        <w:tc>
          <w:tcPr>
            <w:tcW w:w="1809" w:type="dxa"/>
          </w:tcPr>
          <w:p w14:paraId="6759FE19" w14:textId="77777777" w:rsidR="00134CBE" w:rsidRPr="00FD119B" w:rsidRDefault="00134CBE" w:rsidP="00CF5DAD">
            <w:r>
              <w:t>ACE2</w:t>
            </w:r>
          </w:p>
        </w:tc>
        <w:tc>
          <w:tcPr>
            <w:tcW w:w="6911" w:type="dxa"/>
          </w:tcPr>
          <w:p w14:paraId="0275E5BE" w14:textId="77777777" w:rsidR="00134CBE" w:rsidRPr="00FD119B" w:rsidRDefault="00134CBE" w:rsidP="00CF5DAD">
            <w:r>
              <w:t xml:space="preserve">Angiotensin converting enzyme 2 </w:t>
            </w:r>
          </w:p>
        </w:tc>
      </w:tr>
      <w:tr w:rsidR="00134CBE" w:rsidRPr="00FD119B" w14:paraId="61622830" w14:textId="77777777" w:rsidTr="00CF5DAD">
        <w:tc>
          <w:tcPr>
            <w:tcW w:w="1809" w:type="dxa"/>
            <w:tcBorders>
              <w:top w:val="single" w:sz="4" w:space="0" w:color="auto"/>
            </w:tcBorders>
          </w:tcPr>
          <w:p w14:paraId="6B107439" w14:textId="77777777" w:rsidR="00134CBE" w:rsidRPr="00134CBE" w:rsidRDefault="00134CBE" w:rsidP="00134CBE">
            <w:r w:rsidRPr="00134CBE">
              <w:t>ACM</w:t>
            </w:r>
          </w:p>
        </w:tc>
        <w:tc>
          <w:tcPr>
            <w:tcW w:w="6911" w:type="dxa"/>
            <w:tcBorders>
              <w:top w:val="single" w:sz="4" w:space="0" w:color="auto"/>
            </w:tcBorders>
          </w:tcPr>
          <w:p w14:paraId="71478FBD" w14:textId="77777777" w:rsidR="00134CBE" w:rsidRPr="00134CBE" w:rsidRDefault="00134CBE" w:rsidP="00134CBE">
            <w:r w:rsidRPr="00134CBE">
              <w:t>Advisory Committee on Medicines</w:t>
            </w:r>
          </w:p>
        </w:tc>
      </w:tr>
      <w:tr w:rsidR="00134CBE" w:rsidRPr="00FD119B" w14:paraId="490E9A83" w14:textId="77777777" w:rsidTr="00FD119B">
        <w:tc>
          <w:tcPr>
            <w:tcW w:w="1809" w:type="dxa"/>
          </w:tcPr>
          <w:p w14:paraId="0DACB440" w14:textId="77777777" w:rsidR="00134CBE" w:rsidRPr="00134CBE" w:rsidRDefault="00134CBE" w:rsidP="00134CBE">
            <w:r w:rsidRPr="00134CBE">
              <w:t>ARTG</w:t>
            </w:r>
          </w:p>
        </w:tc>
        <w:tc>
          <w:tcPr>
            <w:tcW w:w="6911" w:type="dxa"/>
          </w:tcPr>
          <w:p w14:paraId="358BA390" w14:textId="77777777" w:rsidR="00134CBE" w:rsidRPr="00134CBE" w:rsidRDefault="00134CBE" w:rsidP="00134CBE">
            <w:r w:rsidRPr="00134CBE">
              <w:t>Australian Register of Therapeutic Goods</w:t>
            </w:r>
          </w:p>
        </w:tc>
      </w:tr>
      <w:tr w:rsidR="00134CBE" w:rsidRPr="00FD119B" w14:paraId="534D7091" w14:textId="77777777" w:rsidTr="00FD119B">
        <w:tc>
          <w:tcPr>
            <w:tcW w:w="1809" w:type="dxa"/>
          </w:tcPr>
          <w:p w14:paraId="504A6D34" w14:textId="77777777" w:rsidR="00134CBE" w:rsidRDefault="00134CBE" w:rsidP="00CF5DAD">
            <w:r>
              <w:t>ASA</w:t>
            </w:r>
          </w:p>
        </w:tc>
        <w:tc>
          <w:tcPr>
            <w:tcW w:w="6911" w:type="dxa"/>
          </w:tcPr>
          <w:p w14:paraId="524C4705" w14:textId="77777777" w:rsidR="00134CBE" w:rsidRDefault="00134CBE" w:rsidP="00CF5DAD">
            <w:r>
              <w:t>Australia-specific annex</w:t>
            </w:r>
          </w:p>
        </w:tc>
      </w:tr>
      <w:tr w:rsidR="00134CBE" w:rsidRPr="00FD119B" w14:paraId="5031431F" w14:textId="77777777" w:rsidTr="00FD119B">
        <w:tc>
          <w:tcPr>
            <w:tcW w:w="1809" w:type="dxa"/>
          </w:tcPr>
          <w:p w14:paraId="5CE45E24" w14:textId="77777777" w:rsidR="00134CBE" w:rsidRPr="00FD119B" w:rsidRDefault="00134CBE" w:rsidP="00CF5DAD">
            <w:r>
              <w:t>AUC</w:t>
            </w:r>
          </w:p>
        </w:tc>
        <w:tc>
          <w:tcPr>
            <w:tcW w:w="6911" w:type="dxa"/>
          </w:tcPr>
          <w:p w14:paraId="3FFC6165" w14:textId="77777777" w:rsidR="00134CBE" w:rsidRPr="00FD119B" w:rsidRDefault="00134CBE" w:rsidP="00CF5DAD">
            <w:r>
              <w:t>Area under the curve</w:t>
            </w:r>
          </w:p>
        </w:tc>
      </w:tr>
      <w:tr w:rsidR="00134CBE" w:rsidRPr="00FD119B" w14:paraId="4D55B536" w14:textId="77777777" w:rsidTr="00FD119B">
        <w:tc>
          <w:tcPr>
            <w:tcW w:w="1809" w:type="dxa"/>
          </w:tcPr>
          <w:p w14:paraId="0CE8D787" w14:textId="77777777" w:rsidR="00134CBE" w:rsidRPr="00957133" w:rsidRDefault="00134CBE" w:rsidP="00CF5DAD">
            <w:pPr>
              <w:rPr>
                <w:vertAlign w:val="subscript"/>
              </w:rPr>
            </w:pPr>
            <w:r>
              <w:t>AUC</w:t>
            </w:r>
            <w:r>
              <w:rPr>
                <w:vertAlign w:val="subscript"/>
              </w:rPr>
              <w:t>0-210days</w:t>
            </w:r>
          </w:p>
        </w:tc>
        <w:tc>
          <w:tcPr>
            <w:tcW w:w="6911" w:type="dxa"/>
          </w:tcPr>
          <w:p w14:paraId="5BA112A9" w14:textId="77777777" w:rsidR="00134CBE" w:rsidRDefault="00134CBE" w:rsidP="00CF5DAD">
            <w:r>
              <w:t>Area under the curve from time zero to Day 210</w:t>
            </w:r>
          </w:p>
        </w:tc>
      </w:tr>
      <w:tr w:rsidR="00134CBE" w:rsidRPr="00FD119B" w14:paraId="4D683A72" w14:textId="77777777" w:rsidTr="00FD119B">
        <w:tc>
          <w:tcPr>
            <w:tcW w:w="1809" w:type="dxa"/>
          </w:tcPr>
          <w:p w14:paraId="6C15ADF5" w14:textId="77777777" w:rsidR="00134CBE" w:rsidRPr="00B90C21" w:rsidRDefault="00134CBE" w:rsidP="00CF5DAD">
            <w:pPr>
              <w:rPr>
                <w:vertAlign w:val="subscript"/>
              </w:rPr>
            </w:pPr>
            <w:r>
              <w:t>AUC</w:t>
            </w:r>
            <w:r>
              <w:rPr>
                <w:vertAlign w:val="subscript"/>
              </w:rPr>
              <w:t>inf</w:t>
            </w:r>
          </w:p>
        </w:tc>
        <w:tc>
          <w:tcPr>
            <w:tcW w:w="6911" w:type="dxa"/>
          </w:tcPr>
          <w:p w14:paraId="16BF8BF0" w14:textId="77777777" w:rsidR="00134CBE" w:rsidRPr="00FD119B" w:rsidRDefault="00134CBE" w:rsidP="00CF5DAD">
            <w:r>
              <w:t>Area under the curve from time zero to infinity</w:t>
            </w:r>
          </w:p>
        </w:tc>
      </w:tr>
      <w:tr w:rsidR="00134CBE" w:rsidRPr="00FD119B" w14:paraId="6BA70956" w14:textId="77777777" w:rsidTr="00FD119B">
        <w:tc>
          <w:tcPr>
            <w:tcW w:w="1809" w:type="dxa"/>
          </w:tcPr>
          <w:p w14:paraId="32971376" w14:textId="77777777" w:rsidR="00134CBE" w:rsidRPr="00FD119B" w:rsidRDefault="00134CBE" w:rsidP="00CF5DAD">
            <w:r>
              <w:t>AZD1061</w:t>
            </w:r>
          </w:p>
        </w:tc>
        <w:tc>
          <w:tcPr>
            <w:tcW w:w="6911" w:type="dxa"/>
          </w:tcPr>
          <w:p w14:paraId="68D26CDB" w14:textId="77777777" w:rsidR="00134CBE" w:rsidRPr="00FD119B" w:rsidRDefault="00134CBE" w:rsidP="00CF5DAD">
            <w:proofErr w:type="spellStart"/>
            <w:r>
              <w:t>Cilgavimab</w:t>
            </w:r>
            <w:proofErr w:type="spellEnd"/>
          </w:p>
        </w:tc>
      </w:tr>
      <w:tr w:rsidR="00134CBE" w:rsidRPr="00FD119B" w14:paraId="2C563C52" w14:textId="77777777" w:rsidTr="00FD119B">
        <w:tc>
          <w:tcPr>
            <w:tcW w:w="1809" w:type="dxa"/>
          </w:tcPr>
          <w:p w14:paraId="021E2B25" w14:textId="77777777" w:rsidR="00134CBE" w:rsidRPr="00FD119B" w:rsidRDefault="00134CBE" w:rsidP="00CF5DAD">
            <w:r>
              <w:t>AZD8895</w:t>
            </w:r>
          </w:p>
        </w:tc>
        <w:tc>
          <w:tcPr>
            <w:tcW w:w="6911" w:type="dxa"/>
          </w:tcPr>
          <w:p w14:paraId="5A69EA81" w14:textId="77777777" w:rsidR="00134CBE" w:rsidRPr="00FD119B" w:rsidRDefault="00134CBE" w:rsidP="00CF5DAD">
            <w:proofErr w:type="spellStart"/>
            <w:r>
              <w:t>Tixagevimab</w:t>
            </w:r>
            <w:proofErr w:type="spellEnd"/>
          </w:p>
        </w:tc>
      </w:tr>
      <w:tr w:rsidR="00134CBE" w:rsidRPr="00FD119B" w14:paraId="5BEA5AFB" w14:textId="77777777" w:rsidTr="00FD119B">
        <w:tc>
          <w:tcPr>
            <w:tcW w:w="1809" w:type="dxa"/>
          </w:tcPr>
          <w:p w14:paraId="0354DE06" w14:textId="77777777" w:rsidR="00134CBE" w:rsidRDefault="00134CBE" w:rsidP="00CF5DAD">
            <w:r>
              <w:t>BMI</w:t>
            </w:r>
          </w:p>
        </w:tc>
        <w:tc>
          <w:tcPr>
            <w:tcW w:w="6911" w:type="dxa"/>
          </w:tcPr>
          <w:p w14:paraId="69D6438D" w14:textId="77777777" w:rsidR="00134CBE" w:rsidRDefault="00134CBE" w:rsidP="00CF5DAD">
            <w:r>
              <w:t>Body mass index</w:t>
            </w:r>
          </w:p>
        </w:tc>
      </w:tr>
      <w:tr w:rsidR="00134CBE" w:rsidRPr="00FD119B" w14:paraId="5BF79A79" w14:textId="77777777" w:rsidTr="00FD119B">
        <w:tc>
          <w:tcPr>
            <w:tcW w:w="1809" w:type="dxa"/>
          </w:tcPr>
          <w:p w14:paraId="48B12919" w14:textId="77777777" w:rsidR="00134CBE" w:rsidRDefault="00134CBE" w:rsidP="00CF5DAD">
            <w:r>
              <w:t>CDC</w:t>
            </w:r>
          </w:p>
        </w:tc>
        <w:tc>
          <w:tcPr>
            <w:tcW w:w="6911" w:type="dxa"/>
          </w:tcPr>
          <w:p w14:paraId="4F827CB9" w14:textId="77777777" w:rsidR="00134CBE" w:rsidRDefault="00134CBE" w:rsidP="00CF5DAD">
            <w:proofErr w:type="spellStart"/>
            <w:r>
              <w:t>Centers</w:t>
            </w:r>
            <w:proofErr w:type="spellEnd"/>
            <w:r>
              <w:t xml:space="preserve"> for Disease Control (United States of America)</w:t>
            </w:r>
          </w:p>
        </w:tc>
      </w:tr>
      <w:tr w:rsidR="00134CBE" w:rsidRPr="00FD119B" w14:paraId="73F99A77" w14:textId="77777777" w:rsidTr="00FD119B">
        <w:tc>
          <w:tcPr>
            <w:tcW w:w="1809" w:type="dxa"/>
          </w:tcPr>
          <w:p w14:paraId="44EE08EC" w14:textId="77777777" w:rsidR="00134CBE" w:rsidRDefault="00134CBE" w:rsidP="00CF5DAD">
            <w:r>
              <w:t>CI</w:t>
            </w:r>
          </w:p>
        </w:tc>
        <w:tc>
          <w:tcPr>
            <w:tcW w:w="6911" w:type="dxa"/>
          </w:tcPr>
          <w:p w14:paraId="7AD90DF6" w14:textId="77777777" w:rsidR="00134CBE" w:rsidRDefault="00134CBE" w:rsidP="00CF5DAD">
            <w:r>
              <w:t>Confidence interval</w:t>
            </w:r>
          </w:p>
        </w:tc>
      </w:tr>
      <w:tr w:rsidR="00134CBE" w:rsidRPr="00FD119B" w14:paraId="23CED0C2" w14:textId="77777777" w:rsidTr="00FD119B">
        <w:tc>
          <w:tcPr>
            <w:tcW w:w="1809" w:type="dxa"/>
          </w:tcPr>
          <w:p w14:paraId="49A7AA10" w14:textId="77777777" w:rsidR="00134CBE" w:rsidRPr="00FD119B" w:rsidRDefault="00134CBE" w:rsidP="00CF5DAD">
            <w:proofErr w:type="spellStart"/>
            <w:r>
              <w:t>C</w:t>
            </w:r>
            <w:r w:rsidRPr="00ED66DB">
              <w:rPr>
                <w:vertAlign w:val="subscript"/>
              </w:rPr>
              <w:t>max</w:t>
            </w:r>
            <w:proofErr w:type="spellEnd"/>
          </w:p>
        </w:tc>
        <w:tc>
          <w:tcPr>
            <w:tcW w:w="6911" w:type="dxa"/>
          </w:tcPr>
          <w:p w14:paraId="4033F1C4" w14:textId="77777777" w:rsidR="00134CBE" w:rsidRPr="00FD119B" w:rsidRDefault="00134CBE" w:rsidP="00CF5DAD">
            <w:r>
              <w:t>Maximum concentration</w:t>
            </w:r>
          </w:p>
        </w:tc>
      </w:tr>
      <w:tr w:rsidR="00134CBE" w:rsidRPr="00FD119B" w14:paraId="2AA17ED0" w14:textId="77777777" w:rsidTr="00FD119B">
        <w:tc>
          <w:tcPr>
            <w:tcW w:w="1809" w:type="dxa"/>
          </w:tcPr>
          <w:p w14:paraId="502B732C" w14:textId="77777777" w:rsidR="00134CBE" w:rsidRPr="00FD119B" w:rsidRDefault="00134CBE" w:rsidP="00CF5DAD">
            <w:r>
              <w:t>COVID-19</w:t>
            </w:r>
          </w:p>
        </w:tc>
        <w:tc>
          <w:tcPr>
            <w:tcW w:w="6911" w:type="dxa"/>
          </w:tcPr>
          <w:p w14:paraId="2DEE50E0" w14:textId="77777777" w:rsidR="00134CBE" w:rsidRPr="00FD119B" w:rsidRDefault="00134CBE" w:rsidP="00CF5DAD">
            <w:r>
              <w:t>Coronavirus disease 2019</w:t>
            </w:r>
          </w:p>
        </w:tc>
      </w:tr>
      <w:tr w:rsidR="00134CBE" w:rsidRPr="00FD119B" w14:paraId="143BA569" w14:textId="77777777" w:rsidTr="00FD119B">
        <w:tc>
          <w:tcPr>
            <w:tcW w:w="1809" w:type="dxa"/>
          </w:tcPr>
          <w:p w14:paraId="108AB873" w14:textId="77777777" w:rsidR="00134CBE" w:rsidRDefault="00134CBE" w:rsidP="00CF5DAD">
            <w:r>
              <w:t>DLP</w:t>
            </w:r>
          </w:p>
        </w:tc>
        <w:tc>
          <w:tcPr>
            <w:tcW w:w="6911" w:type="dxa"/>
          </w:tcPr>
          <w:p w14:paraId="34D2C0CF" w14:textId="77777777" w:rsidR="00134CBE" w:rsidRDefault="00134CBE" w:rsidP="00CF5DAD">
            <w:r>
              <w:t>Data lock point</w:t>
            </w:r>
          </w:p>
        </w:tc>
      </w:tr>
      <w:tr w:rsidR="00134CBE" w:rsidRPr="00FD119B" w14:paraId="752BC807" w14:textId="77777777" w:rsidTr="00FD119B">
        <w:tc>
          <w:tcPr>
            <w:tcW w:w="1809" w:type="dxa"/>
          </w:tcPr>
          <w:p w14:paraId="4F456950" w14:textId="77777777" w:rsidR="00134CBE" w:rsidRDefault="00134CBE" w:rsidP="00CF5DAD">
            <w:r>
              <w:t>eGFR</w:t>
            </w:r>
          </w:p>
        </w:tc>
        <w:tc>
          <w:tcPr>
            <w:tcW w:w="6911" w:type="dxa"/>
          </w:tcPr>
          <w:p w14:paraId="34E5F66F" w14:textId="77777777" w:rsidR="00134CBE" w:rsidRDefault="00134CBE" w:rsidP="00CF5DAD">
            <w:r>
              <w:t>Estimated glomerular filtration rate</w:t>
            </w:r>
          </w:p>
        </w:tc>
      </w:tr>
      <w:tr w:rsidR="00134CBE" w:rsidRPr="00FD119B" w14:paraId="0CF37D5B" w14:textId="77777777" w:rsidTr="00FD119B">
        <w:tc>
          <w:tcPr>
            <w:tcW w:w="1809" w:type="dxa"/>
          </w:tcPr>
          <w:p w14:paraId="2BA5AE3A" w14:textId="77777777" w:rsidR="00134CBE" w:rsidRDefault="00134CBE" w:rsidP="00CF5DAD">
            <w:r>
              <w:t>EMA</w:t>
            </w:r>
          </w:p>
        </w:tc>
        <w:tc>
          <w:tcPr>
            <w:tcW w:w="6911" w:type="dxa"/>
          </w:tcPr>
          <w:p w14:paraId="0E19C050" w14:textId="77777777" w:rsidR="00134CBE" w:rsidRDefault="00134CBE" w:rsidP="00CF5DAD">
            <w:r>
              <w:t>European Medicines Agency (European Union)</w:t>
            </w:r>
          </w:p>
        </w:tc>
      </w:tr>
      <w:tr w:rsidR="00134CBE" w:rsidRPr="00FD119B" w14:paraId="3491D0F8" w14:textId="77777777" w:rsidTr="00FD119B">
        <w:tc>
          <w:tcPr>
            <w:tcW w:w="1809" w:type="dxa"/>
          </w:tcPr>
          <w:p w14:paraId="741CB9B0" w14:textId="77777777" w:rsidR="00134CBE" w:rsidRDefault="00134CBE" w:rsidP="00CF5DAD">
            <w:r>
              <w:t>EUA</w:t>
            </w:r>
          </w:p>
        </w:tc>
        <w:tc>
          <w:tcPr>
            <w:tcW w:w="6911" w:type="dxa"/>
          </w:tcPr>
          <w:p w14:paraId="0D0C8688" w14:textId="77777777" w:rsidR="00134CBE" w:rsidRDefault="00134CBE" w:rsidP="00CF5DAD">
            <w:r>
              <w:t>Emergency Use Authorization (United States of America)</w:t>
            </w:r>
          </w:p>
        </w:tc>
      </w:tr>
      <w:tr w:rsidR="00134CBE" w:rsidRPr="00FD119B" w14:paraId="61978022" w14:textId="77777777" w:rsidTr="00FD119B">
        <w:tc>
          <w:tcPr>
            <w:tcW w:w="1809" w:type="dxa"/>
          </w:tcPr>
          <w:p w14:paraId="590A9175" w14:textId="77777777" w:rsidR="00134CBE" w:rsidRDefault="00134CBE" w:rsidP="00CF5DAD">
            <w:r>
              <w:t>FDA</w:t>
            </w:r>
          </w:p>
        </w:tc>
        <w:tc>
          <w:tcPr>
            <w:tcW w:w="6911" w:type="dxa"/>
          </w:tcPr>
          <w:p w14:paraId="057B2DC5" w14:textId="77777777" w:rsidR="00134CBE" w:rsidRDefault="00134CBE" w:rsidP="00CF5DAD">
            <w:r>
              <w:t>Food and Drug Administration (United States of America)</w:t>
            </w:r>
          </w:p>
        </w:tc>
      </w:tr>
      <w:tr w:rsidR="00134CBE" w:rsidRPr="00FD119B" w14:paraId="770DCD5A" w14:textId="77777777" w:rsidTr="00FD119B">
        <w:tc>
          <w:tcPr>
            <w:tcW w:w="1809" w:type="dxa"/>
          </w:tcPr>
          <w:p w14:paraId="0C1B8095" w14:textId="77777777" w:rsidR="00134CBE" w:rsidRPr="00FD119B" w:rsidRDefault="00134CBE" w:rsidP="00CF5DAD">
            <w:r w:rsidRPr="00E73E32">
              <w:t>IC</w:t>
            </w:r>
            <w:r>
              <w:rPr>
                <w:vertAlign w:val="subscript"/>
              </w:rPr>
              <w:t>50</w:t>
            </w:r>
          </w:p>
        </w:tc>
        <w:tc>
          <w:tcPr>
            <w:tcW w:w="6911" w:type="dxa"/>
          </w:tcPr>
          <w:p w14:paraId="16207AA5" w14:textId="77777777" w:rsidR="00134CBE" w:rsidRPr="00FD119B" w:rsidRDefault="00134CBE" w:rsidP="00CF5DAD">
            <w:r>
              <w:t>50% maximal inhibitory concentration</w:t>
            </w:r>
          </w:p>
        </w:tc>
      </w:tr>
      <w:tr w:rsidR="00134CBE" w:rsidRPr="00FD119B" w14:paraId="15A0D668" w14:textId="77777777" w:rsidTr="00FD119B">
        <w:tc>
          <w:tcPr>
            <w:tcW w:w="1809" w:type="dxa"/>
          </w:tcPr>
          <w:p w14:paraId="678BE57C" w14:textId="77777777" w:rsidR="00134CBE" w:rsidRPr="00FD119B" w:rsidRDefault="00134CBE" w:rsidP="00CF5DAD">
            <w:r>
              <w:t>IM</w:t>
            </w:r>
          </w:p>
        </w:tc>
        <w:tc>
          <w:tcPr>
            <w:tcW w:w="6911" w:type="dxa"/>
          </w:tcPr>
          <w:p w14:paraId="7CEFC68C" w14:textId="77777777" w:rsidR="00134CBE" w:rsidRPr="00FD119B" w:rsidRDefault="00134CBE" w:rsidP="00CF5DAD">
            <w:r>
              <w:t>Intramuscular</w:t>
            </w:r>
          </w:p>
        </w:tc>
      </w:tr>
      <w:tr w:rsidR="00134CBE" w:rsidRPr="00FD119B" w14:paraId="77E91A34" w14:textId="77777777" w:rsidTr="00FD119B">
        <w:tc>
          <w:tcPr>
            <w:tcW w:w="1809" w:type="dxa"/>
          </w:tcPr>
          <w:p w14:paraId="564E1CD6" w14:textId="77777777" w:rsidR="00134CBE" w:rsidRPr="00FD119B" w:rsidRDefault="00134CBE" w:rsidP="00CF5DAD">
            <w:r>
              <w:t>IV</w:t>
            </w:r>
          </w:p>
        </w:tc>
        <w:tc>
          <w:tcPr>
            <w:tcW w:w="6911" w:type="dxa"/>
          </w:tcPr>
          <w:p w14:paraId="0DB51B68" w14:textId="77777777" w:rsidR="00134CBE" w:rsidRPr="00FD119B" w:rsidRDefault="00134CBE" w:rsidP="00CF5DAD">
            <w:r>
              <w:t>Intravenous</w:t>
            </w:r>
          </w:p>
        </w:tc>
      </w:tr>
      <w:tr w:rsidR="00134CBE" w:rsidRPr="00FD119B" w14:paraId="34D46A2A" w14:textId="77777777" w:rsidTr="00FD119B">
        <w:tc>
          <w:tcPr>
            <w:tcW w:w="1809" w:type="dxa"/>
          </w:tcPr>
          <w:p w14:paraId="449F2A49" w14:textId="77777777" w:rsidR="00134CBE" w:rsidRPr="00957133" w:rsidRDefault="00134CBE" w:rsidP="00CF5DAD">
            <w:pPr>
              <w:rPr>
                <w:vertAlign w:val="subscript"/>
              </w:rPr>
            </w:pPr>
            <w:r>
              <w:t>K</w:t>
            </w:r>
            <w:r>
              <w:rPr>
                <w:vertAlign w:val="subscript"/>
              </w:rPr>
              <w:t>a</w:t>
            </w:r>
          </w:p>
        </w:tc>
        <w:tc>
          <w:tcPr>
            <w:tcW w:w="6911" w:type="dxa"/>
          </w:tcPr>
          <w:p w14:paraId="292613DA" w14:textId="77777777" w:rsidR="00134CBE" w:rsidRDefault="00134CBE" w:rsidP="00CF5DAD">
            <w:r>
              <w:t>Absorption rate constant</w:t>
            </w:r>
          </w:p>
        </w:tc>
      </w:tr>
      <w:tr w:rsidR="00134CBE" w:rsidRPr="00FD119B" w14:paraId="77B18AB4" w14:textId="77777777" w:rsidTr="00FD119B">
        <w:tc>
          <w:tcPr>
            <w:tcW w:w="1809" w:type="dxa"/>
          </w:tcPr>
          <w:p w14:paraId="53F98A2C" w14:textId="77777777" w:rsidR="00134CBE" w:rsidRPr="00FD119B" w:rsidRDefault="00134CBE" w:rsidP="00CF5DAD">
            <w:r>
              <w:t>K</w:t>
            </w:r>
            <w:r w:rsidRPr="007200BF">
              <w:rPr>
                <w:vertAlign w:val="subscript"/>
              </w:rPr>
              <w:t>D</w:t>
            </w:r>
          </w:p>
        </w:tc>
        <w:tc>
          <w:tcPr>
            <w:tcW w:w="6911" w:type="dxa"/>
          </w:tcPr>
          <w:p w14:paraId="2736ADAD" w14:textId="77777777" w:rsidR="00134CBE" w:rsidRPr="00FD119B" w:rsidRDefault="00134CBE" w:rsidP="00CF5DAD">
            <w:r>
              <w:t>Dissociation constant</w:t>
            </w:r>
          </w:p>
        </w:tc>
      </w:tr>
      <w:tr w:rsidR="00134CBE" w:rsidRPr="00FD119B" w14:paraId="3404E115" w14:textId="77777777" w:rsidTr="00FD119B">
        <w:tc>
          <w:tcPr>
            <w:tcW w:w="1809" w:type="dxa"/>
          </w:tcPr>
          <w:p w14:paraId="712318D1" w14:textId="77777777" w:rsidR="00134CBE" w:rsidRDefault="00134CBE" w:rsidP="00CF5DAD">
            <w:r>
              <w:lastRenderedPageBreak/>
              <w:t>MHRA</w:t>
            </w:r>
          </w:p>
        </w:tc>
        <w:tc>
          <w:tcPr>
            <w:tcW w:w="6911" w:type="dxa"/>
          </w:tcPr>
          <w:p w14:paraId="6A7C0CD3" w14:textId="77777777" w:rsidR="00134CBE" w:rsidRDefault="00134CBE" w:rsidP="00CF5DAD">
            <w:r>
              <w:t>Medicines and Healthcare products Regulatory Agency (United Kingdom)</w:t>
            </w:r>
          </w:p>
        </w:tc>
      </w:tr>
      <w:tr w:rsidR="00134CBE" w:rsidRPr="00FD119B" w14:paraId="56367420" w14:textId="77777777" w:rsidTr="00FD119B">
        <w:tc>
          <w:tcPr>
            <w:tcW w:w="1809" w:type="dxa"/>
          </w:tcPr>
          <w:p w14:paraId="3A3BA1B8" w14:textId="77777777" w:rsidR="00134CBE" w:rsidRPr="00FD119B" w:rsidRDefault="00134CBE" w:rsidP="00CF5DAD">
            <w:r>
              <w:t>PD</w:t>
            </w:r>
          </w:p>
        </w:tc>
        <w:tc>
          <w:tcPr>
            <w:tcW w:w="6911" w:type="dxa"/>
          </w:tcPr>
          <w:p w14:paraId="1CB7E770" w14:textId="77777777" w:rsidR="00134CBE" w:rsidRPr="00FD119B" w:rsidRDefault="00134CBE" w:rsidP="00CF5DAD">
            <w:r>
              <w:t>Pharmacodynamic(s)</w:t>
            </w:r>
          </w:p>
        </w:tc>
      </w:tr>
      <w:tr w:rsidR="00134CBE" w:rsidRPr="00FD119B" w14:paraId="40064280" w14:textId="77777777" w:rsidTr="00FD119B">
        <w:tc>
          <w:tcPr>
            <w:tcW w:w="1809" w:type="dxa"/>
          </w:tcPr>
          <w:p w14:paraId="0211D18F" w14:textId="77777777" w:rsidR="00134CBE" w:rsidRDefault="00134CBE" w:rsidP="00CF5DAD">
            <w:r>
              <w:t>PI</w:t>
            </w:r>
          </w:p>
        </w:tc>
        <w:tc>
          <w:tcPr>
            <w:tcW w:w="6911" w:type="dxa"/>
          </w:tcPr>
          <w:p w14:paraId="00A11DF0" w14:textId="77777777" w:rsidR="00134CBE" w:rsidRDefault="00134CBE" w:rsidP="00CF5DAD">
            <w:r>
              <w:t>Product Information</w:t>
            </w:r>
          </w:p>
        </w:tc>
      </w:tr>
      <w:tr w:rsidR="00134CBE" w:rsidRPr="00FD119B" w14:paraId="3EA155B2" w14:textId="77777777" w:rsidTr="00FD119B">
        <w:tc>
          <w:tcPr>
            <w:tcW w:w="1809" w:type="dxa"/>
          </w:tcPr>
          <w:p w14:paraId="4B320FD2" w14:textId="77777777" w:rsidR="00134CBE" w:rsidRPr="00FD119B" w:rsidRDefault="00134CBE" w:rsidP="00CF5DAD">
            <w:r>
              <w:t>PK</w:t>
            </w:r>
          </w:p>
        </w:tc>
        <w:tc>
          <w:tcPr>
            <w:tcW w:w="6911" w:type="dxa"/>
          </w:tcPr>
          <w:p w14:paraId="5A95C487" w14:textId="77777777" w:rsidR="00134CBE" w:rsidRPr="00FD119B" w:rsidRDefault="00134CBE" w:rsidP="00CF5DAD">
            <w:r>
              <w:t>Pharmacokinetic(s)</w:t>
            </w:r>
          </w:p>
        </w:tc>
      </w:tr>
      <w:tr w:rsidR="00134CBE" w:rsidRPr="00FD119B" w14:paraId="6E83CAAF" w14:textId="77777777" w:rsidTr="00FD119B">
        <w:tc>
          <w:tcPr>
            <w:tcW w:w="1809" w:type="dxa"/>
          </w:tcPr>
          <w:p w14:paraId="4E6161A8" w14:textId="77777777" w:rsidR="00134CBE" w:rsidRDefault="00134CBE" w:rsidP="00CF5DAD">
            <w:proofErr w:type="spellStart"/>
            <w:r>
              <w:t>popPK</w:t>
            </w:r>
            <w:proofErr w:type="spellEnd"/>
          </w:p>
        </w:tc>
        <w:tc>
          <w:tcPr>
            <w:tcW w:w="6911" w:type="dxa"/>
          </w:tcPr>
          <w:p w14:paraId="08EC5BA0" w14:textId="77777777" w:rsidR="00134CBE" w:rsidRDefault="00134CBE" w:rsidP="00CF5DAD">
            <w:r>
              <w:t>Population pharmacokinetic(s)</w:t>
            </w:r>
          </w:p>
        </w:tc>
      </w:tr>
      <w:tr w:rsidR="00134CBE" w:rsidRPr="00FD119B" w14:paraId="0116E079" w14:textId="77777777" w:rsidTr="00FD119B">
        <w:tc>
          <w:tcPr>
            <w:tcW w:w="1809" w:type="dxa"/>
          </w:tcPr>
          <w:p w14:paraId="5103994E" w14:textId="77777777" w:rsidR="00134CBE" w:rsidRPr="00FD119B" w:rsidRDefault="00134CBE" w:rsidP="00CF5DAD">
            <w:proofErr w:type="spellStart"/>
            <w:r>
              <w:t>qRT</w:t>
            </w:r>
            <w:proofErr w:type="spellEnd"/>
            <w:r>
              <w:t>-PCR</w:t>
            </w:r>
          </w:p>
        </w:tc>
        <w:tc>
          <w:tcPr>
            <w:tcW w:w="6911" w:type="dxa"/>
          </w:tcPr>
          <w:p w14:paraId="121D1763" w14:textId="77777777" w:rsidR="00134CBE" w:rsidRPr="00FD119B" w:rsidRDefault="00134CBE" w:rsidP="00CF5DAD">
            <w:r>
              <w:t>Real-time quantitative reverse transcription polymerase chain reaction</w:t>
            </w:r>
          </w:p>
        </w:tc>
      </w:tr>
      <w:tr w:rsidR="00134CBE" w:rsidRPr="00FD119B" w14:paraId="246E6A87" w14:textId="77777777" w:rsidTr="00FD119B">
        <w:tc>
          <w:tcPr>
            <w:tcW w:w="1809" w:type="dxa"/>
          </w:tcPr>
          <w:p w14:paraId="65AE3B93" w14:textId="77777777" w:rsidR="00134CBE" w:rsidRDefault="00134CBE" w:rsidP="00CF5DAD">
            <w:r>
              <w:t>RMP</w:t>
            </w:r>
          </w:p>
        </w:tc>
        <w:tc>
          <w:tcPr>
            <w:tcW w:w="6911" w:type="dxa"/>
          </w:tcPr>
          <w:p w14:paraId="68306A64" w14:textId="77777777" w:rsidR="00134CBE" w:rsidRDefault="00134CBE" w:rsidP="00CF5DAD">
            <w:r>
              <w:t>Risk management plan</w:t>
            </w:r>
          </w:p>
        </w:tc>
      </w:tr>
      <w:tr w:rsidR="00134CBE" w:rsidRPr="00FD119B" w14:paraId="18B04E1F" w14:textId="77777777" w:rsidTr="00FD119B">
        <w:tc>
          <w:tcPr>
            <w:tcW w:w="1809" w:type="dxa"/>
          </w:tcPr>
          <w:p w14:paraId="3AF97B9C" w14:textId="77777777" w:rsidR="00134CBE" w:rsidRDefault="00134CBE" w:rsidP="00CF5DAD">
            <w:r>
              <w:t>RT-PCT</w:t>
            </w:r>
          </w:p>
        </w:tc>
        <w:tc>
          <w:tcPr>
            <w:tcW w:w="6911" w:type="dxa"/>
          </w:tcPr>
          <w:p w14:paraId="1007DCDA" w14:textId="77777777" w:rsidR="00134CBE" w:rsidRDefault="00134CBE" w:rsidP="00CF5DAD">
            <w:r>
              <w:t>Reverse transcription polymerase chain reaction</w:t>
            </w:r>
          </w:p>
        </w:tc>
      </w:tr>
      <w:tr w:rsidR="00134CBE" w:rsidRPr="00FD119B" w14:paraId="3F6F7A4A" w14:textId="77777777" w:rsidTr="00FD119B">
        <w:tc>
          <w:tcPr>
            <w:tcW w:w="1809" w:type="dxa"/>
          </w:tcPr>
          <w:p w14:paraId="3EB1B435" w14:textId="77777777" w:rsidR="00134CBE" w:rsidRPr="00FD119B" w:rsidRDefault="00134CBE" w:rsidP="00CF5DAD">
            <w:r>
              <w:t>SARS-CoV-2</w:t>
            </w:r>
          </w:p>
        </w:tc>
        <w:tc>
          <w:tcPr>
            <w:tcW w:w="6911" w:type="dxa"/>
          </w:tcPr>
          <w:p w14:paraId="425B30E4" w14:textId="77777777" w:rsidR="00134CBE" w:rsidRPr="00FD119B" w:rsidRDefault="00134CBE" w:rsidP="00CF5DAD">
            <w:r>
              <w:t>Severe acute respiratory syndrome coronavirus 2</w:t>
            </w:r>
          </w:p>
        </w:tc>
      </w:tr>
      <w:tr w:rsidR="00134CBE" w:rsidRPr="00FD119B" w14:paraId="4ACC9A26" w14:textId="77777777" w:rsidTr="00FD119B">
        <w:tc>
          <w:tcPr>
            <w:tcW w:w="1809" w:type="dxa"/>
          </w:tcPr>
          <w:p w14:paraId="32B32C18" w14:textId="77777777" w:rsidR="00134CBE" w:rsidRDefault="00134CBE" w:rsidP="00CF5DAD">
            <w:r w:rsidRPr="00ED66DB">
              <w:t>t</w:t>
            </w:r>
            <w:r w:rsidRPr="00ED66DB">
              <w:rPr>
                <w:vertAlign w:val="subscript"/>
              </w:rPr>
              <w:t>1/2</w:t>
            </w:r>
          </w:p>
        </w:tc>
        <w:tc>
          <w:tcPr>
            <w:tcW w:w="6911" w:type="dxa"/>
          </w:tcPr>
          <w:p w14:paraId="1EAF6BF0" w14:textId="77777777" w:rsidR="00134CBE" w:rsidRDefault="00134CBE" w:rsidP="00CF5DAD">
            <w:r>
              <w:t>Half life</w:t>
            </w:r>
          </w:p>
        </w:tc>
      </w:tr>
      <w:tr w:rsidR="00134CBE" w:rsidRPr="00FD119B" w14:paraId="5C6BA887" w14:textId="77777777" w:rsidTr="00FD119B">
        <w:tc>
          <w:tcPr>
            <w:tcW w:w="1809" w:type="dxa"/>
          </w:tcPr>
          <w:p w14:paraId="264273FB" w14:textId="77777777" w:rsidR="00134CBE" w:rsidRDefault="00134CBE" w:rsidP="00CF5DAD">
            <w:r w:rsidRPr="00ED66DB">
              <w:t>t</w:t>
            </w:r>
            <w:r w:rsidRPr="00ED66DB">
              <w:rPr>
                <w:vertAlign w:val="subscript"/>
              </w:rPr>
              <w:t>1/2λz</w:t>
            </w:r>
          </w:p>
        </w:tc>
        <w:tc>
          <w:tcPr>
            <w:tcW w:w="6911" w:type="dxa"/>
          </w:tcPr>
          <w:p w14:paraId="5E68254B" w14:textId="77777777" w:rsidR="00134CBE" w:rsidRDefault="00134CBE" w:rsidP="00CF5DAD">
            <w:r>
              <w:t>Terminal half life</w:t>
            </w:r>
          </w:p>
        </w:tc>
      </w:tr>
      <w:tr w:rsidR="00134CBE" w:rsidRPr="00FD119B" w14:paraId="6CCDBBD3" w14:textId="77777777" w:rsidTr="00FD119B">
        <w:tc>
          <w:tcPr>
            <w:tcW w:w="1809" w:type="dxa"/>
          </w:tcPr>
          <w:p w14:paraId="292D2DAB" w14:textId="77777777" w:rsidR="00134CBE" w:rsidRPr="00FD119B" w:rsidRDefault="00134CBE" w:rsidP="00CF5DAD">
            <w:proofErr w:type="spellStart"/>
            <w:r>
              <w:t>t</w:t>
            </w:r>
            <w:r w:rsidRPr="00ED66DB">
              <w:rPr>
                <w:vertAlign w:val="subscript"/>
              </w:rPr>
              <w:t>max</w:t>
            </w:r>
            <w:proofErr w:type="spellEnd"/>
          </w:p>
        </w:tc>
        <w:tc>
          <w:tcPr>
            <w:tcW w:w="6911" w:type="dxa"/>
          </w:tcPr>
          <w:p w14:paraId="453DBECE" w14:textId="77777777" w:rsidR="00134CBE" w:rsidRPr="00FD119B" w:rsidRDefault="00134CBE" w:rsidP="00CF5DAD">
            <w:r>
              <w:t>Time of maximum concentration</w:t>
            </w:r>
          </w:p>
        </w:tc>
      </w:tr>
      <w:tr w:rsidR="00134CBE" w:rsidRPr="00FD119B" w14:paraId="7A6C3545" w14:textId="77777777" w:rsidTr="00FD119B">
        <w:tc>
          <w:tcPr>
            <w:tcW w:w="1809" w:type="dxa"/>
          </w:tcPr>
          <w:p w14:paraId="2BAB896F" w14:textId="77777777" w:rsidR="00134CBE" w:rsidRDefault="00134CBE" w:rsidP="00CF5DAD">
            <w:r>
              <w:t>UK</w:t>
            </w:r>
          </w:p>
        </w:tc>
        <w:tc>
          <w:tcPr>
            <w:tcW w:w="6911" w:type="dxa"/>
          </w:tcPr>
          <w:p w14:paraId="6EC443DC" w14:textId="77777777" w:rsidR="00134CBE" w:rsidRDefault="00134CBE" w:rsidP="00CF5DAD">
            <w:r>
              <w:t>United Kingdom</w:t>
            </w:r>
          </w:p>
        </w:tc>
      </w:tr>
      <w:tr w:rsidR="00134CBE" w:rsidRPr="00FD119B" w14:paraId="7A3364EB" w14:textId="77777777" w:rsidTr="00FD119B">
        <w:tc>
          <w:tcPr>
            <w:tcW w:w="1809" w:type="dxa"/>
          </w:tcPr>
          <w:p w14:paraId="24449D11" w14:textId="77777777" w:rsidR="00134CBE" w:rsidRDefault="00134CBE" w:rsidP="00CF5DAD">
            <w:r>
              <w:t>US(A)</w:t>
            </w:r>
          </w:p>
        </w:tc>
        <w:tc>
          <w:tcPr>
            <w:tcW w:w="6911" w:type="dxa"/>
          </w:tcPr>
          <w:p w14:paraId="774A5889" w14:textId="77777777" w:rsidR="00134CBE" w:rsidRDefault="00134CBE" w:rsidP="00CF5DAD">
            <w:r>
              <w:t>United States (of America)</w:t>
            </w:r>
          </w:p>
        </w:tc>
      </w:tr>
    </w:tbl>
    <w:p w14:paraId="4F36143E" w14:textId="77777777" w:rsidR="00FD119B" w:rsidRDefault="00FD119B" w:rsidP="00FD119B"/>
    <w:p w14:paraId="68B37E64"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904A36F" w14:textId="77777777" w:rsidR="008E7846" w:rsidRDefault="00F53C07" w:rsidP="008E7846">
      <w:pPr>
        <w:pStyle w:val="Heading2"/>
      </w:pPr>
      <w:bookmarkStart w:id="8" w:name="_Toc97646294"/>
      <w:r>
        <w:lastRenderedPageBreak/>
        <w:t>I.</w:t>
      </w:r>
      <w:r w:rsidR="008E7846">
        <w:t xml:space="preserve"> Introduction to product submission</w:t>
      </w:r>
      <w:bookmarkEnd w:id="8"/>
      <w:bookmarkEnd w:id="2"/>
      <w:bookmarkEnd w:id="0"/>
    </w:p>
    <w:p w14:paraId="51FEC2BF" w14:textId="77777777" w:rsidR="008E7846" w:rsidRDefault="008E7846" w:rsidP="008E7846">
      <w:pPr>
        <w:pStyle w:val="Heading3"/>
        <w:rPr>
          <w:lang w:eastAsia="en-AU"/>
        </w:rPr>
      </w:pPr>
      <w:bookmarkStart w:id="9" w:name="_Toc247691502"/>
      <w:bookmarkStart w:id="10" w:name="_Toc314842483"/>
      <w:bookmarkStart w:id="11" w:name="_Toc97646295"/>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3DBEB599" w14:textId="77777777" w:rsidTr="003735BC">
        <w:tc>
          <w:tcPr>
            <w:tcW w:w="2907" w:type="dxa"/>
          </w:tcPr>
          <w:p w14:paraId="35820908"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8A1441B" w14:textId="77777777" w:rsidR="008E7846" w:rsidRPr="003D1E62" w:rsidRDefault="008E7846" w:rsidP="001C46E8">
            <w:r w:rsidRPr="003D1E62">
              <w:t xml:space="preserve">New </w:t>
            </w:r>
            <w:r w:rsidR="001C46E8">
              <w:t>biological entity</w:t>
            </w:r>
          </w:p>
        </w:tc>
      </w:tr>
      <w:tr w:rsidR="00460036" w:rsidRPr="003D1E62" w14:paraId="2CF2C77A" w14:textId="77777777" w:rsidTr="003735BC">
        <w:tc>
          <w:tcPr>
            <w:tcW w:w="2907" w:type="dxa"/>
          </w:tcPr>
          <w:p w14:paraId="584976BD" w14:textId="77777777" w:rsidR="00460036" w:rsidRPr="003D1E62" w:rsidRDefault="001C46E8" w:rsidP="003D1E62">
            <w:pPr>
              <w:rPr>
                <w:i/>
              </w:rPr>
            </w:pPr>
            <w:r>
              <w:rPr>
                <w:i/>
              </w:rPr>
              <w:t>Product name</w:t>
            </w:r>
            <w:r w:rsidR="00460036" w:rsidRPr="00460036">
              <w:rPr>
                <w:i/>
              </w:rPr>
              <w:t>:</w:t>
            </w:r>
          </w:p>
        </w:tc>
        <w:tc>
          <w:tcPr>
            <w:tcW w:w="6307" w:type="dxa"/>
          </w:tcPr>
          <w:p w14:paraId="155D076E" w14:textId="77777777" w:rsidR="00460036" w:rsidRPr="003D1E62" w:rsidRDefault="001C46E8" w:rsidP="001B5C90">
            <w:proofErr w:type="spellStart"/>
            <w:r>
              <w:t>Evusheld</w:t>
            </w:r>
            <w:proofErr w:type="spellEnd"/>
          </w:p>
        </w:tc>
      </w:tr>
      <w:tr w:rsidR="00460036" w:rsidRPr="003D1E62" w14:paraId="00C0E326" w14:textId="77777777" w:rsidTr="003735BC">
        <w:tc>
          <w:tcPr>
            <w:tcW w:w="2907" w:type="dxa"/>
          </w:tcPr>
          <w:p w14:paraId="78DB55DA" w14:textId="77777777" w:rsidR="00460036" w:rsidRPr="003D1E62" w:rsidRDefault="001C46E8" w:rsidP="003D1E62">
            <w:pPr>
              <w:rPr>
                <w:i/>
              </w:rPr>
            </w:pPr>
            <w:r>
              <w:rPr>
                <w:i/>
              </w:rPr>
              <w:t>Active ingredients</w:t>
            </w:r>
            <w:r w:rsidR="00460036" w:rsidRPr="00460036">
              <w:rPr>
                <w:i/>
              </w:rPr>
              <w:t>:</w:t>
            </w:r>
          </w:p>
        </w:tc>
        <w:tc>
          <w:tcPr>
            <w:tcW w:w="6307" w:type="dxa"/>
          </w:tcPr>
          <w:p w14:paraId="117997CA" w14:textId="77777777" w:rsidR="00460036" w:rsidRPr="003D1E62" w:rsidRDefault="001C46E8" w:rsidP="001B5C90">
            <w:proofErr w:type="spellStart"/>
            <w:r>
              <w:t>T</w:t>
            </w:r>
            <w:r w:rsidRPr="000E1222">
              <w:t>ixagevimab</w:t>
            </w:r>
            <w:proofErr w:type="spellEnd"/>
            <w:r>
              <w:t xml:space="preserve"> and </w:t>
            </w:r>
            <w:proofErr w:type="spellStart"/>
            <w:r>
              <w:t>cilgavimab</w:t>
            </w:r>
            <w:proofErr w:type="spellEnd"/>
          </w:p>
        </w:tc>
      </w:tr>
      <w:tr w:rsidR="008E7846" w:rsidRPr="003D1E62" w14:paraId="0E9933C4" w14:textId="77777777" w:rsidTr="003735BC">
        <w:tc>
          <w:tcPr>
            <w:tcW w:w="2907" w:type="dxa"/>
          </w:tcPr>
          <w:p w14:paraId="02D6D637" w14:textId="77777777" w:rsidR="008E7846" w:rsidRPr="005E3688" w:rsidRDefault="008E7846" w:rsidP="003D1E62">
            <w:r w:rsidRPr="005E3688">
              <w:rPr>
                <w:i/>
              </w:rPr>
              <w:t>Decision</w:t>
            </w:r>
            <w:r w:rsidRPr="005E3688">
              <w:t>:</w:t>
            </w:r>
          </w:p>
        </w:tc>
        <w:tc>
          <w:tcPr>
            <w:tcW w:w="6307" w:type="dxa"/>
          </w:tcPr>
          <w:p w14:paraId="06E4B24F" w14:textId="4B2723B5" w:rsidR="008E7846" w:rsidRPr="005E3688" w:rsidRDefault="00460036" w:rsidP="001B5C90">
            <w:r w:rsidRPr="005E3688">
              <w:t>Approved for provisional registration</w:t>
            </w:r>
          </w:p>
        </w:tc>
      </w:tr>
      <w:tr w:rsidR="008E7846" w:rsidRPr="003D1E62" w14:paraId="6A39242E" w14:textId="77777777" w:rsidTr="003735BC">
        <w:tc>
          <w:tcPr>
            <w:tcW w:w="2907" w:type="dxa"/>
          </w:tcPr>
          <w:p w14:paraId="26638DBD"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54415A7C" w14:textId="7052AC6A" w:rsidR="008E7846" w:rsidRPr="003D1E62" w:rsidRDefault="00D7566E" w:rsidP="001B5C90">
            <w:r>
              <w:t>24 February 2022</w:t>
            </w:r>
          </w:p>
        </w:tc>
      </w:tr>
      <w:tr w:rsidR="00ED2922" w:rsidRPr="003D1E62" w14:paraId="5B3300F4" w14:textId="77777777" w:rsidTr="003735BC">
        <w:tc>
          <w:tcPr>
            <w:tcW w:w="2907" w:type="dxa"/>
          </w:tcPr>
          <w:p w14:paraId="2D2DF073" w14:textId="77777777" w:rsidR="00ED2922" w:rsidRPr="00441C3F" w:rsidRDefault="00ED2922" w:rsidP="001B5C90">
            <w:pPr>
              <w:rPr>
                <w:i/>
              </w:rPr>
            </w:pPr>
            <w:r w:rsidRPr="00441C3F">
              <w:rPr>
                <w:i/>
              </w:rPr>
              <w:t>Date of entry onto ARTG</w:t>
            </w:r>
            <w:r w:rsidR="00500337">
              <w:rPr>
                <w:i/>
              </w:rPr>
              <w:t>:</w:t>
            </w:r>
          </w:p>
        </w:tc>
        <w:tc>
          <w:tcPr>
            <w:tcW w:w="6307" w:type="dxa"/>
          </w:tcPr>
          <w:p w14:paraId="566E294B" w14:textId="2A88C6BF" w:rsidR="00ED2922" w:rsidRPr="00441C3F" w:rsidRDefault="00AB78B2" w:rsidP="00D153D8">
            <w:pPr>
              <w:rPr>
                <w:i/>
              </w:rPr>
            </w:pPr>
            <w:r>
              <w:t>26 February 2022</w:t>
            </w:r>
          </w:p>
        </w:tc>
      </w:tr>
      <w:tr w:rsidR="00500337" w:rsidRPr="003D1E62" w14:paraId="179FB536" w14:textId="77777777" w:rsidTr="003735BC">
        <w:tc>
          <w:tcPr>
            <w:tcW w:w="2907" w:type="dxa"/>
          </w:tcPr>
          <w:p w14:paraId="4EB88142" w14:textId="77777777" w:rsidR="00500337" w:rsidRPr="00441C3F" w:rsidRDefault="001C46E8" w:rsidP="001B5C90">
            <w:pPr>
              <w:rPr>
                <w:i/>
              </w:rPr>
            </w:pPr>
            <w:r>
              <w:rPr>
                <w:i/>
              </w:rPr>
              <w:t>ARTG number</w:t>
            </w:r>
            <w:r w:rsidR="00500337">
              <w:rPr>
                <w:i/>
              </w:rPr>
              <w:t>:</w:t>
            </w:r>
          </w:p>
        </w:tc>
        <w:tc>
          <w:tcPr>
            <w:tcW w:w="6307" w:type="dxa"/>
          </w:tcPr>
          <w:p w14:paraId="17439B0B" w14:textId="0FE9075E" w:rsidR="00500337" w:rsidRPr="00441C3F" w:rsidRDefault="005E3688" w:rsidP="00EC463D">
            <w:r>
              <w:t>378245</w:t>
            </w:r>
          </w:p>
        </w:tc>
      </w:tr>
      <w:tr w:rsidR="003735BC" w:rsidRPr="003D1E62" w14:paraId="61F16651" w14:textId="77777777" w:rsidTr="003735BC">
        <w:tc>
          <w:tcPr>
            <w:tcW w:w="2907" w:type="dxa"/>
          </w:tcPr>
          <w:p w14:paraId="64F7A5A4"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2"/>
            </w:r>
          </w:p>
        </w:tc>
        <w:tc>
          <w:tcPr>
            <w:tcW w:w="6307" w:type="dxa"/>
          </w:tcPr>
          <w:p w14:paraId="0B9A7A4B" w14:textId="206EA3F1" w:rsidR="003735BC" w:rsidRDefault="003735BC" w:rsidP="003735BC">
            <w:r>
              <w:t>Yes</w:t>
            </w:r>
          </w:p>
          <w:p w14:paraId="4B0A371E" w14:textId="4F94161D" w:rsidR="003735BC" w:rsidRPr="00487162" w:rsidRDefault="003735BC" w:rsidP="003735BC">
            <w:r>
              <w:t>As a provisionally registered product, this medicine will remain in the Black Triangle Scheme for the duration of its provisional registration</w:t>
            </w:r>
          </w:p>
        </w:tc>
      </w:tr>
    </w:tbl>
    <w:p w14:paraId="04EF2B43"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28FB5A83" w14:textId="77777777" w:rsidTr="00BF1190">
        <w:tc>
          <w:tcPr>
            <w:tcW w:w="2907" w:type="dxa"/>
          </w:tcPr>
          <w:p w14:paraId="665B6A27"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4EFE644" w14:textId="77777777" w:rsidR="00B047F6" w:rsidRDefault="00B047F6" w:rsidP="00B047F6">
            <w:r>
              <w:t>AstraZeneca Pty Ltd</w:t>
            </w:r>
          </w:p>
          <w:p w14:paraId="48BDB4C9" w14:textId="77777777" w:rsidR="00B047F6" w:rsidRDefault="00B047F6" w:rsidP="00B047F6">
            <w:r>
              <w:t>66 Talavera Road</w:t>
            </w:r>
          </w:p>
          <w:p w14:paraId="5C043894" w14:textId="5C3D5DB5" w:rsidR="008E7846" w:rsidRPr="00487162" w:rsidRDefault="00B047F6" w:rsidP="00B047F6">
            <w:r>
              <w:t>Macquarie Park, NSW 2113</w:t>
            </w:r>
          </w:p>
        </w:tc>
      </w:tr>
      <w:tr w:rsidR="008E7846" w:rsidRPr="00487162" w14:paraId="3642E3D7" w14:textId="77777777" w:rsidTr="00BF1190">
        <w:tc>
          <w:tcPr>
            <w:tcW w:w="2907" w:type="dxa"/>
          </w:tcPr>
          <w:p w14:paraId="4DCC17C6" w14:textId="77777777" w:rsidR="008E7846" w:rsidRPr="00487162" w:rsidRDefault="001B5C90" w:rsidP="00E45619">
            <w:pPr>
              <w:rPr>
                <w:i/>
              </w:rPr>
            </w:pPr>
            <w:r>
              <w:rPr>
                <w:i/>
              </w:rPr>
              <w:t>Dose</w:t>
            </w:r>
            <w:r w:rsidR="00B90C21">
              <w:rPr>
                <w:i/>
              </w:rPr>
              <w:t xml:space="preserve"> form</w:t>
            </w:r>
            <w:r>
              <w:rPr>
                <w:i/>
              </w:rPr>
              <w:t>:</w:t>
            </w:r>
          </w:p>
        </w:tc>
        <w:tc>
          <w:tcPr>
            <w:tcW w:w="6307" w:type="dxa"/>
          </w:tcPr>
          <w:p w14:paraId="29B8EC02" w14:textId="77777777" w:rsidR="008E7846" w:rsidRPr="00487162" w:rsidRDefault="00B90C21" w:rsidP="00E45619">
            <w:r>
              <w:t>Solution for injection</w:t>
            </w:r>
          </w:p>
        </w:tc>
      </w:tr>
      <w:tr w:rsidR="008E7846" w:rsidRPr="00487162" w14:paraId="7965EB59" w14:textId="77777777" w:rsidTr="00BF1190">
        <w:tc>
          <w:tcPr>
            <w:tcW w:w="2907" w:type="dxa"/>
          </w:tcPr>
          <w:p w14:paraId="3F2B8426" w14:textId="77777777" w:rsidR="008E7846" w:rsidRPr="00487162" w:rsidRDefault="00B90C21" w:rsidP="00E45619">
            <w:pPr>
              <w:rPr>
                <w:i/>
              </w:rPr>
            </w:pPr>
            <w:r>
              <w:rPr>
                <w:i/>
              </w:rPr>
              <w:t>Strength</w:t>
            </w:r>
            <w:r w:rsidR="00324E45">
              <w:rPr>
                <w:i/>
              </w:rPr>
              <w:t>:</w:t>
            </w:r>
          </w:p>
        </w:tc>
        <w:tc>
          <w:tcPr>
            <w:tcW w:w="6307" w:type="dxa"/>
          </w:tcPr>
          <w:p w14:paraId="037985DE" w14:textId="77777777" w:rsidR="008E7846" w:rsidRDefault="00B90C21" w:rsidP="00E45619">
            <w:r>
              <w:t xml:space="preserve">100 mg/mL (150 mg) </w:t>
            </w:r>
            <w:proofErr w:type="spellStart"/>
            <w:r w:rsidRPr="00D070E1">
              <w:t>tixagevimab</w:t>
            </w:r>
            <w:proofErr w:type="spellEnd"/>
          </w:p>
          <w:p w14:paraId="681143E1" w14:textId="77777777" w:rsidR="00B90C21" w:rsidRPr="00487162" w:rsidRDefault="00B90C21" w:rsidP="00E45619">
            <w:r>
              <w:t xml:space="preserve">100 mg/mL (150 mg) </w:t>
            </w:r>
            <w:proofErr w:type="spellStart"/>
            <w:r w:rsidRPr="00D070E1">
              <w:t>cilgavimab</w:t>
            </w:r>
            <w:proofErr w:type="spellEnd"/>
          </w:p>
        </w:tc>
      </w:tr>
      <w:tr w:rsidR="008E7846" w:rsidRPr="00487162" w14:paraId="6EE4DDDC" w14:textId="77777777" w:rsidTr="00BF1190">
        <w:tc>
          <w:tcPr>
            <w:tcW w:w="2907" w:type="dxa"/>
          </w:tcPr>
          <w:p w14:paraId="5602A2A7" w14:textId="046872B8" w:rsidR="008E7846" w:rsidRPr="00487162" w:rsidRDefault="008E7846" w:rsidP="00E45619">
            <w:pPr>
              <w:rPr>
                <w:i/>
              </w:rPr>
            </w:pPr>
            <w:r w:rsidRPr="00487162">
              <w:rPr>
                <w:i/>
              </w:rPr>
              <w:t>Container:</w:t>
            </w:r>
          </w:p>
        </w:tc>
        <w:tc>
          <w:tcPr>
            <w:tcW w:w="6307" w:type="dxa"/>
          </w:tcPr>
          <w:p w14:paraId="3E26BB1B" w14:textId="77777777" w:rsidR="008E7846" w:rsidRPr="00487162" w:rsidRDefault="00B90C21" w:rsidP="00E45619">
            <w:r>
              <w:t>Vial</w:t>
            </w:r>
          </w:p>
        </w:tc>
      </w:tr>
      <w:tr w:rsidR="008E7846" w:rsidRPr="00487162" w14:paraId="0EA13062" w14:textId="77777777" w:rsidTr="00BF1190">
        <w:tc>
          <w:tcPr>
            <w:tcW w:w="2907" w:type="dxa"/>
          </w:tcPr>
          <w:p w14:paraId="5D204611" w14:textId="191CFA84" w:rsidR="008E7846" w:rsidRPr="00487162" w:rsidRDefault="008E7846" w:rsidP="00E45619">
            <w:pPr>
              <w:rPr>
                <w:i/>
              </w:rPr>
            </w:pPr>
            <w:r w:rsidRPr="00487162">
              <w:rPr>
                <w:i/>
              </w:rPr>
              <w:t>Pack size:</w:t>
            </w:r>
          </w:p>
        </w:tc>
        <w:tc>
          <w:tcPr>
            <w:tcW w:w="6307" w:type="dxa"/>
          </w:tcPr>
          <w:p w14:paraId="3A2CF1D6" w14:textId="77777777" w:rsidR="00B90C21" w:rsidRDefault="00B90C21" w:rsidP="00B90C21">
            <w:r w:rsidRPr="00B90C21">
              <w:t>Each</w:t>
            </w:r>
            <w:r>
              <w:t xml:space="preserve"> carton of </w:t>
            </w:r>
            <w:proofErr w:type="spellStart"/>
            <w:r>
              <w:t>Evusheld</w:t>
            </w:r>
            <w:proofErr w:type="spellEnd"/>
            <w:r>
              <w:t xml:space="preserve"> contains two vials:</w:t>
            </w:r>
          </w:p>
          <w:p w14:paraId="69467BA7" w14:textId="77777777" w:rsidR="00B90C21" w:rsidRPr="00D070E1" w:rsidRDefault="00B90C21" w:rsidP="00B90C21">
            <w:pPr>
              <w:pStyle w:val="ListBullet"/>
            </w:pPr>
            <w:r w:rsidRPr="00D070E1">
              <w:t xml:space="preserve">150 mg of </w:t>
            </w:r>
            <w:proofErr w:type="spellStart"/>
            <w:r w:rsidRPr="00D070E1">
              <w:t>tixagevimab</w:t>
            </w:r>
            <w:proofErr w:type="spellEnd"/>
            <w:r w:rsidRPr="00D070E1">
              <w:t xml:space="preserve"> in 1.5 mL (100 mg/mL)</w:t>
            </w:r>
          </w:p>
          <w:p w14:paraId="5002987F" w14:textId="77777777" w:rsidR="008E7846" w:rsidRPr="00487162" w:rsidRDefault="00B90C21" w:rsidP="00B90C21">
            <w:pPr>
              <w:pStyle w:val="ListBullet"/>
            </w:pPr>
            <w:r w:rsidRPr="00D070E1">
              <w:t xml:space="preserve">150 mg of </w:t>
            </w:r>
            <w:proofErr w:type="spellStart"/>
            <w:r w:rsidRPr="00D070E1">
              <w:t>cilgavimab</w:t>
            </w:r>
            <w:proofErr w:type="spellEnd"/>
            <w:r w:rsidRPr="00D070E1">
              <w:t xml:space="preserve"> in 1.5 mL (100 mg/mL)</w:t>
            </w:r>
          </w:p>
        </w:tc>
      </w:tr>
      <w:tr w:rsidR="008E7846" w:rsidRPr="00487162" w14:paraId="76CDBA1B" w14:textId="77777777" w:rsidTr="00BF1190">
        <w:tc>
          <w:tcPr>
            <w:tcW w:w="2907" w:type="dxa"/>
          </w:tcPr>
          <w:p w14:paraId="58C9D6D3"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86FEE1C" w14:textId="097EE5D2" w:rsidR="00D7566E" w:rsidRPr="005E3688" w:rsidRDefault="00D7566E" w:rsidP="005E3688">
            <w:pPr>
              <w:rPr>
                <w:i/>
                <w:iCs/>
              </w:rPr>
            </w:pPr>
            <w:proofErr w:type="spellStart"/>
            <w:r w:rsidRPr="005E3688">
              <w:rPr>
                <w:i/>
                <w:iCs/>
              </w:rPr>
              <w:t>Evusheld</w:t>
            </w:r>
            <w:proofErr w:type="spellEnd"/>
            <w:r w:rsidRPr="005E3688">
              <w:rPr>
                <w:i/>
                <w:iCs/>
              </w:rPr>
              <w:t xml:space="preserve"> (</w:t>
            </w:r>
            <w:proofErr w:type="spellStart"/>
            <w:r w:rsidRPr="005E3688">
              <w:rPr>
                <w:i/>
                <w:iCs/>
              </w:rPr>
              <w:t>tixagevimab</w:t>
            </w:r>
            <w:proofErr w:type="spellEnd"/>
            <w:r w:rsidRPr="005E3688">
              <w:rPr>
                <w:i/>
                <w:iCs/>
              </w:rPr>
              <w:t xml:space="preserve"> and </w:t>
            </w:r>
            <w:proofErr w:type="spellStart"/>
            <w:r w:rsidRPr="005E3688">
              <w:rPr>
                <w:i/>
                <w:iCs/>
              </w:rPr>
              <w:t>cilgavimab</w:t>
            </w:r>
            <w:proofErr w:type="spellEnd"/>
            <w:r w:rsidRPr="005E3688">
              <w:rPr>
                <w:i/>
                <w:iCs/>
              </w:rPr>
              <w:t xml:space="preserve">) has </w:t>
            </w:r>
            <w:r w:rsidRPr="005E3688">
              <w:rPr>
                <w:b/>
                <w:bCs/>
                <w:i/>
                <w:iCs/>
              </w:rPr>
              <w:t>provisional approval</w:t>
            </w:r>
            <w:r w:rsidRPr="005E3688">
              <w:rPr>
                <w:i/>
                <w:iCs/>
              </w:rPr>
              <w:t xml:space="preserve"> for the </w:t>
            </w:r>
            <w:r w:rsidRPr="005E3688">
              <w:rPr>
                <w:b/>
                <w:bCs/>
                <w:i/>
                <w:iCs/>
              </w:rPr>
              <w:t>pre-exposure</w:t>
            </w:r>
            <w:r w:rsidR="005E3688" w:rsidRPr="005E3688">
              <w:rPr>
                <w:b/>
                <w:bCs/>
                <w:i/>
                <w:iCs/>
              </w:rPr>
              <w:t xml:space="preserve"> </w:t>
            </w:r>
            <w:r w:rsidRPr="005E3688">
              <w:rPr>
                <w:b/>
                <w:bCs/>
                <w:i/>
                <w:iCs/>
              </w:rPr>
              <w:t>prophylaxis</w:t>
            </w:r>
            <w:r w:rsidRPr="005E3688">
              <w:rPr>
                <w:i/>
                <w:iCs/>
              </w:rPr>
              <w:t xml:space="preserve"> of COVID-19 in adults and adolescents aged 12 years and older weighing at least</w:t>
            </w:r>
            <w:r w:rsidR="005E3688" w:rsidRPr="005E3688">
              <w:rPr>
                <w:i/>
                <w:iCs/>
              </w:rPr>
              <w:t xml:space="preserve"> </w:t>
            </w:r>
            <w:r w:rsidRPr="005E3688">
              <w:rPr>
                <w:i/>
                <w:iCs/>
              </w:rPr>
              <w:t>40 kg,</w:t>
            </w:r>
          </w:p>
          <w:p w14:paraId="7014822F" w14:textId="4EFFA4EE" w:rsidR="00D7566E" w:rsidRPr="005E3688" w:rsidRDefault="00D7566E" w:rsidP="005E3688">
            <w:pPr>
              <w:pStyle w:val="ListBullet"/>
              <w:rPr>
                <w:i/>
                <w:iCs/>
              </w:rPr>
            </w:pPr>
            <w:r w:rsidRPr="005E3688">
              <w:rPr>
                <w:i/>
                <w:iCs/>
              </w:rPr>
              <w:lastRenderedPageBreak/>
              <w:t>Who have moderate to severe immune compromise due to a medical condition or receipt of</w:t>
            </w:r>
            <w:r w:rsidR="005E3688" w:rsidRPr="005E3688">
              <w:rPr>
                <w:i/>
                <w:iCs/>
              </w:rPr>
              <w:t xml:space="preserve"> </w:t>
            </w:r>
            <w:r w:rsidRPr="005E3688">
              <w:rPr>
                <w:i/>
                <w:iCs/>
              </w:rPr>
              <w:t>immunosuppressive medications or treatments that make it likely that they will not mount an</w:t>
            </w:r>
            <w:r w:rsidR="005E3688" w:rsidRPr="005E3688">
              <w:rPr>
                <w:i/>
                <w:iCs/>
              </w:rPr>
              <w:t xml:space="preserve"> </w:t>
            </w:r>
            <w:r w:rsidRPr="005E3688">
              <w:rPr>
                <w:i/>
                <w:iCs/>
              </w:rPr>
              <w:t xml:space="preserve">adequate immune response to COVID-19 vaccination </w:t>
            </w:r>
            <w:proofErr w:type="gramStart"/>
            <w:r w:rsidRPr="005E3688">
              <w:rPr>
                <w:i/>
                <w:iCs/>
              </w:rPr>
              <w:t>or</w:t>
            </w:r>
            <w:proofErr w:type="gramEnd"/>
          </w:p>
          <w:p w14:paraId="4AE0A929" w14:textId="50B6F5A4" w:rsidR="00D7566E" w:rsidRPr="005E3688" w:rsidRDefault="00D7566E" w:rsidP="005E3688">
            <w:pPr>
              <w:pStyle w:val="ListBullet"/>
            </w:pPr>
            <w:r w:rsidRPr="005E3688">
              <w:rPr>
                <w:i/>
                <w:iCs/>
              </w:rPr>
              <w:t>For whom vaccination with any approved COVID-19 vaccine is</w:t>
            </w:r>
            <w:r w:rsidR="005E3688" w:rsidRPr="005E3688">
              <w:rPr>
                <w:i/>
                <w:iCs/>
              </w:rPr>
              <w:t xml:space="preserve"> </w:t>
            </w:r>
            <w:r w:rsidRPr="005E3688">
              <w:rPr>
                <w:i/>
                <w:iCs/>
              </w:rPr>
              <w:t>not recommended due to a</w:t>
            </w:r>
            <w:r w:rsidR="005E3688" w:rsidRPr="005E3688">
              <w:rPr>
                <w:i/>
                <w:iCs/>
              </w:rPr>
              <w:t xml:space="preserve"> </w:t>
            </w:r>
            <w:r w:rsidRPr="005E3688">
              <w:rPr>
                <w:i/>
                <w:iCs/>
              </w:rPr>
              <w:t>history of severe adverse reaction (</w:t>
            </w:r>
            <w:r w:rsidR="005E3688" w:rsidRPr="005E3688">
              <w:rPr>
                <w:i/>
                <w:iCs/>
              </w:rPr>
              <w:t>for example</w:t>
            </w:r>
            <w:r w:rsidRPr="005E3688">
              <w:rPr>
                <w:i/>
                <w:iCs/>
              </w:rPr>
              <w:t>., severe allergic reaction) to a COVID-19 vaccine(s)</w:t>
            </w:r>
            <w:r w:rsidR="005E3688" w:rsidRPr="005E3688">
              <w:rPr>
                <w:i/>
                <w:iCs/>
              </w:rPr>
              <w:t xml:space="preserve"> </w:t>
            </w:r>
            <w:r w:rsidRPr="005E3688">
              <w:rPr>
                <w:i/>
                <w:iCs/>
              </w:rPr>
              <w:t>and/or COVID‐19 vaccine component(s).</w:t>
            </w:r>
          </w:p>
          <w:p w14:paraId="27C65400" w14:textId="77777777" w:rsidR="00D7566E" w:rsidRPr="005E3688" w:rsidRDefault="00D7566E" w:rsidP="005E3688">
            <w:pPr>
              <w:rPr>
                <w:i/>
                <w:iCs/>
              </w:rPr>
            </w:pPr>
            <w:r w:rsidRPr="005E3688">
              <w:rPr>
                <w:i/>
                <w:iCs/>
              </w:rPr>
              <w:t>See Section 4.2 Dose and method of administration and Section 5.2 Pharmacokinetic properties.</w:t>
            </w:r>
          </w:p>
          <w:p w14:paraId="27BBCA72" w14:textId="44933BB9" w:rsidR="00D7566E" w:rsidRPr="005E3688" w:rsidRDefault="00D7566E" w:rsidP="005E3688">
            <w:pPr>
              <w:rPr>
                <w:b/>
                <w:bCs/>
                <w:i/>
                <w:iCs/>
              </w:rPr>
            </w:pPr>
            <w:proofErr w:type="spellStart"/>
            <w:r w:rsidRPr="005E3688">
              <w:rPr>
                <w:b/>
                <w:bCs/>
                <w:i/>
                <w:iCs/>
              </w:rPr>
              <w:t>E</w:t>
            </w:r>
            <w:r w:rsidR="005E3688" w:rsidRPr="005E3688">
              <w:rPr>
                <w:b/>
                <w:bCs/>
                <w:i/>
                <w:iCs/>
              </w:rPr>
              <w:t>vusheld</w:t>
            </w:r>
            <w:proofErr w:type="spellEnd"/>
            <w:r w:rsidRPr="005E3688">
              <w:rPr>
                <w:b/>
                <w:bCs/>
                <w:i/>
                <w:iCs/>
              </w:rPr>
              <w:t xml:space="preserve"> is not recommended as a substitute for vaccination in individuals for whom</w:t>
            </w:r>
            <w:r w:rsidR="005E3688" w:rsidRPr="005E3688">
              <w:rPr>
                <w:b/>
                <w:bCs/>
                <w:i/>
                <w:iCs/>
              </w:rPr>
              <w:t xml:space="preserve"> </w:t>
            </w:r>
            <w:r w:rsidRPr="005E3688">
              <w:rPr>
                <w:b/>
                <w:bCs/>
                <w:i/>
                <w:iCs/>
              </w:rPr>
              <w:t>COVID-19 vaccination is recommended.</w:t>
            </w:r>
          </w:p>
          <w:p w14:paraId="52433178" w14:textId="6181B649" w:rsidR="008E7846" w:rsidRPr="005E3688" w:rsidRDefault="00D7566E" w:rsidP="005E3688">
            <w:pPr>
              <w:rPr>
                <w:i/>
                <w:iCs/>
              </w:rPr>
            </w:pPr>
            <w:r w:rsidRPr="005E3688">
              <w:rPr>
                <w:i/>
                <w:iCs/>
              </w:rPr>
              <w:t xml:space="preserve">This decision has been made </w:t>
            </w:r>
            <w:proofErr w:type="gramStart"/>
            <w:r w:rsidRPr="005E3688">
              <w:rPr>
                <w:i/>
                <w:iCs/>
              </w:rPr>
              <w:t>on the basis of</w:t>
            </w:r>
            <w:proofErr w:type="gramEnd"/>
            <w:r w:rsidRPr="005E3688">
              <w:rPr>
                <w:i/>
                <w:iCs/>
              </w:rPr>
              <w:t xml:space="preserve"> short-term efficacy and safety data. Continued</w:t>
            </w:r>
            <w:r w:rsidR="005E3688" w:rsidRPr="005E3688">
              <w:rPr>
                <w:i/>
                <w:iCs/>
              </w:rPr>
              <w:t xml:space="preserve"> </w:t>
            </w:r>
            <w:r w:rsidRPr="005E3688">
              <w:rPr>
                <w:i/>
                <w:iCs/>
              </w:rPr>
              <w:t>approval depends on the evidence of longer-term efficacy and safety data from ongoing clinical</w:t>
            </w:r>
            <w:r w:rsidR="005E3688" w:rsidRPr="005E3688">
              <w:rPr>
                <w:i/>
                <w:iCs/>
              </w:rPr>
              <w:t xml:space="preserve"> </w:t>
            </w:r>
            <w:r w:rsidRPr="005E3688">
              <w:rPr>
                <w:i/>
                <w:iCs/>
              </w:rPr>
              <w:t>trials.</w:t>
            </w:r>
          </w:p>
        </w:tc>
      </w:tr>
      <w:tr w:rsidR="008E7846" w:rsidRPr="00487162" w14:paraId="76CDDF95" w14:textId="77777777" w:rsidTr="00BF1190">
        <w:tc>
          <w:tcPr>
            <w:tcW w:w="2907" w:type="dxa"/>
          </w:tcPr>
          <w:p w14:paraId="4D69A521" w14:textId="1EFAD032" w:rsidR="008E7846" w:rsidRPr="00487162" w:rsidRDefault="008E7846" w:rsidP="00E45619">
            <w:pPr>
              <w:rPr>
                <w:i/>
              </w:rPr>
            </w:pPr>
            <w:r w:rsidRPr="00487162">
              <w:rPr>
                <w:i/>
              </w:rPr>
              <w:lastRenderedPageBreak/>
              <w:t>Route of administration:</w:t>
            </w:r>
          </w:p>
        </w:tc>
        <w:tc>
          <w:tcPr>
            <w:tcW w:w="6307" w:type="dxa"/>
          </w:tcPr>
          <w:p w14:paraId="68F0BEA0" w14:textId="4F38416B" w:rsidR="008E7846" w:rsidRPr="00487162" w:rsidRDefault="00B047F6" w:rsidP="00E45619">
            <w:r w:rsidRPr="00B047F6">
              <w:t>Intramuscular injection</w:t>
            </w:r>
          </w:p>
        </w:tc>
      </w:tr>
      <w:tr w:rsidR="008E7846" w:rsidRPr="00487162" w14:paraId="32DB24EB" w14:textId="77777777" w:rsidTr="00BF1190">
        <w:tc>
          <w:tcPr>
            <w:tcW w:w="2907" w:type="dxa"/>
          </w:tcPr>
          <w:p w14:paraId="530740B4" w14:textId="77777777" w:rsidR="008E7846" w:rsidRPr="00487162" w:rsidRDefault="008E7846" w:rsidP="00E45619">
            <w:pPr>
              <w:rPr>
                <w:i/>
              </w:rPr>
            </w:pPr>
            <w:r w:rsidRPr="00487162">
              <w:rPr>
                <w:i/>
              </w:rPr>
              <w:t>Dosage:</w:t>
            </w:r>
          </w:p>
        </w:tc>
        <w:tc>
          <w:tcPr>
            <w:tcW w:w="6307" w:type="dxa"/>
          </w:tcPr>
          <w:p w14:paraId="6041D694" w14:textId="3B4FF79B" w:rsidR="00B047F6" w:rsidRDefault="00B047F6" w:rsidP="00B047F6">
            <w:r>
              <w:t xml:space="preserve">The recommended dosage is 300 mg of </w:t>
            </w:r>
            <w:proofErr w:type="spellStart"/>
            <w:r>
              <w:t>Evusheld</w:t>
            </w:r>
            <w:proofErr w:type="spellEnd"/>
            <w:r>
              <w:t xml:space="preserve"> administered as two separate 1.5 mL, sequential injections of:</w:t>
            </w:r>
          </w:p>
          <w:p w14:paraId="58D1E885" w14:textId="33BD33D6" w:rsidR="00B047F6" w:rsidRDefault="00B047F6" w:rsidP="00B047F6">
            <w:pPr>
              <w:pStyle w:val="ListBullet"/>
            </w:pPr>
            <w:r>
              <w:t xml:space="preserve">150 mg of </w:t>
            </w:r>
            <w:proofErr w:type="spellStart"/>
            <w:r>
              <w:t>tixagevimab</w:t>
            </w:r>
            <w:proofErr w:type="spellEnd"/>
          </w:p>
          <w:p w14:paraId="07D220B8" w14:textId="7CEFD950" w:rsidR="00B047F6" w:rsidRDefault="00B047F6" w:rsidP="00B047F6">
            <w:pPr>
              <w:pStyle w:val="ListBullet"/>
            </w:pPr>
            <w:r>
              <w:t xml:space="preserve">150 mg of </w:t>
            </w:r>
            <w:proofErr w:type="spellStart"/>
            <w:r>
              <w:t>cilgavimab</w:t>
            </w:r>
            <w:proofErr w:type="spellEnd"/>
          </w:p>
          <w:p w14:paraId="584A10AE" w14:textId="5F8D96F9" w:rsidR="008E7846" w:rsidRDefault="00B047F6" w:rsidP="00B047F6">
            <w:r>
              <w:t xml:space="preserve">In clinical trials, </w:t>
            </w:r>
            <w:proofErr w:type="spellStart"/>
            <w:r>
              <w:t>Evusheld</w:t>
            </w:r>
            <w:proofErr w:type="spellEnd"/>
            <w:r>
              <w:t xml:space="preserve"> was not administered to subjects who have already received a COVID-19 vaccine (See Section 5.1 Clinical trials in Product Information). The potential effect of </w:t>
            </w:r>
            <w:proofErr w:type="spellStart"/>
            <w:r>
              <w:t>Evusheld</w:t>
            </w:r>
            <w:proofErr w:type="spellEnd"/>
            <w:r>
              <w:t xml:space="preserve"> on the body’s immune response to a COVID-19 vaccine is unknown.</w:t>
            </w:r>
          </w:p>
          <w:p w14:paraId="2C6ED481" w14:textId="77777777" w:rsidR="00460036" w:rsidRPr="00487162" w:rsidRDefault="00460036" w:rsidP="00E45619">
            <w:r w:rsidRPr="00460036">
              <w:t>For further information regarding dosage, refer to the Product Information.</w:t>
            </w:r>
          </w:p>
        </w:tc>
      </w:tr>
      <w:tr w:rsidR="00460036" w:rsidRPr="00487162" w14:paraId="53930236" w14:textId="77777777" w:rsidTr="00BF1190">
        <w:tc>
          <w:tcPr>
            <w:tcW w:w="2907" w:type="dxa"/>
          </w:tcPr>
          <w:p w14:paraId="1C240CDC" w14:textId="77777777" w:rsidR="00460036" w:rsidRPr="00487162" w:rsidRDefault="00460036" w:rsidP="00E45619">
            <w:pPr>
              <w:rPr>
                <w:i/>
              </w:rPr>
            </w:pPr>
            <w:r w:rsidRPr="00460036">
              <w:rPr>
                <w:i/>
              </w:rPr>
              <w:t>Pregnancy category</w:t>
            </w:r>
            <w:r>
              <w:rPr>
                <w:i/>
              </w:rPr>
              <w:t>:</w:t>
            </w:r>
          </w:p>
        </w:tc>
        <w:tc>
          <w:tcPr>
            <w:tcW w:w="6307" w:type="dxa"/>
          </w:tcPr>
          <w:p w14:paraId="30C5A90F" w14:textId="1BC2D94B" w:rsidR="000B48AA" w:rsidRDefault="000B48AA" w:rsidP="000B48AA">
            <w:r>
              <w:t>B2</w:t>
            </w:r>
          </w:p>
          <w:p w14:paraId="1E7C864C" w14:textId="0DFAC60F" w:rsidR="000B48AA" w:rsidRDefault="000B48AA" w:rsidP="000B48AA">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1D16CDAB" w14:textId="2A38DB6A" w:rsidR="000B48AA" w:rsidRDefault="000B48AA" w:rsidP="000B48AA">
            <w:r>
              <w:t xml:space="preserve">Studies in animals are inadequate or may be lacking, but available data show no evidence of an increased occurrence of </w:t>
            </w:r>
            <w:proofErr w:type="spellStart"/>
            <w:r>
              <w:t>fetal</w:t>
            </w:r>
            <w:proofErr w:type="spellEnd"/>
            <w:r>
              <w:t xml:space="preserve"> damage.</w:t>
            </w:r>
          </w:p>
          <w:p w14:paraId="0D09FF47" w14:textId="3A5A2EE4"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49C8AD08" w14:textId="77777777" w:rsidR="008E7846" w:rsidRDefault="008E7846" w:rsidP="008E7846">
      <w:pPr>
        <w:pStyle w:val="Heading3"/>
      </w:pPr>
      <w:bookmarkStart w:id="12" w:name="_Toc247691503"/>
      <w:bookmarkStart w:id="13" w:name="_Toc314842484"/>
      <w:bookmarkStart w:id="14" w:name="_Toc97646296"/>
      <w:r>
        <w:lastRenderedPageBreak/>
        <w:t>Product background</w:t>
      </w:r>
      <w:bookmarkEnd w:id="12"/>
      <w:bookmarkEnd w:id="13"/>
      <w:bookmarkEnd w:id="14"/>
    </w:p>
    <w:p w14:paraId="32A2D676" w14:textId="55AA33A3" w:rsidR="008E7846" w:rsidRDefault="00250271" w:rsidP="00B90C21">
      <w:r w:rsidRPr="00250271">
        <w:t xml:space="preserve">This </w:t>
      </w:r>
      <w:proofErr w:type="spellStart"/>
      <w:r w:rsidRPr="00250271">
        <w:t>AusPAR</w:t>
      </w:r>
      <w:proofErr w:type="spellEnd"/>
      <w:r w:rsidRPr="00250271">
        <w:t xml:space="preserve"> describes the application by </w:t>
      </w:r>
      <w:r w:rsidR="001C46E8">
        <w:t>AstraZeneca Pty Ltd</w:t>
      </w:r>
      <w:r w:rsidRPr="00250271">
        <w:t xml:space="preserve"> (the sponsor) to register </w:t>
      </w:r>
      <w:proofErr w:type="spellStart"/>
      <w:r w:rsidR="001C46E8">
        <w:t>Evusheld</w:t>
      </w:r>
      <w:proofErr w:type="spellEnd"/>
      <w:r w:rsidR="001C46E8">
        <w:t> (</w:t>
      </w:r>
      <w:r w:rsidR="00B90C21">
        <w:t xml:space="preserve">150 mg of </w:t>
      </w:r>
      <w:proofErr w:type="spellStart"/>
      <w:r w:rsidR="00B90C21">
        <w:t>tixagevimab</w:t>
      </w:r>
      <w:proofErr w:type="spellEnd"/>
      <w:r w:rsidR="00B90C21">
        <w:t xml:space="preserve"> in 1.5 mL (100 mg/mL); </w:t>
      </w:r>
      <w:r w:rsidR="00E84CF5">
        <w:t xml:space="preserve">and 150 mg of </w:t>
      </w:r>
      <w:proofErr w:type="spellStart"/>
      <w:r w:rsidR="00E84CF5">
        <w:t>cilgavimab</w:t>
      </w:r>
      <w:proofErr w:type="spellEnd"/>
      <w:r w:rsidR="00E84CF5">
        <w:t xml:space="preserve"> in 1.5 </w:t>
      </w:r>
      <w:r w:rsidR="00B90C21">
        <w:t>mL (100 mg/mL)) solution for injection</w:t>
      </w:r>
      <w:r w:rsidRPr="00250271">
        <w:t xml:space="preserve"> for the following proposed indication</w:t>
      </w:r>
      <w:r w:rsidR="00CF5DAD">
        <w:t>:</w:t>
      </w:r>
      <w:r w:rsidR="008D3029">
        <w:rPr>
          <w:rStyle w:val="FootnoteReference"/>
        </w:rPr>
        <w:footnoteReference w:id="3"/>
      </w:r>
    </w:p>
    <w:p w14:paraId="2C0A3C71" w14:textId="77777777" w:rsidR="00A70984" w:rsidRPr="00A70984" w:rsidRDefault="00A70984" w:rsidP="00A70984">
      <w:pPr>
        <w:ind w:left="720"/>
        <w:rPr>
          <w:i/>
        </w:rPr>
      </w:pPr>
      <w:proofErr w:type="spellStart"/>
      <w:r w:rsidRPr="00A70984">
        <w:rPr>
          <w:i/>
        </w:rPr>
        <w:t>E</w:t>
      </w:r>
      <w:r>
        <w:rPr>
          <w:i/>
        </w:rPr>
        <w:t>vusheld</w:t>
      </w:r>
      <w:proofErr w:type="spellEnd"/>
      <w:r w:rsidRPr="00A70984">
        <w:rPr>
          <w:i/>
        </w:rPr>
        <w:t xml:space="preserve"> has provisional approval for the prophylaxis of COVID-19 in adults and adolescents aged 12 years and older weighing at least 40 kg, see Section 4.2 Dose and method of administration and Section 5.2 Pharmacokinetic properties.</w:t>
      </w:r>
    </w:p>
    <w:p w14:paraId="1FBD9125" w14:textId="57524AB9" w:rsidR="00A70984" w:rsidRPr="00A70984" w:rsidRDefault="00A70984" w:rsidP="00A70984">
      <w:pPr>
        <w:ind w:left="720"/>
        <w:rPr>
          <w:i/>
        </w:rPr>
      </w:pPr>
      <w:proofErr w:type="spellStart"/>
      <w:r w:rsidRPr="00A70984">
        <w:rPr>
          <w:i/>
        </w:rPr>
        <w:t>E</w:t>
      </w:r>
      <w:r>
        <w:rPr>
          <w:i/>
        </w:rPr>
        <w:t>vusheld</w:t>
      </w:r>
      <w:proofErr w:type="spellEnd"/>
      <w:r w:rsidRPr="00A70984">
        <w:rPr>
          <w:i/>
        </w:rPr>
        <w:t xml:space="preserve"> has provisional approval for the treatment of mild to moderate COVID-19 in adults and adolescents aged 12 years and older weighing at least 40 kg, see Section 4.2 Dose and method of administration and Section 5.2 Pharmacokinetic properties.</w:t>
      </w:r>
    </w:p>
    <w:p w14:paraId="467606F7" w14:textId="77777777" w:rsidR="0007122B" w:rsidRPr="00A70984" w:rsidRDefault="00A70984" w:rsidP="00A70984">
      <w:pPr>
        <w:ind w:left="720"/>
        <w:rPr>
          <w:i/>
        </w:rPr>
      </w:pPr>
      <w:r w:rsidRPr="00A70984">
        <w:rPr>
          <w:i/>
        </w:rPr>
        <w:t xml:space="preserve">The decision has been made on the basis of </w:t>
      </w:r>
      <w:proofErr w:type="gramStart"/>
      <w:r w:rsidRPr="00A70984">
        <w:rPr>
          <w:i/>
        </w:rPr>
        <w:t>short term</w:t>
      </w:r>
      <w:proofErr w:type="gramEnd"/>
      <w:r w:rsidRPr="00A70984">
        <w:rPr>
          <w:i/>
        </w:rPr>
        <w:t xml:space="preserve"> efficacy and safety data. Continued approval depends on the evidence of </w:t>
      </w:r>
      <w:proofErr w:type="gramStart"/>
      <w:r w:rsidRPr="00A70984">
        <w:rPr>
          <w:i/>
        </w:rPr>
        <w:t>longer term</w:t>
      </w:r>
      <w:proofErr w:type="gramEnd"/>
      <w:r w:rsidRPr="00A70984">
        <w:rPr>
          <w:i/>
        </w:rPr>
        <w:t xml:space="preserve"> efficacy and safety data from ongoing clinical trials.</w:t>
      </w:r>
    </w:p>
    <w:p w14:paraId="38F6195B" w14:textId="77777777" w:rsidR="0007122B" w:rsidRPr="0007122B" w:rsidRDefault="00A70984" w:rsidP="00A70984">
      <w:pPr>
        <w:pStyle w:val="Heading4"/>
      </w:pPr>
      <w:r>
        <w:t>Coronavirus disease 2019 (COVID-19)</w:t>
      </w:r>
    </w:p>
    <w:p w14:paraId="543799EA" w14:textId="05C3BA89" w:rsidR="0007122B" w:rsidRPr="0007122B" w:rsidRDefault="0007122B" w:rsidP="0007122B">
      <w:r w:rsidRPr="0007122B">
        <w:t xml:space="preserve">The SARS-CoV-2 virus is an enveloped, positive-sense, single-stranded RNA </w:t>
      </w:r>
      <w:proofErr w:type="spellStart"/>
      <w:r w:rsidRPr="0007122B">
        <w:t>betacoronavirus</w:t>
      </w:r>
      <w:proofErr w:type="spellEnd"/>
      <w:r w:rsidRPr="0007122B">
        <w:t xml:space="preserve"> which was first identified following reports of a cluster of acute re</w:t>
      </w:r>
      <w:r w:rsidR="00A70984">
        <w:t>spiratory illness cases in December 2019.</w:t>
      </w:r>
      <w:bookmarkStart w:id="15" w:name="_Ref94653818"/>
      <w:r w:rsidR="00A70984">
        <w:rPr>
          <w:rStyle w:val="FootnoteReference"/>
        </w:rPr>
        <w:footnoteReference w:id="4"/>
      </w:r>
      <w:bookmarkEnd w:id="15"/>
      <w:r w:rsidR="00A70984">
        <w:t xml:space="preserve"> </w:t>
      </w:r>
      <w:r w:rsidRPr="0007122B">
        <w:t>The virus causes a respiratory illness in people</w:t>
      </w:r>
      <w:r w:rsidR="00223018">
        <w:t>,</w:t>
      </w:r>
      <w:r w:rsidRPr="0007122B">
        <w:t xml:space="preserve"> known as COVID-19, which is thought to spread primarily via respiratory droplets and aerosol transmission between people who are in close contact.</w:t>
      </w:r>
      <w:r w:rsidR="00A70984" w:rsidRPr="00A70984">
        <w:rPr>
          <w:vertAlign w:val="superscript"/>
        </w:rPr>
        <w:fldChar w:fldCharType="begin"/>
      </w:r>
      <w:r w:rsidR="00A70984" w:rsidRPr="00A70984">
        <w:rPr>
          <w:vertAlign w:val="superscript"/>
        </w:rPr>
        <w:instrText xml:space="preserve"> NOTEREF _Ref94653818 \h </w:instrText>
      </w:r>
      <w:r w:rsidR="00A70984">
        <w:rPr>
          <w:vertAlign w:val="superscript"/>
        </w:rPr>
        <w:instrText xml:space="preserve"> \* MERGEFORMAT </w:instrText>
      </w:r>
      <w:r w:rsidR="00A70984" w:rsidRPr="00A70984">
        <w:rPr>
          <w:vertAlign w:val="superscript"/>
        </w:rPr>
      </w:r>
      <w:r w:rsidR="00A70984" w:rsidRPr="00A70984">
        <w:rPr>
          <w:vertAlign w:val="superscript"/>
        </w:rPr>
        <w:fldChar w:fldCharType="separate"/>
      </w:r>
      <w:r w:rsidR="004D0A2C">
        <w:rPr>
          <w:vertAlign w:val="superscript"/>
        </w:rPr>
        <w:t>3</w:t>
      </w:r>
      <w:r w:rsidR="00A70984" w:rsidRPr="00A70984">
        <w:rPr>
          <w:vertAlign w:val="superscript"/>
        </w:rPr>
        <w:fldChar w:fldCharType="end"/>
      </w:r>
      <w:r w:rsidRPr="0007122B">
        <w:t xml:space="preserve"> After incubation of around 5 days (range: 1 to 14), common clinical manifestations include fever, cough, dyspnoea and myalgia.</w:t>
      </w:r>
      <w:r w:rsidR="00A70984" w:rsidRPr="00A70984">
        <w:rPr>
          <w:vertAlign w:val="superscript"/>
        </w:rPr>
        <w:fldChar w:fldCharType="begin"/>
      </w:r>
      <w:r w:rsidR="00A70984" w:rsidRPr="00A70984">
        <w:rPr>
          <w:vertAlign w:val="superscript"/>
        </w:rPr>
        <w:instrText xml:space="preserve"> NOTEREF _Ref94653818 \h </w:instrText>
      </w:r>
      <w:r w:rsidR="00A70984">
        <w:rPr>
          <w:vertAlign w:val="superscript"/>
        </w:rPr>
        <w:instrText xml:space="preserve"> \* MERGEFORMAT </w:instrText>
      </w:r>
      <w:r w:rsidR="00A70984" w:rsidRPr="00A70984">
        <w:rPr>
          <w:vertAlign w:val="superscript"/>
        </w:rPr>
      </w:r>
      <w:r w:rsidR="00A70984" w:rsidRPr="00A70984">
        <w:rPr>
          <w:vertAlign w:val="superscript"/>
        </w:rPr>
        <w:fldChar w:fldCharType="separate"/>
      </w:r>
      <w:r w:rsidR="004D0A2C">
        <w:rPr>
          <w:vertAlign w:val="superscript"/>
        </w:rPr>
        <w:t>3</w:t>
      </w:r>
      <w:r w:rsidR="00A70984" w:rsidRPr="00A70984">
        <w:rPr>
          <w:vertAlign w:val="superscript"/>
        </w:rPr>
        <w:fldChar w:fldCharType="end"/>
      </w:r>
      <w:r w:rsidR="00A70984">
        <w:rPr>
          <w:vertAlign w:val="superscript"/>
        </w:rPr>
        <w:t>,</w:t>
      </w:r>
      <w:r w:rsidR="00A70984">
        <w:rPr>
          <w:rStyle w:val="FootnoteReference"/>
        </w:rPr>
        <w:footnoteReference w:id="5"/>
      </w:r>
      <w:r w:rsidRPr="0007122B">
        <w:t xml:space="preserve"> Severity ranges from asymptomatic or mild presentations, to severe cases requiring intensive care/respiratory suppo</w:t>
      </w:r>
      <w:r w:rsidR="00A70984">
        <w:t>rt, and death in &gt; 2% of cases.</w:t>
      </w:r>
    </w:p>
    <w:p w14:paraId="74188863" w14:textId="33D06B58" w:rsidR="00A70984" w:rsidRPr="00A70984" w:rsidRDefault="0007122B" w:rsidP="00A70984">
      <w:pPr>
        <w:pStyle w:val="FigureTitle"/>
      </w:pPr>
      <w:r w:rsidRPr="0007122B">
        <w:t xml:space="preserve">Figure </w:t>
      </w:r>
      <w:r>
        <w:fldChar w:fldCharType="begin"/>
      </w:r>
      <w:r>
        <w:instrText>SEQ Figure \* ARABIC</w:instrText>
      </w:r>
      <w:r>
        <w:fldChar w:fldCharType="separate"/>
      </w:r>
      <w:r w:rsidR="004D0A2C">
        <w:rPr>
          <w:noProof/>
        </w:rPr>
        <w:t>1</w:t>
      </w:r>
      <w:r>
        <w:fldChar w:fldCharType="end"/>
      </w:r>
      <w:r w:rsidRPr="0007122B">
        <w:t xml:space="preserve">: Schematic representation of the SARS-CoV-2 structure, </w:t>
      </w:r>
      <w:proofErr w:type="gramStart"/>
      <w:r w:rsidRPr="0007122B">
        <w:t>genome</w:t>
      </w:r>
      <w:proofErr w:type="gramEnd"/>
      <w:r w:rsidRPr="0007122B">
        <w:t xml:space="preserve"> and functional</w:t>
      </w:r>
      <w:r w:rsidR="00A70984">
        <w:t xml:space="preserve"> domain of SARS-CoV-2 spike protein</w:t>
      </w:r>
    </w:p>
    <w:p w14:paraId="6C352AC2" w14:textId="77777777" w:rsidR="0007122B" w:rsidRPr="0007122B" w:rsidRDefault="0007122B" w:rsidP="0007122B">
      <w:r w:rsidRPr="0007122B">
        <w:rPr>
          <w:noProof/>
          <w:lang w:val="en-GB" w:eastAsia="en-GB"/>
        </w:rPr>
        <w:drawing>
          <wp:inline distT="0" distB="0" distL="0" distR="0" wp14:anchorId="53921F85" wp14:editId="27D00D7B">
            <wp:extent cx="5313618" cy="2418385"/>
            <wp:effectExtent l="0" t="0" r="190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0576" cy="2430655"/>
                    </a:xfrm>
                    <a:prstGeom prst="rect">
                      <a:avLst/>
                    </a:prstGeom>
                  </pic:spPr>
                </pic:pic>
              </a:graphicData>
            </a:graphic>
          </wp:inline>
        </w:drawing>
      </w:r>
    </w:p>
    <w:p w14:paraId="4EB64ACA" w14:textId="77777777" w:rsidR="0007122B" w:rsidRPr="0007122B" w:rsidRDefault="00A70984" w:rsidP="00A70984">
      <w:pPr>
        <w:pStyle w:val="FigureDescription"/>
      </w:pPr>
      <w:r>
        <w:t xml:space="preserve">Source: </w:t>
      </w:r>
      <w:r w:rsidRPr="00A70984">
        <w:t xml:space="preserve">Kumar, M. and S. Al </w:t>
      </w:r>
      <w:proofErr w:type="spellStart"/>
      <w:r w:rsidRPr="00A70984">
        <w:t>Khodor</w:t>
      </w:r>
      <w:proofErr w:type="spellEnd"/>
      <w:r w:rsidRPr="00A70984">
        <w:t xml:space="preserve">, </w:t>
      </w:r>
      <w:proofErr w:type="gramStart"/>
      <w:r w:rsidRPr="00A70984">
        <w:t>Pathophysiology</w:t>
      </w:r>
      <w:proofErr w:type="gramEnd"/>
      <w:r w:rsidRPr="00A70984">
        <w:t xml:space="preserve"> and treatment strategies for COVID-19. J </w:t>
      </w:r>
      <w:proofErr w:type="spellStart"/>
      <w:r w:rsidRPr="00A70984">
        <w:t>Transl</w:t>
      </w:r>
      <w:proofErr w:type="spellEnd"/>
      <w:r w:rsidRPr="00A70984">
        <w:t xml:space="preserve"> Med, 2020. 18(1): p. 353.</w:t>
      </w:r>
    </w:p>
    <w:p w14:paraId="425FFA07" w14:textId="38CE6B59" w:rsidR="0007122B" w:rsidRPr="0007122B" w:rsidRDefault="0007122B" w:rsidP="0007122B">
      <w:r w:rsidRPr="0007122B">
        <w:lastRenderedPageBreak/>
        <w:t xml:space="preserve">Increasing age is a strong risk factor for morbidity and </w:t>
      </w:r>
      <w:r w:rsidR="00A70984">
        <w:t>mortality associated with COVID</w:t>
      </w:r>
      <w:r w:rsidR="00A70984">
        <w:noBreakHyphen/>
      </w:r>
      <w:r w:rsidRPr="0007122B">
        <w:t>19, with a case fatality rate in those aged over 65 year</w:t>
      </w:r>
      <w:r w:rsidR="00A70984">
        <w:t>s estimated to be around 60 </w:t>
      </w:r>
      <w:r w:rsidRPr="0007122B">
        <w:t>times higher than in those aged under 55 years.</w:t>
      </w:r>
      <w:r w:rsidR="00A70984" w:rsidRPr="00A70984">
        <w:rPr>
          <w:vertAlign w:val="superscript"/>
        </w:rPr>
        <w:fldChar w:fldCharType="begin"/>
      </w:r>
      <w:r w:rsidR="00A70984" w:rsidRPr="00A70984">
        <w:rPr>
          <w:vertAlign w:val="superscript"/>
        </w:rPr>
        <w:instrText xml:space="preserve"> NOTEREF _Ref94653818 \h </w:instrText>
      </w:r>
      <w:r w:rsidR="00A70984">
        <w:rPr>
          <w:vertAlign w:val="superscript"/>
        </w:rPr>
        <w:instrText xml:space="preserve"> \* MERGEFORMAT </w:instrText>
      </w:r>
      <w:r w:rsidR="00A70984" w:rsidRPr="00A70984">
        <w:rPr>
          <w:vertAlign w:val="superscript"/>
        </w:rPr>
      </w:r>
      <w:r w:rsidR="00A70984" w:rsidRPr="00A70984">
        <w:rPr>
          <w:vertAlign w:val="superscript"/>
        </w:rPr>
        <w:fldChar w:fldCharType="separate"/>
      </w:r>
      <w:r w:rsidR="004D0A2C">
        <w:rPr>
          <w:vertAlign w:val="superscript"/>
        </w:rPr>
        <w:t>3</w:t>
      </w:r>
      <w:r w:rsidR="00A70984" w:rsidRPr="00A70984">
        <w:rPr>
          <w:vertAlign w:val="superscript"/>
        </w:rPr>
        <w:fldChar w:fldCharType="end"/>
      </w:r>
      <w:r w:rsidRPr="0007122B">
        <w:t xml:space="preserve"> Irrespective of age, certain underlying comorbidities or conditions, such as cancer, chronic kidney disease, chronic obstructive pulmonary disease, obesity, type 2 diabetes, pregnancy, and immunocompromised states, increase the risk of</w:t>
      </w:r>
      <w:r w:rsidR="00A70984">
        <w:t xml:space="preserve"> progression to severe COVID-19.</w:t>
      </w:r>
      <w:r w:rsidR="00A70984" w:rsidRPr="00A70984">
        <w:rPr>
          <w:vertAlign w:val="superscript"/>
        </w:rPr>
        <w:fldChar w:fldCharType="begin"/>
      </w:r>
      <w:r w:rsidR="00A70984" w:rsidRPr="00A70984">
        <w:rPr>
          <w:vertAlign w:val="superscript"/>
        </w:rPr>
        <w:instrText xml:space="preserve"> NOTEREF _Ref94653818 \h </w:instrText>
      </w:r>
      <w:r w:rsidR="00A70984">
        <w:rPr>
          <w:vertAlign w:val="superscript"/>
        </w:rPr>
        <w:instrText xml:space="preserve"> \* MERGEFORMAT </w:instrText>
      </w:r>
      <w:r w:rsidR="00A70984" w:rsidRPr="00A70984">
        <w:rPr>
          <w:vertAlign w:val="superscript"/>
        </w:rPr>
      </w:r>
      <w:r w:rsidR="00A70984" w:rsidRPr="00A70984">
        <w:rPr>
          <w:vertAlign w:val="superscript"/>
        </w:rPr>
        <w:fldChar w:fldCharType="separate"/>
      </w:r>
      <w:r w:rsidR="004D0A2C">
        <w:rPr>
          <w:vertAlign w:val="superscript"/>
        </w:rPr>
        <w:t>3</w:t>
      </w:r>
      <w:r w:rsidR="00A70984" w:rsidRPr="00A70984">
        <w:rPr>
          <w:vertAlign w:val="superscript"/>
        </w:rPr>
        <w:fldChar w:fldCharType="end"/>
      </w:r>
    </w:p>
    <w:p w14:paraId="7707C5CB" w14:textId="4211F718" w:rsidR="0007122B" w:rsidRPr="0007122B" w:rsidRDefault="0090274F" w:rsidP="0007122B">
      <w:r>
        <w:t>As of 2 February 2022</w:t>
      </w:r>
      <w:r w:rsidR="0007122B" w:rsidRPr="0007122B">
        <w:t xml:space="preserve"> </w:t>
      </w:r>
      <w:r w:rsidR="001A49E3">
        <w:t xml:space="preserve">for </w:t>
      </w:r>
      <w:r w:rsidR="0007122B" w:rsidRPr="0007122B">
        <w:t>this overview, COVID-19 has been reported to have ca</w:t>
      </w:r>
      <w:r w:rsidR="00A70984">
        <w:t xml:space="preserve">used </w:t>
      </w:r>
      <w:r>
        <w:t>373 </w:t>
      </w:r>
      <w:r w:rsidR="00A70984">
        <w:t>million</w:t>
      </w:r>
      <w:r>
        <w:t xml:space="preserve"> cases and 5.6 million</w:t>
      </w:r>
      <w:r w:rsidR="0007122B" w:rsidRPr="0007122B">
        <w:t xml:space="preserve"> deaths world</w:t>
      </w:r>
      <w:r>
        <w:t>wide</w:t>
      </w:r>
      <w:r w:rsidR="00A70984">
        <w:t>.</w:t>
      </w:r>
      <w:r>
        <w:rPr>
          <w:rStyle w:val="FootnoteReference"/>
        </w:rPr>
        <w:footnoteReference w:id="6"/>
      </w:r>
      <w:r w:rsidR="00A70984">
        <w:t xml:space="preserve"> In Australia, in excess of 2.2 million cases and 3800</w:t>
      </w:r>
      <w:r w:rsidR="0007122B" w:rsidRPr="0007122B">
        <w:t xml:space="preserve"> deaths have been reported.</w:t>
      </w:r>
      <w:r w:rsidR="00A70984">
        <w:rPr>
          <w:rStyle w:val="FootnoteReference"/>
        </w:rPr>
        <w:footnoteReference w:id="7"/>
      </w:r>
      <w:r w:rsidR="0007122B" w:rsidRPr="0007122B">
        <w:t xml:space="preserve"> </w:t>
      </w:r>
      <w:r>
        <w:t>SARS-CoV-2</w:t>
      </w:r>
      <w:r w:rsidR="0007122B" w:rsidRPr="0007122B">
        <w:t xml:space="preserve"> variants have appear</w:t>
      </w:r>
      <w:r>
        <w:t>ed at regular intervals, including the Alpha, Beta, Gamma, Delta</w:t>
      </w:r>
      <w:r w:rsidR="007C4061">
        <w:t>,</w:t>
      </w:r>
      <w:r>
        <w:t xml:space="preserve"> and most recently, the O</w:t>
      </w:r>
      <w:r w:rsidR="0007122B" w:rsidRPr="0007122B">
        <w:t xml:space="preserve">micron </w:t>
      </w:r>
      <w:r>
        <w:t>variant</w:t>
      </w:r>
      <w:r w:rsidR="0007122B" w:rsidRPr="0007122B">
        <w:t>.</w:t>
      </w:r>
      <w:r>
        <w:rPr>
          <w:rStyle w:val="FootnoteReference"/>
        </w:rPr>
        <w:footnoteReference w:id="8"/>
      </w:r>
      <w:r w:rsidR="0007122B" w:rsidRPr="0007122B">
        <w:t xml:space="preserve"> With the persistent rise in the number of COVID-19 cases and related deaths, the protection against this disease that could be achieved through vaccination has become even more important. </w:t>
      </w:r>
      <w:r w:rsidR="0007122B" w:rsidRPr="0007122B" w:rsidDel="001A49E3">
        <w:t>In that aspect</w:t>
      </w:r>
      <w:r w:rsidR="0007122B" w:rsidRPr="0007122B">
        <w:t xml:space="preserve">, there are individuals who </w:t>
      </w:r>
      <w:r w:rsidR="12FA9FA9" w:rsidRPr="0007122B">
        <w:t>a</w:t>
      </w:r>
      <w:r w:rsidR="0007122B" w:rsidRPr="0007122B">
        <w:t xml:space="preserve">re unable to receive vaccination due to an underlying medical condition or a comorbidity </w:t>
      </w:r>
      <w:proofErr w:type="gramStart"/>
      <w:r w:rsidR="0007122B" w:rsidRPr="0007122B">
        <w:t>and also</w:t>
      </w:r>
      <w:proofErr w:type="gramEnd"/>
      <w:r w:rsidR="0007122B" w:rsidRPr="0007122B">
        <w:t xml:space="preserve"> at high risk of severe disease. The availability of therapeutic options that could be an alternative for vaccines are critical to provide protection for those indiv</w:t>
      </w:r>
      <w:r>
        <w:t>iduals against developing COVID</w:t>
      </w:r>
      <w:r>
        <w:noBreakHyphen/>
      </w:r>
      <w:r w:rsidR="0007122B" w:rsidRPr="0007122B">
        <w:t xml:space="preserve">19. </w:t>
      </w:r>
    </w:p>
    <w:p w14:paraId="003BE221" w14:textId="77777777" w:rsidR="0007122B" w:rsidRDefault="0007122B" w:rsidP="003F3C68">
      <w:pPr>
        <w:pStyle w:val="Heading4"/>
      </w:pPr>
      <w:r w:rsidRPr="0007122B">
        <w:t>Current t</w:t>
      </w:r>
      <w:r w:rsidR="003F3C68">
        <w:t>herapeutic</w:t>
      </w:r>
      <w:r w:rsidRPr="0007122B">
        <w:t xml:space="preserve"> options</w:t>
      </w:r>
    </w:p>
    <w:p w14:paraId="145EB653" w14:textId="77777777" w:rsidR="003F3C68" w:rsidRPr="003F3C68" w:rsidRDefault="003F3C68" w:rsidP="003F3C68">
      <w:pPr>
        <w:pStyle w:val="Heading5"/>
      </w:pPr>
      <w:r>
        <w:t>Current treatment options</w:t>
      </w:r>
    </w:p>
    <w:p w14:paraId="108559AF" w14:textId="77777777" w:rsidR="0007122B" w:rsidRDefault="0007122B" w:rsidP="00940A89">
      <w:r w:rsidRPr="0007122B">
        <w:t xml:space="preserve">Several monoclonal antibodies have been provisionally registered by the TGA for the treatment of COVID-19. Most have a treatment indication, while </w:t>
      </w:r>
      <w:proofErr w:type="spellStart"/>
      <w:r w:rsidR="003F3C68">
        <w:t>Ronapreve</w:t>
      </w:r>
      <w:proofErr w:type="spellEnd"/>
      <w:r w:rsidR="003F3C68">
        <w:t xml:space="preserve"> (</w:t>
      </w:r>
      <w:proofErr w:type="spellStart"/>
      <w:r w:rsidR="003F3C68">
        <w:t>casirivimab</w:t>
      </w:r>
      <w:proofErr w:type="spellEnd"/>
      <w:r w:rsidR="003F3C68">
        <w:t xml:space="preserve"> and </w:t>
      </w:r>
      <w:proofErr w:type="spellStart"/>
      <w:r w:rsidR="003F3C68">
        <w:t>imdevimab</w:t>
      </w:r>
      <w:proofErr w:type="spellEnd"/>
      <w:r w:rsidR="003F3C68">
        <w:t>)</w:t>
      </w:r>
      <w:r w:rsidRPr="0007122B">
        <w:t xml:space="preserve"> has both treatment and post-exposure prophylaxis indications. None of the products have f</w:t>
      </w:r>
      <w:r w:rsidR="00181F79">
        <w:t>ull registration at the time a regulatory decision was made for this submission.</w:t>
      </w:r>
    </w:p>
    <w:p w14:paraId="66CE5403" w14:textId="6EC00E6C" w:rsidR="000B2145" w:rsidRDefault="003F3C68" w:rsidP="003F3C68">
      <w:r w:rsidRPr="005E427A">
        <w:t>The main management of COVID-19 i</w:t>
      </w:r>
      <w:r w:rsidR="00145612">
        <w:t>s</w:t>
      </w:r>
      <w:r w:rsidRPr="005E427A">
        <w:t xml:space="preserve"> supportive </w:t>
      </w:r>
      <w:r w:rsidR="00504A03">
        <w:t xml:space="preserve">care </w:t>
      </w:r>
      <w:r w:rsidRPr="005E427A">
        <w:t>with oxygen therapy and assisted ventilation</w:t>
      </w:r>
      <w:r w:rsidR="007C4061">
        <w:t>,</w:t>
      </w:r>
      <w:r w:rsidRPr="005E427A">
        <w:t xml:space="preserve"> as required. Medications that have been proven to be effective against COVID</w:t>
      </w:r>
      <w:r w:rsidRPr="005E427A">
        <w:noBreakHyphen/>
        <w:t>19 and listed on the Australian Register of Therapeutic Goods (ARTG)</w:t>
      </w:r>
      <w:r w:rsidR="00181F79">
        <w:t xml:space="preserve"> as of the 2 February 2022 are listed in</w:t>
      </w:r>
      <w:r w:rsidR="00810C37">
        <w:t xml:space="preserve"> </w:t>
      </w:r>
      <w:r w:rsidR="00810C37">
        <w:fldChar w:fldCharType="begin"/>
      </w:r>
      <w:r w:rsidR="00810C37">
        <w:instrText xml:space="preserve"> REF _Ref94651787 \h </w:instrText>
      </w:r>
      <w:r w:rsidR="00810C37">
        <w:fldChar w:fldCharType="separate"/>
      </w:r>
      <w:r w:rsidR="004D0A2C">
        <w:t xml:space="preserve">Table </w:t>
      </w:r>
      <w:r w:rsidR="004D0A2C">
        <w:rPr>
          <w:noProof/>
        </w:rPr>
        <w:t>1</w:t>
      </w:r>
      <w:r w:rsidR="004D0A2C">
        <w:t>: Currently approved treatment options for COVID-19 in Australia</w:t>
      </w:r>
      <w:r w:rsidR="00810C37">
        <w:fldChar w:fldCharType="end"/>
      </w:r>
      <w:r w:rsidR="00810C37">
        <w:t xml:space="preserve"> below. An updated list of approved treatment options is available on the TGA website.</w:t>
      </w:r>
      <w:r w:rsidR="00810C37">
        <w:rPr>
          <w:rStyle w:val="FootnoteReference"/>
        </w:rPr>
        <w:footnoteReference w:id="9"/>
      </w:r>
    </w:p>
    <w:p w14:paraId="1479E764" w14:textId="51FF3E26" w:rsidR="00181F79" w:rsidRDefault="00181F79" w:rsidP="00810C37">
      <w:pPr>
        <w:pStyle w:val="TableTitle"/>
      </w:pPr>
      <w:bookmarkStart w:id="16" w:name="_Ref94651787"/>
      <w:r>
        <w:lastRenderedPageBreak/>
        <w:t xml:space="preserve">Table </w:t>
      </w:r>
      <w:r>
        <w:fldChar w:fldCharType="begin"/>
      </w:r>
      <w:r>
        <w:instrText>SEQ Table \* ARABIC</w:instrText>
      </w:r>
      <w:r>
        <w:fldChar w:fldCharType="separate"/>
      </w:r>
      <w:r w:rsidR="004D0A2C">
        <w:rPr>
          <w:noProof/>
        </w:rPr>
        <w:t>1</w:t>
      </w:r>
      <w:r>
        <w:fldChar w:fldCharType="end"/>
      </w:r>
      <w:r>
        <w:t>: Currently approved treatment options for COVID-19 in Australia</w:t>
      </w:r>
      <w:bookmarkEnd w:id="16"/>
    </w:p>
    <w:tbl>
      <w:tblPr>
        <w:tblStyle w:val="TableTGAblue"/>
        <w:tblW w:w="0" w:type="auto"/>
        <w:tblLayout w:type="fixed"/>
        <w:tblLook w:val="04A0" w:firstRow="1" w:lastRow="0" w:firstColumn="1" w:lastColumn="0" w:noHBand="0" w:noVBand="1"/>
      </w:tblPr>
      <w:tblGrid>
        <w:gridCol w:w="1638"/>
        <w:gridCol w:w="1890"/>
        <w:gridCol w:w="5192"/>
      </w:tblGrid>
      <w:tr w:rsidR="000B2145" w14:paraId="633EE3FC" w14:textId="77777777" w:rsidTr="008471FE">
        <w:trPr>
          <w:cnfStyle w:val="100000000000" w:firstRow="1" w:lastRow="0" w:firstColumn="0" w:lastColumn="0" w:oddVBand="0" w:evenVBand="0" w:oddHBand="0" w:evenHBand="0" w:firstRowFirstColumn="0" w:firstRowLastColumn="0" w:lastRowFirstColumn="0" w:lastRowLastColumn="0"/>
        </w:trPr>
        <w:tc>
          <w:tcPr>
            <w:tcW w:w="1638" w:type="dxa"/>
          </w:tcPr>
          <w:p w14:paraId="23AEAD63" w14:textId="77777777" w:rsidR="000B2145" w:rsidRDefault="000B2145" w:rsidP="008471FE">
            <w:pPr>
              <w:ind w:left="0" w:right="0"/>
            </w:pPr>
            <w:r>
              <w:t>Name (active)</w:t>
            </w:r>
          </w:p>
        </w:tc>
        <w:tc>
          <w:tcPr>
            <w:tcW w:w="1890" w:type="dxa"/>
          </w:tcPr>
          <w:p w14:paraId="7F3E826E" w14:textId="77777777" w:rsidR="000B2145" w:rsidRDefault="000B2145" w:rsidP="008471FE">
            <w:pPr>
              <w:ind w:left="0" w:right="0"/>
            </w:pPr>
            <w:r>
              <w:t>Date approved</w:t>
            </w:r>
          </w:p>
        </w:tc>
        <w:tc>
          <w:tcPr>
            <w:tcW w:w="5192" w:type="dxa"/>
          </w:tcPr>
          <w:p w14:paraId="1C1EC381" w14:textId="77777777" w:rsidR="000B2145" w:rsidRDefault="000B2145" w:rsidP="008471FE">
            <w:pPr>
              <w:ind w:left="0" w:right="0"/>
            </w:pPr>
            <w:r>
              <w:t>Indication</w:t>
            </w:r>
          </w:p>
        </w:tc>
      </w:tr>
      <w:tr w:rsidR="000B2145" w14:paraId="45C13AA3" w14:textId="77777777" w:rsidTr="008471FE">
        <w:tc>
          <w:tcPr>
            <w:tcW w:w="1638" w:type="dxa"/>
          </w:tcPr>
          <w:p w14:paraId="7EBD1641" w14:textId="77777777" w:rsidR="000B2145" w:rsidRDefault="000B2145" w:rsidP="008471FE">
            <w:pPr>
              <w:ind w:left="0" w:right="0"/>
            </w:pPr>
            <w:proofErr w:type="spellStart"/>
            <w:r>
              <w:t>Veklury</w:t>
            </w:r>
            <w:proofErr w:type="spellEnd"/>
            <w:r>
              <w:t xml:space="preserve"> (</w:t>
            </w:r>
            <w:proofErr w:type="spellStart"/>
            <w:r>
              <w:t>remdesivir</w:t>
            </w:r>
            <w:proofErr w:type="spellEnd"/>
            <w:r>
              <w:t>)</w:t>
            </w:r>
            <w:bookmarkStart w:id="17" w:name="_Ref94010883"/>
            <w:r w:rsidR="0090274F">
              <w:rPr>
                <w:rStyle w:val="FootnoteReference"/>
              </w:rPr>
              <w:t xml:space="preserve"> </w:t>
            </w:r>
            <w:bookmarkStart w:id="18" w:name="_Ref95139764"/>
            <w:r w:rsidR="0090274F">
              <w:rPr>
                <w:rStyle w:val="FootnoteReference"/>
              </w:rPr>
              <w:footnoteReference w:id="10"/>
            </w:r>
            <w:bookmarkEnd w:id="17"/>
            <w:bookmarkEnd w:id="18"/>
            <w:r w:rsidR="0090274F">
              <w:rPr>
                <w:vertAlign w:val="superscript"/>
              </w:rPr>
              <w:t>,</w:t>
            </w:r>
            <w:r w:rsidR="0090274F" w:rsidRPr="005E427A">
              <w:rPr>
                <w:rStyle w:val="FootnoteReference"/>
              </w:rPr>
              <w:footnoteReference w:id="11"/>
            </w:r>
            <w:r w:rsidR="0090274F" w:rsidRPr="005E427A">
              <w:rPr>
                <w:vertAlign w:val="superscript"/>
              </w:rPr>
              <w:t>,</w:t>
            </w:r>
            <w:r w:rsidR="0090274F" w:rsidRPr="005E427A">
              <w:rPr>
                <w:rStyle w:val="FootnoteReference"/>
              </w:rPr>
              <w:footnoteReference w:id="12"/>
            </w:r>
          </w:p>
        </w:tc>
        <w:tc>
          <w:tcPr>
            <w:tcW w:w="1890" w:type="dxa"/>
          </w:tcPr>
          <w:p w14:paraId="370BC868" w14:textId="77777777" w:rsidR="000B2145" w:rsidRDefault="000B2145" w:rsidP="008471FE">
            <w:pPr>
              <w:ind w:left="0" w:right="0"/>
            </w:pPr>
            <w:r>
              <w:t>10 July 2020</w:t>
            </w:r>
          </w:p>
        </w:tc>
        <w:tc>
          <w:tcPr>
            <w:tcW w:w="5192" w:type="dxa"/>
          </w:tcPr>
          <w:p w14:paraId="5A13FCF2" w14:textId="77777777" w:rsidR="000B2145" w:rsidRPr="00181F79" w:rsidRDefault="000B2145" w:rsidP="008471FE">
            <w:pPr>
              <w:ind w:left="0" w:right="0"/>
              <w:rPr>
                <w:i/>
              </w:rPr>
            </w:pPr>
            <w:proofErr w:type="spellStart"/>
            <w:r w:rsidRPr="00181F79">
              <w:rPr>
                <w:i/>
              </w:rPr>
              <w:t>Veklury</w:t>
            </w:r>
            <w:proofErr w:type="spellEnd"/>
            <w:r w:rsidRPr="00181F79">
              <w:rPr>
                <w:i/>
              </w:rPr>
              <w:t xml:space="preserve"> has provisional approval for the treatment of Coronavirus Disease 2019 (COVID-19) in adults and adolescents (aged 12 years and older weighing at least 40 kg) with pneumonia, requiring supplemental oxygen.</w:t>
            </w:r>
          </w:p>
          <w:p w14:paraId="4BDBAE79" w14:textId="77777777" w:rsidR="000B2145" w:rsidRPr="00181F79" w:rsidRDefault="000B2145" w:rsidP="008471FE">
            <w:pPr>
              <w:ind w:left="0" w:right="0"/>
              <w:rPr>
                <w:i/>
              </w:rPr>
            </w:pPr>
            <w:r w:rsidRPr="00181F79">
              <w:rPr>
                <w:i/>
              </w:rPr>
              <w:t>The decision to approve this medicine has been made based on limited data. More comprehensive evidence is required to be submitted.</w:t>
            </w:r>
          </w:p>
        </w:tc>
      </w:tr>
      <w:tr w:rsidR="000B2145" w14:paraId="5593B5D3" w14:textId="77777777" w:rsidTr="008471FE">
        <w:trPr>
          <w:cantSplit/>
        </w:trPr>
        <w:tc>
          <w:tcPr>
            <w:tcW w:w="1638" w:type="dxa"/>
          </w:tcPr>
          <w:p w14:paraId="20F36186" w14:textId="77777777" w:rsidR="000B2145" w:rsidRDefault="000B2145" w:rsidP="008471FE">
            <w:pPr>
              <w:ind w:left="0" w:right="0"/>
            </w:pPr>
            <w:proofErr w:type="spellStart"/>
            <w:r>
              <w:t>Xevudy</w:t>
            </w:r>
            <w:proofErr w:type="spellEnd"/>
            <w:r>
              <w:t xml:space="preserve"> (</w:t>
            </w:r>
            <w:proofErr w:type="spellStart"/>
            <w:r>
              <w:t>sotrovimab</w:t>
            </w:r>
            <w:proofErr w:type="spellEnd"/>
            <w:r>
              <w:t>)</w:t>
            </w:r>
            <w:r w:rsidR="005F0724" w:rsidRPr="005E427A">
              <w:rPr>
                <w:rStyle w:val="FootnoteReference"/>
              </w:rPr>
              <w:t xml:space="preserve"> </w:t>
            </w:r>
            <w:r w:rsidR="005F0724" w:rsidRPr="005E427A">
              <w:rPr>
                <w:rStyle w:val="FootnoteReference"/>
              </w:rPr>
              <w:footnoteReference w:id="13"/>
            </w:r>
            <w:r w:rsidR="005F0724" w:rsidRPr="005E427A">
              <w:rPr>
                <w:vertAlign w:val="superscript"/>
              </w:rPr>
              <w:t>,</w:t>
            </w:r>
            <w:r w:rsidR="005F0724" w:rsidRPr="005E427A">
              <w:rPr>
                <w:rStyle w:val="FootnoteReference"/>
              </w:rPr>
              <w:footnoteReference w:id="14"/>
            </w:r>
          </w:p>
        </w:tc>
        <w:tc>
          <w:tcPr>
            <w:tcW w:w="1890" w:type="dxa"/>
          </w:tcPr>
          <w:p w14:paraId="33F11125" w14:textId="77777777" w:rsidR="000B2145" w:rsidRDefault="000B2145" w:rsidP="008471FE">
            <w:pPr>
              <w:ind w:left="0" w:right="0"/>
            </w:pPr>
            <w:r>
              <w:t>20 August 2021</w:t>
            </w:r>
          </w:p>
        </w:tc>
        <w:tc>
          <w:tcPr>
            <w:tcW w:w="5192" w:type="dxa"/>
          </w:tcPr>
          <w:p w14:paraId="422B8C83" w14:textId="77777777" w:rsidR="000B2145" w:rsidRPr="00181F79" w:rsidRDefault="000B2145" w:rsidP="008471FE">
            <w:pPr>
              <w:ind w:left="0" w:right="0"/>
              <w:rPr>
                <w:i/>
              </w:rPr>
            </w:pPr>
            <w:proofErr w:type="spellStart"/>
            <w:r w:rsidRPr="00181F79">
              <w:rPr>
                <w:i/>
              </w:rPr>
              <w:t>Xevudy</w:t>
            </w:r>
            <w:proofErr w:type="spellEnd"/>
            <w:r w:rsidRPr="00181F79">
              <w:rPr>
                <w:i/>
              </w:rPr>
              <w:t xml:space="preserve"> has provisional approval for the treatment of adults and adolescents (aged 12 years and over and weighing at least 40 kg) with coronavirus disease 2019 (COVID-19) who do not require initiation of oxygen due to COVID-19 and who are at increased risk of progression to hospitalisation or death (see Section 5.1 Pharmacodynamic properties, clinical trials).</w:t>
            </w:r>
          </w:p>
          <w:p w14:paraId="1BBA4FCA" w14:textId="77777777" w:rsidR="000B2145" w:rsidRPr="00181F79" w:rsidRDefault="000B2145" w:rsidP="008471FE">
            <w:pPr>
              <w:ind w:left="0" w:right="0"/>
              <w:rPr>
                <w:i/>
              </w:rPr>
            </w:pPr>
            <w:r w:rsidRPr="00181F79">
              <w:rPr>
                <w:i/>
              </w:rPr>
              <w:t xml:space="preserve">The decision has been made on the basis of </w:t>
            </w:r>
            <w:proofErr w:type="gramStart"/>
            <w:r w:rsidRPr="00181F79">
              <w:rPr>
                <w:i/>
              </w:rPr>
              <w:t>short term</w:t>
            </w:r>
            <w:proofErr w:type="gramEnd"/>
            <w:r w:rsidRPr="00181F79">
              <w:rPr>
                <w:i/>
              </w:rPr>
              <w:t xml:space="preserve"> efficacy and safety data. Continued approval of this indication depends on the evidence of </w:t>
            </w:r>
            <w:proofErr w:type="gramStart"/>
            <w:r w:rsidRPr="00181F79">
              <w:rPr>
                <w:i/>
              </w:rPr>
              <w:t>longer term</w:t>
            </w:r>
            <w:proofErr w:type="gramEnd"/>
            <w:r w:rsidRPr="00181F79">
              <w:rPr>
                <w:i/>
              </w:rPr>
              <w:t xml:space="preserve"> efficacy and safety from ongoing clinical trials and post-market assessment.</w:t>
            </w:r>
          </w:p>
        </w:tc>
      </w:tr>
      <w:tr w:rsidR="00181F79" w14:paraId="4EA3D9E3" w14:textId="77777777" w:rsidTr="008471FE">
        <w:trPr>
          <w:cantSplit/>
        </w:trPr>
        <w:tc>
          <w:tcPr>
            <w:tcW w:w="1638" w:type="dxa"/>
          </w:tcPr>
          <w:p w14:paraId="1EB33765" w14:textId="77777777" w:rsidR="00181F79" w:rsidRDefault="00181F79" w:rsidP="008471FE">
            <w:pPr>
              <w:ind w:left="0" w:right="0"/>
            </w:pPr>
            <w:proofErr w:type="spellStart"/>
            <w:r>
              <w:lastRenderedPageBreak/>
              <w:t>Ronapreve</w:t>
            </w:r>
            <w:proofErr w:type="spellEnd"/>
            <w:r>
              <w:t xml:space="preserve"> (</w:t>
            </w:r>
            <w:proofErr w:type="spellStart"/>
            <w:r>
              <w:t>casirivimab</w:t>
            </w:r>
            <w:proofErr w:type="spellEnd"/>
            <w:r>
              <w:t xml:space="preserve"> + </w:t>
            </w:r>
            <w:proofErr w:type="spellStart"/>
            <w:r>
              <w:t>imdevimab</w:t>
            </w:r>
            <w:proofErr w:type="spellEnd"/>
            <w:r>
              <w:t>)</w:t>
            </w:r>
            <w:r w:rsidR="005F0724" w:rsidRPr="005E427A">
              <w:rPr>
                <w:rStyle w:val="FootnoteReference"/>
              </w:rPr>
              <w:t xml:space="preserve"> </w:t>
            </w:r>
            <w:r w:rsidR="005F0724" w:rsidRPr="005E427A">
              <w:rPr>
                <w:rStyle w:val="FootnoteReference"/>
              </w:rPr>
              <w:footnoteReference w:id="15"/>
            </w:r>
            <w:r w:rsidR="005F0724" w:rsidRPr="005E427A">
              <w:rPr>
                <w:vertAlign w:val="superscript"/>
              </w:rPr>
              <w:t>,</w:t>
            </w:r>
            <w:r w:rsidR="005F0724" w:rsidRPr="005E427A">
              <w:rPr>
                <w:rStyle w:val="FootnoteReference"/>
              </w:rPr>
              <w:footnoteReference w:id="16"/>
            </w:r>
          </w:p>
        </w:tc>
        <w:tc>
          <w:tcPr>
            <w:tcW w:w="1890" w:type="dxa"/>
          </w:tcPr>
          <w:p w14:paraId="5C60EC11" w14:textId="77777777" w:rsidR="00181F79" w:rsidRDefault="00181F79" w:rsidP="008471FE">
            <w:pPr>
              <w:ind w:left="0" w:right="0"/>
            </w:pPr>
            <w:r>
              <w:t>15 October 2021</w:t>
            </w:r>
          </w:p>
        </w:tc>
        <w:tc>
          <w:tcPr>
            <w:tcW w:w="5192" w:type="dxa"/>
          </w:tcPr>
          <w:p w14:paraId="0D4D21DE" w14:textId="77777777" w:rsidR="00181F79" w:rsidRPr="00181F79" w:rsidRDefault="00181F79" w:rsidP="008471FE">
            <w:pPr>
              <w:ind w:left="0" w:right="0"/>
              <w:rPr>
                <w:i/>
              </w:rPr>
            </w:pPr>
            <w:proofErr w:type="spellStart"/>
            <w:r w:rsidRPr="00181F79">
              <w:rPr>
                <w:i/>
              </w:rPr>
              <w:t>Ronapreve</w:t>
            </w:r>
            <w:proofErr w:type="spellEnd"/>
            <w:r w:rsidRPr="00181F79">
              <w:rPr>
                <w:i/>
              </w:rPr>
              <w:t xml:space="preserve"> has provisional approval for the indications below:</w:t>
            </w:r>
          </w:p>
          <w:p w14:paraId="63190562" w14:textId="09D50CD4" w:rsidR="00181F79" w:rsidRPr="00181F79" w:rsidRDefault="00181F79" w:rsidP="008471FE">
            <w:pPr>
              <w:ind w:left="0" w:right="0"/>
              <w:rPr>
                <w:i/>
              </w:rPr>
            </w:pPr>
            <w:r w:rsidRPr="00181F79">
              <w:rPr>
                <w:i/>
              </w:rPr>
              <w:t xml:space="preserve">Treatment: </w:t>
            </w:r>
            <w:proofErr w:type="spellStart"/>
            <w:r w:rsidRPr="00181F79">
              <w:rPr>
                <w:i/>
              </w:rPr>
              <w:t>Ronapreve</w:t>
            </w:r>
            <w:proofErr w:type="spellEnd"/>
            <w:r w:rsidRPr="00181F79">
              <w:rPr>
                <w:i/>
              </w:rPr>
              <w:t xml:space="preserve"> is indicated for the treatment of COVID-19 in adults and adolescents (aged 12 years and older and weighing at least 40 kg) who do not require supplemental oxygen for COVID-19 and who are at increased risk of progressing to sev</w:t>
            </w:r>
            <w:r w:rsidR="008471FE">
              <w:rPr>
                <w:i/>
              </w:rPr>
              <w:t>ere COVID</w:t>
            </w:r>
            <w:r w:rsidR="008471FE">
              <w:rPr>
                <w:i/>
              </w:rPr>
              <w:noBreakHyphen/>
              <w:t>1</w:t>
            </w:r>
            <w:r w:rsidRPr="00181F79">
              <w:rPr>
                <w:i/>
              </w:rPr>
              <w:t>9.</w:t>
            </w:r>
          </w:p>
          <w:p w14:paraId="51F0623B" w14:textId="77777777" w:rsidR="00181F79" w:rsidRPr="00181F79" w:rsidRDefault="00181F79" w:rsidP="008471FE">
            <w:pPr>
              <w:ind w:left="0" w:right="0"/>
              <w:rPr>
                <w:i/>
              </w:rPr>
            </w:pPr>
            <w:r w:rsidRPr="00181F79">
              <w:rPr>
                <w:i/>
              </w:rPr>
              <w:t xml:space="preserve">Post-exposure prophylaxis: </w:t>
            </w:r>
            <w:proofErr w:type="spellStart"/>
            <w:r w:rsidRPr="00181F79">
              <w:rPr>
                <w:i/>
              </w:rPr>
              <w:t>Ronapreve</w:t>
            </w:r>
            <w:proofErr w:type="spellEnd"/>
            <w:r w:rsidRPr="00181F79">
              <w:rPr>
                <w:i/>
              </w:rPr>
              <w:t xml:space="preserve"> is indicated for the prevention of COVID-19 in adults and adolescents (aged 12 years and older and weighing at least 40 kg) who have been exposed to SARS-CoV-2 and who either:</w:t>
            </w:r>
          </w:p>
          <w:p w14:paraId="0DF56547" w14:textId="77777777" w:rsidR="00181F79" w:rsidRPr="00181F79" w:rsidRDefault="00181F79" w:rsidP="008471FE">
            <w:pPr>
              <w:ind w:left="0" w:right="0"/>
              <w:rPr>
                <w:i/>
              </w:rPr>
            </w:pPr>
            <w:r w:rsidRPr="00181F79">
              <w:rPr>
                <w:i/>
              </w:rPr>
              <w:t>have a medical condition making them unlikely to respond to or be protected by vaccination, or</w:t>
            </w:r>
          </w:p>
          <w:p w14:paraId="1A3B013A" w14:textId="7420FCDB" w:rsidR="00181F79" w:rsidRPr="00181F79" w:rsidRDefault="00181F79" w:rsidP="008471FE">
            <w:pPr>
              <w:ind w:left="0" w:right="0"/>
              <w:rPr>
                <w:i/>
              </w:rPr>
            </w:pPr>
            <w:r w:rsidRPr="00181F79">
              <w:rPr>
                <w:i/>
              </w:rPr>
              <w:t>are not vaccinated against COVID-19. (refer to Section 4.2 Dose and me</w:t>
            </w:r>
            <w:r w:rsidR="008471FE">
              <w:rPr>
                <w:i/>
              </w:rPr>
              <w:t>thod of administration and 5.1, </w:t>
            </w:r>
            <w:r w:rsidRPr="00181F79">
              <w:rPr>
                <w:i/>
              </w:rPr>
              <w:t>Clinical Trials)</w:t>
            </w:r>
          </w:p>
          <w:p w14:paraId="64AADCE5" w14:textId="77777777" w:rsidR="00181F79" w:rsidRPr="00181F79" w:rsidRDefault="00181F79" w:rsidP="008471FE">
            <w:pPr>
              <w:ind w:left="0" w:right="0"/>
              <w:rPr>
                <w:i/>
              </w:rPr>
            </w:pPr>
            <w:proofErr w:type="spellStart"/>
            <w:r w:rsidRPr="00181F79">
              <w:rPr>
                <w:i/>
              </w:rPr>
              <w:t>Ronapreve</w:t>
            </w:r>
            <w:proofErr w:type="spellEnd"/>
            <w:r w:rsidRPr="00181F79">
              <w:rPr>
                <w:i/>
              </w:rPr>
              <w:t xml:space="preserve"> is not intended to be used as a substitute for vaccination against COVID-19.</w:t>
            </w:r>
          </w:p>
          <w:p w14:paraId="09E91A55" w14:textId="77777777" w:rsidR="00181F79" w:rsidRPr="00181F79" w:rsidRDefault="00181F79" w:rsidP="008471FE">
            <w:pPr>
              <w:ind w:left="0" w:right="0"/>
              <w:rPr>
                <w:i/>
              </w:rPr>
            </w:pPr>
            <w:r w:rsidRPr="00181F79">
              <w:rPr>
                <w:i/>
              </w:rPr>
              <w:t xml:space="preserve">The decision has been made on the basis of </w:t>
            </w:r>
            <w:proofErr w:type="gramStart"/>
            <w:r w:rsidRPr="00181F79">
              <w:rPr>
                <w:i/>
              </w:rPr>
              <w:t>short term</w:t>
            </w:r>
            <w:proofErr w:type="gramEnd"/>
            <w:r w:rsidRPr="00181F79">
              <w:rPr>
                <w:i/>
              </w:rPr>
              <w:t xml:space="preserve"> efficacy and safety data. Continued approval of this indication depends on the evidence of </w:t>
            </w:r>
            <w:proofErr w:type="gramStart"/>
            <w:r w:rsidRPr="00181F79">
              <w:rPr>
                <w:i/>
              </w:rPr>
              <w:t>longer term</w:t>
            </w:r>
            <w:proofErr w:type="gramEnd"/>
            <w:r w:rsidRPr="00181F79">
              <w:rPr>
                <w:i/>
              </w:rPr>
              <w:t xml:space="preserve"> efficacy and safety from ongoing clinical trials and post-market assessment.</w:t>
            </w:r>
          </w:p>
        </w:tc>
      </w:tr>
      <w:tr w:rsidR="00181F79" w14:paraId="4ADC41AE" w14:textId="77777777" w:rsidTr="008471FE">
        <w:trPr>
          <w:cantSplit/>
        </w:trPr>
        <w:tc>
          <w:tcPr>
            <w:tcW w:w="1638" w:type="dxa"/>
          </w:tcPr>
          <w:p w14:paraId="7EEABD57" w14:textId="77777777" w:rsidR="00181F79" w:rsidRDefault="00181F79" w:rsidP="008471FE">
            <w:pPr>
              <w:ind w:left="0" w:right="0"/>
            </w:pPr>
            <w:r>
              <w:t>Actemra (tocilizumab)</w:t>
            </w:r>
          </w:p>
        </w:tc>
        <w:tc>
          <w:tcPr>
            <w:tcW w:w="1890" w:type="dxa"/>
          </w:tcPr>
          <w:p w14:paraId="0E6EB7AE" w14:textId="77777777" w:rsidR="00181F79" w:rsidRDefault="00181F79" w:rsidP="008471FE">
            <w:pPr>
              <w:ind w:left="0" w:right="0"/>
            </w:pPr>
            <w:r>
              <w:t>1 December 2021</w:t>
            </w:r>
          </w:p>
        </w:tc>
        <w:tc>
          <w:tcPr>
            <w:tcW w:w="5192" w:type="dxa"/>
          </w:tcPr>
          <w:p w14:paraId="48895877" w14:textId="77777777" w:rsidR="00810C37" w:rsidRPr="00810C37" w:rsidRDefault="00810C37" w:rsidP="008471FE">
            <w:pPr>
              <w:ind w:left="0" w:right="0"/>
              <w:rPr>
                <w:i/>
              </w:rPr>
            </w:pPr>
            <w:r w:rsidRPr="00810C37">
              <w:rPr>
                <w:i/>
              </w:rPr>
              <w:t>Coronavi</w:t>
            </w:r>
            <w:r>
              <w:rPr>
                <w:i/>
              </w:rPr>
              <w:t>rus disease 2019 (COVID-19) (IV </w:t>
            </w:r>
            <w:r w:rsidRPr="00810C37">
              <w:rPr>
                <w:i/>
              </w:rPr>
              <w:t>formulation only)</w:t>
            </w:r>
          </w:p>
          <w:p w14:paraId="5813A74B" w14:textId="77777777" w:rsidR="00810C37" w:rsidRPr="00810C37" w:rsidRDefault="00810C37" w:rsidP="008471FE">
            <w:pPr>
              <w:ind w:left="0" w:right="0"/>
              <w:rPr>
                <w:i/>
              </w:rPr>
            </w:pPr>
            <w:r>
              <w:rPr>
                <w:i/>
              </w:rPr>
              <w:t>A</w:t>
            </w:r>
            <w:r w:rsidRPr="00810C37">
              <w:rPr>
                <w:i/>
              </w:rPr>
              <w:t>ctemra has provisional approval for the treatment of coronavirus disease 2019 (COVID-19) in hospitalised adults who are receiving systemic corticosteroids and require supplemental oxygen or mechanical ventilation.</w:t>
            </w:r>
          </w:p>
          <w:p w14:paraId="0505CED4" w14:textId="77777777" w:rsidR="00181F79" w:rsidRPr="00181F79" w:rsidRDefault="00810C37" w:rsidP="008471FE">
            <w:pPr>
              <w:ind w:left="0" w:right="0"/>
              <w:rPr>
                <w:i/>
              </w:rPr>
            </w:pPr>
            <w:r w:rsidRPr="00810C37">
              <w:rPr>
                <w:i/>
              </w:rPr>
              <w:t xml:space="preserve">Provisional approval has been made </w:t>
            </w:r>
            <w:proofErr w:type="gramStart"/>
            <w:r w:rsidRPr="00810C37">
              <w:rPr>
                <w:i/>
              </w:rPr>
              <w:t>on the basis of</w:t>
            </w:r>
            <w:proofErr w:type="gramEnd"/>
            <w:r w:rsidRPr="00810C37">
              <w:rPr>
                <w:i/>
              </w:rPr>
              <w:t xml:space="preserve"> short-term efficacy and safety data. Continued approval depends on the evidence of longer-term efficacy and safety from ongoing clinical trials and post-market assessment.</w:t>
            </w:r>
          </w:p>
        </w:tc>
      </w:tr>
      <w:tr w:rsidR="00181F79" w14:paraId="4CD74A6F" w14:textId="77777777" w:rsidTr="008471FE">
        <w:trPr>
          <w:cantSplit/>
        </w:trPr>
        <w:tc>
          <w:tcPr>
            <w:tcW w:w="1638" w:type="dxa"/>
          </w:tcPr>
          <w:p w14:paraId="7ED07F8E" w14:textId="77777777" w:rsidR="00181F79" w:rsidRDefault="00181F79" w:rsidP="008471FE">
            <w:pPr>
              <w:ind w:left="0" w:right="0"/>
            </w:pPr>
            <w:proofErr w:type="spellStart"/>
            <w:r>
              <w:lastRenderedPageBreak/>
              <w:t>Regkirona</w:t>
            </w:r>
            <w:proofErr w:type="spellEnd"/>
            <w:r>
              <w:t xml:space="preserve"> (</w:t>
            </w:r>
            <w:proofErr w:type="spellStart"/>
            <w:r>
              <w:t>regdanvimab</w:t>
            </w:r>
            <w:proofErr w:type="spellEnd"/>
            <w:r w:rsidR="0090274F">
              <w:t>)</w:t>
            </w:r>
          </w:p>
        </w:tc>
        <w:tc>
          <w:tcPr>
            <w:tcW w:w="1890" w:type="dxa"/>
          </w:tcPr>
          <w:p w14:paraId="1FBA7881" w14:textId="77777777" w:rsidR="00181F79" w:rsidRDefault="00181F79" w:rsidP="008471FE">
            <w:pPr>
              <w:ind w:left="0" w:right="0"/>
            </w:pPr>
            <w:r>
              <w:t>6 December 2021</w:t>
            </w:r>
          </w:p>
        </w:tc>
        <w:tc>
          <w:tcPr>
            <w:tcW w:w="5192" w:type="dxa"/>
          </w:tcPr>
          <w:p w14:paraId="4FADA18A" w14:textId="14E29C45" w:rsidR="00181F79" w:rsidRPr="00181F79" w:rsidRDefault="00181F79" w:rsidP="008471FE">
            <w:pPr>
              <w:ind w:left="0" w:right="0"/>
              <w:rPr>
                <w:i/>
              </w:rPr>
            </w:pPr>
            <w:proofErr w:type="spellStart"/>
            <w:r w:rsidRPr="00181F79">
              <w:rPr>
                <w:i/>
              </w:rPr>
              <w:t>Regkirona</w:t>
            </w:r>
            <w:proofErr w:type="spellEnd"/>
            <w:r w:rsidRPr="00181F79">
              <w:rPr>
                <w:i/>
              </w:rPr>
              <w:t xml:space="preserve"> has provisional approval for the treatment of adults with coronavirus disease 2019 (COVID-19) who do not require supplemental oxygen and are at increased risk of progressing to severe COVI</w:t>
            </w:r>
            <w:r w:rsidR="008471FE">
              <w:rPr>
                <w:i/>
              </w:rPr>
              <w:t>D-19 (see </w:t>
            </w:r>
            <w:r w:rsidRPr="00181F79">
              <w:rPr>
                <w:i/>
              </w:rPr>
              <w:t>Section 5.1 Pharmacodynamic properties, clinical trials).</w:t>
            </w:r>
          </w:p>
          <w:p w14:paraId="531AF935" w14:textId="77777777" w:rsidR="00181F79" w:rsidRPr="00181F79" w:rsidRDefault="00181F79" w:rsidP="008471FE">
            <w:pPr>
              <w:ind w:left="0" w:right="0"/>
              <w:rPr>
                <w:i/>
              </w:rPr>
            </w:pPr>
            <w:r w:rsidRPr="00181F79">
              <w:rPr>
                <w:i/>
              </w:rPr>
              <w:t xml:space="preserve">The decision has been made on the basis of </w:t>
            </w:r>
            <w:proofErr w:type="gramStart"/>
            <w:r w:rsidRPr="00181F79">
              <w:rPr>
                <w:i/>
              </w:rPr>
              <w:t>short term</w:t>
            </w:r>
            <w:proofErr w:type="gramEnd"/>
            <w:r w:rsidRPr="00181F79">
              <w:rPr>
                <w:i/>
              </w:rPr>
              <w:t xml:space="preserve"> efficacy and safety data. Continued approval of this indication depends on the evidence of </w:t>
            </w:r>
            <w:proofErr w:type="gramStart"/>
            <w:r w:rsidRPr="00181F79">
              <w:rPr>
                <w:i/>
              </w:rPr>
              <w:t>longer term</w:t>
            </w:r>
            <w:proofErr w:type="gramEnd"/>
            <w:r w:rsidRPr="00181F79">
              <w:rPr>
                <w:i/>
              </w:rPr>
              <w:t xml:space="preserve"> efficacy and safety from assessment.</w:t>
            </w:r>
          </w:p>
        </w:tc>
      </w:tr>
      <w:tr w:rsidR="00181F79" w14:paraId="316A6634" w14:textId="77777777" w:rsidTr="008471FE">
        <w:tc>
          <w:tcPr>
            <w:tcW w:w="1638" w:type="dxa"/>
          </w:tcPr>
          <w:p w14:paraId="7A4F588A" w14:textId="77777777" w:rsidR="00181F79" w:rsidRDefault="00181F79" w:rsidP="008471FE">
            <w:pPr>
              <w:ind w:left="0" w:right="0"/>
            </w:pPr>
            <w:proofErr w:type="spellStart"/>
            <w:r>
              <w:t>Paxlovid</w:t>
            </w:r>
            <w:proofErr w:type="spellEnd"/>
            <w:r>
              <w:t xml:space="preserve"> (</w:t>
            </w:r>
            <w:proofErr w:type="spellStart"/>
            <w:r>
              <w:t>nirmatrelvir</w:t>
            </w:r>
            <w:proofErr w:type="spellEnd"/>
            <w:r>
              <w:t xml:space="preserve"> + ritonavir)</w:t>
            </w:r>
            <w:r>
              <w:rPr>
                <w:rStyle w:val="FootnoteReference"/>
              </w:rPr>
              <w:footnoteReference w:id="17"/>
            </w:r>
          </w:p>
        </w:tc>
        <w:tc>
          <w:tcPr>
            <w:tcW w:w="1890" w:type="dxa"/>
          </w:tcPr>
          <w:p w14:paraId="5104ACA1" w14:textId="77777777" w:rsidR="00181F79" w:rsidRDefault="00181F79" w:rsidP="008471FE">
            <w:pPr>
              <w:ind w:left="0" w:right="0"/>
            </w:pPr>
            <w:r>
              <w:t>18 January 2022</w:t>
            </w:r>
          </w:p>
        </w:tc>
        <w:tc>
          <w:tcPr>
            <w:tcW w:w="5192" w:type="dxa"/>
          </w:tcPr>
          <w:p w14:paraId="3B5F7820" w14:textId="43240DDF" w:rsidR="00181F79" w:rsidRPr="00181F79" w:rsidRDefault="00181F79" w:rsidP="008471FE">
            <w:pPr>
              <w:ind w:left="0" w:right="0"/>
              <w:rPr>
                <w:i/>
              </w:rPr>
            </w:pPr>
            <w:proofErr w:type="spellStart"/>
            <w:r w:rsidRPr="00181F79">
              <w:rPr>
                <w:i/>
              </w:rPr>
              <w:t>Paxlovid</w:t>
            </w:r>
            <w:proofErr w:type="spellEnd"/>
            <w:r w:rsidRPr="00181F79">
              <w:rPr>
                <w:i/>
              </w:rPr>
              <w:t xml:space="preserve"> has provisional approval for the treatment of coronavirus disea</w:t>
            </w:r>
            <w:r w:rsidR="008471FE">
              <w:rPr>
                <w:i/>
              </w:rPr>
              <w:t>se 2019 (COVID 19) in adults 18 </w:t>
            </w:r>
            <w:r w:rsidRPr="00181F79">
              <w:rPr>
                <w:i/>
              </w:rPr>
              <w:t>years of age and older, who do not require initiation of supplemental oxygen due to COVID 19 and are at increased risk of progression to hospitalisation or death (see Section 5.1 Pharmacodynamic properties, clinical trials).</w:t>
            </w:r>
          </w:p>
          <w:p w14:paraId="58904315" w14:textId="77777777" w:rsidR="00181F79" w:rsidRPr="00181F79" w:rsidRDefault="00181F79" w:rsidP="008471FE">
            <w:pPr>
              <w:ind w:left="0" w:right="0"/>
              <w:rPr>
                <w:i/>
              </w:rPr>
            </w:pPr>
            <w:r w:rsidRPr="00181F79">
              <w:rPr>
                <w:i/>
              </w:rPr>
              <w:t xml:space="preserve">The decision has been made on the basis of </w:t>
            </w:r>
            <w:proofErr w:type="gramStart"/>
            <w:r w:rsidRPr="00181F79">
              <w:rPr>
                <w:i/>
              </w:rPr>
              <w:t>short term</w:t>
            </w:r>
            <w:proofErr w:type="gramEnd"/>
            <w:r w:rsidRPr="00181F79">
              <w:rPr>
                <w:i/>
              </w:rPr>
              <w:t xml:space="preserve"> efficacy and safety data. Continued approval of this indication depends on the efficacy and safety data from ongoing clinical trials and post-market assessment.</w:t>
            </w:r>
          </w:p>
        </w:tc>
      </w:tr>
      <w:tr w:rsidR="00181F79" w14:paraId="55C6C444" w14:textId="77777777" w:rsidTr="008471FE">
        <w:trPr>
          <w:cantSplit/>
        </w:trPr>
        <w:tc>
          <w:tcPr>
            <w:tcW w:w="1638" w:type="dxa"/>
          </w:tcPr>
          <w:p w14:paraId="59DFB01B" w14:textId="77777777" w:rsidR="00181F79" w:rsidRDefault="00181F79" w:rsidP="008471FE">
            <w:pPr>
              <w:ind w:left="0" w:right="0"/>
            </w:pPr>
            <w:proofErr w:type="spellStart"/>
            <w:r>
              <w:t>Lagevrio</w:t>
            </w:r>
            <w:proofErr w:type="spellEnd"/>
            <w:r>
              <w:t xml:space="preserve"> (</w:t>
            </w:r>
            <w:proofErr w:type="spellStart"/>
            <w:r>
              <w:t>molnupiravir</w:t>
            </w:r>
            <w:proofErr w:type="spellEnd"/>
            <w:r>
              <w:t>)</w:t>
            </w:r>
          </w:p>
        </w:tc>
        <w:tc>
          <w:tcPr>
            <w:tcW w:w="1890" w:type="dxa"/>
          </w:tcPr>
          <w:p w14:paraId="7573E621" w14:textId="77777777" w:rsidR="00181F79" w:rsidRDefault="00181F79" w:rsidP="008471FE">
            <w:pPr>
              <w:ind w:left="0" w:right="0"/>
            </w:pPr>
            <w:r>
              <w:t>18 January 2022</w:t>
            </w:r>
          </w:p>
        </w:tc>
        <w:tc>
          <w:tcPr>
            <w:tcW w:w="5192" w:type="dxa"/>
          </w:tcPr>
          <w:p w14:paraId="7A507686" w14:textId="77777777" w:rsidR="00181F79" w:rsidRPr="00181F79" w:rsidRDefault="00181F79" w:rsidP="008471FE">
            <w:pPr>
              <w:ind w:left="0" w:right="0"/>
              <w:rPr>
                <w:i/>
              </w:rPr>
            </w:pPr>
            <w:proofErr w:type="spellStart"/>
            <w:r w:rsidRPr="00181F79">
              <w:rPr>
                <w:i/>
              </w:rPr>
              <w:t>Lagevrio</w:t>
            </w:r>
            <w:proofErr w:type="spellEnd"/>
            <w:r w:rsidRPr="00181F79">
              <w:rPr>
                <w:i/>
              </w:rPr>
              <w:t xml:space="preserve"> (</w:t>
            </w:r>
            <w:proofErr w:type="spellStart"/>
            <w:r w:rsidRPr="00181F79">
              <w:rPr>
                <w:i/>
              </w:rPr>
              <w:t>molnupiravir</w:t>
            </w:r>
            <w:proofErr w:type="spellEnd"/>
            <w:r w:rsidRPr="00181F79">
              <w:rPr>
                <w:i/>
              </w:rPr>
              <w:t>) has provisional approval for the treatment of adults with COVID 19 who do not require initiation of oxygen due to COVID-19 and who are at increased risk for hospitalisation or death (see section 5.1 Pharmacodynamic properties - Clinical trials).</w:t>
            </w:r>
          </w:p>
          <w:p w14:paraId="7BDFDA4D" w14:textId="77777777" w:rsidR="00181F79" w:rsidRPr="00181F79" w:rsidRDefault="00181F79" w:rsidP="008471FE">
            <w:pPr>
              <w:ind w:left="0" w:right="0"/>
              <w:rPr>
                <w:i/>
              </w:rPr>
            </w:pPr>
            <w:r w:rsidRPr="00181F79">
              <w:rPr>
                <w:i/>
              </w:rPr>
              <w:t xml:space="preserve">The decision to approve this indication has been made </w:t>
            </w:r>
            <w:proofErr w:type="gramStart"/>
            <w:r w:rsidRPr="00181F79">
              <w:rPr>
                <w:i/>
              </w:rPr>
              <w:t>on the basis of</w:t>
            </w:r>
            <w:proofErr w:type="gramEnd"/>
            <w:r w:rsidRPr="00181F79">
              <w:rPr>
                <w:i/>
              </w:rPr>
              <w:t xml:space="preserve"> the analysis of efficacy and safety data from a Phase 3 trial. Continued approval of this indication depends on additional data.</w:t>
            </w:r>
          </w:p>
        </w:tc>
      </w:tr>
    </w:tbl>
    <w:p w14:paraId="45644E21" w14:textId="77777777" w:rsidR="003F3C68" w:rsidRDefault="00C96BF2" w:rsidP="00C96BF2">
      <w:pPr>
        <w:pStyle w:val="Heading5"/>
      </w:pPr>
      <w:r>
        <w:t>Current vaccine options</w:t>
      </w:r>
    </w:p>
    <w:p w14:paraId="34161145" w14:textId="5DB0F299" w:rsidR="00C96BF2" w:rsidRPr="00C96BF2" w:rsidRDefault="00DE1861" w:rsidP="00C96BF2">
      <w:r>
        <w:t xml:space="preserve">As of 2 February 2022, the TGA has granted provisional approval to the COVID-19 vaccines listed in </w:t>
      </w:r>
      <w:r>
        <w:fldChar w:fldCharType="begin"/>
      </w:r>
      <w:r>
        <w:instrText xml:space="preserve"> REF _Ref94653077 \h </w:instrText>
      </w:r>
      <w:r>
        <w:fldChar w:fldCharType="separate"/>
      </w:r>
      <w:r w:rsidR="004D0A2C">
        <w:t xml:space="preserve">Table </w:t>
      </w:r>
      <w:r w:rsidR="004D0A2C">
        <w:rPr>
          <w:noProof/>
        </w:rPr>
        <w:t>2</w:t>
      </w:r>
      <w:r w:rsidR="004D0A2C">
        <w:t>: Currently approved COVID-19 vaccines in Australia</w:t>
      </w:r>
      <w:r>
        <w:fldChar w:fldCharType="end"/>
      </w:r>
      <w:r>
        <w:t xml:space="preserve"> below. An update list of approved vaccines is available from the TGA website.</w:t>
      </w:r>
      <w:r>
        <w:rPr>
          <w:rStyle w:val="FootnoteReference"/>
        </w:rPr>
        <w:footnoteReference w:id="18"/>
      </w:r>
    </w:p>
    <w:p w14:paraId="4DA15045" w14:textId="38BDDEC4" w:rsidR="00C96BF2" w:rsidRDefault="00C96BF2" w:rsidP="00C96BF2">
      <w:pPr>
        <w:pStyle w:val="TableTitle"/>
      </w:pPr>
      <w:bookmarkStart w:id="19" w:name="_Ref94653077"/>
      <w:r>
        <w:lastRenderedPageBreak/>
        <w:t xml:space="preserve">Table </w:t>
      </w:r>
      <w:r>
        <w:fldChar w:fldCharType="begin"/>
      </w:r>
      <w:r>
        <w:instrText>SEQ Table \* ARABIC</w:instrText>
      </w:r>
      <w:r>
        <w:fldChar w:fldCharType="separate"/>
      </w:r>
      <w:r w:rsidR="004D0A2C">
        <w:rPr>
          <w:noProof/>
        </w:rPr>
        <w:t>2</w:t>
      </w:r>
      <w:r>
        <w:fldChar w:fldCharType="end"/>
      </w:r>
      <w:r>
        <w:t>: Currently approved COVID-19 vaccines in Australia</w:t>
      </w:r>
      <w:bookmarkEnd w:id="19"/>
    </w:p>
    <w:tbl>
      <w:tblPr>
        <w:tblStyle w:val="TableTGAblue"/>
        <w:tblW w:w="0" w:type="auto"/>
        <w:tblLook w:val="04A0" w:firstRow="1" w:lastRow="0" w:firstColumn="1" w:lastColumn="0" w:noHBand="0" w:noVBand="1"/>
      </w:tblPr>
      <w:tblGrid>
        <w:gridCol w:w="2174"/>
        <w:gridCol w:w="2108"/>
        <w:gridCol w:w="2119"/>
        <w:gridCol w:w="2083"/>
      </w:tblGrid>
      <w:tr w:rsidR="00DE1861" w14:paraId="7FB2B3CF" w14:textId="77777777" w:rsidTr="00954F42">
        <w:trPr>
          <w:cnfStyle w:val="100000000000" w:firstRow="1" w:lastRow="0" w:firstColumn="0" w:lastColumn="0" w:oddVBand="0" w:evenVBand="0" w:oddHBand="0" w:evenHBand="0" w:firstRowFirstColumn="0" w:firstRowLastColumn="0" w:lastRowFirstColumn="0" w:lastRowLastColumn="0"/>
        </w:trPr>
        <w:tc>
          <w:tcPr>
            <w:tcW w:w="2180" w:type="dxa"/>
          </w:tcPr>
          <w:p w14:paraId="4091367E" w14:textId="77777777" w:rsidR="00DE1861" w:rsidRPr="00C96BF2" w:rsidRDefault="00DE1861" w:rsidP="00DE1861">
            <w:pPr>
              <w:spacing w:line="120" w:lineRule="atLeast"/>
              <w:ind w:left="0" w:right="0"/>
              <w:rPr>
                <w:bCs/>
                <w:color w:val="FFFFFF"/>
              </w:rPr>
            </w:pPr>
            <w:r w:rsidRPr="00C96BF2">
              <w:rPr>
                <w:bCs/>
                <w:color w:val="FFFFFF"/>
              </w:rPr>
              <w:t>Name</w:t>
            </w:r>
            <w:r>
              <w:rPr>
                <w:bCs/>
                <w:color w:val="FFFFFF"/>
              </w:rPr>
              <w:t xml:space="preserve"> (active)</w:t>
            </w:r>
          </w:p>
        </w:tc>
        <w:tc>
          <w:tcPr>
            <w:tcW w:w="2180" w:type="dxa"/>
          </w:tcPr>
          <w:p w14:paraId="1DE447EF" w14:textId="77777777" w:rsidR="00DE1861" w:rsidRPr="00C96BF2" w:rsidRDefault="00DE1861" w:rsidP="00DE1861">
            <w:pPr>
              <w:spacing w:line="120" w:lineRule="atLeast"/>
              <w:ind w:left="0" w:right="0"/>
              <w:rPr>
                <w:rFonts w:ascii="Times New Roman" w:eastAsia="Times New Roman" w:hAnsi="Times New Roman"/>
              </w:rPr>
            </w:pPr>
            <w:r w:rsidRPr="00C96BF2">
              <w:t>Effective date</w:t>
            </w:r>
            <w:r>
              <w:t>(s)</w:t>
            </w:r>
          </w:p>
        </w:tc>
        <w:tc>
          <w:tcPr>
            <w:tcW w:w="2180" w:type="dxa"/>
          </w:tcPr>
          <w:p w14:paraId="59A84C3A" w14:textId="77777777" w:rsidR="00DE1861" w:rsidRPr="00C96BF2" w:rsidRDefault="00DE1861" w:rsidP="00DE1861">
            <w:pPr>
              <w:spacing w:line="120" w:lineRule="atLeast"/>
              <w:ind w:left="0" w:right="0"/>
              <w:rPr>
                <w:bCs/>
                <w:color w:val="FFFFFF"/>
              </w:rPr>
            </w:pPr>
            <w:r w:rsidRPr="00C96BF2">
              <w:rPr>
                <w:bCs/>
                <w:color w:val="FFFFFF"/>
              </w:rPr>
              <w:t>Sponsor</w:t>
            </w:r>
          </w:p>
        </w:tc>
        <w:tc>
          <w:tcPr>
            <w:tcW w:w="2180" w:type="dxa"/>
          </w:tcPr>
          <w:p w14:paraId="288133F3" w14:textId="77777777" w:rsidR="00DE1861" w:rsidRPr="00C96BF2" w:rsidRDefault="00DE1861" w:rsidP="00DE1861">
            <w:pPr>
              <w:spacing w:line="120" w:lineRule="atLeast"/>
              <w:ind w:left="0" w:right="0"/>
              <w:rPr>
                <w:bCs/>
                <w:color w:val="FFFFFF"/>
              </w:rPr>
            </w:pPr>
            <w:r w:rsidRPr="00C96BF2">
              <w:rPr>
                <w:bCs/>
                <w:color w:val="FFFFFF"/>
              </w:rPr>
              <w:t>Type</w:t>
            </w:r>
          </w:p>
        </w:tc>
      </w:tr>
      <w:tr w:rsidR="00DE1861" w14:paraId="5852A582" w14:textId="77777777" w:rsidTr="00954F42">
        <w:tc>
          <w:tcPr>
            <w:tcW w:w="2180" w:type="dxa"/>
          </w:tcPr>
          <w:p w14:paraId="05A917CB" w14:textId="2BBE3163" w:rsidR="00DE1861" w:rsidRDefault="00DE1861" w:rsidP="00E16B25">
            <w:pPr>
              <w:ind w:left="0"/>
              <w:rPr>
                <w:color w:val="565656"/>
              </w:rPr>
            </w:pPr>
            <w:proofErr w:type="spellStart"/>
            <w:r w:rsidRPr="00E16B25">
              <w:t>Nuvaxovid</w:t>
            </w:r>
            <w:proofErr w:type="spellEnd"/>
            <w:r w:rsidRPr="00E16B25">
              <w:t xml:space="preserve"> (NVX</w:t>
            </w:r>
            <w:r w:rsidRPr="00E16B25">
              <w:noBreakHyphen/>
              <w:t>CoV2373)</w:t>
            </w:r>
          </w:p>
          <w:p w14:paraId="43028982" w14:textId="77777777" w:rsidR="00DE1861" w:rsidRDefault="00DE1861" w:rsidP="00DE1861">
            <w:pPr>
              <w:spacing w:before="0" w:after="240" w:line="120" w:lineRule="atLeast"/>
              <w:ind w:left="0" w:right="0"/>
              <w:rPr>
                <w:color w:val="565656"/>
              </w:rPr>
            </w:pPr>
            <w:r>
              <w:rPr>
                <w:color w:val="565656"/>
              </w:rPr>
              <w:t>For individuals aged 18 years and over</w:t>
            </w:r>
          </w:p>
        </w:tc>
        <w:tc>
          <w:tcPr>
            <w:tcW w:w="2180" w:type="dxa"/>
          </w:tcPr>
          <w:p w14:paraId="536213FF" w14:textId="77777777" w:rsidR="00DE1861" w:rsidRDefault="00DE1861" w:rsidP="00DE1861">
            <w:pPr>
              <w:spacing w:line="120" w:lineRule="atLeast"/>
              <w:ind w:left="0" w:right="0"/>
              <w:rPr>
                <w:color w:val="auto"/>
              </w:rPr>
            </w:pPr>
            <w:r>
              <w:t>20 January 2022</w:t>
            </w:r>
          </w:p>
        </w:tc>
        <w:tc>
          <w:tcPr>
            <w:tcW w:w="2180" w:type="dxa"/>
          </w:tcPr>
          <w:p w14:paraId="74A5FA52" w14:textId="77777777" w:rsidR="00DE1861" w:rsidRDefault="00DE1861" w:rsidP="00DE1861">
            <w:pPr>
              <w:spacing w:line="120" w:lineRule="atLeast"/>
              <w:ind w:left="0" w:right="0"/>
            </w:pPr>
            <w:proofErr w:type="spellStart"/>
            <w:r>
              <w:t>Biocelect</w:t>
            </w:r>
            <w:proofErr w:type="spellEnd"/>
            <w:r>
              <w:t xml:space="preserve"> Pty Ltd on behalf of </w:t>
            </w:r>
            <w:proofErr w:type="spellStart"/>
            <w:r>
              <w:t>Novavax</w:t>
            </w:r>
            <w:proofErr w:type="spellEnd"/>
            <w:r>
              <w:t> Inc</w:t>
            </w:r>
          </w:p>
        </w:tc>
        <w:tc>
          <w:tcPr>
            <w:tcW w:w="2180" w:type="dxa"/>
          </w:tcPr>
          <w:p w14:paraId="1E811015" w14:textId="77777777" w:rsidR="00DE1861" w:rsidRDefault="00DE1861" w:rsidP="00DE1861">
            <w:pPr>
              <w:spacing w:after="0" w:line="120" w:lineRule="atLeast"/>
              <w:ind w:left="0" w:right="0"/>
              <w:rPr>
                <w:color w:val="auto"/>
              </w:rPr>
            </w:pPr>
            <w:r>
              <w:t>Protein vaccine</w:t>
            </w:r>
          </w:p>
        </w:tc>
      </w:tr>
      <w:tr w:rsidR="00DE1861" w14:paraId="3D792BED" w14:textId="77777777" w:rsidTr="00954F42">
        <w:tc>
          <w:tcPr>
            <w:tcW w:w="2180" w:type="dxa"/>
          </w:tcPr>
          <w:p w14:paraId="75A448AF" w14:textId="2B7A0598" w:rsidR="00DE1861" w:rsidRDefault="00DE1861" w:rsidP="00DE1861">
            <w:pPr>
              <w:spacing w:after="240" w:line="120" w:lineRule="atLeast"/>
              <w:ind w:left="0" w:right="0"/>
              <w:rPr>
                <w:color w:val="565656"/>
              </w:rPr>
            </w:pPr>
            <w:proofErr w:type="spellStart"/>
            <w:r>
              <w:rPr>
                <w:color w:val="565656"/>
              </w:rPr>
              <w:t>Spikevax</w:t>
            </w:r>
            <w:proofErr w:type="spellEnd"/>
            <w:r>
              <w:rPr>
                <w:color w:val="565656"/>
              </w:rPr>
              <w:t xml:space="preserve"> (</w:t>
            </w:r>
            <w:proofErr w:type="spellStart"/>
            <w:r>
              <w:rPr>
                <w:color w:val="565656"/>
              </w:rPr>
              <w:t>elasomeran</w:t>
            </w:r>
            <w:proofErr w:type="spellEnd"/>
            <w:r>
              <w:rPr>
                <w:color w:val="565656"/>
              </w:rPr>
              <w:t>)</w:t>
            </w:r>
            <w:r w:rsidRPr="005E427A">
              <w:rPr>
                <w:rStyle w:val="FootnoteReference"/>
              </w:rPr>
              <w:footnoteReference w:id="19"/>
            </w:r>
            <w:r w:rsidRPr="005E427A">
              <w:rPr>
                <w:vertAlign w:val="superscript"/>
              </w:rPr>
              <w:t>,</w:t>
            </w:r>
            <w:r w:rsidRPr="005E427A">
              <w:rPr>
                <w:rStyle w:val="FootnoteReference"/>
              </w:rPr>
              <w:footnoteReference w:id="20"/>
            </w:r>
            <w:r w:rsidRPr="005E427A">
              <w:rPr>
                <w:vertAlign w:val="superscript"/>
              </w:rPr>
              <w:t>,</w:t>
            </w:r>
            <w:r w:rsidRPr="005E427A">
              <w:rPr>
                <w:rStyle w:val="FootnoteReference"/>
              </w:rPr>
              <w:footnoteReference w:id="21"/>
            </w:r>
          </w:p>
          <w:p w14:paraId="3A856752" w14:textId="77777777" w:rsidR="00DE1861" w:rsidRDefault="00DE1861" w:rsidP="00DE1861">
            <w:pPr>
              <w:spacing w:after="240" w:line="120" w:lineRule="atLeast"/>
              <w:ind w:left="0" w:right="0"/>
              <w:rPr>
                <w:color w:val="565656"/>
              </w:rPr>
            </w:pPr>
            <w:r>
              <w:rPr>
                <w:color w:val="565656"/>
              </w:rPr>
              <w:t>a. For individuals aged 18 years and over</w:t>
            </w:r>
          </w:p>
          <w:p w14:paraId="2AD99779" w14:textId="77777777" w:rsidR="00DE1861" w:rsidRDefault="00DE1861" w:rsidP="00DE1861">
            <w:pPr>
              <w:spacing w:after="240" w:line="120" w:lineRule="atLeast"/>
              <w:ind w:left="0" w:right="0"/>
              <w:rPr>
                <w:color w:val="565656"/>
              </w:rPr>
            </w:pPr>
            <w:r>
              <w:rPr>
                <w:color w:val="565656"/>
              </w:rPr>
              <w:t>b. For individuals aged 12 years and over</w:t>
            </w:r>
          </w:p>
          <w:p w14:paraId="7894B8E6" w14:textId="77777777" w:rsidR="00DE1861" w:rsidRDefault="00DE1861" w:rsidP="00DE1861">
            <w:pPr>
              <w:spacing w:after="240" w:line="120" w:lineRule="atLeast"/>
              <w:ind w:left="0" w:right="0"/>
              <w:rPr>
                <w:color w:val="565656"/>
              </w:rPr>
            </w:pPr>
            <w:r>
              <w:rPr>
                <w:color w:val="565656"/>
              </w:rPr>
              <w:t>c. Booster dose for individuals aged 18 years and over</w:t>
            </w:r>
          </w:p>
        </w:tc>
        <w:tc>
          <w:tcPr>
            <w:tcW w:w="2180" w:type="dxa"/>
          </w:tcPr>
          <w:p w14:paraId="7C863561" w14:textId="77777777" w:rsidR="00DE1861" w:rsidRDefault="00DE1861" w:rsidP="00DE1861">
            <w:pPr>
              <w:spacing w:after="240" w:line="120" w:lineRule="atLeast"/>
              <w:ind w:left="0" w:right="0"/>
              <w:rPr>
                <w:color w:val="565656"/>
              </w:rPr>
            </w:pPr>
            <w:r>
              <w:rPr>
                <w:color w:val="565656"/>
              </w:rPr>
              <w:t>a. 9 August 2021</w:t>
            </w:r>
          </w:p>
          <w:p w14:paraId="43BAC4BF" w14:textId="77777777" w:rsidR="00DE1861" w:rsidRDefault="00DE1861" w:rsidP="00DE1861">
            <w:pPr>
              <w:spacing w:after="240" w:line="120" w:lineRule="atLeast"/>
              <w:ind w:left="0" w:right="0"/>
              <w:rPr>
                <w:color w:val="565656"/>
              </w:rPr>
            </w:pPr>
            <w:r>
              <w:rPr>
                <w:color w:val="565656"/>
              </w:rPr>
              <w:t>b. 3 September 2021</w:t>
            </w:r>
          </w:p>
          <w:p w14:paraId="6F1AACA0" w14:textId="77777777" w:rsidR="00DE1861" w:rsidRDefault="00DE1861" w:rsidP="00DE1861">
            <w:pPr>
              <w:spacing w:after="240" w:line="120" w:lineRule="atLeast"/>
              <w:ind w:left="0" w:right="0"/>
              <w:rPr>
                <w:color w:val="565656"/>
              </w:rPr>
            </w:pPr>
            <w:r>
              <w:rPr>
                <w:color w:val="565656"/>
              </w:rPr>
              <w:t>c. 7 December 2021</w:t>
            </w:r>
          </w:p>
        </w:tc>
        <w:tc>
          <w:tcPr>
            <w:tcW w:w="2180" w:type="dxa"/>
          </w:tcPr>
          <w:p w14:paraId="6D5D5CC6" w14:textId="77777777" w:rsidR="00DE1861" w:rsidRDefault="00DE1861" w:rsidP="00DE1861">
            <w:pPr>
              <w:spacing w:after="0" w:line="120" w:lineRule="atLeast"/>
              <w:ind w:left="0" w:right="0"/>
              <w:rPr>
                <w:color w:val="auto"/>
              </w:rPr>
            </w:pPr>
            <w:proofErr w:type="spellStart"/>
            <w:r>
              <w:t>Moderna</w:t>
            </w:r>
            <w:proofErr w:type="spellEnd"/>
            <w:r>
              <w:t xml:space="preserve"> Australia Pty Ltd</w:t>
            </w:r>
          </w:p>
        </w:tc>
        <w:tc>
          <w:tcPr>
            <w:tcW w:w="2180" w:type="dxa"/>
          </w:tcPr>
          <w:p w14:paraId="31BD1270" w14:textId="77777777" w:rsidR="00DE1861" w:rsidRDefault="00DE1861" w:rsidP="00DE1861">
            <w:pPr>
              <w:spacing w:after="0" w:line="120" w:lineRule="atLeast"/>
              <w:ind w:left="0" w:right="0"/>
              <w:rPr>
                <w:color w:val="auto"/>
              </w:rPr>
            </w:pPr>
            <w:r>
              <w:t>mRNA</w:t>
            </w:r>
          </w:p>
        </w:tc>
      </w:tr>
      <w:tr w:rsidR="00DE1861" w14:paraId="6FE5CA49" w14:textId="77777777" w:rsidTr="00E16B25">
        <w:trPr>
          <w:cantSplit/>
        </w:trPr>
        <w:tc>
          <w:tcPr>
            <w:tcW w:w="2180" w:type="dxa"/>
          </w:tcPr>
          <w:p w14:paraId="6C9709BF" w14:textId="44833CC5" w:rsidR="00DE1861" w:rsidRDefault="00DE1861" w:rsidP="00DE1861">
            <w:pPr>
              <w:spacing w:after="240" w:line="120" w:lineRule="atLeast"/>
              <w:ind w:left="0" w:right="0"/>
              <w:rPr>
                <w:color w:val="565656"/>
              </w:rPr>
            </w:pPr>
            <w:r>
              <w:rPr>
                <w:color w:val="565656"/>
              </w:rPr>
              <w:t>COVID-19 Vaccine Janssen</w:t>
            </w:r>
            <w:r w:rsidRPr="005E427A">
              <w:rPr>
                <w:rStyle w:val="FootnoteReference"/>
              </w:rPr>
              <w:footnoteReference w:id="22"/>
            </w:r>
            <w:r w:rsidRPr="005E427A">
              <w:rPr>
                <w:vertAlign w:val="superscript"/>
              </w:rPr>
              <w:t>,</w:t>
            </w:r>
            <w:r w:rsidRPr="005E427A">
              <w:rPr>
                <w:rStyle w:val="FootnoteReference"/>
              </w:rPr>
              <w:footnoteReference w:id="23"/>
            </w:r>
          </w:p>
          <w:p w14:paraId="795DDEBE" w14:textId="77777777" w:rsidR="00DE1861" w:rsidRDefault="00DE1861" w:rsidP="00DE1861">
            <w:pPr>
              <w:spacing w:after="240" w:line="120" w:lineRule="atLeast"/>
              <w:ind w:left="0" w:right="0"/>
              <w:rPr>
                <w:color w:val="565656"/>
              </w:rPr>
            </w:pPr>
            <w:r>
              <w:rPr>
                <w:color w:val="565656"/>
              </w:rPr>
              <w:t>For individuals aged 18 years and over</w:t>
            </w:r>
          </w:p>
        </w:tc>
        <w:tc>
          <w:tcPr>
            <w:tcW w:w="2180" w:type="dxa"/>
          </w:tcPr>
          <w:p w14:paraId="213710B1" w14:textId="77777777" w:rsidR="00DE1861" w:rsidRDefault="00DE1861" w:rsidP="00DE1861">
            <w:pPr>
              <w:spacing w:line="120" w:lineRule="atLeast"/>
              <w:ind w:left="0" w:right="0"/>
            </w:pPr>
            <w:r>
              <w:t>25 June 2021</w:t>
            </w:r>
          </w:p>
        </w:tc>
        <w:tc>
          <w:tcPr>
            <w:tcW w:w="2180" w:type="dxa"/>
          </w:tcPr>
          <w:p w14:paraId="58881EE8" w14:textId="77777777" w:rsidR="00DE1861" w:rsidRDefault="00DE1861" w:rsidP="00DE1861">
            <w:pPr>
              <w:spacing w:line="120" w:lineRule="atLeast"/>
              <w:ind w:left="0" w:right="0"/>
            </w:pPr>
            <w:r>
              <w:t>Janssen-</w:t>
            </w:r>
            <w:proofErr w:type="spellStart"/>
            <w:r>
              <w:t>Cilag</w:t>
            </w:r>
            <w:proofErr w:type="spellEnd"/>
            <w:r>
              <w:t xml:space="preserve"> Pty Ltd</w:t>
            </w:r>
          </w:p>
        </w:tc>
        <w:tc>
          <w:tcPr>
            <w:tcW w:w="2180" w:type="dxa"/>
          </w:tcPr>
          <w:p w14:paraId="7916847E" w14:textId="77777777" w:rsidR="00DE1861" w:rsidRDefault="00DE1861" w:rsidP="00DE1861">
            <w:pPr>
              <w:spacing w:after="0" w:line="120" w:lineRule="atLeast"/>
              <w:ind w:left="0" w:right="0"/>
              <w:rPr>
                <w:color w:val="auto"/>
              </w:rPr>
            </w:pPr>
            <w:r>
              <w:t>Viral vector</w:t>
            </w:r>
          </w:p>
        </w:tc>
      </w:tr>
      <w:tr w:rsidR="00DE1861" w14:paraId="08640FD8" w14:textId="77777777" w:rsidTr="00954F42">
        <w:tc>
          <w:tcPr>
            <w:tcW w:w="2180" w:type="dxa"/>
          </w:tcPr>
          <w:p w14:paraId="5D8E3DBE" w14:textId="0E43C97D" w:rsidR="00DE1861" w:rsidRDefault="00DE1861" w:rsidP="00DE1861">
            <w:pPr>
              <w:spacing w:after="240" w:line="120" w:lineRule="atLeast"/>
              <w:ind w:left="0" w:right="0"/>
              <w:rPr>
                <w:color w:val="565656"/>
              </w:rPr>
            </w:pPr>
            <w:proofErr w:type="spellStart"/>
            <w:r>
              <w:rPr>
                <w:color w:val="565656"/>
              </w:rPr>
              <w:t>Vaxzevria</w:t>
            </w:r>
            <w:proofErr w:type="spellEnd"/>
            <w:r>
              <w:rPr>
                <w:color w:val="565656"/>
              </w:rPr>
              <w:t xml:space="preserve"> (ChAdOx1-s; previously COVID</w:t>
            </w:r>
            <w:r>
              <w:rPr>
                <w:color w:val="565656"/>
              </w:rPr>
              <w:noBreakHyphen/>
              <w:t>19 Vaccine AstraZeneca)</w:t>
            </w:r>
            <w:r w:rsidRPr="005E427A">
              <w:rPr>
                <w:rStyle w:val="FootnoteReference"/>
              </w:rPr>
              <w:footnoteReference w:id="24"/>
            </w:r>
            <w:r w:rsidRPr="005E427A">
              <w:rPr>
                <w:vertAlign w:val="superscript"/>
              </w:rPr>
              <w:t>,</w:t>
            </w:r>
            <w:r w:rsidRPr="005E427A">
              <w:rPr>
                <w:rStyle w:val="FootnoteReference"/>
              </w:rPr>
              <w:footnoteReference w:id="25"/>
            </w:r>
          </w:p>
          <w:p w14:paraId="34E3792B" w14:textId="77777777" w:rsidR="00DE1861" w:rsidRDefault="00DE1861" w:rsidP="00DE1861">
            <w:pPr>
              <w:spacing w:after="240" w:line="120" w:lineRule="atLeast"/>
              <w:ind w:left="0" w:right="0"/>
              <w:rPr>
                <w:color w:val="565656"/>
              </w:rPr>
            </w:pPr>
            <w:r>
              <w:rPr>
                <w:color w:val="565656"/>
              </w:rPr>
              <w:t>For individuals aged 18 years and over</w:t>
            </w:r>
          </w:p>
        </w:tc>
        <w:tc>
          <w:tcPr>
            <w:tcW w:w="2180" w:type="dxa"/>
          </w:tcPr>
          <w:p w14:paraId="15AC239E" w14:textId="77777777" w:rsidR="00DE1861" w:rsidRDefault="00DE1861" w:rsidP="00DE1861">
            <w:pPr>
              <w:spacing w:line="120" w:lineRule="atLeast"/>
              <w:ind w:left="0" w:right="0"/>
            </w:pPr>
            <w:r>
              <w:t>15 February 2021</w:t>
            </w:r>
          </w:p>
        </w:tc>
        <w:tc>
          <w:tcPr>
            <w:tcW w:w="2180" w:type="dxa"/>
          </w:tcPr>
          <w:p w14:paraId="07DF1255" w14:textId="77777777" w:rsidR="00DE1861" w:rsidRDefault="00DE1861" w:rsidP="00DE1861">
            <w:pPr>
              <w:spacing w:line="120" w:lineRule="atLeast"/>
              <w:ind w:left="0" w:right="0"/>
            </w:pPr>
            <w:r>
              <w:t>AstraZeneca Pty Ltd</w:t>
            </w:r>
          </w:p>
        </w:tc>
        <w:tc>
          <w:tcPr>
            <w:tcW w:w="2180" w:type="dxa"/>
          </w:tcPr>
          <w:p w14:paraId="13CF079F" w14:textId="77777777" w:rsidR="00DE1861" w:rsidRDefault="00DE1861" w:rsidP="00DE1861">
            <w:pPr>
              <w:spacing w:after="0" w:line="120" w:lineRule="atLeast"/>
              <w:ind w:left="0" w:right="0"/>
              <w:rPr>
                <w:color w:val="auto"/>
              </w:rPr>
            </w:pPr>
            <w:r>
              <w:t>Viral vector</w:t>
            </w:r>
          </w:p>
        </w:tc>
      </w:tr>
      <w:tr w:rsidR="00DE1861" w14:paraId="77546FB7" w14:textId="77777777" w:rsidTr="00954F42">
        <w:tc>
          <w:tcPr>
            <w:tcW w:w="2180" w:type="dxa"/>
          </w:tcPr>
          <w:p w14:paraId="01C083F9" w14:textId="1C2CFE5D" w:rsidR="00DE1861" w:rsidRDefault="006B3C32" w:rsidP="00DE1861">
            <w:pPr>
              <w:spacing w:after="240" w:line="120" w:lineRule="atLeast"/>
              <w:ind w:left="0" w:right="0"/>
              <w:rPr>
                <w:color w:val="565656"/>
              </w:rPr>
            </w:pPr>
            <w:hyperlink r:id="rId19" w:history="1">
              <w:proofErr w:type="spellStart"/>
              <w:r w:rsidR="00DE1861">
                <w:rPr>
                  <w:color w:val="565656"/>
                </w:rPr>
                <w:t>Comirnaty</w:t>
              </w:r>
              <w:proofErr w:type="spellEnd"/>
              <w:r w:rsidR="00DE1861">
                <w:rPr>
                  <w:color w:val="565656"/>
                </w:rPr>
                <w:t xml:space="preserve"> (</w:t>
              </w:r>
              <w:proofErr w:type="spellStart"/>
              <w:r w:rsidR="00DE1861">
                <w:rPr>
                  <w:color w:val="565656"/>
                </w:rPr>
                <w:t>tozinameran</w:t>
              </w:r>
              <w:proofErr w:type="spellEnd"/>
              <w:r w:rsidR="00DE1861">
                <w:rPr>
                  <w:color w:val="565656"/>
                </w:rPr>
                <w:t>)</w:t>
              </w:r>
            </w:hyperlink>
            <w:r w:rsidR="00DE1861" w:rsidRPr="005E427A">
              <w:rPr>
                <w:rStyle w:val="FootnoteReference"/>
              </w:rPr>
              <w:footnoteReference w:id="26"/>
            </w:r>
            <w:r w:rsidR="00DE1861" w:rsidRPr="005E427A">
              <w:rPr>
                <w:vertAlign w:val="superscript"/>
              </w:rPr>
              <w:t>,</w:t>
            </w:r>
            <w:r w:rsidR="00DE1861" w:rsidRPr="005E427A">
              <w:rPr>
                <w:rStyle w:val="FootnoteReference"/>
              </w:rPr>
              <w:footnoteReference w:id="27"/>
            </w:r>
            <w:r w:rsidR="00DE1861" w:rsidRPr="005E427A">
              <w:rPr>
                <w:vertAlign w:val="superscript"/>
              </w:rPr>
              <w:t>,</w:t>
            </w:r>
            <w:r w:rsidR="00DE1861" w:rsidRPr="005E427A">
              <w:rPr>
                <w:rStyle w:val="FootnoteReference"/>
              </w:rPr>
              <w:footnoteReference w:id="28"/>
            </w:r>
          </w:p>
          <w:p w14:paraId="5193AB44" w14:textId="77777777" w:rsidR="00DE1861" w:rsidRDefault="00DE1861" w:rsidP="00DE1861">
            <w:pPr>
              <w:spacing w:after="240" w:line="120" w:lineRule="atLeast"/>
              <w:ind w:left="0" w:right="0"/>
              <w:rPr>
                <w:color w:val="565656"/>
              </w:rPr>
            </w:pPr>
            <w:r>
              <w:rPr>
                <w:color w:val="565656"/>
              </w:rPr>
              <w:t>a. For individuals aged 16 years and over</w:t>
            </w:r>
          </w:p>
          <w:p w14:paraId="291E384F" w14:textId="77777777" w:rsidR="00DE1861" w:rsidRDefault="00DE1861" w:rsidP="00DE1861">
            <w:pPr>
              <w:spacing w:after="240" w:line="120" w:lineRule="atLeast"/>
              <w:ind w:left="0" w:right="0"/>
              <w:rPr>
                <w:color w:val="565656"/>
              </w:rPr>
            </w:pPr>
            <w:r>
              <w:rPr>
                <w:color w:val="565656"/>
              </w:rPr>
              <w:t>b. For individuals aged 12 years and over</w:t>
            </w:r>
          </w:p>
          <w:p w14:paraId="0762E8B3" w14:textId="77777777" w:rsidR="00DE1861" w:rsidRDefault="00DE1861" w:rsidP="00DE1861">
            <w:pPr>
              <w:spacing w:after="240" w:line="120" w:lineRule="atLeast"/>
              <w:ind w:left="0" w:right="0"/>
              <w:rPr>
                <w:color w:val="565656"/>
              </w:rPr>
            </w:pPr>
            <w:r>
              <w:rPr>
                <w:color w:val="565656"/>
              </w:rPr>
              <w:t>c. Booster dose for individuals aged 18 years and over</w:t>
            </w:r>
          </w:p>
          <w:p w14:paraId="7885BEC4" w14:textId="77777777" w:rsidR="00DE1861" w:rsidRDefault="00DE1861" w:rsidP="00DE1861">
            <w:pPr>
              <w:spacing w:after="240" w:line="120" w:lineRule="atLeast"/>
              <w:ind w:left="0" w:right="0"/>
              <w:rPr>
                <w:color w:val="565656"/>
              </w:rPr>
            </w:pPr>
            <w:r>
              <w:rPr>
                <w:color w:val="565656"/>
              </w:rPr>
              <w:t>d. For individuals aged 5 years and over</w:t>
            </w:r>
          </w:p>
          <w:p w14:paraId="3DF457B2" w14:textId="77777777" w:rsidR="00DE1861" w:rsidRDefault="00DE1861" w:rsidP="00DE1861">
            <w:pPr>
              <w:spacing w:after="240" w:line="120" w:lineRule="atLeast"/>
              <w:ind w:left="0" w:right="0"/>
              <w:rPr>
                <w:color w:val="565656"/>
              </w:rPr>
            </w:pPr>
            <w:r>
              <w:rPr>
                <w:color w:val="565656"/>
              </w:rPr>
              <w:t>e. Booster dose for individuals aged 16-17 years old</w:t>
            </w:r>
          </w:p>
        </w:tc>
        <w:tc>
          <w:tcPr>
            <w:tcW w:w="2180" w:type="dxa"/>
          </w:tcPr>
          <w:p w14:paraId="61D5101E" w14:textId="77777777" w:rsidR="00DE1861" w:rsidRDefault="00DE1861" w:rsidP="00DE1861">
            <w:pPr>
              <w:spacing w:after="240" w:line="120" w:lineRule="atLeast"/>
              <w:ind w:left="0" w:right="0"/>
              <w:rPr>
                <w:color w:val="565656"/>
              </w:rPr>
            </w:pPr>
            <w:r>
              <w:rPr>
                <w:color w:val="565656"/>
              </w:rPr>
              <w:t>a. 25 January 2021</w:t>
            </w:r>
          </w:p>
          <w:p w14:paraId="45D8418A" w14:textId="77777777" w:rsidR="00DE1861" w:rsidRDefault="00DE1861" w:rsidP="00DE1861">
            <w:pPr>
              <w:spacing w:after="240" w:line="120" w:lineRule="atLeast"/>
              <w:ind w:left="0" w:right="0"/>
              <w:rPr>
                <w:color w:val="565656"/>
              </w:rPr>
            </w:pPr>
            <w:r>
              <w:rPr>
                <w:color w:val="565656"/>
              </w:rPr>
              <w:t>b. 22 July 2021</w:t>
            </w:r>
          </w:p>
          <w:p w14:paraId="14572187" w14:textId="77777777" w:rsidR="00DE1861" w:rsidRDefault="00DE1861" w:rsidP="00DE1861">
            <w:pPr>
              <w:spacing w:after="240" w:line="120" w:lineRule="atLeast"/>
              <w:ind w:left="0" w:right="0"/>
              <w:rPr>
                <w:color w:val="565656"/>
              </w:rPr>
            </w:pPr>
            <w:r>
              <w:rPr>
                <w:color w:val="565656"/>
              </w:rPr>
              <w:t>c. 26 October 2021</w:t>
            </w:r>
          </w:p>
          <w:p w14:paraId="6DADFC13" w14:textId="77777777" w:rsidR="00DE1861" w:rsidRDefault="00DE1861" w:rsidP="00DE1861">
            <w:pPr>
              <w:spacing w:after="240" w:line="120" w:lineRule="atLeast"/>
              <w:ind w:left="0" w:right="0"/>
              <w:rPr>
                <w:color w:val="565656"/>
              </w:rPr>
            </w:pPr>
            <w:r>
              <w:rPr>
                <w:color w:val="565656"/>
              </w:rPr>
              <w:t>d. 3 December 2021</w:t>
            </w:r>
          </w:p>
          <w:p w14:paraId="46AC6268" w14:textId="77777777" w:rsidR="00DE1861" w:rsidRDefault="00DE1861" w:rsidP="00DE1861">
            <w:pPr>
              <w:spacing w:after="240" w:line="120" w:lineRule="atLeast"/>
              <w:ind w:left="0" w:right="0"/>
              <w:rPr>
                <w:color w:val="565656"/>
              </w:rPr>
            </w:pPr>
            <w:r>
              <w:rPr>
                <w:color w:val="565656"/>
              </w:rPr>
              <w:t>e. 27 January 2022</w:t>
            </w:r>
          </w:p>
        </w:tc>
        <w:tc>
          <w:tcPr>
            <w:tcW w:w="2180" w:type="dxa"/>
          </w:tcPr>
          <w:p w14:paraId="5E481336" w14:textId="77777777" w:rsidR="00DE1861" w:rsidRDefault="00DE1861" w:rsidP="00DE1861">
            <w:pPr>
              <w:spacing w:after="0" w:line="120" w:lineRule="atLeast"/>
              <w:ind w:left="0" w:right="0"/>
              <w:rPr>
                <w:color w:val="auto"/>
              </w:rPr>
            </w:pPr>
            <w:r>
              <w:t>Pfizer Australia Pty Ltd</w:t>
            </w:r>
          </w:p>
        </w:tc>
        <w:tc>
          <w:tcPr>
            <w:tcW w:w="2180" w:type="dxa"/>
          </w:tcPr>
          <w:p w14:paraId="0E15D9E2" w14:textId="77777777" w:rsidR="00DE1861" w:rsidRDefault="00DE1861" w:rsidP="00DE1861">
            <w:pPr>
              <w:spacing w:after="0" w:line="120" w:lineRule="atLeast"/>
              <w:ind w:left="0" w:right="0"/>
              <w:rPr>
                <w:color w:val="auto"/>
              </w:rPr>
            </w:pPr>
            <w:r>
              <w:t>mRNA</w:t>
            </w:r>
          </w:p>
        </w:tc>
      </w:tr>
    </w:tbl>
    <w:p w14:paraId="7D4EBDA8" w14:textId="77777777" w:rsidR="005F0724" w:rsidRPr="005F0724" w:rsidRDefault="005F0724" w:rsidP="005F0724">
      <w:pPr>
        <w:pStyle w:val="Heading4"/>
      </w:pPr>
      <w:r>
        <w:t>Therapeutic need</w:t>
      </w:r>
    </w:p>
    <w:p w14:paraId="50CED1BD" w14:textId="33491342" w:rsidR="003F3C68" w:rsidRDefault="003F3C68" w:rsidP="003F3C68">
      <w:r w:rsidRPr="005E427A">
        <w:t xml:space="preserve">Australia is </w:t>
      </w:r>
      <w:r w:rsidR="005F0724">
        <w:t xml:space="preserve">in a fortunate position as </w:t>
      </w:r>
      <w:r w:rsidRPr="005E427A">
        <w:t>93</w:t>
      </w:r>
      <w:r w:rsidR="005F0724">
        <w:t>.4% of Australians</w:t>
      </w:r>
      <w:r w:rsidRPr="005E427A">
        <w:t xml:space="preserve"> aged 16 and over </w:t>
      </w:r>
      <w:r w:rsidR="0031020C">
        <w:t xml:space="preserve">are </w:t>
      </w:r>
      <w:r w:rsidRPr="005E427A">
        <w:t>now vaccinated with</w:t>
      </w:r>
      <w:r w:rsidR="005F0724">
        <w:t xml:space="preserve"> at least</w:t>
      </w:r>
      <w:r w:rsidRPr="005E427A">
        <w:t xml:space="preserve"> 2 doses of an approved vaccine (as of </w:t>
      </w:r>
      <w:r w:rsidR="005F0724">
        <w:t xml:space="preserve">2 February </w:t>
      </w:r>
      <w:r w:rsidRPr="005E427A">
        <w:t>2022).</w:t>
      </w:r>
      <w:r w:rsidRPr="005E427A">
        <w:rPr>
          <w:rStyle w:val="FootnoteReference"/>
        </w:rPr>
        <w:footnoteReference w:id="29"/>
      </w:r>
      <w:r w:rsidR="005F0724">
        <w:t xml:space="preserve"> </w:t>
      </w:r>
      <w:r w:rsidR="005F0724" w:rsidRPr="005F0724">
        <w:t>While Australia has among the world’s highest COVID-19 vaccination rates, a substantial number of people remain unable to receive the vaccines, due to medical conditions and hence they are vulnerable to the disea</w:t>
      </w:r>
      <w:r w:rsidR="005F0724">
        <w:t xml:space="preserve">se. </w:t>
      </w:r>
      <w:proofErr w:type="gramStart"/>
      <w:r w:rsidR="005F0724">
        <w:t>A greater proportion of this specific population,</w:t>
      </w:r>
      <w:proofErr w:type="gramEnd"/>
      <w:r w:rsidR="005F0724" w:rsidRPr="005F0724">
        <w:t xml:space="preserve"> are also at high risk of developing moderate to severe COVID-19 due to underlying co-morbidities. Taken together, there remains an urgent need for effective and/or preventive </w:t>
      </w:r>
      <w:r w:rsidR="00C85935">
        <w:t xml:space="preserve">therapeutics </w:t>
      </w:r>
      <w:r w:rsidR="005F0724" w:rsidRPr="005F0724">
        <w:t>to reduce the burden and spread of disease.</w:t>
      </w:r>
    </w:p>
    <w:p w14:paraId="0628C697" w14:textId="3EE0AB0B" w:rsidR="00414498" w:rsidRDefault="00414498" w:rsidP="00414498">
      <w:r w:rsidRPr="00414498">
        <w:t xml:space="preserve">This application was evaluated </w:t>
      </w:r>
      <w:r w:rsidR="008D3029">
        <w:t xml:space="preserve">in </w:t>
      </w:r>
      <w:r w:rsidRPr="00414498">
        <w:t>part</w:t>
      </w:r>
      <w:r w:rsidR="008D3029">
        <w:t xml:space="preserve"> with international collaboration with other members</w:t>
      </w:r>
      <w:r w:rsidRPr="00414498">
        <w:t xml:space="preserve"> of the </w:t>
      </w:r>
      <w:r>
        <w:t>Access</w:t>
      </w:r>
      <w:r w:rsidRPr="00414498">
        <w:t xml:space="preserve"> Consortium</w:t>
      </w:r>
      <w:r>
        <w:t>.</w:t>
      </w:r>
      <w:r>
        <w:rPr>
          <w:rStyle w:val="FootnoteReference"/>
        </w:rPr>
        <w:footnoteReference w:id="30"/>
      </w:r>
      <w:r w:rsidRPr="00414498">
        <w:t xml:space="preserve"> </w:t>
      </w:r>
      <w:r w:rsidR="008D3029">
        <w:t>Under the workshare initiative of the Access Consortium, e</w:t>
      </w:r>
      <w:r w:rsidRPr="00414498">
        <w:t>ach regulator ma</w:t>
      </w:r>
      <w:r w:rsidR="008D3029">
        <w:t>kes their own</w:t>
      </w:r>
      <w:r w:rsidRPr="00414498">
        <w:t xml:space="preserve"> independent decisions regarding approval (market authorisation) of the new medicine.</w:t>
      </w:r>
    </w:p>
    <w:p w14:paraId="2ACBEDBF" w14:textId="77777777" w:rsidR="008E7846" w:rsidRPr="003F31A2" w:rsidRDefault="00386150" w:rsidP="008E7846">
      <w:pPr>
        <w:pStyle w:val="Heading3"/>
      </w:pPr>
      <w:bookmarkStart w:id="20" w:name="_Toc314842485"/>
      <w:bookmarkStart w:id="21" w:name="_Toc247691504"/>
      <w:bookmarkStart w:id="22" w:name="_Toc97646297"/>
      <w:r>
        <w:lastRenderedPageBreak/>
        <w:t>Regulatory s</w:t>
      </w:r>
      <w:r w:rsidR="008E7846">
        <w:t>tatus</w:t>
      </w:r>
      <w:bookmarkEnd w:id="20"/>
      <w:bookmarkEnd w:id="21"/>
      <w:bookmarkEnd w:id="22"/>
    </w:p>
    <w:p w14:paraId="6C6C7D3E" w14:textId="77777777" w:rsidR="00940A89" w:rsidRDefault="00006FAB" w:rsidP="00940A89">
      <w:bookmarkStart w:id="23" w:name="_Toc247691505"/>
      <w:bookmarkStart w:id="24" w:name="_Toc314842486"/>
      <w:r w:rsidRPr="00006FAB">
        <w:t>This product is considered a new biological entity for Australian regulatory purposes.</w:t>
      </w:r>
    </w:p>
    <w:p w14:paraId="190DB0F5" w14:textId="0023340E" w:rsidR="005F0724" w:rsidRDefault="005F0724" w:rsidP="00940A89">
      <w:r w:rsidRPr="005F0724">
        <w:t>Provisional determination for the COVID-19 prophylaxis indic</w:t>
      </w:r>
      <w:r>
        <w:t xml:space="preserve">ation in adults was granted on </w:t>
      </w:r>
      <w:r w:rsidRPr="005F0724">
        <w:t>4 November 2021. This was expanded to include adolescents aged 12 years and older weighing at least 40 kg, as well as a CO</w:t>
      </w:r>
      <w:r>
        <w:t xml:space="preserve">VID-19 treatment indication on </w:t>
      </w:r>
      <w:r w:rsidRPr="005F0724">
        <w:t>4 January 2022.</w:t>
      </w:r>
    </w:p>
    <w:p w14:paraId="3D4A5D2D" w14:textId="0151399C" w:rsidR="00006FAB" w:rsidRPr="0084298F" w:rsidRDefault="00006FAB" w:rsidP="006B3C32">
      <w:r w:rsidRPr="0084298F">
        <w:t>At the time the TGA consid</w:t>
      </w:r>
      <w:r w:rsidR="0084298F">
        <w:t>ered this application, similar applications were under consideration in countries or regions listed in the following table.</w:t>
      </w:r>
    </w:p>
    <w:p w14:paraId="51EF0443" w14:textId="775CBDC0" w:rsidR="0084298F" w:rsidRDefault="0084298F" w:rsidP="0084298F">
      <w:pPr>
        <w:pStyle w:val="TableTitle"/>
      </w:pPr>
      <w:r>
        <w:t xml:space="preserve">Table </w:t>
      </w:r>
      <w:r>
        <w:fldChar w:fldCharType="begin"/>
      </w:r>
      <w:r>
        <w:instrText>SEQ Table \* ARABIC</w:instrText>
      </w:r>
      <w:r>
        <w:fldChar w:fldCharType="separate"/>
      </w:r>
      <w:r w:rsidR="004D0A2C">
        <w:rPr>
          <w:noProof/>
        </w:rPr>
        <w:t>3</w:t>
      </w:r>
      <w:r>
        <w:fldChar w:fldCharType="end"/>
      </w:r>
      <w:r>
        <w:t>: International regulatory status</w:t>
      </w:r>
    </w:p>
    <w:tbl>
      <w:tblPr>
        <w:tblStyle w:val="TableTGAblue"/>
        <w:tblW w:w="0" w:type="auto"/>
        <w:tblLook w:val="04A0" w:firstRow="1" w:lastRow="0" w:firstColumn="1" w:lastColumn="0" w:noHBand="0" w:noVBand="1"/>
      </w:tblPr>
      <w:tblGrid>
        <w:gridCol w:w="1849"/>
        <w:gridCol w:w="1907"/>
        <w:gridCol w:w="2734"/>
        <w:gridCol w:w="2004"/>
      </w:tblGrid>
      <w:tr w:rsidR="00E326C2" w:rsidRPr="00764C81" w14:paraId="3FF0499E" w14:textId="77777777" w:rsidTr="00E67601">
        <w:trPr>
          <w:cnfStyle w:val="100000000000" w:firstRow="1" w:lastRow="0" w:firstColumn="0" w:lastColumn="0" w:oddVBand="0" w:evenVBand="0" w:oddHBand="0" w:evenHBand="0" w:firstRowFirstColumn="0" w:firstRowLastColumn="0" w:lastRowFirstColumn="0" w:lastRowLastColumn="0"/>
        </w:trPr>
        <w:tc>
          <w:tcPr>
            <w:tcW w:w="1849" w:type="dxa"/>
            <w:tcBorders>
              <w:top w:val="single" w:sz="4" w:space="0" w:color="auto"/>
              <w:left w:val="single" w:sz="4" w:space="0" w:color="auto"/>
              <w:bottom w:val="single" w:sz="4" w:space="0" w:color="auto"/>
              <w:right w:val="single" w:sz="4" w:space="0" w:color="auto"/>
            </w:tcBorders>
          </w:tcPr>
          <w:p w14:paraId="6D6D5F4D" w14:textId="77777777" w:rsidR="00006FAB" w:rsidRPr="0084298F" w:rsidRDefault="00006FAB" w:rsidP="00006FAB">
            <w:pPr>
              <w:ind w:left="0" w:right="0"/>
            </w:pPr>
            <w:r w:rsidRPr="0084298F">
              <w:t>Region</w:t>
            </w:r>
          </w:p>
        </w:tc>
        <w:tc>
          <w:tcPr>
            <w:tcW w:w="1907" w:type="dxa"/>
            <w:tcBorders>
              <w:top w:val="single" w:sz="4" w:space="0" w:color="auto"/>
              <w:left w:val="single" w:sz="4" w:space="0" w:color="auto"/>
              <w:bottom w:val="single" w:sz="4" w:space="0" w:color="auto"/>
              <w:right w:val="single" w:sz="4" w:space="0" w:color="auto"/>
            </w:tcBorders>
          </w:tcPr>
          <w:p w14:paraId="17EDF367" w14:textId="77777777" w:rsidR="00006FAB" w:rsidRPr="0084298F" w:rsidRDefault="00006FAB" w:rsidP="00006FAB">
            <w:pPr>
              <w:ind w:left="0" w:right="0"/>
            </w:pPr>
            <w:r w:rsidRPr="0084298F">
              <w:t>Submission date</w:t>
            </w:r>
          </w:p>
        </w:tc>
        <w:tc>
          <w:tcPr>
            <w:tcW w:w="2734" w:type="dxa"/>
            <w:tcBorders>
              <w:top w:val="single" w:sz="4" w:space="0" w:color="auto"/>
              <w:left w:val="single" w:sz="4" w:space="0" w:color="auto"/>
              <w:bottom w:val="single" w:sz="4" w:space="0" w:color="auto"/>
              <w:right w:val="single" w:sz="4" w:space="0" w:color="auto"/>
            </w:tcBorders>
          </w:tcPr>
          <w:p w14:paraId="1E9F7596" w14:textId="77777777" w:rsidR="00006FAB" w:rsidRPr="0084298F" w:rsidRDefault="00006FAB" w:rsidP="00006FAB">
            <w:pPr>
              <w:ind w:left="0" w:right="0"/>
            </w:pPr>
            <w:r w:rsidRPr="0084298F">
              <w:t>Status</w:t>
            </w:r>
          </w:p>
        </w:tc>
        <w:tc>
          <w:tcPr>
            <w:tcW w:w="2004" w:type="dxa"/>
            <w:tcBorders>
              <w:top w:val="single" w:sz="4" w:space="0" w:color="auto"/>
              <w:left w:val="single" w:sz="4" w:space="0" w:color="auto"/>
              <w:bottom w:val="single" w:sz="4" w:space="0" w:color="auto"/>
              <w:right w:val="single" w:sz="4" w:space="0" w:color="auto"/>
            </w:tcBorders>
          </w:tcPr>
          <w:p w14:paraId="666EB3B0" w14:textId="77777777" w:rsidR="00006FAB" w:rsidRPr="0084298F" w:rsidRDefault="00006FAB" w:rsidP="00006FAB">
            <w:pPr>
              <w:ind w:left="0" w:right="0"/>
            </w:pPr>
            <w:r w:rsidRPr="0084298F">
              <w:t>Approved indications</w:t>
            </w:r>
          </w:p>
        </w:tc>
      </w:tr>
      <w:tr w:rsidR="006835B6" w:rsidRPr="00764C81" w14:paraId="6DE6CF5D" w14:textId="77777777" w:rsidTr="00E67601">
        <w:tc>
          <w:tcPr>
            <w:tcW w:w="1849" w:type="dxa"/>
            <w:tcBorders>
              <w:top w:val="single" w:sz="4" w:space="0" w:color="auto"/>
            </w:tcBorders>
          </w:tcPr>
          <w:p w14:paraId="004514B5" w14:textId="7F3F961F" w:rsidR="00006FAB" w:rsidRPr="0084298F" w:rsidRDefault="0084298F" w:rsidP="00006FAB">
            <w:pPr>
              <w:ind w:left="0" w:right="0"/>
              <w:rPr>
                <w:vertAlign w:val="superscript"/>
              </w:rPr>
            </w:pPr>
            <w:r>
              <w:t>Canada</w:t>
            </w:r>
            <w:r w:rsidRPr="5B80C89A">
              <w:rPr>
                <w:vertAlign w:val="superscript"/>
              </w:rPr>
              <w:t>1</w:t>
            </w:r>
          </w:p>
        </w:tc>
        <w:tc>
          <w:tcPr>
            <w:tcW w:w="1907" w:type="dxa"/>
            <w:tcBorders>
              <w:top w:val="single" w:sz="4" w:space="0" w:color="auto"/>
            </w:tcBorders>
          </w:tcPr>
          <w:p w14:paraId="75382337" w14:textId="302B9EBE" w:rsidR="00006FAB" w:rsidRPr="0084298F" w:rsidRDefault="0084298F" w:rsidP="00006FAB">
            <w:pPr>
              <w:ind w:left="0" w:right="0"/>
            </w:pPr>
            <w:r>
              <w:t>3 November 2021</w:t>
            </w:r>
          </w:p>
        </w:tc>
        <w:tc>
          <w:tcPr>
            <w:tcW w:w="2734" w:type="dxa"/>
            <w:tcBorders>
              <w:top w:val="single" w:sz="4" w:space="0" w:color="auto"/>
            </w:tcBorders>
          </w:tcPr>
          <w:p w14:paraId="05ABEF6B" w14:textId="29D37491" w:rsidR="00006FAB" w:rsidRPr="0084298F" w:rsidRDefault="00922A0B" w:rsidP="00006FAB">
            <w:pPr>
              <w:ind w:left="0" w:right="0"/>
            </w:pPr>
            <w:r>
              <w:t>Under consideration</w:t>
            </w:r>
          </w:p>
        </w:tc>
        <w:tc>
          <w:tcPr>
            <w:tcW w:w="2004" w:type="dxa"/>
            <w:tcBorders>
              <w:top w:val="single" w:sz="4" w:space="0" w:color="auto"/>
            </w:tcBorders>
          </w:tcPr>
          <w:p w14:paraId="300C9617" w14:textId="787489B2" w:rsidR="00006FAB" w:rsidRPr="0084298F" w:rsidRDefault="00922A0B" w:rsidP="00006FAB">
            <w:pPr>
              <w:ind w:left="0" w:right="0"/>
            </w:pPr>
            <w:r>
              <w:t>Under consideration</w:t>
            </w:r>
          </w:p>
        </w:tc>
      </w:tr>
      <w:tr w:rsidR="006835B6" w14:paraId="3F5A360B" w14:textId="77777777" w:rsidTr="00E67601">
        <w:tc>
          <w:tcPr>
            <w:tcW w:w="1849" w:type="dxa"/>
          </w:tcPr>
          <w:p w14:paraId="4AAE08E9" w14:textId="5D28B38D" w:rsidR="00006FAB" w:rsidRPr="0084298F" w:rsidRDefault="0084298F" w:rsidP="00006FAB">
            <w:pPr>
              <w:ind w:left="0" w:right="0"/>
              <w:rPr>
                <w:vertAlign w:val="superscript"/>
              </w:rPr>
            </w:pPr>
            <w:r>
              <w:t>European Union</w:t>
            </w:r>
          </w:p>
        </w:tc>
        <w:tc>
          <w:tcPr>
            <w:tcW w:w="1907" w:type="dxa"/>
          </w:tcPr>
          <w:p w14:paraId="1198C2AA" w14:textId="59D0DFE8" w:rsidR="00006FAB" w:rsidRPr="0084298F" w:rsidRDefault="0084298F" w:rsidP="00006FAB">
            <w:pPr>
              <w:ind w:left="0" w:right="0"/>
            </w:pPr>
            <w:r>
              <w:t>13 October 2021</w:t>
            </w:r>
          </w:p>
        </w:tc>
        <w:tc>
          <w:tcPr>
            <w:tcW w:w="2734" w:type="dxa"/>
          </w:tcPr>
          <w:p w14:paraId="2C70BC71" w14:textId="6F1276F5" w:rsidR="00006FAB" w:rsidRPr="0084298F" w:rsidRDefault="00922A0B" w:rsidP="00006FAB">
            <w:pPr>
              <w:ind w:left="0" w:right="0"/>
            </w:pPr>
            <w:r>
              <w:t>Under consideration</w:t>
            </w:r>
          </w:p>
        </w:tc>
        <w:tc>
          <w:tcPr>
            <w:tcW w:w="2004" w:type="dxa"/>
          </w:tcPr>
          <w:p w14:paraId="7BF9F5DE" w14:textId="3D6C4EEC" w:rsidR="00006FAB" w:rsidRPr="0084298F" w:rsidRDefault="00922A0B" w:rsidP="00006FAB">
            <w:pPr>
              <w:ind w:left="0" w:right="0"/>
            </w:pPr>
            <w:r>
              <w:t>Under consideration</w:t>
            </w:r>
          </w:p>
        </w:tc>
      </w:tr>
      <w:tr w:rsidR="006835B6" w14:paraId="27F05B4B" w14:textId="77777777" w:rsidTr="00E67601">
        <w:tc>
          <w:tcPr>
            <w:tcW w:w="1849" w:type="dxa"/>
          </w:tcPr>
          <w:p w14:paraId="00C8168C" w14:textId="4387E629" w:rsidR="0084298F" w:rsidRPr="0084298F" w:rsidRDefault="0084298F" w:rsidP="0084298F">
            <w:pPr>
              <w:ind w:left="0"/>
              <w:rPr>
                <w:vertAlign w:val="superscript"/>
              </w:rPr>
            </w:pPr>
            <w:r>
              <w:t>United States of America</w:t>
            </w:r>
            <w:r w:rsidR="00E67601" w:rsidRPr="00E67601">
              <w:rPr>
                <w:vertAlign w:val="superscript"/>
              </w:rPr>
              <w:t>2</w:t>
            </w:r>
          </w:p>
        </w:tc>
        <w:tc>
          <w:tcPr>
            <w:tcW w:w="1907" w:type="dxa"/>
          </w:tcPr>
          <w:p w14:paraId="1715A897" w14:textId="25CB3CB2" w:rsidR="0084298F" w:rsidRPr="0084298F" w:rsidRDefault="0084298F" w:rsidP="0084298F">
            <w:pPr>
              <w:ind w:left="0"/>
            </w:pPr>
            <w:r>
              <w:t>30 September 2021</w:t>
            </w:r>
          </w:p>
        </w:tc>
        <w:tc>
          <w:tcPr>
            <w:tcW w:w="2734" w:type="dxa"/>
          </w:tcPr>
          <w:p w14:paraId="34F17762" w14:textId="35F3AD8E" w:rsidR="0084298F" w:rsidRPr="0084298F" w:rsidRDefault="00751602" w:rsidP="0084298F">
            <w:pPr>
              <w:ind w:left="0"/>
            </w:pPr>
            <w:r>
              <w:t>Authorized for Emergency Use on 08 December 2021</w:t>
            </w:r>
          </w:p>
        </w:tc>
        <w:tc>
          <w:tcPr>
            <w:tcW w:w="2004" w:type="dxa"/>
          </w:tcPr>
          <w:p w14:paraId="2E7DB75E" w14:textId="5E49AFB3" w:rsidR="0084298F" w:rsidRPr="00E67601" w:rsidRDefault="008D613E" w:rsidP="0084298F">
            <w:pPr>
              <w:ind w:left="0"/>
              <w:rPr>
                <w:i/>
                <w:iCs/>
              </w:rPr>
            </w:pPr>
            <w:r w:rsidRPr="00E67601">
              <w:rPr>
                <w:i/>
                <w:iCs/>
              </w:rPr>
              <w:t xml:space="preserve">Pre-exposure prophylaxis of coronavirus disease 2019 (COVID-19) in adults and </w:t>
            </w:r>
            <w:proofErr w:type="spellStart"/>
            <w:r w:rsidRPr="00E67601">
              <w:rPr>
                <w:i/>
                <w:iCs/>
              </w:rPr>
              <w:t>pediatric</w:t>
            </w:r>
            <w:proofErr w:type="spellEnd"/>
            <w:r w:rsidRPr="00E67601">
              <w:rPr>
                <w:i/>
                <w:iCs/>
              </w:rPr>
              <w:t xml:space="preserve"> individuals (12 years of age and older weighing at least 40 kg) in certain populations</w:t>
            </w:r>
          </w:p>
        </w:tc>
      </w:tr>
    </w:tbl>
    <w:p w14:paraId="72D5698D" w14:textId="274D57A9" w:rsidR="0081019C" w:rsidRDefault="0081019C" w:rsidP="0081019C">
      <w:pPr>
        <w:pStyle w:val="TableDescription"/>
      </w:pPr>
      <w:r>
        <w:t xml:space="preserve">1) </w:t>
      </w:r>
      <w:r w:rsidR="0084298F">
        <w:t xml:space="preserve">Canada: Rolling submission; New Drug Submission with Flexibilities for Designated </w:t>
      </w:r>
      <w:r>
        <w:t>Drug (NDS-CV).</w:t>
      </w:r>
    </w:p>
    <w:p w14:paraId="186A86F6" w14:textId="54143863" w:rsidR="0081019C" w:rsidRPr="0084298F" w:rsidRDefault="00E67601" w:rsidP="0081019C">
      <w:pPr>
        <w:pStyle w:val="TableDescription"/>
      </w:pPr>
      <w:r>
        <w:t>2</w:t>
      </w:r>
      <w:r w:rsidR="0081019C">
        <w:t>) United States of America: Emergency Use Authorization (EUA) submission.</w:t>
      </w:r>
    </w:p>
    <w:p w14:paraId="02D80929" w14:textId="6951FBDD" w:rsidR="008E7846" w:rsidRDefault="008E7846" w:rsidP="00940A89">
      <w:pPr>
        <w:pStyle w:val="Heading3"/>
      </w:pPr>
      <w:bookmarkStart w:id="25" w:name="_Toc97646298"/>
      <w:r>
        <w:t>Product Information</w:t>
      </w:r>
      <w:bookmarkEnd w:id="23"/>
      <w:bookmarkEnd w:id="24"/>
      <w:bookmarkEnd w:id="25"/>
    </w:p>
    <w:p w14:paraId="34E4101C" w14:textId="091372E9" w:rsidR="00940A89" w:rsidRDefault="006136D7" w:rsidP="00940A89">
      <w:bookmarkStart w:id="26" w:name="_Toc247691506"/>
      <w:bookmarkStart w:id="27" w:name="_Toc314842487"/>
      <w:r w:rsidRPr="00940A89">
        <w:t xml:space="preserve">The Product Information (PI) </w:t>
      </w:r>
      <w:r>
        <w:t>approved with the submission</w:t>
      </w:r>
      <w:r w:rsidR="00EA743D">
        <w:t>,</w:t>
      </w:r>
      <w:r>
        <w:t xml:space="preserve"> which is described in </w:t>
      </w:r>
      <w:r w:rsidRPr="00940A89">
        <w:t xml:space="preserve">this </w:t>
      </w:r>
      <w:proofErr w:type="spellStart"/>
      <w:r w:rsidRPr="00940A89">
        <w:t>AusPAR</w:t>
      </w:r>
      <w:proofErr w:type="spellEnd"/>
      <w:r w:rsidR="00EA743D">
        <w:t>,</w:t>
      </w:r>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20" w:history="1">
        <w:r w:rsidR="00441C3F" w:rsidRPr="00441C3F">
          <w:rPr>
            <w:rStyle w:val="Hyperlink"/>
          </w:rPr>
          <w:t>https://www.tga.gov.au/product-information-pi</w:t>
        </w:r>
      </w:hyperlink>
      <w:r w:rsidR="00441C3F">
        <w:t>&gt;</w:t>
      </w:r>
      <w:r w:rsidR="00940A89" w:rsidRPr="00940A89">
        <w:t>.</w:t>
      </w:r>
    </w:p>
    <w:p w14:paraId="2C4ACE14" w14:textId="77777777" w:rsidR="00500337" w:rsidRDefault="00500337" w:rsidP="00500337">
      <w:pPr>
        <w:pStyle w:val="Heading2"/>
      </w:pPr>
      <w:bookmarkStart w:id="28" w:name="_Toc504480011"/>
      <w:bookmarkStart w:id="29" w:name="_Toc97646299"/>
      <w:r>
        <w:t>II. Registration timeline</w:t>
      </w:r>
      <w:bookmarkEnd w:id="28"/>
      <w:bookmarkEnd w:id="29"/>
    </w:p>
    <w:p w14:paraId="50B839FE" w14:textId="77777777" w:rsidR="006F1612" w:rsidRDefault="006F1612" w:rsidP="006F1612">
      <w:r>
        <w:t xml:space="preserve">The following table captures the key steps and dates for this </w:t>
      </w:r>
      <w:proofErr w:type="gramStart"/>
      <w:r>
        <w:t>application</w:t>
      </w:r>
      <w:proofErr w:type="gramEnd"/>
      <w:r>
        <w:t xml:space="preserve"> and </w:t>
      </w:r>
      <w:r w:rsidDel="003C207C">
        <w:t xml:space="preserve">which </w:t>
      </w:r>
      <w:r>
        <w:t xml:space="preserve">are detailed and discussed in this </w:t>
      </w:r>
      <w:proofErr w:type="spellStart"/>
      <w:r>
        <w:t>AusPAR</w:t>
      </w:r>
      <w:proofErr w:type="spellEnd"/>
      <w:r>
        <w:t>.</w:t>
      </w:r>
    </w:p>
    <w:p w14:paraId="4695B84A" w14:textId="26C402B6" w:rsidR="006F1612" w:rsidRDefault="006F1612" w:rsidP="006F1612">
      <w:r>
        <w:t>Data w</w:t>
      </w:r>
      <w:r w:rsidR="00EA743D">
        <w:t>ere</w:t>
      </w:r>
      <w:r>
        <w:t xml:space="preserve"> provided as a rolling submission. Under normal circumstances, the TGA's assessment (for both provisional and general registration) begins once all information to support registration is available. As part of the Department of Health's response to the pandemic, the TGA has agreed to accept rolling data for COVID-19 vaccines</w:t>
      </w:r>
      <w:r w:rsidR="00876F12">
        <w:t xml:space="preserve">, </w:t>
      </w:r>
      <w:proofErr w:type="gramStart"/>
      <w:r w:rsidR="00876F12">
        <w:t>therapeutics</w:t>
      </w:r>
      <w:proofErr w:type="gramEnd"/>
      <w:r>
        <w:t xml:space="preserve"> and treatments, to enable early evaluation of data as it comes to hand.</w:t>
      </w:r>
    </w:p>
    <w:p w14:paraId="5BA2301D" w14:textId="216059BE" w:rsidR="0081019C" w:rsidRDefault="0081019C" w:rsidP="0081019C">
      <w:pPr>
        <w:pStyle w:val="TableTitle"/>
      </w:pPr>
      <w:r>
        <w:lastRenderedPageBreak/>
        <w:t xml:space="preserve">Table </w:t>
      </w:r>
      <w:r>
        <w:fldChar w:fldCharType="begin"/>
      </w:r>
      <w:r>
        <w:instrText>SEQ Table \* ARABIC</w:instrText>
      </w:r>
      <w:r>
        <w:fldChar w:fldCharType="separate"/>
      </w:r>
      <w:r w:rsidR="004D0A2C">
        <w:rPr>
          <w:noProof/>
        </w:rPr>
        <w:t>4</w:t>
      </w:r>
      <w:r>
        <w:fldChar w:fldCharType="end"/>
      </w:r>
      <w:r>
        <w:t>: Timeline for Submission PM-2021-05375-1-2</w:t>
      </w:r>
    </w:p>
    <w:tbl>
      <w:tblPr>
        <w:tblStyle w:val="TableTGAblue"/>
        <w:tblW w:w="0" w:type="auto"/>
        <w:tblLook w:val="04A0" w:firstRow="1" w:lastRow="0" w:firstColumn="1" w:lastColumn="0" w:noHBand="0" w:noVBand="1"/>
      </w:tblPr>
      <w:tblGrid>
        <w:gridCol w:w="4259"/>
        <w:gridCol w:w="4235"/>
      </w:tblGrid>
      <w:tr w:rsidR="00500337" w14:paraId="29B6BB06"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7DDE6156" w14:textId="77777777" w:rsidR="00500337" w:rsidRDefault="00500337" w:rsidP="0081019C">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574914FB" w14:textId="77777777" w:rsidR="00500337" w:rsidRDefault="00500337" w:rsidP="0081019C">
            <w:pPr>
              <w:ind w:left="0" w:right="0"/>
            </w:pPr>
            <w:r>
              <w:t>Date</w:t>
            </w:r>
          </w:p>
        </w:tc>
      </w:tr>
      <w:tr w:rsidR="0081019C" w14:paraId="4A715FAD" w14:textId="77777777" w:rsidTr="00CF5DAD">
        <w:tc>
          <w:tcPr>
            <w:tcW w:w="4360" w:type="dxa"/>
            <w:tcBorders>
              <w:top w:val="single" w:sz="4" w:space="0" w:color="auto"/>
            </w:tcBorders>
          </w:tcPr>
          <w:p w14:paraId="0770F52A" w14:textId="0B918B7D" w:rsidR="0081019C" w:rsidRPr="00D77876" w:rsidRDefault="0081019C" w:rsidP="0081019C">
            <w:pPr>
              <w:keepNext/>
              <w:ind w:left="0"/>
            </w:pPr>
            <w:r>
              <w:t>Provisional pathway de</w:t>
            </w:r>
            <w:r w:rsidR="006F1612">
              <w:t>termination;</w:t>
            </w:r>
            <w:r w:rsidR="00D77876">
              <w:rPr>
                <w:rStyle w:val="FootnoteReference"/>
              </w:rPr>
              <w:footnoteReference w:id="31"/>
            </w:r>
          </w:p>
        </w:tc>
        <w:tc>
          <w:tcPr>
            <w:tcW w:w="4360" w:type="dxa"/>
            <w:tcBorders>
              <w:top w:val="single" w:sz="4" w:space="0" w:color="auto"/>
            </w:tcBorders>
          </w:tcPr>
          <w:p w14:paraId="242C13F5" w14:textId="77777777" w:rsidR="00D77876" w:rsidRDefault="0081019C" w:rsidP="0081019C">
            <w:pPr>
              <w:keepNext/>
              <w:ind w:left="0"/>
            </w:pPr>
            <w:r>
              <w:t>4 November 2021</w:t>
            </w:r>
          </w:p>
          <w:p w14:paraId="137A007C" w14:textId="389DBAB0" w:rsidR="00D77876" w:rsidRDefault="00D77876" w:rsidP="0081019C">
            <w:pPr>
              <w:keepNext/>
              <w:ind w:left="0"/>
            </w:pPr>
            <w:r>
              <w:t>4 January 2022</w:t>
            </w:r>
          </w:p>
        </w:tc>
      </w:tr>
      <w:tr w:rsidR="00500337" w14:paraId="56CD92B7" w14:textId="77777777" w:rsidTr="00CF5DAD">
        <w:tc>
          <w:tcPr>
            <w:tcW w:w="4360" w:type="dxa"/>
            <w:tcBorders>
              <w:top w:val="single" w:sz="4" w:space="0" w:color="auto"/>
            </w:tcBorders>
          </w:tcPr>
          <w:p w14:paraId="6231A6DA" w14:textId="5EA4633E" w:rsidR="00500337" w:rsidRDefault="00500337" w:rsidP="0081019C">
            <w:pPr>
              <w:keepNext/>
              <w:ind w:left="0" w:right="0"/>
            </w:pPr>
            <w:r>
              <w:t>Submission dossier accepted</w:t>
            </w:r>
          </w:p>
        </w:tc>
        <w:tc>
          <w:tcPr>
            <w:tcW w:w="4360" w:type="dxa"/>
            <w:tcBorders>
              <w:top w:val="single" w:sz="4" w:space="0" w:color="auto"/>
            </w:tcBorders>
          </w:tcPr>
          <w:p w14:paraId="25DAD296" w14:textId="62E13D99" w:rsidR="00500337" w:rsidRDefault="005E4FFD" w:rsidP="0081019C">
            <w:pPr>
              <w:keepNext/>
              <w:ind w:left="0" w:right="0"/>
            </w:pPr>
            <w:r>
              <w:t>2 December 2021</w:t>
            </w:r>
          </w:p>
        </w:tc>
      </w:tr>
      <w:tr w:rsidR="00500337" w14:paraId="28BE2BD5" w14:textId="77777777" w:rsidTr="00500337">
        <w:tc>
          <w:tcPr>
            <w:tcW w:w="4360" w:type="dxa"/>
          </w:tcPr>
          <w:p w14:paraId="27826899" w14:textId="5F3DA65C" w:rsidR="00500337" w:rsidRDefault="006F1612" w:rsidP="00500337">
            <w:pPr>
              <w:ind w:left="0" w:right="0"/>
            </w:pPr>
            <w:r>
              <w:t>E</w:t>
            </w:r>
            <w:r w:rsidR="00500337">
              <w:t>valuation completed</w:t>
            </w:r>
          </w:p>
        </w:tc>
        <w:tc>
          <w:tcPr>
            <w:tcW w:w="4360" w:type="dxa"/>
          </w:tcPr>
          <w:p w14:paraId="50F3818F" w14:textId="55C8D5CA" w:rsidR="00500337" w:rsidRDefault="006F1612" w:rsidP="00500337">
            <w:pPr>
              <w:ind w:left="0" w:right="0"/>
            </w:pPr>
            <w:r>
              <w:t>24 February 2022</w:t>
            </w:r>
          </w:p>
        </w:tc>
      </w:tr>
      <w:tr w:rsidR="00500337" w14:paraId="49B70FBD" w14:textId="77777777" w:rsidTr="00500337">
        <w:tc>
          <w:tcPr>
            <w:tcW w:w="4360" w:type="dxa"/>
          </w:tcPr>
          <w:p w14:paraId="2DA506C0" w14:textId="553089C1" w:rsidR="00500337" w:rsidRPr="0081019C" w:rsidRDefault="00324E45" w:rsidP="0081019C">
            <w:pPr>
              <w:ind w:left="0"/>
            </w:pPr>
            <w:r w:rsidRPr="0081019C">
              <w:t>Delegate’s Overall benefit-risk assessment and reques</w:t>
            </w:r>
            <w:r w:rsidR="0081019C" w:rsidRPr="0081019C">
              <w:t>t for Advisory Committee advice</w:t>
            </w:r>
          </w:p>
        </w:tc>
        <w:tc>
          <w:tcPr>
            <w:tcW w:w="4360" w:type="dxa"/>
          </w:tcPr>
          <w:p w14:paraId="2F00B89C" w14:textId="174D1F85" w:rsidR="00500337" w:rsidRDefault="006F1612" w:rsidP="00500337">
            <w:pPr>
              <w:ind w:left="0" w:right="0"/>
            </w:pPr>
            <w:r>
              <w:t>28</w:t>
            </w:r>
            <w:r w:rsidR="006E17EE">
              <w:t xml:space="preserve"> January 2022</w:t>
            </w:r>
          </w:p>
        </w:tc>
      </w:tr>
      <w:tr w:rsidR="00500337" w14:paraId="392858A8" w14:textId="77777777" w:rsidTr="00500337">
        <w:tc>
          <w:tcPr>
            <w:tcW w:w="4360" w:type="dxa"/>
          </w:tcPr>
          <w:p w14:paraId="0EE3A20D" w14:textId="77777777" w:rsidR="00500337" w:rsidRDefault="00500337" w:rsidP="00500337">
            <w:pPr>
              <w:ind w:left="0" w:right="0"/>
            </w:pPr>
            <w:r>
              <w:t>Sponsor’s pre-Advisory Committee response</w:t>
            </w:r>
          </w:p>
        </w:tc>
        <w:tc>
          <w:tcPr>
            <w:tcW w:w="4360" w:type="dxa"/>
          </w:tcPr>
          <w:p w14:paraId="4DCC7EC6" w14:textId="474F8F8A" w:rsidR="00500337" w:rsidRDefault="006E17EE" w:rsidP="00500337">
            <w:pPr>
              <w:ind w:left="0" w:right="0"/>
            </w:pPr>
            <w:r>
              <w:t>2 February 2022</w:t>
            </w:r>
          </w:p>
        </w:tc>
      </w:tr>
      <w:tr w:rsidR="00500337" w14:paraId="55CD8153" w14:textId="77777777" w:rsidTr="00500337">
        <w:tc>
          <w:tcPr>
            <w:tcW w:w="4360" w:type="dxa"/>
          </w:tcPr>
          <w:p w14:paraId="5BDDFFFE" w14:textId="77777777" w:rsidR="00500337" w:rsidRDefault="00500337" w:rsidP="00500337">
            <w:pPr>
              <w:ind w:left="0" w:right="0"/>
            </w:pPr>
            <w:r>
              <w:t>Advisory Committee meeting</w:t>
            </w:r>
          </w:p>
        </w:tc>
        <w:tc>
          <w:tcPr>
            <w:tcW w:w="4360" w:type="dxa"/>
          </w:tcPr>
          <w:p w14:paraId="6EB2A0BE" w14:textId="01D7381D" w:rsidR="00500337" w:rsidRDefault="00935DF9" w:rsidP="00500337">
            <w:pPr>
              <w:ind w:left="0" w:right="0"/>
            </w:pPr>
            <w:r>
              <w:t>4 February 2022</w:t>
            </w:r>
          </w:p>
        </w:tc>
      </w:tr>
      <w:tr w:rsidR="00500337" w14:paraId="099C990E" w14:textId="77777777" w:rsidTr="00500337">
        <w:tc>
          <w:tcPr>
            <w:tcW w:w="4360" w:type="dxa"/>
          </w:tcPr>
          <w:p w14:paraId="47E720FF" w14:textId="77777777" w:rsidR="00500337" w:rsidRDefault="00500337" w:rsidP="00500337">
            <w:pPr>
              <w:ind w:left="0" w:right="0"/>
            </w:pPr>
            <w:r>
              <w:t>Registration decision (Outcome)</w:t>
            </w:r>
          </w:p>
        </w:tc>
        <w:tc>
          <w:tcPr>
            <w:tcW w:w="4360" w:type="dxa"/>
          </w:tcPr>
          <w:p w14:paraId="08E9BA4C" w14:textId="125243C6" w:rsidR="00500337" w:rsidRDefault="006F1612" w:rsidP="00500337">
            <w:pPr>
              <w:ind w:left="0" w:right="0"/>
            </w:pPr>
            <w:r>
              <w:t>24 February 2022</w:t>
            </w:r>
          </w:p>
        </w:tc>
      </w:tr>
      <w:tr w:rsidR="00500337" w14:paraId="0DACADA4" w14:textId="77777777" w:rsidTr="00500337">
        <w:tc>
          <w:tcPr>
            <w:tcW w:w="4360" w:type="dxa"/>
          </w:tcPr>
          <w:p w14:paraId="57A85E57" w14:textId="77777777" w:rsidR="00500337" w:rsidRDefault="00500337" w:rsidP="00500337">
            <w:pPr>
              <w:ind w:left="0" w:right="0"/>
            </w:pPr>
            <w:r>
              <w:t xml:space="preserve">Completion of administrative activities and registration on </w:t>
            </w:r>
            <w:r w:rsidR="00006FAB">
              <w:t xml:space="preserve">the </w:t>
            </w:r>
            <w:r>
              <w:t>ARTG</w:t>
            </w:r>
          </w:p>
        </w:tc>
        <w:tc>
          <w:tcPr>
            <w:tcW w:w="4360" w:type="dxa"/>
          </w:tcPr>
          <w:p w14:paraId="7138088B" w14:textId="48A8C44D" w:rsidR="00500337" w:rsidRDefault="003E16D9" w:rsidP="00500337">
            <w:pPr>
              <w:ind w:left="0" w:right="0"/>
            </w:pPr>
            <w:r w:rsidRPr="00E67601">
              <w:rPr>
                <w:color w:val="auto"/>
              </w:rPr>
              <w:t>26 February 2022</w:t>
            </w:r>
          </w:p>
        </w:tc>
      </w:tr>
      <w:tr w:rsidR="00500337" w14:paraId="3F239E1F" w14:textId="77777777" w:rsidTr="00500337">
        <w:tc>
          <w:tcPr>
            <w:tcW w:w="4360" w:type="dxa"/>
          </w:tcPr>
          <w:p w14:paraId="348E2AD8" w14:textId="77777777" w:rsidR="00500337" w:rsidRDefault="00500337" w:rsidP="00500337">
            <w:pPr>
              <w:ind w:left="0" w:right="0"/>
            </w:pPr>
            <w:r>
              <w:t>Number of working days from submission dossier acceptance to registration decision*</w:t>
            </w:r>
          </w:p>
        </w:tc>
        <w:tc>
          <w:tcPr>
            <w:tcW w:w="4360" w:type="dxa"/>
          </w:tcPr>
          <w:p w14:paraId="4D0E7822" w14:textId="230D2745" w:rsidR="00500337" w:rsidRDefault="006F1612" w:rsidP="00500337">
            <w:pPr>
              <w:ind w:left="0" w:right="0"/>
            </w:pPr>
            <w:r>
              <w:t>54</w:t>
            </w:r>
          </w:p>
        </w:tc>
      </w:tr>
    </w:tbl>
    <w:p w14:paraId="75838C7D" w14:textId="1EC39EE4" w:rsidR="00006FAB" w:rsidRDefault="00500337" w:rsidP="002F10F5">
      <w:pPr>
        <w:pStyle w:val="TableDescription"/>
      </w:pPr>
      <w:r>
        <w:t>*</w:t>
      </w:r>
      <w:r w:rsidR="00BF3774" w:rsidRPr="00BF3774">
        <w:t xml:space="preserve">Statutory </w:t>
      </w:r>
      <w:r>
        <w:t>timeframe for standard applications is 2</w:t>
      </w:r>
      <w:r w:rsidR="00BF3774">
        <w:t>55</w:t>
      </w:r>
      <w:r>
        <w:t xml:space="preserve"> working days</w:t>
      </w:r>
    </w:p>
    <w:p w14:paraId="047586E1" w14:textId="77777777" w:rsidR="008E7846" w:rsidRPr="00792A32" w:rsidRDefault="00456765" w:rsidP="008E7846">
      <w:pPr>
        <w:pStyle w:val="Heading2"/>
      </w:pPr>
      <w:bookmarkStart w:id="30" w:name="_Toc196046504"/>
      <w:bookmarkStart w:id="31" w:name="_Toc247691527"/>
      <w:bookmarkStart w:id="32" w:name="_Toc314842510"/>
      <w:bookmarkStart w:id="33" w:name="_Toc97646300"/>
      <w:bookmarkStart w:id="34" w:name="_Toc163441390"/>
      <w:bookmarkEnd w:id="26"/>
      <w:bookmarkEnd w:id="27"/>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0"/>
      <w:bookmarkEnd w:id="31"/>
      <w:bookmarkEnd w:id="32"/>
      <w:bookmarkEnd w:id="33"/>
    </w:p>
    <w:p w14:paraId="2BC41BFD" w14:textId="77777777" w:rsidR="00006FAB" w:rsidRDefault="00006FAB" w:rsidP="00006FAB">
      <w:bookmarkStart w:id="35" w:name="_Toc247691528"/>
      <w:r>
        <w:t>The submission was summarised in the following Delegate’s overview and recommendations.</w:t>
      </w:r>
    </w:p>
    <w:p w14:paraId="38923639" w14:textId="77777777" w:rsidR="00764C81" w:rsidRDefault="008E7846" w:rsidP="00764C81">
      <w:pPr>
        <w:pStyle w:val="Heading3"/>
      </w:pPr>
      <w:bookmarkStart w:id="36" w:name="_Toc314842511"/>
      <w:bookmarkStart w:id="37" w:name="_Toc97646301"/>
      <w:r>
        <w:t>Qualit</w:t>
      </w:r>
      <w:bookmarkEnd w:id="35"/>
      <w:bookmarkEnd w:id="36"/>
      <w:r w:rsidR="00764C81">
        <w:t>y</w:t>
      </w:r>
      <w:bookmarkEnd w:id="37"/>
    </w:p>
    <w:p w14:paraId="5C36FE59" w14:textId="3FD500BB" w:rsidR="000E1222" w:rsidRDefault="000E1222" w:rsidP="000E1222">
      <w:r>
        <w:t>There are no objections on quality grounds, pending the approval of Good Manufacturing Practice (GMP) clearances</w:t>
      </w:r>
      <w:r w:rsidR="009A6C8E">
        <w:t>;</w:t>
      </w:r>
      <w:r w:rsidR="009A6C8E">
        <w:rPr>
          <w:rStyle w:val="FootnoteReference"/>
        </w:rPr>
        <w:footnoteReference w:id="32"/>
      </w:r>
      <w:r>
        <w:t xml:space="preserve"> and pending stability data for the </w:t>
      </w:r>
      <w:proofErr w:type="spellStart"/>
      <w:r>
        <w:t>Evusheld</w:t>
      </w:r>
      <w:proofErr w:type="spellEnd"/>
      <w:r>
        <w:t xml:space="preserve"> manufactured by Process 2</w:t>
      </w:r>
      <w:r w:rsidR="009A6C8E">
        <w:t>;</w:t>
      </w:r>
      <w:r w:rsidR="009A6C8E">
        <w:rPr>
          <w:rStyle w:val="FootnoteReference"/>
        </w:rPr>
        <w:footnoteReference w:id="33"/>
      </w:r>
      <w:r>
        <w:t xml:space="preserve"> (similar manufacturing process as commercial batches) for up to 12 months will be provided</w:t>
      </w:r>
      <w:r w:rsidR="00ED4C4F">
        <w:t>.</w:t>
      </w:r>
    </w:p>
    <w:p w14:paraId="44C88DC6" w14:textId="6926C2ED" w:rsidR="000E1222" w:rsidRDefault="000E1222" w:rsidP="000E1222">
      <w:r>
        <w:t xml:space="preserve">The critical issue is that the current acceptance criteria of the specifications are wide. In combination with the </w:t>
      </w:r>
      <w:r w:rsidR="006B2728">
        <w:t>limited</w:t>
      </w:r>
      <w:r>
        <w:t xml:space="preserve"> stability data for the proposed shelf life of 18 months, </w:t>
      </w:r>
      <w:r>
        <w:lastRenderedPageBreak/>
        <w:t xml:space="preserve">there is a </w:t>
      </w:r>
      <w:r w:rsidR="006B2728">
        <w:t xml:space="preserve">theoretical </w:t>
      </w:r>
      <w:r>
        <w:t>risk of loss of potency of the product, unless data is provided for the product manufactured by Process 2, which is the manufacturing process that will be utilised for commercial supply. The TGA has taken a similar approach with previously approved monoclonal antibodies.</w:t>
      </w:r>
    </w:p>
    <w:p w14:paraId="5CF3BEEB" w14:textId="2B236010" w:rsidR="000E1222" w:rsidRDefault="000E1222" w:rsidP="000E1222">
      <w:r>
        <w:t xml:space="preserve">The sponsor has proposed a shelf life of 18 months for </w:t>
      </w:r>
      <w:proofErr w:type="spellStart"/>
      <w:r w:rsidRPr="000E1222">
        <w:t>tixagevimab</w:t>
      </w:r>
      <w:proofErr w:type="spellEnd"/>
      <w:r>
        <w:t>/</w:t>
      </w:r>
      <w:proofErr w:type="spellStart"/>
      <w:r>
        <w:t>cilgavimab</w:t>
      </w:r>
      <w:proofErr w:type="spellEnd"/>
      <w:r w:rsidRPr="000E1222">
        <w:t xml:space="preserve"> </w:t>
      </w:r>
      <w:r>
        <w:t xml:space="preserve">when stored at 2°C to 8°C. The recommended shelf-life supported by the </w:t>
      </w:r>
      <w:r w:rsidR="00407E5D" w:rsidRPr="00407E5D">
        <w:t>clinical batch stability</w:t>
      </w:r>
      <w:r w:rsidR="00E67601">
        <w:t xml:space="preserve"> </w:t>
      </w:r>
      <w:r>
        <w:t xml:space="preserve">studies provided for </w:t>
      </w:r>
      <w:proofErr w:type="spellStart"/>
      <w:r w:rsidRPr="000E1222">
        <w:t>tixagevimab</w:t>
      </w:r>
      <w:proofErr w:type="spellEnd"/>
      <w:r>
        <w:t>/</w:t>
      </w:r>
      <w:proofErr w:type="spellStart"/>
      <w:r>
        <w:t>cilgavimab</w:t>
      </w:r>
      <w:proofErr w:type="spellEnd"/>
      <w:r w:rsidRPr="000E1222">
        <w:t xml:space="preserve"> </w:t>
      </w:r>
      <w:r>
        <w:t xml:space="preserve">is 12 months when stored at 2°C to 8°C. However, the sponsor has so far only provided up to 9 months stability data for </w:t>
      </w:r>
      <w:proofErr w:type="spellStart"/>
      <w:r>
        <w:t>Evusheld</w:t>
      </w:r>
      <w:proofErr w:type="spellEnd"/>
      <w:r>
        <w:t xml:space="preserve"> (</w:t>
      </w:r>
      <w:proofErr w:type="spellStart"/>
      <w:r w:rsidRPr="000E1222">
        <w:t>tixagevimab</w:t>
      </w:r>
      <w:proofErr w:type="spellEnd"/>
      <w:r>
        <w:t>/</w:t>
      </w:r>
      <w:proofErr w:type="spellStart"/>
      <w:r>
        <w:t>cilgavimab</w:t>
      </w:r>
      <w:proofErr w:type="spellEnd"/>
      <w:r>
        <w:t>) manufactured at a manufacturing site when stored at 2°C to 8°C.</w:t>
      </w:r>
    </w:p>
    <w:p w14:paraId="0DF01CFC" w14:textId="10380B21" w:rsidR="000E1222" w:rsidRDefault="000E1222" w:rsidP="000E1222">
      <w:r>
        <w:t xml:space="preserve">Thus, data provided so far only supports 9 months shelf-life for the commercial batches. The sponsor has indicated that 12 months shelf-life for the commercial batches will be submitted to the TGA </w:t>
      </w:r>
      <w:r w:rsidR="009A6C8E">
        <w:t>[Information redacted].</w:t>
      </w:r>
    </w:p>
    <w:p w14:paraId="4F949A55" w14:textId="77777777" w:rsidR="000E1222" w:rsidRDefault="000E1222" w:rsidP="000E1222">
      <w:r>
        <w:t>The evaluator has highlighted that the above approach is generally not acceptable but based on these commitments and a risk-benefit consideration under cur</w:t>
      </w:r>
      <w:r w:rsidR="00B90C21">
        <w:t xml:space="preserve">rent pandemic environment, a </w:t>
      </w:r>
      <w:proofErr w:type="gramStart"/>
      <w:r w:rsidR="00B90C21">
        <w:t>12 </w:t>
      </w:r>
      <w:r>
        <w:t>month</w:t>
      </w:r>
      <w:proofErr w:type="gramEnd"/>
      <w:r>
        <w:t xml:space="preserve"> shelf life could be recommended based on the conditions proposed below.</w:t>
      </w:r>
    </w:p>
    <w:p w14:paraId="12F17DDB" w14:textId="77777777" w:rsidR="000E1222" w:rsidRDefault="000E1222" w:rsidP="000E1222">
      <w:r>
        <w:t>There are no concerns with the PI from a microbiological perspective.</w:t>
      </w:r>
    </w:p>
    <w:p w14:paraId="5575FF44" w14:textId="63D01145" w:rsidR="000E1222" w:rsidRDefault="000E1222" w:rsidP="000E1222">
      <w:pPr>
        <w:pStyle w:val="Heading4"/>
      </w:pPr>
      <w:r>
        <w:t>Proposed conditions of registration</w:t>
      </w:r>
    </w:p>
    <w:p w14:paraId="0F0ACEEC" w14:textId="3AB2EE3F" w:rsidR="009A6C8E" w:rsidRDefault="009A6C8E" w:rsidP="009A6C8E">
      <w:r>
        <w:t>The quality evaluator suggests the following proposed conditions of registration:</w:t>
      </w:r>
    </w:p>
    <w:p w14:paraId="2CB0DA79" w14:textId="367F0C42" w:rsidR="009A6C8E" w:rsidRDefault="009A6C8E" w:rsidP="009A6C8E">
      <w:pPr>
        <w:pStyle w:val="Numberbullet0"/>
        <w:numPr>
          <w:ilvl w:val="0"/>
          <w:numId w:val="2"/>
        </w:numPr>
      </w:pPr>
      <w:r>
        <w:t>The sponsor will submit up to 12 months of acceptable stability data for the drug product (</w:t>
      </w:r>
      <w:proofErr w:type="spellStart"/>
      <w:r>
        <w:t>cilgavimab</w:t>
      </w:r>
      <w:proofErr w:type="spellEnd"/>
      <w:r>
        <w:t xml:space="preserve"> and </w:t>
      </w:r>
      <w:proofErr w:type="spellStart"/>
      <w:r>
        <w:t>tixagevimab</w:t>
      </w:r>
      <w:proofErr w:type="spellEnd"/>
      <w:r>
        <w:t xml:space="preserve">) from commercial batches manufactured at (a specified manufacturing plant) in </w:t>
      </w:r>
      <w:r w:rsidR="00571D01">
        <w:t>[Information redacted]</w:t>
      </w:r>
      <w:r>
        <w:t>.</w:t>
      </w:r>
    </w:p>
    <w:p w14:paraId="17BA2A47" w14:textId="0B779854" w:rsidR="009A6C8E" w:rsidRDefault="009A6C8E" w:rsidP="009A6C8E">
      <w:pPr>
        <w:pStyle w:val="Numberbullet0"/>
        <w:numPr>
          <w:ilvl w:val="0"/>
          <w:numId w:val="2"/>
        </w:numPr>
      </w:pPr>
      <w:r>
        <w:t xml:space="preserve">The sponsor will submit up to 12 months of acceptable stability data from capillary electrophoresis assay for the </w:t>
      </w:r>
      <w:proofErr w:type="spellStart"/>
      <w:r>
        <w:t>tixagevimab</w:t>
      </w:r>
      <w:proofErr w:type="spellEnd"/>
      <w:r>
        <w:t xml:space="preserve"> drug product.</w:t>
      </w:r>
    </w:p>
    <w:p w14:paraId="5BF4A2DC" w14:textId="7E657EFE" w:rsidR="009A6C8E" w:rsidRDefault="009A6C8E" w:rsidP="009A6C8E">
      <w:pPr>
        <w:pStyle w:val="Numberbullet0"/>
        <w:numPr>
          <w:ilvl w:val="0"/>
          <w:numId w:val="2"/>
        </w:numPr>
      </w:pPr>
      <w:r>
        <w:t xml:space="preserve">The sponsor will submit up to 12 months of acceptable stability data from a specified clinical lot, for the </w:t>
      </w:r>
      <w:proofErr w:type="spellStart"/>
      <w:r>
        <w:t>tixagevimab</w:t>
      </w:r>
      <w:proofErr w:type="spellEnd"/>
      <w:r>
        <w:t xml:space="preserve"> drug product manufactured from Process 2 by </w:t>
      </w:r>
      <w:r w:rsidR="00571D01">
        <w:t>[Information redacted]</w:t>
      </w:r>
      <w:r>
        <w:t>.</w:t>
      </w:r>
    </w:p>
    <w:p w14:paraId="40336732" w14:textId="217B11F6" w:rsidR="009A6C8E" w:rsidRPr="009A6C8E" w:rsidRDefault="009A6C8E" w:rsidP="003B4D70">
      <w:pPr>
        <w:pStyle w:val="Numberbullet0"/>
        <w:numPr>
          <w:ilvl w:val="0"/>
          <w:numId w:val="2"/>
        </w:numPr>
      </w:pPr>
      <w:r>
        <w:t>The sponsor will complete all ongoing stability studies and report any confirmed out of specification result and proposed remediation approaches to the TGA immediately.</w:t>
      </w:r>
    </w:p>
    <w:p w14:paraId="35560BD2" w14:textId="77777777" w:rsidR="008E7846" w:rsidRDefault="008E7846" w:rsidP="008E7846">
      <w:pPr>
        <w:pStyle w:val="Heading3"/>
      </w:pPr>
      <w:bookmarkStart w:id="38" w:name="_Toc314842512"/>
      <w:bookmarkStart w:id="39" w:name="_Toc97646302"/>
      <w:r>
        <w:t>Nonclinical</w:t>
      </w:r>
      <w:bookmarkEnd w:id="38"/>
      <w:bookmarkEnd w:id="39"/>
    </w:p>
    <w:p w14:paraId="41103AA6" w14:textId="77777777" w:rsidR="002251F7" w:rsidRPr="002251F7" w:rsidRDefault="002251F7" w:rsidP="002251F7">
      <w:r w:rsidRPr="002251F7">
        <w:t xml:space="preserve">The evaluator has stated that there are no objections on nonclinical grounds to the registration of </w:t>
      </w:r>
      <w:proofErr w:type="spellStart"/>
      <w:r w:rsidRPr="002251F7">
        <w:t>Evusheld</w:t>
      </w:r>
      <w:proofErr w:type="spellEnd"/>
      <w:r>
        <w:t xml:space="preserve"> (</w:t>
      </w:r>
      <w:proofErr w:type="spellStart"/>
      <w:r w:rsidRPr="000E1222">
        <w:t>tixagevimab</w:t>
      </w:r>
      <w:proofErr w:type="spellEnd"/>
      <w:r>
        <w:t>/</w:t>
      </w:r>
      <w:proofErr w:type="spellStart"/>
      <w:r>
        <w:t>cilgavimab</w:t>
      </w:r>
      <w:proofErr w:type="spellEnd"/>
      <w:r>
        <w:t>)</w:t>
      </w:r>
      <w:r w:rsidRPr="002251F7">
        <w:t xml:space="preserve"> for the proposed indication.</w:t>
      </w:r>
    </w:p>
    <w:p w14:paraId="26A6D776" w14:textId="39A0AE9A" w:rsidR="002251F7" w:rsidRPr="00D3302B" w:rsidRDefault="002251F7" w:rsidP="002251F7">
      <w:pPr>
        <w:rPr>
          <w:u w:val="single"/>
        </w:rPr>
      </w:pPr>
      <w:r w:rsidRPr="005307EC">
        <w:rPr>
          <w:i/>
          <w:iCs/>
        </w:rPr>
        <w:t xml:space="preserve">In vitro </w:t>
      </w:r>
      <w:r w:rsidRPr="005307EC">
        <w:t>pharmacology results suggest efficacy against currently circulating variants</w:t>
      </w:r>
      <w:r>
        <w:t xml:space="preserve"> </w:t>
      </w:r>
      <w:r w:rsidRPr="005307EC">
        <w:t>and variants of concern</w:t>
      </w:r>
      <w:r>
        <w:t>/</w:t>
      </w:r>
      <w:r w:rsidRPr="005307EC">
        <w:t>interest</w:t>
      </w:r>
      <w:r>
        <w:t xml:space="preserve">, although the </w:t>
      </w:r>
      <w:r w:rsidRPr="002251F7">
        <w:t>activ</w:t>
      </w:r>
      <w:r>
        <w:t xml:space="preserve">ity to the Omicron </w:t>
      </w:r>
      <w:r w:rsidR="006B7BF3">
        <w:t xml:space="preserve">BA.1 </w:t>
      </w:r>
      <w:r>
        <w:t>variant was around 15</w:t>
      </w:r>
      <w:r>
        <w:noBreakHyphen/>
      </w:r>
      <w:r w:rsidRPr="002251F7">
        <w:t>fold lower than to original wild type strain.</w:t>
      </w:r>
    </w:p>
    <w:p w14:paraId="69A48595" w14:textId="7707E7D8" w:rsidR="002251F7" w:rsidRPr="002457C3" w:rsidRDefault="002251F7" w:rsidP="002251F7">
      <w:r w:rsidRPr="002457C3">
        <w:t>Efficacy studies in animal models support the prevention</w:t>
      </w:r>
      <w:r>
        <w:t xml:space="preserve"> for </w:t>
      </w:r>
      <w:proofErr w:type="spellStart"/>
      <w:r>
        <w:t>Evusheld</w:t>
      </w:r>
      <w:proofErr w:type="spellEnd"/>
      <w:r>
        <w:t>.</w:t>
      </w:r>
    </w:p>
    <w:p w14:paraId="67A59C6A" w14:textId="4ABB45AC" w:rsidR="002251F7" w:rsidRPr="00742AA6" w:rsidRDefault="002251F7" w:rsidP="007200BF">
      <w:r w:rsidRPr="00D3302B">
        <w:t xml:space="preserve">Mutations at R346 and K444 confer resistance to </w:t>
      </w:r>
      <w:proofErr w:type="spellStart"/>
      <w:r w:rsidRPr="00D3302B">
        <w:t>cilgavimab</w:t>
      </w:r>
      <w:proofErr w:type="spellEnd"/>
      <w:r w:rsidRPr="00D3302B">
        <w:t xml:space="preserve"> but remain susceptible to </w:t>
      </w:r>
      <w:proofErr w:type="spellStart"/>
      <w:r w:rsidRPr="00D3302B">
        <w:t>tixagevimab</w:t>
      </w:r>
      <w:proofErr w:type="spellEnd"/>
      <w:r w:rsidRPr="00D3302B">
        <w:t xml:space="preserve"> and the combination</w:t>
      </w:r>
      <w:r w:rsidR="007200BF">
        <w:t xml:space="preserve"> of the two</w:t>
      </w:r>
      <w:r w:rsidRPr="00D3302B">
        <w:t xml:space="preserve">. </w:t>
      </w:r>
      <w:r w:rsidRPr="00D3302B">
        <w:rPr>
          <w:kern w:val="2"/>
        </w:rPr>
        <w:t>The c</w:t>
      </w:r>
      <w:r w:rsidR="007200BF">
        <w:rPr>
          <w:kern w:val="2"/>
        </w:rPr>
        <w:t xml:space="preserve">ombination of two antibodies in </w:t>
      </w:r>
      <w:proofErr w:type="spellStart"/>
      <w:r w:rsidR="007200BF">
        <w:rPr>
          <w:kern w:val="2"/>
        </w:rPr>
        <w:t>Evusheld</w:t>
      </w:r>
      <w:proofErr w:type="spellEnd"/>
      <w:r w:rsidR="007200BF">
        <w:rPr>
          <w:kern w:val="2"/>
        </w:rPr>
        <w:t xml:space="preserve"> </w:t>
      </w:r>
      <w:r w:rsidRPr="00D3302B">
        <w:rPr>
          <w:kern w:val="2"/>
        </w:rPr>
        <w:t xml:space="preserve">has less potential risk of treatment failure. Nonetheless, </w:t>
      </w:r>
      <w:r w:rsidRPr="00D3302B">
        <w:t xml:space="preserve">the potential risk of treatment failure due to the development of viral variants that are resistant to </w:t>
      </w:r>
      <w:proofErr w:type="spellStart"/>
      <w:r w:rsidRPr="00D3302B">
        <w:t>tixagevimab</w:t>
      </w:r>
      <w:proofErr w:type="spellEnd"/>
      <w:r w:rsidRPr="00D3302B">
        <w:t xml:space="preserve"> and </w:t>
      </w:r>
      <w:proofErr w:type="spellStart"/>
      <w:r w:rsidRPr="00D3302B">
        <w:t>cilgavimab</w:t>
      </w:r>
      <w:proofErr w:type="spellEnd"/>
      <w:r w:rsidRPr="00D3302B">
        <w:t xml:space="preserve"> would need to be monitored clinically</w:t>
      </w:r>
      <w:r w:rsidRPr="00D3302B">
        <w:rPr>
          <w:kern w:val="2"/>
        </w:rPr>
        <w:t xml:space="preserve">. </w:t>
      </w:r>
      <w:proofErr w:type="spellStart"/>
      <w:r w:rsidR="007200BF">
        <w:rPr>
          <w:kern w:val="2"/>
        </w:rPr>
        <w:t>Evusheld</w:t>
      </w:r>
      <w:proofErr w:type="spellEnd"/>
      <w:r w:rsidR="007200BF">
        <w:rPr>
          <w:kern w:val="2"/>
        </w:rPr>
        <w:t xml:space="preserve"> </w:t>
      </w:r>
      <w:r w:rsidRPr="00D3302B">
        <w:rPr>
          <w:kern w:val="2"/>
        </w:rPr>
        <w:t xml:space="preserve">is not expected to affect antibody responses to COVID-19 adenovirus-based </w:t>
      </w:r>
      <w:r w:rsidRPr="00742AA6">
        <w:rPr>
          <w:kern w:val="2"/>
        </w:rPr>
        <w:t>vaccination.</w:t>
      </w:r>
    </w:p>
    <w:p w14:paraId="576E6EF0" w14:textId="77777777" w:rsidR="007200BF" w:rsidRDefault="002251F7" w:rsidP="007200BF">
      <w:r w:rsidRPr="00742AA6">
        <w:t>No toxicity was observed in a study in monkeys at high doses.</w:t>
      </w:r>
    </w:p>
    <w:p w14:paraId="42A2E4A0" w14:textId="0556379E" w:rsidR="002251F7" w:rsidRPr="007200BF" w:rsidRDefault="002251F7" w:rsidP="007200BF">
      <w:proofErr w:type="spellStart"/>
      <w:r w:rsidRPr="00742AA6">
        <w:rPr>
          <w:kern w:val="2"/>
        </w:rPr>
        <w:lastRenderedPageBreak/>
        <w:t>Tixagevimab</w:t>
      </w:r>
      <w:proofErr w:type="spellEnd"/>
      <w:r w:rsidRPr="00742AA6">
        <w:rPr>
          <w:kern w:val="2"/>
        </w:rPr>
        <w:t xml:space="preserve">, </w:t>
      </w:r>
      <w:proofErr w:type="spellStart"/>
      <w:r w:rsidRPr="00742AA6">
        <w:rPr>
          <w:kern w:val="2"/>
        </w:rPr>
        <w:t>cilgavimab</w:t>
      </w:r>
      <w:proofErr w:type="spellEnd"/>
      <w:r w:rsidRPr="00742AA6">
        <w:rPr>
          <w:kern w:val="2"/>
        </w:rPr>
        <w:t xml:space="preserve"> and</w:t>
      </w:r>
      <w:r w:rsidR="007200BF">
        <w:rPr>
          <w:kern w:val="2"/>
        </w:rPr>
        <w:t xml:space="preserve"> </w:t>
      </w:r>
      <w:proofErr w:type="spellStart"/>
      <w:r w:rsidR="007200BF">
        <w:rPr>
          <w:kern w:val="2"/>
        </w:rPr>
        <w:t>Evusheld</w:t>
      </w:r>
      <w:proofErr w:type="spellEnd"/>
      <w:r w:rsidR="007200BF">
        <w:rPr>
          <w:kern w:val="2"/>
        </w:rPr>
        <w:t xml:space="preserve"> (</w:t>
      </w:r>
      <w:proofErr w:type="spellStart"/>
      <w:r w:rsidR="007200BF">
        <w:rPr>
          <w:kern w:val="2"/>
        </w:rPr>
        <w:t>tixagevimab</w:t>
      </w:r>
      <w:proofErr w:type="spellEnd"/>
      <w:r w:rsidR="007200BF">
        <w:rPr>
          <w:kern w:val="2"/>
        </w:rPr>
        <w:t>/</w:t>
      </w:r>
      <w:proofErr w:type="spellStart"/>
      <w:r w:rsidR="007200BF" w:rsidRPr="00742AA6">
        <w:rPr>
          <w:kern w:val="2"/>
        </w:rPr>
        <w:t>cilgavimab</w:t>
      </w:r>
      <w:proofErr w:type="spellEnd"/>
      <w:r w:rsidR="007200BF">
        <w:rPr>
          <w:kern w:val="2"/>
        </w:rPr>
        <w:t xml:space="preserve"> in combination) </w:t>
      </w:r>
      <w:r w:rsidRPr="00742AA6">
        <w:rPr>
          <w:kern w:val="2"/>
        </w:rPr>
        <w:t xml:space="preserve">displayed </w:t>
      </w:r>
      <w:r w:rsidR="00191DD3">
        <w:t xml:space="preserve">reduced </w:t>
      </w:r>
      <w:r w:rsidRPr="00742AA6">
        <w:rPr>
          <w:kern w:val="2"/>
        </w:rPr>
        <w:t xml:space="preserve">or no activity in assays of Fc mediated effects and did not permit </w:t>
      </w:r>
      <w:proofErr w:type="spellStart"/>
      <w:r w:rsidRPr="00742AA6">
        <w:rPr>
          <w:kern w:val="2"/>
        </w:rPr>
        <w:t>pseudovirus</w:t>
      </w:r>
      <w:proofErr w:type="spellEnd"/>
      <w:r w:rsidRPr="00742AA6">
        <w:rPr>
          <w:kern w:val="2"/>
        </w:rPr>
        <w:t xml:space="preserve"> entry and replication in human immune cell lines that do not express ACE2</w:t>
      </w:r>
      <w:r w:rsidR="007200BF">
        <w:rPr>
          <w:kern w:val="2"/>
        </w:rPr>
        <w:t xml:space="preserve"> (angiotensin converting enzyme 2)</w:t>
      </w:r>
      <w:r w:rsidRPr="00742AA6">
        <w:rPr>
          <w:kern w:val="2"/>
        </w:rPr>
        <w:t xml:space="preserve">, suggesting </w:t>
      </w:r>
      <w:r w:rsidRPr="007200BF">
        <w:t>minimal risk for causing enhancement of infection or disease.</w:t>
      </w:r>
    </w:p>
    <w:p w14:paraId="7E299621" w14:textId="7CFDC878" w:rsidR="002251F7" w:rsidRPr="007200BF" w:rsidRDefault="002251F7" w:rsidP="007200BF">
      <w:r>
        <w:t xml:space="preserve">No dedicated safety pharmacology studies were submitted. </w:t>
      </w:r>
      <w:proofErr w:type="spellStart"/>
      <w:r>
        <w:t>Tixagevimab</w:t>
      </w:r>
      <w:proofErr w:type="spellEnd"/>
      <w:r>
        <w:t xml:space="preserve"> and </w:t>
      </w:r>
      <w:proofErr w:type="spellStart"/>
      <w:r>
        <w:t>cilgavimab</w:t>
      </w:r>
      <w:proofErr w:type="spellEnd"/>
      <w:r>
        <w:t xml:space="preserve"> are </w:t>
      </w:r>
      <w:r w:rsidR="007200BF">
        <w:t>monoclonal antibodie</w:t>
      </w:r>
      <w:r>
        <w:t xml:space="preserve">s and are unlikely to inhibit </w:t>
      </w:r>
      <w:r w:rsidR="007200BF">
        <w:t xml:space="preserve">(cardiac) </w:t>
      </w:r>
      <w:proofErr w:type="spellStart"/>
      <w:r>
        <w:t>hERG</w:t>
      </w:r>
      <w:proofErr w:type="spellEnd"/>
      <w:r>
        <w:t xml:space="preserve"> </w:t>
      </w:r>
      <w:r w:rsidR="007200BF">
        <w:t xml:space="preserve">potassium ion </w:t>
      </w:r>
      <w:r>
        <w:t xml:space="preserve">channels. Due to its size and the presence of an Fc domain, the </w:t>
      </w:r>
      <w:r w:rsidR="007200BF">
        <w:t xml:space="preserve">monoclonal antibodies </w:t>
      </w:r>
      <w:r>
        <w:t xml:space="preserve">are unlikely to cross the blood-brain barrier or be present in the brain in an appreciable amount. There was no evidence of an effect on the central nervous, </w:t>
      </w:r>
      <w:proofErr w:type="gramStart"/>
      <w:r>
        <w:t>cardiovascular</w:t>
      </w:r>
      <w:proofErr w:type="gramEnd"/>
      <w:r>
        <w:t xml:space="preserve"> or respiratory systems in the submitted toxicity study at high doses (resulting in a </w:t>
      </w:r>
      <w:r w:rsidR="007200BF">
        <w:t>maximum concentration (</w:t>
      </w:r>
      <w:proofErr w:type="spellStart"/>
      <w:r>
        <w:t>C</w:t>
      </w:r>
      <w:r w:rsidRPr="1B4845B5">
        <w:rPr>
          <w:vertAlign w:val="subscript"/>
        </w:rPr>
        <w:t>max</w:t>
      </w:r>
      <w:proofErr w:type="spellEnd"/>
      <w:r w:rsidR="007200BF">
        <w:t xml:space="preserve">) </w:t>
      </w:r>
      <w:r>
        <w:t xml:space="preserve">&gt; 50 times the clinical </w:t>
      </w:r>
      <w:proofErr w:type="spellStart"/>
      <w:r>
        <w:t>C</w:t>
      </w:r>
      <w:r w:rsidRPr="1B4845B5">
        <w:rPr>
          <w:vertAlign w:val="subscript"/>
        </w:rPr>
        <w:t>max</w:t>
      </w:r>
      <w:proofErr w:type="spellEnd"/>
      <w:r>
        <w:t xml:space="preserve">). </w:t>
      </w:r>
      <w:proofErr w:type="spellStart"/>
      <w:r>
        <w:t>Evusheld</w:t>
      </w:r>
      <w:proofErr w:type="spellEnd"/>
      <w:r>
        <w:t xml:space="preserve"> is not expected to affect the cardiovascular, </w:t>
      </w:r>
      <w:proofErr w:type="gramStart"/>
      <w:r>
        <w:t>respiratory</w:t>
      </w:r>
      <w:proofErr w:type="gramEnd"/>
      <w:r>
        <w:t xml:space="preserve"> or central nervous systems during clinical use.</w:t>
      </w:r>
    </w:p>
    <w:p w14:paraId="1C715F2F" w14:textId="6B3961C2" w:rsidR="002251F7" w:rsidRPr="00742AA6" w:rsidRDefault="002251F7" w:rsidP="007200BF">
      <w:proofErr w:type="spellStart"/>
      <w:r w:rsidRPr="00742AA6">
        <w:t>Tix</w:t>
      </w:r>
      <w:r w:rsidR="007200BF">
        <w:t>agevimab</w:t>
      </w:r>
      <w:proofErr w:type="spellEnd"/>
      <w:r w:rsidR="007200BF">
        <w:t xml:space="preserve"> and </w:t>
      </w:r>
      <w:proofErr w:type="spellStart"/>
      <w:r w:rsidR="007200BF">
        <w:t>cilgavimab</w:t>
      </w:r>
      <w:proofErr w:type="spellEnd"/>
      <w:r w:rsidR="007200BF">
        <w:t xml:space="preserve"> showed around </w:t>
      </w:r>
      <w:r w:rsidRPr="00742AA6">
        <w:t>9- and 6-fold incre</w:t>
      </w:r>
      <w:r w:rsidR="007200BF">
        <w:t>ased binding affinity (reduced dissociation constant (K</w:t>
      </w:r>
      <w:r w:rsidR="007200BF" w:rsidRPr="007200BF">
        <w:rPr>
          <w:vertAlign w:val="subscript"/>
        </w:rPr>
        <w:t>D</w:t>
      </w:r>
      <w:r w:rsidR="007200BF">
        <w:t>)</w:t>
      </w:r>
      <w:r w:rsidRPr="00742AA6">
        <w:t>) to neonatal Fc receptors (</w:t>
      </w:r>
      <w:proofErr w:type="spellStart"/>
      <w:r w:rsidRPr="00742AA6">
        <w:t>FcRn</w:t>
      </w:r>
      <w:proofErr w:type="spellEnd"/>
      <w:r w:rsidRPr="00742AA6">
        <w:t xml:space="preserve">) at low pH (pH 6.0) compared to their counterparts that lack </w:t>
      </w:r>
      <w:r w:rsidR="00FE258D">
        <w:t xml:space="preserve">the </w:t>
      </w:r>
      <w:r w:rsidR="00D623A2">
        <w:t>YTE modification</w:t>
      </w:r>
      <w:r w:rsidR="007D2219">
        <w:t xml:space="preserve"> </w:t>
      </w:r>
      <w:r w:rsidR="007200BF">
        <w:t>(</w:t>
      </w:r>
      <w:r w:rsidRPr="00742AA6">
        <w:t>YTE</w:t>
      </w:r>
      <w:r w:rsidR="00E73E32">
        <w:t xml:space="preserve">; </w:t>
      </w:r>
      <w:r w:rsidR="00E73E32" w:rsidRPr="00E73E32">
        <w:t>M252Y/S254T/T256E</w:t>
      </w:r>
      <w:r w:rsidR="007200BF">
        <w:t>)</w:t>
      </w:r>
      <w:r w:rsidR="00E73E32">
        <w:t xml:space="preserve">. </w:t>
      </w:r>
      <w:r w:rsidR="00622AD0" w:rsidRPr="003B4D70">
        <w:t>A</w:t>
      </w:r>
      <w:r w:rsidR="007D2219" w:rsidRPr="003B4D70">
        <w:t xml:space="preserve"> second</w:t>
      </w:r>
      <w:r w:rsidR="00E73E32" w:rsidRPr="003B4D70">
        <w:t xml:space="preserve"> </w:t>
      </w:r>
      <w:r w:rsidR="00D623A2" w:rsidRPr="003B4D70">
        <w:t>modif</w:t>
      </w:r>
      <w:r w:rsidR="00FE258D" w:rsidRPr="003B4D70">
        <w:t>ication</w:t>
      </w:r>
      <w:r w:rsidRPr="003B4D70">
        <w:t xml:space="preserve"> </w:t>
      </w:r>
      <w:r w:rsidR="00622AD0" w:rsidRPr="003B4D70">
        <w:t xml:space="preserve">(TM; </w:t>
      </w:r>
      <w:r w:rsidR="00ED57AE" w:rsidRPr="003B4D70">
        <w:t xml:space="preserve">L234F/L235E/P331S) </w:t>
      </w:r>
      <w:r w:rsidRPr="003B4D70">
        <w:t xml:space="preserve">reduced </w:t>
      </w:r>
      <w:proofErr w:type="spellStart"/>
      <w:r w:rsidRPr="003B4D70">
        <w:t>tixagev</w:t>
      </w:r>
      <w:r w:rsidR="00E73E32" w:rsidRPr="003B4D70">
        <w:t>imab</w:t>
      </w:r>
      <w:proofErr w:type="spellEnd"/>
      <w:r w:rsidR="00E73E32" w:rsidRPr="003B4D70">
        <w:t xml:space="preserve"> and </w:t>
      </w:r>
      <w:proofErr w:type="spellStart"/>
      <w:r w:rsidR="00E73E32" w:rsidRPr="003B4D70">
        <w:t>cilgavimab</w:t>
      </w:r>
      <w:proofErr w:type="spellEnd"/>
      <w:r w:rsidR="00E73E32" w:rsidRPr="003B4D70">
        <w:t xml:space="preserve"> binding (49 to </w:t>
      </w:r>
      <w:r w:rsidRPr="003B4D70">
        <w:t xml:space="preserve">99%) to human </w:t>
      </w:r>
      <w:proofErr w:type="spellStart"/>
      <w:r w:rsidRPr="003B4D70">
        <w:t>FcγRs</w:t>
      </w:r>
      <w:proofErr w:type="spellEnd"/>
      <w:r w:rsidRPr="003B4D70">
        <w:t xml:space="preserve"> and C1q proteins as compared to </w:t>
      </w:r>
      <w:r w:rsidR="006A4AFD" w:rsidRPr="003B4D70">
        <w:t>their counterparts that lack</w:t>
      </w:r>
      <w:r w:rsidRPr="003B4D70">
        <w:t xml:space="preserve"> </w:t>
      </w:r>
      <w:r w:rsidR="00B10C3C" w:rsidRPr="003B4D70">
        <w:t>the TM modification</w:t>
      </w:r>
      <w:r w:rsidRPr="003B4D70">
        <w:t xml:space="preserve">. The results indicate that </w:t>
      </w:r>
      <w:proofErr w:type="spellStart"/>
      <w:r w:rsidRPr="003B4D70">
        <w:t>Evusheld</w:t>
      </w:r>
      <w:proofErr w:type="spellEnd"/>
      <w:r w:rsidRPr="003B4D70">
        <w:t xml:space="preserve"> may have a longer elimination half-life due to enhanced</w:t>
      </w:r>
      <w:r w:rsidRPr="00E73E32">
        <w:t xml:space="preserve"> binding to </w:t>
      </w:r>
      <w:proofErr w:type="spellStart"/>
      <w:r w:rsidRPr="00E73E32">
        <w:t>FcRn</w:t>
      </w:r>
      <w:proofErr w:type="spellEnd"/>
      <w:r w:rsidRPr="00E73E32">
        <w:t xml:space="preserve"> which may promote </w:t>
      </w:r>
      <w:r w:rsidRPr="00742AA6">
        <w:t xml:space="preserve">antibody recirculation in the serum, and </w:t>
      </w:r>
      <w:r w:rsidRPr="004B7D80">
        <w:t>reduced propensity to elicit Fc-mediated effects which may reduce the risk of antibody-dependent disease enhancement</w:t>
      </w:r>
      <w:r w:rsidRPr="00742AA6">
        <w:t>.</w:t>
      </w:r>
    </w:p>
    <w:p w14:paraId="445D56D4" w14:textId="5575B094" w:rsidR="002251F7" w:rsidRPr="00E73E32" w:rsidRDefault="04DA7E30" w:rsidP="00E73E32">
      <w:r>
        <w:t xml:space="preserve">The </w:t>
      </w:r>
      <w:r w:rsidR="687F2987">
        <w:t xml:space="preserve">sponsor </w:t>
      </w:r>
      <w:r>
        <w:t xml:space="preserve">has </w:t>
      </w:r>
      <w:r w:rsidR="687F2987">
        <w:t xml:space="preserve">stated that independent laboratories have generated in vitro potency data showing that </w:t>
      </w:r>
      <w:proofErr w:type="spellStart"/>
      <w:r>
        <w:t>Evusheld</w:t>
      </w:r>
      <w:proofErr w:type="spellEnd"/>
      <w:r w:rsidR="687F2987">
        <w:t xml:space="preserve"> maintains neutralising activity against the Omicron variant, although increases in </w:t>
      </w:r>
      <w:r>
        <w:t>50% maximal inhibitory concentration (</w:t>
      </w:r>
      <w:r w:rsidR="687F2987">
        <w:t>IC</w:t>
      </w:r>
      <w:r w:rsidRPr="632D86D5">
        <w:rPr>
          <w:vertAlign w:val="subscript"/>
        </w:rPr>
        <w:t>50</w:t>
      </w:r>
      <w:r>
        <w:t>) c</w:t>
      </w:r>
      <w:r w:rsidR="687F2987">
        <w:t>ompared to the original SARS-CoV-2 strain were observed. The IC</w:t>
      </w:r>
      <w:r w:rsidR="687F2987" w:rsidRPr="632D86D5">
        <w:rPr>
          <w:vertAlign w:val="subscript"/>
        </w:rPr>
        <w:t>50</w:t>
      </w:r>
      <w:r w:rsidR="687F2987">
        <w:t xml:space="preserve"> for neutralisation activity of </w:t>
      </w:r>
      <w:proofErr w:type="spellStart"/>
      <w:r>
        <w:t>Evusheld</w:t>
      </w:r>
      <w:proofErr w:type="spellEnd"/>
      <w:r w:rsidR="10737028">
        <w:t xml:space="preserve"> against Omicron </w:t>
      </w:r>
      <w:r w:rsidR="2250125A">
        <w:t xml:space="preserve">BA.1 </w:t>
      </w:r>
      <w:r w:rsidR="10737028">
        <w:t>were 273 </w:t>
      </w:r>
      <w:r w:rsidR="687F2987">
        <w:t>ng/mL and 147 ng/mL from two independent labs in authentic virus assays (12- to 30-fold reduction compare</w:t>
      </w:r>
      <w:r>
        <w:t>d to original strain). The IC</w:t>
      </w:r>
      <w:r w:rsidRPr="632D86D5">
        <w:rPr>
          <w:vertAlign w:val="subscript"/>
        </w:rPr>
        <w:t>50</w:t>
      </w:r>
      <w:r w:rsidR="687F2987" w:rsidRPr="632D86D5">
        <w:rPr>
          <w:vertAlign w:val="subscript"/>
        </w:rPr>
        <w:t xml:space="preserve"> </w:t>
      </w:r>
      <w:r w:rsidR="687F2987">
        <w:t xml:space="preserve">for </w:t>
      </w:r>
      <w:proofErr w:type="spellStart"/>
      <w:r w:rsidR="687F2987">
        <w:t>E</w:t>
      </w:r>
      <w:r>
        <w:t>vusheld</w:t>
      </w:r>
      <w:proofErr w:type="spellEnd"/>
      <w:r w:rsidR="687F2987">
        <w:t xml:space="preserve"> in </w:t>
      </w:r>
      <w:proofErr w:type="spellStart"/>
      <w:r w:rsidR="687F2987">
        <w:t>pseudovirus</w:t>
      </w:r>
      <w:proofErr w:type="spellEnd"/>
      <w:r w:rsidR="687F2987">
        <w:t xml:space="preserve"> neutralisation assays performed at two independent labs were 277 and 171 ng/mL (132- to 183-fold reduction). </w:t>
      </w:r>
      <w:bookmarkStart w:id="40" w:name="_Hlk94169029"/>
      <w:r w:rsidR="687F2987">
        <w:t xml:space="preserve">The applicant presented modelling data predicting appropriate dose frequency of </w:t>
      </w:r>
      <w:proofErr w:type="spellStart"/>
      <w:r w:rsidR="687F2987">
        <w:t>E</w:t>
      </w:r>
      <w:r>
        <w:t>vusheld</w:t>
      </w:r>
      <w:proofErr w:type="spellEnd"/>
      <w:r w:rsidR="687F2987">
        <w:t xml:space="preserve"> required to maintain a minimum effective plasma concentration against Omicron BA.1.</w:t>
      </w:r>
    </w:p>
    <w:bookmarkEnd w:id="40"/>
    <w:p w14:paraId="4BD8EB2A" w14:textId="77777777" w:rsidR="002251F7" w:rsidRPr="002251F7" w:rsidRDefault="002251F7" w:rsidP="002251F7">
      <w:r>
        <w:t>In neutralisation assays with authentic SARS-CoV-2 virus isolates or spike-</w:t>
      </w:r>
      <w:proofErr w:type="spellStart"/>
      <w:r>
        <w:t>pseudotyped</w:t>
      </w:r>
      <w:proofErr w:type="spellEnd"/>
      <w:r>
        <w:t xml:space="preserve"> viruses bearing all spike substitutions identified in circulating variants, </w:t>
      </w:r>
      <w:proofErr w:type="spellStart"/>
      <w:r w:rsidRPr="00E73E32">
        <w:t>Evusheld</w:t>
      </w:r>
      <w:proofErr w:type="spellEnd"/>
      <w:r w:rsidRPr="00E73E32">
        <w:t xml:space="preserve"> </w:t>
      </w:r>
      <w:r>
        <w:t xml:space="preserve">retained full or </w:t>
      </w:r>
      <w:proofErr w:type="gramStart"/>
      <w:r>
        <w:t>nearly-full</w:t>
      </w:r>
      <w:proofErr w:type="gramEnd"/>
      <w:r>
        <w:t xml:space="preserve"> neutralisation activity against Alpha (B.1.1.7), Beta (B.1.351), Gamma (P.1), and Delta (B.1.617.2) variants of concern; and Iota (B.1.526), Eta (B.1. 525), Kappa (B.1.617.1), Lambda (C.37), and Mu (B.1.621) variants of interest</w:t>
      </w:r>
      <w:r w:rsidR="00E73E32">
        <w:t>.</w:t>
      </w:r>
      <w:r>
        <w:rPr>
          <w:rStyle w:val="FootnoteReference"/>
          <w:kern w:val="2"/>
        </w:rPr>
        <w:footnoteReference w:id="34"/>
      </w:r>
    </w:p>
    <w:p w14:paraId="5BC29687" w14:textId="3830EFA1" w:rsidR="008E7846" w:rsidRDefault="008E7846" w:rsidP="008E7846">
      <w:pPr>
        <w:pStyle w:val="Heading3"/>
      </w:pPr>
      <w:bookmarkStart w:id="41" w:name="_Toc247691530"/>
      <w:bookmarkStart w:id="42" w:name="_Toc314842513"/>
      <w:bookmarkStart w:id="43" w:name="_Toc97646303"/>
      <w:r>
        <w:t>Clinical</w:t>
      </w:r>
      <w:bookmarkEnd w:id="41"/>
      <w:bookmarkEnd w:id="42"/>
      <w:bookmarkEnd w:id="43"/>
    </w:p>
    <w:p w14:paraId="5315A4F0" w14:textId="77777777" w:rsidR="00E73E32" w:rsidRPr="00E73E32" w:rsidRDefault="00E73E32" w:rsidP="00E73E32">
      <w:pPr>
        <w:pStyle w:val="Heading4"/>
      </w:pPr>
      <w:r>
        <w:t>Submitted clinical data evaluable for this submission</w:t>
      </w:r>
    </w:p>
    <w:p w14:paraId="00657A9C" w14:textId="77777777" w:rsidR="00E73E32" w:rsidRDefault="00E73E32" w:rsidP="00E73E32">
      <w:r>
        <w:t>The submission was supported by the following clinical data:</w:t>
      </w:r>
    </w:p>
    <w:p w14:paraId="501D69F8" w14:textId="77777777" w:rsidR="00E73E32" w:rsidRDefault="00E73E32" w:rsidP="00E73E32">
      <w:pPr>
        <w:pStyle w:val="ListBullet"/>
      </w:pPr>
      <w:r>
        <w:t>Pharmacology:</w:t>
      </w:r>
    </w:p>
    <w:p w14:paraId="13772AE3" w14:textId="77777777" w:rsidR="00E73E32" w:rsidRPr="00E73E32" w:rsidRDefault="00ED66DB" w:rsidP="00E73E32">
      <w:pPr>
        <w:pStyle w:val="ListBullet2"/>
      </w:pPr>
      <w:r>
        <w:t>Study D8850C00001: Phase I</w:t>
      </w:r>
      <w:r w:rsidR="00E73E32" w:rsidRPr="00E73E32">
        <w:t xml:space="preserve"> </w:t>
      </w:r>
      <w:r>
        <w:t>first-in-human</w:t>
      </w:r>
      <w:r w:rsidR="00E73E32" w:rsidRPr="00E73E32">
        <w:t xml:space="preserve"> study in healthy adults (safety, </w:t>
      </w:r>
      <w:r>
        <w:t>pharmacokinetics, neutralising antibodies, and anti-drug antibodies</w:t>
      </w:r>
      <w:r w:rsidR="00E73E32" w:rsidRPr="00E73E32">
        <w:t xml:space="preserve"> data)</w:t>
      </w:r>
      <w:r>
        <w:t>.</w:t>
      </w:r>
    </w:p>
    <w:p w14:paraId="5DB4F585" w14:textId="77777777" w:rsidR="00E73E32" w:rsidRPr="00E73E32" w:rsidRDefault="00E73E32" w:rsidP="00E73E32">
      <w:pPr>
        <w:pStyle w:val="ListBullet2"/>
      </w:pPr>
      <w:r w:rsidRPr="00E73E32">
        <w:lastRenderedPageBreak/>
        <w:t xml:space="preserve">Population </w:t>
      </w:r>
      <w:r w:rsidR="00ED66DB">
        <w:t>pharmacokinetic</w:t>
      </w:r>
      <w:r w:rsidRPr="00E73E32">
        <w:t xml:space="preserve"> report: extrapolation of adult </w:t>
      </w:r>
      <w:r w:rsidR="00ED66DB">
        <w:t>pharmacokinetics</w:t>
      </w:r>
      <w:r w:rsidRPr="00E73E32">
        <w:t xml:space="preserve"> to support dosing in adolescents</w:t>
      </w:r>
      <w:r w:rsidR="00ED66DB">
        <w:t>.</w:t>
      </w:r>
    </w:p>
    <w:p w14:paraId="023BCBDB" w14:textId="77777777" w:rsidR="00E73E32" w:rsidRPr="00ED66DB" w:rsidRDefault="00ED66DB" w:rsidP="00ED66DB">
      <w:pPr>
        <w:pStyle w:val="ListBullet"/>
      </w:pPr>
      <w:r>
        <w:t>Efficacy and s</w:t>
      </w:r>
      <w:r w:rsidR="00E73E32">
        <w:t>afety</w:t>
      </w:r>
      <w:r>
        <w:t>:</w:t>
      </w:r>
    </w:p>
    <w:p w14:paraId="4B08508C" w14:textId="77777777" w:rsidR="00E73E32" w:rsidRDefault="00ED66DB" w:rsidP="00ED66DB">
      <w:pPr>
        <w:pStyle w:val="ListBullet2"/>
      </w:pPr>
      <w:r>
        <w:t>For the p</w:t>
      </w:r>
      <w:r w:rsidR="00E73E32">
        <w:t>rophylaxis indication</w:t>
      </w:r>
      <w:r>
        <w:t xml:space="preserve">, </w:t>
      </w:r>
      <w:r w:rsidR="00E73E32" w:rsidRPr="00567FF6">
        <w:t>primary efficacy</w:t>
      </w:r>
      <w:r w:rsidR="00E73E32">
        <w:t xml:space="preserve">, tolerability, </w:t>
      </w:r>
      <w:r>
        <w:t>pharmacokinetics, neutralising antibodies</w:t>
      </w:r>
      <w:r w:rsidR="00E73E32" w:rsidRPr="00567FF6">
        <w:t xml:space="preserve"> </w:t>
      </w:r>
      <w:r w:rsidR="00E73E32">
        <w:t>plus</w:t>
      </w:r>
      <w:r w:rsidR="00E73E32" w:rsidRPr="00567FF6">
        <w:t xml:space="preserve"> </w:t>
      </w:r>
      <w:proofErr w:type="spellStart"/>
      <w:r w:rsidR="00E73E32">
        <w:t>topline</w:t>
      </w:r>
      <w:proofErr w:type="spellEnd"/>
      <w:r w:rsidR="00E73E32">
        <w:t xml:space="preserve"> 6-month efficacy and safety data</w:t>
      </w:r>
      <w:r>
        <w:t xml:space="preserve"> from:</w:t>
      </w:r>
    </w:p>
    <w:p w14:paraId="1906E959" w14:textId="77777777" w:rsidR="00E73E32" w:rsidRDefault="00ED66DB" w:rsidP="00ED66DB">
      <w:pPr>
        <w:pStyle w:val="ListBullet3"/>
      </w:pPr>
      <w:r>
        <w:t xml:space="preserve">the </w:t>
      </w:r>
      <w:r w:rsidR="00E73E32">
        <w:t xml:space="preserve">PROVENT </w:t>
      </w:r>
      <w:r>
        <w:t>trial (</w:t>
      </w:r>
      <w:r w:rsidR="00E73E32">
        <w:t>Study</w:t>
      </w:r>
      <w:r>
        <w:t xml:space="preserve"> </w:t>
      </w:r>
      <w:r w:rsidR="00E73E32" w:rsidRPr="0089777A">
        <w:t>D8850C00002</w:t>
      </w:r>
      <w:r>
        <w:t>), a</w:t>
      </w:r>
      <w:r w:rsidR="00E73E32">
        <w:t xml:space="preserve"> </w:t>
      </w:r>
      <w:r>
        <w:t>Phase III study into pre-exposure prophylaxis; and</w:t>
      </w:r>
    </w:p>
    <w:p w14:paraId="3932C7AF" w14:textId="77777777" w:rsidR="00E73E32" w:rsidRDefault="00ED66DB" w:rsidP="00ED66DB">
      <w:pPr>
        <w:pStyle w:val="ListBullet3"/>
      </w:pPr>
      <w:r>
        <w:t xml:space="preserve">the </w:t>
      </w:r>
      <w:r w:rsidR="00E73E32">
        <w:t xml:space="preserve">STORM CHASER </w:t>
      </w:r>
      <w:r>
        <w:t xml:space="preserve">trial (Study </w:t>
      </w:r>
      <w:r w:rsidR="00E73E32" w:rsidRPr="0089777A">
        <w:t>D8850C0000</w:t>
      </w:r>
      <w:r>
        <w:t>3), a</w:t>
      </w:r>
      <w:r w:rsidR="00E73E32">
        <w:t xml:space="preserve"> </w:t>
      </w:r>
      <w:r>
        <w:t>Phase III study into post-exposure prophylaxis.</w:t>
      </w:r>
    </w:p>
    <w:p w14:paraId="1C51610A" w14:textId="04739CF1" w:rsidR="00ED66DB" w:rsidRPr="00ED66DB" w:rsidRDefault="00ED66DB" w:rsidP="00954F42">
      <w:pPr>
        <w:pStyle w:val="Heading4"/>
        <w:rPr>
          <w:i/>
        </w:rPr>
      </w:pPr>
      <w:r w:rsidRPr="00ED66DB">
        <w:t>Pharmacology</w:t>
      </w:r>
    </w:p>
    <w:p w14:paraId="79047D11" w14:textId="77777777" w:rsidR="00ED66DB" w:rsidRPr="00ED66DB" w:rsidRDefault="00ED66DB" w:rsidP="00954F42">
      <w:pPr>
        <w:pStyle w:val="Heading5"/>
      </w:pPr>
      <w:r w:rsidRPr="00ED66DB">
        <w:t>Pharmacokinetics</w:t>
      </w:r>
    </w:p>
    <w:p w14:paraId="3C3EFD79" w14:textId="76D894A7" w:rsidR="00ED66DB" w:rsidRPr="00ED66DB" w:rsidRDefault="00ED66DB" w:rsidP="00ED66DB">
      <w:r w:rsidRPr="00ED66DB">
        <w:t xml:space="preserve">The pharmacokinetics </w:t>
      </w:r>
      <w:r w:rsidR="00B90C21">
        <w:t xml:space="preserve">(PK) </w:t>
      </w:r>
      <w:r w:rsidRPr="00ED66DB">
        <w:t xml:space="preserve">of </w:t>
      </w:r>
      <w:proofErr w:type="spellStart"/>
      <w:r w:rsidR="00FF55C2" w:rsidRPr="00ED66DB">
        <w:t>Evusheld</w:t>
      </w:r>
      <w:proofErr w:type="spellEnd"/>
      <w:r w:rsidR="00FF55C2" w:rsidRPr="00ED66DB">
        <w:t xml:space="preserve"> </w:t>
      </w:r>
      <w:r w:rsidRPr="00ED66DB">
        <w:t>wa</w:t>
      </w:r>
      <w:r w:rsidR="00FF55C2">
        <w:t>s characterised in Phase I and Phase III studies. Noncompartmental and p</w:t>
      </w:r>
      <w:r w:rsidRPr="00ED66DB">
        <w:t>opulation PK analyses were u</w:t>
      </w:r>
      <w:r w:rsidR="00FF55C2">
        <w:t>tilised in a single Phase I</w:t>
      </w:r>
      <w:r w:rsidRPr="00ED66DB">
        <w:t xml:space="preserve"> study and population PK</w:t>
      </w:r>
      <w:r w:rsidR="00FF55C2">
        <w:t xml:space="preserve"> analysis was performed on the Phase III study dataset.</w:t>
      </w:r>
    </w:p>
    <w:p w14:paraId="578ECE04" w14:textId="4E873A71" w:rsidR="00ED66DB" w:rsidRPr="00ED66DB" w:rsidRDefault="00ED66DB" w:rsidP="00ED66DB">
      <w:r w:rsidRPr="00ED66DB">
        <w:t>The PK parameters ar</w:t>
      </w:r>
      <w:r w:rsidR="00FF55C2">
        <w:t>e primarily derived from Phase I</w:t>
      </w:r>
      <w:r w:rsidRPr="00ED66DB">
        <w:t xml:space="preserve"> Study D8850C00001, with supportive drug concentration</w:t>
      </w:r>
      <w:r w:rsidR="00FF55C2">
        <w:t xml:space="preserve"> data available from the Phase III</w:t>
      </w:r>
      <w:r w:rsidRPr="00ED66DB">
        <w:t xml:space="preserve"> studies.</w:t>
      </w:r>
    </w:p>
    <w:p w14:paraId="1C825F19" w14:textId="77777777" w:rsidR="00ED66DB" w:rsidRPr="00ED66DB" w:rsidRDefault="00ED66DB" w:rsidP="00FF55C2">
      <w:pPr>
        <w:pStyle w:val="Heading6"/>
      </w:pPr>
      <w:r w:rsidRPr="00ED66DB">
        <w:t>Study D8850C00001</w:t>
      </w:r>
    </w:p>
    <w:p w14:paraId="50870E49" w14:textId="4683D167" w:rsidR="00ED66DB" w:rsidRPr="00FF55C2" w:rsidRDefault="00FF55C2" w:rsidP="00FF55C2">
      <w:r w:rsidRPr="00FF55C2">
        <w:t xml:space="preserve">Study D8850C00001 </w:t>
      </w:r>
      <w:r>
        <w:t xml:space="preserve">is </w:t>
      </w:r>
      <w:r w:rsidR="00ED66DB" w:rsidRPr="00FF55C2">
        <w:t xml:space="preserve">Phase I, double-blind, placebo-controlled, dose escalation study in </w:t>
      </w:r>
      <w:r w:rsidR="00ED66DB">
        <w:t xml:space="preserve">healthy </w:t>
      </w:r>
      <w:r w:rsidR="00ED66DB" w:rsidRPr="00FF55C2">
        <w:t>adults.</w:t>
      </w:r>
    </w:p>
    <w:p w14:paraId="683BD5F1" w14:textId="77777777" w:rsidR="00ED66DB" w:rsidRPr="00ED66DB" w:rsidRDefault="00ED66DB" w:rsidP="00ED66DB">
      <w:r w:rsidRPr="00ED66DB">
        <w:t xml:space="preserve">The current dossier consisted of results of this study up to a data cut-off of 6 June 2021. At the time of data cut-off for this interim analysis, 60 subjects were randomised to receive </w:t>
      </w:r>
      <w:proofErr w:type="spellStart"/>
      <w:r w:rsidR="00FF55C2" w:rsidRPr="00ED66DB">
        <w:t>Evusheld</w:t>
      </w:r>
      <w:proofErr w:type="spellEnd"/>
      <w:r w:rsidRPr="00ED66DB">
        <w:t>, of which 59 subjects were in the follow-up period. At that stage, all participants in Cohort 1a and Cohort 1b had completed their Day 271 visit and all participants in Cohorts 2, 3, and 4 had completed their Day 211 visit.</w:t>
      </w:r>
    </w:p>
    <w:p w14:paraId="5A8B6D12" w14:textId="60EF9B69" w:rsidR="00ED66DB" w:rsidRPr="00ED66DB" w:rsidRDefault="00ED66DB" w:rsidP="00FF55C2">
      <w:pPr>
        <w:pStyle w:val="FigureTitle"/>
      </w:pPr>
      <w:r w:rsidRPr="00ED66DB">
        <w:t xml:space="preserve">Figure </w:t>
      </w:r>
      <w:r>
        <w:fldChar w:fldCharType="begin"/>
      </w:r>
      <w:r>
        <w:instrText>SEQ Figure \* ARABIC</w:instrText>
      </w:r>
      <w:r>
        <w:fldChar w:fldCharType="separate"/>
      </w:r>
      <w:r w:rsidR="004D0A2C">
        <w:rPr>
          <w:noProof/>
        </w:rPr>
        <w:t>2</w:t>
      </w:r>
      <w:r>
        <w:fldChar w:fldCharType="end"/>
      </w:r>
      <w:r w:rsidRPr="00ED66DB">
        <w:t>: Study D8850C00001</w:t>
      </w:r>
      <w:r w:rsidR="00FF55C2">
        <w:t xml:space="preserve"> Study schematic</w:t>
      </w:r>
    </w:p>
    <w:p w14:paraId="31E4224F" w14:textId="62365297" w:rsidR="00ED66DB" w:rsidRDefault="00EF556C" w:rsidP="00ED66DB">
      <w:pPr>
        <w:rPr>
          <w:b/>
          <w:bCs/>
        </w:rPr>
      </w:pPr>
      <w:r w:rsidRPr="00EF556C">
        <w:rPr>
          <w:b/>
          <w:bCs/>
          <w:noProof/>
        </w:rPr>
        <w:drawing>
          <wp:inline distT="0" distB="0" distL="0" distR="0" wp14:anchorId="590B65BD" wp14:editId="130D6010">
            <wp:extent cx="5391150" cy="168578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46" r="3151" b="29377"/>
                    <a:stretch/>
                  </pic:blipFill>
                  <pic:spPr bwMode="auto">
                    <a:xfrm>
                      <a:off x="0" y="0"/>
                      <a:ext cx="5393501" cy="1686517"/>
                    </a:xfrm>
                    <a:prstGeom prst="rect">
                      <a:avLst/>
                    </a:prstGeom>
                    <a:ln>
                      <a:noFill/>
                    </a:ln>
                    <a:extLst>
                      <a:ext uri="{53640926-AAD7-44D8-BBD7-CCE9431645EC}">
                        <a14:shadowObscured xmlns:a14="http://schemas.microsoft.com/office/drawing/2010/main"/>
                      </a:ext>
                    </a:extLst>
                  </pic:spPr>
                </pic:pic>
              </a:graphicData>
            </a:graphic>
          </wp:inline>
        </w:drawing>
      </w:r>
    </w:p>
    <w:p w14:paraId="54C7D654" w14:textId="20D255B9" w:rsidR="00EF556C" w:rsidRDefault="00EF556C" w:rsidP="00EF556C">
      <w:pPr>
        <w:pStyle w:val="TableDescription"/>
      </w:pPr>
      <w:r>
        <w:t>a Visit 1 could be conducted over one or more days during Screening Period.</w:t>
      </w:r>
    </w:p>
    <w:p w14:paraId="19A48A77" w14:textId="71AA2568" w:rsidR="00EF556C" w:rsidRDefault="00EF556C" w:rsidP="00EF556C">
      <w:pPr>
        <w:pStyle w:val="TableDescription"/>
      </w:pPr>
      <w:r>
        <w:t xml:space="preserve">b Participant could be admitted to the clinical unit on Day -2 to allow for SARS-CoV-2 </w:t>
      </w:r>
      <w:proofErr w:type="spellStart"/>
      <w:r>
        <w:t>qRT</w:t>
      </w:r>
      <w:proofErr w:type="spellEnd"/>
      <w:r>
        <w:t>-PCR results to be available before dosing on Day 1.</w:t>
      </w:r>
    </w:p>
    <w:p w14:paraId="565AB0B3" w14:textId="2958A632" w:rsidR="00EF556C" w:rsidRDefault="00EF556C" w:rsidP="00EF556C">
      <w:pPr>
        <w:pStyle w:val="TableDescription"/>
      </w:pPr>
      <w:r>
        <w:t xml:space="preserve">c </w:t>
      </w:r>
      <w:proofErr w:type="gramStart"/>
      <w:r>
        <w:t>An</w:t>
      </w:r>
      <w:proofErr w:type="gramEnd"/>
      <w:r>
        <w:t xml:space="preserve"> unscheduled unblinding visit was included when a participant wanted to be unblinded for vaccination purposes outside the visits window. </w:t>
      </w:r>
    </w:p>
    <w:p w14:paraId="2AD3BDCF" w14:textId="1DD1BB87" w:rsidR="00EF556C" w:rsidRPr="00ED66DB" w:rsidRDefault="00EF556C" w:rsidP="00EF556C">
      <w:pPr>
        <w:pStyle w:val="TableDescription"/>
      </w:pPr>
      <w:r>
        <w:t xml:space="preserve">Abbreviation: IM = intramuscular; IV = intravenous; </w:t>
      </w:r>
      <w:proofErr w:type="spellStart"/>
      <w:r>
        <w:t>qRT</w:t>
      </w:r>
      <w:proofErr w:type="spellEnd"/>
      <w:r>
        <w:t>-PCR = quantitative reverse transcriptase polymerase chain reaction; SARS-CoV-2 = severe acute respiratory syndrome coronavirus 2.</w:t>
      </w:r>
    </w:p>
    <w:p w14:paraId="1804F137" w14:textId="0D6CB42D" w:rsidR="00ED66DB" w:rsidRPr="00ED66DB" w:rsidRDefault="00ED66DB" w:rsidP="00ED66DB">
      <w:r w:rsidRPr="00ED66DB">
        <w:t xml:space="preserve">Five cohorts of subjects were included, based on the total dose of </w:t>
      </w:r>
      <w:proofErr w:type="spellStart"/>
      <w:r w:rsidR="00FF55C2" w:rsidRPr="00FF55C2">
        <w:t>Evusheld</w:t>
      </w:r>
      <w:proofErr w:type="spellEnd"/>
      <w:r w:rsidR="00FF55C2">
        <w:t xml:space="preserve"> (</w:t>
      </w:r>
      <w:proofErr w:type="spellStart"/>
      <w:r w:rsidR="00FF55C2">
        <w:t>tixagevimab</w:t>
      </w:r>
      <w:proofErr w:type="spellEnd"/>
      <w:r w:rsidR="00FF55C2">
        <w:t xml:space="preserve"> and </w:t>
      </w:r>
      <w:proofErr w:type="spellStart"/>
      <w:r w:rsidR="00FF55C2">
        <w:t>cilgavimab</w:t>
      </w:r>
      <w:proofErr w:type="spellEnd"/>
      <w:r w:rsidR="00FF55C2">
        <w:t>)</w:t>
      </w:r>
      <w:r w:rsidRPr="00ED66DB">
        <w:t xml:space="preserve">. </w:t>
      </w:r>
      <w:proofErr w:type="spellStart"/>
      <w:r w:rsidR="00FF55C2" w:rsidRPr="00ED66DB">
        <w:t>Evusheld</w:t>
      </w:r>
      <w:proofErr w:type="spellEnd"/>
      <w:r w:rsidR="00FF55C2" w:rsidRPr="00ED66DB">
        <w:t xml:space="preserve"> </w:t>
      </w:r>
      <w:r w:rsidRPr="00ED66DB">
        <w:t>was administered as a combination product of</w:t>
      </w:r>
      <w:r w:rsidR="00FF55C2">
        <w:t xml:space="preserve"> 2 monoclonal antibodies,</w:t>
      </w:r>
      <w:r w:rsidRPr="00ED66DB">
        <w:t xml:space="preserve"> AZD8895</w:t>
      </w:r>
      <w:r w:rsidR="00FF55C2">
        <w:t xml:space="preserve"> (</w:t>
      </w:r>
      <w:proofErr w:type="spellStart"/>
      <w:r w:rsidR="00FF55C2">
        <w:t>tixagevimab</w:t>
      </w:r>
      <w:proofErr w:type="spellEnd"/>
      <w:r w:rsidR="00FF55C2">
        <w:t>)</w:t>
      </w:r>
      <w:r w:rsidR="00BC732F">
        <w:t xml:space="preserve"> </w:t>
      </w:r>
      <w:r w:rsidRPr="00ED66DB">
        <w:t xml:space="preserve">and </w:t>
      </w:r>
      <w:r w:rsidR="00BC732F">
        <w:t xml:space="preserve">AZD1061 </w:t>
      </w:r>
      <w:r w:rsidR="00FF55C2">
        <w:t>(</w:t>
      </w:r>
      <w:proofErr w:type="spellStart"/>
      <w:r w:rsidR="00FF55C2">
        <w:t>cilgavimab</w:t>
      </w:r>
      <w:proofErr w:type="spellEnd"/>
      <w:r w:rsidR="00FF55C2">
        <w:t>)</w:t>
      </w:r>
      <w:r w:rsidRPr="00ED66DB">
        <w:t>.</w:t>
      </w:r>
    </w:p>
    <w:p w14:paraId="10A68D85" w14:textId="77777777" w:rsidR="00ED66DB" w:rsidRPr="00ED66DB" w:rsidRDefault="00ED66DB" w:rsidP="00ED66DB">
      <w:r w:rsidRPr="00ED66DB">
        <w:lastRenderedPageBreak/>
        <w:t xml:space="preserve">Doses of </w:t>
      </w:r>
      <w:proofErr w:type="spellStart"/>
      <w:r w:rsidR="00BC732F" w:rsidRPr="00ED66DB">
        <w:t>Evusheld</w:t>
      </w:r>
      <w:proofErr w:type="spellEnd"/>
      <w:r w:rsidR="00BC732F" w:rsidRPr="00ED66DB">
        <w:t xml:space="preserve"> </w:t>
      </w:r>
      <w:r w:rsidRPr="00ED66DB">
        <w:t xml:space="preserve">were defined as the total </w:t>
      </w:r>
      <w:r w:rsidR="00BC732F">
        <w:t>monoclonal antibody</w:t>
      </w:r>
      <w:r w:rsidRPr="00ED66DB">
        <w:t xml:space="preserve"> dose administered, </w:t>
      </w:r>
      <w:r w:rsidR="00BC732F">
        <w:t>for example,</w:t>
      </w:r>
      <w:r w:rsidRPr="00ED66DB">
        <w:t xml:space="preserve"> </w:t>
      </w:r>
      <w:proofErr w:type="spellStart"/>
      <w:r w:rsidR="00BC732F">
        <w:t>Evusheld</w:t>
      </w:r>
      <w:proofErr w:type="spellEnd"/>
      <w:r w:rsidR="00BC732F" w:rsidRPr="00ED66DB">
        <w:t xml:space="preserve"> </w:t>
      </w:r>
      <w:r w:rsidRPr="00ED66DB">
        <w:t>300 mg = AZD8895</w:t>
      </w:r>
      <w:r w:rsidR="00BC732F">
        <w:t xml:space="preserve"> (</w:t>
      </w:r>
      <w:proofErr w:type="spellStart"/>
      <w:r w:rsidR="00BC732F">
        <w:t>tixagevimab</w:t>
      </w:r>
      <w:proofErr w:type="spellEnd"/>
      <w:r w:rsidR="00BC732F">
        <w:t>)</w:t>
      </w:r>
      <w:r w:rsidRPr="00ED66DB">
        <w:t xml:space="preserve"> 150 mg + AZD1061</w:t>
      </w:r>
      <w:r w:rsidR="00BC732F">
        <w:t xml:space="preserve"> (</w:t>
      </w:r>
      <w:proofErr w:type="spellStart"/>
      <w:r w:rsidR="00BC732F">
        <w:t>cilgavimab</w:t>
      </w:r>
      <w:proofErr w:type="spellEnd"/>
      <w:r w:rsidR="00BC732F">
        <w:t>) 150 </w:t>
      </w:r>
      <w:r w:rsidRPr="00ED66DB">
        <w:t>mg, which were administered sequentially.</w:t>
      </w:r>
    </w:p>
    <w:p w14:paraId="608FE62E" w14:textId="483EFEC1" w:rsidR="00BC732F" w:rsidRDefault="00BC732F" w:rsidP="00BC732F">
      <w:pPr>
        <w:pStyle w:val="TableTitle"/>
      </w:pPr>
      <w:r>
        <w:t xml:space="preserve">Table </w:t>
      </w:r>
      <w:r>
        <w:fldChar w:fldCharType="begin"/>
      </w:r>
      <w:r>
        <w:instrText>SEQ Table \* ARABIC</w:instrText>
      </w:r>
      <w:r>
        <w:fldChar w:fldCharType="separate"/>
      </w:r>
      <w:r w:rsidR="004D0A2C">
        <w:rPr>
          <w:noProof/>
        </w:rPr>
        <w:t>5</w:t>
      </w:r>
      <w:r>
        <w:fldChar w:fldCharType="end"/>
      </w:r>
      <w:r>
        <w:t xml:space="preserve">: Study </w:t>
      </w:r>
      <w:r w:rsidRPr="00BC732F">
        <w:rPr>
          <w:bCs/>
        </w:rPr>
        <w:t>D8850C00001</w:t>
      </w:r>
      <w:r>
        <w:rPr>
          <w:bCs/>
        </w:rPr>
        <w:t xml:space="preserve"> Cohort descriptions</w:t>
      </w:r>
    </w:p>
    <w:tbl>
      <w:tblPr>
        <w:tblStyle w:val="TableTGAblue"/>
        <w:tblW w:w="0" w:type="auto"/>
        <w:tblLook w:val="04A0" w:firstRow="1" w:lastRow="0" w:firstColumn="1" w:lastColumn="0" w:noHBand="0" w:noVBand="1"/>
      </w:tblPr>
      <w:tblGrid>
        <w:gridCol w:w="1261"/>
        <w:gridCol w:w="7223"/>
      </w:tblGrid>
      <w:tr w:rsidR="00BC732F" w:rsidRPr="00ED66DB" w14:paraId="6A8BB862" w14:textId="77777777" w:rsidTr="00BC732F">
        <w:trPr>
          <w:cnfStyle w:val="100000000000" w:firstRow="1" w:lastRow="0" w:firstColumn="0" w:lastColumn="0" w:oddVBand="0" w:evenVBand="0" w:oddHBand="0" w:evenHBand="0" w:firstRowFirstColumn="0" w:firstRowLastColumn="0" w:lastRowFirstColumn="0" w:lastRowLastColumn="0"/>
        </w:trPr>
        <w:tc>
          <w:tcPr>
            <w:tcW w:w="1270" w:type="dxa"/>
          </w:tcPr>
          <w:p w14:paraId="0B7E5BC4" w14:textId="77777777" w:rsidR="00BC732F" w:rsidRPr="00ED66DB" w:rsidRDefault="00BC732F" w:rsidP="00BC732F">
            <w:pPr>
              <w:ind w:left="0"/>
            </w:pPr>
            <w:r>
              <w:t>Cohort</w:t>
            </w:r>
          </w:p>
        </w:tc>
        <w:tc>
          <w:tcPr>
            <w:tcW w:w="7450" w:type="dxa"/>
          </w:tcPr>
          <w:p w14:paraId="099314A5" w14:textId="77777777" w:rsidR="00BC732F" w:rsidRPr="00BC732F" w:rsidRDefault="00BC732F" w:rsidP="00ED66DB">
            <w:pPr>
              <w:rPr>
                <w:bCs/>
              </w:rPr>
            </w:pPr>
            <w:r w:rsidRPr="00BC732F">
              <w:rPr>
                <w:bCs/>
              </w:rPr>
              <w:t>Description</w:t>
            </w:r>
          </w:p>
        </w:tc>
      </w:tr>
      <w:tr w:rsidR="00ED66DB" w:rsidRPr="00ED66DB" w14:paraId="7F6D6D8B" w14:textId="77777777" w:rsidTr="00BC732F">
        <w:tc>
          <w:tcPr>
            <w:tcW w:w="1270" w:type="dxa"/>
          </w:tcPr>
          <w:p w14:paraId="0D2D7B85" w14:textId="77777777" w:rsidR="00ED66DB" w:rsidRPr="00ED66DB" w:rsidRDefault="00ED66DB" w:rsidP="00BC732F">
            <w:pPr>
              <w:ind w:left="0"/>
              <w:rPr>
                <w:szCs w:val="22"/>
                <w:lang w:eastAsia="en-US"/>
              </w:rPr>
            </w:pPr>
            <w:r w:rsidRPr="00ED66DB">
              <w:rPr>
                <w:szCs w:val="22"/>
                <w:lang w:eastAsia="en-US"/>
              </w:rPr>
              <w:t>Cohort 1a</w:t>
            </w:r>
          </w:p>
        </w:tc>
        <w:tc>
          <w:tcPr>
            <w:tcW w:w="7450" w:type="dxa"/>
          </w:tcPr>
          <w:p w14:paraId="24E850B8" w14:textId="77777777" w:rsidR="00ED66DB" w:rsidRPr="00BC732F" w:rsidRDefault="00ED66DB" w:rsidP="00ED66DB">
            <w:pPr>
              <w:rPr>
                <w:szCs w:val="22"/>
                <w:lang w:eastAsia="en-US"/>
              </w:rPr>
            </w:pPr>
            <w:r w:rsidRPr="00BC732F">
              <w:rPr>
                <w:bCs/>
                <w:szCs w:val="22"/>
                <w:lang w:eastAsia="en-US"/>
              </w:rPr>
              <w:t>300</w:t>
            </w:r>
            <w:r w:rsidR="00BC732F">
              <w:rPr>
                <w:bCs/>
                <w:szCs w:val="22"/>
                <w:lang w:eastAsia="en-US"/>
              </w:rPr>
              <w:t xml:space="preserve"> </w:t>
            </w:r>
            <w:r w:rsidRPr="00BC732F">
              <w:rPr>
                <w:bCs/>
                <w:szCs w:val="22"/>
                <w:lang w:eastAsia="en-US"/>
              </w:rPr>
              <w:t>mg</w:t>
            </w:r>
            <w:r w:rsidRPr="00BC732F">
              <w:rPr>
                <w:szCs w:val="22"/>
                <w:lang w:eastAsia="en-US"/>
              </w:rPr>
              <w:t xml:space="preserve"> of </w:t>
            </w:r>
            <w:proofErr w:type="spellStart"/>
            <w:r w:rsidR="00BC732F">
              <w:t>Evusheld</w:t>
            </w:r>
            <w:proofErr w:type="spellEnd"/>
            <w:r w:rsidR="00BC732F">
              <w:t xml:space="preserve"> </w:t>
            </w:r>
            <w:r w:rsidRPr="00BC732F">
              <w:rPr>
                <w:szCs w:val="22"/>
                <w:lang w:eastAsia="en-US"/>
              </w:rPr>
              <w:t xml:space="preserve">or placebo administered as two sequential </w:t>
            </w:r>
            <w:r w:rsidR="00BC732F">
              <w:rPr>
                <w:bCs/>
                <w:szCs w:val="22"/>
                <w:lang w:eastAsia="en-US"/>
              </w:rPr>
              <w:t>intramuscular</w:t>
            </w:r>
            <w:r w:rsidRPr="00BC732F">
              <w:rPr>
                <w:szCs w:val="22"/>
                <w:lang w:eastAsia="en-US"/>
              </w:rPr>
              <w:t xml:space="preserve"> injections: 150mg AZD8895/placebo, followed by 150</w:t>
            </w:r>
            <w:r w:rsidR="00BC732F">
              <w:rPr>
                <w:szCs w:val="22"/>
                <w:lang w:eastAsia="en-US"/>
              </w:rPr>
              <w:t xml:space="preserve"> </w:t>
            </w:r>
            <w:r w:rsidRPr="00BC732F">
              <w:rPr>
                <w:szCs w:val="22"/>
                <w:lang w:eastAsia="en-US"/>
              </w:rPr>
              <w:t>mg AZD1061/placebo</w:t>
            </w:r>
          </w:p>
        </w:tc>
      </w:tr>
      <w:tr w:rsidR="00ED66DB" w:rsidRPr="00ED66DB" w14:paraId="3ABF1A0F" w14:textId="77777777" w:rsidTr="00BC732F">
        <w:tc>
          <w:tcPr>
            <w:tcW w:w="1270" w:type="dxa"/>
          </w:tcPr>
          <w:p w14:paraId="2410715F" w14:textId="77777777" w:rsidR="00ED66DB" w:rsidRPr="00ED66DB" w:rsidRDefault="00ED66DB" w:rsidP="00BC732F">
            <w:pPr>
              <w:ind w:left="0"/>
              <w:rPr>
                <w:szCs w:val="22"/>
                <w:lang w:eastAsia="en-US"/>
              </w:rPr>
            </w:pPr>
            <w:r w:rsidRPr="00ED66DB">
              <w:rPr>
                <w:szCs w:val="22"/>
                <w:lang w:eastAsia="en-US"/>
              </w:rPr>
              <w:t>Cohort 1b</w:t>
            </w:r>
          </w:p>
        </w:tc>
        <w:tc>
          <w:tcPr>
            <w:tcW w:w="7450" w:type="dxa"/>
          </w:tcPr>
          <w:p w14:paraId="25DA175D" w14:textId="77777777" w:rsidR="00ED66DB" w:rsidRPr="00BC732F" w:rsidRDefault="00ED66DB" w:rsidP="00ED66DB">
            <w:pPr>
              <w:rPr>
                <w:szCs w:val="22"/>
                <w:lang w:eastAsia="en-US"/>
              </w:rPr>
            </w:pPr>
            <w:r w:rsidRPr="00BC732F">
              <w:rPr>
                <w:bCs/>
                <w:szCs w:val="22"/>
                <w:lang w:eastAsia="en-US"/>
              </w:rPr>
              <w:t>300</w:t>
            </w:r>
            <w:r w:rsidR="00BC732F">
              <w:rPr>
                <w:bCs/>
                <w:szCs w:val="22"/>
                <w:lang w:eastAsia="en-US"/>
              </w:rPr>
              <w:t xml:space="preserve"> </w:t>
            </w:r>
            <w:r w:rsidRPr="00BC732F">
              <w:rPr>
                <w:bCs/>
                <w:szCs w:val="22"/>
                <w:lang w:eastAsia="en-US"/>
              </w:rPr>
              <w:t>mg</w:t>
            </w:r>
            <w:r w:rsidRPr="00BC732F">
              <w:rPr>
                <w:szCs w:val="22"/>
                <w:lang w:eastAsia="en-US"/>
              </w:rPr>
              <w:t xml:space="preserve"> of </w:t>
            </w:r>
            <w:proofErr w:type="spellStart"/>
            <w:r w:rsidR="00BC732F">
              <w:t>Evusheld</w:t>
            </w:r>
            <w:proofErr w:type="spellEnd"/>
            <w:r w:rsidR="00BC732F">
              <w:t xml:space="preserve"> </w:t>
            </w:r>
            <w:r w:rsidRPr="00BC732F">
              <w:rPr>
                <w:szCs w:val="22"/>
                <w:lang w:eastAsia="en-US"/>
              </w:rPr>
              <w:t xml:space="preserve">or placebo administered as two sequential </w:t>
            </w:r>
            <w:r w:rsidR="00BC732F">
              <w:rPr>
                <w:bCs/>
                <w:szCs w:val="22"/>
                <w:lang w:eastAsia="en-US"/>
              </w:rPr>
              <w:t>intravenous</w:t>
            </w:r>
            <w:r w:rsidRPr="00BC732F">
              <w:rPr>
                <w:szCs w:val="22"/>
                <w:lang w:eastAsia="en-US"/>
              </w:rPr>
              <w:t xml:space="preserve"> infusions at a maximal infusion rate of 20 mg/minute, starting with 150 mg AZD8895/placebo and followed by 150 mg AZD1061/placebo</w:t>
            </w:r>
          </w:p>
        </w:tc>
      </w:tr>
      <w:tr w:rsidR="00ED66DB" w:rsidRPr="00ED66DB" w14:paraId="2F5DC623" w14:textId="77777777" w:rsidTr="00BC732F">
        <w:tc>
          <w:tcPr>
            <w:tcW w:w="1270" w:type="dxa"/>
          </w:tcPr>
          <w:p w14:paraId="50579208" w14:textId="77777777" w:rsidR="00ED66DB" w:rsidRPr="00ED66DB" w:rsidRDefault="00ED66DB" w:rsidP="00BC732F">
            <w:pPr>
              <w:ind w:left="0"/>
              <w:rPr>
                <w:szCs w:val="22"/>
                <w:lang w:eastAsia="en-US"/>
              </w:rPr>
            </w:pPr>
            <w:r w:rsidRPr="00ED66DB">
              <w:rPr>
                <w:szCs w:val="22"/>
                <w:lang w:eastAsia="en-US"/>
              </w:rPr>
              <w:t>Cohort 2</w:t>
            </w:r>
          </w:p>
        </w:tc>
        <w:tc>
          <w:tcPr>
            <w:tcW w:w="7450" w:type="dxa"/>
          </w:tcPr>
          <w:p w14:paraId="4A8A1BEA" w14:textId="77777777" w:rsidR="00ED66DB" w:rsidRPr="00BC732F" w:rsidRDefault="00ED66DB" w:rsidP="00ED66DB">
            <w:pPr>
              <w:rPr>
                <w:szCs w:val="22"/>
                <w:lang w:eastAsia="en-US"/>
              </w:rPr>
            </w:pPr>
            <w:r w:rsidRPr="00BC732F">
              <w:rPr>
                <w:bCs/>
                <w:szCs w:val="22"/>
                <w:lang w:eastAsia="en-US"/>
              </w:rPr>
              <w:t>1000</w:t>
            </w:r>
            <w:r w:rsidR="00BC732F">
              <w:rPr>
                <w:bCs/>
                <w:szCs w:val="22"/>
                <w:lang w:eastAsia="en-US"/>
              </w:rPr>
              <w:t xml:space="preserve"> </w:t>
            </w:r>
            <w:r w:rsidRPr="00BC732F">
              <w:rPr>
                <w:bCs/>
                <w:szCs w:val="22"/>
                <w:lang w:eastAsia="en-US"/>
              </w:rPr>
              <w:t>mg</w:t>
            </w:r>
            <w:r w:rsidRPr="00BC732F">
              <w:rPr>
                <w:szCs w:val="22"/>
                <w:lang w:eastAsia="en-US"/>
              </w:rPr>
              <w:t xml:space="preserve"> of </w:t>
            </w:r>
            <w:proofErr w:type="spellStart"/>
            <w:r w:rsidR="00BC732F">
              <w:t>Evusheld</w:t>
            </w:r>
            <w:proofErr w:type="spellEnd"/>
            <w:r w:rsidR="00BC732F">
              <w:t xml:space="preserve"> </w:t>
            </w:r>
            <w:r w:rsidRPr="00BC732F">
              <w:rPr>
                <w:szCs w:val="22"/>
                <w:lang w:eastAsia="en-US"/>
              </w:rPr>
              <w:t xml:space="preserve">or placebo administered as two sequential </w:t>
            </w:r>
            <w:r w:rsidR="00BC732F">
              <w:rPr>
                <w:bCs/>
                <w:szCs w:val="22"/>
                <w:lang w:eastAsia="en-US"/>
              </w:rPr>
              <w:t>intravenous</w:t>
            </w:r>
            <w:r w:rsidRPr="00BC732F">
              <w:rPr>
                <w:szCs w:val="22"/>
                <w:lang w:eastAsia="en-US"/>
              </w:rPr>
              <w:t xml:space="preserve"> infusions at a maximal infusion rate of 20 mg/minute, starting with 500 mg AZD8895/placebo and followed by 500 mg AZD1061/placebo</w:t>
            </w:r>
          </w:p>
        </w:tc>
      </w:tr>
      <w:tr w:rsidR="00ED66DB" w:rsidRPr="00ED66DB" w14:paraId="72F1C617" w14:textId="77777777" w:rsidTr="00BC732F">
        <w:tc>
          <w:tcPr>
            <w:tcW w:w="1270" w:type="dxa"/>
          </w:tcPr>
          <w:p w14:paraId="3B86F64C" w14:textId="77777777" w:rsidR="00ED66DB" w:rsidRPr="00ED66DB" w:rsidRDefault="00ED66DB" w:rsidP="00BC732F">
            <w:pPr>
              <w:ind w:left="0"/>
              <w:rPr>
                <w:szCs w:val="22"/>
                <w:lang w:eastAsia="en-US"/>
              </w:rPr>
            </w:pPr>
            <w:r w:rsidRPr="00ED66DB">
              <w:rPr>
                <w:szCs w:val="22"/>
                <w:lang w:eastAsia="en-US"/>
              </w:rPr>
              <w:t>Cohort 3</w:t>
            </w:r>
          </w:p>
        </w:tc>
        <w:tc>
          <w:tcPr>
            <w:tcW w:w="7450" w:type="dxa"/>
          </w:tcPr>
          <w:p w14:paraId="43A38352" w14:textId="79F762DA" w:rsidR="00ED66DB" w:rsidRPr="00BC732F" w:rsidRDefault="00ED66DB" w:rsidP="00ED66DB">
            <w:pPr>
              <w:rPr>
                <w:lang w:eastAsia="en-US"/>
              </w:rPr>
            </w:pPr>
            <w:r w:rsidRPr="3B045D68">
              <w:rPr>
                <w:lang w:eastAsia="en-US"/>
              </w:rPr>
              <w:t>3000</w:t>
            </w:r>
            <w:r w:rsidR="00BC732F" w:rsidRPr="3B045D68">
              <w:rPr>
                <w:lang w:eastAsia="en-US"/>
              </w:rPr>
              <w:t xml:space="preserve"> </w:t>
            </w:r>
            <w:r w:rsidRPr="3B045D68">
              <w:rPr>
                <w:lang w:eastAsia="en-US"/>
              </w:rPr>
              <w:t xml:space="preserve">mg of </w:t>
            </w:r>
            <w:proofErr w:type="spellStart"/>
            <w:r w:rsidR="00BC732F">
              <w:t>Evusheld</w:t>
            </w:r>
            <w:proofErr w:type="spellEnd"/>
            <w:r w:rsidR="001B155B">
              <w:t xml:space="preserve"> </w:t>
            </w:r>
            <w:r w:rsidRPr="3B045D68">
              <w:rPr>
                <w:lang w:eastAsia="en-US"/>
              </w:rPr>
              <w:t xml:space="preserve">or placebo administered as two sequential </w:t>
            </w:r>
            <w:r w:rsidR="00BC732F" w:rsidRPr="3B045D68">
              <w:rPr>
                <w:lang w:eastAsia="en-US"/>
              </w:rPr>
              <w:t>intravenous</w:t>
            </w:r>
            <w:r w:rsidRPr="3B045D68">
              <w:rPr>
                <w:lang w:eastAsia="en-US"/>
              </w:rPr>
              <w:t xml:space="preserve"> infusions at a maximal infusion rate of 20 mg/minute, starting with 1500 mg AZD8895/placebo and followed by 1500 mg AZD1061/placebo</w:t>
            </w:r>
          </w:p>
        </w:tc>
      </w:tr>
      <w:tr w:rsidR="00ED66DB" w:rsidRPr="00ED66DB" w14:paraId="460577A3" w14:textId="77777777" w:rsidTr="00BC732F">
        <w:tc>
          <w:tcPr>
            <w:tcW w:w="1270" w:type="dxa"/>
          </w:tcPr>
          <w:p w14:paraId="40495060" w14:textId="77777777" w:rsidR="00ED66DB" w:rsidRPr="00ED66DB" w:rsidRDefault="00ED66DB" w:rsidP="00BC732F">
            <w:pPr>
              <w:ind w:left="0"/>
              <w:rPr>
                <w:szCs w:val="22"/>
                <w:lang w:eastAsia="en-US"/>
              </w:rPr>
            </w:pPr>
            <w:r w:rsidRPr="00ED66DB">
              <w:rPr>
                <w:szCs w:val="22"/>
                <w:lang w:eastAsia="en-US"/>
              </w:rPr>
              <w:t>Cohort 4</w:t>
            </w:r>
          </w:p>
        </w:tc>
        <w:tc>
          <w:tcPr>
            <w:tcW w:w="7450" w:type="dxa"/>
          </w:tcPr>
          <w:p w14:paraId="579D3BA1" w14:textId="77777777" w:rsidR="00ED66DB" w:rsidRPr="00BC732F" w:rsidRDefault="00ED66DB" w:rsidP="00ED66DB">
            <w:pPr>
              <w:rPr>
                <w:szCs w:val="22"/>
                <w:lang w:eastAsia="en-US"/>
              </w:rPr>
            </w:pPr>
            <w:r w:rsidRPr="00BC732F">
              <w:rPr>
                <w:bCs/>
                <w:szCs w:val="22"/>
                <w:lang w:eastAsia="en-US"/>
              </w:rPr>
              <w:t>3000mg</w:t>
            </w:r>
            <w:r w:rsidRPr="00BC732F">
              <w:rPr>
                <w:szCs w:val="22"/>
                <w:lang w:eastAsia="en-US"/>
              </w:rPr>
              <w:t xml:space="preserve"> of </w:t>
            </w:r>
            <w:proofErr w:type="spellStart"/>
            <w:r w:rsidR="00BC732F">
              <w:t>Evusheld</w:t>
            </w:r>
            <w:proofErr w:type="spellEnd"/>
            <w:r w:rsidR="00BC732F">
              <w:t xml:space="preserve"> </w:t>
            </w:r>
            <w:r w:rsidRPr="00BC732F">
              <w:rPr>
                <w:szCs w:val="22"/>
                <w:lang w:eastAsia="en-US"/>
              </w:rPr>
              <w:t xml:space="preserve">or placebo administered as a single </w:t>
            </w:r>
            <w:r w:rsidRPr="00BC732F">
              <w:rPr>
                <w:bCs/>
                <w:szCs w:val="22"/>
                <w:lang w:eastAsia="en-US"/>
              </w:rPr>
              <w:t>IV</w:t>
            </w:r>
            <w:r w:rsidRPr="00BC732F">
              <w:rPr>
                <w:szCs w:val="22"/>
                <w:lang w:eastAsia="en-US"/>
              </w:rPr>
              <w:t xml:space="preserve"> infusion (containing bo</w:t>
            </w:r>
            <w:r w:rsidR="00BC732F">
              <w:rPr>
                <w:szCs w:val="22"/>
                <w:lang w:eastAsia="en-US"/>
              </w:rPr>
              <w:t>th monoclonal antibodies (</w:t>
            </w:r>
            <w:r w:rsidRPr="00BC732F">
              <w:rPr>
                <w:szCs w:val="22"/>
                <w:lang w:eastAsia="en-US"/>
              </w:rPr>
              <w:t>1500</w:t>
            </w:r>
            <w:r w:rsidR="00BC732F">
              <w:rPr>
                <w:szCs w:val="22"/>
                <w:lang w:eastAsia="en-US"/>
              </w:rPr>
              <w:t xml:space="preserve"> mg of each)</w:t>
            </w:r>
            <w:r w:rsidRPr="00BC732F">
              <w:rPr>
                <w:szCs w:val="22"/>
                <w:lang w:eastAsia="en-US"/>
              </w:rPr>
              <w:t>) at a maximal infusion rate of 50</w:t>
            </w:r>
            <w:r w:rsidR="00BC732F">
              <w:rPr>
                <w:szCs w:val="22"/>
                <w:lang w:eastAsia="en-US"/>
              </w:rPr>
              <w:t xml:space="preserve"> </w:t>
            </w:r>
            <w:r w:rsidRPr="00BC732F">
              <w:rPr>
                <w:szCs w:val="22"/>
                <w:lang w:eastAsia="en-US"/>
              </w:rPr>
              <w:t>mg/min</w:t>
            </w:r>
          </w:p>
        </w:tc>
      </w:tr>
    </w:tbl>
    <w:p w14:paraId="5ACB947C" w14:textId="77777777" w:rsidR="00ED66DB" w:rsidRPr="00ED66DB" w:rsidRDefault="00ED66DB" w:rsidP="00ED66DB">
      <w:r w:rsidRPr="00ED66DB">
        <w:t xml:space="preserve">Study treatment was a single dose of </w:t>
      </w:r>
      <w:proofErr w:type="spellStart"/>
      <w:r w:rsidR="00BC732F" w:rsidRPr="00ED66DB">
        <w:t>Evusheld</w:t>
      </w:r>
      <w:proofErr w:type="spellEnd"/>
      <w:r w:rsidRPr="00ED66DB">
        <w:t>/placebo, followed</w:t>
      </w:r>
      <w:r w:rsidR="00BC732F">
        <w:t xml:space="preserve"> by a 360-day safety follow up.</w:t>
      </w:r>
    </w:p>
    <w:p w14:paraId="4F0C44F1" w14:textId="77777777" w:rsidR="00ED66DB" w:rsidRPr="00ED66DB" w:rsidRDefault="00ED66DB" w:rsidP="00ED66DB">
      <w:r w:rsidRPr="00ED66DB">
        <w:t xml:space="preserve">60 subjects were enrolled, with 12 subjects in each cohort (10 randomised to </w:t>
      </w:r>
      <w:proofErr w:type="spellStart"/>
      <w:r w:rsidR="00BC732F">
        <w:t>Evusheld</w:t>
      </w:r>
      <w:proofErr w:type="spellEnd"/>
      <w:r w:rsidR="00BC732F">
        <w:t xml:space="preserve"> </w:t>
      </w:r>
      <w:r w:rsidR="00B90C21">
        <w:t>and 2 </w:t>
      </w:r>
      <w:r w:rsidRPr="00ED66DB">
        <w:t xml:space="preserve">randomised to placebo). At data cut-off, one subject </w:t>
      </w:r>
      <w:proofErr w:type="gramStart"/>
      <w:r w:rsidRPr="00ED66DB">
        <w:t>withdrew</w:t>
      </w:r>
      <w:proofErr w:type="gramEnd"/>
      <w:r w:rsidRPr="00ED66DB">
        <w:t xml:space="preserve"> and the rest were in the follow-up period. </w:t>
      </w:r>
    </w:p>
    <w:p w14:paraId="24BDC0F9" w14:textId="77777777" w:rsidR="00ED66DB" w:rsidRPr="00ED66DB" w:rsidRDefault="00BC732F" w:rsidP="00ED66DB">
      <w:r>
        <w:rPr>
          <w:bCs/>
        </w:rPr>
        <w:t>The p</w:t>
      </w:r>
      <w:r w:rsidR="00ED66DB" w:rsidRPr="00BC732F">
        <w:rPr>
          <w:bCs/>
        </w:rPr>
        <w:t>rimary objective</w:t>
      </w:r>
      <w:r>
        <w:t xml:space="preserve"> was t</w:t>
      </w:r>
      <w:r w:rsidR="00ED66DB" w:rsidRPr="00ED66DB">
        <w:t xml:space="preserve">o evaluate safety and tolerability of </w:t>
      </w:r>
      <w:proofErr w:type="spellStart"/>
      <w:r>
        <w:t>Evusheld</w:t>
      </w:r>
      <w:proofErr w:type="spellEnd"/>
      <w:r>
        <w:t xml:space="preserve"> </w:t>
      </w:r>
      <w:r w:rsidR="00ED66DB" w:rsidRPr="00ED66DB">
        <w:t>administered</w:t>
      </w:r>
      <w:r>
        <w:t xml:space="preserve"> intravenously or intramuscularly</w:t>
      </w:r>
      <w:r w:rsidR="00ED66DB" w:rsidRPr="00ED66DB">
        <w:t xml:space="preserve"> to healthy adults.</w:t>
      </w:r>
    </w:p>
    <w:p w14:paraId="1EA0C7C2" w14:textId="77777777" w:rsidR="00ED66DB" w:rsidRPr="00ED66DB" w:rsidRDefault="00BC732F" w:rsidP="00ED66DB">
      <w:r w:rsidRPr="00BC732F">
        <w:rPr>
          <w:bCs/>
        </w:rPr>
        <w:t>The s</w:t>
      </w:r>
      <w:r w:rsidR="00ED66DB" w:rsidRPr="00BC732F">
        <w:rPr>
          <w:bCs/>
        </w:rPr>
        <w:t>econdary objectives</w:t>
      </w:r>
      <w:r>
        <w:t xml:space="preserve"> were t</w:t>
      </w:r>
      <w:r w:rsidR="00ED66DB" w:rsidRPr="00ED66DB">
        <w:t>o evaluate single dos</w:t>
      </w:r>
      <w:r>
        <w:t>e pharmacokinetics</w:t>
      </w:r>
      <w:r w:rsidR="00ED66DB" w:rsidRPr="00ED66DB">
        <w:t xml:space="preserve"> of </w:t>
      </w:r>
      <w:proofErr w:type="spellStart"/>
      <w:r>
        <w:t>Evusheld</w:t>
      </w:r>
      <w:proofErr w:type="spellEnd"/>
      <w:r>
        <w:t xml:space="preserve">; and to evaluate anti-drug antibody </w:t>
      </w:r>
      <w:r w:rsidR="00ED66DB" w:rsidRPr="00ED66DB">
        <w:t xml:space="preserve">responses to </w:t>
      </w:r>
      <w:proofErr w:type="spellStart"/>
      <w:r w:rsidRPr="00ED66DB">
        <w:t>Evusheld</w:t>
      </w:r>
      <w:proofErr w:type="spellEnd"/>
      <w:r w:rsidR="00ED66DB" w:rsidRPr="00ED66DB">
        <w:t>.</w:t>
      </w:r>
    </w:p>
    <w:p w14:paraId="191C12E7" w14:textId="77777777" w:rsidR="00ED66DB" w:rsidRPr="00ED66DB" w:rsidRDefault="00BC732F" w:rsidP="00ED66DB">
      <w:r>
        <w:t>The e</w:t>
      </w:r>
      <w:r w:rsidR="00ED66DB" w:rsidRPr="00BC732F">
        <w:t>xploratory objectives</w:t>
      </w:r>
      <w:r>
        <w:t xml:space="preserve"> were t</w:t>
      </w:r>
      <w:r w:rsidR="00ED66DB" w:rsidRPr="00ED66DB">
        <w:t xml:space="preserve">o evaluate single dose </w:t>
      </w:r>
      <w:r>
        <w:t>pharmacokinetics</w:t>
      </w:r>
      <w:r w:rsidR="00ED66DB" w:rsidRPr="00ED66DB">
        <w:t xml:space="preserve"> of </w:t>
      </w:r>
      <w:proofErr w:type="spellStart"/>
      <w:r>
        <w:t>Evusheld</w:t>
      </w:r>
      <w:proofErr w:type="spellEnd"/>
      <w:r>
        <w:t xml:space="preserve"> in nasal fluid; and t</w:t>
      </w:r>
      <w:r w:rsidR="00ED66DB" w:rsidRPr="00ED66DB">
        <w:t xml:space="preserve">o evaluate the functional inhibition of SARS-CoV-2 by </w:t>
      </w:r>
      <w:proofErr w:type="spellStart"/>
      <w:r>
        <w:t>Evusheld</w:t>
      </w:r>
      <w:proofErr w:type="spellEnd"/>
      <w:r w:rsidR="00B90C21">
        <w:t xml:space="preserve"> </w:t>
      </w:r>
      <w:r w:rsidR="00ED66DB" w:rsidRPr="00ED66DB">
        <w:t>concentrations in serum.</w:t>
      </w:r>
    </w:p>
    <w:p w14:paraId="650DEEF3" w14:textId="77777777" w:rsidR="00ED66DB" w:rsidRPr="00BC732F" w:rsidRDefault="00ED66DB" w:rsidP="00ED66DB">
      <w:pPr>
        <w:rPr>
          <w:bCs/>
        </w:rPr>
      </w:pPr>
      <w:r w:rsidRPr="00BC732F">
        <w:rPr>
          <w:bCs/>
        </w:rPr>
        <w:t>Inclusion criteria</w:t>
      </w:r>
      <w:r w:rsidR="00BC732F" w:rsidRPr="00BC732F">
        <w:rPr>
          <w:bCs/>
        </w:rPr>
        <w:t xml:space="preserve"> were:</w:t>
      </w:r>
    </w:p>
    <w:p w14:paraId="6294C19B" w14:textId="77777777" w:rsidR="00ED66DB" w:rsidRPr="00BC732F" w:rsidRDefault="00ED66DB" w:rsidP="008D0CFC">
      <w:pPr>
        <w:pStyle w:val="ListBullet"/>
      </w:pPr>
      <w:r w:rsidRPr="00BC732F">
        <w:t xml:space="preserve">Adults aged 18 through 55 years with negative SARS-CoV-2 </w:t>
      </w:r>
      <w:proofErr w:type="spellStart"/>
      <w:r w:rsidRPr="00BC732F">
        <w:t>qRT</w:t>
      </w:r>
      <w:proofErr w:type="spellEnd"/>
      <w:r w:rsidRPr="00BC732F">
        <w:t>-PCR and/or serology tests.</w:t>
      </w:r>
    </w:p>
    <w:p w14:paraId="7FD455A2" w14:textId="77777777" w:rsidR="00ED66DB" w:rsidRPr="00BC732F" w:rsidRDefault="00B90C21" w:rsidP="008D0CFC">
      <w:pPr>
        <w:pStyle w:val="ListBullet"/>
      </w:pPr>
      <w:r>
        <w:t>Weight ≥ 50 kg and ≤ 110 kg.</w:t>
      </w:r>
    </w:p>
    <w:p w14:paraId="0FE63180" w14:textId="77777777" w:rsidR="00ED66DB" w:rsidRPr="00BC732F" w:rsidRDefault="00ED66DB" w:rsidP="00ED66DB">
      <w:pPr>
        <w:rPr>
          <w:bCs/>
        </w:rPr>
      </w:pPr>
      <w:r w:rsidRPr="00BC732F">
        <w:rPr>
          <w:bCs/>
        </w:rPr>
        <w:t>Exclusion criteria</w:t>
      </w:r>
      <w:r w:rsidR="00B90C21">
        <w:rPr>
          <w:bCs/>
        </w:rPr>
        <w:t xml:space="preserve"> were:</w:t>
      </w:r>
    </w:p>
    <w:p w14:paraId="0D05A28B" w14:textId="77777777" w:rsidR="00ED66DB" w:rsidRPr="00ED66DB" w:rsidRDefault="00ED66DB" w:rsidP="008D0CFC">
      <w:pPr>
        <w:pStyle w:val="ListBullet"/>
      </w:pPr>
      <w:r w:rsidRPr="00ED66DB">
        <w:t>Participants with any confirmed current or previous CO</w:t>
      </w:r>
      <w:r w:rsidR="008D0CFC">
        <w:t>VID-19 infection before randomis</w:t>
      </w:r>
      <w:r w:rsidRPr="00ED66DB">
        <w:t>ation.</w:t>
      </w:r>
    </w:p>
    <w:p w14:paraId="2C3953F6" w14:textId="77777777" w:rsidR="00ED66DB" w:rsidRPr="00ED66DB" w:rsidRDefault="00ED66DB" w:rsidP="008D0CFC">
      <w:pPr>
        <w:pStyle w:val="ListBullet"/>
      </w:pPr>
      <w:r w:rsidRPr="00ED66DB">
        <w:lastRenderedPageBreak/>
        <w:t>Participant had clinical signs and sy</w:t>
      </w:r>
      <w:r w:rsidR="008D0CFC">
        <w:t>mptoms consistent with COVID-19.</w:t>
      </w:r>
    </w:p>
    <w:p w14:paraId="2E56D750" w14:textId="77777777" w:rsidR="00ED66DB" w:rsidRPr="00ED66DB" w:rsidRDefault="008D0CFC" w:rsidP="00ED66DB">
      <w:r>
        <w:t>At B</w:t>
      </w:r>
      <w:r w:rsidR="00ED66DB" w:rsidRPr="00ED66DB">
        <w:t xml:space="preserve">aseline, the median age was around 40 years, with </w:t>
      </w:r>
      <w:r>
        <w:t>68% of subjects aged between 18 </w:t>
      </w:r>
      <w:r w:rsidR="00B90C21">
        <w:t>to 44 </w:t>
      </w:r>
      <w:r w:rsidR="00ED66DB" w:rsidRPr="00ED66DB">
        <w:t>yea</w:t>
      </w:r>
      <w:r>
        <w:t>rs. 64% of subjects were males.</w:t>
      </w:r>
    </w:p>
    <w:p w14:paraId="548EF4D3" w14:textId="77777777" w:rsidR="00ED66DB" w:rsidRPr="008D0CFC" w:rsidRDefault="00ED66DB" w:rsidP="00ED66DB">
      <w:pPr>
        <w:rPr>
          <w:i/>
        </w:rPr>
      </w:pPr>
      <w:r w:rsidRPr="008D0CFC">
        <w:rPr>
          <w:i/>
        </w:rPr>
        <w:t>Results</w:t>
      </w:r>
      <w:r w:rsidR="008D0CFC">
        <w:rPr>
          <w:i/>
        </w:rPr>
        <w:t xml:space="preserve">: </w:t>
      </w:r>
      <w:r w:rsidRPr="00ED66DB">
        <w:t xml:space="preserve">After a single dose of 300mg of </w:t>
      </w:r>
      <w:proofErr w:type="spellStart"/>
      <w:r w:rsidR="008D0CFC">
        <w:t>Evusheld</w:t>
      </w:r>
      <w:proofErr w:type="spellEnd"/>
      <w:r w:rsidR="008D0CFC">
        <w:t xml:space="preserve"> that was administered intramuscularly</w:t>
      </w:r>
      <w:r w:rsidRPr="00ED66DB">
        <w:t xml:space="preserve">, </w:t>
      </w:r>
      <w:r w:rsidR="00B90C21">
        <w:t>maximum concentration (</w:t>
      </w:r>
      <w:proofErr w:type="spellStart"/>
      <w:r w:rsidRPr="00ED66DB">
        <w:t>C</w:t>
      </w:r>
      <w:r w:rsidRPr="00ED66DB">
        <w:rPr>
          <w:vertAlign w:val="subscript"/>
        </w:rPr>
        <w:t>max</w:t>
      </w:r>
      <w:proofErr w:type="spellEnd"/>
      <w:r w:rsidR="00B90C21">
        <w:t xml:space="preserve">) </w:t>
      </w:r>
      <w:r w:rsidRPr="00ED66DB">
        <w:t xml:space="preserve">was similar for AZD8895 </w:t>
      </w:r>
      <w:r w:rsidR="008D0CFC">
        <w:t>(</w:t>
      </w:r>
      <w:proofErr w:type="spellStart"/>
      <w:r w:rsidR="008D0CFC">
        <w:t>tixagevimab</w:t>
      </w:r>
      <w:proofErr w:type="spellEnd"/>
      <w:r w:rsidR="008D0CFC">
        <w:t xml:space="preserve">) </w:t>
      </w:r>
      <w:r w:rsidRPr="00ED66DB">
        <w:t>and AZD1061</w:t>
      </w:r>
      <w:r w:rsidR="008D0CFC">
        <w:t xml:space="preserve"> (</w:t>
      </w:r>
      <w:proofErr w:type="spellStart"/>
      <w:r w:rsidR="008D0CFC">
        <w:t>cilgavimab</w:t>
      </w:r>
      <w:proofErr w:type="spellEnd"/>
      <w:r w:rsidR="008D0CFC">
        <w:t>) at 16.52 and 15.27 </w:t>
      </w:r>
      <w:proofErr w:type="spellStart"/>
      <w:r w:rsidRPr="00ED66DB">
        <w:t>μg</w:t>
      </w:r>
      <w:proofErr w:type="spellEnd"/>
      <w:r w:rsidRPr="00ED66DB">
        <w:t xml:space="preserve">/mL, respectively. The median </w:t>
      </w:r>
      <w:r w:rsidR="008D0CFC">
        <w:t>time to maximum concentration (</w:t>
      </w:r>
      <w:proofErr w:type="spellStart"/>
      <w:r w:rsidRPr="00ED66DB">
        <w:t>T</w:t>
      </w:r>
      <w:r w:rsidRPr="00ED66DB">
        <w:rPr>
          <w:vertAlign w:val="subscript"/>
        </w:rPr>
        <w:t>max</w:t>
      </w:r>
      <w:proofErr w:type="spellEnd"/>
      <w:r w:rsidR="008D0CFC">
        <w:t xml:space="preserve">) </w:t>
      </w:r>
      <w:r w:rsidR="00B90C21">
        <w:t>was around 14 </w:t>
      </w:r>
      <w:r w:rsidRPr="00ED66DB">
        <w:t>days for both antibodies. Between-participant variability (%CV) in AZD8895</w:t>
      </w:r>
      <w:r w:rsidR="008D0CFC">
        <w:t xml:space="preserve"> (</w:t>
      </w:r>
      <w:proofErr w:type="spellStart"/>
      <w:r w:rsidR="008D0CFC">
        <w:t>tixagevimab</w:t>
      </w:r>
      <w:proofErr w:type="spellEnd"/>
      <w:r w:rsidR="008D0CFC">
        <w:t>) area under the curve from dosing to infinity</w:t>
      </w:r>
      <w:r w:rsidRPr="00ED66DB">
        <w:t xml:space="preserve"> </w:t>
      </w:r>
      <w:r w:rsidR="008D0CFC">
        <w:t>(</w:t>
      </w:r>
      <w:r w:rsidRPr="00ED66DB">
        <w:t>AUC</w:t>
      </w:r>
      <w:r w:rsidRPr="00ED66DB">
        <w:rPr>
          <w:vertAlign w:val="subscript"/>
        </w:rPr>
        <w:t>inf</w:t>
      </w:r>
      <w:r w:rsidR="008D0CFC">
        <w:t xml:space="preserve">) </w:t>
      </w:r>
      <w:r w:rsidRPr="00ED66DB">
        <w:t xml:space="preserve">and </w:t>
      </w:r>
      <w:proofErr w:type="spellStart"/>
      <w:r w:rsidRPr="00ED66DB">
        <w:t>C</w:t>
      </w:r>
      <w:r w:rsidRPr="00ED66DB">
        <w:rPr>
          <w:vertAlign w:val="subscript"/>
        </w:rPr>
        <w:t>max</w:t>
      </w:r>
      <w:proofErr w:type="spellEnd"/>
      <w:r w:rsidRPr="00ED66DB">
        <w:t xml:space="preserve"> after 300 mg </w:t>
      </w:r>
      <w:r w:rsidR="008D0CFC">
        <w:t>intramuscular</w:t>
      </w:r>
      <w:r w:rsidRPr="00ED66DB">
        <w:t xml:space="preserve"> administration was 30.22% and 35.56%, respectively, and 31.66% and 38.53%, respectively, for AZD1061</w:t>
      </w:r>
      <w:r w:rsidR="008D0CFC">
        <w:t xml:space="preserve"> (</w:t>
      </w:r>
      <w:proofErr w:type="spellStart"/>
      <w:r w:rsidR="008D0CFC">
        <w:t>cilgavimab</w:t>
      </w:r>
      <w:proofErr w:type="spellEnd"/>
      <w:r w:rsidR="008D0CFC">
        <w:t>)</w:t>
      </w:r>
      <w:r w:rsidRPr="00ED66DB">
        <w:t>.</w:t>
      </w:r>
    </w:p>
    <w:p w14:paraId="0B53178D" w14:textId="77777777" w:rsidR="00ED66DB" w:rsidRPr="00ED66DB" w:rsidRDefault="00ED66DB" w:rsidP="00ED66DB">
      <w:r w:rsidRPr="00ED66DB">
        <w:t>Half-lives (t</w:t>
      </w:r>
      <w:r w:rsidRPr="00ED66DB">
        <w:rPr>
          <w:vertAlign w:val="subscript"/>
        </w:rPr>
        <w:t>1/2λz</w:t>
      </w:r>
      <w:r w:rsidRPr="00ED66DB">
        <w:t xml:space="preserve">) of AZD8895 and AZD1061 </w:t>
      </w:r>
      <w:r w:rsidR="008D0CFC">
        <w:t>(</w:t>
      </w:r>
      <w:proofErr w:type="spellStart"/>
      <w:r w:rsidR="008D0CFC">
        <w:t>tixagevimab</w:t>
      </w:r>
      <w:proofErr w:type="spellEnd"/>
      <w:r w:rsidR="008D0CFC">
        <w:t xml:space="preserve"> and </w:t>
      </w:r>
      <w:proofErr w:type="spellStart"/>
      <w:r w:rsidR="008D0CFC">
        <w:t>cilgavimab</w:t>
      </w:r>
      <w:proofErr w:type="spellEnd"/>
      <w:r w:rsidR="008D0CFC">
        <w:t xml:space="preserve">) </w:t>
      </w:r>
      <w:r w:rsidRPr="00ED66DB">
        <w:t>were similar for all cohorts, routes of administration, and dose levels. The average of mean t</w:t>
      </w:r>
      <w:r w:rsidRPr="00ED66DB">
        <w:rPr>
          <w:vertAlign w:val="subscript"/>
        </w:rPr>
        <w:t>1/2λz</w:t>
      </w:r>
      <w:r w:rsidRPr="00ED66DB">
        <w:t xml:space="preserve"> calculated for both antibodies from all cohorts was 89.88 days, ranging from 87.93 to 94.60 days for AZD8895 </w:t>
      </w:r>
      <w:r w:rsidR="008D0CFC">
        <w:t>(</w:t>
      </w:r>
      <w:proofErr w:type="spellStart"/>
      <w:r w:rsidR="008D0CFC">
        <w:t>tixagevimab</w:t>
      </w:r>
      <w:proofErr w:type="spellEnd"/>
      <w:r w:rsidR="008D0CFC">
        <w:t xml:space="preserve">) </w:t>
      </w:r>
      <w:r w:rsidRPr="00ED66DB">
        <w:t>and 82.90 to 91.24 days for AZD1061</w:t>
      </w:r>
      <w:r w:rsidR="008D0CFC">
        <w:t xml:space="preserve"> (</w:t>
      </w:r>
      <w:proofErr w:type="spellStart"/>
      <w:r w:rsidR="008D0CFC">
        <w:t>cilgavimab</w:t>
      </w:r>
      <w:proofErr w:type="spellEnd"/>
      <w:r w:rsidR="008D0CFC">
        <w:t>)</w:t>
      </w:r>
      <w:r w:rsidRPr="00ED66DB">
        <w:t>.</w:t>
      </w:r>
    </w:p>
    <w:p w14:paraId="0DBB27FC" w14:textId="3E4950DC" w:rsidR="00ED66DB" w:rsidRPr="00ED66DB" w:rsidRDefault="00ED66DB" w:rsidP="008D0CFC">
      <w:pPr>
        <w:pStyle w:val="TableTitle"/>
      </w:pPr>
      <w:r w:rsidRPr="00ED66DB">
        <w:t xml:space="preserve">Table </w:t>
      </w:r>
      <w:r>
        <w:fldChar w:fldCharType="begin"/>
      </w:r>
      <w:r>
        <w:instrText>SEQ Table \* ARABIC</w:instrText>
      </w:r>
      <w:r>
        <w:fldChar w:fldCharType="separate"/>
      </w:r>
      <w:r w:rsidR="004D0A2C">
        <w:rPr>
          <w:noProof/>
        </w:rPr>
        <w:t>6</w:t>
      </w:r>
      <w:r>
        <w:fldChar w:fldCharType="end"/>
      </w:r>
      <w:r w:rsidRPr="00ED66DB">
        <w:t xml:space="preserve">: </w:t>
      </w:r>
      <w:r w:rsidR="008D0CFC">
        <w:t xml:space="preserve">Study </w:t>
      </w:r>
      <w:r w:rsidR="008D0CFC" w:rsidRPr="008D0CFC">
        <w:rPr>
          <w:bCs/>
        </w:rPr>
        <w:t>D8850C00001</w:t>
      </w:r>
      <w:r w:rsidR="008D0CFC">
        <w:rPr>
          <w:bCs/>
          <w:i/>
        </w:rPr>
        <w:t xml:space="preserve"> </w:t>
      </w:r>
      <w:r w:rsidR="008D0CFC">
        <w:t xml:space="preserve">Summary of pharmacokinetic parameters for </w:t>
      </w:r>
      <w:proofErr w:type="spellStart"/>
      <w:r w:rsidR="008D0CFC">
        <w:t>tixagevimab</w:t>
      </w:r>
      <w:proofErr w:type="spellEnd"/>
      <w:r w:rsidR="008D0CFC">
        <w:t xml:space="preserve"> and </w:t>
      </w:r>
      <w:proofErr w:type="spellStart"/>
      <w:r w:rsidR="008D0CFC">
        <w:t>c</w:t>
      </w:r>
      <w:r w:rsidRPr="00ED66DB">
        <w:t>ilgavimab</w:t>
      </w:r>
      <w:proofErr w:type="spellEnd"/>
      <w:r w:rsidRPr="00ED66DB">
        <w:t xml:space="preserve"> following single 300</w:t>
      </w:r>
      <w:r w:rsidR="00DD7C48">
        <w:t xml:space="preserve"> </w:t>
      </w:r>
      <w:r w:rsidRPr="00ED66DB">
        <w:t xml:space="preserve">mg </w:t>
      </w:r>
      <w:proofErr w:type="spellStart"/>
      <w:r w:rsidR="008D0CFC">
        <w:t>Evusheld</w:t>
      </w:r>
      <w:proofErr w:type="spellEnd"/>
      <w:r w:rsidR="008D0CFC">
        <w:t xml:space="preserve"> intramuscular</w:t>
      </w:r>
      <w:r w:rsidRPr="00ED66DB">
        <w:t xml:space="preserve"> dose</w:t>
      </w:r>
    </w:p>
    <w:p w14:paraId="5FF9A505" w14:textId="77777777" w:rsidR="00ED66DB" w:rsidRPr="00ED66DB" w:rsidRDefault="00ED66DB" w:rsidP="00ED66DB">
      <w:r w:rsidRPr="00ED66DB">
        <w:rPr>
          <w:noProof/>
          <w:lang w:val="en-GB" w:eastAsia="en-GB"/>
        </w:rPr>
        <w:drawing>
          <wp:inline distT="0" distB="0" distL="0" distR="0" wp14:anchorId="1E2A69AB" wp14:editId="41D60509">
            <wp:extent cx="5238325" cy="2583180"/>
            <wp:effectExtent l="0" t="0" r="635" b="7620"/>
            <wp:docPr id="102" name="Picture 102" descr="Table 6: Study D8850C00001 Summary of pharmacokinetic parameters for tixagevimab and cilgavimab following single 300 mg Evusheld intramuscular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able 6: Study D8850C00001 Summary of pharmacokinetic parameters for tixagevimab and cilgavimab following single 300 mg Evusheld intramuscular dose"/>
                    <pic:cNvPicPr/>
                  </pic:nvPicPr>
                  <pic:blipFill rotWithShape="1">
                    <a:blip r:embed="rId22"/>
                    <a:srcRect l="8" t="737" r="-8" b="-737"/>
                    <a:stretch/>
                  </pic:blipFill>
                  <pic:spPr bwMode="auto">
                    <a:xfrm>
                      <a:off x="0" y="0"/>
                      <a:ext cx="5248306" cy="2588102"/>
                    </a:xfrm>
                    <a:prstGeom prst="rect">
                      <a:avLst/>
                    </a:prstGeom>
                    <a:ln>
                      <a:noFill/>
                    </a:ln>
                    <a:extLst>
                      <a:ext uri="{53640926-AAD7-44D8-BBD7-CCE9431645EC}">
                        <a14:shadowObscured xmlns:a14="http://schemas.microsoft.com/office/drawing/2010/main"/>
                      </a:ext>
                    </a:extLst>
                  </pic:spPr>
                </pic:pic>
              </a:graphicData>
            </a:graphic>
          </wp:inline>
        </w:drawing>
      </w:r>
    </w:p>
    <w:p w14:paraId="073C8CAF" w14:textId="77777777" w:rsidR="00ED66DB" w:rsidRPr="00ED66DB" w:rsidRDefault="00ED66DB" w:rsidP="00ED66DB">
      <w:r w:rsidRPr="00ED66DB">
        <w:t xml:space="preserve">A dose-proportional increase in the PK parameters were observed, when </w:t>
      </w:r>
      <w:proofErr w:type="spellStart"/>
      <w:r w:rsidR="008D0CFC">
        <w:t>Evusheld</w:t>
      </w:r>
      <w:proofErr w:type="spellEnd"/>
      <w:r w:rsidR="008D0CFC">
        <w:t xml:space="preserve"> </w:t>
      </w:r>
      <w:r w:rsidRPr="00ED66DB">
        <w:t xml:space="preserve">was administered at doses ranging from 300 mg to 3000 mg. </w:t>
      </w:r>
      <w:r w:rsidR="008D0CFC">
        <w:t xml:space="preserve">The </w:t>
      </w:r>
      <w:r w:rsidRPr="00ED66DB">
        <w:t xml:space="preserve">300 mg dose was administered as both </w:t>
      </w:r>
      <w:r w:rsidR="008D0CFC">
        <w:t>intramuscular and intravenous</w:t>
      </w:r>
      <w:r w:rsidRPr="00ED66DB">
        <w:t xml:space="preserve">. </w:t>
      </w:r>
      <w:r w:rsidR="008D0CFC">
        <w:t xml:space="preserve">The </w:t>
      </w:r>
      <w:r w:rsidRPr="00ED66DB">
        <w:t xml:space="preserve">1000 mg to 3000 </w:t>
      </w:r>
      <w:r w:rsidR="008D0CFC">
        <w:t>mg doses were administered as intravenous infusion</w:t>
      </w:r>
      <w:r w:rsidRPr="00ED66DB">
        <w:t>.</w:t>
      </w:r>
    </w:p>
    <w:p w14:paraId="38EDBD36" w14:textId="5E957A1B" w:rsidR="00EF556C" w:rsidRDefault="00ED66DB" w:rsidP="00ED66DB">
      <w:pPr>
        <w:rPr>
          <w:highlight w:val="yellow"/>
        </w:rPr>
      </w:pPr>
      <w:bookmarkStart w:id="44" w:name="_Hlk93565024"/>
      <w:r w:rsidRPr="00ED66DB">
        <w:t xml:space="preserve">The serum concentration of </w:t>
      </w:r>
      <w:proofErr w:type="spellStart"/>
      <w:r w:rsidR="008D0CFC">
        <w:t>Evusheld</w:t>
      </w:r>
      <w:proofErr w:type="spellEnd"/>
      <w:r w:rsidR="008D0CFC">
        <w:t xml:space="preserve"> </w:t>
      </w:r>
      <w:r w:rsidRPr="00ED66DB">
        <w:t xml:space="preserve">appears to be higher than AZD8895 </w:t>
      </w:r>
      <w:r w:rsidR="008D0CFC">
        <w:t>(</w:t>
      </w:r>
      <w:proofErr w:type="spellStart"/>
      <w:r w:rsidR="008D0CFC">
        <w:t>tixagevimab</w:t>
      </w:r>
      <w:proofErr w:type="spellEnd"/>
      <w:r w:rsidR="008D0CFC">
        <w:t xml:space="preserve">) </w:t>
      </w:r>
      <w:r w:rsidRPr="00ED66DB">
        <w:t>and AZD1061</w:t>
      </w:r>
      <w:r w:rsidR="008D0CFC">
        <w:t xml:space="preserve"> (</w:t>
      </w:r>
      <w:proofErr w:type="spellStart"/>
      <w:r w:rsidR="008D0CFC">
        <w:t>cilgavimab</w:t>
      </w:r>
      <w:proofErr w:type="spellEnd"/>
      <w:r w:rsidR="008D0CFC">
        <w:t>)</w:t>
      </w:r>
      <w:r w:rsidRPr="00ED66DB">
        <w:t xml:space="preserve">, when administered individually (See figure below). </w:t>
      </w:r>
      <w:r>
        <w:t xml:space="preserve">The absolute values cannot be found in the </w:t>
      </w:r>
      <w:r w:rsidR="008D0CFC">
        <w:t xml:space="preserve">clinical study </w:t>
      </w:r>
      <w:proofErr w:type="spellStart"/>
      <w:proofErr w:type="gramStart"/>
      <w:r w:rsidR="008D0CFC">
        <w:t>report</w:t>
      </w:r>
      <w:r>
        <w:t>.</w:t>
      </w:r>
      <w:r w:rsidR="008D0CFC" w:rsidRPr="00177EA8">
        <w:t>.</w:t>
      </w:r>
      <w:proofErr w:type="gramEnd"/>
      <w:r w:rsidR="007B655E">
        <w:t>The</w:t>
      </w:r>
      <w:proofErr w:type="spellEnd"/>
      <w:r w:rsidR="007B655E">
        <w:t xml:space="preserve"> sponsor was requested to provide these (see </w:t>
      </w:r>
      <w:r w:rsidR="007B655E">
        <w:fldChar w:fldCharType="begin"/>
      </w:r>
      <w:r w:rsidR="007B655E">
        <w:instrText xml:space="preserve"> REF _Ref97204483 \h </w:instrText>
      </w:r>
      <w:r w:rsidR="007B655E">
        <w:fldChar w:fldCharType="separate"/>
      </w:r>
      <w:r w:rsidR="004D0A2C">
        <w:t>Questions for the sponsor</w:t>
      </w:r>
      <w:r w:rsidR="007B655E">
        <w:fldChar w:fldCharType="end"/>
      </w:r>
      <w:r w:rsidR="007B655E">
        <w:t>).</w:t>
      </w:r>
    </w:p>
    <w:p w14:paraId="7783C37B" w14:textId="59CF33FE" w:rsidR="00ED66DB" w:rsidRPr="00ED66DB" w:rsidRDefault="00EF556C" w:rsidP="00EF556C">
      <w:pPr>
        <w:spacing w:before="0" w:after="200" w:line="0" w:lineRule="auto"/>
      </w:pPr>
      <w:r>
        <w:br w:type="page"/>
      </w:r>
    </w:p>
    <w:bookmarkEnd w:id="44"/>
    <w:p w14:paraId="13809DD5" w14:textId="0B381624" w:rsidR="00ED66DB" w:rsidRPr="00ED66DB" w:rsidRDefault="00ED66DB" w:rsidP="008D0CFC">
      <w:pPr>
        <w:pStyle w:val="FigureTitle"/>
      </w:pPr>
      <w:r w:rsidRPr="00ED66DB">
        <w:lastRenderedPageBreak/>
        <w:t xml:space="preserve">Figure </w:t>
      </w:r>
      <w:r>
        <w:fldChar w:fldCharType="begin"/>
      </w:r>
      <w:r>
        <w:instrText>SEQ Figure \* ARABIC</w:instrText>
      </w:r>
      <w:r>
        <w:fldChar w:fldCharType="separate"/>
      </w:r>
      <w:r w:rsidR="004D0A2C">
        <w:rPr>
          <w:noProof/>
        </w:rPr>
        <w:t>3</w:t>
      </w:r>
      <w:r>
        <w:fldChar w:fldCharType="end"/>
      </w:r>
      <w:r w:rsidR="008D0CFC">
        <w:t xml:space="preserve">: Study </w:t>
      </w:r>
      <w:r w:rsidR="008D0CFC" w:rsidRPr="008D0CFC">
        <w:rPr>
          <w:bCs/>
        </w:rPr>
        <w:t>D8850C00001</w:t>
      </w:r>
      <w:r w:rsidRPr="008D0CFC">
        <w:t xml:space="preserve"> </w:t>
      </w:r>
      <w:r w:rsidRPr="00ED66DB">
        <w:t>Mean serum concentrations of AZD8895</w:t>
      </w:r>
      <w:r w:rsidR="008D0CFC">
        <w:t xml:space="preserve"> (</w:t>
      </w:r>
      <w:proofErr w:type="spellStart"/>
      <w:r w:rsidR="008D0CFC">
        <w:t>tixagevimab</w:t>
      </w:r>
      <w:proofErr w:type="spellEnd"/>
      <w:r w:rsidR="008D0CFC">
        <w:t>)</w:t>
      </w:r>
      <w:r w:rsidRPr="00ED66DB">
        <w:t>, AZD1061</w:t>
      </w:r>
      <w:r w:rsidR="008D0CFC">
        <w:t xml:space="preserve"> (</w:t>
      </w:r>
      <w:proofErr w:type="spellStart"/>
      <w:r w:rsidR="008D0CFC">
        <w:t>cilgavimab</w:t>
      </w:r>
      <w:proofErr w:type="spellEnd"/>
      <w:r w:rsidR="008D0CFC">
        <w:t>)</w:t>
      </w:r>
      <w:r w:rsidRPr="00ED66DB">
        <w:t xml:space="preserve">, and </w:t>
      </w:r>
      <w:proofErr w:type="spellStart"/>
      <w:r w:rsidR="008D0CFC">
        <w:t>Evusheld</w:t>
      </w:r>
      <w:proofErr w:type="spellEnd"/>
      <w:r w:rsidR="008D0CFC" w:rsidRPr="00ED66DB">
        <w:t xml:space="preserve"> </w:t>
      </w:r>
      <w:r w:rsidRPr="00ED66DB">
        <w:t>(AZD8895 + AZD1061</w:t>
      </w:r>
      <w:r w:rsidR="008D0CFC">
        <w:t xml:space="preserve">; </w:t>
      </w:r>
      <w:proofErr w:type="spellStart"/>
      <w:r w:rsidR="008D0CFC">
        <w:t>tixagevimab</w:t>
      </w:r>
      <w:proofErr w:type="spellEnd"/>
      <w:r w:rsidR="008D0CFC">
        <w:t xml:space="preserve"> and </w:t>
      </w:r>
      <w:proofErr w:type="spellStart"/>
      <w:r w:rsidR="008D0CFC">
        <w:t>cilgavimab</w:t>
      </w:r>
      <w:proofErr w:type="spellEnd"/>
      <w:r w:rsidRPr="00ED66DB">
        <w:t xml:space="preserve">) </w:t>
      </w:r>
      <w:r w:rsidR="008D0CFC" w:rsidRPr="00ED66DB">
        <w:t xml:space="preserve">following single dose </w:t>
      </w:r>
      <w:r w:rsidR="00B035F4">
        <w:t>intramuscular or intravenous</w:t>
      </w:r>
      <w:r w:rsidRPr="00ED66DB">
        <w:t xml:space="preserve"> administration</w:t>
      </w:r>
    </w:p>
    <w:p w14:paraId="4833A65B" w14:textId="3E561C8F" w:rsidR="00ED66DB" w:rsidRDefault="00CF3D36" w:rsidP="00ED66DB">
      <w:pPr>
        <w:rPr>
          <w:b/>
        </w:rPr>
      </w:pPr>
      <w:r w:rsidRPr="00CF3D36">
        <w:rPr>
          <w:b/>
          <w:noProof/>
        </w:rPr>
        <w:drawing>
          <wp:inline distT="0" distB="0" distL="0" distR="0" wp14:anchorId="08927DC2" wp14:editId="4C50C06E">
            <wp:extent cx="5400040" cy="1727200"/>
            <wp:effectExtent l="0" t="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1727200"/>
                    </a:xfrm>
                    <a:prstGeom prst="rect">
                      <a:avLst/>
                    </a:prstGeom>
                  </pic:spPr>
                </pic:pic>
              </a:graphicData>
            </a:graphic>
          </wp:inline>
        </w:drawing>
      </w:r>
    </w:p>
    <w:p w14:paraId="5FB66E83" w14:textId="4F701137" w:rsidR="00EF556C" w:rsidRDefault="00EF556C" w:rsidP="00EF556C">
      <w:pPr>
        <w:pStyle w:val="TableDescription"/>
      </w:pPr>
      <w:r>
        <w:t>AZD 7442 concentration = the sum of the AZD 8895 and AZD 1061 concentration</w:t>
      </w:r>
    </w:p>
    <w:p w14:paraId="195142F3" w14:textId="41FC29B1" w:rsidR="00EF556C" w:rsidRPr="00ED66DB" w:rsidRDefault="00EF556C" w:rsidP="00EF556C">
      <w:pPr>
        <w:pStyle w:val="TableDescription"/>
      </w:pPr>
      <w:r>
        <w:t>Days on the horizontal axis are days post-doc (that is Study Day -1)</w:t>
      </w:r>
    </w:p>
    <w:p w14:paraId="0081D0D2" w14:textId="77777777" w:rsidR="00ED66DB" w:rsidRPr="00ED66DB" w:rsidRDefault="00ED66DB" w:rsidP="00ED66DB">
      <w:pPr>
        <w:rPr>
          <w:bCs/>
        </w:rPr>
      </w:pPr>
      <w:r w:rsidRPr="00ED66DB">
        <w:rPr>
          <w:bCs/>
        </w:rPr>
        <w:t xml:space="preserve">Across doses, half-life, volume of distribution and clearance were comparable for both </w:t>
      </w:r>
      <w:proofErr w:type="gramStart"/>
      <w:r w:rsidRPr="00ED66DB">
        <w:rPr>
          <w:bCs/>
        </w:rPr>
        <w:t>mono-components</w:t>
      </w:r>
      <w:proofErr w:type="gramEnd"/>
      <w:r w:rsidRPr="00ED66DB">
        <w:rPr>
          <w:bCs/>
        </w:rPr>
        <w:t>.</w:t>
      </w:r>
    </w:p>
    <w:p w14:paraId="0F34C103" w14:textId="36654877" w:rsidR="00ED66DB" w:rsidRPr="00ED66DB" w:rsidRDefault="00ED66DB" w:rsidP="002A264D">
      <w:pPr>
        <w:pStyle w:val="TableTitle"/>
      </w:pPr>
      <w:r w:rsidRPr="00ED66DB">
        <w:t xml:space="preserve">Table </w:t>
      </w:r>
      <w:r>
        <w:fldChar w:fldCharType="begin"/>
      </w:r>
      <w:r>
        <w:instrText>SEQ Table \* ARABIC</w:instrText>
      </w:r>
      <w:r>
        <w:fldChar w:fldCharType="separate"/>
      </w:r>
      <w:r w:rsidR="004D0A2C">
        <w:rPr>
          <w:noProof/>
        </w:rPr>
        <w:t>7</w:t>
      </w:r>
      <w:r>
        <w:fldChar w:fldCharType="end"/>
      </w:r>
      <w:r w:rsidR="002A264D">
        <w:t>: Summary of pharmacokinetic p</w:t>
      </w:r>
      <w:r w:rsidRPr="00ED66DB">
        <w:t xml:space="preserve">arameters for AZD8895 and AZD1061 </w:t>
      </w:r>
      <w:r w:rsidR="002A264D">
        <w:t>(</w:t>
      </w:r>
      <w:proofErr w:type="spellStart"/>
      <w:r w:rsidR="002A264D">
        <w:t>tixagevimab</w:t>
      </w:r>
      <w:proofErr w:type="spellEnd"/>
      <w:r w:rsidR="002A264D">
        <w:t xml:space="preserve"> and </w:t>
      </w:r>
      <w:proofErr w:type="spellStart"/>
      <w:r w:rsidR="002A264D">
        <w:t>cilgavimab</w:t>
      </w:r>
      <w:proofErr w:type="spellEnd"/>
      <w:r w:rsidR="002A264D">
        <w:t xml:space="preserve">) </w:t>
      </w:r>
      <w:r w:rsidR="002A264D" w:rsidRPr="00ED66DB">
        <w:t>following single dos</w:t>
      </w:r>
      <w:r w:rsidR="002A264D">
        <w:t xml:space="preserve">e </w:t>
      </w:r>
      <w:r w:rsidR="00B035F4">
        <w:t>intramuscular or intravenous</w:t>
      </w:r>
      <w:r w:rsidR="002A264D">
        <w:t xml:space="preserve"> a</w:t>
      </w:r>
      <w:r w:rsidRPr="00ED66DB">
        <w:t xml:space="preserve">dministration of </w:t>
      </w:r>
      <w:proofErr w:type="spellStart"/>
      <w:r w:rsidR="002A264D">
        <w:t>Evusheld</w:t>
      </w:r>
      <w:proofErr w:type="spellEnd"/>
      <w:r w:rsidR="00B035F4">
        <w:t xml:space="preserve">; </w:t>
      </w:r>
      <w:r w:rsidRPr="00ED66DB">
        <w:t xml:space="preserve">Day 211 </w:t>
      </w:r>
      <w:r w:rsidR="002A264D" w:rsidRPr="00ED66DB">
        <w:t>(pharmacokinetic analysis set)</w:t>
      </w:r>
    </w:p>
    <w:p w14:paraId="75DD56D2" w14:textId="649A5CA4" w:rsidR="00ED66DB" w:rsidRDefault="00CF3D36" w:rsidP="00ED66DB">
      <w:r w:rsidRPr="00CF3D36">
        <w:rPr>
          <w:noProof/>
        </w:rPr>
        <w:drawing>
          <wp:inline distT="0" distB="0" distL="0" distR="0" wp14:anchorId="0F7050F7" wp14:editId="743306D7">
            <wp:extent cx="5400040" cy="34182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418205"/>
                    </a:xfrm>
                    <a:prstGeom prst="rect">
                      <a:avLst/>
                    </a:prstGeom>
                  </pic:spPr>
                </pic:pic>
              </a:graphicData>
            </a:graphic>
          </wp:inline>
        </w:drawing>
      </w:r>
    </w:p>
    <w:p w14:paraId="10E0E735" w14:textId="0E735D3D" w:rsidR="00CF3D36" w:rsidRPr="00ED66DB" w:rsidRDefault="00CF3D36" w:rsidP="00ED66DB">
      <w:r w:rsidRPr="00CF3D36">
        <w:rPr>
          <w:noProof/>
        </w:rPr>
        <w:drawing>
          <wp:inline distT="0" distB="0" distL="0" distR="0" wp14:anchorId="7ACC9757" wp14:editId="1C5C330E">
            <wp:extent cx="5400040" cy="63690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3044"/>
                    <a:stretch/>
                  </pic:blipFill>
                  <pic:spPr bwMode="auto">
                    <a:xfrm>
                      <a:off x="0" y="0"/>
                      <a:ext cx="5400040" cy="636905"/>
                    </a:xfrm>
                    <a:prstGeom prst="rect">
                      <a:avLst/>
                    </a:prstGeom>
                    <a:ln>
                      <a:noFill/>
                    </a:ln>
                    <a:extLst>
                      <a:ext uri="{53640926-AAD7-44D8-BBD7-CCE9431645EC}">
                        <a14:shadowObscured xmlns:a14="http://schemas.microsoft.com/office/drawing/2010/main"/>
                      </a:ext>
                    </a:extLst>
                  </pic:spPr>
                </pic:pic>
              </a:graphicData>
            </a:graphic>
          </wp:inline>
        </w:drawing>
      </w:r>
    </w:p>
    <w:p w14:paraId="6BEF6AD3" w14:textId="77777777" w:rsidR="001726F3" w:rsidRDefault="001726F3" w:rsidP="001726F3">
      <w:pPr>
        <w:pStyle w:val="TableDescription"/>
      </w:pPr>
      <w:r>
        <w:rPr>
          <w:sz w:val="13"/>
          <w:szCs w:val="13"/>
        </w:rPr>
        <w:t xml:space="preserve">a </w:t>
      </w:r>
      <w:r>
        <w:t>300 mg AZD7442 (150 mg AZD8895 and 150 mg AZD1061).</w:t>
      </w:r>
    </w:p>
    <w:p w14:paraId="5AE2214E" w14:textId="77777777" w:rsidR="001726F3" w:rsidRDefault="001726F3" w:rsidP="001726F3">
      <w:pPr>
        <w:pStyle w:val="TableDescription"/>
      </w:pPr>
      <w:r>
        <w:rPr>
          <w:sz w:val="13"/>
          <w:szCs w:val="13"/>
        </w:rPr>
        <w:t xml:space="preserve">b </w:t>
      </w:r>
      <w:r>
        <w:t>1000 mg AZD7442 (500 mg AZD8895 and 500 mg AZD1061).</w:t>
      </w:r>
    </w:p>
    <w:p w14:paraId="30248288" w14:textId="77777777" w:rsidR="001726F3" w:rsidRDefault="001726F3" w:rsidP="001726F3">
      <w:pPr>
        <w:pStyle w:val="TableDescription"/>
      </w:pPr>
      <w:r>
        <w:rPr>
          <w:sz w:val="13"/>
          <w:szCs w:val="13"/>
        </w:rPr>
        <w:t xml:space="preserve">c </w:t>
      </w:r>
      <w:r>
        <w:t>3000 mg AZD7442 (1500 mg AZD8895 and 1500 mg AZD1061).</w:t>
      </w:r>
    </w:p>
    <w:p w14:paraId="03B0630B" w14:textId="77777777" w:rsidR="001726F3" w:rsidRDefault="001726F3" w:rsidP="001726F3">
      <w:pPr>
        <w:pStyle w:val="TableDescription"/>
      </w:pPr>
      <w:r>
        <w:rPr>
          <w:sz w:val="13"/>
          <w:szCs w:val="13"/>
        </w:rPr>
        <w:t xml:space="preserve">d </w:t>
      </w:r>
      <w:r>
        <w:t>Average concentration over 210 days post-dose, calculated as AUC</w:t>
      </w:r>
      <w:r>
        <w:rPr>
          <w:sz w:val="12"/>
          <w:szCs w:val="12"/>
        </w:rPr>
        <w:t>0 - 210d</w:t>
      </w:r>
      <w:r>
        <w:t>/210 days.</w:t>
      </w:r>
    </w:p>
    <w:p w14:paraId="20D442FD" w14:textId="77777777" w:rsidR="001726F3" w:rsidRDefault="001726F3" w:rsidP="001726F3">
      <w:pPr>
        <w:pStyle w:val="TableDescription"/>
      </w:pPr>
      <w:r>
        <w:rPr>
          <w:sz w:val="13"/>
          <w:szCs w:val="13"/>
        </w:rPr>
        <w:lastRenderedPageBreak/>
        <w:t xml:space="preserve">e </w:t>
      </w:r>
      <w:r>
        <w:t>Calculated as the single ratio of geometric mean AUC</w:t>
      </w:r>
      <w:r>
        <w:rPr>
          <w:sz w:val="12"/>
          <w:szCs w:val="12"/>
        </w:rPr>
        <w:t xml:space="preserve">inf </w:t>
      </w:r>
      <w:r>
        <w:t>after IM to IV, thus no %CV.</w:t>
      </w:r>
    </w:p>
    <w:p w14:paraId="39B59C8F" w14:textId="259F2F11" w:rsidR="001726F3" w:rsidRDefault="001726F3" w:rsidP="001726F3">
      <w:pPr>
        <w:pStyle w:val="TableDescription"/>
      </w:pPr>
      <w:r>
        <w:rPr>
          <w:sz w:val="13"/>
          <w:szCs w:val="13"/>
        </w:rPr>
        <w:t xml:space="preserve">f </w:t>
      </w:r>
      <w:r>
        <w:t>n = 9, participant E0001070 had no samples beyond 1440 hours post-dose due to early termination; this participant</w:t>
      </w:r>
      <w:r>
        <w:rPr>
          <w:rFonts w:hint="eastAsia"/>
        </w:rPr>
        <w:t>’</w:t>
      </w:r>
      <w:r>
        <w:t>s AUC</w:t>
      </w:r>
      <w:r>
        <w:rPr>
          <w:sz w:val="12"/>
          <w:szCs w:val="12"/>
        </w:rPr>
        <w:t xml:space="preserve">0 - 210d </w:t>
      </w:r>
      <w:r>
        <w:t>and C</w:t>
      </w:r>
      <w:r>
        <w:rPr>
          <w:sz w:val="12"/>
          <w:szCs w:val="12"/>
        </w:rPr>
        <w:t xml:space="preserve">avg210d </w:t>
      </w:r>
      <w:r>
        <w:t>were calculated via extrapolation.</w:t>
      </w:r>
    </w:p>
    <w:p w14:paraId="0743F178" w14:textId="77777777" w:rsidR="001726F3" w:rsidRDefault="001726F3" w:rsidP="001726F3">
      <w:pPr>
        <w:pStyle w:val="TableDescription"/>
      </w:pPr>
      <w:r>
        <w:t xml:space="preserve">Data are presented as geometric mean (geometric CV), except for </w:t>
      </w:r>
      <w:proofErr w:type="spellStart"/>
      <w:r>
        <w:t>t</w:t>
      </w:r>
      <w:r>
        <w:rPr>
          <w:sz w:val="12"/>
          <w:szCs w:val="12"/>
        </w:rPr>
        <w:t>max</w:t>
      </w:r>
      <w:proofErr w:type="spellEnd"/>
      <w:r>
        <w:rPr>
          <w:sz w:val="12"/>
          <w:szCs w:val="12"/>
        </w:rPr>
        <w:t xml:space="preserve"> </w:t>
      </w:r>
      <w:r>
        <w:t xml:space="preserve">and </w:t>
      </w:r>
      <w:proofErr w:type="spellStart"/>
      <w:r>
        <w:t>t</w:t>
      </w:r>
      <w:r>
        <w:rPr>
          <w:sz w:val="12"/>
          <w:szCs w:val="12"/>
        </w:rPr>
        <w:t>last</w:t>
      </w:r>
      <w:proofErr w:type="spellEnd"/>
      <w:r>
        <w:rPr>
          <w:sz w:val="12"/>
          <w:szCs w:val="12"/>
        </w:rPr>
        <w:t xml:space="preserve"> </w:t>
      </w:r>
      <w:r>
        <w:t xml:space="preserve">as median (min </w:t>
      </w:r>
      <w:r>
        <w:rPr>
          <w:rFonts w:hint="eastAsia"/>
        </w:rPr>
        <w:t>–</w:t>
      </w:r>
      <w:r>
        <w:t xml:space="preserve"> max), and t</w:t>
      </w:r>
      <w:r>
        <w:rPr>
          <w:sz w:val="12"/>
          <w:szCs w:val="12"/>
        </w:rPr>
        <w:t>1/2</w:t>
      </w:r>
      <w:r>
        <w:rPr>
          <w:rFonts w:hint="eastAsia"/>
          <w:sz w:val="12"/>
          <w:szCs w:val="12"/>
        </w:rPr>
        <w:t>λ</w:t>
      </w:r>
      <w:r>
        <w:rPr>
          <w:sz w:val="12"/>
          <w:szCs w:val="12"/>
        </w:rPr>
        <w:t>z</w:t>
      </w:r>
      <w:r>
        <w:t xml:space="preserve">, CL(/F), </w:t>
      </w:r>
      <w:proofErr w:type="spellStart"/>
      <w:r>
        <w:t>V</w:t>
      </w:r>
      <w:r>
        <w:rPr>
          <w:sz w:val="12"/>
          <w:szCs w:val="12"/>
        </w:rPr>
        <w:t>z</w:t>
      </w:r>
      <w:proofErr w:type="spellEnd"/>
      <w:r>
        <w:t xml:space="preserve">(/F), and </w:t>
      </w:r>
      <w:proofErr w:type="spellStart"/>
      <w:r>
        <w:t>V</w:t>
      </w:r>
      <w:r>
        <w:rPr>
          <w:sz w:val="12"/>
          <w:szCs w:val="12"/>
        </w:rPr>
        <w:t>ss</w:t>
      </w:r>
      <w:proofErr w:type="spellEnd"/>
      <w:r>
        <w:rPr>
          <w:sz w:val="12"/>
          <w:szCs w:val="12"/>
        </w:rPr>
        <w:t xml:space="preserve"> </w:t>
      </w:r>
      <w:r>
        <w:t>as arithmetic mean (SD).</w:t>
      </w:r>
    </w:p>
    <w:p w14:paraId="68382155" w14:textId="5E7C512C" w:rsidR="001726F3" w:rsidRPr="001726F3" w:rsidRDefault="001726F3" w:rsidP="001726F3">
      <w:pPr>
        <w:pStyle w:val="TableDescription"/>
      </w:pPr>
      <w:r>
        <w:t>AUC</w:t>
      </w:r>
      <w:r>
        <w:rPr>
          <w:sz w:val="12"/>
          <w:szCs w:val="12"/>
        </w:rPr>
        <w:t>0-210d</w:t>
      </w:r>
      <w:r>
        <w:t xml:space="preserve">, area under the serum concentration-time curve from time zero to Day 211; </w:t>
      </w:r>
      <w:proofErr w:type="spellStart"/>
      <w:r>
        <w:t>AUC</w:t>
      </w:r>
      <w:r>
        <w:rPr>
          <w:sz w:val="12"/>
          <w:szCs w:val="12"/>
        </w:rPr>
        <w:t>last</w:t>
      </w:r>
      <w:proofErr w:type="spellEnd"/>
      <w:r>
        <w:t>, area under the serum concentration-time curve from time zero to the last measurable time point; AUC</w:t>
      </w:r>
      <w:r>
        <w:rPr>
          <w:sz w:val="12"/>
          <w:szCs w:val="12"/>
        </w:rPr>
        <w:t>inf</w:t>
      </w:r>
      <w:r>
        <w:t>, area under the serum concentration-time curve from time zero to infinity; C</w:t>
      </w:r>
      <w:r>
        <w:rPr>
          <w:sz w:val="12"/>
          <w:szCs w:val="12"/>
        </w:rPr>
        <w:t>avg210d</w:t>
      </w:r>
      <w:r>
        <w:t xml:space="preserve">, average serum concentration over 210 days post-dose; </w:t>
      </w:r>
      <w:proofErr w:type="spellStart"/>
      <w:r>
        <w:t>C</w:t>
      </w:r>
      <w:r>
        <w:rPr>
          <w:sz w:val="12"/>
          <w:szCs w:val="12"/>
        </w:rPr>
        <w:t>max</w:t>
      </w:r>
      <w:proofErr w:type="spellEnd"/>
      <w:r>
        <w:t>, maximum serum concentration; CL, total body clearance of drug from serum after intravascular administration; CL(/F), apparent total body clearance of drug from serum after extravascular administration; %CV, percent coefficient of variation; F</w:t>
      </w:r>
      <w:r>
        <w:rPr>
          <w:sz w:val="12"/>
          <w:szCs w:val="12"/>
        </w:rPr>
        <w:t>210d</w:t>
      </w:r>
      <w:r>
        <w:t>, bioavailability at Day 211; IM, intramuscular; IV, intravenous; NA, not applicable; t</w:t>
      </w:r>
      <w:r>
        <w:rPr>
          <w:sz w:val="12"/>
          <w:szCs w:val="12"/>
        </w:rPr>
        <w:t>1/2</w:t>
      </w:r>
      <w:r>
        <w:rPr>
          <w:rFonts w:hint="eastAsia"/>
          <w:sz w:val="12"/>
          <w:szCs w:val="12"/>
        </w:rPr>
        <w:t>λ</w:t>
      </w:r>
      <w:r>
        <w:rPr>
          <w:sz w:val="12"/>
          <w:szCs w:val="12"/>
        </w:rPr>
        <w:t xml:space="preserve">z, </w:t>
      </w:r>
      <w:r>
        <w:t xml:space="preserve">half-life associated with terminal slope of a semi-logarithmic concentration-time curve; </w:t>
      </w:r>
      <w:proofErr w:type="spellStart"/>
      <w:r>
        <w:t>t</w:t>
      </w:r>
      <w:r>
        <w:rPr>
          <w:sz w:val="12"/>
          <w:szCs w:val="12"/>
        </w:rPr>
        <w:t>last</w:t>
      </w:r>
      <w:proofErr w:type="spellEnd"/>
      <w:r>
        <w:t xml:space="preserve">, time to last serum concentration measurement; </w:t>
      </w:r>
      <w:proofErr w:type="spellStart"/>
      <w:r>
        <w:t>t</w:t>
      </w:r>
      <w:r>
        <w:rPr>
          <w:sz w:val="12"/>
          <w:szCs w:val="12"/>
        </w:rPr>
        <w:t>max</w:t>
      </w:r>
      <w:proofErr w:type="spellEnd"/>
      <w:r>
        <w:t xml:space="preserve">, time to maximum serum concentration; </w:t>
      </w:r>
      <w:proofErr w:type="spellStart"/>
      <w:r>
        <w:t>V</w:t>
      </w:r>
      <w:r>
        <w:rPr>
          <w:sz w:val="12"/>
          <w:szCs w:val="12"/>
        </w:rPr>
        <w:t>ss</w:t>
      </w:r>
      <w:proofErr w:type="spellEnd"/>
      <w:r>
        <w:t xml:space="preserve">, volume of distribution at steady state from an IV dose; </w:t>
      </w:r>
      <w:proofErr w:type="spellStart"/>
      <w:r>
        <w:t>V</w:t>
      </w:r>
      <w:r>
        <w:rPr>
          <w:sz w:val="12"/>
          <w:szCs w:val="12"/>
        </w:rPr>
        <w:t>z</w:t>
      </w:r>
      <w:proofErr w:type="spellEnd"/>
      <w:r>
        <w:t xml:space="preserve">, volume of distribution following iv administration (based on terminal phase); </w:t>
      </w:r>
      <w:proofErr w:type="spellStart"/>
      <w:r>
        <w:t>V</w:t>
      </w:r>
      <w:r>
        <w:rPr>
          <w:sz w:val="12"/>
          <w:szCs w:val="12"/>
        </w:rPr>
        <w:t>z</w:t>
      </w:r>
      <w:proofErr w:type="spellEnd"/>
      <w:r>
        <w:t>(/F), volume of distribution (apparent) following extravascular administration (based on terminal phase).</w:t>
      </w:r>
    </w:p>
    <w:p w14:paraId="300930E2" w14:textId="17C7D4B7" w:rsidR="00ED66DB" w:rsidRPr="00142A22" w:rsidRDefault="00142A22" w:rsidP="001726F3">
      <w:pPr>
        <w:rPr>
          <w:i/>
        </w:rPr>
      </w:pPr>
      <w:r w:rsidRPr="00142A22">
        <w:rPr>
          <w:i/>
        </w:rPr>
        <w:t>Pharmacokinetics in nasal lining fluid:</w:t>
      </w:r>
      <w:r>
        <w:rPr>
          <w:i/>
        </w:rPr>
        <w:t xml:space="preserve"> </w:t>
      </w:r>
      <w:r w:rsidR="00ED66DB" w:rsidRPr="00ED66DB">
        <w:t xml:space="preserve">Concentrations of AZD8895 and AZD1061 </w:t>
      </w:r>
      <w:r>
        <w:t>(</w:t>
      </w:r>
      <w:proofErr w:type="spellStart"/>
      <w:r>
        <w:t>tixagevimab</w:t>
      </w:r>
      <w:proofErr w:type="spellEnd"/>
      <w:r>
        <w:t xml:space="preserve"> and </w:t>
      </w:r>
      <w:proofErr w:type="spellStart"/>
      <w:r>
        <w:t>cilgavimab</w:t>
      </w:r>
      <w:proofErr w:type="spellEnd"/>
      <w:r>
        <w:t xml:space="preserve">) </w:t>
      </w:r>
      <w:r w:rsidR="00ED66DB" w:rsidRPr="00ED66DB">
        <w:t xml:space="preserve">in </w:t>
      </w:r>
      <w:r>
        <w:t>nasal lining fluid</w:t>
      </w:r>
      <w:r w:rsidR="00ED66DB" w:rsidRPr="00ED66DB">
        <w:t xml:space="preserve"> were determined by collecting nasal fluid via a nasosorption device. Data were presented for pre-dose, Day </w:t>
      </w:r>
      <w:proofErr w:type="gramStart"/>
      <w:r w:rsidR="00ED66DB" w:rsidRPr="00ED66DB">
        <w:t>8</w:t>
      </w:r>
      <w:proofErr w:type="gramEnd"/>
      <w:r w:rsidR="00ED66DB" w:rsidRPr="00ED66DB">
        <w:t xml:space="preserve"> and Day 31 in all cohorts.</w:t>
      </w:r>
    </w:p>
    <w:p w14:paraId="6BA52790" w14:textId="6B362622" w:rsidR="00ED66DB" w:rsidRPr="00ED66DB" w:rsidRDefault="00ED66DB" w:rsidP="00ED66DB">
      <w:bookmarkStart w:id="45" w:name="_Hlk93475329"/>
      <w:r w:rsidRPr="00ED66DB">
        <w:t xml:space="preserve">In the 300 mg IM dose cohort, the median AZD8895 and AZD1061 </w:t>
      </w:r>
      <w:r w:rsidR="00142A22">
        <w:t>(</w:t>
      </w:r>
      <w:proofErr w:type="spellStart"/>
      <w:r w:rsidR="00142A22">
        <w:t>tixagevimab</w:t>
      </w:r>
      <w:proofErr w:type="spellEnd"/>
      <w:r w:rsidR="00142A22">
        <w:t xml:space="preserve"> and </w:t>
      </w:r>
      <w:proofErr w:type="spellStart"/>
      <w:r w:rsidR="00142A22">
        <w:t>cilgavimab</w:t>
      </w:r>
      <w:proofErr w:type="spellEnd"/>
      <w:r w:rsidR="00142A22">
        <w:t>) nasal lining fluid</w:t>
      </w:r>
      <w:r w:rsidRPr="00ED66DB">
        <w:t xml:space="preserve"> concentrations were 171 ng/mL and 187 ng/mL respectively, at Day 8</w:t>
      </w:r>
      <w:r w:rsidR="00CE01F3">
        <w:t>,</w:t>
      </w:r>
      <w:r w:rsidRPr="00ED66DB">
        <w:t xml:space="preserve"> and226 ng/mL and 205 ng/mL</w:t>
      </w:r>
      <w:r w:rsidR="00CE01F3">
        <w:t>,</w:t>
      </w:r>
      <w:r w:rsidRPr="00ED66DB">
        <w:t xml:space="preserve"> respectively</w:t>
      </w:r>
      <w:r w:rsidR="00CE01F3">
        <w:t>,</w:t>
      </w:r>
      <w:r w:rsidRPr="00ED66DB">
        <w:t xml:space="preserve"> at Day 31.</w:t>
      </w:r>
    </w:p>
    <w:bookmarkEnd w:id="45"/>
    <w:p w14:paraId="39EBBADF" w14:textId="63875BC5" w:rsidR="00ED66DB" w:rsidRPr="00ED66DB" w:rsidRDefault="00ED66DB" w:rsidP="00142A22">
      <w:pPr>
        <w:pStyle w:val="TableTitle"/>
      </w:pPr>
      <w:r w:rsidRPr="00ED66DB">
        <w:t xml:space="preserve">Figure </w:t>
      </w:r>
      <w:r>
        <w:fldChar w:fldCharType="begin"/>
      </w:r>
      <w:r>
        <w:instrText>SEQ Figure \* ARABIC</w:instrText>
      </w:r>
      <w:r>
        <w:fldChar w:fldCharType="separate"/>
      </w:r>
      <w:r w:rsidR="004D0A2C">
        <w:rPr>
          <w:noProof/>
        </w:rPr>
        <w:t>4</w:t>
      </w:r>
      <w:r>
        <w:fldChar w:fldCharType="end"/>
      </w:r>
      <w:r w:rsidR="00142A22">
        <w:t>:</w:t>
      </w:r>
      <w:r w:rsidRPr="00ED66DB">
        <w:t xml:space="preserve"> </w:t>
      </w:r>
      <w:r w:rsidR="00142A22">
        <w:t>Study</w:t>
      </w:r>
      <w:r w:rsidR="00142A22" w:rsidRPr="00142A22">
        <w:t xml:space="preserve"> D8850C00001</w:t>
      </w:r>
      <w:r w:rsidR="00142A22">
        <w:rPr>
          <w:i/>
        </w:rPr>
        <w:t xml:space="preserve"> </w:t>
      </w:r>
      <w:r w:rsidRPr="00ED66DB">
        <w:t>Concentrations of AZD8895</w:t>
      </w:r>
      <w:r w:rsidR="00142A22">
        <w:t xml:space="preserve"> (</w:t>
      </w:r>
      <w:proofErr w:type="spellStart"/>
      <w:r w:rsidR="00142A22">
        <w:t>tixagevimab</w:t>
      </w:r>
      <w:proofErr w:type="spellEnd"/>
      <w:r w:rsidR="00142A22">
        <w:t>)</w:t>
      </w:r>
      <w:r w:rsidRPr="00ED66DB">
        <w:t>, AZD1061</w:t>
      </w:r>
      <w:r w:rsidR="00142A22">
        <w:t xml:space="preserve"> (</w:t>
      </w:r>
      <w:proofErr w:type="spellStart"/>
      <w:r w:rsidR="00142A22">
        <w:t>cilgavimab</w:t>
      </w:r>
      <w:proofErr w:type="spellEnd"/>
      <w:r w:rsidR="00142A22">
        <w:t>)</w:t>
      </w:r>
      <w:r w:rsidRPr="00ED66DB">
        <w:t xml:space="preserve">, and </w:t>
      </w:r>
      <w:proofErr w:type="spellStart"/>
      <w:r w:rsidR="00142A22">
        <w:t>Evusheld</w:t>
      </w:r>
      <w:proofErr w:type="spellEnd"/>
      <w:r w:rsidR="00142A22">
        <w:t xml:space="preserve"> (</w:t>
      </w:r>
      <w:proofErr w:type="spellStart"/>
      <w:r w:rsidR="00142A22">
        <w:t>tixagevimab</w:t>
      </w:r>
      <w:proofErr w:type="spellEnd"/>
      <w:r w:rsidR="00142A22">
        <w:t xml:space="preserve"> and </w:t>
      </w:r>
      <w:proofErr w:type="spellStart"/>
      <w:r w:rsidR="00142A22">
        <w:t>cilgavimab</w:t>
      </w:r>
      <w:proofErr w:type="spellEnd"/>
      <w:r w:rsidR="00142A22">
        <w:t xml:space="preserve">) </w:t>
      </w:r>
      <w:r w:rsidRPr="00ED66DB">
        <w:t xml:space="preserve">in </w:t>
      </w:r>
      <w:r w:rsidR="00142A22" w:rsidRPr="00ED66DB">
        <w:t>nas</w:t>
      </w:r>
      <w:r w:rsidR="00142A22">
        <w:t xml:space="preserve">al lining fluid after a single </w:t>
      </w:r>
      <w:proofErr w:type="spellStart"/>
      <w:r w:rsidR="00142A22">
        <w:t>E</w:t>
      </w:r>
      <w:r w:rsidR="00142A22" w:rsidRPr="00ED66DB">
        <w:t>vusheld</w:t>
      </w:r>
      <w:proofErr w:type="spellEnd"/>
      <w:r w:rsidR="00142A22" w:rsidRPr="00ED66DB">
        <w:t xml:space="preserve"> dose</w:t>
      </w:r>
      <w:r w:rsidRPr="00ED66DB">
        <w:t xml:space="preserve"> </w:t>
      </w:r>
      <w:r w:rsidR="00142A22" w:rsidRPr="00ED66DB">
        <w:t>(pharmacokinetic analysis set)</w:t>
      </w:r>
    </w:p>
    <w:p w14:paraId="236CC4B8" w14:textId="6242F9CC" w:rsidR="00ED66DB" w:rsidRDefault="00ED66DB" w:rsidP="00ED66DB">
      <w:r w:rsidRPr="00ED66DB">
        <w:rPr>
          <w:noProof/>
          <w:lang w:val="en-GB" w:eastAsia="en-GB"/>
        </w:rPr>
        <w:drawing>
          <wp:inline distT="0" distB="0" distL="0" distR="0" wp14:anchorId="15D6AF38" wp14:editId="63317771">
            <wp:extent cx="5362575" cy="2921000"/>
            <wp:effectExtent l="0" t="0" r="9525" b="0"/>
            <wp:docPr id="2" name="Picture 2" descr="Figure 4: Study D8850C00001 Concentrations of AZD8895 (tixagevimab), AZD1061 (cilgavimab), and Evusheld (tixagevimab and cilgavimab) in nasal lining fluid after a single Evusheld dose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4: Study D8850C00001 Concentrations of AZD8895 (tixagevimab), AZD1061 (cilgavimab), and Evusheld (tixagevimab and cilgavimab) in nasal lining fluid after a single Evusheld dose (pharmacokinetic analysis set)"/>
                    <pic:cNvPicPr/>
                  </pic:nvPicPr>
                  <pic:blipFill rotWithShape="1">
                    <a:blip r:embed="rId26"/>
                    <a:srcRect l="1662" t="4766" r="4760"/>
                    <a:stretch/>
                  </pic:blipFill>
                  <pic:spPr bwMode="auto">
                    <a:xfrm>
                      <a:off x="0" y="0"/>
                      <a:ext cx="5363467" cy="2921486"/>
                    </a:xfrm>
                    <a:prstGeom prst="rect">
                      <a:avLst/>
                    </a:prstGeom>
                    <a:ln>
                      <a:noFill/>
                    </a:ln>
                    <a:extLst>
                      <a:ext uri="{53640926-AAD7-44D8-BBD7-CCE9431645EC}">
                        <a14:shadowObscured xmlns:a14="http://schemas.microsoft.com/office/drawing/2010/main"/>
                      </a:ext>
                    </a:extLst>
                  </pic:spPr>
                </pic:pic>
              </a:graphicData>
            </a:graphic>
          </wp:inline>
        </w:drawing>
      </w:r>
    </w:p>
    <w:p w14:paraId="6743CBDD" w14:textId="77777777" w:rsidR="001726F3" w:rsidRDefault="001726F3" w:rsidP="001726F3">
      <w:pPr>
        <w:pStyle w:val="TableDescription"/>
      </w:pPr>
      <w:r>
        <w:t>Error bars correspond to Q1 and Q3 of results</w:t>
      </w:r>
    </w:p>
    <w:p w14:paraId="3E75E7C4" w14:textId="2EF0DC84" w:rsidR="001726F3" w:rsidRPr="00ED66DB" w:rsidRDefault="001726F3" w:rsidP="001726F3">
      <w:pPr>
        <w:pStyle w:val="TableDescription"/>
      </w:pPr>
      <w:r>
        <w:t>CoA, co-administered; IM, intramuscular; IV, intravenous; NLF, nasal lining fluid; Q1, first quartile; Q3, third quartile</w:t>
      </w:r>
    </w:p>
    <w:p w14:paraId="1EC39A2B" w14:textId="77777777" w:rsidR="00ED66DB" w:rsidRPr="00ED66DB" w:rsidRDefault="00142A22" w:rsidP="00142A22">
      <w:pPr>
        <w:pStyle w:val="Heading6"/>
      </w:pPr>
      <w:r>
        <w:t>Study D8850C00002 (PROVENT trial)</w:t>
      </w:r>
    </w:p>
    <w:p w14:paraId="50FE167F" w14:textId="2551697D" w:rsidR="00ED66DB" w:rsidRPr="00ED66DB" w:rsidRDefault="00ED66DB" w:rsidP="00ED66DB">
      <w:r w:rsidRPr="00ED66DB">
        <w:t xml:space="preserve">Serum concentrations of </w:t>
      </w:r>
      <w:proofErr w:type="spellStart"/>
      <w:r w:rsidR="00142A22">
        <w:t>Evusheld</w:t>
      </w:r>
      <w:proofErr w:type="spellEnd"/>
      <w:r w:rsidR="00142A22" w:rsidRPr="00ED66DB">
        <w:t xml:space="preserve"> </w:t>
      </w:r>
      <w:r w:rsidRPr="00ED66DB">
        <w:t xml:space="preserve">assessed in clonal cell </w:t>
      </w:r>
      <w:r>
        <w:t>line material</w:t>
      </w:r>
      <w:r w:rsidRPr="00ED66DB">
        <w:t xml:space="preserve"> and cell </w:t>
      </w:r>
      <w:r>
        <w:t>pool material</w:t>
      </w:r>
      <w:r w:rsidRPr="00ED66DB">
        <w:t xml:space="preserve"> over the study period were provided. The PK parameters such as </w:t>
      </w:r>
      <w:proofErr w:type="spellStart"/>
      <w:r w:rsidRPr="00ED66DB">
        <w:t>C</w:t>
      </w:r>
      <w:r w:rsidRPr="00142A22">
        <w:rPr>
          <w:vertAlign w:val="subscript"/>
        </w:rPr>
        <w:t>max</w:t>
      </w:r>
      <w:proofErr w:type="spellEnd"/>
      <w:r w:rsidRPr="00ED66DB">
        <w:t xml:space="preserve">, AUC, </w:t>
      </w:r>
      <w:proofErr w:type="spellStart"/>
      <w:r w:rsidRPr="00ED66DB">
        <w:t>t</w:t>
      </w:r>
      <w:r w:rsidRPr="00142A22">
        <w:rPr>
          <w:vertAlign w:val="subscript"/>
        </w:rPr>
        <w:t>max</w:t>
      </w:r>
      <w:proofErr w:type="spellEnd"/>
      <w:r w:rsidRPr="00ED66DB">
        <w:t xml:space="preserve"> and t</w:t>
      </w:r>
      <w:r w:rsidRPr="00142A22">
        <w:rPr>
          <w:vertAlign w:val="subscript"/>
        </w:rPr>
        <w:t>1/2</w:t>
      </w:r>
      <w:r w:rsidRPr="00ED66DB">
        <w:t xml:space="preserve"> were missing. The clonal cell l</w:t>
      </w:r>
      <w:r w:rsidR="00142A22">
        <w:t>ine data are limited by 29 days.</w:t>
      </w:r>
    </w:p>
    <w:p w14:paraId="3EB1ECCA" w14:textId="2F18CC39" w:rsidR="00ED66DB" w:rsidRPr="00ED66DB" w:rsidRDefault="00ED66DB" w:rsidP="00ED66DB">
      <w:pPr>
        <w:rPr>
          <w:highlight w:val="yellow"/>
        </w:rPr>
      </w:pPr>
      <w:r w:rsidRPr="00ED66DB">
        <w:lastRenderedPageBreak/>
        <w:t xml:space="preserve">Study D8850C00009 is ongoing to compare PK parameters between </w:t>
      </w:r>
      <w:proofErr w:type="spellStart"/>
      <w:r w:rsidR="00142A22">
        <w:t>Evusheld</w:t>
      </w:r>
      <w:proofErr w:type="spellEnd"/>
      <w:r w:rsidR="00142A22" w:rsidRPr="00ED66DB">
        <w:t xml:space="preserve"> </w:t>
      </w:r>
      <w:r w:rsidRPr="00ED66DB">
        <w:t xml:space="preserve">sourced from </w:t>
      </w:r>
      <w:r w:rsidR="00142A22" w:rsidRPr="00ED66DB">
        <w:t>clonal</w:t>
      </w:r>
      <w:r w:rsidRPr="00ED66DB">
        <w:t xml:space="preserve"> cell line and cell pool, when administered to healthy adults as two separate IM injections.</w:t>
      </w:r>
      <w:bookmarkStart w:id="46" w:name="_Hlk93566911"/>
      <w:r w:rsidR="007B655E" w:rsidRPr="007B655E">
        <w:t xml:space="preserve"> </w:t>
      </w:r>
      <w:r w:rsidR="007B655E">
        <w:t xml:space="preserve">The sponsor was requested to provide these (see </w:t>
      </w:r>
      <w:r w:rsidR="007B655E">
        <w:fldChar w:fldCharType="begin"/>
      </w:r>
      <w:r w:rsidR="007B655E">
        <w:instrText xml:space="preserve"> REF _Ref97204483 \h </w:instrText>
      </w:r>
      <w:r w:rsidR="007B655E">
        <w:fldChar w:fldCharType="separate"/>
      </w:r>
      <w:r w:rsidR="004D0A2C">
        <w:t>Questions for the sponsor</w:t>
      </w:r>
      <w:r w:rsidR="007B655E">
        <w:fldChar w:fldCharType="end"/>
      </w:r>
      <w:r w:rsidR="007B655E">
        <w:t>)</w:t>
      </w:r>
      <w:r w:rsidR="00142A22" w:rsidRPr="00177EA8">
        <w:t>.</w:t>
      </w:r>
    </w:p>
    <w:bookmarkEnd w:id="46"/>
    <w:p w14:paraId="4AD5D561" w14:textId="6BAF2668" w:rsidR="00ED66DB" w:rsidRPr="00142A22" w:rsidRDefault="00ED66DB" w:rsidP="00142A22">
      <w:pPr>
        <w:pStyle w:val="FigureTitle"/>
      </w:pPr>
      <w:r w:rsidRPr="00ED66DB">
        <w:t xml:space="preserve">Figure </w:t>
      </w:r>
      <w:r>
        <w:fldChar w:fldCharType="begin"/>
      </w:r>
      <w:r>
        <w:instrText>SEQ Figure \* ARABIC</w:instrText>
      </w:r>
      <w:r>
        <w:fldChar w:fldCharType="separate"/>
      </w:r>
      <w:r w:rsidR="004D0A2C">
        <w:rPr>
          <w:noProof/>
        </w:rPr>
        <w:t>5</w:t>
      </w:r>
      <w:r>
        <w:fldChar w:fldCharType="end"/>
      </w:r>
      <w:r w:rsidR="00142A22" w:rsidRPr="00142A22">
        <w:t>:</w:t>
      </w:r>
      <w:r w:rsidRPr="00142A22">
        <w:t xml:space="preserve"> </w:t>
      </w:r>
      <w:r w:rsidR="00142A22" w:rsidRPr="00142A22">
        <w:rPr>
          <w:bCs/>
        </w:rPr>
        <w:t>Study D8850C00002 (PROVENT trial)</w:t>
      </w:r>
      <w:r w:rsidR="00142A22" w:rsidRPr="00142A22">
        <w:t xml:space="preserve"> </w:t>
      </w:r>
      <w:r w:rsidRPr="00ED66DB">
        <w:t>Arithmetic mean (</w:t>
      </w:r>
      <w:r w:rsidR="00142A22">
        <w:t>± standard deviation</w:t>
      </w:r>
      <w:r w:rsidRPr="00ED66DB">
        <w:t>) of serum drug concentration (</w:t>
      </w:r>
      <w:proofErr w:type="spellStart"/>
      <w:r w:rsidRPr="00ED66DB">
        <w:t>μg</w:t>
      </w:r>
      <w:proofErr w:type="spellEnd"/>
      <w:r w:rsidRPr="00ED66DB">
        <w:t>/mL) versus time, semi-logarithmic line plot by analyte (</w:t>
      </w:r>
      <w:r w:rsidR="00142A22">
        <w:t>PK</w:t>
      </w:r>
      <w:r w:rsidR="00142A22" w:rsidRPr="00ED66DB">
        <w:t xml:space="preserve"> analysis set)</w:t>
      </w:r>
    </w:p>
    <w:p w14:paraId="0867B578" w14:textId="77777777" w:rsidR="00ED66DB" w:rsidRPr="00ED66DB" w:rsidRDefault="00ED66DB" w:rsidP="00ED66DB">
      <w:r w:rsidRPr="00ED66DB">
        <w:rPr>
          <w:noProof/>
          <w:lang w:val="en-GB" w:eastAsia="en-GB"/>
        </w:rPr>
        <w:drawing>
          <wp:inline distT="0" distB="0" distL="0" distR="0" wp14:anchorId="4B802F40" wp14:editId="45A514EE">
            <wp:extent cx="5516467" cy="2562046"/>
            <wp:effectExtent l="0" t="0" r="8255" b="0"/>
            <wp:docPr id="67" name="Picture 67" descr="Figure 5: Study D8850C00002 (PROVENT trial) Arithmetic mean (± standard deviation) of serum drug concentration (μg/mL) versus time, semi-logarithmic line plot by analyte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5: Study D8850C00002 (PROVENT trial) Arithmetic mean (± standard deviation) of serum drug concentration (μg/mL) versus time, semi-logarithmic line plot by analyte (PK analysis se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9627" cy="2568158"/>
                    </a:xfrm>
                    <a:prstGeom prst="rect">
                      <a:avLst/>
                    </a:prstGeom>
                    <a:noFill/>
                    <a:ln>
                      <a:noFill/>
                    </a:ln>
                  </pic:spPr>
                </pic:pic>
              </a:graphicData>
            </a:graphic>
          </wp:inline>
        </w:drawing>
      </w:r>
    </w:p>
    <w:p w14:paraId="0DA97E29" w14:textId="77777777" w:rsidR="00ED66DB" w:rsidRPr="00ED66DB" w:rsidRDefault="00142A22" w:rsidP="00142A22">
      <w:pPr>
        <w:pStyle w:val="Heading6"/>
      </w:pPr>
      <w:r>
        <w:t>Study D8550C00003 (STORM CHASER trial)</w:t>
      </w:r>
    </w:p>
    <w:p w14:paraId="3A599BE6" w14:textId="2A7DA1DB" w:rsidR="00ED66DB" w:rsidRPr="00177EA8" w:rsidRDefault="00ED66DB" w:rsidP="00ED66DB">
      <w:r w:rsidRPr="00ED66DB">
        <w:t xml:space="preserve">Serum concentrations of </w:t>
      </w:r>
      <w:proofErr w:type="spellStart"/>
      <w:r w:rsidR="00142A22">
        <w:t>Evusheld</w:t>
      </w:r>
      <w:proofErr w:type="spellEnd"/>
      <w:r w:rsidR="00142A22">
        <w:t xml:space="preserve"> </w:t>
      </w:r>
      <w:r w:rsidRPr="00ED66DB">
        <w:t xml:space="preserve">in post-exposure prophylaxis setting were provided. Key PK parameters such as </w:t>
      </w:r>
      <w:proofErr w:type="spellStart"/>
      <w:r w:rsidRPr="00ED66DB">
        <w:t>C</w:t>
      </w:r>
      <w:r w:rsidRPr="00142A22">
        <w:rPr>
          <w:vertAlign w:val="subscript"/>
        </w:rPr>
        <w:t>max</w:t>
      </w:r>
      <w:proofErr w:type="spellEnd"/>
      <w:r w:rsidRPr="00ED66DB">
        <w:t xml:space="preserve">, AUC, </w:t>
      </w:r>
      <w:proofErr w:type="spellStart"/>
      <w:r w:rsidRPr="00ED66DB">
        <w:t>t</w:t>
      </w:r>
      <w:r w:rsidRPr="00142A22">
        <w:rPr>
          <w:vertAlign w:val="subscript"/>
        </w:rPr>
        <w:t>max</w:t>
      </w:r>
      <w:proofErr w:type="spellEnd"/>
      <w:r w:rsidRPr="00ED66DB">
        <w:t xml:space="preserve"> and t</w:t>
      </w:r>
      <w:r w:rsidRPr="00142A22">
        <w:rPr>
          <w:vertAlign w:val="subscript"/>
        </w:rPr>
        <w:t>1/2</w:t>
      </w:r>
      <w:r w:rsidRPr="00ED66DB">
        <w:t xml:space="preserve"> are </w:t>
      </w:r>
      <w:proofErr w:type="spellStart"/>
      <w:proofErr w:type="gramStart"/>
      <w:r w:rsidRPr="00ED66DB">
        <w:t>missing.</w:t>
      </w:r>
      <w:r w:rsidR="007B655E">
        <w:t>The</w:t>
      </w:r>
      <w:proofErr w:type="spellEnd"/>
      <w:proofErr w:type="gramEnd"/>
      <w:r w:rsidR="007B655E">
        <w:t xml:space="preserve"> sponsor was requested to provide these (see </w:t>
      </w:r>
      <w:r w:rsidR="007B655E">
        <w:fldChar w:fldCharType="begin"/>
      </w:r>
      <w:r w:rsidR="007B655E">
        <w:instrText xml:space="preserve"> REF _Ref97204483 \h </w:instrText>
      </w:r>
      <w:r w:rsidR="007B655E">
        <w:fldChar w:fldCharType="separate"/>
      </w:r>
      <w:r w:rsidR="004D0A2C">
        <w:t>Questions for the sponsor</w:t>
      </w:r>
      <w:r w:rsidR="007B655E">
        <w:fldChar w:fldCharType="end"/>
      </w:r>
      <w:r w:rsidR="007B655E">
        <w:t>)</w:t>
      </w:r>
      <w:r w:rsidR="00142A22" w:rsidRPr="00177EA8">
        <w:t>.</w:t>
      </w:r>
    </w:p>
    <w:p w14:paraId="1ABE9874" w14:textId="1B15D04E" w:rsidR="00ED66DB" w:rsidRPr="00ED66DB" w:rsidRDefault="00ED66DB" w:rsidP="00142A22">
      <w:pPr>
        <w:pStyle w:val="TableTitle"/>
      </w:pPr>
      <w:r w:rsidRPr="00ED66DB">
        <w:t xml:space="preserve">Table </w:t>
      </w:r>
      <w:r>
        <w:fldChar w:fldCharType="begin"/>
      </w:r>
      <w:r>
        <w:instrText>SEQ Table \* ARABIC</w:instrText>
      </w:r>
      <w:r>
        <w:fldChar w:fldCharType="separate"/>
      </w:r>
      <w:r w:rsidR="004D0A2C">
        <w:rPr>
          <w:noProof/>
        </w:rPr>
        <w:t>8</w:t>
      </w:r>
      <w:r>
        <w:fldChar w:fldCharType="end"/>
      </w:r>
      <w:r w:rsidR="00142A22">
        <w:t>:</w:t>
      </w:r>
      <w:r w:rsidRPr="00ED66DB">
        <w:t xml:space="preserve"> </w:t>
      </w:r>
      <w:r w:rsidR="00142A22">
        <w:t xml:space="preserve">Study D8550C00003 (STORM CHASER trial) </w:t>
      </w:r>
      <w:r w:rsidRPr="00ED66DB">
        <w:t xml:space="preserve">Summary of serum drug concentrations </w:t>
      </w:r>
      <w:r w:rsidR="000749DA">
        <w:t>(</w:t>
      </w:r>
      <w:proofErr w:type="spellStart"/>
      <w:r w:rsidR="000749DA">
        <w:t>μg</w:t>
      </w:r>
      <w:proofErr w:type="spellEnd"/>
      <w:r w:rsidR="000749DA">
        <w:t>/mL) by v</w:t>
      </w:r>
      <w:r w:rsidRPr="00ED66DB">
        <w:t>isit (</w:t>
      </w:r>
      <w:r w:rsidR="000749DA">
        <w:t>PK</w:t>
      </w:r>
      <w:r w:rsidR="000749DA" w:rsidRPr="00ED66DB">
        <w:t xml:space="preserve"> analysis set</w:t>
      </w:r>
      <w:r w:rsidRPr="00ED66DB">
        <w:t>)</w:t>
      </w:r>
    </w:p>
    <w:p w14:paraId="1CEB6213" w14:textId="77777777" w:rsidR="00ED66DB" w:rsidRPr="00ED66DB" w:rsidRDefault="00ED66DB" w:rsidP="00ED66DB">
      <w:r w:rsidRPr="00ED66DB">
        <w:rPr>
          <w:noProof/>
          <w:lang w:val="en-GB" w:eastAsia="en-GB"/>
        </w:rPr>
        <w:drawing>
          <wp:inline distT="0" distB="0" distL="0" distR="0" wp14:anchorId="43242EB7" wp14:editId="67212922">
            <wp:extent cx="5374256" cy="1423052"/>
            <wp:effectExtent l="0" t="0" r="0" b="5715"/>
            <wp:docPr id="74" name="Picture 74" descr="Table 8: Study D8550C00003 (STORM CHASER trial) Summary of serum drug concentrations (μg/mL) by visit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able 8: Study D8550C00003 (STORM CHASER trial) Summary of serum drug concentrations (μg/mL) by visit (PK analysis se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8946" cy="1424294"/>
                    </a:xfrm>
                    <a:prstGeom prst="rect">
                      <a:avLst/>
                    </a:prstGeom>
                    <a:noFill/>
                    <a:ln>
                      <a:noFill/>
                    </a:ln>
                  </pic:spPr>
                </pic:pic>
              </a:graphicData>
            </a:graphic>
          </wp:inline>
        </w:drawing>
      </w:r>
    </w:p>
    <w:p w14:paraId="0D1E34C5" w14:textId="77777777" w:rsidR="00ED66DB" w:rsidRPr="00ED66DB" w:rsidRDefault="00ED66DB" w:rsidP="00ED66DB">
      <w:r w:rsidRPr="00ED66DB">
        <w:rPr>
          <w:noProof/>
          <w:lang w:val="en-GB" w:eastAsia="en-GB"/>
        </w:rPr>
        <w:drawing>
          <wp:inline distT="0" distB="0" distL="0" distR="0" wp14:anchorId="33F256A6" wp14:editId="2623C0DA">
            <wp:extent cx="5322498" cy="1517850"/>
            <wp:effectExtent l="0" t="0" r="0" b="6350"/>
            <wp:docPr id="75" name="Picture 75" descr="Table 8: Study D8550C00003 (STORM CHASER trial) Summary of serum drug concentrations (μg/mL) by visit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able 8: Study D8550C00003 (STORM CHASER trial) Summary of serum drug concentrations (μg/mL) by visit (PK analysis se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8048" cy="1522285"/>
                    </a:xfrm>
                    <a:prstGeom prst="rect">
                      <a:avLst/>
                    </a:prstGeom>
                    <a:noFill/>
                    <a:ln>
                      <a:noFill/>
                    </a:ln>
                  </pic:spPr>
                </pic:pic>
              </a:graphicData>
            </a:graphic>
          </wp:inline>
        </w:drawing>
      </w:r>
    </w:p>
    <w:p w14:paraId="4082F399" w14:textId="09FCC456" w:rsidR="00ED66DB" w:rsidRPr="00ED66DB" w:rsidRDefault="00ED66DB" w:rsidP="00434B39">
      <w:pPr>
        <w:pStyle w:val="Heading5"/>
      </w:pPr>
      <w:r w:rsidRPr="00ED66DB">
        <w:t xml:space="preserve">Population </w:t>
      </w:r>
      <w:r w:rsidR="006B1021">
        <w:t>pharmacokinetic data</w:t>
      </w:r>
    </w:p>
    <w:p w14:paraId="7AC8189C" w14:textId="77777777" w:rsidR="00ED66DB" w:rsidRPr="00ED66DB" w:rsidRDefault="006B1021" w:rsidP="00ED66DB">
      <w:r>
        <w:t>The key objectives of the population pharmacokinetic (</w:t>
      </w:r>
      <w:proofErr w:type="spellStart"/>
      <w:r>
        <w:t>popPK</w:t>
      </w:r>
      <w:proofErr w:type="spellEnd"/>
      <w:r>
        <w:t>)</w:t>
      </w:r>
      <w:r w:rsidR="00ED66DB" w:rsidRPr="00ED66DB">
        <w:t xml:space="preserve"> model analysis were to establish that:</w:t>
      </w:r>
    </w:p>
    <w:p w14:paraId="69650551" w14:textId="77777777" w:rsidR="00ED66DB" w:rsidRPr="00ED66DB" w:rsidRDefault="006B1021" w:rsidP="006B1021">
      <w:pPr>
        <w:pStyle w:val="ListBullet"/>
      </w:pPr>
      <w:r>
        <w:t>e</w:t>
      </w:r>
      <w:r w:rsidR="00ED66DB" w:rsidRPr="00ED66DB">
        <w:t xml:space="preserve">fficacy of </w:t>
      </w:r>
      <w:proofErr w:type="spellStart"/>
      <w:r>
        <w:t>Evusheld</w:t>
      </w:r>
      <w:proofErr w:type="spellEnd"/>
      <w:r w:rsidR="00ED66DB" w:rsidRPr="00ED66DB">
        <w:t xml:space="preserve"> lasts for around 6 m</w:t>
      </w:r>
      <w:r>
        <w:t>onths in majority of recipients; and</w:t>
      </w:r>
    </w:p>
    <w:p w14:paraId="6389DCF3" w14:textId="77777777" w:rsidR="00ED66DB" w:rsidRPr="00ED66DB" w:rsidRDefault="006B1021" w:rsidP="00ED66DB">
      <w:pPr>
        <w:pStyle w:val="ListBullet"/>
      </w:pPr>
      <w:r>
        <w:lastRenderedPageBreak/>
        <w:t>pharmacokinetic</w:t>
      </w:r>
      <w:r w:rsidR="00ED66DB" w:rsidRPr="00ED66DB">
        <w:t xml:space="preserve"> parameters of </w:t>
      </w:r>
      <w:proofErr w:type="spellStart"/>
      <w:r>
        <w:t>Evusheld</w:t>
      </w:r>
      <w:proofErr w:type="spellEnd"/>
      <w:r w:rsidRPr="00ED66DB">
        <w:t xml:space="preserve"> </w:t>
      </w:r>
      <w:r w:rsidR="00ED66DB" w:rsidRPr="00ED66DB">
        <w:t>in adults are comparable to adolescents ≥</w:t>
      </w:r>
      <w:r>
        <w:t> 12 </w:t>
      </w:r>
      <w:r w:rsidR="00ED66DB" w:rsidRPr="00ED66DB">
        <w:t>years of age and ≥</w:t>
      </w:r>
      <w:r>
        <w:t> </w:t>
      </w:r>
      <w:r w:rsidR="00ED66DB" w:rsidRPr="00ED66DB">
        <w:t>40</w:t>
      </w:r>
      <w:r>
        <w:t> </w:t>
      </w:r>
      <w:r w:rsidR="00ED66DB" w:rsidRPr="00ED66DB">
        <w:t>kg of weight.</w:t>
      </w:r>
    </w:p>
    <w:p w14:paraId="3AEE3F07" w14:textId="77777777" w:rsidR="00ED66DB" w:rsidRPr="006B1021" w:rsidRDefault="00ED66DB" w:rsidP="006B1021">
      <w:pPr>
        <w:pStyle w:val="Heading6"/>
      </w:pPr>
      <w:r w:rsidRPr="006B1021">
        <w:t xml:space="preserve">Base </w:t>
      </w:r>
      <w:r w:rsidR="006B1021" w:rsidRPr="006B1021">
        <w:t xml:space="preserve">pharmacokinetic </w:t>
      </w:r>
      <w:r w:rsidRPr="006B1021">
        <w:t>model</w:t>
      </w:r>
    </w:p>
    <w:p w14:paraId="60F4C6D5" w14:textId="77777777" w:rsidR="00ED66DB" w:rsidRPr="00ED66DB" w:rsidRDefault="006B1021" w:rsidP="00ED66DB">
      <w:r>
        <w:t xml:space="preserve">The </w:t>
      </w:r>
      <w:proofErr w:type="spellStart"/>
      <w:r>
        <w:t>pop</w:t>
      </w:r>
      <w:r w:rsidR="00ED66DB" w:rsidRPr="00ED66DB">
        <w:t>PK</w:t>
      </w:r>
      <w:proofErr w:type="spellEnd"/>
      <w:r w:rsidR="00ED66DB" w:rsidRPr="00ED66DB">
        <w:t xml:space="preserve"> analysis for </w:t>
      </w:r>
      <w:proofErr w:type="spellStart"/>
      <w:r>
        <w:t>Evusheld</w:t>
      </w:r>
      <w:proofErr w:type="spellEnd"/>
      <w:r w:rsidRPr="00ED66DB">
        <w:t xml:space="preserve"> </w:t>
      </w:r>
      <w:r w:rsidR="00ED66DB" w:rsidRPr="00ED66DB">
        <w:t>was based on a clinical Phase I study in healthy volunteers (</w:t>
      </w:r>
      <w:r w:rsidR="00957133">
        <w:t>Study </w:t>
      </w:r>
      <w:r w:rsidR="00ED66DB" w:rsidRPr="00ED66DB">
        <w:t xml:space="preserve">D8850C00001) and </w:t>
      </w:r>
      <w:proofErr w:type="gramStart"/>
      <w:r w:rsidR="00ED66DB" w:rsidRPr="00ED66DB">
        <w:t>two Phase III</w:t>
      </w:r>
      <w:proofErr w:type="gramEnd"/>
      <w:r w:rsidR="00ED66DB" w:rsidRPr="00ED66DB">
        <w:t xml:space="preserve"> studies (</w:t>
      </w:r>
      <w:r>
        <w:t>Study D8850C00002, the PROVENT trial;</w:t>
      </w:r>
      <w:r w:rsidR="00ED66DB" w:rsidRPr="00ED66DB">
        <w:t xml:space="preserve"> and </w:t>
      </w:r>
      <w:r>
        <w:t xml:space="preserve">Study D8850C00003, the </w:t>
      </w:r>
      <w:r w:rsidR="00ED66DB" w:rsidRPr="00ED66DB">
        <w:t>STORM CHASER</w:t>
      </w:r>
      <w:r>
        <w:t xml:space="preserve"> trial).</w:t>
      </w:r>
    </w:p>
    <w:p w14:paraId="297CCAAC" w14:textId="43B6AC27" w:rsidR="00ED66DB" w:rsidRPr="00ED66DB" w:rsidRDefault="00ED66DB" w:rsidP="00ED66DB">
      <w:r w:rsidRPr="00ED66DB">
        <w:t xml:space="preserve">The final pooled dataset for analysis included 2029 participants. An IM dose of 300 mg was used in the 2 Phase III studies; the Phase I study investigated the </w:t>
      </w:r>
      <w:r w:rsidR="006B1021">
        <w:t>PK</w:t>
      </w:r>
      <w:r w:rsidRPr="00ED66DB">
        <w:t xml:space="preserve"> of </w:t>
      </w:r>
      <w:proofErr w:type="spellStart"/>
      <w:r w:rsidR="006B1021">
        <w:t>Evusheld</w:t>
      </w:r>
      <w:proofErr w:type="spellEnd"/>
      <w:r w:rsidR="006B1021">
        <w:t xml:space="preserve"> </w:t>
      </w:r>
      <w:r w:rsidRPr="00ED66DB">
        <w:t>in healthy volunteers with doses ranging from 300 to 3000 mg IV and 300 mg IM. Thi</w:t>
      </w:r>
      <w:r w:rsidR="006B1021">
        <w:t>s Phase </w:t>
      </w:r>
      <w:r w:rsidRPr="00ED66DB">
        <w:t>I population PK model included IV (300 to 3000 mg) and IM (300 mg) route of administrations. Interim non</w:t>
      </w:r>
      <w:r w:rsidR="006B1021">
        <w:t>-</w:t>
      </w:r>
      <w:r w:rsidRPr="00ED66DB">
        <w:t xml:space="preserve">compartmental PK analysis suggested the </w:t>
      </w:r>
      <w:proofErr w:type="spellStart"/>
      <w:r w:rsidRPr="00ED66DB">
        <w:t>C</w:t>
      </w:r>
      <w:r w:rsidRPr="006B1021">
        <w:rPr>
          <w:vertAlign w:val="subscript"/>
        </w:rPr>
        <w:t>max</w:t>
      </w:r>
      <w:proofErr w:type="spellEnd"/>
      <w:r w:rsidRPr="00ED66DB">
        <w:t xml:space="preserve"> and AUC</w:t>
      </w:r>
      <w:r w:rsidR="006B1021">
        <w:rPr>
          <w:vertAlign w:val="subscript"/>
        </w:rPr>
        <w:t>0</w:t>
      </w:r>
      <w:r w:rsidR="006B1021">
        <w:rPr>
          <w:vertAlign w:val="subscript"/>
        </w:rPr>
        <w:noBreakHyphen/>
      </w:r>
      <w:r w:rsidRPr="006B1021">
        <w:rPr>
          <w:vertAlign w:val="subscript"/>
        </w:rPr>
        <w:t>210days</w:t>
      </w:r>
      <w:r w:rsidRPr="00ED66DB">
        <w:t xml:space="preserve"> of </w:t>
      </w:r>
      <w:proofErr w:type="spellStart"/>
      <w:r w:rsidRPr="00ED66DB">
        <w:t>tixagevimab</w:t>
      </w:r>
      <w:proofErr w:type="spellEnd"/>
      <w:r w:rsidRPr="00ED66DB">
        <w:t xml:space="preserve"> and </w:t>
      </w:r>
      <w:proofErr w:type="spellStart"/>
      <w:r w:rsidRPr="00ED66DB">
        <w:t>cilgavimab</w:t>
      </w:r>
      <w:proofErr w:type="spellEnd"/>
      <w:r w:rsidRPr="00ED66DB">
        <w:t xml:space="preserve"> increased approximately dose proportionally.</w:t>
      </w:r>
    </w:p>
    <w:p w14:paraId="3377F48A" w14:textId="77777777" w:rsidR="00ED66DB" w:rsidRPr="00ED66DB" w:rsidRDefault="00ED66DB" w:rsidP="00ED66DB">
      <w:r w:rsidRPr="00ED66DB">
        <w:t>Based on non</w:t>
      </w:r>
      <w:r w:rsidR="00F07DEE">
        <w:t>-</w:t>
      </w:r>
      <w:r w:rsidRPr="00ED66DB">
        <w:t xml:space="preserve">compartmental analysis the bioavailability of </w:t>
      </w:r>
      <w:proofErr w:type="spellStart"/>
      <w:r w:rsidR="006B1021">
        <w:t>Evusheld</w:t>
      </w:r>
      <w:proofErr w:type="spellEnd"/>
      <w:r w:rsidR="006B1021" w:rsidRPr="00ED66DB">
        <w:t xml:space="preserve"> </w:t>
      </w:r>
      <w:r w:rsidRPr="00ED66DB">
        <w:t xml:space="preserve">(based on </w:t>
      </w:r>
      <w:r w:rsidR="006B1021">
        <w:t>AUC</w:t>
      </w:r>
      <w:r w:rsidR="006B1021">
        <w:rPr>
          <w:vertAlign w:val="subscript"/>
        </w:rPr>
        <w:t>0</w:t>
      </w:r>
      <w:r w:rsidR="006B1021">
        <w:rPr>
          <w:vertAlign w:val="subscript"/>
        </w:rPr>
        <w:noBreakHyphen/>
        <w:t>210days</w:t>
      </w:r>
      <w:r w:rsidRPr="00ED66DB">
        <w:t xml:space="preserve">; following single dose IM administration of 300 mg </w:t>
      </w:r>
      <w:proofErr w:type="spellStart"/>
      <w:r w:rsidR="006B1021">
        <w:t>Evusheld</w:t>
      </w:r>
      <w:proofErr w:type="spellEnd"/>
      <w:r w:rsidRPr="00ED66DB">
        <w:t xml:space="preserve">) was 67% and 66% for </w:t>
      </w:r>
      <w:proofErr w:type="spellStart"/>
      <w:r w:rsidRPr="00ED66DB">
        <w:t>tixagevimab</w:t>
      </w:r>
      <w:proofErr w:type="spellEnd"/>
      <w:r w:rsidRPr="00ED66DB">
        <w:t xml:space="preserve"> and </w:t>
      </w:r>
      <w:proofErr w:type="spellStart"/>
      <w:r w:rsidRPr="00ED66DB">
        <w:t>cilgavimab</w:t>
      </w:r>
      <w:proofErr w:type="spellEnd"/>
      <w:r w:rsidRPr="00ED66DB">
        <w:t xml:space="preserve">, respectively. </w:t>
      </w:r>
      <w:proofErr w:type="spellStart"/>
      <w:r w:rsidR="006B1021">
        <w:t>Evusheld</w:t>
      </w:r>
      <w:proofErr w:type="spellEnd"/>
      <w:r w:rsidR="006B1021" w:rsidRPr="00ED66DB">
        <w:t xml:space="preserve"> </w:t>
      </w:r>
      <w:r w:rsidRPr="00ED66DB">
        <w:t>had a median time to reach maximum serum concentration (</w:t>
      </w:r>
      <w:proofErr w:type="spellStart"/>
      <w:r w:rsidRPr="00ED66DB">
        <w:t>t</w:t>
      </w:r>
      <w:r w:rsidRPr="006B1021">
        <w:rPr>
          <w:vertAlign w:val="subscript"/>
        </w:rPr>
        <w:t>max</w:t>
      </w:r>
      <w:proofErr w:type="spellEnd"/>
      <w:r w:rsidRPr="00ED66DB">
        <w:t>) of 14 days after IM dose of</w:t>
      </w:r>
      <w:r w:rsidR="00957133">
        <w:t xml:space="preserve"> 300 mg and an estimated mean t</w:t>
      </w:r>
      <w:r w:rsidR="00957133">
        <w:rPr>
          <w:vertAlign w:val="subscript"/>
        </w:rPr>
        <w:t>1/2</w:t>
      </w:r>
      <w:r w:rsidRPr="00ED66DB">
        <w:t xml:space="preserve"> across dose cohorts and across the 2 antibodies of 90 days.</w:t>
      </w:r>
    </w:p>
    <w:p w14:paraId="1BED139F" w14:textId="77777777" w:rsidR="00ED66DB" w:rsidRPr="00ED66DB" w:rsidRDefault="00ED66DB" w:rsidP="00ED66DB">
      <w:r w:rsidRPr="00ED66DB">
        <w:t xml:space="preserve">For the pooled PK data set analysis, a two-compartmental model with first-order absorption and first-order elimination following IV and IM administration was adopted by the sponsor to describe the data. Parameter estimates and goodness of fit plots for </w:t>
      </w:r>
      <w:proofErr w:type="spellStart"/>
      <w:r w:rsidRPr="00ED66DB">
        <w:t>Evusheld</w:t>
      </w:r>
      <w:proofErr w:type="spellEnd"/>
      <w:r w:rsidRPr="00ED66DB">
        <w:t xml:space="preserve"> showed that the model described the data. The rationale for inclusion of allometric exponents in the structural base PK model was adequately developed.</w:t>
      </w:r>
    </w:p>
    <w:p w14:paraId="71168B28" w14:textId="77777777" w:rsidR="00ED66DB" w:rsidRPr="00ED66DB" w:rsidRDefault="00ED66DB" w:rsidP="00ED66DB">
      <w:r w:rsidRPr="00ED66DB">
        <w:t xml:space="preserve">The absolute bioavailability of </w:t>
      </w:r>
      <w:proofErr w:type="spellStart"/>
      <w:r w:rsidR="00F07DEE">
        <w:t>Evusheld</w:t>
      </w:r>
      <w:proofErr w:type="spellEnd"/>
      <w:r w:rsidR="00F07DEE" w:rsidRPr="00ED66DB">
        <w:t xml:space="preserve"> </w:t>
      </w:r>
      <w:r w:rsidRPr="00ED66DB">
        <w:t>administered via IM route was 73.3%. The derived t</w:t>
      </w:r>
      <w:r w:rsidRPr="00F07DEE">
        <w:rPr>
          <w:vertAlign w:val="subscript"/>
        </w:rPr>
        <w:t xml:space="preserve">1/2 </w:t>
      </w:r>
      <w:r w:rsidRPr="00ED66DB">
        <w:t xml:space="preserve">of </w:t>
      </w:r>
      <w:proofErr w:type="spellStart"/>
      <w:r w:rsidR="00F07DEE">
        <w:t>Evusheld</w:t>
      </w:r>
      <w:proofErr w:type="spellEnd"/>
      <w:r w:rsidR="00F07DEE" w:rsidRPr="00ED66DB">
        <w:t xml:space="preserve"> </w:t>
      </w:r>
      <w:r w:rsidRPr="00ED66DB">
        <w:t xml:space="preserve">was 96.4 days. The </w:t>
      </w:r>
      <w:r w:rsidR="00F07DEE" w:rsidRPr="00ED66DB">
        <w:t xml:space="preserve">relative standard error </w:t>
      </w:r>
      <w:r w:rsidRPr="00ED66DB">
        <w:t xml:space="preserve">for the model </w:t>
      </w:r>
      <w:r w:rsidR="00957133">
        <w:t>was considered as acceptable (&lt; </w:t>
      </w:r>
      <w:r w:rsidRPr="00ED66DB">
        <w:t>30%).</w:t>
      </w:r>
    </w:p>
    <w:p w14:paraId="08E579EA" w14:textId="77777777" w:rsidR="00ED66DB" w:rsidRPr="00ED66DB" w:rsidRDefault="00F07DEE" w:rsidP="00F07DEE">
      <w:pPr>
        <w:pStyle w:val="Heading6"/>
      </w:pPr>
      <w:r>
        <w:t>Covariate selection and final pharmacokinetic</w:t>
      </w:r>
      <w:r w:rsidR="00ED66DB" w:rsidRPr="00ED66DB">
        <w:t xml:space="preserve"> model</w:t>
      </w:r>
    </w:p>
    <w:p w14:paraId="6682CD90" w14:textId="77777777" w:rsidR="00ED66DB" w:rsidRPr="00ED66DB" w:rsidRDefault="00ED66DB" w:rsidP="00ED66DB">
      <w:r w:rsidRPr="00ED66DB">
        <w:t xml:space="preserve">Covariate selection was performed for </w:t>
      </w:r>
      <w:proofErr w:type="spellStart"/>
      <w:r w:rsidRPr="00ED66DB">
        <w:t>Evusheld</w:t>
      </w:r>
      <w:proofErr w:type="spellEnd"/>
      <w:r w:rsidRPr="00ED66DB">
        <w:t xml:space="preserve"> and the covariate model was applied to </w:t>
      </w:r>
      <w:proofErr w:type="spellStart"/>
      <w:r w:rsidRPr="00ED66DB">
        <w:t>tixagevimab</w:t>
      </w:r>
      <w:proofErr w:type="spellEnd"/>
      <w:r w:rsidRPr="00ED66DB">
        <w:t xml:space="preserve"> and </w:t>
      </w:r>
      <w:proofErr w:type="spellStart"/>
      <w:r w:rsidRPr="00ED66DB">
        <w:t>cilgavimab</w:t>
      </w:r>
      <w:proofErr w:type="spellEnd"/>
      <w:r w:rsidRPr="00ED66DB">
        <w:t xml:space="preserve">. Given </w:t>
      </w:r>
      <w:r w:rsidR="00F07DEE">
        <w:t>the magnitude of shrinkage on clearance</w:t>
      </w:r>
      <w:r w:rsidRPr="00ED66DB">
        <w:t xml:space="preserve"> (53%) and the absorption rate constant (K</w:t>
      </w:r>
      <w:r w:rsidRPr="00F07DEE">
        <w:rPr>
          <w:vertAlign w:val="subscript"/>
        </w:rPr>
        <w:t>a</w:t>
      </w:r>
      <w:r w:rsidRPr="00ED66DB">
        <w:t>) (43%), consideration might have been given to excluding covariate evaluations on these parameters. Nevertheless, covariate sele</w:t>
      </w:r>
      <w:r w:rsidR="00957133">
        <w:t>ction was conducted. Although 4 </w:t>
      </w:r>
      <w:r w:rsidRPr="00ED66DB">
        <w:t>covariates were identified to be statistically significant, the impact of the covariates was negligible in explaining inter</w:t>
      </w:r>
      <w:r w:rsidR="00957133">
        <w:t>-</w:t>
      </w:r>
      <w:r w:rsidRPr="00ED66DB">
        <w:t xml:space="preserve">individual variability in </w:t>
      </w:r>
      <w:proofErr w:type="spellStart"/>
      <w:r w:rsidRPr="00ED66DB">
        <w:t>Evusheld</w:t>
      </w:r>
      <w:proofErr w:type="spellEnd"/>
      <w:r w:rsidRPr="00ED66DB">
        <w:t xml:space="preserve"> PK.</w:t>
      </w:r>
    </w:p>
    <w:p w14:paraId="4314F90F" w14:textId="77777777" w:rsidR="00ED66DB" w:rsidRPr="00ED66DB" w:rsidRDefault="00ED66DB" w:rsidP="00ED66DB">
      <w:r w:rsidRPr="00ED66DB">
        <w:t>Model diagnostics were presented for all three analytes and confirmed the adequacy of the model to describe the data. Parameter estimates for the final population PK model showed good precision. Goodness of fit plots showed good agreement between observations and model predictions.</w:t>
      </w:r>
    </w:p>
    <w:p w14:paraId="16A395EF" w14:textId="77777777" w:rsidR="00ED66DB" w:rsidRPr="00ED66DB" w:rsidRDefault="00ED66DB" w:rsidP="00F07DEE">
      <w:pPr>
        <w:pStyle w:val="Heading6"/>
      </w:pPr>
      <w:r w:rsidRPr="00ED66DB">
        <w:t xml:space="preserve">Pooled </w:t>
      </w:r>
      <w:r w:rsidR="00F07DEE">
        <w:t>population pharmacokinetic</w:t>
      </w:r>
      <w:r w:rsidRPr="00ED66DB">
        <w:t xml:space="preserve"> analysis</w:t>
      </w:r>
    </w:p>
    <w:p w14:paraId="1CBBB15E" w14:textId="778F37DF" w:rsidR="00ED66DB" w:rsidRPr="00F07DEE" w:rsidRDefault="00ED66DB" w:rsidP="00ED66DB">
      <w:pPr>
        <w:rPr>
          <w:i/>
        </w:rPr>
      </w:pPr>
      <w:r w:rsidRPr="00F07DEE">
        <w:rPr>
          <w:i/>
        </w:rPr>
        <w:t>Baseline characteristics of</w:t>
      </w:r>
      <w:r w:rsidR="00F07DEE">
        <w:rPr>
          <w:i/>
        </w:rPr>
        <w:t xml:space="preserve"> subjects in the pooled dataset: </w:t>
      </w:r>
      <w:r w:rsidR="00F07DEE">
        <w:t>The mean age was around 53 </w:t>
      </w:r>
      <w:r w:rsidRPr="00ED66DB">
        <w:t>years, with a mean body weight of around 84</w:t>
      </w:r>
      <w:r w:rsidR="00F07DEE">
        <w:t xml:space="preserve"> </w:t>
      </w:r>
      <w:r w:rsidRPr="00ED66DB">
        <w:t xml:space="preserve">kg. The mean </w:t>
      </w:r>
      <w:r w:rsidR="00F07DEE">
        <w:t>body mass index</w:t>
      </w:r>
      <w:r w:rsidRPr="00ED66DB">
        <w:t xml:space="preserve"> was in the over-weight range (29</w:t>
      </w:r>
      <w:r w:rsidR="00F07DEE">
        <w:t>.2), with a wide margin (20.44 to 41.2).</w:t>
      </w:r>
    </w:p>
    <w:p w14:paraId="679017D2" w14:textId="1E000AD9" w:rsidR="00F07DEE" w:rsidRDefault="00F07DEE" w:rsidP="00F07DEE">
      <w:pPr>
        <w:pStyle w:val="TableTitle"/>
      </w:pPr>
      <w:r>
        <w:lastRenderedPageBreak/>
        <w:t xml:space="preserve">Table </w:t>
      </w:r>
      <w:r>
        <w:fldChar w:fldCharType="begin"/>
      </w:r>
      <w:r>
        <w:instrText>SEQ Table \* ARABIC</w:instrText>
      </w:r>
      <w:r>
        <w:fldChar w:fldCharType="separate"/>
      </w:r>
      <w:r w:rsidR="004D0A2C">
        <w:rPr>
          <w:noProof/>
        </w:rPr>
        <w:t>9</w:t>
      </w:r>
      <w:r>
        <w:fldChar w:fldCharType="end"/>
      </w:r>
      <w:r>
        <w:t>: Population pharmacokinetic analysis; Baseline characteristics of subjects in the pooled dataset</w:t>
      </w:r>
    </w:p>
    <w:p w14:paraId="1DEEC7BB" w14:textId="77777777" w:rsidR="00ED66DB" w:rsidRPr="00ED66DB" w:rsidRDefault="00ED66DB" w:rsidP="00ED66DB">
      <w:r w:rsidRPr="00ED66DB">
        <w:rPr>
          <w:noProof/>
          <w:lang w:val="en-GB" w:eastAsia="en-GB"/>
        </w:rPr>
        <w:drawing>
          <wp:inline distT="0" distB="0" distL="0" distR="0" wp14:anchorId="1E59E84E" wp14:editId="0224BD91">
            <wp:extent cx="5238750" cy="2475434"/>
            <wp:effectExtent l="0" t="0" r="0" b="1270"/>
            <wp:docPr id="13" name="Picture 13" descr="Table 10: Population pharmacokinetic analysis; Baseline characteristics of subjects in the pool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10: Population pharmacokinetic analysis; Baseline characteristics of subjects in the pooled dataset"/>
                    <pic:cNvPicPr/>
                  </pic:nvPicPr>
                  <pic:blipFill>
                    <a:blip r:embed="rId30"/>
                    <a:stretch>
                      <a:fillRect/>
                    </a:stretch>
                  </pic:blipFill>
                  <pic:spPr>
                    <a:xfrm>
                      <a:off x="0" y="0"/>
                      <a:ext cx="5247940" cy="2479776"/>
                    </a:xfrm>
                    <a:prstGeom prst="rect">
                      <a:avLst/>
                    </a:prstGeom>
                  </pic:spPr>
                </pic:pic>
              </a:graphicData>
            </a:graphic>
          </wp:inline>
        </w:drawing>
      </w:r>
    </w:p>
    <w:p w14:paraId="6C710EBF" w14:textId="77777777" w:rsidR="00ED66DB" w:rsidRPr="00ED66DB" w:rsidRDefault="00ED66DB" w:rsidP="00ED66DB">
      <w:r w:rsidRPr="00ED66DB">
        <w:t>Around 43% of subjects were ≥ 60 years of age. 53.7 % of subjects were males. Overall, the dataset appears to be representative of the targeted patient population.</w:t>
      </w:r>
    </w:p>
    <w:p w14:paraId="484FAFF8" w14:textId="537858C8" w:rsidR="00F07DEE" w:rsidRDefault="00F07DEE" w:rsidP="00F07DEE">
      <w:pPr>
        <w:pStyle w:val="TableTitle"/>
      </w:pPr>
      <w:r>
        <w:lastRenderedPageBreak/>
        <w:t xml:space="preserve">Table </w:t>
      </w:r>
      <w:r>
        <w:fldChar w:fldCharType="begin"/>
      </w:r>
      <w:r>
        <w:instrText>SEQ Table \* ARABIC</w:instrText>
      </w:r>
      <w:r>
        <w:fldChar w:fldCharType="separate"/>
      </w:r>
      <w:r w:rsidR="004D0A2C">
        <w:rPr>
          <w:noProof/>
        </w:rPr>
        <w:t>10</w:t>
      </w:r>
      <w:r>
        <w:fldChar w:fldCharType="end"/>
      </w:r>
      <w:r>
        <w:t>: Population pharmacokinetic analysis; Baseline characteristics of subjects in the pooled dataset</w:t>
      </w:r>
    </w:p>
    <w:p w14:paraId="341E9D3A" w14:textId="188F5424" w:rsidR="00ED66DB" w:rsidRDefault="00ED66DB" w:rsidP="00ED66DB">
      <w:r w:rsidRPr="00ED66DB">
        <w:rPr>
          <w:noProof/>
          <w:lang w:val="en-GB" w:eastAsia="en-GB"/>
        </w:rPr>
        <w:drawing>
          <wp:inline distT="0" distB="0" distL="0" distR="0" wp14:anchorId="616D7BA4" wp14:editId="379A085F">
            <wp:extent cx="5276850" cy="6256574"/>
            <wp:effectExtent l="0" t="0" r="0" b="0"/>
            <wp:docPr id="56" name="Picture 56" descr="Table 11: Population pharmacokinetic analysis; Baseline characteristics of subjects in the pool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 11: Population pharmacokinetic analysis; Baseline characteristics of subjects in the pooled dataset"/>
                    <pic:cNvPicPr/>
                  </pic:nvPicPr>
                  <pic:blipFill rotWithShape="1">
                    <a:blip r:embed="rId31"/>
                    <a:srcRect l="2020" r="1169" b="3281"/>
                    <a:stretch/>
                  </pic:blipFill>
                  <pic:spPr bwMode="auto">
                    <a:xfrm>
                      <a:off x="0" y="0"/>
                      <a:ext cx="5292945" cy="6275657"/>
                    </a:xfrm>
                    <a:prstGeom prst="rect">
                      <a:avLst/>
                    </a:prstGeom>
                    <a:ln>
                      <a:noFill/>
                    </a:ln>
                    <a:extLst>
                      <a:ext uri="{53640926-AAD7-44D8-BBD7-CCE9431645EC}">
                        <a14:shadowObscured xmlns:a14="http://schemas.microsoft.com/office/drawing/2010/main"/>
                      </a:ext>
                    </a:extLst>
                  </pic:spPr>
                </pic:pic>
              </a:graphicData>
            </a:graphic>
          </wp:inline>
        </w:drawing>
      </w:r>
    </w:p>
    <w:p w14:paraId="4D9BAB17" w14:textId="3A37D465" w:rsidR="00325954" w:rsidRPr="00ED66DB" w:rsidRDefault="00325954" w:rsidP="00325954">
      <w:pPr>
        <w:pStyle w:val="TableDescription"/>
      </w:pPr>
      <w:r>
        <w:t>BMI = body mass index; eGFR = estimated glomerular filtration rate; PK = pharmacokinetic</w:t>
      </w:r>
    </w:p>
    <w:p w14:paraId="158295A3" w14:textId="77777777" w:rsidR="00ED66DB" w:rsidRPr="00ED66DB" w:rsidRDefault="00ED66DB" w:rsidP="00F07DEE">
      <w:pPr>
        <w:pStyle w:val="Heading6"/>
      </w:pPr>
      <w:r w:rsidRPr="00ED66DB">
        <w:t>Results</w:t>
      </w:r>
    </w:p>
    <w:p w14:paraId="4DB34057" w14:textId="453FAA60" w:rsidR="00ED66DB" w:rsidRPr="00ED66DB" w:rsidRDefault="00ED66DB" w:rsidP="00ED66DB">
      <w:r w:rsidRPr="00ED66DB">
        <w:t xml:space="preserve">Body mass index and age were statistically significant covariates on </w:t>
      </w:r>
      <w:r w:rsidR="00F07DEE">
        <w:t>absorption rate constant (</w:t>
      </w:r>
      <w:r w:rsidRPr="00ED66DB">
        <w:t>K</w:t>
      </w:r>
      <w:r w:rsidR="00957133">
        <w:rPr>
          <w:vertAlign w:val="subscript"/>
        </w:rPr>
        <w:t>a</w:t>
      </w:r>
      <w:r w:rsidR="00F07DEE">
        <w:t>),</w:t>
      </w:r>
      <w:r w:rsidR="00957133">
        <w:t xml:space="preserve"> diabetes on </w:t>
      </w:r>
      <w:r w:rsidR="006B04E9">
        <w:t>central</w:t>
      </w:r>
      <w:r w:rsidR="00957133">
        <w:t xml:space="preserve"> compartment volume</w:t>
      </w:r>
      <w:r w:rsidR="006A04FC">
        <w:t>, and baseline serum albumin on apparent clearance</w:t>
      </w:r>
      <w:r w:rsidRPr="00ED66DB">
        <w:t xml:space="preserve">. These covariates were not considered clinically significant as </w:t>
      </w:r>
      <w:r w:rsidR="00957133">
        <w:t>these covariates reduced the inter-individual variation</w:t>
      </w:r>
      <w:r w:rsidRPr="00ED66DB">
        <w:t xml:space="preserve"> of K</w:t>
      </w:r>
      <w:r w:rsidR="00957133">
        <w:rPr>
          <w:vertAlign w:val="subscript"/>
        </w:rPr>
        <w:t>a</w:t>
      </w:r>
      <w:r w:rsidR="00957133">
        <w:t xml:space="preserve"> by only 2.0%, </w:t>
      </w:r>
      <w:r w:rsidR="006B04E9">
        <w:t>central</w:t>
      </w:r>
      <w:r w:rsidR="00957133">
        <w:t xml:space="preserve"> compartment volume by 1.6%, and clearance</w:t>
      </w:r>
      <w:r w:rsidRPr="00ED66DB">
        <w:t xml:space="preserve"> by just 1% relative to the base population PK model with fixed allometric exponents on clearance and volume of distribution.</w:t>
      </w:r>
    </w:p>
    <w:p w14:paraId="70B8374C" w14:textId="174E224D" w:rsidR="00ED66DB" w:rsidRPr="00ED66DB" w:rsidRDefault="00ED66DB" w:rsidP="00ED66DB">
      <w:r w:rsidRPr="00ED66DB">
        <w:t xml:space="preserve">The data on renal function was limited in the PK data set with 160 participants (8%) who were considered renally impaired. Renal function was tested </w:t>
      </w:r>
      <w:r w:rsidR="00957133">
        <w:t xml:space="preserve">as a categorical covariate on </w:t>
      </w:r>
      <w:r w:rsidR="00AF252B">
        <w:t>clearance</w:t>
      </w:r>
      <w:r w:rsidRPr="00ED66DB">
        <w:t xml:space="preserve"> and was not statistically significant. Overall, 55% of the participants had normal renal function, 37% had mild renal impairment, 7% had moderate impairment, 0.45% of </w:t>
      </w:r>
      <w:r w:rsidRPr="00ED66DB">
        <w:lastRenderedPageBreak/>
        <w:t>the participants had severe impairment (</w:t>
      </w:r>
      <w:r w:rsidR="006A04FC">
        <w:t>estimated glomerular filtration rate (</w:t>
      </w:r>
      <w:r w:rsidRPr="00ED66DB">
        <w:t>eGFR</w:t>
      </w:r>
      <w:r w:rsidR="006A04FC">
        <w:t>) &lt; 30 </w:t>
      </w:r>
      <w:r w:rsidRPr="00ED66DB">
        <w:t>mL/min/1.73 m</w:t>
      </w:r>
      <w:r w:rsidRPr="006A04FC">
        <w:rPr>
          <w:vertAlign w:val="superscript"/>
        </w:rPr>
        <w:t>2</w:t>
      </w:r>
      <w:r w:rsidRPr="00ED66DB">
        <w:t>), and 0.45% of the partici</w:t>
      </w:r>
      <w:r w:rsidR="006A04FC">
        <w:t>pants had renal failure (eGFR &lt; 15 </w:t>
      </w:r>
      <w:r w:rsidRPr="00ED66DB">
        <w:t>mL/min/1.73 m</w:t>
      </w:r>
      <w:r w:rsidRPr="006A04FC">
        <w:rPr>
          <w:vertAlign w:val="superscript"/>
        </w:rPr>
        <w:t>2</w:t>
      </w:r>
      <w:r w:rsidRPr="00ED66DB">
        <w:t>). The</w:t>
      </w:r>
      <w:r w:rsidR="00957133">
        <w:t xml:space="preserve"> mean eGFR was 85.5 mL/min/1.73 </w:t>
      </w:r>
      <w:r w:rsidRPr="00ED66DB">
        <w:t>m</w:t>
      </w:r>
      <w:r w:rsidRPr="006A04FC">
        <w:rPr>
          <w:vertAlign w:val="superscript"/>
        </w:rPr>
        <w:t>2</w:t>
      </w:r>
      <w:r w:rsidRPr="00ED66DB">
        <w:t>.</w:t>
      </w:r>
    </w:p>
    <w:p w14:paraId="662E5BD0" w14:textId="6D294DAC" w:rsidR="00ED66DB" w:rsidRPr="00ED66DB" w:rsidRDefault="00ED66DB" w:rsidP="00ED66DB">
      <w:r w:rsidRPr="00ED66DB">
        <w:t xml:space="preserve">The data on hepatic function was limited in the PK data set with 48 participants (2.3%) who were considered mild or moderately hepatically impaired. Hepatic function using aspartate aminotransferase, alanine aminotransferase, or bilirubin as a continuous covariate on </w:t>
      </w:r>
      <w:r w:rsidR="006A04FC">
        <w:t>a</w:t>
      </w:r>
      <w:r w:rsidR="00B02F35">
        <w:t>pparent</w:t>
      </w:r>
      <w:r w:rsidR="006A04FC">
        <w:t xml:space="preserve"> clearance</w:t>
      </w:r>
      <w:r w:rsidRPr="00ED66DB">
        <w:t xml:space="preserve"> wa</w:t>
      </w:r>
      <w:r w:rsidR="006A04FC">
        <w:t>s not statistically significant</w:t>
      </w:r>
      <w:r w:rsidR="0492478A">
        <w:t>.</w:t>
      </w:r>
    </w:p>
    <w:p w14:paraId="1B85287C" w14:textId="3B3DADCC" w:rsidR="006A04FC" w:rsidRPr="006A04FC" w:rsidRDefault="006A04FC" w:rsidP="006A04FC">
      <w:pPr>
        <w:pStyle w:val="TableTitle"/>
      </w:pPr>
      <w:r>
        <w:t xml:space="preserve">Table </w:t>
      </w:r>
      <w:r>
        <w:fldChar w:fldCharType="begin"/>
      </w:r>
      <w:r>
        <w:instrText>SEQ Table \* ARABIC</w:instrText>
      </w:r>
      <w:r>
        <w:fldChar w:fldCharType="separate"/>
      </w:r>
      <w:r w:rsidR="004D0A2C">
        <w:rPr>
          <w:noProof/>
        </w:rPr>
        <w:t>11</w:t>
      </w:r>
      <w:r>
        <w:fldChar w:fldCharType="end"/>
      </w:r>
      <w:r>
        <w:t>: Population pharmacokinetic model; Parameter estimates (95% confidence i</w:t>
      </w:r>
      <w:r w:rsidRPr="00ED66DB">
        <w:t xml:space="preserve">nterval) for </w:t>
      </w:r>
      <w:proofErr w:type="spellStart"/>
      <w:r w:rsidRPr="00ED66DB">
        <w:t>Evusheld</w:t>
      </w:r>
      <w:proofErr w:type="spellEnd"/>
      <w:r w:rsidRPr="00ED66DB">
        <w:t xml:space="preserve">, </w:t>
      </w:r>
      <w:proofErr w:type="spellStart"/>
      <w:r>
        <w:t>tixagevimab</w:t>
      </w:r>
      <w:proofErr w:type="spellEnd"/>
      <w:r>
        <w:t xml:space="preserve">, and </w:t>
      </w:r>
      <w:proofErr w:type="spellStart"/>
      <w:r>
        <w:t>cilgavimab</w:t>
      </w:r>
      <w:proofErr w:type="spellEnd"/>
      <w:r>
        <w:t xml:space="preserve"> PK m</w:t>
      </w:r>
      <w:r w:rsidRPr="00ED66DB">
        <w:t xml:space="preserve">odel </w:t>
      </w:r>
      <w:r w:rsidR="00957133">
        <w:t>based on Phase I and Phase III s</w:t>
      </w:r>
      <w:r w:rsidRPr="00ED66DB">
        <w:t>tudies, a</w:t>
      </w:r>
      <w:r>
        <w:t>ccounting for covariate effects</w:t>
      </w:r>
    </w:p>
    <w:p w14:paraId="5E6EE26E" w14:textId="2B3FF97B" w:rsidR="00ED66DB" w:rsidRDefault="00ED66DB" w:rsidP="00ED66DB">
      <w:r w:rsidRPr="00ED66DB">
        <w:rPr>
          <w:noProof/>
          <w:lang w:val="en-GB" w:eastAsia="en-GB"/>
        </w:rPr>
        <w:drawing>
          <wp:inline distT="0" distB="0" distL="0" distR="0" wp14:anchorId="22F4C981" wp14:editId="23F8C557">
            <wp:extent cx="5368486" cy="2905125"/>
            <wp:effectExtent l="0" t="0" r="3810" b="0"/>
            <wp:docPr id="76" name="Picture 76" descr="Table 12: Population pharmacokinetic model; Parameter estimates (95% confidence interval) for Evusheld, tixagevimab, and cilgavimab PK model based on Phase I and Phase III studies, accounting for covariate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able 12: Population pharmacokinetic model; Parameter estimates (95% confidence interval) for Evusheld, tixagevimab, and cilgavimab PK model based on Phase I and Phase III studies, accounting for covariate effects"/>
                    <pic:cNvPicPr/>
                  </pic:nvPicPr>
                  <pic:blipFill rotWithShape="1">
                    <a:blip r:embed="rId32"/>
                    <a:srcRect b="9213"/>
                    <a:stretch/>
                  </pic:blipFill>
                  <pic:spPr bwMode="auto">
                    <a:xfrm>
                      <a:off x="0" y="0"/>
                      <a:ext cx="5380327" cy="2911533"/>
                    </a:xfrm>
                    <a:prstGeom prst="rect">
                      <a:avLst/>
                    </a:prstGeom>
                    <a:ln>
                      <a:noFill/>
                    </a:ln>
                    <a:extLst>
                      <a:ext uri="{53640926-AAD7-44D8-BBD7-CCE9431645EC}">
                        <a14:shadowObscured xmlns:a14="http://schemas.microsoft.com/office/drawing/2010/main"/>
                      </a:ext>
                    </a:extLst>
                  </pic:spPr>
                </pic:pic>
              </a:graphicData>
            </a:graphic>
          </wp:inline>
        </w:drawing>
      </w:r>
    </w:p>
    <w:p w14:paraId="5052BCC6" w14:textId="2DA7AED6" w:rsidR="00325954" w:rsidRDefault="00325954" w:rsidP="00325954">
      <w:pPr>
        <w:pStyle w:val="TableDescription"/>
      </w:pPr>
      <w:r>
        <w:t xml:space="preserve">a Terminal half-life was derived using micro-constant K12, K21, </w:t>
      </w:r>
      <w:proofErr w:type="spellStart"/>
      <w:r>
        <w:t>Kel</w:t>
      </w:r>
      <w:proofErr w:type="spellEnd"/>
      <w:r>
        <w:t>, V2 and V3 and presented as median and 5</w:t>
      </w:r>
      <w:r w:rsidRPr="00325954">
        <w:rPr>
          <w:vertAlign w:val="superscript"/>
        </w:rPr>
        <w:t>th</w:t>
      </w:r>
      <w:r>
        <w:t xml:space="preserve"> and 95</w:t>
      </w:r>
      <w:r w:rsidRPr="00325954">
        <w:rPr>
          <w:vertAlign w:val="superscript"/>
        </w:rPr>
        <w:t>th</w:t>
      </w:r>
      <w:r>
        <w:t xml:space="preserve"> percentiles.</w:t>
      </w:r>
    </w:p>
    <w:p w14:paraId="664A492B" w14:textId="1C0C7BF3" w:rsidR="00325954" w:rsidRPr="00ED66DB" w:rsidRDefault="00325954" w:rsidP="00325954">
      <w:pPr>
        <w:pStyle w:val="TableDescription"/>
      </w:pPr>
      <w:r>
        <w:t>b Estimate of the covariance between CL and V2. Correlation (CL-V2) calculated as Covariance (CL-V2)/Square root (Variance (CL)*Variance (V2</w:t>
      </w:r>
      <w:proofErr w:type="gramStart"/>
      <w:r>
        <w:t>))*</w:t>
      </w:r>
      <w:proofErr w:type="gramEnd"/>
      <w:r>
        <w:t>100</w:t>
      </w:r>
    </w:p>
    <w:p w14:paraId="5EF17771" w14:textId="77777777" w:rsidR="00ED66DB" w:rsidRPr="00ED66DB" w:rsidRDefault="00ED66DB" w:rsidP="00ED66DB">
      <w:r w:rsidRPr="00ED66DB">
        <w:t>Model predictions supported that the minimum serum protective</w:t>
      </w:r>
      <w:r w:rsidR="008114F8">
        <w:t xml:space="preserve"> concentration threshold of 2.2 µ</w:t>
      </w:r>
      <w:r w:rsidRPr="00ED66DB">
        <w:t xml:space="preserve">g/mL was reached on average 6 hours (interquartile range of 3.4 </w:t>
      </w:r>
      <w:r w:rsidR="008114F8">
        <w:t>to 11.7 hours) for a typical 70 </w:t>
      </w:r>
      <w:r w:rsidRPr="00ED66DB">
        <w:t xml:space="preserve">kg human after IM administration of 300 mg of </w:t>
      </w:r>
      <w:proofErr w:type="spellStart"/>
      <w:r w:rsidR="006A04FC">
        <w:t>Evusheld</w:t>
      </w:r>
      <w:proofErr w:type="spellEnd"/>
      <w:r w:rsidR="006A04FC">
        <w:t xml:space="preserve"> </w:t>
      </w:r>
      <w:r w:rsidRPr="00ED66DB">
        <w:t xml:space="preserve">and that the mean serum </w:t>
      </w:r>
      <w:proofErr w:type="spellStart"/>
      <w:r w:rsidR="006A04FC">
        <w:t>Evusheld</w:t>
      </w:r>
      <w:proofErr w:type="spellEnd"/>
      <w:r w:rsidR="006A04FC">
        <w:t xml:space="preserve"> </w:t>
      </w:r>
      <w:r w:rsidRPr="00ED66DB">
        <w:t>concentrations will continue to exceed this minimum concentration for approximately 12 months.</w:t>
      </w:r>
    </w:p>
    <w:p w14:paraId="70800FF3" w14:textId="0C3B9E86" w:rsidR="00ED66DB" w:rsidRPr="00ED66DB" w:rsidRDefault="00ED66DB" w:rsidP="006A04FC">
      <w:pPr>
        <w:pStyle w:val="FigureTitle"/>
      </w:pPr>
      <w:r w:rsidRPr="00ED66DB">
        <w:lastRenderedPageBreak/>
        <w:t xml:space="preserve">Figure </w:t>
      </w:r>
      <w:r>
        <w:fldChar w:fldCharType="begin"/>
      </w:r>
      <w:r>
        <w:instrText>SEQ Figure \* ARABIC</w:instrText>
      </w:r>
      <w:r>
        <w:fldChar w:fldCharType="separate"/>
      </w:r>
      <w:r w:rsidR="004D0A2C">
        <w:rPr>
          <w:noProof/>
        </w:rPr>
        <w:t>6</w:t>
      </w:r>
      <w:r>
        <w:fldChar w:fldCharType="end"/>
      </w:r>
      <w:r w:rsidRPr="00ED66DB">
        <w:t xml:space="preserve">: </w:t>
      </w:r>
      <w:r w:rsidR="006A04FC">
        <w:t>Population pharmacokinetic model;</w:t>
      </w:r>
      <w:r w:rsidR="006A04FC" w:rsidRPr="00ED66DB">
        <w:t xml:space="preserve"> </w:t>
      </w:r>
      <w:r w:rsidRPr="00ED66DB">
        <w:t xml:space="preserve">Minimum </w:t>
      </w:r>
      <w:r w:rsidR="006A04FC">
        <w:t>serum protective concentration</w:t>
      </w:r>
    </w:p>
    <w:p w14:paraId="7BF0DEAD" w14:textId="25FBD812" w:rsidR="00ED66DB" w:rsidRDefault="00ED66DB" w:rsidP="00ED66DB">
      <w:r w:rsidRPr="00ED66DB">
        <w:rPr>
          <w:noProof/>
          <w:lang w:val="en-GB" w:eastAsia="en-GB"/>
        </w:rPr>
        <w:drawing>
          <wp:inline distT="0" distB="0" distL="0" distR="0" wp14:anchorId="5A274165" wp14:editId="128846EE">
            <wp:extent cx="5008245" cy="2524125"/>
            <wp:effectExtent l="0" t="0" r="1905" b="9525"/>
            <wp:docPr id="77" name="Picture 77" descr="Figure 7: Population pharmacokinetic model; Minimum serum protective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7: Population pharmacokinetic model; Minimum serum protective concentration"/>
                    <pic:cNvPicPr/>
                  </pic:nvPicPr>
                  <pic:blipFill rotWithShape="1">
                    <a:blip r:embed="rId33"/>
                    <a:srcRect l="4118" t="2281" r="6428" b="25289"/>
                    <a:stretch/>
                  </pic:blipFill>
                  <pic:spPr bwMode="auto">
                    <a:xfrm>
                      <a:off x="0" y="0"/>
                      <a:ext cx="5010730" cy="2525377"/>
                    </a:xfrm>
                    <a:prstGeom prst="rect">
                      <a:avLst/>
                    </a:prstGeom>
                    <a:ln>
                      <a:noFill/>
                    </a:ln>
                    <a:extLst>
                      <a:ext uri="{53640926-AAD7-44D8-BBD7-CCE9431645EC}">
                        <a14:shadowObscured xmlns:a14="http://schemas.microsoft.com/office/drawing/2010/main"/>
                      </a:ext>
                    </a:extLst>
                  </pic:spPr>
                </pic:pic>
              </a:graphicData>
            </a:graphic>
          </wp:inline>
        </w:drawing>
      </w:r>
    </w:p>
    <w:p w14:paraId="499CE642" w14:textId="2B87455F" w:rsidR="00325954" w:rsidRDefault="00325954" w:rsidP="00325954">
      <w:pPr>
        <w:pStyle w:val="TableDescription"/>
      </w:pPr>
      <w:r>
        <w:t>Blue horizontal line represents minimum protective concentration of 2.2 µg/mL in serum which with a 1.81% NLF: Serum partition ratio will result in the 40 ng/mL (IC80) in the upper respiratory tract. Green shaded area represents 25</w:t>
      </w:r>
      <w:r w:rsidRPr="00325954">
        <w:rPr>
          <w:vertAlign w:val="superscript"/>
        </w:rPr>
        <w:t>th</w:t>
      </w:r>
      <w:r>
        <w:t xml:space="preserve"> (0.8%) and 75</w:t>
      </w:r>
      <w:r w:rsidRPr="00325954">
        <w:rPr>
          <w:vertAlign w:val="superscript"/>
        </w:rPr>
        <w:t>th</w:t>
      </w:r>
      <w:r>
        <w:t xml:space="preserve"> (3.6%) percentile of NLF</w:t>
      </w:r>
      <w:r w:rsidR="00274667">
        <w:t xml:space="preserve">: Serum partition ratio. Brown horizontal line represents the geometric mean of the </w:t>
      </w:r>
      <w:proofErr w:type="spellStart"/>
      <w:r w:rsidR="00274667">
        <w:t>nAb</w:t>
      </w:r>
      <w:proofErr w:type="spellEnd"/>
      <w:r w:rsidR="00274667">
        <w:t xml:space="preserve"> </w:t>
      </w:r>
      <w:proofErr w:type="spellStart"/>
      <w:r w:rsidR="00274667">
        <w:t>titer</w:t>
      </w:r>
      <w:proofErr w:type="spellEnd"/>
      <w:r w:rsidR="00274667">
        <w:t xml:space="preserve"> (30.8) measured in 28 individual convalescent plasma samples.</w:t>
      </w:r>
    </w:p>
    <w:p w14:paraId="7F7D2673" w14:textId="3F7E1B84" w:rsidR="00274667" w:rsidRPr="00ED66DB" w:rsidRDefault="00274667" w:rsidP="00325954">
      <w:pPr>
        <w:pStyle w:val="TableDescription"/>
      </w:pPr>
      <w:r>
        <w:t>Abbreviation: IM = intramuscular, PK = pharmacokinetics; SAR-CoV-2 = severe acute respiratory syndrome coronavirus 2.</w:t>
      </w:r>
    </w:p>
    <w:p w14:paraId="629B875C" w14:textId="77777777" w:rsidR="00ED66DB" w:rsidRPr="00ED66DB" w:rsidRDefault="008114F8" w:rsidP="00ED66DB">
      <w:r>
        <w:t xml:space="preserve">The </w:t>
      </w:r>
      <w:proofErr w:type="spellStart"/>
      <w:r>
        <w:t>p</w:t>
      </w:r>
      <w:r w:rsidR="006A04FC">
        <w:t>op</w:t>
      </w:r>
      <w:r w:rsidR="00ED66DB" w:rsidRPr="00ED66DB">
        <w:t>PK</w:t>
      </w:r>
      <w:proofErr w:type="spellEnd"/>
      <w:r w:rsidR="00ED66DB" w:rsidRPr="00ED66DB">
        <w:t xml:space="preserve"> </w:t>
      </w:r>
      <w:proofErr w:type="gramStart"/>
      <w:r w:rsidR="00ED66DB" w:rsidRPr="00ED66DB">
        <w:t>model based</w:t>
      </w:r>
      <w:proofErr w:type="gramEnd"/>
      <w:r w:rsidR="00ED66DB" w:rsidRPr="00ED66DB">
        <w:t xml:space="preserve"> predictions indicated that </w:t>
      </w:r>
      <w:proofErr w:type="spellStart"/>
      <w:r w:rsidR="006A04FC">
        <w:t>Evusheld</w:t>
      </w:r>
      <w:proofErr w:type="spellEnd"/>
      <w:r w:rsidR="006A04FC" w:rsidRPr="00ED66DB">
        <w:t xml:space="preserve"> </w:t>
      </w:r>
      <w:r w:rsidR="00ED66DB" w:rsidRPr="00ED66DB">
        <w:t xml:space="preserve">concentrations are expected to exceed 2.2 </w:t>
      </w:r>
      <w:r>
        <w:t>µ</w:t>
      </w:r>
      <w:r w:rsidR="00ED66DB" w:rsidRPr="00ED66DB">
        <w:t>g/mL for at least 6 months in 96% of the participants, 9 months in 77% of the participants, and for 12 months in 55% of the participants.</w:t>
      </w:r>
    </w:p>
    <w:p w14:paraId="03A4BFA6" w14:textId="0C3B29B9" w:rsidR="00ED66DB" w:rsidRPr="00ED66DB" w:rsidRDefault="00ED66DB" w:rsidP="006A04FC">
      <w:pPr>
        <w:pStyle w:val="TableTitle"/>
      </w:pPr>
      <w:r w:rsidRPr="00ED66DB">
        <w:t xml:space="preserve">Table </w:t>
      </w:r>
      <w:r>
        <w:fldChar w:fldCharType="begin"/>
      </w:r>
      <w:r>
        <w:instrText>SEQ Table \* ARABIC</w:instrText>
      </w:r>
      <w:r>
        <w:fldChar w:fldCharType="separate"/>
      </w:r>
      <w:r w:rsidR="004D0A2C">
        <w:rPr>
          <w:noProof/>
        </w:rPr>
        <w:t>12</w:t>
      </w:r>
      <w:r>
        <w:fldChar w:fldCharType="end"/>
      </w:r>
      <w:r w:rsidRPr="00ED66DB">
        <w:t xml:space="preserve">: </w:t>
      </w:r>
      <w:r w:rsidR="006A04FC">
        <w:t xml:space="preserve">Population pharmacokinetic model; </w:t>
      </w:r>
      <w:r w:rsidRPr="00ED66DB">
        <w:t xml:space="preserve">Percentage of participants with </w:t>
      </w:r>
      <w:proofErr w:type="spellStart"/>
      <w:r w:rsidR="006A04FC">
        <w:t>Evusheld</w:t>
      </w:r>
      <w:proofErr w:type="spellEnd"/>
      <w:r w:rsidR="006A04FC" w:rsidRPr="00ED66DB">
        <w:t xml:space="preserve"> </w:t>
      </w:r>
      <w:r w:rsidR="006A04FC">
        <w:t>concentrations &gt; 2.2 µg/mL</w:t>
      </w:r>
    </w:p>
    <w:p w14:paraId="6258F402" w14:textId="77777777" w:rsidR="00ED66DB" w:rsidRPr="00ED66DB" w:rsidRDefault="00ED66DB" w:rsidP="00ED66DB">
      <w:r>
        <w:rPr>
          <w:noProof/>
        </w:rPr>
        <w:drawing>
          <wp:inline distT="0" distB="0" distL="0" distR="0" wp14:anchorId="604333E7" wp14:editId="4DE8FB74">
            <wp:extent cx="4925114" cy="943107"/>
            <wp:effectExtent l="0" t="0" r="0" b="9525"/>
            <wp:docPr id="78" name="Picture 78" descr="Table 13: Population pharmacokinetic model; Percentage of participants with Evusheld concentrations &gt; 2.2 µg/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34">
                      <a:extLst>
                        <a:ext uri="{28A0092B-C50C-407E-A947-70E740481C1C}">
                          <a14:useLocalDpi xmlns:a14="http://schemas.microsoft.com/office/drawing/2010/main" val="0"/>
                        </a:ext>
                      </a:extLst>
                    </a:blip>
                    <a:stretch>
                      <a:fillRect/>
                    </a:stretch>
                  </pic:blipFill>
                  <pic:spPr>
                    <a:xfrm>
                      <a:off x="0" y="0"/>
                      <a:ext cx="4925114" cy="943107"/>
                    </a:xfrm>
                    <a:prstGeom prst="rect">
                      <a:avLst/>
                    </a:prstGeom>
                  </pic:spPr>
                </pic:pic>
              </a:graphicData>
            </a:graphic>
          </wp:inline>
        </w:drawing>
      </w:r>
    </w:p>
    <w:p w14:paraId="0995CD1E" w14:textId="77777777" w:rsidR="00ED66DB" w:rsidRPr="00ED66DB" w:rsidRDefault="00ED66DB" w:rsidP="00ED66DB">
      <w:r w:rsidRPr="00ED66DB">
        <w:t>The difference between simulated PK profiles (10 trials o</w:t>
      </w:r>
      <w:r w:rsidR="00342C10">
        <w:t>f 2029 participants) and AUC (0 </w:t>
      </w:r>
      <w:r w:rsidRPr="00ED66DB">
        <w:t>to 91 days or 3 months and 0 to 270 d</w:t>
      </w:r>
      <w:r w:rsidR="00342C10">
        <w:t>ays or 9 months) for 2 groups, ‘All weight (36 to 177 kg)’ and ‘Adolescents 40 to 95 kg’</w:t>
      </w:r>
      <w:r w:rsidRPr="00ED66DB">
        <w:t>, is presented. Plot A represents the median prediction (solid lines) and 95% prediction intervals (shadow areas) for the respective groups. Plots B and C show comparison of AUC at 3 and 9 months.</w:t>
      </w:r>
    </w:p>
    <w:p w14:paraId="52EAA9F3" w14:textId="7645EBC2" w:rsidR="00ED66DB" w:rsidRPr="00ED66DB" w:rsidRDefault="00ED66DB" w:rsidP="00ED66DB">
      <w:r w:rsidRPr="00ED66DB">
        <w:t xml:space="preserve">In response to </w:t>
      </w:r>
      <w:r w:rsidR="00342C10">
        <w:t>the United States Food and Drug Administration (FDA)</w:t>
      </w:r>
      <w:r w:rsidRPr="00ED66DB">
        <w:t xml:space="preserve"> q</w:t>
      </w:r>
      <w:r w:rsidR="008114F8">
        <w:t xml:space="preserve">uestion, the sponsor performed </w:t>
      </w:r>
      <w:proofErr w:type="spellStart"/>
      <w:r w:rsidR="008114F8">
        <w:t>pop</w:t>
      </w:r>
      <w:r w:rsidRPr="00ED66DB">
        <w:t>PK</w:t>
      </w:r>
      <w:proofErr w:type="spellEnd"/>
      <w:r w:rsidRPr="00ED66DB">
        <w:t xml:space="preserve"> modelling and simulations to determine whether</w:t>
      </w:r>
      <w:r w:rsidR="00D77876">
        <w:t xml:space="preserve"> </w:t>
      </w:r>
      <w:r w:rsidRPr="00ED66DB">
        <w:t xml:space="preserve">repeat dosing of 300 mg </w:t>
      </w:r>
      <w:proofErr w:type="spellStart"/>
      <w:r w:rsidR="00342C10">
        <w:t>Evusheld</w:t>
      </w:r>
      <w:proofErr w:type="spellEnd"/>
      <w:r w:rsidR="00342C10" w:rsidRPr="00ED66DB">
        <w:t xml:space="preserve"> </w:t>
      </w:r>
      <w:r w:rsidRPr="00ED66DB">
        <w:t xml:space="preserve">IM is expected to produce </w:t>
      </w:r>
      <w:proofErr w:type="spellStart"/>
      <w:r w:rsidRPr="00ED66DB">
        <w:t>C</w:t>
      </w:r>
      <w:r w:rsidRPr="00ED66DB">
        <w:rPr>
          <w:vertAlign w:val="subscript"/>
        </w:rPr>
        <w:t>trough</w:t>
      </w:r>
      <w:proofErr w:type="spellEnd"/>
      <w:r w:rsidRPr="00ED66DB">
        <w:rPr>
          <w:vertAlign w:val="subscript"/>
        </w:rPr>
        <w:t xml:space="preserve"> </w:t>
      </w:r>
      <w:r w:rsidRPr="00ED66DB">
        <w:t xml:space="preserve">values greater than or equal the mean observed Day 90 concentrations of </w:t>
      </w:r>
      <w:proofErr w:type="spellStart"/>
      <w:r w:rsidRPr="00ED66DB">
        <w:t>tixagevima</w:t>
      </w:r>
      <w:r w:rsidR="00BD44E5">
        <w:t>b</w:t>
      </w:r>
      <w:proofErr w:type="spellEnd"/>
      <w:r w:rsidR="00BD44E5">
        <w:t xml:space="preserve"> and </w:t>
      </w:r>
      <w:proofErr w:type="spellStart"/>
      <w:r w:rsidR="00BD44E5">
        <w:t>cilgavimab</w:t>
      </w:r>
      <w:proofErr w:type="spellEnd"/>
      <w:r w:rsidR="00BD44E5">
        <w:t xml:space="preserve"> in the PROVENT </w:t>
      </w:r>
      <w:r w:rsidRPr="00ED66DB">
        <w:t>trial. Day 90 was the timepoint where the efficacy of preexposur</w:t>
      </w:r>
      <w:r w:rsidR="00BD44E5">
        <w:t>e prophylaxis was demonstrated.</w:t>
      </w:r>
    </w:p>
    <w:p w14:paraId="0F86B602" w14:textId="77777777" w:rsidR="00ED66DB" w:rsidRPr="00ED66DB" w:rsidRDefault="00ED66DB" w:rsidP="00ED66DB">
      <w:r w:rsidRPr="00ED66DB">
        <w:t xml:space="preserve">The population model predicted median </w:t>
      </w:r>
      <w:proofErr w:type="gramStart"/>
      <w:r w:rsidRPr="00ED66DB">
        <w:t>6 month</w:t>
      </w:r>
      <w:proofErr w:type="gramEnd"/>
      <w:r w:rsidRPr="00ED66DB">
        <w:t xml:space="preserve"> post-dose concentration as 8 </w:t>
      </w:r>
      <w:proofErr w:type="spellStart"/>
      <w:r w:rsidRPr="00ED66DB">
        <w:t>μg</w:t>
      </w:r>
      <w:proofErr w:type="spellEnd"/>
      <w:r w:rsidRPr="00ED66DB">
        <w:t>/</w:t>
      </w:r>
      <w:proofErr w:type="spellStart"/>
      <w:r w:rsidRPr="00ED66DB">
        <w:t>mL.</w:t>
      </w:r>
      <w:proofErr w:type="spellEnd"/>
      <w:r w:rsidRPr="00ED66DB">
        <w:t xml:space="preserve"> PK simulations were conducted for every </w:t>
      </w:r>
      <w:proofErr w:type="gramStart"/>
      <w:r w:rsidRPr="00ED66DB">
        <w:t>6, 9 and 12 months</w:t>
      </w:r>
      <w:proofErr w:type="gramEnd"/>
      <w:r w:rsidRPr="00ED66DB">
        <w:t xml:space="preserve"> dosing to assess the proportion of subjects with a minimum protective concentration lower than 8 </w:t>
      </w:r>
      <w:proofErr w:type="spellStart"/>
      <w:r w:rsidRPr="00ED66DB">
        <w:t>μg</w:t>
      </w:r>
      <w:proofErr w:type="spellEnd"/>
      <w:r w:rsidRPr="00ED66DB">
        <w:t xml:space="preserve">/mL and within the lower limit of 2.2 </w:t>
      </w:r>
      <w:proofErr w:type="spellStart"/>
      <w:r w:rsidRPr="00ED66DB">
        <w:t>μg</w:t>
      </w:r>
      <w:proofErr w:type="spellEnd"/>
      <w:r w:rsidRPr="00ED66DB">
        <w:t>/</w:t>
      </w:r>
      <w:proofErr w:type="spellStart"/>
      <w:r w:rsidRPr="00ED66DB">
        <w:t>mL.</w:t>
      </w:r>
      <w:proofErr w:type="spellEnd"/>
      <w:r w:rsidRPr="00ED66DB">
        <w:t xml:space="preserve"> The target concentration was derived based on potency, virus inhibition projections, and drug distribution data to the upper respiratory area. It appears </w:t>
      </w:r>
      <w:r w:rsidRPr="00ED66DB">
        <w:lastRenderedPageBreak/>
        <w:t xml:space="preserve">that the six-monthly dosage regimen results in a trough concentration of </w:t>
      </w:r>
      <w:proofErr w:type="spellStart"/>
      <w:r w:rsidR="00BD44E5">
        <w:t>Evusheld</w:t>
      </w:r>
      <w:proofErr w:type="spellEnd"/>
      <w:r w:rsidR="00BD44E5" w:rsidRPr="00ED66DB">
        <w:t xml:space="preserve"> </w:t>
      </w:r>
      <w:r w:rsidRPr="00ED66DB">
        <w:t xml:space="preserve">that is consistently above the proposed minimum protection concentration of 2.2 </w:t>
      </w:r>
      <w:proofErr w:type="spellStart"/>
      <w:r w:rsidRPr="00ED66DB">
        <w:t>μg</w:t>
      </w:r>
      <w:proofErr w:type="spellEnd"/>
      <w:r w:rsidRPr="00ED66DB">
        <w:t>/</w:t>
      </w:r>
      <w:proofErr w:type="spellStart"/>
      <w:r w:rsidRPr="00ED66DB">
        <w:t>mL.</w:t>
      </w:r>
      <w:proofErr w:type="spellEnd"/>
    </w:p>
    <w:p w14:paraId="3E011F54" w14:textId="7C1459C4" w:rsidR="00ED66DB" w:rsidRPr="00ED66DB" w:rsidRDefault="00ED66DB" w:rsidP="00BD44E5">
      <w:pPr>
        <w:rPr>
          <w:b/>
        </w:rPr>
      </w:pPr>
      <w:r w:rsidRPr="00ED66DB">
        <w:rPr>
          <w:b/>
        </w:rPr>
        <w:t xml:space="preserve">Figure </w:t>
      </w:r>
      <w:r w:rsidRPr="00ED66DB">
        <w:rPr>
          <w:b/>
        </w:rPr>
        <w:fldChar w:fldCharType="begin"/>
      </w:r>
      <w:r w:rsidRPr="00ED66DB">
        <w:rPr>
          <w:b/>
        </w:rPr>
        <w:instrText xml:space="preserve"> SEQ Figure \* ARABIC </w:instrText>
      </w:r>
      <w:r w:rsidRPr="00ED66DB">
        <w:rPr>
          <w:b/>
        </w:rPr>
        <w:fldChar w:fldCharType="separate"/>
      </w:r>
      <w:r w:rsidR="004D0A2C">
        <w:rPr>
          <w:b/>
          <w:noProof/>
        </w:rPr>
        <w:t>7</w:t>
      </w:r>
      <w:r w:rsidRPr="00ED66DB">
        <w:fldChar w:fldCharType="end"/>
      </w:r>
      <w:r w:rsidR="00BD44E5">
        <w:rPr>
          <w:b/>
        </w:rPr>
        <w:t>: Pooled p</w:t>
      </w:r>
      <w:r w:rsidRPr="00ED66DB">
        <w:rPr>
          <w:b/>
        </w:rPr>
        <w:t xml:space="preserve">opulation-PK </w:t>
      </w:r>
      <w:r w:rsidR="00BD44E5" w:rsidRPr="00ED66DB">
        <w:rPr>
          <w:b/>
        </w:rPr>
        <w:t xml:space="preserve">model predicted median </w:t>
      </w:r>
      <w:r w:rsidRPr="00ED66DB">
        <w:rPr>
          <w:b/>
        </w:rPr>
        <w:t xml:space="preserve">(90% </w:t>
      </w:r>
      <w:r w:rsidR="00BD44E5" w:rsidRPr="00ED66DB">
        <w:rPr>
          <w:b/>
        </w:rPr>
        <w:t>prediction i</w:t>
      </w:r>
      <w:r w:rsidRPr="00ED66DB">
        <w:rPr>
          <w:b/>
        </w:rPr>
        <w:t xml:space="preserve">ntervals) </w:t>
      </w:r>
      <w:r w:rsidR="00BD44E5">
        <w:rPr>
          <w:b/>
        </w:rPr>
        <w:t xml:space="preserve">serum </w:t>
      </w:r>
      <w:proofErr w:type="spellStart"/>
      <w:r w:rsidR="00BD44E5">
        <w:rPr>
          <w:b/>
        </w:rPr>
        <w:t>E</w:t>
      </w:r>
      <w:r w:rsidR="00BD44E5" w:rsidRPr="00ED66DB">
        <w:rPr>
          <w:b/>
        </w:rPr>
        <w:t>vusheld</w:t>
      </w:r>
      <w:proofErr w:type="spellEnd"/>
      <w:r w:rsidR="00BD44E5" w:rsidRPr="00ED66DB">
        <w:rPr>
          <w:b/>
        </w:rPr>
        <w:t xml:space="preserve"> </w:t>
      </w:r>
      <w:r w:rsidR="00BD44E5">
        <w:rPr>
          <w:b/>
        </w:rPr>
        <w:t>c</w:t>
      </w:r>
      <w:r w:rsidRPr="00ED66DB">
        <w:rPr>
          <w:b/>
        </w:rPr>
        <w:t xml:space="preserve">oncentration for a </w:t>
      </w:r>
      <w:proofErr w:type="gramStart"/>
      <w:r w:rsidRPr="00ED66DB">
        <w:rPr>
          <w:b/>
        </w:rPr>
        <w:t xml:space="preserve">6, 9 or </w:t>
      </w:r>
      <w:r w:rsidR="00BD44E5" w:rsidRPr="00ED66DB">
        <w:rPr>
          <w:b/>
        </w:rPr>
        <w:t>12 months</w:t>
      </w:r>
      <w:proofErr w:type="gramEnd"/>
      <w:r w:rsidR="00BD44E5" w:rsidRPr="00ED66DB">
        <w:rPr>
          <w:b/>
        </w:rPr>
        <w:t xml:space="preserve"> dosing interval following administration</w:t>
      </w:r>
      <w:r w:rsidRPr="00ED66DB">
        <w:rPr>
          <w:b/>
        </w:rPr>
        <w:t xml:space="preserve"> of 300 mg </w:t>
      </w:r>
      <w:r w:rsidR="000A2B24">
        <w:rPr>
          <w:b/>
        </w:rPr>
        <w:t>i</w:t>
      </w:r>
      <w:r w:rsidR="000A2B24" w:rsidRPr="000A2B24">
        <w:rPr>
          <w:b/>
        </w:rPr>
        <w:t>ntramuscular</w:t>
      </w:r>
      <w:r w:rsidRPr="00ED66DB">
        <w:rPr>
          <w:b/>
        </w:rPr>
        <w:t xml:space="preserve"> </w:t>
      </w:r>
      <w:proofErr w:type="spellStart"/>
      <w:r w:rsidR="00BD44E5" w:rsidRPr="00ED66DB">
        <w:rPr>
          <w:b/>
        </w:rPr>
        <w:t>Evusheld</w:t>
      </w:r>
      <w:proofErr w:type="spellEnd"/>
      <w:r w:rsidRPr="00ED66DB">
        <w:rPr>
          <w:b/>
        </w:rPr>
        <w:t xml:space="preserve">, over </w:t>
      </w:r>
      <w:r w:rsidR="00BD44E5">
        <w:rPr>
          <w:b/>
        </w:rPr>
        <w:t>36 m</w:t>
      </w:r>
      <w:r w:rsidRPr="00ED66DB">
        <w:rPr>
          <w:b/>
        </w:rPr>
        <w:t>onths</w:t>
      </w:r>
    </w:p>
    <w:p w14:paraId="4C1BA09F" w14:textId="77777777" w:rsidR="00ED66DB" w:rsidRPr="00ED66DB" w:rsidRDefault="00ED66DB" w:rsidP="00ED66DB">
      <w:r w:rsidRPr="00ED66DB">
        <w:rPr>
          <w:noProof/>
          <w:lang w:val="en-GB" w:eastAsia="en-GB"/>
        </w:rPr>
        <w:drawing>
          <wp:inline distT="0" distB="0" distL="0" distR="0" wp14:anchorId="46CF5AE3" wp14:editId="2420D36F">
            <wp:extent cx="5341089" cy="2430891"/>
            <wp:effectExtent l="0" t="0" r="0" b="7620"/>
            <wp:docPr id="9" name="Picture 9" descr="Figure 8: Pooled population-PK model predicted median (90% prediction intervals) serum Evusheld concentration for a 6, 9 or 12 months dosing interval following administration of 300 mg IM Evusheld, over 3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8: Pooled population-PK model predicted median (90% prediction intervals) serum Evusheld concentration for a 6, 9 or 12 months dosing interval following administration of 300 mg IM Evusheld, over 36 months"/>
                    <pic:cNvPicPr/>
                  </pic:nvPicPr>
                  <pic:blipFill rotWithShape="1">
                    <a:blip r:embed="rId35"/>
                    <a:srcRect l="3191" t="4377" r="3583" b="-1"/>
                    <a:stretch/>
                  </pic:blipFill>
                  <pic:spPr bwMode="auto">
                    <a:xfrm>
                      <a:off x="0" y="0"/>
                      <a:ext cx="5343244" cy="2431872"/>
                    </a:xfrm>
                    <a:prstGeom prst="rect">
                      <a:avLst/>
                    </a:prstGeom>
                    <a:ln>
                      <a:noFill/>
                    </a:ln>
                    <a:extLst>
                      <a:ext uri="{53640926-AAD7-44D8-BBD7-CCE9431645EC}">
                        <a14:shadowObscured xmlns:a14="http://schemas.microsoft.com/office/drawing/2010/main"/>
                      </a:ext>
                    </a:extLst>
                  </pic:spPr>
                </pic:pic>
              </a:graphicData>
            </a:graphic>
          </wp:inline>
        </w:drawing>
      </w:r>
    </w:p>
    <w:p w14:paraId="5AEDDC10" w14:textId="77777777" w:rsidR="00ED66DB" w:rsidRPr="00ED66DB" w:rsidRDefault="00ED66DB" w:rsidP="00ED66DB">
      <w:r w:rsidRPr="00ED66DB">
        <w:t>The evaluator has highlighted th</w:t>
      </w:r>
      <w:r w:rsidR="008114F8">
        <w:t xml:space="preserve">e following limitations of the </w:t>
      </w:r>
      <w:proofErr w:type="spellStart"/>
      <w:r w:rsidR="008114F8">
        <w:t>pop</w:t>
      </w:r>
      <w:r w:rsidRPr="00ED66DB">
        <w:t>PK</w:t>
      </w:r>
      <w:proofErr w:type="spellEnd"/>
      <w:r w:rsidRPr="00ED66DB">
        <w:t xml:space="preserve"> model:</w:t>
      </w:r>
    </w:p>
    <w:p w14:paraId="722025A8" w14:textId="5A7420FA" w:rsidR="00ED66DB" w:rsidRPr="00177EA8" w:rsidRDefault="00ED66DB" w:rsidP="00C6214F">
      <w:pPr>
        <w:pStyle w:val="Numberbullet0"/>
        <w:numPr>
          <w:ilvl w:val="0"/>
          <w:numId w:val="8"/>
        </w:numPr>
      </w:pPr>
      <w:r w:rsidRPr="00ED66DB">
        <w:t xml:space="preserve">Specific dose and data handling details were unclear. It was presumed that the doses presented throughout the PK report were for </w:t>
      </w:r>
      <w:proofErr w:type="spellStart"/>
      <w:r w:rsidRPr="00ED66DB">
        <w:t>Evusheld</w:t>
      </w:r>
      <w:proofErr w:type="spellEnd"/>
      <w:r w:rsidRPr="00ED66DB">
        <w:t xml:space="preserve"> and represent the sum of the doses for </w:t>
      </w:r>
      <w:proofErr w:type="spellStart"/>
      <w:r w:rsidRPr="00ED66DB">
        <w:t>tixagevimab</w:t>
      </w:r>
      <w:proofErr w:type="spellEnd"/>
      <w:r w:rsidRPr="00ED66DB">
        <w:t xml:space="preserve"> and </w:t>
      </w:r>
      <w:proofErr w:type="spellStart"/>
      <w:r w:rsidRPr="00ED66DB">
        <w:t>cilgavimab</w:t>
      </w:r>
      <w:proofErr w:type="spellEnd"/>
      <w:r w:rsidRPr="00ED66DB">
        <w:t xml:space="preserve"> (per DVID in data specification, Appendix B). It was also unclear how </w:t>
      </w:r>
      <w:proofErr w:type="spellStart"/>
      <w:r w:rsidRPr="00ED66DB">
        <w:t>Evusheld</w:t>
      </w:r>
      <w:proofErr w:type="spellEnd"/>
      <w:r w:rsidRPr="00ED66DB">
        <w:t xml:space="preserve"> concentrations were determined in the presence of one quantifiable and one</w:t>
      </w:r>
      <w:r w:rsidR="008114F8">
        <w:t xml:space="preserve"> unquantifiable concentration.</w:t>
      </w:r>
      <w:r w:rsidR="007B655E" w:rsidRPr="007B655E">
        <w:t xml:space="preserve"> </w:t>
      </w:r>
      <w:r w:rsidR="007B655E">
        <w:t xml:space="preserve">The sponsor was requested to provide these (see </w:t>
      </w:r>
      <w:r w:rsidR="007B655E">
        <w:fldChar w:fldCharType="begin"/>
      </w:r>
      <w:r w:rsidR="007B655E">
        <w:instrText xml:space="preserve"> REF _Ref97204483 \h </w:instrText>
      </w:r>
      <w:r w:rsidR="007B655E">
        <w:fldChar w:fldCharType="separate"/>
      </w:r>
      <w:r w:rsidR="004D0A2C">
        <w:t>Questions for the sponsor</w:t>
      </w:r>
      <w:r w:rsidR="007B655E">
        <w:fldChar w:fldCharType="end"/>
      </w:r>
      <w:r w:rsidR="007B655E">
        <w:t>).</w:t>
      </w:r>
    </w:p>
    <w:p w14:paraId="565181AF" w14:textId="77777777" w:rsidR="00ED66DB" w:rsidRPr="00ED66DB" w:rsidRDefault="00ED66DB" w:rsidP="00BD44E5">
      <w:pPr>
        <w:pStyle w:val="Numberbullet0"/>
      </w:pPr>
      <w:r w:rsidRPr="00ED66DB">
        <w:t>Of the 5184 scheduled PK samples, 5066 (97.3%) were collected up to the nominal sampling time point of 91 days (or less than one e</w:t>
      </w:r>
      <w:r w:rsidR="00BD44E5">
        <w:t xml:space="preserve">stimated half-life of </w:t>
      </w:r>
      <w:proofErr w:type="spellStart"/>
      <w:r w:rsidR="00BD44E5">
        <w:t>Evusheld</w:t>
      </w:r>
      <w:proofErr w:type="spellEnd"/>
      <w:r w:rsidR="00BD44E5">
        <w:t xml:space="preserve"> (</w:t>
      </w:r>
      <w:r w:rsidRPr="00ED66DB">
        <w:t xml:space="preserve">median: 96 days, 5th to </w:t>
      </w:r>
      <w:r w:rsidR="00BD44E5">
        <w:t>95th percentile: 57 to 241 days)</w:t>
      </w:r>
      <w:r w:rsidRPr="00ED66DB">
        <w:t>). No subjects in the</w:t>
      </w:r>
      <w:r w:rsidR="00BD44E5">
        <w:t xml:space="preserve"> Phase III</w:t>
      </w:r>
      <w:r w:rsidRPr="00ED66DB">
        <w:t xml:space="preserve"> studies had PK sampling beyond nominal PK</w:t>
      </w:r>
      <w:r w:rsidR="00BD44E5">
        <w:t xml:space="preserve"> sampling day 91. In the Phase I</w:t>
      </w:r>
      <w:r w:rsidRPr="00ED66DB">
        <w:t xml:space="preserve"> trial, 20 of 50 subjects (or 40%) had their last PK sample co</w:t>
      </w:r>
      <w:r w:rsidR="00BD44E5">
        <w:t>llected on nominal PK sampling D</w:t>
      </w:r>
      <w:r w:rsidRPr="00ED66DB">
        <w:t xml:space="preserve">ay 271 (or less than 3 estimated half-lives of </w:t>
      </w:r>
      <w:proofErr w:type="spellStart"/>
      <w:r w:rsidRPr="00ED66DB">
        <w:t>Evusheld</w:t>
      </w:r>
      <w:proofErr w:type="spellEnd"/>
      <w:r w:rsidRPr="00ED66DB">
        <w:t xml:space="preserve">); these 20 PK samples were pivotal in the estimation of half-life in this analysis. </w:t>
      </w:r>
    </w:p>
    <w:p w14:paraId="0FE906E5" w14:textId="77777777" w:rsidR="00ED66DB" w:rsidRPr="00ED66DB" w:rsidRDefault="00BD44E5" w:rsidP="00B02F35">
      <w:pPr>
        <w:ind w:left="425"/>
      </w:pPr>
      <w:r>
        <w:t>Pharmacokinetic</w:t>
      </w:r>
      <w:r w:rsidR="00ED66DB" w:rsidRPr="00ED66DB">
        <w:t xml:space="preserve"> sampling over a period of a minimu</w:t>
      </w:r>
      <w:r>
        <w:t xml:space="preserve">m of 3 half-lives (preferably 4 to </w:t>
      </w:r>
      <w:r w:rsidR="00ED66DB" w:rsidRPr="00ED66DB">
        <w:t xml:space="preserve">5 half-lives) is required to accurately estimate a drug’s half-life following a single dose. Therefore, inferences based on the estimated half-life of </w:t>
      </w:r>
      <w:proofErr w:type="spellStart"/>
      <w:r w:rsidR="00ED66DB" w:rsidRPr="00ED66DB">
        <w:t>Evusheld</w:t>
      </w:r>
      <w:proofErr w:type="spellEnd"/>
      <w:r w:rsidR="00ED66DB" w:rsidRPr="00ED66DB">
        <w:t xml:space="preserve"> should be made ca</w:t>
      </w:r>
      <w:r>
        <w:t>utiously, including simulations.</w:t>
      </w:r>
    </w:p>
    <w:p w14:paraId="79BA3D61" w14:textId="67F1024A" w:rsidR="00B02F35" w:rsidRPr="00177EA8" w:rsidRDefault="00ED66DB" w:rsidP="00B02F35">
      <w:pPr>
        <w:ind w:left="425"/>
        <w:rPr>
          <w:highlight w:val="yellow"/>
        </w:rPr>
      </w:pPr>
      <w:r w:rsidRPr="00ED66DB">
        <w:t>The lack of</w:t>
      </w:r>
      <w:r w:rsidR="00BD44E5">
        <w:t xml:space="preserve"> PK sampling data in the Phase III</w:t>
      </w:r>
      <w:r w:rsidRPr="00ED66DB">
        <w:t xml:space="preserve"> studies to accurately estimate </w:t>
      </w:r>
      <w:r w:rsidR="00B02F35">
        <w:t xml:space="preserve">half-life </w:t>
      </w:r>
      <w:r w:rsidR="00BD44E5">
        <w:t>was acknowledged in</w:t>
      </w:r>
      <w:r w:rsidRPr="00ED66DB">
        <w:t xml:space="preserve"> the PK report. However, the implications of the limited PK sampling design in the overall population PK anal</w:t>
      </w:r>
      <w:r w:rsidR="00BD44E5">
        <w:t>ysis set (including both Phase I and Phase III</w:t>
      </w:r>
      <w:r w:rsidRPr="00ED66DB">
        <w:t xml:space="preserve"> studies) were not discussed. </w:t>
      </w:r>
      <w:r w:rsidR="007B655E">
        <w:t xml:space="preserve">The sponsor was requested to provide these (see </w:t>
      </w:r>
      <w:r w:rsidR="007B655E">
        <w:fldChar w:fldCharType="begin"/>
      </w:r>
      <w:r w:rsidR="007B655E">
        <w:instrText xml:space="preserve"> REF _Ref97204483 \h </w:instrText>
      </w:r>
      <w:r w:rsidR="007B655E">
        <w:fldChar w:fldCharType="separate"/>
      </w:r>
      <w:r w:rsidR="004D0A2C">
        <w:t>Questions for the sponsor</w:t>
      </w:r>
      <w:r w:rsidR="007B655E">
        <w:fldChar w:fldCharType="end"/>
      </w:r>
      <w:r w:rsidR="007B655E" w:rsidRPr="00407E5D">
        <w:t>)</w:t>
      </w:r>
      <w:r w:rsidR="00BD44E5" w:rsidRPr="00407E5D">
        <w:t>.</w:t>
      </w:r>
    </w:p>
    <w:p w14:paraId="78D1A94C" w14:textId="77777777" w:rsidR="00E73E32" w:rsidRDefault="00ED66DB" w:rsidP="00B02F35">
      <w:pPr>
        <w:pStyle w:val="Numberbullet0"/>
      </w:pPr>
      <w:r w:rsidRPr="00ED66DB">
        <w:t xml:space="preserve">Given </w:t>
      </w:r>
      <w:r w:rsidR="008114F8">
        <w:t>the magnitude of shrinkage on clearance</w:t>
      </w:r>
      <w:r w:rsidRPr="00ED66DB">
        <w:t xml:space="preserve"> (53%) and the absorption rate constant (K</w:t>
      </w:r>
      <w:r w:rsidRPr="008114F8">
        <w:rPr>
          <w:vertAlign w:val="subscript"/>
        </w:rPr>
        <w:t>a</w:t>
      </w:r>
      <w:r w:rsidRPr="00ED66DB">
        <w:t>) (43%), consideration might have been given to excluding covariate evaluations on these parameters.</w:t>
      </w:r>
    </w:p>
    <w:p w14:paraId="1E58BA94" w14:textId="77777777" w:rsidR="00C6214F" w:rsidRPr="00C6214F" w:rsidRDefault="00C6214F" w:rsidP="00B02F35">
      <w:pPr>
        <w:pStyle w:val="Heading5"/>
      </w:pPr>
      <w:r w:rsidRPr="00C6214F">
        <w:lastRenderedPageBreak/>
        <w:t>Simulations</w:t>
      </w:r>
    </w:p>
    <w:p w14:paraId="4CFA7DE1" w14:textId="77777777" w:rsidR="00C6214F" w:rsidRPr="00C6214F" w:rsidRDefault="00C6214F" w:rsidP="00B02F35">
      <w:pPr>
        <w:pStyle w:val="Heading6"/>
      </w:pPr>
      <w:r w:rsidRPr="00C6214F">
        <w:t xml:space="preserve">Simulations of </w:t>
      </w:r>
      <w:r w:rsidR="00B02F35">
        <w:t xml:space="preserve">pharmacokinetic </w:t>
      </w:r>
      <w:r w:rsidRPr="00C6214F">
        <w:t>profiles</w:t>
      </w:r>
    </w:p>
    <w:p w14:paraId="40BC10D5" w14:textId="1EF7E89B" w:rsidR="00C6214F" w:rsidRPr="0090491F" w:rsidRDefault="00C6214F" w:rsidP="00C6214F">
      <w:pPr>
        <w:rPr>
          <w:i/>
        </w:rPr>
      </w:pPr>
      <w:r w:rsidRPr="00C6214F">
        <w:t xml:space="preserve">Model-based simulations were performed to obtain the median and 90% prediction interval of </w:t>
      </w:r>
      <w:proofErr w:type="spellStart"/>
      <w:r w:rsidRPr="00C6214F">
        <w:t>Evusheld</w:t>
      </w:r>
      <w:proofErr w:type="spellEnd"/>
      <w:r w:rsidRPr="00C6214F">
        <w:t xml:space="preserve"> serum concentrations following a 300 mg IM dose for a period of 15</w:t>
      </w:r>
      <w:r w:rsidR="00B02F35">
        <w:t> </w:t>
      </w:r>
      <w:r w:rsidR="0090491F">
        <w:t>months. Serum neutralis</w:t>
      </w:r>
      <w:r w:rsidRPr="00C6214F">
        <w:t xml:space="preserve">ing antibody </w:t>
      </w:r>
      <w:r w:rsidR="0090491F" w:rsidRPr="00C6214F">
        <w:t>titres</w:t>
      </w:r>
      <w:r w:rsidRPr="00C6214F">
        <w:t xml:space="preserve"> were also derived. Simulations used covariate combinations in the population PK analysis set. A good agreement between observed and simulated data was observed. The </w:t>
      </w:r>
      <w:r w:rsidR="0090491F">
        <w:t>population</w:t>
      </w:r>
      <w:r w:rsidRPr="00C6214F">
        <w:t xml:space="preserve"> PK evaluator has highlighted that </w:t>
      </w:r>
      <w:proofErr w:type="gramStart"/>
      <w:r w:rsidRPr="00C6214F">
        <w:t>the majority of</w:t>
      </w:r>
      <w:proofErr w:type="gramEnd"/>
      <w:r w:rsidR="006B04E9">
        <w:t xml:space="preserve"> PK samples (collected in Study </w:t>
      </w:r>
      <w:r w:rsidRPr="00C6214F">
        <w:t xml:space="preserve">D8850C00002) were collected within 30 days of dose administration with only </w:t>
      </w:r>
      <w:r w:rsidR="006B04E9">
        <w:rPr>
          <w:i/>
        </w:rPr>
        <w:t>5 of 1328 </w:t>
      </w:r>
      <w:r w:rsidRPr="0090491F">
        <w:rPr>
          <w:i/>
        </w:rPr>
        <w:t>subjects having a PK sample on Day 58 and 3 subjects on Day 92 after dose administration. Therefore, the PK profile at late times (&gt;</w:t>
      </w:r>
      <w:r w:rsidR="0090491F">
        <w:rPr>
          <w:i/>
        </w:rPr>
        <w:t> </w:t>
      </w:r>
      <w:r w:rsidRPr="0090491F">
        <w:rPr>
          <w:i/>
        </w:rPr>
        <w:t xml:space="preserve">30 days after dosing) was informed primarily by a subset of 20 </w:t>
      </w:r>
      <w:r w:rsidR="0090491F">
        <w:rPr>
          <w:i/>
        </w:rPr>
        <w:t>healthy subjects in the Phase I</w:t>
      </w:r>
      <w:r w:rsidR="00192F59">
        <w:rPr>
          <w:i/>
        </w:rPr>
        <w:t xml:space="preserve"> </w:t>
      </w:r>
      <w:r w:rsidRPr="0090491F">
        <w:rPr>
          <w:i/>
        </w:rPr>
        <w:t xml:space="preserve">study </w:t>
      </w:r>
      <w:r w:rsidR="0090491F">
        <w:rPr>
          <w:i/>
        </w:rPr>
        <w:t>with PK samples collected on D</w:t>
      </w:r>
      <w:r w:rsidRPr="0090491F">
        <w:rPr>
          <w:i/>
        </w:rPr>
        <w:t>ay 270.</w:t>
      </w:r>
    </w:p>
    <w:p w14:paraId="09DE8B08" w14:textId="6770A28F" w:rsidR="00C6214F" w:rsidRPr="00C6214F" w:rsidRDefault="00C6214F" w:rsidP="00C6214F">
      <w:r w:rsidRPr="00C6214F">
        <w:t xml:space="preserve">96% of study participants at 6 months and 55% of study participants at 12 months were expected to have an </w:t>
      </w:r>
      <w:proofErr w:type="spellStart"/>
      <w:r w:rsidRPr="00C6214F">
        <w:t>Evusheld</w:t>
      </w:r>
      <w:proofErr w:type="spellEnd"/>
      <w:r w:rsidRPr="00C6214F">
        <w:t xml:space="preserve"> serum concentration that exceeded a pre-defined protective serum concentration of 2.2 µg/</w:t>
      </w:r>
      <w:proofErr w:type="spellStart"/>
      <w:r w:rsidRPr="00C6214F">
        <w:t>mL.</w:t>
      </w:r>
      <w:proofErr w:type="spellEnd"/>
      <w:r w:rsidRPr="00C6214F">
        <w:t xml:space="preserve"> Confiden</w:t>
      </w:r>
      <w:r w:rsidR="0090491F">
        <w:t>ce intervals were not reported.</w:t>
      </w:r>
    </w:p>
    <w:p w14:paraId="3988689B" w14:textId="77777777" w:rsidR="00C6214F" w:rsidRPr="0090491F" w:rsidRDefault="00C6214F" w:rsidP="00C6214F">
      <w:pPr>
        <w:rPr>
          <w:i/>
        </w:rPr>
      </w:pPr>
      <w:r w:rsidRPr="00C6214F">
        <w:t xml:space="preserve">In view of the limited data to inform the model at late times in the population PK analysis set, the simulation results should be considered speculative. </w:t>
      </w:r>
      <w:r w:rsidRPr="0090491F">
        <w:rPr>
          <w:i/>
        </w:rPr>
        <w:t>PK sampling at a minimum of 6 months</w:t>
      </w:r>
      <w:r w:rsidR="0090491F">
        <w:rPr>
          <w:i/>
        </w:rPr>
        <w:t xml:space="preserve"> after dosing and preferably 9 to</w:t>
      </w:r>
      <w:r w:rsidRPr="0090491F">
        <w:rPr>
          <w:i/>
        </w:rPr>
        <w:t xml:space="preserve"> 12 months after dosing, would be required to confirm the projections.</w:t>
      </w:r>
    </w:p>
    <w:p w14:paraId="4121CCB6" w14:textId="77777777" w:rsidR="00C6214F" w:rsidRPr="00C6214F" w:rsidRDefault="00C6214F" w:rsidP="0090491F">
      <w:pPr>
        <w:pStyle w:val="Heading6"/>
      </w:pPr>
      <w:r w:rsidRPr="00C6214F">
        <w:t>Simulations of weight-based dosing versus fixed dosing</w:t>
      </w:r>
    </w:p>
    <w:p w14:paraId="48B74A1E" w14:textId="73910AB3" w:rsidR="00C6214F" w:rsidRPr="00C6214F" w:rsidRDefault="006B04E9" w:rsidP="00C6214F">
      <w:r>
        <w:t xml:space="preserve">The </w:t>
      </w:r>
      <w:proofErr w:type="spellStart"/>
      <w:r>
        <w:t>pop</w:t>
      </w:r>
      <w:r w:rsidR="00C6214F" w:rsidRPr="00C6214F">
        <w:t>PK</w:t>
      </w:r>
      <w:proofErr w:type="spellEnd"/>
      <w:r w:rsidR="00C6214F" w:rsidRPr="00C6214F">
        <w:t xml:space="preserve"> evaluator has highlighted the following issues:</w:t>
      </w:r>
    </w:p>
    <w:p w14:paraId="3AA33F3C" w14:textId="77777777" w:rsidR="00C6214F" w:rsidRPr="00C6214F" w:rsidRDefault="00C6214F" w:rsidP="0090491F">
      <w:pPr>
        <w:pStyle w:val="Numberbullet0"/>
        <w:numPr>
          <w:ilvl w:val="0"/>
          <w:numId w:val="24"/>
        </w:numPr>
      </w:pPr>
      <w:r w:rsidRPr="00C6214F">
        <w:t>The methods were not described in the analysis plan or the PK report, so it was not clear how the simulations were conducted.</w:t>
      </w:r>
    </w:p>
    <w:p w14:paraId="23BDAE93" w14:textId="1C2AEF2F" w:rsidR="00C6214F" w:rsidRPr="00C6214F" w:rsidRDefault="00C6214F" w:rsidP="0090491F">
      <w:pPr>
        <w:pStyle w:val="Numberbullet0"/>
        <w:numPr>
          <w:ilvl w:val="0"/>
          <w:numId w:val="24"/>
        </w:numPr>
      </w:pPr>
      <w:r w:rsidRPr="00C6214F">
        <w:t>The body weight adjusted dose was not specified.</w:t>
      </w:r>
    </w:p>
    <w:p w14:paraId="3EDF05B5" w14:textId="77777777" w:rsidR="00C6214F" w:rsidRPr="00C6214F" w:rsidRDefault="00C6214F" w:rsidP="0090491F">
      <w:pPr>
        <w:pStyle w:val="Numberbullet0"/>
        <w:numPr>
          <w:ilvl w:val="0"/>
          <w:numId w:val="24"/>
        </w:numPr>
      </w:pPr>
      <w:r w:rsidRPr="00C6214F">
        <w:t xml:space="preserve">For a direct comparison of fixed versus weight-adjusted dosing, the same range of body weights should have been used. </w:t>
      </w:r>
    </w:p>
    <w:p w14:paraId="0CEAD576" w14:textId="77777777" w:rsidR="00C6214F" w:rsidRPr="00C6214F" w:rsidRDefault="00C6214F" w:rsidP="0090491F">
      <w:pPr>
        <w:pStyle w:val="Numberbullet0"/>
        <w:numPr>
          <w:ilvl w:val="0"/>
          <w:numId w:val="24"/>
        </w:numPr>
      </w:pPr>
      <w:r w:rsidRPr="00C6214F">
        <w:t xml:space="preserve">Only area under the curve (AUC) was presented. Variability in AUC is primarily influenced by interindividual variability in </w:t>
      </w:r>
      <w:r w:rsidR="0090491F">
        <w:t>clearance</w:t>
      </w:r>
      <w:r w:rsidRPr="00C6214F">
        <w:t>, estimated in the final population PK model to be 33%. Peak concentration (</w:t>
      </w:r>
      <w:proofErr w:type="spellStart"/>
      <w:r w:rsidRPr="00C6214F">
        <w:t>C</w:t>
      </w:r>
      <w:r w:rsidRPr="0090491F">
        <w:rPr>
          <w:vertAlign w:val="subscript"/>
        </w:rPr>
        <w:t>max</w:t>
      </w:r>
      <w:proofErr w:type="spellEnd"/>
      <w:r w:rsidRPr="00C6214F">
        <w:t xml:space="preserve">) is primarily influenced by interindividual variability in the volume of central compartment (V2), estimated in the final population PK model to be 91%. Exposures shown should have minimally included AUC and </w:t>
      </w:r>
      <w:proofErr w:type="spellStart"/>
      <w:r w:rsidRPr="00C6214F">
        <w:t>C</w:t>
      </w:r>
      <w:r w:rsidRPr="0090491F">
        <w:rPr>
          <w:vertAlign w:val="subscript"/>
        </w:rPr>
        <w:t>max</w:t>
      </w:r>
      <w:proofErr w:type="spellEnd"/>
      <w:r w:rsidRPr="00C6214F">
        <w:t>; consideration might also have been given to serum concentration at 6 months.</w:t>
      </w:r>
    </w:p>
    <w:p w14:paraId="280BC824" w14:textId="77777777" w:rsidR="00C6214F" w:rsidRPr="00C6214F" w:rsidRDefault="00C6214F" w:rsidP="0090491F">
      <w:pPr>
        <w:pStyle w:val="Numberbullet0"/>
        <w:numPr>
          <w:ilvl w:val="0"/>
          <w:numId w:val="24"/>
        </w:numPr>
      </w:pPr>
      <w:r w:rsidRPr="00C6214F">
        <w:t xml:space="preserve">Comparisons of exposures (for example, using grouped box plots) over the body weight range (particularly at the extremes of body weight) would have been more informative than the figures provided. </w:t>
      </w:r>
    </w:p>
    <w:p w14:paraId="6709D05D" w14:textId="77777777" w:rsidR="00C6214F" w:rsidRPr="00C6214F" w:rsidRDefault="00C6214F" w:rsidP="0090491F">
      <w:pPr>
        <w:pStyle w:val="Numberbullet0"/>
        <w:numPr>
          <w:ilvl w:val="0"/>
          <w:numId w:val="24"/>
        </w:numPr>
      </w:pPr>
      <w:r w:rsidRPr="00C6214F">
        <w:t xml:space="preserve">The list of simulations purported to evaluate the influence of fixed versus weight-adjusted dosing of </w:t>
      </w:r>
      <w:proofErr w:type="spellStart"/>
      <w:r w:rsidRPr="00C6214F">
        <w:t>Evusheld</w:t>
      </w:r>
      <w:proofErr w:type="spellEnd"/>
      <w:r w:rsidRPr="00C6214F">
        <w:t xml:space="preserve">. The weight-adjusted dosing group </w:t>
      </w:r>
      <w:r w:rsidR="0090491F">
        <w:t>(40 to 95 kg) was referenced as ‘</w:t>
      </w:r>
      <w:proofErr w:type="gramStart"/>
      <w:r w:rsidR="0090491F">
        <w:t>adolescents’</w:t>
      </w:r>
      <w:proofErr w:type="gramEnd"/>
      <w:r w:rsidR="0090491F">
        <w:t>.</w:t>
      </w:r>
    </w:p>
    <w:p w14:paraId="7E8B5DF7" w14:textId="77777777" w:rsidR="00C6214F" w:rsidRPr="00C6214F" w:rsidRDefault="00C6214F" w:rsidP="0090491F">
      <w:pPr>
        <w:pStyle w:val="Numberbullet2"/>
      </w:pPr>
      <w:r w:rsidRPr="00C6214F">
        <w:t>Was a normal or uniform distribution used to simulate body weights for adolescents in the 40 to 95 kg range? For comparison with adult values, what were the 5th, 50th and 95th percentiles o</w:t>
      </w:r>
      <w:r w:rsidR="0090491F">
        <w:t>f body weight for adolescents? (</w:t>
      </w:r>
      <w:r w:rsidRPr="00C6214F">
        <w:t xml:space="preserve">The range of adult body weights was 36 to 177 kg (mean: 84.2 kg, 5th and </w:t>
      </w:r>
      <w:r w:rsidR="0090491F">
        <w:t>95% percentiles 56.6 to 120 kg))</w:t>
      </w:r>
      <w:r w:rsidRPr="00C6214F">
        <w:t>.</w:t>
      </w:r>
    </w:p>
    <w:p w14:paraId="43A0D94C" w14:textId="77777777" w:rsidR="00C6214F" w:rsidRPr="00C6214F" w:rsidRDefault="00C6214F" w:rsidP="0090491F">
      <w:pPr>
        <w:pStyle w:val="Numberbullet2"/>
      </w:pPr>
      <w:r w:rsidRPr="00C6214F">
        <w:t>How were age, body mass index (BMI) and body weight combinations generated for adolescent subjects? The impact of these covariates (age and BMI were covariates on K</w:t>
      </w:r>
      <w:r w:rsidRPr="0090491F">
        <w:rPr>
          <w:vertAlign w:val="subscript"/>
        </w:rPr>
        <w:t>a</w:t>
      </w:r>
      <w:r w:rsidRPr="00C6214F">
        <w:t xml:space="preserve"> in the final population PK model) on </w:t>
      </w:r>
      <w:proofErr w:type="spellStart"/>
      <w:r w:rsidRPr="00C6214F">
        <w:t>C</w:t>
      </w:r>
      <w:r w:rsidRPr="0090491F">
        <w:rPr>
          <w:vertAlign w:val="subscript"/>
        </w:rPr>
        <w:t>max</w:t>
      </w:r>
      <w:proofErr w:type="spellEnd"/>
      <w:r w:rsidRPr="00C6214F">
        <w:t xml:space="preserve"> should have been discussed.</w:t>
      </w:r>
    </w:p>
    <w:p w14:paraId="0CBD0929" w14:textId="77777777" w:rsidR="00C6214F" w:rsidRPr="00C6214F" w:rsidRDefault="00C6214F" w:rsidP="0090491F">
      <w:pPr>
        <w:pStyle w:val="Numberbullet2"/>
      </w:pPr>
      <w:r w:rsidRPr="00C6214F">
        <w:lastRenderedPageBreak/>
        <w:t xml:space="preserve">Simulated exposures (AUC and </w:t>
      </w:r>
      <w:proofErr w:type="spellStart"/>
      <w:r w:rsidRPr="00C6214F">
        <w:t>C</w:t>
      </w:r>
      <w:r w:rsidRPr="0090491F">
        <w:rPr>
          <w:vertAlign w:val="subscript"/>
        </w:rPr>
        <w:t>max</w:t>
      </w:r>
      <w:proofErr w:type="spellEnd"/>
      <w:r w:rsidRPr="00C6214F">
        <w:t>) at a 300 mg IM fixed dose should have been shown to support the claim that this regimen was appropriate for adolescents.</w:t>
      </w:r>
    </w:p>
    <w:p w14:paraId="4B15277C" w14:textId="77777777" w:rsidR="00C6214F" w:rsidRPr="0090491F" w:rsidRDefault="00C6214F" w:rsidP="0090491F">
      <w:r w:rsidRPr="0090491F">
        <w:t>Based on this assessment, simulations related to comparability of fixed versus body weight-based dosing and/or application to adolescent dosing should be revised.</w:t>
      </w:r>
    </w:p>
    <w:p w14:paraId="0598A5BA" w14:textId="3E979FD0" w:rsidR="00C6214F" w:rsidRPr="00C6214F" w:rsidRDefault="00C6214F" w:rsidP="00C6214F">
      <w:pPr>
        <w:rPr>
          <w:b/>
        </w:rPr>
      </w:pPr>
      <w:r w:rsidRPr="00C6214F">
        <w:rPr>
          <w:b/>
        </w:rPr>
        <w:t xml:space="preserve">Figure </w:t>
      </w:r>
      <w:r w:rsidRPr="00C6214F">
        <w:rPr>
          <w:b/>
        </w:rPr>
        <w:fldChar w:fldCharType="begin"/>
      </w:r>
      <w:r w:rsidRPr="00C6214F">
        <w:rPr>
          <w:b/>
        </w:rPr>
        <w:instrText xml:space="preserve"> SEQ Figure \* ARABIC </w:instrText>
      </w:r>
      <w:r w:rsidRPr="00C6214F">
        <w:rPr>
          <w:b/>
        </w:rPr>
        <w:fldChar w:fldCharType="separate"/>
      </w:r>
      <w:r w:rsidR="004D0A2C">
        <w:rPr>
          <w:b/>
          <w:noProof/>
        </w:rPr>
        <w:t>8</w:t>
      </w:r>
      <w:r w:rsidRPr="00C6214F">
        <w:fldChar w:fldCharType="end"/>
      </w:r>
      <w:r w:rsidRPr="00C6214F">
        <w:rPr>
          <w:b/>
        </w:rPr>
        <w:t xml:space="preserve">: </w:t>
      </w:r>
      <w:proofErr w:type="spellStart"/>
      <w:r w:rsidR="0090491F">
        <w:rPr>
          <w:b/>
        </w:rPr>
        <w:t>PopPK</w:t>
      </w:r>
      <w:proofErr w:type="spellEnd"/>
      <w:r w:rsidR="0090491F">
        <w:rPr>
          <w:b/>
        </w:rPr>
        <w:t xml:space="preserve"> analysis; </w:t>
      </w:r>
      <w:r w:rsidRPr="00C6214F">
        <w:rPr>
          <w:b/>
        </w:rPr>
        <w:t>Simulated systemic exposure for adolescent population</w:t>
      </w:r>
    </w:p>
    <w:p w14:paraId="4C1A96B4" w14:textId="77777777" w:rsidR="00C6214F" w:rsidRPr="00C6214F" w:rsidRDefault="00C6214F" w:rsidP="00C6214F">
      <w:r w:rsidRPr="00C6214F">
        <w:rPr>
          <w:noProof/>
          <w:lang w:val="en-GB" w:eastAsia="en-GB"/>
        </w:rPr>
        <w:drawing>
          <wp:inline distT="0" distB="0" distL="0" distR="0" wp14:anchorId="461EBD51" wp14:editId="6D9BA63F">
            <wp:extent cx="4079298" cy="4397872"/>
            <wp:effectExtent l="0" t="0" r="0" b="3175"/>
            <wp:docPr id="79" name="Picture 79" descr="Figure 9: PopPK analysis; Simulated systemic exposure for adolescen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Figure 9: PopPK analysis; Simulated systemic exposure for adolescent population"/>
                    <pic:cNvPicPr/>
                  </pic:nvPicPr>
                  <pic:blipFill>
                    <a:blip r:embed="rId36"/>
                    <a:stretch>
                      <a:fillRect/>
                    </a:stretch>
                  </pic:blipFill>
                  <pic:spPr>
                    <a:xfrm>
                      <a:off x="0" y="0"/>
                      <a:ext cx="4088036" cy="4407292"/>
                    </a:xfrm>
                    <a:prstGeom prst="rect">
                      <a:avLst/>
                    </a:prstGeom>
                  </pic:spPr>
                </pic:pic>
              </a:graphicData>
            </a:graphic>
          </wp:inline>
        </w:drawing>
      </w:r>
    </w:p>
    <w:p w14:paraId="331451D5" w14:textId="4186B114" w:rsidR="00C6214F" w:rsidRPr="00C6214F" w:rsidRDefault="00C6214F" w:rsidP="00C6214F">
      <w:pPr>
        <w:rPr>
          <w:b/>
        </w:rPr>
      </w:pPr>
      <w:r w:rsidRPr="00C6214F">
        <w:rPr>
          <w:b/>
        </w:rPr>
        <w:t xml:space="preserve">Figure </w:t>
      </w:r>
      <w:r w:rsidRPr="00C6214F">
        <w:rPr>
          <w:b/>
        </w:rPr>
        <w:fldChar w:fldCharType="begin"/>
      </w:r>
      <w:r w:rsidRPr="00C6214F">
        <w:rPr>
          <w:b/>
        </w:rPr>
        <w:instrText xml:space="preserve"> SEQ Figure \* ARABIC </w:instrText>
      </w:r>
      <w:r w:rsidRPr="00C6214F">
        <w:rPr>
          <w:b/>
        </w:rPr>
        <w:fldChar w:fldCharType="separate"/>
      </w:r>
      <w:r w:rsidR="004D0A2C">
        <w:rPr>
          <w:b/>
          <w:noProof/>
        </w:rPr>
        <w:t>9</w:t>
      </w:r>
      <w:r w:rsidRPr="00C6214F">
        <w:fldChar w:fldCharType="end"/>
      </w:r>
      <w:r w:rsidRPr="00C6214F">
        <w:rPr>
          <w:b/>
        </w:rPr>
        <w:t xml:space="preserve">: </w:t>
      </w:r>
      <w:proofErr w:type="spellStart"/>
      <w:r w:rsidR="0090491F">
        <w:rPr>
          <w:b/>
        </w:rPr>
        <w:t>PopPK</w:t>
      </w:r>
      <w:proofErr w:type="spellEnd"/>
      <w:r w:rsidR="0090491F">
        <w:rPr>
          <w:b/>
        </w:rPr>
        <w:t xml:space="preserve"> analysis; </w:t>
      </w:r>
      <w:r w:rsidRPr="00C6214F">
        <w:rPr>
          <w:b/>
        </w:rPr>
        <w:t xml:space="preserve">Comparison of </w:t>
      </w:r>
      <w:r w:rsidR="0090491F">
        <w:rPr>
          <w:b/>
        </w:rPr>
        <w:t>area under the curve</w:t>
      </w:r>
      <w:r w:rsidRPr="00C6214F">
        <w:rPr>
          <w:b/>
        </w:rPr>
        <w:t xml:space="preserve"> across fixed and weight-based dose regimens</w:t>
      </w:r>
    </w:p>
    <w:p w14:paraId="2D941513" w14:textId="1115DE39" w:rsidR="00C6214F" w:rsidRDefault="00C6214F" w:rsidP="00C6214F">
      <w:r w:rsidRPr="00C6214F">
        <w:rPr>
          <w:noProof/>
          <w:lang w:val="en-GB" w:eastAsia="en-GB"/>
        </w:rPr>
        <w:drawing>
          <wp:inline distT="0" distB="0" distL="0" distR="0" wp14:anchorId="6A3F1D90" wp14:editId="6AD1BF68">
            <wp:extent cx="5019675" cy="2352674"/>
            <wp:effectExtent l="0" t="0" r="0" b="0"/>
            <wp:docPr id="80" name="Picture 80" descr="Figure 10: PopPK analysis; Comparison of area under the curve across fixed and weight-based dose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Figure 10: PopPK analysis; Comparison of area under the curve across fixed and weight-based dose regimens"/>
                    <pic:cNvPicPr/>
                  </pic:nvPicPr>
                  <pic:blipFill rotWithShape="1">
                    <a:blip r:embed="rId37"/>
                    <a:srcRect r="2227" b="28198"/>
                    <a:stretch/>
                  </pic:blipFill>
                  <pic:spPr bwMode="auto">
                    <a:xfrm>
                      <a:off x="0" y="0"/>
                      <a:ext cx="5020376" cy="2353003"/>
                    </a:xfrm>
                    <a:prstGeom prst="rect">
                      <a:avLst/>
                    </a:prstGeom>
                    <a:ln>
                      <a:noFill/>
                    </a:ln>
                    <a:extLst>
                      <a:ext uri="{53640926-AAD7-44D8-BBD7-CCE9431645EC}">
                        <a14:shadowObscured xmlns:a14="http://schemas.microsoft.com/office/drawing/2010/main"/>
                      </a:ext>
                    </a:extLst>
                  </pic:spPr>
                </pic:pic>
              </a:graphicData>
            </a:graphic>
          </wp:inline>
        </w:drawing>
      </w:r>
    </w:p>
    <w:p w14:paraId="0EFAE84F" w14:textId="75C55D76" w:rsidR="00274667" w:rsidRPr="00C6214F" w:rsidRDefault="00274667" w:rsidP="00274667">
      <w:pPr>
        <w:pStyle w:val="TableDescription"/>
      </w:pPr>
      <w:r>
        <w:t xml:space="preserve">The point </w:t>
      </w:r>
      <w:proofErr w:type="gramStart"/>
      <w:r>
        <w:t>represent</w:t>
      </w:r>
      <w:proofErr w:type="gramEnd"/>
      <w:r>
        <w:t xml:space="preserve"> the predicted AUC for the individual in the data set assuming 300 mg IM dose. The black vertical bars </w:t>
      </w:r>
      <w:proofErr w:type="gramStart"/>
      <w:r>
        <w:t>covers</w:t>
      </w:r>
      <w:proofErr w:type="gramEnd"/>
      <w:r>
        <w:t xml:space="preserve"> 90% of the exposure ranges. The dark blue points for a given dosing regimen fall within the exposure range of the other regimen at the same dose. The light blue and orange points for </w:t>
      </w:r>
      <w:r>
        <w:lastRenderedPageBreak/>
        <w:t>one dose and regimen fall above and below the exposure range of the other regimen at the same dose, respectively. AUC = Area under the curve.</w:t>
      </w:r>
    </w:p>
    <w:p w14:paraId="24F93253" w14:textId="77777777" w:rsidR="00C6214F" w:rsidRPr="00C6214F" w:rsidRDefault="0090491F" w:rsidP="0090491F">
      <w:pPr>
        <w:pStyle w:val="Heading6"/>
      </w:pPr>
      <w:r>
        <w:t>Conclusions</w:t>
      </w:r>
    </w:p>
    <w:p w14:paraId="070C6B61" w14:textId="77777777" w:rsidR="00C6214F" w:rsidRPr="00C6214F" w:rsidRDefault="00C6214F" w:rsidP="00C6214F">
      <w:r w:rsidRPr="00C6214F">
        <w:t>The evaluator has concluded that the model adequa</w:t>
      </w:r>
      <w:r w:rsidR="0090491F">
        <w:t>tely described data from Phase I and Phase III</w:t>
      </w:r>
      <w:r w:rsidRPr="00C6214F">
        <w:t xml:space="preserve"> studies over a dose range of 300 mg to 3000 mg, showing PK linearity over this dose range. Visual </w:t>
      </w:r>
      <w:r w:rsidR="0090491F">
        <w:t>p</w:t>
      </w:r>
      <w:r w:rsidRPr="0090491F">
        <w:t xml:space="preserve">redictive </w:t>
      </w:r>
      <w:r w:rsidR="0090491F">
        <w:t>c</w:t>
      </w:r>
      <w:r w:rsidRPr="0090491F">
        <w:t>hecks</w:t>
      </w:r>
      <w:r w:rsidRPr="00C6214F">
        <w:t xml:space="preserve"> showed generally good predictive performance of the mod</w:t>
      </w:r>
      <w:r w:rsidR="0090491F">
        <w:t xml:space="preserve">el, particularly for the Phase III IM </w:t>
      </w:r>
      <w:proofErr w:type="spellStart"/>
      <w:r w:rsidR="0090491F">
        <w:t>Evusheld</w:t>
      </w:r>
      <w:proofErr w:type="spellEnd"/>
      <w:r w:rsidR="0090491F">
        <w:t xml:space="preserve"> doses.</w:t>
      </w:r>
    </w:p>
    <w:p w14:paraId="028017D2" w14:textId="77777777" w:rsidR="00C6214F" w:rsidRPr="00C6214F" w:rsidRDefault="0090491F" w:rsidP="00C6214F">
      <w:bookmarkStart w:id="47" w:name="_Hlk94176960"/>
      <w:r>
        <w:t>Body mass index</w:t>
      </w:r>
      <w:r w:rsidR="00C6214F" w:rsidRPr="00C6214F">
        <w:t xml:space="preserve">, age, </w:t>
      </w:r>
      <w:proofErr w:type="gramStart"/>
      <w:r w:rsidR="00C6214F" w:rsidRPr="00C6214F">
        <w:t>diabetes</w:t>
      </w:r>
      <w:proofErr w:type="gramEnd"/>
      <w:r w:rsidR="00C6214F" w:rsidRPr="00C6214F">
        <w:t xml:space="preserve"> and baseline serum albumin </w:t>
      </w:r>
      <w:bookmarkEnd w:id="47"/>
      <w:r w:rsidR="00C6214F" w:rsidRPr="00C6214F">
        <w:t>were statistically significant covariates in the final population PK model but were not considered clinically relevant due to minimal impact on interindividual variability of PK parameters.</w:t>
      </w:r>
    </w:p>
    <w:p w14:paraId="071E93E2" w14:textId="151B3F7A" w:rsidR="00C6214F" w:rsidRPr="00177EA8" w:rsidRDefault="00C6214F" w:rsidP="00C6214F">
      <w:pPr>
        <w:rPr>
          <w:highlight w:val="yellow"/>
        </w:rPr>
      </w:pPr>
      <w:r w:rsidRPr="00C6214F">
        <w:t>The evaluator noted that some key PK parameter estimates shifted with the addition of excluded data. Due to ambiguous descriptions of the data in the PK report, the nature of the excluded data was unclear. On the other hand, reasonably consistent PK parameter estimates were obtained with the</w:t>
      </w:r>
      <w:r w:rsidR="006B50E1">
        <w:t xml:space="preserve"> addition of data from another Phase III</w:t>
      </w:r>
      <w:r w:rsidRPr="00C6214F">
        <w:t xml:space="preserve"> study in subjects infected with COVID-19. Although not reported in the addendum to the PK report, it would have been interesting to see the impact of excluded data on the updated model. </w:t>
      </w:r>
      <w:r w:rsidR="00EC721F">
        <w:t xml:space="preserve">The sponsor was requested to provide these (see </w:t>
      </w:r>
      <w:r w:rsidR="00EC721F" w:rsidRPr="00407E5D">
        <w:fldChar w:fldCharType="begin"/>
      </w:r>
      <w:r w:rsidR="00EC721F" w:rsidRPr="00407E5D">
        <w:instrText xml:space="preserve"> REF _Ref97204483 \h </w:instrText>
      </w:r>
      <w:r w:rsidR="00407E5D">
        <w:instrText xml:space="preserve"> \* MERGEFORMAT </w:instrText>
      </w:r>
      <w:r w:rsidR="00EC721F" w:rsidRPr="00407E5D">
        <w:fldChar w:fldCharType="separate"/>
      </w:r>
      <w:r w:rsidR="004D0A2C">
        <w:t>Questions for the sponsor</w:t>
      </w:r>
      <w:r w:rsidR="00EC721F" w:rsidRPr="00407E5D">
        <w:fldChar w:fldCharType="end"/>
      </w:r>
      <w:r w:rsidR="00EC721F" w:rsidRPr="00407E5D">
        <w:t>)</w:t>
      </w:r>
      <w:r w:rsidRPr="00407E5D">
        <w:t>.</w:t>
      </w:r>
    </w:p>
    <w:p w14:paraId="3B1BE83F" w14:textId="41277DB2" w:rsidR="00C6214F" w:rsidRPr="00F23861" w:rsidRDefault="00C6214F" w:rsidP="00C6214F">
      <w:pPr>
        <w:rPr>
          <w:i/>
          <w:highlight w:val="yellow"/>
        </w:rPr>
      </w:pPr>
      <w:r w:rsidRPr="00C6214F">
        <w:t xml:space="preserve">The methods used for the extrapolation to adolescents were not stated. As a result, it is not clear how body weight, BMI and age covariate sets were simulated. </w:t>
      </w:r>
      <w:proofErr w:type="gramStart"/>
      <w:r w:rsidRPr="00C6214F">
        <w:t>In particular the</w:t>
      </w:r>
      <w:proofErr w:type="gramEnd"/>
      <w:r w:rsidRPr="00C6214F">
        <w:t xml:space="preserve"> distribution of adolescent body weights was not specified (only the range was provided). It was also not specified what weight-based dose was used in the adolescent simulations. AUC was the only PK parameter that was presented. </w:t>
      </w:r>
      <w:r w:rsidRPr="006B50E1">
        <w:rPr>
          <w:i/>
        </w:rPr>
        <w:t xml:space="preserve">Greater variability may be expected in </w:t>
      </w:r>
      <w:proofErr w:type="spellStart"/>
      <w:r w:rsidRPr="006B50E1">
        <w:rPr>
          <w:i/>
        </w:rPr>
        <w:t>C</w:t>
      </w:r>
      <w:r w:rsidRPr="006B50E1">
        <w:rPr>
          <w:i/>
          <w:vertAlign w:val="subscript"/>
        </w:rPr>
        <w:t>max</w:t>
      </w:r>
      <w:proofErr w:type="spellEnd"/>
      <w:r w:rsidRPr="006B50E1">
        <w:rPr>
          <w:i/>
        </w:rPr>
        <w:t xml:space="preserve"> (</w:t>
      </w:r>
      <w:r w:rsidRPr="00407E5D">
        <w:rPr>
          <w:i/>
        </w:rPr>
        <w:t>due to large interindividual variability in V2 and Ka), however, these comparisons were not shown. Taken together, the adolescent simulations were poorly presented and therefore difficult to interpret. The sponsor has been requested to clarify</w:t>
      </w:r>
      <w:r w:rsidR="00EC721F" w:rsidRPr="00407E5D">
        <w:rPr>
          <w:i/>
        </w:rPr>
        <w:t xml:space="preserve"> </w:t>
      </w:r>
      <w:r w:rsidR="00EC721F" w:rsidRPr="00407E5D">
        <w:rPr>
          <w:iCs/>
        </w:rPr>
        <w:t xml:space="preserve">(See </w:t>
      </w:r>
      <w:r w:rsidR="00EC721F" w:rsidRPr="00407E5D">
        <w:rPr>
          <w:iCs/>
        </w:rPr>
        <w:fldChar w:fldCharType="begin"/>
      </w:r>
      <w:r w:rsidR="00EC721F" w:rsidRPr="00407E5D">
        <w:rPr>
          <w:iCs/>
        </w:rPr>
        <w:instrText xml:space="preserve"> REF _Ref97204483 \h </w:instrText>
      </w:r>
      <w:r w:rsidR="00407E5D">
        <w:rPr>
          <w:iCs/>
        </w:rPr>
        <w:instrText xml:space="preserve"> \* MERGEFORMAT </w:instrText>
      </w:r>
      <w:r w:rsidR="00EC721F" w:rsidRPr="00407E5D">
        <w:rPr>
          <w:iCs/>
        </w:rPr>
      </w:r>
      <w:r w:rsidR="00EC721F" w:rsidRPr="00407E5D">
        <w:rPr>
          <w:iCs/>
        </w:rPr>
        <w:fldChar w:fldCharType="separate"/>
      </w:r>
      <w:r w:rsidR="004D0A2C">
        <w:t>Questions for the sponsor</w:t>
      </w:r>
      <w:r w:rsidR="00EC721F" w:rsidRPr="00407E5D">
        <w:rPr>
          <w:iCs/>
        </w:rPr>
        <w:fldChar w:fldCharType="end"/>
      </w:r>
      <w:r w:rsidR="00EC721F" w:rsidRPr="00407E5D">
        <w:rPr>
          <w:iCs/>
        </w:rPr>
        <w:t>)</w:t>
      </w:r>
      <w:r w:rsidRPr="00407E5D">
        <w:rPr>
          <w:i/>
        </w:rPr>
        <w:t>.</w:t>
      </w:r>
    </w:p>
    <w:p w14:paraId="38A98AA0" w14:textId="77777777" w:rsidR="00C6214F" w:rsidRPr="00C6214F" w:rsidRDefault="00C6214F" w:rsidP="00C6214F">
      <w:r w:rsidRPr="00C6214F">
        <w:t>The durati</w:t>
      </w:r>
      <w:r w:rsidR="006B50E1">
        <w:t>on of PK sampling in the Phase I</w:t>
      </w:r>
      <w:r w:rsidRPr="00C6214F">
        <w:t xml:space="preserve"> study was less than thr</w:t>
      </w:r>
      <w:r w:rsidR="006B50E1">
        <w:t xml:space="preserve">ee half-lives and in the </w:t>
      </w:r>
      <w:proofErr w:type="gramStart"/>
      <w:r w:rsidR="006B50E1">
        <w:t>Phase III</w:t>
      </w:r>
      <w:proofErr w:type="gramEnd"/>
      <w:r w:rsidRPr="00C6214F">
        <w:t xml:space="preserve"> studies was less than one half-life. </w:t>
      </w:r>
      <w:r w:rsidRPr="006B50E1">
        <w:t>Therefore, the elimination (terminal) phase of</w:t>
      </w:r>
      <w:r w:rsidR="006B50E1">
        <w:t xml:space="preserve"> the drug was poorly characteris</w:t>
      </w:r>
      <w:r w:rsidRPr="006B50E1">
        <w:t xml:space="preserve">ed. </w:t>
      </w:r>
      <w:r w:rsidRPr="00C6214F">
        <w:t xml:space="preserve">This was evidenced by high shrinkage in the estimated </w:t>
      </w:r>
      <w:r w:rsidR="00971E49">
        <w:t>clearance</w:t>
      </w:r>
      <w:r w:rsidRPr="00C6214F">
        <w:t xml:space="preserve"> in the population PK modelling and simulations showing progressively wider prediction intervals over time. </w:t>
      </w:r>
      <w:r w:rsidRPr="006B50E1">
        <w:t>A longer duration of PK sampling is re</w:t>
      </w:r>
      <w:r w:rsidR="006B50E1">
        <w:t>quired to accurately characteris</w:t>
      </w:r>
      <w:r w:rsidRPr="006B50E1">
        <w:t xml:space="preserve">e the terminal phase of the PK profile and estimate the half-life of </w:t>
      </w:r>
      <w:proofErr w:type="spellStart"/>
      <w:r w:rsidRPr="006B50E1">
        <w:t>Evusheld</w:t>
      </w:r>
      <w:proofErr w:type="spellEnd"/>
      <w:r w:rsidRPr="006B50E1">
        <w:t>. The</w:t>
      </w:r>
      <w:r w:rsidRPr="00C6214F">
        <w:t xml:space="preserve"> results of the analyses should there</w:t>
      </w:r>
      <w:r w:rsidR="006B50E1">
        <w:t xml:space="preserve">fore be considered </w:t>
      </w:r>
      <w:proofErr w:type="gramStart"/>
      <w:r w:rsidR="006B50E1">
        <w:t>interim</w:t>
      </w:r>
      <w:proofErr w:type="gramEnd"/>
      <w:r w:rsidR="006B50E1">
        <w:t xml:space="preserve"> and c</w:t>
      </w:r>
      <w:r w:rsidRPr="00C6214F">
        <w:t xml:space="preserve">onclusions based on the half-life of </w:t>
      </w:r>
      <w:proofErr w:type="spellStart"/>
      <w:r w:rsidRPr="00C6214F">
        <w:t>Evusheld</w:t>
      </w:r>
      <w:proofErr w:type="spellEnd"/>
      <w:r w:rsidRPr="00C6214F">
        <w:t xml:space="preserve"> should be regarded as speculative.</w:t>
      </w:r>
    </w:p>
    <w:p w14:paraId="5B37ED32" w14:textId="77777777" w:rsidR="00C6214F" w:rsidRPr="00C6214F" w:rsidRDefault="006B50E1" w:rsidP="006B50E1">
      <w:pPr>
        <w:pStyle w:val="Heading5"/>
      </w:pPr>
      <w:r>
        <w:t>Pharmacodynamics</w:t>
      </w:r>
    </w:p>
    <w:p w14:paraId="0B938589" w14:textId="77777777" w:rsidR="00C6214F" w:rsidRPr="006B50E1" w:rsidRDefault="00C6214F" w:rsidP="006B50E1">
      <w:pPr>
        <w:pStyle w:val="Heading6"/>
      </w:pPr>
      <w:r w:rsidRPr="00C6214F">
        <w:t>Mechanism of action</w:t>
      </w:r>
    </w:p>
    <w:p w14:paraId="3576A19A" w14:textId="77777777" w:rsidR="00C6214F" w:rsidRPr="00C6214F" w:rsidRDefault="00C6214F" w:rsidP="00C6214F">
      <w:r w:rsidRPr="00C6214F">
        <w:t>The combination of two monoclonal antibodies AZD8895 (</w:t>
      </w:r>
      <w:proofErr w:type="spellStart"/>
      <w:r w:rsidRPr="00C6214F">
        <w:t>tixagevimab</w:t>
      </w:r>
      <w:proofErr w:type="spellEnd"/>
      <w:r w:rsidRPr="00C6214F">
        <w:t>) and AZD1061 (</w:t>
      </w:r>
      <w:proofErr w:type="spellStart"/>
      <w:r w:rsidRPr="00C6214F">
        <w:t>cilgavimab</w:t>
      </w:r>
      <w:proofErr w:type="spellEnd"/>
      <w:r w:rsidRPr="00C6214F">
        <w:t>) that fo</w:t>
      </w:r>
      <w:r w:rsidR="006B50E1">
        <w:t xml:space="preserve">rm </w:t>
      </w:r>
      <w:proofErr w:type="spellStart"/>
      <w:r w:rsidR="006B50E1">
        <w:t>Evusheld</w:t>
      </w:r>
      <w:proofErr w:type="spellEnd"/>
      <w:r w:rsidRPr="00C6214F">
        <w:t xml:space="preserve"> bind to the receptor b</w:t>
      </w:r>
      <w:r w:rsidR="006B50E1">
        <w:t>inding domain (RBD) of the SARS</w:t>
      </w:r>
      <w:r w:rsidR="006B50E1">
        <w:noBreakHyphen/>
      </w:r>
      <w:r w:rsidRPr="00C6214F">
        <w:t xml:space="preserve">CoV-2 virus, which results in neutralisation of the virus. It should be noted that the two </w:t>
      </w:r>
      <w:r w:rsidR="006B50E1">
        <w:t>monoclonal antibodies</w:t>
      </w:r>
      <w:r w:rsidRPr="00C6214F">
        <w:t xml:space="preserve"> act non-competitively by binding to non-overlapping epitopes on the spike protein. Both </w:t>
      </w:r>
      <w:proofErr w:type="spellStart"/>
      <w:r w:rsidRPr="00C6214F">
        <w:t>tixagevimab</w:t>
      </w:r>
      <w:proofErr w:type="spellEnd"/>
      <w:r w:rsidRPr="00C6214F">
        <w:t xml:space="preserve"> and </w:t>
      </w:r>
      <w:proofErr w:type="spellStart"/>
      <w:r w:rsidRPr="00C6214F">
        <w:t>cilgavimab</w:t>
      </w:r>
      <w:proofErr w:type="spellEnd"/>
      <w:r w:rsidRPr="00C6214F">
        <w:t xml:space="preserve"> bind the RBD with nanomolar affinity and are individually capable of sterically blocking the virus from engaging its cellular receptor, </w:t>
      </w:r>
      <w:r w:rsidR="006B50E1">
        <w:t>human angiotensin converting enzyme 2 (human ACE2) receptor</w:t>
      </w:r>
      <w:r w:rsidRPr="00C6214F">
        <w:t>. This bindin</w:t>
      </w:r>
      <w:r w:rsidR="006B50E1">
        <w:t>g translates to potent neutralis</w:t>
      </w:r>
      <w:r w:rsidRPr="00C6214F">
        <w:t xml:space="preserve">ation of SARS-CoV-2 infection by </w:t>
      </w:r>
      <w:proofErr w:type="spellStart"/>
      <w:r w:rsidR="006B50E1">
        <w:t>Evusheld</w:t>
      </w:r>
      <w:proofErr w:type="spellEnd"/>
      <w:r w:rsidRPr="006B50E1">
        <w:rPr>
          <w:i/>
        </w:rPr>
        <w:t xml:space="preserve"> in vitro</w:t>
      </w:r>
      <w:r w:rsidRPr="00C6214F">
        <w:t>, with IC</w:t>
      </w:r>
      <w:r w:rsidRPr="006B50E1">
        <w:rPr>
          <w:vertAlign w:val="subscript"/>
        </w:rPr>
        <w:t>50</w:t>
      </w:r>
      <w:r w:rsidRPr="00C6214F">
        <w:t xml:space="preserve"> values between 10 to 26 ng/ml.</w:t>
      </w:r>
    </w:p>
    <w:p w14:paraId="232259B4" w14:textId="046F60C7" w:rsidR="00C6214F" w:rsidRPr="00C6214F" w:rsidRDefault="00C6214F" w:rsidP="00C6214F">
      <w:r w:rsidRPr="00C6214F">
        <w:t xml:space="preserve">The </w:t>
      </w:r>
      <w:bookmarkStart w:id="48" w:name="_Hlk93407306"/>
      <w:proofErr w:type="spellStart"/>
      <w:r w:rsidRPr="00C6214F">
        <w:t>tixagevimab</w:t>
      </w:r>
      <w:proofErr w:type="spellEnd"/>
      <w:r w:rsidRPr="00C6214F">
        <w:t xml:space="preserve"> and </w:t>
      </w:r>
      <w:proofErr w:type="spellStart"/>
      <w:r w:rsidRPr="00C6214F">
        <w:t>cilgavimab</w:t>
      </w:r>
      <w:proofErr w:type="spellEnd"/>
      <w:r w:rsidRPr="00C6214F">
        <w:t xml:space="preserve"> </w:t>
      </w:r>
      <w:proofErr w:type="spellStart"/>
      <w:r w:rsidRPr="00C6214F">
        <w:t>mAbs</w:t>
      </w:r>
      <w:proofErr w:type="spellEnd"/>
      <w:r w:rsidRPr="00C6214F">
        <w:t xml:space="preserve"> </w:t>
      </w:r>
      <w:bookmarkEnd w:id="48"/>
      <w:r w:rsidRPr="00C6214F">
        <w:t>have been engineered with triple amino acid substitutions M252Y/S254T/T256E (YTE) in the Fc region to prolong the t</w:t>
      </w:r>
      <w:r w:rsidRPr="00971E49">
        <w:rPr>
          <w:vertAlign w:val="subscript"/>
        </w:rPr>
        <w:t>1/2</w:t>
      </w:r>
      <w:r w:rsidRPr="00C6214F">
        <w:t>.</w:t>
      </w:r>
      <w:r w:rsidR="00D77876">
        <w:t xml:space="preserve"> </w:t>
      </w:r>
      <w:r w:rsidRPr="00C6214F">
        <w:t xml:space="preserve">The triple amino acid substitutions L234F/L235E/P331S (TM) were incorporated into the Fc region for both </w:t>
      </w:r>
      <w:proofErr w:type="spellStart"/>
      <w:r w:rsidRPr="00C6214F">
        <w:t>tixagevimab</w:t>
      </w:r>
      <w:proofErr w:type="spellEnd"/>
      <w:r w:rsidRPr="00C6214F">
        <w:t xml:space="preserve"> and </w:t>
      </w:r>
      <w:proofErr w:type="spellStart"/>
      <w:r w:rsidRPr="00C6214F">
        <w:t>cilgavimab</w:t>
      </w:r>
      <w:proofErr w:type="spellEnd"/>
      <w:r w:rsidRPr="00C6214F">
        <w:t xml:space="preserve"> to reduce Fc-mediated effector function. </w:t>
      </w:r>
    </w:p>
    <w:p w14:paraId="77D8102D" w14:textId="19EC6D11" w:rsidR="00C6214F" w:rsidRPr="00C6214F" w:rsidRDefault="00C6214F" w:rsidP="004D776A">
      <w:pPr>
        <w:pStyle w:val="FigureTitle"/>
      </w:pPr>
      <w:r w:rsidRPr="00C6214F">
        <w:lastRenderedPageBreak/>
        <w:t xml:space="preserve">Figure </w:t>
      </w:r>
      <w:r>
        <w:fldChar w:fldCharType="begin"/>
      </w:r>
      <w:r>
        <w:instrText>SEQ Figure \* ARABIC</w:instrText>
      </w:r>
      <w:r>
        <w:fldChar w:fldCharType="separate"/>
      </w:r>
      <w:r w:rsidR="004D0A2C">
        <w:rPr>
          <w:noProof/>
        </w:rPr>
        <w:t>10</w:t>
      </w:r>
      <w:r>
        <w:fldChar w:fldCharType="end"/>
      </w:r>
      <w:r w:rsidRPr="00C6214F">
        <w:t xml:space="preserve">: Synergistic action of </w:t>
      </w:r>
      <w:proofErr w:type="spellStart"/>
      <w:r w:rsidRPr="00C6214F">
        <w:t>tixagevimab</w:t>
      </w:r>
      <w:proofErr w:type="spellEnd"/>
      <w:r w:rsidRPr="00C6214F">
        <w:t xml:space="preserve"> and </w:t>
      </w:r>
      <w:proofErr w:type="spellStart"/>
      <w:r w:rsidRPr="00C6214F">
        <w:t>cilgavimab</w:t>
      </w:r>
      <w:proofErr w:type="spellEnd"/>
    </w:p>
    <w:p w14:paraId="68F9EB5E" w14:textId="0BA8EF8C" w:rsidR="00C6214F" w:rsidRPr="00C6214F" w:rsidRDefault="00C6214F" w:rsidP="00C6214F">
      <w:r w:rsidRPr="00C6214F">
        <w:rPr>
          <w:noProof/>
          <w:lang w:val="en-GB" w:eastAsia="en-GB"/>
        </w:rPr>
        <w:drawing>
          <wp:inline distT="0" distB="0" distL="0" distR="0" wp14:anchorId="3F4EA63F" wp14:editId="3EDEC7B6">
            <wp:extent cx="4591691" cy="4629796"/>
            <wp:effectExtent l="0" t="0" r="0" b="0"/>
            <wp:docPr id="103" name="Picture 103" descr="Figure 11: Synergistic action of tixagevimab and cilgavi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Figure 11: Synergistic action of tixagevimab and cilgavimab"/>
                    <pic:cNvPicPr/>
                  </pic:nvPicPr>
                  <pic:blipFill>
                    <a:blip r:embed="rId38"/>
                    <a:stretch>
                      <a:fillRect/>
                    </a:stretch>
                  </pic:blipFill>
                  <pic:spPr>
                    <a:xfrm>
                      <a:off x="0" y="0"/>
                      <a:ext cx="4591691" cy="4629796"/>
                    </a:xfrm>
                    <a:prstGeom prst="rect">
                      <a:avLst/>
                    </a:prstGeom>
                  </pic:spPr>
                </pic:pic>
              </a:graphicData>
            </a:graphic>
          </wp:inline>
        </w:drawing>
      </w:r>
    </w:p>
    <w:p w14:paraId="56C76B89" w14:textId="77777777" w:rsidR="00C6214F" w:rsidRPr="00C6214F" w:rsidRDefault="00C6214F" w:rsidP="004D776A">
      <w:pPr>
        <w:pStyle w:val="Heading6"/>
      </w:pPr>
      <w:r w:rsidRPr="00C6214F">
        <w:t>Neutralising antibodies</w:t>
      </w:r>
    </w:p>
    <w:p w14:paraId="3B75404F" w14:textId="77777777" w:rsidR="00C6214F" w:rsidRPr="00C6214F" w:rsidRDefault="00C6214F" w:rsidP="004D776A">
      <w:pPr>
        <w:pStyle w:val="Heading6"/>
      </w:pPr>
      <w:r w:rsidRPr="00C6214F">
        <w:t>Neutralising activity against Delta variant</w:t>
      </w:r>
    </w:p>
    <w:p w14:paraId="1C30F2DD" w14:textId="3D47FE43" w:rsidR="00C6214F" w:rsidRDefault="00C6214F" w:rsidP="00C6214F">
      <w:r w:rsidRPr="00C6214F">
        <w:t>Rese</w:t>
      </w:r>
      <w:r w:rsidR="004D776A">
        <w:t xml:space="preserve">arch-grade </w:t>
      </w:r>
      <w:proofErr w:type="spellStart"/>
      <w:r w:rsidR="004D776A">
        <w:t>pseudovirus</w:t>
      </w:r>
      <w:proofErr w:type="spellEnd"/>
      <w:r w:rsidR="004D776A">
        <w:t xml:space="preserve"> neutralis</w:t>
      </w:r>
      <w:r w:rsidRPr="00C6214F">
        <w:t>ation testing of AZD8895 (</w:t>
      </w:r>
      <w:proofErr w:type="spellStart"/>
      <w:r w:rsidRPr="00C6214F">
        <w:t>tixagevimab</w:t>
      </w:r>
      <w:proofErr w:type="spellEnd"/>
      <w:r w:rsidRPr="00C6214F">
        <w:t>), AZD1061 (</w:t>
      </w:r>
      <w:proofErr w:type="spellStart"/>
      <w:r w:rsidRPr="00C6214F">
        <w:t>cilgavimab</w:t>
      </w:r>
      <w:proofErr w:type="spellEnd"/>
      <w:r w:rsidRPr="00C6214F">
        <w:t xml:space="preserve">), and </w:t>
      </w:r>
      <w:proofErr w:type="spellStart"/>
      <w:r w:rsidR="004D776A">
        <w:t>Evusheld</w:t>
      </w:r>
      <w:proofErr w:type="spellEnd"/>
      <w:r w:rsidR="004D776A">
        <w:t xml:space="preserve"> </w:t>
      </w:r>
      <w:r w:rsidRPr="00C6214F">
        <w:t>was performed by investigators at the FDA.</w:t>
      </w:r>
    </w:p>
    <w:p w14:paraId="0DF21DBF" w14:textId="13441F9B" w:rsidR="00E75D74" w:rsidRPr="00C6214F" w:rsidRDefault="00E75D74" w:rsidP="00E75D74">
      <w:pPr>
        <w:pStyle w:val="FigureTitle"/>
      </w:pPr>
      <w:r w:rsidRPr="00E75D74">
        <w:t xml:space="preserve">Table </w:t>
      </w:r>
      <w:r>
        <w:fldChar w:fldCharType="begin"/>
      </w:r>
      <w:r>
        <w:instrText>SEQ Table \* ARABIC</w:instrText>
      </w:r>
      <w:r>
        <w:fldChar w:fldCharType="separate"/>
      </w:r>
      <w:r w:rsidR="004D0A2C">
        <w:rPr>
          <w:noProof/>
        </w:rPr>
        <w:t>13</w:t>
      </w:r>
      <w:r>
        <w:fldChar w:fldCharType="end"/>
      </w:r>
      <w:r w:rsidRPr="00E75D74">
        <w:t>:</w:t>
      </w:r>
      <w:r>
        <w:t xml:space="preserve"> </w:t>
      </w:r>
      <w:r w:rsidRPr="00E75D74">
        <w:t>Neutralising activity against Delta variant</w:t>
      </w:r>
    </w:p>
    <w:p w14:paraId="79A1C533" w14:textId="4E171F40" w:rsidR="00376A6C" w:rsidRDefault="00C6214F" w:rsidP="00C6214F">
      <w:r w:rsidRPr="00C6214F">
        <w:rPr>
          <w:noProof/>
          <w:lang w:val="en-GB" w:eastAsia="en-GB"/>
        </w:rPr>
        <w:drawing>
          <wp:inline distT="0" distB="0" distL="0" distR="0" wp14:anchorId="60862980" wp14:editId="4BBC945F">
            <wp:extent cx="5257800" cy="1543050"/>
            <wp:effectExtent l="0" t="0" r="0" b="0"/>
            <wp:docPr id="4" name="Picture 4" descr="Table 14: Neutralising activity against Delta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14: Neutralising activity against Delta variant"/>
                    <pic:cNvPicPr/>
                  </pic:nvPicPr>
                  <pic:blipFill rotWithShape="1">
                    <a:blip r:embed="rId39"/>
                    <a:srcRect r="7363" b="28382"/>
                    <a:stretch/>
                  </pic:blipFill>
                  <pic:spPr bwMode="auto">
                    <a:xfrm>
                      <a:off x="0" y="0"/>
                      <a:ext cx="5269013" cy="1546341"/>
                    </a:xfrm>
                    <a:prstGeom prst="rect">
                      <a:avLst/>
                    </a:prstGeom>
                    <a:ln>
                      <a:noFill/>
                    </a:ln>
                    <a:extLst>
                      <a:ext uri="{53640926-AAD7-44D8-BBD7-CCE9431645EC}">
                        <a14:shadowObscured xmlns:a14="http://schemas.microsoft.com/office/drawing/2010/main"/>
                      </a:ext>
                    </a:extLst>
                  </pic:spPr>
                </pic:pic>
              </a:graphicData>
            </a:graphic>
          </wp:inline>
        </w:drawing>
      </w:r>
    </w:p>
    <w:p w14:paraId="0D015F7D" w14:textId="090DE1ED" w:rsidR="00274667" w:rsidRDefault="00274667" w:rsidP="00376A6C">
      <w:pPr>
        <w:pStyle w:val="TableDescription"/>
      </w:pPr>
      <w:r>
        <w:t xml:space="preserve">* Range of reduced in vitro potency across multiple sets of co-occurring substitution, and/or testing labs using research grade assays: mean fold change in half maximal inhibitory concentration (IC50) of </w:t>
      </w:r>
      <w:proofErr w:type="spellStart"/>
      <w:r>
        <w:t>mAb</w:t>
      </w:r>
      <w:proofErr w:type="spellEnd"/>
      <w:r>
        <w:t xml:space="preserve"> required for a 50% reduction in infection compared to wild type reference strain.</w:t>
      </w:r>
    </w:p>
    <w:p w14:paraId="74A1037B" w14:textId="1C94CD51" w:rsidR="00274667" w:rsidRPr="00C6214F" w:rsidRDefault="00376A6C" w:rsidP="00376A6C">
      <w:pPr>
        <w:pStyle w:val="TableDescription"/>
      </w:pPr>
      <w:r>
        <w:t>+ In vitro potency data derived from US Food and Drug Administration (</w:t>
      </w:r>
      <w:proofErr w:type="spellStart"/>
      <w:r>
        <w:t>Sliver</w:t>
      </w:r>
      <w:proofErr w:type="spellEnd"/>
      <w:r>
        <w:t xml:space="preserve"> Spring, MD, USA).</w:t>
      </w:r>
    </w:p>
    <w:p w14:paraId="1D541DD7" w14:textId="77777777" w:rsidR="00C6214F" w:rsidRPr="00C6214F" w:rsidRDefault="00C6214F" w:rsidP="004D776A">
      <w:pPr>
        <w:pStyle w:val="Heading6"/>
      </w:pPr>
      <w:r w:rsidRPr="00C6214F">
        <w:lastRenderedPageBreak/>
        <w:t>Neutralising activity against Omicron variant</w:t>
      </w:r>
    </w:p>
    <w:p w14:paraId="3F097495" w14:textId="77777777" w:rsidR="00C6214F" w:rsidRPr="00C6214F" w:rsidRDefault="00C6214F" w:rsidP="00C6214F">
      <w:r w:rsidRPr="00C6214F">
        <w:t>Phenotypic evaluation of AZD8895 (</w:t>
      </w:r>
      <w:proofErr w:type="spellStart"/>
      <w:r w:rsidRPr="00C6214F">
        <w:t>tixagevimab</w:t>
      </w:r>
      <w:proofErr w:type="spellEnd"/>
      <w:r w:rsidRPr="00C6214F">
        <w:t>), AZD1061 (</w:t>
      </w:r>
      <w:proofErr w:type="spellStart"/>
      <w:r w:rsidRPr="00C6214F">
        <w:t>cilgavimab</w:t>
      </w:r>
      <w:proofErr w:type="spellEnd"/>
      <w:r w:rsidRPr="00C6214F">
        <w:t xml:space="preserve">) and </w:t>
      </w:r>
      <w:proofErr w:type="spellStart"/>
      <w:r w:rsidR="004D776A">
        <w:t>Evusheld</w:t>
      </w:r>
      <w:proofErr w:type="spellEnd"/>
      <w:r w:rsidR="004D776A">
        <w:t xml:space="preserve"> neutralis</w:t>
      </w:r>
      <w:r w:rsidRPr="00C6214F">
        <w:t xml:space="preserve">ation susceptibility against the Omicron variant was evaluated in </w:t>
      </w:r>
      <w:proofErr w:type="spellStart"/>
      <w:r w:rsidRPr="00C6214F">
        <w:t>pseudotyped</w:t>
      </w:r>
      <w:proofErr w:type="spellEnd"/>
      <w:r w:rsidRPr="00C6214F">
        <w:t xml:space="preserve"> virus-like particles (VLP) and authentic virus assays from multiple l</w:t>
      </w:r>
      <w:r w:rsidR="004D776A">
        <w:t>aboratories, including the FDA.</w:t>
      </w:r>
    </w:p>
    <w:p w14:paraId="68CA49CC" w14:textId="4668C085" w:rsidR="00C6214F" w:rsidRPr="00C6214F" w:rsidRDefault="67957DF3" w:rsidP="00C6214F">
      <w:r>
        <w:t xml:space="preserve">No major difference in terms of neutralising activity was noted between the two </w:t>
      </w:r>
      <w:r w:rsidR="044CE10A">
        <w:t>monoclonal antibodies</w:t>
      </w:r>
      <w:r>
        <w:t>. Overall, the activity against Omic</w:t>
      </w:r>
      <w:r w:rsidR="044CE10A">
        <w:t xml:space="preserve">ron was </w:t>
      </w:r>
      <w:r w:rsidR="00EC721F">
        <w:t>low</w:t>
      </w:r>
      <w:r w:rsidR="044CE10A">
        <w:t>, compared to Delta.</w:t>
      </w:r>
    </w:p>
    <w:p w14:paraId="337E16DD" w14:textId="6D507104" w:rsidR="00C6214F" w:rsidRPr="00C6214F" w:rsidRDefault="00C6214F" w:rsidP="00E75D74">
      <w:pPr>
        <w:pStyle w:val="TableTitle"/>
      </w:pPr>
      <w:bookmarkStart w:id="49" w:name="_Ref94910630"/>
      <w:r w:rsidRPr="00C6214F">
        <w:t xml:space="preserve">Table </w:t>
      </w:r>
      <w:r>
        <w:fldChar w:fldCharType="begin"/>
      </w:r>
      <w:r>
        <w:instrText>SEQ Table \* ARABIC</w:instrText>
      </w:r>
      <w:r>
        <w:fldChar w:fldCharType="separate"/>
      </w:r>
      <w:r w:rsidR="004D0A2C">
        <w:rPr>
          <w:noProof/>
        </w:rPr>
        <w:t>14</w:t>
      </w:r>
      <w:r>
        <w:fldChar w:fldCharType="end"/>
      </w:r>
      <w:r w:rsidRPr="00C6214F">
        <w:t xml:space="preserve">: Potency assessment for </w:t>
      </w:r>
      <w:proofErr w:type="spellStart"/>
      <w:r w:rsidR="004D776A">
        <w:t>Evusheld</w:t>
      </w:r>
      <w:proofErr w:type="spellEnd"/>
      <w:r w:rsidR="004D776A">
        <w:t xml:space="preserve"> </w:t>
      </w:r>
      <w:r w:rsidRPr="00C6214F">
        <w:t>against the Omicron SARS-CoV-2 variant</w:t>
      </w:r>
      <w:bookmarkEnd w:id="49"/>
    </w:p>
    <w:p w14:paraId="073FEA84" w14:textId="139556DF" w:rsidR="00C6214F" w:rsidRDefault="00C6214F" w:rsidP="00C6214F">
      <w:r w:rsidRPr="00C6214F">
        <w:rPr>
          <w:noProof/>
          <w:lang w:val="en-GB" w:eastAsia="en-GB"/>
        </w:rPr>
        <w:drawing>
          <wp:inline distT="0" distB="0" distL="0" distR="0" wp14:anchorId="24B2E6D4" wp14:editId="17CACBFD">
            <wp:extent cx="5340140" cy="3667125"/>
            <wp:effectExtent l="0" t="0" r="0" b="0"/>
            <wp:docPr id="12" name="Picture 12" descr="Table 15: Potency assessment for Evusheld against the Omicron SARS-CoV-2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15: Potency assessment for Evusheld against the Omicron SARS-CoV-2 variant"/>
                    <pic:cNvPicPr/>
                  </pic:nvPicPr>
                  <pic:blipFill rotWithShape="1">
                    <a:blip r:embed="rId40"/>
                    <a:srcRect l="1025" t="1583" r="4302" b="14707"/>
                    <a:stretch/>
                  </pic:blipFill>
                  <pic:spPr bwMode="auto">
                    <a:xfrm>
                      <a:off x="0" y="0"/>
                      <a:ext cx="5360969" cy="3681428"/>
                    </a:xfrm>
                    <a:prstGeom prst="rect">
                      <a:avLst/>
                    </a:prstGeom>
                    <a:ln>
                      <a:noFill/>
                    </a:ln>
                    <a:extLst>
                      <a:ext uri="{53640926-AAD7-44D8-BBD7-CCE9431645EC}">
                        <a14:shadowObscured xmlns:a14="http://schemas.microsoft.com/office/drawing/2010/main"/>
                      </a:ext>
                    </a:extLst>
                  </pic:spPr>
                </pic:pic>
              </a:graphicData>
            </a:graphic>
          </wp:inline>
        </w:drawing>
      </w:r>
    </w:p>
    <w:p w14:paraId="63327690" w14:textId="1649D4CF" w:rsidR="00376A6C" w:rsidRPr="00E91DAF" w:rsidRDefault="00376A6C" w:rsidP="00E91DAF">
      <w:pPr>
        <w:pStyle w:val="TableDescription"/>
      </w:pPr>
      <w:r w:rsidRPr="00E91DAF">
        <w:t>* Testing conducted with parental version of AZD8895 (2196) and AZD1061 (2130)</w:t>
      </w:r>
    </w:p>
    <w:p w14:paraId="2975B87B" w14:textId="52C9F334" w:rsidR="00376A6C" w:rsidRPr="00C6214F" w:rsidRDefault="00376A6C" w:rsidP="00E91DAF">
      <w:pPr>
        <w:pStyle w:val="TableDescription"/>
      </w:pPr>
      <w:r w:rsidRPr="00E91DAF">
        <w:t>#</w:t>
      </w:r>
      <w:r w:rsidR="00E91DAF" w:rsidRPr="00E91DAF">
        <w:t xml:space="preserve"> Omicron spike mutations: A67V, H69-, V70-, T95I, G142D, V143-, Y144-, Y145-, N21I, L212I, ins214EPE, G339D, S371L, S373P, S375F, K417N, N440K, G446S, S477N, T478K, E484A, Q493R, G498R, N501Y, Y505H, T547K, D614G, H655Y, N679K, P681H, N764K, D796Y, N856K, Q954H, N969K and L981F.</w:t>
      </w:r>
    </w:p>
    <w:p w14:paraId="3A146F58" w14:textId="77777777" w:rsidR="00C6214F" w:rsidRPr="00C6214F" w:rsidRDefault="004D776A" w:rsidP="00C6214F">
      <w:r>
        <w:t>Pharmacodynamic</w:t>
      </w:r>
      <w:r w:rsidR="00C6214F" w:rsidRPr="00C6214F">
        <w:t xml:space="preserve"> assessments comprised serum lev</w:t>
      </w:r>
      <w:r>
        <w:t xml:space="preserve">els of neutralising antibodies </w:t>
      </w:r>
      <w:r w:rsidR="00C6214F" w:rsidRPr="00C6214F">
        <w:t>to SARS-CoV-2</w:t>
      </w:r>
      <w:r>
        <w:t>, and anti-drug antibodies</w:t>
      </w:r>
      <w:r w:rsidR="00C6214F" w:rsidRPr="00C6214F">
        <w:t xml:space="preserve"> to </w:t>
      </w:r>
      <w:proofErr w:type="spellStart"/>
      <w:r>
        <w:t>Evusheld</w:t>
      </w:r>
      <w:proofErr w:type="spellEnd"/>
      <w:r w:rsidR="00C6214F" w:rsidRPr="00C6214F">
        <w:t>. The</w:t>
      </w:r>
      <w:r>
        <w:t>se data are derived from Phase I</w:t>
      </w:r>
      <w:r w:rsidR="00C6214F" w:rsidRPr="00C6214F">
        <w:t xml:space="preserve"> Study D88</w:t>
      </w:r>
      <w:r>
        <w:t>50C00001, as well as the Phase III</w:t>
      </w:r>
      <w:r w:rsidR="00C6214F" w:rsidRPr="00C6214F">
        <w:t xml:space="preserve"> studies (note that </w:t>
      </w:r>
      <w:r>
        <w:t>neutralising antibody</w:t>
      </w:r>
      <w:r w:rsidR="00C6214F" w:rsidRPr="00C6214F">
        <w:t xml:space="preserve"> data are not currently available from the STORM CHASER </w:t>
      </w:r>
      <w:r>
        <w:t>trial</w:t>
      </w:r>
      <w:r w:rsidR="00C6214F" w:rsidRPr="00C6214F">
        <w:t xml:space="preserve">, and </w:t>
      </w:r>
      <w:r>
        <w:t xml:space="preserve">anti-drug antibody data from the Phase III </w:t>
      </w:r>
      <w:proofErr w:type="gramStart"/>
      <w:r>
        <w:t>prophylaxis-based</w:t>
      </w:r>
      <w:proofErr w:type="gramEnd"/>
      <w:r>
        <w:t xml:space="preserve"> </w:t>
      </w:r>
      <w:r w:rsidR="00C6214F" w:rsidRPr="00C6214F">
        <w:t xml:space="preserve">PROVENT and STORM CHASER </w:t>
      </w:r>
      <w:r>
        <w:t xml:space="preserve">trials </w:t>
      </w:r>
      <w:r w:rsidR="00C6214F" w:rsidRPr="00C6214F">
        <w:t>are also not yet available).</w:t>
      </w:r>
    </w:p>
    <w:p w14:paraId="3D004EF2" w14:textId="5BDB89B3" w:rsidR="00C6214F" w:rsidRPr="00C6214F" w:rsidRDefault="67957DF3" w:rsidP="00C6214F">
      <w:r>
        <w:t xml:space="preserve">The sponsor’s potency assessment for </w:t>
      </w:r>
      <w:proofErr w:type="spellStart"/>
      <w:r w:rsidR="044CE10A">
        <w:t>Evusheld</w:t>
      </w:r>
      <w:proofErr w:type="spellEnd"/>
      <w:r w:rsidR="044CE10A">
        <w:t xml:space="preserve"> </w:t>
      </w:r>
      <w:r>
        <w:t>against the Omicron BA.1 SARS-CoV-2 variant suggest that the geometric mean of the IC50 assessments was around 209 ng/mL (</w:t>
      </w:r>
      <w:r w:rsidR="00C6214F">
        <w:fldChar w:fldCharType="begin"/>
      </w:r>
      <w:r w:rsidR="00C6214F">
        <w:instrText xml:space="preserve"> REF _Ref94910630 \h  \* MERGEFORMAT </w:instrText>
      </w:r>
      <w:r w:rsidR="00C6214F">
        <w:fldChar w:fldCharType="separate"/>
      </w:r>
      <w:r w:rsidR="004D0A2C" w:rsidRPr="00C6214F">
        <w:t xml:space="preserve">Table </w:t>
      </w:r>
      <w:r w:rsidR="004D0A2C">
        <w:rPr>
          <w:noProof/>
        </w:rPr>
        <w:t>14</w:t>
      </w:r>
      <w:r w:rsidR="004D0A2C" w:rsidRPr="00C6214F">
        <w:t xml:space="preserve">: Potency assessment for </w:t>
      </w:r>
      <w:proofErr w:type="spellStart"/>
      <w:r w:rsidR="004D0A2C">
        <w:t>Evusheld</w:t>
      </w:r>
      <w:proofErr w:type="spellEnd"/>
      <w:r w:rsidR="004D0A2C">
        <w:t xml:space="preserve"> </w:t>
      </w:r>
      <w:r w:rsidR="004D0A2C" w:rsidRPr="00C6214F">
        <w:t>against the Omicron SARS-CoV-2 variant</w:t>
      </w:r>
      <w:r w:rsidR="00C6214F">
        <w:fldChar w:fldCharType="end"/>
      </w:r>
      <w:r>
        <w:t xml:space="preserve">. Based on this finding, the serum concentration of </w:t>
      </w:r>
      <w:proofErr w:type="spellStart"/>
      <w:r w:rsidR="17A3DA9B">
        <w:t>Evusheld</w:t>
      </w:r>
      <w:proofErr w:type="spellEnd"/>
      <w:r w:rsidR="17A3DA9B">
        <w:t xml:space="preserve"> </w:t>
      </w:r>
      <w:r>
        <w:t xml:space="preserve">that would result in 80% inhibition of viral cell entry in the lung would be 3.3 </w:t>
      </w:r>
      <w:bookmarkStart w:id="50" w:name="_Hlk94184635"/>
      <w:r>
        <w:t>ug/</w:t>
      </w:r>
      <w:proofErr w:type="spellStart"/>
      <w:r>
        <w:t>mL</w:t>
      </w:r>
      <w:bookmarkEnd w:id="50"/>
      <w:r>
        <w:t>.</w:t>
      </w:r>
      <w:proofErr w:type="spellEnd"/>
      <w:r>
        <w:t xml:space="preserve"> This concentration is reached on average 5 h</w:t>
      </w:r>
      <w:r w:rsidR="17A3DA9B">
        <w:t>ou</w:t>
      </w:r>
      <w:r>
        <w:t xml:space="preserve">rs post 600 </w:t>
      </w:r>
      <w:r w:rsidR="17A3DA9B">
        <w:t>mg IM dose (Figure 12).</w:t>
      </w:r>
    </w:p>
    <w:p w14:paraId="4FE17ACC" w14:textId="7FE588A8" w:rsidR="00C6214F" w:rsidRPr="00C6214F" w:rsidRDefault="00C6214F" w:rsidP="00D57B0C">
      <w:pPr>
        <w:pStyle w:val="FigureTitle"/>
      </w:pPr>
      <w:r w:rsidRPr="00C6214F">
        <w:lastRenderedPageBreak/>
        <w:t xml:space="preserve">Figure </w:t>
      </w:r>
      <w:r>
        <w:fldChar w:fldCharType="begin"/>
      </w:r>
      <w:r>
        <w:instrText>SEQ Figure \* ARABIC</w:instrText>
      </w:r>
      <w:r>
        <w:fldChar w:fldCharType="separate"/>
      </w:r>
      <w:r w:rsidR="004D0A2C">
        <w:rPr>
          <w:noProof/>
        </w:rPr>
        <w:t>11</w:t>
      </w:r>
      <w:r>
        <w:fldChar w:fldCharType="end"/>
      </w:r>
      <w:r w:rsidRPr="00C6214F">
        <w:t xml:space="preserve">: Predicted serum </w:t>
      </w:r>
      <w:proofErr w:type="spellStart"/>
      <w:r w:rsidR="00D57B0C">
        <w:t>Evusheld</w:t>
      </w:r>
      <w:proofErr w:type="spellEnd"/>
      <w:r w:rsidR="00D57B0C">
        <w:t xml:space="preserve"> </w:t>
      </w:r>
      <w:r w:rsidRPr="00C6214F">
        <w:t>concentration over time for a dose of 600</w:t>
      </w:r>
      <w:r w:rsidR="00D57B0C">
        <w:t xml:space="preserve"> mg (intramuscular route)</w:t>
      </w:r>
    </w:p>
    <w:p w14:paraId="1830B8A2" w14:textId="77777777" w:rsidR="00C6214F" w:rsidRPr="00C6214F" w:rsidRDefault="00C6214F" w:rsidP="00C6214F">
      <w:r w:rsidRPr="00C6214F">
        <w:rPr>
          <w:noProof/>
          <w:lang w:val="en-GB" w:eastAsia="en-GB"/>
        </w:rPr>
        <w:drawing>
          <wp:inline distT="0" distB="0" distL="0" distR="0" wp14:anchorId="170D6B64" wp14:editId="3EB0AFE1">
            <wp:extent cx="4746929" cy="2875915"/>
            <wp:effectExtent l="0" t="0" r="0" b="635"/>
            <wp:docPr id="107" name="Picture 107" descr="Figure 12: Predicted serum Evusheld concentration over time for a dose of 600 mg (intramuscular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Figure 12: Predicted serum Evusheld concentration over time for a dose of 600 mg (intramuscular route)"/>
                    <pic:cNvPicPr/>
                  </pic:nvPicPr>
                  <pic:blipFill rotWithShape="1">
                    <a:blip r:embed="rId41"/>
                    <a:srcRect t="3211" r="2456"/>
                    <a:stretch/>
                  </pic:blipFill>
                  <pic:spPr bwMode="auto">
                    <a:xfrm>
                      <a:off x="0" y="0"/>
                      <a:ext cx="4748368" cy="2876787"/>
                    </a:xfrm>
                    <a:prstGeom prst="rect">
                      <a:avLst/>
                    </a:prstGeom>
                    <a:ln>
                      <a:noFill/>
                    </a:ln>
                    <a:extLst>
                      <a:ext uri="{53640926-AAD7-44D8-BBD7-CCE9431645EC}">
                        <a14:shadowObscured xmlns:a14="http://schemas.microsoft.com/office/drawing/2010/main"/>
                      </a:ext>
                    </a:extLst>
                  </pic:spPr>
                </pic:pic>
              </a:graphicData>
            </a:graphic>
          </wp:inline>
        </w:drawing>
      </w:r>
    </w:p>
    <w:p w14:paraId="2027CE22" w14:textId="77777777" w:rsidR="00C6214F" w:rsidRPr="00C6214F" w:rsidRDefault="00C6214F" w:rsidP="00C6214F">
      <w:r w:rsidRPr="00C6214F">
        <w:t xml:space="preserve">One day post the 600 mg IM dose, the average serum </w:t>
      </w:r>
      <w:proofErr w:type="spellStart"/>
      <w:r w:rsidR="00D57B0C">
        <w:t>Evusheld</w:t>
      </w:r>
      <w:proofErr w:type="spellEnd"/>
      <w:r w:rsidR="00D57B0C">
        <w:t xml:space="preserve"> concentration is 14 µ</w:t>
      </w:r>
      <w:r w:rsidRPr="00C6214F">
        <w:t xml:space="preserve">g/mL and reaches drug levels within 80% of the </w:t>
      </w:r>
      <w:proofErr w:type="spellStart"/>
      <w:r w:rsidRPr="00C6214F">
        <w:t>C</w:t>
      </w:r>
      <w:r w:rsidRPr="00D57B0C">
        <w:rPr>
          <w:vertAlign w:val="subscript"/>
        </w:rPr>
        <w:t>max</w:t>
      </w:r>
      <w:proofErr w:type="spellEnd"/>
      <w:r w:rsidRPr="00C6214F">
        <w:t xml:space="preserve"> at 5.5 days post-dose with serum concentrations</w:t>
      </w:r>
      <w:r w:rsidR="00D57B0C">
        <w:t xml:space="preserve"> of 48 µg/mL 28 days post-dose.</w:t>
      </w:r>
    </w:p>
    <w:p w14:paraId="321BB96E" w14:textId="77777777" w:rsidR="00C6214F" w:rsidRPr="00C6214F" w:rsidRDefault="00C6214F" w:rsidP="00D57B0C">
      <w:pPr>
        <w:pStyle w:val="Heading6"/>
      </w:pPr>
      <w:r w:rsidRPr="00C6214F">
        <w:t>Study D8850C00001</w:t>
      </w:r>
    </w:p>
    <w:p w14:paraId="6CA58AF3" w14:textId="5E16F541" w:rsidR="00C6214F" w:rsidRPr="00C6214F" w:rsidRDefault="00D57B0C" w:rsidP="00C6214F">
      <w:r>
        <w:t>Neutralising antibody</w:t>
      </w:r>
      <w:r w:rsidR="00C6214F" w:rsidRPr="00C6214F">
        <w:t xml:space="preserve"> </w:t>
      </w:r>
      <w:r w:rsidRPr="00C6214F">
        <w:t>titres</w:t>
      </w:r>
      <w:r w:rsidR="00C6214F" w:rsidRPr="00C6214F">
        <w:t xml:space="preserve"> again</w:t>
      </w:r>
      <w:r>
        <w:t>st SARS-CoV-2 were measured at Baseline (Day 1), 7 </w:t>
      </w:r>
      <w:r w:rsidR="00C6214F" w:rsidRPr="00C6214F">
        <w:t xml:space="preserve">days (Day 8), 30 days (Day 31), 60 days (Day 61), 90 days (Day 91), 150 days (Day 151), 210 days (Day 211), and 270 days (Day 271) after administration of </w:t>
      </w:r>
      <w:proofErr w:type="spellStart"/>
      <w:r w:rsidR="007F4348">
        <w:t>Evusheld</w:t>
      </w:r>
      <w:proofErr w:type="spellEnd"/>
      <w:r w:rsidR="005A5D62">
        <w:t>.</w:t>
      </w:r>
    </w:p>
    <w:p w14:paraId="25D06BE3" w14:textId="77777777" w:rsidR="00C6214F" w:rsidRPr="00C6214F" w:rsidRDefault="67957DF3" w:rsidP="00C6214F">
      <w:r>
        <w:t xml:space="preserve">A dose-proportionate increase </w:t>
      </w:r>
      <w:r w:rsidR="3E4C2866">
        <w:t>in the geometric mean of the neutralising antibody</w:t>
      </w:r>
      <w:r>
        <w:t xml:space="preserve"> titres was reported for </w:t>
      </w:r>
      <w:proofErr w:type="spellStart"/>
      <w:r w:rsidR="3E4C2866">
        <w:t>Evusheld</w:t>
      </w:r>
      <w:proofErr w:type="spellEnd"/>
      <w:r>
        <w:t>. At a dose of 300</w:t>
      </w:r>
      <w:r w:rsidR="3E4C2866">
        <w:t xml:space="preserve"> </w:t>
      </w:r>
      <w:r>
        <w:t xml:space="preserve">mg </w:t>
      </w:r>
      <w:proofErr w:type="spellStart"/>
      <w:r w:rsidR="3E4C2866">
        <w:t>Evusheld</w:t>
      </w:r>
      <w:proofErr w:type="spellEnd"/>
      <w:r>
        <w:t xml:space="preserve">, administered intramuscularly, the peak </w:t>
      </w:r>
      <w:r w:rsidR="3E4C2866">
        <w:t xml:space="preserve">geometric mean titre (GMT; </w:t>
      </w:r>
      <w:r>
        <w:t>852.81) was achieved at Day 31. Around 40% reduction in GMT was noted at Day 91 (533.6).</w:t>
      </w:r>
    </w:p>
    <w:p w14:paraId="47C7B49D" w14:textId="4DED0CD3" w:rsidR="00C6214F" w:rsidRPr="00C6214F" w:rsidRDefault="00C6214F" w:rsidP="007F4348">
      <w:pPr>
        <w:pStyle w:val="TableTitle"/>
      </w:pPr>
      <w:r w:rsidRPr="00C6214F">
        <w:lastRenderedPageBreak/>
        <w:t xml:space="preserve">Table </w:t>
      </w:r>
      <w:r>
        <w:fldChar w:fldCharType="begin"/>
      </w:r>
      <w:r>
        <w:instrText>SEQ Table \* ARABIC</w:instrText>
      </w:r>
      <w:r>
        <w:fldChar w:fldCharType="separate"/>
      </w:r>
      <w:r w:rsidR="004D0A2C">
        <w:rPr>
          <w:noProof/>
        </w:rPr>
        <w:t>15</w:t>
      </w:r>
      <w:r>
        <w:fldChar w:fldCharType="end"/>
      </w:r>
      <w:r w:rsidR="007F4348">
        <w:t>:</w:t>
      </w:r>
      <w:r w:rsidRPr="00C6214F">
        <w:t xml:space="preserve"> Geometric </w:t>
      </w:r>
      <w:r w:rsidR="007F4348" w:rsidRPr="00C6214F">
        <w:t>mean</w:t>
      </w:r>
      <w:r w:rsidR="007F4348">
        <w:t xml:space="preserve"> and fold-change serum neutralising antibody tit</w:t>
      </w:r>
      <w:r w:rsidR="007F4348" w:rsidRPr="00C6214F">
        <w:t>r</w:t>
      </w:r>
      <w:r w:rsidR="007F4348">
        <w:t xml:space="preserve">e following single dose </w:t>
      </w:r>
      <w:r w:rsidR="000A2B24">
        <w:t>intramuscular</w:t>
      </w:r>
      <w:r w:rsidR="000A2B24" w:rsidRPr="00D77876">
        <w:t xml:space="preserve"> or </w:t>
      </w:r>
      <w:r w:rsidR="000A2B24" w:rsidRPr="000A2B24">
        <w:t>intravascular</w:t>
      </w:r>
      <w:r w:rsidR="000A2B24" w:rsidRPr="00D77876">
        <w:t xml:space="preserve"> </w:t>
      </w:r>
      <w:r w:rsidR="007F4348">
        <w:t xml:space="preserve">administration of </w:t>
      </w:r>
      <w:proofErr w:type="spellStart"/>
      <w:r w:rsidR="007F4348">
        <w:t>E</w:t>
      </w:r>
      <w:r w:rsidR="007F4348" w:rsidRPr="00C6214F">
        <w:t>vusheld</w:t>
      </w:r>
      <w:proofErr w:type="spellEnd"/>
      <w:r w:rsidR="007F4348" w:rsidRPr="00C6214F">
        <w:t xml:space="preserve"> (safety analysis set)</w:t>
      </w:r>
    </w:p>
    <w:p w14:paraId="5368BA02" w14:textId="77777777" w:rsidR="00C6214F" w:rsidRPr="00C6214F" w:rsidRDefault="00C6214F" w:rsidP="00C6214F">
      <w:r w:rsidRPr="00C6214F">
        <w:rPr>
          <w:noProof/>
          <w:lang w:val="en-GB" w:eastAsia="en-GB"/>
        </w:rPr>
        <w:drawing>
          <wp:inline distT="0" distB="0" distL="0" distR="0" wp14:anchorId="673AC0D1" wp14:editId="0DB3D853">
            <wp:extent cx="5486400" cy="3514554"/>
            <wp:effectExtent l="0" t="0" r="0" b="0"/>
            <wp:docPr id="60" name="Picture 60" descr="Geometric mean and fold-change serum neutralising antibody titre following single dose IM or IV administration of Evushel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eometric mean and fold-change serum neutralising antibody titre following single dose IM or IV administration of Evusheld (safety analysis se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8490" cy="3528705"/>
                    </a:xfrm>
                    <a:prstGeom prst="rect">
                      <a:avLst/>
                    </a:prstGeom>
                    <a:noFill/>
                    <a:ln>
                      <a:noFill/>
                    </a:ln>
                  </pic:spPr>
                </pic:pic>
              </a:graphicData>
            </a:graphic>
          </wp:inline>
        </w:drawing>
      </w:r>
    </w:p>
    <w:p w14:paraId="73B4C9CC" w14:textId="38B80D43" w:rsidR="00C6214F" w:rsidRDefault="00C6214F" w:rsidP="00C6214F">
      <w:pPr>
        <w:rPr>
          <w:b/>
          <w:bCs/>
        </w:rPr>
      </w:pPr>
      <w:r w:rsidRPr="00C6214F">
        <w:rPr>
          <w:b/>
          <w:bCs/>
          <w:noProof/>
          <w:lang w:val="en-GB" w:eastAsia="en-GB"/>
        </w:rPr>
        <w:drawing>
          <wp:inline distT="0" distB="0" distL="0" distR="0" wp14:anchorId="36FF7E4A" wp14:editId="05ADEF4F">
            <wp:extent cx="5483225" cy="3057864"/>
            <wp:effectExtent l="0" t="0" r="317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rotWithShape="1">
                    <a:blip r:embed="rId43">
                      <a:extLst>
                        <a:ext uri="{28A0092B-C50C-407E-A947-70E740481C1C}">
                          <a14:useLocalDpi xmlns:a14="http://schemas.microsoft.com/office/drawing/2010/main" val="0"/>
                        </a:ext>
                      </a:extLst>
                    </a:blip>
                    <a:srcRect t="9312" b="9"/>
                    <a:stretch/>
                  </pic:blipFill>
                  <pic:spPr bwMode="auto">
                    <a:xfrm>
                      <a:off x="0" y="0"/>
                      <a:ext cx="5494070" cy="3063912"/>
                    </a:xfrm>
                    <a:prstGeom prst="rect">
                      <a:avLst/>
                    </a:prstGeom>
                    <a:noFill/>
                    <a:ln>
                      <a:noFill/>
                    </a:ln>
                    <a:extLst>
                      <a:ext uri="{53640926-AAD7-44D8-BBD7-CCE9431645EC}">
                        <a14:shadowObscured xmlns:a14="http://schemas.microsoft.com/office/drawing/2010/main"/>
                      </a:ext>
                    </a:extLst>
                  </pic:spPr>
                </pic:pic>
              </a:graphicData>
            </a:graphic>
          </wp:inline>
        </w:drawing>
      </w:r>
    </w:p>
    <w:p w14:paraId="07E19E02" w14:textId="1DD77261" w:rsidR="00D77876" w:rsidRPr="00C6214F" w:rsidRDefault="00D77876" w:rsidP="00D77876">
      <w:pPr>
        <w:pStyle w:val="TableTitle"/>
      </w:pPr>
      <w:r w:rsidRPr="00D77876">
        <w:lastRenderedPageBreak/>
        <w:t xml:space="preserve">Table 16: Geometric mean and fold-change serum neutralising antibody titre following single dose </w:t>
      </w:r>
      <w:r w:rsidR="000A2B24">
        <w:t>intramuscular</w:t>
      </w:r>
      <w:r w:rsidRPr="00D77876">
        <w:t xml:space="preserve"> or </w:t>
      </w:r>
      <w:r w:rsidR="000A2B24" w:rsidRPr="000A2B24">
        <w:t>intravascular</w:t>
      </w:r>
      <w:r w:rsidRPr="00D77876">
        <w:t xml:space="preserve"> administration of </w:t>
      </w:r>
      <w:proofErr w:type="spellStart"/>
      <w:r w:rsidRPr="00D77876">
        <w:t>Evusheld</w:t>
      </w:r>
      <w:proofErr w:type="spellEnd"/>
      <w:r w:rsidRPr="00D77876">
        <w:t xml:space="preserve"> (safety analysis set)</w:t>
      </w:r>
      <w:r>
        <w:t>, continued’</w:t>
      </w:r>
    </w:p>
    <w:p w14:paraId="79AE8699" w14:textId="77777777" w:rsidR="00C6214F" w:rsidRPr="00C6214F" w:rsidRDefault="00C6214F" w:rsidP="00C6214F">
      <w:pPr>
        <w:rPr>
          <w:b/>
          <w:bCs/>
        </w:rPr>
      </w:pPr>
      <w:r w:rsidRPr="00C6214F">
        <w:rPr>
          <w:b/>
          <w:bCs/>
          <w:noProof/>
          <w:lang w:val="en-GB" w:eastAsia="en-GB"/>
        </w:rPr>
        <w:drawing>
          <wp:inline distT="0" distB="0" distL="0" distR="0" wp14:anchorId="4D889201" wp14:editId="08E7A9AF">
            <wp:extent cx="5459506" cy="3491277"/>
            <wp:effectExtent l="0" t="0" r="8255" b="0"/>
            <wp:docPr id="62" name="Picture 62" descr="Table 16: Geometric mean and fold-change serum neutralising antibody titre following single dose IM or IV administration of Evushel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able 16: Geometric mean and fold-change serum neutralising antibody titre following single dose IM or IV administration of Evusheld (safety analysis se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8474" cy="3497012"/>
                    </a:xfrm>
                    <a:prstGeom prst="rect">
                      <a:avLst/>
                    </a:prstGeom>
                    <a:noFill/>
                    <a:ln>
                      <a:noFill/>
                    </a:ln>
                  </pic:spPr>
                </pic:pic>
              </a:graphicData>
            </a:graphic>
          </wp:inline>
        </w:drawing>
      </w:r>
    </w:p>
    <w:p w14:paraId="376EA693" w14:textId="20A95F1C" w:rsidR="00C6214F" w:rsidRDefault="00C6214F" w:rsidP="00C6214F">
      <w:pPr>
        <w:rPr>
          <w:b/>
          <w:bCs/>
        </w:rPr>
      </w:pPr>
      <w:r w:rsidRPr="00C6214F">
        <w:rPr>
          <w:b/>
          <w:bCs/>
          <w:noProof/>
          <w:lang w:val="en-GB" w:eastAsia="en-GB"/>
        </w:rPr>
        <w:drawing>
          <wp:inline distT="0" distB="0" distL="0" distR="0" wp14:anchorId="7FACCBBC" wp14:editId="5A773C4A">
            <wp:extent cx="5481955" cy="3162125"/>
            <wp:effectExtent l="0" t="0" r="444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5">
                      <a:extLst>
                        <a:ext uri="{28A0092B-C50C-407E-A947-70E740481C1C}">
                          <a14:useLocalDpi xmlns:a14="http://schemas.microsoft.com/office/drawing/2010/main" val="0"/>
                        </a:ext>
                      </a:extLst>
                    </a:blip>
                    <a:srcRect t="9783"/>
                    <a:stretch/>
                  </pic:blipFill>
                  <pic:spPr bwMode="auto">
                    <a:xfrm>
                      <a:off x="0" y="0"/>
                      <a:ext cx="5485591" cy="3164222"/>
                    </a:xfrm>
                    <a:prstGeom prst="rect">
                      <a:avLst/>
                    </a:prstGeom>
                    <a:noFill/>
                    <a:ln>
                      <a:noFill/>
                    </a:ln>
                    <a:extLst>
                      <a:ext uri="{53640926-AAD7-44D8-BBD7-CCE9431645EC}">
                        <a14:shadowObscured xmlns:a14="http://schemas.microsoft.com/office/drawing/2010/main"/>
                      </a:ext>
                    </a:extLst>
                  </pic:spPr>
                </pic:pic>
              </a:graphicData>
            </a:graphic>
          </wp:inline>
        </w:drawing>
      </w:r>
    </w:p>
    <w:p w14:paraId="1CB277DC" w14:textId="47354534" w:rsidR="00D77876" w:rsidRPr="00D77876" w:rsidRDefault="00D77876" w:rsidP="00D77876">
      <w:pPr>
        <w:pStyle w:val="TableTitle"/>
      </w:pPr>
      <w:r w:rsidRPr="00D77876">
        <w:lastRenderedPageBreak/>
        <w:t xml:space="preserve">Table 16: Geometric mean and fold-change serum neutralising antibody titre following single dose </w:t>
      </w:r>
      <w:r w:rsidR="000A2B24">
        <w:t>intramuscular</w:t>
      </w:r>
      <w:r w:rsidR="000A2B24" w:rsidRPr="00D77876">
        <w:t xml:space="preserve"> or </w:t>
      </w:r>
      <w:r w:rsidR="000A2B24" w:rsidRPr="000A2B24">
        <w:t>intravascular</w:t>
      </w:r>
      <w:r w:rsidR="000A2B24" w:rsidRPr="00D77876">
        <w:t xml:space="preserve"> </w:t>
      </w:r>
      <w:r w:rsidRPr="00D77876">
        <w:t xml:space="preserve">administration of </w:t>
      </w:r>
      <w:proofErr w:type="spellStart"/>
      <w:r w:rsidRPr="00D77876">
        <w:t>Evusheld</w:t>
      </w:r>
      <w:proofErr w:type="spellEnd"/>
      <w:r w:rsidRPr="00D77876">
        <w:t xml:space="preserve"> (safety analysis set)</w:t>
      </w:r>
      <w:r>
        <w:t>, continued’</w:t>
      </w:r>
    </w:p>
    <w:p w14:paraId="2AF92D25" w14:textId="77777777" w:rsidR="00C6214F" w:rsidRPr="00C6214F" w:rsidRDefault="00C6214F" w:rsidP="00C6214F">
      <w:pPr>
        <w:rPr>
          <w:b/>
          <w:bCs/>
        </w:rPr>
      </w:pPr>
      <w:r w:rsidRPr="00C6214F">
        <w:rPr>
          <w:b/>
          <w:bCs/>
          <w:noProof/>
          <w:lang w:val="en-GB" w:eastAsia="en-GB"/>
        </w:rPr>
        <w:drawing>
          <wp:inline distT="0" distB="0" distL="0" distR="0" wp14:anchorId="58C8DA75" wp14:editId="0108B31F">
            <wp:extent cx="5481955" cy="2095437"/>
            <wp:effectExtent l="0" t="0" r="444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l="-1" t="12980" r="1179"/>
                    <a:stretch/>
                  </pic:blipFill>
                  <pic:spPr bwMode="auto">
                    <a:xfrm>
                      <a:off x="0" y="0"/>
                      <a:ext cx="5529582" cy="2113642"/>
                    </a:xfrm>
                    <a:prstGeom prst="rect">
                      <a:avLst/>
                    </a:prstGeom>
                    <a:noFill/>
                    <a:ln>
                      <a:noFill/>
                    </a:ln>
                    <a:extLst>
                      <a:ext uri="{53640926-AAD7-44D8-BBD7-CCE9431645EC}">
                        <a14:shadowObscured xmlns:a14="http://schemas.microsoft.com/office/drawing/2010/main"/>
                      </a:ext>
                    </a:extLst>
                  </pic:spPr>
                </pic:pic>
              </a:graphicData>
            </a:graphic>
          </wp:inline>
        </w:drawing>
      </w:r>
    </w:p>
    <w:p w14:paraId="3445B2D1" w14:textId="585B3A8F" w:rsidR="00C6214F" w:rsidRPr="00C6214F" w:rsidRDefault="00C6214F" w:rsidP="00C6214F">
      <w:pPr>
        <w:rPr>
          <w:b/>
          <w:bCs/>
        </w:rPr>
      </w:pPr>
      <w:r w:rsidRPr="00C6214F">
        <w:rPr>
          <w:b/>
          <w:bCs/>
        </w:rPr>
        <w:t xml:space="preserve">Figure </w:t>
      </w:r>
      <w:r w:rsidRPr="00C6214F">
        <w:rPr>
          <w:b/>
          <w:bCs/>
        </w:rPr>
        <w:fldChar w:fldCharType="begin"/>
      </w:r>
      <w:r w:rsidRPr="00C6214F">
        <w:rPr>
          <w:b/>
          <w:bCs/>
        </w:rPr>
        <w:instrText xml:space="preserve"> SEQ Figure \* ARABIC </w:instrText>
      </w:r>
      <w:r w:rsidRPr="00C6214F">
        <w:rPr>
          <w:b/>
          <w:bCs/>
        </w:rPr>
        <w:fldChar w:fldCharType="separate"/>
      </w:r>
      <w:r w:rsidR="004D0A2C">
        <w:rPr>
          <w:b/>
          <w:bCs/>
          <w:noProof/>
        </w:rPr>
        <w:t>12</w:t>
      </w:r>
      <w:r w:rsidRPr="00C6214F">
        <w:fldChar w:fldCharType="end"/>
      </w:r>
      <w:r w:rsidR="007F4348">
        <w:rPr>
          <w:b/>
          <w:bCs/>
        </w:rPr>
        <w:t>: Box p</w:t>
      </w:r>
      <w:r w:rsidRPr="00C6214F">
        <w:rPr>
          <w:b/>
          <w:bCs/>
        </w:rPr>
        <w:t xml:space="preserve">lot of </w:t>
      </w:r>
      <w:r w:rsidR="007F4348">
        <w:rPr>
          <w:b/>
          <w:bCs/>
        </w:rPr>
        <w:t>neutralising antibody tit</w:t>
      </w:r>
      <w:r w:rsidRPr="00C6214F">
        <w:rPr>
          <w:b/>
          <w:bCs/>
        </w:rPr>
        <w:t>r</w:t>
      </w:r>
      <w:r w:rsidR="007F4348">
        <w:rPr>
          <w:b/>
          <w:bCs/>
        </w:rPr>
        <w:t>e</w:t>
      </w:r>
      <w:r w:rsidRPr="00C6214F">
        <w:rPr>
          <w:b/>
          <w:bCs/>
        </w:rPr>
        <w:t xml:space="preserve">s against SARS-CoV-2 on Day 8, Day 31, Day 61, Day 91, Day </w:t>
      </w:r>
      <w:proofErr w:type="gramStart"/>
      <w:r w:rsidRPr="00C6214F">
        <w:rPr>
          <w:b/>
          <w:bCs/>
        </w:rPr>
        <w:t>151,Day</w:t>
      </w:r>
      <w:proofErr w:type="gramEnd"/>
      <w:r w:rsidRPr="00C6214F">
        <w:rPr>
          <w:b/>
          <w:bCs/>
        </w:rPr>
        <w:t xml:space="preserve"> 211, and Day 271 in </w:t>
      </w:r>
      <w:r w:rsidR="007F4348" w:rsidRPr="00C6214F">
        <w:rPr>
          <w:b/>
          <w:bCs/>
        </w:rPr>
        <w:t>comparison with convalescent plasma (safety analysis set)</w:t>
      </w:r>
    </w:p>
    <w:p w14:paraId="70E9D59D" w14:textId="77777777" w:rsidR="00C6214F" w:rsidRPr="00C6214F" w:rsidRDefault="00C6214F" w:rsidP="00C6214F">
      <w:r w:rsidRPr="00C6214F">
        <w:rPr>
          <w:noProof/>
          <w:lang w:val="en-GB" w:eastAsia="en-GB"/>
        </w:rPr>
        <w:drawing>
          <wp:inline distT="0" distB="0" distL="0" distR="0" wp14:anchorId="2017BA52" wp14:editId="0F615021">
            <wp:extent cx="5403016" cy="3030413"/>
            <wp:effectExtent l="0" t="0" r="7620" b="0"/>
            <wp:docPr id="14" name="Picture 14" descr="Box plot of neutralising antibody titres against SARS-CoV-2 on Day 8, Day 31, Day 61, Day 91, Day 151,Day 211, and Day 271 in comparison with convalescent plasma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x plot of neutralising antibody titres against SARS-CoV-2 on Day 8, Day 31, Day 61, Day 91, Day 151,Day 211, and Day 271 in comparison with convalescent plasma (safety analysis set)"/>
                    <pic:cNvPicPr/>
                  </pic:nvPicPr>
                  <pic:blipFill rotWithShape="1">
                    <a:blip r:embed="rId47"/>
                    <a:srcRect t="2307"/>
                    <a:stretch/>
                  </pic:blipFill>
                  <pic:spPr bwMode="auto">
                    <a:xfrm>
                      <a:off x="0" y="0"/>
                      <a:ext cx="5435657" cy="3048721"/>
                    </a:xfrm>
                    <a:prstGeom prst="rect">
                      <a:avLst/>
                    </a:prstGeom>
                    <a:ln>
                      <a:noFill/>
                    </a:ln>
                    <a:extLst>
                      <a:ext uri="{53640926-AAD7-44D8-BBD7-CCE9431645EC}">
                        <a14:shadowObscured xmlns:a14="http://schemas.microsoft.com/office/drawing/2010/main"/>
                      </a:ext>
                    </a:extLst>
                  </pic:spPr>
                </pic:pic>
              </a:graphicData>
            </a:graphic>
          </wp:inline>
        </w:drawing>
      </w:r>
    </w:p>
    <w:p w14:paraId="55B4D222" w14:textId="77777777" w:rsidR="00C6214F" w:rsidRPr="00C6214F" w:rsidRDefault="007F4348" w:rsidP="007F4348">
      <w:pPr>
        <w:pStyle w:val="Heading6"/>
      </w:pPr>
      <w:r>
        <w:t>Study D8850C00002 (PROVENT trial)</w:t>
      </w:r>
    </w:p>
    <w:p w14:paraId="14EE43FC" w14:textId="77777777" w:rsidR="00C6214F" w:rsidRPr="00C6214F" w:rsidRDefault="007F4348" w:rsidP="00C6214F">
      <w:r>
        <w:t>Neutralising antibody tit</w:t>
      </w:r>
      <w:r w:rsidR="00C6214F" w:rsidRPr="00C6214F">
        <w:t>r</w:t>
      </w:r>
      <w:r>
        <w:t>e</w:t>
      </w:r>
      <w:r w:rsidR="00C6214F" w:rsidRPr="00C6214F">
        <w:t xml:space="preserve">s against SARS-CoV-2 were evaluated at 7 days (Day 8), 28 days (Day 29), 57 days (Day 58) and 91 days (Day 92) after administration of </w:t>
      </w:r>
      <w:proofErr w:type="spellStart"/>
      <w:r>
        <w:t>Evusheld</w:t>
      </w:r>
      <w:proofErr w:type="spellEnd"/>
      <w:r w:rsidR="00C6214F" w:rsidRPr="00C6214F">
        <w:t xml:space="preserve">. As of the </w:t>
      </w:r>
      <w:r>
        <w:t>data cut-off date, 05 May 2021, post-B</w:t>
      </w:r>
      <w:r w:rsidR="00C6214F" w:rsidRPr="00C6214F">
        <w:t xml:space="preserve">aseline </w:t>
      </w:r>
      <w:r>
        <w:t>neutralising antibody tit</w:t>
      </w:r>
      <w:r w:rsidRPr="00C6214F">
        <w:t>r</w:t>
      </w:r>
      <w:r>
        <w:t>e</w:t>
      </w:r>
      <w:r w:rsidRPr="00C6214F">
        <w:t xml:space="preserve">s </w:t>
      </w:r>
      <w:r w:rsidR="00C6214F" w:rsidRPr="00C6214F">
        <w:t xml:space="preserve">were available for a total of 1071 </w:t>
      </w:r>
      <w:proofErr w:type="spellStart"/>
      <w:r>
        <w:t>Evusheld</w:t>
      </w:r>
      <w:proofErr w:type="spellEnd"/>
      <w:r>
        <w:t xml:space="preserve"> </w:t>
      </w:r>
      <w:r w:rsidR="00C6214F" w:rsidRPr="00C6214F">
        <w:t xml:space="preserve">participants, 86 (8%) and 985 (92%) in the PROVENT clonal cell line and cell pool-derived groups, respectively. It should be noted that the proposed product for marketing </w:t>
      </w:r>
      <w:proofErr w:type="gramStart"/>
      <w:r w:rsidR="00C6214F" w:rsidRPr="00C6214F">
        <w:t>are</w:t>
      </w:r>
      <w:proofErr w:type="gramEnd"/>
      <w:r w:rsidR="00C6214F" w:rsidRPr="00C6214F">
        <w:t xml:space="preserve"> sou</w:t>
      </w:r>
      <w:r>
        <w:t>rced from the clonal cell line.</w:t>
      </w:r>
    </w:p>
    <w:p w14:paraId="13B2E807" w14:textId="324B8AEE" w:rsidR="00C6214F" w:rsidRPr="00C6214F" w:rsidRDefault="00C6214F" w:rsidP="00C6214F">
      <w:r w:rsidRPr="00C6214F">
        <w:t xml:space="preserve">Overall, the neutralising Ab titres in participants who received </w:t>
      </w:r>
      <w:proofErr w:type="spellStart"/>
      <w:r w:rsidR="007F4348">
        <w:t>Evusheld</w:t>
      </w:r>
      <w:proofErr w:type="spellEnd"/>
      <w:r w:rsidR="007F4348">
        <w:t xml:space="preserve"> </w:t>
      </w:r>
      <w:r w:rsidRPr="00C6214F">
        <w:t xml:space="preserve">in the clonal cell line cohort </w:t>
      </w:r>
      <w:r w:rsidR="007F4348">
        <w:t>were comparable with the Phase I</w:t>
      </w:r>
      <w:r w:rsidRPr="00C6214F">
        <w:t xml:space="preserve"> study (Day 8: 779.5 v</w:t>
      </w:r>
      <w:r w:rsidR="007F4348">
        <w:t>ersu</w:t>
      </w:r>
      <w:r w:rsidRPr="00C6214F">
        <w:t xml:space="preserve">s 689 (Phase I)). However, the availability of titres for those who received product from the clonal cell line were limited to Day 29. </w:t>
      </w:r>
      <w:r w:rsidR="00EC721F" w:rsidRPr="00C6214F">
        <w:t>The titres for the subjects in the cell pool cohort were almost 50% lower than the</w:t>
      </w:r>
      <w:r w:rsidR="00EC721F">
        <w:t xml:space="preserve"> corresponding values from the P</w:t>
      </w:r>
      <w:r w:rsidR="00EC721F" w:rsidRPr="00C6214F">
        <w:t xml:space="preserve">hase I study. In these subjects, the </w:t>
      </w:r>
      <w:r w:rsidR="00EC721F">
        <w:t>geometric mean</w:t>
      </w:r>
      <w:r w:rsidR="00EC721F" w:rsidRPr="00C6214F">
        <w:t xml:space="preserve"> titres were also lower than the corresponding cell pool cohort</w:t>
      </w:r>
      <w:r w:rsidR="00EC721F">
        <w:t xml:space="preserve">. </w:t>
      </w:r>
      <w:r w:rsidRPr="00C6214F">
        <w:t xml:space="preserve">The low </w:t>
      </w:r>
      <w:r w:rsidRPr="00C6214F">
        <w:lastRenderedPageBreak/>
        <w:t>number subjects in the clonal cell line cohort limits the ability to co</w:t>
      </w:r>
      <w:r w:rsidR="007F4348">
        <w:t>mpare data across these groups.</w:t>
      </w:r>
    </w:p>
    <w:p w14:paraId="517C00FA" w14:textId="11B57F97" w:rsidR="00C6214F" w:rsidRPr="00C6214F" w:rsidRDefault="00C6214F" w:rsidP="007F4348">
      <w:pPr>
        <w:pStyle w:val="TableTitle"/>
      </w:pPr>
      <w:r w:rsidRPr="00C6214F">
        <w:t xml:space="preserve">Table </w:t>
      </w:r>
      <w:r>
        <w:fldChar w:fldCharType="begin"/>
      </w:r>
      <w:r>
        <w:instrText>SEQ Table \* ARABIC</w:instrText>
      </w:r>
      <w:r>
        <w:fldChar w:fldCharType="separate"/>
      </w:r>
      <w:r w:rsidR="004D0A2C">
        <w:rPr>
          <w:noProof/>
        </w:rPr>
        <w:t>16</w:t>
      </w:r>
      <w:r>
        <w:fldChar w:fldCharType="end"/>
      </w:r>
      <w:r w:rsidR="007F4348">
        <w:t>:</w:t>
      </w:r>
      <w:r w:rsidRPr="00C6214F">
        <w:t xml:space="preserve"> </w:t>
      </w:r>
      <w:r w:rsidR="007F4348">
        <w:t xml:space="preserve">Study D8850C00002 (PROVENT trial) </w:t>
      </w:r>
      <w:r w:rsidRPr="00C6214F">
        <w:t xml:space="preserve">Geometric </w:t>
      </w:r>
      <w:r w:rsidR="007F4348" w:rsidRPr="00C6214F">
        <w:t xml:space="preserve">mean and fold-change serum </w:t>
      </w:r>
      <w:r w:rsidR="007F4348">
        <w:t>neutralising antibody</w:t>
      </w:r>
      <w:r w:rsidR="007F4348" w:rsidRPr="00C6214F">
        <w:t xml:space="preserve"> </w:t>
      </w:r>
      <w:r w:rsidR="007F4348">
        <w:t>tit</w:t>
      </w:r>
      <w:r w:rsidRPr="00C6214F">
        <w:t>r</w:t>
      </w:r>
      <w:r w:rsidR="007F4348">
        <w:t xml:space="preserve">e following </w:t>
      </w:r>
      <w:r w:rsidR="000A2B24">
        <w:t>intramuscular</w:t>
      </w:r>
      <w:r w:rsidR="007F4348">
        <w:t xml:space="preserve"> a</w:t>
      </w:r>
      <w:r w:rsidRPr="00C6214F">
        <w:t xml:space="preserve">dministration of </w:t>
      </w:r>
      <w:proofErr w:type="spellStart"/>
      <w:r w:rsidR="007F4348">
        <w:t>Evusheld</w:t>
      </w:r>
      <w:proofErr w:type="spellEnd"/>
      <w:r w:rsidR="007F4348">
        <w:t xml:space="preserve"> </w:t>
      </w:r>
      <w:r w:rsidRPr="00C6214F">
        <w:t>(</w:t>
      </w:r>
      <w:r w:rsidR="007F4348" w:rsidRPr="00C6214F">
        <w:t>safety analysis s</w:t>
      </w:r>
      <w:r w:rsidR="007F4348">
        <w:t>et)</w:t>
      </w:r>
    </w:p>
    <w:p w14:paraId="1D3E45A6" w14:textId="58F6601B" w:rsidR="00C6214F" w:rsidRDefault="00C6214F" w:rsidP="00C6214F">
      <w:r w:rsidRPr="00C6214F">
        <w:rPr>
          <w:noProof/>
          <w:lang w:val="en-GB" w:eastAsia="en-GB"/>
        </w:rPr>
        <w:drawing>
          <wp:inline distT="0" distB="0" distL="0" distR="0" wp14:anchorId="25AED53F" wp14:editId="56837E30">
            <wp:extent cx="5345772" cy="6657975"/>
            <wp:effectExtent l="0" t="0" r="7620" b="0"/>
            <wp:docPr id="37" name="Picture 37" descr="Study D8850C00002 (PROVENT trial) Geometric mean and fold-change serum neutralising antibody titre following IM administration of Evusheld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udy D8850C00002 (PROVENT trial) Geometric mean and fold-change serum neutralising antibody titre following IM administration of Evusheld (safety analysis se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908"/>
                    <a:stretch/>
                  </pic:blipFill>
                  <pic:spPr bwMode="auto">
                    <a:xfrm>
                      <a:off x="0" y="0"/>
                      <a:ext cx="5367042" cy="6684467"/>
                    </a:xfrm>
                    <a:prstGeom prst="rect">
                      <a:avLst/>
                    </a:prstGeom>
                    <a:noFill/>
                    <a:ln>
                      <a:noFill/>
                    </a:ln>
                    <a:extLst>
                      <a:ext uri="{53640926-AAD7-44D8-BBD7-CCE9431645EC}">
                        <a14:shadowObscured xmlns:a14="http://schemas.microsoft.com/office/drawing/2010/main"/>
                      </a:ext>
                    </a:extLst>
                  </pic:spPr>
                </pic:pic>
              </a:graphicData>
            </a:graphic>
          </wp:inline>
        </w:drawing>
      </w:r>
    </w:p>
    <w:p w14:paraId="7ED1DD06" w14:textId="626D0A6B" w:rsidR="00E91DAF" w:rsidRPr="00C6214F" w:rsidRDefault="00E91DAF" w:rsidP="00E91DAF">
      <w:pPr>
        <w:pStyle w:val="TableTitle"/>
      </w:pPr>
      <w:r w:rsidRPr="00E91DAF">
        <w:lastRenderedPageBreak/>
        <w:t xml:space="preserve">Table 17: Study D8850C00002 (PROVENT trial) Geometric mean and fold-change serum neutralising antibody titre following </w:t>
      </w:r>
      <w:r w:rsidR="000A2B24">
        <w:t>intramuscular</w:t>
      </w:r>
      <w:r w:rsidR="000A2B24" w:rsidRPr="00D77876">
        <w:t xml:space="preserve"> </w:t>
      </w:r>
      <w:r w:rsidRPr="00E91DAF">
        <w:t xml:space="preserve">administration of </w:t>
      </w:r>
      <w:proofErr w:type="spellStart"/>
      <w:r w:rsidRPr="00E91DAF">
        <w:t>Evusheld</w:t>
      </w:r>
      <w:proofErr w:type="spellEnd"/>
      <w:r w:rsidRPr="00E91DAF">
        <w:t xml:space="preserve"> (safety analysis set)</w:t>
      </w:r>
      <w:r>
        <w:t xml:space="preserve">, </w:t>
      </w:r>
      <w:r w:rsidR="00D77876">
        <w:t>c</w:t>
      </w:r>
      <w:r>
        <w:t>ontinued</w:t>
      </w:r>
    </w:p>
    <w:p w14:paraId="7902A813" w14:textId="6B03DC6E" w:rsidR="00E91DAF" w:rsidRDefault="00C6214F" w:rsidP="00C6214F">
      <w:r w:rsidRPr="00C6214F">
        <w:rPr>
          <w:noProof/>
          <w:lang w:val="en-GB" w:eastAsia="en-GB"/>
        </w:rPr>
        <w:drawing>
          <wp:inline distT="0" distB="0" distL="0" distR="0" wp14:anchorId="55147821" wp14:editId="7416B9AD">
            <wp:extent cx="5295643" cy="654304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7241"/>
                    <a:stretch/>
                  </pic:blipFill>
                  <pic:spPr bwMode="auto">
                    <a:xfrm>
                      <a:off x="0" y="0"/>
                      <a:ext cx="5337868" cy="6595211"/>
                    </a:xfrm>
                    <a:prstGeom prst="rect">
                      <a:avLst/>
                    </a:prstGeom>
                    <a:noFill/>
                    <a:ln>
                      <a:noFill/>
                    </a:ln>
                    <a:extLst>
                      <a:ext uri="{53640926-AAD7-44D8-BBD7-CCE9431645EC}">
                        <a14:shadowObscured xmlns:a14="http://schemas.microsoft.com/office/drawing/2010/main"/>
                      </a:ext>
                    </a:extLst>
                  </pic:spPr>
                </pic:pic>
              </a:graphicData>
            </a:graphic>
          </wp:inline>
        </w:drawing>
      </w:r>
    </w:p>
    <w:p w14:paraId="47C1A5D6" w14:textId="2C515421" w:rsidR="00C6214F" w:rsidRDefault="00E91DAF" w:rsidP="00D77876">
      <w:pPr>
        <w:spacing w:before="0" w:after="200" w:line="0" w:lineRule="auto"/>
      </w:pPr>
      <w:r>
        <w:br w:type="page"/>
      </w:r>
    </w:p>
    <w:p w14:paraId="7A44F59A" w14:textId="2FE010B1" w:rsidR="00E91DAF" w:rsidRPr="00C6214F" w:rsidRDefault="00E91DAF" w:rsidP="00E91DAF">
      <w:pPr>
        <w:pStyle w:val="TableTitle"/>
      </w:pPr>
      <w:r w:rsidRPr="00E91DAF">
        <w:lastRenderedPageBreak/>
        <w:t xml:space="preserve">Table 17: Study D8850C00002 (PROVENT trial) Geometric mean and fold-change serum neutralising antibody titre following </w:t>
      </w:r>
      <w:r w:rsidR="000A2B24">
        <w:t>intramuscular</w:t>
      </w:r>
      <w:r w:rsidRPr="00E91DAF">
        <w:t xml:space="preserve"> administration of </w:t>
      </w:r>
      <w:proofErr w:type="spellStart"/>
      <w:r w:rsidRPr="00E91DAF">
        <w:t>Evusheld</w:t>
      </w:r>
      <w:proofErr w:type="spellEnd"/>
      <w:r w:rsidRPr="00E91DAF">
        <w:t xml:space="preserve"> (safety analysis set)</w:t>
      </w:r>
      <w:r>
        <w:t xml:space="preserve">, </w:t>
      </w:r>
      <w:r w:rsidR="000A2B24">
        <w:t>c</w:t>
      </w:r>
      <w:r>
        <w:t>ontinued</w:t>
      </w:r>
    </w:p>
    <w:p w14:paraId="75F6D8A3" w14:textId="77AF525E" w:rsidR="00C6214F" w:rsidRDefault="00C6214F" w:rsidP="00C6214F">
      <w:r w:rsidRPr="00C6214F">
        <w:rPr>
          <w:noProof/>
          <w:lang w:val="en-GB" w:eastAsia="en-GB"/>
        </w:rPr>
        <w:drawing>
          <wp:inline distT="0" distB="0" distL="0" distR="0" wp14:anchorId="098BC9DE" wp14:editId="155493FE">
            <wp:extent cx="5285630" cy="5162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421" t="9363" b="6662"/>
                    <a:stretch/>
                  </pic:blipFill>
                  <pic:spPr bwMode="auto">
                    <a:xfrm>
                      <a:off x="0" y="0"/>
                      <a:ext cx="5286373" cy="5163275"/>
                    </a:xfrm>
                    <a:prstGeom prst="rect">
                      <a:avLst/>
                    </a:prstGeom>
                    <a:noFill/>
                    <a:ln>
                      <a:noFill/>
                    </a:ln>
                    <a:extLst>
                      <a:ext uri="{53640926-AAD7-44D8-BBD7-CCE9431645EC}">
                        <a14:shadowObscured xmlns:a14="http://schemas.microsoft.com/office/drawing/2010/main"/>
                      </a:ext>
                    </a:extLst>
                  </pic:spPr>
                </pic:pic>
              </a:graphicData>
            </a:graphic>
          </wp:inline>
        </w:drawing>
      </w:r>
    </w:p>
    <w:p w14:paraId="1BF7D125" w14:textId="53C5A04A" w:rsidR="00E91DAF" w:rsidRDefault="00E91DAF" w:rsidP="00E91DAF">
      <w:pPr>
        <w:pStyle w:val="TableDescription"/>
      </w:pPr>
      <w:r>
        <w:t>Baseline is defined as the last non-missing measurement taken prior to the first dose of study drug (including unscheduled measurement, if any)</w:t>
      </w:r>
    </w:p>
    <w:p w14:paraId="5FA30F4C" w14:textId="366E1FE0" w:rsidR="00E91DAF" w:rsidRPr="00C6214F" w:rsidRDefault="00E91DAF" w:rsidP="00E91DAF">
      <w:pPr>
        <w:pStyle w:val="TableDescription"/>
      </w:pPr>
      <w:r>
        <w:t xml:space="preserve">The fold rise was calculated as the ratio of the Day x </w:t>
      </w:r>
      <w:proofErr w:type="spellStart"/>
      <w:r>
        <w:t>titer</w:t>
      </w:r>
      <w:proofErr w:type="spellEnd"/>
      <w:r>
        <w:t xml:space="preserve"> level to the pre-dose (screening) </w:t>
      </w:r>
      <w:proofErr w:type="spellStart"/>
      <w:r>
        <w:t>titer</w:t>
      </w:r>
      <w:proofErr w:type="spellEnd"/>
      <w:r>
        <w:t xml:space="preserve"> level.</w:t>
      </w:r>
    </w:p>
    <w:p w14:paraId="19E1C93F" w14:textId="0124E2B3" w:rsidR="00C6214F" w:rsidRPr="00C6214F" w:rsidRDefault="00C6214F" w:rsidP="00993B67">
      <w:pPr>
        <w:pStyle w:val="FigureTitle"/>
      </w:pPr>
      <w:r w:rsidRPr="00C6214F">
        <w:lastRenderedPageBreak/>
        <w:t xml:space="preserve">Figure </w:t>
      </w:r>
      <w:r>
        <w:fldChar w:fldCharType="begin"/>
      </w:r>
      <w:r>
        <w:instrText>SEQ Figure \* ARABIC</w:instrText>
      </w:r>
      <w:r>
        <w:fldChar w:fldCharType="separate"/>
      </w:r>
      <w:r w:rsidR="004D0A2C">
        <w:rPr>
          <w:noProof/>
        </w:rPr>
        <w:t>13</w:t>
      </w:r>
      <w:r>
        <w:fldChar w:fldCharType="end"/>
      </w:r>
      <w:r w:rsidR="00993B67">
        <w:t>:</w:t>
      </w:r>
      <w:r w:rsidRPr="00C6214F">
        <w:t xml:space="preserve"> </w:t>
      </w:r>
      <w:r w:rsidR="00993B67">
        <w:t xml:space="preserve">Study D8850C00002 (PROVENT trial) </w:t>
      </w:r>
      <w:r w:rsidRPr="00C6214F">
        <w:t xml:space="preserve">Box plot of </w:t>
      </w:r>
      <w:r w:rsidR="00993B67">
        <w:t>neutralising antibody</w:t>
      </w:r>
      <w:r w:rsidRPr="00C6214F">
        <w:t xml:space="preserve"> titres on Days 8 and 29 com</w:t>
      </w:r>
      <w:r w:rsidR="00993B67">
        <w:t>pared with convalescent plasma</w:t>
      </w:r>
    </w:p>
    <w:p w14:paraId="6A790352" w14:textId="4CB0DD04" w:rsidR="00C6214F" w:rsidRPr="00C6214F" w:rsidRDefault="00C6214F" w:rsidP="00C6214F">
      <w:r w:rsidRPr="00C6214F">
        <w:rPr>
          <w:noProof/>
          <w:lang w:val="en-GB" w:eastAsia="en-GB"/>
        </w:rPr>
        <w:drawing>
          <wp:inline distT="0" distB="0" distL="0" distR="0" wp14:anchorId="781096E7" wp14:editId="61C08940">
            <wp:extent cx="4495800" cy="4495801"/>
            <wp:effectExtent l="0" t="0" r="0" b="0"/>
            <wp:docPr id="40" name="Picture 40" descr="Study D8850C00002 (PROVENT trial) Box plot of neutralising antibody titres on Days 8 and 29 compared with convalescent 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udy D8850C00002 (PROVENT trial) Box plot of neutralising antibody titres on Days 8 and 29 compared with convalescent plasma"/>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998" r="9521" b="1274"/>
                    <a:stretch/>
                  </pic:blipFill>
                  <pic:spPr bwMode="auto">
                    <a:xfrm>
                      <a:off x="0" y="0"/>
                      <a:ext cx="4523147" cy="4523148"/>
                    </a:xfrm>
                    <a:prstGeom prst="rect">
                      <a:avLst/>
                    </a:prstGeom>
                    <a:noFill/>
                    <a:ln>
                      <a:noFill/>
                    </a:ln>
                    <a:extLst>
                      <a:ext uri="{53640926-AAD7-44D8-BBD7-CCE9431645EC}">
                        <a14:shadowObscured xmlns:a14="http://schemas.microsoft.com/office/drawing/2010/main"/>
                      </a:ext>
                    </a:extLst>
                  </pic:spPr>
                </pic:pic>
              </a:graphicData>
            </a:graphic>
          </wp:inline>
        </w:drawing>
      </w:r>
    </w:p>
    <w:p w14:paraId="3F8154C7" w14:textId="77777777" w:rsidR="00C6214F" w:rsidRPr="00C6214F" w:rsidRDefault="00D760AE" w:rsidP="00D760AE">
      <w:pPr>
        <w:pStyle w:val="Heading6"/>
      </w:pPr>
      <w:r>
        <w:t>Pharmacokinetic-pharmacodynamic correlation</w:t>
      </w:r>
    </w:p>
    <w:p w14:paraId="5F9E3706" w14:textId="77777777" w:rsidR="00C6214F" w:rsidRPr="00C6214F" w:rsidRDefault="00D760AE" w:rsidP="00C6214F">
      <w:r>
        <w:t>The 50% neutralising antibody tit</w:t>
      </w:r>
      <w:r w:rsidR="00C6214F" w:rsidRPr="00C6214F">
        <w:t>r</w:t>
      </w:r>
      <w:r>
        <w:t>e</w:t>
      </w:r>
      <w:r w:rsidR="00C6214F" w:rsidRPr="00C6214F">
        <w:t xml:space="preserve">s measured in the </w:t>
      </w:r>
      <w:proofErr w:type="spellStart"/>
      <w:r w:rsidR="00C6214F" w:rsidRPr="00C6214F">
        <w:t>pseudovirus</w:t>
      </w:r>
      <w:proofErr w:type="spellEnd"/>
      <w:r w:rsidR="00C6214F" w:rsidRPr="00C6214F">
        <w:t xml:space="preserve"> assay were</w:t>
      </w:r>
      <w:r>
        <w:t xml:space="preserve"> correlated to the 80% neutralis</w:t>
      </w:r>
      <w:r w:rsidR="00C6214F" w:rsidRPr="00C6214F">
        <w:t>ing antibo</w:t>
      </w:r>
      <w:r>
        <w:t>dy tit</w:t>
      </w:r>
      <w:r w:rsidR="00C6214F" w:rsidRPr="00C6214F">
        <w:t>r</w:t>
      </w:r>
      <w:r>
        <w:t>e</w:t>
      </w:r>
      <w:r w:rsidR="00C6214F" w:rsidRPr="00C6214F">
        <w:t>s measured in the authentic virus assay. The correlation data was based on the titres that were achieved after administration of 300 mg IM and 300 mg IV samples in Phase I study in 20 subjects on the Day 8 and 31.</w:t>
      </w:r>
    </w:p>
    <w:p w14:paraId="53B1CE20" w14:textId="62CF9E4B" w:rsidR="00C6214F" w:rsidRPr="00C6214F" w:rsidRDefault="00C6214F" w:rsidP="00D760AE">
      <w:pPr>
        <w:pStyle w:val="FigureTitle"/>
      </w:pPr>
      <w:r w:rsidRPr="00C6214F">
        <w:lastRenderedPageBreak/>
        <w:t xml:space="preserve">Figure </w:t>
      </w:r>
      <w:r>
        <w:fldChar w:fldCharType="begin"/>
      </w:r>
      <w:r>
        <w:instrText>SEQ Figure \* ARABIC</w:instrText>
      </w:r>
      <w:r>
        <w:fldChar w:fldCharType="separate"/>
      </w:r>
      <w:r w:rsidR="004D0A2C">
        <w:rPr>
          <w:noProof/>
        </w:rPr>
        <w:t>14</w:t>
      </w:r>
      <w:r>
        <w:fldChar w:fldCharType="end"/>
      </w:r>
      <w:r w:rsidRPr="00C6214F">
        <w:t xml:space="preserve">: Regression </w:t>
      </w:r>
      <w:r w:rsidR="00D760AE" w:rsidRPr="00C6214F">
        <w:t xml:space="preserve">analysis of the monogram </w:t>
      </w:r>
      <w:r w:rsidRPr="00C6214F">
        <w:t xml:space="preserve">50% </w:t>
      </w:r>
      <w:proofErr w:type="spellStart"/>
      <w:r w:rsidR="00D760AE" w:rsidRPr="00C6214F">
        <w:t>ps</w:t>
      </w:r>
      <w:r w:rsidR="00D760AE">
        <w:t>eudoneutralisation</w:t>
      </w:r>
      <w:proofErr w:type="spellEnd"/>
      <w:r w:rsidR="00D760AE">
        <w:t xml:space="preserve"> antibody tit</w:t>
      </w:r>
      <w:r w:rsidR="00D760AE" w:rsidRPr="00C6214F">
        <w:t>r</w:t>
      </w:r>
      <w:r w:rsidR="00D760AE">
        <w:t>e</w:t>
      </w:r>
      <w:r w:rsidR="00D760AE" w:rsidRPr="00C6214F">
        <w:t>s versus the authentic virus 8</w:t>
      </w:r>
      <w:r w:rsidR="00D760AE">
        <w:t>0% SARS-CoV-2 neutralisation a</w:t>
      </w:r>
      <w:r w:rsidRPr="00C6214F">
        <w:t xml:space="preserve">ntibody </w:t>
      </w:r>
      <w:r w:rsidR="00D760AE">
        <w:t>t</w:t>
      </w:r>
      <w:r w:rsidR="00D760AE" w:rsidRPr="00C6214F">
        <w:t>itres</w:t>
      </w:r>
    </w:p>
    <w:p w14:paraId="673D7F82" w14:textId="77777777" w:rsidR="00C6214F" w:rsidRPr="00C6214F" w:rsidRDefault="00C6214F" w:rsidP="00C6214F">
      <w:r w:rsidRPr="00C6214F">
        <w:rPr>
          <w:noProof/>
          <w:lang w:val="en-GB" w:eastAsia="en-GB"/>
        </w:rPr>
        <w:drawing>
          <wp:inline distT="0" distB="0" distL="0" distR="0" wp14:anchorId="4AD1A89D" wp14:editId="3F11191C">
            <wp:extent cx="4000500" cy="3533969"/>
            <wp:effectExtent l="0" t="0" r="0" b="9525"/>
            <wp:docPr id="105" name="Picture 105" descr="Regression analysis of the monogram 50% pseudoneutralisation antibody titres versus the authentic virus 80% SARS-CoV-2 neutralisation antibody t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Regression analysis of the monogram 50% pseudoneutralisation antibody titres versus the authentic virus 80% SARS-CoV-2 neutralisation antibody titres"/>
                    <pic:cNvPicPr/>
                  </pic:nvPicPr>
                  <pic:blipFill rotWithShape="1">
                    <a:blip r:embed="rId52"/>
                    <a:srcRect r="6951"/>
                    <a:stretch/>
                  </pic:blipFill>
                  <pic:spPr bwMode="auto">
                    <a:xfrm>
                      <a:off x="0" y="0"/>
                      <a:ext cx="4024388" cy="3555071"/>
                    </a:xfrm>
                    <a:prstGeom prst="rect">
                      <a:avLst/>
                    </a:prstGeom>
                    <a:ln>
                      <a:noFill/>
                    </a:ln>
                    <a:extLst>
                      <a:ext uri="{53640926-AAD7-44D8-BBD7-CCE9431645EC}">
                        <a14:shadowObscured xmlns:a14="http://schemas.microsoft.com/office/drawing/2010/main"/>
                      </a:ext>
                    </a:extLst>
                  </pic:spPr>
                </pic:pic>
              </a:graphicData>
            </a:graphic>
          </wp:inline>
        </w:drawing>
      </w:r>
    </w:p>
    <w:p w14:paraId="6C0387DF" w14:textId="77777777" w:rsidR="00C6214F" w:rsidRPr="00C6214F" w:rsidRDefault="00667AF1" w:rsidP="00D760AE">
      <w:pPr>
        <w:pStyle w:val="Heading6"/>
      </w:pPr>
      <w:r>
        <w:t>Antidrug antibody results</w:t>
      </w:r>
    </w:p>
    <w:p w14:paraId="5E8069ED" w14:textId="77777777" w:rsidR="00C6214F" w:rsidRPr="00667AF1" w:rsidRDefault="00C6214F" w:rsidP="00667AF1">
      <w:pPr>
        <w:rPr>
          <w:b/>
        </w:rPr>
      </w:pPr>
      <w:r w:rsidRPr="00667AF1">
        <w:rPr>
          <w:i/>
        </w:rPr>
        <w:t>Study D8850C00001</w:t>
      </w:r>
      <w:r w:rsidR="00667AF1" w:rsidRPr="00667AF1">
        <w:rPr>
          <w:i/>
        </w:rPr>
        <w:t>:</w:t>
      </w:r>
      <w:r w:rsidR="00667AF1">
        <w:rPr>
          <w:b/>
        </w:rPr>
        <w:t xml:space="preserve"> </w:t>
      </w:r>
      <w:r w:rsidR="00667AF1">
        <w:t>At the time of data cut-off (</w:t>
      </w:r>
      <w:r w:rsidRPr="00667AF1">
        <w:t xml:space="preserve">6 June 2021), </w:t>
      </w:r>
      <w:r w:rsidR="00667AF1">
        <w:t>antidrug antibody</w:t>
      </w:r>
      <w:r w:rsidRPr="00667AF1">
        <w:t xml:space="preserve"> data up to Day 211 were available for all cohorts. By Day 211, no subjects in the study had tested positive for </w:t>
      </w:r>
      <w:r w:rsidR="00667AF1">
        <w:t>antidrug antibodies</w:t>
      </w:r>
      <w:r w:rsidR="00667AF1" w:rsidRPr="00667AF1">
        <w:t xml:space="preserve"> </w:t>
      </w:r>
      <w:r w:rsidRPr="00667AF1">
        <w:t xml:space="preserve">to either </w:t>
      </w:r>
      <w:proofErr w:type="spellStart"/>
      <w:r w:rsidR="00667AF1">
        <w:t>tixagevimab</w:t>
      </w:r>
      <w:proofErr w:type="spellEnd"/>
      <w:r w:rsidR="00667AF1">
        <w:t xml:space="preserve"> </w:t>
      </w:r>
      <w:r w:rsidRPr="00667AF1">
        <w:t xml:space="preserve">or </w:t>
      </w:r>
      <w:proofErr w:type="spellStart"/>
      <w:r w:rsidR="00667AF1">
        <w:t>cilgavimab</w:t>
      </w:r>
      <w:proofErr w:type="spellEnd"/>
      <w:r w:rsidRPr="00667AF1">
        <w:t>.</w:t>
      </w:r>
    </w:p>
    <w:p w14:paraId="7F6C82EF" w14:textId="77777777" w:rsidR="00C6214F" w:rsidRPr="00667AF1" w:rsidRDefault="00667AF1" w:rsidP="00667AF1">
      <w:r w:rsidRPr="00667AF1">
        <w:rPr>
          <w:i/>
        </w:rPr>
        <w:t>Studies D8850C00002 and D8850C00003 (</w:t>
      </w:r>
      <w:r w:rsidR="00C6214F" w:rsidRPr="00667AF1">
        <w:rPr>
          <w:i/>
        </w:rPr>
        <w:t>PROVENT and STORM CHASER</w:t>
      </w:r>
      <w:r w:rsidRPr="00667AF1">
        <w:rPr>
          <w:i/>
        </w:rPr>
        <w:t xml:space="preserve"> trials): </w:t>
      </w:r>
      <w:r w:rsidR="00C6214F" w:rsidRPr="00667AF1">
        <w:t xml:space="preserve">The bioanalytical analysis for assessing the presence of </w:t>
      </w:r>
      <w:r>
        <w:t>antidrug antibodies</w:t>
      </w:r>
      <w:r w:rsidR="00C6214F" w:rsidRPr="00667AF1">
        <w:t xml:space="preserve"> against either </w:t>
      </w:r>
      <w:proofErr w:type="spellStart"/>
      <w:r w:rsidRPr="00667AF1">
        <w:t>tixagevimab</w:t>
      </w:r>
      <w:proofErr w:type="spellEnd"/>
      <w:r w:rsidR="00C6214F" w:rsidRPr="00667AF1">
        <w:t xml:space="preserve"> or </w:t>
      </w:r>
      <w:proofErr w:type="spellStart"/>
      <w:r w:rsidRPr="00667AF1">
        <w:t>cilgavimab</w:t>
      </w:r>
      <w:proofErr w:type="spellEnd"/>
      <w:r w:rsidR="00C6214F" w:rsidRPr="00667AF1">
        <w:t xml:space="preserve"> is currently ongoing.</w:t>
      </w:r>
    </w:p>
    <w:p w14:paraId="7C69D9CF" w14:textId="7707B711" w:rsidR="00C6214F" w:rsidRPr="00C6214F" w:rsidRDefault="00C6214F" w:rsidP="00C6214F">
      <w:r w:rsidRPr="00C6214F">
        <w:t xml:space="preserve">The presence of </w:t>
      </w:r>
      <w:r w:rsidR="00667AF1">
        <w:t xml:space="preserve">antidrug antibodies </w:t>
      </w:r>
      <w:r w:rsidRPr="00C6214F">
        <w:t xml:space="preserve">did not appear to impact the PK of </w:t>
      </w:r>
      <w:proofErr w:type="spellStart"/>
      <w:r w:rsidR="00667AF1">
        <w:t>Evusheld</w:t>
      </w:r>
      <w:proofErr w:type="spellEnd"/>
      <w:r w:rsidRPr="00C6214F">
        <w:t xml:space="preserve">, as demonstrated by the serum concentrations of </w:t>
      </w:r>
      <w:proofErr w:type="spellStart"/>
      <w:r w:rsidR="00667AF1">
        <w:t>Evusheld</w:t>
      </w:r>
      <w:proofErr w:type="spellEnd"/>
      <w:r w:rsidR="00667AF1">
        <w:t xml:space="preserve"> </w:t>
      </w:r>
      <w:r w:rsidRPr="00C6214F">
        <w:t>falling within the range of the population PK model,</w:t>
      </w:r>
      <w:r w:rsidR="003D172B">
        <w:t xml:space="preserve"> in the participants who were treatment-emergent antidrug antibody positive</w:t>
      </w:r>
      <w:r w:rsidRPr="00C6214F">
        <w:t xml:space="preserve">. None of the 6 </w:t>
      </w:r>
      <w:r w:rsidR="003D172B">
        <w:t>treatment-emergent antidrug antibody positive</w:t>
      </w:r>
      <w:r w:rsidRPr="00C6214F">
        <w:t xml:space="preserve"> participants in the study reported adverse events or primary endpoint events.</w:t>
      </w:r>
    </w:p>
    <w:p w14:paraId="03D5C9B3" w14:textId="77777777" w:rsidR="00C6214F" w:rsidRPr="00C6214F" w:rsidRDefault="00C6214F" w:rsidP="003D172B">
      <w:pPr>
        <w:pStyle w:val="Heading4"/>
      </w:pPr>
      <w:r w:rsidRPr="00C6214F">
        <w:t>Efficacy</w:t>
      </w:r>
    </w:p>
    <w:p w14:paraId="3BA78702" w14:textId="77777777" w:rsidR="00C6214F" w:rsidRPr="00C6214F" w:rsidRDefault="003D172B" w:rsidP="003D172B">
      <w:pPr>
        <w:pStyle w:val="Heading5"/>
      </w:pPr>
      <w:r>
        <w:t>Dose selection</w:t>
      </w:r>
    </w:p>
    <w:p w14:paraId="24F32D4C" w14:textId="4CCF703E" w:rsidR="00C6214F" w:rsidRPr="00C6214F" w:rsidRDefault="00C6214F" w:rsidP="00C6214F">
      <w:r w:rsidRPr="00C6214F">
        <w:t xml:space="preserve">Based on PK study findings, 2.2 </w:t>
      </w:r>
      <w:proofErr w:type="spellStart"/>
      <w:r w:rsidRPr="00C6214F">
        <w:t>μg</w:t>
      </w:r>
      <w:proofErr w:type="spellEnd"/>
      <w:r w:rsidRPr="00C6214F">
        <w:t>/mL was determined as the minimum protective serum concentration (80% SARS-CoV-2 neutral</w:t>
      </w:r>
      <w:r w:rsidR="004D0A2C">
        <w:t>is</w:t>
      </w:r>
      <w:r w:rsidRPr="00C6214F">
        <w:t xml:space="preserve">ing activity in upper respiratory tract) for </w:t>
      </w:r>
      <w:proofErr w:type="spellStart"/>
      <w:r w:rsidR="009E787D">
        <w:t>Evusheld</w:t>
      </w:r>
      <w:proofErr w:type="spellEnd"/>
      <w:r w:rsidR="009E787D">
        <w:t xml:space="preserve"> </w:t>
      </w:r>
      <w:r w:rsidRPr="00C6214F">
        <w:t>(</w:t>
      </w:r>
      <w:proofErr w:type="spellStart"/>
      <w:r w:rsidRPr="00C6214F">
        <w:t>tixagevimab</w:t>
      </w:r>
      <w:proofErr w:type="spellEnd"/>
      <w:r w:rsidRPr="00C6214F">
        <w:t xml:space="preserve"> and </w:t>
      </w:r>
      <w:proofErr w:type="spellStart"/>
      <w:r w:rsidRPr="00C6214F">
        <w:t>cilgavimab</w:t>
      </w:r>
      <w:proofErr w:type="spellEnd"/>
      <w:r w:rsidRPr="00C6214F">
        <w:t>). The minimum serum protective concentration threshold was reached on average 6 hours (</w:t>
      </w:r>
      <w:r w:rsidR="009E787D">
        <w:t>interquartile range</w:t>
      </w:r>
      <w:r w:rsidRPr="00C6214F">
        <w:t xml:space="preserve"> of 3.4 to 11.7 hours) after administration of 300 mg of </w:t>
      </w:r>
      <w:proofErr w:type="spellStart"/>
      <w:r w:rsidR="009E787D">
        <w:t>Evusheld</w:t>
      </w:r>
      <w:proofErr w:type="spellEnd"/>
      <w:r w:rsidR="009E787D">
        <w:t xml:space="preserve"> </w:t>
      </w:r>
      <w:r w:rsidRPr="00C6214F">
        <w:t>IM. Based on PK simulations, it is predicted to remain above this concentration for at least 6 months in 96% of the participants, 9 months in 77% of the participants, and for 12 months in 55% of the participants.</w:t>
      </w:r>
    </w:p>
    <w:p w14:paraId="201D80B9" w14:textId="77777777" w:rsidR="00C6214F" w:rsidRDefault="00C6214F" w:rsidP="009E787D">
      <w:pPr>
        <w:pStyle w:val="Heading5"/>
      </w:pPr>
      <w:r w:rsidRPr="00C6214F">
        <w:lastRenderedPageBreak/>
        <w:t xml:space="preserve">Prophylaxis </w:t>
      </w:r>
      <w:r w:rsidR="006076E7">
        <w:t xml:space="preserve">and treatment </w:t>
      </w:r>
      <w:r w:rsidRPr="00C6214F">
        <w:t>studies</w:t>
      </w:r>
    </w:p>
    <w:p w14:paraId="26DFF0F5" w14:textId="77777777" w:rsidR="006076E7" w:rsidRPr="006076E7" w:rsidRDefault="006076E7" w:rsidP="006076E7">
      <w:pPr>
        <w:pStyle w:val="Heading6"/>
      </w:pPr>
      <w:r>
        <w:t>Prophylaxis studies</w:t>
      </w:r>
    </w:p>
    <w:p w14:paraId="782B9FDF" w14:textId="77777777" w:rsidR="00C6214F" w:rsidRDefault="009E787D" w:rsidP="00C6214F">
      <w:r>
        <w:t>Studies</w:t>
      </w:r>
      <w:r w:rsidR="00C6214F" w:rsidRPr="00C6214F">
        <w:t xml:space="preserve"> </w:t>
      </w:r>
      <w:r>
        <w:t>D8850C00002</w:t>
      </w:r>
      <w:r w:rsidRPr="00C6214F">
        <w:t xml:space="preserve"> </w:t>
      </w:r>
      <w:r>
        <w:t xml:space="preserve">and D8850C00003 (the </w:t>
      </w:r>
      <w:r w:rsidR="00C6214F" w:rsidRPr="00C6214F">
        <w:t xml:space="preserve">PROVENT and STORM CHASER </w:t>
      </w:r>
      <w:r>
        <w:t>trials)</w:t>
      </w:r>
      <w:r w:rsidR="00C6214F" w:rsidRPr="00C6214F">
        <w:t xml:space="preserve"> were initiated with cell pools material. The proposed product for marketing </w:t>
      </w:r>
      <w:proofErr w:type="gramStart"/>
      <w:r w:rsidR="00C6214F" w:rsidRPr="00C6214F">
        <w:t>are</w:t>
      </w:r>
      <w:proofErr w:type="gramEnd"/>
      <w:r w:rsidR="00C6214F" w:rsidRPr="00C6214F">
        <w:t xml:space="preserve"> sourced from clonal cell lines. Once clonal cell line material became available, an additional cohort of subjects administered with the clonal cell-deriv</w:t>
      </w:r>
      <w:r>
        <w:t>ed product were included in the Phase III Study D8850C00002</w:t>
      </w:r>
      <w:r w:rsidRPr="00C6214F">
        <w:t xml:space="preserve"> </w:t>
      </w:r>
      <w:r>
        <w:t>(</w:t>
      </w:r>
      <w:r w:rsidR="00C6214F" w:rsidRPr="00C6214F">
        <w:t>PROVENT</w:t>
      </w:r>
      <w:r w:rsidR="006B04E9">
        <w:t> </w:t>
      </w:r>
      <w:r>
        <w:t>trial).</w:t>
      </w:r>
    </w:p>
    <w:p w14:paraId="47E4F6C6" w14:textId="1BA8F20D" w:rsidR="00C6214F" w:rsidRPr="00C6214F" w:rsidRDefault="009E787D" w:rsidP="009E787D">
      <w:pPr>
        <w:pStyle w:val="Heading5"/>
      </w:pPr>
      <w:r>
        <w:t>Study D8850C00002 (PROVENT trial)</w:t>
      </w:r>
    </w:p>
    <w:p w14:paraId="35DBD589" w14:textId="77777777" w:rsidR="00372C6F" w:rsidRDefault="00C6214F" w:rsidP="00372C6F">
      <w:pPr>
        <w:pStyle w:val="Heading6"/>
      </w:pPr>
      <w:r w:rsidRPr="009E787D">
        <w:t>Study design</w:t>
      </w:r>
    </w:p>
    <w:p w14:paraId="4D9BA6CF" w14:textId="411396B4" w:rsidR="009E787D" w:rsidRDefault="009E787D" w:rsidP="00C6214F">
      <w:r>
        <w:t xml:space="preserve">This is a </w:t>
      </w:r>
      <w:r w:rsidR="00C6214F" w:rsidRPr="00C6214F">
        <w:t xml:space="preserve">Phase III </w:t>
      </w:r>
      <w:r>
        <w:t>randomised control trial</w:t>
      </w:r>
      <w:r w:rsidR="00C6214F" w:rsidRPr="00C6214F">
        <w:t xml:space="preserve"> to assess the safety and efficacy of a single </w:t>
      </w:r>
      <w:r w:rsidR="0030439F">
        <w:t xml:space="preserve">IM </w:t>
      </w:r>
      <w:r w:rsidR="00C6214F" w:rsidRPr="00C6214F">
        <w:t xml:space="preserve">dose of </w:t>
      </w:r>
      <w:proofErr w:type="spellStart"/>
      <w:r>
        <w:t>Evusheld</w:t>
      </w:r>
      <w:proofErr w:type="spellEnd"/>
      <w:r>
        <w:t xml:space="preserve"> </w:t>
      </w:r>
      <w:r w:rsidR="00C6214F" w:rsidRPr="00C6214F">
        <w:t>compared to placebo for the prevention of COVID-19 in adults</w:t>
      </w:r>
      <w:r>
        <w:t>:</w:t>
      </w:r>
    </w:p>
    <w:p w14:paraId="675B3C52" w14:textId="77777777" w:rsidR="009E787D" w:rsidRDefault="009E787D" w:rsidP="009E787D">
      <w:pPr>
        <w:pStyle w:val="ListBullet"/>
      </w:pPr>
      <w:r>
        <w:t>h</w:t>
      </w:r>
      <w:r w:rsidR="00C6214F" w:rsidRPr="00C6214F">
        <w:t>aving an increased risk for inade</w:t>
      </w:r>
      <w:r>
        <w:t>quate response to active immunis</w:t>
      </w:r>
      <w:r w:rsidR="00C6214F" w:rsidRPr="00C6214F">
        <w:t>ation (predicted poor responders to vac</w:t>
      </w:r>
      <w:r>
        <w:t>cines OR intolerant of vaccine); or</w:t>
      </w:r>
    </w:p>
    <w:p w14:paraId="32260FEC" w14:textId="77777777" w:rsidR="00C6214F" w:rsidRPr="00C6214F" w:rsidRDefault="00C6214F" w:rsidP="009E787D">
      <w:pPr>
        <w:pStyle w:val="ListBullet"/>
      </w:pPr>
      <w:r w:rsidRPr="00C6214F">
        <w:t>having an increased risk for SARS-CoV-2 infection, defined as those whose locations or circumstances put them at appreciable risk of exposure to SARS-CoV-2 and COVID-19.</w:t>
      </w:r>
    </w:p>
    <w:p w14:paraId="793DAD6B" w14:textId="2807EF4B" w:rsidR="00C6214F" w:rsidRPr="00C6214F" w:rsidRDefault="00C6214F" w:rsidP="00C6214F">
      <w:r w:rsidRPr="00C6214F">
        <w:t>At the time of conducting the primary analysis, enrolment was c</w:t>
      </w:r>
      <w:r w:rsidR="006B04E9">
        <w:t xml:space="preserve">omplete (last participant </w:t>
      </w:r>
      <w:proofErr w:type="gramStart"/>
      <w:r w:rsidR="006B04E9">
        <w:t>in</w:t>
      </w:r>
      <w:proofErr w:type="gramEnd"/>
      <w:r w:rsidR="006B04E9">
        <w:t xml:space="preserve"> 22 </w:t>
      </w:r>
      <w:r w:rsidRPr="00C6214F">
        <w:t>March 2021), and 58 sites in the US</w:t>
      </w:r>
      <w:r w:rsidR="006B04E9">
        <w:t>A</w:t>
      </w:r>
      <w:r w:rsidRPr="00C6214F">
        <w:t>, 9 sites in the UK, 5 sites in Be</w:t>
      </w:r>
      <w:r w:rsidR="006B04E9">
        <w:t>lgium, 5 sites in Spain, and 10 </w:t>
      </w:r>
      <w:r w:rsidRPr="00C6214F">
        <w:t>sites in France had scre</w:t>
      </w:r>
      <w:r w:rsidR="009E787D">
        <w:t>ened 5873 participants, randomised 5254 </w:t>
      </w:r>
      <w:r w:rsidRPr="00C6214F">
        <w:t xml:space="preserve">participants of which 5197 received </w:t>
      </w:r>
      <w:proofErr w:type="spellStart"/>
      <w:r w:rsidR="009E787D">
        <w:t>Evusheld</w:t>
      </w:r>
      <w:proofErr w:type="spellEnd"/>
      <w:r w:rsidRPr="00C6214F">
        <w:t>.</w:t>
      </w:r>
    </w:p>
    <w:p w14:paraId="4E32D629" w14:textId="16E97A45" w:rsidR="00C6214F" w:rsidRPr="00C6214F" w:rsidRDefault="00C6214F" w:rsidP="009E787D">
      <w:pPr>
        <w:pStyle w:val="FigureTitle"/>
      </w:pPr>
      <w:r w:rsidRPr="00C6214F">
        <w:t xml:space="preserve">Figure </w:t>
      </w:r>
      <w:r>
        <w:fldChar w:fldCharType="begin"/>
      </w:r>
      <w:r>
        <w:instrText>SEQ Figure \* ARABIC</w:instrText>
      </w:r>
      <w:r>
        <w:fldChar w:fldCharType="separate"/>
      </w:r>
      <w:r w:rsidR="004D0A2C">
        <w:rPr>
          <w:noProof/>
        </w:rPr>
        <w:t>15</w:t>
      </w:r>
      <w:r>
        <w:fldChar w:fldCharType="end"/>
      </w:r>
      <w:r w:rsidR="009E787D">
        <w:t>: Study D8850C00002</w:t>
      </w:r>
      <w:r w:rsidRPr="00C6214F">
        <w:t xml:space="preserve"> </w:t>
      </w:r>
      <w:r w:rsidR="009E787D">
        <w:t>(</w:t>
      </w:r>
      <w:r w:rsidRPr="00C6214F">
        <w:t>PROVENT</w:t>
      </w:r>
      <w:r w:rsidR="009E787D">
        <w:t xml:space="preserve"> trial)</w:t>
      </w:r>
      <w:r w:rsidRPr="00C6214F">
        <w:t xml:space="preserve"> Study schematic</w:t>
      </w:r>
    </w:p>
    <w:p w14:paraId="0F4EB924" w14:textId="77777777" w:rsidR="00C6214F" w:rsidRDefault="00C6214F" w:rsidP="00C6214F">
      <w:r w:rsidRPr="00C6214F">
        <w:rPr>
          <w:noProof/>
          <w:lang w:val="en-GB" w:eastAsia="en-GB"/>
        </w:rPr>
        <w:drawing>
          <wp:inline distT="0" distB="0" distL="0" distR="0" wp14:anchorId="5273557B" wp14:editId="27129051">
            <wp:extent cx="4858247" cy="1335819"/>
            <wp:effectExtent l="0" t="0" r="0" b="0"/>
            <wp:docPr id="15" name="Picture 15" descr="Study D8850C00002 (PROVENT trial) Study schematic. &#10;A total of 5873 participant were screened, of which, 5197 participants received Evushe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y D8850C00002 (PROVENT trial) Study schematic. &#10;A total of 5873 participant were screened, of which, 5197 participants received Evusheld. &#10;"/>
                    <pic:cNvPicPr/>
                  </pic:nvPicPr>
                  <pic:blipFill rotWithShape="1">
                    <a:blip r:embed="rId53"/>
                    <a:srcRect l="5208" t="8839" r="1180" b="8643"/>
                    <a:stretch/>
                  </pic:blipFill>
                  <pic:spPr bwMode="auto">
                    <a:xfrm>
                      <a:off x="0" y="0"/>
                      <a:ext cx="4860199" cy="1336356"/>
                    </a:xfrm>
                    <a:prstGeom prst="rect">
                      <a:avLst/>
                    </a:prstGeom>
                    <a:ln>
                      <a:noFill/>
                    </a:ln>
                    <a:extLst>
                      <a:ext uri="{53640926-AAD7-44D8-BBD7-CCE9431645EC}">
                        <a14:shadowObscured xmlns:a14="http://schemas.microsoft.com/office/drawing/2010/main"/>
                      </a:ext>
                    </a:extLst>
                  </pic:spPr>
                </pic:pic>
              </a:graphicData>
            </a:graphic>
          </wp:inline>
        </w:drawing>
      </w:r>
    </w:p>
    <w:p w14:paraId="5A21502D" w14:textId="77777777" w:rsidR="00372C6F" w:rsidRPr="00C6214F" w:rsidRDefault="00372C6F" w:rsidP="00372C6F">
      <w:pPr>
        <w:pStyle w:val="Heading6"/>
      </w:pPr>
      <w:r>
        <w:t>Inclusion and exclusion criteria</w:t>
      </w:r>
    </w:p>
    <w:p w14:paraId="4B0DADBB" w14:textId="77777777" w:rsidR="00C6214F" w:rsidRPr="00372C6F" w:rsidRDefault="00C6214F" w:rsidP="00372C6F">
      <w:pPr>
        <w:rPr>
          <w:i/>
        </w:rPr>
      </w:pPr>
      <w:r w:rsidRPr="00372C6F">
        <w:rPr>
          <w:i/>
        </w:rPr>
        <w:t>Key inclusion criteria</w:t>
      </w:r>
      <w:r w:rsidR="00372C6F">
        <w:rPr>
          <w:i/>
        </w:rPr>
        <w:t>:</w:t>
      </w:r>
    </w:p>
    <w:p w14:paraId="66CEC18A" w14:textId="77777777" w:rsidR="00C6214F" w:rsidRPr="00C6214F" w:rsidRDefault="00C6214F" w:rsidP="00372C6F">
      <w:pPr>
        <w:pStyle w:val="ListBullet"/>
      </w:pPr>
      <w:r w:rsidRPr="00372C6F">
        <w:rPr>
          <w:i/>
        </w:rPr>
        <w:t>Adults at an increased risk for inade</w:t>
      </w:r>
      <w:r w:rsidR="00372C6F" w:rsidRPr="00372C6F">
        <w:rPr>
          <w:i/>
        </w:rPr>
        <w:t>quate response to active immunis</w:t>
      </w:r>
      <w:r w:rsidRPr="00372C6F">
        <w:rPr>
          <w:i/>
        </w:rPr>
        <w:t>ation</w:t>
      </w:r>
      <w:r w:rsidRPr="00C6214F">
        <w:t xml:space="preserve"> (predicted poor responders to vaccines OR intolerant of vaccine), defined as:</w:t>
      </w:r>
    </w:p>
    <w:p w14:paraId="24E3A679" w14:textId="77777777" w:rsidR="00C6214F" w:rsidRPr="00C6214F" w:rsidRDefault="00372C6F" w:rsidP="00372C6F">
      <w:pPr>
        <w:pStyle w:val="ListBullet2"/>
      </w:pPr>
      <w:r>
        <w:t>elderly, that is</w:t>
      </w:r>
      <w:r w:rsidR="00C6214F" w:rsidRPr="00C6214F">
        <w:t>, ≥ 60 years old</w:t>
      </w:r>
    </w:p>
    <w:p w14:paraId="4C76338B" w14:textId="77777777" w:rsidR="00C6214F" w:rsidRPr="00C6214F" w:rsidRDefault="00372C6F" w:rsidP="00372C6F">
      <w:pPr>
        <w:pStyle w:val="ListBullet2"/>
      </w:pPr>
      <w:r>
        <w:t>obesity</w:t>
      </w:r>
      <w:r w:rsidR="00C6214F" w:rsidRPr="00C6214F">
        <w:t xml:space="preserve">, </w:t>
      </w:r>
      <w:r>
        <w:t>that is, a body mass index</w:t>
      </w:r>
      <w:r w:rsidR="00C6214F" w:rsidRPr="00C6214F">
        <w:t xml:space="preserve"> </w:t>
      </w:r>
      <w:r>
        <w:t>(</w:t>
      </w:r>
      <w:r w:rsidR="00C6214F" w:rsidRPr="00C6214F">
        <w:t>BMI</w:t>
      </w:r>
      <w:r>
        <w:t>)</w:t>
      </w:r>
      <w:r w:rsidR="00C6214F" w:rsidRPr="00C6214F">
        <w:t xml:space="preserve"> ≥ 30</w:t>
      </w:r>
    </w:p>
    <w:p w14:paraId="6DA42F30" w14:textId="77777777" w:rsidR="00C6214F" w:rsidRPr="00C6214F" w:rsidRDefault="00372C6F" w:rsidP="00372C6F">
      <w:pPr>
        <w:pStyle w:val="ListBullet2"/>
      </w:pPr>
      <w:r>
        <w:t>c</w:t>
      </w:r>
      <w:r w:rsidR="00C6214F" w:rsidRPr="00C6214F">
        <w:t>ongestive heart failure</w:t>
      </w:r>
    </w:p>
    <w:p w14:paraId="4EB34085" w14:textId="77777777" w:rsidR="00C6214F" w:rsidRPr="00C6214F" w:rsidRDefault="00372C6F" w:rsidP="00372C6F">
      <w:pPr>
        <w:pStyle w:val="ListBullet2"/>
      </w:pPr>
      <w:r>
        <w:t>c</w:t>
      </w:r>
      <w:r w:rsidR="00C6214F" w:rsidRPr="00C6214F">
        <w:t>hronic obstructive pulmonary disease</w:t>
      </w:r>
    </w:p>
    <w:p w14:paraId="4DBF005D" w14:textId="77777777" w:rsidR="00C6214F" w:rsidRPr="00C6214F" w:rsidRDefault="00372C6F" w:rsidP="00372C6F">
      <w:pPr>
        <w:pStyle w:val="ListBullet2"/>
      </w:pPr>
      <w:r>
        <w:t>c</w:t>
      </w:r>
      <w:r w:rsidR="00C6214F" w:rsidRPr="00C6214F">
        <w:t xml:space="preserve">hronic kidney disease, </w:t>
      </w:r>
      <w:r>
        <w:t>that is, an estimated glomerular filtration rate (e</w:t>
      </w:r>
      <w:r w:rsidR="00C6214F" w:rsidRPr="00C6214F">
        <w:t>GFR</w:t>
      </w:r>
      <w:r w:rsidR="006B04E9">
        <w:t>) &lt; 30 </w:t>
      </w:r>
      <w:r w:rsidR="00C6214F" w:rsidRPr="00C6214F">
        <w:t>mL/min/1.73 m</w:t>
      </w:r>
      <w:r w:rsidR="00C6214F" w:rsidRPr="00C6214F">
        <w:rPr>
          <w:vertAlign w:val="superscript"/>
        </w:rPr>
        <w:t>2</w:t>
      </w:r>
      <w:r w:rsidR="00C6214F" w:rsidRPr="00C6214F">
        <w:t xml:space="preserve"> </w:t>
      </w:r>
    </w:p>
    <w:p w14:paraId="337DC5A7" w14:textId="77777777" w:rsidR="00C6214F" w:rsidRPr="00C6214F" w:rsidRDefault="00372C6F" w:rsidP="00372C6F">
      <w:pPr>
        <w:pStyle w:val="ListBullet2"/>
      </w:pPr>
      <w:r>
        <w:t>c</w:t>
      </w:r>
      <w:r w:rsidR="00C6214F" w:rsidRPr="00C6214F">
        <w:t>hronic liver disease</w:t>
      </w:r>
    </w:p>
    <w:p w14:paraId="7B1477A6" w14:textId="0526965D" w:rsidR="00C6214F" w:rsidRPr="00C6214F" w:rsidRDefault="00372C6F" w:rsidP="00372C6F">
      <w:pPr>
        <w:pStyle w:val="ListBullet2"/>
      </w:pPr>
      <w:r>
        <w:t>i</w:t>
      </w:r>
      <w:r w:rsidR="00C6214F" w:rsidRPr="00C6214F">
        <w:t>mmunocompromised state from solid organ transplant, blood or bone marrow transplant, immune deficiencies, HIV, use of corticosteroids, or use of other immunosuppressive medicines</w:t>
      </w:r>
    </w:p>
    <w:p w14:paraId="5B3F0F4B" w14:textId="5470C446" w:rsidR="00C6214F" w:rsidRPr="00C6214F" w:rsidRDefault="00372C6F" w:rsidP="00372C6F">
      <w:pPr>
        <w:pStyle w:val="ListBullet2"/>
      </w:pPr>
      <w:r>
        <w:t>i</w:t>
      </w:r>
      <w:r w:rsidR="00C6214F" w:rsidRPr="00C6214F">
        <w:t>ntolerant of</w:t>
      </w:r>
      <w:r>
        <w:t xml:space="preserve"> vaccine, d</w:t>
      </w:r>
      <w:r w:rsidR="00C6214F" w:rsidRPr="00C6214F">
        <w:t xml:space="preserve">efined as </w:t>
      </w:r>
      <w:bookmarkStart w:id="51" w:name="_Hlk93656578"/>
      <w:r w:rsidR="00C6214F" w:rsidRPr="00C6214F">
        <w:t>previous history of severe adverse event or serious adverse event after receiving any approved vaccine</w:t>
      </w:r>
      <w:bookmarkEnd w:id="51"/>
      <w:r w:rsidR="00C6214F" w:rsidRPr="00C6214F">
        <w:t>.</w:t>
      </w:r>
    </w:p>
    <w:p w14:paraId="1D3A90FB" w14:textId="77777777" w:rsidR="00C6214F" w:rsidRPr="00C6214F" w:rsidRDefault="00C6214F" w:rsidP="00372C6F">
      <w:pPr>
        <w:pStyle w:val="ListBullet"/>
      </w:pPr>
      <w:r w:rsidRPr="00372C6F">
        <w:rPr>
          <w:i/>
        </w:rPr>
        <w:lastRenderedPageBreak/>
        <w:t xml:space="preserve">Adults having an increased risk for SARS-CoV-2 infection, </w:t>
      </w:r>
      <w:r w:rsidRPr="00C6214F">
        <w:t>defined as those whose locations or circumstances put them at appreciable risk of exposure to SARS-CoV-2 and COVID-19, based on available risk assessment at time of enrolment:</w:t>
      </w:r>
    </w:p>
    <w:p w14:paraId="6AD8B3C4" w14:textId="77777777" w:rsidR="00C6214F" w:rsidRPr="00C6214F" w:rsidRDefault="00372C6F" w:rsidP="00372C6F">
      <w:pPr>
        <w:pStyle w:val="ListBullet2"/>
      </w:pPr>
      <w:r>
        <w:t>h</w:t>
      </w:r>
      <w:r w:rsidR="00C6214F" w:rsidRPr="00C6214F">
        <w:t>ealth care workers</w:t>
      </w:r>
    </w:p>
    <w:p w14:paraId="16754417" w14:textId="77777777" w:rsidR="00C6214F" w:rsidRPr="00C6214F" w:rsidRDefault="00372C6F" w:rsidP="00372C6F">
      <w:pPr>
        <w:pStyle w:val="ListBullet2"/>
      </w:pPr>
      <w:r>
        <w:t>w</w:t>
      </w:r>
      <w:r w:rsidR="00C6214F" w:rsidRPr="00C6214F">
        <w:t>orkers at industrial settings at an increased risk for SARS-CoV-2 transmission</w:t>
      </w:r>
    </w:p>
    <w:p w14:paraId="2BC1F0C3" w14:textId="77777777" w:rsidR="00C6214F" w:rsidRPr="00C6214F" w:rsidRDefault="00372C6F" w:rsidP="00372C6F">
      <w:pPr>
        <w:pStyle w:val="ListBullet2"/>
      </w:pPr>
      <w:r>
        <w:t>m</w:t>
      </w:r>
      <w:r w:rsidR="00C6214F" w:rsidRPr="00C6214F">
        <w:t>ilitary personnel</w:t>
      </w:r>
    </w:p>
    <w:p w14:paraId="4A3E2A7A" w14:textId="77777777" w:rsidR="00C6214F" w:rsidRPr="00C6214F" w:rsidRDefault="00372C6F" w:rsidP="00372C6F">
      <w:pPr>
        <w:pStyle w:val="ListBullet2"/>
      </w:pPr>
      <w:r>
        <w:t>s</w:t>
      </w:r>
      <w:r w:rsidR="00C6214F" w:rsidRPr="00C6214F">
        <w:t>tudents living in dormitory setting</w:t>
      </w:r>
    </w:p>
    <w:p w14:paraId="4DF068A8" w14:textId="77777777" w:rsidR="00C6214F" w:rsidRPr="00C6214F" w:rsidRDefault="00C6214F" w:rsidP="00372C6F">
      <w:pPr>
        <w:pStyle w:val="ListBullet"/>
      </w:pPr>
      <w:r w:rsidRPr="00C6214F">
        <w:t>Negative result from point of care SARS-CoV-2 serology testing at screening</w:t>
      </w:r>
      <w:r w:rsidR="00372C6F">
        <w:t>.</w:t>
      </w:r>
    </w:p>
    <w:p w14:paraId="1AEBC2CF" w14:textId="77777777" w:rsidR="00C6214F" w:rsidRPr="00372C6F" w:rsidRDefault="00C6214F" w:rsidP="00372C6F">
      <w:pPr>
        <w:rPr>
          <w:i/>
        </w:rPr>
      </w:pPr>
      <w:r w:rsidRPr="00372C6F">
        <w:rPr>
          <w:i/>
        </w:rPr>
        <w:t>Key exclusion criteria</w:t>
      </w:r>
      <w:r w:rsidR="00372C6F">
        <w:rPr>
          <w:i/>
        </w:rPr>
        <w:t>:</w:t>
      </w:r>
    </w:p>
    <w:p w14:paraId="619D4781" w14:textId="77777777" w:rsidR="00C6214F" w:rsidRPr="00C6214F" w:rsidRDefault="00372C6F" w:rsidP="00372C6F">
      <w:pPr>
        <w:pStyle w:val="ListBullet"/>
      </w:pPr>
      <w:r>
        <w:t>h</w:t>
      </w:r>
      <w:r w:rsidR="00C6214F" w:rsidRPr="00C6214F">
        <w:t>istory of laboratory-confirmed SARS-CoV-2 infection</w:t>
      </w:r>
    </w:p>
    <w:p w14:paraId="69CD0491" w14:textId="77777777" w:rsidR="00C6214F" w:rsidRPr="00C6214F" w:rsidRDefault="00372C6F" w:rsidP="00372C6F">
      <w:pPr>
        <w:pStyle w:val="ListBullet"/>
      </w:pPr>
      <w:r>
        <w:t>a</w:t>
      </w:r>
      <w:r w:rsidR="00C6214F" w:rsidRPr="00C6214F">
        <w:t xml:space="preserve">ny prior receipt of COVID-19 vaccine or </w:t>
      </w:r>
      <w:proofErr w:type="spellStart"/>
      <w:r w:rsidR="00C6214F" w:rsidRPr="00C6214F">
        <w:t>mAb</w:t>
      </w:r>
      <w:proofErr w:type="spellEnd"/>
      <w:r w:rsidR="00C6214F" w:rsidRPr="00C6214F">
        <w:t>/biologic for its prevention (or expected receipt during study)</w:t>
      </w:r>
    </w:p>
    <w:p w14:paraId="79350D4F" w14:textId="77777777" w:rsidR="00C6214F" w:rsidRPr="00C6214F" w:rsidRDefault="00C6214F" w:rsidP="00C6214F">
      <w:r w:rsidRPr="00C6214F">
        <w:t>Subjects were enrolled into one of the two cohorts that were categorised based on age (Cohort 1: ≥ 60 yea</w:t>
      </w:r>
      <w:r w:rsidR="00372C6F">
        <w:t xml:space="preserve">rs and Cohort 2: &lt; 60 years). </w:t>
      </w:r>
      <w:r w:rsidRPr="00C6214F">
        <w:t xml:space="preserve">In total, 5197 subjects were randomised in a 2:1 ratio to receive a single IM dose of either 300 mg of </w:t>
      </w:r>
      <w:proofErr w:type="spellStart"/>
      <w:r w:rsidR="00372C6F">
        <w:t>Evusheld</w:t>
      </w:r>
      <w:proofErr w:type="spellEnd"/>
      <w:r w:rsidR="00372C6F">
        <w:t xml:space="preserve"> </w:t>
      </w:r>
      <w:r w:rsidRPr="00C6214F">
        <w:t>(n = 3460) or saline placebo (n = 1737) given as 2 sequential IM injections. Further, subjects were followed up until Day 457.</w:t>
      </w:r>
    </w:p>
    <w:p w14:paraId="034C795A" w14:textId="77777777" w:rsidR="00C6214F" w:rsidRPr="00C6214F" w:rsidRDefault="00C6214F" w:rsidP="00C6214F">
      <w:r w:rsidRPr="00C6214F">
        <w:t xml:space="preserve">The PROVENT and STORM CHASER </w:t>
      </w:r>
      <w:r w:rsidR="00372C6F">
        <w:t>trials</w:t>
      </w:r>
      <w:r w:rsidRPr="00C6214F">
        <w:t xml:space="preserve"> were initiated with cell pools material. Once clonal cell line material (the proposed commercial mat</w:t>
      </w:r>
      <w:r w:rsidR="00372C6F">
        <w:t>erial) became available, this drug product</w:t>
      </w:r>
      <w:r w:rsidRPr="00C6214F">
        <w:t xml:space="preserve"> supplied an additional cohort in the PROVENT Phase III study to gain user experience in the clinic. To allow for the assessment of clonal cell line material, 150 particip</w:t>
      </w:r>
      <w:r w:rsidR="00372C6F">
        <w:t>ants were planned to be randomis</w:t>
      </w:r>
      <w:r w:rsidRPr="00C6214F">
        <w:t>ed 2:1.</w:t>
      </w:r>
    </w:p>
    <w:p w14:paraId="27D829AB" w14:textId="77777777" w:rsidR="00C6214F" w:rsidRPr="00C6214F" w:rsidRDefault="00C6214F" w:rsidP="00372C6F">
      <w:pPr>
        <w:pStyle w:val="Heading6"/>
      </w:pPr>
      <w:r w:rsidRPr="00C6214F">
        <w:t>Amendments</w:t>
      </w:r>
    </w:p>
    <w:p w14:paraId="2AC352E7" w14:textId="77777777" w:rsidR="00C6214F" w:rsidRPr="00C6214F" w:rsidRDefault="00C6214F" w:rsidP="00C6214F">
      <w:r w:rsidRPr="00C6214F">
        <w:t xml:space="preserve">The primary analysis of the primary endpoint was changed to include all </w:t>
      </w:r>
      <w:r w:rsidR="00372C6F">
        <w:t>participants who were hospitalis</w:t>
      </w:r>
      <w:r w:rsidRPr="00C6214F">
        <w:t xml:space="preserve">ed due to COVID-19, regardless of severity. Previously, only participants who were hospitalised due to COVID-19 that met the protocol-defined criteria for </w:t>
      </w:r>
      <w:r w:rsidRPr="00372C6F">
        <w:rPr>
          <w:i/>
          <w:iCs/>
        </w:rPr>
        <w:t>severe</w:t>
      </w:r>
      <w:r w:rsidRPr="00C6214F">
        <w:t xml:space="preserve"> were included.</w:t>
      </w:r>
    </w:p>
    <w:p w14:paraId="225020DE" w14:textId="77777777" w:rsidR="00C6214F" w:rsidRPr="00C6214F" w:rsidRDefault="00C6214F" w:rsidP="00372C6F">
      <w:pPr>
        <w:pStyle w:val="Heading6"/>
      </w:pPr>
      <w:r w:rsidRPr="00C6214F">
        <w:t>Primary efficacy endpoint</w:t>
      </w:r>
    </w:p>
    <w:p w14:paraId="770999EB" w14:textId="77777777" w:rsidR="00C6214F" w:rsidRPr="00C6214F" w:rsidRDefault="00C6214F" w:rsidP="00C6214F">
      <w:r w:rsidRPr="00C6214F">
        <w:t xml:space="preserve">The primary efficacy endpoint in </w:t>
      </w:r>
      <w:r w:rsidR="00C856D5">
        <w:t xml:space="preserve">the </w:t>
      </w:r>
      <w:r w:rsidRPr="00C6214F">
        <w:t>PROVENT</w:t>
      </w:r>
      <w:r w:rsidR="00C856D5">
        <w:t xml:space="preserve"> trial</w:t>
      </w:r>
      <w:r w:rsidRPr="00C6214F">
        <w:t xml:space="preserve"> was a binary response, whereby a participant is defined as a COVID-19 case if their first case of SARS-CoV-2 </w:t>
      </w:r>
      <w:r w:rsidR="00C856D5">
        <w:t>real time polymerase chain reaction (</w:t>
      </w:r>
      <w:r w:rsidRPr="00C6214F">
        <w:t>RT-PCR</w:t>
      </w:r>
      <w:r w:rsidR="00C856D5">
        <w:t xml:space="preserve">) </w:t>
      </w:r>
      <w:r w:rsidRPr="00C6214F">
        <w:t xml:space="preserve">positive symptomatic illness occurs post-dose of </w:t>
      </w:r>
      <w:proofErr w:type="spellStart"/>
      <w:r w:rsidR="00C856D5">
        <w:t>Evusheld</w:t>
      </w:r>
      <w:proofErr w:type="spellEnd"/>
      <w:r w:rsidR="00C856D5">
        <w:t xml:space="preserve"> </w:t>
      </w:r>
      <w:r w:rsidRPr="00C6214F">
        <w:t>and prior to Day 183.</w:t>
      </w:r>
    </w:p>
    <w:p w14:paraId="4662D231" w14:textId="77777777" w:rsidR="00C6214F" w:rsidRDefault="00C6214F" w:rsidP="00C6214F">
      <w:r w:rsidRPr="00C6214F">
        <w:t>Patients who developed COVID-19 qualifying symptom/s were swabbed for RT-PCR testing.</w:t>
      </w:r>
    </w:p>
    <w:p w14:paraId="58268B86" w14:textId="77777777" w:rsidR="00372C6F" w:rsidRPr="00C6214F" w:rsidRDefault="00372C6F" w:rsidP="00372C6F">
      <w:pPr>
        <w:pStyle w:val="Heading6"/>
      </w:pPr>
      <w:r>
        <w:t>Secondary efficacy endpoints</w:t>
      </w:r>
    </w:p>
    <w:p w14:paraId="59C378D5" w14:textId="77777777" w:rsidR="00C6214F" w:rsidRPr="00C6214F" w:rsidRDefault="00372C6F" w:rsidP="00C6214F">
      <w:r>
        <w:t>The k</w:t>
      </w:r>
      <w:r w:rsidR="00C6214F" w:rsidRPr="00372C6F">
        <w:t>ey secondary endpoint</w:t>
      </w:r>
      <w:r w:rsidR="00C6214F" w:rsidRPr="00C6214F">
        <w:t xml:space="preserve"> was the incidence of participants who have a post-treatment response (negative </w:t>
      </w:r>
      <w:r w:rsidR="00790070">
        <w:t>at Baseline</w:t>
      </w:r>
      <w:r w:rsidR="00C6214F" w:rsidRPr="00C6214F">
        <w:t xml:space="preserve"> to positive at any time post-baseline) for SARS-CoV-2 nucleocapsid antibodies.</w:t>
      </w:r>
    </w:p>
    <w:p w14:paraId="3AFF6576" w14:textId="77777777" w:rsidR="00C6214F" w:rsidRPr="00C6214F" w:rsidRDefault="00C6214F" w:rsidP="00C6214F">
      <w:r w:rsidRPr="00C6214F">
        <w:t xml:space="preserve">Secondary endpoints included for </w:t>
      </w:r>
      <w:r w:rsidR="00372C6F">
        <w:t xml:space="preserve">US Emergency Use Authorization </w:t>
      </w:r>
      <w:r w:rsidRPr="00C6214F">
        <w:t>request were:</w:t>
      </w:r>
    </w:p>
    <w:p w14:paraId="72E430C9" w14:textId="77777777" w:rsidR="00C6214F" w:rsidRPr="00C6214F" w:rsidRDefault="00372C6F" w:rsidP="00372C6F">
      <w:pPr>
        <w:pStyle w:val="ListBullet"/>
      </w:pPr>
      <w:r>
        <w:t>t</w:t>
      </w:r>
      <w:r w:rsidR="00C6214F" w:rsidRPr="00C6214F">
        <w:t xml:space="preserve">he incidence of SARS-CoV-2 RT-PCR-positive severe or critical symptomatic illness occurring after dosing with </w:t>
      </w:r>
      <w:proofErr w:type="spellStart"/>
      <w:r w:rsidR="00C856D5">
        <w:t>Evusheld</w:t>
      </w:r>
      <w:proofErr w:type="spellEnd"/>
      <w:r w:rsidR="00C6214F" w:rsidRPr="00C6214F">
        <w:t>.</w:t>
      </w:r>
    </w:p>
    <w:p w14:paraId="373095D1" w14:textId="77777777" w:rsidR="00C6214F" w:rsidRPr="00C6214F" w:rsidRDefault="00372C6F" w:rsidP="00372C6F">
      <w:pPr>
        <w:pStyle w:val="ListBullet"/>
      </w:pPr>
      <w:r>
        <w:t>t</w:t>
      </w:r>
      <w:r w:rsidR="00C6214F" w:rsidRPr="00C6214F">
        <w:t>he incidence of COVID</w:t>
      </w:r>
      <w:r w:rsidR="00C856D5">
        <w:t>-19-related emergency department</w:t>
      </w:r>
      <w:r w:rsidR="00C6214F" w:rsidRPr="00C6214F">
        <w:t xml:space="preserve"> visits occurring after dosing with </w:t>
      </w:r>
      <w:proofErr w:type="spellStart"/>
      <w:r w:rsidR="00C856D5">
        <w:t>Evusheld</w:t>
      </w:r>
      <w:proofErr w:type="spellEnd"/>
      <w:r w:rsidR="00C6214F" w:rsidRPr="00C6214F">
        <w:t>.</w:t>
      </w:r>
    </w:p>
    <w:p w14:paraId="5DF04412" w14:textId="77777777" w:rsidR="00C6214F" w:rsidRPr="00C6214F" w:rsidRDefault="00C6214F" w:rsidP="00372C6F">
      <w:pPr>
        <w:pStyle w:val="Heading6"/>
      </w:pPr>
      <w:r w:rsidRPr="00C6214F">
        <w:lastRenderedPageBreak/>
        <w:t>Statistical methods</w:t>
      </w:r>
    </w:p>
    <w:p w14:paraId="65705BE0" w14:textId="77777777" w:rsidR="00C6214F" w:rsidRPr="00C6214F" w:rsidRDefault="00C6214F" w:rsidP="00C6214F">
      <w:r w:rsidRPr="00C6214F">
        <w:t xml:space="preserve">The primary efficacy endpoint was a binary response, whereby a participant was defined as a COVID-19 case if their first case of SARS-CoV-2 RT-PCR-positive symptomatic illness occurs post-dose of </w:t>
      </w:r>
      <w:proofErr w:type="spellStart"/>
      <w:r w:rsidR="00372C6F">
        <w:t>Evusheld</w:t>
      </w:r>
      <w:proofErr w:type="spellEnd"/>
      <w:r w:rsidR="00372C6F">
        <w:t xml:space="preserve"> </w:t>
      </w:r>
      <w:r w:rsidRPr="00C6214F">
        <w:t xml:space="preserve">and </w:t>
      </w:r>
      <w:r w:rsidRPr="00372C6F">
        <w:t>prior to Day 183.</w:t>
      </w:r>
      <w:r w:rsidRPr="00C6214F">
        <w:t xml:space="preserve"> The primary efficacy was calculated as </w:t>
      </w:r>
      <w:r w:rsidR="00372C6F">
        <w:t>relative risk reduction</w:t>
      </w:r>
      <w:r w:rsidRPr="00C6214F">
        <w:t xml:space="preserve"> = 100% × (1-relative risk), which is the incidence of infection in the </w:t>
      </w:r>
      <w:proofErr w:type="spellStart"/>
      <w:r w:rsidR="00372C6F">
        <w:t>Evusheld</w:t>
      </w:r>
      <w:proofErr w:type="spellEnd"/>
      <w:r w:rsidR="00372C6F">
        <w:t xml:space="preserve"> </w:t>
      </w:r>
      <w:r w:rsidRPr="00C6214F">
        <w:t xml:space="preserve">arm relative to the incidence of infection in the control arm, expressed as a percentage. In the primary analysis, participants who were unblinded to </w:t>
      </w:r>
      <w:r w:rsidR="00302622">
        <w:t>intervention</w:t>
      </w:r>
      <w:r w:rsidRPr="00C6214F">
        <w:t xml:space="preserve"> assignment/ took vaccine prior to experiencing a primary endpoint event, were censored at the earlier time of unblinding/vaccine. A key supportive analysis, in which participants who were unblinded to </w:t>
      </w:r>
      <w:r w:rsidR="00C856D5">
        <w:t>investigational product</w:t>
      </w:r>
      <w:r w:rsidRPr="00C6214F">
        <w:t xml:space="preserve"> assignment/took vaccine prior to experiencing a primary endpoint event were included and analysed regardless of their unblinding or vaccine status. </w:t>
      </w:r>
    </w:p>
    <w:p w14:paraId="22818B73" w14:textId="5373CFDC" w:rsidR="00C6214F" w:rsidRPr="00C6214F" w:rsidRDefault="00C6214F" w:rsidP="00C6214F">
      <w:r w:rsidRPr="00C6214F">
        <w:t>At the time of primary analysis, 1</w:t>
      </w:r>
      <w:r w:rsidR="00C856D5">
        <w:t>555 (29.6%) participants (1012 (28.9%)</w:t>
      </w:r>
      <w:r w:rsidRPr="00C6214F">
        <w:t xml:space="preserve"> </w:t>
      </w:r>
      <w:proofErr w:type="spellStart"/>
      <w:r w:rsidR="00C856D5">
        <w:t>Evusheld</w:t>
      </w:r>
      <w:proofErr w:type="spellEnd"/>
      <w:r w:rsidR="00C856D5">
        <w:t xml:space="preserve"> and 543 (31.0%)</w:t>
      </w:r>
      <w:r w:rsidRPr="00C6214F">
        <w:t xml:space="preserve"> placebo) had been unblinded</w:t>
      </w:r>
      <w:r>
        <w:t>.</w:t>
      </w:r>
      <w:r w:rsidRPr="00C6214F">
        <w:t xml:space="preserve"> In total,</w:t>
      </w:r>
      <w:r w:rsidR="00C856D5">
        <w:t xml:space="preserve"> 965 (18.4%) participants (426 (12.2%)</w:t>
      </w:r>
      <w:r w:rsidRPr="00C6214F">
        <w:t xml:space="preserve"> </w:t>
      </w:r>
      <w:proofErr w:type="spellStart"/>
      <w:r w:rsidR="00C856D5">
        <w:t>Evusheld</w:t>
      </w:r>
      <w:proofErr w:type="spellEnd"/>
      <w:r w:rsidR="00C856D5">
        <w:t xml:space="preserve"> and 539 (30.7%)</w:t>
      </w:r>
      <w:r w:rsidRPr="00C6214F">
        <w:t xml:space="preserve"> placebo)</w:t>
      </w:r>
      <w:r w:rsidR="00C856D5">
        <w:t xml:space="preserve"> received COVID-19 vaccination.</w:t>
      </w:r>
    </w:p>
    <w:p w14:paraId="5ECF83E8" w14:textId="77777777" w:rsidR="00C6214F" w:rsidRPr="00C6214F" w:rsidRDefault="00C6214F" w:rsidP="00C6214F">
      <w:r w:rsidRPr="00C6214F">
        <w:t xml:space="preserve">All primary endpoint events accrued up until the </w:t>
      </w:r>
      <w:r w:rsidR="00C856D5">
        <w:t>data cut-off (</w:t>
      </w:r>
      <w:r w:rsidRPr="00C6214F">
        <w:t>5 May 2021) were included in the primary analysis.</w:t>
      </w:r>
    </w:p>
    <w:p w14:paraId="5A043FE9" w14:textId="77777777" w:rsidR="00C6214F" w:rsidRPr="00C6214F" w:rsidRDefault="00C6214F" w:rsidP="00C856D5">
      <w:pPr>
        <w:pStyle w:val="Heading6"/>
      </w:pPr>
      <w:r w:rsidRPr="00C6214F">
        <w:t>Baseline characteristics</w:t>
      </w:r>
    </w:p>
    <w:p w14:paraId="7014A54F" w14:textId="77777777" w:rsidR="00C6214F" w:rsidRPr="00C6214F" w:rsidRDefault="00C6214F" w:rsidP="00C6214F">
      <w:r w:rsidRPr="00C6214F">
        <w:t xml:space="preserve">Median participant age was 57 years, with 53.9% males. 23.6% were aged ≥ 65 years and 4.2% were aged ≥ 75 years. 67.7% had comorbidities </w:t>
      </w:r>
      <w:r w:rsidR="00790070">
        <w:t>at Baseline</w:t>
      </w:r>
      <w:r w:rsidRPr="00C6214F">
        <w:t xml:space="preserve"> (mostly history of obesity </w:t>
      </w:r>
      <w:r w:rsidR="00D506B7">
        <w:t>(</w:t>
      </w:r>
      <w:r w:rsidRPr="00C6214F">
        <w:t>42.4%</w:t>
      </w:r>
      <w:r w:rsidR="00D506B7">
        <w:t>)</w:t>
      </w:r>
      <w:r w:rsidRPr="00C6214F">
        <w:t xml:space="preserve">, obesity </w:t>
      </w:r>
      <w:r w:rsidR="00D506B7">
        <w:t>(</w:t>
      </w:r>
      <w:r w:rsidRPr="00C6214F">
        <w:t>41.7%</w:t>
      </w:r>
      <w:r w:rsidR="00D506B7">
        <w:t>)</w:t>
      </w:r>
      <w:r w:rsidRPr="00C6214F">
        <w:t xml:space="preserve">, and hypertension </w:t>
      </w:r>
      <w:r w:rsidR="00D506B7">
        <w:t>(</w:t>
      </w:r>
      <w:r w:rsidRPr="00C6214F">
        <w:t>35.9%</w:t>
      </w:r>
      <w:r w:rsidR="00D506B7">
        <w:t>)</w:t>
      </w:r>
      <w:r w:rsidRPr="00C6214F">
        <w:t xml:space="preserve">). 77.5% met </w:t>
      </w:r>
      <w:r w:rsidR="006B04E9">
        <w:t xml:space="preserve">the US </w:t>
      </w:r>
      <w:proofErr w:type="spellStart"/>
      <w:r w:rsidR="006B04E9">
        <w:t>Centers</w:t>
      </w:r>
      <w:proofErr w:type="spellEnd"/>
      <w:r w:rsidR="006B04E9">
        <w:t xml:space="preserve"> for Disease Control (</w:t>
      </w:r>
      <w:r w:rsidRPr="00C6214F">
        <w:t>CDC</w:t>
      </w:r>
      <w:r w:rsidR="006B04E9">
        <w:t>)</w:t>
      </w:r>
      <w:r w:rsidRPr="00C6214F">
        <w:t xml:space="preserve"> criteria for being at</w:t>
      </w:r>
      <w:r w:rsidR="00C856D5">
        <w:t xml:space="preserve"> high risk for severe COVID-19.</w:t>
      </w:r>
    </w:p>
    <w:p w14:paraId="6316B578" w14:textId="0F5C6708" w:rsidR="00C6214F" w:rsidRPr="00C6214F" w:rsidRDefault="00C6214F" w:rsidP="00C6214F">
      <w:r w:rsidRPr="00C6214F">
        <w:t xml:space="preserve">96.3% of subjects had a negative SARS-CoV-2 RT-PCR status </w:t>
      </w:r>
      <w:r w:rsidR="00790070">
        <w:t>at Baseline</w:t>
      </w:r>
      <w:r w:rsidRPr="00C6214F">
        <w:t>. 24 subjects (&lt;</w:t>
      </w:r>
      <w:r w:rsidR="00E514BB">
        <w:t> </w:t>
      </w:r>
      <w:r w:rsidRPr="00C6214F">
        <w:t xml:space="preserve">1%) (15 in </w:t>
      </w:r>
      <w:proofErr w:type="spellStart"/>
      <w:r w:rsidR="008817F9">
        <w:t>Evusheld</w:t>
      </w:r>
      <w:proofErr w:type="spellEnd"/>
      <w:r w:rsidRPr="00C6214F">
        <w:t xml:space="preserve"> and 9 in placebo arms) had an immunosuppressive disease. 109 and 63 subjects (&lt;</w:t>
      </w:r>
      <w:r w:rsidR="00E514BB">
        <w:t> </w:t>
      </w:r>
      <w:r w:rsidRPr="00C6214F">
        <w:t xml:space="preserve">1%) in </w:t>
      </w:r>
      <w:proofErr w:type="spellStart"/>
      <w:r w:rsidR="008817F9">
        <w:t>Evusheld</w:t>
      </w:r>
      <w:proofErr w:type="spellEnd"/>
      <w:r w:rsidRPr="00C6214F">
        <w:t xml:space="preserve"> and placebo arms were undergoing immunosuppressive treatment respectively. </w:t>
      </w:r>
    </w:p>
    <w:p w14:paraId="793C9A7A" w14:textId="77777777" w:rsidR="00C6214F" w:rsidRPr="00C6214F" w:rsidRDefault="00C6214F" w:rsidP="00C6214F">
      <w:r w:rsidRPr="00C6214F">
        <w:t xml:space="preserve">92 participants were administered with </w:t>
      </w:r>
      <w:proofErr w:type="spellStart"/>
      <w:r w:rsidR="008817F9">
        <w:t>Evusheld</w:t>
      </w:r>
      <w:proofErr w:type="spellEnd"/>
      <w:r w:rsidRPr="00C6214F">
        <w:t xml:space="preserve"> that was sourced from clonal cell line (the proposed product for marketing). </w:t>
      </w:r>
    </w:p>
    <w:p w14:paraId="24FF2B04" w14:textId="77777777" w:rsidR="00C6214F" w:rsidRPr="00C6214F" w:rsidRDefault="00C6214F" w:rsidP="00C6214F">
      <w:r w:rsidRPr="00C6214F">
        <w:t xml:space="preserve">In total, 965 (18.4%) participants (426 </w:t>
      </w:r>
      <w:r w:rsidR="00D506B7">
        <w:t>(</w:t>
      </w:r>
      <w:r w:rsidRPr="00C6214F">
        <w:t>12.2%</w:t>
      </w:r>
      <w:r w:rsidR="00D506B7">
        <w:t>)</w:t>
      </w:r>
      <w:r w:rsidRPr="00C6214F">
        <w:t xml:space="preserve"> </w:t>
      </w:r>
      <w:proofErr w:type="spellStart"/>
      <w:r w:rsidR="008817F9">
        <w:t>Evusheld</w:t>
      </w:r>
      <w:proofErr w:type="spellEnd"/>
      <w:r w:rsidRPr="00C6214F">
        <w:t xml:space="preserve"> and 539 </w:t>
      </w:r>
      <w:r w:rsidR="00D506B7">
        <w:t>(</w:t>
      </w:r>
      <w:r w:rsidRPr="00C6214F">
        <w:t>30.7%</w:t>
      </w:r>
      <w:r w:rsidR="00D506B7">
        <w:t>)</w:t>
      </w:r>
      <w:r w:rsidRPr="00C6214F">
        <w:t xml:space="preserve"> placebo) received COVID-19 vacci</w:t>
      </w:r>
      <w:r w:rsidR="00790070">
        <w:t>nation during the study period.</w:t>
      </w:r>
    </w:p>
    <w:p w14:paraId="6C21F31F" w14:textId="6602D964" w:rsidR="00790070" w:rsidRDefault="00790070" w:rsidP="00790070">
      <w:pPr>
        <w:pStyle w:val="TableTitle"/>
      </w:pPr>
      <w:r>
        <w:lastRenderedPageBreak/>
        <w:t xml:space="preserve">Table </w:t>
      </w:r>
      <w:r>
        <w:fldChar w:fldCharType="begin"/>
      </w:r>
      <w:r>
        <w:instrText>SEQ Table \* ARABIC</w:instrText>
      </w:r>
      <w:r>
        <w:fldChar w:fldCharType="separate"/>
      </w:r>
      <w:r w:rsidR="004D0A2C">
        <w:rPr>
          <w:noProof/>
        </w:rPr>
        <w:t>17</w:t>
      </w:r>
      <w:r>
        <w:fldChar w:fldCharType="end"/>
      </w:r>
      <w:r>
        <w:t>: Study D8850C00002 (PROVENT trial) Baseline characteristics</w:t>
      </w:r>
    </w:p>
    <w:p w14:paraId="6D78CEB7" w14:textId="05293C9C" w:rsidR="00C6214F" w:rsidRDefault="00790070" w:rsidP="00C6214F">
      <w:r w:rsidRPr="00C6214F">
        <w:rPr>
          <w:noProof/>
          <w:lang w:val="en-GB" w:eastAsia="en-GB"/>
        </w:rPr>
        <w:drawing>
          <wp:inline distT="0" distB="0" distL="0" distR="0" wp14:anchorId="69C45119" wp14:editId="1314526D">
            <wp:extent cx="5411341" cy="5000065"/>
            <wp:effectExtent l="0" t="0" r="0" b="0"/>
            <wp:docPr id="1" name="Picture 1" descr="Study D8850C00002 (PROVENT trial)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udy D8850C00002 (PROVENT trial) Baseline characteristics"/>
                    <pic:cNvPicPr/>
                  </pic:nvPicPr>
                  <pic:blipFill>
                    <a:blip r:embed="rId54"/>
                    <a:stretch>
                      <a:fillRect/>
                    </a:stretch>
                  </pic:blipFill>
                  <pic:spPr>
                    <a:xfrm>
                      <a:off x="0" y="0"/>
                      <a:ext cx="5418502" cy="5006681"/>
                    </a:xfrm>
                    <a:prstGeom prst="rect">
                      <a:avLst/>
                    </a:prstGeom>
                  </pic:spPr>
                </pic:pic>
              </a:graphicData>
            </a:graphic>
          </wp:inline>
        </w:drawing>
      </w:r>
    </w:p>
    <w:p w14:paraId="1A06CFF7" w14:textId="5F4E6BA7" w:rsidR="00A44691" w:rsidRPr="00C6214F" w:rsidRDefault="00A44691" w:rsidP="00A44691">
      <w:pPr>
        <w:pStyle w:val="TableTitle"/>
      </w:pPr>
      <w:r w:rsidRPr="00A44691">
        <w:lastRenderedPageBreak/>
        <w:t>Table 20: Study D8850C00002 (PROVENT trial) Baseline characteristics</w:t>
      </w:r>
      <w:r>
        <w:t>, continued’</w:t>
      </w:r>
    </w:p>
    <w:p w14:paraId="4E9F3665" w14:textId="77777777" w:rsidR="00C6214F" w:rsidRPr="00C6214F" w:rsidRDefault="00C6214F" w:rsidP="00C6214F">
      <w:r w:rsidRPr="00C6214F">
        <w:rPr>
          <w:noProof/>
          <w:lang w:val="en-GB" w:eastAsia="en-GB"/>
        </w:rPr>
        <w:drawing>
          <wp:inline distT="0" distB="0" distL="0" distR="0" wp14:anchorId="51C35461" wp14:editId="4D88E700">
            <wp:extent cx="5152509" cy="510569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55563" cy="5108725"/>
                    </a:xfrm>
                    <a:prstGeom prst="rect">
                      <a:avLst/>
                    </a:prstGeom>
                  </pic:spPr>
                </pic:pic>
              </a:graphicData>
            </a:graphic>
          </wp:inline>
        </w:drawing>
      </w:r>
    </w:p>
    <w:p w14:paraId="4CF69A88" w14:textId="77777777" w:rsidR="00C6214F" w:rsidRPr="00C6214F" w:rsidRDefault="00C6214F" w:rsidP="00C6214F">
      <w:r w:rsidRPr="00C6214F">
        <w:rPr>
          <w:noProof/>
          <w:lang w:val="en-GB" w:eastAsia="en-GB"/>
        </w:rPr>
        <w:drawing>
          <wp:inline distT="0" distB="0" distL="0" distR="0" wp14:anchorId="1812DC12" wp14:editId="3D8D931C">
            <wp:extent cx="5100029" cy="1597361"/>
            <wp:effectExtent l="0" t="0" r="5715"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00029" cy="1597361"/>
                    </a:xfrm>
                    <a:prstGeom prst="rect">
                      <a:avLst/>
                    </a:prstGeom>
                  </pic:spPr>
                </pic:pic>
              </a:graphicData>
            </a:graphic>
          </wp:inline>
        </w:drawing>
      </w:r>
    </w:p>
    <w:p w14:paraId="2B932514" w14:textId="77777777" w:rsidR="00C6214F" w:rsidRPr="00C6214F" w:rsidRDefault="00C6214F" w:rsidP="00790070">
      <w:pPr>
        <w:pStyle w:val="Heading6"/>
      </w:pPr>
      <w:r w:rsidRPr="00C6214F">
        <w:t>Results</w:t>
      </w:r>
    </w:p>
    <w:p w14:paraId="470249A8" w14:textId="3B5AACAC" w:rsidR="00C6214F" w:rsidRPr="00C6214F" w:rsidRDefault="00C6214F" w:rsidP="00C6214F">
      <w:r w:rsidRPr="00C6214F">
        <w:t xml:space="preserve">Further to primary analysis, a statistically significant reduction in incidence of SARS-CoV-2 RT-PCR-positive symptomatic illness was reported for subjects in the </w:t>
      </w:r>
      <w:proofErr w:type="spellStart"/>
      <w:r w:rsidR="008817F9">
        <w:t>Evusheld</w:t>
      </w:r>
      <w:proofErr w:type="spellEnd"/>
      <w:r w:rsidRPr="00C6214F">
        <w:t xml:space="preserve"> arm, compared to placebo, </w:t>
      </w:r>
      <w:r w:rsidR="008817F9">
        <w:t xml:space="preserve">relative </w:t>
      </w:r>
      <w:r w:rsidR="00DE10CB">
        <w:t xml:space="preserve">risk </w:t>
      </w:r>
      <w:r w:rsidR="008817F9">
        <w:t>reduction</w:t>
      </w:r>
      <w:r w:rsidRPr="00C6214F">
        <w:t xml:space="preserve"> 76.73 (95% CI: 46.05, 89.96); p &lt; 0.001, when subjects were followed for up to Day 183 post dose.</w:t>
      </w:r>
    </w:p>
    <w:p w14:paraId="3DD08042" w14:textId="40BA4691" w:rsidR="00C6214F" w:rsidRPr="00C6214F" w:rsidRDefault="00C6214F" w:rsidP="00C6214F">
      <w:r w:rsidRPr="00C6214F">
        <w:t>There were 8</w:t>
      </w:r>
      <w:r w:rsidR="00E514BB">
        <w:t xml:space="preserve"> out of </w:t>
      </w:r>
      <w:r w:rsidRPr="00C6214F">
        <w:t xml:space="preserve">3441 (0.2%) subjects with SARS-CoV-2 RT-PCR-positive symptomatic illness in the </w:t>
      </w:r>
      <w:proofErr w:type="spellStart"/>
      <w:r w:rsidR="008817F9">
        <w:t>Evusheld</w:t>
      </w:r>
      <w:proofErr w:type="spellEnd"/>
      <w:r w:rsidRPr="00C6214F">
        <w:t xml:space="preserve"> arm, compared to 17</w:t>
      </w:r>
      <w:r w:rsidR="00EF0D37">
        <w:t xml:space="preserve"> </w:t>
      </w:r>
      <w:r w:rsidR="00E514BB">
        <w:t xml:space="preserve">out of </w:t>
      </w:r>
      <w:r w:rsidRPr="00C6214F">
        <w:t>1731 (1%) participants in the placebo arm.</w:t>
      </w:r>
    </w:p>
    <w:p w14:paraId="02D52FBC" w14:textId="22A8F132" w:rsidR="00C6214F" w:rsidRPr="00C6214F" w:rsidRDefault="00C6214F" w:rsidP="00790070">
      <w:pPr>
        <w:pStyle w:val="TableTitle"/>
      </w:pPr>
      <w:r w:rsidRPr="00C6214F">
        <w:lastRenderedPageBreak/>
        <w:t xml:space="preserve">Table </w:t>
      </w:r>
      <w:r>
        <w:fldChar w:fldCharType="begin"/>
      </w:r>
      <w:r>
        <w:instrText>SEQ Table \* ARABIC</w:instrText>
      </w:r>
      <w:r>
        <w:fldChar w:fldCharType="separate"/>
      </w:r>
      <w:r w:rsidR="004D0A2C">
        <w:rPr>
          <w:noProof/>
        </w:rPr>
        <w:t>18</w:t>
      </w:r>
      <w:r>
        <w:fldChar w:fldCharType="end"/>
      </w:r>
      <w:r w:rsidRPr="00C6214F">
        <w:t xml:space="preserve">: </w:t>
      </w:r>
      <w:r w:rsidR="00790070">
        <w:t>Study D8850C00002 (PROVENT trial) P</w:t>
      </w:r>
      <w:r w:rsidR="00790070" w:rsidRPr="00C6214F">
        <w:t>rimary efficacy results -first</w:t>
      </w:r>
      <w:r w:rsidRPr="00C6214F">
        <w:t xml:space="preserve"> SARS-CoV-2 RT-PCR-</w:t>
      </w:r>
      <w:r w:rsidR="00790070" w:rsidRPr="00C6214F">
        <w:t>positive sympto</w:t>
      </w:r>
      <w:r w:rsidR="00790070">
        <w:t xml:space="preserve">matic illness, </w:t>
      </w:r>
      <w:r w:rsidR="00790070" w:rsidRPr="00C6214F">
        <w:t xml:space="preserve">primary </w:t>
      </w:r>
      <w:proofErr w:type="spellStart"/>
      <w:r w:rsidR="00790070" w:rsidRPr="00C6214F">
        <w:t>estimand</w:t>
      </w:r>
      <w:proofErr w:type="spellEnd"/>
      <w:r w:rsidR="00790070" w:rsidRPr="00C6214F">
        <w:t xml:space="preserve">, </w:t>
      </w:r>
      <w:r w:rsidR="00790070">
        <w:t>full pre-exposure analysis set</w:t>
      </w:r>
      <w:r w:rsidR="00790070" w:rsidRPr="00C6214F">
        <w:t>, primary analysis</w:t>
      </w:r>
      <w:r w:rsidRPr="00C6214F">
        <w:t xml:space="preserve"> (</w:t>
      </w:r>
      <w:r w:rsidR="008817F9">
        <w:t>data cut-off date</w:t>
      </w:r>
      <w:r w:rsidRPr="00C6214F">
        <w:t xml:space="preserve"> May 2021)</w:t>
      </w:r>
    </w:p>
    <w:p w14:paraId="4794E4E9" w14:textId="77777777" w:rsidR="00C6214F" w:rsidRDefault="00C6214F" w:rsidP="00C6214F">
      <w:r w:rsidRPr="00C6214F">
        <w:rPr>
          <w:noProof/>
          <w:lang w:val="en-GB" w:eastAsia="en-GB"/>
        </w:rPr>
        <w:drawing>
          <wp:inline distT="0" distB="0" distL="0" distR="0" wp14:anchorId="30910ECA" wp14:editId="6CE377E9">
            <wp:extent cx="5066601" cy="1448409"/>
            <wp:effectExtent l="0" t="0" r="1270" b="0"/>
            <wp:docPr id="16" name="Picture 16" descr="Study D8850C00002 (PROVENT trial) Primary efficacy results -first SARS-CoV-2 RT-PCR-positive symptomatic illness, primary estimand, full pre-exposure analysis set, primary analysis (data cut-off date M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tudy D8850C00002 (PROVENT trial) Primary efficacy results -first SARS-CoV-2 RT-PCR-positive symptomatic illness, primary estimand, full pre-exposure analysis set, primary analysis (data cut-off date May 2021)"/>
                    <pic:cNvPicPr/>
                  </pic:nvPicPr>
                  <pic:blipFill rotWithShape="1">
                    <a:blip r:embed="rId57"/>
                    <a:srcRect t="4266" b="1854"/>
                    <a:stretch/>
                  </pic:blipFill>
                  <pic:spPr bwMode="auto">
                    <a:xfrm>
                      <a:off x="0" y="0"/>
                      <a:ext cx="5068007" cy="1448811"/>
                    </a:xfrm>
                    <a:prstGeom prst="rect">
                      <a:avLst/>
                    </a:prstGeom>
                    <a:ln>
                      <a:noFill/>
                    </a:ln>
                    <a:extLst>
                      <a:ext uri="{53640926-AAD7-44D8-BBD7-CCE9431645EC}">
                        <a14:shadowObscured xmlns:a14="http://schemas.microsoft.com/office/drawing/2010/main"/>
                      </a:ext>
                    </a:extLst>
                  </pic:spPr>
                </pic:pic>
              </a:graphicData>
            </a:graphic>
          </wp:inline>
        </w:drawing>
      </w:r>
    </w:p>
    <w:p w14:paraId="361E9F88" w14:textId="77777777" w:rsidR="006B04E9" w:rsidRPr="00C6214F" w:rsidRDefault="006B04E9" w:rsidP="006B04E9">
      <w:pPr>
        <w:pStyle w:val="TableDescription"/>
      </w:pPr>
      <w:r>
        <w:t>RRR = Relative risk reduction</w:t>
      </w:r>
    </w:p>
    <w:p w14:paraId="4FDAE990" w14:textId="77777777" w:rsidR="00C6214F" w:rsidRPr="00C6214F" w:rsidRDefault="00C6214F" w:rsidP="00C6214F">
      <w:r w:rsidRPr="00C6214F">
        <w:t>Two key supportive analyses were pre-specified in the study protocol within a formal hierarchical multiple testing framework to control the Type I error rate.</w:t>
      </w:r>
    </w:p>
    <w:p w14:paraId="1C3F2C41" w14:textId="209F150F" w:rsidR="00C6214F" w:rsidRPr="00C6214F" w:rsidRDefault="00C6214F" w:rsidP="00C6214F">
      <w:r w:rsidRPr="00C6214F">
        <w:t xml:space="preserve">In the first key supportive </w:t>
      </w:r>
      <w:proofErr w:type="spellStart"/>
      <w:r w:rsidRPr="00C6214F">
        <w:t>estimand</w:t>
      </w:r>
      <w:proofErr w:type="spellEnd"/>
      <w:r w:rsidRPr="00C6214F">
        <w:t xml:space="preserve">, subjects who were unblinded to the study treatment assignment or took vaccine prior to experiencing a primary endpoint event were included and analysed regardless of their unblinding or vaccine status, </w:t>
      </w:r>
      <w:r w:rsidR="006B04E9">
        <w:t>that is,</w:t>
      </w:r>
      <w:r w:rsidRPr="00C6214F">
        <w:t xml:space="preserve"> including all participants. There was a statistically significant reduction in incidence of SARS-C</w:t>
      </w:r>
      <w:r w:rsidR="00790070">
        <w:t>oV-2 RT</w:t>
      </w:r>
      <w:r w:rsidR="00790070">
        <w:noBreakHyphen/>
      </w:r>
      <w:r w:rsidRPr="00C6214F">
        <w:t xml:space="preserve">PCR-positive symptomatic illness for subjects in the </w:t>
      </w:r>
      <w:proofErr w:type="spellStart"/>
      <w:r w:rsidR="008817F9">
        <w:t>Evusheld</w:t>
      </w:r>
      <w:proofErr w:type="spellEnd"/>
      <w:r w:rsidRPr="00C6214F">
        <w:t xml:space="preserve"> arm compared with placebo </w:t>
      </w:r>
      <w:r w:rsidR="008817F9">
        <w:t xml:space="preserve">relative </w:t>
      </w:r>
      <w:r w:rsidR="00DE10CB">
        <w:t xml:space="preserve">risk </w:t>
      </w:r>
      <w:r w:rsidR="008817F9">
        <w:t>reduction</w:t>
      </w:r>
      <w:r w:rsidRPr="00C6214F">
        <w:t xml:space="preserve"> 77.29 (95% CI: 52.01, 89.25; p-value &lt; 0.001).</w:t>
      </w:r>
    </w:p>
    <w:p w14:paraId="3E918584" w14:textId="11F79A5F" w:rsidR="00C6214F" w:rsidRPr="00C6214F" w:rsidRDefault="00C6214F" w:rsidP="00C6214F">
      <w:r w:rsidRPr="00C6214F">
        <w:t xml:space="preserve">For the second key supportive analysis, the analysis included first case of SARS-CoV-2 RT-PCR-positive symptomatic illness or death from any cause post-dose of </w:t>
      </w:r>
      <w:proofErr w:type="spellStart"/>
      <w:r w:rsidR="008817F9">
        <w:t>Evusheld</w:t>
      </w:r>
      <w:proofErr w:type="spellEnd"/>
      <w:r w:rsidRPr="00C6214F">
        <w:t xml:space="preserve">. There was a statistically significant reduction in incidence of SARS-CoV-2 RT-PCR-positive symptomatic illness or death from any cause for participants who had received </w:t>
      </w:r>
      <w:proofErr w:type="spellStart"/>
      <w:r w:rsidR="008817F9">
        <w:t>Evusheld</w:t>
      </w:r>
      <w:proofErr w:type="spellEnd"/>
      <w:r w:rsidRPr="00C6214F">
        <w:t xml:space="preserve"> compared with placebo, </w:t>
      </w:r>
      <w:r w:rsidR="008817F9">
        <w:t xml:space="preserve">relative </w:t>
      </w:r>
      <w:r w:rsidR="00DE10CB">
        <w:t xml:space="preserve">risk </w:t>
      </w:r>
      <w:r w:rsidR="008817F9">
        <w:t>reduction</w:t>
      </w:r>
      <w:r w:rsidRPr="00C6214F">
        <w:t xml:space="preserve"> 68.78 (95% CI: 35.64, 84.86); p-value 0.002.</w:t>
      </w:r>
    </w:p>
    <w:p w14:paraId="6FBBF2DD" w14:textId="7FC2DA7A" w:rsidR="00C6214F" w:rsidRPr="00C6214F" w:rsidRDefault="00C6214F" w:rsidP="008937ED">
      <w:pPr>
        <w:pStyle w:val="TableTitle"/>
      </w:pPr>
      <w:r w:rsidRPr="00C6214F">
        <w:t xml:space="preserve">Table </w:t>
      </w:r>
      <w:r>
        <w:fldChar w:fldCharType="begin"/>
      </w:r>
      <w:r>
        <w:instrText>SEQ Table \* ARABIC</w:instrText>
      </w:r>
      <w:r>
        <w:fldChar w:fldCharType="separate"/>
      </w:r>
      <w:r w:rsidR="004D0A2C">
        <w:rPr>
          <w:noProof/>
        </w:rPr>
        <w:t>19</w:t>
      </w:r>
      <w:r>
        <w:fldChar w:fldCharType="end"/>
      </w:r>
      <w:r w:rsidR="008937ED">
        <w:t>: Study D8850C00002 (PROVENT trial) P</w:t>
      </w:r>
      <w:r w:rsidR="008937ED" w:rsidRPr="00C6214F">
        <w:t xml:space="preserve">rimary endpoint – key supportive </w:t>
      </w:r>
      <w:proofErr w:type="spellStart"/>
      <w:r w:rsidR="008937ED" w:rsidRPr="00C6214F">
        <w:t>estimands</w:t>
      </w:r>
      <w:proofErr w:type="spellEnd"/>
      <w:r w:rsidR="008937ED" w:rsidRPr="00C6214F">
        <w:t xml:space="preserve">, </w:t>
      </w:r>
      <w:r w:rsidR="008937ED">
        <w:t>full pre-exposure analysis set</w:t>
      </w:r>
      <w:r w:rsidR="008937ED" w:rsidRPr="00C6214F">
        <w:t>, primary analysis</w:t>
      </w:r>
    </w:p>
    <w:p w14:paraId="1861074B" w14:textId="77777777" w:rsidR="00C6214F" w:rsidRDefault="00C6214F" w:rsidP="00C6214F">
      <w:r w:rsidRPr="00C6214F">
        <w:rPr>
          <w:noProof/>
          <w:lang w:val="en-GB" w:eastAsia="en-GB"/>
        </w:rPr>
        <w:drawing>
          <wp:inline distT="0" distB="0" distL="0" distR="0" wp14:anchorId="09FE4F9E" wp14:editId="4A77D909">
            <wp:extent cx="4593600" cy="2203200"/>
            <wp:effectExtent l="0" t="0" r="0" b="6985"/>
            <wp:docPr id="17" name="Picture 17" descr="Study D8850C00002 (PROVENT trial) Primary endpoint – key supportive estimands, full pre-exposure analysis set,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tudy D8850C00002 (PROVENT trial) Primary endpoint – key supportive estimands, full pre-exposure analysis set, primary analysis"/>
                    <pic:cNvPicPr/>
                  </pic:nvPicPr>
                  <pic:blipFill rotWithShape="1">
                    <a:blip r:embed="rId58"/>
                    <a:srcRect b="311"/>
                    <a:stretch/>
                  </pic:blipFill>
                  <pic:spPr bwMode="auto">
                    <a:xfrm>
                      <a:off x="0" y="0"/>
                      <a:ext cx="4593600" cy="2203200"/>
                    </a:xfrm>
                    <a:prstGeom prst="rect">
                      <a:avLst/>
                    </a:prstGeom>
                    <a:ln>
                      <a:noFill/>
                    </a:ln>
                    <a:extLst>
                      <a:ext uri="{53640926-AAD7-44D8-BBD7-CCE9431645EC}">
                        <a14:shadowObscured xmlns:a14="http://schemas.microsoft.com/office/drawing/2010/main"/>
                      </a:ext>
                    </a:extLst>
                  </pic:spPr>
                </pic:pic>
              </a:graphicData>
            </a:graphic>
          </wp:inline>
        </w:drawing>
      </w:r>
    </w:p>
    <w:p w14:paraId="5D61773A" w14:textId="77777777" w:rsidR="006B04E9" w:rsidRPr="00C6214F" w:rsidRDefault="006B04E9" w:rsidP="006B04E9">
      <w:pPr>
        <w:pStyle w:val="TableDescription"/>
      </w:pPr>
      <w:r>
        <w:t>CI = confidence interval; RRR = relative risk reduction</w:t>
      </w:r>
    </w:p>
    <w:p w14:paraId="7F27C1A3" w14:textId="77777777" w:rsidR="00C6214F" w:rsidRPr="00C6214F" w:rsidRDefault="00C6214F" w:rsidP="00C6214F">
      <w:r w:rsidRPr="00C6214F">
        <w:t xml:space="preserve">Time to SARS-CoV-2 RT-PCR positive symptomatic illness was longer in the </w:t>
      </w:r>
      <w:proofErr w:type="spellStart"/>
      <w:r w:rsidR="008817F9">
        <w:t>Evusheld</w:t>
      </w:r>
      <w:proofErr w:type="spellEnd"/>
      <w:r w:rsidRPr="00C6214F">
        <w:t xml:space="preserve"> arm compared to placebo. </w:t>
      </w:r>
      <w:r w:rsidR="008817F9">
        <w:t>hazard ratio</w:t>
      </w:r>
      <w:r w:rsidRPr="00C6214F">
        <w:t xml:space="preserve"> (95% CI) = 0.23 (0.1, 0.53).</w:t>
      </w:r>
    </w:p>
    <w:p w14:paraId="333C74B0" w14:textId="57E49AB6" w:rsidR="00C6214F" w:rsidRPr="00C6214F" w:rsidRDefault="00C6214F" w:rsidP="00C6214F">
      <w:r w:rsidRPr="00C6214F">
        <w:t>The difference in the time interval was statistically significant.</w:t>
      </w:r>
    </w:p>
    <w:p w14:paraId="31556220" w14:textId="2881A08B" w:rsidR="00C6214F" w:rsidRPr="00C6214F" w:rsidRDefault="00C6214F" w:rsidP="008937ED">
      <w:pPr>
        <w:pStyle w:val="FigureTitle"/>
      </w:pPr>
      <w:r w:rsidRPr="00C6214F">
        <w:t xml:space="preserve">Figure </w:t>
      </w:r>
      <w:r>
        <w:fldChar w:fldCharType="begin"/>
      </w:r>
      <w:r>
        <w:instrText>SEQ Figure \* ARABIC</w:instrText>
      </w:r>
      <w:r>
        <w:fldChar w:fldCharType="separate"/>
      </w:r>
      <w:r w:rsidR="004D0A2C">
        <w:rPr>
          <w:noProof/>
        </w:rPr>
        <w:t>16</w:t>
      </w:r>
      <w:r>
        <w:fldChar w:fldCharType="end"/>
      </w:r>
      <w:r w:rsidR="008937ED">
        <w:t>:</w:t>
      </w:r>
      <w:r w:rsidRPr="00C6214F">
        <w:t xml:space="preserve"> </w:t>
      </w:r>
      <w:r w:rsidR="008937ED">
        <w:t xml:space="preserve">Study D8850C00002 (PROVENT trial) </w:t>
      </w:r>
      <w:r w:rsidRPr="00C6214F">
        <w:t xml:space="preserve">Primary </w:t>
      </w:r>
      <w:r w:rsidR="008937ED">
        <w:t xml:space="preserve">efficacy, </w:t>
      </w:r>
      <w:r w:rsidR="008937ED" w:rsidRPr="00C6214F">
        <w:t xml:space="preserve">time to first </w:t>
      </w:r>
      <w:r w:rsidR="008937ED">
        <w:t>SARS_</w:t>
      </w:r>
      <w:r w:rsidRPr="00C6214F">
        <w:t>CoV-2 RT-PCR-positive Symptomatic Ill</w:t>
      </w:r>
      <w:r w:rsidR="008937ED">
        <w:t xml:space="preserve">ness Occurring Post-dose of </w:t>
      </w:r>
      <w:r w:rsidR="008937ED">
        <w:lastRenderedPageBreak/>
        <w:t xml:space="preserve">randomised intervention; </w:t>
      </w:r>
      <w:r w:rsidRPr="00C6214F">
        <w:t xml:space="preserve">Kaplan-Meier Curves by Arm, Supplementary Analysis, </w:t>
      </w:r>
      <w:r w:rsidR="008937ED">
        <w:t>full pre-exposure analysis set</w:t>
      </w:r>
    </w:p>
    <w:p w14:paraId="33A22577" w14:textId="77777777" w:rsidR="00C6214F" w:rsidRPr="00C6214F" w:rsidRDefault="00C6214F" w:rsidP="00C6214F">
      <w:r w:rsidRPr="00C6214F">
        <w:rPr>
          <w:noProof/>
          <w:lang w:val="en-GB" w:eastAsia="en-GB"/>
        </w:rPr>
        <w:drawing>
          <wp:inline distT="0" distB="0" distL="0" distR="0" wp14:anchorId="686AA11F" wp14:editId="65DD630C">
            <wp:extent cx="5258534" cy="2553056"/>
            <wp:effectExtent l="0" t="0" r="0" b="0"/>
            <wp:docPr id="18" name="Picture 18" descr="Study D8850C00002 (PROVENT trial) Primary efficacy, time to first SARS_CoV-2 RT-PCR-positive Symptomatic Illness Occurring Post-dose of randomised intervention; Kaplan-Meier Curves by Arm, Supplementary Analysis, full pre-exposure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y D8850C00002 (PROVENT trial) Primary efficacy, time to first SARS_CoV-2 RT-PCR-positive Symptomatic Illness Occurring Post-dose of randomised intervention; Kaplan-Meier Curves by Arm, Supplementary Analysis, full pre-exposure analysis set"/>
                    <pic:cNvPicPr/>
                  </pic:nvPicPr>
                  <pic:blipFill>
                    <a:blip r:embed="rId59"/>
                    <a:stretch>
                      <a:fillRect/>
                    </a:stretch>
                  </pic:blipFill>
                  <pic:spPr>
                    <a:xfrm>
                      <a:off x="0" y="0"/>
                      <a:ext cx="5258534" cy="2553056"/>
                    </a:xfrm>
                    <a:prstGeom prst="rect">
                      <a:avLst/>
                    </a:prstGeom>
                  </pic:spPr>
                </pic:pic>
              </a:graphicData>
            </a:graphic>
          </wp:inline>
        </w:drawing>
      </w:r>
    </w:p>
    <w:p w14:paraId="6E8416C7" w14:textId="77777777" w:rsidR="00C6214F" w:rsidRPr="00C6214F" w:rsidRDefault="00C6214F" w:rsidP="00C6214F">
      <w:r w:rsidRPr="00C6214F">
        <w:t>Efficacy was generally consistent across the pre-defined subgroups:</w:t>
      </w:r>
    </w:p>
    <w:p w14:paraId="5C6AB43F" w14:textId="2B6F0C5E" w:rsidR="00C6214F" w:rsidRPr="00C6214F" w:rsidRDefault="00C6214F" w:rsidP="008937ED">
      <w:pPr>
        <w:pStyle w:val="FigureTitle"/>
      </w:pPr>
      <w:r w:rsidRPr="00C6214F">
        <w:t xml:space="preserve">Figure </w:t>
      </w:r>
      <w:r>
        <w:fldChar w:fldCharType="begin"/>
      </w:r>
      <w:r>
        <w:instrText>SEQ Figure \* ARABIC</w:instrText>
      </w:r>
      <w:r>
        <w:fldChar w:fldCharType="separate"/>
      </w:r>
      <w:r w:rsidR="004D0A2C">
        <w:rPr>
          <w:noProof/>
        </w:rPr>
        <w:t>17</w:t>
      </w:r>
      <w:r>
        <w:fldChar w:fldCharType="end"/>
      </w:r>
      <w:r w:rsidR="008937ED">
        <w:t>:</w:t>
      </w:r>
      <w:r w:rsidRPr="00C6214F">
        <w:t xml:space="preserve"> </w:t>
      </w:r>
      <w:r w:rsidR="008937ED">
        <w:t xml:space="preserve">Study D8850C00002 (PROVENT trial) </w:t>
      </w:r>
      <w:r w:rsidRPr="00C6214F">
        <w:t>Forest plot of primary e</w:t>
      </w:r>
      <w:r w:rsidR="008937ED">
        <w:t>ndpoint events by subgroup</w:t>
      </w:r>
    </w:p>
    <w:p w14:paraId="0491BAB8" w14:textId="281AD439" w:rsidR="00C6214F" w:rsidRDefault="00C6214F" w:rsidP="00C6214F">
      <w:r w:rsidRPr="00C6214F">
        <w:rPr>
          <w:noProof/>
          <w:lang w:val="en-GB" w:eastAsia="en-GB"/>
        </w:rPr>
        <w:drawing>
          <wp:inline distT="0" distB="0" distL="0" distR="0" wp14:anchorId="602E1CD6" wp14:editId="690B1A68">
            <wp:extent cx="5512294" cy="3125231"/>
            <wp:effectExtent l="0" t="0" r="0" b="0"/>
            <wp:docPr id="19" name="Picture 19" descr="Study D8850C00002 (PROVENT trial) Forest plot of primary endpoint events by sub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D8850C00002 (PROVENT trial) Forest plot of primary endpoint events by subgroup"/>
                    <pic:cNvPicPr/>
                  </pic:nvPicPr>
                  <pic:blipFill>
                    <a:blip r:embed="rId60"/>
                    <a:stretch>
                      <a:fillRect/>
                    </a:stretch>
                  </pic:blipFill>
                  <pic:spPr>
                    <a:xfrm>
                      <a:off x="0" y="0"/>
                      <a:ext cx="5531935" cy="3136366"/>
                    </a:xfrm>
                    <a:prstGeom prst="rect">
                      <a:avLst/>
                    </a:prstGeom>
                  </pic:spPr>
                </pic:pic>
              </a:graphicData>
            </a:graphic>
          </wp:inline>
        </w:drawing>
      </w:r>
    </w:p>
    <w:p w14:paraId="284C688C" w14:textId="14359845" w:rsidR="00A44691" w:rsidRPr="00C6214F" w:rsidRDefault="00A44691" w:rsidP="00A44691">
      <w:pPr>
        <w:pStyle w:val="FigureTitle"/>
      </w:pPr>
      <w:r w:rsidRPr="00A44691">
        <w:lastRenderedPageBreak/>
        <w:t>Figure 20: Study D8850C00002 (PROVENT trial) Forest plot of primary endpoint events by subgroup</w:t>
      </w:r>
      <w:r>
        <w:t>, continued’</w:t>
      </w:r>
    </w:p>
    <w:p w14:paraId="65B4D28C" w14:textId="77777777" w:rsidR="00C6214F" w:rsidRPr="00C6214F" w:rsidRDefault="00C6214F" w:rsidP="00C6214F">
      <w:r w:rsidRPr="00C6214F">
        <w:rPr>
          <w:noProof/>
          <w:lang w:val="en-GB" w:eastAsia="en-GB"/>
        </w:rPr>
        <w:drawing>
          <wp:inline distT="0" distB="0" distL="0" distR="0" wp14:anchorId="19503421" wp14:editId="34EC9B26">
            <wp:extent cx="5522259" cy="3023412"/>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42204" cy="3034332"/>
                    </a:xfrm>
                    <a:prstGeom prst="rect">
                      <a:avLst/>
                    </a:prstGeom>
                  </pic:spPr>
                </pic:pic>
              </a:graphicData>
            </a:graphic>
          </wp:inline>
        </w:drawing>
      </w:r>
    </w:p>
    <w:p w14:paraId="64FE3D6B" w14:textId="77777777" w:rsidR="008937ED" w:rsidRDefault="00C6214F" w:rsidP="008937ED">
      <w:pPr>
        <w:pStyle w:val="Heading6"/>
      </w:pPr>
      <w:r w:rsidRPr="00C6214F">
        <w:t>Efficacy at</w:t>
      </w:r>
      <w:r w:rsidR="008937ED">
        <w:t xml:space="preserve"> 6 months (median) after dosing</w:t>
      </w:r>
    </w:p>
    <w:p w14:paraId="088715AE" w14:textId="221EE5F1" w:rsidR="00C6214F" w:rsidRPr="00C6214F" w:rsidRDefault="008937ED" w:rsidP="008937ED">
      <w:r>
        <w:t xml:space="preserve">The analysis at 6 months (median) post-dose had a </w:t>
      </w:r>
      <w:r w:rsidR="008817F9">
        <w:t xml:space="preserve">data </w:t>
      </w:r>
      <w:proofErr w:type="spellStart"/>
      <w:r w:rsidR="008817F9">
        <w:t>cutoff</w:t>
      </w:r>
      <w:proofErr w:type="spellEnd"/>
      <w:r w:rsidR="008817F9">
        <w:t xml:space="preserve"> date</w:t>
      </w:r>
      <w:r w:rsidR="00C6214F" w:rsidRPr="00C6214F">
        <w:t xml:space="preserve"> </w:t>
      </w:r>
      <w:r w:rsidR="00232CD5">
        <w:t xml:space="preserve">of </w:t>
      </w:r>
      <w:r w:rsidR="00C6214F" w:rsidRPr="00C6214F">
        <w:t>29 Aug</w:t>
      </w:r>
      <w:r>
        <w:t>ust 2021.</w:t>
      </w:r>
    </w:p>
    <w:p w14:paraId="41576597" w14:textId="77777777" w:rsidR="00C6214F" w:rsidRPr="00C6214F" w:rsidRDefault="00C6214F" w:rsidP="00C6214F">
      <w:r w:rsidRPr="00C6214F">
        <w:t>At 6</w:t>
      </w:r>
      <w:r w:rsidR="008937ED">
        <w:t xml:space="preserve"> </w:t>
      </w:r>
      <w:r w:rsidRPr="00C6214F">
        <w:t>months, 95% of subjects were continuing in the study. A high rate of unblinding was noted (40%), mostly for vaccination.</w:t>
      </w:r>
    </w:p>
    <w:p w14:paraId="50E1203B" w14:textId="43E83D8E" w:rsidR="00C6214F" w:rsidRPr="00C6214F" w:rsidRDefault="00C6214F" w:rsidP="00C6214F">
      <w:r w:rsidRPr="00C6214F">
        <w:t xml:space="preserve">At 5 months after the last participant was dosed, with a median follow up of 6 months, subjects in </w:t>
      </w:r>
      <w:proofErr w:type="spellStart"/>
      <w:r w:rsidR="008817F9">
        <w:t>Evusheld</w:t>
      </w:r>
      <w:proofErr w:type="spellEnd"/>
      <w:r w:rsidRPr="00C6214F">
        <w:t xml:space="preserve"> arm achieved a </w:t>
      </w:r>
      <w:r w:rsidR="008817F9">
        <w:t>relative</w:t>
      </w:r>
      <w:r w:rsidR="00DE10CB">
        <w:t xml:space="preserve"> r</w:t>
      </w:r>
      <w:r w:rsidR="008817F9">
        <w:t>isk reduction</w:t>
      </w:r>
      <w:r w:rsidRPr="00C6214F">
        <w:t xml:space="preserve"> of 82.80 against developing a RT-PCR positive symptomatic illness, compared to those in placebo arm. The treatment difference was statistically significant.</w:t>
      </w:r>
    </w:p>
    <w:p w14:paraId="679E511F" w14:textId="401A5026" w:rsidR="00C6214F" w:rsidRPr="00C6214F" w:rsidRDefault="00C6214F" w:rsidP="008937ED">
      <w:pPr>
        <w:pStyle w:val="TableTitle"/>
      </w:pPr>
      <w:r w:rsidRPr="00C6214F">
        <w:t xml:space="preserve">Table </w:t>
      </w:r>
      <w:r>
        <w:fldChar w:fldCharType="begin"/>
      </w:r>
      <w:r>
        <w:instrText>SEQ Table \* ARABIC</w:instrText>
      </w:r>
      <w:r>
        <w:fldChar w:fldCharType="separate"/>
      </w:r>
      <w:r w:rsidR="004D0A2C">
        <w:rPr>
          <w:noProof/>
        </w:rPr>
        <w:t>20</w:t>
      </w:r>
      <w:r>
        <w:fldChar w:fldCharType="end"/>
      </w:r>
      <w:r w:rsidRPr="00C6214F">
        <w:t xml:space="preserve">: </w:t>
      </w:r>
      <w:r w:rsidR="008937ED">
        <w:t xml:space="preserve">Study D8850C00002 (PROVENT trial) </w:t>
      </w:r>
      <w:r w:rsidRPr="00C6214F">
        <w:t>Fi</w:t>
      </w:r>
      <w:r w:rsidR="008937ED">
        <w:t xml:space="preserve">rst SARS-CoV-2 RT-PCR-positive symptomatic illness, primary </w:t>
      </w:r>
      <w:proofErr w:type="spellStart"/>
      <w:r w:rsidR="008937ED">
        <w:t>e</w:t>
      </w:r>
      <w:r w:rsidRPr="00C6214F">
        <w:t>stimand</w:t>
      </w:r>
      <w:proofErr w:type="spellEnd"/>
    </w:p>
    <w:p w14:paraId="3F9AFC5C" w14:textId="77777777" w:rsidR="00C6214F" w:rsidRPr="00C6214F" w:rsidRDefault="00C6214F" w:rsidP="00C6214F">
      <w:r w:rsidRPr="00C6214F">
        <w:rPr>
          <w:noProof/>
          <w:lang w:val="en-GB" w:eastAsia="en-GB"/>
        </w:rPr>
        <w:drawing>
          <wp:inline distT="0" distB="0" distL="0" distR="0" wp14:anchorId="7408CD61" wp14:editId="43CA49A9">
            <wp:extent cx="5334000" cy="1537086"/>
            <wp:effectExtent l="0" t="0" r="0" b="6350"/>
            <wp:docPr id="90" name="Picture 90" descr="Study D8850C00002 (PROVENT trial) First SARS-CoV-2 RT-PCR-positive symptomatic illness, primary esti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tudy D8850C00002 (PROVENT trial) First SARS-CoV-2 RT-PCR-positive symptomatic illness, primary estimand"/>
                    <pic:cNvPicPr/>
                  </pic:nvPicPr>
                  <pic:blipFill>
                    <a:blip r:embed="rId62"/>
                    <a:stretch>
                      <a:fillRect/>
                    </a:stretch>
                  </pic:blipFill>
                  <pic:spPr>
                    <a:xfrm>
                      <a:off x="0" y="0"/>
                      <a:ext cx="5355899" cy="1543397"/>
                    </a:xfrm>
                    <a:prstGeom prst="rect">
                      <a:avLst/>
                    </a:prstGeom>
                  </pic:spPr>
                </pic:pic>
              </a:graphicData>
            </a:graphic>
          </wp:inline>
        </w:drawing>
      </w:r>
    </w:p>
    <w:p w14:paraId="37D0370E" w14:textId="77777777" w:rsidR="006B04E9" w:rsidRDefault="006B04E9" w:rsidP="00E5043C">
      <w:pPr>
        <w:pStyle w:val="TableDescription"/>
      </w:pPr>
      <w:r>
        <w:t>CI = confidence interval; RRR = relative risk reduction</w:t>
      </w:r>
    </w:p>
    <w:p w14:paraId="49DCE190" w14:textId="3F8E38AB" w:rsidR="00C6214F" w:rsidRPr="00C6214F" w:rsidRDefault="00C6214F" w:rsidP="00C6214F">
      <w:r w:rsidRPr="00C6214F">
        <w:t xml:space="preserve">Subjects in </w:t>
      </w:r>
      <w:r w:rsidR="006B3D20">
        <w:t xml:space="preserve">the </w:t>
      </w:r>
      <w:proofErr w:type="spellStart"/>
      <w:r w:rsidR="008817F9">
        <w:t>Evusheld</w:t>
      </w:r>
      <w:proofErr w:type="spellEnd"/>
      <w:r w:rsidRPr="00C6214F">
        <w:t xml:space="preserve"> arm also achieved a </w:t>
      </w:r>
      <w:r w:rsidR="008817F9">
        <w:t xml:space="preserve">relative </w:t>
      </w:r>
      <w:r w:rsidR="006B3D20">
        <w:t>r</w:t>
      </w:r>
      <w:r w:rsidR="008817F9">
        <w:t>isk reduction</w:t>
      </w:r>
      <w:r w:rsidRPr="00C6214F">
        <w:t xml:space="preserve"> of around 77 and 75 for having a RT-PCR positive symptomatic illness, irrespective of unblinding and COVID-19 vaccination and death respectively.</w:t>
      </w:r>
    </w:p>
    <w:p w14:paraId="39C6241C" w14:textId="76DA82ED" w:rsidR="00C6214F" w:rsidRPr="00C6214F" w:rsidRDefault="00C6214F" w:rsidP="00840192">
      <w:pPr>
        <w:pStyle w:val="TableTitle"/>
      </w:pPr>
      <w:r w:rsidRPr="00C6214F">
        <w:lastRenderedPageBreak/>
        <w:t xml:space="preserve">Table </w:t>
      </w:r>
      <w:r>
        <w:fldChar w:fldCharType="begin"/>
      </w:r>
      <w:r>
        <w:instrText>SEQ Table \* ARABIC</w:instrText>
      </w:r>
      <w:r>
        <w:fldChar w:fldCharType="separate"/>
      </w:r>
      <w:r w:rsidR="004D0A2C">
        <w:rPr>
          <w:noProof/>
        </w:rPr>
        <w:t>21</w:t>
      </w:r>
      <w:r>
        <w:fldChar w:fldCharType="end"/>
      </w:r>
      <w:r w:rsidRPr="00C6214F">
        <w:t xml:space="preserve">: </w:t>
      </w:r>
      <w:r w:rsidR="00840192">
        <w:t xml:space="preserve">Study D8850C00002 (PROVENT trial) </w:t>
      </w:r>
      <w:r w:rsidRPr="00C6214F">
        <w:t xml:space="preserve">Key supportive </w:t>
      </w:r>
      <w:proofErr w:type="spellStart"/>
      <w:r w:rsidRPr="00C6214F">
        <w:t>estimands</w:t>
      </w:r>
      <w:proofErr w:type="spellEnd"/>
    </w:p>
    <w:p w14:paraId="01641500" w14:textId="77777777" w:rsidR="00C6214F" w:rsidRDefault="00C6214F" w:rsidP="00C6214F">
      <w:r w:rsidRPr="00C6214F">
        <w:rPr>
          <w:noProof/>
          <w:lang w:val="en-GB" w:eastAsia="en-GB"/>
        </w:rPr>
        <w:drawing>
          <wp:inline distT="0" distB="0" distL="0" distR="0" wp14:anchorId="159FD2DB" wp14:editId="2A6064B9">
            <wp:extent cx="5351929" cy="2555004"/>
            <wp:effectExtent l="0" t="0" r="1270" b="0"/>
            <wp:docPr id="91" name="Picture 91" descr="Study D8850C00002 (PROVENT trial) Key supportive esti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tudy D8850C00002 (PROVENT trial) Key supportive estimands"/>
                    <pic:cNvPicPr/>
                  </pic:nvPicPr>
                  <pic:blipFill>
                    <a:blip r:embed="rId63"/>
                    <a:stretch>
                      <a:fillRect/>
                    </a:stretch>
                  </pic:blipFill>
                  <pic:spPr>
                    <a:xfrm>
                      <a:off x="0" y="0"/>
                      <a:ext cx="5363611" cy="2560581"/>
                    </a:xfrm>
                    <a:prstGeom prst="rect">
                      <a:avLst/>
                    </a:prstGeom>
                  </pic:spPr>
                </pic:pic>
              </a:graphicData>
            </a:graphic>
          </wp:inline>
        </w:drawing>
      </w:r>
    </w:p>
    <w:p w14:paraId="778657C5" w14:textId="77777777" w:rsidR="00E5043C" w:rsidRPr="00C6214F" w:rsidRDefault="00E5043C" w:rsidP="00E5043C">
      <w:pPr>
        <w:pStyle w:val="TableDescription"/>
      </w:pPr>
      <w:r>
        <w:t>CI = confidence interval; RRR = relative risk reduction</w:t>
      </w:r>
    </w:p>
    <w:p w14:paraId="77E2184D" w14:textId="63DB4DA6" w:rsidR="00C6214F" w:rsidRPr="00C6214F" w:rsidRDefault="00C6214F" w:rsidP="00840192">
      <w:pPr>
        <w:pStyle w:val="TableTitle"/>
      </w:pPr>
      <w:r w:rsidRPr="00C6214F">
        <w:t xml:space="preserve">Table </w:t>
      </w:r>
      <w:r>
        <w:fldChar w:fldCharType="begin"/>
      </w:r>
      <w:r>
        <w:instrText>SEQ Table \* ARABIC</w:instrText>
      </w:r>
      <w:r>
        <w:fldChar w:fldCharType="separate"/>
      </w:r>
      <w:r w:rsidR="004D0A2C">
        <w:rPr>
          <w:noProof/>
        </w:rPr>
        <w:t>22</w:t>
      </w:r>
      <w:r>
        <w:fldChar w:fldCharType="end"/>
      </w:r>
      <w:r w:rsidRPr="00C6214F">
        <w:t xml:space="preserve">: </w:t>
      </w:r>
      <w:r w:rsidR="00840192">
        <w:t xml:space="preserve">Study D8850C00002 (PROVENT trial) </w:t>
      </w:r>
      <w:r w:rsidR="00840192" w:rsidRPr="00C6214F">
        <w:t xml:space="preserve">forest plot for efficacy for incidence of first </w:t>
      </w:r>
      <w:r w:rsidRPr="00C6214F">
        <w:t xml:space="preserve">SARS-CoV-2 RT-PCR positive </w:t>
      </w:r>
      <w:r w:rsidR="00840192" w:rsidRPr="00C6214F">
        <w:t>symptomatic illness</w:t>
      </w:r>
    </w:p>
    <w:p w14:paraId="37CB3164" w14:textId="77777777" w:rsidR="00C6214F" w:rsidRPr="00C6214F" w:rsidRDefault="00C6214F" w:rsidP="00C6214F">
      <w:r w:rsidRPr="00C6214F">
        <w:rPr>
          <w:noProof/>
          <w:lang w:val="en-GB" w:eastAsia="en-GB"/>
        </w:rPr>
        <w:drawing>
          <wp:inline distT="0" distB="0" distL="0" distR="0" wp14:anchorId="63B8B3FB" wp14:editId="064C5523">
            <wp:extent cx="5355401" cy="3005593"/>
            <wp:effectExtent l="0" t="0" r="0" b="4445"/>
            <wp:docPr id="92" name="Picture 92" descr="Study D8850C00002 (PROVENT trial) forest plot for efficacy for incidence of first SARS-CoV-2 RT-PCR positive symptomatic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tudy D8850C00002 (PROVENT trial) forest plot for efficacy for incidence of first SARS-CoV-2 RT-PCR positive symptomatic illness"/>
                    <pic:cNvPicPr/>
                  </pic:nvPicPr>
                  <pic:blipFill rotWithShape="1">
                    <a:blip r:embed="rId64"/>
                    <a:srcRect l="5511" b="3324"/>
                    <a:stretch/>
                  </pic:blipFill>
                  <pic:spPr bwMode="auto">
                    <a:xfrm>
                      <a:off x="0" y="0"/>
                      <a:ext cx="5412508" cy="3037643"/>
                    </a:xfrm>
                    <a:prstGeom prst="rect">
                      <a:avLst/>
                    </a:prstGeom>
                    <a:ln>
                      <a:noFill/>
                    </a:ln>
                    <a:extLst>
                      <a:ext uri="{53640926-AAD7-44D8-BBD7-CCE9431645EC}">
                        <a14:shadowObscured xmlns:a14="http://schemas.microsoft.com/office/drawing/2010/main"/>
                      </a:ext>
                    </a:extLst>
                  </pic:spPr>
                </pic:pic>
              </a:graphicData>
            </a:graphic>
          </wp:inline>
        </w:drawing>
      </w:r>
    </w:p>
    <w:p w14:paraId="0932A711" w14:textId="77777777" w:rsidR="00C6214F" w:rsidRPr="00C6214F" w:rsidRDefault="00840192" w:rsidP="00445B65">
      <w:pPr>
        <w:pStyle w:val="Heading5"/>
      </w:pPr>
      <w:r>
        <w:t xml:space="preserve">Study </w:t>
      </w:r>
      <w:r w:rsidRPr="00C6214F">
        <w:t>D8550C00003</w:t>
      </w:r>
      <w:r>
        <w:t xml:space="preserve"> (</w:t>
      </w:r>
      <w:r w:rsidR="00C6214F" w:rsidRPr="00C6214F">
        <w:t xml:space="preserve">STORM CHASER </w:t>
      </w:r>
      <w:r>
        <w:t>trial)</w:t>
      </w:r>
    </w:p>
    <w:p w14:paraId="773FF391" w14:textId="065D254F" w:rsidR="00C6214F" w:rsidRPr="00445B65" w:rsidRDefault="00445B65" w:rsidP="00445B65">
      <w:r w:rsidRPr="00445B65">
        <w:t xml:space="preserve">A </w:t>
      </w:r>
      <w:r w:rsidR="00C6214F" w:rsidRPr="00445B65">
        <w:t>Phase III double</w:t>
      </w:r>
      <w:r w:rsidR="00E514BB">
        <w:t xml:space="preserve"> </w:t>
      </w:r>
      <w:r w:rsidR="00C6214F" w:rsidRPr="00445B65">
        <w:t xml:space="preserve">blind, </w:t>
      </w:r>
      <w:proofErr w:type="gramStart"/>
      <w:r w:rsidR="00C6214F" w:rsidRPr="00445B65">
        <w:t>placebo</w:t>
      </w:r>
      <w:r w:rsidR="00E514BB">
        <w:t xml:space="preserve"> </w:t>
      </w:r>
      <w:r w:rsidR="00C6214F" w:rsidRPr="00445B65">
        <w:t>controlled</w:t>
      </w:r>
      <w:proofErr w:type="gramEnd"/>
      <w:r w:rsidR="00C6214F" w:rsidRPr="00445B65">
        <w:t xml:space="preserve"> study of </w:t>
      </w:r>
      <w:proofErr w:type="spellStart"/>
      <w:r w:rsidR="008817F9" w:rsidRPr="00445B65">
        <w:t>Evusheld</w:t>
      </w:r>
      <w:proofErr w:type="spellEnd"/>
      <w:r w:rsidR="00C6214F" w:rsidRPr="00445B65">
        <w:t xml:space="preserve"> for post-exposure prophylaxis of COVID-19 in adults.</w:t>
      </w:r>
    </w:p>
    <w:p w14:paraId="6B6FEAF3" w14:textId="5EDDC979" w:rsidR="00C6214F" w:rsidRPr="00C6214F" w:rsidRDefault="00C6214F" w:rsidP="00C6214F">
      <w:r w:rsidRPr="00C6214F">
        <w:t xml:space="preserve">At the time of conducting the primary analysis, enrolment was complete (last participant </w:t>
      </w:r>
      <w:proofErr w:type="gramStart"/>
      <w:r w:rsidRPr="00C6214F">
        <w:t>in</w:t>
      </w:r>
      <w:proofErr w:type="gramEnd"/>
      <w:r w:rsidRPr="00C6214F">
        <w:t xml:space="preserve"> 19 March 2021), and 53 sites in the US</w:t>
      </w:r>
      <w:r w:rsidR="00445B65">
        <w:t>A</w:t>
      </w:r>
      <w:r w:rsidRPr="00C6214F">
        <w:t xml:space="preserve"> an</w:t>
      </w:r>
      <w:r w:rsidR="00445B65">
        <w:t>d 6 sites in the UK had randomised 1131 </w:t>
      </w:r>
      <w:r w:rsidRPr="00C6214F">
        <w:t xml:space="preserve">participants, of which 1121 received </w:t>
      </w:r>
      <w:proofErr w:type="spellStart"/>
      <w:r w:rsidR="00445B65">
        <w:t>Evusheld</w:t>
      </w:r>
      <w:proofErr w:type="spellEnd"/>
      <w:r w:rsidR="00445B65">
        <w:t xml:space="preserve"> or placebo</w:t>
      </w:r>
      <w:r w:rsidRPr="00C6214F">
        <w:t>.</w:t>
      </w:r>
    </w:p>
    <w:p w14:paraId="3F954E0F" w14:textId="62528270" w:rsidR="00445B65" w:rsidRPr="00C6214F" w:rsidRDefault="00C6214F" w:rsidP="00445B65">
      <w:pPr>
        <w:pStyle w:val="FigureTitle"/>
      </w:pPr>
      <w:r w:rsidRPr="00C6214F">
        <w:lastRenderedPageBreak/>
        <w:t xml:space="preserve">Figure </w:t>
      </w:r>
      <w:r>
        <w:fldChar w:fldCharType="begin"/>
      </w:r>
      <w:r>
        <w:instrText>SEQ Figure \* ARABIC</w:instrText>
      </w:r>
      <w:r>
        <w:fldChar w:fldCharType="separate"/>
      </w:r>
      <w:r w:rsidR="004D0A2C">
        <w:rPr>
          <w:noProof/>
        </w:rPr>
        <w:t>18</w:t>
      </w:r>
      <w:r>
        <w:fldChar w:fldCharType="end"/>
      </w:r>
      <w:r w:rsidR="00445B65">
        <w:t xml:space="preserve">: Study </w:t>
      </w:r>
      <w:r w:rsidR="00445B65" w:rsidRPr="00C6214F">
        <w:t>D8550C00003</w:t>
      </w:r>
      <w:r w:rsidR="00445B65">
        <w:t xml:space="preserve"> (</w:t>
      </w:r>
      <w:r w:rsidR="00445B65" w:rsidRPr="00C6214F">
        <w:t xml:space="preserve">STORM CHASER </w:t>
      </w:r>
      <w:r w:rsidR="00445B65">
        <w:t>trial) Study schematic</w:t>
      </w:r>
    </w:p>
    <w:p w14:paraId="5DE070EF" w14:textId="671F3F3E" w:rsidR="00C6214F" w:rsidRDefault="00C6214F" w:rsidP="00C6214F">
      <w:r w:rsidRPr="00C6214F">
        <w:rPr>
          <w:noProof/>
          <w:lang w:val="en-GB" w:eastAsia="en-GB"/>
        </w:rPr>
        <w:drawing>
          <wp:inline distT="0" distB="0" distL="0" distR="0" wp14:anchorId="33576E64" wp14:editId="500449B1">
            <wp:extent cx="5247005" cy="1695450"/>
            <wp:effectExtent l="0" t="0" r="0" b="0"/>
            <wp:docPr id="41" name="Picture 41" descr="Study D8550C00003 (STORM CHASER trial) Study schematic.&#10;&#10;A total of 1131 participants were randomised, of which 1121 participants received Evusheld or placebo in ratio of 2: 1 respectively. Primary analysis to be conducted 30 days after the 25th event is ob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tudy D8550C00003 (STORM CHASER trial) Study schematic.&#10;&#10;A total of 1131 participants were randomised, of which 1121 participants received Evusheld or placebo in ratio of 2: 1 respectively. Primary analysis to be conducted 30 days after the 25th event is observed."/>
                    <pic:cNvPicPr>
                      <a:picLocks noChangeAspect="1" noChangeArrowheads="1"/>
                    </pic:cNvPicPr>
                  </pic:nvPicPr>
                  <pic:blipFill rotWithShape="1">
                    <a:blip r:embed="rId65">
                      <a:extLst>
                        <a:ext uri="{28A0092B-C50C-407E-A947-70E740481C1C}">
                          <a14:useLocalDpi xmlns:a14="http://schemas.microsoft.com/office/drawing/2010/main" val="0"/>
                        </a:ext>
                      </a:extLst>
                    </a:blip>
                    <a:srcRect l="8446" b="14389"/>
                    <a:stretch/>
                  </pic:blipFill>
                  <pic:spPr bwMode="auto">
                    <a:xfrm>
                      <a:off x="0" y="0"/>
                      <a:ext cx="5247416" cy="1695583"/>
                    </a:xfrm>
                    <a:prstGeom prst="rect">
                      <a:avLst/>
                    </a:prstGeom>
                    <a:noFill/>
                    <a:ln>
                      <a:noFill/>
                    </a:ln>
                    <a:extLst>
                      <a:ext uri="{53640926-AAD7-44D8-BBD7-CCE9431645EC}">
                        <a14:shadowObscured xmlns:a14="http://schemas.microsoft.com/office/drawing/2010/main"/>
                      </a:ext>
                    </a:extLst>
                  </pic:spPr>
                </pic:pic>
              </a:graphicData>
            </a:graphic>
          </wp:inline>
        </w:drawing>
      </w:r>
    </w:p>
    <w:p w14:paraId="34CA25DC" w14:textId="6E1D3DDA" w:rsidR="00A44691" w:rsidRPr="00C6214F" w:rsidRDefault="00A44691" w:rsidP="00A44691">
      <w:pPr>
        <w:pStyle w:val="TableDescription"/>
      </w:pPr>
      <w:r>
        <w:t>Primary analysis to be conducted 30 days after 25</w:t>
      </w:r>
      <w:r w:rsidRPr="00A44691">
        <w:rPr>
          <w:vertAlign w:val="superscript"/>
        </w:rPr>
        <w:t>th</w:t>
      </w:r>
      <w:r>
        <w:t xml:space="preserve"> event is observed.</w:t>
      </w:r>
    </w:p>
    <w:p w14:paraId="065978B7" w14:textId="6B90D855" w:rsidR="00C6214F" w:rsidRPr="00C6214F" w:rsidRDefault="00C6214F" w:rsidP="00C6214F">
      <w:r w:rsidRPr="00C6214F">
        <w:t>1131 participants were random</w:t>
      </w:r>
      <w:r w:rsidR="004D0A2C">
        <w:t>is</w:t>
      </w:r>
      <w:r w:rsidRPr="00C6214F">
        <w:t xml:space="preserve">ed 2:1 to receive a single dose of either 300 mg of </w:t>
      </w:r>
      <w:proofErr w:type="spellStart"/>
      <w:r w:rsidR="008817F9">
        <w:t>Evusheld</w:t>
      </w:r>
      <w:proofErr w:type="spellEnd"/>
      <w:r w:rsidR="00E5043C">
        <w:t xml:space="preserve"> (n = </w:t>
      </w:r>
      <w:r w:rsidRPr="00C6214F">
        <w:t>756) or saline placebo (n = 375) on Day 1, w</w:t>
      </w:r>
      <w:r w:rsidR="00445B65">
        <w:t>ith planned follow-up until Day </w:t>
      </w:r>
      <w:r w:rsidRPr="00C6214F">
        <w:t>457. Doses were administered as 2 sequential IM injectio</w:t>
      </w:r>
      <w:r w:rsidR="00E5043C">
        <w:t>ns containing 150 mg of each monoclonal antibody</w:t>
      </w:r>
      <w:r w:rsidRPr="00C6214F">
        <w:t>, or saline placebo.</w:t>
      </w:r>
    </w:p>
    <w:p w14:paraId="3178A992" w14:textId="77777777" w:rsidR="00C6214F" w:rsidRPr="00C6214F" w:rsidRDefault="00C6214F" w:rsidP="00C6214F">
      <w:r w:rsidRPr="00C6214F">
        <w:t>If subjects developed COVID-19 qualifying symptoms after dosing</w:t>
      </w:r>
      <w:r w:rsidR="00E5043C">
        <w:t>, swabs were collected for SARS</w:t>
      </w:r>
      <w:r w:rsidR="00E5043C">
        <w:noBreakHyphen/>
      </w:r>
      <w:r w:rsidRPr="00C6214F">
        <w:t>CoV-2 PCR testing.</w:t>
      </w:r>
    </w:p>
    <w:p w14:paraId="7D0E1C81" w14:textId="77777777" w:rsidR="00C6214F" w:rsidRDefault="00C6214F" w:rsidP="00C6214F">
      <w:r w:rsidRPr="00C6214F">
        <w:t>The pre-specified primary analysis (</w:t>
      </w:r>
      <w:r w:rsidR="008817F9">
        <w:t>data cut-off date</w:t>
      </w:r>
      <w:r w:rsidR="00445B65">
        <w:t xml:space="preserve"> </w:t>
      </w:r>
      <w:r w:rsidRPr="00C6214F">
        <w:t>7 Apr</w:t>
      </w:r>
      <w:r w:rsidR="00445B65">
        <w:t>il</w:t>
      </w:r>
      <w:r w:rsidRPr="00C6214F">
        <w:t xml:space="preserve"> 2021) wa</w:t>
      </w:r>
      <w:r w:rsidR="00445B65">
        <w:t>s conducted 30 days after the 25th</w:t>
      </w:r>
      <w:r w:rsidRPr="00C6214F">
        <w:t xml:space="preserve"> primary endpoint event had accrued (reduced from 50 events with Amendment 5, in view of decreasing attack rates). </w:t>
      </w:r>
      <w:r w:rsidRPr="00C6214F">
        <w:rPr>
          <w:i/>
          <w:iCs/>
        </w:rPr>
        <w:t>Post-hoc</w:t>
      </w:r>
      <w:r w:rsidRPr="00C6214F">
        <w:t xml:space="preserve"> efficacy data at the 6-month </w:t>
      </w:r>
      <w:r w:rsidR="008817F9">
        <w:t>data cut-off date</w:t>
      </w:r>
      <w:r w:rsidRPr="00C6214F">
        <w:t xml:space="preserve"> </w:t>
      </w:r>
      <w:proofErr w:type="gramStart"/>
      <w:r w:rsidRPr="00C6214F">
        <w:t>are</w:t>
      </w:r>
      <w:proofErr w:type="gramEnd"/>
      <w:r w:rsidRPr="00C6214F">
        <w:t xml:space="preserve"> also available (</w:t>
      </w:r>
      <w:r w:rsidR="008817F9">
        <w:t>data cut-off date</w:t>
      </w:r>
      <w:r w:rsidRPr="00C6214F">
        <w:t xml:space="preserve"> 19 Aug</w:t>
      </w:r>
      <w:r w:rsidR="00445B65">
        <w:t>ust</w:t>
      </w:r>
      <w:r w:rsidRPr="00C6214F">
        <w:t xml:space="preserve"> 2021).</w:t>
      </w:r>
    </w:p>
    <w:p w14:paraId="2168723B" w14:textId="77777777" w:rsidR="00445B65" w:rsidRPr="00C6214F" w:rsidRDefault="00445B65" w:rsidP="00445B65">
      <w:pPr>
        <w:pStyle w:val="Heading6"/>
      </w:pPr>
      <w:r>
        <w:t>Inclusion and exclusion criteria</w:t>
      </w:r>
    </w:p>
    <w:p w14:paraId="3EF31488" w14:textId="77777777" w:rsidR="00C6214F" w:rsidRPr="00445B65" w:rsidRDefault="00C6214F" w:rsidP="00445B65">
      <w:r w:rsidRPr="00445B65">
        <w:t>Key inclusion criteria</w:t>
      </w:r>
      <w:r w:rsidR="00445B65" w:rsidRPr="00445B65">
        <w:t xml:space="preserve"> were:</w:t>
      </w:r>
    </w:p>
    <w:p w14:paraId="0E6769BF" w14:textId="77777777" w:rsidR="00C6214F" w:rsidRPr="00C6214F" w:rsidRDefault="00C6214F" w:rsidP="00445B65">
      <w:pPr>
        <w:pStyle w:val="ListBullet"/>
      </w:pPr>
      <w:r w:rsidRPr="00C6214F">
        <w:t xml:space="preserve">Adults with </w:t>
      </w:r>
      <w:r w:rsidRPr="00E5043C">
        <w:t>potential exposure, within 8 days,</w:t>
      </w:r>
      <w:r w:rsidRPr="00C6214F">
        <w:t xml:space="preserve"> to a specific identified individual with laboratory-confirmed SARS-CoV-2 infection, symptomatic or asymptomatic, who are therefore at appreciable risk of imminently developing COVID-19, based on available risk assessment at time of enrolment, within any of the following settings:</w:t>
      </w:r>
    </w:p>
    <w:p w14:paraId="30506AAD" w14:textId="77777777" w:rsidR="00C6214F" w:rsidRPr="00C6214F" w:rsidRDefault="00C6214F" w:rsidP="00445B65">
      <w:pPr>
        <w:pStyle w:val="ListBullet2"/>
      </w:pPr>
      <w:r w:rsidRPr="00C6214F">
        <w:t>long-term care facilities (incl. nursing homes, assisted living homes, independent living residences for the elderly)</w:t>
      </w:r>
    </w:p>
    <w:p w14:paraId="181941B9" w14:textId="77777777" w:rsidR="00C6214F" w:rsidRPr="00C6214F" w:rsidRDefault="00C6214F" w:rsidP="00445B65">
      <w:pPr>
        <w:pStyle w:val="ListBullet2"/>
      </w:pPr>
      <w:r w:rsidRPr="00C6214F">
        <w:t>industrial settings at high risk for SARS-CoV-2 transmission (incl. meatpacking plants)</w:t>
      </w:r>
    </w:p>
    <w:p w14:paraId="1BFB05A4" w14:textId="77777777" w:rsidR="00C6214F" w:rsidRPr="00C6214F" w:rsidRDefault="00C6214F" w:rsidP="00445B65">
      <w:pPr>
        <w:pStyle w:val="ListBullet2"/>
      </w:pPr>
      <w:r w:rsidRPr="00C6214F">
        <w:t>military settings</w:t>
      </w:r>
    </w:p>
    <w:p w14:paraId="0814173C" w14:textId="77777777" w:rsidR="00C6214F" w:rsidRPr="00C6214F" w:rsidRDefault="00C6214F" w:rsidP="00445B65">
      <w:pPr>
        <w:pStyle w:val="ListBullet2"/>
      </w:pPr>
      <w:r w:rsidRPr="00C6214F">
        <w:t>health care facilities (staff)</w:t>
      </w:r>
    </w:p>
    <w:p w14:paraId="05CC042F" w14:textId="77777777" w:rsidR="00C6214F" w:rsidRPr="00C6214F" w:rsidRDefault="00C6214F" w:rsidP="00445B65">
      <w:pPr>
        <w:pStyle w:val="ListBullet2"/>
      </w:pPr>
      <w:r w:rsidRPr="00C6214F">
        <w:t>university/college dormitories</w:t>
      </w:r>
    </w:p>
    <w:p w14:paraId="7EC93911" w14:textId="77777777" w:rsidR="00C6214F" w:rsidRPr="00C6214F" w:rsidRDefault="00C6214F" w:rsidP="00445B65">
      <w:pPr>
        <w:pStyle w:val="ListBullet2"/>
      </w:pPr>
      <w:r w:rsidRPr="00C6214F">
        <w:t>household contacts</w:t>
      </w:r>
    </w:p>
    <w:p w14:paraId="089F31A6" w14:textId="77777777" w:rsidR="00C6214F" w:rsidRPr="00C6214F" w:rsidRDefault="00C6214F" w:rsidP="00445B65">
      <w:pPr>
        <w:pStyle w:val="ListBullet2"/>
      </w:pPr>
      <w:r w:rsidRPr="00C6214F">
        <w:t>other settings of similar close or high-density inter-personal proximity</w:t>
      </w:r>
    </w:p>
    <w:p w14:paraId="5E405324" w14:textId="77777777" w:rsidR="00C6214F" w:rsidRPr="00445B65" w:rsidRDefault="00C6214F" w:rsidP="00445B65">
      <w:pPr>
        <w:pStyle w:val="ListBullet"/>
      </w:pPr>
      <w:r w:rsidRPr="00445B65">
        <w:t>asymptomatic to COVID-19 within 10 days prior to dosing</w:t>
      </w:r>
    </w:p>
    <w:p w14:paraId="64C281DD" w14:textId="77777777" w:rsidR="00C6214F" w:rsidRPr="00445B65" w:rsidRDefault="00C6214F" w:rsidP="00445B65">
      <w:pPr>
        <w:pStyle w:val="ListBullet"/>
      </w:pPr>
      <w:r w:rsidRPr="00445B65">
        <w:t xml:space="preserve">negative SARS-CoV-2 serology at screening </w:t>
      </w:r>
    </w:p>
    <w:p w14:paraId="14FCE9CF" w14:textId="77777777" w:rsidR="00C6214F" w:rsidRPr="00445B65" w:rsidRDefault="00445B65" w:rsidP="00445B65">
      <w:r>
        <w:t>The study i</w:t>
      </w:r>
      <w:r w:rsidR="00C6214F" w:rsidRPr="00445B65">
        <w:t xml:space="preserve">ncluded subjects could be SARS-CoV-2 PCR positive or negative </w:t>
      </w:r>
      <w:r w:rsidR="00790070" w:rsidRPr="00445B65">
        <w:t>at Baseline</w:t>
      </w:r>
      <w:r w:rsidR="00C6214F" w:rsidRPr="00445B65">
        <w:t>.</w:t>
      </w:r>
    </w:p>
    <w:p w14:paraId="45A25A9A" w14:textId="77777777" w:rsidR="00C6214F" w:rsidRPr="00445B65" w:rsidRDefault="00C6214F" w:rsidP="00445B65">
      <w:r w:rsidRPr="00445B65">
        <w:t>Key exclusion criteria</w:t>
      </w:r>
      <w:r w:rsidR="00445B65">
        <w:t>:</w:t>
      </w:r>
    </w:p>
    <w:p w14:paraId="007AACD3" w14:textId="77777777" w:rsidR="00C6214F" w:rsidRPr="00C6214F" w:rsidRDefault="00C6214F" w:rsidP="00445B65">
      <w:pPr>
        <w:pStyle w:val="ListBullet"/>
      </w:pPr>
      <w:r w:rsidRPr="00C6214F">
        <w:t>History of laboratory-confirmed SARS-CoV-2 infection at screening</w:t>
      </w:r>
    </w:p>
    <w:p w14:paraId="7D44DD2F" w14:textId="77777777" w:rsidR="00C6214F" w:rsidRPr="00C6214F" w:rsidRDefault="00C6214F" w:rsidP="00445B65">
      <w:pPr>
        <w:pStyle w:val="ListBullet"/>
      </w:pPr>
      <w:r w:rsidRPr="00C6214F">
        <w:t xml:space="preserve">Prior receipt of COVID-19 vaccine or other </w:t>
      </w:r>
      <w:proofErr w:type="spellStart"/>
      <w:r w:rsidRPr="00C6214F">
        <w:t>mAb</w:t>
      </w:r>
      <w:proofErr w:type="spellEnd"/>
      <w:r w:rsidRPr="00C6214F">
        <w:t xml:space="preserve">/biologic indicated for its prevention </w:t>
      </w:r>
      <w:r w:rsidRPr="00E60969">
        <w:t>or</w:t>
      </w:r>
      <w:r w:rsidRPr="00C6214F">
        <w:rPr>
          <w:b/>
          <w:bCs/>
        </w:rPr>
        <w:t xml:space="preserve"> </w:t>
      </w:r>
      <w:r w:rsidRPr="00C6214F">
        <w:t xml:space="preserve">expected receipt during the period of study (participants could request unblinding </w:t>
      </w:r>
      <w:r w:rsidRPr="00C6214F">
        <w:lastRenderedPageBreak/>
        <w:t xml:space="preserve">to receive a COVID-19 vaccine when these became locally </w:t>
      </w:r>
      <w:proofErr w:type="gramStart"/>
      <w:r w:rsidRPr="00C6214F">
        <w:t>availa</w:t>
      </w:r>
      <w:r w:rsidR="00445B65">
        <w:t>ble, but</w:t>
      </w:r>
      <w:proofErr w:type="gramEnd"/>
      <w:r w:rsidR="00445B65">
        <w:t xml:space="preserve"> were advised to wait 6 to </w:t>
      </w:r>
      <w:r w:rsidRPr="00C6214F">
        <w:t xml:space="preserve">9 months post dose of </w:t>
      </w:r>
      <w:proofErr w:type="spellStart"/>
      <w:r w:rsidR="008817F9">
        <w:t>Evusheld</w:t>
      </w:r>
      <w:proofErr w:type="spellEnd"/>
      <w:r w:rsidRPr="00C6214F">
        <w:t xml:space="preserve"> </w:t>
      </w:r>
      <w:r w:rsidR="00D506B7">
        <w:t>(</w:t>
      </w:r>
      <w:r w:rsidR="00445B65">
        <w:t xml:space="preserve">2 to </w:t>
      </w:r>
      <w:r w:rsidRPr="00C6214F">
        <w:t>3 elimination half-lives</w:t>
      </w:r>
      <w:r w:rsidR="00D506B7">
        <w:t>)</w:t>
      </w:r>
      <w:r w:rsidRPr="00C6214F">
        <w:t>. Such patients were still included in primary endpoint analysis.)</w:t>
      </w:r>
    </w:p>
    <w:p w14:paraId="55E65FAA" w14:textId="77777777" w:rsidR="00C6214F" w:rsidRPr="00C6214F" w:rsidRDefault="00C6214F" w:rsidP="00C6214F">
      <w:r w:rsidRPr="00C6214F">
        <w:t>Participants were stratified into two cohorts:</w:t>
      </w:r>
    </w:p>
    <w:p w14:paraId="01F0F16D" w14:textId="15117E69" w:rsidR="00C6214F" w:rsidRPr="00C6214F" w:rsidRDefault="00C6214F" w:rsidP="00445B65">
      <w:pPr>
        <w:pStyle w:val="ListBullet"/>
      </w:pPr>
      <w:r w:rsidRPr="00C6214F">
        <w:t>Cohort 1: (n</w:t>
      </w:r>
      <w:r w:rsidR="00E60969">
        <w:t xml:space="preserve"> </w:t>
      </w:r>
      <w:r w:rsidRPr="00C6214F">
        <w:t>=</w:t>
      </w:r>
      <w:r w:rsidR="00E60969">
        <w:t xml:space="preserve"> </w:t>
      </w:r>
      <w:r w:rsidRPr="00C6214F">
        <w:t>7) Adults ≥ 60 years old living in long-term care facilities (with potential exposure defined as SARS-CoV-2 infection in another resident of the facility or a staff member)</w:t>
      </w:r>
    </w:p>
    <w:p w14:paraId="136A8EF5" w14:textId="77777777" w:rsidR="00C6214F" w:rsidRPr="00C6214F" w:rsidRDefault="00C6214F" w:rsidP="00445B65">
      <w:pPr>
        <w:pStyle w:val="ListBullet"/>
      </w:pPr>
      <w:r w:rsidRPr="00C6214F">
        <w:t>Cohort 2: (n = 1114) other adults ≥ 18 years old with potential exposure to a specific individual with SARS-CoV-2 infection.</w:t>
      </w:r>
    </w:p>
    <w:p w14:paraId="79FB14DC" w14:textId="77777777" w:rsidR="00C6214F" w:rsidRPr="00C6214F" w:rsidRDefault="00C6214F" w:rsidP="00C6214F">
      <w:r w:rsidRPr="00C6214F">
        <w:t>The planned proportion of subjects recruited into Cohort 1 was reduced due to priority vaccination of elderly populations in the UK and US</w:t>
      </w:r>
      <w:r w:rsidR="00445B65">
        <w:t>A</w:t>
      </w:r>
      <w:r w:rsidRPr="00C6214F">
        <w:t>.</w:t>
      </w:r>
    </w:p>
    <w:p w14:paraId="305C342F" w14:textId="77777777" w:rsidR="00445B65" w:rsidRDefault="00445B65" w:rsidP="00445B65">
      <w:pPr>
        <w:pStyle w:val="Heading6"/>
      </w:pPr>
      <w:r>
        <w:t>Primary endpoint</w:t>
      </w:r>
    </w:p>
    <w:p w14:paraId="5C4AB714" w14:textId="77777777" w:rsidR="00C6214F" w:rsidRPr="00C6214F" w:rsidRDefault="00C6214F" w:rsidP="00C6214F">
      <w:r w:rsidRPr="00445B65">
        <w:rPr>
          <w:bCs/>
          <w:i/>
        </w:rPr>
        <w:t>Primary endpoint</w:t>
      </w:r>
      <w:r w:rsidRPr="00C6214F">
        <w:t xml:space="preserve">: First case of SARS-CoV-2 RT-PCR-positive symptomatic illness occurring post-dose of </w:t>
      </w:r>
      <w:proofErr w:type="spellStart"/>
      <w:r w:rsidR="00445B65">
        <w:t>Evusheld</w:t>
      </w:r>
      <w:proofErr w:type="spellEnd"/>
      <w:r w:rsidR="00445B65">
        <w:t xml:space="preserve"> or placebo</w:t>
      </w:r>
      <w:r w:rsidRPr="00C6214F">
        <w:t xml:space="preserve"> and prior to Day 183.</w:t>
      </w:r>
    </w:p>
    <w:p w14:paraId="395E6976" w14:textId="22B511F2" w:rsidR="00C6214F" w:rsidRDefault="00C6214F" w:rsidP="00C6214F">
      <w:r w:rsidRPr="00C6214F">
        <w:t>Efficacy will be calculated as 1</w:t>
      </w:r>
      <w:r w:rsidR="00E60969">
        <w:t xml:space="preserve"> </w:t>
      </w:r>
      <w:r w:rsidRPr="00C6214F">
        <w:t>-</w:t>
      </w:r>
      <w:r w:rsidR="00E60969">
        <w:t xml:space="preserve"> </w:t>
      </w:r>
      <w:r w:rsidRPr="00C6214F">
        <w:t xml:space="preserve">relative risk, which is the incidence of infection in the </w:t>
      </w:r>
      <w:proofErr w:type="spellStart"/>
      <w:r w:rsidR="008817F9">
        <w:t>Evusheld</w:t>
      </w:r>
      <w:proofErr w:type="spellEnd"/>
      <w:r w:rsidRPr="00C6214F">
        <w:t xml:space="preserve"> group relative to the incidence of infection in the con</w:t>
      </w:r>
      <w:r w:rsidR="00445B65">
        <w:t>trol group (full analysis set).</w:t>
      </w:r>
    </w:p>
    <w:p w14:paraId="76009C9F" w14:textId="77777777" w:rsidR="00445B65" w:rsidRPr="00C6214F" w:rsidRDefault="00445B65" w:rsidP="00445B65">
      <w:pPr>
        <w:pStyle w:val="Heading6"/>
      </w:pPr>
      <w:r>
        <w:t>Secondary endpoints</w:t>
      </w:r>
    </w:p>
    <w:p w14:paraId="108567EA" w14:textId="77777777" w:rsidR="00C6214F" w:rsidRPr="00C6214F" w:rsidRDefault="00DD0D2C" w:rsidP="00C6214F">
      <w:r>
        <w:rPr>
          <w:bCs/>
        </w:rPr>
        <w:t>The k</w:t>
      </w:r>
      <w:r w:rsidR="00C6214F" w:rsidRPr="00445B65">
        <w:rPr>
          <w:bCs/>
        </w:rPr>
        <w:t>ey secondary endpoint</w:t>
      </w:r>
      <w:r w:rsidR="00445B65">
        <w:t xml:space="preserve"> was the </w:t>
      </w:r>
      <w:r>
        <w:t>i</w:t>
      </w:r>
      <w:r w:rsidR="00C6214F" w:rsidRPr="00C6214F">
        <w:t>ncidence of SARS-CoV-2 RT-PCR-positive severe or critical symptomatic illness occurring after dosing with IMP</w:t>
      </w:r>
    </w:p>
    <w:p w14:paraId="68F04210" w14:textId="77777777" w:rsidR="00C6214F" w:rsidRPr="00DD0D2C" w:rsidRDefault="00DD0D2C" w:rsidP="00DD0D2C">
      <w:r w:rsidRPr="00DD0D2C">
        <w:t>Other s</w:t>
      </w:r>
      <w:r w:rsidR="00C6214F" w:rsidRPr="00DD0D2C">
        <w:t>econdary endpoints</w:t>
      </w:r>
      <w:r>
        <w:t xml:space="preserve"> inclu</w:t>
      </w:r>
      <w:r w:rsidRPr="00DD0D2C">
        <w:t>ded</w:t>
      </w:r>
      <w:r w:rsidR="00C6214F" w:rsidRPr="00DD0D2C">
        <w:t>:</w:t>
      </w:r>
    </w:p>
    <w:p w14:paraId="642359A5" w14:textId="77777777" w:rsidR="00C6214F" w:rsidRPr="00C6214F" w:rsidRDefault="00C6214F" w:rsidP="00DD0D2C">
      <w:pPr>
        <w:pStyle w:val="ListBullet"/>
      </w:pPr>
      <w:r w:rsidRPr="00C6214F">
        <w:t xml:space="preserve">The incidence of participants who have a post-treatment response (negative </w:t>
      </w:r>
      <w:r w:rsidR="00790070">
        <w:t>at Baseline</w:t>
      </w:r>
      <w:r w:rsidRPr="00C6214F">
        <w:t xml:space="preserve"> to positive at any time post-baseline) for SARS-CoV-2 nucleocapsid antibodies.</w:t>
      </w:r>
    </w:p>
    <w:p w14:paraId="3B32F61E" w14:textId="77777777" w:rsidR="00C6214F" w:rsidRPr="00C6214F" w:rsidRDefault="00C6214F" w:rsidP="00DD0D2C">
      <w:pPr>
        <w:pStyle w:val="ListBullet"/>
      </w:pPr>
      <w:r w:rsidRPr="00C6214F">
        <w:t xml:space="preserve">The incidence of COVID-19-related death occurring after dosing with </w:t>
      </w:r>
      <w:proofErr w:type="spellStart"/>
      <w:r w:rsidR="00DD0D2C">
        <w:t>Evusheld</w:t>
      </w:r>
      <w:proofErr w:type="spellEnd"/>
      <w:r w:rsidR="00DD0D2C">
        <w:t xml:space="preserve"> or placebo</w:t>
      </w:r>
      <w:r w:rsidRPr="00C6214F">
        <w:t>.</w:t>
      </w:r>
    </w:p>
    <w:p w14:paraId="2D18BB4F" w14:textId="77777777" w:rsidR="00C6214F" w:rsidRPr="00C6214F" w:rsidRDefault="00C6214F" w:rsidP="00DD0D2C">
      <w:pPr>
        <w:pStyle w:val="ListBullet"/>
      </w:pPr>
      <w:r w:rsidRPr="00C6214F">
        <w:t xml:space="preserve">The incidence of all-cause mortality occurring after dosing with </w:t>
      </w:r>
      <w:proofErr w:type="spellStart"/>
      <w:r w:rsidR="00DD0D2C">
        <w:t>Evusheld</w:t>
      </w:r>
      <w:proofErr w:type="spellEnd"/>
      <w:r w:rsidR="00DD0D2C">
        <w:t xml:space="preserve"> or placebo</w:t>
      </w:r>
      <w:r w:rsidRPr="00C6214F">
        <w:t>.</w:t>
      </w:r>
    </w:p>
    <w:p w14:paraId="28D69A72" w14:textId="77777777" w:rsidR="00C6214F" w:rsidRPr="00C6214F" w:rsidRDefault="00C6214F" w:rsidP="00C6214F">
      <w:r w:rsidRPr="00C6214F">
        <w:t xml:space="preserve">At the primary analysis, 98.1% of subjects were ongoing in the study and 1.9% had discontinued. 10.2% participants had been unblinded (8.2% </w:t>
      </w:r>
      <w:proofErr w:type="spellStart"/>
      <w:r w:rsidR="008817F9">
        <w:t>Evusheld</w:t>
      </w:r>
      <w:proofErr w:type="spellEnd"/>
      <w:r w:rsidRPr="00C6214F">
        <w:t xml:space="preserve"> and 14.1% placebo) and 6.5% had received a COVID-19 vaccination (3.4% </w:t>
      </w:r>
      <w:proofErr w:type="spellStart"/>
      <w:r w:rsidR="008817F9">
        <w:t>Evusheld</w:t>
      </w:r>
      <w:proofErr w:type="spellEnd"/>
      <w:r w:rsidRPr="00C6214F">
        <w:t xml:space="preserve"> and 12.5% placebo). </w:t>
      </w:r>
    </w:p>
    <w:p w14:paraId="4BEFCB99" w14:textId="77777777" w:rsidR="00C6214F" w:rsidRPr="00C6214F" w:rsidRDefault="00C6214F" w:rsidP="00DD0D2C">
      <w:pPr>
        <w:pStyle w:val="Heading6"/>
      </w:pPr>
      <w:r w:rsidRPr="00C6214F">
        <w:t>Baseline characteristics</w:t>
      </w:r>
    </w:p>
    <w:p w14:paraId="496291A9" w14:textId="77777777" w:rsidR="00C6214F" w:rsidRPr="00C6214F" w:rsidRDefault="00C6214F" w:rsidP="00C6214F">
      <w:r w:rsidRPr="00C6214F">
        <w:t xml:space="preserve">Median age was 48 years. 12% of subjects were aged ≥ 65 years, and 3.5% of subjects were aged ≥ 75 years. 65.7% were considered to meet CDC criteria for being at high risk of severe COVID-19 (mostly due to obesity </w:t>
      </w:r>
      <w:r w:rsidR="00D506B7">
        <w:t>(</w:t>
      </w:r>
      <w:r w:rsidRPr="00C6214F">
        <w:t>40.8%</w:t>
      </w:r>
      <w:r w:rsidR="00D506B7">
        <w:t>)</w:t>
      </w:r>
      <w:r w:rsidRPr="00C6214F">
        <w:t xml:space="preserve">, hypertension </w:t>
      </w:r>
      <w:r w:rsidR="00D506B7">
        <w:t>(</w:t>
      </w:r>
      <w:r w:rsidRPr="00C6214F">
        <w:t>23.9%</w:t>
      </w:r>
      <w:r w:rsidR="00D506B7">
        <w:t>)</w:t>
      </w:r>
      <w:r w:rsidRPr="00C6214F">
        <w:t xml:space="preserve">, and smoking </w:t>
      </w:r>
      <w:r w:rsidR="00D506B7">
        <w:t>(</w:t>
      </w:r>
      <w:r w:rsidRPr="00C6214F">
        <w:t>19.2%</w:t>
      </w:r>
      <w:r w:rsidR="00D506B7">
        <w:t>)</w:t>
      </w:r>
      <w:r w:rsidRPr="00C6214F">
        <w:t xml:space="preserve">). 48.9% of participants had comorbidities </w:t>
      </w:r>
      <w:r w:rsidR="00790070">
        <w:t>at Baseline</w:t>
      </w:r>
      <w:r w:rsidRPr="00C6214F">
        <w:t xml:space="preserve"> (most commonly obesity </w:t>
      </w:r>
      <w:r w:rsidR="00D506B7">
        <w:t>(</w:t>
      </w:r>
      <w:r w:rsidRPr="00C6214F">
        <w:t>29.7%</w:t>
      </w:r>
      <w:r w:rsidR="00D506B7">
        <w:t>)</w:t>
      </w:r>
      <w:r w:rsidRPr="00C6214F">
        <w:t xml:space="preserve"> and hypertension </w:t>
      </w:r>
      <w:r w:rsidR="00D506B7">
        <w:t>(</w:t>
      </w:r>
      <w:r w:rsidRPr="00C6214F">
        <w:t>23.9%</w:t>
      </w:r>
      <w:r w:rsidR="00D506B7">
        <w:t>)</w:t>
      </w:r>
      <w:r w:rsidRPr="00C6214F">
        <w:t xml:space="preserve">). No subject had immunosuppressive disease, and 0.8% were receiving immunosuppressive treatment. </w:t>
      </w:r>
    </w:p>
    <w:p w14:paraId="657ADB81" w14:textId="77777777" w:rsidR="00C6214F" w:rsidRPr="00C6214F" w:rsidRDefault="00E5043C" w:rsidP="00C6214F">
      <w:r>
        <w:t>At B</w:t>
      </w:r>
      <w:r w:rsidR="00C6214F" w:rsidRPr="00C6214F">
        <w:t xml:space="preserve">aseline, 974 (86.9%) participants (646 </w:t>
      </w:r>
      <w:r w:rsidR="00D506B7">
        <w:t>(</w:t>
      </w:r>
      <w:r w:rsidR="00C6214F" w:rsidRPr="00C6214F">
        <w:t>86.2%</w:t>
      </w:r>
      <w:r w:rsidR="00D506B7">
        <w:t>)</w:t>
      </w:r>
      <w:r w:rsidR="00C6214F" w:rsidRPr="00C6214F">
        <w:t xml:space="preserve"> </w:t>
      </w:r>
      <w:proofErr w:type="spellStart"/>
      <w:r w:rsidR="008817F9">
        <w:t>Evusheld</w:t>
      </w:r>
      <w:proofErr w:type="spellEnd"/>
      <w:r w:rsidR="00C6214F" w:rsidRPr="00C6214F">
        <w:t xml:space="preserve"> and 328 </w:t>
      </w:r>
      <w:r w:rsidR="00D506B7">
        <w:t>(</w:t>
      </w:r>
      <w:r w:rsidR="00C6214F" w:rsidRPr="00C6214F">
        <w:t>88.2%</w:t>
      </w:r>
      <w:r w:rsidR="00D506B7">
        <w:t>)</w:t>
      </w:r>
      <w:r w:rsidR="00C6214F" w:rsidRPr="00C6214F">
        <w:t xml:space="preserve"> placebo) had a negative or missing SARS-CoV-2 RT</w:t>
      </w:r>
      <w:r>
        <w:t>-PCR status.</w:t>
      </w:r>
    </w:p>
    <w:p w14:paraId="3543DF45" w14:textId="6C87F081" w:rsidR="009376E0" w:rsidRPr="009376E0" w:rsidRDefault="009376E0" w:rsidP="009376E0">
      <w:pPr>
        <w:pStyle w:val="TableTitle"/>
      </w:pPr>
      <w:r>
        <w:lastRenderedPageBreak/>
        <w:t xml:space="preserve">Table </w:t>
      </w:r>
      <w:r>
        <w:fldChar w:fldCharType="begin"/>
      </w:r>
      <w:r>
        <w:instrText>SEQ Table \* ARABIC</w:instrText>
      </w:r>
      <w:r>
        <w:fldChar w:fldCharType="separate"/>
      </w:r>
      <w:r w:rsidR="004D0A2C">
        <w:rPr>
          <w:noProof/>
        </w:rPr>
        <w:t>23</w:t>
      </w:r>
      <w:r>
        <w:fldChar w:fldCharType="end"/>
      </w:r>
      <w:r>
        <w:t xml:space="preserve">: Study </w:t>
      </w:r>
      <w:r w:rsidRPr="00C6214F">
        <w:t>D8550C00003</w:t>
      </w:r>
      <w:r>
        <w:t xml:space="preserve"> (</w:t>
      </w:r>
      <w:r w:rsidRPr="00C6214F">
        <w:t xml:space="preserve">STORM CHASER </w:t>
      </w:r>
      <w:r>
        <w:t>trial) Baseline demographics</w:t>
      </w:r>
    </w:p>
    <w:p w14:paraId="07D93A21" w14:textId="77777777" w:rsidR="00C6214F" w:rsidRPr="00C6214F" w:rsidRDefault="009376E0" w:rsidP="00C6214F">
      <w:r w:rsidRPr="00C6214F">
        <w:rPr>
          <w:noProof/>
          <w:lang w:val="en-GB" w:eastAsia="en-GB"/>
        </w:rPr>
        <w:drawing>
          <wp:inline distT="0" distB="0" distL="0" distR="0" wp14:anchorId="014E5C23" wp14:editId="44838C05">
            <wp:extent cx="5466426" cy="4331335"/>
            <wp:effectExtent l="0" t="0" r="1270" b="0"/>
            <wp:docPr id="5" name="Picture 5" descr="Study D8550C00003 (STORM CHASER trial) Baseline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D8550C00003 (STORM CHASER trial) Baseline demographics"/>
                    <pic:cNvPicPr/>
                  </pic:nvPicPr>
                  <pic:blipFill rotWithShape="1">
                    <a:blip r:embed="rId66"/>
                    <a:srcRect l="864"/>
                    <a:stretch/>
                  </pic:blipFill>
                  <pic:spPr bwMode="auto">
                    <a:xfrm>
                      <a:off x="0" y="0"/>
                      <a:ext cx="5473454" cy="4336904"/>
                    </a:xfrm>
                    <a:prstGeom prst="rect">
                      <a:avLst/>
                    </a:prstGeom>
                    <a:ln>
                      <a:noFill/>
                    </a:ln>
                    <a:extLst>
                      <a:ext uri="{53640926-AAD7-44D8-BBD7-CCE9431645EC}">
                        <a14:shadowObscured xmlns:a14="http://schemas.microsoft.com/office/drawing/2010/main"/>
                      </a:ext>
                    </a:extLst>
                  </pic:spPr>
                </pic:pic>
              </a:graphicData>
            </a:graphic>
          </wp:inline>
        </w:drawing>
      </w:r>
    </w:p>
    <w:p w14:paraId="3397B238" w14:textId="4EC27E9D" w:rsidR="00C6214F" w:rsidRDefault="00C6214F" w:rsidP="00C6214F">
      <w:r w:rsidRPr="00C6214F">
        <w:rPr>
          <w:noProof/>
          <w:lang w:val="en-GB" w:eastAsia="en-GB"/>
        </w:rPr>
        <w:drawing>
          <wp:inline distT="0" distB="0" distL="0" distR="0" wp14:anchorId="1EA3F33A" wp14:editId="318BDD17">
            <wp:extent cx="5466080" cy="1051309"/>
            <wp:effectExtent l="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10663" cy="1079117"/>
                    </a:xfrm>
                    <a:prstGeom prst="rect">
                      <a:avLst/>
                    </a:prstGeom>
                  </pic:spPr>
                </pic:pic>
              </a:graphicData>
            </a:graphic>
          </wp:inline>
        </w:drawing>
      </w:r>
    </w:p>
    <w:p w14:paraId="168019EA" w14:textId="14A4CCB3" w:rsidR="00D77876" w:rsidRPr="00C6214F" w:rsidRDefault="00D77876" w:rsidP="00D77876">
      <w:pPr>
        <w:pStyle w:val="TableTitle"/>
      </w:pPr>
      <w:r w:rsidRPr="00D77876">
        <w:lastRenderedPageBreak/>
        <w:t>Table 26: Study D8550C00003 (STORM CHASER trial) Baseline demographics</w:t>
      </w:r>
      <w:r>
        <w:t>, continued’</w:t>
      </w:r>
    </w:p>
    <w:p w14:paraId="5D9CEAF4" w14:textId="77777777" w:rsidR="00C6214F" w:rsidRPr="00C6214F" w:rsidRDefault="00C6214F" w:rsidP="00C6214F">
      <w:r w:rsidRPr="00C6214F">
        <w:rPr>
          <w:noProof/>
          <w:lang w:val="en-GB" w:eastAsia="en-GB"/>
        </w:rPr>
        <w:drawing>
          <wp:inline distT="0" distB="0" distL="0" distR="0" wp14:anchorId="073010E5" wp14:editId="5814864B">
            <wp:extent cx="5528885" cy="4129405"/>
            <wp:effectExtent l="0" t="0" r="0" b="444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870" r="-1"/>
                    <a:stretch/>
                  </pic:blipFill>
                  <pic:spPr bwMode="auto">
                    <a:xfrm>
                      <a:off x="0" y="0"/>
                      <a:ext cx="5540244" cy="4137889"/>
                    </a:xfrm>
                    <a:prstGeom prst="rect">
                      <a:avLst/>
                    </a:prstGeom>
                    <a:ln>
                      <a:noFill/>
                    </a:ln>
                    <a:extLst>
                      <a:ext uri="{53640926-AAD7-44D8-BBD7-CCE9431645EC}">
                        <a14:shadowObscured xmlns:a14="http://schemas.microsoft.com/office/drawing/2010/main"/>
                      </a:ext>
                    </a:extLst>
                  </pic:spPr>
                </pic:pic>
              </a:graphicData>
            </a:graphic>
          </wp:inline>
        </w:drawing>
      </w:r>
    </w:p>
    <w:p w14:paraId="67EE7FF5" w14:textId="77777777" w:rsidR="00C6214F" w:rsidRPr="00C6214F" w:rsidRDefault="00C6214F" w:rsidP="009376E0">
      <w:pPr>
        <w:pStyle w:val="Heading6"/>
      </w:pPr>
      <w:r w:rsidRPr="00C6214F">
        <w:t>Results</w:t>
      </w:r>
    </w:p>
    <w:p w14:paraId="43AFDABB" w14:textId="4E20C7EB" w:rsidR="00C6214F" w:rsidRPr="00C6214F" w:rsidRDefault="00C6214F" w:rsidP="00C6214F">
      <w:r w:rsidRPr="00C6214F">
        <w:t xml:space="preserve">The primary endpoint was not met, with </w:t>
      </w:r>
      <w:proofErr w:type="gramStart"/>
      <w:r w:rsidRPr="00C6214F">
        <w:t>an</w:t>
      </w:r>
      <w:proofErr w:type="gramEnd"/>
      <w:r w:rsidRPr="00C6214F">
        <w:t xml:space="preserve"> </w:t>
      </w:r>
      <w:r w:rsidR="008817F9">
        <w:t xml:space="preserve">relative </w:t>
      </w:r>
      <w:r w:rsidR="000B3D2B">
        <w:t xml:space="preserve">risk </w:t>
      </w:r>
      <w:r w:rsidR="008817F9">
        <w:t>reduction</w:t>
      </w:r>
      <w:r w:rsidRPr="00C6214F">
        <w:t xml:space="preserve"> of 33</w:t>
      </w:r>
      <w:r w:rsidR="009376E0">
        <w:t xml:space="preserve">.31% (95% CI: </w:t>
      </w:r>
      <w:r w:rsidR="009376E0">
        <w:noBreakHyphen/>
      </w:r>
      <w:r w:rsidRPr="00C6214F">
        <w:t xml:space="preserve">25.92, 64.68). This finding was confirmed by supplementary analyses showing no superiority of </w:t>
      </w:r>
      <w:proofErr w:type="spellStart"/>
      <w:r w:rsidR="008817F9">
        <w:t>Evusheld</w:t>
      </w:r>
      <w:proofErr w:type="spellEnd"/>
      <w:r w:rsidRPr="00C6214F">
        <w:t xml:space="preserve"> compared to </w:t>
      </w:r>
      <w:proofErr w:type="gramStart"/>
      <w:r w:rsidRPr="00C6214F">
        <w:t>placebo, when</w:t>
      </w:r>
      <w:proofErr w:type="gramEnd"/>
      <w:r w:rsidRPr="00C6214F">
        <w:t xml:space="preserve"> subje</w:t>
      </w:r>
      <w:r w:rsidR="009376E0">
        <w:t>cts were followed for up to Day 183 post</w:t>
      </w:r>
      <w:r w:rsidR="009376E0">
        <w:noBreakHyphen/>
      </w:r>
      <w:r w:rsidRPr="00C6214F">
        <w:t>dose.</w:t>
      </w:r>
    </w:p>
    <w:p w14:paraId="4C671405" w14:textId="2A10E140" w:rsidR="00C6214F" w:rsidRPr="009376E0" w:rsidRDefault="00C6214F" w:rsidP="00C6214F">
      <w:pPr>
        <w:rPr>
          <w:b/>
          <w:bCs/>
        </w:rPr>
      </w:pPr>
      <w:r w:rsidRPr="00C6214F">
        <w:rPr>
          <w:b/>
        </w:rPr>
        <w:t xml:space="preserve">Table </w:t>
      </w:r>
      <w:r w:rsidRPr="00C6214F">
        <w:rPr>
          <w:b/>
        </w:rPr>
        <w:fldChar w:fldCharType="begin"/>
      </w:r>
      <w:r w:rsidRPr="00C6214F">
        <w:rPr>
          <w:b/>
        </w:rPr>
        <w:instrText xml:space="preserve"> SEQ Table \* ARABIC </w:instrText>
      </w:r>
      <w:r w:rsidRPr="00C6214F">
        <w:rPr>
          <w:b/>
        </w:rPr>
        <w:fldChar w:fldCharType="separate"/>
      </w:r>
      <w:r w:rsidR="004D0A2C">
        <w:rPr>
          <w:b/>
          <w:noProof/>
        </w:rPr>
        <w:t>24</w:t>
      </w:r>
      <w:r w:rsidRPr="00C6214F">
        <w:fldChar w:fldCharType="end"/>
      </w:r>
      <w:r w:rsidR="009376E0">
        <w:rPr>
          <w:b/>
        </w:rPr>
        <w:t xml:space="preserve">: </w:t>
      </w:r>
      <w:r w:rsidR="009376E0">
        <w:rPr>
          <w:b/>
          <w:bCs/>
        </w:rPr>
        <w:t xml:space="preserve">Study </w:t>
      </w:r>
      <w:r w:rsidR="009376E0" w:rsidRPr="00C6214F">
        <w:rPr>
          <w:b/>
          <w:bCs/>
        </w:rPr>
        <w:t>D8550C00003</w:t>
      </w:r>
      <w:r w:rsidR="009376E0">
        <w:rPr>
          <w:b/>
          <w:bCs/>
        </w:rPr>
        <w:t xml:space="preserve"> (</w:t>
      </w:r>
      <w:r w:rsidR="009376E0" w:rsidRPr="00C6214F">
        <w:rPr>
          <w:b/>
          <w:bCs/>
        </w:rPr>
        <w:t xml:space="preserve">STORM CHASER </w:t>
      </w:r>
      <w:r w:rsidR="009376E0">
        <w:rPr>
          <w:b/>
          <w:bCs/>
        </w:rPr>
        <w:t>trial)</w:t>
      </w:r>
      <w:r w:rsidR="00E60969">
        <w:rPr>
          <w:b/>
          <w:bCs/>
        </w:rPr>
        <w:t xml:space="preserve"> </w:t>
      </w:r>
      <w:r w:rsidRPr="00C6214F">
        <w:rPr>
          <w:b/>
        </w:rPr>
        <w:t>Primary efficacy endpoint, (primary analysis; full analysis set)</w:t>
      </w:r>
    </w:p>
    <w:p w14:paraId="2977E6B9" w14:textId="6490ABD7" w:rsidR="00C6214F" w:rsidRDefault="00C6214F" w:rsidP="00C6214F">
      <w:r w:rsidRPr="00C6214F">
        <w:rPr>
          <w:noProof/>
          <w:lang w:val="en-GB" w:eastAsia="en-GB"/>
        </w:rPr>
        <w:drawing>
          <wp:inline distT="0" distB="0" distL="0" distR="0" wp14:anchorId="05907F1C" wp14:editId="6C1AAC9E">
            <wp:extent cx="5276725" cy="1552575"/>
            <wp:effectExtent l="0" t="0" r="635" b="0"/>
            <wp:docPr id="42" name="Picture 42" descr="Study D8550C00003 (STORM CHASER trial) Primary efficacy endpoint, (primary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udy D8550C00003 (STORM CHASER trial) Primary efficacy endpoint, (primary analysis; full analysis set)"/>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1217" b="30434"/>
                    <a:stretch/>
                  </pic:blipFill>
                  <pic:spPr bwMode="auto">
                    <a:xfrm>
                      <a:off x="0" y="0"/>
                      <a:ext cx="5281474" cy="1553972"/>
                    </a:xfrm>
                    <a:prstGeom prst="rect">
                      <a:avLst/>
                    </a:prstGeom>
                    <a:noFill/>
                    <a:ln>
                      <a:noFill/>
                    </a:ln>
                    <a:extLst>
                      <a:ext uri="{53640926-AAD7-44D8-BBD7-CCE9431645EC}">
                        <a14:shadowObscured xmlns:a14="http://schemas.microsoft.com/office/drawing/2010/main"/>
                      </a:ext>
                    </a:extLst>
                  </pic:spPr>
                </pic:pic>
              </a:graphicData>
            </a:graphic>
          </wp:inline>
        </w:drawing>
      </w:r>
    </w:p>
    <w:p w14:paraId="1D1D4C72" w14:textId="2928782B" w:rsidR="00A44691" w:rsidRDefault="006E060C" w:rsidP="006E060C">
      <w:pPr>
        <w:pStyle w:val="TableDescription"/>
      </w:pPr>
      <w:r>
        <w:t>Estimates are based on Poisson regression with robust variance. The model includes the log of the follow up time as an offset and a covariate for treatment (AZD 7442 versus placebo). Estimated RRR greater than 0% provides evidence in favour of AZD 7442 with p-value less than 0.05 indicating statistical significance.</w:t>
      </w:r>
    </w:p>
    <w:p w14:paraId="331E2BE5" w14:textId="5DE82155" w:rsidR="006E060C" w:rsidRPr="00C6214F" w:rsidRDefault="006E060C" w:rsidP="006E060C">
      <w:pPr>
        <w:pStyle w:val="TableDescription"/>
      </w:pPr>
      <w:r>
        <w:t xml:space="preserve">Percentages are based on the number of participants in the analysis by arm (N). Data </w:t>
      </w:r>
      <w:proofErr w:type="spellStart"/>
      <w:r>
        <w:t>cutoff</w:t>
      </w:r>
      <w:proofErr w:type="spellEnd"/>
      <w:r>
        <w:t xml:space="preserve"> date: 7 April 2021.</w:t>
      </w:r>
    </w:p>
    <w:p w14:paraId="77DB180D" w14:textId="77777777" w:rsidR="009376E0" w:rsidRDefault="00C6214F" w:rsidP="00C6214F">
      <w:r w:rsidRPr="00C6214F">
        <w:t xml:space="preserve">There were no cases of SARS-CoV-2 RT-PCR positive symptomatic illnesses in the </w:t>
      </w:r>
      <w:proofErr w:type="spellStart"/>
      <w:r w:rsidR="008817F9">
        <w:t>Evusheld</w:t>
      </w:r>
      <w:proofErr w:type="spellEnd"/>
      <w:r w:rsidRPr="00C6214F">
        <w:t xml:space="preserve"> arm after Day 11, while there were 5 cases in the placebo arm. Based on the </w:t>
      </w:r>
      <w:r w:rsidR="009376E0">
        <w:lastRenderedPageBreak/>
        <w:t xml:space="preserve">incubation period of COVID-19 (around </w:t>
      </w:r>
      <w:r w:rsidRPr="00C6214F">
        <w:t xml:space="preserve">5 days), the cases occurring after Day 11 may reflect new exposure to COVID-19 which occurred after </w:t>
      </w:r>
      <w:r w:rsidR="009376E0">
        <w:t>randomised intervention</w:t>
      </w:r>
      <w:r w:rsidRPr="00C6214F">
        <w:t xml:space="preserve"> administration. The Kaplan-Meier curves of time to primary</w:t>
      </w:r>
      <w:r w:rsidR="009376E0">
        <w:t xml:space="preserve"> endpoint event are shown below.</w:t>
      </w:r>
    </w:p>
    <w:p w14:paraId="2B36AA8D" w14:textId="63546A2D" w:rsidR="00C6214F" w:rsidRPr="009376E0" w:rsidRDefault="00C6214F" w:rsidP="009376E0">
      <w:pPr>
        <w:pStyle w:val="FigureTitle"/>
        <w:rPr>
          <w:bCs/>
        </w:rPr>
      </w:pPr>
      <w:r w:rsidRPr="00C6214F">
        <w:t xml:space="preserve">Figure </w:t>
      </w:r>
      <w:r>
        <w:fldChar w:fldCharType="begin"/>
      </w:r>
      <w:r>
        <w:instrText>SEQ Figure \* ARABIC</w:instrText>
      </w:r>
      <w:r>
        <w:fldChar w:fldCharType="separate"/>
      </w:r>
      <w:r w:rsidR="004D0A2C">
        <w:rPr>
          <w:noProof/>
        </w:rPr>
        <w:t>19</w:t>
      </w:r>
      <w:r>
        <w:fldChar w:fldCharType="end"/>
      </w:r>
      <w:r w:rsidR="009376E0">
        <w:t>:</w:t>
      </w:r>
      <w:r w:rsidRPr="00C6214F">
        <w:t xml:space="preserve"> </w:t>
      </w:r>
      <w:r w:rsidR="009376E0">
        <w:rPr>
          <w:bCs/>
        </w:rPr>
        <w:t xml:space="preserve">Study </w:t>
      </w:r>
      <w:r w:rsidR="009376E0" w:rsidRPr="00C6214F">
        <w:rPr>
          <w:bCs/>
        </w:rPr>
        <w:t>D8550C00003</w:t>
      </w:r>
      <w:r w:rsidR="009376E0">
        <w:rPr>
          <w:bCs/>
        </w:rPr>
        <w:t xml:space="preserve"> (</w:t>
      </w:r>
      <w:r w:rsidR="009376E0" w:rsidRPr="00C6214F">
        <w:rPr>
          <w:bCs/>
        </w:rPr>
        <w:t xml:space="preserve">STORM CHASER </w:t>
      </w:r>
      <w:r w:rsidR="009376E0">
        <w:rPr>
          <w:bCs/>
        </w:rPr>
        <w:t xml:space="preserve">trial) </w:t>
      </w:r>
      <w:r w:rsidRPr="00C6214F">
        <w:t xml:space="preserve">Primary analysis time to first SARS-CoV-2 RT-PCR positive symptomatic illness occurring post-dose of </w:t>
      </w:r>
      <w:r w:rsidR="009376E0">
        <w:t>randomised intervention</w:t>
      </w:r>
      <w:r w:rsidRPr="00C6214F">
        <w:t xml:space="preserve"> (full analysis set)</w:t>
      </w:r>
    </w:p>
    <w:p w14:paraId="6B39B890" w14:textId="543433C9" w:rsidR="00C6214F" w:rsidRDefault="00C6214F" w:rsidP="00C6214F">
      <w:r w:rsidRPr="00C6214F">
        <w:rPr>
          <w:noProof/>
          <w:lang w:val="en-GB" w:eastAsia="en-GB"/>
        </w:rPr>
        <w:drawing>
          <wp:inline distT="0" distB="0" distL="0" distR="0" wp14:anchorId="3DE56C57" wp14:editId="4BE16F6C">
            <wp:extent cx="5009377" cy="2685415"/>
            <wp:effectExtent l="0" t="0" r="1270" b="635"/>
            <wp:docPr id="43" name="Picture 43" descr="Study D8550C00003 (STORM CHASER trial) Primary analysis time to first SARS-CoV-2 RT-PCR positive symptomatic illness occurring post-dose of randomised intervention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tudy D8550C00003 (STORM CHASER trial) Primary analysis time to first SARS-CoV-2 RT-PCR positive symptomatic illness occurring post-dose of randomised intervention (full analysis set)"/>
                    <pic:cNvPicPr>
                      <a:picLocks noChangeAspect="1" noChangeArrowheads="1"/>
                    </pic:cNvPicPr>
                  </pic:nvPicPr>
                  <pic:blipFill rotWithShape="1">
                    <a:blip r:embed="rId70">
                      <a:extLst>
                        <a:ext uri="{28A0092B-C50C-407E-A947-70E740481C1C}">
                          <a14:useLocalDpi xmlns:a14="http://schemas.microsoft.com/office/drawing/2010/main" val="0"/>
                        </a:ext>
                      </a:extLst>
                    </a:blip>
                    <a:srcRect l="6489" r="1274" b="21550"/>
                    <a:stretch/>
                  </pic:blipFill>
                  <pic:spPr bwMode="auto">
                    <a:xfrm>
                      <a:off x="0" y="0"/>
                      <a:ext cx="5021321" cy="2691818"/>
                    </a:xfrm>
                    <a:prstGeom prst="rect">
                      <a:avLst/>
                    </a:prstGeom>
                    <a:noFill/>
                    <a:ln>
                      <a:noFill/>
                    </a:ln>
                    <a:extLst>
                      <a:ext uri="{53640926-AAD7-44D8-BBD7-CCE9431645EC}">
                        <a14:shadowObscured xmlns:a14="http://schemas.microsoft.com/office/drawing/2010/main"/>
                      </a:ext>
                    </a:extLst>
                  </pic:spPr>
                </pic:pic>
              </a:graphicData>
            </a:graphic>
          </wp:inline>
        </w:drawing>
      </w:r>
    </w:p>
    <w:p w14:paraId="71B39AD4" w14:textId="54D37285" w:rsidR="006E060C" w:rsidRDefault="006E060C" w:rsidP="006E060C">
      <w:pPr>
        <w:pStyle w:val="TableDescription"/>
      </w:pPr>
      <w:r>
        <w:t xml:space="preserve">Hazard ratio is from the PH model with </w:t>
      </w:r>
      <w:proofErr w:type="spellStart"/>
      <w:r>
        <w:t>Efron</w:t>
      </w:r>
      <w:proofErr w:type="spellEnd"/>
      <w:r>
        <w:t xml:space="preserve"> method. The 95% CI for the Hazard Ratio is obtained by taking 95% profile </w:t>
      </w:r>
      <w:proofErr w:type="spellStart"/>
      <w:r>
        <w:t>likehood</w:t>
      </w:r>
      <w:proofErr w:type="spellEnd"/>
      <w:r>
        <w:t xml:space="preserve"> CI of the hazard ratio from PH model.</w:t>
      </w:r>
    </w:p>
    <w:p w14:paraId="4EDD4A22" w14:textId="48D25675" w:rsidR="006E060C" w:rsidRDefault="006E060C" w:rsidP="006E060C">
      <w:pPr>
        <w:pStyle w:val="TableDescription"/>
      </w:pPr>
      <w:r>
        <w:t>P-value is obtained from log-rank test</w:t>
      </w:r>
    </w:p>
    <w:p w14:paraId="484BA86F" w14:textId="2EA7BF08" w:rsidR="006E060C" w:rsidRPr="00C6214F" w:rsidRDefault="006E060C" w:rsidP="006E060C">
      <w:pPr>
        <w:pStyle w:val="TableDescription"/>
      </w:pPr>
      <w:r>
        <w:t xml:space="preserve">Data </w:t>
      </w:r>
      <w:proofErr w:type="spellStart"/>
      <w:r>
        <w:t>cutoff</w:t>
      </w:r>
      <w:proofErr w:type="spellEnd"/>
      <w:r>
        <w:t xml:space="preserve"> date: 7 April 2021</w:t>
      </w:r>
    </w:p>
    <w:p w14:paraId="206A683F" w14:textId="5AA26D5E" w:rsidR="00910C2D" w:rsidRDefault="00C6214F" w:rsidP="00C6214F">
      <w:r w:rsidRPr="00C6214F">
        <w:t xml:space="preserve">In the pre-specified subgroup of participants with </w:t>
      </w:r>
      <w:bookmarkStart w:id="52" w:name="_Hlk93414341"/>
      <w:r w:rsidRPr="00C6214F">
        <w:t xml:space="preserve">SARS-CoV-2 RT-PCR status negative/missing </w:t>
      </w:r>
      <w:r w:rsidR="00790070">
        <w:t>at Baseline</w:t>
      </w:r>
      <w:bookmarkEnd w:id="52"/>
      <w:r w:rsidRPr="00C6214F">
        <w:t xml:space="preserve">, the primary endpoint reached nominal significance: </w:t>
      </w:r>
      <w:r w:rsidR="008817F9">
        <w:t xml:space="preserve">relative </w:t>
      </w:r>
      <w:r w:rsidR="00D85BC2">
        <w:t>r</w:t>
      </w:r>
      <w:r w:rsidR="008817F9">
        <w:t>isk reduction</w:t>
      </w:r>
      <w:r w:rsidRPr="00C6214F">
        <w:t xml:space="preserve"> 73.17 (95% CI: 27.10, 90.13). Forest plot of the other s</w:t>
      </w:r>
      <w:r w:rsidR="009376E0">
        <w:t>ubgroup analyses is shown below.</w:t>
      </w:r>
    </w:p>
    <w:p w14:paraId="28DD9769" w14:textId="5B334A28" w:rsidR="00C6214F" w:rsidRPr="00C6214F" w:rsidRDefault="00910C2D" w:rsidP="00910C2D">
      <w:pPr>
        <w:spacing w:before="0" w:after="200" w:line="0" w:lineRule="auto"/>
      </w:pPr>
      <w:r>
        <w:br w:type="page"/>
      </w:r>
    </w:p>
    <w:p w14:paraId="2D2DFD26" w14:textId="49594784" w:rsidR="00C6214F" w:rsidRPr="009376E0" w:rsidRDefault="00C6214F" w:rsidP="00C6214F">
      <w:pPr>
        <w:rPr>
          <w:b/>
          <w:bCs/>
        </w:rPr>
      </w:pPr>
      <w:r w:rsidRPr="00C6214F">
        <w:rPr>
          <w:b/>
        </w:rPr>
        <w:lastRenderedPageBreak/>
        <w:t xml:space="preserve">Figure </w:t>
      </w:r>
      <w:r w:rsidRPr="00C6214F">
        <w:rPr>
          <w:b/>
        </w:rPr>
        <w:fldChar w:fldCharType="begin"/>
      </w:r>
      <w:r w:rsidRPr="00C6214F">
        <w:rPr>
          <w:b/>
        </w:rPr>
        <w:instrText xml:space="preserve"> SEQ Figure \* ARABIC </w:instrText>
      </w:r>
      <w:r w:rsidRPr="00C6214F">
        <w:rPr>
          <w:b/>
        </w:rPr>
        <w:fldChar w:fldCharType="separate"/>
      </w:r>
      <w:r w:rsidR="004D0A2C">
        <w:rPr>
          <w:b/>
          <w:noProof/>
        </w:rPr>
        <w:t>20</w:t>
      </w:r>
      <w:r w:rsidRPr="00C6214F">
        <w:fldChar w:fldCharType="end"/>
      </w:r>
      <w:r w:rsidR="009376E0">
        <w:t xml:space="preserve">: </w:t>
      </w:r>
      <w:r w:rsidR="009376E0">
        <w:rPr>
          <w:b/>
          <w:bCs/>
        </w:rPr>
        <w:t>Study D8550C00003 (STORM CHASER trial)</w:t>
      </w:r>
      <w:r w:rsidRPr="00C6214F">
        <w:rPr>
          <w:b/>
        </w:rPr>
        <w:t xml:space="preserve"> Forest </w:t>
      </w:r>
      <w:r w:rsidR="009376E0" w:rsidRPr="00C6214F">
        <w:rPr>
          <w:b/>
        </w:rPr>
        <w:t xml:space="preserve">plot for efficacy for incidence of first </w:t>
      </w:r>
      <w:r w:rsidRPr="00C6214F">
        <w:rPr>
          <w:b/>
        </w:rPr>
        <w:t xml:space="preserve">SARS-CoV-2 RT-PCR-positive </w:t>
      </w:r>
      <w:r w:rsidR="009376E0" w:rsidRPr="00C6214F">
        <w:rPr>
          <w:b/>
        </w:rPr>
        <w:t>symptomatic illness by subgroup full analysis set, primary analysis</w:t>
      </w:r>
    </w:p>
    <w:p w14:paraId="5855607D" w14:textId="77777777" w:rsidR="00C6214F" w:rsidRPr="00C6214F" w:rsidRDefault="00C6214F" w:rsidP="00C6214F">
      <w:r w:rsidRPr="00C6214F">
        <w:rPr>
          <w:noProof/>
          <w:lang w:val="en-GB" w:eastAsia="en-GB"/>
        </w:rPr>
        <w:drawing>
          <wp:inline distT="0" distB="0" distL="0" distR="0" wp14:anchorId="5A799A0C" wp14:editId="160ACBEA">
            <wp:extent cx="5396230" cy="3137457"/>
            <wp:effectExtent l="0" t="0" r="0" b="6350"/>
            <wp:docPr id="44" name="Picture 44" descr="Study D8550C00003 (STORM CHASER trial) Forest plot for efficacy for incidence of first SARS-CoV-2 RT-PCR-positive symptomatic illness by subgroup full analysis set, prim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udy D8550C00003 (STORM CHASER trial) Forest plot for efficacy for incidence of first SARS-CoV-2 RT-PCR-positive symptomatic illness by subgroup full analysis set, primary analysis"/>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1313"/>
                    <a:stretch/>
                  </pic:blipFill>
                  <pic:spPr bwMode="auto">
                    <a:xfrm>
                      <a:off x="0" y="0"/>
                      <a:ext cx="5424301" cy="3153778"/>
                    </a:xfrm>
                    <a:prstGeom prst="rect">
                      <a:avLst/>
                    </a:prstGeom>
                    <a:noFill/>
                    <a:ln>
                      <a:noFill/>
                    </a:ln>
                    <a:extLst>
                      <a:ext uri="{53640926-AAD7-44D8-BBD7-CCE9431645EC}">
                        <a14:shadowObscured xmlns:a14="http://schemas.microsoft.com/office/drawing/2010/main"/>
                      </a:ext>
                    </a:extLst>
                  </pic:spPr>
                </pic:pic>
              </a:graphicData>
            </a:graphic>
          </wp:inline>
        </w:drawing>
      </w:r>
    </w:p>
    <w:p w14:paraId="5E637266" w14:textId="6EFB5CE0" w:rsidR="00C6214F" w:rsidRDefault="00C6214F" w:rsidP="00C6214F">
      <w:r w:rsidRPr="00C6214F">
        <w:rPr>
          <w:noProof/>
          <w:lang w:val="en-GB" w:eastAsia="en-GB"/>
        </w:rPr>
        <w:drawing>
          <wp:inline distT="0" distB="0" distL="0" distR="0" wp14:anchorId="560DC1F8" wp14:editId="68D72A85">
            <wp:extent cx="5396753" cy="313186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14833" cy="3142355"/>
                    </a:xfrm>
                    <a:prstGeom prst="rect">
                      <a:avLst/>
                    </a:prstGeom>
                  </pic:spPr>
                </pic:pic>
              </a:graphicData>
            </a:graphic>
          </wp:inline>
        </w:drawing>
      </w:r>
    </w:p>
    <w:p w14:paraId="3C26F09E" w14:textId="59609793" w:rsidR="00910C2D" w:rsidRPr="00C6214F" w:rsidRDefault="00910C2D" w:rsidP="00910C2D">
      <w:pPr>
        <w:pStyle w:val="FigureTitle"/>
      </w:pPr>
      <w:r w:rsidRPr="00910C2D">
        <w:lastRenderedPageBreak/>
        <w:t>Figure 23: Study D8550C00003 (STORM CHASER trial) Forest plot for efficacy for incidence of first SARS-CoV-2 RT-PCR-positive symptomatic illness by subgroup full analysis set, primary analysis</w:t>
      </w:r>
      <w:r>
        <w:t>, continued’</w:t>
      </w:r>
    </w:p>
    <w:p w14:paraId="2828AED7" w14:textId="77777777" w:rsidR="00C6214F" w:rsidRPr="00C6214F" w:rsidRDefault="00C6214F" w:rsidP="00C6214F">
      <w:r w:rsidRPr="00C6214F">
        <w:rPr>
          <w:noProof/>
          <w:lang w:val="en-GB" w:eastAsia="en-GB"/>
        </w:rPr>
        <w:drawing>
          <wp:inline distT="0" distB="0" distL="0" distR="0" wp14:anchorId="218731F2" wp14:editId="5A93CD88">
            <wp:extent cx="5281146" cy="3153709"/>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85494" cy="3156305"/>
                    </a:xfrm>
                    <a:prstGeom prst="rect">
                      <a:avLst/>
                    </a:prstGeom>
                    <a:noFill/>
                    <a:ln>
                      <a:noFill/>
                    </a:ln>
                  </pic:spPr>
                </pic:pic>
              </a:graphicData>
            </a:graphic>
          </wp:inline>
        </w:drawing>
      </w:r>
    </w:p>
    <w:p w14:paraId="3BC82447" w14:textId="06B1FA5B" w:rsidR="00C6214F" w:rsidRPr="00E5043C" w:rsidRDefault="00C6214F" w:rsidP="00C6214F">
      <w:r w:rsidRPr="00E5043C">
        <w:t xml:space="preserve">There was one event of severe/critical COVID-19 meeting key secondary endpoint criteria in the placebo group, and no cases in the </w:t>
      </w:r>
      <w:proofErr w:type="spellStart"/>
      <w:r w:rsidR="008817F9" w:rsidRPr="00E5043C">
        <w:t>Evusheld</w:t>
      </w:r>
      <w:proofErr w:type="spellEnd"/>
      <w:r w:rsidRPr="00E5043C">
        <w:t xml:space="preserve"> group.</w:t>
      </w:r>
    </w:p>
    <w:p w14:paraId="08249E26" w14:textId="244A97AD" w:rsidR="009376E0" w:rsidRPr="00E5043C" w:rsidRDefault="00C6214F" w:rsidP="00C6214F">
      <w:r w:rsidRPr="00E5043C">
        <w:t xml:space="preserve">At the 6-month </w:t>
      </w:r>
      <w:r w:rsidR="008817F9" w:rsidRPr="00E5043C">
        <w:t xml:space="preserve">data </w:t>
      </w:r>
      <w:proofErr w:type="spellStart"/>
      <w:r w:rsidR="008817F9" w:rsidRPr="00E5043C">
        <w:t>cutoff</w:t>
      </w:r>
      <w:proofErr w:type="spellEnd"/>
      <w:r w:rsidR="008817F9" w:rsidRPr="00E5043C">
        <w:t xml:space="preserve"> date</w:t>
      </w:r>
      <w:r w:rsidRPr="00E5043C">
        <w:t xml:space="preserve">, the primary endpoint had reached nominal significance, with 27 (3.6%) events in the </w:t>
      </w:r>
      <w:proofErr w:type="spellStart"/>
      <w:r w:rsidR="008817F9" w:rsidRPr="00E5043C">
        <w:t>Evusheld</w:t>
      </w:r>
      <w:proofErr w:type="spellEnd"/>
      <w:r w:rsidRPr="00E5043C">
        <w:t xml:space="preserve"> arm and 23 (6.2%) events in the placebo arm, </w:t>
      </w:r>
      <w:r w:rsidR="008817F9" w:rsidRPr="00E5043C">
        <w:t xml:space="preserve">relative </w:t>
      </w:r>
      <w:r w:rsidR="006A753F">
        <w:t>r</w:t>
      </w:r>
      <w:r w:rsidR="006A753F" w:rsidRPr="00E5043C">
        <w:t xml:space="preserve">isk </w:t>
      </w:r>
      <w:r w:rsidR="008817F9" w:rsidRPr="00E5043C">
        <w:t>reduction</w:t>
      </w:r>
      <w:r w:rsidRPr="00E5043C">
        <w:t xml:space="preserve"> 43.21% (95% CI: 0.</w:t>
      </w:r>
      <w:r w:rsidR="009376E0" w:rsidRPr="00E5043C">
        <w:t>14, 67.70). Per the FDA report:</w:t>
      </w:r>
    </w:p>
    <w:p w14:paraId="7FD3CFEC" w14:textId="036435E6" w:rsidR="009376E0" w:rsidRPr="00E5043C" w:rsidRDefault="00C6214F" w:rsidP="00E5043C">
      <w:pPr>
        <w:ind w:left="720"/>
        <w:rPr>
          <w:i/>
        </w:rPr>
      </w:pPr>
      <w:r w:rsidRPr="00E5043C">
        <w:rPr>
          <w:i/>
        </w:rPr>
        <w:t xml:space="preserve">‘Note that this finding was not considered as statistically significant since it was based on </w:t>
      </w:r>
      <w:r w:rsidRPr="00E5043C">
        <w:rPr>
          <w:i/>
          <w:iCs/>
        </w:rPr>
        <w:t>post-hoc</w:t>
      </w:r>
      <w:r w:rsidRPr="00E5043C">
        <w:rPr>
          <w:i/>
        </w:rPr>
        <w:t xml:space="preserve"> analysis conducted after the primary analysis of the study had failed.’</w:t>
      </w:r>
      <w:r w:rsidR="00E5043C" w:rsidRPr="00E5043C">
        <w:rPr>
          <w:i/>
        </w:rPr>
        <w:t xml:space="preserve"> </w:t>
      </w:r>
    </w:p>
    <w:p w14:paraId="7BDC92CE" w14:textId="77777777" w:rsidR="00C6214F" w:rsidRPr="00C6214F" w:rsidRDefault="00C6214F" w:rsidP="00C6214F">
      <w:r w:rsidRPr="00C6214F">
        <w:t>Kaplan-Meier curves showed the separation in primary endpoint events that was evident from around Day 30</w:t>
      </w:r>
      <w:r w:rsidR="00834E7C">
        <w:t xml:space="preserve"> was sustained through Month 6.</w:t>
      </w:r>
    </w:p>
    <w:p w14:paraId="57F8F5A0" w14:textId="563DFE33" w:rsidR="00C6214F" w:rsidRPr="00834E7C" w:rsidRDefault="00C6214F" w:rsidP="00834E7C">
      <w:pPr>
        <w:pStyle w:val="FigureTitle"/>
        <w:rPr>
          <w:bCs/>
        </w:rPr>
      </w:pPr>
      <w:r w:rsidRPr="00C6214F">
        <w:lastRenderedPageBreak/>
        <w:t xml:space="preserve">Figure </w:t>
      </w:r>
      <w:r>
        <w:fldChar w:fldCharType="begin"/>
      </w:r>
      <w:r>
        <w:instrText>SEQ Figure \* ARABIC</w:instrText>
      </w:r>
      <w:r>
        <w:fldChar w:fldCharType="separate"/>
      </w:r>
      <w:r w:rsidR="004D0A2C">
        <w:rPr>
          <w:noProof/>
        </w:rPr>
        <w:t>21</w:t>
      </w:r>
      <w:r>
        <w:fldChar w:fldCharType="end"/>
      </w:r>
      <w:r w:rsidR="00834E7C">
        <w:t>:</w:t>
      </w:r>
      <w:r w:rsidRPr="00C6214F">
        <w:t xml:space="preserve"> </w:t>
      </w:r>
      <w:r w:rsidR="00834E7C">
        <w:rPr>
          <w:bCs/>
        </w:rPr>
        <w:t xml:space="preserve">Study D8550C00003 (STORM CHASER trial) </w:t>
      </w:r>
      <w:r w:rsidR="00834E7C">
        <w:t>Time to first SARS-CoV-2 RT</w:t>
      </w:r>
      <w:r w:rsidR="00834E7C">
        <w:noBreakHyphen/>
      </w:r>
      <w:r w:rsidRPr="00C6214F">
        <w:t xml:space="preserve">PCR-positive </w:t>
      </w:r>
      <w:r w:rsidR="00834E7C" w:rsidRPr="00C6214F">
        <w:t xml:space="preserve">symptomatic illness occurring post-dose of </w:t>
      </w:r>
      <w:proofErr w:type="spellStart"/>
      <w:r w:rsidR="00834E7C">
        <w:t>Evusheld</w:t>
      </w:r>
      <w:proofErr w:type="spellEnd"/>
      <w:r w:rsidR="00834E7C">
        <w:t xml:space="preserve"> or placebo;</w:t>
      </w:r>
      <w:r w:rsidRPr="00C6214F">
        <w:t xml:space="preserve"> Kaplan-Meie</w:t>
      </w:r>
      <w:r w:rsidR="00834E7C">
        <w:t>r c</w:t>
      </w:r>
      <w:r w:rsidRPr="00C6214F">
        <w:t xml:space="preserve">urves by </w:t>
      </w:r>
      <w:r w:rsidR="00834E7C">
        <w:t>arm; full analysis set, supplementary analysis</w:t>
      </w:r>
    </w:p>
    <w:p w14:paraId="04F3E0A8" w14:textId="77777777" w:rsidR="00C6214F" w:rsidRPr="00C6214F" w:rsidRDefault="00C6214F" w:rsidP="00C6214F">
      <w:r w:rsidRPr="00C6214F">
        <w:rPr>
          <w:noProof/>
          <w:lang w:val="en-GB" w:eastAsia="en-GB"/>
        </w:rPr>
        <w:drawing>
          <wp:inline distT="0" distB="0" distL="0" distR="0" wp14:anchorId="7340B238" wp14:editId="52032E84">
            <wp:extent cx="5529599" cy="2946138"/>
            <wp:effectExtent l="0" t="0" r="0" b="6985"/>
            <wp:docPr id="47" name="Picture 47" descr="Study D8550C00003 (STORM CHASER trial) Time to first SARS-CoV-2 RT PCR-positive symptomatic illness occurring post-dose of Evusheld or placebo; Kaplan-Meier curves by arm; full analysis set, supplementar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tudy D8550C00003 (STORM CHASER trial) Time to first SARS-CoV-2 RT PCR-positive symptomatic illness occurring post-dose of Evusheld or placebo; Kaplan-Meier curves by arm; full analysis set, supplementary analysi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36535" cy="2949833"/>
                    </a:xfrm>
                    <a:prstGeom prst="rect">
                      <a:avLst/>
                    </a:prstGeom>
                    <a:noFill/>
                    <a:ln>
                      <a:noFill/>
                    </a:ln>
                  </pic:spPr>
                </pic:pic>
              </a:graphicData>
            </a:graphic>
          </wp:inline>
        </w:drawing>
      </w:r>
    </w:p>
    <w:p w14:paraId="2A941A4F" w14:textId="1096E377" w:rsidR="00A216F8" w:rsidRPr="00A216F8" w:rsidRDefault="005A1A35" w:rsidP="00A216F8">
      <w:pPr>
        <w:pStyle w:val="Heading5"/>
      </w:pPr>
      <w:proofErr w:type="spellStart"/>
      <w:r>
        <w:t>Safety</w:t>
      </w:r>
      <w:r w:rsidR="00A216F8">
        <w:t>Safety</w:t>
      </w:r>
      <w:proofErr w:type="spellEnd"/>
      <w:r w:rsidR="00A216F8">
        <w:t xml:space="preserve"> data</w:t>
      </w:r>
    </w:p>
    <w:p w14:paraId="0EC20CF6" w14:textId="4B0047C4" w:rsidR="00A216F8" w:rsidRPr="00A216F8" w:rsidRDefault="00A216F8" w:rsidP="00A216F8">
      <w:pPr>
        <w:pStyle w:val="Heading6"/>
      </w:pPr>
      <w:r>
        <w:t>Prophylaxis</w:t>
      </w:r>
    </w:p>
    <w:p w14:paraId="4577FF0D" w14:textId="77777777" w:rsidR="00A216F8" w:rsidRPr="00A216F8" w:rsidRDefault="00A216F8" w:rsidP="00A216F8">
      <w:r w:rsidRPr="00A216F8">
        <w:t xml:space="preserve">Safety data are available for 5197 participants in </w:t>
      </w:r>
      <w:r>
        <w:t xml:space="preserve">Study D8850C00002 (PROVENT trial) </w:t>
      </w:r>
      <w:r w:rsidRPr="00A216F8">
        <w:t xml:space="preserve">(3461 of whom received </w:t>
      </w:r>
      <w:proofErr w:type="spellStart"/>
      <w:r>
        <w:t>Evusheld</w:t>
      </w:r>
      <w:proofErr w:type="spellEnd"/>
      <w:r w:rsidRPr="00A216F8">
        <w:t xml:space="preserve"> 300 mg IM) and 1121 participants in Study D8550C00003 (STORM CHASER trial) (749 of whom received </w:t>
      </w:r>
      <w:proofErr w:type="spellStart"/>
      <w:r>
        <w:t>Evusheld</w:t>
      </w:r>
      <w:proofErr w:type="spellEnd"/>
      <w:r w:rsidRPr="00A216F8">
        <w:t xml:space="preserve"> 300 mg IM). Safety data are available up to the 6-month </w:t>
      </w:r>
      <w:r>
        <w:t>data cut-off</w:t>
      </w:r>
      <w:r w:rsidRPr="00A216F8">
        <w:t xml:space="preserve">, with a median follow-up in the </w:t>
      </w:r>
      <w:proofErr w:type="spellStart"/>
      <w:r>
        <w:t>Evusheld</w:t>
      </w:r>
      <w:proofErr w:type="spellEnd"/>
      <w:r w:rsidRPr="00A216F8">
        <w:t xml:space="preserve"> arms of 196 days in </w:t>
      </w:r>
      <w:r>
        <w:t xml:space="preserve">the </w:t>
      </w:r>
      <w:r w:rsidRPr="00A216F8">
        <w:t>PROVENT</w:t>
      </w:r>
      <w:r>
        <w:t xml:space="preserve"> trial</w:t>
      </w:r>
      <w:r w:rsidRPr="00A216F8">
        <w:t xml:space="preserve"> and 182 days in</w:t>
      </w:r>
      <w:r>
        <w:t xml:space="preserve"> the</w:t>
      </w:r>
      <w:r w:rsidRPr="00A216F8">
        <w:t xml:space="preserve"> STORM CHASER</w:t>
      </w:r>
      <w:r>
        <w:t xml:space="preserve"> trial</w:t>
      </w:r>
      <w:r w:rsidRPr="00A216F8">
        <w:t>.</w:t>
      </w:r>
    </w:p>
    <w:p w14:paraId="04D77DE7" w14:textId="3B5F09C6" w:rsidR="00A216F8" w:rsidRPr="00A216F8" w:rsidRDefault="00203D20" w:rsidP="00203D20">
      <w:pPr>
        <w:pStyle w:val="Heading6"/>
        <w:rPr>
          <w:b/>
        </w:rPr>
      </w:pPr>
      <w:r>
        <w:t>Supportive</w:t>
      </w:r>
      <w:r w:rsidRPr="00203D20">
        <w:t xml:space="preserve"> </w:t>
      </w:r>
      <w:r w:rsidR="00A216F8" w:rsidRPr="00203D20">
        <w:t>Phase I safety data (healthy adults</w:t>
      </w:r>
      <w:r w:rsidR="00A216F8">
        <w:t>)</w:t>
      </w:r>
    </w:p>
    <w:p w14:paraId="5A05BD17" w14:textId="77777777" w:rsidR="00A216F8" w:rsidRDefault="00A216F8" w:rsidP="00A216F8">
      <w:r w:rsidRPr="00A216F8">
        <w:t xml:space="preserve">Supportive safety data are available at a variety of dose levels and routes of administration (IV and IM) </w:t>
      </w:r>
      <w:r w:rsidR="00203D20">
        <w:t>from Phase I S</w:t>
      </w:r>
      <w:r w:rsidRPr="00A216F8">
        <w:t>tudy D8850C00001</w:t>
      </w:r>
      <w:r w:rsidR="00203D20">
        <w:t xml:space="preserve"> in healthy adults</w:t>
      </w:r>
      <w:r w:rsidRPr="00A216F8">
        <w:t>, with u</w:t>
      </w:r>
      <w:r w:rsidR="00203D20">
        <w:t>p to 271 days median follow up.</w:t>
      </w:r>
    </w:p>
    <w:p w14:paraId="293401B6" w14:textId="77777777" w:rsidR="00203D20" w:rsidRPr="00A216F8" w:rsidRDefault="00203D20" w:rsidP="00203D20">
      <w:pPr>
        <w:pStyle w:val="Heading6"/>
      </w:pPr>
      <w:r>
        <w:t>Pooled safety analyses</w:t>
      </w:r>
    </w:p>
    <w:p w14:paraId="4B325B3D" w14:textId="12D3B161" w:rsidR="00A216F8" w:rsidRDefault="00A216F8" w:rsidP="00A216F8">
      <w:r w:rsidRPr="00A216F8">
        <w:t xml:space="preserve">Pooled safety analyses were limited to </w:t>
      </w:r>
      <w:r w:rsidR="00203D20">
        <w:t>Study D8850C00002 (PROVENT trial)</w:t>
      </w:r>
      <w:r w:rsidRPr="00A216F8">
        <w:t xml:space="preserve"> and </w:t>
      </w:r>
      <w:r w:rsidR="00203D20">
        <w:t>Study </w:t>
      </w:r>
      <w:r w:rsidR="00203D20" w:rsidRPr="00203D20">
        <w:t>D8550C00003 (STORM CHASER trial)</w:t>
      </w:r>
      <w:r w:rsidRPr="00A216F8">
        <w:t xml:space="preserve"> with </w:t>
      </w:r>
      <w:r w:rsidR="00203D20">
        <w:t>data cut-off</w:t>
      </w:r>
      <w:r w:rsidRPr="00A216F8">
        <w:t xml:space="preserve"> da</w:t>
      </w:r>
      <w:r w:rsidR="00203D20">
        <w:t>tes prior to the 6</w:t>
      </w:r>
      <w:r w:rsidR="005A5D62">
        <w:t xml:space="preserve"> </w:t>
      </w:r>
      <w:proofErr w:type="gramStart"/>
      <w:r w:rsidR="00203D20">
        <w:t>month</w:t>
      </w:r>
      <w:proofErr w:type="gramEnd"/>
      <w:r w:rsidR="00203D20">
        <w:t xml:space="preserve"> </w:t>
      </w:r>
      <w:r w:rsidRPr="00A216F8">
        <w:t>follow</w:t>
      </w:r>
      <w:r w:rsidR="005A5D62">
        <w:t xml:space="preserve"> </w:t>
      </w:r>
      <w:r w:rsidRPr="00A216F8">
        <w:t xml:space="preserve">up </w:t>
      </w:r>
      <w:r w:rsidR="00203D20">
        <w:t>data cut off.</w:t>
      </w:r>
    </w:p>
    <w:p w14:paraId="65E30EDF" w14:textId="77777777" w:rsidR="00203D20" w:rsidRPr="00A216F8" w:rsidRDefault="00203D20" w:rsidP="00203D20">
      <w:pPr>
        <w:pStyle w:val="Heading5"/>
      </w:pPr>
      <w:r>
        <w:t>Summary of adverse events</w:t>
      </w:r>
    </w:p>
    <w:p w14:paraId="52BE6770" w14:textId="789C637C" w:rsidR="00A216F8" w:rsidRPr="00A216F8" w:rsidRDefault="00A216F8" w:rsidP="00A216F8">
      <w:r w:rsidRPr="00A216F8">
        <w:t>In healthy adults (Study D8850C00001</w:t>
      </w:r>
      <w:r w:rsidR="007534F7">
        <w:t>; Phase I study in healthy adults</w:t>
      </w:r>
      <w:r w:rsidRPr="00A216F8">
        <w:t xml:space="preserve">) there were generally similar rates of </w:t>
      </w:r>
      <w:r w:rsidR="00203D20">
        <w:t>adverse events</w:t>
      </w:r>
      <w:r w:rsidRPr="00A216F8">
        <w:t xml:space="preserve"> reported between the placebo group and the various </w:t>
      </w:r>
      <w:proofErr w:type="spellStart"/>
      <w:r>
        <w:t>Evusheld</w:t>
      </w:r>
      <w:proofErr w:type="spellEnd"/>
      <w:r w:rsidRPr="00A216F8">
        <w:t xml:space="preserve"> IV dose groups. Only one subject in the </w:t>
      </w:r>
      <w:proofErr w:type="spellStart"/>
      <w:r>
        <w:t>Evusheld</w:t>
      </w:r>
      <w:proofErr w:type="spellEnd"/>
      <w:r w:rsidRPr="00A216F8">
        <w:t xml:space="preserve"> 300mg IM group reported </w:t>
      </w:r>
      <w:r w:rsidR="00203D20">
        <w:t>an adverse event</w:t>
      </w:r>
      <w:r w:rsidR="2663F371">
        <w:t>.</w:t>
      </w:r>
      <w:r w:rsidRPr="00A216F8">
        <w:t xml:space="preserve"> All </w:t>
      </w:r>
      <w:r w:rsidR="00203D20">
        <w:t>adverse events</w:t>
      </w:r>
      <w:r w:rsidRPr="00A216F8">
        <w:t xml:space="preserve"> were mild or moderate. The most fre</w:t>
      </w:r>
      <w:r w:rsidR="005A0B43">
        <w:t>quent was headache (placebo: 2 (20%)</w:t>
      </w:r>
      <w:r w:rsidRPr="00A216F8">
        <w:t xml:space="preserve">, total </w:t>
      </w:r>
      <w:proofErr w:type="spellStart"/>
      <w:r>
        <w:t>Evusheld</w:t>
      </w:r>
      <w:proofErr w:type="spellEnd"/>
      <w:r w:rsidR="007534F7">
        <w:t>: 4 (8%)</w:t>
      </w:r>
      <w:r w:rsidRPr="00A216F8">
        <w:t xml:space="preserve">). There were no deaths or </w:t>
      </w:r>
      <w:r w:rsidR="00203D20">
        <w:t>serious adverse events</w:t>
      </w:r>
      <w:r w:rsidRPr="00A216F8">
        <w:t xml:space="preserve"> reported in the study. One subject in the </w:t>
      </w:r>
      <w:proofErr w:type="spellStart"/>
      <w:r>
        <w:t>Evusheld</w:t>
      </w:r>
      <w:proofErr w:type="spellEnd"/>
      <w:r w:rsidRPr="00A216F8">
        <w:t xml:space="preserve"> 3000mg IV group had </w:t>
      </w:r>
      <w:r w:rsidR="00203D20">
        <w:t>an adverse event</w:t>
      </w:r>
      <w:r w:rsidR="005A0B43">
        <w:t xml:space="preserve"> </w:t>
      </w:r>
      <w:r w:rsidRPr="00A216F8">
        <w:t xml:space="preserve">leading to dose interruption. There was a balance of laboratory results, ECG, and vital signs when comparing </w:t>
      </w:r>
      <w:proofErr w:type="spellStart"/>
      <w:r>
        <w:t>Evusheld</w:t>
      </w:r>
      <w:proofErr w:type="spellEnd"/>
      <w:r w:rsidRPr="00A216F8">
        <w:t xml:space="preserve"> and placebo.</w:t>
      </w:r>
    </w:p>
    <w:p w14:paraId="6D931923" w14:textId="77777777" w:rsidR="00A216F8" w:rsidRPr="00A216F8" w:rsidRDefault="00A216F8" w:rsidP="00A216F8">
      <w:r w:rsidRPr="00A216F8">
        <w:t>No participants reported injection site reacti</w:t>
      </w:r>
      <w:r w:rsidR="005A0B43">
        <w:t>ons or hypersensitivity events.</w:t>
      </w:r>
    </w:p>
    <w:p w14:paraId="3F3851AB" w14:textId="77777777" w:rsidR="00A216F8" w:rsidRPr="00A216F8" w:rsidRDefault="00A216F8" w:rsidP="00A216F8">
      <w:r w:rsidRPr="00A216F8">
        <w:t xml:space="preserve">The overall summary of </w:t>
      </w:r>
      <w:r w:rsidR="00203D20">
        <w:t>adverse events</w:t>
      </w:r>
      <w:r w:rsidRPr="00A216F8">
        <w:t xml:space="preserve"> in this Phase </w:t>
      </w:r>
      <w:r w:rsidR="005A0B43">
        <w:t>I</w:t>
      </w:r>
      <w:r w:rsidR="007534F7">
        <w:t xml:space="preserve"> study is presented below.</w:t>
      </w:r>
    </w:p>
    <w:p w14:paraId="6EA1F3FF" w14:textId="522465F9" w:rsidR="00A216F8" w:rsidRPr="00A216F8" w:rsidRDefault="00A216F8" w:rsidP="007534F7">
      <w:pPr>
        <w:pStyle w:val="TableTitle"/>
      </w:pPr>
      <w:r w:rsidRPr="00A216F8">
        <w:lastRenderedPageBreak/>
        <w:t xml:space="preserve">Table </w:t>
      </w:r>
      <w:r>
        <w:fldChar w:fldCharType="begin"/>
      </w:r>
      <w:r>
        <w:instrText>SEQ Table \* ARABIC</w:instrText>
      </w:r>
      <w:r>
        <w:fldChar w:fldCharType="separate"/>
      </w:r>
      <w:r w:rsidR="004D0A2C">
        <w:rPr>
          <w:noProof/>
        </w:rPr>
        <w:t>25</w:t>
      </w:r>
      <w:r>
        <w:fldChar w:fldCharType="end"/>
      </w:r>
      <w:r w:rsidR="005A0B43">
        <w:t>:</w:t>
      </w:r>
      <w:r w:rsidRPr="00A216F8">
        <w:t xml:space="preserve"> </w:t>
      </w:r>
      <w:r w:rsidR="005A0B43" w:rsidRPr="005A0B43">
        <w:t xml:space="preserve">Study D8850C00001 </w:t>
      </w:r>
      <w:r w:rsidRPr="00A216F8">
        <w:t xml:space="preserve">Overall </w:t>
      </w:r>
      <w:r w:rsidR="005A0B43" w:rsidRPr="00A216F8">
        <w:t xml:space="preserve">summary of </w:t>
      </w:r>
      <w:r w:rsidR="005A0B43">
        <w:t>adverse events</w:t>
      </w:r>
      <w:r w:rsidR="005A0B43" w:rsidRPr="00A216F8">
        <w:t xml:space="preserve"> in any category </w:t>
      </w:r>
      <w:r w:rsidRPr="00A216F8">
        <w:t>(</w:t>
      </w:r>
      <w:r w:rsidR="007534F7" w:rsidRPr="00A216F8">
        <w:t>safety analysis set</w:t>
      </w:r>
      <w:r w:rsidRPr="00A216F8">
        <w:t>)</w:t>
      </w:r>
    </w:p>
    <w:p w14:paraId="561A6689" w14:textId="77777777" w:rsidR="00A216F8" w:rsidRPr="00A216F8" w:rsidRDefault="00A216F8" w:rsidP="00A216F8">
      <w:r w:rsidRPr="00A216F8">
        <w:rPr>
          <w:noProof/>
          <w:lang w:val="en-GB" w:eastAsia="en-GB"/>
        </w:rPr>
        <w:drawing>
          <wp:inline distT="0" distB="0" distL="0" distR="0" wp14:anchorId="5D1DC8E8" wp14:editId="093A51CE">
            <wp:extent cx="5436235" cy="2576195"/>
            <wp:effectExtent l="0" t="0" r="0" b="0"/>
            <wp:docPr id="30" name="Picture 30" descr="Study D8850C00001 Overall summary of adverse events in any categor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tudy D8850C00001 Overall summary of adverse events in any category (safety analysis se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36235" cy="2576195"/>
                    </a:xfrm>
                    <a:prstGeom prst="rect">
                      <a:avLst/>
                    </a:prstGeom>
                    <a:noFill/>
                    <a:ln>
                      <a:noFill/>
                    </a:ln>
                  </pic:spPr>
                </pic:pic>
              </a:graphicData>
            </a:graphic>
          </wp:inline>
        </w:drawing>
      </w:r>
    </w:p>
    <w:p w14:paraId="4DDC7AFF" w14:textId="230ADE45" w:rsidR="00A216F8" w:rsidRPr="00A216F8" w:rsidRDefault="00A216F8" w:rsidP="00A216F8">
      <w:r w:rsidRPr="007534F7">
        <w:t xml:space="preserve">In </w:t>
      </w:r>
      <w:r w:rsidR="007534F7" w:rsidRPr="007534F7">
        <w:t xml:space="preserve">Studies </w:t>
      </w:r>
      <w:r w:rsidR="0087090C" w:rsidRPr="007534F7">
        <w:t>D8550C0000</w:t>
      </w:r>
      <w:r w:rsidR="0087090C">
        <w:t>2</w:t>
      </w:r>
      <w:r w:rsidR="005A5D62">
        <w:t xml:space="preserve"> </w:t>
      </w:r>
      <w:r w:rsidR="0087090C">
        <w:t>and</w:t>
      </w:r>
      <w:r w:rsidR="0087090C" w:rsidRPr="007534F7">
        <w:t xml:space="preserve"> </w:t>
      </w:r>
      <w:r w:rsidR="007534F7" w:rsidRPr="007534F7">
        <w:t xml:space="preserve">D8550C00003 </w:t>
      </w:r>
      <w:r w:rsidR="007534F7">
        <w:t xml:space="preserve">(the </w:t>
      </w:r>
      <w:r w:rsidRPr="00A216F8">
        <w:t>PROVENT</w:t>
      </w:r>
      <w:r>
        <w:t xml:space="preserve"> and</w:t>
      </w:r>
      <w:r w:rsidRPr="00A216F8">
        <w:t xml:space="preserve"> STORM</w:t>
      </w:r>
      <w:r w:rsidR="009D2AE8">
        <w:t xml:space="preserve"> </w:t>
      </w:r>
      <w:r w:rsidRPr="00A216F8">
        <w:t>CHASER</w:t>
      </w:r>
      <w:r>
        <w:t xml:space="preserve"> trials</w:t>
      </w:r>
      <w:r w:rsidR="007534F7">
        <w:t>, respectively)</w:t>
      </w:r>
      <w:r w:rsidRPr="00A216F8">
        <w:t xml:space="preserve">, the overall incidence of </w:t>
      </w:r>
      <w:r w:rsidR="00203D20">
        <w:t>adverse events</w:t>
      </w:r>
      <w:r w:rsidRPr="00A216F8">
        <w:t xml:space="preserve">, </w:t>
      </w:r>
      <w:r w:rsidR="00203D20">
        <w:t>serious adverse events</w:t>
      </w:r>
      <w:r w:rsidRPr="00A216F8">
        <w:t xml:space="preserve">, treatment-related </w:t>
      </w:r>
      <w:r w:rsidR="00203D20">
        <w:t xml:space="preserve">serious adverse </w:t>
      </w:r>
      <w:proofErr w:type="gramStart"/>
      <w:r w:rsidR="00203D20">
        <w:t>events</w:t>
      </w:r>
      <w:proofErr w:type="gramEnd"/>
      <w:r w:rsidRPr="00A216F8">
        <w:t xml:space="preserve"> and </w:t>
      </w:r>
      <w:r w:rsidR="007534F7">
        <w:t xml:space="preserve">deaths were comparable between </w:t>
      </w:r>
      <w:proofErr w:type="spellStart"/>
      <w:r w:rsidR="007534F7">
        <w:t>Evusheld</w:t>
      </w:r>
      <w:proofErr w:type="spellEnd"/>
      <w:r w:rsidR="007534F7">
        <w:t xml:space="preserve"> and placebo arms.</w:t>
      </w:r>
    </w:p>
    <w:p w14:paraId="1E6771B0" w14:textId="75E3FECB" w:rsidR="00A216F8" w:rsidRPr="00A216F8" w:rsidRDefault="00A216F8" w:rsidP="00A216F8">
      <w:pPr>
        <w:rPr>
          <w:b/>
        </w:rPr>
      </w:pPr>
      <w:r w:rsidRPr="00A216F8">
        <w:rPr>
          <w:b/>
        </w:rPr>
        <w:t xml:space="preserve">Table </w:t>
      </w:r>
      <w:r w:rsidRPr="00A216F8">
        <w:rPr>
          <w:b/>
        </w:rPr>
        <w:fldChar w:fldCharType="begin"/>
      </w:r>
      <w:r w:rsidRPr="00A216F8">
        <w:rPr>
          <w:b/>
        </w:rPr>
        <w:instrText xml:space="preserve"> SEQ Table \* ARABIC </w:instrText>
      </w:r>
      <w:r w:rsidRPr="00A216F8">
        <w:rPr>
          <w:b/>
        </w:rPr>
        <w:fldChar w:fldCharType="separate"/>
      </w:r>
      <w:r w:rsidR="004D0A2C">
        <w:rPr>
          <w:b/>
          <w:noProof/>
        </w:rPr>
        <w:t>26</w:t>
      </w:r>
      <w:r w:rsidRPr="00A216F8">
        <w:fldChar w:fldCharType="end"/>
      </w:r>
      <w:r w:rsidR="007534F7">
        <w:t>:</w:t>
      </w:r>
      <w:r w:rsidRPr="00A216F8">
        <w:rPr>
          <w:b/>
        </w:rPr>
        <w:t xml:space="preserve"> </w:t>
      </w:r>
      <w:r w:rsidR="00757861">
        <w:rPr>
          <w:b/>
        </w:rPr>
        <w:t xml:space="preserve">Study </w:t>
      </w:r>
      <w:r w:rsidR="00757861">
        <w:rPr>
          <w:b/>
          <w:bCs/>
        </w:rPr>
        <w:t>D8550C0000</w:t>
      </w:r>
      <w:r w:rsidR="0087090C">
        <w:rPr>
          <w:b/>
          <w:bCs/>
        </w:rPr>
        <w:t>2</w:t>
      </w:r>
      <w:r w:rsidR="00757861" w:rsidRPr="00A216F8">
        <w:rPr>
          <w:b/>
        </w:rPr>
        <w:t xml:space="preserve"> </w:t>
      </w:r>
      <w:r w:rsidR="00757861">
        <w:rPr>
          <w:b/>
        </w:rPr>
        <w:t xml:space="preserve">(PROVENT trial) </w:t>
      </w:r>
      <w:r w:rsidRPr="00A216F8">
        <w:rPr>
          <w:b/>
        </w:rPr>
        <w:t xml:space="preserve">Overall summary of </w:t>
      </w:r>
      <w:r w:rsidR="00203D20">
        <w:rPr>
          <w:b/>
        </w:rPr>
        <w:t>adverse events</w:t>
      </w:r>
      <w:r w:rsidRPr="00A216F8">
        <w:rPr>
          <w:b/>
        </w:rPr>
        <w:t xml:space="preserve">, </w:t>
      </w:r>
      <w:r w:rsidR="00757861">
        <w:rPr>
          <w:b/>
        </w:rPr>
        <w:t>(s</w:t>
      </w:r>
      <w:r w:rsidR="00757861" w:rsidRPr="00A216F8">
        <w:rPr>
          <w:b/>
        </w:rPr>
        <w:t>afety analysis set</w:t>
      </w:r>
      <w:r w:rsidRPr="00A216F8">
        <w:rPr>
          <w:b/>
        </w:rPr>
        <w:t xml:space="preserve">, </w:t>
      </w:r>
      <w:r w:rsidR="00757861">
        <w:rPr>
          <w:b/>
        </w:rPr>
        <w:t>data cut-off</w:t>
      </w:r>
      <w:r w:rsidRPr="00A216F8">
        <w:rPr>
          <w:b/>
        </w:rPr>
        <w:t xml:space="preserve"> </w:t>
      </w:r>
      <w:r w:rsidR="00757861">
        <w:rPr>
          <w:b/>
        </w:rPr>
        <w:t xml:space="preserve">date: </w:t>
      </w:r>
      <w:r w:rsidRPr="00A216F8">
        <w:rPr>
          <w:b/>
        </w:rPr>
        <w:t>29 Aug</w:t>
      </w:r>
      <w:r w:rsidR="00757861">
        <w:rPr>
          <w:b/>
        </w:rPr>
        <w:t>ust</w:t>
      </w:r>
      <w:r w:rsidRPr="00A216F8">
        <w:rPr>
          <w:b/>
        </w:rPr>
        <w:t xml:space="preserve"> 2021)</w:t>
      </w:r>
    </w:p>
    <w:p w14:paraId="018139BE" w14:textId="67FEB0D0" w:rsidR="00A216F8" w:rsidRDefault="00A216F8" w:rsidP="00A216F8">
      <w:r w:rsidRPr="00A216F8">
        <w:rPr>
          <w:noProof/>
          <w:lang w:val="en-GB" w:eastAsia="en-GB"/>
        </w:rPr>
        <w:drawing>
          <wp:inline distT="0" distB="0" distL="0" distR="0" wp14:anchorId="627C2FA6" wp14:editId="2B2FC8C2">
            <wp:extent cx="5270500" cy="3276600"/>
            <wp:effectExtent l="0" t="0" r="6350" b="0"/>
            <wp:docPr id="21" name="Picture 21" descr="Study D8550C00003 (PROVENT trial) Overall summary of adverse events, (safety analysis set, data cut-off date: 29 Augu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tudy D8550C00003 (PROVENT trial) Overall summary of adverse events, (safety analysis set, data cut-off date: 29 August 2021)"/>
                    <pic:cNvPicPr>
                      <a:picLocks noChangeAspect="1" noChangeArrowheads="1"/>
                    </pic:cNvPicPr>
                  </pic:nvPicPr>
                  <pic:blipFill rotWithShape="1">
                    <a:blip r:embed="rId76">
                      <a:extLst>
                        <a:ext uri="{28A0092B-C50C-407E-A947-70E740481C1C}">
                          <a14:useLocalDpi xmlns:a14="http://schemas.microsoft.com/office/drawing/2010/main" val="0"/>
                        </a:ext>
                      </a:extLst>
                    </a:blip>
                    <a:srcRect t="2112" b="7069"/>
                    <a:stretch/>
                  </pic:blipFill>
                  <pic:spPr bwMode="auto">
                    <a:xfrm>
                      <a:off x="0" y="0"/>
                      <a:ext cx="5281831" cy="3283644"/>
                    </a:xfrm>
                    <a:prstGeom prst="rect">
                      <a:avLst/>
                    </a:prstGeom>
                    <a:noFill/>
                    <a:ln>
                      <a:noFill/>
                    </a:ln>
                    <a:extLst>
                      <a:ext uri="{53640926-AAD7-44D8-BBD7-CCE9431645EC}">
                        <a14:shadowObscured xmlns:a14="http://schemas.microsoft.com/office/drawing/2010/main"/>
                      </a:ext>
                    </a:extLst>
                  </pic:spPr>
                </pic:pic>
              </a:graphicData>
            </a:graphic>
          </wp:inline>
        </w:drawing>
      </w:r>
    </w:p>
    <w:p w14:paraId="30D21C24" w14:textId="04FA7CA2" w:rsidR="00722BB8" w:rsidRPr="00A216F8" w:rsidRDefault="00722BB8" w:rsidP="00722BB8">
      <w:pPr>
        <w:pStyle w:val="TableDescription"/>
      </w:pPr>
      <w:r>
        <w:t>a AEs are determined to be ‘related’ to IMP and/are study procedures by the Investigators based on their judgement.</w:t>
      </w:r>
    </w:p>
    <w:p w14:paraId="5590E877" w14:textId="7055857E" w:rsidR="00A216F8" w:rsidRPr="00757861" w:rsidRDefault="00A216F8" w:rsidP="00757861">
      <w:pPr>
        <w:pStyle w:val="TableTitle"/>
        <w:rPr>
          <w:bCs/>
        </w:rPr>
      </w:pPr>
      <w:r w:rsidRPr="00A216F8">
        <w:lastRenderedPageBreak/>
        <w:t xml:space="preserve">Table </w:t>
      </w:r>
      <w:r>
        <w:fldChar w:fldCharType="begin"/>
      </w:r>
      <w:r>
        <w:instrText>SEQ Table \* ARABIC</w:instrText>
      </w:r>
      <w:r>
        <w:fldChar w:fldCharType="separate"/>
      </w:r>
      <w:r w:rsidR="004D0A2C">
        <w:rPr>
          <w:noProof/>
        </w:rPr>
        <w:t>27</w:t>
      </w:r>
      <w:r>
        <w:fldChar w:fldCharType="end"/>
      </w:r>
      <w:r w:rsidR="00757861">
        <w:t xml:space="preserve">: </w:t>
      </w:r>
      <w:r w:rsidR="00757861">
        <w:rPr>
          <w:bCs/>
        </w:rPr>
        <w:t>Study D8550C00003 (STORM CHASER trial)</w:t>
      </w:r>
      <w:r w:rsidRPr="00A216F8">
        <w:t xml:space="preserve"> Summary of </w:t>
      </w:r>
      <w:r w:rsidR="00203D20">
        <w:t>adverse events</w:t>
      </w:r>
      <w:r w:rsidR="00757861">
        <w:t>, (s</w:t>
      </w:r>
      <w:r w:rsidRPr="00A216F8">
        <w:t xml:space="preserve">afety analysis set, 6-month </w:t>
      </w:r>
      <w:r w:rsidR="00757861">
        <w:t>data cut-off date</w:t>
      </w:r>
      <w:r w:rsidRPr="00A216F8">
        <w:t>: 19 Aug</w:t>
      </w:r>
      <w:r w:rsidR="00757861">
        <w:t>ust</w:t>
      </w:r>
      <w:r w:rsidRPr="00A216F8">
        <w:t xml:space="preserve"> 2021)</w:t>
      </w:r>
    </w:p>
    <w:p w14:paraId="33331126" w14:textId="31784B7D" w:rsidR="00A216F8" w:rsidRDefault="00A216F8" w:rsidP="00A216F8">
      <w:r w:rsidRPr="00A216F8">
        <w:rPr>
          <w:noProof/>
          <w:lang w:val="en-GB" w:eastAsia="en-GB"/>
        </w:rPr>
        <w:drawing>
          <wp:inline distT="0" distB="0" distL="0" distR="0" wp14:anchorId="28C9E5BF" wp14:editId="4CEC8CB8">
            <wp:extent cx="5231130" cy="3543300"/>
            <wp:effectExtent l="0" t="0" r="7620" b="0"/>
            <wp:docPr id="25" name="Picture 25" descr="Study D8550C00003 (STORM CHASER trial) Summary of adverse events, (safety analysis set, 6-month data cut-off date: 19 Augu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y D8550C00003 (STORM CHASER trial) Summary of adverse events, (safety analysis set, 6-month data cut-off date: 19 August 2021)"/>
                    <pic:cNvPicPr>
                      <a:picLocks noChangeAspect="1" noChangeArrowheads="1"/>
                    </pic:cNvPicPr>
                  </pic:nvPicPr>
                  <pic:blipFill rotWithShape="1">
                    <a:blip r:embed="rId77">
                      <a:extLst>
                        <a:ext uri="{28A0092B-C50C-407E-A947-70E740481C1C}">
                          <a14:useLocalDpi xmlns:a14="http://schemas.microsoft.com/office/drawing/2010/main" val="0"/>
                        </a:ext>
                      </a:extLst>
                    </a:blip>
                    <a:srcRect b="7070"/>
                    <a:stretch/>
                  </pic:blipFill>
                  <pic:spPr bwMode="auto">
                    <a:xfrm>
                      <a:off x="0" y="0"/>
                      <a:ext cx="5241347" cy="3550220"/>
                    </a:xfrm>
                    <a:prstGeom prst="rect">
                      <a:avLst/>
                    </a:prstGeom>
                    <a:noFill/>
                    <a:ln>
                      <a:noFill/>
                    </a:ln>
                    <a:extLst>
                      <a:ext uri="{53640926-AAD7-44D8-BBD7-CCE9431645EC}">
                        <a14:shadowObscured xmlns:a14="http://schemas.microsoft.com/office/drawing/2010/main"/>
                      </a:ext>
                    </a:extLst>
                  </pic:spPr>
                </pic:pic>
              </a:graphicData>
            </a:graphic>
          </wp:inline>
        </w:drawing>
      </w:r>
    </w:p>
    <w:p w14:paraId="6EF4B6F3" w14:textId="188C05E1" w:rsidR="00722BB8" w:rsidRPr="00A216F8" w:rsidRDefault="00722BB8" w:rsidP="00722BB8">
      <w:pPr>
        <w:pStyle w:val="TableDescription"/>
      </w:pPr>
      <w:r>
        <w:t>a AEs are determined to be ‘related’ to IMP and/are study procedures by the Investigators based on their judgement.</w:t>
      </w:r>
    </w:p>
    <w:p w14:paraId="06DA6ECA" w14:textId="16AB9E82" w:rsidR="00A216F8" w:rsidRPr="00A216F8" w:rsidRDefault="00757861" w:rsidP="009F0E25">
      <w:pPr>
        <w:pStyle w:val="Heading5"/>
      </w:pPr>
      <w:r>
        <w:t>Adverse events</w:t>
      </w:r>
    </w:p>
    <w:p w14:paraId="04D8F5D5" w14:textId="77777777" w:rsidR="00A216F8" w:rsidRPr="00A216F8" w:rsidRDefault="00A216F8" w:rsidP="00A216F8">
      <w:r w:rsidRPr="00A216F8">
        <w:t xml:space="preserve">The overall rate of </w:t>
      </w:r>
      <w:r w:rsidR="00203D20">
        <w:t>adverse events</w:t>
      </w:r>
      <w:r w:rsidRPr="00A216F8">
        <w:t xml:space="preserve"> in </w:t>
      </w:r>
      <w:r w:rsidR="009F0E25">
        <w:t xml:space="preserve">the Study D8850C00002 (PROVENT trial) </w:t>
      </w:r>
      <w:r w:rsidRPr="00A216F8">
        <w:t xml:space="preserve">was similar between </w:t>
      </w:r>
      <w:proofErr w:type="spellStart"/>
      <w:r>
        <w:t>Evusheld</w:t>
      </w:r>
      <w:proofErr w:type="spellEnd"/>
      <w:r w:rsidRPr="00A216F8">
        <w:t xml:space="preserve"> and placebo. The most frequently reported </w:t>
      </w:r>
      <w:r w:rsidR="00203D20">
        <w:t>adverse events</w:t>
      </w:r>
      <w:r w:rsidR="009F0E25">
        <w:t xml:space="preserve"> are presented by Preferred Term (PT)</w:t>
      </w:r>
      <w:r w:rsidRPr="00A216F8">
        <w:t xml:space="preserve"> below. The most common event was headache (</w:t>
      </w:r>
      <w:proofErr w:type="spellStart"/>
      <w:r>
        <w:t>Evusheld</w:t>
      </w:r>
      <w:proofErr w:type="spellEnd"/>
      <w:r w:rsidRPr="00A216F8">
        <w:t>: 7.7%, placebo: 7.5%). Individual P</w:t>
      </w:r>
      <w:r w:rsidR="00FB61B7">
        <w:t xml:space="preserve">referred </w:t>
      </w:r>
      <w:r w:rsidRPr="00A216F8">
        <w:t>T</w:t>
      </w:r>
      <w:r w:rsidR="00FB61B7">
        <w:t>erm</w:t>
      </w:r>
      <w:r w:rsidRPr="00A216F8">
        <w:t xml:space="preserve">s were balanced across the treatment arms, except for COVID-19 </w:t>
      </w:r>
      <w:r w:rsidR="00203D20">
        <w:t>adverse events</w:t>
      </w:r>
      <w:r w:rsidRPr="00A216F8">
        <w:t>, which were more frequent in the placebo group:</w:t>
      </w:r>
    </w:p>
    <w:p w14:paraId="125B9392" w14:textId="48554F55" w:rsidR="00A216F8" w:rsidRPr="00A216F8" w:rsidRDefault="00A216F8" w:rsidP="009F0E25">
      <w:pPr>
        <w:pStyle w:val="TableTitle"/>
      </w:pPr>
      <w:r w:rsidRPr="00A216F8">
        <w:lastRenderedPageBreak/>
        <w:t xml:space="preserve">Table </w:t>
      </w:r>
      <w:r>
        <w:fldChar w:fldCharType="begin"/>
      </w:r>
      <w:r>
        <w:instrText>SEQ Table \* ARABIC</w:instrText>
      </w:r>
      <w:r>
        <w:fldChar w:fldCharType="separate"/>
      </w:r>
      <w:r w:rsidR="004D0A2C">
        <w:rPr>
          <w:noProof/>
        </w:rPr>
        <w:t>28</w:t>
      </w:r>
      <w:r>
        <w:fldChar w:fldCharType="end"/>
      </w:r>
      <w:r w:rsidR="009F0E25">
        <w:t>:</w:t>
      </w:r>
      <w:r w:rsidR="00FB61B7">
        <w:t xml:space="preserve"> Study D8850C00002 (PROVENT tria</w:t>
      </w:r>
      <w:r w:rsidR="009F0E25">
        <w:t>l)</w:t>
      </w:r>
      <w:r w:rsidRPr="00A216F8">
        <w:t xml:space="preserve"> Most </w:t>
      </w:r>
      <w:r w:rsidR="009F0E25" w:rsidRPr="00A216F8">
        <w:t>frequently repo</w:t>
      </w:r>
      <w:r w:rsidR="009F0E25">
        <w:t>rted (≥ 1%) adverse events by Preferred Term (</w:t>
      </w:r>
      <w:r w:rsidR="009F0E25" w:rsidRPr="00A216F8">
        <w:t>safety analysis set, (6-month</w:t>
      </w:r>
      <w:r w:rsidRPr="00A216F8">
        <w:t xml:space="preserve"> </w:t>
      </w:r>
      <w:r w:rsidR="009F0E25">
        <w:t>data cut-off: 29 </w:t>
      </w:r>
      <w:r w:rsidRPr="00A216F8">
        <w:t>Aug</w:t>
      </w:r>
      <w:r w:rsidR="009F0E25">
        <w:t>ust</w:t>
      </w:r>
      <w:r w:rsidRPr="00A216F8">
        <w:t xml:space="preserve"> 2021)</w:t>
      </w:r>
    </w:p>
    <w:p w14:paraId="5E38FB70" w14:textId="77777777" w:rsidR="00A216F8" w:rsidRPr="00A216F8" w:rsidRDefault="00A216F8" w:rsidP="00A216F8">
      <w:r w:rsidRPr="00A216F8">
        <w:rPr>
          <w:noProof/>
          <w:lang w:val="en-GB" w:eastAsia="en-GB"/>
        </w:rPr>
        <w:drawing>
          <wp:inline distT="0" distB="0" distL="0" distR="0" wp14:anchorId="52D8CB44" wp14:editId="23550955">
            <wp:extent cx="5271715" cy="5482583"/>
            <wp:effectExtent l="0" t="0" r="5715" b="4445"/>
            <wp:docPr id="22" name="Picture 22" descr="Study D8850C00002 (PROVENT trial) Most frequently reported (≥ 1%) adverse events by Preferred Term (safety analysis set, (6-month data cut-off: 29 Augu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tudy D8850C00002 (PROVENT trial) Most frequently reported (≥ 1%) adverse events by Preferred Term (safety analysis set, (6-month data cut-off: 29 August 20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82597" cy="5493900"/>
                    </a:xfrm>
                    <a:prstGeom prst="rect">
                      <a:avLst/>
                    </a:prstGeom>
                    <a:noFill/>
                    <a:ln>
                      <a:noFill/>
                    </a:ln>
                  </pic:spPr>
                </pic:pic>
              </a:graphicData>
            </a:graphic>
          </wp:inline>
        </w:drawing>
      </w:r>
    </w:p>
    <w:p w14:paraId="4B12E8C1" w14:textId="5B9B7473" w:rsidR="00A216F8" w:rsidRPr="00A216F8" w:rsidRDefault="00A216F8" w:rsidP="00A216F8">
      <w:r w:rsidRPr="00A216F8">
        <w:t xml:space="preserve">The overall rate of </w:t>
      </w:r>
      <w:r w:rsidR="00203D20">
        <w:t>adverse events</w:t>
      </w:r>
      <w:r w:rsidRPr="00A216F8">
        <w:t xml:space="preserve"> in STORM CHASER was higher </w:t>
      </w:r>
      <w:r>
        <w:t>in the</w:t>
      </w:r>
      <w:r w:rsidRPr="00A216F8">
        <w:t xml:space="preserve"> placebo </w:t>
      </w:r>
      <w:r>
        <w:t xml:space="preserve">arm </w:t>
      </w:r>
      <w:r w:rsidRPr="00A216F8">
        <w:t xml:space="preserve">(42.7%) </w:t>
      </w:r>
      <w:proofErr w:type="spellStart"/>
      <w:r>
        <w:t>comparedwith</w:t>
      </w:r>
      <w:proofErr w:type="spellEnd"/>
      <w:r w:rsidRPr="00A216F8">
        <w:t xml:space="preserve"> </w:t>
      </w:r>
      <w:proofErr w:type="spellStart"/>
      <w:r>
        <w:t>Evusheld</w:t>
      </w:r>
      <w:proofErr w:type="spellEnd"/>
      <w:r w:rsidRPr="00A216F8">
        <w:t xml:space="preserve"> (33.4%). The most common event in both arms was headache: </w:t>
      </w:r>
      <w:proofErr w:type="spellStart"/>
      <w:r>
        <w:t>Evusheld</w:t>
      </w:r>
      <w:proofErr w:type="spellEnd"/>
      <w:r w:rsidRPr="00A216F8">
        <w:t xml:space="preserve"> 8.0%, placebo 11.0%. The most frequently reported </w:t>
      </w:r>
      <w:r w:rsidR="00203D20">
        <w:t>adverse events</w:t>
      </w:r>
      <w:r w:rsidRPr="00A216F8">
        <w:t xml:space="preserve"> are presented by PT below:</w:t>
      </w:r>
    </w:p>
    <w:p w14:paraId="2F7811A0" w14:textId="5BEC5B4B" w:rsidR="00A216F8" w:rsidRPr="00A216F8" w:rsidRDefault="00A216F8" w:rsidP="00FB61B7">
      <w:pPr>
        <w:pStyle w:val="TableTitle"/>
      </w:pPr>
      <w:r w:rsidRPr="00A216F8">
        <w:lastRenderedPageBreak/>
        <w:t xml:space="preserve">Table </w:t>
      </w:r>
      <w:r>
        <w:fldChar w:fldCharType="begin"/>
      </w:r>
      <w:r>
        <w:instrText>SEQ Table \* ARABIC</w:instrText>
      </w:r>
      <w:r>
        <w:fldChar w:fldCharType="separate"/>
      </w:r>
      <w:r w:rsidR="004D0A2C">
        <w:rPr>
          <w:noProof/>
        </w:rPr>
        <w:t>29</w:t>
      </w:r>
      <w:r>
        <w:fldChar w:fldCharType="end"/>
      </w:r>
      <w:r w:rsidR="00FB61B7">
        <w:t>: Study D8850C00003 (STORM CHASER trial)</w:t>
      </w:r>
      <w:r w:rsidRPr="00A216F8">
        <w:t xml:space="preserve"> </w:t>
      </w:r>
      <w:r w:rsidR="00FB61B7">
        <w:t>Most frequently reported (≥ </w:t>
      </w:r>
      <w:r w:rsidR="00FB61B7" w:rsidRPr="00A216F8">
        <w:t xml:space="preserve">1%) </w:t>
      </w:r>
      <w:r w:rsidR="00FB61B7">
        <w:t xml:space="preserve">adverse events by Preferred Term (safety analysis set; </w:t>
      </w:r>
      <w:proofErr w:type="gramStart"/>
      <w:r w:rsidR="00FB61B7">
        <w:t>6 month</w:t>
      </w:r>
      <w:proofErr w:type="gramEnd"/>
      <w:r w:rsidR="00FB61B7">
        <w:t xml:space="preserve"> data </w:t>
      </w:r>
      <w:proofErr w:type="spellStart"/>
      <w:r w:rsidR="00FB61B7">
        <w:t>cutoff</w:t>
      </w:r>
      <w:proofErr w:type="spellEnd"/>
      <w:r w:rsidR="00FB61B7">
        <w:t xml:space="preserve"> date: 19 </w:t>
      </w:r>
      <w:r w:rsidRPr="00A216F8">
        <w:t>Aug</w:t>
      </w:r>
      <w:r w:rsidR="00FB61B7">
        <w:t>ust</w:t>
      </w:r>
      <w:r w:rsidRPr="00A216F8">
        <w:t xml:space="preserve"> 2021)</w:t>
      </w:r>
    </w:p>
    <w:p w14:paraId="2C48F4FA" w14:textId="77777777" w:rsidR="00A216F8" w:rsidRPr="00A216F8" w:rsidRDefault="00A216F8" w:rsidP="00A216F8">
      <w:r w:rsidRPr="00A216F8">
        <w:rPr>
          <w:noProof/>
          <w:lang w:val="en-GB" w:eastAsia="en-GB"/>
        </w:rPr>
        <w:drawing>
          <wp:inline distT="0" distB="0" distL="0" distR="0" wp14:anchorId="6FA20DAE" wp14:editId="793E4040">
            <wp:extent cx="5184251" cy="6632880"/>
            <wp:effectExtent l="0" t="0" r="0" b="0"/>
            <wp:docPr id="26" name="Picture 26" descr="Study D8850C00003 (STORM CHASER trial) Most frequently reported (≥ 1%) adverse events by Preferred Term (safety analysis set; 6 month data cut off date: 19 Augu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tudy D8850C00003 (STORM CHASER trial) Most frequently reported (≥ 1%) adverse events by Preferred Term (safety analysis set; 6 month data cut off date: 19 August 20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93703" cy="6644973"/>
                    </a:xfrm>
                    <a:prstGeom prst="rect">
                      <a:avLst/>
                    </a:prstGeom>
                    <a:noFill/>
                    <a:ln>
                      <a:noFill/>
                    </a:ln>
                  </pic:spPr>
                </pic:pic>
              </a:graphicData>
            </a:graphic>
          </wp:inline>
        </w:drawing>
      </w:r>
    </w:p>
    <w:p w14:paraId="23ED66F9" w14:textId="77777777" w:rsidR="00A216F8" w:rsidRPr="00A216F8" w:rsidRDefault="009A4C3C" w:rsidP="009A4C3C">
      <w:pPr>
        <w:pStyle w:val="Heading6"/>
      </w:pPr>
      <w:r>
        <w:t>A</w:t>
      </w:r>
      <w:r w:rsidR="00203D20">
        <w:t>dverse events</w:t>
      </w:r>
      <w:r w:rsidR="00A216F8" w:rsidRPr="00A216F8">
        <w:t xml:space="preserve"> leading to discontinuation</w:t>
      </w:r>
    </w:p>
    <w:p w14:paraId="6594281C" w14:textId="1A2C7B13" w:rsidR="00A216F8" w:rsidRPr="00A216F8" w:rsidRDefault="00A216F8" w:rsidP="00A216F8">
      <w:r w:rsidRPr="00A216F8">
        <w:t xml:space="preserve">In </w:t>
      </w:r>
      <w:r w:rsidR="009A4C3C">
        <w:t>Study D8850C00002 (</w:t>
      </w:r>
      <w:r w:rsidRPr="00A216F8">
        <w:t>PROVENT</w:t>
      </w:r>
      <w:r w:rsidR="009A4C3C">
        <w:t xml:space="preserve"> trial)</w:t>
      </w:r>
      <w:r w:rsidRPr="00A216F8">
        <w:t xml:space="preserve">, two (0.1%) participants in the </w:t>
      </w:r>
      <w:proofErr w:type="spellStart"/>
      <w:r>
        <w:t>Evusheld</w:t>
      </w:r>
      <w:proofErr w:type="spellEnd"/>
      <w:r w:rsidRPr="00A216F8">
        <w:t xml:space="preserve"> arm discontinued from the study due to </w:t>
      </w:r>
      <w:r w:rsidR="00203D20">
        <w:t>adverse events</w:t>
      </w:r>
      <w:r w:rsidRPr="00A216F8">
        <w:t>, one due to colon cancer stage IV and the other due to cerebrovascular accident. One (0.1%) participant in the placebo arm discontinued from the study due to the</w:t>
      </w:r>
      <w:r w:rsidR="009A4C3C">
        <w:t xml:space="preserve"> </w:t>
      </w:r>
      <w:r w:rsidR="00203D20">
        <w:t>adverse event</w:t>
      </w:r>
      <w:r w:rsidR="009A4C3C">
        <w:t xml:space="preserve"> of </w:t>
      </w:r>
      <w:r w:rsidRPr="00A216F8">
        <w:t>alcoholism.</w:t>
      </w:r>
    </w:p>
    <w:p w14:paraId="2894B956" w14:textId="07A0F78B" w:rsidR="00A216F8" w:rsidRPr="00A216F8" w:rsidRDefault="00A216F8" w:rsidP="009A4C3C">
      <w:pPr>
        <w:pStyle w:val="Heading6"/>
      </w:pPr>
      <w:r w:rsidRPr="00A216F8">
        <w:lastRenderedPageBreak/>
        <w:t xml:space="preserve">In </w:t>
      </w:r>
      <w:r w:rsidR="009A4C3C">
        <w:t>Study D8850C00003 (STORM CHASER trial)</w:t>
      </w:r>
      <w:r w:rsidRPr="00A216F8">
        <w:t xml:space="preserve">, one subject in each arm discontinued study due to </w:t>
      </w:r>
      <w:r w:rsidR="00203D20">
        <w:t>an adverse event</w:t>
      </w:r>
      <w:r w:rsidR="009A4C3C">
        <w:t>.</w:t>
      </w:r>
      <w:r w:rsidRPr="00A216F8">
        <w:t xml:space="preserve"> Both</w:t>
      </w:r>
      <w:r w:rsidR="009A4C3C">
        <w:t xml:space="preserve"> adverse events</w:t>
      </w:r>
      <w:r w:rsidRPr="00A216F8">
        <w:t xml:space="preserve"> resulted in </w:t>
      </w:r>
      <w:proofErr w:type="spellStart"/>
      <w:proofErr w:type="gramStart"/>
      <w:r w:rsidRPr="00A216F8">
        <w:t>death.</w:t>
      </w:r>
      <w:r w:rsidRPr="009A4C3C">
        <w:rPr>
          <w:rStyle w:val="Heading6Char"/>
        </w:rPr>
        <w:t>Adverse</w:t>
      </w:r>
      <w:proofErr w:type="spellEnd"/>
      <w:proofErr w:type="gramEnd"/>
      <w:r w:rsidRPr="00A216F8">
        <w:t xml:space="preserve"> e</w:t>
      </w:r>
      <w:r w:rsidR="008F6A71">
        <w:t>vents of special interest</w:t>
      </w:r>
    </w:p>
    <w:p w14:paraId="6C96E065" w14:textId="77777777" w:rsidR="00A216F8" w:rsidRPr="00A216F8" w:rsidRDefault="008F6A71" w:rsidP="00A216F8">
      <w:r>
        <w:t>Adverse events of special interest</w:t>
      </w:r>
      <w:r w:rsidR="00A216F8" w:rsidRPr="00A216F8">
        <w:t xml:space="preserve"> for </w:t>
      </w:r>
      <w:proofErr w:type="spellStart"/>
      <w:r w:rsidR="00A216F8">
        <w:t>Evusheld</w:t>
      </w:r>
      <w:proofErr w:type="spellEnd"/>
      <w:r w:rsidR="00A216F8" w:rsidRPr="00A216F8">
        <w:t xml:space="preserve"> were defined as anaphylaxis and other serious hypersensitivity reactions, including immune complex disease, and injection site reactions.</w:t>
      </w:r>
    </w:p>
    <w:p w14:paraId="732B7FD2" w14:textId="072AC75D" w:rsidR="00A216F8" w:rsidRPr="00A216F8" w:rsidRDefault="00A216F8" w:rsidP="00A216F8">
      <w:r w:rsidRPr="00A216F8">
        <w:t xml:space="preserve">In </w:t>
      </w:r>
      <w:r w:rsidR="008F6A71">
        <w:t>Study D8850C00002 (PROVENT trial)</w:t>
      </w:r>
      <w:r w:rsidRPr="00A216F8">
        <w:t xml:space="preserve">, these </w:t>
      </w:r>
      <w:r w:rsidR="008F6A71">
        <w:t>adverse events of special interest</w:t>
      </w:r>
      <w:r w:rsidRPr="00A216F8">
        <w:t xml:space="preserve"> were numerically more frequently reported with </w:t>
      </w:r>
      <w:proofErr w:type="spellStart"/>
      <w:r>
        <w:t>Evusheld</w:t>
      </w:r>
      <w:proofErr w:type="spellEnd"/>
      <w:r w:rsidRPr="00A216F8">
        <w:t xml:space="preserve"> (9</w:t>
      </w:r>
      <w:r w:rsidR="008F6A71">
        <w:t>2; 2.7%) than with placebo (37; </w:t>
      </w:r>
      <w:r w:rsidRPr="00A216F8">
        <w:t xml:space="preserve">2.1%). The most common event was injection site pain, reported in 28 (0.8%) subjects with </w:t>
      </w:r>
      <w:proofErr w:type="spellStart"/>
      <w:r>
        <w:t>Evusheld</w:t>
      </w:r>
      <w:proofErr w:type="spellEnd"/>
      <w:r w:rsidRPr="00A216F8">
        <w:t xml:space="preserve"> and 16 (0.9%) with placebo. There was one </w:t>
      </w:r>
      <w:r>
        <w:t>reported</w:t>
      </w:r>
      <w:r w:rsidRPr="00A216F8">
        <w:t xml:space="preserve"> event of anaphylaxis in the </w:t>
      </w:r>
      <w:proofErr w:type="spellStart"/>
      <w:r>
        <w:t>Evusheld</w:t>
      </w:r>
      <w:proofErr w:type="spellEnd"/>
      <w:r w:rsidR="008F6A71">
        <w:t xml:space="preserve"> arm (none in placebo).</w:t>
      </w:r>
      <w:r w:rsidR="0065764F">
        <w:rPr>
          <w:rStyle w:val="FootnoteReference"/>
        </w:rPr>
        <w:footnoteReference w:id="35"/>
      </w:r>
      <w:r w:rsidR="008F6A71">
        <w:t xml:space="preserve"> The FDA Emergency Use Authorization</w:t>
      </w:r>
      <w:r w:rsidRPr="00A216F8">
        <w:t xml:space="preserve"> review (based on an earlier </w:t>
      </w:r>
      <w:r w:rsidR="008F6A71">
        <w:t>data cut-off</w:t>
      </w:r>
      <w:r w:rsidRPr="00A216F8">
        <w:t xml:space="preserve"> which captured 87 and 37 </w:t>
      </w:r>
      <w:r w:rsidR="008F6A71">
        <w:t xml:space="preserve">adverse events of special interest </w:t>
      </w:r>
      <w:r w:rsidRPr="00A216F8">
        <w:t xml:space="preserve">in the </w:t>
      </w:r>
      <w:proofErr w:type="spellStart"/>
      <w:r>
        <w:t>Evusheld</w:t>
      </w:r>
      <w:proofErr w:type="spellEnd"/>
      <w:r w:rsidRPr="00A216F8">
        <w:t xml:space="preserve"> and placebo arms, respectively) noted that all </w:t>
      </w:r>
      <w:r w:rsidR="008F6A71">
        <w:t xml:space="preserve">adverse events of special interest </w:t>
      </w:r>
      <w:r w:rsidRPr="00A216F8">
        <w:t>were mild (93%) or moderate in severity.</w:t>
      </w:r>
      <w:bookmarkStart w:id="53" w:name="_Ref92376289"/>
      <w:r w:rsidRPr="00A216F8">
        <w:rPr>
          <w:vertAlign w:val="superscript"/>
        </w:rPr>
        <w:footnoteReference w:id="36"/>
      </w:r>
      <w:bookmarkEnd w:id="53"/>
    </w:p>
    <w:p w14:paraId="66D38250" w14:textId="3C929235" w:rsidR="00A216F8" w:rsidRPr="00A216F8" w:rsidRDefault="00A216F8" w:rsidP="008F6A71">
      <w:pPr>
        <w:pStyle w:val="TableTitle"/>
      </w:pPr>
      <w:r w:rsidRPr="00A216F8">
        <w:lastRenderedPageBreak/>
        <w:t xml:space="preserve">Table </w:t>
      </w:r>
      <w:r>
        <w:fldChar w:fldCharType="begin"/>
      </w:r>
      <w:r>
        <w:instrText>SEQ Table \* ARABIC</w:instrText>
      </w:r>
      <w:r>
        <w:fldChar w:fldCharType="separate"/>
      </w:r>
      <w:r w:rsidR="004D0A2C">
        <w:rPr>
          <w:noProof/>
        </w:rPr>
        <w:t>30</w:t>
      </w:r>
      <w:r>
        <w:fldChar w:fldCharType="end"/>
      </w:r>
      <w:r w:rsidR="008F6A71">
        <w:t>: Study D8850C00002 (PROVENT trial)</w:t>
      </w:r>
      <w:r w:rsidRPr="00A216F8">
        <w:t xml:space="preserve"> </w:t>
      </w:r>
      <w:r w:rsidR="008F6A71">
        <w:t>Adverse events of special interest</w:t>
      </w:r>
      <w:r w:rsidRPr="00A216F8">
        <w:t xml:space="preserve">, by </w:t>
      </w:r>
      <w:r w:rsidR="008F6A71">
        <w:t>System Organ Class and Preferred Term (</w:t>
      </w:r>
      <w:r w:rsidRPr="00A216F8">
        <w:t xml:space="preserve">Safety Analysis Set, 6-month </w:t>
      </w:r>
      <w:r w:rsidR="008F6A71">
        <w:t xml:space="preserve">data cut-off date: </w:t>
      </w:r>
      <w:r w:rsidRPr="00A216F8">
        <w:t>29 Aug</w:t>
      </w:r>
      <w:r w:rsidR="008F6A71">
        <w:t>ust</w:t>
      </w:r>
      <w:r w:rsidRPr="00A216F8">
        <w:t xml:space="preserve"> 2021)</w:t>
      </w:r>
    </w:p>
    <w:p w14:paraId="5B3B2DF9" w14:textId="77777777" w:rsidR="00A216F8" w:rsidRPr="00A216F8" w:rsidRDefault="00A216F8" w:rsidP="00A216F8">
      <w:r w:rsidRPr="00A216F8">
        <w:rPr>
          <w:noProof/>
          <w:lang w:val="en-GB" w:eastAsia="en-GB"/>
        </w:rPr>
        <w:drawing>
          <wp:inline distT="0" distB="0" distL="0" distR="0" wp14:anchorId="30CE5497" wp14:editId="215CAC20">
            <wp:extent cx="4068000" cy="5396400"/>
            <wp:effectExtent l="0" t="0" r="8890" b="0"/>
            <wp:docPr id="23" name="Picture 23" descr="Study D8850C00002 (PROVENT trial) Adverse events of special interest, by System Organ Class and Preferred Term (Safety Analysis Set, 6-month data cut-off date: 29 August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udy D8850C00002 (PROVENT trial) Adverse events of special interest, by System Organ Class and Preferred Term (Safety Analysis Set, 6-month data cut-off date: 29 August 20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68000" cy="5396400"/>
                    </a:xfrm>
                    <a:prstGeom prst="rect">
                      <a:avLst/>
                    </a:prstGeom>
                    <a:noFill/>
                    <a:ln>
                      <a:noFill/>
                    </a:ln>
                  </pic:spPr>
                </pic:pic>
              </a:graphicData>
            </a:graphic>
          </wp:inline>
        </w:drawing>
      </w:r>
    </w:p>
    <w:p w14:paraId="085F8D6A" w14:textId="77777777" w:rsidR="00A216F8" w:rsidRPr="00A216F8" w:rsidRDefault="00A216F8" w:rsidP="00A216F8">
      <w:r w:rsidRPr="00A216F8">
        <w:rPr>
          <w:noProof/>
          <w:lang w:val="en-GB" w:eastAsia="en-GB"/>
        </w:rPr>
        <w:drawing>
          <wp:inline distT="0" distB="0" distL="0" distR="0" wp14:anchorId="0DDFDC31" wp14:editId="0F65D93E">
            <wp:extent cx="4067113" cy="220091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1">
                      <a:extLst>
                        <a:ext uri="{28A0092B-C50C-407E-A947-70E740481C1C}">
                          <a14:useLocalDpi xmlns:a14="http://schemas.microsoft.com/office/drawing/2010/main" val="0"/>
                        </a:ext>
                      </a:extLst>
                    </a:blip>
                    <a:srcRect t="15070"/>
                    <a:stretch/>
                  </pic:blipFill>
                  <pic:spPr bwMode="auto">
                    <a:xfrm>
                      <a:off x="0" y="0"/>
                      <a:ext cx="4068000" cy="2201390"/>
                    </a:xfrm>
                    <a:prstGeom prst="rect">
                      <a:avLst/>
                    </a:prstGeom>
                    <a:noFill/>
                    <a:ln>
                      <a:noFill/>
                    </a:ln>
                    <a:extLst>
                      <a:ext uri="{53640926-AAD7-44D8-BBD7-CCE9431645EC}">
                        <a14:shadowObscured xmlns:a14="http://schemas.microsoft.com/office/drawing/2010/main"/>
                      </a:ext>
                    </a:extLst>
                  </pic:spPr>
                </pic:pic>
              </a:graphicData>
            </a:graphic>
          </wp:inline>
        </w:drawing>
      </w:r>
    </w:p>
    <w:p w14:paraId="54C0DAD2" w14:textId="77777777" w:rsidR="00A216F8" w:rsidRPr="00A216F8" w:rsidRDefault="00A216F8" w:rsidP="00A216F8">
      <w:r w:rsidRPr="00A216F8">
        <w:t xml:space="preserve">In </w:t>
      </w:r>
      <w:r w:rsidR="008F6A71">
        <w:t>Study D8850C00003 (STORM CHASER trial)</w:t>
      </w:r>
      <w:r w:rsidRPr="00A216F8">
        <w:t xml:space="preserve">, 13 (1.2%) participants had reported at least one </w:t>
      </w:r>
      <w:r w:rsidR="008F6A71">
        <w:t>adverse event of special interest (6 (0.8%)</w:t>
      </w:r>
      <w:r w:rsidRPr="00A216F8">
        <w:t xml:space="preserve"> </w:t>
      </w:r>
      <w:proofErr w:type="spellStart"/>
      <w:r>
        <w:t>Evusheld</w:t>
      </w:r>
      <w:proofErr w:type="spellEnd"/>
      <w:r w:rsidR="008F6A71">
        <w:t xml:space="preserve"> and 7 (1.9%) placebo). </w:t>
      </w:r>
      <w:r w:rsidR="008F6A71">
        <w:lastRenderedPageBreak/>
        <w:t>No </w:t>
      </w:r>
      <w:r w:rsidRPr="00A216F8">
        <w:t>subject reported anaphylaxis or serious hypersensitivity</w:t>
      </w:r>
      <w:r w:rsidR="008F6A71">
        <w:t xml:space="preserve"> reactions at the time of the 6</w:t>
      </w:r>
      <w:r w:rsidR="008F6A71">
        <w:noBreakHyphen/>
      </w:r>
      <w:r w:rsidRPr="00A216F8">
        <w:t xml:space="preserve">month </w:t>
      </w:r>
      <w:r w:rsidR="008F6A71">
        <w:t>data cut-off</w:t>
      </w:r>
      <w:r w:rsidRPr="00A216F8">
        <w:t>.</w:t>
      </w:r>
    </w:p>
    <w:p w14:paraId="79C99ABB" w14:textId="77777777" w:rsidR="00A216F8" w:rsidRPr="00A216F8" w:rsidRDefault="00A216F8" w:rsidP="006A373F">
      <w:pPr>
        <w:pStyle w:val="Heading6"/>
      </w:pPr>
      <w:r w:rsidRPr="00A216F8">
        <w:t>Pooled analysis of hypersensitivity events and injection site reactions</w:t>
      </w:r>
    </w:p>
    <w:p w14:paraId="4641EF85" w14:textId="77777777" w:rsidR="00A216F8" w:rsidRPr="00A216F8" w:rsidRDefault="00A216F8" w:rsidP="00A216F8">
      <w:r w:rsidRPr="00A216F8">
        <w:t>Hypersensitivity related events were analysed based on pooled data (</w:t>
      </w:r>
      <w:r w:rsidR="006A373F">
        <w:t xml:space="preserve">data </w:t>
      </w:r>
      <w:r w:rsidRPr="00A216F8">
        <w:t xml:space="preserve">cut off dates </w:t>
      </w:r>
      <w:r w:rsidR="006A373F">
        <w:t xml:space="preserve">of </w:t>
      </w:r>
      <w:r w:rsidRPr="00A216F8">
        <w:t>29 Jun</w:t>
      </w:r>
      <w:r w:rsidR="006A373F">
        <w:t>e</w:t>
      </w:r>
      <w:r w:rsidRPr="00A216F8">
        <w:t xml:space="preserve"> 2021 for </w:t>
      </w:r>
      <w:r w:rsidR="006A373F">
        <w:t>Study D8850C00002 (PROVENT trial)</w:t>
      </w:r>
      <w:r w:rsidR="006A373F" w:rsidRPr="00A216F8">
        <w:t xml:space="preserve"> </w:t>
      </w:r>
      <w:r w:rsidRPr="00A216F8">
        <w:t>and 19 Jun</w:t>
      </w:r>
      <w:r w:rsidR="006A373F">
        <w:t>e</w:t>
      </w:r>
      <w:r w:rsidRPr="00A216F8">
        <w:t xml:space="preserve"> 2021 for </w:t>
      </w:r>
      <w:r w:rsidR="006A373F">
        <w:t>Study D8850C00003 (STORM CHASER trial)</w:t>
      </w:r>
      <w:r w:rsidRPr="00A216F8">
        <w:t xml:space="preserve">). </w:t>
      </w:r>
      <w:r w:rsidR="006A373F">
        <w:t xml:space="preserve">A search using </w:t>
      </w:r>
      <w:r w:rsidR="006A373F" w:rsidRPr="006A373F">
        <w:rPr>
          <w:i/>
        </w:rPr>
        <w:t>Hypersensitivity</w:t>
      </w:r>
      <w:r w:rsidR="006A373F">
        <w:t xml:space="preserve"> SMQ (Standardised MedDRA Query), </w:t>
      </w:r>
      <w:r w:rsidRPr="00A216F8">
        <w:t>114 non-serious events were reported in 99 subjects in the active arm, out of which 29 were assessed as related and 85 events were assessed as not related by the investigators. All events except for one were mild to moderate in severity. The most frequently reported related events (≥ 3 events) were Injection related reaction (11), Ra</w:t>
      </w:r>
      <w:r w:rsidR="006A373F">
        <w:t>sh (8), and Urticaria (3). The s</w:t>
      </w:r>
      <w:r w:rsidRPr="00A216F8">
        <w:t xml:space="preserve">ponsor could not rule out a </w:t>
      </w:r>
      <w:r w:rsidR="006A373F">
        <w:t>causal relationship, so these 3 Preferred Terms</w:t>
      </w:r>
      <w:r w:rsidRPr="00A216F8">
        <w:t xml:space="preserve"> were added to the core data sheet as </w:t>
      </w:r>
      <w:r w:rsidR="006A373F">
        <w:t>adverse drug reactions</w:t>
      </w:r>
      <w:r w:rsidRPr="00A216F8">
        <w:t>.</w:t>
      </w:r>
    </w:p>
    <w:p w14:paraId="6A8E9742" w14:textId="77777777" w:rsidR="00A216F8" w:rsidRPr="00A216F8" w:rsidRDefault="00A216F8" w:rsidP="00A216F8">
      <w:r w:rsidRPr="00A216F8">
        <w:t>Injection site reactions related events were analysed based on pooled data (</w:t>
      </w:r>
      <w:r w:rsidR="006A373F">
        <w:t xml:space="preserve">data </w:t>
      </w:r>
      <w:r w:rsidRPr="00A216F8">
        <w:t xml:space="preserve">cut off dates </w:t>
      </w:r>
      <w:r w:rsidR="006A373F">
        <w:t xml:space="preserve">of </w:t>
      </w:r>
      <w:r w:rsidRPr="00A216F8">
        <w:t>29 Jun</w:t>
      </w:r>
      <w:r w:rsidR="006A373F">
        <w:t>e</w:t>
      </w:r>
      <w:r w:rsidRPr="00A216F8">
        <w:t xml:space="preserve"> 2021 for </w:t>
      </w:r>
      <w:r w:rsidR="006A373F">
        <w:t>Study D8850C00002 (PROVENT trial)</w:t>
      </w:r>
      <w:r w:rsidR="006A373F" w:rsidRPr="00A216F8">
        <w:t xml:space="preserve"> </w:t>
      </w:r>
      <w:r w:rsidRPr="00A216F8">
        <w:t>and 19 Jun</w:t>
      </w:r>
      <w:r w:rsidR="006A373F">
        <w:t>e</w:t>
      </w:r>
      <w:r w:rsidRPr="00A216F8">
        <w:t xml:space="preserve"> 2021 for </w:t>
      </w:r>
      <w:r w:rsidR="006A373F">
        <w:t>Study D8850C00003 (STORM CHASER trial)</w:t>
      </w:r>
      <w:r w:rsidRPr="00A216F8">
        <w:t>). A search was performed for Injection site reactions High Level Term (HLT) with MedDRA version 24.0. The search identified 80 events of Injection site reactions in 71 subjects. The in</w:t>
      </w:r>
      <w:r w:rsidR="006A373F">
        <w:t>jection site reactions were non </w:t>
      </w:r>
      <w:r w:rsidRPr="00A216F8">
        <w:t>serious and mild (79) to moderate (1) in severity. Of the 51 events considered treatment related by the investigators, the following w</w:t>
      </w:r>
      <w:r w:rsidR="006A373F">
        <w:t>ere most frequently reported (≥ 3 </w:t>
      </w:r>
      <w:r w:rsidRPr="00A216F8">
        <w:t xml:space="preserve">events): Injection site pain (27), Injection site pruritus (5), Injection site erythema (4), Injection site reaction (3), and Injection site induration (3). These </w:t>
      </w:r>
      <w:r w:rsidR="006A373F">
        <w:t>Preferred Terms</w:t>
      </w:r>
      <w:r w:rsidRPr="00A216F8">
        <w:t xml:space="preserve"> are considered potential </w:t>
      </w:r>
      <w:r w:rsidR="006A373F">
        <w:t>adverse drug reactions</w:t>
      </w:r>
      <w:r w:rsidRPr="00A216F8">
        <w:t xml:space="preserve"> for </w:t>
      </w:r>
      <w:proofErr w:type="spellStart"/>
      <w:r>
        <w:t>Evusheld</w:t>
      </w:r>
      <w:proofErr w:type="spellEnd"/>
      <w:r w:rsidRPr="00A216F8">
        <w:t xml:space="preserve"> and have been added to the core data sheet.</w:t>
      </w:r>
    </w:p>
    <w:p w14:paraId="7B4DA5ED" w14:textId="6AA8F7A6" w:rsidR="00A216F8" w:rsidRPr="00A216F8" w:rsidRDefault="00A216F8" w:rsidP="00163F3C">
      <w:pPr>
        <w:pStyle w:val="TableTitle"/>
      </w:pPr>
      <w:r w:rsidRPr="00A216F8">
        <w:t xml:space="preserve">Table </w:t>
      </w:r>
      <w:r>
        <w:fldChar w:fldCharType="begin"/>
      </w:r>
      <w:r>
        <w:instrText>SEQ Table \* ARABIC</w:instrText>
      </w:r>
      <w:r>
        <w:fldChar w:fldCharType="separate"/>
      </w:r>
      <w:r w:rsidR="004D0A2C">
        <w:rPr>
          <w:noProof/>
        </w:rPr>
        <w:t>31</w:t>
      </w:r>
      <w:r>
        <w:fldChar w:fldCharType="end"/>
      </w:r>
      <w:r w:rsidR="006A373F">
        <w:t>:</w:t>
      </w:r>
      <w:r w:rsidRPr="00A216F8">
        <w:t xml:space="preserve"> Summary of hypersensitivity, injection site reactions and injection-related reactions (pooled analysis, </w:t>
      </w:r>
      <w:r w:rsidR="00163F3C">
        <w:t>(</w:t>
      </w:r>
      <w:proofErr w:type="spellStart"/>
      <w:r w:rsidR="00163F3C">
        <w:t>i</w:t>
      </w:r>
      <w:proofErr w:type="spellEnd"/>
      <w:r w:rsidR="00163F3C">
        <w:t>) Study D8850C00002 (PROVENT trial)</w:t>
      </w:r>
      <w:r w:rsidR="00163F3C" w:rsidRPr="00A216F8">
        <w:t xml:space="preserve"> </w:t>
      </w:r>
      <w:r w:rsidRPr="00A216F8">
        <w:t xml:space="preserve">and </w:t>
      </w:r>
      <w:r w:rsidR="00163F3C">
        <w:t>(ii) </w:t>
      </w:r>
      <w:r w:rsidR="00163F3C" w:rsidRPr="00163F3C">
        <w:t>StudyD8850C00003</w:t>
      </w:r>
      <w:r w:rsidR="00163F3C">
        <w:t xml:space="preserve"> (STORM CHASER trial)</w:t>
      </w:r>
      <w:r w:rsidRPr="00A216F8">
        <w:t xml:space="preserve">, </w:t>
      </w:r>
      <w:r w:rsidR="00163F3C">
        <w:t>data cut-off</w:t>
      </w:r>
      <w:r w:rsidRPr="00A216F8">
        <w:t xml:space="preserve"> </w:t>
      </w:r>
      <w:r w:rsidR="00163F3C">
        <w:t>(</w:t>
      </w:r>
      <w:proofErr w:type="spellStart"/>
      <w:r w:rsidR="00163F3C">
        <w:t>i</w:t>
      </w:r>
      <w:proofErr w:type="spellEnd"/>
      <w:r w:rsidR="00163F3C">
        <w:t xml:space="preserve">) </w:t>
      </w:r>
      <w:r w:rsidRPr="00A216F8">
        <w:t>29 Jun</w:t>
      </w:r>
      <w:r w:rsidR="00163F3C">
        <w:t>e</w:t>
      </w:r>
      <w:r w:rsidRPr="00A216F8">
        <w:t xml:space="preserve"> 2021 and </w:t>
      </w:r>
      <w:r w:rsidR="00163F3C">
        <w:t>(ii) 19 </w:t>
      </w:r>
      <w:r w:rsidRPr="00A216F8">
        <w:t>Jun</w:t>
      </w:r>
      <w:r w:rsidR="00163F3C">
        <w:t>e 2021</w:t>
      </w:r>
    </w:p>
    <w:p w14:paraId="6CE364F7" w14:textId="3519C1FE" w:rsidR="00A216F8" w:rsidRDefault="00A216F8" w:rsidP="00A216F8">
      <w:r w:rsidRPr="00A216F8">
        <w:rPr>
          <w:noProof/>
          <w:lang w:val="en-GB" w:eastAsia="en-GB"/>
        </w:rPr>
        <w:drawing>
          <wp:inline distT="0" distB="0" distL="0" distR="0" wp14:anchorId="03283F1B" wp14:editId="65490032">
            <wp:extent cx="5110480" cy="2733675"/>
            <wp:effectExtent l="0" t="0" r="0" b="9525"/>
            <wp:docPr id="29" name="Picture 29" descr="Summary of hypersensitivity, injection site reactions and injection-related reactions (pooled analysis, (i) Study D8850C00002 (PROVENT trial) and (ii) StudyD8850C00003 (STORM CHASER trial), data cut-off (i) 29 June 2021 and (ii) 19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ummary of hypersensitivity, injection site reactions and injection-related reactions (pooled analysis, (i) Study D8850C00002 (PROVENT trial) and (ii) StudyD8850C00003 (STORM CHASER trial), data cut-off (i) 29 June 2021 and (ii) 19 June 2021"/>
                    <pic:cNvPicPr>
                      <a:picLocks noChangeAspect="1" noChangeArrowheads="1"/>
                    </pic:cNvPicPr>
                  </pic:nvPicPr>
                  <pic:blipFill rotWithShape="1">
                    <a:blip r:embed="rId82">
                      <a:extLst>
                        <a:ext uri="{28A0092B-C50C-407E-A947-70E740481C1C}">
                          <a14:useLocalDpi xmlns:a14="http://schemas.microsoft.com/office/drawing/2010/main" val="0"/>
                        </a:ext>
                      </a:extLst>
                    </a:blip>
                    <a:srcRect t="7149" b="5038"/>
                    <a:stretch/>
                  </pic:blipFill>
                  <pic:spPr bwMode="auto">
                    <a:xfrm>
                      <a:off x="0" y="0"/>
                      <a:ext cx="5112000" cy="2734488"/>
                    </a:xfrm>
                    <a:prstGeom prst="rect">
                      <a:avLst/>
                    </a:prstGeom>
                    <a:noFill/>
                    <a:ln>
                      <a:noFill/>
                    </a:ln>
                    <a:extLst>
                      <a:ext uri="{53640926-AAD7-44D8-BBD7-CCE9431645EC}">
                        <a14:shadowObscured xmlns:a14="http://schemas.microsoft.com/office/drawing/2010/main"/>
                      </a:ext>
                    </a:extLst>
                  </pic:spPr>
                </pic:pic>
              </a:graphicData>
            </a:graphic>
          </wp:inline>
        </w:drawing>
      </w:r>
    </w:p>
    <w:p w14:paraId="38340038" w14:textId="19BC5472" w:rsidR="00722BB8" w:rsidRPr="00A216F8" w:rsidRDefault="00722BB8" w:rsidP="00722BB8">
      <w:pPr>
        <w:pStyle w:val="TableDescription"/>
      </w:pPr>
      <w:r>
        <w:t>* Grouped terms</w:t>
      </w:r>
    </w:p>
    <w:p w14:paraId="6AA538E9" w14:textId="77777777" w:rsidR="00A216F8" w:rsidRPr="00A216F8" w:rsidRDefault="00163F3C" w:rsidP="000A2898">
      <w:pPr>
        <w:pStyle w:val="Heading5"/>
      </w:pPr>
      <w:r>
        <w:t>Serious adverse events</w:t>
      </w:r>
    </w:p>
    <w:p w14:paraId="5F85331C" w14:textId="1809EDB4" w:rsidR="00A216F8" w:rsidRPr="00A216F8" w:rsidRDefault="00A216F8" w:rsidP="00A216F8">
      <w:r w:rsidRPr="00A216F8">
        <w:t xml:space="preserve">In </w:t>
      </w:r>
      <w:r w:rsidR="00B4591E">
        <w:t>Study D8850C00002 (PROVENT trial)</w:t>
      </w:r>
      <w:r w:rsidRPr="00A216F8">
        <w:t xml:space="preserve">, </w:t>
      </w:r>
      <w:r w:rsidR="00203D20">
        <w:t>serious adverse events</w:t>
      </w:r>
      <w:r w:rsidRPr="00A216F8">
        <w:t xml:space="preserve"> were slightly more frequently reported with </w:t>
      </w:r>
      <w:proofErr w:type="spellStart"/>
      <w:r>
        <w:t>Evusheld</w:t>
      </w:r>
      <w:proofErr w:type="spellEnd"/>
      <w:r w:rsidRPr="00A216F8">
        <w:t xml:space="preserve"> (130; 3.8%) than placebo (58; 3.3%). There was one treatment-related </w:t>
      </w:r>
      <w:r w:rsidR="00B36413">
        <w:t>serious adverse event</w:t>
      </w:r>
      <w:r w:rsidRPr="00A216F8">
        <w:t xml:space="preserve"> (mesenteric artery thrombosis) in the </w:t>
      </w:r>
      <w:proofErr w:type="spellStart"/>
      <w:r>
        <w:t>Evusheld</w:t>
      </w:r>
      <w:proofErr w:type="spellEnd"/>
      <w:r w:rsidRPr="00A216F8">
        <w:t xml:space="preserve"> arm, and none in the placebo arm. The event had onset Day 7 post study drug and occurred in the context of ischemic segmental colitis </w:t>
      </w:r>
      <w:r w:rsidR="003E5449">
        <w:t xml:space="preserve">on a background of </w:t>
      </w:r>
      <w:r w:rsidR="007F6445">
        <w:t xml:space="preserve">atheromatous </w:t>
      </w:r>
      <w:r w:rsidR="007F6445">
        <w:lastRenderedPageBreak/>
        <w:t xml:space="preserve">overload of vascular vessels </w:t>
      </w:r>
      <w:r w:rsidRPr="00A216F8">
        <w:t xml:space="preserve">which was not considered </w:t>
      </w:r>
      <w:proofErr w:type="gramStart"/>
      <w:r w:rsidRPr="00A216F8">
        <w:t>serious</w:t>
      </w:r>
      <w:proofErr w:type="gramEnd"/>
      <w:r w:rsidRPr="00A216F8">
        <w:t xml:space="preserve"> and which resolved with IV hydrati</w:t>
      </w:r>
      <w:r w:rsidR="00B36413">
        <w:t>on. The patient history (aged 65 ≤ 75 years</w:t>
      </w:r>
      <w:r w:rsidRPr="00A216F8">
        <w:t>, female) included obesity and smoking, as well as past surgery for diverticulosis</w:t>
      </w:r>
      <w:r w:rsidR="007F6445">
        <w:t>,</w:t>
      </w:r>
      <w:r w:rsidRPr="00A216F8">
        <w:t xml:space="preserve"> hiatus hernia</w:t>
      </w:r>
      <w:r w:rsidR="007F6445">
        <w:t xml:space="preserve">, abdominal </w:t>
      </w:r>
      <w:proofErr w:type="gramStart"/>
      <w:r w:rsidR="007F6445">
        <w:t>hysterectomy</w:t>
      </w:r>
      <w:proofErr w:type="gramEnd"/>
      <w:r w:rsidR="007F6445">
        <w:t xml:space="preserve"> and bil</w:t>
      </w:r>
      <w:r w:rsidR="00E10714">
        <w:t xml:space="preserve">ateral </w:t>
      </w:r>
      <w:proofErr w:type="spellStart"/>
      <w:r w:rsidR="00E10714">
        <w:t>salpingo</w:t>
      </w:r>
      <w:proofErr w:type="spellEnd"/>
      <w:r w:rsidR="00E10714">
        <w:t>-oophorectomy</w:t>
      </w:r>
      <w:r>
        <w:t>.</w:t>
      </w:r>
      <w:r w:rsidR="00B36413">
        <w:t xml:space="preserve"> The s</w:t>
      </w:r>
      <w:r w:rsidRPr="00A216F8">
        <w:t>ponsor did not find evidence of a causal relationship between the event and study drug.</w:t>
      </w:r>
    </w:p>
    <w:p w14:paraId="6A23C65A" w14:textId="4A9397CA" w:rsidR="00A216F8" w:rsidRPr="00A216F8" w:rsidRDefault="00A216F8" w:rsidP="00A216F8">
      <w:r w:rsidRPr="00A216F8">
        <w:t xml:space="preserve">In </w:t>
      </w:r>
      <w:r w:rsidR="00B36413">
        <w:t>Study D8850C00003 (STORM CHASER trial)</w:t>
      </w:r>
      <w:r w:rsidRPr="00A216F8">
        <w:t xml:space="preserve">, </w:t>
      </w:r>
      <w:r w:rsidR="00203D20">
        <w:t>serious adverse events</w:t>
      </w:r>
      <w:r w:rsidRPr="00A216F8">
        <w:t xml:space="preserve"> were more frequently reported with placebo (2.4%) than with </w:t>
      </w:r>
      <w:proofErr w:type="spellStart"/>
      <w:r>
        <w:t>Evusheld</w:t>
      </w:r>
      <w:proofErr w:type="spellEnd"/>
      <w:r w:rsidRPr="00A216F8">
        <w:t xml:space="preserve"> (1.7%). None were considered treatment related. No individual </w:t>
      </w:r>
      <w:r w:rsidR="00B36413">
        <w:t>Preferred Term</w:t>
      </w:r>
      <w:r w:rsidRPr="00A216F8">
        <w:t xml:space="preserve"> was reported in more than one subject in each treatment </w:t>
      </w:r>
      <w:proofErr w:type="spellStart"/>
      <w:proofErr w:type="gramStart"/>
      <w:r w:rsidRPr="00A216F8">
        <w:t>arm.No</w:t>
      </w:r>
      <w:proofErr w:type="spellEnd"/>
      <w:proofErr w:type="gramEnd"/>
      <w:r w:rsidRPr="00A216F8">
        <w:t xml:space="preserve"> </w:t>
      </w:r>
      <w:r w:rsidR="00203D20">
        <w:t>serious adverse events</w:t>
      </w:r>
      <w:r w:rsidRPr="00A216F8">
        <w:t xml:space="preserve"> were re</w:t>
      </w:r>
      <w:r w:rsidR="00B36413">
        <w:t>ported in the Phase I</w:t>
      </w:r>
      <w:r w:rsidRPr="00A216F8">
        <w:t xml:space="preserve"> healthy adult study</w:t>
      </w:r>
      <w:r w:rsidR="00232845">
        <w:t xml:space="preserve"> </w:t>
      </w:r>
      <w:r w:rsidR="00B36413">
        <w:t>(Study D88C00001)</w:t>
      </w:r>
      <w:r w:rsidRPr="00A216F8">
        <w:t>.</w:t>
      </w:r>
    </w:p>
    <w:p w14:paraId="797D6580" w14:textId="77777777" w:rsidR="00A216F8" w:rsidRPr="00A216F8" w:rsidRDefault="00B36413" w:rsidP="00B36413">
      <w:pPr>
        <w:pStyle w:val="Heading6"/>
      </w:pPr>
      <w:r>
        <w:t>S</w:t>
      </w:r>
      <w:r w:rsidR="00203D20">
        <w:t>erious adverse events</w:t>
      </w:r>
      <w:r w:rsidR="00A216F8" w:rsidRPr="00A216F8">
        <w:t xml:space="preserve"> of cardiac disorders</w:t>
      </w:r>
    </w:p>
    <w:p w14:paraId="5AABD489" w14:textId="77B3A4D4" w:rsidR="00A216F8" w:rsidRPr="00A216F8" w:rsidRDefault="00A216F8" w:rsidP="00A216F8">
      <w:r w:rsidRPr="00A216F8">
        <w:t xml:space="preserve">In </w:t>
      </w:r>
      <w:r w:rsidR="00B36413">
        <w:t>Study D8850C00002 (PROVENT trial)</w:t>
      </w:r>
      <w:r w:rsidRPr="00A216F8">
        <w:t>, a numerically high and &gt;</w:t>
      </w:r>
      <w:r w:rsidR="00B36413">
        <w:t> </w:t>
      </w:r>
      <w:r w:rsidRPr="00A216F8">
        <w:t xml:space="preserve">2 times the proportion of subjects in the </w:t>
      </w:r>
      <w:proofErr w:type="spellStart"/>
      <w:r>
        <w:t>Evusheld</w:t>
      </w:r>
      <w:proofErr w:type="spellEnd"/>
      <w:r w:rsidRPr="00A216F8">
        <w:t xml:space="preserve"> arm experienced cardiovascular </w:t>
      </w:r>
      <w:r w:rsidR="00203D20">
        <w:t>serious adverse events</w:t>
      </w:r>
      <w:r w:rsidRPr="00A216F8">
        <w:t>, compared to placebo (6 even</w:t>
      </w:r>
      <w:r w:rsidR="00B36413">
        <w:t>ts (0.8%) versus one</w:t>
      </w:r>
      <w:r w:rsidRPr="00A216F8">
        <w:t xml:space="preserve"> event (0.3%))</w:t>
      </w:r>
      <w:r w:rsidR="00B36413">
        <w:t xml:space="preserve"> </w:t>
      </w:r>
      <w:r w:rsidRPr="00A216F8">
        <w:t xml:space="preserve">at </w:t>
      </w:r>
      <w:r w:rsidR="00B36413">
        <w:t>the primary data cut</w:t>
      </w:r>
      <w:r w:rsidR="00B36413">
        <w:noBreakHyphen/>
      </w:r>
      <w:r w:rsidRPr="00A216F8">
        <w:t xml:space="preserve">off </w:t>
      </w:r>
      <w:r w:rsidR="00B36413">
        <w:t xml:space="preserve">date of 5 May 2021; </w:t>
      </w:r>
      <w:r w:rsidRPr="00A216F8">
        <w:t>and (23 events (1.2%) v</w:t>
      </w:r>
      <w:r w:rsidR="00B36413">
        <w:t>ersu</w:t>
      </w:r>
      <w:r w:rsidRPr="00A216F8">
        <w:t xml:space="preserve">s 5 events (0.5%) at </w:t>
      </w:r>
      <w:r w:rsidR="00B36413">
        <w:t>the 6-month data cut off (29 August 2021).</w:t>
      </w:r>
    </w:p>
    <w:p w14:paraId="0D05817C" w14:textId="38FD8157" w:rsidR="00A216F8" w:rsidRPr="00A216F8" w:rsidRDefault="00A216F8" w:rsidP="00A216F8">
      <w:r w:rsidRPr="00A216F8">
        <w:t xml:space="preserve">As per the case narratives, </w:t>
      </w:r>
      <w:proofErr w:type="gramStart"/>
      <w:r w:rsidRPr="00A216F8">
        <w:t>all of</w:t>
      </w:r>
      <w:proofErr w:type="gramEnd"/>
      <w:r w:rsidRPr="00A216F8">
        <w:t xml:space="preserve"> the subjects had pre-existing clinical risk factors. Information on the temporal relationship between the time of dosing and the occurrence of these events was not found</w:t>
      </w:r>
      <w:r w:rsidR="003D15A6">
        <w:t xml:space="preserve">. The sponsor was requested to comment (see </w:t>
      </w:r>
      <w:r w:rsidR="003D15A6">
        <w:fldChar w:fldCharType="begin"/>
      </w:r>
      <w:r w:rsidR="003D15A6">
        <w:instrText xml:space="preserve"> REF _Ref97204483 \h </w:instrText>
      </w:r>
      <w:r w:rsidR="003D15A6">
        <w:fldChar w:fldCharType="separate"/>
      </w:r>
      <w:r w:rsidR="004D0A2C">
        <w:t>Questions for the sponsor</w:t>
      </w:r>
      <w:r w:rsidR="003D15A6">
        <w:fldChar w:fldCharType="end"/>
      </w:r>
      <w:r w:rsidR="003D15A6">
        <w:t>)</w:t>
      </w:r>
      <w:r w:rsidRPr="00A216F8">
        <w:t xml:space="preserve">. None of these events were determined by the investigator as related to the treatment with </w:t>
      </w:r>
      <w:proofErr w:type="spellStart"/>
      <w:r>
        <w:t>Evusheld</w:t>
      </w:r>
      <w:proofErr w:type="spellEnd"/>
      <w:r w:rsidR="00B36413">
        <w:t>.</w:t>
      </w:r>
    </w:p>
    <w:p w14:paraId="2745333C" w14:textId="1E9146A4" w:rsidR="00A216F8" w:rsidRPr="00A216F8" w:rsidRDefault="00A216F8" w:rsidP="00B36413">
      <w:pPr>
        <w:pStyle w:val="TableTitle"/>
      </w:pPr>
      <w:r w:rsidRPr="00A216F8">
        <w:t xml:space="preserve">Table </w:t>
      </w:r>
      <w:r>
        <w:fldChar w:fldCharType="begin"/>
      </w:r>
      <w:r>
        <w:instrText>SEQ Table \* ARABIC</w:instrText>
      </w:r>
      <w:r>
        <w:fldChar w:fldCharType="separate"/>
      </w:r>
      <w:r w:rsidR="004D0A2C">
        <w:rPr>
          <w:noProof/>
        </w:rPr>
        <w:t>32</w:t>
      </w:r>
      <w:r>
        <w:fldChar w:fldCharType="end"/>
      </w:r>
      <w:r w:rsidR="00B36413">
        <w:t>: Study D8850C00002 (PROVENT trial)</w:t>
      </w:r>
      <w:r w:rsidRPr="00A216F8">
        <w:t xml:space="preserve"> Cardiac </w:t>
      </w:r>
      <w:r w:rsidR="00203D20">
        <w:t>serious adverse events</w:t>
      </w:r>
      <w:r w:rsidRPr="00A216F8">
        <w:t xml:space="preserve"> by </w:t>
      </w:r>
      <w:r w:rsidR="00B36413">
        <w:t>Preferred Term</w:t>
      </w:r>
      <w:r w:rsidR="003E5449">
        <w:t xml:space="preserve"> Adjusted by Exposure (in-patient years)</w:t>
      </w:r>
    </w:p>
    <w:p w14:paraId="24CB5FB0" w14:textId="77777777" w:rsidR="00A216F8" w:rsidRPr="00A216F8" w:rsidRDefault="00A216F8" w:rsidP="00A216F8">
      <w:r w:rsidRPr="00A216F8">
        <w:rPr>
          <w:noProof/>
          <w:lang w:val="en-GB" w:eastAsia="en-GB"/>
        </w:rPr>
        <w:drawing>
          <wp:inline distT="0" distB="0" distL="0" distR="0" wp14:anchorId="7535580E" wp14:editId="463998D6">
            <wp:extent cx="5112689" cy="4113427"/>
            <wp:effectExtent l="0" t="0" r="0" b="1905"/>
            <wp:docPr id="81" name="Picture 81" descr="Study D8850C00002 (PROVENT trial) Cardiac serious adverse events by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tudy D8850C00002 (PROVENT trial) Cardiac serious adverse events by Preferred Term"/>
                    <pic:cNvPicPr/>
                  </pic:nvPicPr>
                  <pic:blipFill>
                    <a:blip r:embed="rId83"/>
                    <a:stretch>
                      <a:fillRect/>
                    </a:stretch>
                  </pic:blipFill>
                  <pic:spPr>
                    <a:xfrm>
                      <a:off x="0" y="0"/>
                      <a:ext cx="5124174" cy="4122667"/>
                    </a:xfrm>
                    <a:prstGeom prst="rect">
                      <a:avLst/>
                    </a:prstGeom>
                  </pic:spPr>
                </pic:pic>
              </a:graphicData>
            </a:graphic>
          </wp:inline>
        </w:drawing>
      </w:r>
    </w:p>
    <w:p w14:paraId="7283EE98" w14:textId="77777777" w:rsidR="00A216F8" w:rsidRPr="00A216F8" w:rsidRDefault="00A216F8" w:rsidP="00192700">
      <w:pPr>
        <w:pStyle w:val="Heading6"/>
      </w:pPr>
      <w:r w:rsidRPr="00A216F8">
        <w:lastRenderedPageBreak/>
        <w:t>Temporal relationship for cardiac events</w:t>
      </w:r>
    </w:p>
    <w:p w14:paraId="4A653853" w14:textId="05036469" w:rsidR="00A216F8" w:rsidRPr="00192700" w:rsidRDefault="00A216F8" w:rsidP="00A216F8">
      <w:pPr>
        <w:rPr>
          <w:i/>
        </w:rPr>
      </w:pPr>
      <w:r w:rsidRPr="00A216F8">
        <w:t xml:space="preserve">In </w:t>
      </w:r>
      <w:r w:rsidR="00192700">
        <w:t>Study D8850C00002 (PROVENT trial)</w:t>
      </w:r>
      <w:r w:rsidRPr="00A216F8">
        <w:t>,</w:t>
      </w:r>
      <w:r w:rsidR="00192700">
        <w:t xml:space="preserve"> </w:t>
      </w:r>
      <w:proofErr w:type="gramStart"/>
      <w:r w:rsidR="00192700">
        <w:t>the</w:t>
      </w:r>
      <w:r w:rsidRPr="00A216F8">
        <w:t xml:space="preserve"> </w:t>
      </w:r>
      <w:r w:rsidRPr="00192700">
        <w:rPr>
          <w:i/>
          <w:iCs/>
        </w:rPr>
        <w:t>majority of</w:t>
      </w:r>
      <w:proofErr w:type="gramEnd"/>
      <w:r w:rsidRPr="00192700">
        <w:rPr>
          <w:i/>
          <w:iCs/>
        </w:rPr>
        <w:t xml:space="preserve"> cardiac events (17/31) were reported within 14 days after the commencement of treatment with </w:t>
      </w:r>
      <w:proofErr w:type="spellStart"/>
      <w:r w:rsidRPr="00192700">
        <w:rPr>
          <w:i/>
          <w:iCs/>
        </w:rPr>
        <w:t>Evusheld</w:t>
      </w:r>
      <w:proofErr w:type="spellEnd"/>
      <w:r w:rsidRPr="00192700">
        <w:rPr>
          <w:i/>
        </w:rPr>
        <w:t>.</w:t>
      </w:r>
      <w:r w:rsidRPr="00A216F8">
        <w:t xml:space="preserve"> Most of the ischaemic events also appear to be reported within the 30 days of the commencement of treatment with </w:t>
      </w:r>
      <w:proofErr w:type="spellStart"/>
      <w:r>
        <w:t>Evusheld</w:t>
      </w:r>
      <w:proofErr w:type="spellEnd"/>
      <w:r w:rsidRPr="00A216F8">
        <w:t xml:space="preserve">. </w:t>
      </w:r>
      <w:r w:rsidRPr="00232845">
        <w:rPr>
          <w:iCs/>
        </w:rPr>
        <w:t>No ischaemic events were reported</w:t>
      </w:r>
      <w:r w:rsidR="00192700" w:rsidRPr="00232845">
        <w:rPr>
          <w:iCs/>
        </w:rPr>
        <w:t xml:space="preserve"> in placebo group within the 14 </w:t>
      </w:r>
      <w:r w:rsidRPr="00232845">
        <w:rPr>
          <w:iCs/>
        </w:rPr>
        <w:t>days and overall, a similar trend of ischaemic events was not noted in the placebo group.</w:t>
      </w:r>
    </w:p>
    <w:p w14:paraId="282EB2C7" w14:textId="6C9F64BE" w:rsidR="00A216F8" w:rsidRPr="00A216F8" w:rsidRDefault="00A216F8" w:rsidP="00192700">
      <w:pPr>
        <w:pStyle w:val="TableTitle"/>
      </w:pPr>
      <w:r w:rsidRPr="00A216F8">
        <w:t xml:space="preserve">Table </w:t>
      </w:r>
      <w:r>
        <w:fldChar w:fldCharType="begin"/>
      </w:r>
      <w:r>
        <w:instrText>SEQ Table \* ARABIC</w:instrText>
      </w:r>
      <w:r>
        <w:fldChar w:fldCharType="separate"/>
      </w:r>
      <w:r w:rsidR="004D0A2C">
        <w:rPr>
          <w:noProof/>
        </w:rPr>
        <w:t>33</w:t>
      </w:r>
      <w:r>
        <w:fldChar w:fldCharType="end"/>
      </w:r>
      <w:r w:rsidRPr="00A216F8">
        <w:t xml:space="preserve">: </w:t>
      </w:r>
      <w:r w:rsidR="00192700">
        <w:t>Study D8850C00002 (PROVENT trial)</w:t>
      </w:r>
      <w:r w:rsidRPr="00A216F8">
        <w:t>, Number</w:t>
      </w:r>
      <w:r w:rsidR="00192700" w:rsidRPr="00A216F8">
        <w:t xml:space="preserve"> of participants with cardiac adverse events, onset &lt;</w:t>
      </w:r>
      <w:r w:rsidR="00B8155A">
        <w:t> </w:t>
      </w:r>
      <w:r w:rsidR="00192700" w:rsidRPr="00A216F8">
        <w:t>14 days (safety analysis set)</w:t>
      </w:r>
    </w:p>
    <w:p w14:paraId="228D41FA" w14:textId="77777777" w:rsidR="00A216F8" w:rsidRPr="00A216F8" w:rsidRDefault="00A216F8" w:rsidP="00A216F8">
      <w:r w:rsidRPr="00A216F8">
        <w:rPr>
          <w:noProof/>
          <w:lang w:val="en-GB" w:eastAsia="en-GB"/>
        </w:rPr>
        <w:drawing>
          <wp:inline distT="0" distB="0" distL="0" distR="0" wp14:anchorId="111FE43C" wp14:editId="47147E19">
            <wp:extent cx="5334597" cy="3561715"/>
            <wp:effectExtent l="0" t="0" r="0" b="635"/>
            <wp:docPr id="112" name="Picture 112" descr="Study D8850C00002 (PROVENT trial), Number of participants with cardiac adverse events, onset &lt; 14 day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tudy D8850C00002 (PROVENT trial), Number of participants with cardiac adverse events, onset &lt; 14 days (safety analysis set)"/>
                    <pic:cNvPicPr/>
                  </pic:nvPicPr>
                  <pic:blipFill rotWithShape="1">
                    <a:blip r:embed="rId84"/>
                    <a:srcRect l="3330" r="3583" b="3347"/>
                    <a:stretch/>
                  </pic:blipFill>
                  <pic:spPr bwMode="auto">
                    <a:xfrm>
                      <a:off x="0" y="0"/>
                      <a:ext cx="5335299" cy="3562184"/>
                    </a:xfrm>
                    <a:prstGeom prst="rect">
                      <a:avLst/>
                    </a:prstGeom>
                    <a:ln>
                      <a:noFill/>
                    </a:ln>
                    <a:extLst>
                      <a:ext uri="{53640926-AAD7-44D8-BBD7-CCE9431645EC}">
                        <a14:shadowObscured xmlns:a14="http://schemas.microsoft.com/office/drawing/2010/main"/>
                      </a:ext>
                    </a:extLst>
                  </pic:spPr>
                </pic:pic>
              </a:graphicData>
            </a:graphic>
          </wp:inline>
        </w:drawing>
      </w:r>
    </w:p>
    <w:p w14:paraId="2028EAD0" w14:textId="77777777" w:rsidR="00A216F8" w:rsidRPr="00A216F8" w:rsidRDefault="00A216F8" w:rsidP="00A216F8">
      <w:r w:rsidRPr="00A216F8">
        <w:rPr>
          <w:noProof/>
          <w:lang w:val="en-GB" w:eastAsia="en-GB"/>
        </w:rPr>
        <w:drawing>
          <wp:inline distT="0" distB="0" distL="0" distR="0" wp14:anchorId="445D3770" wp14:editId="5B5E76ED">
            <wp:extent cx="5247861" cy="1924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28067" cy="199056"/>
                    </a:xfrm>
                    <a:prstGeom prst="rect">
                      <a:avLst/>
                    </a:prstGeom>
                  </pic:spPr>
                </pic:pic>
              </a:graphicData>
            </a:graphic>
          </wp:inline>
        </w:drawing>
      </w:r>
    </w:p>
    <w:p w14:paraId="5CC502FB" w14:textId="4A35DA6D" w:rsidR="00A216F8" w:rsidRPr="00B8155A" w:rsidRDefault="00A216F8" w:rsidP="00B8155A">
      <w:pPr>
        <w:pStyle w:val="TableTitle"/>
      </w:pPr>
      <w:r w:rsidRPr="00B8155A">
        <w:t xml:space="preserve">Table </w:t>
      </w:r>
      <w:r>
        <w:fldChar w:fldCharType="begin"/>
      </w:r>
      <w:r>
        <w:instrText>SEQ Table \* ARABIC</w:instrText>
      </w:r>
      <w:r>
        <w:fldChar w:fldCharType="separate"/>
      </w:r>
      <w:r w:rsidR="004D0A2C">
        <w:rPr>
          <w:noProof/>
        </w:rPr>
        <w:t>34</w:t>
      </w:r>
      <w:r>
        <w:fldChar w:fldCharType="end"/>
      </w:r>
      <w:r w:rsidRPr="00B8155A">
        <w:t xml:space="preserve">: </w:t>
      </w:r>
      <w:r w:rsidR="00B8155A" w:rsidRPr="00B8155A">
        <w:t>Study D8850C00002 (PROVENT trial)</w:t>
      </w:r>
      <w:r w:rsidRPr="00B8155A">
        <w:t xml:space="preserve">, Number of </w:t>
      </w:r>
      <w:r w:rsidR="00B8155A" w:rsidRPr="00B8155A">
        <w:t xml:space="preserve">participants with cardiac adverse events, onset </w:t>
      </w:r>
      <w:r w:rsidRPr="00B8155A">
        <w:t>30 to &lt;60 days (</w:t>
      </w:r>
      <w:r w:rsidR="00B8155A" w:rsidRPr="00B8155A">
        <w:t>safety analysis set)</w:t>
      </w:r>
    </w:p>
    <w:p w14:paraId="0D1033B9" w14:textId="77777777" w:rsidR="00A216F8" w:rsidRPr="00A216F8" w:rsidRDefault="00A216F8" w:rsidP="00A216F8">
      <w:r w:rsidRPr="00A216F8">
        <w:rPr>
          <w:noProof/>
          <w:lang w:val="en-GB" w:eastAsia="en-GB"/>
        </w:rPr>
        <w:drawing>
          <wp:inline distT="0" distB="0" distL="0" distR="0" wp14:anchorId="6188838D" wp14:editId="48BD8466">
            <wp:extent cx="5340070" cy="705485"/>
            <wp:effectExtent l="0" t="0" r="0" b="0"/>
            <wp:docPr id="10" name="Picture 10" descr="Study D8850C00002 (PROVENT trial), Number of participants with cardiac adverse events, onset 30 to &lt;60 day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D8850C00002 (PROVENT trial), Number of participants with cardiac adverse events, onset 30 to &lt;60 days (safety analysis set)"/>
                    <pic:cNvPicPr/>
                  </pic:nvPicPr>
                  <pic:blipFill rotWithShape="1">
                    <a:blip r:embed="rId86"/>
                    <a:srcRect l="2469"/>
                    <a:stretch/>
                  </pic:blipFill>
                  <pic:spPr bwMode="auto">
                    <a:xfrm>
                      <a:off x="0" y="0"/>
                      <a:ext cx="5391844" cy="712325"/>
                    </a:xfrm>
                    <a:prstGeom prst="rect">
                      <a:avLst/>
                    </a:prstGeom>
                    <a:ln>
                      <a:noFill/>
                    </a:ln>
                    <a:extLst>
                      <a:ext uri="{53640926-AAD7-44D8-BBD7-CCE9431645EC}">
                        <a14:shadowObscured xmlns:a14="http://schemas.microsoft.com/office/drawing/2010/main"/>
                      </a:ext>
                    </a:extLst>
                  </pic:spPr>
                </pic:pic>
              </a:graphicData>
            </a:graphic>
          </wp:inline>
        </w:drawing>
      </w:r>
    </w:p>
    <w:p w14:paraId="419D0032" w14:textId="77777777" w:rsidR="00A216F8" w:rsidRPr="00A216F8" w:rsidRDefault="00A216F8" w:rsidP="00A216F8">
      <w:r w:rsidRPr="00A216F8">
        <w:rPr>
          <w:noProof/>
          <w:lang w:val="en-GB" w:eastAsia="en-GB"/>
        </w:rPr>
        <w:drawing>
          <wp:inline distT="0" distB="0" distL="0" distR="0" wp14:anchorId="1E55418B" wp14:editId="362BAB43">
            <wp:extent cx="5247640" cy="124766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71809" cy="1253412"/>
                    </a:xfrm>
                    <a:prstGeom prst="rect">
                      <a:avLst/>
                    </a:prstGeom>
                  </pic:spPr>
                </pic:pic>
              </a:graphicData>
            </a:graphic>
          </wp:inline>
        </w:drawing>
      </w:r>
    </w:p>
    <w:p w14:paraId="3F1D5CA6" w14:textId="1AA1648B" w:rsidR="00A216F8" w:rsidRPr="00A216F8" w:rsidRDefault="00A216F8" w:rsidP="00B8155A">
      <w:pPr>
        <w:pStyle w:val="TableTitle"/>
      </w:pPr>
      <w:r w:rsidRPr="00A216F8">
        <w:lastRenderedPageBreak/>
        <w:t xml:space="preserve">Table </w:t>
      </w:r>
      <w:r>
        <w:fldChar w:fldCharType="begin"/>
      </w:r>
      <w:r>
        <w:instrText>SEQ Table \* ARABIC</w:instrText>
      </w:r>
      <w:r>
        <w:fldChar w:fldCharType="separate"/>
      </w:r>
      <w:r w:rsidR="004D0A2C">
        <w:rPr>
          <w:noProof/>
        </w:rPr>
        <w:t>35</w:t>
      </w:r>
      <w:r>
        <w:fldChar w:fldCharType="end"/>
      </w:r>
      <w:r w:rsidRPr="00A216F8">
        <w:t xml:space="preserve">: </w:t>
      </w:r>
      <w:r w:rsidR="00B8155A">
        <w:t>Study D8850C00002 (PROVENT trial)</w:t>
      </w:r>
      <w:r w:rsidRPr="00A216F8">
        <w:t xml:space="preserve"> Number </w:t>
      </w:r>
      <w:r w:rsidR="00B8155A" w:rsidRPr="00A216F8">
        <w:t>of participants with cardiac adverse events, onset 60 to &lt;</w:t>
      </w:r>
      <w:r w:rsidR="00B8155A">
        <w:t xml:space="preserve"> </w:t>
      </w:r>
      <w:r w:rsidR="00B8155A" w:rsidRPr="00A216F8">
        <w:t>90days (safety analysis set)</w:t>
      </w:r>
    </w:p>
    <w:p w14:paraId="56384690" w14:textId="29B47CE3" w:rsidR="004A0A8F" w:rsidRPr="00A216F8" w:rsidRDefault="00A216F8" w:rsidP="00A216F8">
      <w:r w:rsidRPr="00A216F8">
        <w:rPr>
          <w:noProof/>
          <w:lang w:val="en-GB" w:eastAsia="en-GB"/>
        </w:rPr>
        <w:drawing>
          <wp:inline distT="0" distB="0" distL="0" distR="0" wp14:anchorId="33F4F7FF" wp14:editId="4073623D">
            <wp:extent cx="5334000" cy="1255208"/>
            <wp:effectExtent l="0" t="0" r="0" b="2540"/>
            <wp:docPr id="71" name="Picture 71" descr=": Study D8850C00002 (PROVENT trial) Number of participants with cardiac adverse events, onset 60 to &lt; 90day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 Study D8850C00002 (PROVENT trial) Number of participants with cardiac adverse events, onset 60 to &lt; 90days (safety analysis set)"/>
                    <pic:cNvPicPr/>
                  </pic:nvPicPr>
                  <pic:blipFill rotWithShape="1">
                    <a:blip r:embed="rId88"/>
                    <a:srcRect l="2659" t="5760" b="4929"/>
                    <a:stretch/>
                  </pic:blipFill>
                  <pic:spPr bwMode="auto">
                    <a:xfrm>
                      <a:off x="0" y="0"/>
                      <a:ext cx="5396112" cy="1269824"/>
                    </a:xfrm>
                    <a:prstGeom prst="rect">
                      <a:avLst/>
                    </a:prstGeom>
                    <a:ln>
                      <a:noFill/>
                    </a:ln>
                    <a:extLst>
                      <a:ext uri="{53640926-AAD7-44D8-BBD7-CCE9431645EC}">
                        <a14:shadowObscured xmlns:a14="http://schemas.microsoft.com/office/drawing/2010/main"/>
                      </a:ext>
                    </a:extLst>
                  </pic:spPr>
                </pic:pic>
              </a:graphicData>
            </a:graphic>
          </wp:inline>
        </w:drawing>
      </w:r>
    </w:p>
    <w:p w14:paraId="729F1DDE" w14:textId="77777777" w:rsidR="00A216F8" w:rsidRPr="00A216F8" w:rsidRDefault="00A216F8" w:rsidP="00B8155A">
      <w:pPr>
        <w:pStyle w:val="Heading6"/>
      </w:pPr>
      <w:r w:rsidRPr="00A216F8">
        <w:t xml:space="preserve">Magnitude of Cardiac </w:t>
      </w:r>
      <w:r w:rsidR="00203D20">
        <w:t>serious adverse events</w:t>
      </w:r>
    </w:p>
    <w:p w14:paraId="5D49CDB3" w14:textId="5EAF74CA" w:rsidR="00A216F8" w:rsidRPr="00A216F8" w:rsidRDefault="00A216F8" w:rsidP="000A2898">
      <w:pPr>
        <w:pStyle w:val="TableTitle"/>
      </w:pPr>
      <w:r w:rsidRPr="00A216F8">
        <w:t xml:space="preserve">Table </w:t>
      </w:r>
      <w:r>
        <w:fldChar w:fldCharType="begin"/>
      </w:r>
      <w:r>
        <w:instrText>SEQ Table \* ARABIC</w:instrText>
      </w:r>
      <w:r>
        <w:fldChar w:fldCharType="separate"/>
      </w:r>
      <w:r w:rsidR="004D0A2C">
        <w:rPr>
          <w:noProof/>
        </w:rPr>
        <w:t>36</w:t>
      </w:r>
      <w:r>
        <w:fldChar w:fldCharType="end"/>
      </w:r>
      <w:r w:rsidRPr="00A216F8">
        <w:t xml:space="preserve">: </w:t>
      </w:r>
      <w:r w:rsidR="000A2898">
        <w:t>Study D8850C00002 (PROVENT trial)</w:t>
      </w:r>
      <w:r w:rsidRPr="00A216F8">
        <w:t xml:space="preserve"> Number of </w:t>
      </w:r>
      <w:r w:rsidR="000A2898" w:rsidRPr="00A216F8">
        <w:t>participants with cardiac adverse events, maximum reported intensity, with only</w:t>
      </w:r>
      <w:r w:rsidRPr="00A216F8">
        <w:t xml:space="preserve"> Grade 3 or higher </w:t>
      </w:r>
      <w:r w:rsidR="000A2898" w:rsidRPr="00A216F8">
        <w:t>(safety analysis set)</w:t>
      </w:r>
    </w:p>
    <w:p w14:paraId="73653633" w14:textId="77777777" w:rsidR="00A216F8" w:rsidRPr="00A216F8" w:rsidRDefault="00A216F8" w:rsidP="00A216F8">
      <w:r w:rsidRPr="00A216F8">
        <w:rPr>
          <w:noProof/>
          <w:lang w:val="en-GB" w:eastAsia="en-GB"/>
        </w:rPr>
        <w:drawing>
          <wp:inline distT="0" distB="0" distL="0" distR="0" wp14:anchorId="24B5F0BA" wp14:editId="30D45657">
            <wp:extent cx="5731510" cy="3015615"/>
            <wp:effectExtent l="0" t="0" r="2540" b="0"/>
            <wp:docPr id="72" name="Picture 72" descr="Study D8850C00002 (PROVENT trial) Number of participants with cardiac adverse events, maximum reported intensity, with only Grade 3 or higher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udy D8850C00002 (PROVENT trial) Number of participants with cardiac adverse events, maximum reported intensity, with only Grade 3 or higher (safety analysis set)"/>
                    <pic:cNvPicPr/>
                  </pic:nvPicPr>
                  <pic:blipFill>
                    <a:blip r:embed="rId89"/>
                    <a:stretch>
                      <a:fillRect/>
                    </a:stretch>
                  </pic:blipFill>
                  <pic:spPr>
                    <a:xfrm>
                      <a:off x="0" y="0"/>
                      <a:ext cx="5731510" cy="3015615"/>
                    </a:xfrm>
                    <a:prstGeom prst="rect">
                      <a:avLst/>
                    </a:prstGeom>
                  </pic:spPr>
                </pic:pic>
              </a:graphicData>
            </a:graphic>
          </wp:inline>
        </w:drawing>
      </w:r>
    </w:p>
    <w:p w14:paraId="0CDD2B21" w14:textId="77777777" w:rsidR="00A216F8" w:rsidRPr="00A216F8" w:rsidRDefault="00A216F8" w:rsidP="00A216F8">
      <w:r w:rsidRPr="00A216F8">
        <w:rPr>
          <w:noProof/>
          <w:lang w:val="en-GB" w:eastAsia="en-GB"/>
        </w:rPr>
        <w:drawing>
          <wp:inline distT="0" distB="0" distL="0" distR="0" wp14:anchorId="36E34FC9" wp14:editId="4978ADF5">
            <wp:extent cx="5731510" cy="2298700"/>
            <wp:effectExtent l="0" t="0" r="254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2298700"/>
                    </a:xfrm>
                    <a:prstGeom prst="rect">
                      <a:avLst/>
                    </a:prstGeom>
                  </pic:spPr>
                </pic:pic>
              </a:graphicData>
            </a:graphic>
          </wp:inline>
        </w:drawing>
      </w:r>
    </w:p>
    <w:p w14:paraId="1BCC5A58" w14:textId="783D9965" w:rsidR="00A216F8" w:rsidRPr="00A216F8" w:rsidRDefault="00A216F8" w:rsidP="00A216F8">
      <w:r w:rsidRPr="00A216F8">
        <w:t>There was one life</w:t>
      </w:r>
      <w:r w:rsidR="00196CCC">
        <w:t xml:space="preserve"> </w:t>
      </w:r>
      <w:r w:rsidRPr="00A216F8">
        <w:t>threatening or disabling</w:t>
      </w:r>
      <w:r w:rsidR="000A2898">
        <w:t xml:space="preserve"> </w:t>
      </w:r>
      <w:r w:rsidR="00203D20">
        <w:t>adverse event</w:t>
      </w:r>
      <w:r w:rsidR="000A2898">
        <w:t xml:space="preserve"> </w:t>
      </w:r>
      <w:r w:rsidRPr="00A216F8">
        <w:t xml:space="preserve">of </w:t>
      </w:r>
      <w:r w:rsidR="000A2898">
        <w:t>Arrythmia in the placebo group.</w:t>
      </w:r>
    </w:p>
    <w:p w14:paraId="09B2B525" w14:textId="77777777" w:rsidR="00A216F8" w:rsidRPr="00A216F8" w:rsidRDefault="00A216F8" w:rsidP="00A216F8">
      <w:r w:rsidRPr="00A216F8">
        <w:t>In re</w:t>
      </w:r>
      <w:r w:rsidR="000A2898">
        <w:t>sponse to FDA’s questions, the s</w:t>
      </w:r>
      <w:r w:rsidRPr="00A216F8">
        <w:t xml:space="preserve">ponsor considers that no nonclinical evidence or plausible mechanism by which </w:t>
      </w:r>
      <w:proofErr w:type="spellStart"/>
      <w:r>
        <w:t>Evusheld</w:t>
      </w:r>
      <w:proofErr w:type="spellEnd"/>
      <w:r w:rsidRPr="00A216F8">
        <w:t xml:space="preserve"> would impact the risk of cardiovascular events due to the following reasons:</w:t>
      </w:r>
    </w:p>
    <w:p w14:paraId="27DBF162" w14:textId="77777777" w:rsidR="00A216F8" w:rsidRPr="00A216F8" w:rsidRDefault="00A216F8" w:rsidP="000A2898">
      <w:pPr>
        <w:pStyle w:val="ListBullet"/>
      </w:pPr>
      <w:r w:rsidRPr="00A216F8">
        <w:lastRenderedPageBreak/>
        <w:t xml:space="preserve">There are no human targets for </w:t>
      </w:r>
      <w:proofErr w:type="spellStart"/>
      <w:r>
        <w:t>Evusheld</w:t>
      </w:r>
      <w:proofErr w:type="spellEnd"/>
      <w:r w:rsidRPr="00A216F8">
        <w:t>, which has been corroborated by tissue cross-reactivity analysis: no binding to any tissue was o</w:t>
      </w:r>
      <w:r w:rsidR="000A2898">
        <w:t xml:space="preserve">bserved in the full panel of </w:t>
      </w:r>
      <w:r w:rsidR="000A2898" w:rsidRPr="000A2898">
        <w:t>32</w:t>
      </w:r>
      <w:r w:rsidR="000A2898">
        <w:t> </w:t>
      </w:r>
      <w:r w:rsidRPr="000A2898">
        <w:t>human</w:t>
      </w:r>
      <w:r w:rsidRPr="00A216F8">
        <w:t xml:space="preserve"> tissues from 3 independent donors (Study 20250022).</w:t>
      </w:r>
    </w:p>
    <w:p w14:paraId="3BC80522" w14:textId="77777777" w:rsidR="00A216F8" w:rsidRPr="00A216F8" w:rsidRDefault="00A216F8" w:rsidP="000A2898">
      <w:pPr>
        <w:pStyle w:val="ListBullet"/>
      </w:pPr>
      <w:r w:rsidRPr="00A216F8">
        <w:t xml:space="preserve">Cardiovascular safety pharmacology (ECGs, heart rate, body temperature and </w:t>
      </w:r>
      <w:r w:rsidR="000A2898">
        <w:t>blood pressure</w:t>
      </w:r>
      <w:r w:rsidRPr="00A216F8">
        <w:t>) was</w:t>
      </w:r>
      <w:r w:rsidR="000A2898">
        <w:t xml:space="preserve"> assessed in the single dose Good Laboratory Practice</w:t>
      </w:r>
      <w:r w:rsidRPr="00A216F8">
        <w:t xml:space="preserve"> toxicity study in cynomolgus monkeys with </w:t>
      </w:r>
      <w:proofErr w:type="spellStart"/>
      <w:r>
        <w:t>Evusheld</w:t>
      </w:r>
      <w:proofErr w:type="spellEnd"/>
      <w:r w:rsidR="000A2898">
        <w:t>:</w:t>
      </w:r>
    </w:p>
    <w:p w14:paraId="0379BC9A" w14:textId="77777777" w:rsidR="00A216F8" w:rsidRPr="00A216F8" w:rsidRDefault="00A216F8" w:rsidP="000A2898">
      <w:pPr>
        <w:pStyle w:val="ListBullet2"/>
      </w:pPr>
      <w:r w:rsidRPr="00A216F8">
        <w:t xml:space="preserve">A single IV dose of 600 mg/kg of </w:t>
      </w:r>
      <w:proofErr w:type="spellStart"/>
      <w:r>
        <w:t>Evusheld</w:t>
      </w:r>
      <w:proofErr w:type="spellEnd"/>
      <w:r w:rsidRPr="00A216F8">
        <w:t xml:space="preserve"> did not induce any clinical signs, microscopical findings in the cardiovascular system, or effects on ECGs, heart rate, body temperature, or </w:t>
      </w:r>
      <w:r w:rsidR="000A2898">
        <w:t>blood pressure</w:t>
      </w:r>
      <w:r w:rsidRPr="00A216F8">
        <w:t xml:space="preserve"> (Study No. 20249158).</w:t>
      </w:r>
    </w:p>
    <w:p w14:paraId="70450BDA" w14:textId="77777777" w:rsidR="00A216F8" w:rsidRPr="00A216F8" w:rsidRDefault="00A216F8" w:rsidP="000A2898">
      <w:pPr>
        <w:pStyle w:val="ListBullet"/>
      </w:pPr>
      <w:r w:rsidRPr="00A216F8">
        <w:t xml:space="preserve">There were also no adverse reactions observed in non-human primates that received </w:t>
      </w:r>
      <w:proofErr w:type="spellStart"/>
      <w:r>
        <w:t>Evusheld</w:t>
      </w:r>
      <w:proofErr w:type="spellEnd"/>
      <w:r w:rsidRPr="00A216F8">
        <w:t xml:space="preserve"> in SARS-CoV-2 challenge studies.</w:t>
      </w:r>
    </w:p>
    <w:p w14:paraId="23E494F8" w14:textId="77777777" w:rsidR="00A216F8" w:rsidRPr="00A216F8" w:rsidRDefault="00A216F8" w:rsidP="000A2898">
      <w:pPr>
        <w:pStyle w:val="Heading5"/>
      </w:pPr>
      <w:r w:rsidRPr="00A216F8">
        <w:t>Deaths</w:t>
      </w:r>
    </w:p>
    <w:p w14:paraId="1333C1CB" w14:textId="4BBAE0F7" w:rsidR="00A216F8" w:rsidRPr="00A216F8" w:rsidRDefault="00A216F8" w:rsidP="00A216F8">
      <w:pPr>
        <w:rPr>
          <w:u w:val="single"/>
        </w:rPr>
      </w:pPr>
      <w:r w:rsidRPr="00A216F8">
        <w:t xml:space="preserve">In </w:t>
      </w:r>
      <w:r w:rsidR="000A2898">
        <w:t>Study D8850C00002 (PROVENT trial)</w:t>
      </w:r>
      <w:r w:rsidRPr="00A216F8">
        <w:t xml:space="preserve">, the proportion of subjects who died was comparable across </w:t>
      </w:r>
      <w:proofErr w:type="spellStart"/>
      <w:r>
        <w:t>Evusheld</w:t>
      </w:r>
      <w:proofErr w:type="spellEnd"/>
      <w:r w:rsidRPr="00A216F8">
        <w:t xml:space="preserve"> (9 subjects, 0.3%) and placebo (7 subjects, 0.4%) arms. </w:t>
      </w:r>
      <w:r w:rsidR="000A2898">
        <w:t>Four</w:t>
      </w:r>
      <w:r w:rsidRPr="000A2898">
        <w:t xml:space="preserve"> out of 9 events of death i</w:t>
      </w:r>
      <w:r w:rsidR="00FB1339">
        <w:t xml:space="preserve">n the </w:t>
      </w:r>
      <w:proofErr w:type="spellStart"/>
      <w:r w:rsidR="00FB1339">
        <w:t>Evusheld</w:t>
      </w:r>
      <w:proofErr w:type="spellEnd"/>
      <w:r w:rsidR="00FB1339">
        <w:t xml:space="preserve"> arm were due to c</w:t>
      </w:r>
      <w:r w:rsidRPr="000A2898">
        <w:t xml:space="preserve">ardiac </w:t>
      </w:r>
      <w:r w:rsidR="00203D20" w:rsidRPr="000A2898">
        <w:t>serious adverse events</w:t>
      </w:r>
      <w:r w:rsidRPr="000A2898">
        <w:t xml:space="preserve"> and none in placebo. </w:t>
      </w:r>
    </w:p>
    <w:p w14:paraId="439E381A" w14:textId="1720B69C" w:rsidR="00A216F8" w:rsidRPr="00A216F8" w:rsidRDefault="5275E642" w:rsidP="000A2898">
      <w:pPr>
        <w:pStyle w:val="TableTitle"/>
      </w:pPr>
      <w:r>
        <w:t xml:space="preserve">Table </w:t>
      </w:r>
      <w:r w:rsidR="00A216F8">
        <w:fldChar w:fldCharType="begin"/>
      </w:r>
      <w:r w:rsidR="00A216F8">
        <w:instrText>SEQ Table \* ARABIC</w:instrText>
      </w:r>
      <w:r w:rsidR="00A216F8">
        <w:fldChar w:fldCharType="separate"/>
      </w:r>
      <w:r w:rsidR="004D0A2C">
        <w:rPr>
          <w:noProof/>
        </w:rPr>
        <w:t>37</w:t>
      </w:r>
      <w:r w:rsidR="00A216F8">
        <w:fldChar w:fldCharType="end"/>
      </w:r>
      <w:r>
        <w:t xml:space="preserve">: </w:t>
      </w:r>
      <w:r w:rsidR="3774F7CC">
        <w:t xml:space="preserve">Study D8850C00002 (PROVENT trial) </w:t>
      </w:r>
      <w:r>
        <w:t xml:space="preserve">Deaths and </w:t>
      </w:r>
      <w:r w:rsidR="0B110A97">
        <w:t>serious adverse events</w:t>
      </w:r>
      <w:r>
        <w:t xml:space="preserve"> that l</w:t>
      </w:r>
      <w:r w:rsidR="3774F7CC">
        <w:t>ed to an event of death</w:t>
      </w:r>
    </w:p>
    <w:p w14:paraId="27DB0F7E" w14:textId="77777777" w:rsidR="00A216F8" w:rsidRPr="00A216F8" w:rsidRDefault="00A216F8" w:rsidP="00A216F8">
      <w:r w:rsidRPr="00A216F8">
        <w:rPr>
          <w:noProof/>
          <w:lang w:val="en-GB" w:eastAsia="en-GB"/>
        </w:rPr>
        <w:drawing>
          <wp:inline distT="0" distB="0" distL="0" distR="0" wp14:anchorId="35B664F9" wp14:editId="1D0D3D04">
            <wp:extent cx="5731510" cy="5111750"/>
            <wp:effectExtent l="0" t="0" r="2540" b="0"/>
            <wp:docPr id="96" name="Picture 96" descr="Study D8850C00002 (PROVENT trial) Deaths and serious adverse events that led to an event of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tudy D8850C00002 (PROVENT trial) Deaths and serious adverse events that led to an event of death"/>
                    <pic:cNvPicPr/>
                  </pic:nvPicPr>
                  <pic:blipFill>
                    <a:blip r:embed="rId91"/>
                    <a:stretch>
                      <a:fillRect/>
                    </a:stretch>
                  </pic:blipFill>
                  <pic:spPr>
                    <a:xfrm>
                      <a:off x="0" y="0"/>
                      <a:ext cx="5731510" cy="5111750"/>
                    </a:xfrm>
                    <a:prstGeom prst="rect">
                      <a:avLst/>
                    </a:prstGeom>
                  </pic:spPr>
                </pic:pic>
              </a:graphicData>
            </a:graphic>
          </wp:inline>
        </w:drawing>
      </w:r>
    </w:p>
    <w:p w14:paraId="60E6B58F" w14:textId="47154A6F" w:rsidR="00A216F8" w:rsidRPr="00A216F8" w:rsidRDefault="00A216F8" w:rsidP="00A216F8">
      <w:r w:rsidRPr="00A216F8">
        <w:rPr>
          <w:noProof/>
          <w:lang w:val="en-GB" w:eastAsia="en-GB"/>
        </w:rPr>
        <w:lastRenderedPageBreak/>
        <w:drawing>
          <wp:inline distT="0" distB="0" distL="0" distR="0" wp14:anchorId="5E793C93" wp14:editId="62E20CE5">
            <wp:extent cx="5629275" cy="133902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63372" cy="1347137"/>
                    </a:xfrm>
                    <a:prstGeom prst="rect">
                      <a:avLst/>
                    </a:prstGeom>
                  </pic:spPr>
                </pic:pic>
              </a:graphicData>
            </a:graphic>
          </wp:inline>
        </w:drawing>
      </w:r>
    </w:p>
    <w:p w14:paraId="362E8808" w14:textId="77777777" w:rsidR="004D0A2C" w:rsidRDefault="00A216F8" w:rsidP="004D0A2C">
      <w:r w:rsidRPr="00A216F8">
        <w:t xml:space="preserve">In </w:t>
      </w:r>
      <w:r w:rsidR="000A2898">
        <w:t>Study D8850C00003 (STORM CHASER trial)</w:t>
      </w:r>
      <w:r w:rsidR="00305917">
        <w:t xml:space="preserve"> </w:t>
      </w:r>
      <w:r w:rsidRPr="00A216F8">
        <w:t>there we</w:t>
      </w:r>
      <w:r w:rsidR="00305917">
        <w:t>re 3 deaths during the study, 2 </w:t>
      </w:r>
      <w:r w:rsidRPr="00A216F8">
        <w:t xml:space="preserve">(0.3%) in the </w:t>
      </w:r>
      <w:proofErr w:type="spellStart"/>
      <w:r>
        <w:t>Evusheld</w:t>
      </w:r>
      <w:proofErr w:type="spellEnd"/>
      <w:r w:rsidRPr="00A216F8">
        <w:t xml:space="preserve"> arm and 1 (0.3%) in the placebo arm. None of the deaths were known </w:t>
      </w:r>
      <w:r w:rsidR="00305917">
        <w:t>to be related to COVID-19.</w:t>
      </w:r>
      <w:bookmarkStart w:id="54" w:name="_Toc314842514"/>
    </w:p>
    <w:p w14:paraId="641DA65C" w14:textId="5B03A71A" w:rsidR="008E7846" w:rsidRDefault="00386150" w:rsidP="007B6132">
      <w:pPr>
        <w:pStyle w:val="Heading3"/>
        <w:rPr>
          <w:lang w:eastAsia="en-AU"/>
        </w:rPr>
      </w:pPr>
      <w:bookmarkStart w:id="55" w:name="_Toc97646304"/>
      <w:r>
        <w:rPr>
          <w:lang w:eastAsia="en-AU"/>
        </w:rPr>
        <w:t>Risk m</w:t>
      </w:r>
      <w:r w:rsidR="008E7846">
        <w:rPr>
          <w:lang w:eastAsia="en-AU"/>
        </w:rPr>
        <w:t xml:space="preserve">anagement </w:t>
      </w:r>
      <w:r>
        <w:rPr>
          <w:lang w:eastAsia="en-AU"/>
        </w:rPr>
        <w:t>p</w:t>
      </w:r>
      <w:r w:rsidR="008E7846">
        <w:rPr>
          <w:lang w:eastAsia="en-AU"/>
        </w:rPr>
        <w:t>lan</w:t>
      </w:r>
      <w:bookmarkEnd w:id="54"/>
      <w:bookmarkEnd w:id="55"/>
    </w:p>
    <w:p w14:paraId="09ED5127" w14:textId="370D0C93" w:rsidR="009E79C6" w:rsidRDefault="009E79C6" w:rsidP="009E79C6">
      <w:r w:rsidRPr="009E79C6">
        <w:t>AstraZeneca Pty Ltd has submitted Core-</w:t>
      </w:r>
      <w:r>
        <w:t>risk management plan (R</w:t>
      </w:r>
      <w:r w:rsidRPr="009E79C6">
        <w:t>MP</w:t>
      </w:r>
      <w:r>
        <w:t>)</w:t>
      </w:r>
      <w:r w:rsidRPr="009E79C6">
        <w:t xml:space="preserve"> version 1 (date</w:t>
      </w:r>
      <w:r>
        <w:t>d</w:t>
      </w:r>
      <w:r w:rsidRPr="009E79C6">
        <w:t xml:space="preserve"> 12 January 2022; </w:t>
      </w:r>
      <w:r>
        <w:t>data lock point (DLP)</w:t>
      </w:r>
      <w:r w:rsidRPr="009E79C6">
        <w:t xml:space="preserve"> 21 August 2021) and A</w:t>
      </w:r>
      <w:r>
        <w:t>ustralia specific annex (ASA)</w:t>
      </w:r>
      <w:r w:rsidRPr="009E79C6">
        <w:t xml:space="preserve"> version 1.0 succession 2 (date</w:t>
      </w:r>
      <w:r>
        <w:t>d</w:t>
      </w:r>
      <w:r w:rsidRPr="009E79C6">
        <w:t xml:space="preserve"> 19 January 2022) in support of this application. The sponsor stated that currently only a draft EU-RMP is available at this stage, and it only contains the prevention indication. Therefore, the Core-RMP has been submitted.</w:t>
      </w:r>
    </w:p>
    <w:p w14:paraId="602A02E7" w14:textId="5874B57B" w:rsidR="00E7234B" w:rsidRDefault="00E7234B" w:rsidP="00E7234B">
      <w:r>
        <w:t xml:space="preserve">The summary of safety concerns and their associated risk monitoring and mitigation strategies are summarised in </w:t>
      </w:r>
      <w:r w:rsidR="009E79C6">
        <w:fldChar w:fldCharType="begin"/>
      </w:r>
      <w:r w:rsidR="009E79C6">
        <w:instrText xml:space="preserve"> REF _Ref96685571 \h </w:instrText>
      </w:r>
      <w:r w:rsidR="009E79C6">
        <w:fldChar w:fldCharType="separate"/>
      </w:r>
      <w:r w:rsidR="004D0A2C">
        <w:t xml:space="preserve">Table </w:t>
      </w:r>
      <w:r w:rsidR="004D0A2C">
        <w:rPr>
          <w:noProof/>
        </w:rPr>
        <w:t>38</w:t>
      </w:r>
      <w:r w:rsidR="009E79C6">
        <w:fldChar w:fldCharType="end"/>
      </w:r>
      <w:r>
        <w:t>.</w:t>
      </w:r>
      <w:r>
        <w:rPr>
          <w:rStyle w:val="FootnoteReference"/>
        </w:rPr>
        <w:footnoteReference w:id="37"/>
      </w:r>
    </w:p>
    <w:p w14:paraId="0E3EFAD6" w14:textId="2332D3C8" w:rsidR="009D19DB" w:rsidRDefault="009D19DB" w:rsidP="009D19DB">
      <w:pPr>
        <w:pStyle w:val="TableTitle"/>
      </w:pPr>
      <w:bookmarkStart w:id="56" w:name="_Ref96685571"/>
      <w:r>
        <w:t xml:space="preserve">Table </w:t>
      </w:r>
      <w:r>
        <w:fldChar w:fldCharType="begin"/>
      </w:r>
      <w:r>
        <w:instrText>SEQ Table \* ARABIC</w:instrText>
      </w:r>
      <w:r>
        <w:fldChar w:fldCharType="separate"/>
      </w:r>
      <w:r w:rsidR="004D0A2C">
        <w:rPr>
          <w:noProof/>
        </w:rPr>
        <w:t>38</w:t>
      </w:r>
      <w:r>
        <w:fldChar w:fldCharType="end"/>
      </w:r>
      <w:bookmarkEnd w:id="56"/>
      <w:r>
        <w:t>: Summary of safety concerns</w:t>
      </w:r>
    </w:p>
    <w:tbl>
      <w:tblPr>
        <w:tblStyle w:val="TableTGAblue"/>
        <w:tblW w:w="5000" w:type="pct"/>
        <w:tblLayout w:type="fixed"/>
        <w:tblLook w:val="04A0" w:firstRow="1" w:lastRow="0" w:firstColumn="1" w:lastColumn="0" w:noHBand="0" w:noVBand="1"/>
      </w:tblPr>
      <w:tblGrid>
        <w:gridCol w:w="1554"/>
        <w:gridCol w:w="2127"/>
        <w:gridCol w:w="1135"/>
        <w:gridCol w:w="1277"/>
        <w:gridCol w:w="1135"/>
        <w:gridCol w:w="1266"/>
      </w:tblGrid>
      <w:tr w:rsidR="009E79C6" w:rsidRPr="00BF52F4" w14:paraId="5C1774D1" w14:textId="77777777" w:rsidTr="009E79C6">
        <w:trPr>
          <w:cnfStyle w:val="100000000000" w:firstRow="1" w:lastRow="0" w:firstColumn="0" w:lastColumn="0" w:oddVBand="0" w:evenVBand="0" w:oddHBand="0" w:evenHBand="0" w:firstRowFirstColumn="0" w:firstRowLastColumn="0" w:lastRowFirstColumn="0" w:lastRowLastColumn="0"/>
          <w:trHeight w:val="131"/>
        </w:trPr>
        <w:tc>
          <w:tcPr>
            <w:tcW w:w="2167" w:type="pct"/>
            <w:gridSpan w:val="2"/>
            <w:vMerge w:val="restart"/>
            <w:tcBorders>
              <w:top w:val="single" w:sz="4" w:space="0" w:color="auto"/>
              <w:left w:val="single" w:sz="4" w:space="0" w:color="auto"/>
              <w:bottom w:val="single" w:sz="4" w:space="0" w:color="auto"/>
              <w:right w:val="single" w:sz="4" w:space="0" w:color="auto"/>
            </w:tcBorders>
          </w:tcPr>
          <w:p w14:paraId="29C1AA5F" w14:textId="77777777" w:rsidR="009E79C6" w:rsidRPr="00BF52F4" w:rsidRDefault="009E79C6" w:rsidP="009E79C6">
            <w:pPr>
              <w:pStyle w:val="Tabletext"/>
              <w:ind w:left="0"/>
              <w:rPr>
                <w:b w:val="0"/>
              </w:rPr>
            </w:pPr>
            <w:r w:rsidRPr="00BF52F4">
              <w:t>Summary of safety concerns</w:t>
            </w:r>
          </w:p>
        </w:tc>
        <w:tc>
          <w:tcPr>
            <w:tcW w:w="1420" w:type="pct"/>
            <w:gridSpan w:val="2"/>
            <w:tcBorders>
              <w:top w:val="single" w:sz="4" w:space="0" w:color="auto"/>
              <w:left w:val="single" w:sz="4" w:space="0" w:color="auto"/>
              <w:bottom w:val="single" w:sz="4" w:space="0" w:color="auto"/>
              <w:right w:val="single" w:sz="4" w:space="0" w:color="auto"/>
            </w:tcBorders>
          </w:tcPr>
          <w:p w14:paraId="05B1D61B" w14:textId="77777777" w:rsidR="009E79C6" w:rsidRPr="00BF52F4" w:rsidRDefault="009E79C6" w:rsidP="009E79C6">
            <w:pPr>
              <w:pStyle w:val="Tabletext"/>
              <w:ind w:left="0"/>
              <w:rPr>
                <w:b w:val="0"/>
                <w:sz w:val="18"/>
              </w:rPr>
            </w:pPr>
            <w:r w:rsidRPr="00BF52F4">
              <w:rPr>
                <w:sz w:val="18"/>
              </w:rPr>
              <w:t>Pharmacovigilance</w:t>
            </w:r>
          </w:p>
        </w:tc>
        <w:tc>
          <w:tcPr>
            <w:tcW w:w="1413" w:type="pct"/>
            <w:gridSpan w:val="2"/>
            <w:tcBorders>
              <w:top w:val="single" w:sz="4" w:space="0" w:color="auto"/>
              <w:left w:val="single" w:sz="4" w:space="0" w:color="auto"/>
              <w:bottom w:val="single" w:sz="4" w:space="0" w:color="auto"/>
              <w:right w:val="single" w:sz="4" w:space="0" w:color="auto"/>
            </w:tcBorders>
          </w:tcPr>
          <w:p w14:paraId="126F8A40" w14:textId="77777777" w:rsidR="009E79C6" w:rsidRPr="00BF52F4" w:rsidRDefault="009E79C6" w:rsidP="009E79C6">
            <w:pPr>
              <w:pStyle w:val="Tabletext"/>
              <w:rPr>
                <w:b w:val="0"/>
                <w:sz w:val="18"/>
              </w:rPr>
            </w:pPr>
            <w:r w:rsidRPr="00BF52F4">
              <w:rPr>
                <w:sz w:val="18"/>
              </w:rPr>
              <w:t>Risk Minimisation</w:t>
            </w:r>
          </w:p>
        </w:tc>
      </w:tr>
      <w:tr w:rsidR="009E79C6" w:rsidRPr="00BF52F4" w14:paraId="53D6D73D" w14:textId="77777777" w:rsidTr="009E79C6">
        <w:trPr>
          <w:trHeight w:val="150"/>
        </w:trPr>
        <w:tc>
          <w:tcPr>
            <w:tcW w:w="2167" w:type="pct"/>
            <w:gridSpan w:val="2"/>
            <w:vMerge/>
            <w:tcBorders>
              <w:top w:val="single" w:sz="4" w:space="0" w:color="auto"/>
              <w:left w:val="single" w:sz="4" w:space="0" w:color="auto"/>
              <w:bottom w:val="single" w:sz="4" w:space="0" w:color="auto"/>
              <w:right w:val="single" w:sz="4" w:space="0" w:color="auto"/>
            </w:tcBorders>
          </w:tcPr>
          <w:p w14:paraId="0AE95F47" w14:textId="77777777" w:rsidR="009E79C6" w:rsidRPr="00BF52F4" w:rsidRDefault="009E79C6" w:rsidP="009E79C6">
            <w:pPr>
              <w:pStyle w:val="Tabletext"/>
              <w:rPr>
                <w:b/>
              </w:rPr>
            </w:pPr>
          </w:p>
        </w:tc>
        <w:tc>
          <w:tcPr>
            <w:tcW w:w="668" w:type="pct"/>
            <w:tcBorders>
              <w:top w:val="single" w:sz="4" w:space="0" w:color="auto"/>
              <w:left w:val="single" w:sz="4" w:space="0" w:color="auto"/>
              <w:bottom w:val="single" w:sz="4" w:space="0" w:color="auto"/>
              <w:right w:val="single" w:sz="4" w:space="0" w:color="auto"/>
            </w:tcBorders>
            <w:shd w:val="clear" w:color="auto" w:fill="006DA7"/>
          </w:tcPr>
          <w:p w14:paraId="35F8E91B" w14:textId="77777777" w:rsidR="009E79C6" w:rsidRPr="009E79C6" w:rsidRDefault="009E79C6" w:rsidP="009E79C6">
            <w:pPr>
              <w:pStyle w:val="Tabletext"/>
              <w:ind w:left="0"/>
              <w:rPr>
                <w:b/>
                <w:bCs/>
                <w:color w:val="FFFFFF" w:themeColor="background1"/>
                <w:sz w:val="18"/>
              </w:rPr>
            </w:pPr>
            <w:r w:rsidRPr="009E79C6">
              <w:rPr>
                <w:b/>
                <w:bCs/>
                <w:color w:val="FFFFFF" w:themeColor="background1"/>
                <w:sz w:val="18"/>
              </w:rPr>
              <w:t>Routine</w:t>
            </w:r>
          </w:p>
        </w:tc>
        <w:tc>
          <w:tcPr>
            <w:tcW w:w="752" w:type="pct"/>
            <w:tcBorders>
              <w:top w:val="single" w:sz="4" w:space="0" w:color="auto"/>
              <w:left w:val="single" w:sz="4" w:space="0" w:color="auto"/>
              <w:bottom w:val="single" w:sz="4" w:space="0" w:color="auto"/>
              <w:right w:val="single" w:sz="4" w:space="0" w:color="auto"/>
            </w:tcBorders>
            <w:shd w:val="clear" w:color="auto" w:fill="006DA7"/>
          </w:tcPr>
          <w:p w14:paraId="29138122" w14:textId="77777777" w:rsidR="009E79C6" w:rsidRPr="009E79C6" w:rsidRDefault="009E79C6" w:rsidP="009E79C6">
            <w:pPr>
              <w:pStyle w:val="Tabletext"/>
              <w:ind w:left="0"/>
              <w:rPr>
                <w:b/>
                <w:bCs/>
                <w:color w:val="FFFFFF" w:themeColor="background1"/>
                <w:sz w:val="18"/>
              </w:rPr>
            </w:pPr>
            <w:r w:rsidRPr="009E79C6">
              <w:rPr>
                <w:b/>
                <w:bCs/>
                <w:color w:val="FFFFFF" w:themeColor="background1"/>
                <w:sz w:val="18"/>
              </w:rPr>
              <w:t>Additional</w:t>
            </w:r>
          </w:p>
        </w:tc>
        <w:tc>
          <w:tcPr>
            <w:tcW w:w="668" w:type="pct"/>
            <w:tcBorders>
              <w:top w:val="single" w:sz="4" w:space="0" w:color="auto"/>
              <w:left w:val="single" w:sz="4" w:space="0" w:color="auto"/>
              <w:bottom w:val="single" w:sz="4" w:space="0" w:color="auto"/>
              <w:right w:val="single" w:sz="4" w:space="0" w:color="auto"/>
            </w:tcBorders>
            <w:shd w:val="clear" w:color="auto" w:fill="006DA7"/>
          </w:tcPr>
          <w:p w14:paraId="6C4DC466" w14:textId="77777777" w:rsidR="009E79C6" w:rsidRPr="009E79C6" w:rsidRDefault="009E79C6" w:rsidP="009E79C6">
            <w:pPr>
              <w:pStyle w:val="Tabletext"/>
              <w:ind w:left="0"/>
              <w:rPr>
                <w:b/>
                <w:bCs/>
                <w:color w:val="FFFFFF" w:themeColor="background1"/>
                <w:sz w:val="18"/>
              </w:rPr>
            </w:pPr>
            <w:r w:rsidRPr="009E79C6">
              <w:rPr>
                <w:b/>
                <w:bCs/>
                <w:color w:val="FFFFFF" w:themeColor="background1"/>
                <w:sz w:val="18"/>
              </w:rPr>
              <w:t>Routine</w:t>
            </w:r>
          </w:p>
        </w:tc>
        <w:tc>
          <w:tcPr>
            <w:tcW w:w="745" w:type="pct"/>
            <w:tcBorders>
              <w:top w:val="single" w:sz="4" w:space="0" w:color="auto"/>
              <w:left w:val="single" w:sz="4" w:space="0" w:color="auto"/>
              <w:bottom w:val="single" w:sz="4" w:space="0" w:color="auto"/>
              <w:right w:val="single" w:sz="4" w:space="0" w:color="auto"/>
            </w:tcBorders>
            <w:shd w:val="clear" w:color="auto" w:fill="006DA7"/>
          </w:tcPr>
          <w:p w14:paraId="7E746F18" w14:textId="77777777" w:rsidR="009E79C6" w:rsidRPr="009E79C6" w:rsidRDefault="009E79C6" w:rsidP="009E79C6">
            <w:pPr>
              <w:pStyle w:val="Tabletext"/>
              <w:ind w:left="0"/>
              <w:rPr>
                <w:b/>
                <w:bCs/>
                <w:color w:val="FFFFFF" w:themeColor="background1"/>
                <w:sz w:val="18"/>
              </w:rPr>
            </w:pPr>
            <w:r w:rsidRPr="009E79C6">
              <w:rPr>
                <w:b/>
                <w:bCs/>
                <w:color w:val="FFFFFF" w:themeColor="background1"/>
                <w:sz w:val="18"/>
              </w:rPr>
              <w:t>Additional</w:t>
            </w:r>
          </w:p>
        </w:tc>
      </w:tr>
      <w:tr w:rsidR="009E79C6" w:rsidRPr="00BF52F4" w14:paraId="6AD23BD3" w14:textId="77777777" w:rsidTr="009E79C6">
        <w:trPr>
          <w:trHeight w:val="137"/>
        </w:trPr>
        <w:tc>
          <w:tcPr>
            <w:tcW w:w="915" w:type="pct"/>
            <w:tcBorders>
              <w:top w:val="single" w:sz="4" w:space="0" w:color="auto"/>
            </w:tcBorders>
          </w:tcPr>
          <w:p w14:paraId="740C322C" w14:textId="77777777" w:rsidR="009E79C6" w:rsidRPr="00BF52F4" w:rsidRDefault="009E79C6" w:rsidP="009E79C6">
            <w:pPr>
              <w:pStyle w:val="Tabletext"/>
              <w:ind w:left="0"/>
              <w:jc w:val="both"/>
              <w:rPr>
                <w:b/>
              </w:rPr>
            </w:pPr>
            <w:r w:rsidRPr="00BF52F4">
              <w:rPr>
                <w:b/>
              </w:rPr>
              <w:t>Important identified risks</w:t>
            </w:r>
          </w:p>
        </w:tc>
        <w:tc>
          <w:tcPr>
            <w:tcW w:w="1252" w:type="pct"/>
            <w:tcBorders>
              <w:top w:val="single" w:sz="4" w:space="0" w:color="auto"/>
            </w:tcBorders>
          </w:tcPr>
          <w:p w14:paraId="12EDBB39" w14:textId="77777777" w:rsidR="009E79C6" w:rsidRPr="009E79C6" w:rsidRDefault="009E79C6" w:rsidP="009E79C6">
            <w:pPr>
              <w:pStyle w:val="Tabletext"/>
              <w:ind w:left="0"/>
              <w:rPr>
                <w:color w:val="auto"/>
              </w:rPr>
            </w:pPr>
            <w:r w:rsidRPr="009E79C6">
              <w:rPr>
                <w:color w:val="auto"/>
              </w:rPr>
              <w:t>None</w:t>
            </w:r>
          </w:p>
        </w:tc>
        <w:tc>
          <w:tcPr>
            <w:tcW w:w="668" w:type="pct"/>
            <w:tcBorders>
              <w:top w:val="single" w:sz="4" w:space="0" w:color="auto"/>
            </w:tcBorders>
          </w:tcPr>
          <w:p w14:paraId="45342949" w14:textId="77777777" w:rsidR="009E79C6" w:rsidRPr="009E79C6" w:rsidRDefault="009E79C6" w:rsidP="009E79C6">
            <w:pPr>
              <w:pStyle w:val="Tabletext"/>
              <w:jc w:val="center"/>
              <w:rPr>
                <w:color w:val="auto"/>
              </w:rPr>
            </w:pPr>
            <w:r w:rsidRPr="009E79C6">
              <w:rPr>
                <w:color w:val="auto"/>
              </w:rPr>
              <w:t>–</w:t>
            </w:r>
          </w:p>
        </w:tc>
        <w:tc>
          <w:tcPr>
            <w:tcW w:w="752" w:type="pct"/>
            <w:tcBorders>
              <w:top w:val="single" w:sz="4" w:space="0" w:color="auto"/>
            </w:tcBorders>
          </w:tcPr>
          <w:p w14:paraId="7D20BC78" w14:textId="77777777" w:rsidR="009E79C6" w:rsidRPr="009E79C6" w:rsidRDefault="009E79C6" w:rsidP="009E79C6">
            <w:pPr>
              <w:pStyle w:val="Tabletext"/>
              <w:jc w:val="center"/>
              <w:rPr>
                <w:color w:val="auto"/>
              </w:rPr>
            </w:pPr>
            <w:r w:rsidRPr="009E79C6">
              <w:rPr>
                <w:color w:val="auto"/>
              </w:rPr>
              <w:t>–</w:t>
            </w:r>
          </w:p>
        </w:tc>
        <w:tc>
          <w:tcPr>
            <w:tcW w:w="668" w:type="pct"/>
            <w:tcBorders>
              <w:top w:val="single" w:sz="4" w:space="0" w:color="auto"/>
            </w:tcBorders>
          </w:tcPr>
          <w:p w14:paraId="6BEB3776" w14:textId="77777777" w:rsidR="009E79C6" w:rsidRPr="009E79C6" w:rsidRDefault="009E79C6" w:rsidP="009E79C6">
            <w:pPr>
              <w:pStyle w:val="Tabletext"/>
              <w:jc w:val="center"/>
              <w:rPr>
                <w:color w:val="auto"/>
              </w:rPr>
            </w:pPr>
            <w:r w:rsidRPr="009E79C6">
              <w:rPr>
                <w:color w:val="auto"/>
              </w:rPr>
              <w:t>–</w:t>
            </w:r>
          </w:p>
        </w:tc>
        <w:tc>
          <w:tcPr>
            <w:tcW w:w="745" w:type="pct"/>
            <w:tcBorders>
              <w:top w:val="single" w:sz="4" w:space="0" w:color="auto"/>
            </w:tcBorders>
          </w:tcPr>
          <w:p w14:paraId="39BB8B0D" w14:textId="77777777" w:rsidR="009E79C6" w:rsidRPr="009E79C6" w:rsidRDefault="009E79C6" w:rsidP="009E79C6">
            <w:pPr>
              <w:pStyle w:val="Tabletext"/>
              <w:jc w:val="center"/>
              <w:rPr>
                <w:color w:val="auto"/>
              </w:rPr>
            </w:pPr>
            <w:r w:rsidRPr="009E79C6">
              <w:rPr>
                <w:color w:val="auto"/>
              </w:rPr>
              <w:t>–</w:t>
            </w:r>
          </w:p>
        </w:tc>
      </w:tr>
      <w:tr w:rsidR="009E79C6" w:rsidRPr="00BF52F4" w14:paraId="47A5F65E" w14:textId="77777777" w:rsidTr="009E79C6">
        <w:trPr>
          <w:trHeight w:val="159"/>
        </w:trPr>
        <w:tc>
          <w:tcPr>
            <w:tcW w:w="915" w:type="pct"/>
            <w:vMerge w:val="restart"/>
          </w:tcPr>
          <w:p w14:paraId="1E4E0025" w14:textId="77777777" w:rsidR="009E79C6" w:rsidRPr="00BF52F4" w:rsidRDefault="009E79C6" w:rsidP="009E79C6">
            <w:pPr>
              <w:pStyle w:val="Tabletext"/>
              <w:ind w:left="0"/>
              <w:jc w:val="both"/>
              <w:rPr>
                <w:b/>
              </w:rPr>
            </w:pPr>
            <w:r w:rsidRPr="00BF52F4">
              <w:rPr>
                <w:b/>
              </w:rPr>
              <w:t>Important potential risks</w:t>
            </w:r>
          </w:p>
        </w:tc>
        <w:tc>
          <w:tcPr>
            <w:tcW w:w="1252" w:type="pct"/>
          </w:tcPr>
          <w:p w14:paraId="316853E6" w14:textId="77777777" w:rsidR="009E79C6" w:rsidRPr="009E79C6" w:rsidRDefault="009E79C6" w:rsidP="009E79C6">
            <w:pPr>
              <w:pStyle w:val="Tabletext"/>
              <w:ind w:left="0"/>
              <w:rPr>
                <w:color w:val="auto"/>
              </w:rPr>
            </w:pPr>
            <w:r w:rsidRPr="009E79C6">
              <w:rPr>
                <w:color w:val="auto"/>
              </w:rPr>
              <w:t>Cardiac serious adverse events^</w:t>
            </w:r>
          </w:p>
        </w:tc>
        <w:tc>
          <w:tcPr>
            <w:tcW w:w="668" w:type="pct"/>
          </w:tcPr>
          <w:p w14:paraId="0A676AD6" w14:textId="77777777" w:rsidR="009E79C6" w:rsidRPr="009E79C6" w:rsidRDefault="009E79C6" w:rsidP="009E79C6">
            <w:pPr>
              <w:pStyle w:val="Tabletext"/>
              <w:jc w:val="center"/>
              <w:rPr>
                <w:color w:val="auto"/>
              </w:rPr>
            </w:pPr>
            <w:r w:rsidRPr="009E79C6">
              <w:rPr>
                <w:rFonts w:ascii="Wingdings" w:eastAsia="Wingdings" w:hAnsi="Wingdings" w:cs="Wingdings"/>
                <w:color w:val="auto"/>
              </w:rPr>
              <w:t>ü</w:t>
            </w:r>
            <w:r w:rsidRPr="009E79C6">
              <w:rPr>
                <w:color w:val="auto"/>
                <w:vertAlign w:val="superscript"/>
              </w:rPr>
              <w:t>#</w:t>
            </w:r>
          </w:p>
        </w:tc>
        <w:tc>
          <w:tcPr>
            <w:tcW w:w="752" w:type="pct"/>
          </w:tcPr>
          <w:p w14:paraId="3C7A43C6" w14:textId="77777777" w:rsidR="009E79C6" w:rsidRPr="009E79C6" w:rsidRDefault="009E79C6" w:rsidP="009E79C6">
            <w:pPr>
              <w:pStyle w:val="Tabletext"/>
              <w:jc w:val="center"/>
              <w:rPr>
                <w:color w:val="auto"/>
              </w:rPr>
            </w:pPr>
            <w:r w:rsidRPr="009E79C6">
              <w:rPr>
                <w:color w:val="auto"/>
              </w:rPr>
              <w:t>–</w:t>
            </w:r>
          </w:p>
        </w:tc>
        <w:tc>
          <w:tcPr>
            <w:tcW w:w="668" w:type="pct"/>
          </w:tcPr>
          <w:p w14:paraId="3986C6F7" w14:textId="77777777" w:rsidR="009E79C6" w:rsidRPr="009E79C6" w:rsidRDefault="009E79C6" w:rsidP="009E79C6">
            <w:pPr>
              <w:pStyle w:val="Tabletext"/>
              <w:jc w:val="center"/>
              <w:rPr>
                <w:color w:val="auto"/>
              </w:rPr>
            </w:pPr>
            <w:r w:rsidRPr="009E79C6">
              <w:rPr>
                <w:rFonts w:ascii="Wingdings" w:eastAsia="Wingdings" w:hAnsi="Wingdings" w:cs="Wingdings"/>
                <w:color w:val="auto"/>
              </w:rPr>
              <w:t>ü</w:t>
            </w:r>
          </w:p>
        </w:tc>
        <w:tc>
          <w:tcPr>
            <w:tcW w:w="745" w:type="pct"/>
          </w:tcPr>
          <w:p w14:paraId="028BC8E0" w14:textId="77777777" w:rsidR="009E79C6" w:rsidRPr="009E79C6" w:rsidRDefault="009E79C6" w:rsidP="009E79C6">
            <w:pPr>
              <w:pStyle w:val="Tabletext"/>
              <w:jc w:val="center"/>
              <w:rPr>
                <w:color w:val="auto"/>
              </w:rPr>
            </w:pPr>
            <w:r w:rsidRPr="009E79C6">
              <w:rPr>
                <w:color w:val="auto"/>
              </w:rPr>
              <w:t>–</w:t>
            </w:r>
          </w:p>
        </w:tc>
      </w:tr>
      <w:tr w:rsidR="009E79C6" w:rsidRPr="00BF52F4" w14:paraId="6E4B6978" w14:textId="77777777" w:rsidTr="009E79C6">
        <w:trPr>
          <w:trHeight w:val="159"/>
        </w:trPr>
        <w:tc>
          <w:tcPr>
            <w:tcW w:w="915" w:type="pct"/>
            <w:vMerge/>
          </w:tcPr>
          <w:p w14:paraId="44E94872" w14:textId="77777777" w:rsidR="009E79C6" w:rsidRPr="00BF52F4" w:rsidRDefault="009E79C6" w:rsidP="009E79C6">
            <w:pPr>
              <w:pStyle w:val="Tabletext"/>
              <w:jc w:val="both"/>
              <w:rPr>
                <w:b/>
              </w:rPr>
            </w:pPr>
          </w:p>
        </w:tc>
        <w:tc>
          <w:tcPr>
            <w:tcW w:w="1252" w:type="pct"/>
          </w:tcPr>
          <w:p w14:paraId="73716DE7" w14:textId="0522F2E8" w:rsidR="009E79C6" w:rsidRPr="009E79C6" w:rsidRDefault="009E79C6" w:rsidP="009E79C6">
            <w:pPr>
              <w:pStyle w:val="Tabletext"/>
              <w:ind w:left="0"/>
              <w:rPr>
                <w:color w:val="auto"/>
              </w:rPr>
            </w:pPr>
            <w:r w:rsidRPr="009E79C6">
              <w:rPr>
                <w:color w:val="auto"/>
              </w:rPr>
              <w:t>Antiviral resistance due to emerging viral</w:t>
            </w:r>
            <w:r>
              <w:rPr>
                <w:color w:val="auto"/>
              </w:rPr>
              <w:t xml:space="preserve"> </w:t>
            </w:r>
            <w:r w:rsidRPr="009E79C6">
              <w:rPr>
                <w:color w:val="auto"/>
              </w:rPr>
              <w:t>variants^</w:t>
            </w:r>
          </w:p>
        </w:tc>
        <w:tc>
          <w:tcPr>
            <w:tcW w:w="668" w:type="pct"/>
          </w:tcPr>
          <w:p w14:paraId="619236F8" w14:textId="77777777" w:rsidR="009E79C6" w:rsidRPr="009E79C6" w:rsidRDefault="009E79C6" w:rsidP="009E79C6">
            <w:pPr>
              <w:pStyle w:val="Tabletext"/>
              <w:jc w:val="center"/>
              <w:rPr>
                <w:color w:val="auto"/>
              </w:rPr>
            </w:pPr>
            <w:r w:rsidRPr="009E79C6">
              <w:rPr>
                <w:rFonts w:ascii="Wingdings" w:eastAsia="Wingdings" w:hAnsi="Wingdings" w:cs="Wingdings"/>
                <w:color w:val="auto"/>
              </w:rPr>
              <w:t>ü</w:t>
            </w:r>
          </w:p>
        </w:tc>
        <w:tc>
          <w:tcPr>
            <w:tcW w:w="752" w:type="pct"/>
          </w:tcPr>
          <w:p w14:paraId="4153B244" w14:textId="77777777" w:rsidR="009E79C6" w:rsidRPr="009E79C6" w:rsidRDefault="009E79C6" w:rsidP="009E79C6">
            <w:pPr>
              <w:pStyle w:val="Tabletext"/>
              <w:jc w:val="center"/>
              <w:rPr>
                <w:color w:val="auto"/>
              </w:rPr>
            </w:pPr>
            <w:r w:rsidRPr="009E79C6">
              <w:rPr>
                <w:color w:val="auto"/>
              </w:rPr>
              <w:t>–</w:t>
            </w:r>
          </w:p>
        </w:tc>
        <w:tc>
          <w:tcPr>
            <w:tcW w:w="668" w:type="pct"/>
          </w:tcPr>
          <w:p w14:paraId="42EAC34E" w14:textId="77777777" w:rsidR="009E79C6" w:rsidRPr="009E79C6" w:rsidRDefault="009E79C6" w:rsidP="009E79C6">
            <w:pPr>
              <w:pStyle w:val="Tabletext"/>
              <w:jc w:val="center"/>
              <w:rPr>
                <w:color w:val="auto"/>
              </w:rPr>
            </w:pPr>
            <w:r w:rsidRPr="009E79C6">
              <w:rPr>
                <w:rFonts w:ascii="Wingdings" w:eastAsia="Wingdings" w:hAnsi="Wingdings" w:cs="Wingdings"/>
                <w:color w:val="auto"/>
              </w:rPr>
              <w:t>ü</w:t>
            </w:r>
          </w:p>
        </w:tc>
        <w:tc>
          <w:tcPr>
            <w:tcW w:w="745" w:type="pct"/>
          </w:tcPr>
          <w:p w14:paraId="435350B1" w14:textId="77777777" w:rsidR="009E79C6" w:rsidRPr="009E79C6" w:rsidRDefault="009E79C6" w:rsidP="009E79C6">
            <w:pPr>
              <w:pStyle w:val="Tabletext"/>
              <w:jc w:val="center"/>
              <w:rPr>
                <w:color w:val="auto"/>
              </w:rPr>
            </w:pPr>
            <w:r w:rsidRPr="009E79C6">
              <w:rPr>
                <w:color w:val="auto"/>
              </w:rPr>
              <w:t>–</w:t>
            </w:r>
          </w:p>
        </w:tc>
      </w:tr>
      <w:tr w:rsidR="009E79C6" w:rsidRPr="00BF52F4" w14:paraId="4D678736" w14:textId="77777777" w:rsidTr="009E79C6">
        <w:trPr>
          <w:trHeight w:val="178"/>
        </w:trPr>
        <w:tc>
          <w:tcPr>
            <w:tcW w:w="915" w:type="pct"/>
            <w:vMerge w:val="restart"/>
          </w:tcPr>
          <w:p w14:paraId="5E1A1242" w14:textId="77777777" w:rsidR="009E79C6" w:rsidRPr="00BF52F4" w:rsidRDefault="009E79C6" w:rsidP="009E79C6">
            <w:pPr>
              <w:pStyle w:val="Tabletext"/>
              <w:ind w:left="0"/>
              <w:jc w:val="both"/>
              <w:rPr>
                <w:b/>
              </w:rPr>
            </w:pPr>
            <w:r w:rsidRPr="00BF52F4">
              <w:rPr>
                <w:b/>
              </w:rPr>
              <w:t>Missing information</w:t>
            </w:r>
          </w:p>
        </w:tc>
        <w:tc>
          <w:tcPr>
            <w:tcW w:w="1252" w:type="pct"/>
          </w:tcPr>
          <w:p w14:paraId="65698A20" w14:textId="67DEDBA8" w:rsidR="009E79C6" w:rsidRPr="009E79C6" w:rsidRDefault="009E79C6" w:rsidP="009E79C6">
            <w:pPr>
              <w:pStyle w:val="Tabletext"/>
              <w:ind w:left="0"/>
              <w:rPr>
                <w:color w:val="auto"/>
              </w:rPr>
            </w:pPr>
            <w:r w:rsidRPr="009E79C6">
              <w:rPr>
                <w:color w:val="auto"/>
              </w:rPr>
              <w:t>Immunocompromised/immunosuppressed</w:t>
            </w:r>
            <w:r>
              <w:rPr>
                <w:color w:val="auto"/>
              </w:rPr>
              <w:t xml:space="preserve"> </w:t>
            </w:r>
            <w:r w:rsidRPr="009E79C6">
              <w:rPr>
                <w:color w:val="auto"/>
              </w:rPr>
              <w:t>patients^</w:t>
            </w:r>
          </w:p>
        </w:tc>
        <w:tc>
          <w:tcPr>
            <w:tcW w:w="668" w:type="pct"/>
          </w:tcPr>
          <w:p w14:paraId="1CE4E224" w14:textId="77777777" w:rsidR="009E79C6" w:rsidRPr="009E79C6" w:rsidRDefault="009E79C6" w:rsidP="009E79C6">
            <w:pPr>
              <w:pStyle w:val="Tabletext"/>
              <w:jc w:val="center"/>
              <w:rPr>
                <w:color w:val="auto"/>
              </w:rPr>
            </w:pPr>
            <w:r w:rsidRPr="009E79C6">
              <w:rPr>
                <w:rFonts w:ascii="Wingdings" w:eastAsia="Wingdings" w:hAnsi="Wingdings" w:cs="Wingdings"/>
                <w:color w:val="auto"/>
              </w:rPr>
              <w:t>ü</w:t>
            </w:r>
          </w:p>
        </w:tc>
        <w:tc>
          <w:tcPr>
            <w:tcW w:w="752" w:type="pct"/>
          </w:tcPr>
          <w:p w14:paraId="13C443DE" w14:textId="77777777" w:rsidR="009E79C6" w:rsidRPr="009E79C6" w:rsidRDefault="009E79C6" w:rsidP="009E79C6">
            <w:pPr>
              <w:pStyle w:val="Tabletext"/>
              <w:jc w:val="center"/>
              <w:rPr>
                <w:color w:val="auto"/>
              </w:rPr>
            </w:pPr>
            <w:r w:rsidRPr="009E79C6">
              <w:rPr>
                <w:color w:val="auto"/>
              </w:rPr>
              <w:t>–</w:t>
            </w:r>
          </w:p>
        </w:tc>
        <w:tc>
          <w:tcPr>
            <w:tcW w:w="668" w:type="pct"/>
          </w:tcPr>
          <w:p w14:paraId="6B6C4562" w14:textId="77777777" w:rsidR="009E79C6" w:rsidRPr="009E79C6" w:rsidRDefault="009E79C6" w:rsidP="009E79C6">
            <w:pPr>
              <w:pStyle w:val="Tabletext"/>
              <w:jc w:val="center"/>
              <w:rPr>
                <w:color w:val="auto"/>
              </w:rPr>
            </w:pPr>
            <w:r w:rsidRPr="009E79C6">
              <w:rPr>
                <w:color w:val="auto"/>
              </w:rPr>
              <w:t>–</w:t>
            </w:r>
          </w:p>
        </w:tc>
        <w:tc>
          <w:tcPr>
            <w:tcW w:w="745" w:type="pct"/>
          </w:tcPr>
          <w:p w14:paraId="33AEA11C" w14:textId="77777777" w:rsidR="009E79C6" w:rsidRPr="009E79C6" w:rsidRDefault="009E79C6" w:rsidP="009E79C6">
            <w:pPr>
              <w:pStyle w:val="Tabletext"/>
              <w:jc w:val="center"/>
              <w:rPr>
                <w:color w:val="auto"/>
              </w:rPr>
            </w:pPr>
            <w:r w:rsidRPr="009E79C6">
              <w:rPr>
                <w:color w:val="auto"/>
              </w:rPr>
              <w:t>–</w:t>
            </w:r>
          </w:p>
        </w:tc>
      </w:tr>
      <w:tr w:rsidR="009E79C6" w:rsidRPr="00BF52F4" w14:paraId="08048B64" w14:textId="77777777" w:rsidTr="009E79C6">
        <w:trPr>
          <w:trHeight w:val="178"/>
        </w:trPr>
        <w:tc>
          <w:tcPr>
            <w:tcW w:w="915" w:type="pct"/>
            <w:vMerge/>
          </w:tcPr>
          <w:p w14:paraId="17BB0CDE" w14:textId="77777777" w:rsidR="009E79C6" w:rsidRPr="00BF52F4" w:rsidRDefault="009E79C6" w:rsidP="009E79C6">
            <w:pPr>
              <w:pStyle w:val="Tabletext"/>
              <w:rPr>
                <w:b/>
              </w:rPr>
            </w:pPr>
          </w:p>
        </w:tc>
        <w:tc>
          <w:tcPr>
            <w:tcW w:w="1252" w:type="pct"/>
          </w:tcPr>
          <w:p w14:paraId="7DE969DA" w14:textId="77777777" w:rsidR="009E79C6" w:rsidRPr="009E79C6" w:rsidRDefault="009E79C6" w:rsidP="009E79C6">
            <w:pPr>
              <w:pStyle w:val="Tabletext"/>
              <w:ind w:left="0"/>
              <w:rPr>
                <w:color w:val="auto"/>
              </w:rPr>
            </w:pPr>
            <w:r w:rsidRPr="009E79C6">
              <w:rPr>
                <w:color w:val="auto"/>
              </w:rPr>
              <w:t>Use in pregnant and breastfeeding women</w:t>
            </w:r>
          </w:p>
        </w:tc>
        <w:tc>
          <w:tcPr>
            <w:tcW w:w="668" w:type="pct"/>
          </w:tcPr>
          <w:p w14:paraId="7E8EBBCA" w14:textId="77777777" w:rsidR="009E79C6" w:rsidRPr="009E79C6" w:rsidRDefault="009E79C6" w:rsidP="009E79C6">
            <w:pPr>
              <w:pStyle w:val="Tabletext"/>
              <w:jc w:val="center"/>
              <w:rPr>
                <w:color w:val="auto"/>
              </w:rPr>
            </w:pPr>
            <w:r w:rsidRPr="009E79C6">
              <w:rPr>
                <w:rFonts w:ascii="Wingdings" w:eastAsia="Wingdings" w:hAnsi="Wingdings" w:cs="Wingdings"/>
                <w:color w:val="auto"/>
              </w:rPr>
              <w:t>ü</w:t>
            </w:r>
          </w:p>
        </w:tc>
        <w:tc>
          <w:tcPr>
            <w:tcW w:w="752" w:type="pct"/>
          </w:tcPr>
          <w:p w14:paraId="44C72E4B" w14:textId="77777777" w:rsidR="009E79C6" w:rsidRPr="009E79C6" w:rsidRDefault="009E79C6" w:rsidP="009E79C6">
            <w:pPr>
              <w:pStyle w:val="Tabletext"/>
              <w:jc w:val="center"/>
              <w:rPr>
                <w:color w:val="auto"/>
              </w:rPr>
            </w:pPr>
            <w:r w:rsidRPr="009E79C6">
              <w:rPr>
                <w:rFonts w:ascii="Wingdings" w:eastAsia="Wingdings" w:hAnsi="Wingdings" w:cs="Wingdings"/>
                <w:color w:val="auto"/>
              </w:rPr>
              <w:t>ü</w:t>
            </w:r>
            <w:r w:rsidRPr="009E79C6">
              <w:rPr>
                <w:color w:val="auto"/>
              </w:rPr>
              <w:t>*</w:t>
            </w:r>
          </w:p>
        </w:tc>
        <w:tc>
          <w:tcPr>
            <w:tcW w:w="668" w:type="pct"/>
          </w:tcPr>
          <w:p w14:paraId="2847BB1B" w14:textId="77777777" w:rsidR="009E79C6" w:rsidRPr="009E79C6" w:rsidRDefault="009E79C6" w:rsidP="009E79C6">
            <w:pPr>
              <w:pStyle w:val="Tabletext"/>
              <w:jc w:val="center"/>
              <w:rPr>
                <w:color w:val="auto"/>
              </w:rPr>
            </w:pPr>
            <w:r w:rsidRPr="009E79C6">
              <w:rPr>
                <w:rFonts w:ascii="Wingdings" w:eastAsia="Wingdings" w:hAnsi="Wingdings" w:cs="Wingdings"/>
                <w:color w:val="auto"/>
              </w:rPr>
              <w:t>ü</w:t>
            </w:r>
          </w:p>
        </w:tc>
        <w:tc>
          <w:tcPr>
            <w:tcW w:w="745" w:type="pct"/>
          </w:tcPr>
          <w:p w14:paraId="62E1B5B3" w14:textId="77777777" w:rsidR="009E79C6" w:rsidRPr="009E79C6" w:rsidRDefault="009E79C6" w:rsidP="009E79C6">
            <w:pPr>
              <w:pStyle w:val="Tabletext"/>
              <w:jc w:val="center"/>
              <w:rPr>
                <w:color w:val="auto"/>
              </w:rPr>
            </w:pPr>
            <w:r w:rsidRPr="009E79C6">
              <w:rPr>
                <w:color w:val="auto"/>
              </w:rPr>
              <w:t>–</w:t>
            </w:r>
          </w:p>
        </w:tc>
      </w:tr>
    </w:tbl>
    <w:p w14:paraId="56B0719D" w14:textId="77777777" w:rsidR="009E79C6" w:rsidRDefault="009E79C6" w:rsidP="009E79C6">
      <w:pPr>
        <w:pStyle w:val="TableDescription"/>
      </w:pPr>
      <w:r>
        <w:t>^Australia-specific safety concern</w:t>
      </w:r>
    </w:p>
    <w:p w14:paraId="4A03657B" w14:textId="77777777" w:rsidR="009E79C6" w:rsidRDefault="009E79C6" w:rsidP="009E79C6">
      <w:pPr>
        <w:pStyle w:val="TableDescription"/>
      </w:pPr>
      <w:r>
        <w:t xml:space="preserve">#Follow-up questionnaire </w:t>
      </w:r>
    </w:p>
    <w:p w14:paraId="154C118A" w14:textId="7F590A87" w:rsidR="009E79C6" w:rsidRDefault="009E79C6" w:rsidP="009E79C6">
      <w:pPr>
        <w:pStyle w:val="TableDescription"/>
      </w:pPr>
      <w:r>
        <w:t>*Pregnancy registry</w:t>
      </w:r>
    </w:p>
    <w:p w14:paraId="4984CAD0" w14:textId="53317440" w:rsidR="009E79C6" w:rsidRDefault="009E79C6" w:rsidP="009E79C6">
      <w:r>
        <w:t>The sponsor revised the summary of safety concerns as requested by the TGA. The ASA has been updated to include the Australia-specific safety concerns.</w:t>
      </w:r>
    </w:p>
    <w:p w14:paraId="066556C5" w14:textId="46B7BB44" w:rsidR="009E79C6" w:rsidRPr="006429CC" w:rsidRDefault="009E79C6" w:rsidP="009E79C6">
      <w:r>
        <w:t xml:space="preserve">The sponsor has proposed routine pharmacovigilance measures for the newly added safety concerns, with a targeted follow-up questionnaire to monitor cardiac serious adverse events. </w:t>
      </w:r>
      <w:r w:rsidRPr="006429CC">
        <w:t>The sponsor should include interval and cumulative reports of cardiac serious adverse events with summary assessments of these cases in the monthly summary safety reports.</w:t>
      </w:r>
    </w:p>
    <w:p w14:paraId="4D234824" w14:textId="2153072C" w:rsidR="009E79C6" w:rsidRPr="008E7DE9" w:rsidRDefault="009E79C6" w:rsidP="009E79C6">
      <w:r>
        <w:t>Routine risk minimisation measures are considered acceptable to address the risks associated with this product.</w:t>
      </w:r>
    </w:p>
    <w:p w14:paraId="61B22A4F" w14:textId="77777777" w:rsidR="008E7846" w:rsidRDefault="00AA0ED0" w:rsidP="008E7846">
      <w:pPr>
        <w:pStyle w:val="Heading3"/>
      </w:pPr>
      <w:bookmarkStart w:id="57" w:name="_Toc247691531"/>
      <w:bookmarkStart w:id="58" w:name="_Toc314842515"/>
      <w:bookmarkStart w:id="59" w:name="_Toc97646305"/>
      <w:bookmarkStart w:id="60" w:name="_Toc196046505"/>
      <w:bookmarkStart w:id="61" w:name="_Toc196046949"/>
      <w:r>
        <w:t>Risk-benefit a</w:t>
      </w:r>
      <w:r w:rsidR="008E7846">
        <w:t>nalysis</w:t>
      </w:r>
      <w:bookmarkEnd w:id="57"/>
      <w:bookmarkEnd w:id="58"/>
      <w:bookmarkEnd w:id="59"/>
    </w:p>
    <w:p w14:paraId="0B0E0C64" w14:textId="77777777" w:rsidR="00D23139" w:rsidRDefault="007D53B6" w:rsidP="00D23139">
      <w:pPr>
        <w:pStyle w:val="Heading4"/>
      </w:pPr>
      <w:r>
        <w:t>Delegate’s considerations</w:t>
      </w:r>
    </w:p>
    <w:p w14:paraId="34FE1D30" w14:textId="77777777" w:rsidR="00D46E14" w:rsidRPr="00D46E14" w:rsidRDefault="00D46E14" w:rsidP="00D46E14">
      <w:r w:rsidRPr="00D46E14">
        <w:t xml:space="preserve">The following discussion and conclusions are based on the FDA </w:t>
      </w:r>
      <w:r>
        <w:t>Emergency Use Authoriz</w:t>
      </w:r>
      <w:r w:rsidRPr="00D46E14">
        <w:t>ation (EUA) data.</w:t>
      </w:r>
    </w:p>
    <w:p w14:paraId="13B29182" w14:textId="77777777" w:rsidR="00D46E14" w:rsidRPr="00D46E14" w:rsidRDefault="00D46E14" w:rsidP="00D46E14">
      <w:r w:rsidRPr="00D46E14">
        <w:t xml:space="preserve">The combination of two recombinant human IgG1κ monoclonal antibodies, </w:t>
      </w:r>
      <w:proofErr w:type="spellStart"/>
      <w:r w:rsidRPr="00D46E14">
        <w:t>tixagevimab</w:t>
      </w:r>
      <w:proofErr w:type="spellEnd"/>
      <w:r w:rsidRPr="00D46E14">
        <w:t xml:space="preserve"> and </w:t>
      </w:r>
      <w:proofErr w:type="spellStart"/>
      <w:r w:rsidRPr="00D46E14">
        <w:t>cilgavimab</w:t>
      </w:r>
      <w:proofErr w:type="spellEnd"/>
      <w:r w:rsidRPr="00D46E14">
        <w:t xml:space="preserve">, directed against unique epitopes on the receptor binding domain of the SARS-CoV-2 spike protein provides a complimentary effect in preventing the SARS-CoV-2 virus from entering human cells in an affected individual. There is </w:t>
      </w:r>
      <w:r w:rsidRPr="00D46E14">
        <w:rPr>
          <w:i/>
        </w:rPr>
        <w:t>in vitro</w:t>
      </w:r>
      <w:r w:rsidRPr="00D46E14">
        <w:t xml:space="preserve"> evidence to support this assumption and forms the mechanistic basis for the proposed use </w:t>
      </w:r>
      <w:r>
        <w:t xml:space="preserve">of </w:t>
      </w:r>
      <w:proofErr w:type="spellStart"/>
      <w:r w:rsidRPr="00D46E14">
        <w:t>tixagevimab</w:t>
      </w:r>
      <w:proofErr w:type="spellEnd"/>
      <w:r w:rsidRPr="00D46E14">
        <w:t xml:space="preserve"> and </w:t>
      </w:r>
      <w:proofErr w:type="spellStart"/>
      <w:r w:rsidRPr="00D46E14">
        <w:t>cilgavimab</w:t>
      </w:r>
      <w:proofErr w:type="spellEnd"/>
      <w:r>
        <w:t>.</w:t>
      </w:r>
    </w:p>
    <w:p w14:paraId="4484DE40" w14:textId="77777777" w:rsidR="00D46E14" w:rsidRPr="00D46E14" w:rsidRDefault="00D46E14" w:rsidP="00D46E14">
      <w:pPr>
        <w:pStyle w:val="Heading5"/>
      </w:pPr>
      <w:r w:rsidRPr="00D46E14">
        <w:t>Pharmacology</w:t>
      </w:r>
    </w:p>
    <w:p w14:paraId="384F15AB" w14:textId="58B17ED1" w:rsidR="00D46E14" w:rsidRPr="00D46E14" w:rsidRDefault="00D46E14" w:rsidP="00D46E14">
      <w:r>
        <w:t>Pharmacokinetic (PK)</w:t>
      </w:r>
      <w:r w:rsidRPr="00D46E14">
        <w:t xml:space="preserve"> data was collected from </w:t>
      </w:r>
      <w:r w:rsidR="00766263">
        <w:t xml:space="preserve">one </w:t>
      </w:r>
      <w:r>
        <w:t>Phase I</w:t>
      </w:r>
      <w:r w:rsidRPr="00D46E14">
        <w:t xml:space="preserve"> PK study in </w:t>
      </w:r>
      <w:r>
        <w:t xml:space="preserve">healthy </w:t>
      </w:r>
      <w:r w:rsidRPr="00D46E14">
        <w:t>adults</w:t>
      </w:r>
      <w:r>
        <w:t xml:space="preserve"> (Study D8850C00001)</w:t>
      </w:r>
      <w:r w:rsidRPr="00D46E14">
        <w:t xml:space="preserve"> and</w:t>
      </w:r>
      <w:r>
        <w:t xml:space="preserve"> </w:t>
      </w:r>
      <w:r w:rsidR="00766263">
        <w:t xml:space="preserve">one </w:t>
      </w:r>
      <w:r>
        <w:t>Phase III</w:t>
      </w:r>
      <w:r w:rsidRPr="00D46E14">
        <w:t xml:space="preserve"> trials </w:t>
      </w:r>
      <w:r>
        <w:t>(Study D8850C00002 (PROVENT trial</w:t>
      </w:r>
      <w:r w:rsidR="002E36FD">
        <w:t xml:space="preserve"> </w:t>
      </w:r>
      <w:r w:rsidRPr="00D46E14">
        <w:t xml:space="preserve">evaluating </w:t>
      </w:r>
      <w:proofErr w:type="spellStart"/>
      <w:r w:rsidRPr="00D46E14">
        <w:t>Evusheld</w:t>
      </w:r>
      <w:proofErr w:type="spellEnd"/>
      <w:r w:rsidRPr="00D46E14">
        <w:t xml:space="preserve"> administered intramuscularly for pre-exposure prophylaxis and post-exposure prophylaxis of COVID-19 in adults. Overall, </w:t>
      </w:r>
      <w:proofErr w:type="spellStart"/>
      <w:r w:rsidRPr="00D46E14">
        <w:t>tixagevimab</w:t>
      </w:r>
      <w:proofErr w:type="spellEnd"/>
      <w:r w:rsidRPr="00D46E14">
        <w:t xml:space="preserve"> and </w:t>
      </w:r>
      <w:proofErr w:type="spellStart"/>
      <w:r w:rsidRPr="00D46E14">
        <w:t>cilgavimab</w:t>
      </w:r>
      <w:proofErr w:type="spellEnd"/>
      <w:r w:rsidRPr="00D46E14">
        <w:t xml:space="preserve"> exhibited comparable PK parameters across studies, when administered sequentially. The terminal half-life was approximately 90 days (IM and IV). The lack of repeat dose PK study and clinical studies/PK parameters in paediatric population was noted. The simulation of repeat dose regimen is based on PK data that was mostly over a limited duration. Moreover, the durati</w:t>
      </w:r>
      <w:r>
        <w:t>on of PK sampling in the Phase I</w:t>
      </w:r>
      <w:r w:rsidRPr="00D46E14">
        <w:t xml:space="preserve"> study was less than thr</w:t>
      </w:r>
      <w:r>
        <w:t xml:space="preserve">ee half-lives and in the </w:t>
      </w:r>
      <w:proofErr w:type="gramStart"/>
      <w:r>
        <w:t>Phase III</w:t>
      </w:r>
      <w:proofErr w:type="gramEnd"/>
      <w:r w:rsidRPr="00D46E14">
        <w:t xml:space="preserve"> studies was less than one half-life. The safety issues that are related to cumulative toxicity, particularly when administered to adolescents needs to be considered. A long-term study is being planned by the sponsor to investigate repeat dosing of </w:t>
      </w:r>
      <w:proofErr w:type="spellStart"/>
      <w:r w:rsidRPr="00D46E14">
        <w:t>Evusheld</w:t>
      </w:r>
      <w:proofErr w:type="spellEnd"/>
      <w:r w:rsidRPr="00D46E14">
        <w:t>. The planned stud</w:t>
      </w:r>
      <w:r>
        <w:t xml:space="preserve">y is anticipated to start in first Quarter of </w:t>
      </w:r>
      <w:r w:rsidRPr="00D46E14">
        <w:t xml:space="preserve">2022. This will be a safety, immunogenicity, and PK/PD study. As a condition of the provisional registration, the sponsor is expected to submit the data, when available. </w:t>
      </w:r>
    </w:p>
    <w:p w14:paraId="4CFF017C" w14:textId="4B0F7466" w:rsidR="00D46E14" w:rsidRPr="006429CC" w:rsidRDefault="00D46E14" w:rsidP="00D46E14">
      <w:r w:rsidRPr="00D46E14">
        <w:lastRenderedPageBreak/>
        <w:t>The PK modelling supported that a dose of 300 mg IM will provide protection for at least 6 months and that the tar</w:t>
      </w:r>
      <w:r>
        <w:t>get serum concentration of 2.2 µ</w:t>
      </w:r>
      <w:r w:rsidRPr="00D46E14">
        <w:t xml:space="preserve">g/mL was reached within 6 hours in the typical subject and by 28 hours in 90% of the participants in the </w:t>
      </w:r>
      <w:r>
        <w:t>Study D8850C00002 (</w:t>
      </w:r>
      <w:r w:rsidRPr="00D46E14">
        <w:t>PROVENT</w:t>
      </w:r>
      <w:r>
        <w:t xml:space="preserve"> trial)</w:t>
      </w:r>
      <w:r w:rsidRPr="00D46E14">
        <w:t xml:space="preserve"> Phase III </w:t>
      </w:r>
      <w:r>
        <w:t>population. In addition, a 2.2 µ</w:t>
      </w:r>
      <w:r w:rsidRPr="00D46E14">
        <w:t>g/mL concentration was predicted to be exceeded in 50%</w:t>
      </w:r>
      <w:r>
        <w:t xml:space="preserve"> of the PROVENT trial participants 12 </w:t>
      </w:r>
      <w:r w:rsidRPr="00D46E14">
        <w:t xml:space="preserve">months post the single 300 mg IM dose. The potential effects of the viral load on the PK parameters of </w:t>
      </w:r>
      <w:proofErr w:type="spellStart"/>
      <w:r w:rsidRPr="00D46E14">
        <w:t>Evusheld</w:t>
      </w:r>
      <w:proofErr w:type="spellEnd"/>
      <w:r w:rsidRPr="00D46E14">
        <w:t xml:space="preserve"> is unknown.</w:t>
      </w:r>
      <w:r w:rsidR="002E36FD">
        <w:t xml:space="preserve"> </w:t>
      </w:r>
      <w:r w:rsidR="00766263">
        <w:t xml:space="preserve">The sponsor was requested to comment (see </w:t>
      </w:r>
      <w:r w:rsidR="00766263">
        <w:fldChar w:fldCharType="begin"/>
      </w:r>
      <w:r w:rsidR="00766263">
        <w:instrText xml:space="preserve"> REF _Ref97204483 \h </w:instrText>
      </w:r>
      <w:r w:rsidR="00766263">
        <w:fldChar w:fldCharType="separate"/>
      </w:r>
      <w:r w:rsidR="004D0A2C">
        <w:t>Questions for the sponsor</w:t>
      </w:r>
      <w:r w:rsidR="00766263">
        <w:fldChar w:fldCharType="end"/>
      </w:r>
      <w:r w:rsidR="00766263">
        <w:t>)</w:t>
      </w:r>
      <w:r w:rsidR="002E36FD">
        <w:t>.</w:t>
      </w:r>
    </w:p>
    <w:p w14:paraId="6DE8CD02" w14:textId="64FD1C13" w:rsidR="00D46E14" w:rsidRPr="00D46E14" w:rsidRDefault="00D46E14" w:rsidP="00D46E14">
      <w:r w:rsidRPr="00D46E14">
        <w:t>The proposed product (</w:t>
      </w:r>
      <w:proofErr w:type="spellStart"/>
      <w:r w:rsidRPr="00D46E14">
        <w:t>Evusheld</w:t>
      </w:r>
      <w:proofErr w:type="spellEnd"/>
      <w:r w:rsidRPr="00D46E14">
        <w:t xml:space="preserve">) for marketing is sourced from clonal cell line. However, </w:t>
      </w:r>
      <w:proofErr w:type="gramStart"/>
      <w:r w:rsidRPr="00D46E14">
        <w:t>the majority of</w:t>
      </w:r>
      <w:proofErr w:type="gramEnd"/>
      <w:r w:rsidRPr="00D46E14">
        <w:t xml:space="preserve"> subjects in the PROVENT </w:t>
      </w:r>
      <w:r>
        <w:t>trial</w:t>
      </w:r>
      <w:r w:rsidRPr="00D46E14">
        <w:t xml:space="preserve"> were administered with a product that was derived from a cell pool, and not clonal cell line (n</w:t>
      </w:r>
      <w:r w:rsidR="00D77876">
        <w:t xml:space="preserve"> </w:t>
      </w:r>
      <w:r w:rsidRPr="00D46E14">
        <w:t>=</w:t>
      </w:r>
      <w:r w:rsidR="00D77876">
        <w:t xml:space="preserve"> </w:t>
      </w:r>
      <w:r w:rsidRPr="00D46E14">
        <w:t>92</w:t>
      </w:r>
      <w:r w:rsidR="00D77876">
        <w:t xml:space="preserve"> out of </w:t>
      </w:r>
      <w:r w:rsidRPr="00D46E14">
        <w:t>3460)</w:t>
      </w:r>
      <w:bookmarkStart w:id="62" w:name="_Hlk93659501"/>
      <w:r w:rsidRPr="00D46E14">
        <w:t xml:space="preserve">. </w:t>
      </w:r>
      <w:r>
        <w:t>The neutralising antibody</w:t>
      </w:r>
      <w:r w:rsidRPr="00D46E14">
        <w:t xml:space="preserve"> titres for the product sourced from clonal cell line was around 40% greater than the corresponding titres from the cell pool (Day 8: 779.5 v</w:t>
      </w:r>
      <w:r>
        <w:t>ersu</w:t>
      </w:r>
      <w:r w:rsidRPr="00D46E14">
        <w:t xml:space="preserve">s 472.3). </w:t>
      </w:r>
      <w:bookmarkEnd w:id="62"/>
      <w:r w:rsidRPr="00D46E14">
        <w:t>The data is limited by the low number of subjects in the clonal cell line cohort. The sponsor’s rationale for changing to clonal cell line to source the proposed product for marketing is unclear</w:t>
      </w:r>
      <w:r w:rsidR="00EA7BCB">
        <w:t>.</w:t>
      </w:r>
      <w:r w:rsidRPr="00D46E14">
        <w:t xml:space="preserve"> From a quality perspective, the evaluator has stated that the manufacturing process of the product sourced fr</w:t>
      </w:r>
      <w:r>
        <w:t>om both sources are comparable.</w:t>
      </w:r>
    </w:p>
    <w:p w14:paraId="170DB333" w14:textId="77777777" w:rsidR="00D46E14" w:rsidRPr="00D46E14" w:rsidRDefault="00D46E14" w:rsidP="00D46E14">
      <w:r w:rsidRPr="00D46E14">
        <w:t xml:space="preserve">The incidence of treatment emergent anti-drug antibodies was low for the </w:t>
      </w:r>
      <w:proofErr w:type="spellStart"/>
      <w:r>
        <w:t>tixagevimab</w:t>
      </w:r>
      <w:proofErr w:type="spellEnd"/>
      <w:r>
        <w:t xml:space="preserve"> </w:t>
      </w:r>
      <w:r w:rsidRPr="00D46E14">
        <w:t>component an</w:t>
      </w:r>
      <w:r>
        <w:t>d comparable to placebo (1.8% versus</w:t>
      </w:r>
      <w:r w:rsidRPr="00D46E14">
        <w:t xml:space="preserve"> 0</w:t>
      </w:r>
      <w:r>
        <w:t>%</w:t>
      </w:r>
      <w:r w:rsidRPr="00D46E14">
        <w:t>) and high for the component, compared to placebo (5% v</w:t>
      </w:r>
      <w:r>
        <w:t>ersu</w:t>
      </w:r>
      <w:r w:rsidRPr="00D46E14">
        <w:t>s 0</w:t>
      </w:r>
      <w:r>
        <w:t>%</w:t>
      </w:r>
      <w:r w:rsidRPr="00D46E14">
        <w:t xml:space="preserve">). The overall incidence of </w:t>
      </w:r>
      <w:r>
        <w:t>anti-drug antibodies</w:t>
      </w:r>
      <w:r w:rsidRPr="00D46E14">
        <w:t xml:space="preserve"> was</w:t>
      </w:r>
      <w:r>
        <w:t xml:space="preserve"> considered as low.</w:t>
      </w:r>
    </w:p>
    <w:p w14:paraId="03A06D8B" w14:textId="77777777" w:rsidR="00D46E14" w:rsidRPr="00D46E14" w:rsidRDefault="00D46E14" w:rsidP="00D46E14">
      <w:pPr>
        <w:pStyle w:val="Heading5"/>
      </w:pPr>
      <w:r w:rsidRPr="00D46E14">
        <w:t>Population pharmacokinetics</w:t>
      </w:r>
    </w:p>
    <w:p w14:paraId="3C9721F2" w14:textId="77777777" w:rsidR="00D46E14" w:rsidRPr="00D46E14" w:rsidRDefault="00D46E14" w:rsidP="00D46E14">
      <w:r w:rsidRPr="00D46E14">
        <w:t>The evaluator has conclud</w:t>
      </w:r>
      <w:r w:rsidR="00FB1339">
        <w:t xml:space="preserve">ed that the final </w:t>
      </w:r>
      <w:proofErr w:type="spellStart"/>
      <w:r w:rsidR="00FB1339">
        <w:t>pop</w:t>
      </w:r>
      <w:r w:rsidRPr="00D46E14">
        <w:t>PK</w:t>
      </w:r>
      <w:proofErr w:type="spellEnd"/>
      <w:r w:rsidRPr="00D46E14">
        <w:t xml:space="preserve"> model adequately described data from </w:t>
      </w:r>
      <w:r>
        <w:t>the Phase I and Phase III</w:t>
      </w:r>
      <w:r w:rsidRPr="00D46E14">
        <w:t xml:space="preserve"> studies. Dose lineari</w:t>
      </w:r>
      <w:r>
        <w:t xml:space="preserve">ty over a dose range of 300 mg to </w:t>
      </w:r>
      <w:r w:rsidRPr="00D46E14">
        <w:t xml:space="preserve">3000 mg was shown. It was concluded that </w:t>
      </w:r>
      <w:r>
        <w:t>body mass index</w:t>
      </w:r>
      <w:r w:rsidRPr="00D46E14">
        <w:t xml:space="preserve">, age, </w:t>
      </w:r>
      <w:proofErr w:type="gramStart"/>
      <w:r w:rsidRPr="00D46E14">
        <w:t>diabetes</w:t>
      </w:r>
      <w:proofErr w:type="gramEnd"/>
      <w:r w:rsidRPr="00D46E14">
        <w:t xml:space="preserve"> and baseline serum albumin were not considered clinically relevant due to the minimal impact on interindividua</w:t>
      </w:r>
      <w:r>
        <w:t>l variability of PK parameters.</w:t>
      </w:r>
    </w:p>
    <w:p w14:paraId="0CFE2073" w14:textId="77777777" w:rsidR="00D46E14" w:rsidRPr="00D46E14" w:rsidRDefault="00D46E14" w:rsidP="00D46E14">
      <w:r w:rsidRPr="00D46E14">
        <w:t xml:space="preserve">The limited duration of PK sampling was highlighted as a limitation that may have implication on the half-life that was calculated and hence needs to be </w:t>
      </w:r>
      <w:proofErr w:type="gramStart"/>
      <w:r w:rsidRPr="00D46E14">
        <w:t>taken into account</w:t>
      </w:r>
      <w:proofErr w:type="gramEnd"/>
      <w:r w:rsidRPr="00D46E14">
        <w:t>, when determining</w:t>
      </w:r>
      <w:r>
        <w:t xml:space="preserve"> the dose interval of </w:t>
      </w:r>
      <w:proofErr w:type="spellStart"/>
      <w:r>
        <w:t>Evusheld</w:t>
      </w:r>
      <w:proofErr w:type="spellEnd"/>
      <w:r>
        <w:t>.</w:t>
      </w:r>
    </w:p>
    <w:p w14:paraId="0C2FA5F6" w14:textId="2A44CBB7" w:rsidR="00D46E14" w:rsidRPr="006429CC" w:rsidRDefault="00D46E14" w:rsidP="00D46E14">
      <w:r w:rsidRPr="00D46E14">
        <w:t xml:space="preserve">In terms of the simulations of weight-based dosing versus fixed dosing, which is the key basis of extrapolation of efficacy and safety findings of </w:t>
      </w:r>
      <w:proofErr w:type="spellStart"/>
      <w:r w:rsidRPr="00D46E14">
        <w:t>Evusheld</w:t>
      </w:r>
      <w:proofErr w:type="spellEnd"/>
      <w:r w:rsidRPr="00D46E14">
        <w:t xml:space="preserve"> from adults to adolescent age group, the key limitations were the lack of data regarding PK parameters such as </w:t>
      </w:r>
      <w:proofErr w:type="spellStart"/>
      <w:r w:rsidRPr="00D46E14">
        <w:t>C</w:t>
      </w:r>
      <w:r w:rsidRPr="00D46E14">
        <w:rPr>
          <w:vertAlign w:val="subscript"/>
        </w:rPr>
        <w:t>max</w:t>
      </w:r>
      <w:proofErr w:type="spellEnd"/>
      <w:r w:rsidRPr="00D46E14">
        <w:t xml:space="preserve"> and lack of details regarding the methodological aspects of the Pop PK model that formed the basis of the assumption of comparative systemic exposure of </w:t>
      </w:r>
      <w:proofErr w:type="spellStart"/>
      <w:r w:rsidRPr="00D46E14">
        <w:t>Evusheld</w:t>
      </w:r>
      <w:proofErr w:type="spellEnd"/>
      <w:r w:rsidRPr="00D46E14">
        <w:t xml:space="preserve"> across adult and adolescent populations. </w:t>
      </w:r>
      <w:r w:rsidR="00766263">
        <w:t xml:space="preserve">The sponsor was requested to comment (see </w:t>
      </w:r>
      <w:r w:rsidR="00766263">
        <w:fldChar w:fldCharType="begin"/>
      </w:r>
      <w:r w:rsidR="00766263">
        <w:instrText xml:space="preserve"> REF _Ref97204483 \h </w:instrText>
      </w:r>
      <w:r w:rsidR="00766263">
        <w:fldChar w:fldCharType="separate"/>
      </w:r>
      <w:r w:rsidR="004D0A2C">
        <w:t>Questions for the sponsor</w:t>
      </w:r>
      <w:r w:rsidR="00766263">
        <w:fldChar w:fldCharType="end"/>
      </w:r>
      <w:r w:rsidR="00766263">
        <w:t>)</w:t>
      </w:r>
      <w:r w:rsidR="002E36FD">
        <w:t>.</w:t>
      </w:r>
    </w:p>
    <w:p w14:paraId="1AFE7B1A" w14:textId="77777777" w:rsidR="00D46E14" w:rsidRPr="00D46E14" w:rsidRDefault="00D46E14" w:rsidP="00D46E14">
      <w:pPr>
        <w:pStyle w:val="Heading5"/>
      </w:pPr>
      <w:r w:rsidRPr="00D46E14">
        <w:t>Efficacy</w:t>
      </w:r>
    </w:p>
    <w:p w14:paraId="2FC558C8" w14:textId="77777777" w:rsidR="00D46E14" w:rsidRPr="00D46E14" w:rsidRDefault="00D46E14" w:rsidP="00D46E14">
      <w:pPr>
        <w:pStyle w:val="Heading6"/>
      </w:pPr>
      <w:r w:rsidRPr="00D46E14">
        <w:t>Pre-exposure prophylaxis</w:t>
      </w:r>
    </w:p>
    <w:p w14:paraId="40EBBD4F" w14:textId="77777777" w:rsidR="00D46E14" w:rsidRPr="00D46E14" w:rsidRDefault="00D46E14" w:rsidP="00D46E14">
      <w:r w:rsidRPr="00D46E14">
        <w:t xml:space="preserve">The key inclusion criteria of the event-driven </w:t>
      </w:r>
      <w:r>
        <w:t>Study D8850C00002 (</w:t>
      </w:r>
      <w:r w:rsidRPr="00D46E14">
        <w:t xml:space="preserve">PROVENT </w:t>
      </w:r>
      <w:r>
        <w:t>trial)</w:t>
      </w:r>
      <w:r w:rsidRPr="00D46E14">
        <w:t xml:space="preserve"> largely reflect the targeted patient population (</w:t>
      </w:r>
      <w:r>
        <w:t>that is, a</w:t>
      </w:r>
      <w:r w:rsidRPr="00D46E14">
        <w:t xml:space="preserve">dults at an increased risk for inadequate response to active immunisation </w:t>
      </w:r>
      <w:r w:rsidRPr="00D46E14">
        <w:rPr>
          <w:i/>
        </w:rPr>
        <w:t>or</w:t>
      </w:r>
      <w:r w:rsidRPr="00D46E14">
        <w:t xml:space="preserve"> having an increased risk</w:t>
      </w:r>
      <w:r>
        <w:t xml:space="preserve"> for SARS-COV-2 infection). At Ba</w:t>
      </w:r>
      <w:r w:rsidRPr="00D46E14">
        <w:t>seline 67% of subjects were having a COVID-19 comorbidity and 77% of subjects were at high risk for severe COVID-19 infection due to a co-morbidity. Obesity (41%) and hypertension (35%) were the commonest co-morbidities. There is some evidence to suggest an impaired vaccine response in individuals</w:t>
      </w:r>
      <w:r>
        <w:t xml:space="preserve"> with obesity</w:t>
      </w:r>
      <w:r w:rsidRPr="00D46E14">
        <w:t>. However, the proportion of individuals with an immunosuppressive disease (&lt;</w:t>
      </w:r>
      <w:r>
        <w:t xml:space="preserve"> </w:t>
      </w:r>
      <w:r w:rsidRPr="00D46E14">
        <w:t>1%) and those with a history of severe adverse reaction to prior vaccination (&lt;</w:t>
      </w:r>
      <w:r>
        <w:t xml:space="preserve"> </w:t>
      </w:r>
      <w:r w:rsidRPr="00D46E14">
        <w:t xml:space="preserve">1%) were not well represented in the study population. From a clinical perspective, these are the individuals who will be considered as candidates for passive immunisation. Similarly, a low proportion of subjects </w:t>
      </w:r>
      <w:r w:rsidRPr="00D46E14">
        <w:lastRenderedPageBreak/>
        <w:t xml:space="preserve">in the ≥ 65 years (around 23%) and ≥ 75 years (around 4 %) were noted and has led to fewer data points for efficacy and safety of </w:t>
      </w:r>
      <w:proofErr w:type="spellStart"/>
      <w:r w:rsidRPr="00D46E14">
        <w:t>Evusheld</w:t>
      </w:r>
      <w:proofErr w:type="spellEnd"/>
      <w:r w:rsidRPr="00D46E14">
        <w:t xml:space="preserve"> in the </w:t>
      </w:r>
      <w:r w:rsidRPr="00D46E14">
        <w:rPr>
          <w:i/>
          <w:iCs/>
        </w:rPr>
        <w:t>elderly age group</w:t>
      </w:r>
      <w:r w:rsidRPr="00D46E14">
        <w:t xml:space="preserve"> which is considered as one of the factors that contributes to inadequate response to active immunisation.</w:t>
      </w:r>
    </w:p>
    <w:p w14:paraId="2ECA5292" w14:textId="77777777" w:rsidR="00D46E14" w:rsidRPr="00D46E14" w:rsidRDefault="00D46E14" w:rsidP="00D46E14">
      <w:r w:rsidRPr="00D46E14">
        <w:t xml:space="preserve">In the primary analysis at </w:t>
      </w:r>
      <w:r>
        <w:t>the data cut-off date of 5 May 2021, a relative risk reduction</w:t>
      </w:r>
      <w:r w:rsidRPr="00D46E14">
        <w:t xml:space="preserve"> of 76.73 was achieved for subjects in the treatment arm, following administration of </w:t>
      </w:r>
      <w:proofErr w:type="spellStart"/>
      <w:r w:rsidRPr="00D46E14">
        <w:t>Evusheld</w:t>
      </w:r>
      <w:proofErr w:type="spellEnd"/>
      <w:r w:rsidRPr="00D46E14">
        <w:t xml:space="preserve">, compared to placebo. The treatment difference was statistically significant. The treatment difference remained statistically significant in the supportive analyses regardless of subject’s vaccine status, being unblinded during study period or COVID-19 illness leading to death. The treatment benefit appears to be sustained at a later </w:t>
      </w:r>
      <w:r>
        <w:t>data cut-off</w:t>
      </w:r>
      <w:r w:rsidRPr="00D46E14">
        <w:t xml:space="preserve">, when a median </w:t>
      </w:r>
      <w:proofErr w:type="gramStart"/>
      <w:r w:rsidRPr="00D46E14">
        <w:t>follow</w:t>
      </w:r>
      <w:proofErr w:type="gramEnd"/>
      <w:r w:rsidRPr="00D46E14">
        <w:t xml:space="preserve"> up of 6 months for the subjects was reached, with a </w:t>
      </w:r>
      <w:r>
        <w:t>relative risk reduction</w:t>
      </w:r>
      <w:r w:rsidRPr="00D46E14">
        <w:t xml:space="preserve"> of 82.8.</w:t>
      </w:r>
    </w:p>
    <w:p w14:paraId="22CE80D6" w14:textId="77777777" w:rsidR="00D46E14" w:rsidRPr="00D46E14" w:rsidRDefault="00D46E14" w:rsidP="00D46E14">
      <w:r w:rsidRPr="00D46E14">
        <w:t xml:space="preserve">In the subgroup analyses, a lower proportion of subjects in the ≥ 65 years age group with a significant treatment benefit, compared to the rest of the cohort in the </w:t>
      </w:r>
      <w:proofErr w:type="spellStart"/>
      <w:r w:rsidRPr="00D46E14">
        <w:t>Evusheld</w:t>
      </w:r>
      <w:proofErr w:type="spellEnd"/>
      <w:r w:rsidRPr="00D46E14">
        <w:t xml:space="preserve"> arm was noted. The fewer number of subjects in this age group was </w:t>
      </w:r>
      <w:proofErr w:type="gramStart"/>
      <w:r w:rsidRPr="00D46E14">
        <w:t>taken into account</w:t>
      </w:r>
      <w:proofErr w:type="gramEnd"/>
      <w:r w:rsidRPr="00D46E14">
        <w:t>.</w:t>
      </w:r>
    </w:p>
    <w:p w14:paraId="67314464" w14:textId="77777777" w:rsidR="00D46E14" w:rsidRPr="00D46E14" w:rsidRDefault="00D46E14" w:rsidP="00D46E14">
      <w:r w:rsidRPr="00D46E14">
        <w:t xml:space="preserve">No clinical data were included with repeat dosing of </w:t>
      </w:r>
      <w:proofErr w:type="spellStart"/>
      <w:r w:rsidRPr="00D46E14">
        <w:t>Evusheld</w:t>
      </w:r>
      <w:proofErr w:type="spellEnd"/>
      <w:r w:rsidRPr="00D46E14">
        <w:t xml:space="preserve">, and repeat dosing will likely be needed for a pre-exposure prophylaxis authorisation. From a clinical perspective, safety profile of </w:t>
      </w:r>
      <w:proofErr w:type="spellStart"/>
      <w:r w:rsidRPr="00D46E14">
        <w:t>Evusheld</w:t>
      </w:r>
      <w:proofErr w:type="spellEnd"/>
      <w:r w:rsidRPr="00D46E14">
        <w:t>, when administered as repeat dosing is unknown, particularly the risk of developing hypersensitivity reac</w:t>
      </w:r>
      <w:r>
        <w:t>tions and anti-drug antibodies.</w:t>
      </w:r>
    </w:p>
    <w:p w14:paraId="6819A870" w14:textId="5625D930" w:rsidR="00D46E14" w:rsidRPr="00D46E14" w:rsidRDefault="00D46E14" w:rsidP="00D46E14">
      <w:r w:rsidRPr="00D46E14">
        <w:t xml:space="preserve">No clinical data were included with the administration of </w:t>
      </w:r>
      <w:proofErr w:type="spellStart"/>
      <w:r w:rsidRPr="00D46E14">
        <w:t>Evusheld</w:t>
      </w:r>
      <w:proofErr w:type="spellEnd"/>
      <w:r w:rsidRPr="00D46E14">
        <w:t xml:space="preserve"> to vaccinated individuals. This is clinically relevant as there are individuals who have already been administered with a COVID-19 vaccine and unable to have the required immunity, primarily due to underlying immunosuppressive conditions. </w:t>
      </w:r>
      <w:r w:rsidRPr="00766263">
        <w:t xml:space="preserve">The sponsor has been requested to clarify </w:t>
      </w:r>
      <w:r w:rsidRPr="00AB78B2">
        <w:t>how the findings from an unvaccinated cohort can be extrapolated to already vaccinated population, now requiring passive vaccination</w:t>
      </w:r>
      <w:r w:rsidR="00766263" w:rsidRPr="002E36FD">
        <w:t xml:space="preserve"> (</w:t>
      </w:r>
      <w:r w:rsidR="00766263" w:rsidRPr="002E36FD">
        <w:fldChar w:fldCharType="begin"/>
      </w:r>
      <w:r w:rsidR="00766263" w:rsidRPr="002E36FD">
        <w:instrText xml:space="preserve"> REF _Ref97204483 \h </w:instrText>
      </w:r>
      <w:r w:rsidR="00766263">
        <w:instrText xml:space="preserve"> \* MERGEFORMAT </w:instrText>
      </w:r>
      <w:r w:rsidR="00766263" w:rsidRPr="002E36FD">
        <w:fldChar w:fldCharType="separate"/>
      </w:r>
      <w:r w:rsidR="004D0A2C">
        <w:t>Questions for the sponsor</w:t>
      </w:r>
      <w:r w:rsidR="00766263" w:rsidRPr="002E36FD">
        <w:fldChar w:fldCharType="end"/>
      </w:r>
      <w:r w:rsidR="00766263" w:rsidRPr="002E36FD">
        <w:t>)</w:t>
      </w:r>
      <w:r w:rsidRPr="00766263">
        <w:t>.</w:t>
      </w:r>
    </w:p>
    <w:p w14:paraId="3B5FB10C" w14:textId="77777777" w:rsidR="00D46E14" w:rsidRPr="00D46E14" w:rsidRDefault="00D46E14" w:rsidP="00D46E14">
      <w:pPr>
        <w:pStyle w:val="Heading6"/>
      </w:pPr>
      <w:r w:rsidRPr="00D46E14">
        <w:t>Post exposure prophylaxis</w:t>
      </w:r>
    </w:p>
    <w:p w14:paraId="6117E376" w14:textId="77777777" w:rsidR="00D46E14" w:rsidRPr="00D46E14" w:rsidRDefault="00D46E14" w:rsidP="00D46E14">
      <w:r w:rsidRPr="00D46E14">
        <w:t xml:space="preserve">Study </w:t>
      </w:r>
      <w:r>
        <w:t>D8850C00003 (</w:t>
      </w:r>
      <w:r w:rsidRPr="00D46E14">
        <w:t>STORM CHASER</w:t>
      </w:r>
      <w:r>
        <w:t xml:space="preserve"> trial)</w:t>
      </w:r>
      <w:r w:rsidRPr="00D46E14">
        <w:t xml:space="preserve"> did not meet its primary endpoint.</w:t>
      </w:r>
      <w:r>
        <w:t xml:space="preserve"> In a relatively small cohort (</w:t>
      </w:r>
      <w:r w:rsidRPr="00D46E14">
        <w:t>749 v</w:t>
      </w:r>
      <w:r>
        <w:t xml:space="preserve">ersus </w:t>
      </w:r>
      <w:r w:rsidRPr="00D46E14">
        <w:t>3441</w:t>
      </w:r>
      <w:r>
        <w:t xml:space="preserve"> participants</w:t>
      </w:r>
      <w:r w:rsidRPr="00D46E14">
        <w:t xml:space="preserve"> in </w:t>
      </w:r>
      <w:r>
        <w:t>Study D8850C00001 (</w:t>
      </w:r>
      <w:r w:rsidRPr="00D46E14">
        <w:t>PROVENT</w:t>
      </w:r>
      <w:r>
        <w:t xml:space="preserve"> trial)</w:t>
      </w:r>
      <w:r w:rsidRPr="00D46E14">
        <w:t xml:space="preserve">) of adults with a potential exposure to COVID-19 within 8 days of treatment with </w:t>
      </w:r>
      <w:proofErr w:type="spellStart"/>
      <w:r w:rsidRPr="00D46E14">
        <w:t>Evusheld</w:t>
      </w:r>
      <w:proofErr w:type="spellEnd"/>
      <w:r w:rsidRPr="00D46E14">
        <w:t xml:space="preserve"> and who were therefore at appreciable risk of </w:t>
      </w:r>
      <w:r w:rsidRPr="00D46E14">
        <w:rPr>
          <w:i/>
          <w:iCs/>
        </w:rPr>
        <w:t>imminently developing COVID-19</w:t>
      </w:r>
      <w:r w:rsidRPr="00D46E14">
        <w:t xml:space="preserve">, there was no significant reduction in the development of a SARS-CoV-2 RT-PCR-positive symptomatic illness, compared to placebo. In contrast to </w:t>
      </w:r>
      <w:r>
        <w:t xml:space="preserve">the </w:t>
      </w:r>
      <w:r w:rsidRPr="00D46E14">
        <w:t>PROVENT</w:t>
      </w:r>
      <w:r>
        <w:t xml:space="preserve"> trial</w:t>
      </w:r>
      <w:r w:rsidRPr="00D46E14">
        <w:t xml:space="preserve">, the eligible subjects were needed to be only at </w:t>
      </w:r>
      <w:r w:rsidRPr="00D46E14">
        <w:rPr>
          <w:i/>
        </w:rPr>
        <w:t>risk of imminently developing COVID-1</w:t>
      </w:r>
      <w:r w:rsidRPr="00D46E14">
        <w:t xml:space="preserve">9 and not at </w:t>
      </w:r>
      <w:r w:rsidRPr="00D46E14">
        <w:rPr>
          <w:i/>
        </w:rPr>
        <w:t>risk of developing severe COVID-19</w:t>
      </w:r>
      <w:r w:rsidRPr="00D46E14">
        <w:t xml:space="preserve">. A pre-specified sub-group analysis showed a nominal significance in subjects with SARS-CoV-2 RT-PCR status </w:t>
      </w:r>
      <w:r>
        <w:t>negative/missing at B</w:t>
      </w:r>
      <w:r w:rsidRPr="00D46E14">
        <w:t xml:space="preserve">aseline. This finding is supportive of the outcome of the PROVENT </w:t>
      </w:r>
      <w:r>
        <w:t>trial</w:t>
      </w:r>
      <w:r w:rsidRPr="00D46E14">
        <w:t xml:space="preserve">, </w:t>
      </w:r>
      <w:r w:rsidRPr="00D46E14">
        <w:rPr>
          <w:i/>
          <w:iCs/>
        </w:rPr>
        <w:t>in a pre-exposure setting.</w:t>
      </w:r>
      <w:r w:rsidRPr="00D46E14">
        <w:t xml:space="preserve"> </w:t>
      </w:r>
    </w:p>
    <w:p w14:paraId="6C7E185B" w14:textId="77777777" w:rsidR="00D46E14" w:rsidRPr="00D46E14" w:rsidRDefault="00D46E14" w:rsidP="00D46E14">
      <w:r w:rsidRPr="00D46E14">
        <w:t xml:space="preserve">If approved, from a clinical perspective, individuals with immunosuppressive conditions are likely to form </w:t>
      </w:r>
      <w:proofErr w:type="gramStart"/>
      <w:r w:rsidRPr="00D46E14">
        <w:t>a majority of</w:t>
      </w:r>
      <w:proofErr w:type="gramEnd"/>
      <w:r w:rsidRPr="00D46E14">
        <w:t xml:space="preserve"> individuals who may benefit from treatment with </w:t>
      </w:r>
      <w:proofErr w:type="spellStart"/>
      <w:r w:rsidRPr="00D46E14">
        <w:t>Evusheld</w:t>
      </w:r>
      <w:proofErr w:type="spellEnd"/>
      <w:r w:rsidRPr="00D46E14">
        <w:t>. However, across both prophylaxis studies, only a minority subjects (&lt;</w:t>
      </w:r>
      <w:r>
        <w:t xml:space="preserve"> </w:t>
      </w:r>
      <w:r w:rsidRPr="00D46E14">
        <w:t xml:space="preserve">1% in </w:t>
      </w:r>
      <w:r>
        <w:t xml:space="preserve">the </w:t>
      </w:r>
      <w:r w:rsidRPr="00D46E14">
        <w:t xml:space="preserve">PROVENT </w:t>
      </w:r>
      <w:r>
        <w:t xml:space="preserve">trial </w:t>
      </w:r>
      <w:r w:rsidRPr="00D46E14">
        <w:t>and 0</w:t>
      </w:r>
      <w:r>
        <w:t>%</w:t>
      </w:r>
      <w:r w:rsidRPr="00D46E14">
        <w:t xml:space="preserve"> in </w:t>
      </w:r>
      <w:r>
        <w:t>the STORM C</w:t>
      </w:r>
      <w:r w:rsidRPr="00D46E14">
        <w:t>HASER</w:t>
      </w:r>
      <w:r>
        <w:t xml:space="preserve"> trial</w:t>
      </w:r>
      <w:r w:rsidRPr="00D46E14">
        <w:t xml:space="preserve">) had immunosuppressive disease and a minority of the subjects (3% in </w:t>
      </w:r>
      <w:r>
        <w:t xml:space="preserve">the </w:t>
      </w:r>
      <w:r w:rsidRPr="00D46E14">
        <w:t>PROVENT</w:t>
      </w:r>
      <w:r>
        <w:t xml:space="preserve"> trial</w:t>
      </w:r>
      <w:r w:rsidRPr="00D46E14">
        <w:t xml:space="preserve"> and 14% in </w:t>
      </w:r>
      <w:r>
        <w:t xml:space="preserve">the </w:t>
      </w:r>
      <w:r w:rsidRPr="00D46E14">
        <w:t>STORM</w:t>
      </w:r>
      <w:r>
        <w:t xml:space="preserve"> </w:t>
      </w:r>
      <w:r w:rsidRPr="00D46E14">
        <w:t>CHASER</w:t>
      </w:r>
      <w:r>
        <w:t xml:space="preserve"> trial</w:t>
      </w:r>
      <w:r w:rsidRPr="00D46E14">
        <w:t>) were on immunosuppressive treatment during study period.</w:t>
      </w:r>
    </w:p>
    <w:p w14:paraId="2688E7FF" w14:textId="00CB51A6" w:rsidR="00D46E14" w:rsidRPr="00D46E14" w:rsidRDefault="00D46E14" w:rsidP="00D46E14">
      <w:pPr>
        <w:pStyle w:val="Heading6"/>
      </w:pPr>
      <w:r>
        <w:noBreakHyphen/>
      </w:r>
      <w:r>
        <w:noBreakHyphen/>
      </w:r>
      <w:r>
        <w:noBreakHyphen/>
      </w:r>
      <w:r>
        <w:noBreakHyphen/>
      </w:r>
      <w:r w:rsidRPr="00D46E14">
        <w:t>Activity against Omicron variant</w:t>
      </w:r>
    </w:p>
    <w:p w14:paraId="6D38DB1B" w14:textId="77777777" w:rsidR="00D46E14" w:rsidRPr="00D46E14" w:rsidRDefault="00D46E14" w:rsidP="00D46E14">
      <w:r w:rsidRPr="00D46E14">
        <w:t xml:space="preserve">Based on </w:t>
      </w:r>
      <w:r w:rsidRPr="00D46E14">
        <w:rPr>
          <w:i/>
        </w:rPr>
        <w:t xml:space="preserve">in vitro </w:t>
      </w:r>
      <w:r w:rsidRPr="00D46E14">
        <w:t xml:space="preserve">findings, the neutralising activity of </w:t>
      </w:r>
      <w:proofErr w:type="spellStart"/>
      <w:r w:rsidRPr="00D46E14">
        <w:t>Evusheld</w:t>
      </w:r>
      <w:proofErr w:type="spellEnd"/>
      <w:r w:rsidRPr="00D46E14">
        <w:t xml:space="preserve"> against Omicron was around 15-fold lower than to original wild type strain of SARS-CoV-2. It is also in line with the observation that a higher minimum concentration of </w:t>
      </w:r>
      <w:proofErr w:type="spellStart"/>
      <w:r w:rsidRPr="00D46E14">
        <w:t>Evusheld</w:t>
      </w:r>
      <w:proofErr w:type="spellEnd"/>
      <w:r w:rsidRPr="00D46E14">
        <w:t xml:space="preserve"> was required to achieve </w:t>
      </w:r>
      <w:proofErr w:type="gramStart"/>
      <w:r w:rsidRPr="00D46E14">
        <w:t>a</w:t>
      </w:r>
      <w:proofErr w:type="gramEnd"/>
      <w:r w:rsidRPr="00D46E14">
        <w:t xml:space="preserve"> 80% inhibition of viral cell entry in the lung for Omicron, compared to the rest of the </w:t>
      </w:r>
      <w:r>
        <w:t>SARS-CoV-2 variants (3.3 µ</w:t>
      </w:r>
      <w:r w:rsidRPr="00D46E14">
        <w:t>g/mL v</w:t>
      </w:r>
      <w:r>
        <w:t>ersus 2.2 µ</w:t>
      </w:r>
      <w:r w:rsidRPr="00D46E14">
        <w:t xml:space="preserve">g/mL). The neutralising activity against </w:t>
      </w:r>
      <w:r w:rsidRPr="00D46E14">
        <w:lastRenderedPageBreak/>
        <w:t xml:space="preserve">Omicron variant appears to be lower than that against the Delta variant. No greater activity of any one </w:t>
      </w:r>
      <w:proofErr w:type="spellStart"/>
      <w:r w:rsidRPr="00D46E14">
        <w:t>monocomponent</w:t>
      </w:r>
      <w:proofErr w:type="spellEnd"/>
      <w:r w:rsidRPr="00D46E14">
        <w:t xml:space="preserve"> against Omic</w:t>
      </w:r>
      <w:r>
        <w:t>ron was noted.</w:t>
      </w:r>
    </w:p>
    <w:p w14:paraId="393A80DD" w14:textId="77777777" w:rsidR="00D46E14" w:rsidRPr="00D46E14" w:rsidRDefault="00D46E14" w:rsidP="00D46E14">
      <w:r>
        <w:t xml:space="preserve">The US </w:t>
      </w:r>
      <w:r w:rsidRPr="00D46E14">
        <w:t>FDA has requested the sponsor to conduct analyses to examine whether a higher dose (600</w:t>
      </w:r>
      <w:r>
        <w:t xml:space="preserve"> </w:t>
      </w:r>
      <w:r w:rsidRPr="00D46E14">
        <w:t>mg v</w:t>
      </w:r>
      <w:r>
        <w:t>ersu</w:t>
      </w:r>
      <w:r w:rsidRPr="00D46E14">
        <w:t>s 300</w:t>
      </w:r>
      <w:r>
        <w:t xml:space="preserve"> mg) and a shorter interval (3 months</w:t>
      </w:r>
      <w:r w:rsidRPr="00D46E14">
        <w:t xml:space="preserve"> v</w:t>
      </w:r>
      <w:r>
        <w:t>ersu</w:t>
      </w:r>
      <w:r w:rsidRPr="00D46E14">
        <w:t>s 6</w:t>
      </w:r>
      <w:r>
        <w:t xml:space="preserve"> </w:t>
      </w:r>
      <w:r w:rsidRPr="00D46E14">
        <w:t>m</w:t>
      </w:r>
      <w:r>
        <w:t>onths</w:t>
      </w:r>
      <w:r w:rsidRPr="00D46E14">
        <w:t xml:space="preserve">) of administration of </w:t>
      </w:r>
      <w:proofErr w:type="spellStart"/>
      <w:r w:rsidRPr="00D46E14">
        <w:t>Evusheld</w:t>
      </w:r>
      <w:proofErr w:type="spellEnd"/>
      <w:r w:rsidRPr="00D46E14">
        <w:t xml:space="preserve"> might deliver higher neutralising activity against </w:t>
      </w:r>
      <w:r>
        <w:t xml:space="preserve">the </w:t>
      </w:r>
      <w:r w:rsidRPr="00D46E14">
        <w:t>Omicron</w:t>
      </w:r>
      <w:r>
        <w:t xml:space="preserve"> variant</w:t>
      </w:r>
      <w:r w:rsidRPr="00D46E14">
        <w:t>. The analyses are currently progressing and there is no timeline known for the availability of this data. The outcome of the analyses and the relevant safety data of the higher dose will be considered, once available and submitted to the TGA.</w:t>
      </w:r>
    </w:p>
    <w:p w14:paraId="146E610D" w14:textId="77777777" w:rsidR="00D46E14" w:rsidRPr="00D46E14" w:rsidRDefault="00D46E14" w:rsidP="00D46E14">
      <w:r w:rsidRPr="00D46E14">
        <w:t xml:space="preserve">From a clinical perspective, the efficacy of </w:t>
      </w:r>
      <w:proofErr w:type="spellStart"/>
      <w:r w:rsidRPr="00D46E14">
        <w:t>Evusheld</w:t>
      </w:r>
      <w:proofErr w:type="spellEnd"/>
      <w:r w:rsidRPr="00D46E14">
        <w:t xml:space="preserve"> against Omicron will depend on the plasma concentration that will be achievable and the severity of the disease in patients affected by this variant of SARS-CoV-2. There is a theoretical risk of treatment failure due to the development of viral variants that may be resistant to </w:t>
      </w:r>
      <w:proofErr w:type="spellStart"/>
      <w:r w:rsidRPr="00D46E14">
        <w:t>Evusheld</w:t>
      </w:r>
      <w:proofErr w:type="spellEnd"/>
      <w:r>
        <w:t>.</w:t>
      </w:r>
    </w:p>
    <w:p w14:paraId="698DDD21" w14:textId="77777777" w:rsidR="00D46E14" w:rsidRPr="00D46E14" w:rsidRDefault="00D46E14" w:rsidP="00D46E14">
      <w:r w:rsidRPr="00D46E14">
        <w:t>In this aspect, as with previous m</w:t>
      </w:r>
      <w:r>
        <w:t xml:space="preserve">onoclonal antibody therapies </w:t>
      </w:r>
      <w:r w:rsidRPr="00D46E14">
        <w:t xml:space="preserve">that are registered for the prevention/treatment of COVID-19, if approved, </w:t>
      </w:r>
      <w:proofErr w:type="spellStart"/>
      <w:r w:rsidRPr="00D46E14">
        <w:t>Evusheld</w:t>
      </w:r>
      <w:proofErr w:type="spellEnd"/>
      <w:r w:rsidRPr="00D46E14">
        <w:t xml:space="preserve"> will also be used in patients affected by all strains of SARS-CoV-2 and not a particular variant of this virus. Moreover, the lack of data of activity against an evolving variant has always been a challenge with already approved drugs and will be the sa</w:t>
      </w:r>
      <w:r>
        <w:t>me for the future applications.</w:t>
      </w:r>
    </w:p>
    <w:p w14:paraId="026917AE" w14:textId="4E1FA249" w:rsidR="00D46E14" w:rsidRPr="00D46E14" w:rsidRDefault="00D46E14" w:rsidP="00D46E14">
      <w:r w:rsidRPr="006429CC">
        <w:t xml:space="preserve">The sponsor must assess the neutralising activity of </w:t>
      </w:r>
      <w:proofErr w:type="spellStart"/>
      <w:r w:rsidRPr="006429CC">
        <w:t>Evusheld</w:t>
      </w:r>
      <w:proofErr w:type="spellEnd"/>
      <w:r w:rsidRPr="006429CC">
        <w:t xml:space="preserve"> against the novel variants of concern/variant of interest that are identified in the future.</w:t>
      </w:r>
      <w:r w:rsidRPr="00D46E14">
        <w:t xml:space="preserve"> Efficacy of </w:t>
      </w:r>
      <w:proofErr w:type="spellStart"/>
      <w:r w:rsidRPr="00D46E14">
        <w:t>Evusheld</w:t>
      </w:r>
      <w:proofErr w:type="spellEnd"/>
      <w:r w:rsidRPr="00D46E14">
        <w:t xml:space="preserve"> in patients affected with viral variants should be monitored closely and examined in com</w:t>
      </w:r>
      <w:r>
        <w:t>pany-sponsored clinical trials.</w:t>
      </w:r>
    </w:p>
    <w:p w14:paraId="14BE15C7" w14:textId="2CE1E48C" w:rsidR="00D46E14" w:rsidRPr="00D46E14" w:rsidRDefault="00D46E14" w:rsidP="00D46E14">
      <w:pPr>
        <w:pStyle w:val="Heading5"/>
      </w:pPr>
      <w:r w:rsidRPr="00D46E14">
        <w:t>Safety</w:t>
      </w:r>
    </w:p>
    <w:p w14:paraId="5B56232C" w14:textId="115D6C8D" w:rsidR="00D46E14" w:rsidRPr="00D46E14" w:rsidRDefault="00D46E14" w:rsidP="00D46E14">
      <w:pPr>
        <w:rPr>
          <w:i/>
        </w:rPr>
      </w:pPr>
      <w:r w:rsidRPr="00D46E14">
        <w:t xml:space="preserve">Overall, the incidence of </w:t>
      </w:r>
      <w:r>
        <w:t>adverse events, treatment-emergent adverse events, and serious adverse events</w:t>
      </w:r>
      <w:r w:rsidRPr="00D46E14">
        <w:t xml:space="preserve"> were comparable across </w:t>
      </w:r>
      <w:proofErr w:type="spellStart"/>
      <w:r w:rsidRPr="00D46E14">
        <w:t>Evusheld</w:t>
      </w:r>
      <w:proofErr w:type="spellEnd"/>
      <w:r w:rsidRPr="00D46E14">
        <w:t xml:space="preserve"> and placebo groups, when administered to individuals in a prophylaxis setting. </w:t>
      </w:r>
    </w:p>
    <w:p w14:paraId="12904274" w14:textId="77777777" w:rsidR="00D46E14" w:rsidRPr="00D46E14" w:rsidRDefault="00D46E14" w:rsidP="00D46E14">
      <w:pPr>
        <w:pStyle w:val="Heading6"/>
      </w:pPr>
      <w:r w:rsidRPr="00D46E14">
        <w:t xml:space="preserve">Cardiac </w:t>
      </w:r>
      <w:r>
        <w:t>serious adverse events</w:t>
      </w:r>
    </w:p>
    <w:p w14:paraId="43520C18" w14:textId="04EF6102" w:rsidR="00D46E14" w:rsidRPr="00D46E14" w:rsidRDefault="00D46E14" w:rsidP="00D46E14">
      <w:r w:rsidRPr="00D46E14">
        <w:t xml:space="preserve">In </w:t>
      </w:r>
      <w:r>
        <w:t>Study D8850C00002 (</w:t>
      </w:r>
      <w:r w:rsidRPr="00D46E14">
        <w:t>PROVENT</w:t>
      </w:r>
      <w:r>
        <w:t xml:space="preserve"> trial), 7.5% of</w:t>
      </w:r>
      <w:r w:rsidRPr="00D46E14">
        <w:t xml:space="preserve"> </w:t>
      </w:r>
      <w:r>
        <w:t xml:space="preserve">participants randomised to receive </w:t>
      </w:r>
      <w:proofErr w:type="spellStart"/>
      <w:r>
        <w:t>Evusheld</w:t>
      </w:r>
      <w:proofErr w:type="spellEnd"/>
      <w:r>
        <w:t xml:space="preserve"> </w:t>
      </w:r>
      <w:r w:rsidRPr="00D46E14">
        <w:t xml:space="preserve">and 8.7% </w:t>
      </w:r>
      <w:r>
        <w:t xml:space="preserve">randomised to receive </w:t>
      </w:r>
      <w:r w:rsidRPr="00D46E14">
        <w:t>placebo group had serious heart conditions</w:t>
      </w:r>
      <w:r>
        <w:t xml:space="preserve"> at B</w:t>
      </w:r>
      <w:r w:rsidRPr="00D46E14">
        <w:t xml:space="preserve">aseline. </w:t>
      </w:r>
      <w:r>
        <w:t>The D</w:t>
      </w:r>
      <w:r w:rsidRPr="00D46E14">
        <w:t xml:space="preserve">elegate has considered the fact that the participants were having </w:t>
      </w:r>
      <w:r>
        <w:t>cardiovascular risk factors at B</w:t>
      </w:r>
      <w:r w:rsidRPr="00D46E14">
        <w:t xml:space="preserve">aseline. However, a higher rate of cardiac events and related deaths were reported in </w:t>
      </w:r>
      <w:proofErr w:type="spellStart"/>
      <w:r w:rsidRPr="00D46E14">
        <w:t>Evusheld</w:t>
      </w:r>
      <w:proofErr w:type="spellEnd"/>
      <w:r w:rsidRPr="00D46E14">
        <w:t xml:space="preserve"> arm, compared to placebo, as described below.</w:t>
      </w:r>
    </w:p>
    <w:p w14:paraId="3DA6D826" w14:textId="08F07FE2" w:rsidR="00D46E14" w:rsidRPr="00D46E14" w:rsidRDefault="00D46E14" w:rsidP="00D46E14">
      <w:r w:rsidRPr="00D46E14">
        <w:t xml:space="preserve">A higher proportion of subjects administered with </w:t>
      </w:r>
      <w:proofErr w:type="spellStart"/>
      <w:r w:rsidRPr="00D46E14">
        <w:t>Evusheld</w:t>
      </w:r>
      <w:proofErr w:type="spellEnd"/>
      <w:r w:rsidRPr="00D46E14">
        <w:t xml:space="preserve">, experienced cardiac </w:t>
      </w:r>
      <w:r>
        <w:t xml:space="preserve">serious adverse events </w:t>
      </w:r>
      <w:proofErr w:type="gramStart"/>
      <w:r w:rsidRPr="00D46E14">
        <w:t>both in</w:t>
      </w:r>
      <w:proofErr w:type="gramEnd"/>
      <w:r w:rsidRPr="00D46E14">
        <w:t xml:space="preserve"> pre-exposure prophylaxis (</w:t>
      </w:r>
      <w:r w:rsidR="00C02BDB">
        <w:t xml:space="preserve">The exposure adjusted rates in </w:t>
      </w:r>
      <w:r w:rsidRPr="00D46E14">
        <w:t>PROVENT</w:t>
      </w:r>
      <w:r>
        <w:t xml:space="preserve"> trial</w:t>
      </w:r>
      <w:r w:rsidRPr="00D46E14">
        <w:t>: 1.2% v</w:t>
      </w:r>
      <w:r>
        <w:t>ersu</w:t>
      </w:r>
      <w:r w:rsidRPr="00D46E14">
        <w:t xml:space="preserve">s 0.5%) compared to placebo. </w:t>
      </w:r>
      <w:r w:rsidRPr="006429CC">
        <w:t xml:space="preserve">Across studies, 31 cardiac serious adverse events were reported in </w:t>
      </w:r>
      <w:proofErr w:type="spellStart"/>
      <w:r w:rsidRPr="006429CC">
        <w:t>Evusheld</w:t>
      </w:r>
      <w:proofErr w:type="spellEnd"/>
      <w:r w:rsidRPr="006429CC">
        <w:t xml:space="preserve"> arm, compared to 2 adverse events in placebo arm.</w:t>
      </w:r>
      <w:r w:rsidRPr="00D46E14">
        <w:t xml:space="preserve"> In addition to the 23 </w:t>
      </w:r>
      <w:r>
        <w:t>serious adverse events</w:t>
      </w:r>
      <w:r w:rsidRPr="00D46E14">
        <w:t xml:space="preserve"> in the </w:t>
      </w:r>
      <w:proofErr w:type="spellStart"/>
      <w:r w:rsidRPr="00D46E14">
        <w:t>Evusheld</w:t>
      </w:r>
      <w:proofErr w:type="spellEnd"/>
      <w:r w:rsidRPr="00D46E14">
        <w:t xml:space="preserve"> arm in </w:t>
      </w:r>
      <w:r>
        <w:t xml:space="preserve">the </w:t>
      </w:r>
      <w:r w:rsidRPr="00D46E14">
        <w:t>PROVENT</w:t>
      </w:r>
      <w:r>
        <w:t xml:space="preserve"> trial</w:t>
      </w:r>
      <w:r w:rsidRPr="00D46E14">
        <w:t xml:space="preserve">, a further 2 participants in the </w:t>
      </w:r>
      <w:proofErr w:type="spellStart"/>
      <w:r w:rsidRPr="00D46E14">
        <w:t>Evusheld</w:t>
      </w:r>
      <w:proofErr w:type="spellEnd"/>
      <w:r w:rsidRPr="00D46E14">
        <w:t xml:space="preserve"> group had raised troponin levels. In </w:t>
      </w:r>
      <w:r>
        <w:t xml:space="preserve">the </w:t>
      </w:r>
      <w:r w:rsidRPr="00D46E14">
        <w:t>PROVENT</w:t>
      </w:r>
      <w:r>
        <w:t xml:space="preserve"> trial, at a</w:t>
      </w:r>
      <w:r w:rsidRPr="00D46E14">
        <w:t xml:space="preserve"> median </w:t>
      </w:r>
      <w:r>
        <w:t xml:space="preserve">of 6 months </w:t>
      </w:r>
      <w:r w:rsidRPr="00D46E14">
        <w:t xml:space="preserve">follow up, 23 cardiac </w:t>
      </w:r>
      <w:r>
        <w:t>serious adverse events</w:t>
      </w:r>
      <w:r w:rsidRPr="00D46E14">
        <w:t xml:space="preserve"> were reported in </w:t>
      </w:r>
      <w:proofErr w:type="spellStart"/>
      <w:r w:rsidRPr="00D46E14">
        <w:t>Evusheld</w:t>
      </w:r>
      <w:proofErr w:type="spellEnd"/>
      <w:r w:rsidRPr="00D46E14">
        <w:t xml:space="preserve"> arm, compared to 5 events in placebo. 9/23 and 2/5 events were myocardial infarctions. In </w:t>
      </w:r>
      <w:r>
        <w:t xml:space="preserve">the </w:t>
      </w:r>
      <w:r w:rsidRPr="00D46E14">
        <w:t>PROVENT</w:t>
      </w:r>
      <w:r>
        <w:t xml:space="preserve"> trial</w:t>
      </w:r>
      <w:r w:rsidRPr="00D46E14">
        <w:t xml:space="preserve">, an event of mesenteric artery thrombosis in the </w:t>
      </w:r>
      <w:proofErr w:type="spellStart"/>
      <w:r w:rsidRPr="00D46E14">
        <w:t>Evusheld</w:t>
      </w:r>
      <w:proofErr w:type="spellEnd"/>
      <w:r w:rsidRPr="00D46E14">
        <w:t xml:space="preserve"> arm was considered as treatment related.</w:t>
      </w:r>
    </w:p>
    <w:p w14:paraId="44BF0511" w14:textId="1F6DA4EE" w:rsidR="00D46E14" w:rsidRPr="00F513FE" w:rsidRDefault="00D46E14" w:rsidP="00F513FE">
      <w:r w:rsidRPr="00F513FE">
        <w:t>The higher proportion of cardiac events (17/28) that were reported within 14 days and most of the ischaemic event that were reported within 30</w:t>
      </w:r>
      <w:r w:rsidR="00111FE7">
        <w:t xml:space="preserve"> </w:t>
      </w:r>
      <w:r w:rsidRPr="00F513FE">
        <w:t xml:space="preserve">days of commencement of treatment with </w:t>
      </w:r>
      <w:proofErr w:type="spellStart"/>
      <w:r w:rsidR="00F513FE" w:rsidRPr="00F513FE">
        <w:t>Evusheld</w:t>
      </w:r>
      <w:proofErr w:type="spellEnd"/>
      <w:r w:rsidR="00F513FE" w:rsidRPr="00F513FE">
        <w:t xml:space="preserve"> </w:t>
      </w:r>
      <w:r w:rsidRPr="00F513FE">
        <w:t xml:space="preserve">in </w:t>
      </w:r>
      <w:r w:rsidR="00F513FE">
        <w:t xml:space="preserve">the </w:t>
      </w:r>
      <w:r w:rsidRPr="00F513FE">
        <w:t xml:space="preserve">PROVENT </w:t>
      </w:r>
      <w:r w:rsidR="00F513FE">
        <w:t xml:space="preserve">trial </w:t>
      </w:r>
      <w:r w:rsidRPr="00F513FE">
        <w:t xml:space="preserve">suggest a temporal relationship between the administration of </w:t>
      </w:r>
      <w:proofErr w:type="spellStart"/>
      <w:r w:rsidR="00F513FE" w:rsidRPr="00F513FE">
        <w:t>Evusheld</w:t>
      </w:r>
      <w:proofErr w:type="spellEnd"/>
      <w:r w:rsidR="00F513FE" w:rsidRPr="00F513FE">
        <w:t xml:space="preserve"> </w:t>
      </w:r>
      <w:r w:rsidRPr="00F513FE">
        <w:t>and cardiac events. With due consideration of the baseline cardiac risk factors, no ischaemic events were reported in placebo arm and the overall rate of cardiac events was low.</w:t>
      </w:r>
    </w:p>
    <w:p w14:paraId="6F324027" w14:textId="02B82486" w:rsidR="00D46E14" w:rsidRPr="002C7BAC" w:rsidRDefault="00D46E14" w:rsidP="002C7BAC">
      <w:r w:rsidRPr="002C7BAC">
        <w:lastRenderedPageBreak/>
        <w:t xml:space="preserve">In </w:t>
      </w:r>
      <w:r w:rsidR="002C7BAC">
        <w:t xml:space="preserve">the </w:t>
      </w:r>
      <w:r w:rsidRPr="002C7BAC">
        <w:t xml:space="preserve">PROVENT </w:t>
      </w:r>
      <w:r w:rsidR="002C7BAC">
        <w:t>trial</w:t>
      </w:r>
      <w:r w:rsidRPr="002C7BAC">
        <w:t xml:space="preserve">, </w:t>
      </w:r>
      <w:r w:rsidR="002C7BAC">
        <w:t>4</w:t>
      </w:r>
      <w:r w:rsidRPr="002C7BAC">
        <w:t xml:space="preserve"> out of </w:t>
      </w:r>
      <w:r w:rsidR="002C7BAC">
        <w:t>9</w:t>
      </w:r>
      <w:r w:rsidRPr="002C7BAC">
        <w:t xml:space="preserve"> deaths in </w:t>
      </w:r>
      <w:proofErr w:type="spellStart"/>
      <w:r w:rsidRPr="002C7BAC">
        <w:t>Evusheld</w:t>
      </w:r>
      <w:proofErr w:type="spellEnd"/>
      <w:r w:rsidRPr="002C7BAC">
        <w:t xml:space="preserve"> arm were due to cardiac </w:t>
      </w:r>
      <w:r w:rsidR="002C7BAC">
        <w:t>serious adverse events</w:t>
      </w:r>
      <w:r w:rsidRPr="002C7BAC">
        <w:t xml:space="preserve"> such as arrhythmia, cardiac failure, cardiac </w:t>
      </w:r>
      <w:proofErr w:type="gramStart"/>
      <w:r w:rsidRPr="002C7BAC">
        <w:t>ar</w:t>
      </w:r>
      <w:r w:rsidR="002C7BAC">
        <w:t>rest</w:t>
      </w:r>
      <w:proofErr w:type="gramEnd"/>
      <w:r w:rsidR="002C7BAC">
        <w:t xml:space="preserve"> and myocardial infarction.</w:t>
      </w:r>
      <w:r w:rsidRPr="002C7BAC">
        <w:t xml:space="preserve"> </w:t>
      </w:r>
    </w:p>
    <w:p w14:paraId="75D41658" w14:textId="677F5E93" w:rsidR="00D46E14" w:rsidRPr="002C7BAC" w:rsidRDefault="0059637F" w:rsidP="00D46E14">
      <w:r>
        <w:t>A</w:t>
      </w:r>
      <w:r w:rsidR="00D46E14">
        <w:t>n</w:t>
      </w:r>
      <w:r w:rsidR="00D46E14" w:rsidRPr="00D46E14">
        <w:t xml:space="preserve"> event of </w:t>
      </w:r>
      <w:r w:rsidR="002C7BAC" w:rsidRPr="00D46E14">
        <w:t xml:space="preserve">left ventricular failure </w:t>
      </w:r>
      <w:r w:rsidR="00D46E14" w:rsidRPr="00D46E14">
        <w:t>(PROVENT</w:t>
      </w:r>
      <w:r w:rsidR="002C7BAC">
        <w:t xml:space="preserve"> trial</w:t>
      </w:r>
      <w:r w:rsidR="00D46E14" w:rsidRPr="00D46E14">
        <w:t xml:space="preserve">) </w:t>
      </w:r>
      <w:r>
        <w:t>was</w:t>
      </w:r>
      <w:r w:rsidR="00D46E14">
        <w:t xml:space="preserve"> </w:t>
      </w:r>
      <w:r w:rsidR="00D46E14" w:rsidRPr="00D46E14">
        <w:t xml:space="preserve">reported as cardiac </w:t>
      </w:r>
      <w:r w:rsidR="002C7BAC">
        <w:t>serious adverse events</w:t>
      </w:r>
      <w:r w:rsidR="00D46E14" w:rsidRPr="00D46E14">
        <w:t xml:space="preserve"> in the placebo arm</w:t>
      </w:r>
      <w:r w:rsidR="00D46E14" w:rsidRPr="002C7BAC">
        <w:t>. No cardiac deaths or ischaemic events were reported in the placebo arm.</w:t>
      </w:r>
    </w:p>
    <w:p w14:paraId="646A29AC" w14:textId="77777777" w:rsidR="00D46E14" w:rsidRPr="00D46E14" w:rsidRDefault="00D46E14" w:rsidP="00D46E14">
      <w:r w:rsidRPr="00D46E14">
        <w:t xml:space="preserve">There were no cardiac </w:t>
      </w:r>
      <w:r w:rsidR="002C7BAC">
        <w:t>serious adverse events</w:t>
      </w:r>
      <w:r w:rsidRPr="00D46E14">
        <w:t xml:space="preserve"> in the STORM CHASER </w:t>
      </w:r>
      <w:r w:rsidR="002C7BAC">
        <w:t>trial</w:t>
      </w:r>
      <w:r w:rsidRPr="00D46E14">
        <w:t xml:space="preserve">. In contrast to </w:t>
      </w:r>
      <w:r w:rsidR="002C7BAC">
        <w:t xml:space="preserve">the </w:t>
      </w:r>
      <w:r w:rsidRPr="00D46E14">
        <w:t>PROVENT</w:t>
      </w:r>
      <w:r w:rsidR="002C7BAC">
        <w:t xml:space="preserve"> trial</w:t>
      </w:r>
      <w:r w:rsidRPr="00D46E14">
        <w:t>, the safety data is limited by the 6-month duration, the patient population was younger with a mean age of 46.4 years in STORM</w:t>
      </w:r>
      <w:r w:rsidR="002C7BAC">
        <w:t xml:space="preserve"> </w:t>
      </w:r>
      <w:r w:rsidRPr="00D46E14">
        <w:t xml:space="preserve">CHASER, compared to 53.5 years in </w:t>
      </w:r>
      <w:r w:rsidR="002C7BAC">
        <w:t>the PROVENT.</w:t>
      </w:r>
    </w:p>
    <w:p w14:paraId="57CDA77D" w14:textId="77777777" w:rsidR="00D46E14" w:rsidRPr="00D46E14" w:rsidRDefault="00D46E14" w:rsidP="00D46E14">
      <w:r w:rsidRPr="00D46E14">
        <w:t xml:space="preserve">Upon FDA request, the applicant provided the additional information based on data from </w:t>
      </w:r>
      <w:r w:rsidR="002C7BAC">
        <w:t xml:space="preserve">the </w:t>
      </w:r>
      <w:r w:rsidRPr="00D46E14">
        <w:t>PROVENT</w:t>
      </w:r>
      <w:r w:rsidR="002C7BAC">
        <w:t xml:space="preserve"> trial</w:t>
      </w:r>
      <w:r w:rsidRPr="00D46E14">
        <w:t xml:space="preserve"> that suggest no associ</w:t>
      </w:r>
      <w:r w:rsidR="002C7DFF">
        <w:t>ation between development of anti-drug antibodie</w:t>
      </w:r>
      <w:r w:rsidRPr="00D46E14">
        <w:t>s and cardiac events.</w:t>
      </w:r>
    </w:p>
    <w:p w14:paraId="079F57DB" w14:textId="6095FA39" w:rsidR="00D46E14" w:rsidRPr="002C7BAC" w:rsidRDefault="00D46E14" w:rsidP="00D46E14">
      <w:r w:rsidRPr="002C7BAC">
        <w:t xml:space="preserve">Based on the above facts, an increased risk for cardiac events, particularly the ischaemic cardiac events when patients with cardiovascular risk factors are treated with </w:t>
      </w:r>
      <w:proofErr w:type="spellStart"/>
      <w:r w:rsidR="00D77876">
        <w:t>Evusheld</w:t>
      </w:r>
      <w:proofErr w:type="spellEnd"/>
      <w:r w:rsidRPr="002C7BAC">
        <w:t xml:space="preserve"> cannot be ruled out. Further monitoring and specific reporting of such events in ongoing trials and from post market data is required. </w:t>
      </w:r>
      <w:r w:rsidRPr="002C7BAC">
        <w:rPr>
          <w:i/>
          <w:iCs/>
        </w:rPr>
        <w:t>Cardiac events should be considered as a potential risk and adequately addressed in the proposed PI and RMP.</w:t>
      </w:r>
    </w:p>
    <w:p w14:paraId="06FA2030" w14:textId="425E13E4" w:rsidR="00D46E14" w:rsidRPr="00D46E14" w:rsidRDefault="00D46E14" w:rsidP="00D46E14">
      <w:r w:rsidRPr="00D46E14">
        <w:t xml:space="preserve">Across all clinical studies, prior receipt of a COVID-19 vaccine was an exclusion criterion for participation. In </w:t>
      </w:r>
      <w:r w:rsidR="002C7BAC">
        <w:t xml:space="preserve">the </w:t>
      </w:r>
      <w:r w:rsidRPr="00D46E14">
        <w:t>PROVENT</w:t>
      </w:r>
      <w:r w:rsidR="002C7BAC">
        <w:t xml:space="preserve"> trial, at the data cut-off of</w:t>
      </w:r>
      <w:r w:rsidRPr="00D46E14">
        <w:t xml:space="preserve"> May 2021, 28% subjects received COVID-19 vaccine. At a median of 6 months of treatment period (Aug</w:t>
      </w:r>
      <w:r w:rsidR="002C7BAC">
        <w:t>ust</w:t>
      </w:r>
      <w:r w:rsidRPr="00D46E14">
        <w:t xml:space="preserve"> 2021), a total of around 40% of subjects in the </w:t>
      </w:r>
      <w:proofErr w:type="spellStart"/>
      <w:r w:rsidR="002C7BAC" w:rsidRPr="00D46E14">
        <w:t>Evusheld</w:t>
      </w:r>
      <w:proofErr w:type="spellEnd"/>
      <w:r w:rsidR="002C7BAC" w:rsidRPr="00D46E14">
        <w:t xml:space="preserve"> </w:t>
      </w:r>
      <w:r w:rsidRPr="00D46E14">
        <w:t>ar</w:t>
      </w:r>
      <w:r w:rsidR="002C7DFF">
        <w:t xml:space="preserve">m received COVID-19 vaccine. </w:t>
      </w:r>
      <w:r w:rsidRPr="00D46E14">
        <w:t xml:space="preserve">The safety profile of </w:t>
      </w:r>
      <w:proofErr w:type="spellStart"/>
      <w:r w:rsidRPr="00D46E14">
        <w:t>Evusheld</w:t>
      </w:r>
      <w:proofErr w:type="spellEnd"/>
      <w:r w:rsidRPr="00D46E14">
        <w:t xml:space="preserve"> in individuals who </w:t>
      </w:r>
      <w:r w:rsidR="002C7DFF">
        <w:t>have previously received a COVID</w:t>
      </w:r>
      <w:r w:rsidRPr="00D46E14">
        <w:t xml:space="preserve">-19 vaccine, particularly the susceptibility for re-infection has not been explored. </w:t>
      </w:r>
      <w:r w:rsidRPr="006429CC">
        <w:t>The sponsor should evaluate this aspect in the post-market studies.</w:t>
      </w:r>
      <w:r w:rsidRPr="00D46E14">
        <w:t xml:space="preserve"> </w:t>
      </w:r>
    </w:p>
    <w:p w14:paraId="44B18AAF" w14:textId="77777777" w:rsidR="00D46E14" w:rsidRPr="00D46E14" w:rsidRDefault="002C7BAC" w:rsidP="00D46E14">
      <w:r>
        <w:t>No healthy adults in P</w:t>
      </w:r>
      <w:r w:rsidR="00D46E14" w:rsidRPr="00D46E14">
        <w:t>hase I</w:t>
      </w:r>
      <w:r w:rsidR="002C7DFF">
        <w:t xml:space="preserve"> study tested positive for the a</w:t>
      </w:r>
      <w:r w:rsidR="00D46E14" w:rsidRPr="00D46E14">
        <w:t xml:space="preserve">nti-drug antibodies. A minority of subjects in the </w:t>
      </w:r>
      <w:r w:rsidR="00D46E14" w:rsidRPr="002C7DFF">
        <w:t>AZD8895 (1.8%) and AZD1061 (5%) tested pos</w:t>
      </w:r>
      <w:r w:rsidR="002C7DFF">
        <w:t>itive for treatment-emergent anti-drug antibodies</w:t>
      </w:r>
      <w:r w:rsidR="00D46E14" w:rsidRPr="002C7DFF">
        <w:t>. Similar</w:t>
      </w:r>
      <w:r w:rsidR="00D46E14" w:rsidRPr="00D46E14">
        <w:t xml:space="preserve"> reports from </w:t>
      </w:r>
      <w:r>
        <w:t>the PROVENT and</w:t>
      </w:r>
      <w:r w:rsidR="00D46E14" w:rsidRPr="00D46E14">
        <w:t xml:space="preserve"> STORM CHASER </w:t>
      </w:r>
      <w:r>
        <w:t>trials</w:t>
      </w:r>
      <w:r w:rsidR="00D46E14" w:rsidRPr="00D46E14">
        <w:t xml:space="preserve"> with a larger </w:t>
      </w:r>
      <w:r>
        <w:t>population</w:t>
      </w:r>
      <w:r w:rsidR="00D46E14" w:rsidRPr="00D46E14">
        <w:t xml:space="preserve"> and longer duration are pending. Sponsor must submit these results when seeking full registration. </w:t>
      </w:r>
      <w:r>
        <w:t>The incidence of antidrug antibody formation</w:t>
      </w:r>
      <w:r w:rsidR="00D46E14" w:rsidRPr="00D46E14">
        <w:t xml:space="preserve"> following repeat dosing is unknown.</w:t>
      </w:r>
    </w:p>
    <w:p w14:paraId="6A222CB8" w14:textId="77777777" w:rsidR="00D46E14" w:rsidRPr="00D46E14" w:rsidRDefault="002C7DFF" w:rsidP="002C7DFF">
      <w:pPr>
        <w:pStyle w:val="Heading4"/>
      </w:pPr>
      <w:r>
        <w:t>Proposed action</w:t>
      </w:r>
    </w:p>
    <w:p w14:paraId="3C1A842F" w14:textId="77777777" w:rsidR="00D46E14" w:rsidRPr="002C7DFF" w:rsidRDefault="00D46E14" w:rsidP="002C7DFF">
      <w:r w:rsidRPr="002C7DFF">
        <w:t xml:space="preserve">The Delegate has considered the urgent public health need due to the COVID-19 pandemic, and the submitted data on quality, </w:t>
      </w:r>
      <w:proofErr w:type="gramStart"/>
      <w:r w:rsidRPr="002C7DFF">
        <w:t>safety</w:t>
      </w:r>
      <w:proofErr w:type="gramEnd"/>
      <w:r w:rsidRPr="002C7DFF">
        <w:t xml:space="preserve"> and efficacy. </w:t>
      </w:r>
    </w:p>
    <w:p w14:paraId="604DC3C8" w14:textId="77777777" w:rsidR="00D46E14" w:rsidRPr="00D46E14" w:rsidRDefault="00D46E14" w:rsidP="00D46E14">
      <w:r w:rsidRPr="00D46E14">
        <w:t xml:space="preserve">The Delegate is of the view that the potential benefits outweigh the risks associated with the use of </w:t>
      </w:r>
      <w:proofErr w:type="spellStart"/>
      <w:r w:rsidR="002C7DFF" w:rsidRPr="00D46E14">
        <w:t>Evusheld</w:t>
      </w:r>
      <w:proofErr w:type="spellEnd"/>
      <w:r w:rsidR="002C7DFF" w:rsidRPr="00D46E14">
        <w:t xml:space="preserve"> </w:t>
      </w:r>
      <w:r w:rsidRPr="002C7DFF">
        <w:t xml:space="preserve">for the </w:t>
      </w:r>
      <w:r w:rsidRPr="002C7DFF">
        <w:rPr>
          <w:i/>
          <w:iCs/>
        </w:rPr>
        <w:t>pre-exposure prophylaxis against COVID-19.</w:t>
      </w:r>
    </w:p>
    <w:p w14:paraId="225CBF27" w14:textId="2E2DD856" w:rsidR="00D46E14" w:rsidRPr="00D46E14" w:rsidRDefault="00D46E14" w:rsidP="00D46E14">
      <w:pPr>
        <w:rPr>
          <w:i/>
          <w:iCs/>
        </w:rPr>
      </w:pPr>
      <w:r w:rsidRPr="00D46E14">
        <w:t xml:space="preserve">At this point in time, based on the data that has been provided, the Delegate is not convinced that there is enough evidence to support the use of </w:t>
      </w:r>
      <w:proofErr w:type="spellStart"/>
      <w:r w:rsidR="002C7DFF" w:rsidRPr="00D46E14">
        <w:t>Evusheld</w:t>
      </w:r>
      <w:proofErr w:type="spellEnd"/>
      <w:r w:rsidR="002C7DFF" w:rsidRPr="002C7DFF">
        <w:rPr>
          <w:i/>
        </w:rPr>
        <w:t xml:space="preserve"> </w:t>
      </w:r>
      <w:r w:rsidRPr="002C7DFF">
        <w:rPr>
          <w:i/>
          <w:iCs/>
        </w:rPr>
        <w:t xml:space="preserve">for the proposed post-exposure prophylaxis. </w:t>
      </w:r>
    </w:p>
    <w:p w14:paraId="5B1DF96F" w14:textId="77777777" w:rsidR="00D46E14" w:rsidRPr="00D46E14" w:rsidRDefault="00D46E14" w:rsidP="00D46E14">
      <w:r w:rsidRPr="00D46E14">
        <w:t>This conclusion is based on the following limitations and critical issues:</w:t>
      </w:r>
    </w:p>
    <w:p w14:paraId="27F6EEFE" w14:textId="77777777" w:rsidR="00D46E14" w:rsidRPr="00D46E14" w:rsidRDefault="00D46E14" w:rsidP="00232AC4">
      <w:pPr>
        <w:pStyle w:val="Numberbullet0"/>
        <w:numPr>
          <w:ilvl w:val="0"/>
          <w:numId w:val="30"/>
        </w:numPr>
      </w:pPr>
      <w:r w:rsidRPr="00D46E14">
        <w:t>Post exposure prophylaxis against COVID-19</w:t>
      </w:r>
    </w:p>
    <w:p w14:paraId="473B4DAE" w14:textId="77777777" w:rsidR="00D46E14" w:rsidRPr="00D46E14" w:rsidRDefault="00D46E14" w:rsidP="00232AC4">
      <w:pPr>
        <w:pStyle w:val="Numberbullet2"/>
      </w:pPr>
      <w:r w:rsidRPr="00D46E14">
        <w:t>The STORM</w:t>
      </w:r>
      <w:r w:rsidR="00F513FE">
        <w:t xml:space="preserve"> </w:t>
      </w:r>
      <w:r w:rsidRPr="00D46E14">
        <w:t xml:space="preserve">CHASER </w:t>
      </w:r>
      <w:r w:rsidR="00F513FE">
        <w:t>trial</w:t>
      </w:r>
      <w:r w:rsidRPr="00D46E14">
        <w:t xml:space="preserve"> did not meet its primary endpoint. There is no evidence to suggest efficacy of </w:t>
      </w:r>
      <w:proofErr w:type="spellStart"/>
      <w:r w:rsidR="00F513FE" w:rsidRPr="00D46E14">
        <w:t>Evusheld</w:t>
      </w:r>
      <w:proofErr w:type="spellEnd"/>
      <w:r w:rsidR="00F513FE" w:rsidRPr="00D46E14">
        <w:t xml:space="preserve"> </w:t>
      </w:r>
      <w:r w:rsidRPr="00D46E14">
        <w:t>for the post-exp</w:t>
      </w:r>
      <w:r w:rsidR="00F513FE">
        <w:t>osure prophylaxis against COVID</w:t>
      </w:r>
      <w:r w:rsidR="00F513FE">
        <w:noBreakHyphen/>
      </w:r>
      <w:r w:rsidRPr="00D46E14">
        <w:t>19.</w:t>
      </w:r>
    </w:p>
    <w:p w14:paraId="170A7C9A" w14:textId="77777777" w:rsidR="00D46E14" w:rsidRPr="00D46E14" w:rsidRDefault="00D46E14" w:rsidP="00232AC4">
      <w:pPr>
        <w:pStyle w:val="Numberbullet0"/>
      </w:pPr>
      <w:r w:rsidRPr="00D46E14">
        <w:t>Safety issues that are critical</w:t>
      </w:r>
    </w:p>
    <w:p w14:paraId="085AF0DF" w14:textId="77777777" w:rsidR="00D46E14" w:rsidRPr="00D46E14" w:rsidRDefault="00D46E14" w:rsidP="00232AC4">
      <w:pPr>
        <w:pStyle w:val="Numberbullet2"/>
      </w:pPr>
      <w:r w:rsidRPr="00D46E14">
        <w:lastRenderedPageBreak/>
        <w:t xml:space="preserve">Limited safety data, with a median follow up of 84 days, particularly in view of the cardiac events that were reported in the PROVENT </w:t>
      </w:r>
      <w:r w:rsidR="00F513FE">
        <w:t>trial</w:t>
      </w:r>
      <w:r w:rsidRPr="00D46E14">
        <w:t>.</w:t>
      </w:r>
    </w:p>
    <w:p w14:paraId="23D75515" w14:textId="77777777" w:rsidR="00D46E14" w:rsidRPr="00D46E14" w:rsidRDefault="00D46E14" w:rsidP="00232AC4">
      <w:pPr>
        <w:pStyle w:val="Numberbullet2"/>
      </w:pPr>
      <w:r w:rsidRPr="00D46E14">
        <w:t xml:space="preserve">In subjects with cardiovascular risk factors, 3 cardiac </w:t>
      </w:r>
      <w:r w:rsidR="00F513FE">
        <w:t>serious adverse events</w:t>
      </w:r>
      <w:r w:rsidRPr="00D46E14">
        <w:t xml:space="preserve"> were reported, out of which 2 of them were fatal. No similar rate of events </w:t>
      </w:r>
      <w:proofErr w:type="gramStart"/>
      <w:r w:rsidRPr="00D46E14">
        <w:t>were</w:t>
      </w:r>
      <w:proofErr w:type="gramEnd"/>
      <w:r w:rsidRPr="00D46E14">
        <w:t xml:space="preserve"> reported in the placebo arm.</w:t>
      </w:r>
    </w:p>
    <w:p w14:paraId="6DF5FDE2" w14:textId="77777777" w:rsidR="00F513FE" w:rsidRPr="00F513FE" w:rsidRDefault="00F513FE" w:rsidP="00F513FE">
      <w:pPr>
        <w:pStyle w:val="Heading5"/>
      </w:pPr>
      <w:r>
        <w:t>Indication</w:t>
      </w:r>
    </w:p>
    <w:p w14:paraId="1119B639" w14:textId="158BC311" w:rsidR="00D46E14" w:rsidRPr="00D46E14" w:rsidRDefault="00D46E14" w:rsidP="00D46E14">
      <w:r w:rsidRPr="00D46E14">
        <w:t>The sponsor’s proposed indication is very broad. Considering the data that was provided in pre-exposure, post-</w:t>
      </w:r>
      <w:proofErr w:type="gramStart"/>
      <w:r w:rsidRPr="00D46E14">
        <w:t>exposure</w:t>
      </w:r>
      <w:proofErr w:type="gramEnd"/>
      <w:r w:rsidRPr="00D46E14">
        <w:t xml:space="preserve"> and the evidence to support the use of </w:t>
      </w:r>
      <w:proofErr w:type="spellStart"/>
      <w:r w:rsidR="00F513FE" w:rsidRPr="00D46E14">
        <w:t>Evusheld</w:t>
      </w:r>
      <w:proofErr w:type="spellEnd"/>
      <w:r w:rsidR="00F513FE" w:rsidRPr="00D46E14">
        <w:t xml:space="preserve"> </w:t>
      </w:r>
      <w:r w:rsidRPr="00D46E14">
        <w:t xml:space="preserve">in these settings, particularly the safety data, the Delegate has considered the following indication for approval, pending </w:t>
      </w:r>
      <w:r w:rsidR="00F513FE">
        <w:t>Advisory Committee on Medicines (A</w:t>
      </w:r>
      <w:r w:rsidRPr="00D46E14">
        <w:t>CM</w:t>
      </w:r>
      <w:r w:rsidR="00F513FE">
        <w:t>)</w:t>
      </w:r>
      <w:r w:rsidRPr="00D46E14">
        <w:t xml:space="preserve"> advice and satisfactory resolution of outstanding issues.</w:t>
      </w:r>
    </w:p>
    <w:p w14:paraId="22706A92" w14:textId="77777777" w:rsidR="00D46E14" w:rsidRPr="00D46E14" w:rsidRDefault="00D46E14" w:rsidP="00F513FE">
      <w:pPr>
        <w:ind w:left="720"/>
        <w:rPr>
          <w:i/>
          <w:iCs/>
        </w:rPr>
      </w:pPr>
      <w:r w:rsidRPr="00D46E14">
        <w:rPr>
          <w:i/>
          <w:iCs/>
        </w:rPr>
        <w:t>Pre-exposure prophylaxis</w:t>
      </w:r>
    </w:p>
    <w:p w14:paraId="4DB52FEA" w14:textId="77777777" w:rsidR="00D46E14" w:rsidRPr="00D46E14" w:rsidRDefault="00F513FE" w:rsidP="00F513FE">
      <w:pPr>
        <w:ind w:left="720"/>
        <w:rPr>
          <w:i/>
          <w:iCs/>
        </w:rPr>
      </w:pPr>
      <w:proofErr w:type="spellStart"/>
      <w:r w:rsidRPr="00D46E14">
        <w:rPr>
          <w:i/>
          <w:iCs/>
        </w:rPr>
        <w:t>Evusheld</w:t>
      </w:r>
      <w:proofErr w:type="spellEnd"/>
      <w:r w:rsidRPr="00D46E14">
        <w:rPr>
          <w:i/>
          <w:iCs/>
        </w:rPr>
        <w:t xml:space="preserve"> </w:t>
      </w:r>
      <w:r w:rsidR="00D46E14" w:rsidRPr="00D46E14">
        <w:rPr>
          <w:i/>
          <w:iCs/>
        </w:rPr>
        <w:t>(</w:t>
      </w:r>
      <w:proofErr w:type="spellStart"/>
      <w:r w:rsidR="00D46E14" w:rsidRPr="00D46E14">
        <w:rPr>
          <w:i/>
          <w:iCs/>
        </w:rPr>
        <w:t>tixagevimab</w:t>
      </w:r>
      <w:proofErr w:type="spellEnd"/>
      <w:r w:rsidR="00D46E14" w:rsidRPr="00D46E14">
        <w:rPr>
          <w:i/>
          <w:iCs/>
        </w:rPr>
        <w:t xml:space="preserve"> and </w:t>
      </w:r>
      <w:proofErr w:type="spellStart"/>
      <w:r w:rsidR="00D46E14" w:rsidRPr="00D46E14">
        <w:rPr>
          <w:i/>
          <w:iCs/>
        </w:rPr>
        <w:t>cilgavimab</w:t>
      </w:r>
      <w:proofErr w:type="spellEnd"/>
      <w:r w:rsidR="00D46E14" w:rsidRPr="00D46E14">
        <w:rPr>
          <w:i/>
          <w:iCs/>
        </w:rPr>
        <w:t>) has provisional approval for the prophylaxis of COVID-19 in adults and adolescents aged 12 years</w:t>
      </w:r>
      <w:r>
        <w:rPr>
          <w:i/>
          <w:iCs/>
        </w:rPr>
        <w:t xml:space="preserve"> and older weighing at least 40 </w:t>
      </w:r>
      <w:r w:rsidR="00D46E14" w:rsidRPr="00D46E14">
        <w:rPr>
          <w:i/>
          <w:iCs/>
        </w:rPr>
        <w:t>kg,</w:t>
      </w:r>
    </w:p>
    <w:p w14:paraId="3AFC0BC9" w14:textId="77777777" w:rsidR="00D46E14" w:rsidRPr="00F513FE" w:rsidRDefault="00D46E14" w:rsidP="00F513FE">
      <w:pPr>
        <w:pStyle w:val="ListBullet3"/>
        <w:rPr>
          <w:i/>
        </w:rPr>
      </w:pPr>
      <w:r w:rsidRPr="00F513FE">
        <w:rPr>
          <w:i/>
        </w:rPr>
        <w:t>Who are not currently infected with SARS-CoV-2 and who have not had a known recent exposure to an individual infected with SARS</w:t>
      </w:r>
      <w:r w:rsidR="00F513FE" w:rsidRPr="00F513FE">
        <w:rPr>
          <w:i/>
        </w:rPr>
        <w:t>-</w:t>
      </w:r>
      <w:r w:rsidRPr="00F513FE">
        <w:rPr>
          <w:i/>
        </w:rPr>
        <w:t xml:space="preserve">CoV-2 </w:t>
      </w:r>
      <w:proofErr w:type="gramStart"/>
      <w:r w:rsidRPr="00F513FE">
        <w:rPr>
          <w:bCs/>
          <w:i/>
        </w:rPr>
        <w:t>and</w:t>
      </w:r>
      <w:proofErr w:type="gramEnd"/>
    </w:p>
    <w:p w14:paraId="725CE772" w14:textId="77777777" w:rsidR="00D46E14" w:rsidRPr="00F513FE" w:rsidRDefault="00D46E14" w:rsidP="00F513FE">
      <w:pPr>
        <w:pStyle w:val="ListBullet3"/>
        <w:rPr>
          <w:i/>
        </w:rPr>
      </w:pPr>
      <w:r w:rsidRPr="00F513FE">
        <w:rPr>
          <w:i/>
        </w:rPr>
        <w:t xml:space="preserve">Who have moderate to severe immune compromise due to a medical condition or receipt of immunosuppressive medications or treatments </w:t>
      </w:r>
      <w:r w:rsidRPr="00F513FE">
        <w:rPr>
          <w:bCs/>
          <w:i/>
        </w:rPr>
        <w:t>and</w:t>
      </w:r>
      <w:r w:rsidRPr="00F513FE">
        <w:rPr>
          <w:i/>
        </w:rPr>
        <w:t xml:space="preserve"> may not mount an adequate immune response to COVID-19 vaccination </w:t>
      </w:r>
      <w:proofErr w:type="gramStart"/>
      <w:r w:rsidRPr="00F513FE">
        <w:rPr>
          <w:bCs/>
          <w:i/>
        </w:rPr>
        <w:t>or</w:t>
      </w:r>
      <w:proofErr w:type="gramEnd"/>
    </w:p>
    <w:p w14:paraId="712800EA" w14:textId="77777777" w:rsidR="00D46E14" w:rsidRPr="00D46E14" w:rsidRDefault="00D46E14" w:rsidP="00D46E14">
      <w:pPr>
        <w:numPr>
          <w:ilvl w:val="0"/>
          <w:numId w:val="28"/>
        </w:numPr>
        <w:rPr>
          <w:i/>
          <w:iCs/>
        </w:rPr>
      </w:pPr>
      <w:r w:rsidRPr="00D46E14">
        <w:rPr>
          <w:i/>
          <w:iCs/>
        </w:rPr>
        <w:t>For whom vaccination with any approved COVID-19 vaccine is not recommended due to a history of severe adverse reaction (e.g., severe allergic reaction) to a COVID-19 vaccine(s) and/or COVID-19 vaccine component(s).</w:t>
      </w:r>
    </w:p>
    <w:p w14:paraId="26B7FEA1" w14:textId="77777777" w:rsidR="00D46E14" w:rsidRPr="00D46E14" w:rsidRDefault="00F513FE" w:rsidP="00F513FE">
      <w:pPr>
        <w:ind w:firstLine="720"/>
        <w:rPr>
          <w:i/>
          <w:iCs/>
        </w:rPr>
      </w:pPr>
      <w:proofErr w:type="spellStart"/>
      <w:r w:rsidRPr="00D46E14">
        <w:rPr>
          <w:i/>
          <w:iCs/>
        </w:rPr>
        <w:t>Evusheld</w:t>
      </w:r>
      <w:proofErr w:type="spellEnd"/>
      <w:r w:rsidRPr="00D46E14">
        <w:rPr>
          <w:i/>
          <w:iCs/>
        </w:rPr>
        <w:t xml:space="preserve"> </w:t>
      </w:r>
      <w:r w:rsidR="00D46E14" w:rsidRPr="00D46E14">
        <w:rPr>
          <w:i/>
          <w:iCs/>
        </w:rPr>
        <w:t>is not intended to be used as a substitute for vaccination against COVID-19.</w:t>
      </w:r>
    </w:p>
    <w:p w14:paraId="7BB0366F" w14:textId="77777777" w:rsidR="00D46E14" w:rsidRPr="00355BED" w:rsidRDefault="00D46E14" w:rsidP="00355BED">
      <w:r w:rsidRPr="00355BED">
        <w:t xml:space="preserve">This approval has been granted </w:t>
      </w:r>
      <w:proofErr w:type="gramStart"/>
      <w:r w:rsidRPr="00355BED">
        <w:t>on the basis of</w:t>
      </w:r>
      <w:proofErr w:type="gramEnd"/>
      <w:r w:rsidRPr="00355BED">
        <w:t xml:space="preserve"> short-term efficacy and safety data. Evidence of longer-term efficacy and safety from ongoing trials continues to be gathered and assessed. The approval of </w:t>
      </w:r>
      <w:proofErr w:type="spellStart"/>
      <w:r w:rsidR="00F513FE" w:rsidRPr="00355BED">
        <w:t>Evusheld</w:t>
      </w:r>
      <w:proofErr w:type="spellEnd"/>
      <w:r w:rsidR="00F513FE" w:rsidRPr="00355BED">
        <w:t xml:space="preserve"> </w:t>
      </w:r>
      <w:r w:rsidRPr="00355BED">
        <w:t xml:space="preserve">is associated with conditions that need to </w:t>
      </w:r>
      <w:r w:rsidR="00F513FE" w:rsidRPr="00355BED">
        <w:t>be met by the s</w:t>
      </w:r>
      <w:r w:rsidRPr="00355BED">
        <w:t xml:space="preserve">ponsor to ascertain the continued quality, safety, and efficacy of the product. Patients and doctors should be advised of the nature of the provisional registration. </w:t>
      </w:r>
      <w:proofErr w:type="spellStart"/>
      <w:r w:rsidR="00F513FE" w:rsidRPr="00355BED">
        <w:t>Evusheld</w:t>
      </w:r>
      <w:proofErr w:type="spellEnd"/>
      <w:r w:rsidR="00F513FE" w:rsidRPr="00355BED">
        <w:t xml:space="preserve"> </w:t>
      </w:r>
      <w:r w:rsidRPr="00355BED">
        <w:t xml:space="preserve">should only be administered if the treatment benefit outweighs the associated risks. </w:t>
      </w:r>
    </w:p>
    <w:p w14:paraId="32253942" w14:textId="77777777" w:rsidR="00D46E14" w:rsidRPr="00D46E14" w:rsidRDefault="00D46E14" w:rsidP="00D46E14">
      <w:r w:rsidRPr="00D46E14">
        <w:t>Further changes to the PI may be required following the ACM discussion. The final approval is subject to the satisfactory resolution of any outstanding issues.</w:t>
      </w:r>
    </w:p>
    <w:p w14:paraId="59127968" w14:textId="77777777" w:rsidR="007D53B6" w:rsidRDefault="007D53B6" w:rsidP="007D53B6">
      <w:pPr>
        <w:pStyle w:val="Heading4"/>
      </w:pPr>
      <w:bookmarkStart w:id="63" w:name="_Ref97204483"/>
      <w:r>
        <w:t xml:space="preserve">Questions for </w:t>
      </w:r>
      <w:r w:rsidR="00744121">
        <w:t xml:space="preserve">the </w:t>
      </w:r>
      <w:r>
        <w:t>sponsor</w:t>
      </w:r>
      <w:bookmarkEnd w:id="63"/>
    </w:p>
    <w:p w14:paraId="34C88238" w14:textId="77777777" w:rsidR="00F40B70" w:rsidRDefault="00744121" w:rsidP="00F40B70">
      <w:r>
        <w:t>The sponsor provided the following response to questions from the Delegate.</w:t>
      </w:r>
    </w:p>
    <w:p w14:paraId="0B38665A" w14:textId="77777777" w:rsidR="00F40B70" w:rsidRDefault="00F40B70" w:rsidP="00F40B70">
      <w:pPr>
        <w:pStyle w:val="Numberbullet0"/>
        <w:numPr>
          <w:ilvl w:val="0"/>
          <w:numId w:val="31"/>
        </w:numPr>
        <w:rPr>
          <w:b/>
          <w:i/>
        </w:rPr>
      </w:pPr>
      <w:r w:rsidRPr="00F40B70">
        <w:rPr>
          <w:b/>
          <w:i/>
        </w:rPr>
        <w:t>In Study D8850C00001 [</w:t>
      </w:r>
      <w:r w:rsidRPr="00F40B70">
        <w:rPr>
          <w:i/>
        </w:rPr>
        <w:t>Phase I study in healthy adults</w:t>
      </w:r>
      <w:r w:rsidRPr="00F40B70">
        <w:rPr>
          <w:b/>
          <w:i/>
        </w:rPr>
        <w:t>], the serum concentration of AZD7442 (</w:t>
      </w:r>
      <w:proofErr w:type="spellStart"/>
      <w:r w:rsidRPr="00F40B70">
        <w:rPr>
          <w:b/>
          <w:i/>
        </w:rPr>
        <w:t>Evusheld</w:t>
      </w:r>
      <w:proofErr w:type="spellEnd"/>
      <w:r w:rsidRPr="00F40B70">
        <w:rPr>
          <w:b/>
          <w:i/>
        </w:rPr>
        <w:t>) appears to be higher than AZD8895 (</w:t>
      </w:r>
      <w:proofErr w:type="spellStart"/>
      <w:r w:rsidRPr="00F40B70">
        <w:rPr>
          <w:b/>
          <w:i/>
        </w:rPr>
        <w:t>tixagevimab</w:t>
      </w:r>
      <w:proofErr w:type="spellEnd"/>
      <w:r w:rsidRPr="00F40B70">
        <w:rPr>
          <w:b/>
          <w:i/>
        </w:rPr>
        <w:t>) and AZD1061 (</w:t>
      </w:r>
      <w:proofErr w:type="spellStart"/>
      <w:r w:rsidRPr="00F40B70">
        <w:rPr>
          <w:b/>
          <w:i/>
        </w:rPr>
        <w:t>cilgavimab</w:t>
      </w:r>
      <w:proofErr w:type="spellEnd"/>
      <w:r w:rsidRPr="00F40B70">
        <w:rPr>
          <w:b/>
          <w:i/>
        </w:rPr>
        <w:t>), when administ</w:t>
      </w:r>
      <w:r>
        <w:rPr>
          <w:b/>
          <w:i/>
        </w:rPr>
        <w:t>ered individually</w:t>
      </w:r>
      <w:r w:rsidRPr="00F40B70">
        <w:rPr>
          <w:b/>
          <w:i/>
        </w:rPr>
        <w:t>. The absolute values cannot be found in the clinical study report [for this study]. The sponsor is requested to provide a response.</w:t>
      </w:r>
    </w:p>
    <w:p w14:paraId="0DBB5387" w14:textId="77777777" w:rsidR="00F40B70" w:rsidRDefault="00F40B70" w:rsidP="00F40B70">
      <w:r>
        <w:t xml:space="preserve">Serum concentration of </w:t>
      </w:r>
      <w:proofErr w:type="spellStart"/>
      <w:r>
        <w:t>Evusheld</w:t>
      </w:r>
      <w:proofErr w:type="spellEnd"/>
      <w:r>
        <w:t xml:space="preserve"> (AZD7442) is calculated as the sum of </w:t>
      </w:r>
      <w:proofErr w:type="spellStart"/>
      <w:r>
        <w:t>tixagevimab</w:t>
      </w:r>
      <w:proofErr w:type="spellEnd"/>
      <w:r>
        <w:t xml:space="preserve"> (AZD8895) and </w:t>
      </w:r>
      <w:proofErr w:type="spellStart"/>
      <w:r>
        <w:t>cilgavimab</w:t>
      </w:r>
      <w:proofErr w:type="spellEnd"/>
      <w:r>
        <w:t xml:space="preserve"> (AZD1061), thus it is expected to be numerically higher than those of the component monoclonal antibodies. Summary statistics of serum concentrations of </w:t>
      </w:r>
      <w:proofErr w:type="spellStart"/>
      <w:r>
        <w:t>tixagevimab</w:t>
      </w:r>
      <w:proofErr w:type="spellEnd"/>
      <w:r>
        <w:t xml:space="preserve"> and </w:t>
      </w:r>
      <w:proofErr w:type="spellStart"/>
      <w:r>
        <w:t>cilgavimab</w:t>
      </w:r>
      <w:proofErr w:type="spellEnd"/>
      <w:r>
        <w:t xml:space="preserve"> up to Day 271 of all participants in all cohorts are presented in the Study D8850C00001 clinical study report.</w:t>
      </w:r>
    </w:p>
    <w:p w14:paraId="66802ACC" w14:textId="65618687" w:rsidR="00F40B70" w:rsidRDefault="00F40B70" w:rsidP="00F40B70">
      <w:pPr>
        <w:pStyle w:val="Numberbullet0"/>
        <w:rPr>
          <w:b/>
          <w:i/>
        </w:rPr>
      </w:pPr>
      <w:r w:rsidRPr="00F40B70">
        <w:rPr>
          <w:b/>
          <w:i/>
        </w:rPr>
        <w:lastRenderedPageBreak/>
        <w:t>In terms of PK in nasal lining fluid, in the 300 mg IM dose cohort, the median AZD8895 (</w:t>
      </w:r>
      <w:proofErr w:type="spellStart"/>
      <w:r w:rsidRPr="00F40B70">
        <w:rPr>
          <w:b/>
          <w:i/>
        </w:rPr>
        <w:t>tixagevimab</w:t>
      </w:r>
      <w:proofErr w:type="spellEnd"/>
      <w:r w:rsidRPr="00F40B70">
        <w:rPr>
          <w:b/>
          <w:i/>
        </w:rPr>
        <w:t>) and AZD1061 (</w:t>
      </w:r>
      <w:proofErr w:type="spellStart"/>
      <w:r w:rsidRPr="00F40B70">
        <w:rPr>
          <w:b/>
          <w:i/>
        </w:rPr>
        <w:t>cilgavimab</w:t>
      </w:r>
      <w:proofErr w:type="spellEnd"/>
      <w:r>
        <w:rPr>
          <w:b/>
          <w:i/>
        </w:rPr>
        <w:t>) n</w:t>
      </w:r>
      <w:r w:rsidRPr="00F40B70">
        <w:rPr>
          <w:b/>
          <w:i/>
        </w:rPr>
        <w:t>asal lining fluid concentrations were 171 ng/mL and 187 ng/mL respectively, at Day 8 and 226</w:t>
      </w:r>
      <w:r w:rsidR="00D77876">
        <w:rPr>
          <w:b/>
          <w:i/>
        </w:rPr>
        <w:t xml:space="preserve"> </w:t>
      </w:r>
      <w:r w:rsidRPr="00F40B70">
        <w:rPr>
          <w:b/>
          <w:i/>
        </w:rPr>
        <w:t>the significance/clinical relevance of these results against the COVID-19 variants, particularly the Omicron variant. The data is limited to Day 31. Please provide data (if available) for up to Day 183, which corresponds to the timeline for the primary endpoint in Study D8850C00002 (PROVENT trial).</w:t>
      </w:r>
    </w:p>
    <w:p w14:paraId="5DF6BC42" w14:textId="2951414A" w:rsidR="00F40B70" w:rsidRPr="00F40B70" w:rsidRDefault="00F40B70" w:rsidP="00F40B70">
      <w:r w:rsidRPr="00F40B70">
        <w:t xml:space="preserve">Preliminary data on </w:t>
      </w:r>
      <w:r>
        <w:t>nasal lining fluid</w:t>
      </w:r>
      <w:r w:rsidRPr="00F40B70">
        <w:t xml:space="preserve"> concentrations are available</w:t>
      </w:r>
      <w:r>
        <w:t xml:space="preserve"> up to Day 151 for </w:t>
      </w:r>
      <w:proofErr w:type="spellStart"/>
      <w:r>
        <w:t>tixagevimab</w:t>
      </w:r>
      <w:proofErr w:type="spellEnd"/>
      <w:r>
        <w:t xml:space="preserve">, </w:t>
      </w:r>
      <w:proofErr w:type="spellStart"/>
      <w:r w:rsidRPr="00F40B70">
        <w:t>cilgavimab</w:t>
      </w:r>
      <w:proofErr w:type="spellEnd"/>
      <w:r w:rsidRPr="00F40B70">
        <w:t xml:space="preserve">, and </w:t>
      </w:r>
      <w:proofErr w:type="spellStart"/>
      <w:r w:rsidRPr="00F40B70">
        <w:t>Evusheld</w:t>
      </w:r>
      <w:proofErr w:type="spellEnd"/>
      <w:r w:rsidRPr="00F40B70">
        <w:t xml:space="preserve"> (</w:t>
      </w:r>
      <w:proofErr w:type="spellStart"/>
      <w:r w:rsidRPr="00F40B70">
        <w:t>tixagevimab</w:t>
      </w:r>
      <w:proofErr w:type="spellEnd"/>
      <w:r w:rsidRPr="00F40B70">
        <w:t xml:space="preserve"> plus </w:t>
      </w:r>
      <w:proofErr w:type="spellStart"/>
      <w:r w:rsidRPr="00F40B70">
        <w:t>cilgavima</w:t>
      </w:r>
      <w:r w:rsidR="006B77C3">
        <w:t>b</w:t>
      </w:r>
      <w:proofErr w:type="spellEnd"/>
      <w:r w:rsidR="006B77C3">
        <w:t xml:space="preserve">) in the Phase I study. The nasal lining fluid </w:t>
      </w:r>
      <w:proofErr w:type="spellStart"/>
      <w:r w:rsidR="006B77C3" w:rsidRPr="00F40B70">
        <w:t>Evusheld</w:t>
      </w:r>
      <w:proofErr w:type="spellEnd"/>
      <w:r w:rsidR="006B77C3" w:rsidRPr="00F40B70">
        <w:t xml:space="preserve"> </w:t>
      </w:r>
      <w:r w:rsidRPr="00F40B70">
        <w:t>concentration exceeds the IC</w:t>
      </w:r>
      <w:r w:rsidRPr="006B77C3">
        <w:rPr>
          <w:vertAlign w:val="subscript"/>
        </w:rPr>
        <w:t>50</w:t>
      </w:r>
      <w:r w:rsidR="006B77C3">
        <w:t xml:space="preserve"> value for the original SARS_CoV-2 strain </w:t>
      </w:r>
      <w:r w:rsidRPr="00F40B70">
        <w:t xml:space="preserve">(10 ng/mL) over 150 days with a geometric mean value of 163 ng/mL, while the </w:t>
      </w:r>
      <w:proofErr w:type="spellStart"/>
      <w:r w:rsidR="006B77C3" w:rsidRPr="00F40B70">
        <w:t>Evusheld</w:t>
      </w:r>
      <w:proofErr w:type="spellEnd"/>
      <w:r w:rsidR="006B77C3">
        <w:t xml:space="preserve"> </w:t>
      </w:r>
      <w:r w:rsidRPr="00F40B70">
        <w:t>concentration exceeds the IC</w:t>
      </w:r>
      <w:r w:rsidRPr="006B77C3">
        <w:rPr>
          <w:vertAlign w:val="subscript"/>
        </w:rPr>
        <w:t>50</w:t>
      </w:r>
      <w:r w:rsidRPr="00F40B70">
        <w:t xml:space="preserve"> value for the Omicron BA.1</w:t>
      </w:r>
      <w:r w:rsidR="006B77C3">
        <w:t xml:space="preserve"> variant (geometric mean of the </w:t>
      </w:r>
      <w:r w:rsidRPr="00F40B70">
        <w:t>first 4 available IC</w:t>
      </w:r>
      <w:r w:rsidRPr="008B1E21">
        <w:rPr>
          <w:vertAlign w:val="subscript"/>
        </w:rPr>
        <w:t>50</w:t>
      </w:r>
      <w:r w:rsidRPr="00F40B70">
        <w:t xml:space="preserve"> of 209 ng/mL); over 90 days with a geometric mean co</w:t>
      </w:r>
      <w:r w:rsidR="008B1E21">
        <w:t>ncentration of 326 ng/</w:t>
      </w:r>
      <w:proofErr w:type="spellStart"/>
      <w:r w:rsidR="008B1E21">
        <w:t>mL.</w:t>
      </w:r>
      <w:proofErr w:type="spellEnd"/>
      <w:r w:rsidR="008B1E21">
        <w:t xml:space="preserve"> These nasal lining fluid</w:t>
      </w:r>
      <w:r w:rsidRPr="00F40B70">
        <w:t xml:space="preserve"> concentrations are only relevant for upper respiratory tra</w:t>
      </w:r>
      <w:r w:rsidR="008B1E21">
        <w:t xml:space="preserve">ct protection since penetration </w:t>
      </w:r>
      <w:r w:rsidRPr="00F40B70">
        <w:t>into the lower respiratory tract is expected to be higher co</w:t>
      </w:r>
      <w:r w:rsidR="008B1E21">
        <w:t>mpared to the upper respiratory</w:t>
      </w:r>
      <w:r w:rsidR="0006102C">
        <w:t xml:space="preserve"> </w:t>
      </w:r>
      <w:r w:rsidRPr="00F40B70">
        <w:t xml:space="preserve">tract. </w:t>
      </w:r>
      <w:r w:rsidR="008B1E21">
        <w:t>the sponsor</w:t>
      </w:r>
      <w:r w:rsidRPr="00F40B70">
        <w:t xml:space="preserve"> considers that the major public health benefit of </w:t>
      </w:r>
      <w:proofErr w:type="spellStart"/>
      <w:r w:rsidR="008B1E21" w:rsidRPr="00F40B70">
        <w:t>Evusheld</w:t>
      </w:r>
      <w:proofErr w:type="spellEnd"/>
      <w:r w:rsidR="008B1E21" w:rsidRPr="00F40B70">
        <w:t xml:space="preserve"> </w:t>
      </w:r>
      <w:r w:rsidR="008B1E21">
        <w:t xml:space="preserve">is in the </w:t>
      </w:r>
      <w:r w:rsidRPr="00F40B70">
        <w:t>prevention of lower respiratory tract infection (</w:t>
      </w:r>
      <w:r w:rsidR="008B1E21">
        <w:t>that is</w:t>
      </w:r>
      <w:r w:rsidRPr="00F40B70">
        <w:t>, viral pneumonitis), whi</w:t>
      </w:r>
      <w:r w:rsidR="008B1E21">
        <w:t>ch is the major cause of hospitalis</w:t>
      </w:r>
      <w:r w:rsidRPr="00F40B70">
        <w:t>ation and death from COVID-19. Furthermore</w:t>
      </w:r>
      <w:r w:rsidR="008B1E21">
        <w:t xml:space="preserve">, while the severity of Omicron </w:t>
      </w:r>
      <w:r w:rsidRPr="00F40B70">
        <w:t>infection appears to be reduced compared to previous variants, hospitali</w:t>
      </w:r>
      <w:r w:rsidR="008B1E21">
        <w:t xml:space="preserve">sations due to </w:t>
      </w:r>
      <w:r w:rsidRPr="00F40B70">
        <w:t>Omicr</w:t>
      </w:r>
      <w:r w:rsidR="001645D0">
        <w:t xml:space="preserve">on are not negligible </w:t>
      </w:r>
      <w:r w:rsidR="008B1E21">
        <w:t xml:space="preserve">and remain a </w:t>
      </w:r>
      <w:r w:rsidRPr="00F40B70">
        <w:t>significant health care burden.</w:t>
      </w:r>
      <w:bookmarkStart w:id="64" w:name="_Ref95725637"/>
      <w:r w:rsidR="008B1E21">
        <w:rPr>
          <w:rStyle w:val="FootnoteReference"/>
        </w:rPr>
        <w:footnoteReference w:id="38"/>
      </w:r>
      <w:bookmarkEnd w:id="64"/>
      <w:r w:rsidR="001645D0">
        <w:rPr>
          <w:vertAlign w:val="superscript"/>
        </w:rPr>
        <w:t>,</w:t>
      </w:r>
      <w:bookmarkStart w:id="65" w:name="_Ref95725626"/>
      <w:r w:rsidR="001645D0">
        <w:rPr>
          <w:rStyle w:val="FootnoteReference"/>
        </w:rPr>
        <w:footnoteReference w:id="39"/>
      </w:r>
      <w:bookmarkEnd w:id="65"/>
      <w:r w:rsidRPr="00F40B70">
        <w:t xml:space="preserve"> Therefore, reducing progression to severe disease remains a</w:t>
      </w:r>
      <w:r w:rsidR="008B1E21">
        <w:t xml:space="preserve"> </w:t>
      </w:r>
      <w:r w:rsidRPr="00F40B70">
        <w:t>public health priority.</w:t>
      </w:r>
    </w:p>
    <w:p w14:paraId="5DA11C3F" w14:textId="77777777" w:rsidR="00906F75" w:rsidRPr="00084DA9" w:rsidRDefault="00F40B70" w:rsidP="00084DA9">
      <w:r w:rsidRPr="00F40B70">
        <w:t xml:space="preserve">To predict </w:t>
      </w:r>
      <w:proofErr w:type="spellStart"/>
      <w:r w:rsidR="008B1E21" w:rsidRPr="00F40B70">
        <w:t>Evusheld</w:t>
      </w:r>
      <w:proofErr w:type="spellEnd"/>
      <w:r w:rsidR="008B1E21" w:rsidRPr="00F40B70">
        <w:t xml:space="preserve"> </w:t>
      </w:r>
      <w:r w:rsidRPr="00F40B70">
        <w:t xml:space="preserve">concentrations in the lower respiratory tract, </w:t>
      </w:r>
      <w:r w:rsidR="008B1E21">
        <w:t xml:space="preserve">the sponsor uses a lung epithelial lining fluid </w:t>
      </w:r>
      <w:r w:rsidRPr="00F40B70">
        <w:t>penetration ratio of 12% which is i</w:t>
      </w:r>
      <w:r w:rsidR="008B1E21">
        <w:t xml:space="preserve">n the range of published values </w:t>
      </w:r>
      <w:r w:rsidRPr="00F40B70">
        <w:t>and values used by other sponsors.</w:t>
      </w:r>
      <w:r w:rsidR="008B1E21">
        <w:rPr>
          <w:rStyle w:val="FootnoteReference"/>
        </w:rPr>
        <w:footnoteReference w:id="40"/>
      </w:r>
      <w:r w:rsidRPr="00F40B70">
        <w:t xml:space="preserve"> Th</w:t>
      </w:r>
      <w:r w:rsidR="008B1E21">
        <w:t xml:space="preserve">is means that 6 months post the </w:t>
      </w:r>
      <w:r w:rsidRPr="00F40B70">
        <w:t xml:space="preserve">300 mg IM dose, the concentration in lung </w:t>
      </w:r>
      <w:r w:rsidR="008B1E21">
        <w:t xml:space="preserve">epithelial lining fluid </w:t>
      </w:r>
      <w:r w:rsidRPr="00F40B70">
        <w:t>is predi</w:t>
      </w:r>
      <w:r w:rsidR="008B1E21">
        <w:t xml:space="preserve">cted to be on average 960 ng/mL </w:t>
      </w:r>
      <w:r w:rsidRPr="00F40B70">
        <w:t xml:space="preserve">which will result in more than 80% of viral cell inhibition </w:t>
      </w:r>
      <w:r w:rsidR="008B1E21">
        <w:t xml:space="preserve">against Omicron (geometric mean </w:t>
      </w:r>
      <w:r w:rsidRPr="00F40B70">
        <w:t>IC</w:t>
      </w:r>
      <w:r w:rsidRPr="008B1E21">
        <w:rPr>
          <w:vertAlign w:val="subscript"/>
        </w:rPr>
        <w:t>50</w:t>
      </w:r>
      <w:r w:rsidRPr="00F40B70">
        <w:t xml:space="preserve"> of 209 ng/mL) which is sufficient for prophylaxis and thus </w:t>
      </w:r>
      <w:r w:rsidR="008B1E21">
        <w:t xml:space="preserve">escalation of viral load in the </w:t>
      </w:r>
      <w:r w:rsidRPr="00F40B70">
        <w:t>lower respiratory tract and will prevent worsening of C</w:t>
      </w:r>
      <w:r w:rsidR="008B1E21">
        <w:t>OVID</w:t>
      </w:r>
      <w:r w:rsidR="008B1E21">
        <w:noBreakHyphen/>
        <w:t xml:space="preserve">19 symptoms due to Omicron </w:t>
      </w:r>
      <w:r w:rsidRPr="00F40B70">
        <w:t xml:space="preserve">BA.1 for 6 months. For the Omicron BA.2 variant, the </w:t>
      </w:r>
      <w:proofErr w:type="spellStart"/>
      <w:r w:rsidR="008B1E21" w:rsidRPr="00F40B70">
        <w:t>Evusheld</w:t>
      </w:r>
      <w:proofErr w:type="spellEnd"/>
      <w:r w:rsidR="008B1E21" w:rsidRPr="00F40B70">
        <w:t xml:space="preserve"> </w:t>
      </w:r>
      <w:r w:rsidRPr="00F40B70">
        <w:t>IC</w:t>
      </w:r>
      <w:r w:rsidRPr="008B1E21">
        <w:rPr>
          <w:vertAlign w:val="subscript"/>
        </w:rPr>
        <w:t>50</w:t>
      </w:r>
      <w:r w:rsidR="008B1E21">
        <w:t xml:space="preserve"> value (9.8 ng/mL) is </w:t>
      </w:r>
      <w:r w:rsidRPr="00F40B70">
        <w:t>comparable to th</w:t>
      </w:r>
      <w:r w:rsidR="00190809">
        <w:t>e potency for the original SARS</w:t>
      </w:r>
      <w:r w:rsidR="00190809">
        <w:noBreakHyphen/>
      </w:r>
      <w:r w:rsidRPr="00F40B70">
        <w:t>CoV-2 var</w:t>
      </w:r>
      <w:r w:rsidR="008B1E21">
        <w:t xml:space="preserve">iant and thus supports at least </w:t>
      </w:r>
      <w:r w:rsidRPr="00F40B70">
        <w:t>6 months protection against any type of symptoms</w:t>
      </w:r>
      <w:r w:rsidR="00906F75">
        <w:t>.</w:t>
      </w:r>
    </w:p>
    <w:p w14:paraId="08C588CA" w14:textId="68E4F634" w:rsidR="00084DA9" w:rsidRDefault="00084DA9" w:rsidP="00084DA9">
      <w:pPr>
        <w:pStyle w:val="TableTitle"/>
      </w:pPr>
      <w:r>
        <w:t xml:space="preserve">Table </w:t>
      </w:r>
      <w:r>
        <w:fldChar w:fldCharType="begin"/>
      </w:r>
      <w:r>
        <w:instrText>SEQ Table \* ARABIC</w:instrText>
      </w:r>
      <w:r>
        <w:fldChar w:fldCharType="separate"/>
      </w:r>
      <w:r w:rsidR="004D0A2C">
        <w:rPr>
          <w:noProof/>
        </w:rPr>
        <w:t>39</w:t>
      </w:r>
      <w:r>
        <w:fldChar w:fldCharType="end"/>
      </w:r>
      <w:r>
        <w:t xml:space="preserve">: </w:t>
      </w:r>
      <w:r w:rsidRPr="00751CC6">
        <w:t>Virus-like particles data for the BA.1, BA.1+R346K, and BA.2 lineages of the Omicron variant of concern with AZD8895, AZD1061 and AZD7442 (</w:t>
      </w:r>
      <w:proofErr w:type="spellStart"/>
      <w:r w:rsidRPr="00751CC6">
        <w:t>Evusheld</w:t>
      </w:r>
      <w:proofErr w:type="spellEnd"/>
      <w:r w:rsidRPr="00751CC6">
        <w:t>)</w:t>
      </w:r>
    </w:p>
    <w:tbl>
      <w:tblPr>
        <w:tblStyle w:val="TableGridLight"/>
        <w:tblW w:w="8478" w:type="dxa"/>
        <w:tblLayout w:type="fixed"/>
        <w:tblLook w:val="01E0" w:firstRow="1" w:lastRow="1" w:firstColumn="1" w:lastColumn="1" w:noHBand="0" w:noVBand="0"/>
      </w:tblPr>
      <w:tblGrid>
        <w:gridCol w:w="1620"/>
        <w:gridCol w:w="1170"/>
        <w:gridCol w:w="1710"/>
        <w:gridCol w:w="1710"/>
        <w:gridCol w:w="2268"/>
      </w:tblGrid>
      <w:tr w:rsidR="00084DA9" w:rsidRPr="00084DA9" w14:paraId="06713C13" w14:textId="77777777" w:rsidTr="00084DA9">
        <w:trPr>
          <w:trHeight w:val="1823"/>
        </w:trPr>
        <w:tc>
          <w:tcPr>
            <w:tcW w:w="1620" w:type="dxa"/>
          </w:tcPr>
          <w:p w14:paraId="1D1D5014" w14:textId="77777777" w:rsidR="00084DA9" w:rsidRPr="00084DA9" w:rsidRDefault="00084DA9" w:rsidP="00084DA9">
            <w:r>
              <w:t>Assay t</w:t>
            </w:r>
            <w:r w:rsidRPr="00084DA9">
              <w:t>ype</w:t>
            </w:r>
          </w:p>
        </w:tc>
        <w:tc>
          <w:tcPr>
            <w:tcW w:w="1170" w:type="dxa"/>
          </w:tcPr>
          <w:p w14:paraId="0895C691" w14:textId="77777777" w:rsidR="00084DA9" w:rsidRPr="00084DA9" w:rsidRDefault="00084DA9" w:rsidP="00084DA9">
            <w:r w:rsidRPr="00084DA9">
              <w:t>Variant B</w:t>
            </w:r>
          </w:p>
        </w:tc>
        <w:tc>
          <w:tcPr>
            <w:tcW w:w="1710" w:type="dxa"/>
          </w:tcPr>
          <w:p w14:paraId="74EF5E19" w14:textId="77777777" w:rsidR="00084DA9" w:rsidRPr="00084DA9" w:rsidRDefault="00084DA9" w:rsidP="00084DA9">
            <w:r>
              <w:t>Fold c</w:t>
            </w:r>
            <w:r w:rsidRPr="00084DA9">
              <w:t xml:space="preserve">hange (FC) </w:t>
            </w:r>
            <w:r>
              <w:t>r</w:t>
            </w:r>
            <w:r w:rsidRPr="00084DA9">
              <w:t xml:space="preserve">eduction in </w:t>
            </w:r>
            <w:r>
              <w:t>s</w:t>
            </w:r>
            <w:r w:rsidRPr="00084DA9">
              <w:t>usceptibility AZD8895; IC</w:t>
            </w:r>
            <w:r w:rsidRPr="00084DA9">
              <w:rPr>
                <w:vertAlign w:val="subscript"/>
              </w:rPr>
              <w:t>50</w:t>
            </w:r>
          </w:p>
          <w:p w14:paraId="1DF9D27B" w14:textId="77777777" w:rsidR="00084DA9" w:rsidRPr="00084DA9" w:rsidRDefault="00084DA9" w:rsidP="00084DA9">
            <w:r w:rsidRPr="00084DA9">
              <w:t>(ng/mL)</w:t>
            </w:r>
          </w:p>
        </w:tc>
        <w:tc>
          <w:tcPr>
            <w:tcW w:w="1710" w:type="dxa"/>
          </w:tcPr>
          <w:p w14:paraId="140C73A8" w14:textId="77777777" w:rsidR="00084DA9" w:rsidRPr="00084DA9" w:rsidRDefault="00084DA9" w:rsidP="00084DA9">
            <w:r>
              <w:t>Fold c</w:t>
            </w:r>
            <w:r w:rsidRPr="00084DA9">
              <w:t xml:space="preserve">hange (FC) </w:t>
            </w:r>
            <w:r>
              <w:t>r</w:t>
            </w:r>
            <w:r w:rsidRPr="00084DA9">
              <w:t xml:space="preserve">eduction in </w:t>
            </w:r>
            <w:r>
              <w:t>s</w:t>
            </w:r>
            <w:r w:rsidRPr="00084DA9">
              <w:t>usceptibility AZD1061; IC</w:t>
            </w:r>
            <w:r w:rsidRPr="00084DA9">
              <w:rPr>
                <w:vertAlign w:val="subscript"/>
              </w:rPr>
              <w:t>50</w:t>
            </w:r>
          </w:p>
          <w:p w14:paraId="3CBDA5A2" w14:textId="77777777" w:rsidR="00084DA9" w:rsidRPr="00084DA9" w:rsidRDefault="00084DA9" w:rsidP="00084DA9">
            <w:r w:rsidRPr="00084DA9">
              <w:t>(ng/mL)</w:t>
            </w:r>
          </w:p>
        </w:tc>
        <w:tc>
          <w:tcPr>
            <w:tcW w:w="2268" w:type="dxa"/>
          </w:tcPr>
          <w:p w14:paraId="52881B21" w14:textId="77777777" w:rsidR="00084DA9" w:rsidRPr="00084DA9" w:rsidRDefault="00084DA9" w:rsidP="00084DA9">
            <w:r>
              <w:t>Fold c</w:t>
            </w:r>
            <w:r w:rsidRPr="00084DA9">
              <w:t xml:space="preserve">hange (FC) </w:t>
            </w:r>
            <w:r>
              <w:t>r</w:t>
            </w:r>
            <w:r w:rsidRPr="00084DA9">
              <w:t xml:space="preserve">eduction in </w:t>
            </w:r>
            <w:r>
              <w:t>s</w:t>
            </w:r>
            <w:r w:rsidRPr="00084DA9">
              <w:t>usceptibility AZD7442; IC</w:t>
            </w:r>
            <w:r w:rsidRPr="00084DA9">
              <w:rPr>
                <w:vertAlign w:val="subscript"/>
              </w:rPr>
              <w:t>50</w:t>
            </w:r>
          </w:p>
          <w:p w14:paraId="4A85B4AD" w14:textId="77777777" w:rsidR="00084DA9" w:rsidRPr="00084DA9" w:rsidRDefault="00084DA9" w:rsidP="00084DA9">
            <w:r w:rsidRPr="00084DA9">
              <w:t>(ng/mL)</w:t>
            </w:r>
          </w:p>
        </w:tc>
      </w:tr>
      <w:tr w:rsidR="00084DA9" w:rsidRPr="00084DA9" w14:paraId="0D79FAE9" w14:textId="77777777" w:rsidTr="00084DA9">
        <w:trPr>
          <w:trHeight w:val="857"/>
        </w:trPr>
        <w:tc>
          <w:tcPr>
            <w:tcW w:w="1620" w:type="dxa"/>
          </w:tcPr>
          <w:p w14:paraId="411A559B" w14:textId="77777777" w:rsidR="00084DA9" w:rsidRPr="00084DA9" w:rsidRDefault="00084DA9" w:rsidP="00084DA9">
            <w:proofErr w:type="spellStart"/>
            <w:r w:rsidRPr="00084DA9">
              <w:t>Pseudovirus</w:t>
            </w:r>
            <w:proofErr w:type="spellEnd"/>
            <w:r w:rsidRPr="00084DA9">
              <w:t xml:space="preserve"> a</w:t>
            </w:r>
          </w:p>
        </w:tc>
        <w:tc>
          <w:tcPr>
            <w:tcW w:w="1170" w:type="dxa"/>
          </w:tcPr>
          <w:p w14:paraId="2A52F7B2" w14:textId="77777777" w:rsidR="00084DA9" w:rsidRPr="00084DA9" w:rsidRDefault="00084DA9" w:rsidP="00084DA9">
            <w:r w:rsidRPr="00084DA9">
              <w:t>BA.1</w:t>
            </w:r>
          </w:p>
        </w:tc>
        <w:tc>
          <w:tcPr>
            <w:tcW w:w="1710" w:type="dxa"/>
          </w:tcPr>
          <w:p w14:paraId="4BF54014" w14:textId="77777777" w:rsidR="00084DA9" w:rsidRPr="00084DA9" w:rsidRDefault="00084DA9" w:rsidP="00084DA9">
            <w:r w:rsidRPr="00084DA9">
              <w:t>FC &gt;</w:t>
            </w:r>
            <w:r>
              <w:t xml:space="preserve"> </w:t>
            </w:r>
            <w:r w:rsidRPr="00084DA9">
              <w:t>600</w:t>
            </w:r>
          </w:p>
          <w:p w14:paraId="1AA825FF" w14:textId="77777777" w:rsidR="00084DA9" w:rsidRPr="00084DA9" w:rsidRDefault="00084DA9" w:rsidP="00084DA9">
            <w:r w:rsidRPr="00084DA9">
              <w:t>IC</w:t>
            </w:r>
            <w:r w:rsidRPr="00084DA9">
              <w:rPr>
                <w:vertAlign w:val="subscript"/>
              </w:rPr>
              <w:t>50</w:t>
            </w:r>
            <w:r w:rsidRPr="00084DA9">
              <w:t xml:space="preserve"> &gt;</w:t>
            </w:r>
            <w:r>
              <w:t xml:space="preserve"> </w:t>
            </w:r>
            <w:r w:rsidRPr="00084DA9">
              <w:t>800</w:t>
            </w:r>
          </w:p>
        </w:tc>
        <w:tc>
          <w:tcPr>
            <w:tcW w:w="1710" w:type="dxa"/>
          </w:tcPr>
          <w:p w14:paraId="3FC65C3D" w14:textId="77777777" w:rsidR="00084DA9" w:rsidRPr="00084DA9" w:rsidRDefault="00084DA9" w:rsidP="00084DA9">
            <w:r w:rsidRPr="00084DA9">
              <w:t>FC &gt;700</w:t>
            </w:r>
          </w:p>
          <w:p w14:paraId="37CD5745" w14:textId="77777777" w:rsidR="00084DA9" w:rsidRPr="00084DA9" w:rsidRDefault="00084DA9" w:rsidP="00084DA9">
            <w:r w:rsidRPr="00084DA9">
              <w:t>IC</w:t>
            </w:r>
            <w:r w:rsidRPr="00E76BC7">
              <w:rPr>
                <w:vertAlign w:val="subscript"/>
              </w:rPr>
              <w:t>50</w:t>
            </w:r>
            <w:r w:rsidRPr="00084DA9">
              <w:t xml:space="preserve"> &gt;1000</w:t>
            </w:r>
          </w:p>
        </w:tc>
        <w:tc>
          <w:tcPr>
            <w:tcW w:w="2268" w:type="dxa"/>
          </w:tcPr>
          <w:p w14:paraId="5B99B400" w14:textId="77777777" w:rsidR="00084DA9" w:rsidRDefault="00084DA9" w:rsidP="00084DA9">
            <w:r w:rsidRPr="00084DA9">
              <w:t>FC= 132</w:t>
            </w:r>
          </w:p>
          <w:p w14:paraId="329B5E36" w14:textId="77777777" w:rsidR="00084DA9" w:rsidRPr="00084DA9" w:rsidRDefault="00084DA9" w:rsidP="00084DA9">
            <w:r w:rsidRPr="00084DA9">
              <w:t>IC</w:t>
            </w:r>
            <w:r w:rsidRPr="00084DA9">
              <w:rPr>
                <w:vertAlign w:val="subscript"/>
              </w:rPr>
              <w:t>50</w:t>
            </w:r>
            <w:r>
              <w:t xml:space="preserve"> </w:t>
            </w:r>
            <w:r w:rsidRPr="00084DA9">
              <w:t>=</w:t>
            </w:r>
            <w:r>
              <w:t xml:space="preserve"> </w:t>
            </w:r>
            <w:r w:rsidRPr="00084DA9">
              <w:t>171</w:t>
            </w:r>
          </w:p>
        </w:tc>
      </w:tr>
      <w:tr w:rsidR="00084DA9" w:rsidRPr="00084DA9" w14:paraId="0953CF8C" w14:textId="77777777" w:rsidTr="00E76BC7">
        <w:trPr>
          <w:trHeight w:val="794"/>
        </w:trPr>
        <w:tc>
          <w:tcPr>
            <w:tcW w:w="1620" w:type="dxa"/>
          </w:tcPr>
          <w:p w14:paraId="1B9B8674" w14:textId="77777777" w:rsidR="00084DA9" w:rsidRPr="00084DA9" w:rsidRDefault="00084DA9" w:rsidP="00084DA9">
            <w:proofErr w:type="spellStart"/>
            <w:r w:rsidRPr="00084DA9">
              <w:lastRenderedPageBreak/>
              <w:t>Pseudovirus</w:t>
            </w:r>
            <w:proofErr w:type="spellEnd"/>
            <w:r w:rsidRPr="00084DA9">
              <w:t xml:space="preserve"> a</w:t>
            </w:r>
          </w:p>
        </w:tc>
        <w:tc>
          <w:tcPr>
            <w:tcW w:w="1170" w:type="dxa"/>
          </w:tcPr>
          <w:p w14:paraId="3881C065" w14:textId="77777777" w:rsidR="00084DA9" w:rsidRPr="00084DA9" w:rsidRDefault="00084DA9" w:rsidP="00084DA9">
            <w:r w:rsidRPr="00084DA9">
              <w:t>BA.1 +</w:t>
            </w:r>
            <w:r>
              <w:t xml:space="preserve"> </w:t>
            </w:r>
            <w:r w:rsidRPr="00084DA9">
              <w:t>R346K</w:t>
            </w:r>
          </w:p>
        </w:tc>
        <w:tc>
          <w:tcPr>
            <w:tcW w:w="1710" w:type="dxa"/>
          </w:tcPr>
          <w:p w14:paraId="64BEBBA1" w14:textId="77777777" w:rsidR="00E76BC7" w:rsidRDefault="00084DA9" w:rsidP="00084DA9">
            <w:r w:rsidRPr="00084DA9">
              <w:t>FC= 460</w:t>
            </w:r>
          </w:p>
          <w:p w14:paraId="043100A2" w14:textId="77777777" w:rsidR="00084DA9" w:rsidRPr="00084DA9" w:rsidRDefault="00084DA9" w:rsidP="00084DA9">
            <w:r w:rsidRPr="00084DA9">
              <w:t>IC</w:t>
            </w:r>
            <w:r w:rsidRPr="00084DA9">
              <w:rPr>
                <w:vertAlign w:val="subscript"/>
              </w:rPr>
              <w:t>50</w:t>
            </w:r>
            <w:r>
              <w:t> </w:t>
            </w:r>
            <w:r w:rsidRPr="00084DA9">
              <w:t>=</w:t>
            </w:r>
            <w:r>
              <w:t> </w:t>
            </w:r>
            <w:r w:rsidRPr="00084DA9">
              <w:t>552</w:t>
            </w:r>
          </w:p>
        </w:tc>
        <w:tc>
          <w:tcPr>
            <w:tcW w:w="1710" w:type="dxa"/>
          </w:tcPr>
          <w:p w14:paraId="66F204F7" w14:textId="77777777" w:rsidR="00E76BC7" w:rsidRDefault="00084DA9" w:rsidP="00084DA9">
            <w:r w:rsidRPr="00084DA9">
              <w:t>FC</w:t>
            </w:r>
            <w:r>
              <w:t> </w:t>
            </w:r>
            <w:r w:rsidRPr="00084DA9">
              <w:t>&gt;</w:t>
            </w:r>
            <w:r>
              <w:t> </w:t>
            </w:r>
            <w:r w:rsidRPr="00084DA9">
              <w:t>500</w:t>
            </w:r>
          </w:p>
          <w:p w14:paraId="6DB567D2" w14:textId="77777777" w:rsidR="00084DA9" w:rsidRPr="00084DA9" w:rsidRDefault="00084DA9" w:rsidP="00084DA9">
            <w:r w:rsidRPr="00084DA9">
              <w:t>IC</w:t>
            </w:r>
            <w:r w:rsidRPr="00084DA9">
              <w:rPr>
                <w:vertAlign w:val="subscript"/>
              </w:rPr>
              <w:t>50</w:t>
            </w:r>
            <w:r>
              <w:t> </w:t>
            </w:r>
            <w:r w:rsidRPr="00084DA9">
              <w:t>&gt;</w:t>
            </w:r>
            <w:r>
              <w:t> </w:t>
            </w:r>
            <w:r w:rsidRPr="00084DA9">
              <w:t>1000</w:t>
            </w:r>
          </w:p>
        </w:tc>
        <w:tc>
          <w:tcPr>
            <w:tcW w:w="2268" w:type="dxa"/>
          </w:tcPr>
          <w:p w14:paraId="635CD94D" w14:textId="77777777" w:rsidR="00084DA9" w:rsidRDefault="00084DA9" w:rsidP="00084DA9">
            <w:r w:rsidRPr="00084DA9">
              <w:t>FC</w:t>
            </w:r>
            <w:r>
              <w:t> </w:t>
            </w:r>
            <w:r w:rsidRPr="00084DA9">
              <w:t>=</w:t>
            </w:r>
            <w:r>
              <w:t> </w:t>
            </w:r>
            <w:r w:rsidRPr="00084DA9">
              <w:t>424</w:t>
            </w:r>
          </w:p>
          <w:p w14:paraId="7C093C1B" w14:textId="77777777" w:rsidR="00084DA9" w:rsidRPr="00084DA9" w:rsidRDefault="00084DA9" w:rsidP="00084DA9">
            <w:r w:rsidRPr="00084DA9">
              <w:t>IC</w:t>
            </w:r>
            <w:r w:rsidRPr="00084DA9">
              <w:rPr>
                <w:vertAlign w:val="subscript"/>
              </w:rPr>
              <w:t>50</w:t>
            </w:r>
            <w:r w:rsidRPr="00084DA9">
              <w:t xml:space="preserve"> =</w:t>
            </w:r>
            <w:r>
              <w:t> </w:t>
            </w:r>
            <w:r w:rsidRPr="00084DA9">
              <w:t>466</w:t>
            </w:r>
          </w:p>
        </w:tc>
      </w:tr>
      <w:tr w:rsidR="00084DA9" w:rsidRPr="00084DA9" w14:paraId="4C8FA053" w14:textId="77777777" w:rsidTr="00E76BC7">
        <w:trPr>
          <w:trHeight w:val="803"/>
        </w:trPr>
        <w:tc>
          <w:tcPr>
            <w:tcW w:w="1620" w:type="dxa"/>
          </w:tcPr>
          <w:p w14:paraId="6F4DEB86" w14:textId="77777777" w:rsidR="00084DA9" w:rsidRPr="00084DA9" w:rsidRDefault="00084DA9" w:rsidP="00084DA9">
            <w:proofErr w:type="spellStart"/>
            <w:r w:rsidRPr="00084DA9">
              <w:t>Pseudovirus</w:t>
            </w:r>
            <w:proofErr w:type="spellEnd"/>
            <w:r w:rsidRPr="00084DA9">
              <w:t xml:space="preserve"> a</w:t>
            </w:r>
          </w:p>
        </w:tc>
        <w:tc>
          <w:tcPr>
            <w:tcW w:w="1170" w:type="dxa"/>
          </w:tcPr>
          <w:p w14:paraId="1B516054" w14:textId="77777777" w:rsidR="00084DA9" w:rsidRPr="00084DA9" w:rsidRDefault="00084DA9" w:rsidP="00084DA9">
            <w:r w:rsidRPr="00084DA9">
              <w:t>BA.2</w:t>
            </w:r>
          </w:p>
        </w:tc>
        <w:tc>
          <w:tcPr>
            <w:tcW w:w="1710" w:type="dxa"/>
          </w:tcPr>
          <w:p w14:paraId="1BE938AE" w14:textId="77777777" w:rsidR="00E76BC7" w:rsidRDefault="00084DA9" w:rsidP="00084DA9">
            <w:r w:rsidRPr="00084DA9">
              <w:t>FC</w:t>
            </w:r>
            <w:r w:rsidR="00E76BC7">
              <w:t xml:space="preserve"> </w:t>
            </w:r>
            <w:r w:rsidRPr="00084DA9">
              <w:t>&gt; 1000</w:t>
            </w:r>
          </w:p>
          <w:p w14:paraId="5D302D99" w14:textId="77777777" w:rsidR="00084DA9" w:rsidRPr="00084DA9" w:rsidRDefault="00084DA9" w:rsidP="00084DA9">
            <w:r w:rsidRPr="00084DA9">
              <w:t>IC</w:t>
            </w:r>
            <w:r w:rsidRPr="00E76BC7">
              <w:rPr>
                <w:vertAlign w:val="subscript"/>
              </w:rPr>
              <w:t>50</w:t>
            </w:r>
            <w:r w:rsidR="00E76BC7">
              <w:t> </w:t>
            </w:r>
            <w:r w:rsidRPr="00084DA9">
              <w:t>&gt;</w:t>
            </w:r>
            <w:r w:rsidR="00E76BC7">
              <w:t> </w:t>
            </w:r>
            <w:r w:rsidRPr="00084DA9">
              <w:t>1000</w:t>
            </w:r>
          </w:p>
        </w:tc>
        <w:tc>
          <w:tcPr>
            <w:tcW w:w="1710" w:type="dxa"/>
          </w:tcPr>
          <w:p w14:paraId="1C521DE0" w14:textId="77777777" w:rsidR="00E76BC7" w:rsidRDefault="00084DA9" w:rsidP="00084DA9">
            <w:r w:rsidRPr="00084DA9">
              <w:t>FC</w:t>
            </w:r>
            <w:r w:rsidR="00E76BC7">
              <w:t xml:space="preserve"> </w:t>
            </w:r>
            <w:r w:rsidRPr="00084DA9">
              <w:t>= 1.9</w:t>
            </w:r>
          </w:p>
          <w:p w14:paraId="1550E54E" w14:textId="77777777" w:rsidR="00084DA9" w:rsidRPr="00084DA9" w:rsidRDefault="00084DA9" w:rsidP="00084DA9">
            <w:r w:rsidRPr="00084DA9">
              <w:t>IC</w:t>
            </w:r>
            <w:r w:rsidRPr="00E76BC7">
              <w:rPr>
                <w:vertAlign w:val="subscript"/>
              </w:rPr>
              <w:t>50</w:t>
            </w:r>
            <w:r w:rsidR="00E76BC7">
              <w:t> </w:t>
            </w:r>
            <w:r w:rsidRPr="00084DA9">
              <w:t>=</w:t>
            </w:r>
            <w:r w:rsidR="00E76BC7">
              <w:t> </w:t>
            </w:r>
            <w:r w:rsidRPr="00084DA9">
              <w:t>11</w:t>
            </w:r>
          </w:p>
        </w:tc>
        <w:tc>
          <w:tcPr>
            <w:tcW w:w="2268" w:type="dxa"/>
          </w:tcPr>
          <w:p w14:paraId="5B79AD63" w14:textId="77777777" w:rsidR="00E76BC7" w:rsidRDefault="00084DA9" w:rsidP="00084DA9">
            <w:r w:rsidRPr="00084DA9">
              <w:t>FC</w:t>
            </w:r>
            <w:r w:rsidR="00E76BC7">
              <w:t> </w:t>
            </w:r>
            <w:r w:rsidRPr="00084DA9">
              <w:t>= 3.2</w:t>
            </w:r>
          </w:p>
          <w:p w14:paraId="65FD96D0" w14:textId="77777777" w:rsidR="00084DA9" w:rsidRPr="00084DA9" w:rsidRDefault="00084DA9" w:rsidP="00084DA9">
            <w:r w:rsidRPr="00084DA9">
              <w:t>IC</w:t>
            </w:r>
            <w:r w:rsidRPr="00E76BC7">
              <w:rPr>
                <w:vertAlign w:val="subscript"/>
              </w:rPr>
              <w:t>50</w:t>
            </w:r>
            <w:r w:rsidR="00E76BC7">
              <w:rPr>
                <w:vertAlign w:val="subscript"/>
              </w:rPr>
              <w:t> </w:t>
            </w:r>
            <w:r w:rsidRPr="00084DA9">
              <w:t>=</w:t>
            </w:r>
            <w:r w:rsidR="00E76BC7">
              <w:t> </w:t>
            </w:r>
            <w:r w:rsidRPr="00084DA9">
              <w:t>9.8</w:t>
            </w:r>
          </w:p>
        </w:tc>
      </w:tr>
    </w:tbl>
    <w:p w14:paraId="3D06662C" w14:textId="77777777" w:rsidR="00906F75" w:rsidRPr="00906F75" w:rsidRDefault="00906F75" w:rsidP="00906F75">
      <w:pPr>
        <w:pStyle w:val="TableDescription"/>
      </w:pPr>
      <w:r w:rsidRPr="00906F75">
        <w:t>a</w:t>
      </w:r>
      <w:r w:rsidR="00084DA9">
        <w:t xml:space="preserve">: </w:t>
      </w:r>
      <w:r w:rsidRPr="00E76BC7">
        <w:rPr>
          <w:i/>
        </w:rPr>
        <w:t>In vitro</w:t>
      </w:r>
      <w:r w:rsidRPr="00906F75">
        <w:t xml:space="preserve"> potency across multiple sets of co-occurring substitutions was tested in a research-grade recombinant spike </w:t>
      </w:r>
      <w:proofErr w:type="spellStart"/>
      <w:r w:rsidR="00E76BC7">
        <w:t>pseudotyped</w:t>
      </w:r>
      <w:proofErr w:type="spellEnd"/>
      <w:r w:rsidR="00E76BC7">
        <w:t xml:space="preserve"> virus </w:t>
      </w:r>
      <w:proofErr w:type="spellStart"/>
      <w:r w:rsidR="00E76BC7">
        <w:t>microneutralis</w:t>
      </w:r>
      <w:r w:rsidRPr="00906F75">
        <w:t>ation</w:t>
      </w:r>
      <w:proofErr w:type="spellEnd"/>
      <w:r w:rsidRPr="00906F75">
        <w:t xml:space="preserve"> assays (replication defective recombinant lentivirus expressing the SARS-CoV-2 spike protein and luciferase reporter gene).</w:t>
      </w:r>
    </w:p>
    <w:p w14:paraId="398A6D8B" w14:textId="77777777" w:rsidR="00906F75" w:rsidRPr="00906F75" w:rsidRDefault="00E76BC7" w:rsidP="00906F75">
      <w:pPr>
        <w:pStyle w:val="TableDescription"/>
      </w:pPr>
      <w:r>
        <w:t xml:space="preserve">b: </w:t>
      </w:r>
      <w:r w:rsidR="00906F75" w:rsidRPr="00906F75">
        <w:t>Key spike substitutions tested: BA.1: A67V_H69-_V70-_T95I_G142D_V143-_Y144-_Y145-_N211-</w:t>
      </w:r>
    </w:p>
    <w:p w14:paraId="0E9932E2" w14:textId="77777777" w:rsidR="00906F75" w:rsidRPr="00906F75" w:rsidRDefault="00906F75" w:rsidP="00906F75">
      <w:pPr>
        <w:pStyle w:val="TableDescription"/>
      </w:pPr>
      <w:r w:rsidRPr="00906F75">
        <w:t>_L212I_ins214EPE_G339D_S371L_S373P_S375F_K417N_N440K_G446S_S477N_T478K_E484A_Q49 3R_G496S_Q498R_N501Y_Y505H_T547K_D614G_H655Y_N679K_P681H_N764K_D796Y_N856K_Q</w:t>
      </w:r>
    </w:p>
    <w:p w14:paraId="2641C339" w14:textId="77777777" w:rsidR="00906F75" w:rsidRPr="00906F75" w:rsidRDefault="00906F75" w:rsidP="00906F75">
      <w:pPr>
        <w:pStyle w:val="TableDescription"/>
      </w:pPr>
      <w:r w:rsidRPr="00906F75">
        <w:t>954H_N969K_L981F; BA.1+R346K: A67V_H69-_V70-_T95I_G142D_V143-_Y144-_Y145-_N211-</w:t>
      </w:r>
    </w:p>
    <w:p w14:paraId="43EB213F" w14:textId="77777777" w:rsidR="00906F75" w:rsidRPr="00906F75" w:rsidRDefault="00906F75" w:rsidP="00906F75">
      <w:pPr>
        <w:pStyle w:val="TableDescription"/>
      </w:pPr>
      <w:r w:rsidRPr="00906F75">
        <w:t>_ins214EPE_G339D_R346K_S371L_S373P_S375F_K417N_N440K_G446S_S477N_T478K_E484A_Q4 93R_G496S_Q498R_N501Y_Y505H_T547K_D614G_H655Y_N679K_P681H_N764K_D796Y_N856K_ Q954H_N969K_L981F; BA.2: T19I_L24-_P25-_P26-</w:t>
      </w:r>
    </w:p>
    <w:p w14:paraId="2E6748ED" w14:textId="77777777" w:rsidR="00906F75" w:rsidRPr="00906F75" w:rsidRDefault="00906F75" w:rsidP="00906F75">
      <w:pPr>
        <w:pStyle w:val="TableDescription"/>
      </w:pPr>
      <w:r w:rsidRPr="00906F75">
        <w:t>_A27S_G142D_V213G_G339D_S371F_S373P_S375F_T376A_D405N_R408S_K417N_N440K_S477N_ T478K_E484A_Q493R_Q498R_N501Y_Y505H_D614G_H655Y_N679K_P681H_N764K_D796Y_Q954 H_N969K</w:t>
      </w:r>
    </w:p>
    <w:p w14:paraId="4B657A2C" w14:textId="77777777" w:rsidR="00906F75" w:rsidRPr="00906F75" w:rsidRDefault="00190809" w:rsidP="00906F75">
      <w:pPr>
        <w:pStyle w:val="TableDescription"/>
      </w:pPr>
      <w:r>
        <w:t xml:space="preserve">Abbreviations: </w:t>
      </w:r>
      <w:r w:rsidR="00906F75" w:rsidRPr="00906F75">
        <w:t>FC, fold change; IC</w:t>
      </w:r>
      <w:r w:rsidR="00906F75" w:rsidRPr="00190809">
        <w:rPr>
          <w:vertAlign w:val="subscript"/>
        </w:rPr>
        <w:t>50</w:t>
      </w:r>
      <w:r w:rsidR="00906F75" w:rsidRPr="00906F75">
        <w:t>, half maximal inhibition</w:t>
      </w:r>
    </w:p>
    <w:p w14:paraId="3F2F27B6" w14:textId="77777777" w:rsidR="002E36FD" w:rsidRDefault="00F40B70" w:rsidP="00F74129">
      <w:pPr>
        <w:pStyle w:val="Numberbullet0"/>
        <w:rPr>
          <w:b/>
          <w:i/>
        </w:rPr>
      </w:pPr>
      <w:r w:rsidRPr="001645D0">
        <w:rPr>
          <w:b/>
          <w:i/>
        </w:rPr>
        <w:t xml:space="preserve">Please provide comparative PK parameter: Clearance for </w:t>
      </w:r>
      <w:proofErr w:type="spellStart"/>
      <w:r w:rsidR="001645D0" w:rsidRPr="001645D0">
        <w:rPr>
          <w:b/>
          <w:i/>
        </w:rPr>
        <w:t>Evusheld</w:t>
      </w:r>
      <w:proofErr w:type="spellEnd"/>
      <w:r w:rsidR="001645D0" w:rsidRPr="001645D0">
        <w:rPr>
          <w:b/>
          <w:i/>
        </w:rPr>
        <w:t xml:space="preserve"> </w:t>
      </w:r>
      <w:r w:rsidRPr="001645D0">
        <w:rPr>
          <w:b/>
          <w:i/>
        </w:rPr>
        <w:t>in individuals with and withou</w:t>
      </w:r>
      <w:r w:rsidR="001645D0" w:rsidRPr="001645D0">
        <w:rPr>
          <w:b/>
          <w:i/>
        </w:rPr>
        <w:t>t being affected with COVID-19.</w:t>
      </w:r>
    </w:p>
    <w:p w14:paraId="3ECF2974" w14:textId="5944CB11" w:rsidR="00F74129" w:rsidRPr="002E36FD" w:rsidRDefault="004B6F25" w:rsidP="002E36FD">
      <w:pPr>
        <w:pStyle w:val="Numberbullet0"/>
        <w:numPr>
          <w:ilvl w:val="0"/>
          <w:numId w:val="0"/>
        </w:numPr>
        <w:rPr>
          <w:b/>
          <w:i/>
        </w:rPr>
      </w:pPr>
      <w:r>
        <w:t>[Information redacted]</w:t>
      </w:r>
    </w:p>
    <w:p w14:paraId="2DC68D27" w14:textId="56499257" w:rsidR="00F40B70" w:rsidRDefault="00F40B70" w:rsidP="00234F91">
      <w:pPr>
        <w:pStyle w:val="Numberbullet0"/>
        <w:rPr>
          <w:b/>
          <w:i/>
        </w:rPr>
      </w:pPr>
      <w:r w:rsidRPr="00234F91">
        <w:rPr>
          <w:b/>
          <w:i/>
        </w:rPr>
        <w:t xml:space="preserve">Please clarify why clonal cell line and not cell pool was chosen to produce the product proposed for marketing. Please clarify which of these products was used in STORMCHASER and </w:t>
      </w:r>
      <w:r w:rsidR="004B6F25">
        <w:rPr>
          <w:b/>
          <w:i/>
        </w:rPr>
        <w:t>[Information redacted]</w:t>
      </w:r>
      <w:r w:rsidR="002E36FD">
        <w:rPr>
          <w:b/>
          <w:i/>
        </w:rPr>
        <w:t xml:space="preserve"> </w:t>
      </w:r>
      <w:r w:rsidR="008F1DF8">
        <w:rPr>
          <w:b/>
          <w:i/>
        </w:rPr>
        <w:t xml:space="preserve">trials [Studies D8850C00003 and </w:t>
      </w:r>
      <w:r w:rsidR="004B6F25">
        <w:rPr>
          <w:b/>
          <w:i/>
        </w:rPr>
        <w:t xml:space="preserve">[Information redacted] </w:t>
      </w:r>
      <w:r w:rsidR="008F1DF8">
        <w:rPr>
          <w:b/>
          <w:i/>
        </w:rPr>
        <w:t>respectively]</w:t>
      </w:r>
      <w:r w:rsidRPr="00234F91">
        <w:rPr>
          <w:b/>
          <w:i/>
        </w:rPr>
        <w:t xml:space="preserve">. If both were used, please provide the proportion of subjects treated with each of them. PK data for the product sourced from the clonal cell line needs to be provided. Please provide any data of comparability of PK, </w:t>
      </w:r>
      <w:proofErr w:type="gramStart"/>
      <w:r w:rsidRPr="00234F91">
        <w:rPr>
          <w:b/>
          <w:i/>
        </w:rPr>
        <w:t>efficacy</w:t>
      </w:r>
      <w:proofErr w:type="gramEnd"/>
      <w:r w:rsidRPr="00234F91">
        <w:rPr>
          <w:b/>
          <w:i/>
        </w:rPr>
        <w:t xml:space="preserve"> and safety of </w:t>
      </w:r>
      <w:proofErr w:type="spellStart"/>
      <w:r w:rsidR="008F1DF8" w:rsidRPr="00234F91">
        <w:rPr>
          <w:b/>
          <w:i/>
        </w:rPr>
        <w:t>Evusheld</w:t>
      </w:r>
      <w:proofErr w:type="spellEnd"/>
      <w:r w:rsidR="008F1DF8" w:rsidRPr="00234F91">
        <w:rPr>
          <w:b/>
          <w:i/>
        </w:rPr>
        <w:t xml:space="preserve"> </w:t>
      </w:r>
      <w:r w:rsidRPr="00234F91">
        <w:rPr>
          <w:b/>
          <w:i/>
        </w:rPr>
        <w:t xml:space="preserve">from these two sources and provide a justification of how the findings with </w:t>
      </w:r>
      <w:proofErr w:type="spellStart"/>
      <w:r w:rsidR="008F1DF8" w:rsidRPr="00234F91">
        <w:rPr>
          <w:b/>
          <w:i/>
        </w:rPr>
        <w:t>Evusheld</w:t>
      </w:r>
      <w:proofErr w:type="spellEnd"/>
      <w:r w:rsidR="008F1DF8" w:rsidRPr="00234F91">
        <w:rPr>
          <w:b/>
          <w:i/>
        </w:rPr>
        <w:t xml:space="preserve"> </w:t>
      </w:r>
      <w:r w:rsidRPr="00234F91">
        <w:rPr>
          <w:b/>
          <w:i/>
        </w:rPr>
        <w:t xml:space="preserve">from the clonal cell pool can be extrapolated to </w:t>
      </w:r>
      <w:r w:rsidR="00234F91">
        <w:rPr>
          <w:b/>
          <w:i/>
        </w:rPr>
        <w:t>that from the clonal cell line.</w:t>
      </w:r>
    </w:p>
    <w:p w14:paraId="3521D56E" w14:textId="496EC3F7" w:rsidR="00234F91" w:rsidRDefault="00234F91" w:rsidP="00234F91">
      <w:r>
        <w:t xml:space="preserve">The purpose of having a </w:t>
      </w:r>
      <w:r w:rsidR="008F1DF8">
        <w:t>clonal cell line is to produce drug p</w:t>
      </w:r>
      <w:r>
        <w:t>roduct with consistent productivity and product quality, as described in the Note for Guidance on Quality of Biotechnological Products: Derivation and Characterisation of Cell Substrates used for Production of Biotec</w:t>
      </w:r>
      <w:r w:rsidR="008F1DF8">
        <w:t>hnological/Biological Products</w:t>
      </w:r>
      <w:r>
        <w:t>.</w:t>
      </w:r>
      <w:r w:rsidR="008F1DF8">
        <w:rPr>
          <w:rStyle w:val="FootnoteReference"/>
        </w:rPr>
        <w:footnoteReference w:id="41"/>
      </w:r>
      <w:r>
        <w:t xml:space="preserve"> Participants in </w:t>
      </w:r>
      <w:r w:rsidR="008F1DF8">
        <w:t xml:space="preserve">the </w:t>
      </w:r>
      <w:r>
        <w:t xml:space="preserve">STORM CHASER </w:t>
      </w:r>
      <w:r w:rsidR="008F1DF8">
        <w:t xml:space="preserve">trial </w:t>
      </w:r>
      <w:r>
        <w:t xml:space="preserve">on the </w:t>
      </w:r>
      <w:proofErr w:type="spellStart"/>
      <w:r w:rsidR="008F1DF8">
        <w:t>Evusheld</w:t>
      </w:r>
      <w:proofErr w:type="spellEnd"/>
      <w:r w:rsidR="008F1DF8">
        <w:t xml:space="preserve"> </w:t>
      </w:r>
      <w:r>
        <w:t>arm received only cell p</w:t>
      </w:r>
      <w:r w:rsidR="008F1DF8">
        <w:t xml:space="preserve">ools material; all participants </w:t>
      </w:r>
      <w:r>
        <w:t xml:space="preserve">on the </w:t>
      </w:r>
      <w:proofErr w:type="spellStart"/>
      <w:r w:rsidR="008F1DF8">
        <w:t>Evusheld</w:t>
      </w:r>
      <w:proofErr w:type="spellEnd"/>
      <w:r w:rsidR="008F1DF8">
        <w:t xml:space="preserve"> </w:t>
      </w:r>
      <w:r>
        <w:t xml:space="preserve">arm in </w:t>
      </w:r>
      <w:r w:rsidR="008F1DF8">
        <w:t xml:space="preserve">the </w:t>
      </w:r>
      <w:r w:rsidR="004B6F25">
        <w:t>[Information redacted]</w:t>
      </w:r>
      <w:r w:rsidR="008F1DF8">
        <w:t xml:space="preserve"> </w:t>
      </w:r>
      <w:r>
        <w:t>received clonal material.</w:t>
      </w:r>
    </w:p>
    <w:p w14:paraId="6E05A2A4" w14:textId="77777777" w:rsidR="00234F91" w:rsidRDefault="00234F91" w:rsidP="00234F91">
      <w:r>
        <w:t>Information on the comparison of the clonal cell and the cell pools material is available within</w:t>
      </w:r>
      <w:r w:rsidR="003D260D">
        <w:t xml:space="preserve"> the Study D8850C00002 (PROVENT trial) clinical study report [not included in this </w:t>
      </w:r>
      <w:proofErr w:type="spellStart"/>
      <w:r w:rsidR="003D260D">
        <w:t>AusPAR</w:t>
      </w:r>
      <w:proofErr w:type="spellEnd"/>
      <w:r w:rsidR="003D260D">
        <w:t>].</w:t>
      </w:r>
    </w:p>
    <w:p w14:paraId="693D6AEE" w14:textId="77777777" w:rsidR="00234F91" w:rsidRDefault="00234F91" w:rsidP="00234F91">
      <w:r>
        <w:t>For ease of review, information from</w:t>
      </w:r>
      <w:r w:rsidR="003D260D">
        <w:t xml:space="preserve"> </w:t>
      </w:r>
      <w:r>
        <w:t>these documents is provided herewith.</w:t>
      </w:r>
    </w:p>
    <w:p w14:paraId="743C2851" w14:textId="2E1FF256" w:rsidR="00234F91" w:rsidRDefault="00234F91" w:rsidP="00234F91">
      <w:r>
        <w:t xml:space="preserve">In </w:t>
      </w:r>
      <w:r w:rsidR="009B7E2C">
        <w:t xml:space="preserve">the </w:t>
      </w:r>
      <w:r>
        <w:t>PROVENT</w:t>
      </w:r>
      <w:r w:rsidR="009B7E2C">
        <w:t xml:space="preserve"> trial</w:t>
      </w:r>
      <w:r>
        <w:t>, pharmacokinetic</w:t>
      </w:r>
      <w:r w:rsidR="009B7E2C">
        <w:t xml:space="preserve"> (PK)</w:t>
      </w:r>
      <w:r>
        <w:t xml:space="preserve"> data were collected from the 29 June 2021 </w:t>
      </w:r>
      <w:r w:rsidR="009B7E2C">
        <w:t>data cut off</w:t>
      </w:r>
      <w:r>
        <w:t xml:space="preserve"> to have a</w:t>
      </w:r>
      <w:r w:rsidR="009B7E2C">
        <w:t xml:space="preserve"> </w:t>
      </w:r>
      <w:r>
        <w:t>minimum of 3 months’ post-dose data to allow for an early and preliminary PK comparability</w:t>
      </w:r>
      <w:r w:rsidR="009B7E2C">
        <w:t xml:space="preserve"> </w:t>
      </w:r>
      <w:r>
        <w:t>between the cell pools material and the clonal cell line material. This comparability analysis</w:t>
      </w:r>
      <w:r w:rsidR="009B7E2C">
        <w:t xml:space="preserve"> </w:t>
      </w:r>
      <w:r>
        <w:t xml:space="preserve">was not initially planned when the study was </w:t>
      </w:r>
      <w:r>
        <w:lastRenderedPageBreak/>
        <w:t xml:space="preserve">designed. The PROVENT </w:t>
      </w:r>
      <w:r w:rsidR="009B7E2C">
        <w:t>trial</w:t>
      </w:r>
      <w:r>
        <w:t xml:space="preserve"> was conducted</w:t>
      </w:r>
      <w:r w:rsidR="009B7E2C">
        <w:t xml:space="preserve"> </w:t>
      </w:r>
      <w:r>
        <w:t xml:space="preserve">using mainly </w:t>
      </w:r>
      <w:r w:rsidR="009B7E2C">
        <w:t xml:space="preserve">an </w:t>
      </w:r>
      <w:r w:rsidR="003D260D">
        <w:t>investigational</w:t>
      </w:r>
      <w:r w:rsidR="009B7E2C">
        <w:t xml:space="preserve"> product</w:t>
      </w:r>
      <w:r>
        <w:t xml:space="preserve"> derived from cell pools material, however a subset of 150 participants (100</w:t>
      </w:r>
      <w:r w:rsidR="003D260D">
        <w:t> </w:t>
      </w:r>
      <w:proofErr w:type="spellStart"/>
      <w:r w:rsidR="003D260D">
        <w:t>Evusheld</w:t>
      </w:r>
      <w:proofErr w:type="spellEnd"/>
      <w:r w:rsidR="003D260D">
        <w:t xml:space="preserve"> </w:t>
      </w:r>
      <w:r w:rsidR="003D260D">
        <w:noBreakHyphen/>
      </w:r>
      <w:r>
        <w:t xml:space="preserve">treated participants) was added (protocol </w:t>
      </w:r>
      <w:r w:rsidR="003D260D">
        <w:t xml:space="preserve">amendment 4 v 5.0) who received investigational product </w:t>
      </w:r>
      <w:r>
        <w:t>derived from clonal cell line ma</w:t>
      </w:r>
      <w:r w:rsidR="003D260D">
        <w:t>terial. Given via the intramuscular route Based on the measured AUC</w:t>
      </w:r>
      <w:r w:rsidR="003D260D" w:rsidRPr="009B7E2C">
        <w:rPr>
          <w:vertAlign w:val="subscript"/>
        </w:rPr>
        <w:t>0-91days</w:t>
      </w:r>
      <w:r>
        <w:t xml:space="preserve"> </w:t>
      </w:r>
      <w:r w:rsidR="003D260D">
        <w:t xml:space="preserve">(area under the curve from time zero (dosing) to Day 91) </w:t>
      </w:r>
      <w:r>
        <w:t>variability</w:t>
      </w:r>
      <w:r w:rsidR="003D260D">
        <w:t xml:space="preserve"> </w:t>
      </w:r>
      <w:r w:rsidR="009B7E2C">
        <w:t xml:space="preserve">(around </w:t>
      </w:r>
      <w:r>
        <w:t>40%) in Phase I, it was calculated that PK data</w:t>
      </w:r>
      <w:r w:rsidR="009B7E2C">
        <w:t xml:space="preserve"> were required from at least 70 </w:t>
      </w:r>
      <w:r>
        <w:t>participants</w:t>
      </w:r>
      <w:r w:rsidR="009B7E2C">
        <w:t xml:space="preserve"> </w:t>
      </w:r>
      <w:r>
        <w:t>dosed with the clonal cell line material to be able to demonstrate that the 90% CI interval of</w:t>
      </w:r>
      <w:r w:rsidR="009B7E2C">
        <w:t xml:space="preserve"> </w:t>
      </w:r>
      <w:r>
        <w:t>the ratio</w:t>
      </w:r>
      <w:r w:rsidR="009B7E2C">
        <w:t xml:space="preserve"> of the geometric mean AUC</w:t>
      </w:r>
      <w:r w:rsidR="009B7E2C" w:rsidRPr="009B7E2C">
        <w:rPr>
          <w:vertAlign w:val="subscript"/>
        </w:rPr>
        <w:t>0-91days</w:t>
      </w:r>
      <w:r>
        <w:t xml:space="preserve"> or </w:t>
      </w:r>
      <w:proofErr w:type="spellStart"/>
      <w:r>
        <w:t>C</w:t>
      </w:r>
      <w:r w:rsidRPr="009B7E2C">
        <w:rPr>
          <w:vertAlign w:val="subscript"/>
        </w:rPr>
        <w:t>max</w:t>
      </w:r>
      <w:proofErr w:type="spellEnd"/>
      <w:r>
        <w:t xml:space="preserve"> is between 80 to 125%.</w:t>
      </w:r>
    </w:p>
    <w:p w14:paraId="42E38EEE" w14:textId="77777777" w:rsidR="00234F91" w:rsidRDefault="00234F91" w:rsidP="00234F91">
      <w:r>
        <w:t xml:space="preserve">Serum </w:t>
      </w:r>
      <w:proofErr w:type="spellStart"/>
      <w:r w:rsidR="009B7E2C">
        <w:t>Evusheld</w:t>
      </w:r>
      <w:proofErr w:type="spellEnd"/>
      <w:r w:rsidR="009B7E2C">
        <w:t xml:space="preserve"> </w:t>
      </w:r>
      <w:r>
        <w:t>data were available for 68 of the 92 participants who had been dosed with</w:t>
      </w:r>
      <w:r w:rsidR="009B7E2C">
        <w:t xml:space="preserve"> </w:t>
      </w:r>
      <w:r>
        <w:t xml:space="preserve">the clonal cell line material and had PK results for both </w:t>
      </w:r>
      <w:proofErr w:type="spellStart"/>
      <w:r>
        <w:t>tixagevimab</w:t>
      </w:r>
      <w:proofErr w:type="spellEnd"/>
      <w:r>
        <w:t xml:space="preserve"> and </w:t>
      </w:r>
      <w:proofErr w:type="spellStart"/>
      <w:r>
        <w:t>cilgavimab</w:t>
      </w:r>
      <w:proofErr w:type="spellEnd"/>
      <w:r>
        <w:t xml:space="preserve"> at all</w:t>
      </w:r>
      <w:r w:rsidR="009B7E2C">
        <w:t xml:space="preserve"> </w:t>
      </w:r>
      <w:r>
        <w:t>sampling time points (Days 8, 29, 58, and 92). For the additional 24 participants that were</w:t>
      </w:r>
      <w:r w:rsidR="009B7E2C">
        <w:t xml:space="preserve"> </w:t>
      </w:r>
      <w:r>
        <w:t>dosed with clonal cell line material, scheduled PK samples were missing over the first</w:t>
      </w:r>
      <w:r w:rsidR="009B7E2C">
        <w:t xml:space="preserve"> 3 </w:t>
      </w:r>
      <w:r>
        <w:t>months. Corresponding data were used for 67 participants who were dosed with cell pools</w:t>
      </w:r>
      <w:r w:rsidR="009B7E2C">
        <w:t xml:space="preserve"> </w:t>
      </w:r>
      <w:r>
        <w:t>material.</w:t>
      </w:r>
    </w:p>
    <w:p w14:paraId="2EEF22B1" w14:textId="77777777" w:rsidR="009B7E2C" w:rsidRDefault="00234F91" w:rsidP="009B7E2C">
      <w:r>
        <w:t>For some participants from whom the Day 92 samples were collected earlier than scheduled,</w:t>
      </w:r>
      <w:r w:rsidR="009B7E2C">
        <w:t xml:space="preserve"> the parameter AUC</w:t>
      </w:r>
      <w:r w:rsidR="009B7E2C" w:rsidRPr="009B7E2C">
        <w:rPr>
          <w:vertAlign w:val="subscript"/>
        </w:rPr>
        <w:t>0-91days</w:t>
      </w:r>
      <w:r>
        <w:t xml:space="preserve"> could not be calculated by extrapolation and </w:t>
      </w:r>
      <w:proofErr w:type="spellStart"/>
      <w:r>
        <w:t>AUC</w:t>
      </w:r>
      <w:r w:rsidRPr="009B7E2C">
        <w:rPr>
          <w:vertAlign w:val="subscript"/>
        </w:rPr>
        <w:t>last</w:t>
      </w:r>
      <w:proofErr w:type="spellEnd"/>
      <w:r>
        <w:t xml:space="preserve"> was used</w:t>
      </w:r>
      <w:r w:rsidR="009B7E2C">
        <w:t xml:space="preserve"> </w:t>
      </w:r>
      <w:r>
        <w:t xml:space="preserve">instead. This was the case for 18, 19, 18, 20, 21, and 23 participants for </w:t>
      </w:r>
      <w:proofErr w:type="spellStart"/>
      <w:r>
        <w:t>tixagevimab</w:t>
      </w:r>
      <w:proofErr w:type="spellEnd"/>
      <w:r>
        <w:t xml:space="preserve"> cell</w:t>
      </w:r>
      <w:r w:rsidR="009B7E2C">
        <w:t xml:space="preserve"> </w:t>
      </w:r>
      <w:r>
        <w:t xml:space="preserve">pools, </w:t>
      </w:r>
      <w:proofErr w:type="spellStart"/>
      <w:r>
        <w:t>cilgavimab</w:t>
      </w:r>
      <w:proofErr w:type="spellEnd"/>
      <w:r>
        <w:t xml:space="preserve"> cell pools, </w:t>
      </w:r>
      <w:proofErr w:type="spellStart"/>
      <w:r w:rsidR="009B7E2C">
        <w:t>Evusheld</w:t>
      </w:r>
      <w:proofErr w:type="spellEnd"/>
      <w:r w:rsidR="009B7E2C">
        <w:t xml:space="preserve"> </w:t>
      </w:r>
      <w:r>
        <w:t xml:space="preserve">cell pools, </w:t>
      </w:r>
      <w:proofErr w:type="spellStart"/>
      <w:r>
        <w:t>tixagevimab</w:t>
      </w:r>
      <w:proofErr w:type="spellEnd"/>
      <w:r>
        <w:t xml:space="preserve"> clonal cell line, </w:t>
      </w:r>
      <w:proofErr w:type="spellStart"/>
      <w:r>
        <w:t>cilgavimab</w:t>
      </w:r>
      <w:proofErr w:type="spellEnd"/>
      <w:r w:rsidR="009B7E2C">
        <w:t xml:space="preserve"> </w:t>
      </w:r>
      <w:r>
        <w:t xml:space="preserve">clonal cell line, and </w:t>
      </w:r>
      <w:proofErr w:type="spellStart"/>
      <w:r w:rsidR="009B7E2C">
        <w:t>Evusheld</w:t>
      </w:r>
      <w:proofErr w:type="spellEnd"/>
      <w:r w:rsidR="009B7E2C">
        <w:t xml:space="preserve"> </w:t>
      </w:r>
      <w:r>
        <w:t>clonal c</w:t>
      </w:r>
      <w:r w:rsidR="003D260D">
        <w:t>ell line material, respectively.</w:t>
      </w:r>
    </w:p>
    <w:p w14:paraId="2712BF29" w14:textId="77777777" w:rsidR="00234F91" w:rsidRDefault="00234F91" w:rsidP="00234F91">
      <w:r>
        <w:t xml:space="preserve">Importantly, serum </w:t>
      </w:r>
      <w:proofErr w:type="spellStart"/>
      <w:r w:rsidR="009B7E2C">
        <w:t>Evusheld</w:t>
      </w:r>
      <w:proofErr w:type="spellEnd"/>
      <w:r w:rsidR="009B7E2C">
        <w:t xml:space="preserve"> </w:t>
      </w:r>
      <w:r>
        <w:t>data for the</w:t>
      </w:r>
      <w:r w:rsidR="009B7E2C">
        <w:t xml:space="preserve"> </w:t>
      </w:r>
      <w:r>
        <w:t xml:space="preserve">PROVENT </w:t>
      </w:r>
      <w:r w:rsidR="009B7E2C">
        <w:t>trial primary analysis data cut-off</w:t>
      </w:r>
      <w:r>
        <w:t xml:space="preserve"> showed that the PK variability up to Day 92 was higher in</w:t>
      </w:r>
      <w:r w:rsidR="009B7E2C">
        <w:t xml:space="preserve"> </w:t>
      </w:r>
      <w:r>
        <w:t>the PROVENT</w:t>
      </w:r>
      <w:r w:rsidR="009B7E2C">
        <w:t xml:space="preserve"> trial</w:t>
      </w:r>
      <w:r>
        <w:t xml:space="preserve"> population compared with the Phase I population of healthy volunteers, with</w:t>
      </w:r>
      <w:r w:rsidR="009B7E2C">
        <w:t xml:space="preserve"> </w:t>
      </w:r>
      <w:r>
        <w:t xml:space="preserve">the geometric </w:t>
      </w:r>
      <w:r w:rsidR="009B7E2C">
        <w:t>coefficient of variation (</w:t>
      </w:r>
      <w:r>
        <w:t>CV%</w:t>
      </w:r>
      <w:r w:rsidR="009B7E2C">
        <w:t>)</w:t>
      </w:r>
      <w:r>
        <w:t xml:space="preserve"> ranging from 71.5% to 90.3% for </w:t>
      </w:r>
      <w:proofErr w:type="spellStart"/>
      <w:r w:rsidR="009B7E2C">
        <w:t>Evusheld</w:t>
      </w:r>
      <w:proofErr w:type="spellEnd"/>
      <w:r w:rsidR="009B7E2C">
        <w:t xml:space="preserve"> </w:t>
      </w:r>
      <w:r>
        <w:t>over the 4 time points</w:t>
      </w:r>
      <w:r w:rsidR="009B7E2C">
        <w:t xml:space="preserve"> sampled.</w:t>
      </w:r>
    </w:p>
    <w:p w14:paraId="153C6017" w14:textId="77777777" w:rsidR="00234F91" w:rsidRDefault="00234F91" w:rsidP="00234F91">
      <w:r>
        <w:t>Therefore, the dataset used for PK comparability analysis is underpowered for being able to</w:t>
      </w:r>
      <w:r w:rsidR="009B7E2C">
        <w:t xml:space="preserve"> </w:t>
      </w:r>
      <w:r>
        <w:t xml:space="preserve">demonstrate comparability of the 90% CI of the ratio of the geometric mean of </w:t>
      </w:r>
      <w:proofErr w:type="spellStart"/>
      <w:r>
        <w:t>C</w:t>
      </w:r>
      <w:r w:rsidRPr="009B7E2C">
        <w:rPr>
          <w:vertAlign w:val="subscript"/>
        </w:rPr>
        <w:t>max</w:t>
      </w:r>
      <w:proofErr w:type="spellEnd"/>
      <w:r>
        <w:t xml:space="preserve"> and</w:t>
      </w:r>
      <w:r w:rsidR="003D260D">
        <w:t xml:space="preserve"> </w:t>
      </w:r>
      <w:r>
        <w:t>AUC</w:t>
      </w:r>
      <w:r w:rsidRPr="009B7E2C">
        <w:rPr>
          <w:vertAlign w:val="subscript"/>
        </w:rPr>
        <w:t>0-91</w:t>
      </w:r>
      <w:r w:rsidR="009B7E2C">
        <w:rPr>
          <w:vertAlign w:val="subscript"/>
        </w:rPr>
        <w:t>days</w:t>
      </w:r>
      <w:r>
        <w:t xml:space="preserve"> of the 2 materials.</w:t>
      </w:r>
    </w:p>
    <w:p w14:paraId="339BFBE4" w14:textId="34D9FE1B" w:rsidR="00234F91" w:rsidRDefault="00234F91" w:rsidP="00234F91">
      <w:r>
        <w:t xml:space="preserve">Nevertheless, based on a partial dataset (due to the interim </w:t>
      </w:r>
      <w:r w:rsidR="003D260D">
        <w:t>data cut-off</w:t>
      </w:r>
      <w:r>
        <w:t xml:space="preserve"> as well as data not being</w:t>
      </w:r>
      <w:r w:rsidR="003D260D">
        <w:t xml:space="preserve"> </w:t>
      </w:r>
      <w:r>
        <w:t xml:space="preserve">available for all participants), the </w:t>
      </w:r>
      <w:proofErr w:type="spellStart"/>
      <w:r>
        <w:t>C</w:t>
      </w:r>
      <w:r w:rsidRPr="003D260D">
        <w:rPr>
          <w:vertAlign w:val="subscript"/>
        </w:rPr>
        <w:t>max</w:t>
      </w:r>
      <w:proofErr w:type="spellEnd"/>
      <w:r>
        <w:t xml:space="preserve"> is comparable between the cell pools material and the</w:t>
      </w:r>
      <w:r w:rsidR="003D260D">
        <w:t xml:space="preserve"> </w:t>
      </w:r>
      <w:r>
        <w:t xml:space="preserve">clonal cell line material following administration of a single dose of </w:t>
      </w:r>
      <w:proofErr w:type="spellStart"/>
      <w:r w:rsidR="003D260D">
        <w:t>Evusheld</w:t>
      </w:r>
      <w:proofErr w:type="spellEnd"/>
      <w:r w:rsidR="003D260D">
        <w:t xml:space="preserve"> 300 </w:t>
      </w:r>
      <w:r>
        <w:t>mg IM,</w:t>
      </w:r>
      <w:r w:rsidR="003D260D">
        <w:t xml:space="preserve"> </w:t>
      </w:r>
      <w:r>
        <w:t>with a ratio of the geometric means of 97.1% with the 90% CI well within the 80% to 125%</w:t>
      </w:r>
      <w:r w:rsidR="003D260D">
        <w:t xml:space="preserve"> </w:t>
      </w:r>
      <w:r>
        <w:t xml:space="preserve">comparability bounds for </w:t>
      </w:r>
      <w:proofErr w:type="spellStart"/>
      <w:r>
        <w:t>tixagevimab</w:t>
      </w:r>
      <w:proofErr w:type="spellEnd"/>
      <w:r>
        <w:t xml:space="preserve">, </w:t>
      </w:r>
      <w:proofErr w:type="spellStart"/>
      <w:r>
        <w:t>cilgavimab</w:t>
      </w:r>
      <w:proofErr w:type="spellEnd"/>
      <w:r>
        <w:t xml:space="preserve">, and </w:t>
      </w:r>
      <w:proofErr w:type="spellStart"/>
      <w:r w:rsidR="003D260D">
        <w:t>Evusheld</w:t>
      </w:r>
      <w:proofErr w:type="spellEnd"/>
      <w:r>
        <w:t xml:space="preserve"> (86.8%, 109%)</w:t>
      </w:r>
      <w:r w:rsidR="002E36FD">
        <w:t xml:space="preserve"> (</w:t>
      </w:r>
      <w:r w:rsidR="002E36FD">
        <w:fldChar w:fldCharType="begin"/>
      </w:r>
      <w:r w:rsidR="002E36FD">
        <w:instrText xml:space="preserve"> REF _Ref97640602 \h </w:instrText>
      </w:r>
      <w:r w:rsidR="002E36FD">
        <w:fldChar w:fldCharType="separate"/>
      </w:r>
      <w:r w:rsidR="004D0A2C" w:rsidRPr="006B7D30">
        <w:t xml:space="preserve">Table </w:t>
      </w:r>
      <w:r w:rsidR="004D0A2C">
        <w:rPr>
          <w:noProof/>
        </w:rPr>
        <w:t>40</w:t>
      </w:r>
      <w:r w:rsidR="002E36FD">
        <w:fldChar w:fldCharType="end"/>
      </w:r>
      <w:r w:rsidR="002E36FD">
        <w:t>)</w:t>
      </w:r>
      <w:r>
        <w:t xml:space="preserve">. For </w:t>
      </w:r>
      <w:r w:rsidR="003D260D">
        <w:t>AUC</w:t>
      </w:r>
      <w:r w:rsidR="003D260D">
        <w:rPr>
          <w:vertAlign w:val="subscript"/>
        </w:rPr>
        <w:t>0-91days</w:t>
      </w:r>
      <w:r>
        <w:t>, the ratio of the geometric means (90% CI) was 83.8% (74.8%,</w:t>
      </w:r>
      <w:r w:rsidR="003D260D">
        <w:t xml:space="preserve"> </w:t>
      </w:r>
      <w:r>
        <w:t xml:space="preserve">93.8%) for </w:t>
      </w:r>
      <w:proofErr w:type="spellStart"/>
      <w:r w:rsidR="003D260D">
        <w:t>Evusheld</w:t>
      </w:r>
      <w:proofErr w:type="spellEnd"/>
      <w:r w:rsidR="003D260D">
        <w:t xml:space="preserve"> </w:t>
      </w:r>
      <w:r>
        <w:t xml:space="preserve">(Table 2). Overlap of the serum </w:t>
      </w:r>
      <w:proofErr w:type="spellStart"/>
      <w:r w:rsidR="003D260D">
        <w:t>Evusheld</w:t>
      </w:r>
      <w:proofErr w:type="spellEnd"/>
      <w:r w:rsidR="003D260D">
        <w:t xml:space="preserve"> </w:t>
      </w:r>
      <w:r>
        <w:t>concentration</w:t>
      </w:r>
      <w:r w:rsidR="003D260D">
        <w:t xml:space="preserve"> </w:t>
      </w:r>
      <w:r>
        <w:t>distributions over the first 3 months for the 2 materials was observed and support that both materials result in serum</w:t>
      </w:r>
      <w:r w:rsidR="003D260D">
        <w:t xml:space="preserve"> </w:t>
      </w:r>
      <w:proofErr w:type="spellStart"/>
      <w:r w:rsidR="003D260D">
        <w:t>Evusheld</w:t>
      </w:r>
      <w:proofErr w:type="spellEnd"/>
      <w:r w:rsidR="003D260D">
        <w:t xml:space="preserve"> </w:t>
      </w:r>
      <w:r>
        <w:t xml:space="preserve">concentrations above the minimum protective concentration of 2.2 </w:t>
      </w:r>
      <w:proofErr w:type="spellStart"/>
      <w:r>
        <w:t>μg</w:t>
      </w:r>
      <w:proofErr w:type="spellEnd"/>
      <w:r>
        <w:t>/mL in</w:t>
      </w:r>
      <w:r w:rsidR="003D260D">
        <w:t xml:space="preserve"> </w:t>
      </w:r>
      <w:r>
        <w:t>100% of the participants. Testing material (cell pools v</w:t>
      </w:r>
      <w:r w:rsidR="003D260D">
        <w:t>ersu</w:t>
      </w:r>
      <w:r>
        <w:t>s clonal cell line) as a covariate for</w:t>
      </w:r>
      <w:r w:rsidR="003D260D">
        <w:t xml:space="preserve"> </w:t>
      </w:r>
      <w:r>
        <w:t>clearance in the population PK model supported that material was not a clinically significant</w:t>
      </w:r>
      <w:r w:rsidR="003D260D">
        <w:t xml:space="preserve"> </w:t>
      </w:r>
      <w:r>
        <w:t xml:space="preserve">covariate and did not reduce the percentage of unidentified inter-subject variability in </w:t>
      </w:r>
      <w:r w:rsidR="003D260D">
        <w:t xml:space="preserve">clearance. </w:t>
      </w:r>
      <w:r>
        <w:t xml:space="preserve">Also, the distribution of the </w:t>
      </w:r>
      <w:r w:rsidRPr="003D260D">
        <w:rPr>
          <w:i/>
        </w:rPr>
        <w:t xml:space="preserve">ex vivo </w:t>
      </w:r>
      <w:r>
        <w:t xml:space="preserve">80% </w:t>
      </w:r>
      <w:r w:rsidR="003D260D">
        <w:t xml:space="preserve">neutralising antibody titres (pharmacodynamics) </w:t>
      </w:r>
      <w:r>
        <w:t xml:space="preserve">were comparable for the cell pools material and the clonal cell line material and the </w:t>
      </w:r>
      <w:r w:rsidR="003D260D">
        <w:t xml:space="preserve">pharmacokinetic neutralising antibody </w:t>
      </w:r>
      <w:r>
        <w:t xml:space="preserve">correlation was unchanged. Based on these collective data, the </w:t>
      </w:r>
      <w:r w:rsidR="003D260D">
        <w:t>AUC</w:t>
      </w:r>
      <w:r w:rsidR="003D260D">
        <w:rPr>
          <w:vertAlign w:val="subscript"/>
        </w:rPr>
        <w:t>0-91days</w:t>
      </w:r>
      <w:r w:rsidR="003D260D">
        <w:t xml:space="preserve"> </w:t>
      </w:r>
      <w:r>
        <w:t>of the cell pools</w:t>
      </w:r>
      <w:r w:rsidR="003D260D">
        <w:t xml:space="preserve"> </w:t>
      </w:r>
      <w:r>
        <w:t>material and the clonal cell line material can be considered comparable.</w:t>
      </w:r>
    </w:p>
    <w:p w14:paraId="021B1FD1" w14:textId="77777777" w:rsidR="00F74129" w:rsidRPr="006B7D30" w:rsidRDefault="00234F91" w:rsidP="006B7D30">
      <w:r>
        <w:t>With the future availability of additional PK data beyond Month</w:t>
      </w:r>
      <w:r w:rsidR="008F1DF8">
        <w:t xml:space="preserve"> 3, the expectation is that the </w:t>
      </w:r>
      <w:r>
        <w:t xml:space="preserve">more formal comparability criteria of 90% CI interval of the </w:t>
      </w:r>
      <w:r w:rsidR="008F1DF8">
        <w:t xml:space="preserve">ratio of the geometric mean AUC </w:t>
      </w:r>
      <w:r>
        <w:t>between 80% to 125% will be met.</w:t>
      </w:r>
    </w:p>
    <w:p w14:paraId="65A03B10" w14:textId="14D389D9" w:rsidR="006B7D30" w:rsidRPr="006B7D30" w:rsidRDefault="006B7D30" w:rsidP="006B7D30">
      <w:pPr>
        <w:pStyle w:val="TableTitle"/>
      </w:pPr>
      <w:bookmarkStart w:id="66" w:name="_Ref97640602"/>
      <w:r w:rsidRPr="006B7D30">
        <w:lastRenderedPageBreak/>
        <w:t xml:space="preserve">Table </w:t>
      </w:r>
      <w:r>
        <w:fldChar w:fldCharType="begin"/>
      </w:r>
      <w:r>
        <w:instrText>SEQ Table \* ARABIC</w:instrText>
      </w:r>
      <w:r>
        <w:fldChar w:fldCharType="separate"/>
      </w:r>
      <w:r w:rsidR="004D0A2C">
        <w:rPr>
          <w:noProof/>
        </w:rPr>
        <w:t>40</w:t>
      </w:r>
      <w:r>
        <w:fldChar w:fldCharType="end"/>
      </w:r>
      <w:bookmarkEnd w:id="66"/>
      <w:r w:rsidRPr="006B7D30">
        <w:t xml:space="preserve">: Statistical comparison of pharmacokinetic exposure parameters between clonal cell line and cell pools materials </w:t>
      </w:r>
      <w:r>
        <w:t>(pharmacokinetics a</w:t>
      </w:r>
      <w:r w:rsidRPr="006B7D30">
        <w:t xml:space="preserve">nalysis </w:t>
      </w:r>
      <w:r>
        <w:t>s</w:t>
      </w:r>
      <w:r w:rsidRPr="006B7D30">
        <w:t>et</w:t>
      </w:r>
      <w: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05"/>
        <w:gridCol w:w="999"/>
        <w:gridCol w:w="2076"/>
        <w:gridCol w:w="890"/>
        <w:gridCol w:w="647"/>
        <w:gridCol w:w="1129"/>
        <w:gridCol w:w="976"/>
        <w:gridCol w:w="772"/>
      </w:tblGrid>
      <w:tr w:rsidR="00F74129" w:rsidRPr="001119C4" w14:paraId="6CA8343F" w14:textId="77777777" w:rsidTr="009E79C6">
        <w:trPr>
          <w:trHeight w:val="700"/>
        </w:trPr>
        <w:tc>
          <w:tcPr>
            <w:tcW w:w="596" w:type="pct"/>
            <w:vMerge w:val="restart"/>
          </w:tcPr>
          <w:p w14:paraId="22564944" w14:textId="2443EEE8" w:rsidR="00F74129" w:rsidRPr="001119C4" w:rsidRDefault="00F74129" w:rsidP="001119C4">
            <w:pPr>
              <w:rPr>
                <w:sz w:val="18"/>
              </w:rPr>
            </w:pPr>
            <w:r w:rsidRPr="001119C4">
              <w:rPr>
                <w:sz w:val="18"/>
              </w:rPr>
              <w:t>Analyte</w:t>
            </w:r>
          </w:p>
        </w:tc>
        <w:tc>
          <w:tcPr>
            <w:tcW w:w="561" w:type="pct"/>
            <w:vMerge w:val="restart"/>
          </w:tcPr>
          <w:p w14:paraId="660409BD" w14:textId="216FF0BA" w:rsidR="00F74129" w:rsidRPr="001119C4" w:rsidRDefault="00F74129" w:rsidP="001119C4">
            <w:pPr>
              <w:rPr>
                <w:sz w:val="18"/>
              </w:rPr>
            </w:pPr>
            <w:r w:rsidRPr="001119C4">
              <w:rPr>
                <w:sz w:val="18"/>
              </w:rPr>
              <w:t>Parameter (Units)</w:t>
            </w:r>
          </w:p>
        </w:tc>
        <w:tc>
          <w:tcPr>
            <w:tcW w:w="1226" w:type="pct"/>
            <w:vMerge w:val="restart"/>
          </w:tcPr>
          <w:p w14:paraId="32217436" w14:textId="5227BE72" w:rsidR="00F74129" w:rsidRPr="001119C4" w:rsidRDefault="00F74129" w:rsidP="001119C4">
            <w:pPr>
              <w:rPr>
                <w:sz w:val="18"/>
              </w:rPr>
            </w:pPr>
            <w:r w:rsidRPr="001119C4">
              <w:rPr>
                <w:sz w:val="18"/>
              </w:rPr>
              <w:t>Treatment</w:t>
            </w:r>
          </w:p>
        </w:tc>
        <w:tc>
          <w:tcPr>
            <w:tcW w:w="528" w:type="pct"/>
            <w:vMerge w:val="restart"/>
          </w:tcPr>
          <w:p w14:paraId="542B0B02" w14:textId="30BB9EA4" w:rsidR="00F74129" w:rsidRPr="001119C4" w:rsidRDefault="00F74129" w:rsidP="001119C4">
            <w:pPr>
              <w:rPr>
                <w:sz w:val="18"/>
              </w:rPr>
            </w:pPr>
            <w:r w:rsidRPr="001119C4">
              <w:rPr>
                <w:sz w:val="18"/>
              </w:rPr>
              <w:t>N</w:t>
            </w:r>
          </w:p>
        </w:tc>
        <w:tc>
          <w:tcPr>
            <w:tcW w:w="385" w:type="pct"/>
            <w:vMerge w:val="restart"/>
          </w:tcPr>
          <w:p w14:paraId="559DD21B" w14:textId="6B9623EE" w:rsidR="00F74129" w:rsidRPr="001119C4" w:rsidRDefault="00F74129" w:rsidP="001119C4">
            <w:pPr>
              <w:rPr>
                <w:sz w:val="18"/>
              </w:rPr>
            </w:pPr>
            <w:r w:rsidRPr="001119C4">
              <w:rPr>
                <w:sz w:val="18"/>
              </w:rPr>
              <w:t>GLS M</w:t>
            </w:r>
          </w:p>
        </w:tc>
        <w:tc>
          <w:tcPr>
            <w:tcW w:w="668" w:type="pct"/>
            <w:vMerge w:val="restart"/>
          </w:tcPr>
          <w:p w14:paraId="27DD3C1F" w14:textId="6105C5A7" w:rsidR="00F74129" w:rsidRPr="001119C4" w:rsidRDefault="00F74129" w:rsidP="001119C4">
            <w:pPr>
              <w:rPr>
                <w:sz w:val="18"/>
              </w:rPr>
            </w:pPr>
            <w:r w:rsidRPr="001119C4">
              <w:rPr>
                <w:sz w:val="18"/>
              </w:rPr>
              <w:t>90% CI</w:t>
            </w:r>
          </w:p>
        </w:tc>
        <w:tc>
          <w:tcPr>
            <w:tcW w:w="1036" w:type="pct"/>
            <w:gridSpan w:val="2"/>
          </w:tcPr>
          <w:p w14:paraId="6D5839A4" w14:textId="399B98B2" w:rsidR="00F74129" w:rsidRPr="001119C4" w:rsidRDefault="00F74129" w:rsidP="001119C4">
            <w:pPr>
              <w:rPr>
                <w:sz w:val="18"/>
              </w:rPr>
            </w:pPr>
            <w:r w:rsidRPr="001119C4">
              <w:rPr>
                <w:sz w:val="18"/>
              </w:rPr>
              <w:t xml:space="preserve">Material Comparison (Clonal Cell Line </w:t>
            </w:r>
            <w:r w:rsidR="00D77876">
              <w:rPr>
                <w:sz w:val="18"/>
              </w:rPr>
              <w:t>versus</w:t>
            </w:r>
            <w:r w:rsidRPr="001119C4">
              <w:rPr>
                <w:sz w:val="18"/>
              </w:rPr>
              <w:t xml:space="preserve"> Cell Pool)</w:t>
            </w:r>
          </w:p>
        </w:tc>
      </w:tr>
      <w:tr w:rsidR="009E79C6" w:rsidRPr="001119C4" w14:paraId="20C26B9C" w14:textId="77777777" w:rsidTr="009E79C6">
        <w:trPr>
          <w:trHeight w:val="494"/>
        </w:trPr>
        <w:tc>
          <w:tcPr>
            <w:tcW w:w="596" w:type="pct"/>
            <w:vMerge/>
            <w:tcBorders>
              <w:top w:val="nil"/>
            </w:tcBorders>
          </w:tcPr>
          <w:p w14:paraId="0BE955D8" w14:textId="77777777" w:rsidR="00F74129" w:rsidRPr="001119C4" w:rsidRDefault="00F74129" w:rsidP="001119C4">
            <w:pPr>
              <w:rPr>
                <w:sz w:val="18"/>
              </w:rPr>
            </w:pPr>
          </w:p>
        </w:tc>
        <w:tc>
          <w:tcPr>
            <w:tcW w:w="561" w:type="pct"/>
            <w:vMerge/>
            <w:tcBorders>
              <w:top w:val="nil"/>
            </w:tcBorders>
          </w:tcPr>
          <w:p w14:paraId="118EE3D0" w14:textId="77777777" w:rsidR="00F74129" w:rsidRPr="001119C4" w:rsidRDefault="00F74129" w:rsidP="001119C4">
            <w:pPr>
              <w:rPr>
                <w:sz w:val="18"/>
              </w:rPr>
            </w:pPr>
          </w:p>
        </w:tc>
        <w:tc>
          <w:tcPr>
            <w:tcW w:w="1226" w:type="pct"/>
            <w:vMerge/>
            <w:tcBorders>
              <w:top w:val="nil"/>
            </w:tcBorders>
          </w:tcPr>
          <w:p w14:paraId="31C659B6" w14:textId="77777777" w:rsidR="00F74129" w:rsidRPr="001119C4" w:rsidRDefault="00F74129" w:rsidP="001119C4">
            <w:pPr>
              <w:rPr>
                <w:sz w:val="18"/>
              </w:rPr>
            </w:pPr>
          </w:p>
        </w:tc>
        <w:tc>
          <w:tcPr>
            <w:tcW w:w="528" w:type="pct"/>
            <w:vMerge/>
            <w:tcBorders>
              <w:top w:val="nil"/>
            </w:tcBorders>
          </w:tcPr>
          <w:p w14:paraId="216C68F8" w14:textId="77777777" w:rsidR="00F74129" w:rsidRPr="001119C4" w:rsidRDefault="00F74129" w:rsidP="001119C4">
            <w:pPr>
              <w:rPr>
                <w:sz w:val="18"/>
              </w:rPr>
            </w:pPr>
          </w:p>
        </w:tc>
        <w:tc>
          <w:tcPr>
            <w:tcW w:w="385" w:type="pct"/>
            <w:vMerge/>
            <w:tcBorders>
              <w:top w:val="nil"/>
            </w:tcBorders>
          </w:tcPr>
          <w:p w14:paraId="5703C15E" w14:textId="77777777" w:rsidR="00F74129" w:rsidRPr="001119C4" w:rsidRDefault="00F74129" w:rsidP="001119C4">
            <w:pPr>
              <w:rPr>
                <w:sz w:val="18"/>
              </w:rPr>
            </w:pPr>
          </w:p>
        </w:tc>
        <w:tc>
          <w:tcPr>
            <w:tcW w:w="668" w:type="pct"/>
            <w:vMerge/>
            <w:tcBorders>
              <w:top w:val="nil"/>
            </w:tcBorders>
          </w:tcPr>
          <w:p w14:paraId="461E13BB" w14:textId="77777777" w:rsidR="00F74129" w:rsidRPr="001119C4" w:rsidRDefault="00F74129" w:rsidP="001119C4">
            <w:pPr>
              <w:rPr>
                <w:sz w:val="18"/>
              </w:rPr>
            </w:pPr>
          </w:p>
        </w:tc>
        <w:tc>
          <w:tcPr>
            <w:tcW w:w="578" w:type="pct"/>
          </w:tcPr>
          <w:p w14:paraId="0AE7CBF2" w14:textId="77777777" w:rsidR="00F74129" w:rsidRPr="001119C4" w:rsidRDefault="00F74129" w:rsidP="001119C4">
            <w:pPr>
              <w:rPr>
                <w:sz w:val="18"/>
              </w:rPr>
            </w:pPr>
            <w:r w:rsidRPr="001119C4">
              <w:rPr>
                <w:sz w:val="18"/>
              </w:rPr>
              <w:t>GMR (%)</w:t>
            </w:r>
          </w:p>
        </w:tc>
        <w:tc>
          <w:tcPr>
            <w:tcW w:w="458" w:type="pct"/>
          </w:tcPr>
          <w:p w14:paraId="684456CA" w14:textId="05D3EA6B" w:rsidR="00F74129" w:rsidRPr="001119C4" w:rsidRDefault="00F74129" w:rsidP="001119C4">
            <w:pPr>
              <w:rPr>
                <w:sz w:val="18"/>
              </w:rPr>
            </w:pPr>
            <w:r w:rsidRPr="001119C4">
              <w:rPr>
                <w:sz w:val="18"/>
              </w:rPr>
              <w:t>90% CI</w:t>
            </w:r>
          </w:p>
        </w:tc>
      </w:tr>
      <w:tr w:rsidR="009E79C6" w:rsidRPr="001119C4" w14:paraId="2B48D866" w14:textId="77777777" w:rsidTr="009E79C6">
        <w:trPr>
          <w:trHeight w:val="359"/>
        </w:trPr>
        <w:tc>
          <w:tcPr>
            <w:tcW w:w="596" w:type="pct"/>
            <w:vMerge w:val="restart"/>
          </w:tcPr>
          <w:p w14:paraId="5DA70C8C" w14:textId="77777777" w:rsidR="00F74129" w:rsidRPr="001119C4" w:rsidRDefault="00F74129" w:rsidP="001119C4">
            <w:pPr>
              <w:rPr>
                <w:sz w:val="18"/>
              </w:rPr>
            </w:pPr>
          </w:p>
          <w:p w14:paraId="6C993EA2" w14:textId="77777777" w:rsidR="00F74129" w:rsidRPr="001119C4" w:rsidRDefault="00F74129" w:rsidP="001119C4">
            <w:pPr>
              <w:rPr>
                <w:sz w:val="18"/>
              </w:rPr>
            </w:pPr>
          </w:p>
          <w:p w14:paraId="4E04BCA5" w14:textId="77777777" w:rsidR="00F74129" w:rsidRPr="001119C4" w:rsidRDefault="00F74129" w:rsidP="001119C4">
            <w:pPr>
              <w:rPr>
                <w:sz w:val="18"/>
              </w:rPr>
            </w:pPr>
            <w:proofErr w:type="spellStart"/>
            <w:r w:rsidRPr="001119C4">
              <w:rPr>
                <w:sz w:val="18"/>
              </w:rPr>
              <w:t>Tixagevimab</w:t>
            </w:r>
            <w:proofErr w:type="spellEnd"/>
          </w:p>
        </w:tc>
        <w:tc>
          <w:tcPr>
            <w:tcW w:w="561" w:type="pct"/>
            <w:vMerge w:val="restart"/>
          </w:tcPr>
          <w:p w14:paraId="26C5E015" w14:textId="77777777" w:rsidR="00F74129" w:rsidRPr="001119C4" w:rsidRDefault="00F74129" w:rsidP="001119C4">
            <w:pPr>
              <w:rPr>
                <w:sz w:val="18"/>
              </w:rPr>
            </w:pPr>
            <w:r w:rsidRPr="001119C4">
              <w:rPr>
                <w:sz w:val="18"/>
              </w:rPr>
              <w:t>AUC</w:t>
            </w:r>
            <w:r w:rsidRPr="009E79C6">
              <w:rPr>
                <w:sz w:val="18"/>
                <w:vertAlign w:val="subscript"/>
              </w:rPr>
              <w:t>0-91</w:t>
            </w:r>
          </w:p>
          <w:p w14:paraId="10324CD0" w14:textId="77777777" w:rsidR="00F74129" w:rsidRPr="001119C4" w:rsidRDefault="00F74129" w:rsidP="001119C4">
            <w:pPr>
              <w:rPr>
                <w:sz w:val="18"/>
              </w:rPr>
            </w:pPr>
            <w:r w:rsidRPr="001119C4">
              <w:rPr>
                <w:sz w:val="18"/>
              </w:rPr>
              <w:t>(day·µg/mL)</w:t>
            </w:r>
          </w:p>
        </w:tc>
        <w:tc>
          <w:tcPr>
            <w:tcW w:w="1226" w:type="pct"/>
          </w:tcPr>
          <w:p w14:paraId="74B99077" w14:textId="77777777" w:rsidR="00F74129" w:rsidRPr="001119C4" w:rsidRDefault="00F74129" w:rsidP="001119C4">
            <w:pPr>
              <w:rPr>
                <w:sz w:val="18"/>
              </w:rPr>
            </w:pPr>
            <w:r w:rsidRPr="001119C4">
              <w:rPr>
                <w:sz w:val="18"/>
              </w:rPr>
              <w:t>Cell Pools (Reference)</w:t>
            </w:r>
          </w:p>
        </w:tc>
        <w:tc>
          <w:tcPr>
            <w:tcW w:w="528" w:type="pct"/>
          </w:tcPr>
          <w:p w14:paraId="0DE81B52" w14:textId="77777777" w:rsidR="00F74129" w:rsidRPr="001119C4" w:rsidRDefault="00F74129" w:rsidP="001119C4">
            <w:pPr>
              <w:rPr>
                <w:sz w:val="18"/>
              </w:rPr>
            </w:pPr>
            <w:r w:rsidRPr="001119C4">
              <w:rPr>
                <w:sz w:val="18"/>
              </w:rPr>
              <w:t>67</w:t>
            </w:r>
          </w:p>
        </w:tc>
        <w:tc>
          <w:tcPr>
            <w:tcW w:w="385" w:type="pct"/>
          </w:tcPr>
          <w:p w14:paraId="1C6CD675" w14:textId="77777777" w:rsidR="00F74129" w:rsidRPr="001119C4" w:rsidRDefault="00F74129" w:rsidP="001119C4">
            <w:pPr>
              <w:rPr>
                <w:sz w:val="18"/>
              </w:rPr>
            </w:pPr>
            <w:r w:rsidRPr="001119C4">
              <w:rPr>
                <w:sz w:val="18"/>
              </w:rPr>
              <w:t>949</w:t>
            </w:r>
          </w:p>
        </w:tc>
        <w:tc>
          <w:tcPr>
            <w:tcW w:w="668" w:type="pct"/>
          </w:tcPr>
          <w:p w14:paraId="166C0CCA" w14:textId="77777777" w:rsidR="00F74129" w:rsidRPr="001119C4" w:rsidRDefault="00F74129" w:rsidP="001119C4">
            <w:pPr>
              <w:rPr>
                <w:sz w:val="18"/>
              </w:rPr>
            </w:pPr>
            <w:r w:rsidRPr="001119C4">
              <w:rPr>
                <w:sz w:val="18"/>
              </w:rPr>
              <w:t>(873, 1030)</w:t>
            </w:r>
          </w:p>
        </w:tc>
        <w:tc>
          <w:tcPr>
            <w:tcW w:w="578" w:type="pct"/>
            <w:vMerge w:val="restart"/>
          </w:tcPr>
          <w:p w14:paraId="4A336365" w14:textId="77777777" w:rsidR="00F74129" w:rsidRPr="001119C4" w:rsidRDefault="00F74129" w:rsidP="001119C4">
            <w:pPr>
              <w:rPr>
                <w:sz w:val="18"/>
              </w:rPr>
            </w:pPr>
            <w:r w:rsidRPr="001119C4">
              <w:rPr>
                <w:sz w:val="18"/>
              </w:rPr>
              <w:t>87.7</w:t>
            </w:r>
          </w:p>
        </w:tc>
        <w:tc>
          <w:tcPr>
            <w:tcW w:w="458" w:type="pct"/>
            <w:vMerge w:val="restart"/>
          </w:tcPr>
          <w:p w14:paraId="3078F481" w14:textId="77777777" w:rsidR="00F74129" w:rsidRPr="001119C4" w:rsidRDefault="00F74129" w:rsidP="001119C4">
            <w:pPr>
              <w:rPr>
                <w:sz w:val="18"/>
              </w:rPr>
            </w:pPr>
            <w:r w:rsidRPr="001119C4">
              <w:rPr>
                <w:sz w:val="18"/>
              </w:rPr>
              <w:t>(78.0, 98.6)</w:t>
            </w:r>
          </w:p>
        </w:tc>
      </w:tr>
      <w:tr w:rsidR="009E79C6" w:rsidRPr="001119C4" w14:paraId="5BC4E1B3" w14:textId="77777777" w:rsidTr="009E79C6">
        <w:trPr>
          <w:trHeight w:val="359"/>
        </w:trPr>
        <w:tc>
          <w:tcPr>
            <w:tcW w:w="596" w:type="pct"/>
            <w:vMerge/>
            <w:tcBorders>
              <w:top w:val="nil"/>
            </w:tcBorders>
          </w:tcPr>
          <w:p w14:paraId="24A28B3C" w14:textId="77777777" w:rsidR="00F74129" w:rsidRPr="001119C4" w:rsidRDefault="00F74129" w:rsidP="001119C4">
            <w:pPr>
              <w:rPr>
                <w:sz w:val="18"/>
              </w:rPr>
            </w:pPr>
          </w:p>
        </w:tc>
        <w:tc>
          <w:tcPr>
            <w:tcW w:w="561" w:type="pct"/>
            <w:vMerge/>
            <w:tcBorders>
              <w:top w:val="nil"/>
            </w:tcBorders>
          </w:tcPr>
          <w:p w14:paraId="0AC44FE5" w14:textId="77777777" w:rsidR="00F74129" w:rsidRPr="001119C4" w:rsidRDefault="00F74129" w:rsidP="001119C4">
            <w:pPr>
              <w:rPr>
                <w:sz w:val="18"/>
              </w:rPr>
            </w:pPr>
          </w:p>
        </w:tc>
        <w:tc>
          <w:tcPr>
            <w:tcW w:w="1226" w:type="pct"/>
          </w:tcPr>
          <w:p w14:paraId="2839C887" w14:textId="77777777" w:rsidR="00F74129" w:rsidRPr="001119C4" w:rsidRDefault="00F74129" w:rsidP="001119C4">
            <w:pPr>
              <w:rPr>
                <w:sz w:val="18"/>
              </w:rPr>
            </w:pPr>
            <w:r w:rsidRPr="001119C4">
              <w:rPr>
                <w:sz w:val="18"/>
              </w:rPr>
              <w:t>Clonal Cell Line (Test)</w:t>
            </w:r>
          </w:p>
        </w:tc>
        <w:tc>
          <w:tcPr>
            <w:tcW w:w="528" w:type="pct"/>
          </w:tcPr>
          <w:p w14:paraId="4BCEAFB2" w14:textId="77777777" w:rsidR="00F74129" w:rsidRPr="001119C4" w:rsidRDefault="00F74129" w:rsidP="001119C4">
            <w:pPr>
              <w:rPr>
                <w:sz w:val="18"/>
              </w:rPr>
            </w:pPr>
            <w:r w:rsidRPr="001119C4">
              <w:rPr>
                <w:sz w:val="18"/>
              </w:rPr>
              <w:t>68</w:t>
            </w:r>
          </w:p>
        </w:tc>
        <w:tc>
          <w:tcPr>
            <w:tcW w:w="385" w:type="pct"/>
          </w:tcPr>
          <w:p w14:paraId="53371289" w14:textId="77777777" w:rsidR="00F74129" w:rsidRPr="001119C4" w:rsidRDefault="00F74129" w:rsidP="001119C4">
            <w:pPr>
              <w:rPr>
                <w:sz w:val="18"/>
              </w:rPr>
            </w:pPr>
            <w:r w:rsidRPr="001119C4">
              <w:rPr>
                <w:sz w:val="18"/>
              </w:rPr>
              <w:t>833</w:t>
            </w:r>
          </w:p>
        </w:tc>
        <w:tc>
          <w:tcPr>
            <w:tcW w:w="668" w:type="pct"/>
          </w:tcPr>
          <w:p w14:paraId="02CEE791" w14:textId="77777777" w:rsidR="00F74129" w:rsidRPr="001119C4" w:rsidRDefault="00F74129" w:rsidP="001119C4">
            <w:pPr>
              <w:rPr>
                <w:sz w:val="18"/>
              </w:rPr>
            </w:pPr>
            <w:r w:rsidRPr="001119C4">
              <w:rPr>
                <w:sz w:val="18"/>
              </w:rPr>
              <w:t>(767, 904)</w:t>
            </w:r>
          </w:p>
        </w:tc>
        <w:tc>
          <w:tcPr>
            <w:tcW w:w="578" w:type="pct"/>
            <w:vMerge/>
            <w:tcBorders>
              <w:top w:val="nil"/>
            </w:tcBorders>
          </w:tcPr>
          <w:p w14:paraId="56965854" w14:textId="77777777" w:rsidR="00F74129" w:rsidRPr="001119C4" w:rsidRDefault="00F74129" w:rsidP="001119C4">
            <w:pPr>
              <w:rPr>
                <w:sz w:val="18"/>
              </w:rPr>
            </w:pPr>
          </w:p>
        </w:tc>
        <w:tc>
          <w:tcPr>
            <w:tcW w:w="458" w:type="pct"/>
            <w:vMerge/>
            <w:tcBorders>
              <w:top w:val="nil"/>
            </w:tcBorders>
          </w:tcPr>
          <w:p w14:paraId="60C76043" w14:textId="77777777" w:rsidR="00F74129" w:rsidRPr="001119C4" w:rsidRDefault="00F74129" w:rsidP="001119C4">
            <w:pPr>
              <w:rPr>
                <w:sz w:val="18"/>
              </w:rPr>
            </w:pPr>
          </w:p>
        </w:tc>
      </w:tr>
      <w:tr w:rsidR="009E79C6" w:rsidRPr="001119C4" w14:paraId="50703973" w14:textId="77777777" w:rsidTr="009E79C6">
        <w:trPr>
          <w:trHeight w:val="359"/>
        </w:trPr>
        <w:tc>
          <w:tcPr>
            <w:tcW w:w="596" w:type="pct"/>
            <w:vMerge/>
            <w:tcBorders>
              <w:top w:val="nil"/>
            </w:tcBorders>
          </w:tcPr>
          <w:p w14:paraId="2B13776E" w14:textId="77777777" w:rsidR="00F74129" w:rsidRPr="001119C4" w:rsidRDefault="00F74129" w:rsidP="001119C4">
            <w:pPr>
              <w:rPr>
                <w:sz w:val="18"/>
              </w:rPr>
            </w:pPr>
          </w:p>
        </w:tc>
        <w:tc>
          <w:tcPr>
            <w:tcW w:w="561" w:type="pct"/>
            <w:vMerge w:val="restart"/>
          </w:tcPr>
          <w:p w14:paraId="24D983EA" w14:textId="77777777" w:rsidR="00F74129" w:rsidRPr="001119C4" w:rsidRDefault="00F74129" w:rsidP="001119C4">
            <w:pPr>
              <w:rPr>
                <w:sz w:val="18"/>
              </w:rPr>
            </w:pPr>
            <w:proofErr w:type="spellStart"/>
            <w:r w:rsidRPr="001119C4">
              <w:rPr>
                <w:sz w:val="18"/>
              </w:rPr>
              <w:t>C</w:t>
            </w:r>
            <w:r w:rsidRPr="009E79C6">
              <w:rPr>
                <w:sz w:val="18"/>
                <w:vertAlign w:val="subscript"/>
              </w:rPr>
              <w:t>max</w:t>
            </w:r>
            <w:proofErr w:type="spellEnd"/>
            <w:r w:rsidRPr="001119C4">
              <w:rPr>
                <w:sz w:val="18"/>
              </w:rPr>
              <w:t xml:space="preserve"> (µg/mL)</w:t>
            </w:r>
          </w:p>
        </w:tc>
        <w:tc>
          <w:tcPr>
            <w:tcW w:w="1226" w:type="pct"/>
          </w:tcPr>
          <w:p w14:paraId="47A67063" w14:textId="77777777" w:rsidR="00F74129" w:rsidRPr="001119C4" w:rsidRDefault="00F74129" w:rsidP="001119C4">
            <w:pPr>
              <w:rPr>
                <w:sz w:val="18"/>
              </w:rPr>
            </w:pPr>
            <w:r w:rsidRPr="001119C4">
              <w:rPr>
                <w:sz w:val="18"/>
              </w:rPr>
              <w:t>Cell Pools (Reference)</w:t>
            </w:r>
          </w:p>
        </w:tc>
        <w:tc>
          <w:tcPr>
            <w:tcW w:w="528" w:type="pct"/>
          </w:tcPr>
          <w:p w14:paraId="573271A3" w14:textId="77777777" w:rsidR="00F74129" w:rsidRPr="001119C4" w:rsidRDefault="00F74129" w:rsidP="001119C4">
            <w:pPr>
              <w:rPr>
                <w:sz w:val="18"/>
              </w:rPr>
            </w:pPr>
            <w:r w:rsidRPr="001119C4">
              <w:rPr>
                <w:sz w:val="18"/>
              </w:rPr>
              <w:t>67</w:t>
            </w:r>
          </w:p>
        </w:tc>
        <w:tc>
          <w:tcPr>
            <w:tcW w:w="385" w:type="pct"/>
          </w:tcPr>
          <w:p w14:paraId="453E54BA" w14:textId="77777777" w:rsidR="00F74129" w:rsidRPr="001119C4" w:rsidRDefault="00F74129" w:rsidP="001119C4">
            <w:pPr>
              <w:rPr>
                <w:sz w:val="18"/>
              </w:rPr>
            </w:pPr>
            <w:r w:rsidRPr="001119C4">
              <w:rPr>
                <w:sz w:val="18"/>
              </w:rPr>
              <w:t>13.3</w:t>
            </w:r>
          </w:p>
        </w:tc>
        <w:tc>
          <w:tcPr>
            <w:tcW w:w="668" w:type="pct"/>
          </w:tcPr>
          <w:p w14:paraId="03454D99" w14:textId="77777777" w:rsidR="00F74129" w:rsidRPr="001119C4" w:rsidRDefault="00F74129" w:rsidP="001119C4">
            <w:pPr>
              <w:rPr>
                <w:sz w:val="18"/>
              </w:rPr>
            </w:pPr>
            <w:r w:rsidRPr="001119C4">
              <w:rPr>
                <w:sz w:val="18"/>
              </w:rPr>
              <w:t>(12.2, 14.4)</w:t>
            </w:r>
          </w:p>
        </w:tc>
        <w:tc>
          <w:tcPr>
            <w:tcW w:w="578" w:type="pct"/>
            <w:vMerge w:val="restart"/>
          </w:tcPr>
          <w:p w14:paraId="14BE9AE3" w14:textId="77777777" w:rsidR="00F74129" w:rsidRPr="001119C4" w:rsidRDefault="00F74129" w:rsidP="001119C4">
            <w:pPr>
              <w:rPr>
                <w:sz w:val="18"/>
              </w:rPr>
            </w:pPr>
            <w:r w:rsidRPr="001119C4">
              <w:rPr>
                <w:sz w:val="18"/>
              </w:rPr>
              <w:t>102</w:t>
            </w:r>
          </w:p>
        </w:tc>
        <w:tc>
          <w:tcPr>
            <w:tcW w:w="458" w:type="pct"/>
            <w:vMerge w:val="restart"/>
          </w:tcPr>
          <w:p w14:paraId="6F48A1B3" w14:textId="77777777" w:rsidR="00F74129" w:rsidRPr="001119C4" w:rsidRDefault="00F74129" w:rsidP="001119C4">
            <w:pPr>
              <w:rPr>
                <w:sz w:val="18"/>
              </w:rPr>
            </w:pPr>
            <w:r w:rsidRPr="001119C4">
              <w:rPr>
                <w:sz w:val="18"/>
              </w:rPr>
              <w:t>(90.4, 114)</w:t>
            </w:r>
          </w:p>
        </w:tc>
      </w:tr>
      <w:tr w:rsidR="009E79C6" w:rsidRPr="001119C4" w14:paraId="284B61F9" w14:textId="77777777" w:rsidTr="009E79C6">
        <w:trPr>
          <w:trHeight w:val="359"/>
        </w:trPr>
        <w:tc>
          <w:tcPr>
            <w:tcW w:w="596" w:type="pct"/>
            <w:vMerge/>
            <w:tcBorders>
              <w:top w:val="nil"/>
            </w:tcBorders>
          </w:tcPr>
          <w:p w14:paraId="7C58E07E" w14:textId="77777777" w:rsidR="00F74129" w:rsidRPr="001119C4" w:rsidRDefault="00F74129" w:rsidP="001119C4">
            <w:pPr>
              <w:rPr>
                <w:sz w:val="18"/>
              </w:rPr>
            </w:pPr>
          </w:p>
        </w:tc>
        <w:tc>
          <w:tcPr>
            <w:tcW w:w="561" w:type="pct"/>
            <w:vMerge/>
            <w:tcBorders>
              <w:top w:val="nil"/>
            </w:tcBorders>
          </w:tcPr>
          <w:p w14:paraId="78A93B4E" w14:textId="77777777" w:rsidR="00F74129" w:rsidRPr="001119C4" w:rsidRDefault="00F74129" w:rsidP="001119C4">
            <w:pPr>
              <w:rPr>
                <w:sz w:val="18"/>
              </w:rPr>
            </w:pPr>
          </w:p>
        </w:tc>
        <w:tc>
          <w:tcPr>
            <w:tcW w:w="1226" w:type="pct"/>
          </w:tcPr>
          <w:p w14:paraId="0F551128" w14:textId="77777777" w:rsidR="00F74129" w:rsidRPr="001119C4" w:rsidRDefault="00F74129" w:rsidP="001119C4">
            <w:pPr>
              <w:rPr>
                <w:sz w:val="18"/>
              </w:rPr>
            </w:pPr>
            <w:r w:rsidRPr="001119C4">
              <w:rPr>
                <w:sz w:val="18"/>
              </w:rPr>
              <w:t>Clonal Cell Line (Test)</w:t>
            </w:r>
          </w:p>
        </w:tc>
        <w:tc>
          <w:tcPr>
            <w:tcW w:w="528" w:type="pct"/>
          </w:tcPr>
          <w:p w14:paraId="4D7FDBB6" w14:textId="77777777" w:rsidR="00F74129" w:rsidRPr="001119C4" w:rsidRDefault="00F74129" w:rsidP="001119C4">
            <w:pPr>
              <w:rPr>
                <w:sz w:val="18"/>
              </w:rPr>
            </w:pPr>
            <w:r w:rsidRPr="001119C4">
              <w:rPr>
                <w:sz w:val="18"/>
              </w:rPr>
              <w:t>68</w:t>
            </w:r>
          </w:p>
        </w:tc>
        <w:tc>
          <w:tcPr>
            <w:tcW w:w="385" w:type="pct"/>
          </w:tcPr>
          <w:p w14:paraId="3D1CA717" w14:textId="77777777" w:rsidR="00F74129" w:rsidRPr="001119C4" w:rsidRDefault="00F74129" w:rsidP="001119C4">
            <w:pPr>
              <w:rPr>
                <w:sz w:val="18"/>
              </w:rPr>
            </w:pPr>
            <w:r w:rsidRPr="001119C4">
              <w:rPr>
                <w:sz w:val="18"/>
              </w:rPr>
              <w:t>13.5</w:t>
            </w:r>
          </w:p>
        </w:tc>
        <w:tc>
          <w:tcPr>
            <w:tcW w:w="668" w:type="pct"/>
          </w:tcPr>
          <w:p w14:paraId="0F42EC42" w14:textId="77777777" w:rsidR="00F74129" w:rsidRPr="001119C4" w:rsidRDefault="00F74129" w:rsidP="001119C4">
            <w:pPr>
              <w:rPr>
                <w:sz w:val="18"/>
              </w:rPr>
            </w:pPr>
            <w:r w:rsidRPr="001119C4">
              <w:rPr>
                <w:sz w:val="18"/>
              </w:rPr>
              <w:t>(12.4, 14.6)</w:t>
            </w:r>
          </w:p>
        </w:tc>
        <w:tc>
          <w:tcPr>
            <w:tcW w:w="578" w:type="pct"/>
            <w:vMerge/>
            <w:tcBorders>
              <w:top w:val="nil"/>
            </w:tcBorders>
          </w:tcPr>
          <w:p w14:paraId="156E5DB8" w14:textId="77777777" w:rsidR="00F74129" w:rsidRPr="001119C4" w:rsidRDefault="00F74129" w:rsidP="001119C4">
            <w:pPr>
              <w:rPr>
                <w:sz w:val="18"/>
              </w:rPr>
            </w:pPr>
          </w:p>
        </w:tc>
        <w:tc>
          <w:tcPr>
            <w:tcW w:w="458" w:type="pct"/>
            <w:vMerge/>
            <w:tcBorders>
              <w:top w:val="nil"/>
            </w:tcBorders>
          </w:tcPr>
          <w:p w14:paraId="460E2918" w14:textId="77777777" w:rsidR="00F74129" w:rsidRPr="001119C4" w:rsidRDefault="00F74129" w:rsidP="001119C4">
            <w:pPr>
              <w:rPr>
                <w:sz w:val="18"/>
              </w:rPr>
            </w:pPr>
          </w:p>
        </w:tc>
      </w:tr>
      <w:tr w:rsidR="009E79C6" w:rsidRPr="001119C4" w14:paraId="1B4DDD0C" w14:textId="77777777" w:rsidTr="009E79C6">
        <w:trPr>
          <w:trHeight w:val="364"/>
        </w:trPr>
        <w:tc>
          <w:tcPr>
            <w:tcW w:w="596" w:type="pct"/>
            <w:vMerge w:val="restart"/>
          </w:tcPr>
          <w:p w14:paraId="6EFA68A4" w14:textId="77777777" w:rsidR="00F74129" w:rsidRPr="001119C4" w:rsidRDefault="00F74129" w:rsidP="001119C4">
            <w:pPr>
              <w:rPr>
                <w:sz w:val="18"/>
              </w:rPr>
            </w:pPr>
          </w:p>
          <w:p w14:paraId="178D5DF5" w14:textId="77777777" w:rsidR="00F74129" w:rsidRPr="001119C4" w:rsidRDefault="00F74129" w:rsidP="001119C4">
            <w:pPr>
              <w:rPr>
                <w:sz w:val="18"/>
              </w:rPr>
            </w:pPr>
          </w:p>
          <w:p w14:paraId="255A3594" w14:textId="77777777" w:rsidR="00F74129" w:rsidRPr="001119C4" w:rsidRDefault="00F74129" w:rsidP="001119C4">
            <w:pPr>
              <w:rPr>
                <w:sz w:val="18"/>
              </w:rPr>
            </w:pPr>
            <w:proofErr w:type="spellStart"/>
            <w:r w:rsidRPr="001119C4">
              <w:rPr>
                <w:sz w:val="18"/>
              </w:rPr>
              <w:t>Cilgavimab</w:t>
            </w:r>
            <w:proofErr w:type="spellEnd"/>
          </w:p>
        </w:tc>
        <w:tc>
          <w:tcPr>
            <w:tcW w:w="561" w:type="pct"/>
            <w:vMerge w:val="restart"/>
          </w:tcPr>
          <w:p w14:paraId="10C643BD" w14:textId="77777777" w:rsidR="00F74129" w:rsidRPr="001119C4" w:rsidRDefault="00F74129" w:rsidP="001119C4">
            <w:pPr>
              <w:rPr>
                <w:sz w:val="18"/>
              </w:rPr>
            </w:pPr>
            <w:r w:rsidRPr="001119C4">
              <w:rPr>
                <w:sz w:val="18"/>
              </w:rPr>
              <w:t>AUC</w:t>
            </w:r>
            <w:r w:rsidRPr="009E79C6">
              <w:rPr>
                <w:sz w:val="18"/>
                <w:vertAlign w:val="subscript"/>
              </w:rPr>
              <w:t>0-91</w:t>
            </w:r>
          </w:p>
          <w:p w14:paraId="21215C64" w14:textId="77777777" w:rsidR="00F74129" w:rsidRPr="001119C4" w:rsidRDefault="00F74129" w:rsidP="001119C4">
            <w:pPr>
              <w:rPr>
                <w:sz w:val="18"/>
              </w:rPr>
            </w:pPr>
            <w:r w:rsidRPr="001119C4">
              <w:rPr>
                <w:sz w:val="18"/>
              </w:rPr>
              <w:t>(day·µg/mL)</w:t>
            </w:r>
          </w:p>
        </w:tc>
        <w:tc>
          <w:tcPr>
            <w:tcW w:w="1226" w:type="pct"/>
          </w:tcPr>
          <w:p w14:paraId="17E21AAF" w14:textId="77777777" w:rsidR="00F74129" w:rsidRPr="001119C4" w:rsidRDefault="00F74129" w:rsidP="001119C4">
            <w:pPr>
              <w:rPr>
                <w:sz w:val="18"/>
              </w:rPr>
            </w:pPr>
            <w:r w:rsidRPr="001119C4">
              <w:rPr>
                <w:sz w:val="18"/>
              </w:rPr>
              <w:t>Cell Pools (Reference)</w:t>
            </w:r>
          </w:p>
        </w:tc>
        <w:tc>
          <w:tcPr>
            <w:tcW w:w="528" w:type="pct"/>
          </w:tcPr>
          <w:p w14:paraId="58266172" w14:textId="77777777" w:rsidR="00F74129" w:rsidRPr="001119C4" w:rsidRDefault="00F74129" w:rsidP="001119C4">
            <w:pPr>
              <w:rPr>
                <w:sz w:val="18"/>
              </w:rPr>
            </w:pPr>
            <w:r w:rsidRPr="001119C4">
              <w:rPr>
                <w:sz w:val="18"/>
              </w:rPr>
              <w:t>67</w:t>
            </w:r>
          </w:p>
        </w:tc>
        <w:tc>
          <w:tcPr>
            <w:tcW w:w="385" w:type="pct"/>
          </w:tcPr>
          <w:p w14:paraId="53754341" w14:textId="77777777" w:rsidR="00F74129" w:rsidRPr="001119C4" w:rsidRDefault="00F74129" w:rsidP="001119C4">
            <w:pPr>
              <w:rPr>
                <w:sz w:val="18"/>
              </w:rPr>
            </w:pPr>
            <w:r w:rsidRPr="001119C4">
              <w:rPr>
                <w:sz w:val="18"/>
              </w:rPr>
              <w:t>916</w:t>
            </w:r>
          </w:p>
        </w:tc>
        <w:tc>
          <w:tcPr>
            <w:tcW w:w="668" w:type="pct"/>
          </w:tcPr>
          <w:p w14:paraId="54A20395" w14:textId="77777777" w:rsidR="00F74129" w:rsidRPr="001119C4" w:rsidRDefault="00F74129" w:rsidP="001119C4">
            <w:pPr>
              <w:rPr>
                <w:sz w:val="18"/>
              </w:rPr>
            </w:pPr>
            <w:r w:rsidRPr="001119C4">
              <w:rPr>
                <w:sz w:val="18"/>
              </w:rPr>
              <w:t>(840, 999)</w:t>
            </w:r>
          </w:p>
        </w:tc>
        <w:tc>
          <w:tcPr>
            <w:tcW w:w="578" w:type="pct"/>
            <w:vMerge w:val="restart"/>
          </w:tcPr>
          <w:p w14:paraId="66704557" w14:textId="77777777" w:rsidR="00F74129" w:rsidRPr="001119C4" w:rsidRDefault="00F74129" w:rsidP="001119C4">
            <w:pPr>
              <w:rPr>
                <w:sz w:val="18"/>
              </w:rPr>
            </w:pPr>
            <w:r w:rsidRPr="001119C4">
              <w:rPr>
                <w:sz w:val="18"/>
              </w:rPr>
              <w:t>80.5</w:t>
            </w:r>
          </w:p>
        </w:tc>
        <w:tc>
          <w:tcPr>
            <w:tcW w:w="458" w:type="pct"/>
            <w:vMerge w:val="restart"/>
          </w:tcPr>
          <w:p w14:paraId="7C210F1E" w14:textId="77777777" w:rsidR="00F74129" w:rsidRPr="001119C4" w:rsidRDefault="00F74129" w:rsidP="001119C4">
            <w:pPr>
              <w:rPr>
                <w:sz w:val="18"/>
              </w:rPr>
            </w:pPr>
            <w:r w:rsidRPr="001119C4">
              <w:rPr>
                <w:sz w:val="18"/>
              </w:rPr>
              <w:t>(71.3, 90.9)</w:t>
            </w:r>
          </w:p>
        </w:tc>
      </w:tr>
      <w:tr w:rsidR="009E79C6" w:rsidRPr="001119C4" w14:paraId="64015560" w14:textId="77777777" w:rsidTr="009E79C6">
        <w:trPr>
          <w:trHeight w:val="359"/>
        </w:trPr>
        <w:tc>
          <w:tcPr>
            <w:tcW w:w="596" w:type="pct"/>
            <w:vMerge/>
            <w:tcBorders>
              <w:top w:val="nil"/>
            </w:tcBorders>
          </w:tcPr>
          <w:p w14:paraId="1525E59C" w14:textId="77777777" w:rsidR="00F74129" w:rsidRPr="001119C4" w:rsidRDefault="00F74129" w:rsidP="001119C4">
            <w:pPr>
              <w:rPr>
                <w:sz w:val="18"/>
              </w:rPr>
            </w:pPr>
          </w:p>
        </w:tc>
        <w:tc>
          <w:tcPr>
            <w:tcW w:w="561" w:type="pct"/>
            <w:vMerge/>
            <w:tcBorders>
              <w:top w:val="nil"/>
            </w:tcBorders>
          </w:tcPr>
          <w:p w14:paraId="69E659C0" w14:textId="77777777" w:rsidR="00F74129" w:rsidRPr="001119C4" w:rsidRDefault="00F74129" w:rsidP="001119C4">
            <w:pPr>
              <w:rPr>
                <w:sz w:val="18"/>
              </w:rPr>
            </w:pPr>
          </w:p>
        </w:tc>
        <w:tc>
          <w:tcPr>
            <w:tcW w:w="1226" w:type="pct"/>
          </w:tcPr>
          <w:p w14:paraId="450E10E9" w14:textId="77777777" w:rsidR="00F74129" w:rsidRPr="001119C4" w:rsidRDefault="00F74129" w:rsidP="001119C4">
            <w:pPr>
              <w:rPr>
                <w:sz w:val="18"/>
              </w:rPr>
            </w:pPr>
            <w:r w:rsidRPr="001119C4">
              <w:rPr>
                <w:sz w:val="18"/>
              </w:rPr>
              <w:t>Clonal Cell Line (Test)</w:t>
            </w:r>
          </w:p>
        </w:tc>
        <w:tc>
          <w:tcPr>
            <w:tcW w:w="528" w:type="pct"/>
          </w:tcPr>
          <w:p w14:paraId="47ABA5A4" w14:textId="77777777" w:rsidR="00F74129" w:rsidRPr="001119C4" w:rsidRDefault="00F74129" w:rsidP="001119C4">
            <w:pPr>
              <w:rPr>
                <w:sz w:val="18"/>
              </w:rPr>
            </w:pPr>
            <w:r w:rsidRPr="001119C4">
              <w:rPr>
                <w:sz w:val="18"/>
              </w:rPr>
              <w:t>68</w:t>
            </w:r>
          </w:p>
        </w:tc>
        <w:tc>
          <w:tcPr>
            <w:tcW w:w="385" w:type="pct"/>
          </w:tcPr>
          <w:p w14:paraId="1EFE6D1B" w14:textId="77777777" w:rsidR="00F74129" w:rsidRPr="001119C4" w:rsidRDefault="00F74129" w:rsidP="001119C4">
            <w:pPr>
              <w:rPr>
                <w:sz w:val="18"/>
              </w:rPr>
            </w:pPr>
            <w:r w:rsidRPr="001119C4">
              <w:rPr>
                <w:sz w:val="18"/>
              </w:rPr>
              <w:t>737</w:t>
            </w:r>
          </w:p>
        </w:tc>
        <w:tc>
          <w:tcPr>
            <w:tcW w:w="668" w:type="pct"/>
          </w:tcPr>
          <w:p w14:paraId="21AC6732" w14:textId="77777777" w:rsidR="00F74129" w:rsidRPr="001119C4" w:rsidRDefault="00F74129" w:rsidP="001119C4">
            <w:pPr>
              <w:rPr>
                <w:sz w:val="18"/>
              </w:rPr>
            </w:pPr>
            <w:r w:rsidRPr="001119C4">
              <w:rPr>
                <w:sz w:val="18"/>
              </w:rPr>
              <w:t>(677, 803)</w:t>
            </w:r>
          </w:p>
        </w:tc>
        <w:tc>
          <w:tcPr>
            <w:tcW w:w="578" w:type="pct"/>
            <w:vMerge/>
            <w:tcBorders>
              <w:top w:val="nil"/>
            </w:tcBorders>
          </w:tcPr>
          <w:p w14:paraId="6DFFC074" w14:textId="77777777" w:rsidR="00F74129" w:rsidRPr="001119C4" w:rsidRDefault="00F74129" w:rsidP="001119C4">
            <w:pPr>
              <w:rPr>
                <w:sz w:val="18"/>
              </w:rPr>
            </w:pPr>
          </w:p>
        </w:tc>
        <w:tc>
          <w:tcPr>
            <w:tcW w:w="458" w:type="pct"/>
            <w:vMerge/>
            <w:tcBorders>
              <w:top w:val="nil"/>
            </w:tcBorders>
          </w:tcPr>
          <w:p w14:paraId="07871370" w14:textId="77777777" w:rsidR="00F74129" w:rsidRPr="001119C4" w:rsidRDefault="00F74129" w:rsidP="001119C4">
            <w:pPr>
              <w:rPr>
                <w:sz w:val="18"/>
              </w:rPr>
            </w:pPr>
          </w:p>
        </w:tc>
      </w:tr>
      <w:tr w:rsidR="009E79C6" w:rsidRPr="001119C4" w14:paraId="00DEC302" w14:textId="77777777" w:rsidTr="009E79C6">
        <w:trPr>
          <w:trHeight w:val="359"/>
        </w:trPr>
        <w:tc>
          <w:tcPr>
            <w:tcW w:w="596" w:type="pct"/>
            <w:vMerge/>
            <w:tcBorders>
              <w:top w:val="nil"/>
            </w:tcBorders>
          </w:tcPr>
          <w:p w14:paraId="22352BBA" w14:textId="77777777" w:rsidR="00F74129" w:rsidRPr="001119C4" w:rsidRDefault="00F74129" w:rsidP="001119C4">
            <w:pPr>
              <w:rPr>
                <w:sz w:val="18"/>
              </w:rPr>
            </w:pPr>
          </w:p>
        </w:tc>
        <w:tc>
          <w:tcPr>
            <w:tcW w:w="561" w:type="pct"/>
            <w:vMerge w:val="restart"/>
          </w:tcPr>
          <w:p w14:paraId="6CDB4EF7" w14:textId="77777777" w:rsidR="00F74129" w:rsidRPr="001119C4" w:rsidRDefault="00F74129" w:rsidP="001119C4">
            <w:pPr>
              <w:rPr>
                <w:sz w:val="18"/>
              </w:rPr>
            </w:pPr>
            <w:proofErr w:type="spellStart"/>
            <w:r w:rsidRPr="001119C4">
              <w:rPr>
                <w:sz w:val="18"/>
              </w:rPr>
              <w:t>C</w:t>
            </w:r>
            <w:r w:rsidRPr="009E79C6">
              <w:rPr>
                <w:sz w:val="18"/>
                <w:vertAlign w:val="subscript"/>
              </w:rPr>
              <w:t>max</w:t>
            </w:r>
            <w:proofErr w:type="spellEnd"/>
            <w:r w:rsidRPr="001119C4">
              <w:rPr>
                <w:sz w:val="18"/>
              </w:rPr>
              <w:t xml:space="preserve"> (µg/mL)</w:t>
            </w:r>
          </w:p>
        </w:tc>
        <w:tc>
          <w:tcPr>
            <w:tcW w:w="1226" w:type="pct"/>
          </w:tcPr>
          <w:p w14:paraId="3471561D" w14:textId="77777777" w:rsidR="00F74129" w:rsidRPr="001119C4" w:rsidRDefault="00F74129" w:rsidP="001119C4">
            <w:pPr>
              <w:rPr>
                <w:sz w:val="18"/>
              </w:rPr>
            </w:pPr>
            <w:r w:rsidRPr="001119C4">
              <w:rPr>
                <w:sz w:val="18"/>
              </w:rPr>
              <w:t>Cell Pools (Reference)</w:t>
            </w:r>
          </w:p>
        </w:tc>
        <w:tc>
          <w:tcPr>
            <w:tcW w:w="528" w:type="pct"/>
          </w:tcPr>
          <w:p w14:paraId="7B015E17" w14:textId="77777777" w:rsidR="00F74129" w:rsidRPr="001119C4" w:rsidRDefault="00F74129" w:rsidP="001119C4">
            <w:pPr>
              <w:rPr>
                <w:sz w:val="18"/>
              </w:rPr>
            </w:pPr>
            <w:r w:rsidRPr="001119C4">
              <w:rPr>
                <w:sz w:val="18"/>
              </w:rPr>
              <w:t>67</w:t>
            </w:r>
          </w:p>
        </w:tc>
        <w:tc>
          <w:tcPr>
            <w:tcW w:w="385" w:type="pct"/>
          </w:tcPr>
          <w:p w14:paraId="7E838419" w14:textId="77777777" w:rsidR="00F74129" w:rsidRPr="001119C4" w:rsidRDefault="00F74129" w:rsidP="001119C4">
            <w:pPr>
              <w:rPr>
                <w:sz w:val="18"/>
              </w:rPr>
            </w:pPr>
            <w:r w:rsidRPr="001119C4">
              <w:rPr>
                <w:sz w:val="18"/>
              </w:rPr>
              <w:t>12.8</w:t>
            </w:r>
          </w:p>
        </w:tc>
        <w:tc>
          <w:tcPr>
            <w:tcW w:w="668" w:type="pct"/>
          </w:tcPr>
          <w:p w14:paraId="166FBB14" w14:textId="77777777" w:rsidR="00F74129" w:rsidRPr="001119C4" w:rsidRDefault="00F74129" w:rsidP="001119C4">
            <w:pPr>
              <w:rPr>
                <w:sz w:val="18"/>
              </w:rPr>
            </w:pPr>
            <w:r w:rsidRPr="001119C4">
              <w:rPr>
                <w:sz w:val="18"/>
              </w:rPr>
              <w:t>(11.7, 13.9)</w:t>
            </w:r>
          </w:p>
        </w:tc>
        <w:tc>
          <w:tcPr>
            <w:tcW w:w="578" w:type="pct"/>
            <w:vMerge w:val="restart"/>
          </w:tcPr>
          <w:p w14:paraId="5768BBD1" w14:textId="77777777" w:rsidR="00F74129" w:rsidRPr="001119C4" w:rsidRDefault="00F74129" w:rsidP="001119C4">
            <w:pPr>
              <w:rPr>
                <w:sz w:val="18"/>
              </w:rPr>
            </w:pPr>
            <w:r w:rsidRPr="001119C4">
              <w:rPr>
                <w:sz w:val="18"/>
              </w:rPr>
              <w:t>94.4</w:t>
            </w:r>
          </w:p>
        </w:tc>
        <w:tc>
          <w:tcPr>
            <w:tcW w:w="458" w:type="pct"/>
            <w:vMerge w:val="restart"/>
          </w:tcPr>
          <w:p w14:paraId="67FA1AB0" w14:textId="77777777" w:rsidR="00F74129" w:rsidRPr="001119C4" w:rsidRDefault="00F74129" w:rsidP="001119C4">
            <w:pPr>
              <w:rPr>
                <w:sz w:val="18"/>
              </w:rPr>
            </w:pPr>
            <w:r w:rsidRPr="001119C4">
              <w:rPr>
                <w:sz w:val="18"/>
              </w:rPr>
              <w:t>(83.4, 107)</w:t>
            </w:r>
          </w:p>
        </w:tc>
      </w:tr>
      <w:tr w:rsidR="009E79C6" w:rsidRPr="001119C4" w14:paraId="10C952D0" w14:textId="77777777" w:rsidTr="009E79C6">
        <w:trPr>
          <w:trHeight w:val="359"/>
        </w:trPr>
        <w:tc>
          <w:tcPr>
            <w:tcW w:w="596" w:type="pct"/>
            <w:vMerge/>
            <w:tcBorders>
              <w:top w:val="nil"/>
            </w:tcBorders>
          </w:tcPr>
          <w:p w14:paraId="7CEBDADF" w14:textId="77777777" w:rsidR="00F74129" w:rsidRPr="001119C4" w:rsidRDefault="00F74129" w:rsidP="001119C4">
            <w:pPr>
              <w:rPr>
                <w:sz w:val="18"/>
              </w:rPr>
            </w:pPr>
          </w:p>
        </w:tc>
        <w:tc>
          <w:tcPr>
            <w:tcW w:w="561" w:type="pct"/>
            <w:vMerge/>
            <w:tcBorders>
              <w:top w:val="nil"/>
            </w:tcBorders>
          </w:tcPr>
          <w:p w14:paraId="7F389139" w14:textId="77777777" w:rsidR="00F74129" w:rsidRPr="001119C4" w:rsidRDefault="00F74129" w:rsidP="001119C4">
            <w:pPr>
              <w:rPr>
                <w:sz w:val="18"/>
              </w:rPr>
            </w:pPr>
          </w:p>
        </w:tc>
        <w:tc>
          <w:tcPr>
            <w:tcW w:w="1226" w:type="pct"/>
          </w:tcPr>
          <w:p w14:paraId="382838F6" w14:textId="77777777" w:rsidR="00F74129" w:rsidRPr="001119C4" w:rsidRDefault="00F74129" w:rsidP="001119C4">
            <w:pPr>
              <w:rPr>
                <w:sz w:val="18"/>
              </w:rPr>
            </w:pPr>
            <w:r w:rsidRPr="001119C4">
              <w:rPr>
                <w:sz w:val="18"/>
              </w:rPr>
              <w:t>Clonal Cell Line (Test)</w:t>
            </w:r>
          </w:p>
        </w:tc>
        <w:tc>
          <w:tcPr>
            <w:tcW w:w="528" w:type="pct"/>
          </w:tcPr>
          <w:p w14:paraId="7A1DF594" w14:textId="77777777" w:rsidR="00F74129" w:rsidRPr="001119C4" w:rsidRDefault="00F74129" w:rsidP="001119C4">
            <w:pPr>
              <w:rPr>
                <w:sz w:val="18"/>
              </w:rPr>
            </w:pPr>
            <w:r w:rsidRPr="001119C4">
              <w:rPr>
                <w:sz w:val="18"/>
              </w:rPr>
              <w:t>68</w:t>
            </w:r>
          </w:p>
        </w:tc>
        <w:tc>
          <w:tcPr>
            <w:tcW w:w="385" w:type="pct"/>
          </w:tcPr>
          <w:p w14:paraId="6A632227" w14:textId="77777777" w:rsidR="00F74129" w:rsidRPr="001119C4" w:rsidRDefault="00F74129" w:rsidP="001119C4">
            <w:pPr>
              <w:rPr>
                <w:sz w:val="18"/>
              </w:rPr>
            </w:pPr>
            <w:r w:rsidRPr="001119C4">
              <w:rPr>
                <w:sz w:val="18"/>
              </w:rPr>
              <w:t>12.0</w:t>
            </w:r>
          </w:p>
        </w:tc>
        <w:tc>
          <w:tcPr>
            <w:tcW w:w="668" w:type="pct"/>
          </w:tcPr>
          <w:p w14:paraId="782227E1" w14:textId="77777777" w:rsidR="00F74129" w:rsidRPr="001119C4" w:rsidRDefault="00F74129" w:rsidP="001119C4">
            <w:pPr>
              <w:rPr>
                <w:sz w:val="18"/>
              </w:rPr>
            </w:pPr>
            <w:r w:rsidRPr="001119C4">
              <w:rPr>
                <w:sz w:val="18"/>
              </w:rPr>
              <w:t>(11.0, 13.1)</w:t>
            </w:r>
          </w:p>
        </w:tc>
        <w:tc>
          <w:tcPr>
            <w:tcW w:w="578" w:type="pct"/>
            <w:vMerge/>
            <w:tcBorders>
              <w:top w:val="nil"/>
            </w:tcBorders>
          </w:tcPr>
          <w:p w14:paraId="5160CA4A" w14:textId="77777777" w:rsidR="00F74129" w:rsidRPr="001119C4" w:rsidRDefault="00F74129" w:rsidP="001119C4">
            <w:pPr>
              <w:rPr>
                <w:sz w:val="18"/>
              </w:rPr>
            </w:pPr>
          </w:p>
        </w:tc>
        <w:tc>
          <w:tcPr>
            <w:tcW w:w="458" w:type="pct"/>
            <w:vMerge/>
            <w:tcBorders>
              <w:top w:val="nil"/>
            </w:tcBorders>
          </w:tcPr>
          <w:p w14:paraId="093D53ED" w14:textId="77777777" w:rsidR="00F74129" w:rsidRPr="001119C4" w:rsidRDefault="00F74129" w:rsidP="001119C4">
            <w:pPr>
              <w:rPr>
                <w:sz w:val="18"/>
              </w:rPr>
            </w:pPr>
          </w:p>
        </w:tc>
      </w:tr>
      <w:tr w:rsidR="009E79C6" w:rsidRPr="001119C4" w14:paraId="2C96C3CA" w14:textId="77777777" w:rsidTr="009E79C6">
        <w:trPr>
          <w:trHeight w:val="556"/>
        </w:trPr>
        <w:tc>
          <w:tcPr>
            <w:tcW w:w="596" w:type="pct"/>
            <w:vMerge w:val="restart"/>
          </w:tcPr>
          <w:p w14:paraId="167AB362" w14:textId="77777777" w:rsidR="00F74129" w:rsidRPr="001119C4" w:rsidRDefault="00F74129" w:rsidP="001119C4">
            <w:pPr>
              <w:rPr>
                <w:sz w:val="18"/>
              </w:rPr>
            </w:pPr>
          </w:p>
          <w:p w14:paraId="7C406474" w14:textId="77777777" w:rsidR="00F74129" w:rsidRPr="001119C4" w:rsidRDefault="00F74129" w:rsidP="001119C4">
            <w:pPr>
              <w:rPr>
                <w:sz w:val="18"/>
              </w:rPr>
            </w:pPr>
          </w:p>
          <w:p w14:paraId="4D5ABCA3" w14:textId="77777777" w:rsidR="00F74129" w:rsidRPr="001119C4" w:rsidRDefault="00F74129" w:rsidP="001119C4">
            <w:pPr>
              <w:rPr>
                <w:sz w:val="18"/>
              </w:rPr>
            </w:pPr>
          </w:p>
          <w:p w14:paraId="2D0394DB" w14:textId="3B4B8AF7" w:rsidR="00F74129" w:rsidRPr="001119C4" w:rsidRDefault="00F74129" w:rsidP="001119C4">
            <w:pPr>
              <w:rPr>
                <w:sz w:val="18"/>
              </w:rPr>
            </w:pPr>
            <w:proofErr w:type="spellStart"/>
            <w:r w:rsidRPr="001119C4">
              <w:rPr>
                <w:sz w:val="18"/>
              </w:rPr>
              <w:t>E</w:t>
            </w:r>
            <w:r w:rsidR="009E79C6">
              <w:rPr>
                <w:sz w:val="18"/>
              </w:rPr>
              <w:t>vusheld</w:t>
            </w:r>
            <w:proofErr w:type="spellEnd"/>
          </w:p>
        </w:tc>
        <w:tc>
          <w:tcPr>
            <w:tcW w:w="561" w:type="pct"/>
            <w:vMerge w:val="restart"/>
          </w:tcPr>
          <w:p w14:paraId="7D724EA7" w14:textId="77777777" w:rsidR="00F74129" w:rsidRPr="001119C4" w:rsidRDefault="00F74129" w:rsidP="001119C4">
            <w:pPr>
              <w:rPr>
                <w:sz w:val="18"/>
              </w:rPr>
            </w:pPr>
          </w:p>
          <w:p w14:paraId="2540463E" w14:textId="77777777" w:rsidR="00F74129" w:rsidRPr="001119C4" w:rsidRDefault="00F74129" w:rsidP="001119C4">
            <w:pPr>
              <w:rPr>
                <w:sz w:val="18"/>
              </w:rPr>
            </w:pPr>
            <w:r w:rsidRPr="001119C4">
              <w:rPr>
                <w:sz w:val="18"/>
              </w:rPr>
              <w:t>AUC</w:t>
            </w:r>
            <w:r w:rsidRPr="009E79C6">
              <w:rPr>
                <w:sz w:val="18"/>
                <w:vertAlign w:val="subscript"/>
              </w:rPr>
              <w:t>0-91</w:t>
            </w:r>
          </w:p>
          <w:p w14:paraId="2DD38FD1" w14:textId="77777777" w:rsidR="00F74129" w:rsidRPr="001119C4" w:rsidRDefault="00F74129" w:rsidP="001119C4">
            <w:pPr>
              <w:rPr>
                <w:sz w:val="18"/>
              </w:rPr>
            </w:pPr>
            <w:r w:rsidRPr="001119C4">
              <w:rPr>
                <w:sz w:val="18"/>
              </w:rPr>
              <w:t>(day·µg/mL)</w:t>
            </w:r>
          </w:p>
        </w:tc>
        <w:tc>
          <w:tcPr>
            <w:tcW w:w="1226" w:type="pct"/>
          </w:tcPr>
          <w:p w14:paraId="28410FDB" w14:textId="77777777" w:rsidR="00F74129" w:rsidRPr="001119C4" w:rsidRDefault="00F74129" w:rsidP="001119C4">
            <w:pPr>
              <w:rPr>
                <w:sz w:val="18"/>
              </w:rPr>
            </w:pPr>
            <w:r w:rsidRPr="001119C4">
              <w:rPr>
                <w:sz w:val="18"/>
              </w:rPr>
              <w:t>Cell Pools (Reference)</w:t>
            </w:r>
          </w:p>
        </w:tc>
        <w:tc>
          <w:tcPr>
            <w:tcW w:w="528" w:type="pct"/>
          </w:tcPr>
          <w:p w14:paraId="630A109C" w14:textId="77777777" w:rsidR="00F74129" w:rsidRPr="001119C4" w:rsidRDefault="00F74129" w:rsidP="001119C4">
            <w:pPr>
              <w:rPr>
                <w:sz w:val="18"/>
              </w:rPr>
            </w:pPr>
            <w:r w:rsidRPr="001119C4">
              <w:rPr>
                <w:sz w:val="18"/>
              </w:rPr>
              <w:t>67</w:t>
            </w:r>
          </w:p>
        </w:tc>
        <w:tc>
          <w:tcPr>
            <w:tcW w:w="385" w:type="pct"/>
          </w:tcPr>
          <w:p w14:paraId="142C1887" w14:textId="77777777" w:rsidR="00F74129" w:rsidRPr="001119C4" w:rsidRDefault="00F74129" w:rsidP="001119C4">
            <w:pPr>
              <w:rPr>
                <w:sz w:val="18"/>
              </w:rPr>
            </w:pPr>
            <w:r w:rsidRPr="001119C4">
              <w:rPr>
                <w:sz w:val="18"/>
              </w:rPr>
              <w:t>1880</w:t>
            </w:r>
          </w:p>
        </w:tc>
        <w:tc>
          <w:tcPr>
            <w:tcW w:w="668" w:type="pct"/>
          </w:tcPr>
          <w:p w14:paraId="7AB59D13" w14:textId="77777777" w:rsidR="00F74129" w:rsidRPr="001119C4" w:rsidRDefault="00F74129" w:rsidP="001119C4">
            <w:pPr>
              <w:rPr>
                <w:sz w:val="18"/>
              </w:rPr>
            </w:pPr>
            <w:r w:rsidRPr="001119C4">
              <w:rPr>
                <w:sz w:val="18"/>
              </w:rPr>
              <w:t>(1740,</w:t>
            </w:r>
          </w:p>
          <w:p w14:paraId="2457DE49" w14:textId="77777777" w:rsidR="00F74129" w:rsidRPr="001119C4" w:rsidRDefault="00F74129" w:rsidP="001119C4">
            <w:pPr>
              <w:rPr>
                <w:sz w:val="18"/>
              </w:rPr>
            </w:pPr>
            <w:r w:rsidRPr="001119C4">
              <w:rPr>
                <w:sz w:val="18"/>
              </w:rPr>
              <w:t>2040)</w:t>
            </w:r>
          </w:p>
        </w:tc>
        <w:tc>
          <w:tcPr>
            <w:tcW w:w="578" w:type="pct"/>
            <w:vMerge w:val="restart"/>
          </w:tcPr>
          <w:p w14:paraId="59F75E13" w14:textId="77777777" w:rsidR="00F74129" w:rsidRPr="001119C4" w:rsidRDefault="00F74129" w:rsidP="001119C4">
            <w:pPr>
              <w:rPr>
                <w:sz w:val="18"/>
              </w:rPr>
            </w:pPr>
            <w:r w:rsidRPr="001119C4">
              <w:rPr>
                <w:sz w:val="18"/>
              </w:rPr>
              <w:t>83.8</w:t>
            </w:r>
          </w:p>
        </w:tc>
        <w:tc>
          <w:tcPr>
            <w:tcW w:w="458" w:type="pct"/>
            <w:vMerge w:val="restart"/>
          </w:tcPr>
          <w:p w14:paraId="01E0EAA7" w14:textId="77777777" w:rsidR="00F74129" w:rsidRPr="001119C4" w:rsidRDefault="00F74129" w:rsidP="001119C4">
            <w:pPr>
              <w:rPr>
                <w:sz w:val="18"/>
              </w:rPr>
            </w:pPr>
            <w:r w:rsidRPr="001119C4">
              <w:rPr>
                <w:sz w:val="18"/>
              </w:rPr>
              <w:t>(74.8, 93.8)</w:t>
            </w:r>
          </w:p>
        </w:tc>
      </w:tr>
      <w:tr w:rsidR="009E79C6" w:rsidRPr="001119C4" w14:paraId="39E29F93" w14:textId="77777777" w:rsidTr="009E79C6">
        <w:trPr>
          <w:trHeight w:val="556"/>
        </w:trPr>
        <w:tc>
          <w:tcPr>
            <w:tcW w:w="596" w:type="pct"/>
            <w:vMerge/>
            <w:tcBorders>
              <w:top w:val="nil"/>
            </w:tcBorders>
          </w:tcPr>
          <w:p w14:paraId="2EE1DBED" w14:textId="77777777" w:rsidR="00F74129" w:rsidRPr="001119C4" w:rsidRDefault="00F74129" w:rsidP="001119C4">
            <w:pPr>
              <w:rPr>
                <w:sz w:val="18"/>
              </w:rPr>
            </w:pPr>
          </w:p>
        </w:tc>
        <w:tc>
          <w:tcPr>
            <w:tcW w:w="561" w:type="pct"/>
            <w:vMerge/>
            <w:tcBorders>
              <w:top w:val="nil"/>
            </w:tcBorders>
          </w:tcPr>
          <w:p w14:paraId="29BEDEC7" w14:textId="77777777" w:rsidR="00F74129" w:rsidRPr="001119C4" w:rsidRDefault="00F74129" w:rsidP="001119C4">
            <w:pPr>
              <w:rPr>
                <w:sz w:val="18"/>
              </w:rPr>
            </w:pPr>
          </w:p>
        </w:tc>
        <w:tc>
          <w:tcPr>
            <w:tcW w:w="1226" w:type="pct"/>
          </w:tcPr>
          <w:p w14:paraId="1A753D4E" w14:textId="77777777" w:rsidR="00F74129" w:rsidRPr="001119C4" w:rsidRDefault="00F74129" w:rsidP="001119C4">
            <w:pPr>
              <w:rPr>
                <w:sz w:val="18"/>
              </w:rPr>
            </w:pPr>
            <w:r w:rsidRPr="001119C4">
              <w:rPr>
                <w:sz w:val="18"/>
              </w:rPr>
              <w:t>Clonal Cell Line (Test)</w:t>
            </w:r>
          </w:p>
        </w:tc>
        <w:tc>
          <w:tcPr>
            <w:tcW w:w="528" w:type="pct"/>
          </w:tcPr>
          <w:p w14:paraId="1EBD97FA" w14:textId="77777777" w:rsidR="00F74129" w:rsidRPr="001119C4" w:rsidRDefault="00F74129" w:rsidP="001119C4">
            <w:pPr>
              <w:rPr>
                <w:sz w:val="18"/>
              </w:rPr>
            </w:pPr>
            <w:r w:rsidRPr="001119C4">
              <w:rPr>
                <w:sz w:val="18"/>
              </w:rPr>
              <w:t>68</w:t>
            </w:r>
          </w:p>
        </w:tc>
        <w:tc>
          <w:tcPr>
            <w:tcW w:w="385" w:type="pct"/>
          </w:tcPr>
          <w:p w14:paraId="6A7C25F6" w14:textId="77777777" w:rsidR="00F74129" w:rsidRPr="001119C4" w:rsidRDefault="00F74129" w:rsidP="001119C4">
            <w:pPr>
              <w:rPr>
                <w:sz w:val="18"/>
              </w:rPr>
            </w:pPr>
            <w:r w:rsidRPr="001119C4">
              <w:rPr>
                <w:sz w:val="18"/>
              </w:rPr>
              <w:t>1580</w:t>
            </w:r>
          </w:p>
        </w:tc>
        <w:tc>
          <w:tcPr>
            <w:tcW w:w="668" w:type="pct"/>
          </w:tcPr>
          <w:p w14:paraId="37C94DE5" w14:textId="77777777" w:rsidR="00F74129" w:rsidRPr="001119C4" w:rsidRDefault="00F74129" w:rsidP="001119C4">
            <w:pPr>
              <w:rPr>
                <w:sz w:val="18"/>
              </w:rPr>
            </w:pPr>
            <w:r w:rsidRPr="001119C4">
              <w:rPr>
                <w:sz w:val="18"/>
              </w:rPr>
              <w:t>(1460,</w:t>
            </w:r>
          </w:p>
          <w:p w14:paraId="40BE29E0" w14:textId="77777777" w:rsidR="00F74129" w:rsidRPr="001119C4" w:rsidRDefault="00F74129" w:rsidP="001119C4">
            <w:pPr>
              <w:rPr>
                <w:sz w:val="18"/>
              </w:rPr>
            </w:pPr>
            <w:r w:rsidRPr="001119C4">
              <w:rPr>
                <w:sz w:val="18"/>
              </w:rPr>
              <w:t>1710)</w:t>
            </w:r>
          </w:p>
        </w:tc>
        <w:tc>
          <w:tcPr>
            <w:tcW w:w="578" w:type="pct"/>
            <w:vMerge/>
            <w:tcBorders>
              <w:top w:val="nil"/>
            </w:tcBorders>
          </w:tcPr>
          <w:p w14:paraId="5A594E7D" w14:textId="77777777" w:rsidR="00F74129" w:rsidRPr="001119C4" w:rsidRDefault="00F74129" w:rsidP="001119C4">
            <w:pPr>
              <w:rPr>
                <w:sz w:val="18"/>
              </w:rPr>
            </w:pPr>
          </w:p>
        </w:tc>
        <w:tc>
          <w:tcPr>
            <w:tcW w:w="458" w:type="pct"/>
            <w:vMerge/>
            <w:tcBorders>
              <w:top w:val="nil"/>
            </w:tcBorders>
          </w:tcPr>
          <w:p w14:paraId="2F2502A1" w14:textId="77777777" w:rsidR="00F74129" w:rsidRPr="001119C4" w:rsidRDefault="00F74129" w:rsidP="001119C4">
            <w:pPr>
              <w:rPr>
                <w:sz w:val="18"/>
              </w:rPr>
            </w:pPr>
          </w:p>
        </w:tc>
      </w:tr>
      <w:tr w:rsidR="009E79C6" w:rsidRPr="001119C4" w14:paraId="4908951C" w14:textId="77777777" w:rsidTr="009E79C6">
        <w:trPr>
          <w:trHeight w:val="359"/>
        </w:trPr>
        <w:tc>
          <w:tcPr>
            <w:tcW w:w="596" w:type="pct"/>
            <w:vMerge/>
            <w:tcBorders>
              <w:top w:val="nil"/>
            </w:tcBorders>
          </w:tcPr>
          <w:p w14:paraId="46109003" w14:textId="77777777" w:rsidR="00F74129" w:rsidRPr="001119C4" w:rsidRDefault="00F74129" w:rsidP="001119C4">
            <w:pPr>
              <w:rPr>
                <w:sz w:val="18"/>
              </w:rPr>
            </w:pPr>
          </w:p>
        </w:tc>
        <w:tc>
          <w:tcPr>
            <w:tcW w:w="561" w:type="pct"/>
            <w:vMerge w:val="restart"/>
          </w:tcPr>
          <w:p w14:paraId="0471931E" w14:textId="77777777" w:rsidR="00F74129" w:rsidRPr="001119C4" w:rsidRDefault="00F74129" w:rsidP="001119C4">
            <w:pPr>
              <w:rPr>
                <w:sz w:val="18"/>
              </w:rPr>
            </w:pPr>
            <w:proofErr w:type="spellStart"/>
            <w:r w:rsidRPr="001119C4">
              <w:rPr>
                <w:sz w:val="18"/>
              </w:rPr>
              <w:t>C</w:t>
            </w:r>
            <w:r w:rsidRPr="009E79C6">
              <w:rPr>
                <w:sz w:val="18"/>
                <w:vertAlign w:val="subscript"/>
              </w:rPr>
              <w:t>max</w:t>
            </w:r>
            <w:proofErr w:type="spellEnd"/>
            <w:r w:rsidRPr="001119C4">
              <w:rPr>
                <w:sz w:val="18"/>
              </w:rPr>
              <w:t xml:space="preserve"> (µg/mL)</w:t>
            </w:r>
          </w:p>
        </w:tc>
        <w:tc>
          <w:tcPr>
            <w:tcW w:w="1226" w:type="pct"/>
          </w:tcPr>
          <w:p w14:paraId="14259914" w14:textId="77777777" w:rsidR="00F74129" w:rsidRPr="001119C4" w:rsidRDefault="00F74129" w:rsidP="001119C4">
            <w:pPr>
              <w:rPr>
                <w:sz w:val="18"/>
              </w:rPr>
            </w:pPr>
            <w:r w:rsidRPr="001119C4">
              <w:rPr>
                <w:sz w:val="18"/>
              </w:rPr>
              <w:t>Cell Pools (Reference)</w:t>
            </w:r>
          </w:p>
        </w:tc>
        <w:tc>
          <w:tcPr>
            <w:tcW w:w="528" w:type="pct"/>
          </w:tcPr>
          <w:p w14:paraId="016E4A11" w14:textId="77777777" w:rsidR="00F74129" w:rsidRPr="001119C4" w:rsidRDefault="00F74129" w:rsidP="001119C4">
            <w:pPr>
              <w:rPr>
                <w:sz w:val="18"/>
              </w:rPr>
            </w:pPr>
            <w:r w:rsidRPr="001119C4">
              <w:rPr>
                <w:sz w:val="18"/>
              </w:rPr>
              <w:t>67</w:t>
            </w:r>
          </w:p>
        </w:tc>
        <w:tc>
          <w:tcPr>
            <w:tcW w:w="385" w:type="pct"/>
          </w:tcPr>
          <w:p w14:paraId="7F1C31AF" w14:textId="77777777" w:rsidR="00F74129" w:rsidRPr="001119C4" w:rsidRDefault="00F74129" w:rsidP="001119C4">
            <w:pPr>
              <w:rPr>
                <w:sz w:val="18"/>
              </w:rPr>
            </w:pPr>
            <w:r w:rsidRPr="001119C4">
              <w:rPr>
                <w:sz w:val="18"/>
              </w:rPr>
              <w:t>26.1</w:t>
            </w:r>
          </w:p>
        </w:tc>
        <w:tc>
          <w:tcPr>
            <w:tcW w:w="668" w:type="pct"/>
          </w:tcPr>
          <w:p w14:paraId="77AAF9AA" w14:textId="77777777" w:rsidR="00F74129" w:rsidRPr="001119C4" w:rsidRDefault="00F74129" w:rsidP="001119C4">
            <w:pPr>
              <w:rPr>
                <w:sz w:val="18"/>
              </w:rPr>
            </w:pPr>
            <w:r w:rsidRPr="001119C4">
              <w:rPr>
                <w:sz w:val="18"/>
              </w:rPr>
              <w:t>(24.1, 28.3)</w:t>
            </w:r>
          </w:p>
        </w:tc>
        <w:tc>
          <w:tcPr>
            <w:tcW w:w="578" w:type="pct"/>
            <w:vMerge w:val="restart"/>
          </w:tcPr>
          <w:p w14:paraId="7538D422" w14:textId="77777777" w:rsidR="00F74129" w:rsidRPr="001119C4" w:rsidRDefault="00F74129" w:rsidP="001119C4">
            <w:pPr>
              <w:rPr>
                <w:sz w:val="18"/>
              </w:rPr>
            </w:pPr>
            <w:r w:rsidRPr="001119C4">
              <w:rPr>
                <w:sz w:val="18"/>
              </w:rPr>
              <w:t>97.1</w:t>
            </w:r>
          </w:p>
        </w:tc>
        <w:tc>
          <w:tcPr>
            <w:tcW w:w="458" w:type="pct"/>
            <w:vMerge w:val="restart"/>
          </w:tcPr>
          <w:p w14:paraId="202F136A" w14:textId="77777777" w:rsidR="00F74129" w:rsidRPr="001119C4" w:rsidRDefault="00F74129" w:rsidP="001119C4">
            <w:pPr>
              <w:rPr>
                <w:sz w:val="18"/>
              </w:rPr>
            </w:pPr>
            <w:r w:rsidRPr="001119C4">
              <w:rPr>
                <w:sz w:val="18"/>
              </w:rPr>
              <w:t>(86.8, 109)</w:t>
            </w:r>
          </w:p>
        </w:tc>
      </w:tr>
      <w:tr w:rsidR="009E79C6" w:rsidRPr="001119C4" w14:paraId="33C42CCE" w14:textId="77777777" w:rsidTr="009E79C6">
        <w:trPr>
          <w:trHeight w:val="359"/>
        </w:trPr>
        <w:tc>
          <w:tcPr>
            <w:tcW w:w="596" w:type="pct"/>
            <w:vMerge/>
            <w:tcBorders>
              <w:top w:val="nil"/>
            </w:tcBorders>
          </w:tcPr>
          <w:p w14:paraId="694D3793" w14:textId="77777777" w:rsidR="00F74129" w:rsidRPr="001119C4" w:rsidRDefault="00F74129" w:rsidP="001119C4">
            <w:pPr>
              <w:rPr>
                <w:sz w:val="18"/>
              </w:rPr>
            </w:pPr>
          </w:p>
        </w:tc>
        <w:tc>
          <w:tcPr>
            <w:tcW w:w="561" w:type="pct"/>
            <w:vMerge/>
            <w:tcBorders>
              <w:top w:val="nil"/>
            </w:tcBorders>
          </w:tcPr>
          <w:p w14:paraId="5259EB87" w14:textId="77777777" w:rsidR="00F74129" w:rsidRPr="001119C4" w:rsidRDefault="00F74129" w:rsidP="001119C4">
            <w:pPr>
              <w:rPr>
                <w:sz w:val="18"/>
              </w:rPr>
            </w:pPr>
          </w:p>
        </w:tc>
        <w:tc>
          <w:tcPr>
            <w:tcW w:w="1226" w:type="pct"/>
          </w:tcPr>
          <w:p w14:paraId="5EAD6DD0" w14:textId="77777777" w:rsidR="00F74129" w:rsidRPr="001119C4" w:rsidRDefault="00F74129" w:rsidP="001119C4">
            <w:pPr>
              <w:rPr>
                <w:sz w:val="18"/>
              </w:rPr>
            </w:pPr>
            <w:r w:rsidRPr="001119C4">
              <w:rPr>
                <w:sz w:val="18"/>
              </w:rPr>
              <w:t>Clonal Cell Line (Test)</w:t>
            </w:r>
          </w:p>
        </w:tc>
        <w:tc>
          <w:tcPr>
            <w:tcW w:w="528" w:type="pct"/>
          </w:tcPr>
          <w:p w14:paraId="3E5AA140" w14:textId="77777777" w:rsidR="00F74129" w:rsidRPr="001119C4" w:rsidRDefault="00F74129" w:rsidP="001119C4">
            <w:pPr>
              <w:rPr>
                <w:sz w:val="18"/>
              </w:rPr>
            </w:pPr>
            <w:r w:rsidRPr="001119C4">
              <w:rPr>
                <w:sz w:val="18"/>
              </w:rPr>
              <w:t>68</w:t>
            </w:r>
          </w:p>
        </w:tc>
        <w:tc>
          <w:tcPr>
            <w:tcW w:w="385" w:type="pct"/>
          </w:tcPr>
          <w:p w14:paraId="35E8E22D" w14:textId="77777777" w:rsidR="00F74129" w:rsidRPr="001119C4" w:rsidRDefault="00F74129" w:rsidP="001119C4">
            <w:pPr>
              <w:rPr>
                <w:sz w:val="18"/>
              </w:rPr>
            </w:pPr>
            <w:r w:rsidRPr="001119C4">
              <w:rPr>
                <w:sz w:val="18"/>
              </w:rPr>
              <w:t>25.4</w:t>
            </w:r>
          </w:p>
        </w:tc>
        <w:tc>
          <w:tcPr>
            <w:tcW w:w="668" w:type="pct"/>
          </w:tcPr>
          <w:p w14:paraId="4239AE97" w14:textId="77777777" w:rsidR="00F74129" w:rsidRPr="001119C4" w:rsidRDefault="00F74129" w:rsidP="001119C4">
            <w:pPr>
              <w:rPr>
                <w:sz w:val="18"/>
              </w:rPr>
            </w:pPr>
            <w:r w:rsidRPr="001119C4">
              <w:rPr>
                <w:sz w:val="18"/>
              </w:rPr>
              <w:t>(23.5, 27.5)</w:t>
            </w:r>
          </w:p>
        </w:tc>
        <w:tc>
          <w:tcPr>
            <w:tcW w:w="578" w:type="pct"/>
            <w:vMerge/>
            <w:tcBorders>
              <w:top w:val="nil"/>
            </w:tcBorders>
          </w:tcPr>
          <w:p w14:paraId="39EBB351" w14:textId="77777777" w:rsidR="00F74129" w:rsidRPr="001119C4" w:rsidRDefault="00F74129" w:rsidP="001119C4">
            <w:pPr>
              <w:rPr>
                <w:sz w:val="18"/>
              </w:rPr>
            </w:pPr>
          </w:p>
        </w:tc>
        <w:tc>
          <w:tcPr>
            <w:tcW w:w="458" w:type="pct"/>
            <w:vMerge/>
            <w:tcBorders>
              <w:top w:val="nil"/>
            </w:tcBorders>
          </w:tcPr>
          <w:p w14:paraId="224B09D0" w14:textId="77777777" w:rsidR="00F74129" w:rsidRPr="001119C4" w:rsidRDefault="00F74129" w:rsidP="001119C4">
            <w:pPr>
              <w:rPr>
                <w:sz w:val="18"/>
              </w:rPr>
            </w:pPr>
          </w:p>
        </w:tc>
      </w:tr>
    </w:tbl>
    <w:p w14:paraId="07F7B62D" w14:textId="77777777" w:rsidR="00F74129" w:rsidRPr="006B7D30" w:rsidRDefault="00F74129" w:rsidP="006B7D30">
      <w:pPr>
        <w:pStyle w:val="TableDescription"/>
      </w:pPr>
      <w:r>
        <w:rPr>
          <w:position w:val="1"/>
        </w:rPr>
        <w:t>AUC</w:t>
      </w:r>
      <w:r>
        <w:rPr>
          <w:sz w:val="12"/>
        </w:rPr>
        <w:t>0-91</w:t>
      </w:r>
      <w:r>
        <w:rPr>
          <w:position w:val="1"/>
        </w:rPr>
        <w:t>, area under the concentration-time curve from time zero to time 91 days; CI, confidence interval; C</w:t>
      </w:r>
      <w:r>
        <w:rPr>
          <w:sz w:val="12"/>
        </w:rPr>
        <w:t>max</w:t>
      </w:r>
      <w:r>
        <w:rPr>
          <w:position w:val="1"/>
        </w:rPr>
        <w:t>, maximum</w:t>
      </w:r>
      <w:r>
        <w:rPr>
          <w:spacing w:val="-42"/>
          <w:position w:val="1"/>
        </w:rPr>
        <w:t xml:space="preserve"> </w:t>
      </w:r>
      <w:r>
        <w:t>serum concentration; DCO, data cut-off; GLSM, geometric least squares mean; GMR, geometric mean ratio; N, number of</w:t>
      </w:r>
      <w:r>
        <w:rPr>
          <w:spacing w:val="-43"/>
        </w:rPr>
        <w:t xml:space="preserve"> </w:t>
      </w:r>
      <w:r>
        <w:t>participants</w:t>
      </w:r>
      <w:r>
        <w:rPr>
          <w:spacing w:val="-2"/>
        </w:rPr>
        <w:t xml:space="preserve"> </w:t>
      </w:r>
      <w:r>
        <w:t>for</w:t>
      </w:r>
      <w:r>
        <w:rPr>
          <w:spacing w:val="-2"/>
        </w:rPr>
        <w:t xml:space="preserve"> </w:t>
      </w:r>
      <w:r>
        <w:t>whom</w:t>
      </w:r>
      <w:r>
        <w:rPr>
          <w:spacing w:val="-2"/>
        </w:rPr>
        <w:t xml:space="preserve"> </w:t>
      </w:r>
      <w:r>
        <w:t>data</w:t>
      </w:r>
      <w:r>
        <w:rPr>
          <w:spacing w:val="-2"/>
        </w:rPr>
        <w:t xml:space="preserve"> </w:t>
      </w:r>
      <w:r>
        <w:t>were</w:t>
      </w:r>
      <w:r>
        <w:rPr>
          <w:spacing w:val="-2"/>
        </w:rPr>
        <w:t xml:space="preserve"> </w:t>
      </w:r>
      <w:r>
        <w:t>available</w:t>
      </w:r>
      <w:r>
        <w:rPr>
          <w:spacing w:val="-2"/>
        </w:rPr>
        <w:t xml:space="preserve"> </w:t>
      </w:r>
      <w:r>
        <w:t>in</w:t>
      </w:r>
      <w:r>
        <w:rPr>
          <w:spacing w:val="-1"/>
        </w:rPr>
        <w:t xml:space="preserve"> </w:t>
      </w:r>
      <w:r>
        <w:t>each</w:t>
      </w:r>
      <w:r>
        <w:rPr>
          <w:spacing w:val="-2"/>
        </w:rPr>
        <w:t xml:space="preserve"> </w:t>
      </w:r>
      <w:r>
        <w:t>category;</w:t>
      </w:r>
      <w:r>
        <w:rPr>
          <w:spacing w:val="-2"/>
        </w:rPr>
        <w:t xml:space="preserve"> </w:t>
      </w:r>
      <w:r>
        <w:t>PK,</w:t>
      </w:r>
      <w:r>
        <w:rPr>
          <w:spacing w:val="-2"/>
        </w:rPr>
        <w:t xml:space="preserve"> </w:t>
      </w:r>
      <w:r>
        <w:t>pharmacokinetic.</w:t>
      </w:r>
    </w:p>
    <w:p w14:paraId="45149FEF" w14:textId="77777777" w:rsidR="00F40B70" w:rsidRDefault="00F40B70" w:rsidP="009419F6">
      <w:pPr>
        <w:pStyle w:val="Numberbullet0"/>
        <w:rPr>
          <w:b/>
          <w:i/>
        </w:rPr>
      </w:pPr>
      <w:r w:rsidRPr="009419F6">
        <w:rPr>
          <w:b/>
          <w:i/>
        </w:rPr>
        <w:t>The sponsor i</w:t>
      </w:r>
      <w:r w:rsidR="009419F6">
        <w:rPr>
          <w:b/>
          <w:i/>
        </w:rPr>
        <w:t>s requested to inform when the S</w:t>
      </w:r>
      <w:r w:rsidRPr="009419F6">
        <w:rPr>
          <w:b/>
          <w:i/>
        </w:rPr>
        <w:t>tudy D885</w:t>
      </w:r>
      <w:r w:rsidR="009419F6" w:rsidRPr="009419F6">
        <w:rPr>
          <w:b/>
          <w:i/>
        </w:rPr>
        <w:t>0C00009 data will be available.</w:t>
      </w:r>
    </w:p>
    <w:p w14:paraId="43486785" w14:textId="505CA279" w:rsidR="00A94A01" w:rsidRPr="00A94A01" w:rsidRDefault="00A94A01" w:rsidP="00A94A01">
      <w:r>
        <w:t>Study D8850C00009 started enrolment in December 2021. Enrolment is currently ongoing with a planned last participant enrolled in May 2022. An interim analysis is planned per protocol when all participants have completed the Day 91 visit. Initial data is anticipated in late Q4 2022 and final data is anticipated in Q4 2023.</w:t>
      </w:r>
    </w:p>
    <w:p w14:paraId="4BB82F09" w14:textId="77777777" w:rsidR="00F40B70" w:rsidRPr="00A94A01" w:rsidRDefault="00F40B70" w:rsidP="00A94A01">
      <w:pPr>
        <w:pStyle w:val="Numberbullet0"/>
        <w:rPr>
          <w:b/>
          <w:i/>
        </w:rPr>
      </w:pPr>
      <w:r w:rsidRPr="00A94A01">
        <w:rPr>
          <w:b/>
          <w:i/>
        </w:rPr>
        <w:t xml:space="preserve">In </w:t>
      </w:r>
      <w:r w:rsidR="00A94A01">
        <w:rPr>
          <w:b/>
          <w:i/>
        </w:rPr>
        <w:t xml:space="preserve">the </w:t>
      </w:r>
      <w:r w:rsidRPr="00A94A01">
        <w:rPr>
          <w:b/>
          <w:i/>
        </w:rPr>
        <w:t>PROVENT</w:t>
      </w:r>
      <w:r w:rsidR="00A94A01">
        <w:rPr>
          <w:b/>
          <w:i/>
        </w:rPr>
        <w:t xml:space="preserve"> trial (Study D8850C00002)</w:t>
      </w:r>
      <w:r w:rsidRPr="00A94A01">
        <w:rPr>
          <w:b/>
          <w:i/>
        </w:rPr>
        <w:t>, obesity was considered as a</w:t>
      </w:r>
      <w:r w:rsidR="00A94A01">
        <w:rPr>
          <w:b/>
          <w:i/>
        </w:rPr>
        <w:t xml:space="preserve"> factor that may contribute to ‘</w:t>
      </w:r>
      <w:r w:rsidRPr="00A94A01">
        <w:rPr>
          <w:b/>
          <w:i/>
        </w:rPr>
        <w:t xml:space="preserve">inadequate </w:t>
      </w:r>
      <w:r w:rsidR="00A94A01">
        <w:rPr>
          <w:b/>
          <w:i/>
        </w:rPr>
        <w:t>response to active immunisation’. The D</w:t>
      </w:r>
      <w:r w:rsidRPr="00A94A01">
        <w:rPr>
          <w:b/>
          <w:i/>
        </w:rPr>
        <w:t xml:space="preserve">elegate could not find a relevant reference included in the CSR, that could support this assumption. </w:t>
      </w:r>
      <w:proofErr w:type="gramStart"/>
      <w:r w:rsidR="00A94A01">
        <w:rPr>
          <w:b/>
          <w:i/>
        </w:rPr>
        <w:t>The m</w:t>
      </w:r>
      <w:r w:rsidRPr="00A94A01">
        <w:rPr>
          <w:b/>
          <w:i/>
        </w:rPr>
        <w:t>ajority of</w:t>
      </w:r>
      <w:proofErr w:type="gramEnd"/>
      <w:r w:rsidRPr="00A94A01">
        <w:rPr>
          <w:b/>
          <w:i/>
        </w:rPr>
        <w:t xml:space="preserve"> subjects in the PROVENT </w:t>
      </w:r>
      <w:r w:rsidR="00A94A01">
        <w:rPr>
          <w:b/>
          <w:i/>
        </w:rPr>
        <w:t>trial had obesity</w:t>
      </w:r>
      <w:r w:rsidRPr="00A94A01">
        <w:rPr>
          <w:b/>
          <w:i/>
        </w:rPr>
        <w:t>. Please provide a reference that is specific and relevant for the COVID-19 vaccines.</w:t>
      </w:r>
    </w:p>
    <w:p w14:paraId="73F13E50" w14:textId="77777777" w:rsidR="00A94A01" w:rsidRPr="00A94A01" w:rsidRDefault="00A94A01" w:rsidP="00A94A01">
      <w:r w:rsidRPr="00A94A01">
        <w:t>The PROVENT trial was designed in 2020 with the first participant enrolled in November</w:t>
      </w:r>
      <w:r>
        <w:t> </w:t>
      </w:r>
      <w:r w:rsidRPr="00A94A01">
        <w:t>2020. Around that time, and prior to the widespread d</w:t>
      </w:r>
      <w:r>
        <w:t xml:space="preserve">eployment of COVID-19 </w:t>
      </w:r>
      <w:r>
        <w:lastRenderedPageBreak/>
        <w:t xml:space="preserve">vaccines, </w:t>
      </w:r>
      <w:r w:rsidRPr="00A94A01">
        <w:t>multiple publications</w:t>
      </w:r>
      <w:r>
        <w:rPr>
          <w:rStyle w:val="FootnoteReference"/>
        </w:rPr>
        <w:footnoteReference w:id="42"/>
      </w:r>
      <w:r>
        <w:rPr>
          <w:vertAlign w:val="superscript"/>
        </w:rPr>
        <w:t>,</w:t>
      </w:r>
      <w:r>
        <w:rPr>
          <w:rStyle w:val="FootnoteReference"/>
        </w:rPr>
        <w:footnoteReference w:id="43"/>
      </w:r>
      <w:r w:rsidR="00AE1B60">
        <w:rPr>
          <w:vertAlign w:val="superscript"/>
        </w:rPr>
        <w:t>,</w:t>
      </w:r>
      <w:r w:rsidR="00AE1B60">
        <w:rPr>
          <w:rStyle w:val="FootnoteReference"/>
        </w:rPr>
        <w:footnoteReference w:id="44"/>
      </w:r>
      <w:r w:rsidR="00AE1B60">
        <w:rPr>
          <w:vertAlign w:val="superscript"/>
        </w:rPr>
        <w:t>,</w:t>
      </w:r>
      <w:r w:rsidR="00AE1B60">
        <w:rPr>
          <w:rStyle w:val="FootnoteReference"/>
        </w:rPr>
        <w:footnoteReference w:id="45"/>
      </w:r>
      <w:r w:rsidRPr="00A94A01">
        <w:t xml:space="preserve"> raised concerns regarding the potential for</w:t>
      </w:r>
      <w:r>
        <w:t xml:space="preserve"> attenuated immune responses to </w:t>
      </w:r>
      <w:r w:rsidRPr="00A94A01">
        <w:t>vaccination (including COVID-19 vaccination) in obese</w:t>
      </w:r>
      <w:r>
        <w:t xml:space="preserve"> patients, based upon data from </w:t>
      </w:r>
      <w:r w:rsidRPr="00A94A01">
        <w:t>vaccination studies in other diseases.</w:t>
      </w:r>
    </w:p>
    <w:p w14:paraId="16465F0F" w14:textId="31200AC6" w:rsidR="00F40B70" w:rsidRPr="00F760D3" w:rsidRDefault="00F40B70" w:rsidP="00F760D3">
      <w:pPr>
        <w:pStyle w:val="Numberbullet0"/>
        <w:rPr>
          <w:b/>
          <w:i/>
        </w:rPr>
      </w:pPr>
      <w:r w:rsidRPr="00F760D3">
        <w:rPr>
          <w:b/>
          <w:i/>
        </w:rPr>
        <w:t xml:space="preserve">Please provide a summary of results of </w:t>
      </w:r>
      <w:r w:rsidR="001119C4">
        <w:rPr>
          <w:b/>
          <w:i/>
        </w:rPr>
        <w:t>anti-drug antibody</w:t>
      </w:r>
      <w:r w:rsidRPr="00F760D3">
        <w:rPr>
          <w:b/>
          <w:i/>
        </w:rPr>
        <w:t xml:space="preserve"> assessment across studies, with a focus on subjects who had cardiac events</w:t>
      </w:r>
      <w:r w:rsidR="00AA4F96" w:rsidRPr="00F760D3">
        <w:rPr>
          <w:b/>
          <w:i/>
        </w:rPr>
        <w:t xml:space="preserve"> in PROVENT</w:t>
      </w:r>
      <w:r w:rsidR="002E36FD">
        <w:rPr>
          <w:b/>
          <w:i/>
        </w:rPr>
        <w:t>.</w:t>
      </w:r>
    </w:p>
    <w:p w14:paraId="24B985D0" w14:textId="2C41C1CF" w:rsidR="00AA4F96" w:rsidRDefault="00AA4F96" w:rsidP="00AA4F96">
      <w:r>
        <w:t xml:space="preserve">Overall, based on the available data, a causal link between </w:t>
      </w:r>
      <w:r w:rsidR="001119C4">
        <w:t>antidrug antibodies</w:t>
      </w:r>
      <w:r>
        <w:t xml:space="preserve"> against </w:t>
      </w:r>
      <w:proofErr w:type="spellStart"/>
      <w:r w:rsidR="001119C4">
        <w:t>Evusheld</w:t>
      </w:r>
      <w:proofErr w:type="spellEnd"/>
      <w:r w:rsidR="001119C4">
        <w:t xml:space="preserve"> </w:t>
      </w:r>
      <w:r>
        <w:t xml:space="preserve">and the development of </w:t>
      </w:r>
      <w:r w:rsidR="001119C4">
        <w:t>cardiac disorder System Organ Class serious adverse events or adverse events</w:t>
      </w:r>
      <w:r>
        <w:t xml:space="preserve"> of troponin increased is unlikely. The </w:t>
      </w:r>
      <w:proofErr w:type="spellStart"/>
      <w:r w:rsidR="001119C4">
        <w:t>Evusheld</w:t>
      </w:r>
      <w:proofErr w:type="spellEnd"/>
      <w:r w:rsidR="001119C4">
        <w:t xml:space="preserve"> </w:t>
      </w:r>
      <w:r>
        <w:t xml:space="preserve">antibodies are fully human antibodies, which are generally associated with very low </w:t>
      </w:r>
      <w:r w:rsidR="001119C4">
        <w:t>antidrug antibody</w:t>
      </w:r>
      <w:r>
        <w:t xml:space="preserve"> incidence with no clin</w:t>
      </w:r>
      <w:r w:rsidR="001119C4">
        <w:t>ical impact.</w:t>
      </w:r>
      <w:r w:rsidR="001119C4">
        <w:rPr>
          <w:rStyle w:val="FootnoteReference"/>
        </w:rPr>
        <w:footnoteReference w:id="46"/>
      </w:r>
    </w:p>
    <w:p w14:paraId="06A4CDC8" w14:textId="4201DD55" w:rsidR="00AA4F96" w:rsidRDefault="00AA4F96" w:rsidP="00AA4F96">
      <w:r>
        <w:t xml:space="preserve">For more details, please refer </w:t>
      </w:r>
      <w:r w:rsidR="001119C4">
        <w:t>to the US FDA Emergency Use Authorization</w:t>
      </w:r>
      <w:r>
        <w:t xml:space="preserve"> responses dated 12 Novem</w:t>
      </w:r>
      <w:r w:rsidR="001119C4">
        <w:t xml:space="preserve">ber 2021 and 02 December 2021 [not included in this </w:t>
      </w:r>
      <w:proofErr w:type="spellStart"/>
      <w:r w:rsidR="001119C4">
        <w:t>AusPAR</w:t>
      </w:r>
      <w:proofErr w:type="spellEnd"/>
      <w:r w:rsidR="001119C4">
        <w:t>]</w:t>
      </w:r>
    </w:p>
    <w:p w14:paraId="7B771C4A" w14:textId="4AB5150E" w:rsidR="00AA4F96" w:rsidRPr="001119C4" w:rsidRDefault="001119C4" w:rsidP="00AA4F96">
      <w:pPr>
        <w:rPr>
          <w:i/>
        </w:rPr>
      </w:pPr>
      <w:r>
        <w:rPr>
          <w:i/>
        </w:rPr>
        <w:t xml:space="preserve">Phase I first trial in </w:t>
      </w:r>
      <w:proofErr w:type="gramStart"/>
      <w:r>
        <w:rPr>
          <w:i/>
        </w:rPr>
        <w:t>humans</w:t>
      </w:r>
      <w:proofErr w:type="gramEnd"/>
      <w:r w:rsidR="00AA4F96" w:rsidRPr="001119C4">
        <w:rPr>
          <w:i/>
        </w:rPr>
        <w:t xml:space="preserve"> study</w:t>
      </w:r>
    </w:p>
    <w:p w14:paraId="23852A49" w14:textId="69B4228C" w:rsidR="00AA4F96" w:rsidRDefault="00AA4F96" w:rsidP="00AA4F96">
      <w:r>
        <w:t xml:space="preserve">At the time of </w:t>
      </w:r>
      <w:r w:rsidR="001119C4">
        <w:t>data cut off (6 June 2021), antidrug antibody</w:t>
      </w:r>
      <w:r>
        <w:t xml:space="preserve"> data up to Day 211 were available for all participants (50 and 10 in the active and placebo groups, respectively) in all cohorts. By Day 211, no participants in the study had tested positive for </w:t>
      </w:r>
      <w:r w:rsidR="001119C4">
        <w:t>antidrug antibody</w:t>
      </w:r>
      <w:r>
        <w:t xml:space="preserve"> to ei</w:t>
      </w:r>
      <w:r w:rsidR="00D35A6C">
        <w:t xml:space="preserve">ther </w:t>
      </w:r>
      <w:proofErr w:type="spellStart"/>
      <w:r w:rsidR="00D35A6C">
        <w:t>tixagevimab</w:t>
      </w:r>
      <w:proofErr w:type="spellEnd"/>
      <w:r w:rsidR="00D35A6C">
        <w:t xml:space="preserve"> or </w:t>
      </w:r>
      <w:proofErr w:type="spellStart"/>
      <w:r w:rsidR="00D35A6C">
        <w:t>cilgavimab</w:t>
      </w:r>
      <w:proofErr w:type="spellEnd"/>
      <w:r w:rsidR="00D35A6C">
        <w:t>.</w:t>
      </w:r>
    </w:p>
    <w:p w14:paraId="46B3FF79" w14:textId="77777777" w:rsidR="00AA4F96" w:rsidRPr="001119C4" w:rsidRDefault="00AA4F96" w:rsidP="00AA4F96">
      <w:pPr>
        <w:rPr>
          <w:i/>
        </w:rPr>
      </w:pPr>
      <w:r w:rsidRPr="001119C4">
        <w:rPr>
          <w:i/>
        </w:rPr>
        <w:t>PROVENT</w:t>
      </w:r>
      <w:r w:rsidR="00D35A6C" w:rsidRPr="001119C4">
        <w:rPr>
          <w:i/>
        </w:rPr>
        <w:t xml:space="preserve"> trial</w:t>
      </w:r>
    </w:p>
    <w:p w14:paraId="025C8D58" w14:textId="45454286" w:rsidR="00AA4F96" w:rsidRDefault="00AA4F96" w:rsidP="00AA4F96">
      <w:r>
        <w:t xml:space="preserve">As of </w:t>
      </w:r>
      <w:r w:rsidR="001119C4">
        <w:t xml:space="preserve">the data cut </w:t>
      </w:r>
      <w:proofErr w:type="gramStart"/>
      <w:r w:rsidR="001119C4">
        <w:t>off</w:t>
      </w:r>
      <w:r>
        <w:t xml:space="preserve"> of</w:t>
      </w:r>
      <w:proofErr w:type="gramEnd"/>
      <w:r>
        <w:t xml:space="preserve"> 29 August 2021, </w:t>
      </w:r>
      <w:r w:rsidR="001119C4">
        <w:t xml:space="preserve">antidrug antibody </w:t>
      </w:r>
      <w:r>
        <w:t xml:space="preserve">data to </w:t>
      </w:r>
      <w:proofErr w:type="spellStart"/>
      <w:r>
        <w:t>tixa</w:t>
      </w:r>
      <w:r w:rsidR="001119C4">
        <w:t>gevimab</w:t>
      </w:r>
      <w:proofErr w:type="spellEnd"/>
      <w:r w:rsidR="001119C4">
        <w:t xml:space="preserve"> up to Day </w:t>
      </w:r>
      <w:r>
        <w:t xml:space="preserve">183 were available on a subset of 716 and 382 </w:t>
      </w:r>
      <w:r w:rsidR="001119C4">
        <w:t>antidrug antibody</w:t>
      </w:r>
      <w:r>
        <w:t xml:space="preserve">-evaluable participants in the </w:t>
      </w:r>
      <w:proofErr w:type="spellStart"/>
      <w:r w:rsidR="001119C4">
        <w:t>Evusheld</w:t>
      </w:r>
      <w:proofErr w:type="spellEnd"/>
      <w:r w:rsidR="001119C4">
        <w:t xml:space="preserve"> </w:t>
      </w:r>
      <w:r>
        <w:t xml:space="preserve">and placebo groups, respectively. </w:t>
      </w:r>
      <w:r w:rsidR="001119C4">
        <w:t xml:space="preserve">Antidrug antibody </w:t>
      </w:r>
      <w:r>
        <w:t xml:space="preserve">data to </w:t>
      </w:r>
      <w:proofErr w:type="spellStart"/>
      <w:r>
        <w:t>cilgavimab</w:t>
      </w:r>
      <w:proofErr w:type="spellEnd"/>
      <w:r>
        <w:t xml:space="preserve"> over the same period were available on a subset of 644 and 339 </w:t>
      </w:r>
      <w:r w:rsidR="001119C4">
        <w:t>antidrug antibody</w:t>
      </w:r>
      <w:r>
        <w:t xml:space="preserve">-evaluable participants in the </w:t>
      </w:r>
      <w:proofErr w:type="spellStart"/>
      <w:r w:rsidR="001119C4">
        <w:t>Evusheld</w:t>
      </w:r>
      <w:proofErr w:type="spellEnd"/>
      <w:r w:rsidR="001119C4">
        <w:t xml:space="preserve"> </w:t>
      </w:r>
      <w:r>
        <w:t>and placebo groups, respectively.</w:t>
      </w:r>
    </w:p>
    <w:p w14:paraId="33A707EA" w14:textId="73976D16" w:rsidR="00AA4F96" w:rsidRDefault="001119C4" w:rsidP="00AA4F96">
      <w:r>
        <w:t>Antidrug antibody</w:t>
      </w:r>
      <w:r w:rsidR="00AA4F96">
        <w:t xml:space="preserve"> data to </w:t>
      </w:r>
      <w:proofErr w:type="spellStart"/>
      <w:r>
        <w:t>Evusheld</w:t>
      </w:r>
      <w:proofErr w:type="spellEnd"/>
      <w:r>
        <w:t xml:space="preserve"> </w:t>
      </w:r>
      <w:r w:rsidR="00AA4F96">
        <w:t xml:space="preserve">over the same period were available on a subset of 743 and 393 </w:t>
      </w:r>
      <w:r>
        <w:t>antidrug antibody</w:t>
      </w:r>
      <w:r w:rsidR="00AA4F96">
        <w:t xml:space="preserve">-evaluable participants in the </w:t>
      </w:r>
      <w:proofErr w:type="spellStart"/>
      <w:r>
        <w:t>Evusheld</w:t>
      </w:r>
      <w:proofErr w:type="spellEnd"/>
      <w:r w:rsidR="00AA4F96">
        <w:t xml:space="preserve"> and placebo groups, respectively.</w:t>
      </w:r>
    </w:p>
    <w:p w14:paraId="29E77686" w14:textId="0D15DCE9" w:rsidR="00AA4F96" w:rsidRDefault="00AA4F96" w:rsidP="00AA4F96">
      <w:r>
        <w:t xml:space="preserve">Over 182 days post-dose, </w:t>
      </w:r>
      <w:r w:rsidR="001119C4">
        <w:t>antidrug antibody</w:t>
      </w:r>
      <w:r>
        <w:t xml:space="preserve"> prevalence (%</w:t>
      </w:r>
      <w:r w:rsidR="001119C4">
        <w:t xml:space="preserve"> antidrug antibody </w:t>
      </w:r>
      <w:r>
        <w:t xml:space="preserve">positive) and </w:t>
      </w:r>
      <w:r w:rsidR="001119C4">
        <w:t>antidrug antibody incidence (% treatment emergent-</w:t>
      </w:r>
      <w:r w:rsidR="001119C4" w:rsidRPr="001119C4">
        <w:t xml:space="preserve"> </w:t>
      </w:r>
      <w:r w:rsidR="001119C4">
        <w:t>antidrug antibody positive</w:t>
      </w:r>
      <w:r>
        <w:t xml:space="preserve">) of </w:t>
      </w:r>
      <w:proofErr w:type="spellStart"/>
      <w:r>
        <w:t>tixagevimab</w:t>
      </w:r>
      <w:proofErr w:type="spellEnd"/>
      <w:r>
        <w:t xml:space="preserve"> in the </w:t>
      </w:r>
      <w:proofErr w:type="spellStart"/>
      <w:r w:rsidR="001119C4">
        <w:t>Evusheld</w:t>
      </w:r>
      <w:proofErr w:type="spellEnd"/>
      <w:r w:rsidR="001119C4">
        <w:t xml:space="preserve"> </w:t>
      </w:r>
      <w:r>
        <w:t xml:space="preserve">group were 3.5% (25/716) and 0.8% (6/716), respectively. </w:t>
      </w:r>
      <w:r w:rsidR="001119C4">
        <w:t>Antidrug antibody</w:t>
      </w:r>
      <w:r>
        <w:t xml:space="preserve"> prevalence and </w:t>
      </w:r>
      <w:r w:rsidR="001119C4">
        <w:t>antidrug antibody</w:t>
      </w:r>
      <w:r>
        <w:t xml:space="preserve"> incidence of </w:t>
      </w:r>
      <w:proofErr w:type="spellStart"/>
      <w:r>
        <w:t>cilgavimab</w:t>
      </w:r>
      <w:proofErr w:type="spellEnd"/>
      <w:r>
        <w:t xml:space="preserve"> in the </w:t>
      </w:r>
      <w:proofErr w:type="spellStart"/>
      <w:r w:rsidR="001119C4">
        <w:t>Evusheld</w:t>
      </w:r>
      <w:proofErr w:type="spellEnd"/>
      <w:r w:rsidR="001119C4">
        <w:t xml:space="preserve"> </w:t>
      </w:r>
      <w:r>
        <w:t xml:space="preserve">group were 3.4% (22/644) and 1.1% (7/644), respectively. </w:t>
      </w:r>
      <w:r w:rsidR="001119C4">
        <w:t>antidrug antibody</w:t>
      </w:r>
      <w:r>
        <w:t xml:space="preserve"> prevalence of </w:t>
      </w:r>
      <w:proofErr w:type="spellStart"/>
      <w:r w:rsidR="001119C4">
        <w:t>Evusheld</w:t>
      </w:r>
      <w:proofErr w:type="spellEnd"/>
      <w:r w:rsidR="001119C4">
        <w:t xml:space="preserve"> </w:t>
      </w:r>
      <w:r>
        <w:t xml:space="preserve">(defined as </w:t>
      </w:r>
      <w:r w:rsidR="001119C4">
        <w:t>antidrug antibody</w:t>
      </w:r>
      <w:r>
        <w:t xml:space="preserve"> positive to </w:t>
      </w:r>
      <w:proofErr w:type="spellStart"/>
      <w:r>
        <w:t>tixagevimab</w:t>
      </w:r>
      <w:proofErr w:type="spellEnd"/>
      <w:r>
        <w:t xml:space="preserve"> and/or </w:t>
      </w:r>
      <w:proofErr w:type="spellStart"/>
      <w:r>
        <w:t>cilgavimab</w:t>
      </w:r>
      <w:proofErr w:type="spellEnd"/>
      <w:r>
        <w:t xml:space="preserve">) and </w:t>
      </w:r>
      <w:r w:rsidR="001119C4">
        <w:t>antidrug antibody</w:t>
      </w:r>
      <w:r>
        <w:t xml:space="preserve"> incidence of </w:t>
      </w:r>
      <w:proofErr w:type="spellStart"/>
      <w:r w:rsidR="001119C4">
        <w:t>Evusheld</w:t>
      </w:r>
      <w:proofErr w:type="spellEnd"/>
      <w:r w:rsidR="001119C4">
        <w:t xml:space="preserve"> </w:t>
      </w:r>
      <w:r>
        <w:t xml:space="preserve">(defined as </w:t>
      </w:r>
      <w:r w:rsidR="001119C4">
        <w:t>treatment-emergent antidrug antibody positive</w:t>
      </w:r>
      <w:r>
        <w:t xml:space="preserve"> to </w:t>
      </w:r>
      <w:proofErr w:type="spellStart"/>
      <w:r>
        <w:t>tixagevimab</w:t>
      </w:r>
      <w:proofErr w:type="spellEnd"/>
      <w:r>
        <w:t xml:space="preserve"> and/or </w:t>
      </w:r>
      <w:proofErr w:type="spellStart"/>
      <w:r>
        <w:t>cilgavimab</w:t>
      </w:r>
      <w:proofErr w:type="spellEnd"/>
      <w:r>
        <w:t xml:space="preserve">) in the </w:t>
      </w:r>
      <w:proofErr w:type="spellStart"/>
      <w:r w:rsidR="001119C4">
        <w:t>Evusheld</w:t>
      </w:r>
      <w:proofErr w:type="spellEnd"/>
      <w:r w:rsidR="001119C4">
        <w:t xml:space="preserve"> </w:t>
      </w:r>
      <w:r>
        <w:t xml:space="preserve">group were 5.0% (37/743) and 1.3% (10/743), respectively. These results indicate that </w:t>
      </w:r>
      <w:proofErr w:type="gramStart"/>
      <w:r>
        <w:t>the majority of</w:t>
      </w:r>
      <w:proofErr w:type="gramEnd"/>
      <w:r>
        <w:t xml:space="preserve"> </w:t>
      </w:r>
      <w:r w:rsidR="001119C4">
        <w:t>antidrug antibody</w:t>
      </w:r>
      <w:r>
        <w:t xml:space="preserve">-positive participants were classified as non-treatment-emergent </w:t>
      </w:r>
      <w:r w:rsidR="001119C4">
        <w:t>antidrug antibody</w:t>
      </w:r>
      <w:r>
        <w:t xml:space="preserve"> positive. The medians of the maximum </w:t>
      </w:r>
      <w:r w:rsidR="001119C4">
        <w:t>antidrug antibody</w:t>
      </w:r>
      <w:r>
        <w:t xml:space="preserve"> </w:t>
      </w:r>
      <w:proofErr w:type="spellStart"/>
      <w:r>
        <w:t>titers</w:t>
      </w:r>
      <w:proofErr w:type="spellEnd"/>
      <w:r>
        <w:t xml:space="preserve"> to </w:t>
      </w:r>
      <w:proofErr w:type="spellStart"/>
      <w:r>
        <w:t>tixagevimab</w:t>
      </w:r>
      <w:proofErr w:type="spellEnd"/>
      <w:r>
        <w:t xml:space="preserve"> and </w:t>
      </w:r>
      <w:proofErr w:type="spellStart"/>
      <w:r>
        <w:t>cilgavimab</w:t>
      </w:r>
      <w:proofErr w:type="spellEnd"/>
      <w:r>
        <w:t xml:space="preserve"> in </w:t>
      </w:r>
      <w:r w:rsidR="001119C4">
        <w:t>treatment-emergent</w:t>
      </w:r>
      <w:r>
        <w:t xml:space="preserve"> </w:t>
      </w:r>
      <w:r w:rsidR="001119C4">
        <w:t>antidrug antibody positive</w:t>
      </w:r>
      <w:r>
        <w:t xml:space="preserve"> participants were low (160.0 and 80.0, respectively) and close to the limit of detection of 80</w:t>
      </w:r>
      <w:r w:rsidR="00D35A6C">
        <w:t xml:space="preserve"> and 40, respectively.</w:t>
      </w:r>
    </w:p>
    <w:p w14:paraId="2FBACD58" w14:textId="470D2644" w:rsidR="00AA4F96" w:rsidRDefault="00AA4F96" w:rsidP="00AA4F96">
      <w:pPr>
        <w:pStyle w:val="TableTitle"/>
      </w:pPr>
      <w:r>
        <w:lastRenderedPageBreak/>
        <w:t xml:space="preserve">Table </w:t>
      </w:r>
      <w:r>
        <w:fldChar w:fldCharType="begin"/>
      </w:r>
      <w:r>
        <w:instrText>SEQ Table \* ARABIC</w:instrText>
      </w:r>
      <w:r>
        <w:fldChar w:fldCharType="separate"/>
      </w:r>
      <w:r w:rsidR="004D0A2C">
        <w:rPr>
          <w:noProof/>
        </w:rPr>
        <w:t>41</w:t>
      </w:r>
      <w:r>
        <w:fldChar w:fldCharType="end"/>
      </w:r>
      <w:r>
        <w:t xml:space="preserve">: </w:t>
      </w:r>
      <w:r w:rsidR="00D35A6C">
        <w:t xml:space="preserve">PROVENT trial </w:t>
      </w:r>
      <w:r w:rsidRPr="00097597">
        <w:t xml:space="preserve">Summary of </w:t>
      </w:r>
      <w:r w:rsidR="001119C4">
        <w:t>antidrug antibody r</w:t>
      </w:r>
      <w:r w:rsidRPr="00097597">
        <w:t xml:space="preserve">esponses to </w:t>
      </w:r>
      <w:proofErr w:type="spellStart"/>
      <w:r w:rsidR="001119C4" w:rsidRPr="00097597">
        <w:t>tixagevimab</w:t>
      </w:r>
      <w:proofErr w:type="spellEnd"/>
      <w:r w:rsidR="001119C4" w:rsidRPr="00097597">
        <w:t xml:space="preserve"> and </w:t>
      </w:r>
      <w:proofErr w:type="spellStart"/>
      <w:r w:rsidR="001119C4" w:rsidRPr="00097597">
        <w:t>cilgavimab</w:t>
      </w:r>
      <w:proofErr w:type="spellEnd"/>
      <w:r w:rsidR="001119C4" w:rsidRPr="00097597">
        <w:t xml:space="preserve"> following administration</w:t>
      </w:r>
      <w:r w:rsidRPr="00097597">
        <w:t xml:space="preserve"> of 300 mg IM</w:t>
      </w:r>
      <w:r w:rsidR="001119C4" w:rsidRPr="00097597">
        <w:t xml:space="preserve"> </w:t>
      </w:r>
      <w:proofErr w:type="spellStart"/>
      <w:r w:rsidR="001119C4" w:rsidRPr="00097597">
        <w:t>Evusheld</w:t>
      </w:r>
      <w:proofErr w:type="spellEnd"/>
      <w:r w:rsidR="001119C4" w:rsidRPr="00097597">
        <w:t xml:space="preserve"> </w:t>
      </w:r>
      <w:r w:rsidR="001119C4">
        <w:t>over 182 d</w:t>
      </w:r>
      <w:r w:rsidRPr="00097597">
        <w:t>ays (</w:t>
      </w:r>
      <w:r w:rsidR="001119C4">
        <w:t>antidrug antibody evaluable analysis s</w:t>
      </w:r>
      <w:r w:rsidRPr="00097597">
        <w:t>et)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93"/>
        <w:gridCol w:w="1260"/>
        <w:gridCol w:w="1021"/>
        <w:gridCol w:w="1026"/>
        <w:gridCol w:w="1021"/>
        <w:gridCol w:w="1026"/>
        <w:gridCol w:w="1026"/>
        <w:gridCol w:w="1021"/>
      </w:tblGrid>
      <w:tr w:rsidR="00AA4F96" w14:paraId="223A52EF" w14:textId="77777777" w:rsidTr="00BC7981">
        <w:trPr>
          <w:trHeight w:hRule="exact" w:val="326"/>
        </w:trPr>
        <w:tc>
          <w:tcPr>
            <w:tcW w:w="643" w:type="pct"/>
          </w:tcPr>
          <w:p w14:paraId="2C647A91" w14:textId="77777777" w:rsidR="00AA4F96" w:rsidRDefault="00AA4F96" w:rsidP="00D35A6C">
            <w:pPr>
              <w:pStyle w:val="TableParagraph"/>
              <w:spacing w:before="0" w:line="207" w:lineRule="exact"/>
              <w:ind w:left="105"/>
              <w:jc w:val="left"/>
              <w:rPr>
                <w:b/>
                <w:sz w:val="18"/>
              </w:rPr>
            </w:pPr>
            <w:r>
              <w:rPr>
                <w:b/>
                <w:sz w:val="18"/>
              </w:rPr>
              <w:t>c</w:t>
            </w:r>
          </w:p>
        </w:tc>
        <w:tc>
          <w:tcPr>
            <w:tcW w:w="741" w:type="pct"/>
          </w:tcPr>
          <w:p w14:paraId="25BEDF19" w14:textId="77777777" w:rsidR="00AA4F96" w:rsidRDefault="00AA4F96" w:rsidP="00D35A6C">
            <w:pPr>
              <w:pStyle w:val="TableParagraph"/>
              <w:spacing w:before="47"/>
              <w:ind w:left="326"/>
              <w:jc w:val="left"/>
              <w:rPr>
                <w:b/>
                <w:sz w:val="18"/>
              </w:rPr>
            </w:pPr>
            <w:r>
              <w:rPr>
                <w:b/>
                <w:sz w:val="18"/>
              </w:rPr>
              <w:t>Statistics</w:t>
            </w:r>
          </w:p>
        </w:tc>
        <w:tc>
          <w:tcPr>
            <w:tcW w:w="1205" w:type="pct"/>
            <w:gridSpan w:val="2"/>
          </w:tcPr>
          <w:p w14:paraId="2681946E" w14:textId="77777777" w:rsidR="00AA4F96" w:rsidRDefault="00AA4F96" w:rsidP="00D35A6C">
            <w:pPr>
              <w:pStyle w:val="TableParagraph"/>
              <w:spacing w:before="48"/>
              <w:ind w:left="508"/>
              <w:jc w:val="left"/>
              <w:rPr>
                <w:rFonts w:ascii="Calibri"/>
                <w:b/>
                <w:sz w:val="12"/>
              </w:rPr>
            </w:pPr>
            <w:proofErr w:type="spellStart"/>
            <w:r>
              <w:rPr>
                <w:b/>
                <w:sz w:val="20"/>
              </w:rPr>
              <w:t>Tixagevimab</w:t>
            </w:r>
            <w:proofErr w:type="spellEnd"/>
            <w:r>
              <w:rPr>
                <w:rFonts w:ascii="Calibri"/>
                <w:b/>
                <w:position w:val="5"/>
                <w:sz w:val="12"/>
              </w:rPr>
              <w:t>a</w:t>
            </w:r>
          </w:p>
        </w:tc>
        <w:tc>
          <w:tcPr>
            <w:tcW w:w="1205" w:type="pct"/>
            <w:gridSpan w:val="2"/>
          </w:tcPr>
          <w:p w14:paraId="54280B57" w14:textId="77777777" w:rsidR="00AA4F96" w:rsidRDefault="00AA4F96" w:rsidP="00D35A6C">
            <w:pPr>
              <w:pStyle w:val="TableParagraph"/>
              <w:spacing w:before="48"/>
              <w:ind w:left="566"/>
              <w:jc w:val="left"/>
              <w:rPr>
                <w:rFonts w:ascii="Calibri"/>
                <w:b/>
                <w:sz w:val="12"/>
              </w:rPr>
            </w:pPr>
            <w:proofErr w:type="spellStart"/>
            <w:r>
              <w:rPr>
                <w:b/>
                <w:sz w:val="20"/>
              </w:rPr>
              <w:t>Cilgavimab</w:t>
            </w:r>
            <w:proofErr w:type="spellEnd"/>
            <w:r>
              <w:rPr>
                <w:rFonts w:ascii="Calibri"/>
                <w:b/>
                <w:position w:val="5"/>
                <w:sz w:val="12"/>
              </w:rPr>
              <w:t>b</w:t>
            </w:r>
          </w:p>
        </w:tc>
        <w:tc>
          <w:tcPr>
            <w:tcW w:w="1205" w:type="pct"/>
            <w:gridSpan w:val="2"/>
          </w:tcPr>
          <w:p w14:paraId="1F47D81B" w14:textId="70678141" w:rsidR="00AA4F96" w:rsidRDefault="00AA4F96" w:rsidP="00D35A6C">
            <w:pPr>
              <w:pStyle w:val="TableParagraph"/>
              <w:spacing w:before="48"/>
              <w:ind w:left="518"/>
              <w:jc w:val="left"/>
              <w:rPr>
                <w:rFonts w:ascii="Calibri"/>
                <w:b/>
                <w:sz w:val="12"/>
              </w:rPr>
            </w:pPr>
            <w:proofErr w:type="spellStart"/>
            <w:r>
              <w:rPr>
                <w:b/>
                <w:sz w:val="20"/>
              </w:rPr>
              <w:t>E</w:t>
            </w:r>
            <w:r w:rsidR="00BC7981">
              <w:rPr>
                <w:b/>
                <w:sz w:val="20"/>
              </w:rPr>
              <w:t>vusheld</w:t>
            </w:r>
            <w:proofErr w:type="spellEnd"/>
            <w:r>
              <w:rPr>
                <w:rFonts w:ascii="Calibri"/>
                <w:b/>
                <w:position w:val="5"/>
                <w:sz w:val="12"/>
              </w:rPr>
              <w:t>c</w:t>
            </w:r>
          </w:p>
        </w:tc>
      </w:tr>
      <w:tr w:rsidR="00AA4F96" w14:paraId="405FB6F3" w14:textId="77777777" w:rsidTr="71DFC815">
        <w:trPr>
          <w:trHeight w:hRule="exact" w:val="503"/>
        </w:trPr>
        <w:tc>
          <w:tcPr>
            <w:tcW w:w="643" w:type="pct"/>
          </w:tcPr>
          <w:p w14:paraId="328C6D79" w14:textId="77777777" w:rsidR="00AA4F96" w:rsidRDefault="00AA4F96" w:rsidP="00D35A6C">
            <w:pPr>
              <w:rPr>
                <w:sz w:val="2"/>
                <w:szCs w:val="2"/>
              </w:rPr>
            </w:pPr>
          </w:p>
        </w:tc>
        <w:tc>
          <w:tcPr>
            <w:tcW w:w="741" w:type="pct"/>
          </w:tcPr>
          <w:p w14:paraId="50507BD8" w14:textId="77777777" w:rsidR="00AA4F96" w:rsidRDefault="00AA4F96" w:rsidP="00D35A6C">
            <w:pPr>
              <w:rPr>
                <w:sz w:val="2"/>
                <w:szCs w:val="2"/>
              </w:rPr>
            </w:pPr>
          </w:p>
        </w:tc>
        <w:tc>
          <w:tcPr>
            <w:tcW w:w="601" w:type="pct"/>
          </w:tcPr>
          <w:p w14:paraId="3AABF2D9" w14:textId="77777777" w:rsidR="00AA4F96" w:rsidRDefault="00AA4F96" w:rsidP="00BC7981">
            <w:pPr>
              <w:pStyle w:val="TableParagraph"/>
              <w:spacing w:line="244" w:lineRule="auto"/>
              <w:ind w:right="111"/>
              <w:rPr>
                <w:b/>
                <w:sz w:val="18"/>
              </w:rPr>
            </w:pPr>
            <w:r>
              <w:rPr>
                <w:b/>
                <w:sz w:val="18"/>
              </w:rPr>
              <w:t>Treatment</w:t>
            </w:r>
            <w:r>
              <w:rPr>
                <w:b/>
                <w:spacing w:val="-42"/>
                <w:sz w:val="18"/>
              </w:rPr>
              <w:t xml:space="preserve"> </w:t>
            </w:r>
            <w:r>
              <w:rPr>
                <w:b/>
                <w:sz w:val="18"/>
              </w:rPr>
              <w:t>(N</w:t>
            </w:r>
            <w:r>
              <w:rPr>
                <w:b/>
                <w:spacing w:val="-3"/>
                <w:sz w:val="18"/>
              </w:rPr>
              <w:t xml:space="preserve"> </w:t>
            </w:r>
            <w:r>
              <w:rPr>
                <w:b/>
                <w:sz w:val="18"/>
              </w:rPr>
              <w:t>=</w:t>
            </w:r>
            <w:r>
              <w:rPr>
                <w:b/>
                <w:spacing w:val="-2"/>
                <w:sz w:val="18"/>
              </w:rPr>
              <w:t xml:space="preserve"> </w:t>
            </w:r>
            <w:r>
              <w:rPr>
                <w:b/>
                <w:sz w:val="18"/>
              </w:rPr>
              <w:t>716)</w:t>
            </w:r>
          </w:p>
        </w:tc>
        <w:tc>
          <w:tcPr>
            <w:tcW w:w="604" w:type="pct"/>
          </w:tcPr>
          <w:p w14:paraId="71903F74" w14:textId="77777777" w:rsidR="00AA4F96" w:rsidRDefault="00AA4F96" w:rsidP="00BC7981">
            <w:pPr>
              <w:pStyle w:val="TableParagraph"/>
              <w:spacing w:line="244" w:lineRule="auto"/>
              <w:ind w:right="180"/>
              <w:rPr>
                <w:b/>
                <w:sz w:val="18"/>
              </w:rPr>
            </w:pPr>
            <w:r>
              <w:rPr>
                <w:b/>
                <w:sz w:val="18"/>
              </w:rPr>
              <w:t>Placebo</w:t>
            </w:r>
            <w:r>
              <w:rPr>
                <w:b/>
                <w:spacing w:val="1"/>
                <w:sz w:val="18"/>
              </w:rPr>
              <w:t xml:space="preserve"> </w:t>
            </w:r>
            <w:r>
              <w:rPr>
                <w:b/>
                <w:sz w:val="18"/>
              </w:rPr>
              <w:t>(N</w:t>
            </w:r>
            <w:r>
              <w:rPr>
                <w:b/>
                <w:spacing w:val="-7"/>
                <w:sz w:val="18"/>
              </w:rPr>
              <w:t xml:space="preserve"> </w:t>
            </w:r>
            <w:r>
              <w:rPr>
                <w:b/>
                <w:sz w:val="18"/>
              </w:rPr>
              <w:t>=</w:t>
            </w:r>
            <w:r>
              <w:rPr>
                <w:b/>
                <w:spacing w:val="-7"/>
                <w:sz w:val="18"/>
              </w:rPr>
              <w:t xml:space="preserve"> </w:t>
            </w:r>
            <w:r>
              <w:rPr>
                <w:b/>
                <w:sz w:val="18"/>
              </w:rPr>
              <w:t>382)</w:t>
            </w:r>
          </w:p>
        </w:tc>
        <w:tc>
          <w:tcPr>
            <w:tcW w:w="601" w:type="pct"/>
          </w:tcPr>
          <w:p w14:paraId="45DF3010" w14:textId="77777777" w:rsidR="00AA4F96" w:rsidRDefault="00AA4F96" w:rsidP="00BC7981">
            <w:pPr>
              <w:pStyle w:val="TableParagraph"/>
              <w:spacing w:line="244" w:lineRule="auto"/>
              <w:ind w:right="112"/>
              <w:rPr>
                <w:b/>
                <w:sz w:val="18"/>
              </w:rPr>
            </w:pPr>
            <w:r>
              <w:rPr>
                <w:b/>
                <w:sz w:val="18"/>
              </w:rPr>
              <w:t>Treatment</w:t>
            </w:r>
            <w:r>
              <w:rPr>
                <w:b/>
                <w:spacing w:val="-42"/>
                <w:sz w:val="18"/>
              </w:rPr>
              <w:t xml:space="preserve"> </w:t>
            </w:r>
            <w:r>
              <w:rPr>
                <w:b/>
                <w:sz w:val="18"/>
              </w:rPr>
              <w:t>(N</w:t>
            </w:r>
            <w:r>
              <w:rPr>
                <w:b/>
                <w:spacing w:val="-3"/>
                <w:sz w:val="18"/>
              </w:rPr>
              <w:t xml:space="preserve"> </w:t>
            </w:r>
            <w:r>
              <w:rPr>
                <w:b/>
                <w:sz w:val="18"/>
              </w:rPr>
              <w:t>=</w:t>
            </w:r>
            <w:r>
              <w:rPr>
                <w:b/>
                <w:spacing w:val="-3"/>
                <w:sz w:val="18"/>
              </w:rPr>
              <w:t xml:space="preserve"> </w:t>
            </w:r>
            <w:r>
              <w:rPr>
                <w:b/>
                <w:sz w:val="18"/>
              </w:rPr>
              <w:t>644)</w:t>
            </w:r>
          </w:p>
        </w:tc>
        <w:tc>
          <w:tcPr>
            <w:tcW w:w="604" w:type="pct"/>
          </w:tcPr>
          <w:p w14:paraId="1E43B772" w14:textId="77777777" w:rsidR="00AA4F96" w:rsidRDefault="00AA4F96" w:rsidP="00BC7981">
            <w:pPr>
              <w:pStyle w:val="TableParagraph"/>
              <w:spacing w:line="244" w:lineRule="auto"/>
              <w:ind w:right="180"/>
              <w:rPr>
                <w:b/>
                <w:sz w:val="18"/>
              </w:rPr>
            </w:pPr>
            <w:r>
              <w:rPr>
                <w:b/>
                <w:sz w:val="18"/>
              </w:rPr>
              <w:t>Placebo</w:t>
            </w:r>
            <w:r>
              <w:rPr>
                <w:b/>
                <w:spacing w:val="1"/>
                <w:sz w:val="18"/>
              </w:rPr>
              <w:t xml:space="preserve"> </w:t>
            </w:r>
            <w:r>
              <w:rPr>
                <w:b/>
                <w:sz w:val="18"/>
              </w:rPr>
              <w:t>(N</w:t>
            </w:r>
            <w:r>
              <w:rPr>
                <w:b/>
                <w:spacing w:val="-7"/>
                <w:sz w:val="18"/>
              </w:rPr>
              <w:t xml:space="preserve"> </w:t>
            </w:r>
            <w:r>
              <w:rPr>
                <w:b/>
                <w:sz w:val="18"/>
              </w:rPr>
              <w:t>=</w:t>
            </w:r>
            <w:r>
              <w:rPr>
                <w:b/>
                <w:spacing w:val="-7"/>
                <w:sz w:val="18"/>
              </w:rPr>
              <w:t xml:space="preserve"> </w:t>
            </w:r>
            <w:r>
              <w:rPr>
                <w:b/>
                <w:sz w:val="18"/>
              </w:rPr>
              <w:t>339)</w:t>
            </w:r>
          </w:p>
        </w:tc>
        <w:tc>
          <w:tcPr>
            <w:tcW w:w="604" w:type="pct"/>
          </w:tcPr>
          <w:p w14:paraId="26E15DE4" w14:textId="77777777" w:rsidR="00AA4F96" w:rsidRDefault="00AA4F96" w:rsidP="00BC7981">
            <w:pPr>
              <w:pStyle w:val="TableParagraph"/>
              <w:spacing w:line="244" w:lineRule="auto"/>
              <w:ind w:right="116"/>
              <w:rPr>
                <w:b/>
                <w:sz w:val="18"/>
              </w:rPr>
            </w:pPr>
            <w:r>
              <w:rPr>
                <w:b/>
                <w:sz w:val="18"/>
              </w:rPr>
              <w:t>Treatment</w:t>
            </w:r>
            <w:r>
              <w:rPr>
                <w:b/>
                <w:spacing w:val="-42"/>
                <w:sz w:val="18"/>
              </w:rPr>
              <w:t xml:space="preserve"> </w:t>
            </w:r>
            <w:r>
              <w:rPr>
                <w:b/>
                <w:sz w:val="18"/>
              </w:rPr>
              <w:t>(N</w:t>
            </w:r>
            <w:r>
              <w:rPr>
                <w:b/>
                <w:spacing w:val="-1"/>
                <w:sz w:val="18"/>
              </w:rPr>
              <w:t xml:space="preserve"> </w:t>
            </w:r>
            <w:r>
              <w:rPr>
                <w:b/>
                <w:sz w:val="18"/>
              </w:rPr>
              <w:t>= 743)</w:t>
            </w:r>
          </w:p>
        </w:tc>
        <w:tc>
          <w:tcPr>
            <w:tcW w:w="601" w:type="pct"/>
          </w:tcPr>
          <w:p w14:paraId="2EDBC6A0" w14:textId="77777777" w:rsidR="00AA4F96" w:rsidRDefault="00AA4F96" w:rsidP="00BC7981">
            <w:pPr>
              <w:pStyle w:val="TableParagraph"/>
              <w:spacing w:line="244" w:lineRule="auto"/>
              <w:ind w:right="180"/>
              <w:rPr>
                <w:b/>
                <w:sz w:val="18"/>
              </w:rPr>
            </w:pPr>
            <w:r>
              <w:rPr>
                <w:b/>
                <w:sz w:val="18"/>
              </w:rPr>
              <w:t>Placebo</w:t>
            </w:r>
            <w:r>
              <w:rPr>
                <w:b/>
                <w:spacing w:val="1"/>
                <w:sz w:val="18"/>
              </w:rPr>
              <w:t xml:space="preserve"> </w:t>
            </w:r>
            <w:r>
              <w:rPr>
                <w:b/>
                <w:sz w:val="18"/>
              </w:rPr>
              <w:t>(N</w:t>
            </w:r>
            <w:r>
              <w:rPr>
                <w:b/>
                <w:spacing w:val="-7"/>
                <w:sz w:val="18"/>
              </w:rPr>
              <w:t xml:space="preserve"> </w:t>
            </w:r>
            <w:r>
              <w:rPr>
                <w:b/>
                <w:sz w:val="18"/>
              </w:rPr>
              <w:t>=</w:t>
            </w:r>
            <w:r>
              <w:rPr>
                <w:b/>
                <w:spacing w:val="-7"/>
                <w:sz w:val="18"/>
              </w:rPr>
              <w:t xml:space="preserve"> </w:t>
            </w:r>
            <w:r>
              <w:rPr>
                <w:b/>
                <w:sz w:val="18"/>
              </w:rPr>
              <w:t>393)</w:t>
            </w:r>
          </w:p>
        </w:tc>
      </w:tr>
      <w:tr w:rsidR="00AA4F96" w14:paraId="2EB14866" w14:textId="77777777" w:rsidTr="00BC7981">
        <w:trPr>
          <w:trHeight w:hRule="exact" w:val="331"/>
        </w:trPr>
        <w:tc>
          <w:tcPr>
            <w:tcW w:w="643" w:type="pct"/>
            <w:tcBorders>
              <w:bottom w:val="nil"/>
            </w:tcBorders>
          </w:tcPr>
          <w:p w14:paraId="32FA656A" w14:textId="77777777" w:rsidR="00AA4F96" w:rsidRDefault="00AA4F96" w:rsidP="00BC7981">
            <w:pPr>
              <w:pStyle w:val="TableParagraph"/>
              <w:spacing w:before="34"/>
              <w:jc w:val="left"/>
              <w:rPr>
                <w:sz w:val="20"/>
              </w:rPr>
            </w:pPr>
            <w:r>
              <w:rPr>
                <w:sz w:val="20"/>
              </w:rPr>
              <w:t>ADA</w:t>
            </w:r>
          </w:p>
        </w:tc>
        <w:tc>
          <w:tcPr>
            <w:tcW w:w="741" w:type="pct"/>
          </w:tcPr>
          <w:p w14:paraId="4B1164E1" w14:textId="2E2C5265" w:rsidR="00AA4F96" w:rsidRDefault="00AA4F96" w:rsidP="00BC7981">
            <w:pPr>
              <w:pStyle w:val="TableParagraph"/>
              <w:ind w:right="249"/>
              <w:rPr>
                <w:sz w:val="18"/>
              </w:rPr>
            </w:pPr>
            <w:r>
              <w:rPr>
                <w:sz w:val="18"/>
              </w:rPr>
              <w:t>n</w:t>
            </w:r>
            <w:r>
              <w:rPr>
                <w:spacing w:val="-1"/>
                <w:sz w:val="18"/>
              </w:rPr>
              <w:t xml:space="preserve"> </w:t>
            </w:r>
            <w:r>
              <w:rPr>
                <w:sz w:val="18"/>
              </w:rPr>
              <w:t>(%)</w:t>
            </w:r>
          </w:p>
        </w:tc>
        <w:tc>
          <w:tcPr>
            <w:tcW w:w="601" w:type="pct"/>
          </w:tcPr>
          <w:p w14:paraId="7557EF9D" w14:textId="77777777" w:rsidR="00AA4F96" w:rsidRDefault="00AA4F96" w:rsidP="00D35A6C">
            <w:pPr>
              <w:pStyle w:val="TableParagraph"/>
              <w:ind w:left="105" w:right="98"/>
              <w:rPr>
                <w:sz w:val="18"/>
              </w:rPr>
            </w:pPr>
            <w:r>
              <w:rPr>
                <w:sz w:val="18"/>
              </w:rPr>
              <w:t>25</w:t>
            </w:r>
            <w:r>
              <w:rPr>
                <w:spacing w:val="-1"/>
                <w:sz w:val="18"/>
              </w:rPr>
              <w:t xml:space="preserve"> </w:t>
            </w:r>
            <w:r>
              <w:rPr>
                <w:sz w:val="18"/>
              </w:rPr>
              <w:t>(3.5)</w:t>
            </w:r>
          </w:p>
        </w:tc>
        <w:tc>
          <w:tcPr>
            <w:tcW w:w="604" w:type="pct"/>
          </w:tcPr>
          <w:p w14:paraId="49905F1C" w14:textId="77777777" w:rsidR="00AA4F96" w:rsidRDefault="00AA4F96" w:rsidP="00D35A6C">
            <w:pPr>
              <w:pStyle w:val="TableParagraph"/>
              <w:ind w:left="106" w:right="104"/>
              <w:rPr>
                <w:sz w:val="18"/>
              </w:rPr>
            </w:pPr>
            <w:r>
              <w:rPr>
                <w:sz w:val="18"/>
              </w:rPr>
              <w:t>10</w:t>
            </w:r>
            <w:r>
              <w:rPr>
                <w:spacing w:val="-1"/>
                <w:sz w:val="18"/>
              </w:rPr>
              <w:t xml:space="preserve"> </w:t>
            </w:r>
            <w:r>
              <w:rPr>
                <w:sz w:val="18"/>
              </w:rPr>
              <w:t>(2.6)</w:t>
            </w:r>
          </w:p>
        </w:tc>
        <w:tc>
          <w:tcPr>
            <w:tcW w:w="601" w:type="pct"/>
          </w:tcPr>
          <w:p w14:paraId="429D7F6D" w14:textId="77777777" w:rsidR="00AA4F96" w:rsidRDefault="00AA4F96" w:rsidP="00D35A6C">
            <w:pPr>
              <w:pStyle w:val="TableParagraph"/>
              <w:ind w:right="249"/>
              <w:jc w:val="right"/>
              <w:rPr>
                <w:sz w:val="18"/>
              </w:rPr>
            </w:pPr>
            <w:r>
              <w:rPr>
                <w:sz w:val="18"/>
              </w:rPr>
              <w:t>22</w:t>
            </w:r>
            <w:r>
              <w:rPr>
                <w:spacing w:val="-1"/>
                <w:sz w:val="18"/>
              </w:rPr>
              <w:t xml:space="preserve"> </w:t>
            </w:r>
            <w:r>
              <w:rPr>
                <w:sz w:val="18"/>
              </w:rPr>
              <w:t>(3.4)</w:t>
            </w:r>
          </w:p>
        </w:tc>
        <w:tc>
          <w:tcPr>
            <w:tcW w:w="604" w:type="pct"/>
          </w:tcPr>
          <w:p w14:paraId="2F2E52AA" w14:textId="77777777" w:rsidR="00AA4F96" w:rsidRDefault="00AA4F96" w:rsidP="00D35A6C">
            <w:pPr>
              <w:pStyle w:val="TableParagraph"/>
              <w:ind w:left="106" w:right="100"/>
              <w:rPr>
                <w:sz w:val="18"/>
              </w:rPr>
            </w:pPr>
            <w:r>
              <w:rPr>
                <w:sz w:val="18"/>
              </w:rPr>
              <w:t>8</w:t>
            </w:r>
            <w:r>
              <w:rPr>
                <w:spacing w:val="1"/>
                <w:sz w:val="18"/>
              </w:rPr>
              <w:t xml:space="preserve"> </w:t>
            </w:r>
            <w:r>
              <w:rPr>
                <w:sz w:val="18"/>
              </w:rPr>
              <w:t>(2.4)</w:t>
            </w:r>
          </w:p>
        </w:tc>
        <w:tc>
          <w:tcPr>
            <w:tcW w:w="604" w:type="pct"/>
          </w:tcPr>
          <w:p w14:paraId="1F2603F9" w14:textId="77777777" w:rsidR="00AA4F96" w:rsidRDefault="00AA4F96" w:rsidP="00D35A6C">
            <w:pPr>
              <w:pStyle w:val="TableParagraph"/>
              <w:ind w:left="106" w:right="104"/>
              <w:rPr>
                <w:sz w:val="18"/>
              </w:rPr>
            </w:pPr>
            <w:r>
              <w:rPr>
                <w:sz w:val="18"/>
              </w:rPr>
              <w:t>37</w:t>
            </w:r>
            <w:r>
              <w:rPr>
                <w:spacing w:val="-1"/>
                <w:sz w:val="18"/>
              </w:rPr>
              <w:t xml:space="preserve"> </w:t>
            </w:r>
            <w:r>
              <w:rPr>
                <w:sz w:val="18"/>
              </w:rPr>
              <w:t>(5.0)</w:t>
            </w:r>
          </w:p>
        </w:tc>
        <w:tc>
          <w:tcPr>
            <w:tcW w:w="601" w:type="pct"/>
          </w:tcPr>
          <w:p w14:paraId="1073347D" w14:textId="77777777" w:rsidR="00AA4F96" w:rsidRDefault="00AA4F96" w:rsidP="00D35A6C">
            <w:pPr>
              <w:pStyle w:val="TableParagraph"/>
              <w:ind w:left="101" w:right="101"/>
              <w:rPr>
                <w:sz w:val="18"/>
              </w:rPr>
            </w:pPr>
            <w:r>
              <w:rPr>
                <w:sz w:val="18"/>
              </w:rPr>
              <w:t>14</w:t>
            </w:r>
            <w:r>
              <w:rPr>
                <w:spacing w:val="-1"/>
                <w:sz w:val="18"/>
              </w:rPr>
              <w:t xml:space="preserve"> </w:t>
            </w:r>
            <w:r>
              <w:rPr>
                <w:sz w:val="18"/>
              </w:rPr>
              <w:t>(3.6)</w:t>
            </w:r>
          </w:p>
        </w:tc>
      </w:tr>
      <w:tr w:rsidR="00AA4F96" w14:paraId="176BC2E2" w14:textId="77777777" w:rsidTr="00BC7981">
        <w:trPr>
          <w:trHeight w:hRule="exact" w:val="501"/>
        </w:trPr>
        <w:tc>
          <w:tcPr>
            <w:tcW w:w="643" w:type="pct"/>
            <w:tcBorders>
              <w:top w:val="nil"/>
              <w:bottom w:val="nil"/>
            </w:tcBorders>
          </w:tcPr>
          <w:p w14:paraId="6233323E" w14:textId="77777777" w:rsidR="00AA4F96" w:rsidRDefault="00AA4F96" w:rsidP="00BC7981">
            <w:pPr>
              <w:pStyle w:val="TableParagraph"/>
              <w:spacing w:before="0" w:line="206" w:lineRule="exact"/>
              <w:jc w:val="left"/>
              <w:rPr>
                <w:sz w:val="20"/>
              </w:rPr>
            </w:pPr>
            <w:r>
              <w:rPr>
                <w:sz w:val="20"/>
              </w:rPr>
              <w:t>positive</w:t>
            </w:r>
            <w:r>
              <w:rPr>
                <w:spacing w:val="-3"/>
                <w:sz w:val="20"/>
              </w:rPr>
              <w:t xml:space="preserve"> </w:t>
            </w:r>
            <w:r>
              <w:rPr>
                <w:sz w:val="20"/>
              </w:rPr>
              <w:t>at</w:t>
            </w:r>
          </w:p>
          <w:p w14:paraId="611B4F69" w14:textId="77777777" w:rsidR="00AA4F96" w:rsidRDefault="00AA4F96" w:rsidP="00BC7981">
            <w:pPr>
              <w:pStyle w:val="TableParagraph"/>
              <w:spacing w:before="34"/>
              <w:jc w:val="left"/>
              <w:rPr>
                <w:sz w:val="20"/>
              </w:rPr>
            </w:pPr>
            <w:r>
              <w:rPr>
                <w:sz w:val="20"/>
              </w:rPr>
              <w:t>any</w:t>
            </w:r>
            <w:r>
              <w:rPr>
                <w:spacing w:val="-9"/>
                <w:sz w:val="20"/>
              </w:rPr>
              <w:t xml:space="preserve"> </w:t>
            </w:r>
            <w:r>
              <w:rPr>
                <w:sz w:val="20"/>
              </w:rPr>
              <w:t>visit</w:t>
            </w:r>
          </w:p>
        </w:tc>
        <w:tc>
          <w:tcPr>
            <w:tcW w:w="741" w:type="pct"/>
            <w:tcBorders>
              <w:bottom w:val="nil"/>
            </w:tcBorders>
          </w:tcPr>
          <w:p w14:paraId="6FC255A5" w14:textId="77777777" w:rsidR="00AA4F96" w:rsidRDefault="00AA4F96" w:rsidP="00BC7981">
            <w:pPr>
              <w:pStyle w:val="TableParagraph"/>
              <w:spacing w:before="0" w:line="240" w:lineRule="atLeast"/>
              <w:ind w:right="126"/>
              <w:rPr>
                <w:sz w:val="18"/>
              </w:rPr>
            </w:pPr>
            <w:r>
              <w:rPr>
                <w:sz w:val="18"/>
              </w:rPr>
              <w:t>Median of</w:t>
            </w:r>
            <w:r>
              <w:rPr>
                <w:spacing w:val="1"/>
                <w:sz w:val="18"/>
              </w:rPr>
              <w:t xml:space="preserve"> </w:t>
            </w:r>
            <w:r>
              <w:rPr>
                <w:sz w:val="18"/>
              </w:rPr>
              <w:t>maximum</w:t>
            </w:r>
            <w:r>
              <w:rPr>
                <w:spacing w:val="-11"/>
                <w:sz w:val="18"/>
              </w:rPr>
              <w:t xml:space="preserve"> </w:t>
            </w:r>
            <w:r>
              <w:rPr>
                <w:sz w:val="18"/>
              </w:rPr>
              <w:t>titer</w:t>
            </w:r>
          </w:p>
        </w:tc>
        <w:tc>
          <w:tcPr>
            <w:tcW w:w="601" w:type="pct"/>
            <w:tcBorders>
              <w:bottom w:val="nil"/>
            </w:tcBorders>
          </w:tcPr>
          <w:p w14:paraId="0D5C875E" w14:textId="77777777" w:rsidR="00AA4F96" w:rsidRDefault="00AA4F96" w:rsidP="00D35A6C">
            <w:pPr>
              <w:pStyle w:val="TableParagraph"/>
              <w:ind w:left="105" w:right="101"/>
              <w:rPr>
                <w:sz w:val="18"/>
              </w:rPr>
            </w:pPr>
            <w:r>
              <w:rPr>
                <w:sz w:val="18"/>
              </w:rPr>
              <w:t>160.0</w:t>
            </w:r>
          </w:p>
        </w:tc>
        <w:tc>
          <w:tcPr>
            <w:tcW w:w="604" w:type="pct"/>
            <w:tcBorders>
              <w:bottom w:val="nil"/>
            </w:tcBorders>
          </w:tcPr>
          <w:p w14:paraId="31C1CE55" w14:textId="77777777" w:rsidR="00AA4F96" w:rsidRDefault="00AA4F96" w:rsidP="00D35A6C">
            <w:pPr>
              <w:pStyle w:val="TableParagraph"/>
              <w:ind w:left="106" w:right="97"/>
              <w:rPr>
                <w:sz w:val="18"/>
              </w:rPr>
            </w:pPr>
            <w:r>
              <w:rPr>
                <w:sz w:val="18"/>
              </w:rPr>
              <w:t>240.0</w:t>
            </w:r>
          </w:p>
        </w:tc>
        <w:tc>
          <w:tcPr>
            <w:tcW w:w="601" w:type="pct"/>
            <w:tcBorders>
              <w:bottom w:val="nil"/>
            </w:tcBorders>
          </w:tcPr>
          <w:p w14:paraId="73155AA8" w14:textId="77777777" w:rsidR="00AA4F96" w:rsidRDefault="00AA4F96" w:rsidP="00D35A6C">
            <w:pPr>
              <w:pStyle w:val="TableParagraph"/>
              <w:ind w:left="105" w:right="90"/>
              <w:rPr>
                <w:sz w:val="18"/>
              </w:rPr>
            </w:pPr>
            <w:r>
              <w:rPr>
                <w:sz w:val="18"/>
              </w:rPr>
              <w:t>80.0</w:t>
            </w:r>
          </w:p>
        </w:tc>
        <w:tc>
          <w:tcPr>
            <w:tcW w:w="604" w:type="pct"/>
            <w:tcBorders>
              <w:bottom w:val="nil"/>
            </w:tcBorders>
          </w:tcPr>
          <w:p w14:paraId="1543DFB0" w14:textId="77777777" w:rsidR="00AA4F96" w:rsidRDefault="00AA4F96" w:rsidP="00D35A6C">
            <w:pPr>
              <w:pStyle w:val="TableParagraph"/>
              <w:ind w:left="106" w:right="97"/>
              <w:rPr>
                <w:sz w:val="18"/>
              </w:rPr>
            </w:pPr>
            <w:r>
              <w:rPr>
                <w:sz w:val="18"/>
              </w:rPr>
              <w:t>160.0</w:t>
            </w:r>
          </w:p>
        </w:tc>
        <w:tc>
          <w:tcPr>
            <w:tcW w:w="604" w:type="pct"/>
            <w:tcBorders>
              <w:bottom w:val="nil"/>
            </w:tcBorders>
          </w:tcPr>
          <w:p w14:paraId="67E911C4" w14:textId="77777777" w:rsidR="00AA4F96" w:rsidRDefault="00AA4F96" w:rsidP="00D35A6C">
            <w:pPr>
              <w:pStyle w:val="TableParagraph"/>
              <w:ind w:left="106" w:right="96"/>
              <w:rPr>
                <w:sz w:val="18"/>
              </w:rPr>
            </w:pPr>
            <w:r>
              <w:rPr>
                <w:sz w:val="18"/>
              </w:rPr>
              <w:t>80.0</w:t>
            </w:r>
          </w:p>
        </w:tc>
        <w:tc>
          <w:tcPr>
            <w:tcW w:w="601" w:type="pct"/>
            <w:tcBorders>
              <w:bottom w:val="nil"/>
            </w:tcBorders>
          </w:tcPr>
          <w:p w14:paraId="735B7A32" w14:textId="77777777" w:rsidR="00AA4F96" w:rsidRDefault="00AA4F96" w:rsidP="00D35A6C">
            <w:pPr>
              <w:pStyle w:val="TableParagraph"/>
              <w:ind w:left="105" w:right="101"/>
              <w:rPr>
                <w:sz w:val="18"/>
              </w:rPr>
            </w:pPr>
            <w:r>
              <w:rPr>
                <w:sz w:val="18"/>
              </w:rPr>
              <w:t>160.0</w:t>
            </w:r>
          </w:p>
        </w:tc>
      </w:tr>
      <w:tr w:rsidR="00AA4F96" w14:paraId="3A7F7C86" w14:textId="77777777" w:rsidTr="00BC7981">
        <w:trPr>
          <w:trHeight w:hRule="exact" w:val="60"/>
        </w:trPr>
        <w:tc>
          <w:tcPr>
            <w:tcW w:w="643" w:type="pct"/>
            <w:tcBorders>
              <w:top w:val="nil"/>
            </w:tcBorders>
          </w:tcPr>
          <w:p w14:paraId="1C200F2D" w14:textId="77777777" w:rsidR="00AA4F96" w:rsidRDefault="00AA4F96" w:rsidP="00BC7981">
            <w:pPr>
              <w:pStyle w:val="TableParagraph"/>
              <w:spacing w:before="3"/>
              <w:jc w:val="left"/>
              <w:rPr>
                <w:sz w:val="20"/>
              </w:rPr>
            </w:pPr>
            <w:r>
              <w:rPr>
                <w:sz w:val="20"/>
              </w:rPr>
              <w:t>(ADA</w:t>
            </w:r>
          </w:p>
          <w:p w14:paraId="14F2F83C" w14:textId="77777777" w:rsidR="00AA4F96" w:rsidRDefault="00AA4F96" w:rsidP="00BC7981">
            <w:pPr>
              <w:pStyle w:val="TableParagraph"/>
              <w:spacing w:before="34"/>
              <w:jc w:val="left"/>
              <w:rPr>
                <w:sz w:val="20"/>
              </w:rPr>
            </w:pPr>
            <w:r>
              <w:rPr>
                <w:sz w:val="20"/>
              </w:rPr>
              <w:t>prevalence)</w:t>
            </w:r>
          </w:p>
        </w:tc>
        <w:tc>
          <w:tcPr>
            <w:tcW w:w="741" w:type="pct"/>
            <w:tcBorders>
              <w:top w:val="nil"/>
            </w:tcBorders>
          </w:tcPr>
          <w:p w14:paraId="4829C2D4" w14:textId="77777777" w:rsidR="00AA4F96" w:rsidRDefault="00AA4F96" w:rsidP="00BC7981">
            <w:pPr>
              <w:pStyle w:val="TableParagraph"/>
              <w:spacing w:before="0"/>
              <w:rPr>
                <w:sz w:val="2"/>
              </w:rPr>
            </w:pPr>
          </w:p>
        </w:tc>
        <w:tc>
          <w:tcPr>
            <w:tcW w:w="601" w:type="pct"/>
            <w:tcBorders>
              <w:top w:val="nil"/>
            </w:tcBorders>
          </w:tcPr>
          <w:p w14:paraId="05241F3A" w14:textId="77777777" w:rsidR="00AA4F96" w:rsidRDefault="00AA4F96" w:rsidP="00D35A6C">
            <w:pPr>
              <w:pStyle w:val="TableParagraph"/>
              <w:spacing w:before="0"/>
              <w:jc w:val="left"/>
              <w:rPr>
                <w:sz w:val="2"/>
              </w:rPr>
            </w:pPr>
          </w:p>
        </w:tc>
        <w:tc>
          <w:tcPr>
            <w:tcW w:w="604" w:type="pct"/>
            <w:tcBorders>
              <w:top w:val="nil"/>
            </w:tcBorders>
          </w:tcPr>
          <w:p w14:paraId="55CEB03D" w14:textId="77777777" w:rsidR="00AA4F96" w:rsidRDefault="00AA4F96" w:rsidP="00D35A6C">
            <w:pPr>
              <w:pStyle w:val="TableParagraph"/>
              <w:spacing w:before="0"/>
              <w:jc w:val="left"/>
              <w:rPr>
                <w:sz w:val="2"/>
              </w:rPr>
            </w:pPr>
          </w:p>
        </w:tc>
        <w:tc>
          <w:tcPr>
            <w:tcW w:w="601" w:type="pct"/>
            <w:tcBorders>
              <w:top w:val="nil"/>
            </w:tcBorders>
          </w:tcPr>
          <w:p w14:paraId="754BE887" w14:textId="77777777" w:rsidR="00AA4F96" w:rsidRDefault="00AA4F96" w:rsidP="00D35A6C">
            <w:pPr>
              <w:pStyle w:val="TableParagraph"/>
              <w:spacing w:before="0"/>
              <w:jc w:val="left"/>
              <w:rPr>
                <w:sz w:val="2"/>
              </w:rPr>
            </w:pPr>
          </w:p>
        </w:tc>
        <w:tc>
          <w:tcPr>
            <w:tcW w:w="604" w:type="pct"/>
            <w:tcBorders>
              <w:top w:val="nil"/>
            </w:tcBorders>
          </w:tcPr>
          <w:p w14:paraId="7C24711C" w14:textId="77777777" w:rsidR="00AA4F96" w:rsidRDefault="00AA4F96" w:rsidP="00D35A6C">
            <w:pPr>
              <w:pStyle w:val="TableParagraph"/>
              <w:spacing w:before="0"/>
              <w:jc w:val="left"/>
              <w:rPr>
                <w:sz w:val="2"/>
              </w:rPr>
            </w:pPr>
          </w:p>
        </w:tc>
        <w:tc>
          <w:tcPr>
            <w:tcW w:w="604" w:type="pct"/>
            <w:tcBorders>
              <w:top w:val="nil"/>
            </w:tcBorders>
          </w:tcPr>
          <w:p w14:paraId="1D1438EF" w14:textId="77777777" w:rsidR="00AA4F96" w:rsidRDefault="00AA4F96" w:rsidP="00D35A6C">
            <w:pPr>
              <w:pStyle w:val="TableParagraph"/>
              <w:spacing w:before="0"/>
              <w:jc w:val="left"/>
              <w:rPr>
                <w:sz w:val="2"/>
              </w:rPr>
            </w:pPr>
          </w:p>
        </w:tc>
        <w:tc>
          <w:tcPr>
            <w:tcW w:w="601" w:type="pct"/>
            <w:tcBorders>
              <w:top w:val="nil"/>
            </w:tcBorders>
          </w:tcPr>
          <w:p w14:paraId="2BD8E2BF" w14:textId="77777777" w:rsidR="00AA4F96" w:rsidRDefault="00AA4F96" w:rsidP="00D35A6C">
            <w:pPr>
              <w:pStyle w:val="TableParagraph"/>
              <w:spacing w:before="0"/>
              <w:jc w:val="left"/>
              <w:rPr>
                <w:sz w:val="2"/>
              </w:rPr>
            </w:pPr>
          </w:p>
        </w:tc>
      </w:tr>
      <w:tr w:rsidR="00AA4F96" w14:paraId="35AAA3F3" w14:textId="77777777" w:rsidTr="71DFC815">
        <w:trPr>
          <w:trHeight w:hRule="exact" w:val="518"/>
        </w:trPr>
        <w:tc>
          <w:tcPr>
            <w:tcW w:w="643" w:type="pct"/>
          </w:tcPr>
          <w:p w14:paraId="47D8F0EE" w14:textId="77777777" w:rsidR="00AA4F96" w:rsidRDefault="00AA4F96" w:rsidP="00D35A6C">
            <w:pPr>
              <w:rPr>
                <w:sz w:val="2"/>
                <w:szCs w:val="2"/>
              </w:rPr>
            </w:pPr>
          </w:p>
        </w:tc>
        <w:tc>
          <w:tcPr>
            <w:tcW w:w="741" w:type="pct"/>
          </w:tcPr>
          <w:p w14:paraId="689FA28A" w14:textId="77777777" w:rsidR="00AA4F96" w:rsidRDefault="00AA4F96" w:rsidP="00BC7981">
            <w:pPr>
              <w:pStyle w:val="TableParagraph"/>
              <w:spacing w:before="43"/>
              <w:ind w:right="249"/>
              <w:rPr>
                <w:sz w:val="18"/>
              </w:rPr>
            </w:pPr>
            <w:r>
              <w:rPr>
                <w:sz w:val="18"/>
              </w:rPr>
              <w:t>(min,</w:t>
            </w:r>
            <w:r>
              <w:rPr>
                <w:spacing w:val="-1"/>
                <w:sz w:val="18"/>
              </w:rPr>
              <w:t xml:space="preserve"> </w:t>
            </w:r>
            <w:r>
              <w:rPr>
                <w:sz w:val="18"/>
              </w:rPr>
              <w:t>max)</w:t>
            </w:r>
          </w:p>
        </w:tc>
        <w:tc>
          <w:tcPr>
            <w:tcW w:w="601" w:type="pct"/>
          </w:tcPr>
          <w:p w14:paraId="4F2B7E4B" w14:textId="77777777" w:rsidR="00AA4F96" w:rsidRDefault="00AA4F96" w:rsidP="00D35A6C">
            <w:pPr>
              <w:pStyle w:val="TableParagraph"/>
              <w:spacing w:before="43"/>
              <w:ind w:left="105" w:right="101"/>
              <w:rPr>
                <w:sz w:val="18"/>
              </w:rPr>
            </w:pPr>
            <w:r>
              <w:rPr>
                <w:sz w:val="18"/>
              </w:rPr>
              <w:t>(80,</w:t>
            </w:r>
            <w:r>
              <w:rPr>
                <w:spacing w:val="-1"/>
                <w:sz w:val="18"/>
              </w:rPr>
              <w:t xml:space="preserve"> </w:t>
            </w:r>
            <w:r>
              <w:rPr>
                <w:sz w:val="18"/>
              </w:rPr>
              <w:t>5120)</w:t>
            </w:r>
          </w:p>
        </w:tc>
        <w:tc>
          <w:tcPr>
            <w:tcW w:w="604" w:type="pct"/>
          </w:tcPr>
          <w:p w14:paraId="5298EE3E" w14:textId="77777777" w:rsidR="00AA4F96" w:rsidRDefault="00AA4F96" w:rsidP="00D35A6C">
            <w:pPr>
              <w:pStyle w:val="TableParagraph"/>
              <w:spacing w:before="43"/>
              <w:ind w:left="106" w:right="104"/>
              <w:rPr>
                <w:sz w:val="18"/>
              </w:rPr>
            </w:pPr>
            <w:r>
              <w:rPr>
                <w:sz w:val="18"/>
              </w:rPr>
              <w:t>(160,</w:t>
            </w:r>
            <w:r>
              <w:rPr>
                <w:spacing w:val="-1"/>
                <w:sz w:val="18"/>
              </w:rPr>
              <w:t xml:space="preserve"> </w:t>
            </w:r>
            <w:r>
              <w:rPr>
                <w:sz w:val="18"/>
              </w:rPr>
              <w:t>1280)</w:t>
            </w:r>
          </w:p>
        </w:tc>
        <w:tc>
          <w:tcPr>
            <w:tcW w:w="601" w:type="pct"/>
          </w:tcPr>
          <w:p w14:paraId="4FF8A90C" w14:textId="77777777" w:rsidR="00AA4F96" w:rsidRDefault="00AA4F96" w:rsidP="00D35A6C">
            <w:pPr>
              <w:pStyle w:val="TableParagraph"/>
              <w:spacing w:before="43"/>
              <w:ind w:right="158"/>
              <w:jc w:val="right"/>
              <w:rPr>
                <w:sz w:val="18"/>
              </w:rPr>
            </w:pPr>
            <w:r>
              <w:rPr>
                <w:sz w:val="18"/>
              </w:rPr>
              <w:t>(40,</w:t>
            </w:r>
            <w:r>
              <w:rPr>
                <w:spacing w:val="-2"/>
                <w:sz w:val="18"/>
              </w:rPr>
              <w:t xml:space="preserve"> </w:t>
            </w:r>
            <w:r>
              <w:rPr>
                <w:sz w:val="18"/>
              </w:rPr>
              <w:t>5120)</w:t>
            </w:r>
          </w:p>
        </w:tc>
        <w:tc>
          <w:tcPr>
            <w:tcW w:w="604" w:type="pct"/>
          </w:tcPr>
          <w:p w14:paraId="117A1A1D" w14:textId="77777777" w:rsidR="00AA4F96" w:rsidRDefault="00AA4F96" w:rsidP="00D35A6C">
            <w:pPr>
              <w:pStyle w:val="TableParagraph"/>
              <w:spacing w:before="43"/>
              <w:ind w:left="106" w:right="104"/>
              <w:rPr>
                <w:sz w:val="18"/>
              </w:rPr>
            </w:pPr>
            <w:r>
              <w:rPr>
                <w:sz w:val="18"/>
              </w:rPr>
              <w:t>(40,</w:t>
            </w:r>
            <w:r>
              <w:rPr>
                <w:spacing w:val="-2"/>
                <w:sz w:val="18"/>
              </w:rPr>
              <w:t xml:space="preserve"> </w:t>
            </w:r>
            <w:r>
              <w:rPr>
                <w:sz w:val="18"/>
              </w:rPr>
              <w:t>640)</w:t>
            </w:r>
          </w:p>
        </w:tc>
        <w:tc>
          <w:tcPr>
            <w:tcW w:w="604" w:type="pct"/>
          </w:tcPr>
          <w:p w14:paraId="14487B77" w14:textId="77777777" w:rsidR="00AA4F96" w:rsidRDefault="00AA4F96" w:rsidP="00D35A6C">
            <w:pPr>
              <w:pStyle w:val="TableParagraph"/>
              <w:spacing w:before="43"/>
              <w:ind w:left="106" w:right="99"/>
              <w:rPr>
                <w:sz w:val="18"/>
              </w:rPr>
            </w:pPr>
            <w:r>
              <w:rPr>
                <w:sz w:val="18"/>
              </w:rPr>
              <w:t>(40,</w:t>
            </w:r>
            <w:r>
              <w:rPr>
                <w:spacing w:val="-2"/>
                <w:sz w:val="18"/>
              </w:rPr>
              <w:t xml:space="preserve"> </w:t>
            </w:r>
            <w:r>
              <w:rPr>
                <w:sz w:val="18"/>
              </w:rPr>
              <w:t>5120)</w:t>
            </w:r>
          </w:p>
        </w:tc>
        <w:tc>
          <w:tcPr>
            <w:tcW w:w="601" w:type="pct"/>
          </w:tcPr>
          <w:p w14:paraId="3BB54F29" w14:textId="77777777" w:rsidR="00AA4F96" w:rsidRDefault="00AA4F96" w:rsidP="00D35A6C">
            <w:pPr>
              <w:pStyle w:val="TableParagraph"/>
              <w:spacing w:before="43"/>
              <w:ind w:left="103" w:right="101"/>
              <w:rPr>
                <w:sz w:val="18"/>
              </w:rPr>
            </w:pPr>
            <w:r>
              <w:rPr>
                <w:sz w:val="18"/>
              </w:rPr>
              <w:t>(40,</w:t>
            </w:r>
            <w:r>
              <w:rPr>
                <w:spacing w:val="-2"/>
                <w:sz w:val="18"/>
              </w:rPr>
              <w:t xml:space="preserve"> </w:t>
            </w:r>
            <w:r>
              <w:rPr>
                <w:sz w:val="18"/>
              </w:rPr>
              <w:t>1280)</w:t>
            </w:r>
          </w:p>
        </w:tc>
      </w:tr>
      <w:tr w:rsidR="00AA4F96" w14:paraId="300ECC6F" w14:textId="77777777" w:rsidTr="00BC7981">
        <w:trPr>
          <w:trHeight w:hRule="exact" w:val="331"/>
        </w:trPr>
        <w:tc>
          <w:tcPr>
            <w:tcW w:w="643" w:type="pct"/>
            <w:tcBorders>
              <w:bottom w:val="nil"/>
            </w:tcBorders>
          </w:tcPr>
          <w:p w14:paraId="6E6062C3" w14:textId="77777777" w:rsidR="00AA4F96" w:rsidRDefault="00AA4F96" w:rsidP="00BC7981">
            <w:pPr>
              <w:pStyle w:val="TableParagraph"/>
              <w:jc w:val="left"/>
              <w:rPr>
                <w:sz w:val="20"/>
              </w:rPr>
            </w:pPr>
            <w:r>
              <w:rPr>
                <w:sz w:val="20"/>
              </w:rPr>
              <w:t>TE-ADA</w:t>
            </w:r>
          </w:p>
        </w:tc>
        <w:tc>
          <w:tcPr>
            <w:tcW w:w="741" w:type="pct"/>
          </w:tcPr>
          <w:p w14:paraId="02B9C99B" w14:textId="77777777" w:rsidR="00AA4F96" w:rsidRDefault="00AA4F96" w:rsidP="00BC7981">
            <w:pPr>
              <w:pStyle w:val="TableParagraph"/>
              <w:spacing w:before="43"/>
              <w:ind w:right="249"/>
              <w:rPr>
                <w:sz w:val="18"/>
              </w:rPr>
            </w:pPr>
            <w:r>
              <w:rPr>
                <w:sz w:val="18"/>
              </w:rPr>
              <w:t>n</w:t>
            </w:r>
            <w:r>
              <w:rPr>
                <w:spacing w:val="-1"/>
                <w:sz w:val="18"/>
              </w:rPr>
              <w:t xml:space="preserve"> </w:t>
            </w:r>
            <w:r>
              <w:rPr>
                <w:sz w:val="18"/>
              </w:rPr>
              <w:t>(%)</w:t>
            </w:r>
          </w:p>
        </w:tc>
        <w:tc>
          <w:tcPr>
            <w:tcW w:w="601" w:type="pct"/>
          </w:tcPr>
          <w:p w14:paraId="2C77EF0A" w14:textId="77777777" w:rsidR="00AA4F96" w:rsidRDefault="00AA4F96" w:rsidP="00D35A6C">
            <w:pPr>
              <w:pStyle w:val="TableParagraph"/>
              <w:spacing w:before="43"/>
              <w:ind w:left="103" w:right="101"/>
              <w:rPr>
                <w:sz w:val="18"/>
              </w:rPr>
            </w:pPr>
            <w:r>
              <w:rPr>
                <w:sz w:val="18"/>
              </w:rPr>
              <w:t>6</w:t>
            </w:r>
            <w:r>
              <w:rPr>
                <w:spacing w:val="-1"/>
                <w:sz w:val="18"/>
              </w:rPr>
              <w:t xml:space="preserve"> </w:t>
            </w:r>
            <w:r>
              <w:rPr>
                <w:sz w:val="18"/>
              </w:rPr>
              <w:t>(0.8)</w:t>
            </w:r>
          </w:p>
        </w:tc>
        <w:tc>
          <w:tcPr>
            <w:tcW w:w="604" w:type="pct"/>
          </w:tcPr>
          <w:p w14:paraId="101A212A" w14:textId="77777777" w:rsidR="00AA4F96" w:rsidRDefault="00AA4F96" w:rsidP="00D35A6C">
            <w:pPr>
              <w:pStyle w:val="TableParagraph"/>
              <w:spacing w:before="43"/>
              <w:ind w:left="106" w:right="99"/>
              <w:rPr>
                <w:sz w:val="18"/>
              </w:rPr>
            </w:pPr>
            <w:r>
              <w:rPr>
                <w:sz w:val="18"/>
              </w:rPr>
              <w:t>3</w:t>
            </w:r>
            <w:r>
              <w:rPr>
                <w:spacing w:val="-1"/>
                <w:sz w:val="18"/>
              </w:rPr>
              <w:t xml:space="preserve"> </w:t>
            </w:r>
            <w:r>
              <w:rPr>
                <w:sz w:val="18"/>
              </w:rPr>
              <w:t>(0.8)</w:t>
            </w:r>
          </w:p>
        </w:tc>
        <w:tc>
          <w:tcPr>
            <w:tcW w:w="601" w:type="pct"/>
          </w:tcPr>
          <w:p w14:paraId="5576FA29" w14:textId="77777777" w:rsidR="00AA4F96" w:rsidRDefault="00AA4F96" w:rsidP="00D35A6C">
            <w:pPr>
              <w:pStyle w:val="TableParagraph"/>
              <w:spacing w:before="43"/>
              <w:ind w:left="307"/>
              <w:jc w:val="left"/>
              <w:rPr>
                <w:sz w:val="18"/>
              </w:rPr>
            </w:pPr>
            <w:r>
              <w:rPr>
                <w:sz w:val="18"/>
              </w:rPr>
              <w:t>7</w:t>
            </w:r>
            <w:r>
              <w:rPr>
                <w:spacing w:val="-1"/>
                <w:sz w:val="18"/>
              </w:rPr>
              <w:t xml:space="preserve"> </w:t>
            </w:r>
            <w:r>
              <w:rPr>
                <w:sz w:val="18"/>
              </w:rPr>
              <w:t>(1.1)</w:t>
            </w:r>
          </w:p>
        </w:tc>
        <w:tc>
          <w:tcPr>
            <w:tcW w:w="604" w:type="pct"/>
          </w:tcPr>
          <w:p w14:paraId="5067CFAF" w14:textId="77777777" w:rsidR="00AA4F96" w:rsidRDefault="00AA4F96" w:rsidP="00D35A6C">
            <w:pPr>
              <w:pStyle w:val="TableParagraph"/>
              <w:spacing w:before="43"/>
              <w:ind w:left="106" w:right="99"/>
              <w:rPr>
                <w:sz w:val="18"/>
              </w:rPr>
            </w:pPr>
            <w:r>
              <w:rPr>
                <w:sz w:val="18"/>
              </w:rPr>
              <w:t>2</w:t>
            </w:r>
            <w:r>
              <w:rPr>
                <w:spacing w:val="-1"/>
                <w:sz w:val="18"/>
              </w:rPr>
              <w:t xml:space="preserve"> </w:t>
            </w:r>
            <w:r>
              <w:rPr>
                <w:sz w:val="18"/>
              </w:rPr>
              <w:t>(0.6)</w:t>
            </w:r>
          </w:p>
        </w:tc>
        <w:tc>
          <w:tcPr>
            <w:tcW w:w="604" w:type="pct"/>
          </w:tcPr>
          <w:p w14:paraId="39974FC8" w14:textId="77777777" w:rsidR="00AA4F96" w:rsidRDefault="00AA4F96" w:rsidP="00D35A6C">
            <w:pPr>
              <w:pStyle w:val="TableParagraph"/>
              <w:spacing w:before="43"/>
              <w:ind w:left="106" w:right="104"/>
              <w:rPr>
                <w:sz w:val="18"/>
              </w:rPr>
            </w:pPr>
            <w:r>
              <w:rPr>
                <w:sz w:val="18"/>
              </w:rPr>
              <w:t>10</w:t>
            </w:r>
            <w:r>
              <w:rPr>
                <w:spacing w:val="-1"/>
                <w:sz w:val="18"/>
              </w:rPr>
              <w:t xml:space="preserve"> </w:t>
            </w:r>
            <w:r>
              <w:rPr>
                <w:sz w:val="18"/>
              </w:rPr>
              <w:t>(1.3)</w:t>
            </w:r>
          </w:p>
        </w:tc>
        <w:tc>
          <w:tcPr>
            <w:tcW w:w="601" w:type="pct"/>
          </w:tcPr>
          <w:p w14:paraId="7CDC7203" w14:textId="77777777" w:rsidR="00AA4F96" w:rsidRDefault="00AA4F96" w:rsidP="00D35A6C">
            <w:pPr>
              <w:pStyle w:val="TableParagraph"/>
              <w:spacing w:before="43"/>
              <w:ind w:left="103" w:right="101"/>
              <w:rPr>
                <w:sz w:val="18"/>
                <w:szCs w:val="18"/>
              </w:rPr>
            </w:pPr>
            <w:r w:rsidRPr="71DFC815">
              <w:rPr>
                <w:sz w:val="18"/>
                <w:szCs w:val="18"/>
              </w:rPr>
              <w:t>3</w:t>
            </w:r>
            <w:r w:rsidRPr="71DFC815">
              <w:rPr>
                <w:spacing w:val="-1"/>
                <w:sz w:val="18"/>
                <w:szCs w:val="18"/>
              </w:rPr>
              <w:t xml:space="preserve"> </w:t>
            </w:r>
            <w:r w:rsidRPr="71DFC815">
              <w:rPr>
                <w:sz w:val="18"/>
                <w:szCs w:val="18"/>
              </w:rPr>
              <w:t>(0.8)</w:t>
            </w:r>
          </w:p>
        </w:tc>
      </w:tr>
      <w:tr w:rsidR="00AA4F96" w14:paraId="52C8FEED" w14:textId="77777777" w:rsidTr="00BC7981">
        <w:trPr>
          <w:trHeight w:hRule="exact" w:val="268"/>
        </w:trPr>
        <w:tc>
          <w:tcPr>
            <w:tcW w:w="643" w:type="pct"/>
            <w:tcBorders>
              <w:top w:val="nil"/>
              <w:bottom w:val="nil"/>
            </w:tcBorders>
          </w:tcPr>
          <w:p w14:paraId="42C5952B" w14:textId="77777777" w:rsidR="00AA4F96" w:rsidRDefault="00AA4F96" w:rsidP="00BC7981">
            <w:pPr>
              <w:pStyle w:val="TableParagraph"/>
              <w:spacing w:before="0" w:line="206" w:lineRule="exact"/>
              <w:jc w:val="left"/>
              <w:rPr>
                <w:sz w:val="20"/>
              </w:rPr>
            </w:pPr>
            <w:proofErr w:type="spellStart"/>
            <w:r>
              <w:rPr>
                <w:sz w:val="20"/>
              </w:rPr>
              <w:t>positive</w:t>
            </w:r>
            <w:r>
              <w:rPr>
                <w:sz w:val="20"/>
                <w:vertAlign w:val="superscript"/>
              </w:rPr>
              <w:t>d</w:t>
            </w:r>
            <w:proofErr w:type="spellEnd"/>
          </w:p>
        </w:tc>
        <w:tc>
          <w:tcPr>
            <w:tcW w:w="741" w:type="pct"/>
            <w:tcBorders>
              <w:bottom w:val="nil"/>
            </w:tcBorders>
          </w:tcPr>
          <w:p w14:paraId="30F85A1B" w14:textId="77777777" w:rsidR="00AA4F96" w:rsidRDefault="00AA4F96" w:rsidP="00BC7981">
            <w:pPr>
              <w:pStyle w:val="TableParagraph"/>
              <w:spacing w:line="205" w:lineRule="exact"/>
              <w:ind w:right="249"/>
              <w:rPr>
                <w:sz w:val="18"/>
              </w:rPr>
            </w:pPr>
            <w:r>
              <w:rPr>
                <w:sz w:val="18"/>
              </w:rPr>
              <w:t>Median</w:t>
            </w:r>
            <w:r>
              <w:rPr>
                <w:spacing w:val="-4"/>
                <w:sz w:val="18"/>
              </w:rPr>
              <w:t xml:space="preserve"> </w:t>
            </w:r>
            <w:r>
              <w:rPr>
                <w:sz w:val="18"/>
              </w:rPr>
              <w:t>of</w:t>
            </w:r>
          </w:p>
        </w:tc>
        <w:tc>
          <w:tcPr>
            <w:tcW w:w="601" w:type="pct"/>
            <w:tcBorders>
              <w:bottom w:val="nil"/>
            </w:tcBorders>
          </w:tcPr>
          <w:p w14:paraId="42A57C39" w14:textId="77777777" w:rsidR="00AA4F96" w:rsidRDefault="00AA4F96" w:rsidP="00D35A6C">
            <w:pPr>
              <w:pStyle w:val="TableParagraph"/>
              <w:spacing w:line="205" w:lineRule="exact"/>
              <w:ind w:left="105" w:right="101"/>
              <w:rPr>
                <w:sz w:val="18"/>
              </w:rPr>
            </w:pPr>
            <w:r>
              <w:rPr>
                <w:sz w:val="18"/>
              </w:rPr>
              <w:t>160.0</w:t>
            </w:r>
          </w:p>
        </w:tc>
        <w:tc>
          <w:tcPr>
            <w:tcW w:w="604" w:type="pct"/>
            <w:tcBorders>
              <w:bottom w:val="nil"/>
            </w:tcBorders>
          </w:tcPr>
          <w:p w14:paraId="619B7C4F" w14:textId="77777777" w:rsidR="00AA4F96" w:rsidRDefault="00AA4F96" w:rsidP="00D35A6C">
            <w:pPr>
              <w:pStyle w:val="TableParagraph"/>
              <w:spacing w:line="205" w:lineRule="exact"/>
              <w:ind w:left="106" w:right="97"/>
              <w:rPr>
                <w:sz w:val="18"/>
              </w:rPr>
            </w:pPr>
            <w:r>
              <w:rPr>
                <w:sz w:val="18"/>
              </w:rPr>
              <w:t>320.0</w:t>
            </w:r>
          </w:p>
        </w:tc>
        <w:tc>
          <w:tcPr>
            <w:tcW w:w="601" w:type="pct"/>
            <w:tcBorders>
              <w:bottom w:val="nil"/>
            </w:tcBorders>
          </w:tcPr>
          <w:p w14:paraId="24FCC83B" w14:textId="77777777" w:rsidR="00AA4F96" w:rsidRDefault="00AA4F96" w:rsidP="00D35A6C">
            <w:pPr>
              <w:pStyle w:val="TableParagraph"/>
              <w:spacing w:line="205" w:lineRule="exact"/>
              <w:ind w:left="105" w:right="96"/>
              <w:rPr>
                <w:sz w:val="18"/>
              </w:rPr>
            </w:pPr>
            <w:r>
              <w:rPr>
                <w:sz w:val="18"/>
              </w:rPr>
              <w:t>80.0</w:t>
            </w:r>
          </w:p>
        </w:tc>
        <w:tc>
          <w:tcPr>
            <w:tcW w:w="604" w:type="pct"/>
            <w:tcBorders>
              <w:bottom w:val="nil"/>
            </w:tcBorders>
          </w:tcPr>
          <w:p w14:paraId="109A37A2" w14:textId="77777777" w:rsidR="00AA4F96" w:rsidRDefault="00AA4F96" w:rsidP="00D35A6C">
            <w:pPr>
              <w:pStyle w:val="TableParagraph"/>
              <w:spacing w:line="205" w:lineRule="exact"/>
              <w:ind w:left="106" w:right="97"/>
              <w:rPr>
                <w:sz w:val="18"/>
              </w:rPr>
            </w:pPr>
            <w:r>
              <w:rPr>
                <w:sz w:val="18"/>
              </w:rPr>
              <w:t>240.0</w:t>
            </w:r>
          </w:p>
        </w:tc>
        <w:tc>
          <w:tcPr>
            <w:tcW w:w="604" w:type="pct"/>
            <w:tcBorders>
              <w:bottom w:val="nil"/>
            </w:tcBorders>
          </w:tcPr>
          <w:p w14:paraId="0754FE2C" w14:textId="77777777" w:rsidR="00AA4F96" w:rsidRDefault="00AA4F96" w:rsidP="00D35A6C">
            <w:pPr>
              <w:pStyle w:val="TableParagraph"/>
              <w:spacing w:line="205" w:lineRule="exact"/>
              <w:ind w:left="106" w:right="97"/>
              <w:rPr>
                <w:sz w:val="18"/>
              </w:rPr>
            </w:pPr>
            <w:r>
              <w:rPr>
                <w:sz w:val="18"/>
              </w:rPr>
              <w:t>160.0</w:t>
            </w:r>
          </w:p>
        </w:tc>
        <w:tc>
          <w:tcPr>
            <w:tcW w:w="601" w:type="pct"/>
            <w:tcBorders>
              <w:bottom w:val="nil"/>
            </w:tcBorders>
          </w:tcPr>
          <w:p w14:paraId="62A799ED" w14:textId="77777777" w:rsidR="00AA4F96" w:rsidRDefault="00AA4F96" w:rsidP="00D35A6C">
            <w:pPr>
              <w:pStyle w:val="TableParagraph"/>
              <w:spacing w:line="205" w:lineRule="exact"/>
              <w:ind w:left="105" w:right="101"/>
              <w:rPr>
                <w:sz w:val="18"/>
              </w:rPr>
            </w:pPr>
            <w:r>
              <w:rPr>
                <w:sz w:val="18"/>
              </w:rPr>
              <w:t>320.0</w:t>
            </w:r>
          </w:p>
        </w:tc>
      </w:tr>
      <w:tr w:rsidR="00AA4F96" w14:paraId="6ECC174C" w14:textId="77777777" w:rsidTr="00BC7981">
        <w:trPr>
          <w:trHeight w:hRule="exact" w:val="261"/>
        </w:trPr>
        <w:tc>
          <w:tcPr>
            <w:tcW w:w="643" w:type="pct"/>
            <w:tcBorders>
              <w:top w:val="nil"/>
              <w:bottom w:val="nil"/>
            </w:tcBorders>
          </w:tcPr>
          <w:p w14:paraId="03E89E2C" w14:textId="77777777" w:rsidR="00AA4F96" w:rsidRDefault="00AA4F96" w:rsidP="00BC7981">
            <w:pPr>
              <w:pStyle w:val="TableParagraph"/>
              <w:spacing w:before="10"/>
              <w:jc w:val="left"/>
              <w:rPr>
                <w:sz w:val="20"/>
              </w:rPr>
            </w:pPr>
            <w:r>
              <w:rPr>
                <w:sz w:val="20"/>
              </w:rPr>
              <w:t>(ADA</w:t>
            </w:r>
          </w:p>
        </w:tc>
        <w:tc>
          <w:tcPr>
            <w:tcW w:w="741" w:type="pct"/>
            <w:tcBorders>
              <w:top w:val="nil"/>
              <w:bottom w:val="nil"/>
            </w:tcBorders>
          </w:tcPr>
          <w:p w14:paraId="0E08A9D2" w14:textId="77777777" w:rsidR="00AA4F96" w:rsidRDefault="00AA4F96" w:rsidP="00BC7981">
            <w:pPr>
              <w:pStyle w:val="TableParagraph"/>
              <w:spacing w:before="15"/>
              <w:rPr>
                <w:sz w:val="18"/>
              </w:rPr>
            </w:pPr>
            <w:r>
              <w:rPr>
                <w:sz w:val="18"/>
              </w:rPr>
              <w:t>maximum</w:t>
            </w:r>
            <w:r>
              <w:rPr>
                <w:spacing w:val="-1"/>
                <w:sz w:val="18"/>
              </w:rPr>
              <w:t xml:space="preserve"> </w:t>
            </w:r>
            <w:r>
              <w:rPr>
                <w:sz w:val="18"/>
              </w:rPr>
              <w:t>titer</w:t>
            </w:r>
          </w:p>
        </w:tc>
        <w:tc>
          <w:tcPr>
            <w:tcW w:w="601" w:type="pct"/>
            <w:tcBorders>
              <w:top w:val="nil"/>
              <w:bottom w:val="nil"/>
            </w:tcBorders>
          </w:tcPr>
          <w:p w14:paraId="7D679ABA" w14:textId="77777777" w:rsidR="00AA4F96" w:rsidRDefault="00AA4F96" w:rsidP="00D35A6C">
            <w:pPr>
              <w:pStyle w:val="TableParagraph"/>
              <w:spacing w:before="0"/>
              <w:jc w:val="left"/>
              <w:rPr>
                <w:sz w:val="18"/>
              </w:rPr>
            </w:pPr>
          </w:p>
        </w:tc>
        <w:tc>
          <w:tcPr>
            <w:tcW w:w="604" w:type="pct"/>
            <w:tcBorders>
              <w:top w:val="nil"/>
              <w:bottom w:val="nil"/>
            </w:tcBorders>
          </w:tcPr>
          <w:p w14:paraId="0AA7CFAE" w14:textId="77777777" w:rsidR="00AA4F96" w:rsidRDefault="00AA4F96" w:rsidP="00D35A6C">
            <w:pPr>
              <w:pStyle w:val="TableParagraph"/>
              <w:spacing w:before="0"/>
              <w:jc w:val="left"/>
              <w:rPr>
                <w:sz w:val="18"/>
              </w:rPr>
            </w:pPr>
          </w:p>
        </w:tc>
        <w:tc>
          <w:tcPr>
            <w:tcW w:w="601" w:type="pct"/>
            <w:tcBorders>
              <w:top w:val="nil"/>
              <w:bottom w:val="nil"/>
            </w:tcBorders>
          </w:tcPr>
          <w:p w14:paraId="62D6EE4C" w14:textId="77777777" w:rsidR="00AA4F96" w:rsidRDefault="00AA4F96" w:rsidP="00D35A6C">
            <w:pPr>
              <w:pStyle w:val="TableParagraph"/>
              <w:spacing w:before="0"/>
              <w:jc w:val="left"/>
              <w:rPr>
                <w:sz w:val="18"/>
              </w:rPr>
            </w:pPr>
          </w:p>
        </w:tc>
        <w:tc>
          <w:tcPr>
            <w:tcW w:w="604" w:type="pct"/>
            <w:tcBorders>
              <w:top w:val="nil"/>
              <w:bottom w:val="nil"/>
            </w:tcBorders>
          </w:tcPr>
          <w:p w14:paraId="6A80BA44" w14:textId="77777777" w:rsidR="00AA4F96" w:rsidRDefault="00AA4F96" w:rsidP="00D35A6C">
            <w:pPr>
              <w:pStyle w:val="TableParagraph"/>
              <w:spacing w:before="0"/>
              <w:jc w:val="left"/>
              <w:rPr>
                <w:sz w:val="18"/>
              </w:rPr>
            </w:pPr>
          </w:p>
        </w:tc>
        <w:tc>
          <w:tcPr>
            <w:tcW w:w="604" w:type="pct"/>
            <w:tcBorders>
              <w:top w:val="nil"/>
              <w:bottom w:val="nil"/>
            </w:tcBorders>
          </w:tcPr>
          <w:p w14:paraId="6776A8AE" w14:textId="77777777" w:rsidR="00AA4F96" w:rsidRDefault="00AA4F96" w:rsidP="00D35A6C">
            <w:pPr>
              <w:pStyle w:val="TableParagraph"/>
              <w:spacing w:before="0"/>
              <w:jc w:val="left"/>
              <w:rPr>
                <w:sz w:val="18"/>
              </w:rPr>
            </w:pPr>
          </w:p>
        </w:tc>
        <w:tc>
          <w:tcPr>
            <w:tcW w:w="601" w:type="pct"/>
            <w:tcBorders>
              <w:top w:val="nil"/>
              <w:bottom w:val="nil"/>
            </w:tcBorders>
          </w:tcPr>
          <w:p w14:paraId="4E31FD37" w14:textId="77777777" w:rsidR="00AA4F96" w:rsidRDefault="00AA4F96" w:rsidP="00D35A6C">
            <w:pPr>
              <w:pStyle w:val="TableParagraph"/>
              <w:spacing w:before="0"/>
              <w:jc w:val="left"/>
              <w:rPr>
                <w:sz w:val="18"/>
              </w:rPr>
            </w:pPr>
          </w:p>
        </w:tc>
      </w:tr>
      <w:tr w:rsidR="00AA4F96" w14:paraId="5AB6CDB9" w14:textId="77777777" w:rsidTr="71DFC815">
        <w:trPr>
          <w:trHeight w:hRule="exact" w:val="36"/>
        </w:trPr>
        <w:tc>
          <w:tcPr>
            <w:tcW w:w="643" w:type="pct"/>
            <w:vMerge w:val="restart"/>
            <w:tcBorders>
              <w:top w:val="nil"/>
            </w:tcBorders>
          </w:tcPr>
          <w:p w14:paraId="26A6A32A" w14:textId="77777777" w:rsidR="00AA4F96" w:rsidRDefault="00AA4F96" w:rsidP="00BC7981">
            <w:pPr>
              <w:pStyle w:val="TableParagraph"/>
              <w:spacing w:before="13"/>
              <w:jc w:val="left"/>
              <w:rPr>
                <w:sz w:val="20"/>
              </w:rPr>
            </w:pPr>
            <w:r>
              <w:rPr>
                <w:sz w:val="20"/>
              </w:rPr>
              <w:t>incidence)</w:t>
            </w:r>
          </w:p>
        </w:tc>
        <w:tc>
          <w:tcPr>
            <w:tcW w:w="741" w:type="pct"/>
          </w:tcPr>
          <w:p w14:paraId="61CE531B" w14:textId="77777777" w:rsidR="00AA4F96" w:rsidRDefault="00AA4F96" w:rsidP="00BC7981">
            <w:pPr>
              <w:jc w:val="center"/>
              <w:rPr>
                <w:sz w:val="2"/>
                <w:szCs w:val="2"/>
              </w:rPr>
            </w:pPr>
          </w:p>
        </w:tc>
        <w:tc>
          <w:tcPr>
            <w:tcW w:w="601" w:type="pct"/>
          </w:tcPr>
          <w:p w14:paraId="43570C46" w14:textId="77777777" w:rsidR="00AA4F96" w:rsidRDefault="00AA4F96" w:rsidP="00D35A6C">
            <w:pPr>
              <w:rPr>
                <w:sz w:val="2"/>
                <w:szCs w:val="2"/>
              </w:rPr>
            </w:pPr>
          </w:p>
        </w:tc>
        <w:tc>
          <w:tcPr>
            <w:tcW w:w="604" w:type="pct"/>
          </w:tcPr>
          <w:p w14:paraId="7D7EAE9F" w14:textId="77777777" w:rsidR="00AA4F96" w:rsidRDefault="00AA4F96" w:rsidP="00D35A6C">
            <w:pPr>
              <w:rPr>
                <w:sz w:val="2"/>
                <w:szCs w:val="2"/>
              </w:rPr>
            </w:pPr>
          </w:p>
        </w:tc>
        <w:tc>
          <w:tcPr>
            <w:tcW w:w="601" w:type="pct"/>
          </w:tcPr>
          <w:p w14:paraId="7FFDF7C1" w14:textId="77777777" w:rsidR="00AA4F96" w:rsidRDefault="00AA4F96" w:rsidP="00D35A6C">
            <w:pPr>
              <w:rPr>
                <w:sz w:val="2"/>
                <w:szCs w:val="2"/>
              </w:rPr>
            </w:pPr>
          </w:p>
        </w:tc>
        <w:tc>
          <w:tcPr>
            <w:tcW w:w="604" w:type="pct"/>
          </w:tcPr>
          <w:p w14:paraId="4D1699D4" w14:textId="77777777" w:rsidR="00AA4F96" w:rsidRDefault="00AA4F96" w:rsidP="00D35A6C">
            <w:pPr>
              <w:rPr>
                <w:sz w:val="2"/>
                <w:szCs w:val="2"/>
              </w:rPr>
            </w:pPr>
          </w:p>
        </w:tc>
        <w:tc>
          <w:tcPr>
            <w:tcW w:w="604" w:type="pct"/>
          </w:tcPr>
          <w:p w14:paraId="77183773" w14:textId="77777777" w:rsidR="00AA4F96" w:rsidRDefault="00AA4F96" w:rsidP="00D35A6C">
            <w:pPr>
              <w:rPr>
                <w:sz w:val="2"/>
                <w:szCs w:val="2"/>
              </w:rPr>
            </w:pPr>
          </w:p>
        </w:tc>
        <w:tc>
          <w:tcPr>
            <w:tcW w:w="601" w:type="pct"/>
          </w:tcPr>
          <w:p w14:paraId="77142405" w14:textId="77777777" w:rsidR="00AA4F96" w:rsidRDefault="00AA4F96" w:rsidP="00D35A6C">
            <w:pPr>
              <w:rPr>
                <w:sz w:val="2"/>
                <w:szCs w:val="2"/>
              </w:rPr>
            </w:pPr>
          </w:p>
        </w:tc>
      </w:tr>
      <w:tr w:rsidR="00AA4F96" w14:paraId="187BA0FC" w14:textId="77777777" w:rsidTr="71DFC815">
        <w:trPr>
          <w:trHeight w:hRule="exact" w:val="326"/>
        </w:trPr>
        <w:tc>
          <w:tcPr>
            <w:tcW w:w="643" w:type="pct"/>
            <w:vMerge/>
          </w:tcPr>
          <w:p w14:paraId="31FF206D" w14:textId="77777777" w:rsidR="00AA4F96" w:rsidRDefault="00AA4F96" w:rsidP="00D35A6C">
            <w:pPr>
              <w:rPr>
                <w:sz w:val="2"/>
                <w:szCs w:val="2"/>
              </w:rPr>
            </w:pPr>
          </w:p>
        </w:tc>
        <w:tc>
          <w:tcPr>
            <w:tcW w:w="741" w:type="pct"/>
          </w:tcPr>
          <w:p w14:paraId="238BD6DB" w14:textId="77777777" w:rsidR="00AA4F96" w:rsidRDefault="00AA4F96" w:rsidP="00BC7981">
            <w:pPr>
              <w:pStyle w:val="TableParagraph"/>
              <w:ind w:right="249"/>
              <w:rPr>
                <w:sz w:val="18"/>
              </w:rPr>
            </w:pPr>
            <w:r>
              <w:rPr>
                <w:sz w:val="18"/>
              </w:rPr>
              <w:t>(min,</w:t>
            </w:r>
            <w:r>
              <w:rPr>
                <w:spacing w:val="-1"/>
                <w:sz w:val="18"/>
              </w:rPr>
              <w:t xml:space="preserve"> </w:t>
            </w:r>
            <w:r>
              <w:rPr>
                <w:sz w:val="18"/>
              </w:rPr>
              <w:t>max)</w:t>
            </w:r>
          </w:p>
        </w:tc>
        <w:tc>
          <w:tcPr>
            <w:tcW w:w="601" w:type="pct"/>
          </w:tcPr>
          <w:p w14:paraId="46BE608E" w14:textId="77777777" w:rsidR="00AA4F96" w:rsidRDefault="00AA4F96" w:rsidP="00BC7981">
            <w:pPr>
              <w:pStyle w:val="TableParagraph"/>
              <w:ind w:right="101"/>
              <w:jc w:val="left"/>
              <w:rPr>
                <w:sz w:val="18"/>
              </w:rPr>
            </w:pPr>
            <w:r>
              <w:rPr>
                <w:sz w:val="18"/>
              </w:rPr>
              <w:t>(160,</w:t>
            </w:r>
            <w:r>
              <w:rPr>
                <w:spacing w:val="-2"/>
                <w:sz w:val="18"/>
              </w:rPr>
              <w:t xml:space="preserve"> </w:t>
            </w:r>
            <w:r>
              <w:rPr>
                <w:sz w:val="18"/>
              </w:rPr>
              <w:t>1280)</w:t>
            </w:r>
          </w:p>
        </w:tc>
        <w:tc>
          <w:tcPr>
            <w:tcW w:w="604" w:type="pct"/>
          </w:tcPr>
          <w:p w14:paraId="108B0EFD" w14:textId="77777777" w:rsidR="00AA4F96" w:rsidRDefault="00AA4F96" w:rsidP="00BC7981">
            <w:pPr>
              <w:pStyle w:val="TableParagraph"/>
              <w:ind w:right="99"/>
              <w:jc w:val="left"/>
              <w:rPr>
                <w:sz w:val="18"/>
              </w:rPr>
            </w:pPr>
            <w:r>
              <w:rPr>
                <w:sz w:val="18"/>
              </w:rPr>
              <w:t>(160,</w:t>
            </w:r>
            <w:r>
              <w:rPr>
                <w:spacing w:val="-2"/>
                <w:sz w:val="18"/>
              </w:rPr>
              <w:t xml:space="preserve"> </w:t>
            </w:r>
            <w:r>
              <w:rPr>
                <w:sz w:val="18"/>
              </w:rPr>
              <w:t>320)</w:t>
            </w:r>
          </w:p>
        </w:tc>
        <w:tc>
          <w:tcPr>
            <w:tcW w:w="601" w:type="pct"/>
          </w:tcPr>
          <w:p w14:paraId="41CACCDD" w14:textId="77777777" w:rsidR="00AA4F96" w:rsidRDefault="00AA4F96" w:rsidP="00BC7981">
            <w:pPr>
              <w:pStyle w:val="TableParagraph"/>
              <w:ind w:right="204"/>
              <w:jc w:val="left"/>
              <w:rPr>
                <w:sz w:val="18"/>
              </w:rPr>
            </w:pPr>
            <w:r>
              <w:rPr>
                <w:sz w:val="18"/>
              </w:rPr>
              <w:t>(80,</w:t>
            </w:r>
            <w:r>
              <w:rPr>
                <w:spacing w:val="-1"/>
                <w:sz w:val="18"/>
              </w:rPr>
              <w:t xml:space="preserve"> </w:t>
            </w:r>
            <w:r>
              <w:rPr>
                <w:sz w:val="18"/>
              </w:rPr>
              <w:t>320)</w:t>
            </w:r>
          </w:p>
        </w:tc>
        <w:tc>
          <w:tcPr>
            <w:tcW w:w="604" w:type="pct"/>
          </w:tcPr>
          <w:p w14:paraId="1C2202AB" w14:textId="77777777" w:rsidR="00AA4F96" w:rsidRDefault="00AA4F96" w:rsidP="00BC7981">
            <w:pPr>
              <w:pStyle w:val="TableParagraph"/>
              <w:ind w:right="99"/>
              <w:jc w:val="left"/>
              <w:rPr>
                <w:sz w:val="18"/>
              </w:rPr>
            </w:pPr>
            <w:r>
              <w:rPr>
                <w:sz w:val="18"/>
              </w:rPr>
              <w:t>(160,</w:t>
            </w:r>
            <w:r>
              <w:rPr>
                <w:spacing w:val="-2"/>
                <w:sz w:val="18"/>
              </w:rPr>
              <w:t xml:space="preserve"> </w:t>
            </w:r>
            <w:r>
              <w:rPr>
                <w:sz w:val="18"/>
              </w:rPr>
              <w:t>320)</w:t>
            </w:r>
          </w:p>
        </w:tc>
        <w:tc>
          <w:tcPr>
            <w:tcW w:w="604" w:type="pct"/>
          </w:tcPr>
          <w:p w14:paraId="5FCD1F6E" w14:textId="77777777" w:rsidR="00AA4F96" w:rsidRDefault="00AA4F96" w:rsidP="00BC7981">
            <w:pPr>
              <w:pStyle w:val="TableParagraph"/>
              <w:ind w:right="104"/>
              <w:jc w:val="left"/>
              <w:rPr>
                <w:sz w:val="18"/>
              </w:rPr>
            </w:pPr>
            <w:r>
              <w:rPr>
                <w:sz w:val="18"/>
              </w:rPr>
              <w:t>(80,</w:t>
            </w:r>
            <w:r>
              <w:rPr>
                <w:spacing w:val="-1"/>
                <w:sz w:val="18"/>
              </w:rPr>
              <w:t xml:space="preserve"> </w:t>
            </w:r>
            <w:r>
              <w:rPr>
                <w:sz w:val="18"/>
              </w:rPr>
              <w:t>1280)</w:t>
            </w:r>
          </w:p>
        </w:tc>
        <w:tc>
          <w:tcPr>
            <w:tcW w:w="601" w:type="pct"/>
          </w:tcPr>
          <w:p w14:paraId="5B3B9979" w14:textId="77777777" w:rsidR="00AA4F96" w:rsidRDefault="00AA4F96" w:rsidP="00BC7981">
            <w:pPr>
              <w:pStyle w:val="TableParagraph"/>
              <w:ind w:right="101"/>
              <w:jc w:val="left"/>
              <w:rPr>
                <w:sz w:val="18"/>
              </w:rPr>
            </w:pPr>
            <w:r>
              <w:rPr>
                <w:sz w:val="18"/>
              </w:rPr>
              <w:t>(160,</w:t>
            </w:r>
            <w:r>
              <w:rPr>
                <w:spacing w:val="-2"/>
                <w:sz w:val="18"/>
              </w:rPr>
              <w:t xml:space="preserve"> </w:t>
            </w:r>
            <w:r>
              <w:rPr>
                <w:sz w:val="18"/>
              </w:rPr>
              <w:t>320)</w:t>
            </w:r>
          </w:p>
        </w:tc>
      </w:tr>
    </w:tbl>
    <w:p w14:paraId="59DB97D8" w14:textId="77777777" w:rsidR="00AA4F96" w:rsidRDefault="00AA4F96" w:rsidP="00D35A6C">
      <w:pPr>
        <w:pStyle w:val="TableDescription"/>
      </w:pPr>
      <w:r>
        <w:rPr>
          <w:vertAlign w:val="superscript"/>
        </w:rPr>
        <w:t>a</w:t>
      </w:r>
      <w:r>
        <w:tab/>
        <w:t>Lowest</w:t>
      </w:r>
      <w:r>
        <w:rPr>
          <w:spacing w:val="-2"/>
        </w:rPr>
        <w:t xml:space="preserve"> </w:t>
      </w:r>
      <w:r>
        <w:t>reportable</w:t>
      </w:r>
      <w:r>
        <w:rPr>
          <w:spacing w:val="-2"/>
        </w:rPr>
        <w:t xml:space="preserve"> </w:t>
      </w:r>
      <w:proofErr w:type="spellStart"/>
      <w:r>
        <w:t>titer</w:t>
      </w:r>
      <w:proofErr w:type="spellEnd"/>
      <w:r>
        <w:rPr>
          <w:spacing w:val="-2"/>
        </w:rPr>
        <w:t xml:space="preserve"> </w:t>
      </w:r>
      <w:r>
        <w:t>=</w:t>
      </w:r>
      <w:r>
        <w:rPr>
          <w:spacing w:val="-2"/>
        </w:rPr>
        <w:t xml:space="preserve"> </w:t>
      </w:r>
      <w:r>
        <w:t>80</w:t>
      </w:r>
    </w:p>
    <w:p w14:paraId="585D316E" w14:textId="77777777" w:rsidR="00AA4F96" w:rsidRDefault="00AA4F96" w:rsidP="00D35A6C">
      <w:pPr>
        <w:pStyle w:val="TableDescription"/>
      </w:pPr>
      <w:r>
        <w:rPr>
          <w:vertAlign w:val="superscript"/>
        </w:rPr>
        <w:t>b</w:t>
      </w:r>
      <w:r>
        <w:tab/>
        <w:t>Lowest</w:t>
      </w:r>
      <w:r>
        <w:rPr>
          <w:spacing w:val="-2"/>
        </w:rPr>
        <w:t xml:space="preserve"> </w:t>
      </w:r>
      <w:r>
        <w:t>reportable</w:t>
      </w:r>
      <w:r>
        <w:rPr>
          <w:spacing w:val="-2"/>
        </w:rPr>
        <w:t xml:space="preserve"> </w:t>
      </w:r>
      <w:proofErr w:type="spellStart"/>
      <w:r>
        <w:t>titer</w:t>
      </w:r>
      <w:proofErr w:type="spellEnd"/>
      <w:r>
        <w:rPr>
          <w:spacing w:val="-2"/>
        </w:rPr>
        <w:t xml:space="preserve"> </w:t>
      </w:r>
      <w:r>
        <w:t>=</w:t>
      </w:r>
      <w:r>
        <w:rPr>
          <w:spacing w:val="-2"/>
        </w:rPr>
        <w:t xml:space="preserve"> </w:t>
      </w:r>
      <w:r>
        <w:t>40</w:t>
      </w:r>
    </w:p>
    <w:p w14:paraId="0A3E1B63" w14:textId="6269E2E5" w:rsidR="00AA4F96" w:rsidRDefault="00AA4F96" w:rsidP="00D35A6C">
      <w:pPr>
        <w:pStyle w:val="TableDescription"/>
      </w:pPr>
      <w:r>
        <w:rPr>
          <w:vertAlign w:val="superscript"/>
        </w:rPr>
        <w:t>c</w:t>
      </w:r>
      <w:r>
        <w:tab/>
        <w:t xml:space="preserve">ADA positive to </w:t>
      </w:r>
      <w:proofErr w:type="spellStart"/>
      <w:r w:rsidR="00D77876">
        <w:t>Evusheld</w:t>
      </w:r>
      <w:proofErr w:type="spellEnd"/>
      <w:r>
        <w:t xml:space="preserve"> is defined as ADA positive to </w:t>
      </w:r>
      <w:proofErr w:type="spellStart"/>
      <w:r>
        <w:t>tixagevimab</w:t>
      </w:r>
      <w:proofErr w:type="spellEnd"/>
      <w:r>
        <w:t xml:space="preserve"> and/or </w:t>
      </w:r>
      <w:proofErr w:type="spellStart"/>
      <w:r>
        <w:t>cilgavimab</w:t>
      </w:r>
      <w:proofErr w:type="spellEnd"/>
      <w:r>
        <w:t>; TE-ADA</w:t>
      </w:r>
      <w:r>
        <w:rPr>
          <w:spacing w:val="-47"/>
        </w:rPr>
        <w:t xml:space="preserve"> </w:t>
      </w:r>
      <w:r>
        <w:t>positive</w:t>
      </w:r>
      <w:r>
        <w:rPr>
          <w:spacing w:val="-3"/>
        </w:rPr>
        <w:t xml:space="preserve"> </w:t>
      </w:r>
      <w:r>
        <w:t xml:space="preserve">to </w:t>
      </w:r>
      <w:proofErr w:type="spellStart"/>
      <w:r w:rsidR="00D77876">
        <w:t>Evusheld</w:t>
      </w:r>
      <w:proofErr w:type="spellEnd"/>
      <w:r>
        <w:rPr>
          <w:spacing w:val="-1"/>
        </w:rPr>
        <w:t xml:space="preserve"> </w:t>
      </w:r>
      <w:r>
        <w:t>is</w:t>
      </w:r>
      <w:r>
        <w:rPr>
          <w:spacing w:val="-2"/>
        </w:rPr>
        <w:t xml:space="preserve"> </w:t>
      </w:r>
      <w:r>
        <w:t>defined</w:t>
      </w:r>
      <w:r>
        <w:rPr>
          <w:spacing w:val="-2"/>
        </w:rPr>
        <w:t xml:space="preserve"> </w:t>
      </w:r>
      <w:r>
        <w:t>as</w:t>
      </w:r>
      <w:r>
        <w:rPr>
          <w:spacing w:val="-1"/>
        </w:rPr>
        <w:t xml:space="preserve"> </w:t>
      </w:r>
      <w:r>
        <w:t>TE-ADA</w:t>
      </w:r>
      <w:r>
        <w:rPr>
          <w:spacing w:val="-3"/>
        </w:rPr>
        <w:t xml:space="preserve"> </w:t>
      </w:r>
      <w:r>
        <w:t>positive</w:t>
      </w:r>
      <w:r>
        <w:rPr>
          <w:spacing w:val="-3"/>
        </w:rPr>
        <w:t xml:space="preserve"> </w:t>
      </w:r>
      <w:r>
        <w:t xml:space="preserve">to </w:t>
      </w:r>
      <w:proofErr w:type="spellStart"/>
      <w:r>
        <w:t>tixagevimab</w:t>
      </w:r>
      <w:proofErr w:type="spellEnd"/>
      <w:r>
        <w:rPr>
          <w:spacing w:val="-4"/>
        </w:rPr>
        <w:t xml:space="preserve"> </w:t>
      </w:r>
      <w:r>
        <w:t xml:space="preserve">and/or </w:t>
      </w:r>
      <w:proofErr w:type="spellStart"/>
      <w:r>
        <w:t>cilgavimab</w:t>
      </w:r>
      <w:proofErr w:type="spellEnd"/>
      <w:r>
        <w:t>.</w:t>
      </w:r>
    </w:p>
    <w:p w14:paraId="0BAD50F4" w14:textId="5907296E" w:rsidR="00AA4F96" w:rsidRDefault="00AA4F96" w:rsidP="00D35A6C">
      <w:pPr>
        <w:pStyle w:val="TableDescription"/>
      </w:pPr>
      <w:r>
        <w:rPr>
          <w:vertAlign w:val="superscript"/>
        </w:rPr>
        <w:t>d</w:t>
      </w:r>
      <w:r>
        <w:tab/>
        <w:t>Either</w:t>
      </w:r>
      <w:r>
        <w:rPr>
          <w:spacing w:val="-2"/>
        </w:rPr>
        <w:t xml:space="preserve"> </w:t>
      </w:r>
      <w:r>
        <w:t>ADA</w:t>
      </w:r>
      <w:r>
        <w:rPr>
          <w:spacing w:val="-1"/>
        </w:rPr>
        <w:t xml:space="preserve"> </w:t>
      </w:r>
      <w:r>
        <w:t>negative</w:t>
      </w:r>
      <w:r>
        <w:rPr>
          <w:spacing w:val="-2"/>
        </w:rPr>
        <w:t xml:space="preserve"> </w:t>
      </w:r>
      <w:r>
        <w:t>at</w:t>
      </w:r>
      <w:r>
        <w:rPr>
          <w:spacing w:val="-1"/>
        </w:rPr>
        <w:t xml:space="preserve"> </w:t>
      </w:r>
      <w:r w:rsidR="00D77876">
        <w:t>B</w:t>
      </w:r>
      <w:r>
        <w:t>aseline</w:t>
      </w:r>
      <w:r>
        <w:rPr>
          <w:spacing w:val="-2"/>
        </w:rPr>
        <w:t xml:space="preserve"> </w:t>
      </w:r>
      <w:proofErr w:type="gramStart"/>
      <w:r>
        <w:t>and</w:t>
      </w:r>
      <w:proofErr w:type="gramEnd"/>
      <w:r>
        <w:rPr>
          <w:spacing w:val="-1"/>
        </w:rPr>
        <w:t xml:space="preserve"> </w:t>
      </w:r>
      <w:r>
        <w:t>ADA</w:t>
      </w:r>
      <w:r>
        <w:rPr>
          <w:spacing w:val="-2"/>
        </w:rPr>
        <w:t xml:space="preserve"> </w:t>
      </w:r>
      <w:r>
        <w:t>positive</w:t>
      </w:r>
      <w:r>
        <w:rPr>
          <w:spacing w:val="-1"/>
        </w:rPr>
        <w:t xml:space="preserve"> </w:t>
      </w:r>
      <w:r>
        <w:t>at ≥</w:t>
      </w:r>
      <w:r>
        <w:rPr>
          <w:spacing w:val="-3"/>
        </w:rPr>
        <w:t xml:space="preserve"> </w:t>
      </w:r>
      <w:r>
        <w:t>1</w:t>
      </w:r>
      <w:r>
        <w:rPr>
          <w:spacing w:val="-5"/>
        </w:rPr>
        <w:t xml:space="preserve"> </w:t>
      </w:r>
      <w:r>
        <w:t>post-baseline</w:t>
      </w:r>
      <w:r>
        <w:rPr>
          <w:spacing w:val="-1"/>
        </w:rPr>
        <w:t xml:space="preserve"> </w:t>
      </w:r>
      <w:r>
        <w:t>assessments</w:t>
      </w:r>
      <w:r>
        <w:rPr>
          <w:spacing w:val="-2"/>
        </w:rPr>
        <w:t xml:space="preserve"> </w:t>
      </w:r>
      <w:r>
        <w:t>with</w:t>
      </w:r>
      <w:r>
        <w:rPr>
          <w:spacing w:val="-1"/>
        </w:rPr>
        <w:t xml:space="preserve"> </w:t>
      </w:r>
      <w:r>
        <w:t>ADA</w:t>
      </w:r>
      <w:r>
        <w:rPr>
          <w:spacing w:val="-2"/>
        </w:rPr>
        <w:t xml:space="preserve"> </w:t>
      </w:r>
      <w:proofErr w:type="spellStart"/>
      <w:r>
        <w:t>titer</w:t>
      </w:r>
      <w:proofErr w:type="spellEnd"/>
    </w:p>
    <w:p w14:paraId="130745A9" w14:textId="77777777" w:rsidR="00AA4F96" w:rsidRDefault="00AA4F96" w:rsidP="00D35A6C">
      <w:pPr>
        <w:pStyle w:val="TableDescription"/>
      </w:pPr>
      <w:r>
        <w:t>≥</w:t>
      </w:r>
      <w:r>
        <w:rPr>
          <w:spacing w:val="1"/>
        </w:rPr>
        <w:t xml:space="preserve"> </w:t>
      </w:r>
      <w:r>
        <w:t>2</w:t>
      </w:r>
      <w:r>
        <w:rPr>
          <w:spacing w:val="-2"/>
        </w:rPr>
        <w:t xml:space="preserve"> </w:t>
      </w:r>
      <w:r>
        <w:t>times</w:t>
      </w:r>
      <w:r>
        <w:rPr>
          <w:spacing w:val="-2"/>
        </w:rPr>
        <w:t xml:space="preserve"> </w:t>
      </w:r>
      <w:r>
        <w:t>the</w:t>
      </w:r>
      <w:r>
        <w:rPr>
          <w:spacing w:val="-3"/>
        </w:rPr>
        <w:t xml:space="preserve"> </w:t>
      </w:r>
      <w:r>
        <w:t>MRD</w:t>
      </w:r>
      <w:r>
        <w:rPr>
          <w:spacing w:val="-2"/>
        </w:rPr>
        <w:t xml:space="preserve"> </w:t>
      </w:r>
      <w:r>
        <w:t>of</w:t>
      </w:r>
      <w:r>
        <w:rPr>
          <w:spacing w:val="-2"/>
        </w:rPr>
        <w:t xml:space="preserve"> </w:t>
      </w:r>
      <w:r>
        <w:t>the</w:t>
      </w:r>
      <w:r>
        <w:rPr>
          <w:spacing w:val="-3"/>
        </w:rPr>
        <w:t xml:space="preserve"> </w:t>
      </w:r>
      <w:r>
        <w:t xml:space="preserve">respective </w:t>
      </w:r>
      <w:proofErr w:type="spellStart"/>
      <w:r>
        <w:t>mAb</w:t>
      </w:r>
      <w:proofErr w:type="spellEnd"/>
      <w:r>
        <w:t>,</w:t>
      </w:r>
      <w:r>
        <w:rPr>
          <w:spacing w:val="-1"/>
        </w:rPr>
        <w:t xml:space="preserve"> </w:t>
      </w:r>
      <w:r>
        <w:t>or</w:t>
      </w:r>
      <w:r>
        <w:rPr>
          <w:spacing w:val="-2"/>
        </w:rPr>
        <w:t xml:space="preserve"> </w:t>
      </w:r>
      <w:r>
        <w:t>baseline</w:t>
      </w:r>
      <w:r>
        <w:rPr>
          <w:spacing w:val="-1"/>
        </w:rPr>
        <w:t xml:space="preserve"> </w:t>
      </w:r>
      <w:r>
        <w:t>positive</w:t>
      </w:r>
      <w:r>
        <w:rPr>
          <w:spacing w:val="-1"/>
        </w:rPr>
        <w:t xml:space="preserve"> </w:t>
      </w:r>
      <w:r>
        <w:t>ADA</w:t>
      </w:r>
      <w:r>
        <w:rPr>
          <w:spacing w:val="-3"/>
        </w:rPr>
        <w:t xml:space="preserve"> </w:t>
      </w:r>
      <w:proofErr w:type="spellStart"/>
      <w:r>
        <w:t>titer</w:t>
      </w:r>
      <w:proofErr w:type="spellEnd"/>
      <w:r>
        <w:rPr>
          <w:spacing w:val="-1"/>
        </w:rPr>
        <w:t xml:space="preserve"> </w:t>
      </w:r>
      <w:r>
        <w:t>that</w:t>
      </w:r>
      <w:r>
        <w:rPr>
          <w:spacing w:val="-1"/>
        </w:rPr>
        <w:t xml:space="preserve"> </w:t>
      </w:r>
      <w:r>
        <w:t>was</w:t>
      </w:r>
      <w:r>
        <w:rPr>
          <w:spacing w:val="-3"/>
        </w:rPr>
        <w:t xml:space="preserve"> </w:t>
      </w:r>
      <w:r>
        <w:t>boosted</w:t>
      </w:r>
      <w:r>
        <w:rPr>
          <w:spacing w:val="-1"/>
        </w:rPr>
        <w:t xml:space="preserve"> </w:t>
      </w:r>
      <w:r>
        <w:t>to</w:t>
      </w:r>
      <w:r>
        <w:rPr>
          <w:spacing w:val="1"/>
        </w:rPr>
        <w:t xml:space="preserve"> </w:t>
      </w:r>
      <w:r>
        <w:t>≥</w:t>
      </w:r>
      <w:r>
        <w:rPr>
          <w:spacing w:val="1"/>
        </w:rPr>
        <w:t xml:space="preserve"> </w:t>
      </w:r>
      <w:r>
        <w:t>4-fold</w:t>
      </w:r>
      <w:r>
        <w:rPr>
          <w:spacing w:val="-47"/>
        </w:rPr>
        <w:t xml:space="preserve"> </w:t>
      </w:r>
      <w:r>
        <w:t>during</w:t>
      </w:r>
      <w:r>
        <w:rPr>
          <w:spacing w:val="-2"/>
        </w:rPr>
        <w:t xml:space="preserve"> </w:t>
      </w:r>
      <w:r>
        <w:t>the</w:t>
      </w:r>
      <w:r>
        <w:rPr>
          <w:spacing w:val="-1"/>
        </w:rPr>
        <w:t xml:space="preserve"> </w:t>
      </w:r>
      <w:r>
        <w:t>study</w:t>
      </w:r>
      <w:r>
        <w:rPr>
          <w:spacing w:val="-1"/>
        </w:rPr>
        <w:t xml:space="preserve"> </w:t>
      </w:r>
      <w:r>
        <w:t>period.</w:t>
      </w:r>
    </w:p>
    <w:p w14:paraId="19080D88" w14:textId="77777777" w:rsidR="00AA4F96" w:rsidRDefault="00AA4F96" w:rsidP="00AA4F96">
      <w:pPr>
        <w:rPr>
          <w:sz w:val="20"/>
        </w:rPr>
      </w:pPr>
      <w:r>
        <w:rPr>
          <w:sz w:val="20"/>
        </w:rPr>
        <w:t>ADA, anti-drug antibody; min, minimum; max, maximum; TE-ADA, treatment-emergent ADA.</w:t>
      </w:r>
    </w:p>
    <w:p w14:paraId="7DC26430" w14:textId="667F5C6F" w:rsidR="00AA4F96" w:rsidRPr="001119C4" w:rsidRDefault="00AA4F96" w:rsidP="00AA4F96">
      <w:pPr>
        <w:rPr>
          <w:i/>
          <w:lang w:val="en-US"/>
        </w:rPr>
      </w:pPr>
      <w:bookmarkStart w:id="67" w:name="Table_4_Summary_of_ADA_Responses_to_Tixa"/>
      <w:bookmarkStart w:id="68" w:name="_bookmark22"/>
      <w:bookmarkEnd w:id="67"/>
      <w:bookmarkEnd w:id="68"/>
      <w:r w:rsidRPr="001119C4">
        <w:rPr>
          <w:i/>
          <w:lang w:val="en-US"/>
        </w:rPr>
        <w:t>Participants who had cardiac events in PROVENT</w:t>
      </w:r>
    </w:p>
    <w:p w14:paraId="4D07E3FB" w14:textId="1AC87C09" w:rsidR="00AA4F96" w:rsidRPr="00AA4F96" w:rsidRDefault="00AA4F96" w:rsidP="00AA4F96">
      <w:pPr>
        <w:rPr>
          <w:lang w:val="en-US"/>
        </w:rPr>
      </w:pPr>
      <w:r w:rsidRPr="00AA4F96">
        <w:rPr>
          <w:lang w:val="en-US"/>
        </w:rPr>
        <w:t xml:space="preserve">In </w:t>
      </w:r>
      <w:r w:rsidR="001119C4">
        <w:rPr>
          <w:lang w:val="en-US"/>
        </w:rPr>
        <w:t xml:space="preserve">the </w:t>
      </w:r>
      <w:r w:rsidRPr="00AA4F96">
        <w:rPr>
          <w:lang w:val="en-US"/>
        </w:rPr>
        <w:t>PROVENT</w:t>
      </w:r>
      <w:r w:rsidR="001119C4">
        <w:rPr>
          <w:lang w:val="en-US"/>
        </w:rPr>
        <w:t xml:space="preserve"> trial</w:t>
      </w:r>
      <w:r w:rsidRPr="00AA4F96">
        <w:rPr>
          <w:lang w:val="en-US"/>
        </w:rPr>
        <w:t xml:space="preserve">, 7 out of 30 participants with cardiac disorder </w:t>
      </w:r>
      <w:r w:rsidR="001119C4">
        <w:rPr>
          <w:lang w:val="en-US"/>
        </w:rPr>
        <w:t>serious adverse events or increased troponin adverse event</w:t>
      </w:r>
      <w:r w:rsidRPr="00AA4F96">
        <w:rPr>
          <w:lang w:val="en-US"/>
        </w:rPr>
        <w:t xml:space="preserve">s were </w:t>
      </w:r>
      <w:r w:rsidR="001119C4">
        <w:rPr>
          <w:lang w:val="en-US"/>
        </w:rPr>
        <w:t>antidrug antibody</w:t>
      </w:r>
      <w:r w:rsidRPr="00AA4F96">
        <w:rPr>
          <w:lang w:val="en-US"/>
        </w:rPr>
        <w:t xml:space="preserve">‑positive, 6 in the </w:t>
      </w:r>
      <w:proofErr w:type="spellStart"/>
      <w:r w:rsidR="001119C4" w:rsidRPr="00AA4F96">
        <w:rPr>
          <w:lang w:val="en-US"/>
        </w:rPr>
        <w:t>Evusheld</w:t>
      </w:r>
      <w:proofErr w:type="spellEnd"/>
      <w:r w:rsidR="001119C4" w:rsidRPr="00AA4F96">
        <w:rPr>
          <w:lang w:val="en-US"/>
        </w:rPr>
        <w:t xml:space="preserve"> </w:t>
      </w:r>
      <w:r w:rsidRPr="00AA4F96">
        <w:rPr>
          <w:lang w:val="en-US"/>
        </w:rPr>
        <w:t xml:space="preserve">arm and 1 in the placebo arm. All except 1 </w:t>
      </w:r>
      <w:r w:rsidR="001119C4">
        <w:rPr>
          <w:lang w:val="en-US"/>
        </w:rPr>
        <w:t>antidrug antibody</w:t>
      </w:r>
      <w:r w:rsidRPr="00AA4F96">
        <w:rPr>
          <w:lang w:val="en-US"/>
        </w:rPr>
        <w:t xml:space="preserve">-positive participant in the </w:t>
      </w:r>
      <w:proofErr w:type="spellStart"/>
      <w:r w:rsidR="001119C4" w:rsidRPr="00AA4F96">
        <w:rPr>
          <w:lang w:val="en-US"/>
        </w:rPr>
        <w:t>Evusheld</w:t>
      </w:r>
      <w:proofErr w:type="spellEnd"/>
      <w:r w:rsidR="001119C4" w:rsidRPr="00AA4F96">
        <w:rPr>
          <w:lang w:val="en-US"/>
        </w:rPr>
        <w:t xml:space="preserve"> </w:t>
      </w:r>
      <w:r w:rsidRPr="00AA4F96">
        <w:rPr>
          <w:lang w:val="en-US"/>
        </w:rPr>
        <w:t xml:space="preserve">arm were classified as non-treatment-emergent </w:t>
      </w:r>
      <w:r w:rsidR="001119C4">
        <w:rPr>
          <w:lang w:val="en-US"/>
        </w:rPr>
        <w:t>antidrug antibody</w:t>
      </w:r>
      <w:r w:rsidRPr="00AA4F96">
        <w:rPr>
          <w:lang w:val="en-US"/>
        </w:rPr>
        <w:t xml:space="preserve">- positive. The treatment-emergent </w:t>
      </w:r>
      <w:r w:rsidR="001119C4">
        <w:rPr>
          <w:lang w:val="en-US"/>
        </w:rPr>
        <w:t>antidrug antibody</w:t>
      </w:r>
      <w:r w:rsidRPr="00AA4F96">
        <w:rPr>
          <w:lang w:val="en-US"/>
        </w:rPr>
        <w:t xml:space="preserve">-positive participant had a positive result only at Day 183 with </w:t>
      </w:r>
      <w:r w:rsidR="001119C4">
        <w:rPr>
          <w:lang w:val="en-US"/>
        </w:rPr>
        <w:t>antidrug antibody</w:t>
      </w:r>
      <w:r w:rsidRPr="00AA4F96">
        <w:rPr>
          <w:lang w:val="en-US"/>
        </w:rPr>
        <w:t xml:space="preserve"> titer which were close to the minimum required dilution. Based on the low observed </w:t>
      </w:r>
      <w:r w:rsidR="001119C4">
        <w:rPr>
          <w:lang w:val="en-US"/>
        </w:rPr>
        <w:t>antidrug antibody</w:t>
      </w:r>
      <w:r w:rsidRPr="00AA4F96">
        <w:rPr>
          <w:lang w:val="en-US"/>
        </w:rPr>
        <w:t xml:space="preserve"> titers and/or the temporal relationship between </w:t>
      </w:r>
      <w:r w:rsidR="001119C4">
        <w:rPr>
          <w:lang w:val="en-US"/>
        </w:rPr>
        <w:t>antidrug antibody</w:t>
      </w:r>
      <w:r w:rsidRPr="00AA4F96">
        <w:rPr>
          <w:lang w:val="en-US"/>
        </w:rPr>
        <w:t xml:space="preserve"> positive time point and the onset of cardiac </w:t>
      </w:r>
      <w:r w:rsidR="001119C4">
        <w:rPr>
          <w:lang w:val="en-US"/>
        </w:rPr>
        <w:t>adverse events</w:t>
      </w:r>
      <w:r w:rsidRPr="00AA4F96">
        <w:rPr>
          <w:lang w:val="en-US"/>
        </w:rPr>
        <w:t xml:space="preserve">, it is unlikely that there is a causal link between </w:t>
      </w:r>
      <w:r w:rsidR="001119C4">
        <w:rPr>
          <w:lang w:val="en-US"/>
        </w:rPr>
        <w:t>antidrug antibody</w:t>
      </w:r>
      <w:r w:rsidRPr="00AA4F96">
        <w:rPr>
          <w:lang w:val="en-US"/>
        </w:rPr>
        <w:t xml:space="preserve"> and cardiac disorder </w:t>
      </w:r>
      <w:r w:rsidR="001119C4">
        <w:rPr>
          <w:lang w:val="en-US"/>
        </w:rPr>
        <w:t>serious adverse event</w:t>
      </w:r>
      <w:r w:rsidRPr="00AA4F96">
        <w:rPr>
          <w:lang w:val="en-US"/>
        </w:rPr>
        <w:t xml:space="preserve">s/increased troponin </w:t>
      </w:r>
      <w:r w:rsidR="001119C4">
        <w:rPr>
          <w:lang w:val="en-US"/>
        </w:rPr>
        <w:t>adverse events.</w:t>
      </w:r>
    </w:p>
    <w:p w14:paraId="08D4037B"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47"/>
      </w:r>
    </w:p>
    <w:p w14:paraId="48963663" w14:textId="77777777" w:rsidR="00744121" w:rsidRDefault="00744121" w:rsidP="00744121">
      <w:pPr>
        <w:rPr>
          <w:bCs/>
        </w:rPr>
      </w:pPr>
      <w:bookmarkStart w:id="69" w:name="_Toc247691532"/>
      <w:bookmarkStart w:id="70" w:name="_Toc314842516"/>
      <w:bookmarkEnd w:id="34"/>
      <w:bookmarkEnd w:id="60"/>
      <w:bookmarkEnd w:id="61"/>
      <w:r w:rsidRPr="00456765">
        <w:rPr>
          <w:bCs/>
        </w:rPr>
        <w:t>The Advisory Committee on Medicines (ACM), having considered the evaluations and the Delegate’s overview, as well as the sponsor’s response to these documents, advised the following</w:t>
      </w:r>
      <w:r>
        <w:rPr>
          <w:bCs/>
        </w:rPr>
        <w:t>.</w:t>
      </w:r>
    </w:p>
    <w:p w14:paraId="45B1505A" w14:textId="77777777" w:rsidR="00744121" w:rsidRDefault="00744121" w:rsidP="00744121">
      <w:pPr>
        <w:pStyle w:val="Heading5"/>
      </w:pPr>
      <w:r>
        <w:lastRenderedPageBreak/>
        <w:t>Specific advice to the Delegate</w:t>
      </w:r>
    </w:p>
    <w:p w14:paraId="3E64651C" w14:textId="77777777" w:rsidR="00B90C21" w:rsidRDefault="00B90C21" w:rsidP="00B90C21">
      <w:pPr>
        <w:pStyle w:val="Numberbullet0"/>
        <w:numPr>
          <w:ilvl w:val="0"/>
          <w:numId w:val="33"/>
        </w:numPr>
        <w:rPr>
          <w:b/>
          <w:i/>
        </w:rPr>
      </w:pPr>
      <w:proofErr w:type="spellStart"/>
      <w:r w:rsidRPr="00B90C21">
        <w:rPr>
          <w:b/>
          <w:i/>
        </w:rPr>
        <w:t>Evusheld</w:t>
      </w:r>
      <w:proofErr w:type="spellEnd"/>
      <w:r w:rsidRPr="00B90C21">
        <w:rPr>
          <w:b/>
          <w:i/>
        </w:rPr>
        <w:t xml:space="preserve"> sourced from </w:t>
      </w:r>
      <w:r>
        <w:rPr>
          <w:b/>
          <w:i/>
        </w:rPr>
        <w:t xml:space="preserve">a </w:t>
      </w:r>
      <w:r w:rsidRPr="00B90C21">
        <w:rPr>
          <w:b/>
          <w:i/>
        </w:rPr>
        <w:t xml:space="preserve">cell pool was largely administered across all clinical studies, which is different to the proposed product for marketing, that is sourced from </w:t>
      </w:r>
      <w:r>
        <w:rPr>
          <w:b/>
          <w:i/>
        </w:rPr>
        <w:t>a clonal cell line.</w:t>
      </w:r>
    </w:p>
    <w:p w14:paraId="2C87C9E6" w14:textId="77777777" w:rsidR="00B90C21" w:rsidRPr="00B90C21" w:rsidRDefault="00B90C21" w:rsidP="00B90C21">
      <w:pPr>
        <w:pStyle w:val="Numberbullet0"/>
        <w:numPr>
          <w:ilvl w:val="0"/>
          <w:numId w:val="0"/>
        </w:numPr>
        <w:ind w:left="425"/>
        <w:rPr>
          <w:b/>
          <w:i/>
        </w:rPr>
      </w:pPr>
      <w:r w:rsidRPr="00B90C21">
        <w:rPr>
          <w:b/>
          <w:i/>
        </w:rPr>
        <w:t>Does the ACM have any concerns regarding this limitation, with regards to efficacy and safety?</w:t>
      </w:r>
    </w:p>
    <w:p w14:paraId="70595784" w14:textId="77777777" w:rsidR="00B90C21" w:rsidRDefault="00B90C21" w:rsidP="00B90C21">
      <w:r w:rsidRPr="6F299AE4">
        <w:t>The ACM commented that this is a biosimilar question, resulting from a desire to expedite the clinical programme given the nature of the indication.</w:t>
      </w:r>
    </w:p>
    <w:p w14:paraId="2E7F506D" w14:textId="77777777" w:rsidR="00B90C21" w:rsidRDefault="00B90C21" w:rsidP="00B90C21">
      <w:r w:rsidRPr="6F299AE4">
        <w:t xml:space="preserve">The ACM noted that in general </w:t>
      </w:r>
      <w:r w:rsidRPr="6F299AE4">
        <w:rPr>
          <w:i/>
          <w:iCs/>
        </w:rPr>
        <w:t>in vitro</w:t>
      </w:r>
      <w:r w:rsidRPr="6F299AE4">
        <w:t xml:space="preserve"> literature supports a ‘representativeness’ of pooled samples compared with clonal cell lines.</w:t>
      </w:r>
    </w:p>
    <w:p w14:paraId="653D279C" w14:textId="77777777" w:rsidR="00B90C21" w:rsidRDefault="00B90C21" w:rsidP="00B90C21">
      <w:r w:rsidRPr="6F299AE4">
        <w:t xml:space="preserve">The ACM noted that monoclonal cells from </w:t>
      </w:r>
      <w:r>
        <w:t>the master cell bank</w:t>
      </w:r>
      <w:r w:rsidRPr="6F299AE4">
        <w:t xml:space="preserve"> were added late in the clinical trial programme, as a result PK data comparing the cell pool and clonal cell line are limited to 3</w:t>
      </w:r>
      <w:r>
        <w:t xml:space="preserve"> </w:t>
      </w:r>
      <w:r w:rsidRPr="6F299AE4">
        <w:t>months exposure</w:t>
      </w:r>
      <w:r>
        <w:t>. The lack of bioequivalence, in terms of area under the curve (AUC) was discussed. H</w:t>
      </w:r>
      <w:r w:rsidRPr="6F299AE4">
        <w:t>owever</w:t>
      </w:r>
      <w:r>
        <w:t>,</w:t>
      </w:r>
      <w:r w:rsidRPr="6F299AE4">
        <w:t xml:space="preserve"> </w:t>
      </w:r>
      <w:proofErr w:type="gramStart"/>
      <w:r w:rsidRPr="6F299AE4">
        <w:t>overall</w:t>
      </w:r>
      <w:proofErr w:type="gramEnd"/>
      <w:r w:rsidRPr="6F299AE4">
        <w:t xml:space="preserve"> th</w:t>
      </w:r>
      <w:r>
        <w:t>e</w:t>
      </w:r>
      <w:r w:rsidRPr="6F299AE4">
        <w:t xml:space="preserve"> PK data </w:t>
      </w:r>
      <w:r>
        <w:t xml:space="preserve">was considered to be </w:t>
      </w:r>
      <w:r w:rsidRPr="6F299AE4">
        <w:t>reassuring.</w:t>
      </w:r>
    </w:p>
    <w:p w14:paraId="7625667B" w14:textId="77777777" w:rsidR="00B90C21" w:rsidRDefault="00B90C21" w:rsidP="00B90C21">
      <w:r w:rsidRPr="6F299AE4">
        <w:t>The ACM commented that there was some variability observed between the cell pool and clonal cell lines, however interpretation of this is limited by the relatively short follow-up.</w:t>
      </w:r>
    </w:p>
    <w:p w14:paraId="13D98295" w14:textId="77777777" w:rsidR="00B90C21" w:rsidRDefault="00B90C21" w:rsidP="00B90C21">
      <w:r>
        <w:t xml:space="preserve">In view of the above facts and the current availability of stability data, a shelf-life of one year </w:t>
      </w:r>
      <w:proofErr w:type="gramStart"/>
      <w:r>
        <w:t>was considered to be</w:t>
      </w:r>
      <w:proofErr w:type="gramEnd"/>
      <w:r>
        <w:t xml:space="preserve"> acceptable. </w:t>
      </w:r>
      <w:r w:rsidRPr="6F299AE4">
        <w:t>The ACM was supportive of additional PK, efficacy, and safety data being provided to the TGA as it becomes available.</w:t>
      </w:r>
    </w:p>
    <w:p w14:paraId="1A735863" w14:textId="77777777" w:rsidR="00B90C21" w:rsidRPr="00A15E7A" w:rsidRDefault="00B90C21" w:rsidP="00B90C21">
      <w:pPr>
        <w:pStyle w:val="Numberbullet0"/>
        <w:numPr>
          <w:ilvl w:val="0"/>
          <w:numId w:val="2"/>
        </w:numPr>
        <w:rPr>
          <w:b/>
          <w:bCs/>
          <w:i/>
          <w:iCs/>
        </w:rPr>
      </w:pPr>
      <w:r w:rsidRPr="6F299AE4">
        <w:rPr>
          <w:b/>
          <w:bCs/>
          <w:i/>
          <w:iCs/>
        </w:rPr>
        <w:t>Please comment on the adequacy of the PK data to support the extrapolation of the efficacy and safety findings to adolescents.</w:t>
      </w:r>
    </w:p>
    <w:p w14:paraId="561281AA" w14:textId="77777777" w:rsidR="00B90C21" w:rsidRDefault="00B90C21" w:rsidP="00B90C21">
      <w:r w:rsidRPr="6F299AE4">
        <w:t>The ACM advised that it is reasonable to extrapolate the safety and efficacy findings to adolescents based on the PK modelling and the known preclinical therapeutic window.</w:t>
      </w:r>
    </w:p>
    <w:p w14:paraId="1F053D56" w14:textId="77777777" w:rsidR="00B90C21" w:rsidRDefault="00B90C21" w:rsidP="00B90C21">
      <w:r w:rsidRPr="6F299AE4">
        <w:t>The ACM noted that the model predicts that the median</w:t>
      </w:r>
      <w:r>
        <w:t xml:space="preserve"> </w:t>
      </w:r>
      <w:r w:rsidRPr="6F299AE4">
        <w:t>AUC over 6</w:t>
      </w:r>
      <w:r>
        <w:t> </w:t>
      </w:r>
      <w:r w:rsidRPr="6F299AE4">
        <w:t xml:space="preserve">months will be 24% greater </w:t>
      </w:r>
      <w:r>
        <w:t xml:space="preserve">in adolescents </w:t>
      </w:r>
      <w:r w:rsidRPr="6F299AE4">
        <w:t xml:space="preserve">than adults at a fixed dose, with approximately 5% of adolescents </w:t>
      </w:r>
      <w:r>
        <w:t>having an AUC greater than 6000 µ</w:t>
      </w:r>
      <w:r w:rsidRPr="6F299AE4">
        <w:t>g*day/</w:t>
      </w:r>
      <w:proofErr w:type="spellStart"/>
      <w:r w:rsidRPr="6F299AE4">
        <w:t>mL.</w:t>
      </w:r>
      <w:proofErr w:type="spellEnd"/>
      <w:r w:rsidRPr="6F299AE4">
        <w:t xml:space="preserve"> The ACM commented that this increased variability in adolescents could have implications but was of the view that a single dose is unlikely to lead to exposure-related toxicity. This may need to be reconsidered should multi-dosing be used or if dosing was to be increased.</w:t>
      </w:r>
    </w:p>
    <w:p w14:paraId="270ED945" w14:textId="77777777" w:rsidR="00B90C21" w:rsidRDefault="00B90C21" w:rsidP="00B90C21">
      <w:r w:rsidRPr="6F299AE4">
        <w:t>The ACM was supportive of further information being provided to the TGA as it becomes available.</w:t>
      </w:r>
    </w:p>
    <w:p w14:paraId="7FB1FB69" w14:textId="77777777" w:rsidR="00B90C21" w:rsidRPr="00A15E7A" w:rsidRDefault="00B90C21" w:rsidP="00B90C21">
      <w:pPr>
        <w:pStyle w:val="Numberbullet0"/>
        <w:numPr>
          <w:ilvl w:val="0"/>
          <w:numId w:val="2"/>
        </w:numPr>
        <w:rPr>
          <w:b/>
          <w:bCs/>
          <w:i/>
          <w:iCs/>
        </w:rPr>
      </w:pPr>
      <w:r w:rsidRPr="6F299AE4">
        <w:rPr>
          <w:b/>
          <w:bCs/>
          <w:i/>
          <w:iCs/>
        </w:rPr>
        <w:t>Please com</w:t>
      </w:r>
      <w:r>
        <w:rPr>
          <w:b/>
          <w:bCs/>
          <w:i/>
          <w:iCs/>
        </w:rPr>
        <w:t xml:space="preserve">ment on the adequacy of the </w:t>
      </w:r>
      <w:proofErr w:type="spellStart"/>
      <w:r>
        <w:rPr>
          <w:b/>
          <w:bCs/>
          <w:i/>
          <w:iCs/>
        </w:rPr>
        <w:t>Pop</w:t>
      </w:r>
      <w:r w:rsidRPr="6F299AE4">
        <w:rPr>
          <w:b/>
          <w:bCs/>
          <w:i/>
          <w:iCs/>
        </w:rPr>
        <w:t>PK</w:t>
      </w:r>
      <w:proofErr w:type="spellEnd"/>
      <w:r w:rsidRPr="6F299AE4">
        <w:rPr>
          <w:b/>
          <w:bCs/>
          <w:i/>
          <w:iCs/>
        </w:rPr>
        <w:t xml:space="preserve"> data to extrapolate the efficacy and safety findings to adolescents and to support the use of </w:t>
      </w:r>
      <w:proofErr w:type="spellStart"/>
      <w:r w:rsidRPr="6F299AE4">
        <w:rPr>
          <w:b/>
          <w:bCs/>
          <w:i/>
          <w:iCs/>
        </w:rPr>
        <w:t>Evusheld</w:t>
      </w:r>
      <w:proofErr w:type="spellEnd"/>
      <w:r w:rsidRPr="6F299AE4">
        <w:rPr>
          <w:b/>
          <w:bCs/>
          <w:i/>
          <w:iCs/>
        </w:rPr>
        <w:t xml:space="preserve"> in this age group.</w:t>
      </w:r>
    </w:p>
    <w:p w14:paraId="6A06F90E" w14:textId="77777777" w:rsidR="00B90C21" w:rsidRPr="00A15E7A" w:rsidRDefault="00B90C21" w:rsidP="00B90C21">
      <w:r>
        <w:t xml:space="preserve">The ACM advised that the </w:t>
      </w:r>
      <w:proofErr w:type="spellStart"/>
      <w:r>
        <w:t>PopPK</w:t>
      </w:r>
      <w:proofErr w:type="spellEnd"/>
      <w:r>
        <w:t xml:space="preserve"> data is sufficiently robust. The ACM was of the view that the simulations are reassuring regarding efficacy and safety within the known therapeutic window for adolescents after a single dose. The duration of effect in this group is likely sufficiently greater than the proposed 6-month dosing intervals.</w:t>
      </w:r>
    </w:p>
    <w:p w14:paraId="288D8F7D" w14:textId="77777777" w:rsidR="00B90C21" w:rsidRPr="00A15E7A" w:rsidRDefault="00B90C21" w:rsidP="00B90C21">
      <w:r>
        <w:t>Additional longer-term sampling, additional adolescent sampling, and further simulations of repeated dosing will better support repeat dose intervals and safety, in addition to safety and efficacy data as it becomes available.</w:t>
      </w:r>
    </w:p>
    <w:p w14:paraId="59C67C7C" w14:textId="77777777" w:rsidR="00B90C21" w:rsidRPr="00A15E7A" w:rsidRDefault="00B90C21" w:rsidP="00B90C21">
      <w:pPr>
        <w:pStyle w:val="Numberbullet0"/>
        <w:numPr>
          <w:ilvl w:val="0"/>
          <w:numId w:val="2"/>
        </w:numPr>
        <w:rPr>
          <w:b/>
          <w:bCs/>
          <w:i/>
          <w:iCs/>
        </w:rPr>
      </w:pPr>
      <w:r w:rsidRPr="6F299AE4">
        <w:rPr>
          <w:b/>
          <w:bCs/>
          <w:i/>
          <w:iCs/>
        </w:rPr>
        <w:t>Please comment whether the statements in the proposed PI adequately reflects the available safety data, particularly in relation to the cardiovascular events.</w:t>
      </w:r>
    </w:p>
    <w:p w14:paraId="2EA2853A" w14:textId="77777777" w:rsidR="00B90C21" w:rsidRPr="00A15E7A" w:rsidRDefault="00B90C21" w:rsidP="00B90C21">
      <w:r w:rsidRPr="6F299AE4">
        <w:lastRenderedPageBreak/>
        <w:t>The ACM noted that many cardiac serious</w:t>
      </w:r>
      <w:r>
        <w:t xml:space="preserve"> adverse events</w:t>
      </w:r>
      <w:r w:rsidRPr="6F299AE4">
        <w:t xml:space="preserve"> were in patients with co</w:t>
      </w:r>
      <w:r>
        <w:noBreakHyphen/>
      </w:r>
      <w:r w:rsidRPr="6F299AE4">
        <w:t xml:space="preserve">morbidities. The ACM was of the view that this is a population that this product would </w:t>
      </w:r>
      <w:r>
        <w:t xml:space="preserve">likely </w:t>
      </w:r>
      <w:r w:rsidRPr="6F299AE4">
        <w:t>be used in and therefore found the cardiac serious adverse events to be highly relevant and important.</w:t>
      </w:r>
    </w:p>
    <w:p w14:paraId="2BDDD64B" w14:textId="77777777" w:rsidR="00B90C21" w:rsidRPr="00A15E7A" w:rsidRDefault="00B90C21" w:rsidP="00B90C21">
      <w:r w:rsidRPr="6F299AE4">
        <w:t>The ACM was of the view that there is a real signal for cardiac events, noting that the mechanism is not currently identified.</w:t>
      </w:r>
    </w:p>
    <w:p w14:paraId="7872B503" w14:textId="77777777" w:rsidR="00B90C21" w:rsidRPr="00A15E7A" w:rsidRDefault="00B90C21" w:rsidP="00B90C21">
      <w:r>
        <w:t>The ACM</w:t>
      </w:r>
      <w:r w:rsidRPr="0059021E">
        <w:t xml:space="preserve"> mentioned that the included population are reflective of the general population rather than </w:t>
      </w:r>
      <w:r>
        <w:t>those</w:t>
      </w:r>
      <w:r w:rsidRPr="0059021E">
        <w:t xml:space="preserve"> specifically at high risk </w:t>
      </w:r>
      <w:r>
        <w:t>of cardiovascular disorders at B</w:t>
      </w:r>
      <w:r w:rsidRPr="0059021E">
        <w:t xml:space="preserve">aseline. </w:t>
      </w:r>
      <w:r w:rsidRPr="00C006F7">
        <w:t xml:space="preserve">The ACM highlighted the </w:t>
      </w:r>
      <w:r w:rsidRPr="0059021E">
        <w:t xml:space="preserve">increased incidence of </w:t>
      </w:r>
      <w:r w:rsidRPr="00C006F7">
        <w:t>cardiovascular events</w:t>
      </w:r>
      <w:r w:rsidRPr="0059021E">
        <w:t xml:space="preserve">, including </w:t>
      </w:r>
      <w:r>
        <w:t>c</w:t>
      </w:r>
      <w:r w:rsidRPr="0059021E">
        <w:t xml:space="preserve">ardiac </w:t>
      </w:r>
      <w:r w:rsidRPr="6F299AE4">
        <w:t xml:space="preserve">serious adverse events </w:t>
      </w:r>
      <w:r w:rsidRPr="0059021E">
        <w:t xml:space="preserve">in the treatment arm, compared to placebo arms at various time points </w:t>
      </w:r>
      <w:r>
        <w:t xml:space="preserve">of </w:t>
      </w:r>
      <w:r w:rsidRPr="0059021E">
        <w:t>14 days, 30 days and &gt;</w:t>
      </w:r>
      <w:r>
        <w:t> </w:t>
      </w:r>
      <w:r w:rsidRPr="0059021E">
        <w:t>30 days</w:t>
      </w:r>
      <w:r w:rsidRPr="00C006F7">
        <w:t xml:space="preserve"> and agreed that this should be highlighted within the PI</w:t>
      </w:r>
      <w:r w:rsidRPr="0059021E">
        <w:t>, along with rates of vascular disorders</w:t>
      </w:r>
      <w:r w:rsidRPr="00C006F7">
        <w:t xml:space="preserve">. In terms of </w:t>
      </w:r>
      <w:r>
        <w:t>c</w:t>
      </w:r>
      <w:r w:rsidRPr="00C006F7">
        <w:t xml:space="preserve">ardiac </w:t>
      </w:r>
      <w:r>
        <w:t>serious adverse events</w:t>
      </w:r>
      <w:r w:rsidRPr="00C006F7">
        <w:t>, there was an increasing incidence of cardiovascular events in the treatment arm, compared to placebo over the 6 months median treatment period</w:t>
      </w:r>
      <w:r>
        <w:t>.</w:t>
      </w:r>
    </w:p>
    <w:p w14:paraId="63973603" w14:textId="77777777" w:rsidR="00B90C21" w:rsidRPr="00A15E7A" w:rsidRDefault="00B90C21" w:rsidP="00B90C21">
      <w:r w:rsidRPr="6F299AE4">
        <w:t xml:space="preserve">The ACM was supportive of the PI changes recommended by the </w:t>
      </w:r>
      <w:r>
        <w:t>D</w:t>
      </w:r>
      <w:r w:rsidRPr="6F299AE4">
        <w:t>elegate regarding cardiovascular events, with</w:t>
      </w:r>
      <w:r>
        <w:t xml:space="preserve"> </w:t>
      </w:r>
      <w:r w:rsidRPr="6F299AE4">
        <w:t>modification to the proposed text as shown by strikethrough below:</w:t>
      </w:r>
    </w:p>
    <w:p w14:paraId="3B001018" w14:textId="77777777" w:rsidR="00B90C21" w:rsidRPr="0059021E" w:rsidRDefault="00B90C21" w:rsidP="00B90C21">
      <w:pPr>
        <w:ind w:left="720"/>
      </w:pPr>
      <w:r>
        <w:t>‘</w:t>
      </w:r>
      <w:r w:rsidRPr="0059021E">
        <w:t>4.4 SPECIAL WARNINGS AND PRECAUTIONS FOR USE</w:t>
      </w:r>
    </w:p>
    <w:p w14:paraId="0C763DFE" w14:textId="77777777" w:rsidR="00B90C21" w:rsidRPr="0059021E" w:rsidRDefault="00B90C21" w:rsidP="00B90C21">
      <w:pPr>
        <w:ind w:left="720"/>
      </w:pPr>
      <w:r w:rsidRPr="0059021E">
        <w:t>Cardiovascular events</w:t>
      </w:r>
    </w:p>
    <w:p w14:paraId="2F34E183" w14:textId="40F3B85B" w:rsidR="00B90C21" w:rsidRPr="0059021E" w:rsidRDefault="00B90C21" w:rsidP="00B90C21">
      <w:pPr>
        <w:ind w:left="720"/>
      </w:pPr>
      <w:r w:rsidRPr="0059021E">
        <w:t xml:space="preserve">In PROVENT there was a higher rate of cardiovascular serious adverse events (SAEs), including myocardial infarction (one fatal SAE) and cardiac failure, in subjects who received </w:t>
      </w:r>
      <w:proofErr w:type="spellStart"/>
      <w:r w:rsidR="00D77876">
        <w:t>Evusheld</w:t>
      </w:r>
      <w:proofErr w:type="spellEnd"/>
      <w:r w:rsidRPr="0059021E">
        <w:t xml:space="preserve"> compared to placebo [see Adverse Reactions (6.1)]. All subjects who experienced cardiac SAEs had cardiac risk factors and/or a prior history of cardiovascular disease. A causal relationship between </w:t>
      </w:r>
      <w:proofErr w:type="spellStart"/>
      <w:r w:rsidR="00D77876">
        <w:t>Evusheld</w:t>
      </w:r>
      <w:proofErr w:type="spellEnd"/>
      <w:r w:rsidRPr="0059021E">
        <w:t xml:space="preserve"> and these events has not been established. </w:t>
      </w:r>
      <w:r w:rsidRPr="0059021E">
        <w:rPr>
          <w:strike/>
        </w:rPr>
        <w:t>There was no signal for cardiac toxicity or thrombotic events identified in the nonclinical studies.</w:t>
      </w:r>
    </w:p>
    <w:p w14:paraId="1ABC26D3" w14:textId="1A6C618B" w:rsidR="00B90C21" w:rsidRPr="0059021E" w:rsidRDefault="00B90C21" w:rsidP="00B90C21">
      <w:pPr>
        <w:ind w:left="720"/>
      </w:pPr>
      <w:r w:rsidRPr="0059021E">
        <w:t xml:space="preserve">Consider the risks and benefits prior to initiating </w:t>
      </w:r>
      <w:proofErr w:type="spellStart"/>
      <w:r w:rsidR="00D77876">
        <w:t>Evusheld</w:t>
      </w:r>
      <w:proofErr w:type="spellEnd"/>
      <w:r w:rsidRPr="0059021E">
        <w:t xml:space="preserve"> in individuals at high risk for cardiovascular </w:t>
      </w:r>
      <w:proofErr w:type="gramStart"/>
      <w:r w:rsidRPr="0059021E">
        <w:t>events, and</w:t>
      </w:r>
      <w:proofErr w:type="gramEnd"/>
      <w:r w:rsidRPr="0059021E">
        <w:t xml:space="preserve"> advise individuals to seek immediate medical attention if they experience any signs or symptoms suggestive of a cardiovascular event.</w:t>
      </w:r>
      <w:r>
        <w:t>’</w:t>
      </w:r>
    </w:p>
    <w:p w14:paraId="3F2A2406" w14:textId="77777777" w:rsidR="00B90C21" w:rsidRPr="0059021E" w:rsidRDefault="00B90C21" w:rsidP="00B90C21">
      <w:pPr>
        <w:ind w:left="720"/>
      </w:pPr>
      <w:r>
        <w:t>‘</w:t>
      </w:r>
      <w:r w:rsidRPr="0059021E">
        <w:t>4.8 ADVERSE EFFECTS (UNDESIRABLE EFFECTS)</w:t>
      </w:r>
    </w:p>
    <w:p w14:paraId="4EB4DCEF" w14:textId="77777777" w:rsidR="00B90C21" w:rsidRPr="0059021E" w:rsidRDefault="00B90C21" w:rsidP="00B90C21">
      <w:pPr>
        <w:ind w:left="720"/>
      </w:pPr>
      <w:r w:rsidRPr="0059021E">
        <w:t>Cardiac Serious Adverse Events</w:t>
      </w:r>
    </w:p>
    <w:p w14:paraId="0B8CA61A" w14:textId="5333CF94" w:rsidR="00B90C21" w:rsidRPr="0059021E" w:rsidRDefault="00B90C21" w:rsidP="00B90C21">
      <w:pPr>
        <w:ind w:left="720"/>
      </w:pPr>
      <w:r w:rsidRPr="0059021E">
        <w:t xml:space="preserve">Through the additional data cut-off in PROVENT, a higher proportion of subjects who received </w:t>
      </w:r>
      <w:proofErr w:type="spellStart"/>
      <w:r w:rsidR="00D77876">
        <w:t>Evusheld</w:t>
      </w:r>
      <w:proofErr w:type="spellEnd"/>
      <w:r w:rsidRPr="0059021E">
        <w:t xml:space="preserve"> versus placebo in PROVENT reported myocardial infarction SAEs, one of which resulted in death, and cardiac failure SAEs (see Table 3 below). All subjects who experienced cardiac SAEs had cardiac risk factors and/or a prior history of cardiovascular disease </w:t>
      </w:r>
      <w:r w:rsidR="00D77876">
        <w:t>at Baseline</w:t>
      </w:r>
      <w:r w:rsidRPr="0059021E">
        <w:t xml:space="preserve">. </w:t>
      </w:r>
      <w:r w:rsidRPr="0059021E">
        <w:rPr>
          <w:strike/>
        </w:rPr>
        <w:t xml:space="preserve">There was no clear temporal pattern, with events reported from several hours after </w:t>
      </w:r>
      <w:proofErr w:type="spellStart"/>
      <w:r w:rsidR="00D77876">
        <w:rPr>
          <w:strike/>
        </w:rPr>
        <w:t>Evusheld</w:t>
      </w:r>
      <w:proofErr w:type="spellEnd"/>
      <w:r w:rsidRPr="0059021E">
        <w:rPr>
          <w:strike/>
        </w:rPr>
        <w:t xml:space="preserve"> receipt through the end of the follow-up period.</w:t>
      </w:r>
    </w:p>
    <w:p w14:paraId="2DCCEECA" w14:textId="77777777" w:rsidR="00B90C21" w:rsidRPr="0059021E" w:rsidRDefault="00B90C21" w:rsidP="00B90C21">
      <w:pPr>
        <w:ind w:left="720"/>
      </w:pPr>
      <w:r w:rsidRPr="0059021E">
        <w:t>[Table] Cardiac SAEs Regardless of Causality in PROVENT with Onset Prior to Day 183 Using the Median 6-Month Data Cut-off Date</w:t>
      </w:r>
      <w:r>
        <w:t>’</w:t>
      </w:r>
    </w:p>
    <w:p w14:paraId="29F18FD4" w14:textId="77777777" w:rsidR="00B90C21" w:rsidRPr="00A15E7A" w:rsidRDefault="00B90C21" w:rsidP="00B90C21">
      <w:pPr>
        <w:pStyle w:val="Numberbullet0"/>
        <w:numPr>
          <w:ilvl w:val="0"/>
          <w:numId w:val="2"/>
        </w:numPr>
        <w:rPr>
          <w:b/>
          <w:bCs/>
          <w:i/>
          <w:iCs/>
        </w:rPr>
      </w:pPr>
      <w:r w:rsidRPr="6F299AE4">
        <w:rPr>
          <w:b/>
          <w:bCs/>
          <w:i/>
          <w:iCs/>
        </w:rPr>
        <w:t xml:space="preserve">In view of the safety profile of </w:t>
      </w:r>
      <w:proofErr w:type="spellStart"/>
      <w:r w:rsidRPr="6F299AE4">
        <w:rPr>
          <w:b/>
          <w:bCs/>
          <w:i/>
          <w:iCs/>
        </w:rPr>
        <w:t>Evusheld</w:t>
      </w:r>
      <w:proofErr w:type="spellEnd"/>
      <w:r w:rsidRPr="6F299AE4">
        <w:rPr>
          <w:b/>
          <w:bCs/>
          <w:i/>
          <w:iCs/>
        </w:rPr>
        <w:t>, based on the available (cardiac safety) data, please comment on the adequacy of the proposed RMP and advice the need for any additional pharmacovigilance activities.</w:t>
      </w:r>
    </w:p>
    <w:p w14:paraId="332786B1" w14:textId="77777777" w:rsidR="00B90C21" w:rsidRDefault="00B90C21" w:rsidP="00B90C21">
      <w:r>
        <w:t>The ACM strongly supported implementation of additional pharmacovigilance activities, including long term follow-up.</w:t>
      </w:r>
    </w:p>
    <w:p w14:paraId="0E670381" w14:textId="77777777" w:rsidR="00B90C21" w:rsidRPr="00A15E7A" w:rsidRDefault="00B90C21" w:rsidP="00B90C21">
      <w:r w:rsidRPr="0059021E">
        <w:t>In view of the spread of cardiac events, a longer term (minimum) follow up was recommended (14, 30 days post treatment)</w:t>
      </w:r>
      <w:r>
        <w:t xml:space="preserve">. The ACM also advised that active monitoring </w:t>
      </w:r>
      <w:r>
        <w:lastRenderedPageBreak/>
        <w:t>of these events (for example, an automated SMS message to solicit adverse event reports) should be considered rather than just passive monitoring.</w:t>
      </w:r>
    </w:p>
    <w:p w14:paraId="20FE1F1E" w14:textId="77777777" w:rsidR="00B90C21" w:rsidRDefault="00B90C21" w:rsidP="00B90C21">
      <w:r w:rsidRPr="6F299AE4">
        <w:t xml:space="preserve">The ACM was supportive of cardiac </w:t>
      </w:r>
      <w:r>
        <w:t xml:space="preserve">serious adverse events </w:t>
      </w:r>
      <w:r w:rsidRPr="6F299AE4">
        <w:t xml:space="preserve">being included in the RMP as an important potential safety risk, in addition to the questionnaire as a </w:t>
      </w:r>
      <w:proofErr w:type="gramStart"/>
      <w:r w:rsidRPr="6F299AE4">
        <w:t>long term</w:t>
      </w:r>
      <w:proofErr w:type="gramEnd"/>
      <w:r w:rsidRPr="6F299AE4">
        <w:t xml:space="preserve"> measure. The ACM was also supportive of the establishment of a patient registry.</w:t>
      </w:r>
    </w:p>
    <w:p w14:paraId="4FFC7EAA" w14:textId="77777777" w:rsidR="00B90C21" w:rsidRDefault="00B90C21" w:rsidP="00B90C21">
      <w:r w:rsidRPr="6F299AE4">
        <w:t>In addition, the ACM was supportive of immunocompromised/immunosuppressed patients being included as missing information within the RMP.</w:t>
      </w:r>
    </w:p>
    <w:p w14:paraId="24942583" w14:textId="77777777" w:rsidR="00B90C21" w:rsidRPr="00A15E7A" w:rsidRDefault="00B90C21" w:rsidP="00B90C21">
      <w:pPr>
        <w:pStyle w:val="Numberbullet0"/>
        <w:numPr>
          <w:ilvl w:val="0"/>
          <w:numId w:val="2"/>
        </w:numPr>
        <w:rPr>
          <w:b/>
          <w:bCs/>
          <w:i/>
          <w:iCs/>
        </w:rPr>
      </w:pPr>
      <w:r w:rsidRPr="00A15E7A">
        <w:rPr>
          <w:b/>
          <w:bCs/>
          <w:i/>
          <w:iCs/>
        </w:rPr>
        <w:t xml:space="preserve">Does ACM support the provisional registration of </w:t>
      </w:r>
      <w:proofErr w:type="spellStart"/>
      <w:r w:rsidRPr="00A15E7A">
        <w:rPr>
          <w:b/>
          <w:bCs/>
          <w:i/>
          <w:iCs/>
        </w:rPr>
        <w:t>Evusheld</w:t>
      </w:r>
      <w:proofErr w:type="spellEnd"/>
      <w:r w:rsidRPr="00A15E7A">
        <w:rPr>
          <w:b/>
          <w:bCs/>
          <w:i/>
          <w:iCs/>
        </w:rPr>
        <w:t xml:space="preserve"> for the pre and post exposure prophylaxis indications?</w:t>
      </w:r>
    </w:p>
    <w:p w14:paraId="626FDFB0" w14:textId="77777777" w:rsidR="00B90C21" w:rsidRPr="00A15E7A" w:rsidRDefault="00B90C21" w:rsidP="00B90C21">
      <w:r>
        <w:t>The ACM noted that there are currently no other monoclonal antibodies approved for COVID-19 pre-exposure prophylaxis in Australia.</w:t>
      </w:r>
    </w:p>
    <w:p w14:paraId="78E55F9D" w14:textId="77777777" w:rsidR="00B90C21" w:rsidRPr="00A15E7A" w:rsidRDefault="00B90C21" w:rsidP="00B90C21">
      <w:r>
        <w:t xml:space="preserve">The ACM agreed that there are reasonable efficacy data for the pre-exposure prophylaxis indication and that the benefits appear to outweigh the risks for this indication in the trial population, subject to enhanced risk management. The ACM advised that the indication wording should be enhanced </w:t>
      </w:r>
      <w:proofErr w:type="gramStart"/>
      <w:r>
        <w:t>in regard to</w:t>
      </w:r>
      <w:proofErr w:type="gramEnd"/>
      <w:r>
        <w:t xml:space="preserve"> mounting an adequate immune response to COVID-19 vaccines and suggested that ‘</w:t>
      </w:r>
      <w:r w:rsidRPr="6F299AE4">
        <w:rPr>
          <w:i/>
          <w:iCs/>
        </w:rPr>
        <w:t>may not mount an adequate immune response to COVID‐19 vaccination</w:t>
      </w:r>
      <w:r>
        <w:t>’ be amended to ‘</w:t>
      </w:r>
      <w:r w:rsidRPr="6F299AE4">
        <w:rPr>
          <w:i/>
          <w:iCs/>
        </w:rPr>
        <w:t>that make it likely that they will not mount an adequate immune response to COVID‐19 vaccination</w:t>
      </w:r>
      <w:r>
        <w:t>’.</w:t>
      </w:r>
    </w:p>
    <w:p w14:paraId="129213D5" w14:textId="77777777" w:rsidR="00B90C21" w:rsidRPr="00A15E7A" w:rsidRDefault="00B90C21" w:rsidP="00B90C21">
      <w:r w:rsidRPr="6F299AE4">
        <w:t xml:space="preserve">The ACM noted there was an insufficient number of immunocompromised / immunosuppressed people included within the trial population to robustly demonstrate safety and efficacy within this subgroup. The ACM expressed some concern with this as Australian usage will </w:t>
      </w:r>
      <w:r>
        <w:t xml:space="preserve">likely </w:t>
      </w:r>
      <w:r w:rsidRPr="6F299AE4">
        <w:t xml:space="preserve">centre around use in the </w:t>
      </w:r>
      <w:r>
        <w:t xml:space="preserve">immunocompromised / </w:t>
      </w:r>
      <w:r w:rsidRPr="6F299AE4">
        <w:t>immunosuppressed population.</w:t>
      </w:r>
    </w:p>
    <w:p w14:paraId="2BBC9AA3" w14:textId="21E827BD" w:rsidR="00B90C21" w:rsidRDefault="00B90C21" w:rsidP="00B90C21">
      <w:r w:rsidRPr="6F299AE4">
        <w:t>The ACM advised that there is insufficient evidence at this time to support the approval of a post exposure prophylaxis indication, noting that the STORM</w:t>
      </w:r>
      <w:r>
        <w:t xml:space="preserve"> </w:t>
      </w:r>
      <w:r w:rsidRPr="6F299AE4">
        <w:t xml:space="preserve">CHASER trial </w:t>
      </w:r>
      <w:r>
        <w:t xml:space="preserve">(Study D8850C00003) </w:t>
      </w:r>
      <w:r w:rsidRPr="6F299AE4">
        <w:t>did not meet its primary endpoint.</w:t>
      </w:r>
    </w:p>
    <w:p w14:paraId="7D8534EE" w14:textId="77777777" w:rsidR="00B90C21" w:rsidRPr="00B90C21" w:rsidRDefault="00B90C21" w:rsidP="00B90C21">
      <w:pPr>
        <w:pStyle w:val="ListParagraph"/>
        <w:numPr>
          <w:ilvl w:val="0"/>
          <w:numId w:val="2"/>
        </w:numPr>
        <w:adjustRightInd/>
        <w:snapToGrid/>
        <w:spacing w:before="120" w:after="120"/>
        <w:rPr>
          <w:rFonts w:asciiTheme="minorHAnsi" w:eastAsiaTheme="minorEastAsia" w:hAnsiTheme="minorHAnsi" w:cstheme="minorBidi"/>
          <w:b/>
          <w:bCs/>
          <w:i/>
        </w:rPr>
      </w:pPr>
      <w:r w:rsidRPr="00B90C21">
        <w:rPr>
          <w:b/>
          <w:bCs/>
          <w:i/>
        </w:rPr>
        <w:t>Does the ACM have any other advice concerning this submission?</w:t>
      </w:r>
    </w:p>
    <w:p w14:paraId="64DEEEF4" w14:textId="77777777" w:rsidR="00B90C21" w:rsidRDefault="00B90C21" w:rsidP="00B90C21">
      <w:r w:rsidRPr="6F299AE4">
        <w:t>The ACM noted that approval of shelf-life for a 12-month period appeared appropriate, conditional to the sponsor submitting further stability data.</w:t>
      </w:r>
    </w:p>
    <w:p w14:paraId="5781EDAA" w14:textId="77777777" w:rsidR="00B90C21" w:rsidRPr="00B90C21" w:rsidRDefault="00B90C21" w:rsidP="00B90C21">
      <w:r w:rsidRPr="6F299AE4">
        <w:t>The ACM emphasised that this therapy is not an alternative or substitute for vaccination. The ACM reiterated its view that vaccination is the preferred and primary option to prevent COVID-19.</w:t>
      </w:r>
    </w:p>
    <w:p w14:paraId="2E878998" w14:textId="77777777" w:rsidR="00744121" w:rsidRDefault="00744121" w:rsidP="00744121">
      <w:pPr>
        <w:pStyle w:val="Heading5"/>
      </w:pPr>
      <w:r>
        <w:t>Conclusion</w:t>
      </w:r>
    </w:p>
    <w:p w14:paraId="20B66935" w14:textId="77777777" w:rsidR="00B90C21" w:rsidRDefault="00B90C21" w:rsidP="00B90C21">
      <w:r>
        <w:t>The ACM considered this product to have an overall positive benefit-risk profile for the indication:</w:t>
      </w:r>
    </w:p>
    <w:p w14:paraId="10EED9B1" w14:textId="77777777" w:rsidR="00B90C21" w:rsidRDefault="00B90C21" w:rsidP="00B90C21">
      <w:pPr>
        <w:ind w:left="720"/>
        <w:rPr>
          <w:b/>
          <w:bCs/>
          <w:i/>
          <w:iCs/>
        </w:rPr>
      </w:pPr>
      <w:r w:rsidRPr="6F299AE4">
        <w:rPr>
          <w:b/>
          <w:bCs/>
          <w:i/>
          <w:iCs/>
        </w:rPr>
        <w:t>Pre‐exposure prophylaxis</w:t>
      </w:r>
    </w:p>
    <w:p w14:paraId="3622210F" w14:textId="77777777" w:rsidR="00B90C21" w:rsidRDefault="00B90C21" w:rsidP="00B90C21">
      <w:pPr>
        <w:ind w:left="720"/>
        <w:rPr>
          <w:i/>
          <w:iCs/>
        </w:rPr>
      </w:pPr>
      <w:proofErr w:type="spellStart"/>
      <w:r w:rsidRPr="6F299AE4">
        <w:rPr>
          <w:i/>
          <w:iCs/>
        </w:rPr>
        <w:t>Evusheld</w:t>
      </w:r>
      <w:proofErr w:type="spellEnd"/>
      <w:r w:rsidRPr="6F299AE4">
        <w:rPr>
          <w:i/>
          <w:iCs/>
        </w:rPr>
        <w:t xml:space="preserve"> (</w:t>
      </w:r>
      <w:proofErr w:type="spellStart"/>
      <w:r w:rsidRPr="6F299AE4">
        <w:rPr>
          <w:i/>
          <w:iCs/>
        </w:rPr>
        <w:t>tixagevimab</w:t>
      </w:r>
      <w:proofErr w:type="spellEnd"/>
      <w:r w:rsidRPr="6F299AE4">
        <w:rPr>
          <w:i/>
          <w:iCs/>
        </w:rPr>
        <w:t xml:space="preserve"> and </w:t>
      </w:r>
      <w:proofErr w:type="spellStart"/>
      <w:r w:rsidRPr="6F299AE4">
        <w:rPr>
          <w:i/>
          <w:iCs/>
        </w:rPr>
        <w:t>cilgavimab</w:t>
      </w:r>
      <w:proofErr w:type="spellEnd"/>
      <w:r w:rsidRPr="6F299AE4">
        <w:rPr>
          <w:i/>
          <w:iCs/>
        </w:rPr>
        <w:t>) has provisional approval for the prophylaxis of COVID-19 in adults and adolescents aged 12 years and older weighing at least 40</w:t>
      </w:r>
      <w:r>
        <w:rPr>
          <w:i/>
          <w:iCs/>
        </w:rPr>
        <w:t> </w:t>
      </w:r>
      <w:r w:rsidRPr="6F299AE4">
        <w:rPr>
          <w:i/>
          <w:iCs/>
        </w:rPr>
        <w:t xml:space="preserve">kg, </w:t>
      </w:r>
    </w:p>
    <w:p w14:paraId="565B1A69" w14:textId="77777777" w:rsidR="00B90C21" w:rsidRPr="00B90C21" w:rsidRDefault="00B90C21" w:rsidP="00B90C21">
      <w:pPr>
        <w:pStyle w:val="ListBullet3"/>
        <w:rPr>
          <w:i/>
        </w:rPr>
      </w:pPr>
      <w:r w:rsidRPr="00B90C21">
        <w:rPr>
          <w:i/>
        </w:rPr>
        <w:t xml:space="preserve">Who are not currently infected with SARS‐CoV‐2 and who have not had a known recent exposure to an individual infected with SARS-CoV‐2 </w:t>
      </w:r>
      <w:proofErr w:type="gramStart"/>
      <w:r w:rsidRPr="00B90C21">
        <w:rPr>
          <w:b/>
          <w:bCs/>
          <w:i/>
        </w:rPr>
        <w:t>and</w:t>
      </w:r>
      <w:proofErr w:type="gramEnd"/>
    </w:p>
    <w:p w14:paraId="0010FF72" w14:textId="77777777" w:rsidR="00B90C21" w:rsidRPr="00B90C21" w:rsidRDefault="00B90C21" w:rsidP="00B90C21">
      <w:pPr>
        <w:pStyle w:val="ListBullet3"/>
        <w:rPr>
          <w:i/>
        </w:rPr>
      </w:pPr>
      <w:r w:rsidRPr="00B90C21">
        <w:rPr>
          <w:i/>
        </w:rPr>
        <w:t xml:space="preserve">Who have moderate to severe immune compromise due to a medical condition or receipt of immunosuppressive medications or treatments that make it likely that they will not mount an adequate immune response to COVID‐19 vaccination </w:t>
      </w:r>
      <w:proofErr w:type="gramStart"/>
      <w:r w:rsidRPr="00B90C21">
        <w:rPr>
          <w:i/>
        </w:rPr>
        <w:t>or</w:t>
      </w:r>
      <w:proofErr w:type="gramEnd"/>
    </w:p>
    <w:p w14:paraId="27246EF7" w14:textId="77777777" w:rsidR="00B90C21" w:rsidRPr="00B90C21" w:rsidRDefault="00B90C21" w:rsidP="00B90C21">
      <w:pPr>
        <w:pStyle w:val="ListBullet3"/>
        <w:rPr>
          <w:i/>
        </w:rPr>
      </w:pPr>
      <w:r w:rsidRPr="00B90C21">
        <w:rPr>
          <w:i/>
        </w:rPr>
        <w:t xml:space="preserve">For whom vaccination with any approved COVID‐19 vaccine is not recommended due to a history of severe adverse reaction (e.g., severe allergic reaction) to a </w:t>
      </w:r>
      <w:r w:rsidRPr="00B90C21">
        <w:rPr>
          <w:i/>
        </w:rPr>
        <w:lastRenderedPageBreak/>
        <w:t>COVID‐19 vaccine(s) and/or COVID‐19 vaccine component(s). see Section 4.2 Dose and method of administration and Section 5.2 Pharmacokinetic Properties.</w:t>
      </w:r>
    </w:p>
    <w:p w14:paraId="3BC1B633" w14:textId="77777777" w:rsidR="00B90C21" w:rsidRPr="009434E4" w:rsidRDefault="00B90C21" w:rsidP="00B90C21">
      <w:pPr>
        <w:ind w:left="720"/>
        <w:rPr>
          <w:b/>
          <w:bCs/>
          <w:i/>
          <w:iCs/>
        </w:rPr>
      </w:pPr>
      <w:proofErr w:type="spellStart"/>
      <w:r w:rsidRPr="009434E4">
        <w:rPr>
          <w:b/>
          <w:bCs/>
          <w:i/>
          <w:iCs/>
        </w:rPr>
        <w:t>Evusheld</w:t>
      </w:r>
      <w:proofErr w:type="spellEnd"/>
      <w:r w:rsidRPr="009434E4">
        <w:rPr>
          <w:b/>
          <w:bCs/>
          <w:i/>
          <w:iCs/>
        </w:rPr>
        <w:t xml:space="preserve"> is not intended to be used as a substitute for vaccination against COVID‐19.</w:t>
      </w:r>
    </w:p>
    <w:p w14:paraId="11779A0C" w14:textId="77777777" w:rsidR="00B90C21" w:rsidRPr="00B90C21" w:rsidRDefault="00B90C21" w:rsidP="00B90C21">
      <w:pPr>
        <w:ind w:left="720"/>
      </w:pPr>
      <w:r w:rsidRPr="6F299AE4">
        <w:rPr>
          <w:i/>
          <w:iCs/>
        </w:rPr>
        <w:t xml:space="preserve">This decision has been made </w:t>
      </w:r>
      <w:proofErr w:type="gramStart"/>
      <w:r w:rsidRPr="6F299AE4">
        <w:rPr>
          <w:i/>
          <w:iCs/>
        </w:rPr>
        <w:t>on the basis of</w:t>
      </w:r>
      <w:proofErr w:type="gramEnd"/>
      <w:r w:rsidRPr="6F299AE4">
        <w:rPr>
          <w:i/>
          <w:iCs/>
        </w:rPr>
        <w:t xml:space="preserve"> short-term efficacy and safety data. Continued approval depends on the evidence of longer-term efficacy and safety data from ongoing clinical trials</w:t>
      </w:r>
    </w:p>
    <w:p w14:paraId="345D77D5" w14:textId="77777777" w:rsidR="008E7846" w:rsidRPr="002E238E" w:rsidRDefault="008E7846" w:rsidP="008E7846">
      <w:pPr>
        <w:pStyle w:val="Heading3"/>
      </w:pPr>
      <w:bookmarkStart w:id="71" w:name="_Toc97646306"/>
      <w:r>
        <w:t>Outcome</w:t>
      </w:r>
      <w:bookmarkEnd w:id="69"/>
      <w:bookmarkEnd w:id="70"/>
      <w:bookmarkEnd w:id="71"/>
    </w:p>
    <w:p w14:paraId="00CAE612" w14:textId="1B9652D4" w:rsidR="00744121" w:rsidRDefault="00744121" w:rsidP="00744121">
      <w:bookmarkStart w:id="72" w:name="_Toc247691533"/>
      <w:bookmarkStart w:id="73" w:name="_Toc314842517"/>
      <w:r>
        <w:t xml:space="preserve">Based on a review of quality, </w:t>
      </w:r>
      <w:proofErr w:type="gramStart"/>
      <w:r>
        <w:t>safety</w:t>
      </w:r>
      <w:proofErr w:type="gramEnd"/>
      <w:r>
        <w:t xml:space="preserve"> and efficacy, the TGA approved the registration of </w:t>
      </w:r>
      <w:proofErr w:type="spellStart"/>
      <w:r w:rsidR="00381C11">
        <w:t>Evusheld</w:t>
      </w:r>
      <w:proofErr w:type="spellEnd"/>
      <w:r w:rsidR="00381C11">
        <w:t xml:space="preserve"> (150 mg of </w:t>
      </w:r>
      <w:proofErr w:type="spellStart"/>
      <w:r w:rsidR="00381C11">
        <w:t>tixagevimab</w:t>
      </w:r>
      <w:proofErr w:type="spellEnd"/>
      <w:r w:rsidR="00381C11">
        <w:t xml:space="preserve"> in 1.5 mL (100 mg/mL); and 150 mg of </w:t>
      </w:r>
      <w:proofErr w:type="spellStart"/>
      <w:r w:rsidR="00381C11">
        <w:t>cilgavimab</w:t>
      </w:r>
      <w:proofErr w:type="spellEnd"/>
      <w:r w:rsidR="00381C11">
        <w:t xml:space="preserve"> in 1.5 mL (100 mg/mL)) solution for injection, single dose vial</w:t>
      </w:r>
      <w:r>
        <w:t>, indicated for:</w:t>
      </w:r>
    </w:p>
    <w:p w14:paraId="486A9404" w14:textId="77777777" w:rsidR="00381C11" w:rsidRPr="005E3688" w:rsidRDefault="00381C11" w:rsidP="00381C11">
      <w:pPr>
        <w:ind w:left="360"/>
        <w:rPr>
          <w:i/>
          <w:iCs/>
        </w:rPr>
      </w:pPr>
      <w:proofErr w:type="spellStart"/>
      <w:r w:rsidRPr="005E3688">
        <w:rPr>
          <w:i/>
          <w:iCs/>
        </w:rPr>
        <w:t>Evusheld</w:t>
      </w:r>
      <w:proofErr w:type="spellEnd"/>
      <w:r w:rsidRPr="005E3688">
        <w:rPr>
          <w:i/>
          <w:iCs/>
        </w:rPr>
        <w:t xml:space="preserve"> (</w:t>
      </w:r>
      <w:proofErr w:type="spellStart"/>
      <w:r w:rsidRPr="005E3688">
        <w:rPr>
          <w:i/>
          <w:iCs/>
        </w:rPr>
        <w:t>tixagevimab</w:t>
      </w:r>
      <w:proofErr w:type="spellEnd"/>
      <w:r w:rsidRPr="005E3688">
        <w:rPr>
          <w:i/>
          <w:iCs/>
        </w:rPr>
        <w:t xml:space="preserve"> and </w:t>
      </w:r>
      <w:proofErr w:type="spellStart"/>
      <w:r w:rsidRPr="005E3688">
        <w:rPr>
          <w:i/>
          <w:iCs/>
        </w:rPr>
        <w:t>cilgavimab</w:t>
      </w:r>
      <w:proofErr w:type="spellEnd"/>
      <w:r w:rsidRPr="005E3688">
        <w:rPr>
          <w:i/>
          <w:iCs/>
        </w:rPr>
        <w:t xml:space="preserve">) has </w:t>
      </w:r>
      <w:r w:rsidRPr="005E3688">
        <w:rPr>
          <w:b/>
          <w:bCs/>
          <w:i/>
          <w:iCs/>
        </w:rPr>
        <w:t>provisional approval</w:t>
      </w:r>
      <w:r w:rsidRPr="005E3688">
        <w:rPr>
          <w:i/>
          <w:iCs/>
        </w:rPr>
        <w:t xml:space="preserve"> for the </w:t>
      </w:r>
      <w:r w:rsidRPr="005E3688">
        <w:rPr>
          <w:b/>
          <w:bCs/>
          <w:i/>
          <w:iCs/>
        </w:rPr>
        <w:t>pre-exposure prophylaxis</w:t>
      </w:r>
      <w:r w:rsidRPr="005E3688">
        <w:rPr>
          <w:i/>
          <w:iCs/>
        </w:rPr>
        <w:t xml:space="preserve"> of COVID-19 in adults and adolescents aged 12 years and older weighing at least 40 kg,</w:t>
      </w:r>
    </w:p>
    <w:p w14:paraId="3BBD34BF" w14:textId="77777777" w:rsidR="00381C11" w:rsidRPr="005E3688" w:rsidRDefault="00381C11" w:rsidP="00381C11">
      <w:pPr>
        <w:pStyle w:val="ListBullet"/>
        <w:ind w:left="720"/>
        <w:rPr>
          <w:i/>
          <w:iCs/>
        </w:rPr>
      </w:pPr>
      <w:r w:rsidRPr="005E3688">
        <w:rPr>
          <w:i/>
          <w:iCs/>
        </w:rPr>
        <w:t xml:space="preserve">Who have moderate to severe immune compromise due to a medical condition or receipt of immunosuppressive medications or treatments that make it likely that they will not mount an adequate immune response to COVID-19 vaccination </w:t>
      </w:r>
      <w:proofErr w:type="gramStart"/>
      <w:r w:rsidRPr="005E3688">
        <w:rPr>
          <w:i/>
          <w:iCs/>
        </w:rPr>
        <w:t>or</w:t>
      </w:r>
      <w:proofErr w:type="gramEnd"/>
    </w:p>
    <w:p w14:paraId="649D4E50" w14:textId="77777777" w:rsidR="00381C11" w:rsidRPr="005E3688" w:rsidRDefault="00381C11" w:rsidP="00381C11">
      <w:pPr>
        <w:pStyle w:val="ListBullet"/>
        <w:ind w:left="720"/>
      </w:pPr>
      <w:r w:rsidRPr="005E3688">
        <w:rPr>
          <w:i/>
          <w:iCs/>
        </w:rPr>
        <w:t>For whom vaccination with any approved COVID-19 vaccine is not recommended due to a history of severe adverse reaction (for example., severe allergic reaction) to a COVID-19 vaccine(s) and/or COVID‐19 vaccine component(s).</w:t>
      </w:r>
    </w:p>
    <w:p w14:paraId="01D2457B" w14:textId="77777777" w:rsidR="00381C11" w:rsidRPr="005E3688" w:rsidRDefault="00381C11" w:rsidP="00381C11">
      <w:pPr>
        <w:ind w:left="360"/>
        <w:rPr>
          <w:i/>
          <w:iCs/>
        </w:rPr>
      </w:pPr>
      <w:r w:rsidRPr="005E3688">
        <w:rPr>
          <w:i/>
          <w:iCs/>
        </w:rPr>
        <w:t>See Section 4.2 Dose and method of administration and Section 5.2 Pharmacokinetic properties.</w:t>
      </w:r>
    </w:p>
    <w:p w14:paraId="7AC0412B" w14:textId="77777777" w:rsidR="00381C11" w:rsidRPr="005E3688" w:rsidRDefault="00381C11" w:rsidP="00381C11">
      <w:pPr>
        <w:ind w:left="360"/>
        <w:rPr>
          <w:b/>
          <w:bCs/>
          <w:i/>
          <w:iCs/>
        </w:rPr>
      </w:pPr>
      <w:proofErr w:type="spellStart"/>
      <w:r w:rsidRPr="005E3688">
        <w:rPr>
          <w:b/>
          <w:bCs/>
          <w:i/>
          <w:iCs/>
        </w:rPr>
        <w:t>Evusheld</w:t>
      </w:r>
      <w:proofErr w:type="spellEnd"/>
      <w:r w:rsidRPr="005E3688">
        <w:rPr>
          <w:b/>
          <w:bCs/>
          <w:i/>
          <w:iCs/>
        </w:rPr>
        <w:t xml:space="preserve"> is not recommended as a substitute for vaccination in individuals for whom COVID-19 vaccination is recommended.</w:t>
      </w:r>
    </w:p>
    <w:p w14:paraId="02E90328" w14:textId="22886DA0" w:rsidR="007D53B6" w:rsidRDefault="00381C11" w:rsidP="00381C11">
      <w:pPr>
        <w:ind w:left="360"/>
      </w:pPr>
      <w:r w:rsidRPr="005E3688">
        <w:rPr>
          <w:i/>
          <w:iCs/>
        </w:rPr>
        <w:t xml:space="preserve">This decision has been made </w:t>
      </w:r>
      <w:proofErr w:type="gramStart"/>
      <w:r w:rsidRPr="005E3688">
        <w:rPr>
          <w:i/>
          <w:iCs/>
        </w:rPr>
        <w:t>on the basis of</w:t>
      </w:r>
      <w:proofErr w:type="gramEnd"/>
      <w:r w:rsidRPr="005E3688">
        <w:rPr>
          <w:i/>
          <w:iCs/>
        </w:rPr>
        <w:t xml:space="preserve"> short-term efficacy and safety data. Continued approval depends on the evidence of longer-term efficacy and safety data from ongoing clinical trials.</w:t>
      </w:r>
    </w:p>
    <w:p w14:paraId="6FA42BEA" w14:textId="0A380D19" w:rsidR="00984A01" w:rsidRDefault="00D23139" w:rsidP="00984A01">
      <w:pPr>
        <w:pStyle w:val="Heading4"/>
      </w:pPr>
      <w:r w:rsidRPr="00D23139">
        <w:t>Specific conditions of registration applying to these goods</w:t>
      </w:r>
    </w:p>
    <w:p w14:paraId="0835923E" w14:textId="77777777" w:rsidR="00984A01" w:rsidRDefault="00984A01" w:rsidP="00984A01">
      <w:pPr>
        <w:pStyle w:val="ListBullet"/>
      </w:pPr>
      <w:proofErr w:type="spellStart"/>
      <w:r>
        <w:t>Evusheld</w:t>
      </w:r>
      <w:proofErr w:type="spellEnd"/>
      <w:r>
        <w:t xml:space="preserve"> (</w:t>
      </w:r>
      <w:proofErr w:type="spellStart"/>
      <w:r>
        <w:t>tixagevimab</w:t>
      </w:r>
      <w:proofErr w:type="spellEnd"/>
      <w:r>
        <w:t>/</w:t>
      </w:r>
      <w:proofErr w:type="spellStart"/>
      <w:r>
        <w:t>cilgavimab</w:t>
      </w:r>
      <w:proofErr w:type="spellEnd"/>
      <w:r>
        <w:t xml:space="preserve">) is to be included in the Black Triangle Scheme. The PI and CMI for </w:t>
      </w:r>
      <w:proofErr w:type="spellStart"/>
      <w:r>
        <w:t>Evusheld</w:t>
      </w:r>
      <w:proofErr w:type="spellEnd"/>
      <w:r>
        <w:t xml:space="preserve"> must include the black triangle symbol and mandatory accompanying text for the products entire period of provisional registration.</w:t>
      </w:r>
    </w:p>
    <w:p w14:paraId="64F16E86" w14:textId="77400F9F" w:rsidR="00381C11" w:rsidRDefault="00381C11" w:rsidP="00381C11">
      <w:pPr>
        <w:pStyle w:val="ListBullet"/>
      </w:pPr>
      <w:r>
        <w:t xml:space="preserve">The </w:t>
      </w:r>
      <w:proofErr w:type="spellStart"/>
      <w:r>
        <w:t>Evusheld</w:t>
      </w:r>
      <w:proofErr w:type="spellEnd"/>
      <w:r>
        <w:t xml:space="preserve"> Core-RMP (version 1, date 2 February 2022; DLP 21 August 2021), with ASA (version 1.0 succession 3; 15 February 2022), included with submission PM-2021-05375-1-2, to be revised to the satisfaction of the TGA, will be implemented in Australia.</w:t>
      </w:r>
    </w:p>
    <w:p w14:paraId="3D1C8C21" w14:textId="444D0956" w:rsidR="00381C11" w:rsidRDefault="00381C11" w:rsidP="00381C11">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59DC7965" w14:textId="3FCB33D7" w:rsidR="00381C11" w:rsidRDefault="00381C11" w:rsidP="00381C11">
      <w:pPr>
        <w:pStyle w:val="ListBullet"/>
        <w:numPr>
          <w:ilvl w:val="0"/>
          <w:numId w:val="0"/>
        </w:numPr>
        <w:ind w:left="360"/>
      </w:pPr>
      <w:r>
        <w:t>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or the entire period of provisional registration, whichever is longer.</w:t>
      </w:r>
    </w:p>
    <w:p w14:paraId="00B49388" w14:textId="26553484" w:rsidR="00381C11" w:rsidRDefault="00381C11" w:rsidP="00381C11">
      <w:pPr>
        <w:pStyle w:val="ListBullet"/>
        <w:numPr>
          <w:ilvl w:val="0"/>
          <w:numId w:val="0"/>
        </w:numPr>
        <w:ind w:left="360"/>
      </w:pPr>
      <w:r>
        <w:lastRenderedPageBreak/>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68E1753F" w14:textId="5A6C1111" w:rsidR="00381C11" w:rsidRDefault="00381C11" w:rsidP="00381C11">
      <w:pPr>
        <w:pStyle w:val="ListBullet"/>
        <w:numPr>
          <w:ilvl w:val="0"/>
          <w:numId w:val="0"/>
        </w:numPr>
        <w:ind w:left="360"/>
      </w:pPr>
      <w:r>
        <w:t>Additional to the submission of PSURs, expedited monthly summary safety reports (including safety data for patients in Australia and reporting of Australia specific safety concerns) are to be provided for the first 6 months post registration, and thereafter at intervals specified by the TGA.</w:t>
      </w:r>
    </w:p>
    <w:p w14:paraId="7B1C7A7E" w14:textId="77777777" w:rsidR="00984A01" w:rsidRPr="00381C11" w:rsidRDefault="00984A01" w:rsidP="00984A01">
      <w:pPr>
        <w:pStyle w:val="ListBullet"/>
        <w:numPr>
          <w:ilvl w:val="0"/>
          <w:numId w:val="0"/>
        </w:numPr>
        <w:rPr>
          <w:b/>
          <w:bCs/>
        </w:rPr>
      </w:pPr>
      <w:r w:rsidRPr="00381C11">
        <w:rPr>
          <w:b/>
          <w:bCs/>
        </w:rPr>
        <w:t>Quality Conditions</w:t>
      </w:r>
    </w:p>
    <w:p w14:paraId="0E9423A5" w14:textId="77777777" w:rsidR="00984A01" w:rsidRDefault="00984A01" w:rsidP="00984A01">
      <w:pPr>
        <w:pStyle w:val="ListBullet"/>
      </w:pPr>
      <w:r>
        <w:t>The manufacturer is to update the specification acceptance criteria after the manufacture of a total of 20 DS [Drug substance]/DP [Drug product] batches across both manufacturing sites through submission of a Category 3 application.</w:t>
      </w:r>
    </w:p>
    <w:p w14:paraId="64282BC2" w14:textId="77777777" w:rsidR="00984A01" w:rsidRDefault="00984A01" w:rsidP="00984A01">
      <w:pPr>
        <w:pStyle w:val="ListBullet"/>
      </w:pPr>
      <w:r>
        <w:t>The sponsor is to provide the following data for DS manufacture [Information redacted] or as otherwise indicated through submission of a Category 3 application:</w:t>
      </w:r>
    </w:p>
    <w:p w14:paraId="7423A1DE" w14:textId="77777777" w:rsidR="00984A01" w:rsidRDefault="00984A01" w:rsidP="00984A01">
      <w:pPr>
        <w:pStyle w:val="ListBullet2"/>
      </w:pPr>
      <w:r>
        <w:t>Column chromatography resin lifetime studies with qualification data for small scale models</w:t>
      </w:r>
    </w:p>
    <w:p w14:paraId="1605AD2C" w14:textId="77777777" w:rsidR="00984A01" w:rsidRDefault="00984A01" w:rsidP="00984A01">
      <w:pPr>
        <w:pStyle w:val="ListBullet2"/>
      </w:pPr>
      <w:r>
        <w:t>Membrane reuse studies</w:t>
      </w:r>
    </w:p>
    <w:p w14:paraId="72D13DA2" w14:textId="77777777" w:rsidR="00984A01" w:rsidRDefault="00984A01" w:rsidP="00984A01">
      <w:pPr>
        <w:pStyle w:val="ListBullet2"/>
      </w:pPr>
      <w:r>
        <w:t>Hold study validation (</w:t>
      </w:r>
      <w:proofErr w:type="spellStart"/>
      <w:r>
        <w:t>cilgavimab</w:t>
      </w:r>
      <w:proofErr w:type="spellEnd"/>
      <w:r>
        <w:t>)</w:t>
      </w:r>
    </w:p>
    <w:p w14:paraId="60366915" w14:textId="77777777" w:rsidR="00984A01" w:rsidRDefault="00984A01" w:rsidP="00984A01">
      <w:pPr>
        <w:pStyle w:val="ListBullet2"/>
      </w:pPr>
      <w:r>
        <w:t>Data from Drug Substance manufacturing site 2</w:t>
      </w:r>
    </w:p>
    <w:p w14:paraId="226A46F0" w14:textId="77777777" w:rsidR="00984A01" w:rsidRDefault="00984A01" w:rsidP="00984A01">
      <w:pPr>
        <w:pStyle w:val="ListBullet2"/>
      </w:pPr>
      <w:r>
        <w:t>Additional drug substance stability data [Information redacted]</w:t>
      </w:r>
    </w:p>
    <w:p w14:paraId="623025C6" w14:textId="77777777" w:rsidR="00984A01" w:rsidRDefault="00984A01" w:rsidP="00984A01">
      <w:pPr>
        <w:pStyle w:val="ListBullet"/>
      </w:pPr>
      <w:r>
        <w:t>The sponsor is to provide the following data to support DP shelf life of 12 months:</w:t>
      </w:r>
    </w:p>
    <w:p w14:paraId="6C260CCC" w14:textId="77777777" w:rsidR="00984A01" w:rsidRDefault="00984A01" w:rsidP="00984A01">
      <w:pPr>
        <w:pStyle w:val="ListBullet2"/>
      </w:pPr>
      <w:r>
        <w:t>Up to 12 months of acceptable stability data for DP (</w:t>
      </w:r>
      <w:proofErr w:type="spellStart"/>
      <w:r>
        <w:t>cilgavimab</w:t>
      </w:r>
      <w:proofErr w:type="spellEnd"/>
      <w:r>
        <w:t xml:space="preserve"> and </w:t>
      </w:r>
      <w:proofErr w:type="spellStart"/>
      <w:r>
        <w:t>tixagevimab</w:t>
      </w:r>
      <w:proofErr w:type="spellEnd"/>
      <w:r>
        <w:t>) from commercial batches manufactured at [Information redacted]</w:t>
      </w:r>
    </w:p>
    <w:p w14:paraId="0AC5CF38" w14:textId="77777777" w:rsidR="00984A01" w:rsidRDefault="00984A01" w:rsidP="00984A01">
      <w:pPr>
        <w:pStyle w:val="ListBullet2"/>
      </w:pPr>
      <w:r>
        <w:t>Up to 15 months stability data from two clinical batches manufactured from Process 2 from each DP (</w:t>
      </w:r>
      <w:proofErr w:type="spellStart"/>
      <w:r>
        <w:t>tixagevimab</w:t>
      </w:r>
      <w:proofErr w:type="spellEnd"/>
      <w:r>
        <w:t xml:space="preserve"> and </w:t>
      </w:r>
      <w:proofErr w:type="spellStart"/>
      <w:proofErr w:type="gramStart"/>
      <w:r>
        <w:t>cilgavimab</w:t>
      </w:r>
      <w:proofErr w:type="spellEnd"/>
      <w:r>
        <w:t>)[</w:t>
      </w:r>
      <w:proofErr w:type="gramEnd"/>
      <w:r>
        <w:t>Information redacted]</w:t>
      </w:r>
    </w:p>
    <w:p w14:paraId="61AB5A67" w14:textId="77777777" w:rsidR="00984A01" w:rsidRDefault="00984A01" w:rsidP="00984A01">
      <w:pPr>
        <w:pStyle w:val="ListBullet2"/>
      </w:pPr>
      <w:r>
        <w:t>a commitment to complete all ongoing stability studies and report any confirmed out of specification result and proposed remediation approaches to the TGA immediately.</w:t>
      </w:r>
    </w:p>
    <w:p w14:paraId="05B81111" w14:textId="77777777" w:rsidR="00984A01" w:rsidRPr="00381C11" w:rsidRDefault="00984A01" w:rsidP="00984A01">
      <w:pPr>
        <w:pStyle w:val="ListBullet"/>
      </w:pPr>
      <w:r w:rsidRPr="00381C11">
        <w:t>Laboratory testing &amp; compliance with Certified Product Details (CPD)</w:t>
      </w:r>
    </w:p>
    <w:p w14:paraId="01735F05" w14:textId="77777777" w:rsidR="00984A01" w:rsidRDefault="00984A01" w:rsidP="00984A01">
      <w:pPr>
        <w:pStyle w:val="ListBullet2"/>
      </w:pPr>
      <w:r>
        <w:t xml:space="preserve">All batches of </w:t>
      </w:r>
      <w:proofErr w:type="spellStart"/>
      <w:r>
        <w:t>Evusheld</w:t>
      </w:r>
      <w:proofErr w:type="spellEnd"/>
      <w:r>
        <w:t xml:space="preserve"> supplied in Australia must comply with the product details and specifications approved during evaluation and detailed in the Certified Product Details (CPD).</w:t>
      </w:r>
    </w:p>
    <w:p w14:paraId="4210EBE1" w14:textId="5BD461D6" w:rsidR="00984A01" w:rsidRPr="00381C11" w:rsidRDefault="00984A01" w:rsidP="00984A01">
      <w:pPr>
        <w:pStyle w:val="ListBullet2"/>
      </w:pPr>
      <w:r>
        <w:t xml:space="preserve">When requested by the TGA, the </w:t>
      </w:r>
      <w:r w:rsidR="004D0A2C">
        <w:t>s</w:t>
      </w:r>
      <w:r>
        <w:t>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3E153A30" w14:textId="77777777" w:rsidR="00381C11" w:rsidRPr="00381C11" w:rsidRDefault="00381C11" w:rsidP="00381C11">
      <w:pPr>
        <w:rPr>
          <w:b/>
          <w:bCs/>
        </w:rPr>
      </w:pPr>
      <w:r w:rsidRPr="00381C11">
        <w:rPr>
          <w:b/>
          <w:bCs/>
        </w:rPr>
        <w:t>Clinical Conditions</w:t>
      </w:r>
    </w:p>
    <w:p w14:paraId="1A7B4A1B" w14:textId="1CDD1173" w:rsidR="00381C11" w:rsidRDefault="00381C11" w:rsidP="00381C11">
      <w:pPr>
        <w:pStyle w:val="ListBullet"/>
      </w:pPr>
      <w:r>
        <w:t>The final study reports for the following studies will have to be submitted before a definitive authorisation can be considered: PROVENT, STORM, CHASER and TACKLE.</w:t>
      </w:r>
    </w:p>
    <w:p w14:paraId="284E0F74" w14:textId="3F781D1C" w:rsidR="00381C11" w:rsidRDefault="00381C11" w:rsidP="00381C11">
      <w:pPr>
        <w:pStyle w:val="ListBullet"/>
      </w:pPr>
      <w:r>
        <w:lastRenderedPageBreak/>
        <w:t>All anti-drug antibody (ADA) assessments that have not been completed at the time of this authorisation for subjects from the PROVENT clinical trial for Days 1, 29, 58, and 183.</w:t>
      </w:r>
    </w:p>
    <w:p w14:paraId="692FE626" w14:textId="62F44B97" w:rsidR="00381C11" w:rsidRDefault="00381C11" w:rsidP="00381C11">
      <w:pPr>
        <w:pStyle w:val="ListBullet"/>
      </w:pPr>
      <w:r>
        <w:t>Interim analysis results through Day 28 for the first 50 subjects to receive a second dose from the PROVENT repeat-dose sub-study by</w:t>
      </w:r>
      <w:r w:rsidR="00C618FF">
        <w:t xml:space="preserve"> [Information redacted].</w:t>
      </w:r>
    </w:p>
    <w:p w14:paraId="3F499C7A" w14:textId="0002770D" w:rsidR="00381C11" w:rsidRDefault="00381C11" w:rsidP="00381C11">
      <w:pPr>
        <w:pStyle w:val="ListBullet"/>
      </w:pPr>
      <w:r>
        <w:t>Baseline and all subsequent study visits, of the following biomarkers from the PROVENT repeat-dose sub-study: d-dimer, P-selectin, thrombin, and Factor VIII.</w:t>
      </w:r>
    </w:p>
    <w:p w14:paraId="7ED66A0D" w14:textId="7D9825B4" w:rsidR="00381C11" w:rsidRDefault="00381C11" w:rsidP="00381C11">
      <w:pPr>
        <w:pStyle w:val="ListBullet"/>
      </w:pPr>
      <w:r>
        <w:t>Top line data, to include safety, pharmacokinetic, ADA, and biomarker results for thrombotic events from the first 9 months of the PROVENT repeat-dose sub-study.</w:t>
      </w:r>
    </w:p>
    <w:p w14:paraId="1D28DC3F" w14:textId="29707C65" w:rsidR="00381C11" w:rsidRDefault="00381C11" w:rsidP="00381C11">
      <w:pPr>
        <w:pStyle w:val="ListBullet"/>
      </w:pPr>
      <w:r>
        <w:t>Monthly aggregate reports for serious adverse events in the Cardiac Disorder System Order Class (SOC) and other non-cardiac thrombotic serious adverse events.</w:t>
      </w:r>
    </w:p>
    <w:p w14:paraId="7345D72F" w14:textId="00B7C744" w:rsidR="00381C11" w:rsidRDefault="00381C11" w:rsidP="00381C11">
      <w:pPr>
        <w:pStyle w:val="ListBullet"/>
      </w:pPr>
      <w:r>
        <w:t>Systematic data collection from spontaneous reporting of cardiac events should be conducted and reported regularly to the TGA.</w:t>
      </w:r>
    </w:p>
    <w:p w14:paraId="7ED7976F" w14:textId="28528588" w:rsidR="00381C11" w:rsidRDefault="00381C11" w:rsidP="00381C11">
      <w:pPr>
        <w:pStyle w:val="ListBullet"/>
      </w:pPr>
      <w:r>
        <w:t>The complete 6- month safety summary for PROVENT, STORM CHASER and TACKLE should be submitted for review and should include a critical review of cardiac events and non- cardiac vascular events.</w:t>
      </w:r>
    </w:p>
    <w:p w14:paraId="093AEF5A" w14:textId="412AE00F" w:rsidR="008E7846" w:rsidRDefault="00A80B5B" w:rsidP="00D23139">
      <w:pPr>
        <w:pStyle w:val="Heading2"/>
      </w:pPr>
      <w:bookmarkStart w:id="74" w:name="_Toc97646307"/>
      <w:r>
        <w:t xml:space="preserve">Attachment 1. </w:t>
      </w:r>
      <w:r w:rsidR="008E7846">
        <w:t xml:space="preserve">Product </w:t>
      </w:r>
      <w:r w:rsidR="00AA0ED0">
        <w:t>I</w:t>
      </w:r>
      <w:r w:rsidR="008E7846">
        <w:t>nformation</w:t>
      </w:r>
      <w:bookmarkEnd w:id="72"/>
      <w:bookmarkEnd w:id="73"/>
      <w:bookmarkEnd w:id="74"/>
    </w:p>
    <w:p w14:paraId="34FD1528" w14:textId="1AAB3ADD" w:rsidR="00C80137" w:rsidRDefault="006136D7" w:rsidP="00C80137">
      <w:pPr>
        <w:rPr>
          <w:color w:val="000000"/>
          <w:lang w:eastAsia="en-AU"/>
        </w:rPr>
      </w:pPr>
      <w:r w:rsidRPr="002B3624">
        <w:t xml:space="preserve">The </w:t>
      </w:r>
      <w:r>
        <w:t>PI</w:t>
      </w:r>
      <w:r w:rsidR="00134CBE">
        <w:t xml:space="preserve"> for </w:t>
      </w:r>
      <w:proofErr w:type="spellStart"/>
      <w:r w:rsidR="00134CBE">
        <w:t>Evusheld</w:t>
      </w:r>
      <w:proofErr w:type="spellEnd"/>
      <w:r w:rsidR="00134CBE">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93" w:history="1">
        <w:r w:rsidR="007C6B9B" w:rsidRPr="007C6B9B">
          <w:rPr>
            <w:rStyle w:val="Hyperlink"/>
          </w:rPr>
          <w:t>https://www.tga.gov.au/product-information-pi</w:t>
        </w:r>
      </w:hyperlink>
      <w:r w:rsidR="00134CBE">
        <w:t>&gt;.</w:t>
      </w:r>
    </w:p>
    <w:p w14:paraId="6C21619E" w14:textId="45486266" w:rsidR="008E7846" w:rsidRPr="00C80137" w:rsidRDefault="008E7846" w:rsidP="00C80137">
      <w:pPr>
        <w:autoSpaceDE w:val="0"/>
        <w:autoSpaceDN w:val="0"/>
        <w:adjustRightInd w:val="0"/>
        <w:spacing w:after="0"/>
        <w:rPr>
          <w:b/>
        </w:rPr>
      </w:pPr>
      <w:r w:rsidRPr="00C80137">
        <w:rPr>
          <w:b/>
        </w:rPr>
        <w:br w:type="page"/>
      </w:r>
    </w:p>
    <w:p w14:paraId="606688BC" w14:textId="77777777" w:rsidR="00C80137" w:rsidRPr="001D043B" w:rsidRDefault="00C80137" w:rsidP="003A7F6C">
      <w:pPr>
        <w:pStyle w:val="TableTitle"/>
        <w:sectPr w:rsidR="00C80137" w:rsidRPr="001D043B" w:rsidSect="00B452CE">
          <w:headerReference w:type="even" r:id="rId94"/>
          <w:headerReference w:type="default" r:id="rId95"/>
          <w:headerReference w:type="first" r:id="rId96"/>
          <w:footerReference w:type="first" r:id="rId9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CF96D09" w14:textId="77777777" w:rsidTr="00A05FA4">
        <w:trPr>
          <w:trHeight w:hRule="exact" w:val="704"/>
        </w:trPr>
        <w:tc>
          <w:tcPr>
            <w:tcW w:w="9175" w:type="dxa"/>
          </w:tcPr>
          <w:p w14:paraId="58987CD2" w14:textId="77777777" w:rsidR="001C32CD" w:rsidRPr="00487162" w:rsidRDefault="001C32CD" w:rsidP="00A05FA4">
            <w:pPr>
              <w:pStyle w:val="TGASignoff"/>
            </w:pPr>
            <w:r w:rsidRPr="00487162">
              <w:lastRenderedPageBreak/>
              <w:t>Therapeutic Goods Administration</w:t>
            </w:r>
          </w:p>
        </w:tc>
      </w:tr>
      <w:tr w:rsidR="001C32CD" w:rsidRPr="004C239D" w14:paraId="6EB742F5" w14:textId="77777777" w:rsidTr="00A05FA4">
        <w:trPr>
          <w:trHeight w:val="1221"/>
        </w:trPr>
        <w:tc>
          <w:tcPr>
            <w:tcW w:w="9175" w:type="dxa"/>
            <w:tcMar>
              <w:top w:w="28" w:type="dxa"/>
            </w:tcMar>
          </w:tcPr>
          <w:p w14:paraId="37D8EFED" w14:textId="77777777" w:rsidR="001C32CD" w:rsidRPr="00487162" w:rsidRDefault="001C32CD" w:rsidP="00A05FA4">
            <w:pPr>
              <w:pStyle w:val="Address"/>
            </w:pPr>
            <w:r w:rsidRPr="00487162">
              <w:t>PO Box 100 Woden ACT 2606 Australia</w:t>
            </w:r>
          </w:p>
          <w:p w14:paraId="1879221B" w14:textId="35FDE45C" w:rsidR="001C32CD" w:rsidRPr="00487162" w:rsidRDefault="001C32CD" w:rsidP="00A05FA4">
            <w:pPr>
              <w:pStyle w:val="Address"/>
            </w:pPr>
            <w:r w:rsidRPr="00487162">
              <w:t xml:space="preserve">Email: </w:t>
            </w:r>
            <w:hyperlink r:id="rId98"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7A1E1276" w14:textId="682E807A" w:rsidR="001C32CD" w:rsidRPr="004C239D" w:rsidRDefault="006B3C32" w:rsidP="00A05FA4">
            <w:pPr>
              <w:pStyle w:val="Address"/>
              <w:spacing w:line="260" w:lineRule="atLeast"/>
              <w:rPr>
                <w:b/>
                <w:color w:val="0000FF"/>
                <w:u w:val="single"/>
              </w:rPr>
            </w:pPr>
            <w:hyperlink r:id="rId99" w:history="1">
              <w:r w:rsidR="007C6B9B" w:rsidRPr="007C6B9B">
                <w:rPr>
                  <w:rStyle w:val="Hyperlink"/>
                  <w:b/>
                </w:rPr>
                <w:t>https://www.tga.gov.au</w:t>
              </w:r>
            </w:hyperlink>
          </w:p>
        </w:tc>
      </w:tr>
    </w:tbl>
    <w:p w14:paraId="0790A838" w14:textId="77777777" w:rsidR="00774E1D" w:rsidRPr="008A5E0B" w:rsidRDefault="00774E1D" w:rsidP="006B3C32"/>
    <w:sectPr w:rsidR="00774E1D" w:rsidRPr="008A5E0B" w:rsidSect="001C32CD">
      <w:headerReference w:type="even" r:id="rId100"/>
      <w:headerReference w:type="default" r:id="rId101"/>
      <w:footerReference w:type="default" r:id="rId102"/>
      <w:headerReference w:type="first" r:id="rId103"/>
      <w:footerReference w:type="first" r:id="rId10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9B0159" w14:textId="77777777" w:rsidR="00407E5D" w:rsidRDefault="00407E5D" w:rsidP="00C40A36">
      <w:pPr>
        <w:spacing w:after="0"/>
      </w:pPr>
      <w:r>
        <w:separator/>
      </w:r>
    </w:p>
  </w:endnote>
  <w:endnote w:type="continuationSeparator" w:id="0">
    <w:p w14:paraId="3B9F83D3" w14:textId="77777777" w:rsidR="00407E5D" w:rsidRDefault="00407E5D" w:rsidP="00C40A36">
      <w:pPr>
        <w:spacing w:after="0"/>
      </w:pPr>
      <w:r>
        <w:continuationSeparator/>
      </w:r>
    </w:p>
  </w:endnote>
  <w:endnote w:type="continuationNotice" w:id="1">
    <w:p w14:paraId="6545A3DB" w14:textId="77777777" w:rsidR="00407E5D" w:rsidRDefault="00407E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07E5D" w:rsidRPr="00487162" w14:paraId="7A0F27E6" w14:textId="77777777" w:rsidTr="00DB750B">
      <w:trPr>
        <w:trHeight w:val="269"/>
      </w:trPr>
      <w:tc>
        <w:tcPr>
          <w:tcW w:w="7371" w:type="dxa"/>
          <w:tcMar>
            <w:top w:w="142" w:type="dxa"/>
            <w:bottom w:w="0" w:type="dxa"/>
          </w:tcMar>
        </w:tcPr>
        <w:p w14:paraId="44FE09BB" w14:textId="792AE0C4" w:rsidR="00407E5D" w:rsidRPr="00487162" w:rsidRDefault="00407E5D" w:rsidP="00460036">
          <w:pPr>
            <w:pStyle w:val="Footer"/>
          </w:pPr>
          <w:proofErr w:type="spellStart"/>
          <w:r w:rsidRPr="00487162">
            <w:t>AusPA</w:t>
          </w:r>
          <w:r>
            <w:t>R</w:t>
          </w:r>
          <w:proofErr w:type="spellEnd"/>
          <w:r>
            <w:t xml:space="preserve"> - </w:t>
          </w:r>
          <w:proofErr w:type="spellStart"/>
          <w:r>
            <w:t>Evusheld</w:t>
          </w:r>
          <w:proofErr w:type="spellEnd"/>
          <w:r>
            <w:t xml:space="preserve"> </w:t>
          </w:r>
          <w:r w:rsidRPr="00460036">
            <w:t xml:space="preserve">– </w:t>
          </w:r>
          <w:proofErr w:type="spellStart"/>
          <w:r w:rsidRPr="00BE67BB">
            <w:t>tixagevimab</w:t>
          </w:r>
          <w:proofErr w:type="spellEnd"/>
          <w:r w:rsidRPr="00BE67BB">
            <w:t>/</w:t>
          </w:r>
          <w:proofErr w:type="spellStart"/>
          <w:r w:rsidRPr="00BE67BB">
            <w:t>cilgavimab</w:t>
          </w:r>
          <w:proofErr w:type="spellEnd"/>
          <w:r w:rsidRPr="00BE67BB">
            <w:t xml:space="preserve"> </w:t>
          </w:r>
          <w:r>
            <w:t xml:space="preserve">- </w:t>
          </w:r>
          <w:r w:rsidRPr="00BE67BB">
            <w:t>AstraZeneca Pty Ltd</w:t>
          </w:r>
          <w:r>
            <w:t xml:space="preserve"> PM-2021</w:t>
          </w:r>
          <w:r w:rsidRPr="00487162">
            <w:t>-</w:t>
          </w:r>
          <w:r>
            <w:t>05375-1-2</w:t>
          </w:r>
          <w:r>
            <w:br/>
          </w:r>
          <w:r w:rsidR="00167643">
            <w:t>FINAL 8</w:t>
          </w:r>
          <w:r>
            <w:t xml:space="preserve"> March 2022</w:t>
          </w:r>
        </w:p>
      </w:tc>
      <w:tc>
        <w:tcPr>
          <w:tcW w:w="1490" w:type="dxa"/>
          <w:tcMar>
            <w:top w:w="142" w:type="dxa"/>
            <w:bottom w:w="0" w:type="dxa"/>
          </w:tcMar>
        </w:tcPr>
        <w:p w14:paraId="60C82A64" w14:textId="537FDD7F" w:rsidR="00407E5D" w:rsidRPr="00487162" w:rsidRDefault="00407E5D" w:rsidP="00DB750B">
          <w:pPr>
            <w:pStyle w:val="Footer"/>
            <w:jc w:val="right"/>
          </w:pPr>
          <w:r w:rsidRPr="00487162">
            <w:t xml:space="preserve">Page </w:t>
          </w:r>
          <w:r>
            <w:fldChar w:fldCharType="begin"/>
          </w:r>
          <w:r>
            <w:instrText xml:space="preserve"> PAGE  \* Arabic </w:instrText>
          </w:r>
          <w:r>
            <w:fldChar w:fldCharType="separate"/>
          </w:r>
          <w:r>
            <w:rPr>
              <w:noProof/>
            </w:rPr>
            <w:t>16</w:t>
          </w:r>
          <w:r>
            <w:fldChar w:fldCharType="end"/>
          </w:r>
          <w:r w:rsidRPr="00487162">
            <w:t xml:space="preserve"> of </w:t>
          </w:r>
          <w:r>
            <w:fldChar w:fldCharType="begin"/>
          </w:r>
          <w:r>
            <w:instrText>NUMPAGES  \* Arabic</w:instrText>
          </w:r>
          <w:r>
            <w:fldChar w:fldCharType="separate"/>
          </w:r>
          <w:r>
            <w:rPr>
              <w:noProof/>
            </w:rPr>
            <w:t>115</w:t>
          </w:r>
          <w:r>
            <w:fldChar w:fldCharType="end"/>
          </w:r>
        </w:p>
      </w:tc>
    </w:tr>
  </w:tbl>
  <w:p w14:paraId="327AA023" w14:textId="77777777" w:rsidR="00407E5D" w:rsidRDefault="00407E5D"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07E5D" w:rsidRPr="00487162" w14:paraId="32CD62A4" w14:textId="77777777" w:rsidTr="00E45619">
      <w:trPr>
        <w:trHeight w:val="269"/>
      </w:trPr>
      <w:tc>
        <w:tcPr>
          <w:tcW w:w="4519" w:type="dxa"/>
          <w:tcBorders>
            <w:top w:val="single" w:sz="4" w:space="0" w:color="auto"/>
          </w:tcBorders>
          <w:tcMar>
            <w:top w:w="142" w:type="dxa"/>
            <w:bottom w:w="0" w:type="dxa"/>
          </w:tcMar>
        </w:tcPr>
        <w:p w14:paraId="2D48EA9D" w14:textId="77777777" w:rsidR="00407E5D" w:rsidRPr="00487162" w:rsidRDefault="00407E5D" w:rsidP="00FE1DEE">
          <w:pPr>
            <w:pStyle w:val="Footer"/>
          </w:pPr>
          <w:r w:rsidRPr="00487162">
            <w:t>Document title, Part #, Section # - Section title</w:t>
          </w:r>
        </w:p>
        <w:p w14:paraId="615D420E" w14:textId="77777777" w:rsidR="00407E5D" w:rsidRPr="00487162" w:rsidRDefault="00407E5D" w:rsidP="00FE1DEE">
          <w:pPr>
            <w:pStyle w:val="Footer"/>
          </w:pPr>
          <w:r w:rsidRPr="00487162">
            <w:t>V1.0 October 2010</w:t>
          </w:r>
        </w:p>
      </w:tc>
      <w:tc>
        <w:tcPr>
          <w:tcW w:w="4342" w:type="dxa"/>
          <w:tcBorders>
            <w:top w:val="single" w:sz="4" w:space="0" w:color="auto"/>
          </w:tcBorders>
          <w:tcMar>
            <w:top w:w="142" w:type="dxa"/>
            <w:bottom w:w="0" w:type="dxa"/>
          </w:tcMar>
        </w:tcPr>
        <w:p w14:paraId="51BBF5B1" w14:textId="77777777" w:rsidR="00407E5D" w:rsidRPr="00487162" w:rsidRDefault="00407E5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NUMPAGES</w:instrText>
          </w:r>
          <w:r>
            <w:fldChar w:fldCharType="separate"/>
          </w:r>
          <w:r>
            <w:rPr>
              <w:noProof/>
            </w:rPr>
            <w:t>3</w:t>
          </w:r>
          <w:r>
            <w:fldChar w:fldCharType="end"/>
          </w:r>
        </w:p>
      </w:tc>
    </w:tr>
  </w:tbl>
  <w:p w14:paraId="0C4DF12B" w14:textId="77777777" w:rsidR="00407E5D" w:rsidRDefault="00407E5D">
    <w:pPr>
      <w:pStyle w:val="Footer"/>
    </w:pPr>
  </w:p>
  <w:p w14:paraId="2529ABF4" w14:textId="77777777" w:rsidR="00407E5D" w:rsidRDefault="00407E5D"/>
  <w:p w14:paraId="4AB6855C" w14:textId="77777777" w:rsidR="00407E5D" w:rsidRDefault="00407E5D"/>
  <w:p w14:paraId="5726EC78" w14:textId="77777777" w:rsidR="00407E5D" w:rsidRDefault="00407E5D"/>
  <w:p w14:paraId="0B4A8D77" w14:textId="77777777" w:rsidR="00407E5D" w:rsidRDefault="00407E5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4A3E6" w14:textId="77777777" w:rsidR="00407E5D" w:rsidRPr="001C32CD" w:rsidRDefault="00407E5D"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07E5D" w14:paraId="7792B38A" w14:textId="77777777" w:rsidTr="0010601F">
      <w:trPr>
        <w:trHeight w:val="108"/>
      </w:trPr>
      <w:tc>
        <w:tcPr>
          <w:tcW w:w="8875" w:type="dxa"/>
          <w:gridSpan w:val="2"/>
          <w:tcBorders>
            <w:bottom w:val="single" w:sz="4" w:space="0" w:color="auto"/>
          </w:tcBorders>
          <w:tcMar>
            <w:right w:w="284" w:type="dxa"/>
          </w:tcMar>
        </w:tcPr>
        <w:p w14:paraId="20450F95" w14:textId="77777777" w:rsidR="00407E5D" w:rsidRDefault="00407E5D" w:rsidP="006E08B3">
          <w:pPr>
            <w:pStyle w:val="Heading3"/>
          </w:pPr>
          <w:r>
            <w:t>Copyright</w:t>
          </w:r>
        </w:p>
        <w:p w14:paraId="14737D88" w14:textId="77777777" w:rsidR="00407E5D" w:rsidRDefault="00407E5D" w:rsidP="006E08B3">
          <w:r>
            <w:rPr>
              <w:rFonts w:cs="Arial"/>
            </w:rPr>
            <w:t>©</w:t>
          </w:r>
          <w:r>
            <w:t xml:space="preserve"> Commonwealth of Australia (add year)</w:t>
          </w:r>
        </w:p>
        <w:p w14:paraId="2DA378F0" w14:textId="77777777" w:rsidR="00407E5D" w:rsidRDefault="00407E5D" w:rsidP="006E08B3"/>
        <w:p w14:paraId="7363614E" w14:textId="77777777" w:rsidR="00407E5D" w:rsidRDefault="00407E5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4698F089" w14:textId="77777777" w:rsidR="00407E5D" w:rsidRDefault="00407E5D" w:rsidP="006E08B3"/>
        <w:p w14:paraId="745093B4" w14:textId="77777777" w:rsidR="00407E5D" w:rsidRDefault="00407E5D" w:rsidP="006E08B3">
          <w:pPr>
            <w:pStyle w:val="Heading3"/>
          </w:pPr>
          <w:r>
            <w:t>Confidentiality</w:t>
          </w:r>
        </w:p>
        <w:p w14:paraId="523F5BB9" w14:textId="77777777" w:rsidR="00407E5D" w:rsidRDefault="00407E5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3AEA172" w14:textId="77777777" w:rsidR="00407E5D" w:rsidRDefault="00407E5D" w:rsidP="006E08B3"/>
        <w:p w14:paraId="3D747911" w14:textId="77777777" w:rsidR="00407E5D" w:rsidRDefault="00407E5D" w:rsidP="006E08B3">
          <w:r>
            <w:t>For submission made by individuals, all personal details, other than your name, will be removed from your submission before it is published on the TGA’s Internet site.</w:t>
          </w:r>
        </w:p>
        <w:p w14:paraId="3855552C" w14:textId="77777777" w:rsidR="00407E5D" w:rsidRDefault="00407E5D" w:rsidP="006E08B3"/>
        <w:p w14:paraId="3CB14437" w14:textId="77777777" w:rsidR="00407E5D" w:rsidRDefault="00407E5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07E5D" w14:paraId="5B6A735E" w14:textId="77777777" w:rsidTr="0010601F">
      <w:trPr>
        <w:trHeight w:val="417"/>
      </w:trPr>
      <w:tc>
        <w:tcPr>
          <w:tcW w:w="4519" w:type="dxa"/>
          <w:tcBorders>
            <w:top w:val="single" w:sz="4" w:space="0" w:color="auto"/>
          </w:tcBorders>
          <w:tcMar>
            <w:top w:w="142" w:type="dxa"/>
            <w:bottom w:w="0" w:type="dxa"/>
          </w:tcMar>
        </w:tcPr>
        <w:p w14:paraId="51FEB2DD" w14:textId="77777777" w:rsidR="00407E5D" w:rsidRDefault="00407E5D" w:rsidP="006E08B3">
          <w:r>
            <w:t>Document title, Part #, Section # - Section title</w:t>
          </w:r>
        </w:p>
        <w:p w14:paraId="33209A55" w14:textId="77777777" w:rsidR="00407E5D" w:rsidRDefault="00407E5D" w:rsidP="006E08B3">
          <w:r>
            <w:t>V1.0 October 2010</w:t>
          </w:r>
        </w:p>
      </w:tc>
      <w:tc>
        <w:tcPr>
          <w:tcW w:w="4356" w:type="dxa"/>
          <w:tcBorders>
            <w:top w:val="single" w:sz="4" w:space="0" w:color="auto"/>
          </w:tcBorders>
          <w:tcMar>
            <w:top w:w="142" w:type="dxa"/>
            <w:bottom w:w="0" w:type="dxa"/>
          </w:tcMar>
        </w:tcPr>
        <w:p w14:paraId="04CD84C0" w14:textId="77777777" w:rsidR="00407E5D" w:rsidRDefault="00407E5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NUMPAGES  \* Arabic</w:instrText>
          </w:r>
          <w:r>
            <w:fldChar w:fldCharType="separate"/>
          </w:r>
          <w:r>
            <w:rPr>
              <w:noProof/>
            </w:rPr>
            <w:t>3</w:t>
          </w:r>
          <w:r>
            <w:fldChar w:fldCharType="end"/>
          </w:r>
          <w:r>
            <w:t xml:space="preserve">  </w:t>
          </w:r>
        </w:p>
      </w:tc>
    </w:tr>
  </w:tbl>
  <w:p w14:paraId="1DD8D124" w14:textId="77777777" w:rsidR="00407E5D" w:rsidRDefault="00407E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DFB1EA" w14:textId="77777777" w:rsidR="00407E5D" w:rsidRDefault="00407E5D" w:rsidP="00C40A36">
      <w:pPr>
        <w:spacing w:after="0"/>
      </w:pPr>
      <w:r>
        <w:separator/>
      </w:r>
    </w:p>
  </w:footnote>
  <w:footnote w:type="continuationSeparator" w:id="0">
    <w:p w14:paraId="2A551257" w14:textId="77777777" w:rsidR="00407E5D" w:rsidRDefault="00407E5D" w:rsidP="00C40A36">
      <w:pPr>
        <w:spacing w:after="0"/>
      </w:pPr>
      <w:r>
        <w:continuationSeparator/>
      </w:r>
    </w:p>
  </w:footnote>
  <w:footnote w:type="continuationNotice" w:id="1">
    <w:p w14:paraId="3F1F5BB5" w14:textId="77777777" w:rsidR="00407E5D" w:rsidRDefault="00407E5D">
      <w:pPr>
        <w:spacing w:before="0" w:after="0" w:line="240" w:lineRule="auto"/>
      </w:pPr>
    </w:p>
  </w:footnote>
  <w:footnote w:id="2">
    <w:p w14:paraId="050E017A" w14:textId="77777777" w:rsidR="00407E5D" w:rsidRDefault="00407E5D">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7D8BCEF3" w14:textId="42E26874" w:rsidR="00407E5D" w:rsidRDefault="00407E5D">
      <w:pPr>
        <w:pStyle w:val="FootnoteText"/>
      </w:pPr>
      <w:r>
        <w:rPr>
          <w:rStyle w:val="FootnoteReference"/>
        </w:rPr>
        <w:footnoteRef/>
      </w:r>
      <w:r>
        <w:t xml:space="preserve"> Sponsor submitted indication include both a treatment and a </w:t>
      </w:r>
      <w:r w:rsidRPr="008D3029">
        <w:t>prophylaxis</w:t>
      </w:r>
      <w:r>
        <w:t xml:space="preserve"> part. During TGA’s evaluation, the indication has been spilt into two submissions, one for the treatment indication and one for the prophylaxis indications. This </w:t>
      </w:r>
      <w:proofErr w:type="spellStart"/>
      <w:r>
        <w:t>AusPAR</w:t>
      </w:r>
      <w:proofErr w:type="spellEnd"/>
      <w:r>
        <w:t xml:space="preserve"> will only be discussing the prophylaxis indication.</w:t>
      </w:r>
    </w:p>
  </w:footnote>
  <w:footnote w:id="4">
    <w:p w14:paraId="055B58BA" w14:textId="77777777" w:rsidR="00407E5D" w:rsidRPr="00A70984" w:rsidRDefault="00407E5D">
      <w:pPr>
        <w:pStyle w:val="FootnoteText"/>
        <w:rPr>
          <w:lang w:val="en-GB"/>
        </w:rPr>
      </w:pPr>
      <w:r>
        <w:rPr>
          <w:rStyle w:val="FootnoteReference"/>
        </w:rPr>
        <w:footnoteRef/>
      </w:r>
      <w:r>
        <w:t xml:space="preserve"> </w:t>
      </w:r>
      <w:r w:rsidRPr="00A70984">
        <w:t>Wu, F., et al., A new coronavirus associated with human respiratory disease in China. Nature, 2020. 579(7798): p. 265-269.</w:t>
      </w:r>
    </w:p>
  </w:footnote>
  <w:footnote w:id="5">
    <w:p w14:paraId="1C677BEA" w14:textId="77777777" w:rsidR="00407E5D" w:rsidRPr="00A70984" w:rsidRDefault="00407E5D">
      <w:pPr>
        <w:pStyle w:val="FootnoteText"/>
        <w:rPr>
          <w:lang w:val="en-GB"/>
        </w:rPr>
      </w:pPr>
      <w:r>
        <w:rPr>
          <w:rStyle w:val="FootnoteReference"/>
        </w:rPr>
        <w:footnoteRef/>
      </w:r>
      <w:r>
        <w:t xml:space="preserve"> </w:t>
      </w:r>
      <w:r w:rsidRPr="00A70984">
        <w:t>Huang, C., et al., Clinical features of patients infected with 2019 novel coronavirus in Wuhan, China. Lancet, 2020. 395(10223): p. 497-506.</w:t>
      </w:r>
    </w:p>
  </w:footnote>
  <w:footnote w:id="6">
    <w:p w14:paraId="49097728" w14:textId="77777777" w:rsidR="00407E5D" w:rsidRPr="0090274F" w:rsidRDefault="00407E5D">
      <w:pPr>
        <w:pStyle w:val="FootnoteText"/>
        <w:rPr>
          <w:lang w:val="en-GB"/>
        </w:rPr>
      </w:pPr>
      <w:r>
        <w:rPr>
          <w:rStyle w:val="FootnoteReference"/>
        </w:rPr>
        <w:footnoteRef/>
      </w:r>
      <w:r>
        <w:t xml:space="preserve"> </w:t>
      </w:r>
      <w:r>
        <w:rPr>
          <w:lang w:val="en-GB"/>
        </w:rPr>
        <w:t xml:space="preserve">WHO: WHO Coronavirus (COVID-19) </w:t>
      </w:r>
      <w:proofErr w:type="gramStart"/>
      <w:r>
        <w:rPr>
          <w:lang w:val="en-GB"/>
        </w:rPr>
        <w:t>Dashboard.</w:t>
      </w:r>
      <w:proofErr w:type="gramEnd"/>
      <w:r>
        <w:rPr>
          <w:lang w:val="en-GB"/>
        </w:rPr>
        <w:t xml:space="preserve"> World Health Organization (WHO). Available at </w:t>
      </w:r>
      <w:hyperlink r:id="rId1" w:history="1">
        <w:hyperlink r:id="rId2" w:history="1">
          <w:r w:rsidRPr="0090274F">
            <w:rPr>
              <w:rStyle w:val="Hyperlink"/>
            </w:rPr>
            <w:t>https://www.health.gov.au/health-alerts/covid-19/case-numbers-and-statistics</w:t>
          </w:r>
        </w:hyperlink>
      </w:hyperlink>
    </w:p>
  </w:footnote>
  <w:footnote w:id="7">
    <w:p w14:paraId="0B2D0763" w14:textId="77777777" w:rsidR="00407E5D" w:rsidRPr="00A70984" w:rsidRDefault="00407E5D">
      <w:pPr>
        <w:pStyle w:val="FootnoteText"/>
        <w:rPr>
          <w:lang w:val="en-GB"/>
        </w:rPr>
      </w:pPr>
      <w:r>
        <w:rPr>
          <w:rStyle w:val="FootnoteReference"/>
        </w:rPr>
        <w:footnoteRef/>
      </w:r>
      <w:r>
        <w:t xml:space="preserve"> Department of Health: COVID Dashboard. Australian Government, Canberra. Available at: </w:t>
      </w:r>
      <w:hyperlink r:id="rId3" w:history="1">
        <w:hyperlink r:id="rId4" w:history="1">
          <w:r w:rsidRPr="00A70984">
            <w:rPr>
              <w:rStyle w:val="Hyperlink"/>
            </w:rPr>
            <w:t>https://www.health.gov.au/health-alerts/covid-19/case-numbers-and-statistics</w:t>
          </w:r>
        </w:hyperlink>
      </w:hyperlink>
    </w:p>
  </w:footnote>
  <w:footnote w:id="8">
    <w:p w14:paraId="598109E0" w14:textId="77777777" w:rsidR="00407E5D" w:rsidRPr="0090274F" w:rsidRDefault="00407E5D">
      <w:pPr>
        <w:pStyle w:val="FootnoteText"/>
        <w:rPr>
          <w:lang w:val="en-GB"/>
        </w:rPr>
      </w:pPr>
      <w:r>
        <w:rPr>
          <w:rStyle w:val="FootnoteReference"/>
        </w:rPr>
        <w:footnoteRef/>
      </w:r>
      <w:r>
        <w:t xml:space="preserve"> </w:t>
      </w:r>
      <w:r w:rsidRPr="0090274F">
        <w:t>Shuai, H., et al., Attenuated replication and pathogenicity of SARS-CoV-2 B.1.1.529 Omicron. Nature, 2022.</w:t>
      </w:r>
    </w:p>
  </w:footnote>
  <w:footnote w:id="9">
    <w:p w14:paraId="4664B6F5" w14:textId="77777777" w:rsidR="00407E5D" w:rsidRPr="00810C37" w:rsidRDefault="00407E5D">
      <w:pPr>
        <w:pStyle w:val="FootnoteText"/>
        <w:rPr>
          <w:lang w:val="en-GB"/>
        </w:rPr>
      </w:pPr>
      <w:r>
        <w:rPr>
          <w:rStyle w:val="FootnoteReference"/>
        </w:rPr>
        <w:footnoteRef/>
      </w:r>
      <w:r>
        <w:t xml:space="preserve"> </w:t>
      </w:r>
      <w:r>
        <w:rPr>
          <w:lang w:val="en-GB"/>
        </w:rPr>
        <w:t xml:space="preserve">TGA: COVID-19 treatments, provisional registrations. Available at: </w:t>
      </w:r>
      <w:r w:rsidRPr="00810C37">
        <w:rPr>
          <w:lang w:val="en-GB"/>
        </w:rPr>
        <w:t>https://www.tga.gov.au/covid-19-treatments-provisional-registrations</w:t>
      </w:r>
    </w:p>
  </w:footnote>
  <w:footnote w:id="10">
    <w:p w14:paraId="20CBB404" w14:textId="77777777" w:rsidR="00407E5D" w:rsidRDefault="00407E5D" w:rsidP="0090274F">
      <w:pPr>
        <w:pStyle w:val="FootnoteText"/>
      </w:pPr>
      <w:r>
        <w:rPr>
          <w:rStyle w:val="FootnoteReference"/>
        </w:rPr>
        <w:footnoteRef/>
      </w:r>
      <w:r>
        <w:t xml:space="preserve"> As part of the </w:t>
      </w:r>
      <w:r>
        <w:rPr>
          <w:b/>
          <w:bCs/>
        </w:rPr>
        <w:t>provisional approval pathway</w:t>
      </w:r>
      <w:r>
        <w:t xml:space="preserve">, the provisional registration process will allow certain medicines to be provisionally registered in the Australian Register of Therapeutic Goods (ARTG) for a limited duration. These medicines are registered </w:t>
      </w:r>
      <w:proofErr w:type="gramStart"/>
      <w:r>
        <w:t>on the basis of</w:t>
      </w:r>
      <w:proofErr w:type="gramEnd"/>
      <w:r>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41C5BD38" w14:textId="77777777" w:rsidR="00407E5D" w:rsidRDefault="00407E5D" w:rsidP="0090274F">
      <w:pPr>
        <w:pStyle w:val="FootnoteText"/>
      </w:pPr>
      <w: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11">
    <w:p w14:paraId="59F8D6EC" w14:textId="77777777" w:rsidR="00407E5D" w:rsidRDefault="00407E5D" w:rsidP="0090274F">
      <w:pPr>
        <w:pStyle w:val="FootnoteText"/>
      </w:pPr>
      <w:r>
        <w:rPr>
          <w:rStyle w:val="FootnoteReference"/>
        </w:rPr>
        <w:footnoteRef/>
      </w:r>
      <w:r>
        <w:t xml:space="preserve"> </w:t>
      </w:r>
      <w:proofErr w:type="spellStart"/>
      <w:r w:rsidRPr="00E0067A">
        <w:t>Veklury</w:t>
      </w:r>
      <w:proofErr w:type="spellEnd"/>
      <w:r w:rsidRPr="00E0067A">
        <w:t xml:space="preserve"> </w:t>
      </w:r>
      <w:r w:rsidRPr="00B4694F">
        <w:t xml:space="preserve">was first registered on the ARTG on </w:t>
      </w:r>
      <w:r w:rsidRPr="00E0067A">
        <w:t>10</w:t>
      </w:r>
      <w:r>
        <w:t xml:space="preserve"> July </w:t>
      </w:r>
      <w:r w:rsidRPr="00E0067A">
        <w:t xml:space="preserve">2020 </w:t>
      </w:r>
      <w:r w:rsidRPr="00B4694F">
        <w:t xml:space="preserve">(ARTG number: </w:t>
      </w:r>
      <w:r w:rsidRPr="00E0067A">
        <w:t>338419</w:t>
      </w:r>
      <w:r w:rsidRPr="00B4694F">
        <w:t>).</w:t>
      </w:r>
    </w:p>
  </w:footnote>
  <w:footnote w:id="12">
    <w:p w14:paraId="3A5A03CF" w14:textId="77777777" w:rsidR="00407E5D" w:rsidRDefault="00407E5D" w:rsidP="0090274F">
      <w:pPr>
        <w:pStyle w:val="FootnoteText"/>
      </w:pPr>
      <w:r>
        <w:rPr>
          <w:rStyle w:val="FootnoteReference"/>
        </w:rPr>
        <w:footnoteRef/>
      </w:r>
      <w:r>
        <w:t xml:space="preserve"> </w:t>
      </w:r>
      <w:proofErr w:type="spellStart"/>
      <w:r w:rsidRPr="005F61F0">
        <w:t>AusPAR</w:t>
      </w:r>
      <w:proofErr w:type="spellEnd"/>
      <w:r w:rsidRPr="005F61F0">
        <w:t xml:space="preserve"> for </w:t>
      </w:r>
      <w:proofErr w:type="spellStart"/>
      <w:r w:rsidRPr="005F61F0">
        <w:t>Veklury</w:t>
      </w:r>
      <w:proofErr w:type="spellEnd"/>
      <w:r w:rsidRPr="005F61F0">
        <w:t xml:space="preserve"> </w:t>
      </w:r>
      <w:r>
        <w:t>(</w:t>
      </w:r>
      <w:proofErr w:type="spellStart"/>
      <w:r w:rsidRPr="005F61F0">
        <w:t>remdesivir</w:t>
      </w:r>
      <w:proofErr w:type="spellEnd"/>
      <w:r>
        <w:t>) n</w:t>
      </w:r>
      <w:r w:rsidRPr="00E0067A">
        <w:t>ew chemical entity</w:t>
      </w:r>
      <w:r>
        <w:t xml:space="preserve">, published on </w:t>
      </w:r>
      <w:r w:rsidRPr="00E0067A">
        <w:t>21 July 2020</w:t>
      </w:r>
      <w:r>
        <w:t>. A</w:t>
      </w:r>
      <w:r w:rsidRPr="005F61F0">
        <w:t>vailable</w:t>
      </w:r>
      <w:r>
        <w:t> </w:t>
      </w:r>
      <w:r w:rsidRPr="005F61F0">
        <w:t>at:</w:t>
      </w:r>
      <w:r>
        <w:t> </w:t>
      </w:r>
      <w:hyperlink r:id="rId5" w:history="1">
        <w:r w:rsidRPr="00DA27E3">
          <w:rPr>
            <w:rStyle w:val="Hyperlink"/>
          </w:rPr>
          <w:t>https://www.tga.gov.au/auspar/auspar-remdesivir</w:t>
        </w:r>
      </w:hyperlink>
    </w:p>
  </w:footnote>
  <w:footnote w:id="13">
    <w:p w14:paraId="2A510181" w14:textId="77777777" w:rsidR="00407E5D" w:rsidRDefault="00407E5D" w:rsidP="005F0724">
      <w:pPr>
        <w:pStyle w:val="FootnoteText"/>
      </w:pPr>
      <w:r>
        <w:rPr>
          <w:rStyle w:val="FootnoteReference"/>
        </w:rPr>
        <w:footnoteRef/>
      </w:r>
      <w:r>
        <w:t xml:space="preserve"> </w:t>
      </w:r>
      <w:proofErr w:type="spellStart"/>
      <w:r w:rsidRPr="00E0067A">
        <w:t>Xevudy</w:t>
      </w:r>
      <w:proofErr w:type="spellEnd"/>
      <w:r w:rsidRPr="00E0067A">
        <w:t xml:space="preserve"> </w:t>
      </w:r>
      <w:r w:rsidRPr="00B4694F">
        <w:t>was first registered on the ARTG on</w:t>
      </w:r>
      <w:r>
        <w:t xml:space="preserve"> </w:t>
      </w:r>
      <w:r w:rsidRPr="00E0067A">
        <w:t>20</w:t>
      </w:r>
      <w:r>
        <w:t xml:space="preserve"> August </w:t>
      </w:r>
      <w:r w:rsidRPr="00E0067A">
        <w:t>2021</w:t>
      </w:r>
      <w:r>
        <w:t xml:space="preserve"> (</w:t>
      </w:r>
      <w:r w:rsidRPr="00B4694F">
        <w:t>ARTG number:</w:t>
      </w:r>
      <w:r w:rsidRPr="00E0067A">
        <w:t xml:space="preserve"> 364110</w:t>
      </w:r>
      <w:r>
        <w:t>)</w:t>
      </w:r>
    </w:p>
  </w:footnote>
  <w:footnote w:id="14">
    <w:p w14:paraId="00B37B86" w14:textId="77777777" w:rsidR="00407E5D" w:rsidRDefault="00407E5D" w:rsidP="005F0724">
      <w:pPr>
        <w:pStyle w:val="FootnoteText"/>
      </w:pPr>
      <w:r>
        <w:rPr>
          <w:rStyle w:val="FootnoteReference"/>
        </w:rPr>
        <w:footnoteRef/>
      </w:r>
      <w:r>
        <w:t xml:space="preserve"> </w:t>
      </w:r>
      <w:proofErr w:type="spellStart"/>
      <w:r>
        <w:t>AusPAR</w:t>
      </w:r>
      <w:proofErr w:type="spellEnd"/>
      <w:r>
        <w:t xml:space="preserve"> for </w:t>
      </w:r>
      <w:proofErr w:type="spellStart"/>
      <w:r w:rsidRPr="00E0067A">
        <w:t>Xevudy</w:t>
      </w:r>
      <w:proofErr w:type="spellEnd"/>
      <w:r>
        <w:t xml:space="preserve"> (</w:t>
      </w:r>
      <w:proofErr w:type="spellStart"/>
      <w:r w:rsidRPr="00E0067A">
        <w:t>sotrovimab</w:t>
      </w:r>
      <w:proofErr w:type="spellEnd"/>
      <w:r>
        <w:t>) n</w:t>
      </w:r>
      <w:r w:rsidRPr="00E0067A">
        <w:t>ew biological entity</w:t>
      </w:r>
      <w:r>
        <w:t xml:space="preserve">, published on </w:t>
      </w:r>
      <w:r w:rsidRPr="00E0067A">
        <w:t>20 August 2021</w:t>
      </w:r>
      <w:r>
        <w:t>. Available at: </w:t>
      </w:r>
      <w:hyperlink r:id="rId6" w:history="1">
        <w:r w:rsidRPr="00DA27E3">
          <w:rPr>
            <w:rStyle w:val="Hyperlink"/>
          </w:rPr>
          <w:t>https://www.tga.gov.au/auspar/auspar-sotrovimab</w:t>
        </w:r>
      </w:hyperlink>
    </w:p>
  </w:footnote>
  <w:footnote w:id="15">
    <w:p w14:paraId="00966600" w14:textId="77777777" w:rsidR="00407E5D" w:rsidRDefault="00407E5D" w:rsidP="005F0724">
      <w:pPr>
        <w:pStyle w:val="FootnoteText"/>
      </w:pPr>
      <w:r>
        <w:rPr>
          <w:rStyle w:val="FootnoteReference"/>
        </w:rPr>
        <w:footnoteRef/>
      </w:r>
      <w:r>
        <w:t xml:space="preserve"> </w:t>
      </w:r>
      <w:proofErr w:type="spellStart"/>
      <w:r w:rsidRPr="006D790D">
        <w:t>Ronapreve</w:t>
      </w:r>
      <w:proofErr w:type="spellEnd"/>
      <w:r w:rsidRPr="00B4694F">
        <w:t xml:space="preserve"> was first registered on the ARTG on</w:t>
      </w:r>
      <w:r>
        <w:t xml:space="preserve"> </w:t>
      </w:r>
      <w:r w:rsidRPr="007E4FE1">
        <w:rPr>
          <w:rFonts w:eastAsia="MS Mincho"/>
          <w:color w:val="000000"/>
          <w:lang w:eastAsia="ja-JP"/>
        </w:rPr>
        <w:t>18 October 2021</w:t>
      </w:r>
      <w:r>
        <w:t xml:space="preserve"> (</w:t>
      </w:r>
      <w:r w:rsidRPr="00B4694F">
        <w:t>ARTG number:</w:t>
      </w:r>
      <w:r w:rsidRPr="00E0067A">
        <w:t xml:space="preserve"> </w:t>
      </w:r>
      <w:r w:rsidRPr="007E4FE1">
        <w:rPr>
          <w:rFonts w:eastAsia="MS Mincho"/>
          <w:color w:val="000000"/>
          <w:lang w:eastAsia="ja-JP"/>
        </w:rPr>
        <w:t>373839 and 374310</w:t>
      </w:r>
      <w:r>
        <w:t>)</w:t>
      </w:r>
    </w:p>
  </w:footnote>
  <w:footnote w:id="16">
    <w:p w14:paraId="24D3C8D2" w14:textId="77777777" w:rsidR="00407E5D" w:rsidRDefault="00407E5D" w:rsidP="005F0724">
      <w:pPr>
        <w:pStyle w:val="FootnoteText"/>
      </w:pPr>
      <w:r>
        <w:rPr>
          <w:rStyle w:val="FootnoteReference"/>
        </w:rPr>
        <w:footnoteRef/>
      </w:r>
      <w:r>
        <w:t xml:space="preserve"> </w:t>
      </w:r>
      <w:proofErr w:type="spellStart"/>
      <w:r>
        <w:t>AusPAR</w:t>
      </w:r>
      <w:proofErr w:type="spellEnd"/>
      <w:r>
        <w:t xml:space="preserve"> for </w:t>
      </w:r>
      <w:proofErr w:type="spellStart"/>
      <w:r w:rsidRPr="006D790D">
        <w:t>Ronapreve</w:t>
      </w:r>
      <w:proofErr w:type="spellEnd"/>
      <w:r w:rsidRPr="00B4694F">
        <w:t xml:space="preserve"> </w:t>
      </w:r>
      <w:r>
        <w:t>(</w:t>
      </w:r>
      <w:proofErr w:type="spellStart"/>
      <w:r>
        <w:t>c</w:t>
      </w:r>
      <w:r w:rsidRPr="006D790D">
        <w:t>asirivimab</w:t>
      </w:r>
      <w:proofErr w:type="spellEnd"/>
      <w:r>
        <w:t>/</w:t>
      </w:r>
      <w:proofErr w:type="spellStart"/>
      <w:r w:rsidRPr="006D790D">
        <w:t>imdevimab</w:t>
      </w:r>
      <w:proofErr w:type="spellEnd"/>
      <w:r>
        <w:t xml:space="preserve">) new biological entity, published on </w:t>
      </w:r>
      <w:r w:rsidRPr="00CB186F">
        <w:t>2 November 2021</w:t>
      </w:r>
      <w:r>
        <w:t>. Available at:</w:t>
      </w:r>
      <w:r w:rsidRPr="00CB186F">
        <w:t xml:space="preserve"> </w:t>
      </w:r>
      <w:hyperlink r:id="rId7" w:history="1">
        <w:r w:rsidRPr="00D4580C">
          <w:rPr>
            <w:rStyle w:val="Hyperlink"/>
          </w:rPr>
          <w:t>https://www.tga.gov.au/auspar/auspar-casirivimabimdevimab</w:t>
        </w:r>
      </w:hyperlink>
    </w:p>
  </w:footnote>
  <w:footnote w:id="17">
    <w:p w14:paraId="6BCBF5D1" w14:textId="77777777" w:rsidR="00407E5D" w:rsidRPr="00181F79" w:rsidRDefault="00407E5D">
      <w:pPr>
        <w:pStyle w:val="FootnoteText"/>
        <w:rPr>
          <w:lang w:val="en-GB"/>
        </w:rPr>
      </w:pPr>
      <w:r>
        <w:rPr>
          <w:rStyle w:val="FootnoteReference"/>
        </w:rPr>
        <w:footnoteRef/>
      </w:r>
      <w:r>
        <w:t xml:space="preserve"> </w:t>
      </w:r>
      <w:proofErr w:type="spellStart"/>
      <w:r>
        <w:t>AusPAR</w:t>
      </w:r>
      <w:proofErr w:type="spellEnd"/>
      <w:r>
        <w:t xml:space="preserve"> </w:t>
      </w:r>
      <w:proofErr w:type="spellStart"/>
      <w:r>
        <w:t>Paxlovid</w:t>
      </w:r>
      <w:proofErr w:type="spellEnd"/>
      <w:r w:rsidRPr="00181F79">
        <w:t xml:space="preserve"> </w:t>
      </w:r>
      <w:proofErr w:type="spellStart"/>
      <w:r w:rsidRPr="00181F79">
        <w:t>nirmatrelvir</w:t>
      </w:r>
      <w:proofErr w:type="spellEnd"/>
      <w:r w:rsidRPr="00181F79">
        <w:t>/ritonavir</w:t>
      </w:r>
      <w:r>
        <w:t xml:space="preserve"> Pfizer Australia Pty Ltd PM-2021-04880-1-2. Available at: </w:t>
      </w:r>
      <w:r w:rsidRPr="00181F79">
        <w:t>https://www.tga.gov.au/auspar/auspar-nirmatrelvirritonavir</w:t>
      </w:r>
    </w:p>
  </w:footnote>
  <w:footnote w:id="18">
    <w:p w14:paraId="0AA23619" w14:textId="77777777" w:rsidR="00407E5D" w:rsidRPr="00DE1861" w:rsidRDefault="00407E5D">
      <w:pPr>
        <w:pStyle w:val="FootnoteText"/>
        <w:rPr>
          <w:lang w:val="en-GB"/>
        </w:rPr>
      </w:pPr>
      <w:r>
        <w:rPr>
          <w:rStyle w:val="FootnoteReference"/>
        </w:rPr>
        <w:footnoteRef/>
      </w:r>
      <w:r>
        <w:t xml:space="preserve"> TGA: COVID-19 Vaccines, provisional approvals. Available at: </w:t>
      </w:r>
      <w:r w:rsidRPr="00DE1861">
        <w:t>https://www.tga.gov.au/covid-19-vaccine-provisional-registrations</w:t>
      </w:r>
    </w:p>
  </w:footnote>
  <w:footnote w:id="19">
    <w:p w14:paraId="0C020CD1" w14:textId="77777777" w:rsidR="00407E5D" w:rsidRDefault="00407E5D" w:rsidP="00DE1861">
      <w:pPr>
        <w:pStyle w:val="FootnoteText"/>
      </w:pPr>
      <w:r>
        <w:rPr>
          <w:rStyle w:val="FootnoteReference"/>
        </w:rPr>
        <w:footnoteRef/>
      </w:r>
      <w:r>
        <w:t xml:space="preserve"> </w:t>
      </w:r>
      <w:proofErr w:type="spellStart"/>
      <w:r w:rsidRPr="00582A8E">
        <w:t>Spikevax</w:t>
      </w:r>
      <w:proofErr w:type="spellEnd"/>
      <w:r w:rsidRPr="00B4694F">
        <w:t xml:space="preserve"> was first registered on the ARTG on </w:t>
      </w:r>
      <w:r w:rsidRPr="00582A8E">
        <w:t>9</w:t>
      </w:r>
      <w:r>
        <w:t xml:space="preserve"> August </w:t>
      </w:r>
      <w:r w:rsidRPr="00582A8E">
        <w:t>2021</w:t>
      </w:r>
      <w:r w:rsidRPr="00B4694F">
        <w:t xml:space="preserve"> (ARTG</w:t>
      </w:r>
      <w:r>
        <w:t xml:space="preserve"> </w:t>
      </w:r>
      <w:r w:rsidRPr="00B4694F">
        <w:t>number:</w:t>
      </w:r>
      <w:r>
        <w:t xml:space="preserve"> </w:t>
      </w:r>
      <w:r w:rsidRPr="00582A8E">
        <w:t>370599</w:t>
      </w:r>
      <w:r w:rsidRPr="00B4694F">
        <w:t>).</w:t>
      </w:r>
    </w:p>
  </w:footnote>
  <w:footnote w:id="20">
    <w:p w14:paraId="45B25616" w14:textId="77777777" w:rsidR="00407E5D" w:rsidRDefault="00407E5D" w:rsidP="00DE1861">
      <w:pPr>
        <w:pStyle w:val="FootnoteText"/>
      </w:pPr>
      <w:r>
        <w:rPr>
          <w:rStyle w:val="FootnoteReference"/>
        </w:rPr>
        <w:footnoteRef/>
      </w:r>
      <w:r>
        <w:t xml:space="preserve"> </w:t>
      </w:r>
      <w:proofErr w:type="spellStart"/>
      <w:r>
        <w:t>AusPAR</w:t>
      </w:r>
      <w:proofErr w:type="spellEnd"/>
      <w:r>
        <w:t xml:space="preserve"> for </w:t>
      </w:r>
      <w:proofErr w:type="spellStart"/>
      <w:r w:rsidRPr="00582A8E">
        <w:t>Spikevax</w:t>
      </w:r>
      <w:proofErr w:type="spellEnd"/>
      <w:r>
        <w:t xml:space="preserve"> (</w:t>
      </w:r>
      <w:proofErr w:type="spellStart"/>
      <w:r>
        <w:t>e</w:t>
      </w:r>
      <w:r w:rsidRPr="005B2EA7">
        <w:t>lasomeran</w:t>
      </w:r>
      <w:proofErr w:type="spellEnd"/>
      <w:r>
        <w:t xml:space="preserve">) new biological entity, adult indication, published on </w:t>
      </w:r>
      <w:r w:rsidRPr="005B2EA7">
        <w:t>9 August 2021</w:t>
      </w:r>
      <w:r>
        <w:t xml:space="preserve">. Available at: </w:t>
      </w:r>
      <w:hyperlink r:id="rId8" w:history="1">
        <w:r w:rsidRPr="00AD11B1">
          <w:rPr>
            <w:rStyle w:val="Hyperlink"/>
          </w:rPr>
          <w:t>https://www.tga.gov.au/auspar/auspar-elasomeran</w:t>
        </w:r>
      </w:hyperlink>
    </w:p>
  </w:footnote>
  <w:footnote w:id="21">
    <w:p w14:paraId="659D719E" w14:textId="77777777" w:rsidR="00407E5D" w:rsidRDefault="00407E5D" w:rsidP="00DE1861">
      <w:pPr>
        <w:pStyle w:val="FootnoteText"/>
      </w:pPr>
      <w:r>
        <w:rPr>
          <w:rStyle w:val="FootnoteReference"/>
        </w:rPr>
        <w:footnoteRef/>
      </w:r>
      <w:r>
        <w:t xml:space="preserve"> </w:t>
      </w:r>
      <w:proofErr w:type="spellStart"/>
      <w:r>
        <w:t>AusPAR</w:t>
      </w:r>
      <w:proofErr w:type="spellEnd"/>
      <w:r>
        <w:t xml:space="preserve"> for </w:t>
      </w:r>
      <w:proofErr w:type="spellStart"/>
      <w:r w:rsidRPr="00582A8E">
        <w:t>Spikevax</w:t>
      </w:r>
      <w:proofErr w:type="spellEnd"/>
      <w:r>
        <w:t xml:space="preserve"> (</w:t>
      </w:r>
      <w:proofErr w:type="spellStart"/>
      <w:r>
        <w:t>e</w:t>
      </w:r>
      <w:r w:rsidRPr="005B2EA7">
        <w:t>lasomeran</w:t>
      </w:r>
      <w:proofErr w:type="spellEnd"/>
      <w:r>
        <w:t xml:space="preserve">) new biological entity, paediatric indication, published on </w:t>
      </w:r>
      <w:r w:rsidRPr="00FB3F47">
        <w:t>4 September 2021</w:t>
      </w:r>
      <w:r>
        <w:t>. Available at:</w:t>
      </w:r>
      <w:r w:rsidRPr="00FB3F47">
        <w:t xml:space="preserve"> </w:t>
      </w:r>
      <w:hyperlink r:id="rId9" w:history="1">
        <w:r w:rsidRPr="00DA27E3">
          <w:rPr>
            <w:rStyle w:val="Hyperlink"/>
          </w:rPr>
          <w:t>https://www.tga.gov.au/auspar/auspar-elasomeran-0</w:t>
        </w:r>
      </w:hyperlink>
    </w:p>
  </w:footnote>
  <w:footnote w:id="22">
    <w:p w14:paraId="641C9C41" w14:textId="77777777" w:rsidR="00407E5D" w:rsidRDefault="00407E5D" w:rsidP="00DE1861">
      <w:pPr>
        <w:pStyle w:val="FootnoteText"/>
      </w:pPr>
      <w:r>
        <w:rPr>
          <w:rStyle w:val="FootnoteReference"/>
        </w:rPr>
        <w:footnoteRef/>
      </w:r>
      <w:r>
        <w:t xml:space="preserve"> COVID-19 Vaccine Janssen </w:t>
      </w:r>
      <w:r w:rsidRPr="00B4694F">
        <w:t xml:space="preserve">was first registered on the ARTG on </w:t>
      </w:r>
      <w:r>
        <w:t xml:space="preserve">25 June </w:t>
      </w:r>
      <w:r w:rsidRPr="00021741">
        <w:t>2021</w:t>
      </w:r>
      <w:r w:rsidRPr="00B4694F">
        <w:t xml:space="preserve"> (ARTG number: </w:t>
      </w:r>
      <w:r>
        <w:t>350150</w:t>
      </w:r>
      <w:r w:rsidRPr="00B4694F">
        <w:t>).</w:t>
      </w:r>
    </w:p>
  </w:footnote>
  <w:footnote w:id="23">
    <w:p w14:paraId="38A34BFF" w14:textId="77777777" w:rsidR="00407E5D" w:rsidRDefault="00407E5D" w:rsidP="00DE1861">
      <w:pPr>
        <w:pStyle w:val="FootnoteText"/>
      </w:pPr>
      <w:r>
        <w:rPr>
          <w:rStyle w:val="FootnoteReference"/>
        </w:rPr>
        <w:footnoteRef/>
      </w:r>
      <w:r>
        <w:t xml:space="preserve"> </w:t>
      </w:r>
      <w:proofErr w:type="spellStart"/>
      <w:r>
        <w:t>AusPAR</w:t>
      </w:r>
      <w:proofErr w:type="spellEnd"/>
      <w:r>
        <w:t xml:space="preserve"> for </w:t>
      </w:r>
      <w:r w:rsidRPr="008B7930">
        <w:t>COVID-19 Vaccine Janssen</w:t>
      </w:r>
      <w:r>
        <w:t xml:space="preserve"> (</w:t>
      </w:r>
      <w:r w:rsidRPr="008B7930">
        <w:t>Ad26.COV</w:t>
      </w:r>
      <w:proofErr w:type="gramStart"/>
      <w:r w:rsidRPr="008B7930">
        <w:t>2.S</w:t>
      </w:r>
      <w:proofErr w:type="gramEnd"/>
      <w:r>
        <w:t xml:space="preserve">) new biological entity, published on 25 June 2021. Available at: </w:t>
      </w:r>
      <w:hyperlink r:id="rId10" w:history="1">
        <w:r w:rsidRPr="00AD11B1">
          <w:rPr>
            <w:rStyle w:val="Hyperlink"/>
          </w:rPr>
          <w:t>https://www.tga.gov.au/auspar/auspar-ad26cov2s</w:t>
        </w:r>
      </w:hyperlink>
    </w:p>
  </w:footnote>
  <w:footnote w:id="24">
    <w:p w14:paraId="6BA73C11" w14:textId="77777777" w:rsidR="00407E5D" w:rsidRDefault="00407E5D" w:rsidP="00DE1861">
      <w:pPr>
        <w:pStyle w:val="FootnoteText"/>
      </w:pPr>
      <w:r>
        <w:rPr>
          <w:rStyle w:val="FootnoteReference"/>
        </w:rPr>
        <w:footnoteRef/>
      </w:r>
      <w:r>
        <w:t xml:space="preserve"> </w:t>
      </w:r>
      <w:r w:rsidRPr="00B4694F">
        <w:t>COVID-19 Vaccine AstraZeneca was first registered on the ARTG on 16</w:t>
      </w:r>
      <w:r>
        <w:t xml:space="preserve"> February </w:t>
      </w:r>
      <w:r w:rsidRPr="00B4694F">
        <w:t>2021 (ARTG</w:t>
      </w:r>
      <w:r>
        <w:t> </w:t>
      </w:r>
      <w:r w:rsidRPr="00B4694F">
        <w:t>number:</w:t>
      </w:r>
      <w:r>
        <w:t> </w:t>
      </w:r>
      <w:r w:rsidRPr="00B4694F">
        <w:t>349072).</w:t>
      </w:r>
    </w:p>
  </w:footnote>
  <w:footnote w:id="25">
    <w:p w14:paraId="09B84E7E" w14:textId="77777777" w:rsidR="00407E5D" w:rsidRDefault="00407E5D" w:rsidP="00DE1861">
      <w:pPr>
        <w:pStyle w:val="FootnoteText"/>
      </w:pPr>
      <w:r>
        <w:rPr>
          <w:rStyle w:val="FootnoteReference"/>
        </w:rPr>
        <w:footnoteRef/>
      </w:r>
      <w:r>
        <w:t xml:space="preserve"> </w:t>
      </w:r>
      <w:proofErr w:type="spellStart"/>
      <w:r>
        <w:t>AusPAR</w:t>
      </w:r>
      <w:proofErr w:type="spellEnd"/>
      <w:r>
        <w:t xml:space="preserve"> for </w:t>
      </w:r>
      <w:r w:rsidRPr="008B7930">
        <w:t>COVID-19 Vaccine AstraZeneca</w:t>
      </w:r>
      <w:r>
        <w:t xml:space="preserve"> (</w:t>
      </w:r>
      <w:r w:rsidRPr="008B7930">
        <w:t>ChAdOx1-S</w:t>
      </w:r>
      <w:r>
        <w:t xml:space="preserve">) new biological entity, published on 16 February 2021. Available at: </w:t>
      </w:r>
      <w:hyperlink r:id="rId11" w:history="1">
        <w:r w:rsidRPr="002E142D">
          <w:rPr>
            <w:rStyle w:val="Hyperlink"/>
          </w:rPr>
          <w:t>https://www.tga.gov.au/auspar/auspar-chadox1-s</w:t>
        </w:r>
      </w:hyperlink>
    </w:p>
  </w:footnote>
  <w:footnote w:id="26">
    <w:p w14:paraId="7EA7E40D" w14:textId="77777777" w:rsidR="00407E5D" w:rsidRDefault="00407E5D" w:rsidP="00DE1861">
      <w:pPr>
        <w:pStyle w:val="FootnoteText"/>
      </w:pPr>
      <w:r>
        <w:rPr>
          <w:rStyle w:val="FootnoteReference"/>
        </w:rPr>
        <w:footnoteRef/>
      </w:r>
      <w:r>
        <w:t xml:space="preserve"> </w:t>
      </w:r>
      <w:proofErr w:type="spellStart"/>
      <w:r>
        <w:t>Comirnaty</w:t>
      </w:r>
      <w:proofErr w:type="spellEnd"/>
      <w:r w:rsidRPr="00B4694F">
        <w:t xml:space="preserve"> was first registered on the ARTG on 25</w:t>
      </w:r>
      <w:r>
        <w:t xml:space="preserve"> January </w:t>
      </w:r>
      <w:r w:rsidRPr="00B4694F">
        <w:t xml:space="preserve">2021 (ARTG number: </w:t>
      </w:r>
      <w:r>
        <w:t>346290</w:t>
      </w:r>
      <w:r w:rsidRPr="00B4694F">
        <w:t>).</w:t>
      </w:r>
    </w:p>
  </w:footnote>
  <w:footnote w:id="27">
    <w:p w14:paraId="09E4D457" w14:textId="77777777" w:rsidR="00407E5D" w:rsidRDefault="00407E5D" w:rsidP="00DE1861">
      <w:pPr>
        <w:pStyle w:val="FootnoteText"/>
      </w:pPr>
      <w:r>
        <w:rPr>
          <w:rStyle w:val="FootnoteReference"/>
        </w:rPr>
        <w:footnoteRef/>
      </w:r>
      <w:r>
        <w:t xml:space="preserve"> </w:t>
      </w:r>
      <w:proofErr w:type="spellStart"/>
      <w:r>
        <w:t>AusPAR</w:t>
      </w:r>
      <w:proofErr w:type="spellEnd"/>
      <w:r>
        <w:t xml:space="preserve"> for </w:t>
      </w:r>
      <w:proofErr w:type="spellStart"/>
      <w:r>
        <w:t>Comirnaty</w:t>
      </w:r>
      <w:proofErr w:type="spellEnd"/>
      <w:r>
        <w:t xml:space="preserve"> (</w:t>
      </w:r>
      <w:r w:rsidRPr="00CB4E2F">
        <w:t>BNT162b2 (mRNA)</w:t>
      </w:r>
      <w:r>
        <w:t xml:space="preserve">) new biological entity, published on 25 January 2021. Available at: </w:t>
      </w:r>
      <w:hyperlink r:id="rId12" w:history="1">
        <w:r w:rsidRPr="00AD11B1">
          <w:rPr>
            <w:rStyle w:val="Hyperlink"/>
          </w:rPr>
          <w:t>https://www.tga.gov.au/auspar/auspar-bnt162b2-mrna-comirnaty</w:t>
        </w:r>
      </w:hyperlink>
    </w:p>
  </w:footnote>
  <w:footnote w:id="28">
    <w:p w14:paraId="2AB2CCC6" w14:textId="77777777" w:rsidR="00407E5D" w:rsidRDefault="00407E5D" w:rsidP="00DE1861">
      <w:pPr>
        <w:pStyle w:val="FootnoteText"/>
      </w:pPr>
      <w:r>
        <w:rPr>
          <w:rStyle w:val="FootnoteReference"/>
        </w:rPr>
        <w:footnoteRef/>
      </w:r>
      <w:r>
        <w:t xml:space="preserve"> </w:t>
      </w:r>
      <w:proofErr w:type="spellStart"/>
      <w:r>
        <w:t>AusPAR</w:t>
      </w:r>
      <w:proofErr w:type="spellEnd"/>
      <w:r>
        <w:t xml:space="preserve"> for </w:t>
      </w:r>
      <w:proofErr w:type="spellStart"/>
      <w:r>
        <w:t>Comirnaty</w:t>
      </w:r>
      <w:proofErr w:type="spellEnd"/>
      <w:r>
        <w:t xml:space="preserve"> (</w:t>
      </w:r>
      <w:r w:rsidRPr="00CB4E2F">
        <w:t>BNT162b2 (mRNA)</w:t>
      </w:r>
      <w:r>
        <w:t>) e</w:t>
      </w:r>
      <w:r w:rsidRPr="00D86E36">
        <w:t>xtension of indications</w:t>
      </w:r>
      <w:r>
        <w:t xml:space="preserve">, published on </w:t>
      </w:r>
      <w:r w:rsidRPr="00D86E36">
        <w:t>23 July 2021</w:t>
      </w:r>
      <w:r>
        <w:t xml:space="preserve">. Available at: </w:t>
      </w:r>
      <w:hyperlink r:id="rId13" w:history="1">
        <w:r w:rsidRPr="00AD11B1">
          <w:rPr>
            <w:rStyle w:val="Hyperlink"/>
          </w:rPr>
          <w:t>https://www.tga.gov.au/auspar/auspar-bnt162b2-mrna</w:t>
        </w:r>
      </w:hyperlink>
    </w:p>
  </w:footnote>
  <w:footnote w:id="29">
    <w:p w14:paraId="28668021" w14:textId="77777777" w:rsidR="00407E5D" w:rsidRDefault="00407E5D" w:rsidP="003F3C68">
      <w:pPr>
        <w:pStyle w:val="FootnoteText"/>
      </w:pPr>
      <w:r>
        <w:rPr>
          <w:rStyle w:val="FootnoteReference"/>
        </w:rPr>
        <w:footnoteRef/>
      </w:r>
      <w:r>
        <w:t xml:space="preserve"> </w:t>
      </w:r>
      <w:r w:rsidRPr="004D5994">
        <w:t>Australian Government Department of Health</w:t>
      </w:r>
      <w:r>
        <w:t xml:space="preserve">, </w:t>
      </w:r>
      <w:r w:rsidRPr="004D5994">
        <w:t>Vaccination Numbers and Statistics</w:t>
      </w:r>
      <w:r>
        <w:t xml:space="preserve">. </w:t>
      </w:r>
      <w:r w:rsidRPr="005B5D0B">
        <w:t>Available at:</w:t>
      </w:r>
      <w:r>
        <w:t xml:space="preserve"> </w:t>
      </w:r>
      <w:hyperlink r:id="rId14" w:history="1">
        <w:r w:rsidRPr="004311EA">
          <w:rPr>
            <w:rStyle w:val="Hyperlink"/>
          </w:rPr>
          <w:t>https://www.health.gov.au/initiatives-and-programs/covid-19-vaccines/numbers-statistics</w:t>
        </w:r>
      </w:hyperlink>
    </w:p>
  </w:footnote>
  <w:footnote w:id="30">
    <w:p w14:paraId="3FB84CD6" w14:textId="1E0ED188" w:rsidR="00407E5D" w:rsidRPr="00414498" w:rsidRDefault="00407E5D">
      <w:pPr>
        <w:pStyle w:val="FootnoteText"/>
        <w:rPr>
          <w:lang w:val="en-GB"/>
        </w:rPr>
      </w:pPr>
      <w:r>
        <w:rPr>
          <w:rStyle w:val="FootnoteReference"/>
        </w:rPr>
        <w:footnoteRef/>
      </w:r>
      <w:r>
        <w:t xml:space="preserve"> </w:t>
      </w:r>
      <w:r w:rsidRPr="00414498">
        <w:t xml:space="preserve">The TGA is a member of the Access Consortium along with Health Canada, Health Sciences Authority of Singapore, </w:t>
      </w:r>
      <w:proofErr w:type="spellStart"/>
      <w:r w:rsidRPr="00414498">
        <w:t>Swissmedic</w:t>
      </w:r>
      <w:proofErr w:type="spellEnd"/>
      <w:r w:rsidRPr="00414498">
        <w:t xml:space="preserve"> and the UK's Medicines and Healthcare products Regulatory Agency (MHRA).</w:t>
      </w:r>
      <w:r>
        <w:t xml:space="preserve"> </w:t>
      </w:r>
      <w:r w:rsidRPr="00414498">
        <w:t>The Access Consortium is a medium-sized coalition of regulatory authorities that work together to promote greater regulatory collaboration and alignment of regulatory requirements.</w:t>
      </w:r>
      <w:r w:rsidR="004D0A2C">
        <w:t xml:space="preserve"> </w:t>
      </w:r>
      <w:r w:rsidRPr="008471FE">
        <w:t xml:space="preserve">The original consortium, formed in 2007 and known as 'ACSS', comprised the national regulatory authorities of Australia, Canada, </w:t>
      </w:r>
      <w:proofErr w:type="gramStart"/>
      <w:r w:rsidRPr="008471FE">
        <w:t>Singapore</w:t>
      </w:r>
      <w:proofErr w:type="gramEnd"/>
      <w:r w:rsidRPr="008471FE">
        <w:t xml:space="preserve"> and Switzerland. In October 2020, the MHRA </w:t>
      </w:r>
      <w:proofErr w:type="gramStart"/>
      <w:r w:rsidRPr="008471FE">
        <w:t>joined</w:t>
      </w:r>
      <w:proofErr w:type="gramEnd"/>
      <w:r w:rsidRPr="008471FE">
        <w:t xml:space="preserve"> and the group's name was changed to the 'Access Consortium'.</w:t>
      </w:r>
    </w:p>
  </w:footnote>
  <w:footnote w:id="31">
    <w:p w14:paraId="69A0E5B7" w14:textId="636A067A" w:rsidR="00407E5D" w:rsidRDefault="00407E5D">
      <w:pPr>
        <w:pStyle w:val="FootnoteText"/>
      </w:pPr>
      <w:r>
        <w:rPr>
          <w:rStyle w:val="FootnoteReference"/>
        </w:rPr>
        <w:footnoteRef/>
      </w:r>
      <w:r>
        <w:t xml:space="preserve"> </w:t>
      </w:r>
      <w:r w:rsidRPr="00D77876">
        <w:t xml:space="preserve">Provisional determination for </w:t>
      </w:r>
      <w:proofErr w:type="spellStart"/>
      <w:r w:rsidRPr="00D77876">
        <w:t>Evusheld</w:t>
      </w:r>
      <w:proofErr w:type="spellEnd"/>
      <w:r w:rsidRPr="00D77876">
        <w:t xml:space="preserve"> for the indication 'for the prophylaxis of COVID-19 in adults 18 years of age and older' was granted on 4 November 2021. The sponsor has subsequently developed a population-based pharmacokinetic model which suggests a broader age range of patients for which this product will be appropriate. It was later proposed to include adolescents (12 years of age and older weighing at least 40 kg) and a new provisional determination was granted on 4 January 2022.</w:t>
      </w:r>
    </w:p>
  </w:footnote>
  <w:footnote w:id="32">
    <w:p w14:paraId="1EDD80FE" w14:textId="77777777" w:rsidR="00407E5D" w:rsidRDefault="00407E5D" w:rsidP="009A6C8E">
      <w:pPr>
        <w:pStyle w:val="FootnoteText"/>
      </w:pPr>
      <w:r>
        <w:rPr>
          <w:rStyle w:val="FootnoteReference"/>
        </w:rPr>
        <w:footnoteRef/>
      </w:r>
      <w:r>
        <w:t xml:space="preserve"> GMP clearances have now been approved</w:t>
      </w:r>
      <w:r>
        <w:rPr>
          <w:rStyle w:val="CommentReference"/>
        </w:rPr>
        <w:t/>
      </w:r>
      <w:r>
        <w:t xml:space="preserve"> prior to registration of </w:t>
      </w:r>
      <w:proofErr w:type="spellStart"/>
      <w:r>
        <w:t>Evusheld</w:t>
      </w:r>
      <w:proofErr w:type="spellEnd"/>
      <w:r>
        <w:t>.</w:t>
      </w:r>
    </w:p>
  </w:footnote>
  <w:footnote w:id="33">
    <w:p w14:paraId="703929EC" w14:textId="0F10FB4E" w:rsidR="00407E5D" w:rsidRDefault="00407E5D">
      <w:pPr>
        <w:pStyle w:val="FootnoteText"/>
      </w:pPr>
      <w:r>
        <w:rPr>
          <w:rStyle w:val="FootnoteReference"/>
        </w:rPr>
        <w:footnoteRef/>
      </w:r>
      <w:r>
        <w:t xml:space="preserve"> Sponsor has submitted Process 2 </w:t>
      </w:r>
      <w:proofErr w:type="gramStart"/>
      <w:r>
        <w:t>twelve month</w:t>
      </w:r>
      <w:proofErr w:type="gramEnd"/>
      <w:r>
        <w:t xml:space="preserve"> stability data for two clinical batches (December 2021 for two batches and 25 January 2022 for on batch and 22 February 22 for one batch).</w:t>
      </w:r>
    </w:p>
  </w:footnote>
  <w:footnote w:id="34">
    <w:p w14:paraId="7F4E2E4D" w14:textId="6BE0DB7E" w:rsidR="00407E5D" w:rsidRDefault="00407E5D" w:rsidP="002251F7">
      <w:pPr>
        <w:pStyle w:val="FootnoteText"/>
      </w:pPr>
      <w:r>
        <w:rPr>
          <w:rStyle w:val="FootnoteReference"/>
        </w:rPr>
        <w:footnoteRef/>
      </w:r>
      <w:r>
        <w:t xml:space="preserve"> </w:t>
      </w:r>
      <w:r w:rsidRPr="00333830">
        <w:t>Variants of Interest -</w:t>
      </w:r>
      <w:r>
        <w:t xml:space="preserve"> </w:t>
      </w:r>
      <w:hyperlink r:id="rId15" w:history="1">
        <w:r w:rsidRPr="00D4133E">
          <w:rPr>
            <w:rStyle w:val="Hyperlink"/>
          </w:rPr>
          <w:t>https://www.who.int/en/activities/tracking-SARS-CoV-2-variants/</w:t>
        </w:r>
      </w:hyperlink>
      <w:r>
        <w:t xml:space="preserve"> </w:t>
      </w:r>
    </w:p>
  </w:footnote>
  <w:footnote w:id="35">
    <w:p w14:paraId="128AF579" w14:textId="2E4383C1" w:rsidR="00407E5D" w:rsidRDefault="00407E5D">
      <w:pPr>
        <w:pStyle w:val="FootnoteText"/>
      </w:pPr>
      <w:r>
        <w:rPr>
          <w:rStyle w:val="FootnoteReference"/>
        </w:rPr>
        <w:footnoteRef/>
      </w:r>
      <w:r>
        <w:t xml:space="preserve"> Sponsor’s clarification: This adverse event was not reported as a serious adverse event and, upon review, did not meet the protocol-defined criteria of anaphylaxis. The medical records from the hospital admission confirmed no signs of anaphylaxis</w:t>
      </w:r>
    </w:p>
  </w:footnote>
  <w:footnote w:id="36">
    <w:p w14:paraId="5A3AE6ED" w14:textId="77777777" w:rsidR="00407E5D" w:rsidRDefault="00407E5D" w:rsidP="00A216F8">
      <w:pPr>
        <w:pStyle w:val="FootnoteText"/>
      </w:pPr>
      <w:r>
        <w:rPr>
          <w:rStyle w:val="FootnoteReference"/>
        </w:rPr>
        <w:footnoteRef/>
      </w:r>
      <w:r>
        <w:t xml:space="preserve"> </w:t>
      </w:r>
      <w:hyperlink r:id="rId16" w:history="1">
        <w:r w:rsidRPr="00451750">
          <w:rPr>
            <w:rStyle w:val="Hyperlink"/>
          </w:rPr>
          <w:t>CDER Review</w:t>
        </w:r>
      </w:hyperlink>
      <w:r>
        <w:t xml:space="preserve"> 08 Dec 2021 (last viewed 04 Jan 2022)</w:t>
      </w:r>
    </w:p>
  </w:footnote>
  <w:footnote w:id="37">
    <w:p w14:paraId="17834907" w14:textId="77777777" w:rsidR="00407E5D" w:rsidRDefault="00407E5D" w:rsidP="00E7234B">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2295434C" w14:textId="77777777" w:rsidR="00407E5D" w:rsidRDefault="00407E5D" w:rsidP="00E7234B">
      <w:pPr>
        <w:pStyle w:val="FootnoteText"/>
      </w:pPr>
      <w:r w:rsidRPr="007D53B6">
        <w:rPr>
          <w:i/>
        </w:rPr>
        <w:t>Routine pharmacovigilance</w:t>
      </w:r>
      <w:r>
        <w:t xml:space="preserve"> practices involve the following activities:</w:t>
      </w:r>
    </w:p>
    <w:p w14:paraId="53438576" w14:textId="77777777" w:rsidR="00407E5D" w:rsidRDefault="00407E5D" w:rsidP="00E7234B">
      <w:pPr>
        <w:pStyle w:val="FootnoteText"/>
        <w:numPr>
          <w:ilvl w:val="0"/>
          <w:numId w:val="6"/>
        </w:numPr>
        <w:ind w:left="284" w:hanging="284"/>
      </w:pPr>
      <w:r>
        <w:t xml:space="preserve">All suspected adverse reactions that are reported to the personnel of the company are collected and collated in an accessible </w:t>
      </w:r>
      <w:proofErr w:type="gramStart"/>
      <w:r>
        <w:t>manner;</w:t>
      </w:r>
      <w:proofErr w:type="gramEnd"/>
    </w:p>
    <w:p w14:paraId="6063EB50" w14:textId="77777777" w:rsidR="00407E5D" w:rsidRDefault="00407E5D" w:rsidP="00E7234B">
      <w:pPr>
        <w:pStyle w:val="FootnoteText"/>
        <w:numPr>
          <w:ilvl w:val="0"/>
          <w:numId w:val="6"/>
        </w:numPr>
        <w:ind w:left="284" w:hanging="284"/>
      </w:pPr>
      <w:r>
        <w:t xml:space="preserve">Reporting to regulatory </w:t>
      </w:r>
      <w:proofErr w:type="gramStart"/>
      <w:r>
        <w:t>authorities;</w:t>
      </w:r>
      <w:proofErr w:type="gramEnd"/>
    </w:p>
    <w:p w14:paraId="74474808" w14:textId="77777777" w:rsidR="00407E5D" w:rsidRDefault="00407E5D" w:rsidP="00E7234B">
      <w:pPr>
        <w:pStyle w:val="FootnoteText"/>
        <w:numPr>
          <w:ilvl w:val="0"/>
          <w:numId w:val="6"/>
        </w:numPr>
        <w:ind w:left="284" w:hanging="284"/>
      </w:pPr>
      <w:r>
        <w:t xml:space="preserve">Continuous monitoring of the safety profiles of approved products including signal detection and updating of </w:t>
      </w:r>
      <w:proofErr w:type="gramStart"/>
      <w:r>
        <w:t>labelling;</w:t>
      </w:r>
      <w:proofErr w:type="gramEnd"/>
    </w:p>
    <w:p w14:paraId="6DA3514A" w14:textId="77777777" w:rsidR="00407E5D" w:rsidRDefault="00407E5D" w:rsidP="00E7234B">
      <w:pPr>
        <w:pStyle w:val="FootnoteText"/>
        <w:numPr>
          <w:ilvl w:val="0"/>
          <w:numId w:val="6"/>
        </w:numPr>
        <w:ind w:left="284" w:hanging="284"/>
      </w:pPr>
      <w:r>
        <w:t xml:space="preserve">Submission of </w:t>
      </w:r>
      <w:proofErr w:type="gramStart"/>
      <w:r>
        <w:t>PSURs;</w:t>
      </w:r>
      <w:proofErr w:type="gramEnd"/>
    </w:p>
    <w:p w14:paraId="2D7283C9" w14:textId="77777777" w:rsidR="00407E5D" w:rsidRDefault="00407E5D" w:rsidP="00E7234B">
      <w:pPr>
        <w:pStyle w:val="FootnoteText"/>
        <w:numPr>
          <w:ilvl w:val="0"/>
          <w:numId w:val="6"/>
        </w:numPr>
        <w:ind w:left="284" w:hanging="284"/>
      </w:pPr>
      <w:r>
        <w:t>Meeting other local regulatory agency requirements.</w:t>
      </w:r>
    </w:p>
  </w:footnote>
  <w:footnote w:id="38">
    <w:p w14:paraId="1D369242" w14:textId="77777777" w:rsidR="00407E5D" w:rsidRPr="001645D0" w:rsidRDefault="00407E5D" w:rsidP="001645D0">
      <w:pPr>
        <w:pStyle w:val="FootnoteText"/>
      </w:pPr>
      <w:r>
        <w:rPr>
          <w:rStyle w:val="FootnoteReference"/>
        </w:rPr>
        <w:footnoteRef/>
      </w:r>
      <w:r>
        <w:t xml:space="preserve"> Joshua Nealon, Benjamin J Cowling, Omicron severity: milder but not mild, The Lancet, Volume 399, Issue 10323, 2022, Pages 412-413,</w:t>
      </w:r>
    </w:p>
  </w:footnote>
  <w:footnote w:id="39">
    <w:p w14:paraId="5195B874" w14:textId="77777777" w:rsidR="00407E5D" w:rsidRPr="001645D0" w:rsidRDefault="00407E5D">
      <w:pPr>
        <w:pStyle w:val="FootnoteText"/>
        <w:rPr>
          <w:lang w:val="en-GB"/>
        </w:rPr>
      </w:pPr>
      <w:r>
        <w:rPr>
          <w:rStyle w:val="FootnoteReference"/>
        </w:rPr>
        <w:footnoteRef/>
      </w:r>
      <w:r>
        <w:t xml:space="preserve"> Neil Ferguson, Azra Ghani, Anne Cori et al. Growth, population distribution and immune escape of the Omicron in England. Imperial College London (16 December 2021).</w:t>
      </w:r>
    </w:p>
  </w:footnote>
  <w:footnote w:id="40">
    <w:p w14:paraId="77D2291B" w14:textId="77777777" w:rsidR="00407E5D" w:rsidRPr="008B1E21" w:rsidRDefault="00407E5D" w:rsidP="008B1E21">
      <w:pPr>
        <w:pStyle w:val="FootnoteText"/>
      </w:pPr>
      <w:r>
        <w:rPr>
          <w:rStyle w:val="FootnoteReference"/>
        </w:rPr>
        <w:footnoteRef/>
      </w:r>
      <w:r>
        <w:t xml:space="preserve"> </w:t>
      </w:r>
      <w:proofErr w:type="spellStart"/>
      <w:r>
        <w:t>Magyarics</w:t>
      </w:r>
      <w:proofErr w:type="spellEnd"/>
      <w:r>
        <w:t xml:space="preserve"> Z, Leslie F, </w:t>
      </w:r>
      <w:proofErr w:type="spellStart"/>
      <w:r>
        <w:t>Barko</w:t>
      </w:r>
      <w:proofErr w:type="spellEnd"/>
      <w:r>
        <w:t xml:space="preserve"> J, </w:t>
      </w:r>
      <w:proofErr w:type="spellStart"/>
      <w:r>
        <w:t>Rouha</w:t>
      </w:r>
      <w:proofErr w:type="spellEnd"/>
      <w:r>
        <w:t xml:space="preserve"> H, </w:t>
      </w:r>
      <w:proofErr w:type="spellStart"/>
      <w:r>
        <w:t>Luperchio</w:t>
      </w:r>
      <w:proofErr w:type="spellEnd"/>
      <w:r>
        <w:t xml:space="preserve"> S, </w:t>
      </w:r>
      <w:proofErr w:type="spellStart"/>
      <w:r>
        <w:t>Schörgenhofer</w:t>
      </w:r>
      <w:proofErr w:type="spellEnd"/>
      <w:r>
        <w:t xml:space="preserve"> C, et al. Randomized, double-blind, placebo-controlled, single-ascending-dose study of the penetration of a monoclonal antibody combination (ASN100) targeting Staphylococcus aureus cytotoxins in the lung epithelial lining fluid of healthy volunteers. </w:t>
      </w:r>
      <w:proofErr w:type="spellStart"/>
      <w:r>
        <w:t>Antimicrob</w:t>
      </w:r>
      <w:proofErr w:type="spellEnd"/>
      <w:r>
        <w:t xml:space="preserve"> Agents Chemother. 2019; 63(8</w:t>
      </w:r>
      <w:proofErr w:type="gramStart"/>
      <w:r>
        <w:t>):e</w:t>
      </w:r>
      <w:proofErr w:type="gramEnd"/>
      <w:r>
        <w:t xml:space="preserve">00350-19. </w:t>
      </w:r>
      <w:proofErr w:type="spellStart"/>
      <w:r>
        <w:t>doi</w:t>
      </w:r>
      <w:proofErr w:type="spellEnd"/>
      <w:r>
        <w:t>: 10.1128/AAC.00350-19.</w:t>
      </w:r>
    </w:p>
  </w:footnote>
  <w:footnote w:id="41">
    <w:p w14:paraId="547FF162" w14:textId="77777777" w:rsidR="00407E5D" w:rsidRPr="008F1DF8" w:rsidRDefault="00407E5D">
      <w:pPr>
        <w:pStyle w:val="FootnoteText"/>
        <w:rPr>
          <w:lang w:val="en-GB"/>
        </w:rPr>
      </w:pPr>
      <w:r>
        <w:rPr>
          <w:rStyle w:val="FootnoteReference"/>
        </w:rPr>
        <w:footnoteRef/>
      </w:r>
      <w:r>
        <w:t xml:space="preserve"> </w:t>
      </w:r>
      <w:r w:rsidRPr="008F1DF8">
        <w:t xml:space="preserve">International Council for Harmonisation of Technical Requirements for Pharmaceuticals for Human Use </w:t>
      </w:r>
      <w:r>
        <w:t xml:space="preserve">(ICH) Harmonised Tripartite Guideline </w:t>
      </w:r>
      <w:r w:rsidRPr="008F1DF8">
        <w:t>CPMP/ICH/294/95</w:t>
      </w:r>
      <w:r>
        <w:t>.</w:t>
      </w:r>
    </w:p>
  </w:footnote>
  <w:footnote w:id="42">
    <w:p w14:paraId="4B5C311D" w14:textId="77777777" w:rsidR="00407E5D" w:rsidRPr="00A94A01" w:rsidRDefault="00407E5D">
      <w:pPr>
        <w:pStyle w:val="FootnoteText"/>
        <w:rPr>
          <w:lang w:val="en-GB"/>
        </w:rPr>
      </w:pPr>
      <w:r>
        <w:rPr>
          <w:rStyle w:val="FootnoteReference"/>
        </w:rPr>
        <w:footnoteRef/>
      </w:r>
      <w:r>
        <w:t xml:space="preserve"> </w:t>
      </w:r>
      <w:proofErr w:type="spellStart"/>
      <w:r w:rsidRPr="00A94A01">
        <w:t>Leford</w:t>
      </w:r>
      <w:proofErr w:type="spellEnd"/>
      <w:r w:rsidRPr="00A94A01">
        <w:t xml:space="preserve"> H. How obesity could create problems for a COVID vaccine. Nature. </w:t>
      </w:r>
      <w:proofErr w:type="gramStart"/>
      <w:r w:rsidRPr="00A94A01">
        <w:t>2020;585:489</w:t>
      </w:r>
      <w:proofErr w:type="gramEnd"/>
      <w:r w:rsidRPr="00A94A01">
        <w:t>.</w:t>
      </w:r>
    </w:p>
  </w:footnote>
  <w:footnote w:id="43">
    <w:p w14:paraId="2AD510AF" w14:textId="77777777" w:rsidR="00407E5D" w:rsidRPr="00AE1B60" w:rsidRDefault="00407E5D" w:rsidP="00AE1B60">
      <w:pPr>
        <w:pStyle w:val="FootnoteText"/>
      </w:pPr>
      <w:r>
        <w:rPr>
          <w:rStyle w:val="FootnoteReference"/>
        </w:rPr>
        <w:footnoteRef/>
      </w:r>
      <w:r>
        <w:t xml:space="preserve"> Painter SD, </w:t>
      </w:r>
      <w:proofErr w:type="spellStart"/>
      <w:r>
        <w:t>Ovsyannikova</w:t>
      </w:r>
      <w:proofErr w:type="spellEnd"/>
      <w:r>
        <w:t xml:space="preserve"> IG, Poland GA. The weight of obesity on the human immune response to vaccination. Vaccine. 2015;33(36):4422-9. </w:t>
      </w:r>
      <w:proofErr w:type="spellStart"/>
      <w:r>
        <w:t>doi</w:t>
      </w:r>
      <w:proofErr w:type="spellEnd"/>
      <w:r>
        <w:t>: 10.1016/j.vaccine.2015.06.101.</w:t>
      </w:r>
    </w:p>
  </w:footnote>
  <w:footnote w:id="44">
    <w:p w14:paraId="4AEDD9AC" w14:textId="77777777" w:rsidR="00407E5D" w:rsidRPr="00AE1B60" w:rsidRDefault="00407E5D" w:rsidP="00AE1B60">
      <w:pPr>
        <w:pStyle w:val="FootnoteText"/>
      </w:pPr>
      <w:r>
        <w:rPr>
          <w:rStyle w:val="FootnoteReference"/>
        </w:rPr>
        <w:footnoteRef/>
      </w:r>
      <w:r>
        <w:t xml:space="preserve"> Poland GA, </w:t>
      </w:r>
      <w:proofErr w:type="spellStart"/>
      <w:r>
        <w:t>Ovsyannikova</w:t>
      </w:r>
      <w:proofErr w:type="spellEnd"/>
      <w:r>
        <w:t xml:space="preserve"> IG, Kennedy RB. Personalized vaccinology: A review. Vaccine. 2018;36(36):5350</w:t>
      </w:r>
      <w:r>
        <w:noBreakHyphen/>
        <w:t>7.</w:t>
      </w:r>
    </w:p>
  </w:footnote>
  <w:footnote w:id="45">
    <w:p w14:paraId="21C47BFF" w14:textId="77777777" w:rsidR="00407E5D" w:rsidRPr="00AE1B60" w:rsidRDefault="00407E5D" w:rsidP="00AE1B60">
      <w:pPr>
        <w:pStyle w:val="FootnoteText"/>
      </w:pPr>
      <w:r>
        <w:rPr>
          <w:rStyle w:val="FootnoteReference"/>
        </w:rPr>
        <w:footnoteRef/>
      </w:r>
      <w:r>
        <w:t xml:space="preserve"> Zimmermann P, Curtis N. Factors That Influence the Immune Response to Vaccination. Clin Microbiol Rev. 2019;32(2).</w:t>
      </w:r>
    </w:p>
  </w:footnote>
  <w:footnote w:id="46">
    <w:p w14:paraId="71B4EF4C" w14:textId="21CFA46D" w:rsidR="00407E5D" w:rsidRPr="001119C4" w:rsidRDefault="00407E5D">
      <w:pPr>
        <w:pStyle w:val="FootnoteText"/>
        <w:rPr>
          <w:lang w:val="en-GB"/>
        </w:rPr>
      </w:pPr>
      <w:r>
        <w:rPr>
          <w:rStyle w:val="FootnoteReference"/>
        </w:rPr>
        <w:footnoteRef/>
      </w:r>
      <w:r>
        <w:t xml:space="preserve"> </w:t>
      </w:r>
      <w:proofErr w:type="spellStart"/>
      <w:r>
        <w:t>Roskos</w:t>
      </w:r>
      <w:proofErr w:type="spellEnd"/>
      <w:r>
        <w:t xml:space="preserve"> LK, Davis CG, and Schwab GM. The clinical pharmacology of therapeutic monoclonal antibodies. Drug Dev. Res. 2004:61:108-120.</w:t>
      </w:r>
    </w:p>
  </w:footnote>
  <w:footnote w:id="47">
    <w:p w14:paraId="09D59751" w14:textId="77777777" w:rsidR="00407E5D" w:rsidRDefault="00407E5D"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621AC24F" w14:textId="77777777" w:rsidR="00407E5D" w:rsidRPr="00456765" w:rsidRDefault="00407E5D"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xml:space="preserve">. ACM encompass </w:t>
      </w:r>
      <w:proofErr w:type="gramStart"/>
      <w:r>
        <w:t>pre</w:t>
      </w:r>
      <w:proofErr w:type="gramEnd"/>
      <w:r>
        <w:t xml:space="preserv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w:t>
      </w:r>
      <w:proofErr w:type="gramStart"/>
      <w:r>
        <w:t>medical</w:t>
      </w:r>
      <w:proofErr w:type="gramEnd"/>
      <w:r>
        <w:t xml:space="preserve">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B0ECD" w14:textId="77777777" w:rsidR="00407E5D" w:rsidRDefault="00407E5D"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51706" w14:textId="77777777" w:rsidR="00407E5D" w:rsidRDefault="00407E5D">
    <w:pPr>
      <w:rPr>
        <w:noProof/>
        <w:lang w:eastAsia="en-AU"/>
      </w:rPr>
    </w:pPr>
    <w:r w:rsidRPr="00347824">
      <w:rPr>
        <w:noProof/>
        <w:lang w:val="en-GB" w:eastAsia="en-GB"/>
      </w:rPr>
      <w:drawing>
        <wp:anchor distT="0" distB="0" distL="114300" distR="114300" simplePos="0" relativeHeight="251658240" behindDoc="1" locked="0" layoutInCell="1" allowOverlap="1" wp14:anchorId="67EECD4E" wp14:editId="4F471A07">
          <wp:simplePos x="0" y="0"/>
          <wp:positionH relativeFrom="column">
            <wp:posOffset>-1089660</wp:posOffset>
          </wp:positionH>
          <wp:positionV relativeFrom="paragraph">
            <wp:posOffset>-585470</wp:posOffset>
          </wp:positionV>
          <wp:extent cx="7572375" cy="10706100"/>
          <wp:effectExtent l="19050" t="0" r="0" b="0"/>
          <wp:wrapNone/>
          <wp:docPr id="5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C31024A" w14:textId="081DA99C" w:rsidR="00407E5D" w:rsidRDefault="00407E5D"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BF4E2" w14:textId="77777777" w:rsidR="00407E5D" w:rsidRDefault="00407E5D">
    <w:pPr>
      <w:pStyle w:val="Header"/>
    </w:pPr>
  </w:p>
  <w:p w14:paraId="10FE47CA" w14:textId="77777777" w:rsidR="00407E5D" w:rsidRDefault="00407E5D"/>
  <w:p w14:paraId="0614C104" w14:textId="77777777" w:rsidR="00407E5D" w:rsidRDefault="00407E5D"/>
  <w:p w14:paraId="653D6582" w14:textId="77777777" w:rsidR="00407E5D" w:rsidRDefault="00407E5D"/>
  <w:p w14:paraId="7F6C08C2" w14:textId="77777777" w:rsidR="00407E5D" w:rsidRDefault="00407E5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5C16F" w14:textId="77777777" w:rsidR="00407E5D" w:rsidRDefault="00407E5D" w:rsidP="00AB6BE8">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41696" w14:textId="77777777" w:rsidR="00407E5D" w:rsidRDefault="00407E5D">
    <w:pPr>
      <w:pStyle w:val="Header"/>
    </w:pPr>
    <w:r>
      <w:t>Therapeutic Goods Administration</w:t>
    </w:r>
  </w:p>
  <w:p w14:paraId="3CA3619E" w14:textId="77777777" w:rsidR="00407E5D" w:rsidRDefault="00407E5D"/>
  <w:p w14:paraId="62E4BE2B" w14:textId="77777777" w:rsidR="00407E5D" w:rsidRDefault="00407E5D"/>
  <w:p w14:paraId="7C60544E" w14:textId="77777777" w:rsidR="00407E5D" w:rsidRDefault="00407E5D"/>
  <w:p w14:paraId="168F28A1" w14:textId="77777777" w:rsidR="00407E5D" w:rsidRDefault="00407E5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CC3D3" w14:textId="77777777" w:rsidR="00407E5D" w:rsidRDefault="00407E5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C1CC3" w14:textId="77777777" w:rsidR="00407E5D" w:rsidRDefault="00407E5D"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14FF2" w14:textId="77777777" w:rsidR="00407E5D" w:rsidRDefault="00407E5D" w:rsidP="006E08B3">
    <w:r>
      <w:t>Therapeutic Goods Administration</w:t>
    </w:r>
  </w:p>
  <w:p w14:paraId="1564EAAE" w14:textId="77777777" w:rsidR="00407E5D" w:rsidRDefault="00407E5D"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436BC"/>
    <w:multiLevelType w:val="hybridMultilevel"/>
    <w:tmpl w:val="ED72D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56760C"/>
    <w:multiLevelType w:val="hybridMultilevel"/>
    <w:tmpl w:val="51A6B5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0E9641D"/>
    <w:multiLevelType w:val="hybridMultilevel"/>
    <w:tmpl w:val="48EC08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17E4586"/>
    <w:multiLevelType w:val="hybridMultilevel"/>
    <w:tmpl w:val="DCF41D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7D85BF0"/>
    <w:multiLevelType w:val="hybridMultilevel"/>
    <w:tmpl w:val="99026E3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670255"/>
    <w:multiLevelType w:val="hybridMultilevel"/>
    <w:tmpl w:val="6198974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510180"/>
    <w:multiLevelType w:val="hybridMultilevel"/>
    <w:tmpl w:val="76F047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F60BA5"/>
    <w:multiLevelType w:val="hybridMultilevel"/>
    <w:tmpl w:val="48EC08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21C3827"/>
    <w:multiLevelType w:val="hybridMultilevel"/>
    <w:tmpl w:val="D79E4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950215"/>
    <w:multiLevelType w:val="hybridMultilevel"/>
    <w:tmpl w:val="1D1AA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1115222"/>
    <w:multiLevelType w:val="hybridMultilevel"/>
    <w:tmpl w:val="38B29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041860"/>
    <w:multiLevelType w:val="hybridMultilevel"/>
    <w:tmpl w:val="B1127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0816A1"/>
    <w:multiLevelType w:val="hybridMultilevel"/>
    <w:tmpl w:val="9EDAAAE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55600A9A"/>
    <w:multiLevelType w:val="hybridMultilevel"/>
    <w:tmpl w:val="D8888EA4"/>
    <w:lvl w:ilvl="0" w:tplc="C5AC0628">
      <w:start w:val="1"/>
      <w:numFmt w:val="upperLetter"/>
      <w:lvlText w:val="%1)"/>
      <w:lvlJc w:val="left"/>
      <w:pPr>
        <w:ind w:left="479" w:hanging="317"/>
      </w:pPr>
      <w:rPr>
        <w:rFonts w:ascii="Times New Roman" w:eastAsia="Times New Roman" w:hAnsi="Times New Roman" w:cs="Times New Roman" w:hint="default"/>
        <w:b/>
        <w:bCs/>
        <w:i w:val="0"/>
        <w:iCs w:val="0"/>
        <w:w w:val="99"/>
        <w:position w:val="2"/>
        <w:sz w:val="24"/>
        <w:szCs w:val="24"/>
      </w:rPr>
    </w:lvl>
    <w:lvl w:ilvl="1" w:tplc="8B6A0D58">
      <w:numFmt w:val="bullet"/>
      <w:lvlText w:val="•"/>
      <w:lvlJc w:val="left"/>
      <w:pPr>
        <w:ind w:left="1436" w:hanging="317"/>
      </w:pPr>
      <w:rPr>
        <w:rFonts w:hint="default"/>
      </w:rPr>
    </w:lvl>
    <w:lvl w:ilvl="2" w:tplc="46DE3054">
      <w:numFmt w:val="bullet"/>
      <w:lvlText w:val="•"/>
      <w:lvlJc w:val="left"/>
      <w:pPr>
        <w:ind w:left="2392" w:hanging="317"/>
      </w:pPr>
      <w:rPr>
        <w:rFonts w:hint="default"/>
      </w:rPr>
    </w:lvl>
    <w:lvl w:ilvl="3" w:tplc="5BE02A24">
      <w:numFmt w:val="bullet"/>
      <w:lvlText w:val="•"/>
      <w:lvlJc w:val="left"/>
      <w:pPr>
        <w:ind w:left="3348" w:hanging="317"/>
      </w:pPr>
      <w:rPr>
        <w:rFonts w:hint="default"/>
      </w:rPr>
    </w:lvl>
    <w:lvl w:ilvl="4" w:tplc="FBBE63B8">
      <w:numFmt w:val="bullet"/>
      <w:lvlText w:val="•"/>
      <w:lvlJc w:val="left"/>
      <w:pPr>
        <w:ind w:left="4304" w:hanging="317"/>
      </w:pPr>
      <w:rPr>
        <w:rFonts w:hint="default"/>
      </w:rPr>
    </w:lvl>
    <w:lvl w:ilvl="5" w:tplc="F0F455EC">
      <w:numFmt w:val="bullet"/>
      <w:lvlText w:val="•"/>
      <w:lvlJc w:val="left"/>
      <w:pPr>
        <w:ind w:left="5260" w:hanging="317"/>
      </w:pPr>
      <w:rPr>
        <w:rFonts w:hint="default"/>
      </w:rPr>
    </w:lvl>
    <w:lvl w:ilvl="6" w:tplc="C59EDD92">
      <w:numFmt w:val="bullet"/>
      <w:lvlText w:val="•"/>
      <w:lvlJc w:val="left"/>
      <w:pPr>
        <w:ind w:left="6216" w:hanging="317"/>
      </w:pPr>
      <w:rPr>
        <w:rFonts w:hint="default"/>
      </w:rPr>
    </w:lvl>
    <w:lvl w:ilvl="7" w:tplc="A99A0922">
      <w:numFmt w:val="bullet"/>
      <w:lvlText w:val="•"/>
      <w:lvlJc w:val="left"/>
      <w:pPr>
        <w:ind w:left="7172" w:hanging="317"/>
      </w:pPr>
      <w:rPr>
        <w:rFonts w:hint="default"/>
      </w:rPr>
    </w:lvl>
    <w:lvl w:ilvl="8" w:tplc="AAAADC62">
      <w:numFmt w:val="bullet"/>
      <w:lvlText w:val="•"/>
      <w:lvlJc w:val="left"/>
      <w:pPr>
        <w:ind w:left="8128" w:hanging="317"/>
      </w:pPr>
      <w:rPr>
        <w:rFonts w:hint="default"/>
      </w:rPr>
    </w:lvl>
  </w:abstractNum>
  <w:abstractNum w:abstractNumId="18" w15:restartNumberingAfterBreak="0">
    <w:nsid w:val="5F503CFB"/>
    <w:multiLevelType w:val="hybridMultilevel"/>
    <w:tmpl w:val="70144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0B0266"/>
    <w:multiLevelType w:val="hybridMultilevel"/>
    <w:tmpl w:val="CE38F1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381F4D"/>
    <w:multiLevelType w:val="hybridMultilevel"/>
    <w:tmpl w:val="6AB4E120"/>
    <w:lvl w:ilvl="0" w:tplc="4BC8A140">
      <w:start w:val="1"/>
      <w:numFmt w:val="decimal"/>
      <w:pStyle w:val="ListNumb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E377B7E"/>
    <w:multiLevelType w:val="hybridMultilevel"/>
    <w:tmpl w:val="C39A7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E21AE3"/>
    <w:multiLevelType w:val="hybridMultilevel"/>
    <w:tmpl w:val="3E301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411A7A"/>
    <w:multiLevelType w:val="hybridMultilevel"/>
    <w:tmpl w:val="C052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C494D4C"/>
    <w:multiLevelType w:val="hybridMultilevel"/>
    <w:tmpl w:val="2CBA262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5"/>
  </w:num>
  <w:num w:numId="2">
    <w:abstractNumId w:val="2"/>
  </w:num>
  <w:num w:numId="3">
    <w:abstractNumId w:val="5"/>
  </w:num>
  <w:num w:numId="4">
    <w:abstractNumId w:val="2"/>
  </w:num>
  <w:num w:numId="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3"/>
  </w:num>
  <w:num w:numId="7">
    <w:abstractNumId w:val="1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8"/>
  </w:num>
  <w:num w:numId="11">
    <w:abstractNumId w:val="3"/>
  </w:num>
  <w:num w:numId="12">
    <w:abstractNumId w:val="15"/>
  </w:num>
  <w:num w:numId="13">
    <w:abstractNumId w:val="8"/>
  </w:num>
  <w:num w:numId="14">
    <w:abstractNumId w:val="21"/>
  </w:num>
  <w:num w:numId="15">
    <w:abstractNumId w:val="23"/>
  </w:num>
  <w:num w:numId="16">
    <w:abstractNumId w:val="0"/>
  </w:num>
  <w:num w:numId="17">
    <w:abstractNumId w:val="12"/>
  </w:num>
  <w:num w:numId="18">
    <w:abstractNumId w:val="22"/>
  </w:num>
  <w:num w:numId="19">
    <w:abstractNumId w:val="1"/>
  </w:num>
  <w:num w:numId="20">
    <w:abstractNumId w:val="9"/>
  </w:num>
  <w:num w:numId="21">
    <w:abstractNumId w:val="4"/>
  </w:num>
  <w:num w:numId="22">
    <w:abstractNumId w:val="7"/>
  </w:num>
  <w:num w:numId="23">
    <w:abstractNumId w:val="2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6"/>
  </w:num>
  <w:num w:numId="28">
    <w:abstractNumId w:val="16"/>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4BF"/>
    <w:rsid w:val="0000074C"/>
    <w:rsid w:val="000010FE"/>
    <w:rsid w:val="00001C46"/>
    <w:rsid w:val="00002031"/>
    <w:rsid w:val="00002E93"/>
    <w:rsid w:val="00004734"/>
    <w:rsid w:val="00006B22"/>
    <w:rsid w:val="00006FAB"/>
    <w:rsid w:val="0000797E"/>
    <w:rsid w:val="0001276A"/>
    <w:rsid w:val="00013CC1"/>
    <w:rsid w:val="00013DC7"/>
    <w:rsid w:val="00014324"/>
    <w:rsid w:val="000155DE"/>
    <w:rsid w:val="00015F94"/>
    <w:rsid w:val="00021DFF"/>
    <w:rsid w:val="00021EF9"/>
    <w:rsid w:val="00022443"/>
    <w:rsid w:val="000246AE"/>
    <w:rsid w:val="00025C67"/>
    <w:rsid w:val="0002608F"/>
    <w:rsid w:val="00026CC8"/>
    <w:rsid w:val="0003190B"/>
    <w:rsid w:val="00032221"/>
    <w:rsid w:val="000370BF"/>
    <w:rsid w:val="000379E5"/>
    <w:rsid w:val="000426B1"/>
    <w:rsid w:val="00044772"/>
    <w:rsid w:val="0004541C"/>
    <w:rsid w:val="00046B34"/>
    <w:rsid w:val="00050CC0"/>
    <w:rsid w:val="0005332D"/>
    <w:rsid w:val="0005559E"/>
    <w:rsid w:val="00055ADE"/>
    <w:rsid w:val="00055D32"/>
    <w:rsid w:val="000566DF"/>
    <w:rsid w:val="000604D6"/>
    <w:rsid w:val="0006102C"/>
    <w:rsid w:val="00063891"/>
    <w:rsid w:val="00064A89"/>
    <w:rsid w:val="00064D93"/>
    <w:rsid w:val="000675D3"/>
    <w:rsid w:val="00067843"/>
    <w:rsid w:val="0007122B"/>
    <w:rsid w:val="000734D8"/>
    <w:rsid w:val="00074259"/>
    <w:rsid w:val="000749DA"/>
    <w:rsid w:val="00075587"/>
    <w:rsid w:val="00077775"/>
    <w:rsid w:val="00080452"/>
    <w:rsid w:val="0008046E"/>
    <w:rsid w:val="00082216"/>
    <w:rsid w:val="00082B2F"/>
    <w:rsid w:val="00084DA9"/>
    <w:rsid w:val="00085F62"/>
    <w:rsid w:val="00090471"/>
    <w:rsid w:val="000905CD"/>
    <w:rsid w:val="00093D05"/>
    <w:rsid w:val="00095407"/>
    <w:rsid w:val="000957BF"/>
    <w:rsid w:val="000967F5"/>
    <w:rsid w:val="00096AA7"/>
    <w:rsid w:val="000A24AC"/>
    <w:rsid w:val="000A2898"/>
    <w:rsid w:val="000A2B24"/>
    <w:rsid w:val="000A3159"/>
    <w:rsid w:val="000A3AED"/>
    <w:rsid w:val="000A669D"/>
    <w:rsid w:val="000A7E0A"/>
    <w:rsid w:val="000B12AC"/>
    <w:rsid w:val="000B1504"/>
    <w:rsid w:val="000B1BD6"/>
    <w:rsid w:val="000B1D46"/>
    <w:rsid w:val="000B2145"/>
    <w:rsid w:val="000B3532"/>
    <w:rsid w:val="000B3802"/>
    <w:rsid w:val="000B3A75"/>
    <w:rsid w:val="000B3D2B"/>
    <w:rsid w:val="000B48AA"/>
    <w:rsid w:val="000B5CA0"/>
    <w:rsid w:val="000B60CA"/>
    <w:rsid w:val="000B6498"/>
    <w:rsid w:val="000B7218"/>
    <w:rsid w:val="000C00C2"/>
    <w:rsid w:val="000C4C81"/>
    <w:rsid w:val="000C4F4F"/>
    <w:rsid w:val="000C544F"/>
    <w:rsid w:val="000C5EBA"/>
    <w:rsid w:val="000C690F"/>
    <w:rsid w:val="000C6987"/>
    <w:rsid w:val="000C6E45"/>
    <w:rsid w:val="000C743D"/>
    <w:rsid w:val="000D04D7"/>
    <w:rsid w:val="000D1295"/>
    <w:rsid w:val="000D3590"/>
    <w:rsid w:val="000D391B"/>
    <w:rsid w:val="000D3C2C"/>
    <w:rsid w:val="000D3C97"/>
    <w:rsid w:val="000D3D6D"/>
    <w:rsid w:val="000D45F3"/>
    <w:rsid w:val="000D4FC7"/>
    <w:rsid w:val="000D54E1"/>
    <w:rsid w:val="000D741A"/>
    <w:rsid w:val="000D7F94"/>
    <w:rsid w:val="000E1222"/>
    <w:rsid w:val="000E1289"/>
    <w:rsid w:val="000E1801"/>
    <w:rsid w:val="000E3596"/>
    <w:rsid w:val="000E3987"/>
    <w:rsid w:val="000E6196"/>
    <w:rsid w:val="000E6B2F"/>
    <w:rsid w:val="000F4869"/>
    <w:rsid w:val="000F4A95"/>
    <w:rsid w:val="000F4B7A"/>
    <w:rsid w:val="000F51A8"/>
    <w:rsid w:val="000F5B42"/>
    <w:rsid w:val="000F5F3B"/>
    <w:rsid w:val="000F6DDB"/>
    <w:rsid w:val="000F6E6F"/>
    <w:rsid w:val="000F7927"/>
    <w:rsid w:val="00101890"/>
    <w:rsid w:val="001018E0"/>
    <w:rsid w:val="00103B9B"/>
    <w:rsid w:val="001051E9"/>
    <w:rsid w:val="0010601F"/>
    <w:rsid w:val="00106A73"/>
    <w:rsid w:val="00107477"/>
    <w:rsid w:val="0010788A"/>
    <w:rsid w:val="00107A31"/>
    <w:rsid w:val="00110206"/>
    <w:rsid w:val="00110557"/>
    <w:rsid w:val="00110EA5"/>
    <w:rsid w:val="001119C4"/>
    <w:rsid w:val="00111FE7"/>
    <w:rsid w:val="00112F56"/>
    <w:rsid w:val="0011302B"/>
    <w:rsid w:val="00122C2E"/>
    <w:rsid w:val="00124ACD"/>
    <w:rsid w:val="00125318"/>
    <w:rsid w:val="00126C17"/>
    <w:rsid w:val="001271E3"/>
    <w:rsid w:val="001305A2"/>
    <w:rsid w:val="00132E62"/>
    <w:rsid w:val="00133238"/>
    <w:rsid w:val="00133A1B"/>
    <w:rsid w:val="00133ABA"/>
    <w:rsid w:val="00133B37"/>
    <w:rsid w:val="00134CBE"/>
    <w:rsid w:val="001352D8"/>
    <w:rsid w:val="001378BD"/>
    <w:rsid w:val="00140FD9"/>
    <w:rsid w:val="0014197B"/>
    <w:rsid w:val="001427B3"/>
    <w:rsid w:val="00142A22"/>
    <w:rsid w:val="00143F8B"/>
    <w:rsid w:val="001447CD"/>
    <w:rsid w:val="00145612"/>
    <w:rsid w:val="00146901"/>
    <w:rsid w:val="00146D06"/>
    <w:rsid w:val="0014708D"/>
    <w:rsid w:val="0015028B"/>
    <w:rsid w:val="0015072F"/>
    <w:rsid w:val="001516B1"/>
    <w:rsid w:val="001521CF"/>
    <w:rsid w:val="00152540"/>
    <w:rsid w:val="001528CB"/>
    <w:rsid w:val="00152BB8"/>
    <w:rsid w:val="001536DD"/>
    <w:rsid w:val="001547A3"/>
    <w:rsid w:val="00154EBB"/>
    <w:rsid w:val="00155131"/>
    <w:rsid w:val="00155FF7"/>
    <w:rsid w:val="00156316"/>
    <w:rsid w:val="00160807"/>
    <w:rsid w:val="00161181"/>
    <w:rsid w:val="001624C6"/>
    <w:rsid w:val="00162B9B"/>
    <w:rsid w:val="00162D14"/>
    <w:rsid w:val="00163780"/>
    <w:rsid w:val="00163F3C"/>
    <w:rsid w:val="001645D0"/>
    <w:rsid w:val="0016469B"/>
    <w:rsid w:val="00164E6C"/>
    <w:rsid w:val="001650E5"/>
    <w:rsid w:val="001651CA"/>
    <w:rsid w:val="00165389"/>
    <w:rsid w:val="0016598A"/>
    <w:rsid w:val="001674FD"/>
    <w:rsid w:val="00167643"/>
    <w:rsid w:val="00167DC9"/>
    <w:rsid w:val="001710AE"/>
    <w:rsid w:val="001726F3"/>
    <w:rsid w:val="001732BC"/>
    <w:rsid w:val="0017382E"/>
    <w:rsid w:val="001756E7"/>
    <w:rsid w:val="0017693F"/>
    <w:rsid w:val="00177D94"/>
    <w:rsid w:val="00177EA8"/>
    <w:rsid w:val="0018110E"/>
    <w:rsid w:val="00181684"/>
    <w:rsid w:val="00181F79"/>
    <w:rsid w:val="001825EE"/>
    <w:rsid w:val="0018339E"/>
    <w:rsid w:val="00183ADF"/>
    <w:rsid w:val="001843C6"/>
    <w:rsid w:val="001846E7"/>
    <w:rsid w:val="001850E0"/>
    <w:rsid w:val="00185142"/>
    <w:rsid w:val="00185EBA"/>
    <w:rsid w:val="001872EE"/>
    <w:rsid w:val="00187DA1"/>
    <w:rsid w:val="00190414"/>
    <w:rsid w:val="00190809"/>
    <w:rsid w:val="00191DD3"/>
    <w:rsid w:val="00192700"/>
    <w:rsid w:val="00192F59"/>
    <w:rsid w:val="00193A25"/>
    <w:rsid w:val="00193BC0"/>
    <w:rsid w:val="00193E6A"/>
    <w:rsid w:val="00195B00"/>
    <w:rsid w:val="0019670B"/>
    <w:rsid w:val="00196CCC"/>
    <w:rsid w:val="001974F7"/>
    <w:rsid w:val="001A03AD"/>
    <w:rsid w:val="001A03AF"/>
    <w:rsid w:val="001A2158"/>
    <w:rsid w:val="001A2657"/>
    <w:rsid w:val="001A2CBE"/>
    <w:rsid w:val="001A33FE"/>
    <w:rsid w:val="001A442B"/>
    <w:rsid w:val="001A49E3"/>
    <w:rsid w:val="001A525F"/>
    <w:rsid w:val="001A54E5"/>
    <w:rsid w:val="001A616B"/>
    <w:rsid w:val="001A798B"/>
    <w:rsid w:val="001B09F9"/>
    <w:rsid w:val="001B155B"/>
    <w:rsid w:val="001B38E7"/>
    <w:rsid w:val="001B5744"/>
    <w:rsid w:val="001B579B"/>
    <w:rsid w:val="001B5C90"/>
    <w:rsid w:val="001B5F77"/>
    <w:rsid w:val="001B6448"/>
    <w:rsid w:val="001B6764"/>
    <w:rsid w:val="001C0831"/>
    <w:rsid w:val="001C32CD"/>
    <w:rsid w:val="001C46E8"/>
    <w:rsid w:val="001C5045"/>
    <w:rsid w:val="001C7556"/>
    <w:rsid w:val="001D1C15"/>
    <w:rsid w:val="001D1E52"/>
    <w:rsid w:val="001D2984"/>
    <w:rsid w:val="001D3215"/>
    <w:rsid w:val="001D383D"/>
    <w:rsid w:val="001D4126"/>
    <w:rsid w:val="001D55FE"/>
    <w:rsid w:val="001D5762"/>
    <w:rsid w:val="001D5EB0"/>
    <w:rsid w:val="001D6B96"/>
    <w:rsid w:val="001D75B0"/>
    <w:rsid w:val="001D7CB2"/>
    <w:rsid w:val="001E07CF"/>
    <w:rsid w:val="001E197D"/>
    <w:rsid w:val="001E310A"/>
    <w:rsid w:val="001E31EE"/>
    <w:rsid w:val="001E384A"/>
    <w:rsid w:val="001E3C6D"/>
    <w:rsid w:val="001E59F1"/>
    <w:rsid w:val="001E60D2"/>
    <w:rsid w:val="001E6ED6"/>
    <w:rsid w:val="001E7D54"/>
    <w:rsid w:val="001E7D69"/>
    <w:rsid w:val="001E7DC2"/>
    <w:rsid w:val="001F1ADD"/>
    <w:rsid w:val="001F2CEE"/>
    <w:rsid w:val="001F3D99"/>
    <w:rsid w:val="001F49EB"/>
    <w:rsid w:val="001F66E7"/>
    <w:rsid w:val="001F6CBA"/>
    <w:rsid w:val="001F7675"/>
    <w:rsid w:val="001F76CB"/>
    <w:rsid w:val="00201D4E"/>
    <w:rsid w:val="0020202B"/>
    <w:rsid w:val="002036C8"/>
    <w:rsid w:val="00203D20"/>
    <w:rsid w:val="00205F93"/>
    <w:rsid w:val="002076C9"/>
    <w:rsid w:val="002079DF"/>
    <w:rsid w:val="00207CDE"/>
    <w:rsid w:val="00212740"/>
    <w:rsid w:val="00213113"/>
    <w:rsid w:val="0021413C"/>
    <w:rsid w:val="00215210"/>
    <w:rsid w:val="002176FF"/>
    <w:rsid w:val="0022018C"/>
    <w:rsid w:val="00220B8A"/>
    <w:rsid w:val="00222774"/>
    <w:rsid w:val="00223018"/>
    <w:rsid w:val="00223632"/>
    <w:rsid w:val="00223BFE"/>
    <w:rsid w:val="002251F7"/>
    <w:rsid w:val="002257F3"/>
    <w:rsid w:val="00225BA5"/>
    <w:rsid w:val="0022770C"/>
    <w:rsid w:val="00230381"/>
    <w:rsid w:val="00230E1E"/>
    <w:rsid w:val="00232845"/>
    <w:rsid w:val="00232AC4"/>
    <w:rsid w:val="00232CD5"/>
    <w:rsid w:val="00233456"/>
    <w:rsid w:val="002339A5"/>
    <w:rsid w:val="00233EED"/>
    <w:rsid w:val="00234054"/>
    <w:rsid w:val="002342C2"/>
    <w:rsid w:val="00234F91"/>
    <w:rsid w:val="00235B18"/>
    <w:rsid w:val="0023699E"/>
    <w:rsid w:val="00236CF8"/>
    <w:rsid w:val="00236E9C"/>
    <w:rsid w:val="00237D86"/>
    <w:rsid w:val="00237EA8"/>
    <w:rsid w:val="002419B9"/>
    <w:rsid w:val="00245DC6"/>
    <w:rsid w:val="00247D65"/>
    <w:rsid w:val="00250104"/>
    <w:rsid w:val="00250271"/>
    <w:rsid w:val="002532C4"/>
    <w:rsid w:val="002536CD"/>
    <w:rsid w:val="00255246"/>
    <w:rsid w:val="00255ABD"/>
    <w:rsid w:val="00257848"/>
    <w:rsid w:val="0025788B"/>
    <w:rsid w:val="002578E8"/>
    <w:rsid w:val="00260485"/>
    <w:rsid w:val="002614CE"/>
    <w:rsid w:val="0026161D"/>
    <w:rsid w:val="00261863"/>
    <w:rsid w:val="002649BC"/>
    <w:rsid w:val="0026555F"/>
    <w:rsid w:val="0027084A"/>
    <w:rsid w:val="00271FF3"/>
    <w:rsid w:val="00274260"/>
    <w:rsid w:val="00274667"/>
    <w:rsid w:val="0027634F"/>
    <w:rsid w:val="00280265"/>
    <w:rsid w:val="00286434"/>
    <w:rsid w:val="00286C59"/>
    <w:rsid w:val="00290228"/>
    <w:rsid w:val="0029120F"/>
    <w:rsid w:val="00291957"/>
    <w:rsid w:val="0029400E"/>
    <w:rsid w:val="00294059"/>
    <w:rsid w:val="002942D1"/>
    <w:rsid w:val="0029501A"/>
    <w:rsid w:val="00297FAB"/>
    <w:rsid w:val="002A0ABA"/>
    <w:rsid w:val="002A0BE9"/>
    <w:rsid w:val="002A264D"/>
    <w:rsid w:val="002A3545"/>
    <w:rsid w:val="002A3721"/>
    <w:rsid w:val="002A69CC"/>
    <w:rsid w:val="002A7486"/>
    <w:rsid w:val="002B1638"/>
    <w:rsid w:val="002B1A9D"/>
    <w:rsid w:val="002B211D"/>
    <w:rsid w:val="002B3624"/>
    <w:rsid w:val="002B4AB2"/>
    <w:rsid w:val="002B5BC9"/>
    <w:rsid w:val="002B6D59"/>
    <w:rsid w:val="002B71DB"/>
    <w:rsid w:val="002B7CB0"/>
    <w:rsid w:val="002C0CEB"/>
    <w:rsid w:val="002C1FD7"/>
    <w:rsid w:val="002C243E"/>
    <w:rsid w:val="002C3B87"/>
    <w:rsid w:val="002C6B80"/>
    <w:rsid w:val="002C7BAC"/>
    <w:rsid w:val="002C7DFF"/>
    <w:rsid w:val="002D04F2"/>
    <w:rsid w:val="002D0952"/>
    <w:rsid w:val="002D21FF"/>
    <w:rsid w:val="002D2E3B"/>
    <w:rsid w:val="002D3781"/>
    <w:rsid w:val="002D4212"/>
    <w:rsid w:val="002D43AF"/>
    <w:rsid w:val="002D5CB9"/>
    <w:rsid w:val="002D5F01"/>
    <w:rsid w:val="002E19B4"/>
    <w:rsid w:val="002E26F3"/>
    <w:rsid w:val="002E2F81"/>
    <w:rsid w:val="002E36FD"/>
    <w:rsid w:val="002E40B3"/>
    <w:rsid w:val="002E4C9A"/>
    <w:rsid w:val="002E57AE"/>
    <w:rsid w:val="002E6692"/>
    <w:rsid w:val="002E67E7"/>
    <w:rsid w:val="002F0DC1"/>
    <w:rsid w:val="002F0F1B"/>
    <w:rsid w:val="002F10F5"/>
    <w:rsid w:val="002F11F8"/>
    <w:rsid w:val="002F3875"/>
    <w:rsid w:val="002F3CF8"/>
    <w:rsid w:val="002F3F56"/>
    <w:rsid w:val="002F409C"/>
    <w:rsid w:val="002F44B5"/>
    <w:rsid w:val="002F5122"/>
    <w:rsid w:val="002F5746"/>
    <w:rsid w:val="002F5801"/>
    <w:rsid w:val="002F6A1B"/>
    <w:rsid w:val="00300EF1"/>
    <w:rsid w:val="0030122F"/>
    <w:rsid w:val="00302622"/>
    <w:rsid w:val="0030313A"/>
    <w:rsid w:val="00303428"/>
    <w:rsid w:val="0030439F"/>
    <w:rsid w:val="00304CA5"/>
    <w:rsid w:val="00305917"/>
    <w:rsid w:val="003060EC"/>
    <w:rsid w:val="003066AD"/>
    <w:rsid w:val="0031020C"/>
    <w:rsid w:val="003103D2"/>
    <w:rsid w:val="00310BE1"/>
    <w:rsid w:val="00311AC0"/>
    <w:rsid w:val="00312493"/>
    <w:rsid w:val="003132FC"/>
    <w:rsid w:val="0031395E"/>
    <w:rsid w:val="00314EB3"/>
    <w:rsid w:val="003176FC"/>
    <w:rsid w:val="00320FFD"/>
    <w:rsid w:val="00321A46"/>
    <w:rsid w:val="00322F65"/>
    <w:rsid w:val="0032424A"/>
    <w:rsid w:val="003249C6"/>
    <w:rsid w:val="00324E45"/>
    <w:rsid w:val="00325123"/>
    <w:rsid w:val="00325136"/>
    <w:rsid w:val="0032583B"/>
    <w:rsid w:val="00325954"/>
    <w:rsid w:val="00325DD9"/>
    <w:rsid w:val="003266E6"/>
    <w:rsid w:val="00326C5E"/>
    <w:rsid w:val="00327883"/>
    <w:rsid w:val="00331C66"/>
    <w:rsid w:val="00332551"/>
    <w:rsid w:val="0033428E"/>
    <w:rsid w:val="00335504"/>
    <w:rsid w:val="00335C33"/>
    <w:rsid w:val="00337062"/>
    <w:rsid w:val="00340004"/>
    <w:rsid w:val="00340C18"/>
    <w:rsid w:val="00340CFF"/>
    <w:rsid w:val="00340FEE"/>
    <w:rsid w:val="0034224D"/>
    <w:rsid w:val="00342C10"/>
    <w:rsid w:val="0034364F"/>
    <w:rsid w:val="003442FD"/>
    <w:rsid w:val="00344E37"/>
    <w:rsid w:val="003455A0"/>
    <w:rsid w:val="00345F23"/>
    <w:rsid w:val="00347824"/>
    <w:rsid w:val="00350567"/>
    <w:rsid w:val="003518B1"/>
    <w:rsid w:val="00351AFF"/>
    <w:rsid w:val="003521E8"/>
    <w:rsid w:val="003535FC"/>
    <w:rsid w:val="00353603"/>
    <w:rsid w:val="00353B1D"/>
    <w:rsid w:val="00354313"/>
    <w:rsid w:val="003558BE"/>
    <w:rsid w:val="00355BED"/>
    <w:rsid w:val="00356470"/>
    <w:rsid w:val="003576A8"/>
    <w:rsid w:val="00362455"/>
    <w:rsid w:val="0036297A"/>
    <w:rsid w:val="00364183"/>
    <w:rsid w:val="0036786A"/>
    <w:rsid w:val="00370CE3"/>
    <w:rsid w:val="003728F3"/>
    <w:rsid w:val="00372C6F"/>
    <w:rsid w:val="003735BC"/>
    <w:rsid w:val="0037496E"/>
    <w:rsid w:val="00374AC2"/>
    <w:rsid w:val="00375206"/>
    <w:rsid w:val="00376A6C"/>
    <w:rsid w:val="0037740B"/>
    <w:rsid w:val="00380720"/>
    <w:rsid w:val="00381C11"/>
    <w:rsid w:val="00382856"/>
    <w:rsid w:val="00383221"/>
    <w:rsid w:val="003833E6"/>
    <w:rsid w:val="00385EFB"/>
    <w:rsid w:val="00386150"/>
    <w:rsid w:val="00386443"/>
    <w:rsid w:val="003874CE"/>
    <w:rsid w:val="00390900"/>
    <w:rsid w:val="00392E8D"/>
    <w:rsid w:val="00393CFA"/>
    <w:rsid w:val="00393F29"/>
    <w:rsid w:val="00396DAB"/>
    <w:rsid w:val="003A09EE"/>
    <w:rsid w:val="003A2401"/>
    <w:rsid w:val="003A2DA0"/>
    <w:rsid w:val="003A364F"/>
    <w:rsid w:val="003A5170"/>
    <w:rsid w:val="003A7F6C"/>
    <w:rsid w:val="003B031D"/>
    <w:rsid w:val="003B334E"/>
    <w:rsid w:val="003B3DCC"/>
    <w:rsid w:val="003B4D60"/>
    <w:rsid w:val="003B4D70"/>
    <w:rsid w:val="003B6B11"/>
    <w:rsid w:val="003B75DC"/>
    <w:rsid w:val="003B7E39"/>
    <w:rsid w:val="003C08E0"/>
    <w:rsid w:val="003C1090"/>
    <w:rsid w:val="003C1A9F"/>
    <w:rsid w:val="003C207C"/>
    <w:rsid w:val="003C33F8"/>
    <w:rsid w:val="003C503D"/>
    <w:rsid w:val="003C58DC"/>
    <w:rsid w:val="003C5DDB"/>
    <w:rsid w:val="003C748C"/>
    <w:rsid w:val="003C7BF0"/>
    <w:rsid w:val="003D0432"/>
    <w:rsid w:val="003D15A6"/>
    <w:rsid w:val="003D1625"/>
    <w:rsid w:val="003D172B"/>
    <w:rsid w:val="003D1E03"/>
    <w:rsid w:val="003D1E62"/>
    <w:rsid w:val="003D260D"/>
    <w:rsid w:val="003D67D6"/>
    <w:rsid w:val="003D7002"/>
    <w:rsid w:val="003E0B99"/>
    <w:rsid w:val="003E16D9"/>
    <w:rsid w:val="003E192C"/>
    <w:rsid w:val="003E22B0"/>
    <w:rsid w:val="003E2486"/>
    <w:rsid w:val="003E3208"/>
    <w:rsid w:val="003E4080"/>
    <w:rsid w:val="003E4FB0"/>
    <w:rsid w:val="003E5449"/>
    <w:rsid w:val="003E58A8"/>
    <w:rsid w:val="003E79FD"/>
    <w:rsid w:val="003F0B04"/>
    <w:rsid w:val="003F1CE5"/>
    <w:rsid w:val="003F2090"/>
    <w:rsid w:val="003F2E71"/>
    <w:rsid w:val="003F3C68"/>
    <w:rsid w:val="003F48E2"/>
    <w:rsid w:val="003F581F"/>
    <w:rsid w:val="003F6591"/>
    <w:rsid w:val="003F7F4F"/>
    <w:rsid w:val="00400756"/>
    <w:rsid w:val="0040134E"/>
    <w:rsid w:val="004016A4"/>
    <w:rsid w:val="00403223"/>
    <w:rsid w:val="00406B45"/>
    <w:rsid w:val="00407E5D"/>
    <w:rsid w:val="00410B5B"/>
    <w:rsid w:val="00414498"/>
    <w:rsid w:val="00414BFF"/>
    <w:rsid w:val="00416085"/>
    <w:rsid w:val="00417A53"/>
    <w:rsid w:val="0042150E"/>
    <w:rsid w:val="00423F4A"/>
    <w:rsid w:val="00431EE8"/>
    <w:rsid w:val="0043256B"/>
    <w:rsid w:val="00432A48"/>
    <w:rsid w:val="004334C7"/>
    <w:rsid w:val="00434B39"/>
    <w:rsid w:val="0043695E"/>
    <w:rsid w:val="0043777A"/>
    <w:rsid w:val="00440A2D"/>
    <w:rsid w:val="00441C3F"/>
    <w:rsid w:val="00444D1A"/>
    <w:rsid w:val="00445B65"/>
    <w:rsid w:val="00446127"/>
    <w:rsid w:val="00447328"/>
    <w:rsid w:val="0045186A"/>
    <w:rsid w:val="00451EF0"/>
    <w:rsid w:val="0045224A"/>
    <w:rsid w:val="004564A7"/>
    <w:rsid w:val="00456765"/>
    <w:rsid w:val="0046002F"/>
    <w:rsid w:val="00460036"/>
    <w:rsid w:val="00460D90"/>
    <w:rsid w:val="004617BF"/>
    <w:rsid w:val="00463658"/>
    <w:rsid w:val="004637A0"/>
    <w:rsid w:val="0046657F"/>
    <w:rsid w:val="00470371"/>
    <w:rsid w:val="004717BB"/>
    <w:rsid w:val="004722CC"/>
    <w:rsid w:val="00474579"/>
    <w:rsid w:val="00474BAF"/>
    <w:rsid w:val="00476CF4"/>
    <w:rsid w:val="00480D39"/>
    <w:rsid w:val="00481988"/>
    <w:rsid w:val="00483FEF"/>
    <w:rsid w:val="00484237"/>
    <w:rsid w:val="00485E30"/>
    <w:rsid w:val="00486126"/>
    <w:rsid w:val="004877E5"/>
    <w:rsid w:val="00490483"/>
    <w:rsid w:val="00491449"/>
    <w:rsid w:val="004936E4"/>
    <w:rsid w:val="00493D8B"/>
    <w:rsid w:val="00493FAE"/>
    <w:rsid w:val="00494E60"/>
    <w:rsid w:val="00497487"/>
    <w:rsid w:val="004A0A8F"/>
    <w:rsid w:val="004A1C65"/>
    <w:rsid w:val="004A1FF5"/>
    <w:rsid w:val="004A2771"/>
    <w:rsid w:val="004A3103"/>
    <w:rsid w:val="004A6189"/>
    <w:rsid w:val="004A7390"/>
    <w:rsid w:val="004B480C"/>
    <w:rsid w:val="004B534A"/>
    <w:rsid w:val="004B6BBE"/>
    <w:rsid w:val="004B6F25"/>
    <w:rsid w:val="004B7962"/>
    <w:rsid w:val="004B7B76"/>
    <w:rsid w:val="004B7D80"/>
    <w:rsid w:val="004C007A"/>
    <w:rsid w:val="004C239D"/>
    <w:rsid w:val="004C2DCA"/>
    <w:rsid w:val="004C3A1D"/>
    <w:rsid w:val="004C3B08"/>
    <w:rsid w:val="004C4FBE"/>
    <w:rsid w:val="004C5632"/>
    <w:rsid w:val="004C56E0"/>
    <w:rsid w:val="004C5ADC"/>
    <w:rsid w:val="004C61D2"/>
    <w:rsid w:val="004C70C8"/>
    <w:rsid w:val="004D0A2C"/>
    <w:rsid w:val="004D1462"/>
    <w:rsid w:val="004D1818"/>
    <w:rsid w:val="004D1CD5"/>
    <w:rsid w:val="004D3659"/>
    <w:rsid w:val="004D44BF"/>
    <w:rsid w:val="004D4D81"/>
    <w:rsid w:val="004D4F58"/>
    <w:rsid w:val="004D776A"/>
    <w:rsid w:val="004E03FA"/>
    <w:rsid w:val="004E2754"/>
    <w:rsid w:val="004E41A5"/>
    <w:rsid w:val="004E45C9"/>
    <w:rsid w:val="004E5FC5"/>
    <w:rsid w:val="004E649B"/>
    <w:rsid w:val="004E6C0E"/>
    <w:rsid w:val="004E6D5F"/>
    <w:rsid w:val="004E75C1"/>
    <w:rsid w:val="004E7B14"/>
    <w:rsid w:val="004E7B9A"/>
    <w:rsid w:val="004F0C4A"/>
    <w:rsid w:val="004F0F38"/>
    <w:rsid w:val="004F24BC"/>
    <w:rsid w:val="004F27DB"/>
    <w:rsid w:val="004F3098"/>
    <w:rsid w:val="004F4391"/>
    <w:rsid w:val="004F47D6"/>
    <w:rsid w:val="004F750C"/>
    <w:rsid w:val="00500337"/>
    <w:rsid w:val="00501921"/>
    <w:rsid w:val="00502AFD"/>
    <w:rsid w:val="005031D4"/>
    <w:rsid w:val="00503212"/>
    <w:rsid w:val="00504A03"/>
    <w:rsid w:val="00504D6D"/>
    <w:rsid w:val="00504EE6"/>
    <w:rsid w:val="005078D2"/>
    <w:rsid w:val="005128AC"/>
    <w:rsid w:val="005130DC"/>
    <w:rsid w:val="0051465B"/>
    <w:rsid w:val="00514D2C"/>
    <w:rsid w:val="005174A5"/>
    <w:rsid w:val="0052080C"/>
    <w:rsid w:val="005221E0"/>
    <w:rsid w:val="00522534"/>
    <w:rsid w:val="005229A5"/>
    <w:rsid w:val="00527355"/>
    <w:rsid w:val="00530354"/>
    <w:rsid w:val="005304E7"/>
    <w:rsid w:val="005320AD"/>
    <w:rsid w:val="005338AF"/>
    <w:rsid w:val="00535349"/>
    <w:rsid w:val="0053625B"/>
    <w:rsid w:val="005368B6"/>
    <w:rsid w:val="00541126"/>
    <w:rsid w:val="005434C6"/>
    <w:rsid w:val="00543B39"/>
    <w:rsid w:val="00544176"/>
    <w:rsid w:val="00545A5D"/>
    <w:rsid w:val="00545EB0"/>
    <w:rsid w:val="00546061"/>
    <w:rsid w:val="00546154"/>
    <w:rsid w:val="00546168"/>
    <w:rsid w:val="00550096"/>
    <w:rsid w:val="00551D6D"/>
    <w:rsid w:val="00551F62"/>
    <w:rsid w:val="005528AF"/>
    <w:rsid w:val="00552EA6"/>
    <w:rsid w:val="00555280"/>
    <w:rsid w:val="00555294"/>
    <w:rsid w:val="00555D58"/>
    <w:rsid w:val="00556911"/>
    <w:rsid w:val="00556EE7"/>
    <w:rsid w:val="00557033"/>
    <w:rsid w:val="0055794C"/>
    <w:rsid w:val="00557FF9"/>
    <w:rsid w:val="005607F7"/>
    <w:rsid w:val="00562327"/>
    <w:rsid w:val="00570466"/>
    <w:rsid w:val="00570C4B"/>
    <w:rsid w:val="005711D5"/>
    <w:rsid w:val="00571D01"/>
    <w:rsid w:val="005721F0"/>
    <w:rsid w:val="00572693"/>
    <w:rsid w:val="00573DDD"/>
    <w:rsid w:val="00576378"/>
    <w:rsid w:val="005764D4"/>
    <w:rsid w:val="005768C7"/>
    <w:rsid w:val="00577130"/>
    <w:rsid w:val="00577945"/>
    <w:rsid w:val="005779A6"/>
    <w:rsid w:val="00577CC7"/>
    <w:rsid w:val="00577CEE"/>
    <w:rsid w:val="00577E38"/>
    <w:rsid w:val="00580686"/>
    <w:rsid w:val="005809B6"/>
    <w:rsid w:val="005812B9"/>
    <w:rsid w:val="00582175"/>
    <w:rsid w:val="005839D2"/>
    <w:rsid w:val="0058479E"/>
    <w:rsid w:val="00584C92"/>
    <w:rsid w:val="00584F55"/>
    <w:rsid w:val="00585322"/>
    <w:rsid w:val="005857C6"/>
    <w:rsid w:val="00586883"/>
    <w:rsid w:val="00587379"/>
    <w:rsid w:val="00590281"/>
    <w:rsid w:val="0059293E"/>
    <w:rsid w:val="00592F6E"/>
    <w:rsid w:val="00593AD1"/>
    <w:rsid w:val="00595431"/>
    <w:rsid w:val="0059637F"/>
    <w:rsid w:val="005971DF"/>
    <w:rsid w:val="005A0028"/>
    <w:rsid w:val="005A0B43"/>
    <w:rsid w:val="005A152F"/>
    <w:rsid w:val="005A1A35"/>
    <w:rsid w:val="005A1C0A"/>
    <w:rsid w:val="005A5D03"/>
    <w:rsid w:val="005A5D62"/>
    <w:rsid w:val="005A68B6"/>
    <w:rsid w:val="005A7206"/>
    <w:rsid w:val="005B13E6"/>
    <w:rsid w:val="005B54A9"/>
    <w:rsid w:val="005B5BC0"/>
    <w:rsid w:val="005B6A58"/>
    <w:rsid w:val="005C03D3"/>
    <w:rsid w:val="005C1B1C"/>
    <w:rsid w:val="005C233C"/>
    <w:rsid w:val="005C4BDF"/>
    <w:rsid w:val="005C555F"/>
    <w:rsid w:val="005C5570"/>
    <w:rsid w:val="005C587D"/>
    <w:rsid w:val="005C5A10"/>
    <w:rsid w:val="005C5B66"/>
    <w:rsid w:val="005C721B"/>
    <w:rsid w:val="005C79A4"/>
    <w:rsid w:val="005D130C"/>
    <w:rsid w:val="005D2CD0"/>
    <w:rsid w:val="005D5442"/>
    <w:rsid w:val="005D7092"/>
    <w:rsid w:val="005E3688"/>
    <w:rsid w:val="005E38CD"/>
    <w:rsid w:val="005E4D6D"/>
    <w:rsid w:val="005E4FFD"/>
    <w:rsid w:val="005E5A94"/>
    <w:rsid w:val="005E6165"/>
    <w:rsid w:val="005E6639"/>
    <w:rsid w:val="005E6670"/>
    <w:rsid w:val="005F0724"/>
    <w:rsid w:val="005F0B95"/>
    <w:rsid w:val="005F0F26"/>
    <w:rsid w:val="005F1999"/>
    <w:rsid w:val="005F1D49"/>
    <w:rsid w:val="005F35F7"/>
    <w:rsid w:val="005F39B6"/>
    <w:rsid w:val="005F3BB5"/>
    <w:rsid w:val="005F4370"/>
    <w:rsid w:val="005F45D2"/>
    <w:rsid w:val="005F50EF"/>
    <w:rsid w:val="005F62E6"/>
    <w:rsid w:val="00601D01"/>
    <w:rsid w:val="006025BD"/>
    <w:rsid w:val="00602E1E"/>
    <w:rsid w:val="00603BC3"/>
    <w:rsid w:val="00603CDB"/>
    <w:rsid w:val="00603F32"/>
    <w:rsid w:val="00604302"/>
    <w:rsid w:val="0060480F"/>
    <w:rsid w:val="00604CA3"/>
    <w:rsid w:val="00605127"/>
    <w:rsid w:val="00605784"/>
    <w:rsid w:val="00605AD4"/>
    <w:rsid w:val="00607171"/>
    <w:rsid w:val="006076E7"/>
    <w:rsid w:val="0061005F"/>
    <w:rsid w:val="00610255"/>
    <w:rsid w:val="00610AB3"/>
    <w:rsid w:val="0061107A"/>
    <w:rsid w:val="00611562"/>
    <w:rsid w:val="006136D7"/>
    <w:rsid w:val="006140E0"/>
    <w:rsid w:val="00615F39"/>
    <w:rsid w:val="00616118"/>
    <w:rsid w:val="006167EE"/>
    <w:rsid w:val="006172E3"/>
    <w:rsid w:val="0061799A"/>
    <w:rsid w:val="00620DAD"/>
    <w:rsid w:val="00622AD0"/>
    <w:rsid w:val="006230C2"/>
    <w:rsid w:val="00624441"/>
    <w:rsid w:val="00625A6E"/>
    <w:rsid w:val="00625C9F"/>
    <w:rsid w:val="00626315"/>
    <w:rsid w:val="00630C17"/>
    <w:rsid w:val="00630E95"/>
    <w:rsid w:val="00632398"/>
    <w:rsid w:val="006339F0"/>
    <w:rsid w:val="006351A7"/>
    <w:rsid w:val="00635ED5"/>
    <w:rsid w:val="006369B8"/>
    <w:rsid w:val="00637D3D"/>
    <w:rsid w:val="006406C3"/>
    <w:rsid w:val="00640FC3"/>
    <w:rsid w:val="00641886"/>
    <w:rsid w:val="00642020"/>
    <w:rsid w:val="006429CC"/>
    <w:rsid w:val="006430EE"/>
    <w:rsid w:val="00644261"/>
    <w:rsid w:val="00645865"/>
    <w:rsid w:val="00645D13"/>
    <w:rsid w:val="00646440"/>
    <w:rsid w:val="006473AA"/>
    <w:rsid w:val="006475EC"/>
    <w:rsid w:val="00651FD8"/>
    <w:rsid w:val="00652749"/>
    <w:rsid w:val="0065337B"/>
    <w:rsid w:val="0065419D"/>
    <w:rsid w:val="00654D50"/>
    <w:rsid w:val="00655313"/>
    <w:rsid w:val="0065764F"/>
    <w:rsid w:val="006603BC"/>
    <w:rsid w:val="006604D8"/>
    <w:rsid w:val="00661477"/>
    <w:rsid w:val="00664A5B"/>
    <w:rsid w:val="0066735C"/>
    <w:rsid w:val="00667AF1"/>
    <w:rsid w:val="006734D4"/>
    <w:rsid w:val="006750CD"/>
    <w:rsid w:val="006763D2"/>
    <w:rsid w:val="00677031"/>
    <w:rsid w:val="0067720E"/>
    <w:rsid w:val="00677C3E"/>
    <w:rsid w:val="00677FE0"/>
    <w:rsid w:val="00680C08"/>
    <w:rsid w:val="006810D1"/>
    <w:rsid w:val="00683106"/>
    <w:rsid w:val="0068347D"/>
    <w:rsid w:val="006835B6"/>
    <w:rsid w:val="0068416D"/>
    <w:rsid w:val="00685016"/>
    <w:rsid w:val="00685657"/>
    <w:rsid w:val="00686095"/>
    <w:rsid w:val="00687D1C"/>
    <w:rsid w:val="00690BDC"/>
    <w:rsid w:val="006916A0"/>
    <w:rsid w:val="006931B1"/>
    <w:rsid w:val="006932ED"/>
    <w:rsid w:val="006959E1"/>
    <w:rsid w:val="0069680D"/>
    <w:rsid w:val="00697C4C"/>
    <w:rsid w:val="006A04FC"/>
    <w:rsid w:val="006A15C0"/>
    <w:rsid w:val="006A373F"/>
    <w:rsid w:val="006A37FC"/>
    <w:rsid w:val="006A4AFD"/>
    <w:rsid w:val="006A57C9"/>
    <w:rsid w:val="006A58A8"/>
    <w:rsid w:val="006A604B"/>
    <w:rsid w:val="006A6CE6"/>
    <w:rsid w:val="006A753F"/>
    <w:rsid w:val="006B04E9"/>
    <w:rsid w:val="006B1021"/>
    <w:rsid w:val="006B2728"/>
    <w:rsid w:val="006B3C32"/>
    <w:rsid w:val="006B3D20"/>
    <w:rsid w:val="006B50E1"/>
    <w:rsid w:val="006B550A"/>
    <w:rsid w:val="006B6595"/>
    <w:rsid w:val="006B77C3"/>
    <w:rsid w:val="006B7BF3"/>
    <w:rsid w:val="006B7D30"/>
    <w:rsid w:val="006B7FD7"/>
    <w:rsid w:val="006C11A1"/>
    <w:rsid w:val="006C16DE"/>
    <w:rsid w:val="006C2A2D"/>
    <w:rsid w:val="006C3E2A"/>
    <w:rsid w:val="006C3F4A"/>
    <w:rsid w:val="006C4691"/>
    <w:rsid w:val="006C4EB9"/>
    <w:rsid w:val="006C642F"/>
    <w:rsid w:val="006C65CC"/>
    <w:rsid w:val="006D03E5"/>
    <w:rsid w:val="006D0947"/>
    <w:rsid w:val="006D15E3"/>
    <w:rsid w:val="006D1875"/>
    <w:rsid w:val="006D34C1"/>
    <w:rsid w:val="006D5A0C"/>
    <w:rsid w:val="006D5D3E"/>
    <w:rsid w:val="006D71FD"/>
    <w:rsid w:val="006D7512"/>
    <w:rsid w:val="006E060C"/>
    <w:rsid w:val="006E08B3"/>
    <w:rsid w:val="006E1060"/>
    <w:rsid w:val="006E17EE"/>
    <w:rsid w:val="006E4CD8"/>
    <w:rsid w:val="006E6907"/>
    <w:rsid w:val="006F1612"/>
    <w:rsid w:val="006F17AC"/>
    <w:rsid w:val="006F25B8"/>
    <w:rsid w:val="006F3C1F"/>
    <w:rsid w:val="006F4620"/>
    <w:rsid w:val="006F572E"/>
    <w:rsid w:val="006F5FF1"/>
    <w:rsid w:val="006F6597"/>
    <w:rsid w:val="006F7271"/>
    <w:rsid w:val="00702B6D"/>
    <w:rsid w:val="00702FC9"/>
    <w:rsid w:val="00704478"/>
    <w:rsid w:val="007046D6"/>
    <w:rsid w:val="00705DB0"/>
    <w:rsid w:val="00706E26"/>
    <w:rsid w:val="00707A21"/>
    <w:rsid w:val="00710216"/>
    <w:rsid w:val="00712B7C"/>
    <w:rsid w:val="00712EA9"/>
    <w:rsid w:val="00713124"/>
    <w:rsid w:val="00717338"/>
    <w:rsid w:val="00720066"/>
    <w:rsid w:val="007200BF"/>
    <w:rsid w:val="007204EB"/>
    <w:rsid w:val="00721D1E"/>
    <w:rsid w:val="00721D32"/>
    <w:rsid w:val="00722062"/>
    <w:rsid w:val="00722B57"/>
    <w:rsid w:val="00722BB8"/>
    <w:rsid w:val="00726AB8"/>
    <w:rsid w:val="00727EEF"/>
    <w:rsid w:val="007305EF"/>
    <w:rsid w:val="00730DCB"/>
    <w:rsid w:val="00730F8A"/>
    <w:rsid w:val="00735A8C"/>
    <w:rsid w:val="00735F0C"/>
    <w:rsid w:val="0074253D"/>
    <w:rsid w:val="00744121"/>
    <w:rsid w:val="0074429B"/>
    <w:rsid w:val="00745F33"/>
    <w:rsid w:val="00751602"/>
    <w:rsid w:val="007520F2"/>
    <w:rsid w:val="007526E0"/>
    <w:rsid w:val="00752DE3"/>
    <w:rsid w:val="007534BD"/>
    <w:rsid w:val="007534F7"/>
    <w:rsid w:val="007536CD"/>
    <w:rsid w:val="007549D6"/>
    <w:rsid w:val="00757861"/>
    <w:rsid w:val="00757920"/>
    <w:rsid w:val="00757B7C"/>
    <w:rsid w:val="0076030C"/>
    <w:rsid w:val="007607F0"/>
    <w:rsid w:val="00760862"/>
    <w:rsid w:val="00760EAE"/>
    <w:rsid w:val="00761387"/>
    <w:rsid w:val="007615BC"/>
    <w:rsid w:val="00761B1D"/>
    <w:rsid w:val="00761F35"/>
    <w:rsid w:val="007621B2"/>
    <w:rsid w:val="007625E3"/>
    <w:rsid w:val="00762F05"/>
    <w:rsid w:val="00762F6E"/>
    <w:rsid w:val="00764073"/>
    <w:rsid w:val="00764C81"/>
    <w:rsid w:val="007652FF"/>
    <w:rsid w:val="00766263"/>
    <w:rsid w:val="00767EB8"/>
    <w:rsid w:val="00770CAC"/>
    <w:rsid w:val="00770EF1"/>
    <w:rsid w:val="00771925"/>
    <w:rsid w:val="00772435"/>
    <w:rsid w:val="00773EF7"/>
    <w:rsid w:val="00774E1D"/>
    <w:rsid w:val="00775AA8"/>
    <w:rsid w:val="007765D8"/>
    <w:rsid w:val="0077675A"/>
    <w:rsid w:val="00777BBD"/>
    <w:rsid w:val="00780355"/>
    <w:rsid w:val="0078064E"/>
    <w:rsid w:val="00780F12"/>
    <w:rsid w:val="007819FD"/>
    <w:rsid w:val="00783384"/>
    <w:rsid w:val="007849DE"/>
    <w:rsid w:val="00784BB0"/>
    <w:rsid w:val="00785717"/>
    <w:rsid w:val="00785721"/>
    <w:rsid w:val="00786AED"/>
    <w:rsid w:val="00787669"/>
    <w:rsid w:val="00790070"/>
    <w:rsid w:val="00790D5F"/>
    <w:rsid w:val="00791300"/>
    <w:rsid w:val="00791378"/>
    <w:rsid w:val="007915CC"/>
    <w:rsid w:val="00791E43"/>
    <w:rsid w:val="0079203E"/>
    <w:rsid w:val="00792F6C"/>
    <w:rsid w:val="00793A59"/>
    <w:rsid w:val="00793E91"/>
    <w:rsid w:val="007948CB"/>
    <w:rsid w:val="00796249"/>
    <w:rsid w:val="00797F5D"/>
    <w:rsid w:val="007A0140"/>
    <w:rsid w:val="007A06A5"/>
    <w:rsid w:val="007A2204"/>
    <w:rsid w:val="007A30AB"/>
    <w:rsid w:val="007A46F5"/>
    <w:rsid w:val="007A6505"/>
    <w:rsid w:val="007A67BD"/>
    <w:rsid w:val="007A7D51"/>
    <w:rsid w:val="007B020F"/>
    <w:rsid w:val="007B1C31"/>
    <w:rsid w:val="007B4296"/>
    <w:rsid w:val="007B449B"/>
    <w:rsid w:val="007B6132"/>
    <w:rsid w:val="007B655E"/>
    <w:rsid w:val="007B6D60"/>
    <w:rsid w:val="007B6E9F"/>
    <w:rsid w:val="007B7467"/>
    <w:rsid w:val="007C1216"/>
    <w:rsid w:val="007C1AF7"/>
    <w:rsid w:val="007C231F"/>
    <w:rsid w:val="007C314C"/>
    <w:rsid w:val="007C4061"/>
    <w:rsid w:val="007C5AE9"/>
    <w:rsid w:val="007C5DFE"/>
    <w:rsid w:val="007C6A2C"/>
    <w:rsid w:val="007C6B21"/>
    <w:rsid w:val="007C6B9B"/>
    <w:rsid w:val="007D02B2"/>
    <w:rsid w:val="007D127A"/>
    <w:rsid w:val="007D2219"/>
    <w:rsid w:val="007D24ED"/>
    <w:rsid w:val="007D3807"/>
    <w:rsid w:val="007D40BC"/>
    <w:rsid w:val="007D4D66"/>
    <w:rsid w:val="007D53B6"/>
    <w:rsid w:val="007D5C73"/>
    <w:rsid w:val="007D7088"/>
    <w:rsid w:val="007E1ACB"/>
    <w:rsid w:val="007E5757"/>
    <w:rsid w:val="007E5E13"/>
    <w:rsid w:val="007E761D"/>
    <w:rsid w:val="007F0EEB"/>
    <w:rsid w:val="007F15CB"/>
    <w:rsid w:val="007F2075"/>
    <w:rsid w:val="007F3012"/>
    <w:rsid w:val="007F35C9"/>
    <w:rsid w:val="007F3CDE"/>
    <w:rsid w:val="007F4348"/>
    <w:rsid w:val="007F5C9C"/>
    <w:rsid w:val="007F6445"/>
    <w:rsid w:val="007F6DA3"/>
    <w:rsid w:val="007F741C"/>
    <w:rsid w:val="00803C26"/>
    <w:rsid w:val="0080437B"/>
    <w:rsid w:val="00805D27"/>
    <w:rsid w:val="00806DCB"/>
    <w:rsid w:val="0081019C"/>
    <w:rsid w:val="00810BD8"/>
    <w:rsid w:val="00810C37"/>
    <w:rsid w:val="008112E7"/>
    <w:rsid w:val="008114F8"/>
    <w:rsid w:val="008131F1"/>
    <w:rsid w:val="00813C72"/>
    <w:rsid w:val="0081450E"/>
    <w:rsid w:val="008147A8"/>
    <w:rsid w:val="00820AF3"/>
    <w:rsid w:val="00821776"/>
    <w:rsid w:val="00821A45"/>
    <w:rsid w:val="00821BF7"/>
    <w:rsid w:val="00825282"/>
    <w:rsid w:val="008315C4"/>
    <w:rsid w:val="00831940"/>
    <w:rsid w:val="008321F5"/>
    <w:rsid w:val="00832221"/>
    <w:rsid w:val="00832369"/>
    <w:rsid w:val="0083411D"/>
    <w:rsid w:val="0083445E"/>
    <w:rsid w:val="00834660"/>
    <w:rsid w:val="00834864"/>
    <w:rsid w:val="00834E7C"/>
    <w:rsid w:val="0083536E"/>
    <w:rsid w:val="00836BC2"/>
    <w:rsid w:val="0083722B"/>
    <w:rsid w:val="00840192"/>
    <w:rsid w:val="00841BA2"/>
    <w:rsid w:val="0084298F"/>
    <w:rsid w:val="00844FF5"/>
    <w:rsid w:val="008451F9"/>
    <w:rsid w:val="008452D2"/>
    <w:rsid w:val="008468EC"/>
    <w:rsid w:val="008471FE"/>
    <w:rsid w:val="0085054F"/>
    <w:rsid w:val="00851420"/>
    <w:rsid w:val="0085156D"/>
    <w:rsid w:val="0085224D"/>
    <w:rsid w:val="008529AD"/>
    <w:rsid w:val="00852B28"/>
    <w:rsid w:val="008534C0"/>
    <w:rsid w:val="0085641B"/>
    <w:rsid w:val="00856BAA"/>
    <w:rsid w:val="00856FAD"/>
    <w:rsid w:val="00857136"/>
    <w:rsid w:val="00861C95"/>
    <w:rsid w:val="00864931"/>
    <w:rsid w:val="00865228"/>
    <w:rsid w:val="0087090C"/>
    <w:rsid w:val="00870D81"/>
    <w:rsid w:val="00871A23"/>
    <w:rsid w:val="008749A7"/>
    <w:rsid w:val="0087564D"/>
    <w:rsid w:val="00875A6B"/>
    <w:rsid w:val="00876DCA"/>
    <w:rsid w:val="00876F12"/>
    <w:rsid w:val="00880DEE"/>
    <w:rsid w:val="008817F9"/>
    <w:rsid w:val="00881F19"/>
    <w:rsid w:val="00882021"/>
    <w:rsid w:val="0088256E"/>
    <w:rsid w:val="00882699"/>
    <w:rsid w:val="008826BB"/>
    <w:rsid w:val="00883634"/>
    <w:rsid w:val="0088444A"/>
    <w:rsid w:val="00885B11"/>
    <w:rsid w:val="00886D15"/>
    <w:rsid w:val="00886D33"/>
    <w:rsid w:val="00887DD8"/>
    <w:rsid w:val="008900DA"/>
    <w:rsid w:val="00891BA9"/>
    <w:rsid w:val="008932B4"/>
    <w:rsid w:val="008936E7"/>
    <w:rsid w:val="008937ED"/>
    <w:rsid w:val="00895569"/>
    <w:rsid w:val="00896018"/>
    <w:rsid w:val="008960DD"/>
    <w:rsid w:val="00896245"/>
    <w:rsid w:val="0089635C"/>
    <w:rsid w:val="00896F61"/>
    <w:rsid w:val="0089746E"/>
    <w:rsid w:val="008A02A4"/>
    <w:rsid w:val="008A1F2E"/>
    <w:rsid w:val="008A2B9D"/>
    <w:rsid w:val="008A3D9F"/>
    <w:rsid w:val="008A4F91"/>
    <w:rsid w:val="008A50AE"/>
    <w:rsid w:val="008A5D9F"/>
    <w:rsid w:val="008A5E0B"/>
    <w:rsid w:val="008A5EF2"/>
    <w:rsid w:val="008A646E"/>
    <w:rsid w:val="008A6D59"/>
    <w:rsid w:val="008A73DA"/>
    <w:rsid w:val="008A798F"/>
    <w:rsid w:val="008B1DA5"/>
    <w:rsid w:val="008B1E21"/>
    <w:rsid w:val="008B2141"/>
    <w:rsid w:val="008B24E0"/>
    <w:rsid w:val="008B2501"/>
    <w:rsid w:val="008B413E"/>
    <w:rsid w:val="008B4B03"/>
    <w:rsid w:val="008B596F"/>
    <w:rsid w:val="008B765B"/>
    <w:rsid w:val="008B7CD2"/>
    <w:rsid w:val="008C0EB4"/>
    <w:rsid w:val="008C159F"/>
    <w:rsid w:val="008C1623"/>
    <w:rsid w:val="008C1850"/>
    <w:rsid w:val="008C205D"/>
    <w:rsid w:val="008C2B58"/>
    <w:rsid w:val="008C37A1"/>
    <w:rsid w:val="008C3CF7"/>
    <w:rsid w:val="008C51A9"/>
    <w:rsid w:val="008C5D41"/>
    <w:rsid w:val="008C7CED"/>
    <w:rsid w:val="008D00B3"/>
    <w:rsid w:val="008D00FC"/>
    <w:rsid w:val="008D0CFC"/>
    <w:rsid w:val="008D2B80"/>
    <w:rsid w:val="008D2FDA"/>
    <w:rsid w:val="008D3029"/>
    <w:rsid w:val="008D47D9"/>
    <w:rsid w:val="008D613E"/>
    <w:rsid w:val="008D615F"/>
    <w:rsid w:val="008D74B3"/>
    <w:rsid w:val="008D7B38"/>
    <w:rsid w:val="008D7B6F"/>
    <w:rsid w:val="008D7D6C"/>
    <w:rsid w:val="008E0266"/>
    <w:rsid w:val="008E3387"/>
    <w:rsid w:val="008E35B3"/>
    <w:rsid w:val="008E6415"/>
    <w:rsid w:val="008E6961"/>
    <w:rsid w:val="008E69EF"/>
    <w:rsid w:val="008E7846"/>
    <w:rsid w:val="008E7DE9"/>
    <w:rsid w:val="008E7ED2"/>
    <w:rsid w:val="008F0069"/>
    <w:rsid w:val="008F02E5"/>
    <w:rsid w:val="008F1CCC"/>
    <w:rsid w:val="008F1DF8"/>
    <w:rsid w:val="008F2967"/>
    <w:rsid w:val="008F2A49"/>
    <w:rsid w:val="008F48A1"/>
    <w:rsid w:val="008F4A1A"/>
    <w:rsid w:val="008F50A4"/>
    <w:rsid w:val="008F64DF"/>
    <w:rsid w:val="008F6943"/>
    <w:rsid w:val="008F6A71"/>
    <w:rsid w:val="008F7C91"/>
    <w:rsid w:val="009001B0"/>
    <w:rsid w:val="00901249"/>
    <w:rsid w:val="00901DE3"/>
    <w:rsid w:val="0090274F"/>
    <w:rsid w:val="00902A21"/>
    <w:rsid w:val="00902D60"/>
    <w:rsid w:val="0090491F"/>
    <w:rsid w:val="00905337"/>
    <w:rsid w:val="009057D3"/>
    <w:rsid w:val="00906F75"/>
    <w:rsid w:val="00907900"/>
    <w:rsid w:val="00910C2D"/>
    <w:rsid w:val="00912E20"/>
    <w:rsid w:val="00913591"/>
    <w:rsid w:val="00915093"/>
    <w:rsid w:val="0091523F"/>
    <w:rsid w:val="009164E3"/>
    <w:rsid w:val="00916B6D"/>
    <w:rsid w:val="00920330"/>
    <w:rsid w:val="00920788"/>
    <w:rsid w:val="00920D7C"/>
    <w:rsid w:val="009219D7"/>
    <w:rsid w:val="00922085"/>
    <w:rsid w:val="00922A0B"/>
    <w:rsid w:val="00922D53"/>
    <w:rsid w:val="00923225"/>
    <w:rsid w:val="009234E3"/>
    <w:rsid w:val="00923B70"/>
    <w:rsid w:val="00923F47"/>
    <w:rsid w:val="00924155"/>
    <w:rsid w:val="00924482"/>
    <w:rsid w:val="0092620E"/>
    <w:rsid w:val="00927588"/>
    <w:rsid w:val="00930237"/>
    <w:rsid w:val="00932E4A"/>
    <w:rsid w:val="00935DF9"/>
    <w:rsid w:val="009374AB"/>
    <w:rsid w:val="009375B3"/>
    <w:rsid w:val="009376E0"/>
    <w:rsid w:val="00937C17"/>
    <w:rsid w:val="00940A89"/>
    <w:rsid w:val="009419F6"/>
    <w:rsid w:val="00941F77"/>
    <w:rsid w:val="00943825"/>
    <w:rsid w:val="009461D8"/>
    <w:rsid w:val="00946EA5"/>
    <w:rsid w:val="009537FC"/>
    <w:rsid w:val="00954598"/>
    <w:rsid w:val="00954F42"/>
    <w:rsid w:val="0095646D"/>
    <w:rsid w:val="00957133"/>
    <w:rsid w:val="00960520"/>
    <w:rsid w:val="00962330"/>
    <w:rsid w:val="00962CC6"/>
    <w:rsid w:val="00963412"/>
    <w:rsid w:val="00963C08"/>
    <w:rsid w:val="009643F9"/>
    <w:rsid w:val="00971E49"/>
    <w:rsid w:val="00973A28"/>
    <w:rsid w:val="00974125"/>
    <w:rsid w:val="00974509"/>
    <w:rsid w:val="009752A5"/>
    <w:rsid w:val="0097629B"/>
    <w:rsid w:val="00976C3B"/>
    <w:rsid w:val="00977BA4"/>
    <w:rsid w:val="00980402"/>
    <w:rsid w:val="00983053"/>
    <w:rsid w:val="00984571"/>
    <w:rsid w:val="00984A01"/>
    <w:rsid w:val="0098585A"/>
    <w:rsid w:val="00986539"/>
    <w:rsid w:val="0098748E"/>
    <w:rsid w:val="00987822"/>
    <w:rsid w:val="00990B8D"/>
    <w:rsid w:val="00991071"/>
    <w:rsid w:val="00992579"/>
    <w:rsid w:val="00993B67"/>
    <w:rsid w:val="0099429E"/>
    <w:rsid w:val="009947FE"/>
    <w:rsid w:val="009950CF"/>
    <w:rsid w:val="00995566"/>
    <w:rsid w:val="009960D8"/>
    <w:rsid w:val="009A1F7C"/>
    <w:rsid w:val="009A2BA4"/>
    <w:rsid w:val="009A4797"/>
    <w:rsid w:val="009A489C"/>
    <w:rsid w:val="009A4C3C"/>
    <w:rsid w:val="009A4CED"/>
    <w:rsid w:val="009A600F"/>
    <w:rsid w:val="009A690D"/>
    <w:rsid w:val="009A6C8E"/>
    <w:rsid w:val="009B0441"/>
    <w:rsid w:val="009B1D12"/>
    <w:rsid w:val="009B22B3"/>
    <w:rsid w:val="009B416B"/>
    <w:rsid w:val="009B519B"/>
    <w:rsid w:val="009B52C1"/>
    <w:rsid w:val="009B7E2C"/>
    <w:rsid w:val="009C1F5F"/>
    <w:rsid w:val="009C2112"/>
    <w:rsid w:val="009C2C63"/>
    <w:rsid w:val="009C382B"/>
    <w:rsid w:val="009C4BD5"/>
    <w:rsid w:val="009C54F7"/>
    <w:rsid w:val="009C55B7"/>
    <w:rsid w:val="009C5ED1"/>
    <w:rsid w:val="009C61B8"/>
    <w:rsid w:val="009C6553"/>
    <w:rsid w:val="009D046C"/>
    <w:rsid w:val="009D1807"/>
    <w:rsid w:val="009D19DB"/>
    <w:rsid w:val="009D1B31"/>
    <w:rsid w:val="009D2AE8"/>
    <w:rsid w:val="009D3365"/>
    <w:rsid w:val="009D441E"/>
    <w:rsid w:val="009D5CC4"/>
    <w:rsid w:val="009D7B77"/>
    <w:rsid w:val="009E0BB0"/>
    <w:rsid w:val="009E1334"/>
    <w:rsid w:val="009E18AB"/>
    <w:rsid w:val="009E3FBB"/>
    <w:rsid w:val="009E787D"/>
    <w:rsid w:val="009E79C6"/>
    <w:rsid w:val="009F0176"/>
    <w:rsid w:val="009F0E25"/>
    <w:rsid w:val="009F2383"/>
    <w:rsid w:val="009F26C7"/>
    <w:rsid w:val="009F2A4B"/>
    <w:rsid w:val="009F5E05"/>
    <w:rsid w:val="009F7353"/>
    <w:rsid w:val="00A04B3C"/>
    <w:rsid w:val="00A04F85"/>
    <w:rsid w:val="00A05FA4"/>
    <w:rsid w:val="00A1004B"/>
    <w:rsid w:val="00A102E4"/>
    <w:rsid w:val="00A10A9E"/>
    <w:rsid w:val="00A115AC"/>
    <w:rsid w:val="00A1219C"/>
    <w:rsid w:val="00A12C42"/>
    <w:rsid w:val="00A13297"/>
    <w:rsid w:val="00A14DF7"/>
    <w:rsid w:val="00A14F2E"/>
    <w:rsid w:val="00A1534C"/>
    <w:rsid w:val="00A15D8B"/>
    <w:rsid w:val="00A15E27"/>
    <w:rsid w:val="00A216F8"/>
    <w:rsid w:val="00A22D57"/>
    <w:rsid w:val="00A22DB6"/>
    <w:rsid w:val="00A23399"/>
    <w:rsid w:val="00A24350"/>
    <w:rsid w:val="00A26F38"/>
    <w:rsid w:val="00A27E94"/>
    <w:rsid w:val="00A3130A"/>
    <w:rsid w:val="00A3246D"/>
    <w:rsid w:val="00A345E8"/>
    <w:rsid w:val="00A34BA4"/>
    <w:rsid w:val="00A34E42"/>
    <w:rsid w:val="00A355C1"/>
    <w:rsid w:val="00A36FA7"/>
    <w:rsid w:val="00A402A2"/>
    <w:rsid w:val="00A433A9"/>
    <w:rsid w:val="00A43797"/>
    <w:rsid w:val="00A43B1C"/>
    <w:rsid w:val="00A443D8"/>
    <w:rsid w:val="00A44691"/>
    <w:rsid w:val="00A44B99"/>
    <w:rsid w:val="00A44DDB"/>
    <w:rsid w:val="00A450BE"/>
    <w:rsid w:val="00A45B22"/>
    <w:rsid w:val="00A46693"/>
    <w:rsid w:val="00A475B7"/>
    <w:rsid w:val="00A47AF7"/>
    <w:rsid w:val="00A47C3E"/>
    <w:rsid w:val="00A50226"/>
    <w:rsid w:val="00A51290"/>
    <w:rsid w:val="00A521E1"/>
    <w:rsid w:val="00A54AF2"/>
    <w:rsid w:val="00A54E4D"/>
    <w:rsid w:val="00A5679F"/>
    <w:rsid w:val="00A56FB6"/>
    <w:rsid w:val="00A6033F"/>
    <w:rsid w:val="00A60BAD"/>
    <w:rsid w:val="00A61444"/>
    <w:rsid w:val="00A61C5D"/>
    <w:rsid w:val="00A62658"/>
    <w:rsid w:val="00A62E21"/>
    <w:rsid w:val="00A674A2"/>
    <w:rsid w:val="00A70367"/>
    <w:rsid w:val="00A708F6"/>
    <w:rsid w:val="00A70984"/>
    <w:rsid w:val="00A71152"/>
    <w:rsid w:val="00A720CB"/>
    <w:rsid w:val="00A73335"/>
    <w:rsid w:val="00A73502"/>
    <w:rsid w:val="00A76C38"/>
    <w:rsid w:val="00A76E59"/>
    <w:rsid w:val="00A77643"/>
    <w:rsid w:val="00A7776C"/>
    <w:rsid w:val="00A77F87"/>
    <w:rsid w:val="00A80B5B"/>
    <w:rsid w:val="00A827C7"/>
    <w:rsid w:val="00A8359E"/>
    <w:rsid w:val="00A83756"/>
    <w:rsid w:val="00A83E2D"/>
    <w:rsid w:val="00A84E36"/>
    <w:rsid w:val="00A84E70"/>
    <w:rsid w:val="00A86076"/>
    <w:rsid w:val="00A87693"/>
    <w:rsid w:val="00A87A44"/>
    <w:rsid w:val="00A9295C"/>
    <w:rsid w:val="00A94A01"/>
    <w:rsid w:val="00A96125"/>
    <w:rsid w:val="00A964D1"/>
    <w:rsid w:val="00A96E5A"/>
    <w:rsid w:val="00A97F2E"/>
    <w:rsid w:val="00AA0E27"/>
    <w:rsid w:val="00AA0ED0"/>
    <w:rsid w:val="00AA2DEF"/>
    <w:rsid w:val="00AA4F96"/>
    <w:rsid w:val="00AA64C8"/>
    <w:rsid w:val="00AA6671"/>
    <w:rsid w:val="00AA6B50"/>
    <w:rsid w:val="00AA7390"/>
    <w:rsid w:val="00AB00A5"/>
    <w:rsid w:val="00AB1956"/>
    <w:rsid w:val="00AB1D39"/>
    <w:rsid w:val="00AB2485"/>
    <w:rsid w:val="00AB252E"/>
    <w:rsid w:val="00AB3E3A"/>
    <w:rsid w:val="00AB4613"/>
    <w:rsid w:val="00AB678D"/>
    <w:rsid w:val="00AB6AC4"/>
    <w:rsid w:val="00AB6BE8"/>
    <w:rsid w:val="00AB718C"/>
    <w:rsid w:val="00AB78B2"/>
    <w:rsid w:val="00AC0955"/>
    <w:rsid w:val="00AC14EC"/>
    <w:rsid w:val="00AC2B40"/>
    <w:rsid w:val="00AC2BB2"/>
    <w:rsid w:val="00AC2C3C"/>
    <w:rsid w:val="00AC42BF"/>
    <w:rsid w:val="00AC4C95"/>
    <w:rsid w:val="00AC512D"/>
    <w:rsid w:val="00AC5C4D"/>
    <w:rsid w:val="00AC60C6"/>
    <w:rsid w:val="00AC6D4F"/>
    <w:rsid w:val="00AC7FE9"/>
    <w:rsid w:val="00AD0083"/>
    <w:rsid w:val="00AD101D"/>
    <w:rsid w:val="00AD21CC"/>
    <w:rsid w:val="00AD3935"/>
    <w:rsid w:val="00AD6D6C"/>
    <w:rsid w:val="00AD79F3"/>
    <w:rsid w:val="00AE0573"/>
    <w:rsid w:val="00AE0EB7"/>
    <w:rsid w:val="00AE1B60"/>
    <w:rsid w:val="00AE4399"/>
    <w:rsid w:val="00AE53B3"/>
    <w:rsid w:val="00AE65EB"/>
    <w:rsid w:val="00AE67A7"/>
    <w:rsid w:val="00AE770A"/>
    <w:rsid w:val="00AF0D5F"/>
    <w:rsid w:val="00AF1AFD"/>
    <w:rsid w:val="00AF1D94"/>
    <w:rsid w:val="00AF252B"/>
    <w:rsid w:val="00AF49AD"/>
    <w:rsid w:val="00AF52CA"/>
    <w:rsid w:val="00AF5B59"/>
    <w:rsid w:val="00AF60C5"/>
    <w:rsid w:val="00AF714B"/>
    <w:rsid w:val="00AF7D8C"/>
    <w:rsid w:val="00B009C6"/>
    <w:rsid w:val="00B01193"/>
    <w:rsid w:val="00B01548"/>
    <w:rsid w:val="00B02F35"/>
    <w:rsid w:val="00B035F4"/>
    <w:rsid w:val="00B047F6"/>
    <w:rsid w:val="00B04BB6"/>
    <w:rsid w:val="00B04BDC"/>
    <w:rsid w:val="00B04C80"/>
    <w:rsid w:val="00B0599B"/>
    <w:rsid w:val="00B05DB3"/>
    <w:rsid w:val="00B0710D"/>
    <w:rsid w:val="00B07C14"/>
    <w:rsid w:val="00B105C0"/>
    <w:rsid w:val="00B10C3C"/>
    <w:rsid w:val="00B123DB"/>
    <w:rsid w:val="00B12614"/>
    <w:rsid w:val="00B130C5"/>
    <w:rsid w:val="00B13186"/>
    <w:rsid w:val="00B13EBD"/>
    <w:rsid w:val="00B152B2"/>
    <w:rsid w:val="00B15C33"/>
    <w:rsid w:val="00B15DE1"/>
    <w:rsid w:val="00B1659A"/>
    <w:rsid w:val="00B165DA"/>
    <w:rsid w:val="00B17204"/>
    <w:rsid w:val="00B21D29"/>
    <w:rsid w:val="00B22025"/>
    <w:rsid w:val="00B221D3"/>
    <w:rsid w:val="00B24914"/>
    <w:rsid w:val="00B25034"/>
    <w:rsid w:val="00B25441"/>
    <w:rsid w:val="00B273CE"/>
    <w:rsid w:val="00B31DC4"/>
    <w:rsid w:val="00B33588"/>
    <w:rsid w:val="00B33863"/>
    <w:rsid w:val="00B339F7"/>
    <w:rsid w:val="00B33F9A"/>
    <w:rsid w:val="00B349EA"/>
    <w:rsid w:val="00B34A67"/>
    <w:rsid w:val="00B34FDB"/>
    <w:rsid w:val="00B358A7"/>
    <w:rsid w:val="00B36413"/>
    <w:rsid w:val="00B36518"/>
    <w:rsid w:val="00B371F2"/>
    <w:rsid w:val="00B37D17"/>
    <w:rsid w:val="00B40F38"/>
    <w:rsid w:val="00B4175E"/>
    <w:rsid w:val="00B41C85"/>
    <w:rsid w:val="00B452CE"/>
    <w:rsid w:val="00B4591E"/>
    <w:rsid w:val="00B466A9"/>
    <w:rsid w:val="00B5115D"/>
    <w:rsid w:val="00B5285B"/>
    <w:rsid w:val="00B54A74"/>
    <w:rsid w:val="00B54C25"/>
    <w:rsid w:val="00B54F94"/>
    <w:rsid w:val="00B56641"/>
    <w:rsid w:val="00B56ADF"/>
    <w:rsid w:val="00B61FDC"/>
    <w:rsid w:val="00B6371D"/>
    <w:rsid w:val="00B700D7"/>
    <w:rsid w:val="00B717CE"/>
    <w:rsid w:val="00B73724"/>
    <w:rsid w:val="00B73E1D"/>
    <w:rsid w:val="00B749BA"/>
    <w:rsid w:val="00B758A4"/>
    <w:rsid w:val="00B75F68"/>
    <w:rsid w:val="00B76B91"/>
    <w:rsid w:val="00B77514"/>
    <w:rsid w:val="00B77EB1"/>
    <w:rsid w:val="00B811C6"/>
    <w:rsid w:val="00B8155A"/>
    <w:rsid w:val="00B81DE9"/>
    <w:rsid w:val="00B82D0A"/>
    <w:rsid w:val="00B8380B"/>
    <w:rsid w:val="00B83AF9"/>
    <w:rsid w:val="00B8413F"/>
    <w:rsid w:val="00B848A3"/>
    <w:rsid w:val="00B855B0"/>
    <w:rsid w:val="00B90C21"/>
    <w:rsid w:val="00B90FD2"/>
    <w:rsid w:val="00B91560"/>
    <w:rsid w:val="00B91AF3"/>
    <w:rsid w:val="00B92E08"/>
    <w:rsid w:val="00B94F9B"/>
    <w:rsid w:val="00B95AB5"/>
    <w:rsid w:val="00BA0A58"/>
    <w:rsid w:val="00BA15E6"/>
    <w:rsid w:val="00BA17E5"/>
    <w:rsid w:val="00BA1A4D"/>
    <w:rsid w:val="00BA3A22"/>
    <w:rsid w:val="00BA45AA"/>
    <w:rsid w:val="00BA6474"/>
    <w:rsid w:val="00BB2AC7"/>
    <w:rsid w:val="00BB4B6A"/>
    <w:rsid w:val="00BB6643"/>
    <w:rsid w:val="00BC0F2D"/>
    <w:rsid w:val="00BC18C6"/>
    <w:rsid w:val="00BC18CA"/>
    <w:rsid w:val="00BC1C76"/>
    <w:rsid w:val="00BC2161"/>
    <w:rsid w:val="00BC2744"/>
    <w:rsid w:val="00BC48F9"/>
    <w:rsid w:val="00BC49AF"/>
    <w:rsid w:val="00BC5895"/>
    <w:rsid w:val="00BC622A"/>
    <w:rsid w:val="00BC69F3"/>
    <w:rsid w:val="00BC732F"/>
    <w:rsid w:val="00BC7981"/>
    <w:rsid w:val="00BD0DC4"/>
    <w:rsid w:val="00BD188D"/>
    <w:rsid w:val="00BD193A"/>
    <w:rsid w:val="00BD392C"/>
    <w:rsid w:val="00BD41D3"/>
    <w:rsid w:val="00BD44E5"/>
    <w:rsid w:val="00BD5B17"/>
    <w:rsid w:val="00BD654D"/>
    <w:rsid w:val="00BE0A78"/>
    <w:rsid w:val="00BE1F29"/>
    <w:rsid w:val="00BE2F94"/>
    <w:rsid w:val="00BE4A84"/>
    <w:rsid w:val="00BE640F"/>
    <w:rsid w:val="00BE67BB"/>
    <w:rsid w:val="00BE79F0"/>
    <w:rsid w:val="00BF046D"/>
    <w:rsid w:val="00BF0D76"/>
    <w:rsid w:val="00BF1190"/>
    <w:rsid w:val="00BF3181"/>
    <w:rsid w:val="00BF3774"/>
    <w:rsid w:val="00BF47C0"/>
    <w:rsid w:val="00BF4BE4"/>
    <w:rsid w:val="00BF5C13"/>
    <w:rsid w:val="00BF5D04"/>
    <w:rsid w:val="00BF5FC2"/>
    <w:rsid w:val="00BF6631"/>
    <w:rsid w:val="00BF6A61"/>
    <w:rsid w:val="00BF6AA0"/>
    <w:rsid w:val="00BF6C42"/>
    <w:rsid w:val="00BF7879"/>
    <w:rsid w:val="00C0007A"/>
    <w:rsid w:val="00C009AA"/>
    <w:rsid w:val="00C00C4F"/>
    <w:rsid w:val="00C02BDB"/>
    <w:rsid w:val="00C04820"/>
    <w:rsid w:val="00C04D8F"/>
    <w:rsid w:val="00C10A79"/>
    <w:rsid w:val="00C1164D"/>
    <w:rsid w:val="00C1188F"/>
    <w:rsid w:val="00C11AB1"/>
    <w:rsid w:val="00C11FEF"/>
    <w:rsid w:val="00C12117"/>
    <w:rsid w:val="00C12A68"/>
    <w:rsid w:val="00C13BAA"/>
    <w:rsid w:val="00C147A9"/>
    <w:rsid w:val="00C14BEF"/>
    <w:rsid w:val="00C152BC"/>
    <w:rsid w:val="00C15C4A"/>
    <w:rsid w:val="00C16861"/>
    <w:rsid w:val="00C21886"/>
    <w:rsid w:val="00C22725"/>
    <w:rsid w:val="00C24E4D"/>
    <w:rsid w:val="00C25F49"/>
    <w:rsid w:val="00C31B1B"/>
    <w:rsid w:val="00C338FD"/>
    <w:rsid w:val="00C33937"/>
    <w:rsid w:val="00C339DC"/>
    <w:rsid w:val="00C33CA6"/>
    <w:rsid w:val="00C33EEE"/>
    <w:rsid w:val="00C346AB"/>
    <w:rsid w:val="00C35101"/>
    <w:rsid w:val="00C36CB6"/>
    <w:rsid w:val="00C404A6"/>
    <w:rsid w:val="00C4057B"/>
    <w:rsid w:val="00C40749"/>
    <w:rsid w:val="00C40A36"/>
    <w:rsid w:val="00C417C3"/>
    <w:rsid w:val="00C42923"/>
    <w:rsid w:val="00C44419"/>
    <w:rsid w:val="00C45E7B"/>
    <w:rsid w:val="00C46932"/>
    <w:rsid w:val="00C471B1"/>
    <w:rsid w:val="00C47806"/>
    <w:rsid w:val="00C5060F"/>
    <w:rsid w:val="00C50F92"/>
    <w:rsid w:val="00C525A2"/>
    <w:rsid w:val="00C52BF7"/>
    <w:rsid w:val="00C52CB6"/>
    <w:rsid w:val="00C52D47"/>
    <w:rsid w:val="00C52E24"/>
    <w:rsid w:val="00C55A3B"/>
    <w:rsid w:val="00C55AF2"/>
    <w:rsid w:val="00C61393"/>
    <w:rsid w:val="00C618FE"/>
    <w:rsid w:val="00C618FF"/>
    <w:rsid w:val="00C6214F"/>
    <w:rsid w:val="00C6316B"/>
    <w:rsid w:val="00C634A9"/>
    <w:rsid w:val="00C64586"/>
    <w:rsid w:val="00C6597C"/>
    <w:rsid w:val="00C66C5F"/>
    <w:rsid w:val="00C670E8"/>
    <w:rsid w:val="00C70A36"/>
    <w:rsid w:val="00C70D53"/>
    <w:rsid w:val="00C70D56"/>
    <w:rsid w:val="00C70FD6"/>
    <w:rsid w:val="00C725CF"/>
    <w:rsid w:val="00C73D0B"/>
    <w:rsid w:val="00C74F5C"/>
    <w:rsid w:val="00C77190"/>
    <w:rsid w:val="00C772FF"/>
    <w:rsid w:val="00C80137"/>
    <w:rsid w:val="00C801AF"/>
    <w:rsid w:val="00C80256"/>
    <w:rsid w:val="00C81526"/>
    <w:rsid w:val="00C818D7"/>
    <w:rsid w:val="00C81E2F"/>
    <w:rsid w:val="00C8250E"/>
    <w:rsid w:val="00C82C14"/>
    <w:rsid w:val="00C85069"/>
    <w:rsid w:val="00C856D5"/>
    <w:rsid w:val="00C85935"/>
    <w:rsid w:val="00C863FB"/>
    <w:rsid w:val="00C867CB"/>
    <w:rsid w:val="00C93320"/>
    <w:rsid w:val="00C93C61"/>
    <w:rsid w:val="00C93FFB"/>
    <w:rsid w:val="00C943E9"/>
    <w:rsid w:val="00C94CD4"/>
    <w:rsid w:val="00C96BF2"/>
    <w:rsid w:val="00C9747E"/>
    <w:rsid w:val="00CA1010"/>
    <w:rsid w:val="00CA2A5A"/>
    <w:rsid w:val="00CA3364"/>
    <w:rsid w:val="00CA715F"/>
    <w:rsid w:val="00CB22B1"/>
    <w:rsid w:val="00CB36EC"/>
    <w:rsid w:val="00CB58B2"/>
    <w:rsid w:val="00CB6759"/>
    <w:rsid w:val="00CB6BC0"/>
    <w:rsid w:val="00CC01DB"/>
    <w:rsid w:val="00CC0391"/>
    <w:rsid w:val="00CC0C7A"/>
    <w:rsid w:val="00CC0CFF"/>
    <w:rsid w:val="00CC13E0"/>
    <w:rsid w:val="00CC1B7C"/>
    <w:rsid w:val="00CC2C8F"/>
    <w:rsid w:val="00CC2F0A"/>
    <w:rsid w:val="00CC3660"/>
    <w:rsid w:val="00CC3AC1"/>
    <w:rsid w:val="00CC4AD8"/>
    <w:rsid w:val="00CC727F"/>
    <w:rsid w:val="00CC72C9"/>
    <w:rsid w:val="00CC7996"/>
    <w:rsid w:val="00CC7F62"/>
    <w:rsid w:val="00CD0F74"/>
    <w:rsid w:val="00CD186D"/>
    <w:rsid w:val="00CD2627"/>
    <w:rsid w:val="00CD7210"/>
    <w:rsid w:val="00CE01F3"/>
    <w:rsid w:val="00CE3A58"/>
    <w:rsid w:val="00CE571D"/>
    <w:rsid w:val="00CE5A48"/>
    <w:rsid w:val="00CF15C3"/>
    <w:rsid w:val="00CF2B6F"/>
    <w:rsid w:val="00CF2F3E"/>
    <w:rsid w:val="00CF36CE"/>
    <w:rsid w:val="00CF3D36"/>
    <w:rsid w:val="00CF43C7"/>
    <w:rsid w:val="00CF4FDC"/>
    <w:rsid w:val="00CF58B6"/>
    <w:rsid w:val="00CF5DAD"/>
    <w:rsid w:val="00D00105"/>
    <w:rsid w:val="00D00236"/>
    <w:rsid w:val="00D0062D"/>
    <w:rsid w:val="00D00C5F"/>
    <w:rsid w:val="00D017ED"/>
    <w:rsid w:val="00D01DCC"/>
    <w:rsid w:val="00D028CA"/>
    <w:rsid w:val="00D040D3"/>
    <w:rsid w:val="00D04C65"/>
    <w:rsid w:val="00D07501"/>
    <w:rsid w:val="00D10244"/>
    <w:rsid w:val="00D10353"/>
    <w:rsid w:val="00D11E74"/>
    <w:rsid w:val="00D12EED"/>
    <w:rsid w:val="00D153D8"/>
    <w:rsid w:val="00D201D2"/>
    <w:rsid w:val="00D21B70"/>
    <w:rsid w:val="00D21F49"/>
    <w:rsid w:val="00D224FE"/>
    <w:rsid w:val="00D2274D"/>
    <w:rsid w:val="00D23139"/>
    <w:rsid w:val="00D26EAA"/>
    <w:rsid w:val="00D27CB8"/>
    <w:rsid w:val="00D310BF"/>
    <w:rsid w:val="00D31220"/>
    <w:rsid w:val="00D313ED"/>
    <w:rsid w:val="00D344C9"/>
    <w:rsid w:val="00D35A6C"/>
    <w:rsid w:val="00D36956"/>
    <w:rsid w:val="00D401C2"/>
    <w:rsid w:val="00D40948"/>
    <w:rsid w:val="00D42157"/>
    <w:rsid w:val="00D425BB"/>
    <w:rsid w:val="00D44CF7"/>
    <w:rsid w:val="00D4524C"/>
    <w:rsid w:val="00D453FA"/>
    <w:rsid w:val="00D46E14"/>
    <w:rsid w:val="00D4706F"/>
    <w:rsid w:val="00D506B7"/>
    <w:rsid w:val="00D50DA5"/>
    <w:rsid w:val="00D50DB6"/>
    <w:rsid w:val="00D5150E"/>
    <w:rsid w:val="00D531E5"/>
    <w:rsid w:val="00D53B69"/>
    <w:rsid w:val="00D56696"/>
    <w:rsid w:val="00D56757"/>
    <w:rsid w:val="00D5675D"/>
    <w:rsid w:val="00D56A25"/>
    <w:rsid w:val="00D57B0C"/>
    <w:rsid w:val="00D60F9A"/>
    <w:rsid w:val="00D623A2"/>
    <w:rsid w:val="00D623B0"/>
    <w:rsid w:val="00D6268D"/>
    <w:rsid w:val="00D6493E"/>
    <w:rsid w:val="00D6647A"/>
    <w:rsid w:val="00D7099E"/>
    <w:rsid w:val="00D713EE"/>
    <w:rsid w:val="00D7195D"/>
    <w:rsid w:val="00D720FE"/>
    <w:rsid w:val="00D7301E"/>
    <w:rsid w:val="00D73300"/>
    <w:rsid w:val="00D74DB3"/>
    <w:rsid w:val="00D7566E"/>
    <w:rsid w:val="00D760AE"/>
    <w:rsid w:val="00D77876"/>
    <w:rsid w:val="00D802F3"/>
    <w:rsid w:val="00D804C0"/>
    <w:rsid w:val="00D829DD"/>
    <w:rsid w:val="00D83AE1"/>
    <w:rsid w:val="00D846F8"/>
    <w:rsid w:val="00D84915"/>
    <w:rsid w:val="00D855D4"/>
    <w:rsid w:val="00D85BC2"/>
    <w:rsid w:val="00D85E96"/>
    <w:rsid w:val="00D8667A"/>
    <w:rsid w:val="00D87426"/>
    <w:rsid w:val="00D902C9"/>
    <w:rsid w:val="00D93466"/>
    <w:rsid w:val="00D958BD"/>
    <w:rsid w:val="00D96E04"/>
    <w:rsid w:val="00DA0193"/>
    <w:rsid w:val="00DA1124"/>
    <w:rsid w:val="00DA3478"/>
    <w:rsid w:val="00DA414A"/>
    <w:rsid w:val="00DA470A"/>
    <w:rsid w:val="00DA4E50"/>
    <w:rsid w:val="00DA64CB"/>
    <w:rsid w:val="00DA65AA"/>
    <w:rsid w:val="00DA6DED"/>
    <w:rsid w:val="00DB0457"/>
    <w:rsid w:val="00DB06B8"/>
    <w:rsid w:val="00DB1D33"/>
    <w:rsid w:val="00DB33F2"/>
    <w:rsid w:val="00DB36C2"/>
    <w:rsid w:val="00DB3D61"/>
    <w:rsid w:val="00DB4F12"/>
    <w:rsid w:val="00DB5A77"/>
    <w:rsid w:val="00DB6124"/>
    <w:rsid w:val="00DB695E"/>
    <w:rsid w:val="00DB6F9F"/>
    <w:rsid w:val="00DB750B"/>
    <w:rsid w:val="00DB75B7"/>
    <w:rsid w:val="00DC00A2"/>
    <w:rsid w:val="00DC00E8"/>
    <w:rsid w:val="00DC03B8"/>
    <w:rsid w:val="00DC0A2F"/>
    <w:rsid w:val="00DC1855"/>
    <w:rsid w:val="00DC1948"/>
    <w:rsid w:val="00DC32F0"/>
    <w:rsid w:val="00DC42C3"/>
    <w:rsid w:val="00DC4EE4"/>
    <w:rsid w:val="00DC6714"/>
    <w:rsid w:val="00DC6E02"/>
    <w:rsid w:val="00DC7B30"/>
    <w:rsid w:val="00DC7C22"/>
    <w:rsid w:val="00DD02C3"/>
    <w:rsid w:val="00DD0D2C"/>
    <w:rsid w:val="00DD1F0D"/>
    <w:rsid w:val="00DD28CD"/>
    <w:rsid w:val="00DD2ABD"/>
    <w:rsid w:val="00DD4FCF"/>
    <w:rsid w:val="00DD5F61"/>
    <w:rsid w:val="00DD7C48"/>
    <w:rsid w:val="00DE02AE"/>
    <w:rsid w:val="00DE10CB"/>
    <w:rsid w:val="00DE1861"/>
    <w:rsid w:val="00DE1F1C"/>
    <w:rsid w:val="00DE2E01"/>
    <w:rsid w:val="00DE39D1"/>
    <w:rsid w:val="00DE3F79"/>
    <w:rsid w:val="00DE43A3"/>
    <w:rsid w:val="00DE48C4"/>
    <w:rsid w:val="00DE7401"/>
    <w:rsid w:val="00DE7F03"/>
    <w:rsid w:val="00DF18B1"/>
    <w:rsid w:val="00DF1D7F"/>
    <w:rsid w:val="00DF232A"/>
    <w:rsid w:val="00DF4BE4"/>
    <w:rsid w:val="00DF689F"/>
    <w:rsid w:val="00E006CC"/>
    <w:rsid w:val="00E0150B"/>
    <w:rsid w:val="00E02382"/>
    <w:rsid w:val="00E02FB4"/>
    <w:rsid w:val="00E04724"/>
    <w:rsid w:val="00E05802"/>
    <w:rsid w:val="00E05DBB"/>
    <w:rsid w:val="00E05F5C"/>
    <w:rsid w:val="00E063F7"/>
    <w:rsid w:val="00E10714"/>
    <w:rsid w:val="00E10A1F"/>
    <w:rsid w:val="00E11439"/>
    <w:rsid w:val="00E12215"/>
    <w:rsid w:val="00E1295F"/>
    <w:rsid w:val="00E133E9"/>
    <w:rsid w:val="00E13FC7"/>
    <w:rsid w:val="00E16424"/>
    <w:rsid w:val="00E16B25"/>
    <w:rsid w:val="00E172FF"/>
    <w:rsid w:val="00E17645"/>
    <w:rsid w:val="00E20571"/>
    <w:rsid w:val="00E2072F"/>
    <w:rsid w:val="00E235F7"/>
    <w:rsid w:val="00E23659"/>
    <w:rsid w:val="00E239D4"/>
    <w:rsid w:val="00E23BCF"/>
    <w:rsid w:val="00E26130"/>
    <w:rsid w:val="00E27354"/>
    <w:rsid w:val="00E27806"/>
    <w:rsid w:val="00E27F1F"/>
    <w:rsid w:val="00E326C2"/>
    <w:rsid w:val="00E32C17"/>
    <w:rsid w:val="00E33D42"/>
    <w:rsid w:val="00E33E8F"/>
    <w:rsid w:val="00E33FF9"/>
    <w:rsid w:val="00E343F9"/>
    <w:rsid w:val="00E34660"/>
    <w:rsid w:val="00E36906"/>
    <w:rsid w:val="00E3736C"/>
    <w:rsid w:val="00E40640"/>
    <w:rsid w:val="00E40B22"/>
    <w:rsid w:val="00E42BD5"/>
    <w:rsid w:val="00E44ED1"/>
    <w:rsid w:val="00E45619"/>
    <w:rsid w:val="00E4588F"/>
    <w:rsid w:val="00E45991"/>
    <w:rsid w:val="00E46B1E"/>
    <w:rsid w:val="00E46DA3"/>
    <w:rsid w:val="00E5043C"/>
    <w:rsid w:val="00E50C7C"/>
    <w:rsid w:val="00E514BB"/>
    <w:rsid w:val="00E51850"/>
    <w:rsid w:val="00E51BB1"/>
    <w:rsid w:val="00E53EBB"/>
    <w:rsid w:val="00E55640"/>
    <w:rsid w:val="00E559BA"/>
    <w:rsid w:val="00E55CB0"/>
    <w:rsid w:val="00E56A01"/>
    <w:rsid w:val="00E56CEB"/>
    <w:rsid w:val="00E60969"/>
    <w:rsid w:val="00E61F47"/>
    <w:rsid w:val="00E624A5"/>
    <w:rsid w:val="00E625E7"/>
    <w:rsid w:val="00E62AFE"/>
    <w:rsid w:val="00E6369E"/>
    <w:rsid w:val="00E64995"/>
    <w:rsid w:val="00E64BA4"/>
    <w:rsid w:val="00E67601"/>
    <w:rsid w:val="00E709EF"/>
    <w:rsid w:val="00E7100A"/>
    <w:rsid w:val="00E7234B"/>
    <w:rsid w:val="00E72B06"/>
    <w:rsid w:val="00E72D7B"/>
    <w:rsid w:val="00E7344E"/>
    <w:rsid w:val="00E7361C"/>
    <w:rsid w:val="00E73E32"/>
    <w:rsid w:val="00E75A4E"/>
    <w:rsid w:val="00E75D74"/>
    <w:rsid w:val="00E76BC7"/>
    <w:rsid w:val="00E8182D"/>
    <w:rsid w:val="00E82665"/>
    <w:rsid w:val="00E84CF5"/>
    <w:rsid w:val="00E86C77"/>
    <w:rsid w:val="00E91677"/>
    <w:rsid w:val="00E91DAF"/>
    <w:rsid w:val="00E93D84"/>
    <w:rsid w:val="00E9546A"/>
    <w:rsid w:val="00E9726D"/>
    <w:rsid w:val="00E97DE9"/>
    <w:rsid w:val="00E97F33"/>
    <w:rsid w:val="00EA196B"/>
    <w:rsid w:val="00EA1CB3"/>
    <w:rsid w:val="00EA33EC"/>
    <w:rsid w:val="00EA4A03"/>
    <w:rsid w:val="00EA5278"/>
    <w:rsid w:val="00EA6815"/>
    <w:rsid w:val="00EA6E38"/>
    <w:rsid w:val="00EA743D"/>
    <w:rsid w:val="00EA7BCB"/>
    <w:rsid w:val="00EB00EE"/>
    <w:rsid w:val="00EB0798"/>
    <w:rsid w:val="00EB40AD"/>
    <w:rsid w:val="00EB4E05"/>
    <w:rsid w:val="00EB586E"/>
    <w:rsid w:val="00EB5FC8"/>
    <w:rsid w:val="00EB672F"/>
    <w:rsid w:val="00EB79EA"/>
    <w:rsid w:val="00EC0B84"/>
    <w:rsid w:val="00EC2755"/>
    <w:rsid w:val="00EC4117"/>
    <w:rsid w:val="00EC463D"/>
    <w:rsid w:val="00EC5002"/>
    <w:rsid w:val="00EC54B3"/>
    <w:rsid w:val="00EC690B"/>
    <w:rsid w:val="00EC721F"/>
    <w:rsid w:val="00EC7A85"/>
    <w:rsid w:val="00ED0EB6"/>
    <w:rsid w:val="00ED2436"/>
    <w:rsid w:val="00ED2922"/>
    <w:rsid w:val="00ED311C"/>
    <w:rsid w:val="00ED3C07"/>
    <w:rsid w:val="00ED3CAD"/>
    <w:rsid w:val="00ED3F27"/>
    <w:rsid w:val="00ED4C4F"/>
    <w:rsid w:val="00ED57AE"/>
    <w:rsid w:val="00ED5A41"/>
    <w:rsid w:val="00ED5C20"/>
    <w:rsid w:val="00ED66DB"/>
    <w:rsid w:val="00ED6772"/>
    <w:rsid w:val="00ED6D64"/>
    <w:rsid w:val="00EE02B9"/>
    <w:rsid w:val="00EE0C6D"/>
    <w:rsid w:val="00EE1DE8"/>
    <w:rsid w:val="00EE27C2"/>
    <w:rsid w:val="00EE41D1"/>
    <w:rsid w:val="00EE4631"/>
    <w:rsid w:val="00EE7E2A"/>
    <w:rsid w:val="00EF0D37"/>
    <w:rsid w:val="00EF3F2A"/>
    <w:rsid w:val="00EF4BAD"/>
    <w:rsid w:val="00EF556C"/>
    <w:rsid w:val="00EF59DC"/>
    <w:rsid w:val="00EF610C"/>
    <w:rsid w:val="00EF6F75"/>
    <w:rsid w:val="00EF7132"/>
    <w:rsid w:val="00EF7424"/>
    <w:rsid w:val="00F00F63"/>
    <w:rsid w:val="00F01943"/>
    <w:rsid w:val="00F032F7"/>
    <w:rsid w:val="00F033EC"/>
    <w:rsid w:val="00F03DD5"/>
    <w:rsid w:val="00F049BA"/>
    <w:rsid w:val="00F04F68"/>
    <w:rsid w:val="00F06949"/>
    <w:rsid w:val="00F07DEE"/>
    <w:rsid w:val="00F07E37"/>
    <w:rsid w:val="00F07F8C"/>
    <w:rsid w:val="00F102D3"/>
    <w:rsid w:val="00F10D1B"/>
    <w:rsid w:val="00F12670"/>
    <w:rsid w:val="00F1279D"/>
    <w:rsid w:val="00F130A3"/>
    <w:rsid w:val="00F146BA"/>
    <w:rsid w:val="00F14B27"/>
    <w:rsid w:val="00F14E5D"/>
    <w:rsid w:val="00F203EE"/>
    <w:rsid w:val="00F22353"/>
    <w:rsid w:val="00F23861"/>
    <w:rsid w:val="00F23ACF"/>
    <w:rsid w:val="00F249D7"/>
    <w:rsid w:val="00F249E0"/>
    <w:rsid w:val="00F266C6"/>
    <w:rsid w:val="00F278B0"/>
    <w:rsid w:val="00F30CD8"/>
    <w:rsid w:val="00F3148D"/>
    <w:rsid w:val="00F325C5"/>
    <w:rsid w:val="00F32FE0"/>
    <w:rsid w:val="00F34475"/>
    <w:rsid w:val="00F351EE"/>
    <w:rsid w:val="00F35227"/>
    <w:rsid w:val="00F35298"/>
    <w:rsid w:val="00F35395"/>
    <w:rsid w:val="00F35AE1"/>
    <w:rsid w:val="00F36074"/>
    <w:rsid w:val="00F3682E"/>
    <w:rsid w:val="00F406EA"/>
    <w:rsid w:val="00F40B70"/>
    <w:rsid w:val="00F40B89"/>
    <w:rsid w:val="00F430D4"/>
    <w:rsid w:val="00F45233"/>
    <w:rsid w:val="00F4607D"/>
    <w:rsid w:val="00F46EB7"/>
    <w:rsid w:val="00F47333"/>
    <w:rsid w:val="00F47414"/>
    <w:rsid w:val="00F47E37"/>
    <w:rsid w:val="00F513FE"/>
    <w:rsid w:val="00F52F6F"/>
    <w:rsid w:val="00F53048"/>
    <w:rsid w:val="00F537DC"/>
    <w:rsid w:val="00F53ADF"/>
    <w:rsid w:val="00F53C07"/>
    <w:rsid w:val="00F54B65"/>
    <w:rsid w:val="00F54D6C"/>
    <w:rsid w:val="00F5501C"/>
    <w:rsid w:val="00F57669"/>
    <w:rsid w:val="00F626C5"/>
    <w:rsid w:val="00F63DBF"/>
    <w:rsid w:val="00F640B6"/>
    <w:rsid w:val="00F64E54"/>
    <w:rsid w:val="00F65261"/>
    <w:rsid w:val="00F66DF2"/>
    <w:rsid w:val="00F67F56"/>
    <w:rsid w:val="00F70C09"/>
    <w:rsid w:val="00F74129"/>
    <w:rsid w:val="00F75AFB"/>
    <w:rsid w:val="00F760D3"/>
    <w:rsid w:val="00F76397"/>
    <w:rsid w:val="00F768AB"/>
    <w:rsid w:val="00F77693"/>
    <w:rsid w:val="00F776E9"/>
    <w:rsid w:val="00F80820"/>
    <w:rsid w:val="00F80E40"/>
    <w:rsid w:val="00F810AC"/>
    <w:rsid w:val="00F821C5"/>
    <w:rsid w:val="00F848D9"/>
    <w:rsid w:val="00F849EB"/>
    <w:rsid w:val="00F87E31"/>
    <w:rsid w:val="00F91E60"/>
    <w:rsid w:val="00F92F50"/>
    <w:rsid w:val="00F93D3F"/>
    <w:rsid w:val="00F9559F"/>
    <w:rsid w:val="00F95A29"/>
    <w:rsid w:val="00F9789E"/>
    <w:rsid w:val="00FA02F4"/>
    <w:rsid w:val="00FA0D1E"/>
    <w:rsid w:val="00FA1185"/>
    <w:rsid w:val="00FA1C0C"/>
    <w:rsid w:val="00FA4E73"/>
    <w:rsid w:val="00FA5069"/>
    <w:rsid w:val="00FA52D9"/>
    <w:rsid w:val="00FA5445"/>
    <w:rsid w:val="00FA5B82"/>
    <w:rsid w:val="00FA639E"/>
    <w:rsid w:val="00FA7CEA"/>
    <w:rsid w:val="00FB1339"/>
    <w:rsid w:val="00FB160E"/>
    <w:rsid w:val="00FB32B1"/>
    <w:rsid w:val="00FB36EC"/>
    <w:rsid w:val="00FB61B7"/>
    <w:rsid w:val="00FB6950"/>
    <w:rsid w:val="00FB738A"/>
    <w:rsid w:val="00FB739E"/>
    <w:rsid w:val="00FB7EEC"/>
    <w:rsid w:val="00FB7F25"/>
    <w:rsid w:val="00FC1FCA"/>
    <w:rsid w:val="00FC25E4"/>
    <w:rsid w:val="00FC270B"/>
    <w:rsid w:val="00FC336F"/>
    <w:rsid w:val="00FC42F7"/>
    <w:rsid w:val="00FC4EF7"/>
    <w:rsid w:val="00FC5064"/>
    <w:rsid w:val="00FC7B98"/>
    <w:rsid w:val="00FD0824"/>
    <w:rsid w:val="00FD10FA"/>
    <w:rsid w:val="00FD119B"/>
    <w:rsid w:val="00FD1C7E"/>
    <w:rsid w:val="00FD1EDC"/>
    <w:rsid w:val="00FD32AB"/>
    <w:rsid w:val="00FD5A9B"/>
    <w:rsid w:val="00FD5CAF"/>
    <w:rsid w:val="00FD65FB"/>
    <w:rsid w:val="00FD679B"/>
    <w:rsid w:val="00FD7C42"/>
    <w:rsid w:val="00FE0A7A"/>
    <w:rsid w:val="00FE0D42"/>
    <w:rsid w:val="00FE1DEE"/>
    <w:rsid w:val="00FE258D"/>
    <w:rsid w:val="00FE452D"/>
    <w:rsid w:val="00FE48DA"/>
    <w:rsid w:val="00FE64E6"/>
    <w:rsid w:val="00FF12DA"/>
    <w:rsid w:val="00FF14FA"/>
    <w:rsid w:val="00FF2126"/>
    <w:rsid w:val="00FF24A5"/>
    <w:rsid w:val="00FF2945"/>
    <w:rsid w:val="00FF301E"/>
    <w:rsid w:val="00FF3327"/>
    <w:rsid w:val="00FF3A17"/>
    <w:rsid w:val="00FF55C2"/>
    <w:rsid w:val="00FF5755"/>
    <w:rsid w:val="00FF69BE"/>
    <w:rsid w:val="00FF7B93"/>
    <w:rsid w:val="012F928C"/>
    <w:rsid w:val="0174FFBE"/>
    <w:rsid w:val="020FE638"/>
    <w:rsid w:val="02224F1D"/>
    <w:rsid w:val="0266D482"/>
    <w:rsid w:val="02F36B0B"/>
    <w:rsid w:val="030CD6EF"/>
    <w:rsid w:val="031792CA"/>
    <w:rsid w:val="031A2FF0"/>
    <w:rsid w:val="03713AB4"/>
    <w:rsid w:val="03873AE8"/>
    <w:rsid w:val="03886C84"/>
    <w:rsid w:val="03ADC4B2"/>
    <w:rsid w:val="03C334CB"/>
    <w:rsid w:val="03E5067B"/>
    <w:rsid w:val="0431A219"/>
    <w:rsid w:val="044CE10A"/>
    <w:rsid w:val="0464FC6D"/>
    <w:rsid w:val="048D68C3"/>
    <w:rsid w:val="0492478A"/>
    <w:rsid w:val="04D640ED"/>
    <w:rsid w:val="04DA7E30"/>
    <w:rsid w:val="04E3E169"/>
    <w:rsid w:val="04F64DEE"/>
    <w:rsid w:val="05716290"/>
    <w:rsid w:val="0576F822"/>
    <w:rsid w:val="058C4050"/>
    <w:rsid w:val="05A37D22"/>
    <w:rsid w:val="05A6D721"/>
    <w:rsid w:val="0601ABA6"/>
    <w:rsid w:val="06481B61"/>
    <w:rsid w:val="06EF43D3"/>
    <w:rsid w:val="0700AE68"/>
    <w:rsid w:val="071CD749"/>
    <w:rsid w:val="082A45D5"/>
    <w:rsid w:val="08370135"/>
    <w:rsid w:val="083D0B04"/>
    <w:rsid w:val="08574357"/>
    <w:rsid w:val="08748110"/>
    <w:rsid w:val="08ACFC0A"/>
    <w:rsid w:val="08B1080C"/>
    <w:rsid w:val="08BBFEEE"/>
    <w:rsid w:val="08CE4A3E"/>
    <w:rsid w:val="08EFD3C0"/>
    <w:rsid w:val="08FBEC2E"/>
    <w:rsid w:val="090D56A1"/>
    <w:rsid w:val="092058B7"/>
    <w:rsid w:val="096679DC"/>
    <w:rsid w:val="09E8A996"/>
    <w:rsid w:val="0A09A4E9"/>
    <w:rsid w:val="0A2D2249"/>
    <w:rsid w:val="0A3D772C"/>
    <w:rsid w:val="0A552E8B"/>
    <w:rsid w:val="0A902675"/>
    <w:rsid w:val="0B0880AD"/>
    <w:rsid w:val="0B110A97"/>
    <w:rsid w:val="0B25BDCC"/>
    <w:rsid w:val="0B3443C5"/>
    <w:rsid w:val="0B84DB82"/>
    <w:rsid w:val="0BB90BBA"/>
    <w:rsid w:val="0BFFB723"/>
    <w:rsid w:val="0C75C670"/>
    <w:rsid w:val="0C81F70B"/>
    <w:rsid w:val="0C8D167D"/>
    <w:rsid w:val="0CAAAC60"/>
    <w:rsid w:val="0CEC177A"/>
    <w:rsid w:val="0D14F4E6"/>
    <w:rsid w:val="0D5E25A9"/>
    <w:rsid w:val="0D5FBE2A"/>
    <w:rsid w:val="0DBEB794"/>
    <w:rsid w:val="0E90979F"/>
    <w:rsid w:val="0EC31E7E"/>
    <w:rsid w:val="0EC3C361"/>
    <w:rsid w:val="0EFB0F59"/>
    <w:rsid w:val="0F5D3744"/>
    <w:rsid w:val="0FEBAA23"/>
    <w:rsid w:val="101DEF4A"/>
    <w:rsid w:val="102BF906"/>
    <w:rsid w:val="1062D986"/>
    <w:rsid w:val="1070D345"/>
    <w:rsid w:val="10736558"/>
    <w:rsid w:val="10737028"/>
    <w:rsid w:val="10B59A1F"/>
    <w:rsid w:val="10E7BCB7"/>
    <w:rsid w:val="110195E2"/>
    <w:rsid w:val="1108C21D"/>
    <w:rsid w:val="111D7E31"/>
    <w:rsid w:val="113C125B"/>
    <w:rsid w:val="11624A0A"/>
    <w:rsid w:val="1181DB5B"/>
    <w:rsid w:val="11A4DEC7"/>
    <w:rsid w:val="11B1DB5A"/>
    <w:rsid w:val="123F5E10"/>
    <w:rsid w:val="12624BEF"/>
    <w:rsid w:val="1264AA90"/>
    <w:rsid w:val="12B89CD2"/>
    <w:rsid w:val="12FA9FA9"/>
    <w:rsid w:val="135A7B87"/>
    <w:rsid w:val="13A8057C"/>
    <w:rsid w:val="13B52EFC"/>
    <w:rsid w:val="1415365D"/>
    <w:rsid w:val="145B2BC9"/>
    <w:rsid w:val="145EBBBB"/>
    <w:rsid w:val="14819090"/>
    <w:rsid w:val="14844056"/>
    <w:rsid w:val="14ACB05F"/>
    <w:rsid w:val="14DDB4D9"/>
    <w:rsid w:val="14E853EA"/>
    <w:rsid w:val="14EA2CDC"/>
    <w:rsid w:val="152CA886"/>
    <w:rsid w:val="1589ACE8"/>
    <w:rsid w:val="1599F440"/>
    <w:rsid w:val="15D85D3C"/>
    <w:rsid w:val="160B4785"/>
    <w:rsid w:val="16806145"/>
    <w:rsid w:val="169A892B"/>
    <w:rsid w:val="16DF6FA5"/>
    <w:rsid w:val="16E9EF09"/>
    <w:rsid w:val="16FE536D"/>
    <w:rsid w:val="17351083"/>
    <w:rsid w:val="1797642F"/>
    <w:rsid w:val="17A3DA9B"/>
    <w:rsid w:val="17AF9B05"/>
    <w:rsid w:val="18009DAF"/>
    <w:rsid w:val="18042726"/>
    <w:rsid w:val="18315DF4"/>
    <w:rsid w:val="18701CA9"/>
    <w:rsid w:val="18883CA0"/>
    <w:rsid w:val="18A44A67"/>
    <w:rsid w:val="18C90397"/>
    <w:rsid w:val="1969DF86"/>
    <w:rsid w:val="19E51F2C"/>
    <w:rsid w:val="1A299DA4"/>
    <w:rsid w:val="1A5B7D2C"/>
    <w:rsid w:val="1A8346D6"/>
    <w:rsid w:val="1A8A57C6"/>
    <w:rsid w:val="1AAADF06"/>
    <w:rsid w:val="1AB6601E"/>
    <w:rsid w:val="1AF086BA"/>
    <w:rsid w:val="1B0C7E94"/>
    <w:rsid w:val="1B333852"/>
    <w:rsid w:val="1B4845B5"/>
    <w:rsid w:val="1B6F512F"/>
    <w:rsid w:val="1BB731E3"/>
    <w:rsid w:val="1BD87F18"/>
    <w:rsid w:val="1C13600B"/>
    <w:rsid w:val="1C7BAADA"/>
    <w:rsid w:val="1D111F92"/>
    <w:rsid w:val="1D11F6FC"/>
    <w:rsid w:val="1D2CA19A"/>
    <w:rsid w:val="1D485D62"/>
    <w:rsid w:val="1D4E755C"/>
    <w:rsid w:val="1D550D20"/>
    <w:rsid w:val="1D708B57"/>
    <w:rsid w:val="1D9EA19E"/>
    <w:rsid w:val="1DD17EED"/>
    <w:rsid w:val="1DEBB2D1"/>
    <w:rsid w:val="1E03B753"/>
    <w:rsid w:val="1E6625C5"/>
    <w:rsid w:val="1E7CA89B"/>
    <w:rsid w:val="1EBCDB08"/>
    <w:rsid w:val="1EBFCF8A"/>
    <w:rsid w:val="1F13B0CB"/>
    <w:rsid w:val="1F73FF86"/>
    <w:rsid w:val="1FEE5C11"/>
    <w:rsid w:val="20E98B73"/>
    <w:rsid w:val="20F5A58C"/>
    <w:rsid w:val="21517C41"/>
    <w:rsid w:val="216551AC"/>
    <w:rsid w:val="21969E32"/>
    <w:rsid w:val="21D11265"/>
    <w:rsid w:val="21DC1899"/>
    <w:rsid w:val="222F8D62"/>
    <w:rsid w:val="22304D98"/>
    <w:rsid w:val="2250125A"/>
    <w:rsid w:val="22758B9E"/>
    <w:rsid w:val="22C968C2"/>
    <w:rsid w:val="22DFAB92"/>
    <w:rsid w:val="233AF3CC"/>
    <w:rsid w:val="235C14BB"/>
    <w:rsid w:val="23734020"/>
    <w:rsid w:val="237D36AE"/>
    <w:rsid w:val="23A2061F"/>
    <w:rsid w:val="23AA7C14"/>
    <w:rsid w:val="23B81DA8"/>
    <w:rsid w:val="23EE3B3B"/>
    <w:rsid w:val="23F851D0"/>
    <w:rsid w:val="23FC1C12"/>
    <w:rsid w:val="24181B7F"/>
    <w:rsid w:val="2464A0BE"/>
    <w:rsid w:val="24BFCAC1"/>
    <w:rsid w:val="24F8B2FF"/>
    <w:rsid w:val="25147C0F"/>
    <w:rsid w:val="25C496B5"/>
    <w:rsid w:val="25CDDD8B"/>
    <w:rsid w:val="25E122AE"/>
    <w:rsid w:val="261576EE"/>
    <w:rsid w:val="2663F371"/>
    <w:rsid w:val="26679945"/>
    <w:rsid w:val="26A6A601"/>
    <w:rsid w:val="26CFC11D"/>
    <w:rsid w:val="26DBA1F2"/>
    <w:rsid w:val="2759BEAB"/>
    <w:rsid w:val="27938440"/>
    <w:rsid w:val="283E2F55"/>
    <w:rsid w:val="28536A58"/>
    <w:rsid w:val="28771571"/>
    <w:rsid w:val="288CA799"/>
    <w:rsid w:val="28C108AB"/>
    <w:rsid w:val="28E87032"/>
    <w:rsid w:val="28FFDBE6"/>
    <w:rsid w:val="29089E4D"/>
    <w:rsid w:val="293E11D0"/>
    <w:rsid w:val="29C5A79F"/>
    <w:rsid w:val="29CAD27D"/>
    <w:rsid w:val="29F29011"/>
    <w:rsid w:val="2A5B0191"/>
    <w:rsid w:val="2AC1221F"/>
    <w:rsid w:val="2AC6B9B4"/>
    <w:rsid w:val="2B2DF380"/>
    <w:rsid w:val="2BA170D7"/>
    <w:rsid w:val="2BCE65E6"/>
    <w:rsid w:val="2BEFD25E"/>
    <w:rsid w:val="2C17E6DA"/>
    <w:rsid w:val="2C1A5549"/>
    <w:rsid w:val="2CF0032D"/>
    <w:rsid w:val="2D373DB1"/>
    <w:rsid w:val="2D549B1D"/>
    <w:rsid w:val="2D9F01A2"/>
    <w:rsid w:val="2DA840E6"/>
    <w:rsid w:val="2DBB6DC9"/>
    <w:rsid w:val="2DD6EC9A"/>
    <w:rsid w:val="2E75E2ED"/>
    <w:rsid w:val="2E78E6C8"/>
    <w:rsid w:val="2F2D4B3A"/>
    <w:rsid w:val="2F46ACCD"/>
    <w:rsid w:val="2F5C8812"/>
    <w:rsid w:val="2F83B008"/>
    <w:rsid w:val="30337D74"/>
    <w:rsid w:val="3045F8ED"/>
    <w:rsid w:val="30590D5A"/>
    <w:rsid w:val="30C95289"/>
    <w:rsid w:val="30E9F77D"/>
    <w:rsid w:val="30EBFA0D"/>
    <w:rsid w:val="312F17D6"/>
    <w:rsid w:val="318ECCA7"/>
    <w:rsid w:val="31B485E6"/>
    <w:rsid w:val="31D8E78C"/>
    <w:rsid w:val="32374E4E"/>
    <w:rsid w:val="32D9ABD0"/>
    <w:rsid w:val="334AC284"/>
    <w:rsid w:val="33C2490A"/>
    <w:rsid w:val="33DD6797"/>
    <w:rsid w:val="3505DAEA"/>
    <w:rsid w:val="351546C3"/>
    <w:rsid w:val="351EF5C5"/>
    <w:rsid w:val="359C8782"/>
    <w:rsid w:val="35C9339B"/>
    <w:rsid w:val="35D26ADA"/>
    <w:rsid w:val="35F9D616"/>
    <w:rsid w:val="36A872CB"/>
    <w:rsid w:val="36D6B710"/>
    <w:rsid w:val="36E43BFD"/>
    <w:rsid w:val="36F822B4"/>
    <w:rsid w:val="3729F25A"/>
    <w:rsid w:val="3774F7CC"/>
    <w:rsid w:val="37C8B85C"/>
    <w:rsid w:val="37DBFC9D"/>
    <w:rsid w:val="3827F084"/>
    <w:rsid w:val="38374BBF"/>
    <w:rsid w:val="38535085"/>
    <w:rsid w:val="3868E7F5"/>
    <w:rsid w:val="38A62EC7"/>
    <w:rsid w:val="38A746AF"/>
    <w:rsid w:val="38B2B693"/>
    <w:rsid w:val="38BEAD1B"/>
    <w:rsid w:val="38EA110E"/>
    <w:rsid w:val="39272C85"/>
    <w:rsid w:val="397EF85D"/>
    <w:rsid w:val="3A910C8F"/>
    <w:rsid w:val="3AEDA600"/>
    <w:rsid w:val="3B045D68"/>
    <w:rsid w:val="3B39F935"/>
    <w:rsid w:val="3B604E8F"/>
    <w:rsid w:val="3B81677B"/>
    <w:rsid w:val="3B8C7E63"/>
    <w:rsid w:val="3BD1A728"/>
    <w:rsid w:val="3C4A31F6"/>
    <w:rsid w:val="3CA736CF"/>
    <w:rsid w:val="3D1D519F"/>
    <w:rsid w:val="3D58D0D6"/>
    <w:rsid w:val="3DCF0F68"/>
    <w:rsid w:val="3E3EB58C"/>
    <w:rsid w:val="3E4C2866"/>
    <w:rsid w:val="3F106D87"/>
    <w:rsid w:val="3F56F465"/>
    <w:rsid w:val="3F5E6349"/>
    <w:rsid w:val="3F644AA0"/>
    <w:rsid w:val="3FBFC9E1"/>
    <w:rsid w:val="40226A50"/>
    <w:rsid w:val="4034E40A"/>
    <w:rsid w:val="403F4EF5"/>
    <w:rsid w:val="40506A7F"/>
    <w:rsid w:val="40567B5F"/>
    <w:rsid w:val="407A89BC"/>
    <w:rsid w:val="4087BD8D"/>
    <w:rsid w:val="4095290A"/>
    <w:rsid w:val="40F21B29"/>
    <w:rsid w:val="4104658C"/>
    <w:rsid w:val="4107A2E5"/>
    <w:rsid w:val="4177C656"/>
    <w:rsid w:val="417BE820"/>
    <w:rsid w:val="4183F5DE"/>
    <w:rsid w:val="418D2CA0"/>
    <w:rsid w:val="41B3852F"/>
    <w:rsid w:val="41CBED1D"/>
    <w:rsid w:val="41E7318C"/>
    <w:rsid w:val="41EC5AFE"/>
    <w:rsid w:val="41FFA935"/>
    <w:rsid w:val="423777E7"/>
    <w:rsid w:val="424612C9"/>
    <w:rsid w:val="42C1081B"/>
    <w:rsid w:val="42E671F7"/>
    <w:rsid w:val="42E9C4C3"/>
    <w:rsid w:val="435315A7"/>
    <w:rsid w:val="4365A44E"/>
    <w:rsid w:val="43ED6E7A"/>
    <w:rsid w:val="446C1318"/>
    <w:rsid w:val="4475EDE4"/>
    <w:rsid w:val="4495590A"/>
    <w:rsid w:val="44BC904B"/>
    <w:rsid w:val="44E96A00"/>
    <w:rsid w:val="4506FC11"/>
    <w:rsid w:val="4586A177"/>
    <w:rsid w:val="45ACE9F4"/>
    <w:rsid w:val="4619EE71"/>
    <w:rsid w:val="4668C28C"/>
    <w:rsid w:val="4683CDB2"/>
    <w:rsid w:val="46B741DD"/>
    <w:rsid w:val="470BAB52"/>
    <w:rsid w:val="47430371"/>
    <w:rsid w:val="47696A96"/>
    <w:rsid w:val="47A941B3"/>
    <w:rsid w:val="48208BC8"/>
    <w:rsid w:val="4828D315"/>
    <w:rsid w:val="4839A90D"/>
    <w:rsid w:val="48583A28"/>
    <w:rsid w:val="48D1D389"/>
    <w:rsid w:val="48F83222"/>
    <w:rsid w:val="49478B24"/>
    <w:rsid w:val="497D653B"/>
    <w:rsid w:val="4991F1E8"/>
    <w:rsid w:val="4A27D3F3"/>
    <w:rsid w:val="4A2E87A9"/>
    <w:rsid w:val="4A3F26EB"/>
    <w:rsid w:val="4A93CB95"/>
    <w:rsid w:val="4A94B026"/>
    <w:rsid w:val="4AA312B4"/>
    <w:rsid w:val="4AC3008A"/>
    <w:rsid w:val="4AD2FB94"/>
    <w:rsid w:val="4B01D3E0"/>
    <w:rsid w:val="4B190836"/>
    <w:rsid w:val="4B24320A"/>
    <w:rsid w:val="4B2F92EC"/>
    <w:rsid w:val="4B98A1B1"/>
    <w:rsid w:val="4BCD1FC8"/>
    <w:rsid w:val="4BCD41CF"/>
    <w:rsid w:val="4C15D026"/>
    <w:rsid w:val="4C939BCB"/>
    <w:rsid w:val="4CF2C2C1"/>
    <w:rsid w:val="4D41440D"/>
    <w:rsid w:val="4D5A552C"/>
    <w:rsid w:val="4D602DE6"/>
    <w:rsid w:val="4D840FAA"/>
    <w:rsid w:val="4DA1D69F"/>
    <w:rsid w:val="4E65CBBE"/>
    <w:rsid w:val="4E93CB32"/>
    <w:rsid w:val="4EB2CDE0"/>
    <w:rsid w:val="4EB66DDE"/>
    <w:rsid w:val="4EBB2645"/>
    <w:rsid w:val="4EF80EEB"/>
    <w:rsid w:val="4F4A10E2"/>
    <w:rsid w:val="4F76752E"/>
    <w:rsid w:val="5046ADF3"/>
    <w:rsid w:val="504BF400"/>
    <w:rsid w:val="505FBE8D"/>
    <w:rsid w:val="506EAE2C"/>
    <w:rsid w:val="5075FC74"/>
    <w:rsid w:val="508D3D5A"/>
    <w:rsid w:val="50C58680"/>
    <w:rsid w:val="5119A5C0"/>
    <w:rsid w:val="51BC4868"/>
    <w:rsid w:val="51CAD44D"/>
    <w:rsid w:val="51CEA797"/>
    <w:rsid w:val="5208937A"/>
    <w:rsid w:val="5223ECBF"/>
    <w:rsid w:val="523FFD9B"/>
    <w:rsid w:val="5275E642"/>
    <w:rsid w:val="529C965C"/>
    <w:rsid w:val="52C89C40"/>
    <w:rsid w:val="52EB5C4D"/>
    <w:rsid w:val="52FB038D"/>
    <w:rsid w:val="532A6987"/>
    <w:rsid w:val="533EDF5F"/>
    <w:rsid w:val="5383608E"/>
    <w:rsid w:val="5389E841"/>
    <w:rsid w:val="53A0E489"/>
    <w:rsid w:val="53A6DF94"/>
    <w:rsid w:val="53AFE9B9"/>
    <w:rsid w:val="53D6784E"/>
    <w:rsid w:val="5443D906"/>
    <w:rsid w:val="5450A88F"/>
    <w:rsid w:val="545997B4"/>
    <w:rsid w:val="5479EFC5"/>
    <w:rsid w:val="54869B6D"/>
    <w:rsid w:val="5534CEDA"/>
    <w:rsid w:val="5563EF42"/>
    <w:rsid w:val="55C53CEA"/>
    <w:rsid w:val="5611DD01"/>
    <w:rsid w:val="5614E966"/>
    <w:rsid w:val="5619B3DB"/>
    <w:rsid w:val="56522342"/>
    <w:rsid w:val="566E4FCA"/>
    <w:rsid w:val="5676B69D"/>
    <w:rsid w:val="567B9A07"/>
    <w:rsid w:val="56C5DAA7"/>
    <w:rsid w:val="573460C0"/>
    <w:rsid w:val="5759949C"/>
    <w:rsid w:val="57B47A6F"/>
    <w:rsid w:val="5848982D"/>
    <w:rsid w:val="5868EFA5"/>
    <w:rsid w:val="586D215C"/>
    <w:rsid w:val="586E6B44"/>
    <w:rsid w:val="5882B74A"/>
    <w:rsid w:val="589697EF"/>
    <w:rsid w:val="58A96DE9"/>
    <w:rsid w:val="58B282E7"/>
    <w:rsid w:val="58C15FB1"/>
    <w:rsid w:val="58D7E8DB"/>
    <w:rsid w:val="58FC9FA8"/>
    <w:rsid w:val="594E4E32"/>
    <w:rsid w:val="59D61101"/>
    <w:rsid w:val="59EE0701"/>
    <w:rsid w:val="5A5F867C"/>
    <w:rsid w:val="5A7A0F0A"/>
    <w:rsid w:val="5A81B835"/>
    <w:rsid w:val="5B696665"/>
    <w:rsid w:val="5B77D5AF"/>
    <w:rsid w:val="5B80C89A"/>
    <w:rsid w:val="5BF3342F"/>
    <w:rsid w:val="5BFC6D33"/>
    <w:rsid w:val="5C2011D1"/>
    <w:rsid w:val="5C6BD391"/>
    <w:rsid w:val="5CA0279A"/>
    <w:rsid w:val="5CCCD43E"/>
    <w:rsid w:val="5CE2F0B7"/>
    <w:rsid w:val="5D0D4B71"/>
    <w:rsid w:val="5D21011D"/>
    <w:rsid w:val="5D6153D3"/>
    <w:rsid w:val="5D701FB7"/>
    <w:rsid w:val="5DBB1C06"/>
    <w:rsid w:val="5DFDDEFA"/>
    <w:rsid w:val="5DFF7B7D"/>
    <w:rsid w:val="5E386C79"/>
    <w:rsid w:val="5E6704C0"/>
    <w:rsid w:val="5E824201"/>
    <w:rsid w:val="5E82D73E"/>
    <w:rsid w:val="5E983EE8"/>
    <w:rsid w:val="5EA23E24"/>
    <w:rsid w:val="5EC57288"/>
    <w:rsid w:val="5ECA5314"/>
    <w:rsid w:val="5ECB9BF3"/>
    <w:rsid w:val="5EDCDAF8"/>
    <w:rsid w:val="5EF0E1CE"/>
    <w:rsid w:val="5F463E2A"/>
    <w:rsid w:val="5F7FC3B7"/>
    <w:rsid w:val="5FAB7FFE"/>
    <w:rsid w:val="5FAC33E5"/>
    <w:rsid w:val="60244A23"/>
    <w:rsid w:val="604761E1"/>
    <w:rsid w:val="6097CF4D"/>
    <w:rsid w:val="614D8473"/>
    <w:rsid w:val="615082E2"/>
    <w:rsid w:val="61AC3A3C"/>
    <w:rsid w:val="61B4BE91"/>
    <w:rsid w:val="61C91EE1"/>
    <w:rsid w:val="61D132AA"/>
    <w:rsid w:val="6229B2A0"/>
    <w:rsid w:val="6277009A"/>
    <w:rsid w:val="627FCCD8"/>
    <w:rsid w:val="6285F2FB"/>
    <w:rsid w:val="62B06E18"/>
    <w:rsid w:val="63243889"/>
    <w:rsid w:val="632D86D5"/>
    <w:rsid w:val="6351B021"/>
    <w:rsid w:val="635D3769"/>
    <w:rsid w:val="636B0ACD"/>
    <w:rsid w:val="637559EB"/>
    <w:rsid w:val="63D374FD"/>
    <w:rsid w:val="63E2A8B1"/>
    <w:rsid w:val="6437A1AD"/>
    <w:rsid w:val="643CBA1B"/>
    <w:rsid w:val="64ADBFA3"/>
    <w:rsid w:val="64CA2E43"/>
    <w:rsid w:val="65165098"/>
    <w:rsid w:val="652F07C0"/>
    <w:rsid w:val="655B6332"/>
    <w:rsid w:val="658A3D47"/>
    <w:rsid w:val="6593FF32"/>
    <w:rsid w:val="65C60290"/>
    <w:rsid w:val="65FC17F8"/>
    <w:rsid w:val="66154B57"/>
    <w:rsid w:val="663C3252"/>
    <w:rsid w:val="6751CC99"/>
    <w:rsid w:val="6761BA68"/>
    <w:rsid w:val="67957DF3"/>
    <w:rsid w:val="68715119"/>
    <w:rsid w:val="687F2987"/>
    <w:rsid w:val="689FF440"/>
    <w:rsid w:val="68F2D79A"/>
    <w:rsid w:val="69391924"/>
    <w:rsid w:val="69621B92"/>
    <w:rsid w:val="69958C50"/>
    <w:rsid w:val="69C83201"/>
    <w:rsid w:val="6A1E4721"/>
    <w:rsid w:val="6A897774"/>
    <w:rsid w:val="6A8B4364"/>
    <w:rsid w:val="6AFDC724"/>
    <w:rsid w:val="6B4072F4"/>
    <w:rsid w:val="6BB09EAB"/>
    <w:rsid w:val="6BEDB546"/>
    <w:rsid w:val="6BF93E61"/>
    <w:rsid w:val="6C2B1ECC"/>
    <w:rsid w:val="6C33DE36"/>
    <w:rsid w:val="6C38B343"/>
    <w:rsid w:val="6C83980A"/>
    <w:rsid w:val="6CD7A8A0"/>
    <w:rsid w:val="6CDA8248"/>
    <w:rsid w:val="6D14C5C5"/>
    <w:rsid w:val="6D8692F8"/>
    <w:rsid w:val="6DD57F91"/>
    <w:rsid w:val="6E10FE46"/>
    <w:rsid w:val="6E3C0B34"/>
    <w:rsid w:val="6E7BB304"/>
    <w:rsid w:val="6EBBDCB0"/>
    <w:rsid w:val="6ED7F86F"/>
    <w:rsid w:val="6ED88FE7"/>
    <w:rsid w:val="6F1C090C"/>
    <w:rsid w:val="6F42E9F4"/>
    <w:rsid w:val="6FD35554"/>
    <w:rsid w:val="702462CB"/>
    <w:rsid w:val="70467A46"/>
    <w:rsid w:val="7067AF59"/>
    <w:rsid w:val="7084AA93"/>
    <w:rsid w:val="709A715D"/>
    <w:rsid w:val="70A49691"/>
    <w:rsid w:val="71201C82"/>
    <w:rsid w:val="71579457"/>
    <w:rsid w:val="71735704"/>
    <w:rsid w:val="718121B2"/>
    <w:rsid w:val="71DFC815"/>
    <w:rsid w:val="720B1E33"/>
    <w:rsid w:val="729CC12A"/>
    <w:rsid w:val="729DAA5C"/>
    <w:rsid w:val="73057713"/>
    <w:rsid w:val="7320D9A4"/>
    <w:rsid w:val="73721CFB"/>
    <w:rsid w:val="73D09A99"/>
    <w:rsid w:val="73FC804C"/>
    <w:rsid w:val="74028421"/>
    <w:rsid w:val="74169CC1"/>
    <w:rsid w:val="744ED6B6"/>
    <w:rsid w:val="7450DED0"/>
    <w:rsid w:val="74CFF052"/>
    <w:rsid w:val="74D33534"/>
    <w:rsid w:val="74EF2A7A"/>
    <w:rsid w:val="750E86A8"/>
    <w:rsid w:val="7512DAAB"/>
    <w:rsid w:val="754841A5"/>
    <w:rsid w:val="76676899"/>
    <w:rsid w:val="7694EEA5"/>
    <w:rsid w:val="76F0C042"/>
    <w:rsid w:val="7728176E"/>
    <w:rsid w:val="774BEC6E"/>
    <w:rsid w:val="7755AEC6"/>
    <w:rsid w:val="7789735B"/>
    <w:rsid w:val="78040EAD"/>
    <w:rsid w:val="780C27A5"/>
    <w:rsid w:val="7810EDE6"/>
    <w:rsid w:val="781F018F"/>
    <w:rsid w:val="786B86DD"/>
    <w:rsid w:val="78C56D92"/>
    <w:rsid w:val="7913B7C7"/>
    <w:rsid w:val="7951138E"/>
    <w:rsid w:val="797D82FD"/>
    <w:rsid w:val="79914C5F"/>
    <w:rsid w:val="79953677"/>
    <w:rsid w:val="7A47BAA6"/>
    <w:rsid w:val="7B055325"/>
    <w:rsid w:val="7B1C2952"/>
    <w:rsid w:val="7B9AEFEA"/>
    <w:rsid w:val="7BA3A6D1"/>
    <w:rsid w:val="7BA52658"/>
    <w:rsid w:val="7BD709E2"/>
    <w:rsid w:val="7C06E3D6"/>
    <w:rsid w:val="7C382519"/>
    <w:rsid w:val="7CF9304D"/>
    <w:rsid w:val="7D33D699"/>
    <w:rsid w:val="7DAEB6CA"/>
    <w:rsid w:val="7E7A2D88"/>
    <w:rsid w:val="7E8DCC5E"/>
    <w:rsid w:val="7EAB6267"/>
    <w:rsid w:val="7EDB874C"/>
    <w:rsid w:val="7F036CB4"/>
    <w:rsid w:val="7F86B850"/>
    <w:rsid w:val="7FA722AA"/>
    <w:rsid w:val="7FD099BD"/>
    <w:rsid w:val="7FDB32A4"/>
    <w:rsid w:val="7FEC463D"/>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9ABBB18"/>
  <w15:docId w15:val="{981FE42D-324D-4906-A94E-067D86557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lsdException w:name="footer" w:qFormat="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1004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unhideWhenUsed/>
    <w:qFormat/>
    <w:rsid w:val="00C6214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C6214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Yu Mincho" w:hAnsi="Yu Mincho"/>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Yu Mincho" w:hAnsi="Yu Mincho"/>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Yu Mincho" w:hAnsi="Yu Mincho"/>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NormalWeb">
    <w:name w:val="Normal (Web)"/>
    <w:basedOn w:val="Normal"/>
    <w:uiPriority w:val="99"/>
    <w:semiHidden/>
    <w:unhideWhenUsed/>
    <w:rsid w:val="003F3C68"/>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Bulletpoint">
    <w:name w:val="Bullet point"/>
    <w:basedOn w:val="Normal"/>
    <w:rsid w:val="002251F7"/>
    <w:pPr>
      <w:numPr>
        <w:numId w:val="7"/>
      </w:numPr>
      <w:tabs>
        <w:tab w:val="clear" w:pos="369"/>
        <w:tab w:val="left" w:pos="397"/>
        <w:tab w:val="num" w:pos="511"/>
      </w:tabs>
      <w:spacing w:before="0" w:after="180" w:line="252" w:lineRule="auto"/>
      <w:ind w:left="0" w:firstLine="0"/>
    </w:pPr>
    <w:rPr>
      <w:rFonts w:eastAsia="Times New Roman"/>
      <w:snapToGrid w:val="0"/>
      <w:kern w:val="16"/>
      <w:szCs w:val="24"/>
    </w:rPr>
  </w:style>
  <w:style w:type="paragraph" w:styleId="ListParagraph">
    <w:name w:val="List Paragraph"/>
    <w:aliases w:val="List normal"/>
    <w:basedOn w:val="Normal"/>
    <w:link w:val="ListParagraphChar"/>
    <w:uiPriority w:val="34"/>
    <w:qFormat/>
    <w:rsid w:val="00E73E32"/>
    <w:pPr>
      <w:adjustRightInd w:val="0"/>
      <w:snapToGrid w:val="0"/>
      <w:spacing w:before="180" w:after="180"/>
      <w:ind w:left="720"/>
      <w:contextualSpacing/>
    </w:pPr>
    <w:rPr>
      <w:rFonts w:eastAsia="MS Mincho"/>
      <w:szCs w:val="20"/>
      <w:lang w:eastAsia="ja-JP"/>
    </w:rPr>
  </w:style>
  <w:style w:type="character" w:customStyle="1" w:styleId="ListParagraphChar">
    <w:name w:val="List Paragraph Char"/>
    <w:aliases w:val="List normal Char"/>
    <w:basedOn w:val="DefaultParagraphFont"/>
    <w:link w:val="ListParagraph"/>
    <w:uiPriority w:val="34"/>
    <w:rsid w:val="00E73E32"/>
    <w:rPr>
      <w:rFonts w:ascii="Cambria" w:eastAsia="MS Mincho" w:hAnsi="Cambria" w:cs="Times New Roman"/>
      <w:szCs w:val="20"/>
      <w:lang w:eastAsia="ja-JP"/>
    </w:rPr>
  </w:style>
  <w:style w:type="character" w:customStyle="1" w:styleId="Heading8Char">
    <w:name w:val="Heading 8 Char"/>
    <w:basedOn w:val="DefaultParagraphFont"/>
    <w:link w:val="Heading8"/>
    <w:uiPriority w:val="9"/>
    <w:rsid w:val="00C6214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C6214F"/>
    <w:rPr>
      <w:rFonts w:asciiTheme="majorHAnsi" w:eastAsiaTheme="majorEastAsia" w:hAnsiTheme="majorHAnsi" w:cstheme="majorBidi"/>
      <w:i/>
      <w:iCs/>
      <w:color w:val="272727" w:themeColor="text1" w:themeTint="D8"/>
      <w:sz w:val="21"/>
      <w:szCs w:val="21"/>
    </w:rPr>
  </w:style>
  <w:style w:type="paragraph" w:customStyle="1" w:styleId="FigureCaption">
    <w:name w:val="Figure Caption"/>
    <w:basedOn w:val="Normal"/>
    <w:qFormat/>
    <w:rsid w:val="00C6214F"/>
    <w:pPr>
      <w:keepNext/>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C6214F"/>
    <w:pPr>
      <w:spacing w:after="240"/>
    </w:pPr>
    <w:rPr>
      <w:b/>
    </w:rPr>
  </w:style>
  <w:style w:type="table" w:customStyle="1" w:styleId="TableTGA2">
    <w:name w:val="Table TGA 2"/>
    <w:basedOn w:val="TableNormal"/>
    <w:uiPriority w:val="99"/>
    <w:rsid w:val="00C6214F"/>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Yu Mincho" w:hAnsi="Yu Mincho"/>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Yu Mincho" w:hAnsi="Yu Mincho"/>
        <w:b/>
        <w:i w:val="0"/>
        <w:color w:val="FFFFFF"/>
        <w:sz w:val="22"/>
      </w:rPr>
    </w:tblStylePr>
  </w:style>
  <w:style w:type="paragraph" w:customStyle="1" w:styleId="Subject">
    <w:name w:val="Subject"/>
    <w:basedOn w:val="Normal"/>
    <w:qFormat/>
    <w:rsid w:val="00C6214F"/>
    <w:pPr>
      <w:adjustRightInd w:val="0"/>
      <w:snapToGrid w:val="0"/>
      <w:spacing w:before="180" w:after="180"/>
    </w:pPr>
    <w:rPr>
      <w:rFonts w:eastAsia="MS Mincho"/>
      <w:b/>
      <w:szCs w:val="20"/>
      <w:lang w:eastAsia="ja-JP"/>
    </w:rPr>
  </w:style>
  <w:style w:type="paragraph" w:customStyle="1" w:styleId="Addressee">
    <w:name w:val="Addressee"/>
    <w:basedOn w:val="Normal"/>
    <w:qFormat/>
    <w:rsid w:val="00C6214F"/>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C6214F"/>
    <w:rPr>
      <w:rFonts w:ascii="Arial" w:hAnsi="Arial"/>
      <w:color w:val="002C47"/>
      <w:sz w:val="14"/>
    </w:rPr>
  </w:style>
  <w:style w:type="paragraph" w:customStyle="1" w:styleId="BodyCopy">
    <w:name w:val="Body Copy"/>
    <w:basedOn w:val="Normal"/>
    <w:qFormat/>
    <w:rsid w:val="00C6214F"/>
    <w:pPr>
      <w:adjustRightInd w:val="0"/>
      <w:snapToGrid w:val="0"/>
      <w:spacing w:before="180" w:after="180"/>
    </w:pPr>
    <w:rPr>
      <w:rFonts w:eastAsia="MS Mincho"/>
      <w:szCs w:val="20"/>
      <w:lang w:eastAsia="ja-JP"/>
    </w:rPr>
  </w:style>
  <w:style w:type="paragraph" w:customStyle="1" w:styleId="Standard">
    <w:name w:val="Standard"/>
    <w:basedOn w:val="Normal"/>
    <w:link w:val="StandardChar"/>
    <w:qFormat/>
    <w:rsid w:val="00C6214F"/>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C6214F"/>
    <w:rPr>
      <w:rFonts w:ascii="Cambria" w:eastAsia="Times New Roman" w:hAnsi="Cambria" w:cs="Times New Roman"/>
      <w:snapToGrid w:val="0"/>
      <w:kern w:val="16"/>
      <w:sz w:val="23"/>
      <w:szCs w:val="24"/>
    </w:rPr>
  </w:style>
  <w:style w:type="paragraph" w:customStyle="1" w:styleId="PISubsection">
    <w:name w:val="PI Subsection"/>
    <w:basedOn w:val="Standard"/>
    <w:next w:val="Standard"/>
    <w:rsid w:val="00C6214F"/>
    <w:pPr>
      <w:keepNext/>
      <w:spacing w:after="120"/>
    </w:pPr>
    <w:rPr>
      <w:b/>
      <w:i/>
      <w:kern w:val="2"/>
      <w:sz w:val="22"/>
    </w:rPr>
  </w:style>
  <w:style w:type="character" w:customStyle="1" w:styleId="UnresolvedMention1">
    <w:name w:val="Unresolved Mention1"/>
    <w:basedOn w:val="DefaultParagraphFont"/>
    <w:uiPriority w:val="99"/>
    <w:semiHidden/>
    <w:unhideWhenUsed/>
    <w:rsid w:val="00C6214F"/>
    <w:rPr>
      <w:color w:val="605E5C"/>
      <w:shd w:val="clear" w:color="auto" w:fill="E1DFDD"/>
    </w:rPr>
  </w:style>
  <w:style w:type="paragraph" w:customStyle="1" w:styleId="EndNoteBibliographyTitle">
    <w:name w:val="EndNote Bibliography Title"/>
    <w:basedOn w:val="Normal"/>
    <w:link w:val="EndNoteBibliographyTitleChar"/>
    <w:rsid w:val="00C6214F"/>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C6214F"/>
    <w:rPr>
      <w:rFonts w:ascii="Cambria" w:eastAsia="Cambria" w:hAnsi="Cambria" w:cs="Times New Roman"/>
      <w:noProof/>
      <w:lang w:val="en-US"/>
    </w:rPr>
  </w:style>
  <w:style w:type="paragraph" w:customStyle="1" w:styleId="EndNoteBibliography">
    <w:name w:val="EndNote Bibliography"/>
    <w:basedOn w:val="Normal"/>
    <w:link w:val="EndNoteBibliographyChar"/>
    <w:rsid w:val="00C6214F"/>
    <w:rPr>
      <w:noProof/>
      <w:lang w:val="en-US"/>
    </w:rPr>
  </w:style>
  <w:style w:type="character" w:customStyle="1" w:styleId="EndNoteBibliographyChar">
    <w:name w:val="EndNote Bibliography Char"/>
    <w:basedOn w:val="DefaultParagraphFont"/>
    <w:link w:val="EndNoteBibliography"/>
    <w:rsid w:val="00C6214F"/>
    <w:rPr>
      <w:rFonts w:ascii="Cambria" w:eastAsia="Cambria" w:hAnsi="Cambria" w:cs="Times New Roman"/>
      <w:noProof/>
      <w:lang w:val="en-US"/>
    </w:rPr>
  </w:style>
  <w:style w:type="paragraph" w:styleId="ListNumber">
    <w:name w:val="List Number"/>
    <w:basedOn w:val="ListParagraph"/>
    <w:uiPriority w:val="99"/>
    <w:unhideWhenUsed/>
    <w:rsid w:val="00C6214F"/>
    <w:pPr>
      <w:numPr>
        <w:numId w:val="23"/>
      </w:numPr>
      <w:tabs>
        <w:tab w:val="num" w:pos="360"/>
      </w:tabs>
      <w:adjustRightInd/>
      <w:snapToGrid/>
      <w:spacing w:before="0" w:after="120" w:line="240" w:lineRule="auto"/>
      <w:ind w:left="426" w:hanging="426"/>
    </w:pPr>
    <w:rPr>
      <w:rFonts w:asciiTheme="minorHAnsi" w:eastAsia="Times New Roman" w:hAnsiTheme="minorHAnsi"/>
      <w:b/>
      <w:szCs w:val="22"/>
      <w:lang w:eastAsia="en-AU"/>
    </w:rPr>
  </w:style>
  <w:style w:type="paragraph" w:customStyle="1" w:styleId="TableParagraph">
    <w:name w:val="Table Paragraph"/>
    <w:basedOn w:val="Normal"/>
    <w:uiPriority w:val="1"/>
    <w:qFormat/>
    <w:rsid w:val="00AA4F96"/>
    <w:pPr>
      <w:widowControl w:val="0"/>
      <w:autoSpaceDE w:val="0"/>
      <w:autoSpaceDN w:val="0"/>
      <w:spacing w:before="38" w:after="0" w:line="240" w:lineRule="auto"/>
      <w:jc w:val="center"/>
    </w:pPr>
    <w:rPr>
      <w:rFonts w:ascii="Times New Roman" w:eastAsia="Times New Roman" w:hAnsi="Times New Roman"/>
      <w:lang w:val="en-US"/>
    </w:rPr>
  </w:style>
  <w:style w:type="paragraph" w:styleId="BodyText">
    <w:name w:val="Body Text"/>
    <w:basedOn w:val="Normal"/>
    <w:link w:val="BodyTextChar"/>
    <w:uiPriority w:val="1"/>
    <w:qFormat/>
    <w:rsid w:val="001D1C15"/>
    <w:pPr>
      <w:widowControl w:val="0"/>
      <w:autoSpaceDE w:val="0"/>
      <w:autoSpaceDN w:val="0"/>
      <w:spacing w:before="0" w:after="0" w:line="240" w:lineRule="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1D1C15"/>
    <w:rPr>
      <w:rFonts w:ascii="Times New Roman" w:eastAsia="Times New Roman" w:hAnsi="Times New Roman" w:cs="Times New Roman"/>
      <w:sz w:val="24"/>
      <w:szCs w:val="24"/>
      <w:lang w:val="en-US"/>
    </w:rPr>
  </w:style>
  <w:style w:type="table" w:styleId="TableGridLight">
    <w:name w:val="Grid Table Light"/>
    <w:basedOn w:val="TableNormal"/>
    <w:uiPriority w:val="40"/>
    <w:rsid w:val="00084D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9E79C6"/>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StandardChar"/>
    <w:link w:val="Tabletext"/>
    <w:rsid w:val="009E79C6"/>
    <w:rPr>
      <w:rFonts w:ascii="Cambria" w:eastAsia="Cambria" w:hAnsi="Cambria" w:cs="Times New Roman"/>
      <w:snapToGrid/>
      <w:kern w:val="16"/>
      <w:sz w:val="19"/>
      <w:szCs w:val="24"/>
    </w:rPr>
  </w:style>
  <w:style w:type="character" w:styleId="UnresolvedMention">
    <w:name w:val="Unresolved Mention"/>
    <w:basedOn w:val="DefaultParagraphFont"/>
    <w:uiPriority w:val="99"/>
    <w:unhideWhenUsed/>
    <w:rsid w:val="00D8667A"/>
    <w:rPr>
      <w:color w:val="605E5C"/>
      <w:shd w:val="clear" w:color="auto" w:fill="E1DFDD"/>
    </w:rPr>
  </w:style>
  <w:style w:type="character" w:styleId="Mention">
    <w:name w:val="Mention"/>
    <w:basedOn w:val="DefaultParagraphFont"/>
    <w:uiPriority w:val="99"/>
    <w:unhideWhenUsed/>
    <w:rsid w:val="008A02A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0948">
      <w:bodyDiv w:val="1"/>
      <w:marLeft w:val="0"/>
      <w:marRight w:val="0"/>
      <w:marTop w:val="0"/>
      <w:marBottom w:val="0"/>
      <w:divBdr>
        <w:top w:val="none" w:sz="0" w:space="0" w:color="auto"/>
        <w:left w:val="none" w:sz="0" w:space="0" w:color="auto"/>
        <w:bottom w:val="none" w:sz="0" w:space="0" w:color="auto"/>
        <w:right w:val="none" w:sz="0" w:space="0" w:color="auto"/>
      </w:divBdr>
    </w:div>
    <w:div w:id="87236280">
      <w:bodyDiv w:val="1"/>
      <w:marLeft w:val="0"/>
      <w:marRight w:val="0"/>
      <w:marTop w:val="0"/>
      <w:marBottom w:val="0"/>
      <w:divBdr>
        <w:top w:val="none" w:sz="0" w:space="0" w:color="auto"/>
        <w:left w:val="none" w:sz="0" w:space="0" w:color="auto"/>
        <w:bottom w:val="none" w:sz="0" w:space="0" w:color="auto"/>
        <w:right w:val="none" w:sz="0" w:space="0" w:color="auto"/>
      </w:divBdr>
    </w:div>
    <w:div w:id="172956580">
      <w:bodyDiv w:val="1"/>
      <w:marLeft w:val="0"/>
      <w:marRight w:val="0"/>
      <w:marTop w:val="0"/>
      <w:marBottom w:val="0"/>
      <w:divBdr>
        <w:top w:val="none" w:sz="0" w:space="0" w:color="auto"/>
        <w:left w:val="none" w:sz="0" w:space="0" w:color="auto"/>
        <w:bottom w:val="none" w:sz="0" w:space="0" w:color="auto"/>
        <w:right w:val="none" w:sz="0" w:space="0" w:color="auto"/>
      </w:divBdr>
    </w:div>
    <w:div w:id="244187268">
      <w:bodyDiv w:val="1"/>
      <w:marLeft w:val="0"/>
      <w:marRight w:val="0"/>
      <w:marTop w:val="0"/>
      <w:marBottom w:val="0"/>
      <w:divBdr>
        <w:top w:val="none" w:sz="0" w:space="0" w:color="auto"/>
        <w:left w:val="none" w:sz="0" w:space="0" w:color="auto"/>
        <w:bottom w:val="none" w:sz="0" w:space="0" w:color="auto"/>
        <w:right w:val="none" w:sz="0" w:space="0" w:color="auto"/>
      </w:divBdr>
    </w:div>
    <w:div w:id="345788714">
      <w:bodyDiv w:val="1"/>
      <w:marLeft w:val="0"/>
      <w:marRight w:val="0"/>
      <w:marTop w:val="0"/>
      <w:marBottom w:val="0"/>
      <w:divBdr>
        <w:top w:val="none" w:sz="0" w:space="0" w:color="auto"/>
        <w:left w:val="none" w:sz="0" w:space="0" w:color="auto"/>
        <w:bottom w:val="none" w:sz="0" w:space="0" w:color="auto"/>
        <w:right w:val="none" w:sz="0" w:space="0" w:color="auto"/>
      </w:divBdr>
      <w:divsChild>
        <w:div w:id="790247745">
          <w:marLeft w:val="0"/>
          <w:marRight w:val="0"/>
          <w:marTop w:val="0"/>
          <w:marBottom w:val="0"/>
          <w:divBdr>
            <w:top w:val="none" w:sz="0" w:space="0" w:color="auto"/>
            <w:left w:val="none" w:sz="0" w:space="0" w:color="auto"/>
            <w:bottom w:val="none" w:sz="0" w:space="0" w:color="auto"/>
            <w:right w:val="none" w:sz="0" w:space="0" w:color="auto"/>
          </w:divBdr>
          <w:divsChild>
            <w:div w:id="95563483">
              <w:marLeft w:val="0"/>
              <w:marRight w:val="0"/>
              <w:marTop w:val="0"/>
              <w:marBottom w:val="0"/>
              <w:divBdr>
                <w:top w:val="none" w:sz="0" w:space="0" w:color="auto"/>
                <w:left w:val="none" w:sz="0" w:space="0" w:color="auto"/>
                <w:bottom w:val="none" w:sz="0" w:space="0" w:color="auto"/>
                <w:right w:val="none" w:sz="0" w:space="0" w:color="auto"/>
              </w:divBdr>
              <w:divsChild>
                <w:div w:id="705643798">
                  <w:marLeft w:val="0"/>
                  <w:marRight w:val="0"/>
                  <w:marTop w:val="0"/>
                  <w:marBottom w:val="0"/>
                  <w:divBdr>
                    <w:top w:val="none" w:sz="0" w:space="0" w:color="auto"/>
                    <w:left w:val="none" w:sz="0" w:space="0" w:color="auto"/>
                    <w:bottom w:val="none" w:sz="0" w:space="0" w:color="auto"/>
                    <w:right w:val="none" w:sz="0" w:space="0" w:color="auto"/>
                  </w:divBdr>
                  <w:divsChild>
                    <w:div w:id="1871839637">
                      <w:marLeft w:val="0"/>
                      <w:marRight w:val="0"/>
                      <w:marTop w:val="0"/>
                      <w:marBottom w:val="0"/>
                      <w:divBdr>
                        <w:top w:val="none" w:sz="0" w:space="0" w:color="auto"/>
                        <w:left w:val="none" w:sz="0" w:space="0" w:color="auto"/>
                        <w:bottom w:val="none" w:sz="0" w:space="0" w:color="auto"/>
                        <w:right w:val="none" w:sz="0" w:space="0" w:color="auto"/>
                      </w:divBdr>
                      <w:divsChild>
                        <w:div w:id="285354310">
                          <w:marLeft w:val="0"/>
                          <w:marRight w:val="0"/>
                          <w:marTop w:val="0"/>
                          <w:marBottom w:val="0"/>
                          <w:divBdr>
                            <w:top w:val="none" w:sz="0" w:space="0" w:color="auto"/>
                            <w:left w:val="none" w:sz="0" w:space="0" w:color="auto"/>
                            <w:bottom w:val="none" w:sz="0" w:space="0" w:color="auto"/>
                            <w:right w:val="none" w:sz="0" w:space="0" w:color="auto"/>
                          </w:divBdr>
                          <w:divsChild>
                            <w:div w:id="900138508">
                              <w:marLeft w:val="0"/>
                              <w:marRight w:val="0"/>
                              <w:marTop w:val="0"/>
                              <w:marBottom w:val="0"/>
                              <w:divBdr>
                                <w:top w:val="none" w:sz="0" w:space="0" w:color="auto"/>
                                <w:left w:val="none" w:sz="0" w:space="0" w:color="auto"/>
                                <w:bottom w:val="none" w:sz="0" w:space="0" w:color="auto"/>
                                <w:right w:val="none" w:sz="0" w:space="0" w:color="auto"/>
                              </w:divBdr>
                              <w:divsChild>
                                <w:div w:id="609704551">
                                  <w:marLeft w:val="0"/>
                                  <w:marRight w:val="0"/>
                                  <w:marTop w:val="0"/>
                                  <w:marBottom w:val="0"/>
                                  <w:divBdr>
                                    <w:top w:val="none" w:sz="0" w:space="0" w:color="auto"/>
                                    <w:left w:val="none" w:sz="0" w:space="0" w:color="auto"/>
                                    <w:bottom w:val="none" w:sz="0" w:space="0" w:color="auto"/>
                                    <w:right w:val="none" w:sz="0" w:space="0" w:color="auto"/>
                                  </w:divBdr>
                                  <w:divsChild>
                                    <w:div w:id="1064912044">
                                      <w:marLeft w:val="0"/>
                                      <w:marRight w:val="0"/>
                                      <w:marTop w:val="0"/>
                                      <w:marBottom w:val="0"/>
                                      <w:divBdr>
                                        <w:top w:val="none" w:sz="0" w:space="0" w:color="auto"/>
                                        <w:left w:val="none" w:sz="0" w:space="0" w:color="auto"/>
                                        <w:bottom w:val="none" w:sz="0" w:space="0" w:color="auto"/>
                                        <w:right w:val="none" w:sz="0" w:space="0" w:color="auto"/>
                                      </w:divBdr>
                                      <w:divsChild>
                                        <w:div w:id="1895240020">
                                          <w:marLeft w:val="0"/>
                                          <w:marRight w:val="0"/>
                                          <w:marTop w:val="0"/>
                                          <w:marBottom w:val="0"/>
                                          <w:divBdr>
                                            <w:top w:val="none" w:sz="0" w:space="0" w:color="auto"/>
                                            <w:left w:val="none" w:sz="0" w:space="0" w:color="auto"/>
                                            <w:bottom w:val="none" w:sz="0" w:space="0" w:color="auto"/>
                                            <w:right w:val="none" w:sz="0" w:space="0" w:color="auto"/>
                                          </w:divBdr>
                                          <w:divsChild>
                                            <w:div w:id="494762652">
                                              <w:marLeft w:val="0"/>
                                              <w:marRight w:val="0"/>
                                              <w:marTop w:val="0"/>
                                              <w:marBottom w:val="0"/>
                                              <w:divBdr>
                                                <w:top w:val="none" w:sz="0" w:space="0" w:color="auto"/>
                                                <w:left w:val="none" w:sz="0" w:space="0" w:color="auto"/>
                                                <w:bottom w:val="none" w:sz="0" w:space="0" w:color="auto"/>
                                                <w:right w:val="none" w:sz="0" w:space="0" w:color="auto"/>
                                              </w:divBdr>
                                              <w:divsChild>
                                                <w:div w:id="891231004">
                                                  <w:marLeft w:val="0"/>
                                                  <w:marRight w:val="0"/>
                                                  <w:marTop w:val="0"/>
                                                  <w:marBottom w:val="0"/>
                                                  <w:divBdr>
                                                    <w:top w:val="none" w:sz="0" w:space="0" w:color="auto"/>
                                                    <w:left w:val="none" w:sz="0" w:space="0" w:color="auto"/>
                                                    <w:bottom w:val="none" w:sz="0" w:space="0" w:color="auto"/>
                                                    <w:right w:val="none" w:sz="0" w:space="0" w:color="auto"/>
                                                  </w:divBdr>
                                                  <w:divsChild>
                                                    <w:div w:id="1823155114">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3594075">
      <w:bodyDiv w:val="1"/>
      <w:marLeft w:val="0"/>
      <w:marRight w:val="0"/>
      <w:marTop w:val="0"/>
      <w:marBottom w:val="0"/>
      <w:divBdr>
        <w:top w:val="none" w:sz="0" w:space="0" w:color="auto"/>
        <w:left w:val="none" w:sz="0" w:space="0" w:color="auto"/>
        <w:bottom w:val="none" w:sz="0" w:space="0" w:color="auto"/>
        <w:right w:val="none" w:sz="0" w:space="0" w:color="auto"/>
      </w:divBdr>
      <w:divsChild>
        <w:div w:id="1853644263">
          <w:marLeft w:val="0"/>
          <w:marRight w:val="0"/>
          <w:marTop w:val="0"/>
          <w:marBottom w:val="0"/>
          <w:divBdr>
            <w:top w:val="none" w:sz="0" w:space="0" w:color="auto"/>
            <w:left w:val="none" w:sz="0" w:space="0" w:color="auto"/>
            <w:bottom w:val="none" w:sz="0" w:space="0" w:color="auto"/>
            <w:right w:val="none" w:sz="0" w:space="0" w:color="auto"/>
          </w:divBdr>
          <w:divsChild>
            <w:div w:id="293100707">
              <w:marLeft w:val="0"/>
              <w:marRight w:val="0"/>
              <w:marTop w:val="0"/>
              <w:marBottom w:val="0"/>
              <w:divBdr>
                <w:top w:val="none" w:sz="0" w:space="0" w:color="auto"/>
                <w:left w:val="none" w:sz="0" w:space="0" w:color="auto"/>
                <w:bottom w:val="none" w:sz="0" w:space="0" w:color="auto"/>
                <w:right w:val="none" w:sz="0" w:space="0" w:color="auto"/>
              </w:divBdr>
              <w:divsChild>
                <w:div w:id="1705011571">
                  <w:marLeft w:val="0"/>
                  <w:marRight w:val="0"/>
                  <w:marTop w:val="0"/>
                  <w:marBottom w:val="0"/>
                  <w:divBdr>
                    <w:top w:val="none" w:sz="0" w:space="0" w:color="auto"/>
                    <w:left w:val="none" w:sz="0" w:space="0" w:color="auto"/>
                    <w:bottom w:val="none" w:sz="0" w:space="0" w:color="auto"/>
                    <w:right w:val="none" w:sz="0" w:space="0" w:color="auto"/>
                  </w:divBdr>
                  <w:divsChild>
                    <w:div w:id="1645157681">
                      <w:marLeft w:val="0"/>
                      <w:marRight w:val="0"/>
                      <w:marTop w:val="0"/>
                      <w:marBottom w:val="0"/>
                      <w:divBdr>
                        <w:top w:val="none" w:sz="0" w:space="0" w:color="auto"/>
                        <w:left w:val="none" w:sz="0" w:space="0" w:color="auto"/>
                        <w:bottom w:val="none" w:sz="0" w:space="0" w:color="auto"/>
                        <w:right w:val="none" w:sz="0" w:space="0" w:color="auto"/>
                      </w:divBdr>
                      <w:divsChild>
                        <w:div w:id="748113501">
                          <w:marLeft w:val="0"/>
                          <w:marRight w:val="0"/>
                          <w:marTop w:val="0"/>
                          <w:marBottom w:val="0"/>
                          <w:divBdr>
                            <w:top w:val="none" w:sz="0" w:space="0" w:color="auto"/>
                            <w:left w:val="none" w:sz="0" w:space="0" w:color="auto"/>
                            <w:bottom w:val="none" w:sz="0" w:space="0" w:color="auto"/>
                            <w:right w:val="none" w:sz="0" w:space="0" w:color="auto"/>
                          </w:divBdr>
                          <w:divsChild>
                            <w:div w:id="529411890">
                              <w:marLeft w:val="0"/>
                              <w:marRight w:val="0"/>
                              <w:marTop w:val="0"/>
                              <w:marBottom w:val="0"/>
                              <w:divBdr>
                                <w:top w:val="none" w:sz="0" w:space="0" w:color="auto"/>
                                <w:left w:val="none" w:sz="0" w:space="0" w:color="auto"/>
                                <w:bottom w:val="none" w:sz="0" w:space="0" w:color="auto"/>
                                <w:right w:val="none" w:sz="0" w:space="0" w:color="auto"/>
                              </w:divBdr>
                              <w:divsChild>
                                <w:div w:id="1095593455">
                                  <w:marLeft w:val="0"/>
                                  <w:marRight w:val="0"/>
                                  <w:marTop w:val="0"/>
                                  <w:marBottom w:val="0"/>
                                  <w:divBdr>
                                    <w:top w:val="none" w:sz="0" w:space="0" w:color="auto"/>
                                    <w:left w:val="none" w:sz="0" w:space="0" w:color="auto"/>
                                    <w:bottom w:val="none" w:sz="0" w:space="0" w:color="auto"/>
                                    <w:right w:val="none" w:sz="0" w:space="0" w:color="auto"/>
                                  </w:divBdr>
                                  <w:divsChild>
                                    <w:div w:id="881020078">
                                      <w:marLeft w:val="0"/>
                                      <w:marRight w:val="0"/>
                                      <w:marTop w:val="0"/>
                                      <w:marBottom w:val="0"/>
                                      <w:divBdr>
                                        <w:top w:val="none" w:sz="0" w:space="0" w:color="auto"/>
                                        <w:left w:val="none" w:sz="0" w:space="0" w:color="auto"/>
                                        <w:bottom w:val="none" w:sz="0" w:space="0" w:color="auto"/>
                                        <w:right w:val="none" w:sz="0" w:space="0" w:color="auto"/>
                                      </w:divBdr>
                                      <w:divsChild>
                                        <w:div w:id="153488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388369">
      <w:bodyDiv w:val="1"/>
      <w:marLeft w:val="0"/>
      <w:marRight w:val="0"/>
      <w:marTop w:val="0"/>
      <w:marBottom w:val="0"/>
      <w:divBdr>
        <w:top w:val="none" w:sz="0" w:space="0" w:color="auto"/>
        <w:left w:val="none" w:sz="0" w:space="0" w:color="auto"/>
        <w:bottom w:val="none" w:sz="0" w:space="0" w:color="auto"/>
        <w:right w:val="none" w:sz="0" w:space="0" w:color="auto"/>
      </w:divBdr>
    </w:div>
    <w:div w:id="553081119">
      <w:bodyDiv w:val="1"/>
      <w:marLeft w:val="0"/>
      <w:marRight w:val="0"/>
      <w:marTop w:val="0"/>
      <w:marBottom w:val="0"/>
      <w:divBdr>
        <w:top w:val="none" w:sz="0" w:space="0" w:color="auto"/>
        <w:left w:val="none" w:sz="0" w:space="0" w:color="auto"/>
        <w:bottom w:val="none" w:sz="0" w:space="0" w:color="auto"/>
        <w:right w:val="none" w:sz="0" w:space="0" w:color="auto"/>
      </w:divBdr>
    </w:div>
    <w:div w:id="571083705">
      <w:bodyDiv w:val="1"/>
      <w:marLeft w:val="0"/>
      <w:marRight w:val="0"/>
      <w:marTop w:val="0"/>
      <w:marBottom w:val="0"/>
      <w:divBdr>
        <w:top w:val="none" w:sz="0" w:space="0" w:color="auto"/>
        <w:left w:val="none" w:sz="0" w:space="0" w:color="auto"/>
        <w:bottom w:val="none" w:sz="0" w:space="0" w:color="auto"/>
        <w:right w:val="none" w:sz="0" w:space="0" w:color="auto"/>
      </w:divBdr>
    </w:div>
    <w:div w:id="653030266">
      <w:bodyDiv w:val="1"/>
      <w:marLeft w:val="0"/>
      <w:marRight w:val="0"/>
      <w:marTop w:val="0"/>
      <w:marBottom w:val="0"/>
      <w:divBdr>
        <w:top w:val="none" w:sz="0" w:space="0" w:color="auto"/>
        <w:left w:val="none" w:sz="0" w:space="0" w:color="auto"/>
        <w:bottom w:val="none" w:sz="0" w:space="0" w:color="auto"/>
        <w:right w:val="none" w:sz="0" w:space="0" w:color="auto"/>
      </w:divBdr>
      <w:divsChild>
        <w:div w:id="1093893610">
          <w:marLeft w:val="0"/>
          <w:marRight w:val="0"/>
          <w:marTop w:val="0"/>
          <w:marBottom w:val="0"/>
          <w:divBdr>
            <w:top w:val="none" w:sz="0" w:space="0" w:color="auto"/>
            <w:left w:val="none" w:sz="0" w:space="0" w:color="auto"/>
            <w:bottom w:val="none" w:sz="0" w:space="0" w:color="auto"/>
            <w:right w:val="none" w:sz="0" w:space="0" w:color="auto"/>
          </w:divBdr>
          <w:divsChild>
            <w:div w:id="1315797042">
              <w:marLeft w:val="0"/>
              <w:marRight w:val="0"/>
              <w:marTop w:val="0"/>
              <w:marBottom w:val="0"/>
              <w:divBdr>
                <w:top w:val="none" w:sz="0" w:space="0" w:color="auto"/>
                <w:left w:val="none" w:sz="0" w:space="0" w:color="auto"/>
                <w:bottom w:val="none" w:sz="0" w:space="0" w:color="auto"/>
                <w:right w:val="none" w:sz="0" w:space="0" w:color="auto"/>
              </w:divBdr>
              <w:divsChild>
                <w:div w:id="1331060301">
                  <w:marLeft w:val="0"/>
                  <w:marRight w:val="0"/>
                  <w:marTop w:val="0"/>
                  <w:marBottom w:val="0"/>
                  <w:divBdr>
                    <w:top w:val="none" w:sz="0" w:space="0" w:color="auto"/>
                    <w:left w:val="none" w:sz="0" w:space="0" w:color="auto"/>
                    <w:bottom w:val="none" w:sz="0" w:space="0" w:color="auto"/>
                    <w:right w:val="none" w:sz="0" w:space="0" w:color="auto"/>
                  </w:divBdr>
                  <w:divsChild>
                    <w:div w:id="129330035">
                      <w:marLeft w:val="0"/>
                      <w:marRight w:val="0"/>
                      <w:marTop w:val="0"/>
                      <w:marBottom w:val="0"/>
                      <w:divBdr>
                        <w:top w:val="none" w:sz="0" w:space="0" w:color="auto"/>
                        <w:left w:val="none" w:sz="0" w:space="0" w:color="auto"/>
                        <w:bottom w:val="none" w:sz="0" w:space="0" w:color="auto"/>
                        <w:right w:val="none" w:sz="0" w:space="0" w:color="auto"/>
                      </w:divBdr>
                      <w:divsChild>
                        <w:div w:id="1802187856">
                          <w:marLeft w:val="0"/>
                          <w:marRight w:val="0"/>
                          <w:marTop w:val="0"/>
                          <w:marBottom w:val="0"/>
                          <w:divBdr>
                            <w:top w:val="none" w:sz="0" w:space="0" w:color="auto"/>
                            <w:left w:val="none" w:sz="0" w:space="0" w:color="auto"/>
                            <w:bottom w:val="none" w:sz="0" w:space="0" w:color="auto"/>
                            <w:right w:val="none" w:sz="0" w:space="0" w:color="auto"/>
                          </w:divBdr>
                          <w:divsChild>
                            <w:div w:id="1856385103">
                              <w:marLeft w:val="0"/>
                              <w:marRight w:val="0"/>
                              <w:marTop w:val="0"/>
                              <w:marBottom w:val="0"/>
                              <w:divBdr>
                                <w:top w:val="none" w:sz="0" w:space="0" w:color="auto"/>
                                <w:left w:val="none" w:sz="0" w:space="0" w:color="auto"/>
                                <w:bottom w:val="none" w:sz="0" w:space="0" w:color="auto"/>
                                <w:right w:val="none" w:sz="0" w:space="0" w:color="auto"/>
                              </w:divBdr>
                              <w:divsChild>
                                <w:div w:id="975258505">
                                  <w:marLeft w:val="0"/>
                                  <w:marRight w:val="0"/>
                                  <w:marTop w:val="0"/>
                                  <w:marBottom w:val="0"/>
                                  <w:divBdr>
                                    <w:top w:val="none" w:sz="0" w:space="0" w:color="auto"/>
                                    <w:left w:val="none" w:sz="0" w:space="0" w:color="auto"/>
                                    <w:bottom w:val="none" w:sz="0" w:space="0" w:color="auto"/>
                                    <w:right w:val="none" w:sz="0" w:space="0" w:color="auto"/>
                                  </w:divBdr>
                                  <w:divsChild>
                                    <w:div w:id="915167964">
                                      <w:marLeft w:val="0"/>
                                      <w:marRight w:val="0"/>
                                      <w:marTop w:val="0"/>
                                      <w:marBottom w:val="0"/>
                                      <w:divBdr>
                                        <w:top w:val="none" w:sz="0" w:space="0" w:color="auto"/>
                                        <w:left w:val="none" w:sz="0" w:space="0" w:color="auto"/>
                                        <w:bottom w:val="none" w:sz="0" w:space="0" w:color="auto"/>
                                        <w:right w:val="none" w:sz="0" w:space="0" w:color="auto"/>
                                      </w:divBdr>
                                      <w:divsChild>
                                        <w:div w:id="356128344">
                                          <w:marLeft w:val="0"/>
                                          <w:marRight w:val="0"/>
                                          <w:marTop w:val="0"/>
                                          <w:marBottom w:val="0"/>
                                          <w:divBdr>
                                            <w:top w:val="none" w:sz="0" w:space="0" w:color="auto"/>
                                            <w:left w:val="none" w:sz="0" w:space="0" w:color="auto"/>
                                            <w:bottom w:val="none" w:sz="0" w:space="0" w:color="auto"/>
                                            <w:right w:val="none" w:sz="0" w:space="0" w:color="auto"/>
                                          </w:divBdr>
                                          <w:divsChild>
                                            <w:div w:id="2047178547">
                                              <w:marLeft w:val="0"/>
                                              <w:marRight w:val="0"/>
                                              <w:marTop w:val="0"/>
                                              <w:marBottom w:val="0"/>
                                              <w:divBdr>
                                                <w:top w:val="none" w:sz="0" w:space="0" w:color="auto"/>
                                                <w:left w:val="none" w:sz="0" w:space="0" w:color="auto"/>
                                                <w:bottom w:val="none" w:sz="0" w:space="0" w:color="auto"/>
                                                <w:right w:val="none" w:sz="0" w:space="0" w:color="auto"/>
                                              </w:divBdr>
                                              <w:divsChild>
                                                <w:div w:id="1700812926">
                                                  <w:marLeft w:val="0"/>
                                                  <w:marRight w:val="0"/>
                                                  <w:marTop w:val="0"/>
                                                  <w:marBottom w:val="0"/>
                                                  <w:divBdr>
                                                    <w:top w:val="none" w:sz="0" w:space="0" w:color="auto"/>
                                                    <w:left w:val="none" w:sz="0" w:space="0" w:color="auto"/>
                                                    <w:bottom w:val="none" w:sz="0" w:space="0" w:color="auto"/>
                                                    <w:right w:val="none" w:sz="0" w:space="0" w:color="auto"/>
                                                  </w:divBdr>
                                                  <w:divsChild>
                                                    <w:div w:id="2017071915">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1681702">
      <w:bodyDiv w:val="1"/>
      <w:marLeft w:val="0"/>
      <w:marRight w:val="0"/>
      <w:marTop w:val="0"/>
      <w:marBottom w:val="0"/>
      <w:divBdr>
        <w:top w:val="none" w:sz="0" w:space="0" w:color="auto"/>
        <w:left w:val="none" w:sz="0" w:space="0" w:color="auto"/>
        <w:bottom w:val="none" w:sz="0" w:space="0" w:color="auto"/>
        <w:right w:val="none" w:sz="0" w:space="0" w:color="auto"/>
      </w:divBdr>
    </w:div>
    <w:div w:id="771509854">
      <w:bodyDiv w:val="1"/>
      <w:marLeft w:val="0"/>
      <w:marRight w:val="0"/>
      <w:marTop w:val="0"/>
      <w:marBottom w:val="0"/>
      <w:divBdr>
        <w:top w:val="none" w:sz="0" w:space="0" w:color="auto"/>
        <w:left w:val="none" w:sz="0" w:space="0" w:color="auto"/>
        <w:bottom w:val="none" w:sz="0" w:space="0" w:color="auto"/>
        <w:right w:val="none" w:sz="0" w:space="0" w:color="auto"/>
      </w:divBdr>
    </w:div>
    <w:div w:id="826435302">
      <w:bodyDiv w:val="1"/>
      <w:marLeft w:val="0"/>
      <w:marRight w:val="0"/>
      <w:marTop w:val="0"/>
      <w:marBottom w:val="0"/>
      <w:divBdr>
        <w:top w:val="none" w:sz="0" w:space="0" w:color="auto"/>
        <w:left w:val="none" w:sz="0" w:space="0" w:color="auto"/>
        <w:bottom w:val="none" w:sz="0" w:space="0" w:color="auto"/>
        <w:right w:val="none" w:sz="0" w:space="0" w:color="auto"/>
      </w:divBdr>
    </w:div>
    <w:div w:id="858469298">
      <w:bodyDiv w:val="1"/>
      <w:marLeft w:val="0"/>
      <w:marRight w:val="0"/>
      <w:marTop w:val="0"/>
      <w:marBottom w:val="0"/>
      <w:divBdr>
        <w:top w:val="none" w:sz="0" w:space="0" w:color="auto"/>
        <w:left w:val="none" w:sz="0" w:space="0" w:color="auto"/>
        <w:bottom w:val="none" w:sz="0" w:space="0" w:color="auto"/>
        <w:right w:val="none" w:sz="0" w:space="0" w:color="auto"/>
      </w:divBdr>
    </w:div>
    <w:div w:id="939994764">
      <w:bodyDiv w:val="1"/>
      <w:marLeft w:val="0"/>
      <w:marRight w:val="0"/>
      <w:marTop w:val="0"/>
      <w:marBottom w:val="0"/>
      <w:divBdr>
        <w:top w:val="none" w:sz="0" w:space="0" w:color="auto"/>
        <w:left w:val="none" w:sz="0" w:space="0" w:color="auto"/>
        <w:bottom w:val="none" w:sz="0" w:space="0" w:color="auto"/>
        <w:right w:val="none" w:sz="0" w:space="0" w:color="auto"/>
      </w:divBdr>
    </w:div>
    <w:div w:id="986318540">
      <w:bodyDiv w:val="1"/>
      <w:marLeft w:val="0"/>
      <w:marRight w:val="0"/>
      <w:marTop w:val="0"/>
      <w:marBottom w:val="0"/>
      <w:divBdr>
        <w:top w:val="none" w:sz="0" w:space="0" w:color="auto"/>
        <w:left w:val="none" w:sz="0" w:space="0" w:color="auto"/>
        <w:bottom w:val="none" w:sz="0" w:space="0" w:color="auto"/>
        <w:right w:val="none" w:sz="0" w:space="0" w:color="auto"/>
      </w:divBdr>
    </w:div>
    <w:div w:id="1075929484">
      <w:bodyDiv w:val="1"/>
      <w:marLeft w:val="0"/>
      <w:marRight w:val="0"/>
      <w:marTop w:val="0"/>
      <w:marBottom w:val="0"/>
      <w:divBdr>
        <w:top w:val="none" w:sz="0" w:space="0" w:color="auto"/>
        <w:left w:val="none" w:sz="0" w:space="0" w:color="auto"/>
        <w:bottom w:val="none" w:sz="0" w:space="0" w:color="auto"/>
        <w:right w:val="none" w:sz="0" w:space="0" w:color="auto"/>
      </w:divBdr>
    </w:div>
    <w:div w:id="1087922847">
      <w:bodyDiv w:val="1"/>
      <w:marLeft w:val="0"/>
      <w:marRight w:val="0"/>
      <w:marTop w:val="0"/>
      <w:marBottom w:val="0"/>
      <w:divBdr>
        <w:top w:val="none" w:sz="0" w:space="0" w:color="auto"/>
        <w:left w:val="none" w:sz="0" w:space="0" w:color="auto"/>
        <w:bottom w:val="none" w:sz="0" w:space="0" w:color="auto"/>
        <w:right w:val="none" w:sz="0" w:space="0" w:color="auto"/>
      </w:divBdr>
    </w:div>
    <w:div w:id="1105921839">
      <w:bodyDiv w:val="1"/>
      <w:marLeft w:val="0"/>
      <w:marRight w:val="0"/>
      <w:marTop w:val="0"/>
      <w:marBottom w:val="0"/>
      <w:divBdr>
        <w:top w:val="none" w:sz="0" w:space="0" w:color="auto"/>
        <w:left w:val="none" w:sz="0" w:space="0" w:color="auto"/>
        <w:bottom w:val="none" w:sz="0" w:space="0" w:color="auto"/>
        <w:right w:val="none" w:sz="0" w:space="0" w:color="auto"/>
      </w:divBdr>
    </w:div>
    <w:div w:id="1115826734">
      <w:bodyDiv w:val="1"/>
      <w:marLeft w:val="0"/>
      <w:marRight w:val="0"/>
      <w:marTop w:val="0"/>
      <w:marBottom w:val="0"/>
      <w:divBdr>
        <w:top w:val="none" w:sz="0" w:space="0" w:color="auto"/>
        <w:left w:val="none" w:sz="0" w:space="0" w:color="auto"/>
        <w:bottom w:val="none" w:sz="0" w:space="0" w:color="auto"/>
        <w:right w:val="none" w:sz="0" w:space="0" w:color="auto"/>
      </w:divBdr>
    </w:div>
    <w:div w:id="1212378121">
      <w:bodyDiv w:val="1"/>
      <w:marLeft w:val="0"/>
      <w:marRight w:val="0"/>
      <w:marTop w:val="0"/>
      <w:marBottom w:val="0"/>
      <w:divBdr>
        <w:top w:val="none" w:sz="0" w:space="0" w:color="auto"/>
        <w:left w:val="none" w:sz="0" w:space="0" w:color="auto"/>
        <w:bottom w:val="none" w:sz="0" w:space="0" w:color="auto"/>
        <w:right w:val="none" w:sz="0" w:space="0" w:color="auto"/>
      </w:divBdr>
      <w:divsChild>
        <w:div w:id="1476751867">
          <w:marLeft w:val="0"/>
          <w:marRight w:val="0"/>
          <w:marTop w:val="0"/>
          <w:marBottom w:val="0"/>
          <w:divBdr>
            <w:top w:val="none" w:sz="0" w:space="0" w:color="auto"/>
            <w:left w:val="none" w:sz="0" w:space="0" w:color="auto"/>
            <w:bottom w:val="none" w:sz="0" w:space="0" w:color="auto"/>
            <w:right w:val="none" w:sz="0" w:space="0" w:color="auto"/>
          </w:divBdr>
          <w:divsChild>
            <w:div w:id="460079094">
              <w:marLeft w:val="0"/>
              <w:marRight w:val="0"/>
              <w:marTop w:val="0"/>
              <w:marBottom w:val="0"/>
              <w:divBdr>
                <w:top w:val="none" w:sz="0" w:space="0" w:color="auto"/>
                <w:left w:val="none" w:sz="0" w:space="0" w:color="auto"/>
                <w:bottom w:val="none" w:sz="0" w:space="0" w:color="auto"/>
                <w:right w:val="none" w:sz="0" w:space="0" w:color="auto"/>
              </w:divBdr>
              <w:divsChild>
                <w:div w:id="809637326">
                  <w:marLeft w:val="0"/>
                  <w:marRight w:val="0"/>
                  <w:marTop w:val="0"/>
                  <w:marBottom w:val="0"/>
                  <w:divBdr>
                    <w:top w:val="none" w:sz="0" w:space="0" w:color="auto"/>
                    <w:left w:val="none" w:sz="0" w:space="0" w:color="auto"/>
                    <w:bottom w:val="none" w:sz="0" w:space="0" w:color="auto"/>
                    <w:right w:val="none" w:sz="0" w:space="0" w:color="auto"/>
                  </w:divBdr>
                  <w:divsChild>
                    <w:div w:id="440611207">
                      <w:marLeft w:val="0"/>
                      <w:marRight w:val="0"/>
                      <w:marTop w:val="0"/>
                      <w:marBottom w:val="0"/>
                      <w:divBdr>
                        <w:top w:val="none" w:sz="0" w:space="0" w:color="auto"/>
                        <w:left w:val="none" w:sz="0" w:space="0" w:color="auto"/>
                        <w:bottom w:val="none" w:sz="0" w:space="0" w:color="auto"/>
                        <w:right w:val="none" w:sz="0" w:space="0" w:color="auto"/>
                      </w:divBdr>
                      <w:divsChild>
                        <w:div w:id="1420372745">
                          <w:marLeft w:val="0"/>
                          <w:marRight w:val="0"/>
                          <w:marTop w:val="0"/>
                          <w:marBottom w:val="0"/>
                          <w:divBdr>
                            <w:top w:val="none" w:sz="0" w:space="0" w:color="auto"/>
                            <w:left w:val="none" w:sz="0" w:space="0" w:color="auto"/>
                            <w:bottom w:val="none" w:sz="0" w:space="0" w:color="auto"/>
                            <w:right w:val="none" w:sz="0" w:space="0" w:color="auto"/>
                          </w:divBdr>
                          <w:divsChild>
                            <w:div w:id="524952314">
                              <w:marLeft w:val="0"/>
                              <w:marRight w:val="0"/>
                              <w:marTop w:val="0"/>
                              <w:marBottom w:val="0"/>
                              <w:divBdr>
                                <w:top w:val="none" w:sz="0" w:space="0" w:color="auto"/>
                                <w:left w:val="none" w:sz="0" w:space="0" w:color="auto"/>
                                <w:bottom w:val="none" w:sz="0" w:space="0" w:color="auto"/>
                                <w:right w:val="none" w:sz="0" w:space="0" w:color="auto"/>
                              </w:divBdr>
                              <w:divsChild>
                                <w:div w:id="1857691577">
                                  <w:marLeft w:val="0"/>
                                  <w:marRight w:val="0"/>
                                  <w:marTop w:val="0"/>
                                  <w:marBottom w:val="0"/>
                                  <w:divBdr>
                                    <w:top w:val="none" w:sz="0" w:space="0" w:color="auto"/>
                                    <w:left w:val="none" w:sz="0" w:space="0" w:color="auto"/>
                                    <w:bottom w:val="none" w:sz="0" w:space="0" w:color="auto"/>
                                    <w:right w:val="none" w:sz="0" w:space="0" w:color="auto"/>
                                  </w:divBdr>
                                  <w:divsChild>
                                    <w:div w:id="1006665423">
                                      <w:marLeft w:val="0"/>
                                      <w:marRight w:val="0"/>
                                      <w:marTop w:val="0"/>
                                      <w:marBottom w:val="0"/>
                                      <w:divBdr>
                                        <w:top w:val="none" w:sz="0" w:space="0" w:color="auto"/>
                                        <w:left w:val="none" w:sz="0" w:space="0" w:color="auto"/>
                                        <w:bottom w:val="none" w:sz="0" w:space="0" w:color="auto"/>
                                        <w:right w:val="none" w:sz="0" w:space="0" w:color="auto"/>
                                      </w:divBdr>
                                      <w:divsChild>
                                        <w:div w:id="667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368947">
      <w:bodyDiv w:val="1"/>
      <w:marLeft w:val="0"/>
      <w:marRight w:val="0"/>
      <w:marTop w:val="0"/>
      <w:marBottom w:val="0"/>
      <w:divBdr>
        <w:top w:val="none" w:sz="0" w:space="0" w:color="auto"/>
        <w:left w:val="none" w:sz="0" w:space="0" w:color="auto"/>
        <w:bottom w:val="none" w:sz="0" w:space="0" w:color="auto"/>
        <w:right w:val="none" w:sz="0" w:space="0" w:color="auto"/>
      </w:divBdr>
    </w:div>
    <w:div w:id="1312514478">
      <w:bodyDiv w:val="1"/>
      <w:marLeft w:val="0"/>
      <w:marRight w:val="0"/>
      <w:marTop w:val="0"/>
      <w:marBottom w:val="0"/>
      <w:divBdr>
        <w:top w:val="none" w:sz="0" w:space="0" w:color="auto"/>
        <w:left w:val="none" w:sz="0" w:space="0" w:color="auto"/>
        <w:bottom w:val="none" w:sz="0" w:space="0" w:color="auto"/>
        <w:right w:val="none" w:sz="0" w:space="0" w:color="auto"/>
      </w:divBdr>
    </w:div>
    <w:div w:id="1354644705">
      <w:bodyDiv w:val="1"/>
      <w:marLeft w:val="0"/>
      <w:marRight w:val="0"/>
      <w:marTop w:val="0"/>
      <w:marBottom w:val="0"/>
      <w:divBdr>
        <w:top w:val="none" w:sz="0" w:space="0" w:color="auto"/>
        <w:left w:val="none" w:sz="0" w:space="0" w:color="auto"/>
        <w:bottom w:val="none" w:sz="0" w:space="0" w:color="auto"/>
        <w:right w:val="none" w:sz="0" w:space="0" w:color="auto"/>
      </w:divBdr>
      <w:divsChild>
        <w:div w:id="150801618">
          <w:marLeft w:val="0"/>
          <w:marRight w:val="0"/>
          <w:marTop w:val="0"/>
          <w:marBottom w:val="0"/>
          <w:divBdr>
            <w:top w:val="none" w:sz="0" w:space="0" w:color="auto"/>
            <w:left w:val="none" w:sz="0" w:space="0" w:color="auto"/>
            <w:bottom w:val="none" w:sz="0" w:space="0" w:color="auto"/>
            <w:right w:val="none" w:sz="0" w:space="0" w:color="auto"/>
          </w:divBdr>
          <w:divsChild>
            <w:div w:id="1576936200">
              <w:marLeft w:val="0"/>
              <w:marRight w:val="0"/>
              <w:marTop w:val="0"/>
              <w:marBottom w:val="0"/>
              <w:divBdr>
                <w:top w:val="none" w:sz="0" w:space="0" w:color="auto"/>
                <w:left w:val="none" w:sz="0" w:space="0" w:color="auto"/>
                <w:bottom w:val="none" w:sz="0" w:space="0" w:color="auto"/>
                <w:right w:val="none" w:sz="0" w:space="0" w:color="auto"/>
              </w:divBdr>
              <w:divsChild>
                <w:div w:id="2108963079">
                  <w:marLeft w:val="0"/>
                  <w:marRight w:val="0"/>
                  <w:marTop w:val="0"/>
                  <w:marBottom w:val="0"/>
                  <w:divBdr>
                    <w:top w:val="none" w:sz="0" w:space="0" w:color="auto"/>
                    <w:left w:val="none" w:sz="0" w:space="0" w:color="auto"/>
                    <w:bottom w:val="none" w:sz="0" w:space="0" w:color="auto"/>
                    <w:right w:val="none" w:sz="0" w:space="0" w:color="auto"/>
                  </w:divBdr>
                  <w:divsChild>
                    <w:div w:id="1260723792">
                      <w:marLeft w:val="0"/>
                      <w:marRight w:val="0"/>
                      <w:marTop w:val="0"/>
                      <w:marBottom w:val="0"/>
                      <w:divBdr>
                        <w:top w:val="none" w:sz="0" w:space="0" w:color="auto"/>
                        <w:left w:val="none" w:sz="0" w:space="0" w:color="auto"/>
                        <w:bottom w:val="none" w:sz="0" w:space="0" w:color="auto"/>
                        <w:right w:val="none" w:sz="0" w:space="0" w:color="auto"/>
                      </w:divBdr>
                      <w:divsChild>
                        <w:div w:id="1594974390">
                          <w:marLeft w:val="0"/>
                          <w:marRight w:val="0"/>
                          <w:marTop w:val="0"/>
                          <w:marBottom w:val="0"/>
                          <w:divBdr>
                            <w:top w:val="none" w:sz="0" w:space="0" w:color="auto"/>
                            <w:left w:val="none" w:sz="0" w:space="0" w:color="auto"/>
                            <w:bottom w:val="none" w:sz="0" w:space="0" w:color="auto"/>
                            <w:right w:val="none" w:sz="0" w:space="0" w:color="auto"/>
                          </w:divBdr>
                          <w:divsChild>
                            <w:div w:id="866479181">
                              <w:marLeft w:val="0"/>
                              <w:marRight w:val="0"/>
                              <w:marTop w:val="0"/>
                              <w:marBottom w:val="0"/>
                              <w:divBdr>
                                <w:top w:val="none" w:sz="0" w:space="0" w:color="auto"/>
                                <w:left w:val="none" w:sz="0" w:space="0" w:color="auto"/>
                                <w:bottom w:val="none" w:sz="0" w:space="0" w:color="auto"/>
                                <w:right w:val="none" w:sz="0" w:space="0" w:color="auto"/>
                              </w:divBdr>
                              <w:divsChild>
                                <w:div w:id="1114909667">
                                  <w:marLeft w:val="0"/>
                                  <w:marRight w:val="0"/>
                                  <w:marTop w:val="0"/>
                                  <w:marBottom w:val="0"/>
                                  <w:divBdr>
                                    <w:top w:val="none" w:sz="0" w:space="0" w:color="auto"/>
                                    <w:left w:val="none" w:sz="0" w:space="0" w:color="auto"/>
                                    <w:bottom w:val="none" w:sz="0" w:space="0" w:color="auto"/>
                                    <w:right w:val="none" w:sz="0" w:space="0" w:color="auto"/>
                                  </w:divBdr>
                                  <w:divsChild>
                                    <w:div w:id="2137289701">
                                      <w:marLeft w:val="0"/>
                                      <w:marRight w:val="0"/>
                                      <w:marTop w:val="0"/>
                                      <w:marBottom w:val="0"/>
                                      <w:divBdr>
                                        <w:top w:val="none" w:sz="0" w:space="0" w:color="auto"/>
                                        <w:left w:val="none" w:sz="0" w:space="0" w:color="auto"/>
                                        <w:bottom w:val="none" w:sz="0" w:space="0" w:color="auto"/>
                                        <w:right w:val="none" w:sz="0" w:space="0" w:color="auto"/>
                                      </w:divBdr>
                                      <w:divsChild>
                                        <w:div w:id="57751939">
                                          <w:marLeft w:val="0"/>
                                          <w:marRight w:val="0"/>
                                          <w:marTop w:val="0"/>
                                          <w:marBottom w:val="0"/>
                                          <w:divBdr>
                                            <w:top w:val="none" w:sz="0" w:space="0" w:color="auto"/>
                                            <w:left w:val="none" w:sz="0" w:space="0" w:color="auto"/>
                                            <w:bottom w:val="none" w:sz="0" w:space="0" w:color="auto"/>
                                            <w:right w:val="none" w:sz="0" w:space="0" w:color="auto"/>
                                          </w:divBdr>
                                          <w:divsChild>
                                            <w:div w:id="363213287">
                                              <w:marLeft w:val="0"/>
                                              <w:marRight w:val="0"/>
                                              <w:marTop w:val="0"/>
                                              <w:marBottom w:val="0"/>
                                              <w:divBdr>
                                                <w:top w:val="none" w:sz="0" w:space="0" w:color="auto"/>
                                                <w:left w:val="none" w:sz="0" w:space="0" w:color="auto"/>
                                                <w:bottom w:val="none" w:sz="0" w:space="0" w:color="auto"/>
                                                <w:right w:val="none" w:sz="0" w:space="0" w:color="auto"/>
                                              </w:divBdr>
                                              <w:divsChild>
                                                <w:div w:id="620653296">
                                                  <w:marLeft w:val="0"/>
                                                  <w:marRight w:val="0"/>
                                                  <w:marTop w:val="0"/>
                                                  <w:marBottom w:val="0"/>
                                                  <w:divBdr>
                                                    <w:top w:val="none" w:sz="0" w:space="0" w:color="auto"/>
                                                    <w:left w:val="none" w:sz="0" w:space="0" w:color="auto"/>
                                                    <w:bottom w:val="none" w:sz="0" w:space="0" w:color="auto"/>
                                                    <w:right w:val="none" w:sz="0" w:space="0" w:color="auto"/>
                                                  </w:divBdr>
                                                  <w:divsChild>
                                                    <w:div w:id="1601838169">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636656">
      <w:bodyDiv w:val="1"/>
      <w:marLeft w:val="0"/>
      <w:marRight w:val="0"/>
      <w:marTop w:val="0"/>
      <w:marBottom w:val="0"/>
      <w:divBdr>
        <w:top w:val="none" w:sz="0" w:space="0" w:color="auto"/>
        <w:left w:val="none" w:sz="0" w:space="0" w:color="auto"/>
        <w:bottom w:val="none" w:sz="0" w:space="0" w:color="auto"/>
        <w:right w:val="none" w:sz="0" w:space="0" w:color="auto"/>
      </w:divBdr>
    </w:div>
    <w:div w:id="1535339139">
      <w:bodyDiv w:val="1"/>
      <w:marLeft w:val="0"/>
      <w:marRight w:val="0"/>
      <w:marTop w:val="0"/>
      <w:marBottom w:val="0"/>
      <w:divBdr>
        <w:top w:val="none" w:sz="0" w:space="0" w:color="auto"/>
        <w:left w:val="none" w:sz="0" w:space="0" w:color="auto"/>
        <w:bottom w:val="none" w:sz="0" w:space="0" w:color="auto"/>
        <w:right w:val="none" w:sz="0" w:space="0" w:color="auto"/>
      </w:divBdr>
    </w:div>
    <w:div w:id="1539272587">
      <w:bodyDiv w:val="1"/>
      <w:marLeft w:val="0"/>
      <w:marRight w:val="0"/>
      <w:marTop w:val="0"/>
      <w:marBottom w:val="0"/>
      <w:divBdr>
        <w:top w:val="none" w:sz="0" w:space="0" w:color="auto"/>
        <w:left w:val="none" w:sz="0" w:space="0" w:color="auto"/>
        <w:bottom w:val="none" w:sz="0" w:space="0" w:color="auto"/>
        <w:right w:val="none" w:sz="0" w:space="0" w:color="auto"/>
      </w:divBdr>
    </w:div>
    <w:div w:id="1543323751">
      <w:bodyDiv w:val="1"/>
      <w:marLeft w:val="0"/>
      <w:marRight w:val="0"/>
      <w:marTop w:val="0"/>
      <w:marBottom w:val="0"/>
      <w:divBdr>
        <w:top w:val="none" w:sz="0" w:space="0" w:color="auto"/>
        <w:left w:val="none" w:sz="0" w:space="0" w:color="auto"/>
        <w:bottom w:val="none" w:sz="0" w:space="0" w:color="auto"/>
        <w:right w:val="none" w:sz="0" w:space="0" w:color="auto"/>
      </w:divBdr>
    </w:div>
    <w:div w:id="1814176989">
      <w:bodyDiv w:val="1"/>
      <w:marLeft w:val="0"/>
      <w:marRight w:val="0"/>
      <w:marTop w:val="0"/>
      <w:marBottom w:val="0"/>
      <w:divBdr>
        <w:top w:val="none" w:sz="0" w:space="0" w:color="auto"/>
        <w:left w:val="none" w:sz="0" w:space="0" w:color="auto"/>
        <w:bottom w:val="none" w:sz="0" w:space="0" w:color="auto"/>
        <w:right w:val="none" w:sz="0" w:space="0" w:color="auto"/>
      </w:divBdr>
    </w:div>
    <w:div w:id="1819036278">
      <w:bodyDiv w:val="1"/>
      <w:marLeft w:val="0"/>
      <w:marRight w:val="0"/>
      <w:marTop w:val="0"/>
      <w:marBottom w:val="0"/>
      <w:divBdr>
        <w:top w:val="none" w:sz="0" w:space="0" w:color="auto"/>
        <w:left w:val="none" w:sz="0" w:space="0" w:color="auto"/>
        <w:bottom w:val="none" w:sz="0" w:space="0" w:color="auto"/>
        <w:right w:val="none" w:sz="0" w:space="0" w:color="auto"/>
      </w:divBdr>
      <w:divsChild>
        <w:div w:id="1484857165">
          <w:marLeft w:val="0"/>
          <w:marRight w:val="0"/>
          <w:marTop w:val="0"/>
          <w:marBottom w:val="0"/>
          <w:divBdr>
            <w:top w:val="none" w:sz="0" w:space="0" w:color="auto"/>
            <w:left w:val="none" w:sz="0" w:space="0" w:color="auto"/>
            <w:bottom w:val="none" w:sz="0" w:space="0" w:color="auto"/>
            <w:right w:val="none" w:sz="0" w:space="0" w:color="auto"/>
          </w:divBdr>
          <w:divsChild>
            <w:div w:id="736124797">
              <w:marLeft w:val="0"/>
              <w:marRight w:val="0"/>
              <w:marTop w:val="0"/>
              <w:marBottom w:val="0"/>
              <w:divBdr>
                <w:top w:val="none" w:sz="0" w:space="0" w:color="auto"/>
                <w:left w:val="none" w:sz="0" w:space="0" w:color="auto"/>
                <w:bottom w:val="none" w:sz="0" w:space="0" w:color="auto"/>
                <w:right w:val="none" w:sz="0" w:space="0" w:color="auto"/>
              </w:divBdr>
              <w:divsChild>
                <w:div w:id="2140368137">
                  <w:marLeft w:val="0"/>
                  <w:marRight w:val="0"/>
                  <w:marTop w:val="0"/>
                  <w:marBottom w:val="0"/>
                  <w:divBdr>
                    <w:top w:val="none" w:sz="0" w:space="0" w:color="auto"/>
                    <w:left w:val="none" w:sz="0" w:space="0" w:color="auto"/>
                    <w:bottom w:val="none" w:sz="0" w:space="0" w:color="auto"/>
                    <w:right w:val="none" w:sz="0" w:space="0" w:color="auto"/>
                  </w:divBdr>
                  <w:divsChild>
                    <w:div w:id="782303395">
                      <w:marLeft w:val="0"/>
                      <w:marRight w:val="0"/>
                      <w:marTop w:val="0"/>
                      <w:marBottom w:val="0"/>
                      <w:divBdr>
                        <w:top w:val="none" w:sz="0" w:space="0" w:color="auto"/>
                        <w:left w:val="none" w:sz="0" w:space="0" w:color="auto"/>
                        <w:bottom w:val="none" w:sz="0" w:space="0" w:color="auto"/>
                        <w:right w:val="none" w:sz="0" w:space="0" w:color="auto"/>
                      </w:divBdr>
                      <w:divsChild>
                        <w:div w:id="879366173">
                          <w:marLeft w:val="0"/>
                          <w:marRight w:val="0"/>
                          <w:marTop w:val="0"/>
                          <w:marBottom w:val="0"/>
                          <w:divBdr>
                            <w:top w:val="none" w:sz="0" w:space="0" w:color="auto"/>
                            <w:left w:val="none" w:sz="0" w:space="0" w:color="auto"/>
                            <w:bottom w:val="none" w:sz="0" w:space="0" w:color="auto"/>
                            <w:right w:val="none" w:sz="0" w:space="0" w:color="auto"/>
                          </w:divBdr>
                          <w:divsChild>
                            <w:div w:id="663438462">
                              <w:marLeft w:val="0"/>
                              <w:marRight w:val="0"/>
                              <w:marTop w:val="0"/>
                              <w:marBottom w:val="0"/>
                              <w:divBdr>
                                <w:top w:val="none" w:sz="0" w:space="0" w:color="auto"/>
                                <w:left w:val="none" w:sz="0" w:space="0" w:color="auto"/>
                                <w:bottom w:val="none" w:sz="0" w:space="0" w:color="auto"/>
                                <w:right w:val="none" w:sz="0" w:space="0" w:color="auto"/>
                              </w:divBdr>
                              <w:divsChild>
                                <w:div w:id="792358567">
                                  <w:marLeft w:val="0"/>
                                  <w:marRight w:val="0"/>
                                  <w:marTop w:val="0"/>
                                  <w:marBottom w:val="0"/>
                                  <w:divBdr>
                                    <w:top w:val="none" w:sz="0" w:space="0" w:color="auto"/>
                                    <w:left w:val="none" w:sz="0" w:space="0" w:color="auto"/>
                                    <w:bottom w:val="none" w:sz="0" w:space="0" w:color="auto"/>
                                    <w:right w:val="none" w:sz="0" w:space="0" w:color="auto"/>
                                  </w:divBdr>
                                  <w:divsChild>
                                    <w:div w:id="547645325">
                                      <w:marLeft w:val="0"/>
                                      <w:marRight w:val="0"/>
                                      <w:marTop w:val="0"/>
                                      <w:marBottom w:val="0"/>
                                      <w:divBdr>
                                        <w:top w:val="none" w:sz="0" w:space="0" w:color="auto"/>
                                        <w:left w:val="none" w:sz="0" w:space="0" w:color="auto"/>
                                        <w:bottom w:val="none" w:sz="0" w:space="0" w:color="auto"/>
                                        <w:right w:val="none" w:sz="0" w:space="0" w:color="auto"/>
                                      </w:divBdr>
                                      <w:divsChild>
                                        <w:div w:id="829717347">
                                          <w:marLeft w:val="0"/>
                                          <w:marRight w:val="0"/>
                                          <w:marTop w:val="0"/>
                                          <w:marBottom w:val="0"/>
                                          <w:divBdr>
                                            <w:top w:val="none" w:sz="0" w:space="0" w:color="auto"/>
                                            <w:left w:val="none" w:sz="0" w:space="0" w:color="auto"/>
                                            <w:bottom w:val="none" w:sz="0" w:space="0" w:color="auto"/>
                                            <w:right w:val="none" w:sz="0" w:space="0" w:color="auto"/>
                                          </w:divBdr>
                                          <w:divsChild>
                                            <w:div w:id="12273477">
                                              <w:marLeft w:val="0"/>
                                              <w:marRight w:val="0"/>
                                              <w:marTop w:val="0"/>
                                              <w:marBottom w:val="0"/>
                                              <w:divBdr>
                                                <w:top w:val="none" w:sz="0" w:space="0" w:color="auto"/>
                                                <w:left w:val="none" w:sz="0" w:space="0" w:color="auto"/>
                                                <w:bottom w:val="none" w:sz="0" w:space="0" w:color="auto"/>
                                                <w:right w:val="none" w:sz="0" w:space="0" w:color="auto"/>
                                              </w:divBdr>
                                              <w:divsChild>
                                                <w:div w:id="680667592">
                                                  <w:marLeft w:val="0"/>
                                                  <w:marRight w:val="0"/>
                                                  <w:marTop w:val="0"/>
                                                  <w:marBottom w:val="0"/>
                                                  <w:divBdr>
                                                    <w:top w:val="none" w:sz="0" w:space="0" w:color="auto"/>
                                                    <w:left w:val="none" w:sz="0" w:space="0" w:color="auto"/>
                                                    <w:bottom w:val="none" w:sz="0" w:space="0" w:color="auto"/>
                                                    <w:right w:val="none" w:sz="0" w:space="0" w:color="auto"/>
                                                  </w:divBdr>
                                                  <w:divsChild>
                                                    <w:div w:id="1241064628">
                                                      <w:blockQuote w:val="1"/>
                                                      <w:marLeft w:val="480"/>
                                                      <w:marRight w:val="480"/>
                                                      <w:marTop w:val="240"/>
                                                      <w:marBottom w:val="240"/>
                                                      <w:divBdr>
                                                        <w:top w:val="none" w:sz="0" w:space="0" w:color="auto"/>
                                                        <w:left w:val="none" w:sz="0" w:space="0" w:color="auto"/>
                                                        <w:bottom w:val="none" w:sz="0" w:space="0" w:color="auto"/>
                                                        <w:right w:val="none" w:sz="0" w:space="0" w:color="auto"/>
                                                      </w:divBdr>
                                                    </w:div>
                                                    <w:div w:id="1909608399">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663180">
      <w:bodyDiv w:val="1"/>
      <w:marLeft w:val="0"/>
      <w:marRight w:val="0"/>
      <w:marTop w:val="0"/>
      <w:marBottom w:val="0"/>
      <w:divBdr>
        <w:top w:val="none" w:sz="0" w:space="0" w:color="auto"/>
        <w:left w:val="none" w:sz="0" w:space="0" w:color="auto"/>
        <w:bottom w:val="none" w:sz="0" w:space="0" w:color="auto"/>
        <w:right w:val="none" w:sz="0" w:space="0" w:color="auto"/>
      </w:divBdr>
    </w:div>
    <w:div w:id="1921864109">
      <w:bodyDiv w:val="1"/>
      <w:marLeft w:val="0"/>
      <w:marRight w:val="0"/>
      <w:marTop w:val="0"/>
      <w:marBottom w:val="0"/>
      <w:divBdr>
        <w:top w:val="none" w:sz="0" w:space="0" w:color="auto"/>
        <w:left w:val="none" w:sz="0" w:space="0" w:color="auto"/>
        <w:bottom w:val="none" w:sz="0" w:space="0" w:color="auto"/>
        <w:right w:val="none" w:sz="0" w:space="0" w:color="auto"/>
      </w:divBdr>
      <w:divsChild>
        <w:div w:id="1830705341">
          <w:marLeft w:val="0"/>
          <w:marRight w:val="0"/>
          <w:marTop w:val="0"/>
          <w:marBottom w:val="0"/>
          <w:divBdr>
            <w:top w:val="none" w:sz="0" w:space="0" w:color="auto"/>
            <w:left w:val="none" w:sz="0" w:space="0" w:color="auto"/>
            <w:bottom w:val="none" w:sz="0" w:space="0" w:color="auto"/>
            <w:right w:val="none" w:sz="0" w:space="0" w:color="auto"/>
          </w:divBdr>
          <w:divsChild>
            <w:div w:id="116262588">
              <w:marLeft w:val="0"/>
              <w:marRight w:val="0"/>
              <w:marTop w:val="0"/>
              <w:marBottom w:val="0"/>
              <w:divBdr>
                <w:top w:val="none" w:sz="0" w:space="0" w:color="auto"/>
                <w:left w:val="none" w:sz="0" w:space="0" w:color="auto"/>
                <w:bottom w:val="none" w:sz="0" w:space="0" w:color="auto"/>
                <w:right w:val="none" w:sz="0" w:space="0" w:color="auto"/>
              </w:divBdr>
              <w:divsChild>
                <w:div w:id="1724404502">
                  <w:marLeft w:val="0"/>
                  <w:marRight w:val="0"/>
                  <w:marTop w:val="0"/>
                  <w:marBottom w:val="0"/>
                  <w:divBdr>
                    <w:top w:val="none" w:sz="0" w:space="0" w:color="auto"/>
                    <w:left w:val="none" w:sz="0" w:space="0" w:color="auto"/>
                    <w:bottom w:val="none" w:sz="0" w:space="0" w:color="auto"/>
                    <w:right w:val="none" w:sz="0" w:space="0" w:color="auto"/>
                  </w:divBdr>
                  <w:divsChild>
                    <w:div w:id="1659454742">
                      <w:marLeft w:val="0"/>
                      <w:marRight w:val="0"/>
                      <w:marTop w:val="0"/>
                      <w:marBottom w:val="0"/>
                      <w:divBdr>
                        <w:top w:val="none" w:sz="0" w:space="0" w:color="auto"/>
                        <w:left w:val="none" w:sz="0" w:space="0" w:color="auto"/>
                        <w:bottom w:val="none" w:sz="0" w:space="0" w:color="auto"/>
                        <w:right w:val="none" w:sz="0" w:space="0" w:color="auto"/>
                      </w:divBdr>
                      <w:divsChild>
                        <w:div w:id="181748440">
                          <w:marLeft w:val="0"/>
                          <w:marRight w:val="0"/>
                          <w:marTop w:val="0"/>
                          <w:marBottom w:val="0"/>
                          <w:divBdr>
                            <w:top w:val="none" w:sz="0" w:space="0" w:color="auto"/>
                            <w:left w:val="none" w:sz="0" w:space="0" w:color="auto"/>
                            <w:bottom w:val="none" w:sz="0" w:space="0" w:color="auto"/>
                            <w:right w:val="none" w:sz="0" w:space="0" w:color="auto"/>
                          </w:divBdr>
                          <w:divsChild>
                            <w:div w:id="1070924193">
                              <w:marLeft w:val="0"/>
                              <w:marRight w:val="0"/>
                              <w:marTop w:val="0"/>
                              <w:marBottom w:val="0"/>
                              <w:divBdr>
                                <w:top w:val="none" w:sz="0" w:space="0" w:color="auto"/>
                                <w:left w:val="none" w:sz="0" w:space="0" w:color="auto"/>
                                <w:bottom w:val="none" w:sz="0" w:space="0" w:color="auto"/>
                                <w:right w:val="none" w:sz="0" w:space="0" w:color="auto"/>
                              </w:divBdr>
                              <w:divsChild>
                                <w:div w:id="124466281">
                                  <w:marLeft w:val="0"/>
                                  <w:marRight w:val="0"/>
                                  <w:marTop w:val="0"/>
                                  <w:marBottom w:val="0"/>
                                  <w:divBdr>
                                    <w:top w:val="none" w:sz="0" w:space="0" w:color="auto"/>
                                    <w:left w:val="none" w:sz="0" w:space="0" w:color="auto"/>
                                    <w:bottom w:val="none" w:sz="0" w:space="0" w:color="auto"/>
                                    <w:right w:val="none" w:sz="0" w:space="0" w:color="auto"/>
                                  </w:divBdr>
                                  <w:divsChild>
                                    <w:div w:id="524832146">
                                      <w:marLeft w:val="0"/>
                                      <w:marRight w:val="0"/>
                                      <w:marTop w:val="0"/>
                                      <w:marBottom w:val="0"/>
                                      <w:divBdr>
                                        <w:top w:val="none" w:sz="0" w:space="0" w:color="auto"/>
                                        <w:left w:val="none" w:sz="0" w:space="0" w:color="auto"/>
                                        <w:bottom w:val="none" w:sz="0" w:space="0" w:color="auto"/>
                                        <w:right w:val="none" w:sz="0" w:space="0" w:color="auto"/>
                                      </w:divBdr>
                                      <w:divsChild>
                                        <w:div w:id="878669008">
                                          <w:marLeft w:val="0"/>
                                          <w:marRight w:val="0"/>
                                          <w:marTop w:val="0"/>
                                          <w:marBottom w:val="0"/>
                                          <w:divBdr>
                                            <w:top w:val="none" w:sz="0" w:space="0" w:color="auto"/>
                                            <w:left w:val="none" w:sz="0" w:space="0" w:color="auto"/>
                                            <w:bottom w:val="none" w:sz="0" w:space="0" w:color="auto"/>
                                            <w:right w:val="none" w:sz="0" w:space="0" w:color="auto"/>
                                          </w:divBdr>
                                          <w:divsChild>
                                            <w:div w:id="1287156378">
                                              <w:marLeft w:val="0"/>
                                              <w:marRight w:val="0"/>
                                              <w:marTop w:val="0"/>
                                              <w:marBottom w:val="0"/>
                                              <w:divBdr>
                                                <w:top w:val="none" w:sz="0" w:space="0" w:color="auto"/>
                                                <w:left w:val="none" w:sz="0" w:space="0" w:color="auto"/>
                                                <w:bottom w:val="none" w:sz="0" w:space="0" w:color="auto"/>
                                                <w:right w:val="none" w:sz="0" w:space="0" w:color="auto"/>
                                              </w:divBdr>
                                              <w:divsChild>
                                                <w:div w:id="988628442">
                                                  <w:marLeft w:val="0"/>
                                                  <w:marRight w:val="0"/>
                                                  <w:marTop w:val="0"/>
                                                  <w:marBottom w:val="0"/>
                                                  <w:divBdr>
                                                    <w:top w:val="none" w:sz="0" w:space="0" w:color="auto"/>
                                                    <w:left w:val="none" w:sz="0" w:space="0" w:color="auto"/>
                                                    <w:bottom w:val="none" w:sz="0" w:space="0" w:color="auto"/>
                                                    <w:right w:val="none" w:sz="0" w:space="0" w:color="auto"/>
                                                  </w:divBdr>
                                                  <w:divsChild>
                                                    <w:div w:id="682509842">
                                                      <w:blockQuote w:val="1"/>
                                                      <w:marLeft w:val="480"/>
                                                      <w:marRight w:val="48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encoding w:val="macintos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emf"/><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7" Type="http://schemas.openxmlformats.org/officeDocument/2006/relationships/numbering" Target="numbering.xml"/><Relationship Id="rId71" Type="http://schemas.openxmlformats.org/officeDocument/2006/relationships/image" Target="media/image53.emf"/><Relationship Id="rId92" Type="http://schemas.openxmlformats.org/officeDocument/2006/relationships/image" Target="media/image74.pn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1.emf"/><Relationship Id="rId107" Type="http://schemas.microsoft.com/office/2019/05/relationships/documenttasks" Target="documenttasks/documenttasks1.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emf"/><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emf"/><Relationship Id="rId79" Type="http://schemas.openxmlformats.org/officeDocument/2006/relationships/image" Target="media/image61.emf"/><Relationship Id="rId87" Type="http://schemas.openxmlformats.org/officeDocument/2006/relationships/image" Target="media/image69.png"/><Relationship Id="rId102"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3.png"/><Relationship Id="rId82" Type="http://schemas.openxmlformats.org/officeDocument/2006/relationships/image" Target="media/image64.emf"/><Relationship Id="rId90" Type="http://schemas.openxmlformats.org/officeDocument/2006/relationships/image" Target="media/image72.png"/><Relationship Id="rId95" Type="http://schemas.openxmlformats.org/officeDocument/2006/relationships/header" Target="header4.xml"/><Relationship Id="rId19" Type="http://schemas.openxmlformats.org/officeDocument/2006/relationships/hyperlink" Target="https://www.tga.gov.au/covid-19-vaccine-pfizer-australia-comirnaty-tozinameran-mrna" TargetMode="External"/><Relationship Id="rId14" Type="http://schemas.openxmlformats.org/officeDocument/2006/relationships/hyperlink" Target="mailto:tga.copyright@tga.gov.au" TargetMode="Externa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emf"/><Relationship Id="rId77" Type="http://schemas.openxmlformats.org/officeDocument/2006/relationships/image" Target="media/image59.emf"/><Relationship Id="rId100" Type="http://schemas.openxmlformats.org/officeDocument/2006/relationships/header" Target="header6.xml"/><Relationship Id="rId105"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3.emf"/><Relationship Id="rId72" Type="http://schemas.openxmlformats.org/officeDocument/2006/relationships/image" Target="media/image54.png"/><Relationship Id="rId80" Type="http://schemas.openxmlformats.org/officeDocument/2006/relationships/image" Target="media/image62.emf"/><Relationship Id="rId85" Type="http://schemas.openxmlformats.org/officeDocument/2006/relationships/image" Target="media/image67.png"/><Relationship Id="rId93" Type="http://schemas.openxmlformats.org/officeDocument/2006/relationships/hyperlink" Target="https://www.tga.gov.au/product-information-pi" TargetMode="External"/><Relationship Id="rId98" Type="http://schemas.openxmlformats.org/officeDocument/2006/relationships/hyperlink" Target="mailto:info@tga.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emf"/><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header" Target="header8.xml"/><Relationship Id="rId20" Type="http://schemas.openxmlformats.org/officeDocument/2006/relationships/hyperlink" Target="https://www.tga.gov.au/product-information-pi"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image" Target="media/image31.emf"/><Relationship Id="rId57" Type="http://schemas.openxmlformats.org/officeDocument/2006/relationships/image" Target="media/image39.png"/><Relationship Id="rId106"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png"/><Relationship Id="rId94" Type="http://schemas.openxmlformats.org/officeDocument/2006/relationships/header" Target="header3.xml"/><Relationship Id="rId99" Type="http://schemas.openxmlformats.org/officeDocument/2006/relationships/hyperlink" Target="https://www.tga.gov.au" TargetMode="External"/><Relationship Id="rId10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tga.gov.au" TargetMode="External"/><Relationship Id="rId18" Type="http://schemas.openxmlformats.org/officeDocument/2006/relationships/image" Target="media/image2.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emf"/><Relationship Id="rId55" Type="http://schemas.openxmlformats.org/officeDocument/2006/relationships/image" Target="media/image37.png"/><Relationship Id="rId76" Type="http://schemas.openxmlformats.org/officeDocument/2006/relationships/image" Target="media/image58.emf"/><Relationship Id="rId97" Type="http://schemas.openxmlformats.org/officeDocument/2006/relationships/footer" Target="footer2.xml"/><Relationship Id="rId104"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auspar/auspar-elasomeran" TargetMode="External"/><Relationship Id="rId13" Type="http://schemas.openxmlformats.org/officeDocument/2006/relationships/hyperlink" Target="https://www.tga.gov.au/auspar/auspar-bnt162b2-mrna" TargetMode="External"/><Relationship Id="rId3" Type="http://schemas.openxmlformats.org/officeDocument/2006/relationships/hyperlink" Target="https://www.health.gov.au/health-alerts/covid-19/case-numbers-and-statistics" TargetMode="External"/><Relationship Id="rId7" Type="http://schemas.openxmlformats.org/officeDocument/2006/relationships/hyperlink" Target="https://www.tga.gov.au/auspar/auspar-casirivimabimdevimab" TargetMode="External"/><Relationship Id="rId12" Type="http://schemas.openxmlformats.org/officeDocument/2006/relationships/hyperlink" Target="https://www.tga.gov.au/auspar/auspar-bnt162b2-mrna-comirnaty" TargetMode="External"/><Relationship Id="rId2" Type="http://schemas.openxmlformats.org/officeDocument/2006/relationships/hyperlink" Target="https://www.health.gov.au/health-alerts/covid-19/case-numbers-and-statistics" TargetMode="External"/><Relationship Id="rId16" Type="http://schemas.openxmlformats.org/officeDocument/2006/relationships/hyperlink" Target="https://www.fda.gov/media/155107/download" TargetMode="External"/><Relationship Id="rId1" Type="http://schemas.openxmlformats.org/officeDocument/2006/relationships/hyperlink" Target="https://www.health.gov.au/health-alerts/covid-19/case-numbers-and-statistics" TargetMode="External"/><Relationship Id="rId6" Type="http://schemas.openxmlformats.org/officeDocument/2006/relationships/hyperlink" Target="https://www.tga.gov.au/auspar/auspar-sotrovimab" TargetMode="External"/><Relationship Id="rId11" Type="http://schemas.openxmlformats.org/officeDocument/2006/relationships/hyperlink" Target="https://www.tga.gov.au/auspar/auspar-chadox1-s" TargetMode="External"/><Relationship Id="rId5" Type="http://schemas.openxmlformats.org/officeDocument/2006/relationships/hyperlink" Target="https://www.tga.gov.au/auspar/auspar-remdesivir" TargetMode="External"/><Relationship Id="rId15" Type="http://schemas.openxmlformats.org/officeDocument/2006/relationships/hyperlink" Target="https://www.who.int/en/activities/tracking-SARS-CoV-2-variants/" TargetMode="External"/><Relationship Id="rId10" Type="http://schemas.openxmlformats.org/officeDocument/2006/relationships/hyperlink" Target="https://www.tga.gov.au/auspar/auspar-ad26cov2s" TargetMode="External"/><Relationship Id="rId4" Type="http://schemas.openxmlformats.org/officeDocument/2006/relationships/hyperlink" Target="https://www.health.gov.au/health-alerts/covid-19/case-numbers-and-statistics" TargetMode="External"/><Relationship Id="rId9" Type="http://schemas.openxmlformats.org/officeDocument/2006/relationships/hyperlink" Target="https://www.tga.gov.au/auspar/auspar-elasomeran-0" TargetMode="External"/><Relationship Id="rId14" Type="http://schemas.openxmlformats.org/officeDocument/2006/relationships/hyperlink" Target="https://www.health.gov.au/initiatives-and-programs/covid-19-vaccines/numbers-statistic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76608\D19-5975236%20%20AusPAR%20-%20template%20-%20streamlined.DOTX" TargetMode="External"/></Relationships>
</file>

<file path=word/documenttasks/documenttasks1.xml><?xml version="1.0" encoding="utf-8"?>
<t:Tasks xmlns:t="http://schemas.microsoft.com/office/tasks/2019/documenttasks" xmlns:oel="http://schemas.microsoft.com/office/2019/extlst">
  <t:Task id="{194A1475-9E19-4F97-99CD-C0EE461217D7}">
    <t:Anchor>
      <t:Comment id="1965379136"/>
    </t:Anchor>
    <t:History>
      <t:Event id="{FFBDC20C-0012-413F-A7AA-880E93850415}" time="2022-03-01T15:15:42.237Z">
        <t:Attribution userId="S::ktnk083@astrazeneca.net::cdfd301b-2406-4fc1-8169-983017979686" userProvider="AD" userName="Piggott, Simon"/>
        <t:Anchor>
          <t:Comment id="1965379136"/>
        </t:Anchor>
        <t:Create/>
      </t:Event>
      <t:Event id="{68277369-FC12-4FE7-A25D-0FAF8D54EFAC}" time="2022-03-01T15:15:42.237Z">
        <t:Attribution userId="S::ktnk083@astrazeneca.net::cdfd301b-2406-4fc1-8169-983017979686" userProvider="AD" userName="Piggott, Simon"/>
        <t:Anchor>
          <t:Comment id="1965379136"/>
        </t:Anchor>
        <t:Assign userId="S::kjlw669@astrazeneca.net::e23521c0-ad6f-42a9-87b6-7a6eff34545b" userProvider="AD" userName="Arends, Rosalin"/>
      </t:Event>
      <t:Event id="{66F9258F-348A-4B5A-A226-8481D312A69A}" time="2022-03-01T15:15:42.237Z">
        <t:Attribution userId="S::ktnk083@astrazeneca.net::cdfd301b-2406-4fc1-8169-983017979686" userProvider="AD" userName="Piggott, Simon"/>
        <t:Anchor>
          <t:Comment id="1965379136"/>
        </t:Anchor>
        <t:SetTitle title="@Arends, Rosalin can we confirm if these questions were dealt with in our responses previously to TGA?"/>
      </t:Event>
    </t:History>
  </t:Task>
  <t:Task id="{C0A0F63D-25BD-494D-8859-61D28ED85C3D}">
    <t:Anchor>
      <t:Comment id="1420097781"/>
    </t:Anchor>
    <t:History>
      <t:Event id="{E86465A6-7D63-41D1-AD5C-A2CC0899F4C1}" time="2022-03-01T17:10:45.918Z">
        <t:Attribution userId="S::ktnk083@astrazeneca.net::cdfd301b-2406-4fc1-8169-983017979686" userProvider="AD" userName="Piggott, Simon"/>
        <t:Anchor>
          <t:Comment id="1758884357"/>
        </t:Anchor>
        <t:Create/>
      </t:Event>
      <t:Event id="{710C3226-C08E-4185-81B5-6E201D7F4C5D}" time="2022-03-01T17:10:45.918Z">
        <t:Attribution userId="S::ktnk083@astrazeneca.net::cdfd301b-2406-4fc1-8169-983017979686" userProvider="AD" userName="Piggott, Simon"/>
        <t:Anchor>
          <t:Comment id="1758884357"/>
        </t:Anchor>
        <t:Assign userId="S::kcvw628@astrazeneca.net::a1ae729f-a09c-44dd-b0e8-c09e0712f1f5" userProvider="AD" userName="Streicher, Katie"/>
      </t:Event>
      <t:Event id="{0ECBA0E9-C289-4D4D-9B54-4CF7461BE74C}" time="2022-03-01T17:10:45.918Z">
        <t:Attribution userId="S::ktnk083@astrazeneca.net::cdfd301b-2406-4fc1-8169-983017979686" userProvider="AD" userName="Piggott, Simon"/>
        <t:Anchor>
          <t:Comment id="1758884357"/>
        </t:Anchor>
        <t:SetTitle title="@Streicher, Katie"/>
      </t:Event>
    </t:History>
  </t:Task>
  <t:Task id="{FC5AF246-68A3-4F07-93B2-8D0901BEAD0C}">
    <t:Anchor>
      <t:Comment id="689149816"/>
    </t:Anchor>
    <t:History>
      <t:Event id="{26357D7D-4BCA-46E1-A87C-662A7503FE70}" time="2022-03-01T10:48:37.08Z">
        <t:Attribution userId="S::ktnk083@astrazeneca.net::cdfd301b-2406-4fc1-8169-983017979686" userProvider="AD" userName="Piggott, Simon"/>
        <t:Anchor>
          <t:Comment id="1089042234"/>
        </t:Anchor>
        <t:Create/>
      </t:Event>
      <t:Event id="{2DF206F7-7F32-463A-BB50-77F48CDAA410}" time="2022-03-01T10:48:37.08Z">
        <t:Attribution userId="S::ktnk083@astrazeneca.net::cdfd301b-2406-4fc1-8169-983017979686" userProvider="AD" userName="Piggott, Simon"/>
        <t:Anchor>
          <t:Comment id="1089042234"/>
        </t:Anchor>
        <t:Assign userId="S::kjlw669@astrazeneca.net::e23521c0-ad6f-42a9-87b6-7a6eff34545b" userProvider="AD" userName="Arends, Rosalin"/>
      </t:Event>
      <t:Event id="{FFB08BCC-6609-4363-95A4-3D12800E86F6}" time="2022-03-01T10:48:37.08Z">
        <t:Attribution userId="S::ktnk083@astrazeneca.net::cdfd301b-2406-4fc1-8169-983017979686" userProvider="AD" userName="Piggott, Simon"/>
        <t:Anchor>
          <t:Comment id="1089042234"/>
        </t:Anchor>
        <t:SetTitle title="@Arends, Rosalin please suggest revised wording and provide a rationale for it"/>
      </t:Event>
    </t:History>
  </t:Task>
  <t:Task id="{D2FCC362-0F1F-4090-A5E7-D8DB289568B6}">
    <t:Anchor>
      <t:Comment id="633823088"/>
    </t:Anchor>
    <t:History>
      <t:Event id="{903E0BFE-0844-4CC5-9314-DE33B3C4C542}" time="2022-03-01T11:17:57.099Z">
        <t:Attribution userId="S::ktnk083@astrazeneca.net::cdfd301b-2406-4fc1-8169-983017979686" userProvider="AD" userName="Piggott, Simon"/>
        <t:Anchor>
          <t:Comment id="1222219785"/>
        </t:Anchor>
        <t:Create/>
      </t:Event>
      <t:Event id="{D9323190-1D6E-4212-8844-D6FF7D9062B9}" time="2022-03-01T11:17:57.099Z">
        <t:Attribution userId="S::ktnk083@astrazeneca.net::cdfd301b-2406-4fc1-8169-983017979686" userProvider="AD" userName="Piggott, Simon"/>
        <t:Anchor>
          <t:Comment id="1222219785"/>
        </t:Anchor>
        <t:Assign userId="S::krcn513@astrazeneca.net::c9b0f464-5048-4404-a746-1e6ac881d787" userProvider="AD" userName="Khalil, Ali"/>
      </t:Event>
      <t:Event id="{9D6BEE21-1A7B-4BD2-AEC1-BBC4CD304B7E}" time="2022-03-01T11:17:57.099Z">
        <t:Attribution userId="S::ktnk083@astrazeneca.net::cdfd301b-2406-4fc1-8169-983017979686" userProvider="AD" userName="Piggott, Simon"/>
        <t:Anchor>
          <t:Comment id="1222219785"/>
        </t:Anchor>
        <t:SetTitle title="@Khalil, Ali can you suggest some wording in the text and then provide a justification here?"/>
      </t:Event>
    </t:History>
  </t:Task>
  <t:Task id="{4351C04A-C419-42C4-92D3-EB0D10549B07}">
    <t:Anchor>
      <t:Comment id="633812261"/>
    </t:Anchor>
    <t:History>
      <t:Event id="{E9CCF890-75C0-40C0-810E-D74FABAA6433}" time="2022-03-01T13:19:33.319Z">
        <t:Attribution userId="S::ktnk083@astrazeneca.net::cdfd301b-2406-4fc1-8169-983017979686" userProvider="AD" userName="Piggott, Simon"/>
        <t:Anchor>
          <t:Comment id="1491238733"/>
        </t:Anchor>
        <t:Create/>
      </t:Event>
      <t:Event id="{940FF673-F89A-4205-9448-F2AF3EF69D7D}" time="2022-03-01T13:19:33.319Z">
        <t:Attribution userId="S::ktnk083@astrazeneca.net::cdfd301b-2406-4fc1-8169-983017979686" userProvider="AD" userName="Piggott, Simon"/>
        <t:Anchor>
          <t:Comment id="1491238733"/>
        </t:Anchor>
        <t:Assign userId="S::krcn513@astrazeneca.net::c9b0f464-5048-4404-a746-1e6ac881d787" userProvider="AD" userName="Khalil, Ali"/>
      </t:Event>
      <t:Event id="{6C769ED7-8D8E-48F3-BF33-4A167E7B8C8F}" time="2022-03-01T13:19:33.319Z">
        <t:Attribution userId="S::ktnk083@astrazeneca.net::cdfd301b-2406-4fc1-8169-983017979686" userProvider="AD" userName="Piggott, Simon"/>
        <t:Anchor>
          <t:Comment id="1491238733"/>
        </t:Anchor>
        <t:SetTitle title="@Khalil, Ali if this is not an inaccuracy, can we delete otherwise we need to provide the language we want to add here if there is an inaccuracy"/>
      </t:Event>
    </t:History>
  </t:Task>
  <t:Task id="{CF07F944-1E36-43A5-96E5-1170C2F15956}">
    <t:Anchor>
      <t:Comment id="1195578571"/>
    </t:Anchor>
    <t:History>
      <t:Event id="{5631D3E6-C212-4BA0-97BA-28D801D63DD9}" time="2022-03-01T14:45:06.823Z">
        <t:Attribution userId="S::ktnk083@astrazeneca.net::cdfd301b-2406-4fc1-8169-983017979686" userProvider="AD" userName="Piggott, Simon"/>
        <t:Anchor>
          <t:Comment id="640222830"/>
        </t:Anchor>
        <t:Create/>
      </t:Event>
      <t:Event id="{09F83B5F-04B9-4208-AB69-FDFA0152A536}" time="2022-03-01T14:45:06.823Z">
        <t:Attribution userId="S::ktnk083@astrazeneca.net::cdfd301b-2406-4fc1-8169-983017979686" userProvider="AD" userName="Piggott, Simon"/>
        <t:Anchor>
          <t:Comment id="640222830"/>
        </t:Anchor>
        <t:Assign userId="S::kxpg256@astrazeneca.net::725cc54b-956f-4ae8-9a8f-a60626437000" userProvider="AD" userName="Pilla Reddy, Venkatesh"/>
      </t:Event>
      <t:Event id="{A18E0CB9-0D22-4401-A9ED-B934822AA017}" time="2022-03-01T14:45:06.823Z">
        <t:Attribution userId="S::ktnk083@astrazeneca.net::cdfd301b-2406-4fc1-8169-983017979686" userProvider="AD" userName="Piggott, Simon"/>
        <t:Anchor>
          <t:Comment id="640222830"/>
        </t:Anchor>
        <t:SetTitle title="@Pilla Reddy, Venkatesh can you comment on this please?"/>
      </t:Event>
    </t:History>
  </t:Task>
  <t:Task id="{7A8C7A5C-D227-4B10-80CF-DF9EBE15A14B}">
    <t:Anchor>
      <t:Comment id="7946921"/>
    </t:Anchor>
    <t:History>
      <t:Event id="{3C5D8A6A-A26E-40B1-8C37-94F90C3AF094}" time="2022-03-01T14:41:36.573Z">
        <t:Attribution userId="S::ktnk083@astrazeneca.net::cdfd301b-2406-4fc1-8169-983017979686" userProvider="AD" userName="Piggott, Simon"/>
        <t:Anchor>
          <t:Comment id="7946921"/>
        </t:Anchor>
        <t:Create/>
      </t:Event>
      <t:Event id="{84391B0B-2820-4E54-95DD-4AF3CF35C92A}" time="2022-03-01T14:41:36.573Z">
        <t:Attribution userId="S::ktnk083@astrazeneca.net::cdfd301b-2406-4fc1-8169-983017979686" userProvider="AD" userName="Piggott, Simon"/>
        <t:Anchor>
          <t:Comment id="7946921"/>
        </t:Anchor>
        <t:Assign userId="S::kgmv883@astrazeneca.net::764702e1-8c86-4b2c-8a9c-bd3380b0d6e5" userProvider="AD" userName="Loo, Yueh-Ming"/>
      </t:Event>
      <t:Event id="{77DCD635-560E-40E9-A1D4-29B981D56213}" time="2022-03-01T14:41:36.573Z">
        <t:Attribution userId="S::ktnk083@astrazeneca.net::cdfd301b-2406-4fc1-8169-983017979686" userProvider="AD" userName="Piggott, Simon"/>
        <t:Anchor>
          <t:Comment id="7946921"/>
        </t:Anchor>
        <t:SetTitle title="@Loo, Yueh-Ming can you provide a comment justifying the requested change please?"/>
      </t:Event>
    </t:History>
  </t:Task>
  <t:Task id="{3B0FBF57-0E80-4C2E-B1E7-AA2096627DE2}">
    <t:Anchor>
      <t:Comment id="633818789"/>
    </t:Anchor>
    <t:History>
      <t:Event id="{BF08408C-3126-4F2F-B9ED-4555022D8D53}" time="2022-03-01T14:49:18.782Z">
        <t:Attribution userId="S::ktnk083@astrazeneca.net::cdfd301b-2406-4fc1-8169-983017979686" userProvider="AD" userName="Piggott, Simon"/>
        <t:Anchor>
          <t:Comment id="21066228"/>
        </t:Anchor>
        <t:Create/>
      </t:Event>
      <t:Event id="{62E98382-5FEE-488E-AB14-6884BECD0609}" time="2022-03-01T14:49:18.782Z">
        <t:Attribution userId="S::ktnk083@astrazeneca.net::cdfd301b-2406-4fc1-8169-983017979686" userProvider="AD" userName="Piggott, Simon"/>
        <t:Anchor>
          <t:Comment id="21066228"/>
        </t:Anchor>
        <t:Assign userId="S::kjlw669@astrazeneca.net::e23521c0-ad6f-42a9-87b6-7a6eff34545b" userProvider="AD" userName="Arends, Rosalin"/>
      </t:Event>
      <t:Event id="{6E6E7711-15CF-49A6-AE1F-5F110DD63B77}" time="2022-03-01T14:49:18.782Z">
        <t:Attribution userId="S::ktnk083@astrazeneca.net::cdfd301b-2406-4fc1-8169-983017979686" userProvider="AD" userName="Piggott, Simon"/>
        <t:Anchor>
          <t:Comment id="21066228"/>
        </t:Anchor>
        <t:SetTitle title="@Arends, Rosalin can this comment now be resolved?"/>
      </t:Event>
      <t:Event id="{DE78AA22-84FA-46F5-B257-EAB886AEFCD2}" time="2022-03-01T16:56:23.77Z">
        <t:Attribution userId="S::ktnk083@astrazeneca.net::cdfd301b-2406-4fc1-8169-983017979686" userProvider="AD" userName="Piggott, Simon"/>
        <t:Progress percentComplete="100"/>
      </t:Event>
    </t:History>
  </t:Task>
  <t:Task id="{D47E1779-9466-48C2-AE41-48BFC81FE239}">
    <t:Anchor>
      <t:Comment id="633977371"/>
    </t:Anchor>
    <t:History>
      <t:Event id="{044D4E0B-FBEB-4F7E-AC5F-C44CE0184159}" time="2022-03-06T22:31:58.95Z">
        <t:Attribution userId="S::ktnk083@astrazeneca.net::cdfd301b-2406-4fc1-8169-983017979686" userProvider="AD" userName="Piggott, Simon"/>
        <t:Anchor>
          <t:Comment id="1716997221"/>
        </t:Anchor>
        <t:Create/>
      </t:Event>
      <t:Event id="{66112128-0C88-4E27-A099-5F9B5D970485}" time="2022-03-06T22:31:58.95Z">
        <t:Attribution userId="S::ktnk083@astrazeneca.net::cdfd301b-2406-4fc1-8169-983017979686" userProvider="AD" userName="Piggott, Simon"/>
        <t:Anchor>
          <t:Comment id="1716997221"/>
        </t:Anchor>
        <t:Assign userId="S::kfph125@astrazeneca.net::e1a68730-3858-48ee-be41-8565d4fcc242" userProvider="AD" userName="Garbes, Pedro"/>
      </t:Event>
      <t:Event id="{4A6375DF-66AC-45DB-953E-73F1310C0EFA}" time="2022-03-06T22:31:58.95Z">
        <t:Attribution userId="S::ktnk083@astrazeneca.net::cdfd301b-2406-4fc1-8169-983017979686" userProvider="AD" userName="Piggott, Simon"/>
        <t:Anchor>
          <t:Comment id="1716997221"/>
        </t:Anchor>
        <t:SetTitle title="@Garbes, Pedro current redaction aims to remove reference to treatment. However, do we wish to redact more as the question asks which product was used in which studies and most of the response refers to PROVENT. I think it may be sufficient as is but …"/>
      </t:Event>
      <t:Event id="{9D5B188B-C78A-44B4-89D6-E020738023DF}" time="2022-03-07T00:05:40.769Z">
        <t:Attribution userId="S::ktnk083@astrazeneca.net::cdfd301b-2406-4fc1-8169-983017979686" userProvider="AD" userName="Piggott, Simon"/>
        <t:Anchor>
          <t:Comment id="134576702"/>
        </t:Anchor>
        <t:UnassignAll/>
      </t:Event>
      <t:Event id="{79E047BE-2B5E-443B-8D79-C8A121795EB4}" time="2022-03-07T00:05:40.769Z">
        <t:Attribution userId="S::ktnk083@astrazeneca.net::cdfd301b-2406-4fc1-8169-983017979686" userProvider="AD" userName="Piggott, Simon"/>
        <t:Anchor>
          <t:Comment id="134576702"/>
        </t:Anchor>
        <t:Assign userId="S::kxpg256@astrazeneca.net::725cc54b-956f-4ae8-9a8f-a60626437000" userProvider="AD" userName="Pilla Reddy, Venkatesh"/>
      </t:Event>
      <t:Event id="{7A01877A-7F94-47F6-96D6-E04CB81C4043}" time="2022-03-07T18:04:50.924Z">
        <t:Attribution userId="S::ktnk083@astrazeneca.net::cdfd301b-2406-4fc1-8169-983017979686" userProvider="AD" userName="Piggott, Simon"/>
        <t:Progress percentComplete="100"/>
      </t:Event>
      <t:Event id="{8CDC0988-442C-4990-9732-C582983E82E7}" time="2022-03-07T18:05:00.314Z">
        <t:Attribution userId="S::ktnk083@astrazeneca.net::cdfd301b-2406-4fc1-8169-983017979686" userProvider="AD" userName="Piggott, Simon"/>
        <t:Progress percentComplete="0"/>
      </t:Event>
    </t:History>
  </t:Task>
  <t:Task id="{4662D343-8C2D-46F2-A4E2-3E2119C1C233}">
    <t:Anchor>
      <t:Comment id="1017052859"/>
    </t:Anchor>
    <t:History>
      <t:Event id="{E3CA298A-9B96-4A88-A099-2B99F060C69D}" time="2022-03-01T16:06:53.029Z">
        <t:Attribution userId="S::ktnk083@astrazeneca.net::cdfd301b-2406-4fc1-8169-983017979686" userProvider="AD" userName="Piggott, Simon"/>
        <t:Anchor>
          <t:Comment id="1017052859"/>
        </t:Anchor>
        <t:Create/>
      </t:Event>
      <t:Event id="{E6F70999-D468-4F79-9754-13C8A1835434}" time="2022-03-01T16:06:53.029Z">
        <t:Attribution userId="S::ktnk083@astrazeneca.net::cdfd301b-2406-4fc1-8169-983017979686" userProvider="AD" userName="Piggott, Simon"/>
        <t:Anchor>
          <t:Comment id="1017052859"/>
        </t:Anchor>
        <t:Assign userId="S::kjlw669@astrazeneca.net::e23521c0-ad6f-42a9-87b6-7a6eff34545b" userProvider="AD" userName="Arends, Rosalin"/>
      </t:Event>
      <t:Event id="{11DEE0F3-5834-4255-A00F-3FFCA4FF3237}" time="2022-03-01T16:06:53.029Z">
        <t:Attribution userId="S::ktnk083@astrazeneca.net::cdfd301b-2406-4fc1-8169-983017979686" userProvider="AD" userName="Piggott, Simon"/>
        <t:Anchor>
          <t:Comment id="1017052859"/>
        </t:Anchor>
        <t:SetTitle title="PB: Proposal to redact this response to not include TACKLE, global team please amend as required @Arends, Rosalin are we able to support this request to amend the text?"/>
      </t:Event>
    </t:History>
  </t:Task>
  <t:Task id="{B497555B-BAF5-43E5-88B6-0F11ED261A69}">
    <t:Anchor>
      <t:Comment id="633805717"/>
    </t:Anchor>
    <t:History>
      <t:Event id="{2C9D2EA9-BC32-4BC1-8B40-91914EFA4350}" time="2022-03-01T16:46:59.778Z">
        <t:Attribution userId="S::ktnk083@astrazeneca.net::cdfd301b-2406-4fc1-8169-983017979686" userProvider="AD" userName="Piggott, Simon"/>
        <t:Anchor>
          <t:Comment id="162399537"/>
        </t:Anchor>
        <t:Create/>
      </t:Event>
      <t:Event id="{E9E856A4-19E6-42ED-992D-C28C75372B54}" time="2022-03-01T16:46:59.778Z">
        <t:Attribution userId="S::ktnk083@astrazeneca.net::cdfd301b-2406-4fc1-8169-983017979686" userProvider="AD" userName="Piggott, Simon"/>
        <t:Anchor>
          <t:Comment id="162399537"/>
        </t:Anchor>
        <t:Assign userId="S::kjkx658@astrazeneca.net::7b245895-5f31-4d43-9a29-761353357caf" userProvider="AD" userName="Cromer Berman, Stacey"/>
      </t:Event>
      <t:Event id="{DFE6030A-D739-4A27-B23D-DB4EA0796A11}" time="2022-03-01T16:46:59.778Z">
        <t:Attribution userId="S::ktnk083@astrazeneca.net::cdfd301b-2406-4fc1-8169-983017979686" userProvider="AD" userName="Piggott, Simon"/>
        <t:Anchor>
          <t:Comment id="162399537"/>
        </t:Anchor>
        <t:SetTitle title="@Cromer Berman, Stacey"/>
      </t:Event>
    </t:History>
  </t:Task>
  <t:Task id="{989D6090-19E1-4047-84AF-880E720C23A9}">
    <t:Anchor>
      <t:Comment id="633806792"/>
    </t:Anchor>
    <t:History>
      <t:Event id="{2A020614-8E85-4AB2-9673-66F9456D5C43}" time="2022-03-01T16:52:06.181Z">
        <t:Attribution userId="S::ktnk083@astrazeneca.net::cdfd301b-2406-4fc1-8169-983017979686" userProvider="AD" userName="Piggott, Simon"/>
        <t:Anchor>
          <t:Comment id="1088334283"/>
        </t:Anchor>
        <t:Create/>
      </t:Event>
      <t:Event id="{373F270D-DA4F-459B-A7C6-E0130CE3EA29}" time="2022-03-01T16:52:06.181Z">
        <t:Attribution userId="S::ktnk083@astrazeneca.net::cdfd301b-2406-4fc1-8169-983017979686" userProvider="AD" userName="Piggott, Simon"/>
        <t:Anchor>
          <t:Comment id="1088334283"/>
        </t:Anchor>
        <t:Assign userId="S::kjkx658@astrazeneca.net::7b245895-5f31-4d43-9a29-761353357caf" userProvider="AD" userName="Cromer Berman, Stacey"/>
      </t:Event>
      <t:Event id="{D1B1A2CE-317B-4A1B-B811-D9D70955F065}" time="2022-03-01T16:52:06.181Z">
        <t:Attribution userId="S::ktnk083@astrazeneca.net::cdfd301b-2406-4fc1-8169-983017979686" userProvider="AD" userName="Piggott, Simon"/>
        <t:Anchor>
          <t:Comment id="1088334283"/>
        </t:Anchor>
        <t:SetTitle title="@Cromer Berman, Stacey"/>
      </t:Event>
    </t:History>
  </t:Task>
  <t:Task id="{4C423541-8DA6-4EF9-9662-0918F24E4D41}">
    <t:Anchor>
      <t:Comment id="343525781"/>
    </t:Anchor>
    <t:History>
      <t:Event id="{EE90DE4B-6A6E-4317-904F-AFB7B8F95EA7}" time="2022-03-06T22:41:04.64Z">
        <t:Attribution userId="S::ktnk083@astrazeneca.net::cdfd301b-2406-4fc1-8169-983017979686" userProvider="AD" userName="Piggott, Simon"/>
        <t:Anchor>
          <t:Comment id="343525781"/>
        </t:Anchor>
        <t:Create/>
      </t:Event>
      <t:Event id="{A58F040F-7083-44EE-AD38-EA7FCBA76D17}" time="2022-03-06T22:41:04.64Z">
        <t:Attribution userId="S::ktnk083@astrazeneca.net::cdfd301b-2406-4fc1-8169-983017979686" userProvider="AD" userName="Piggott, Simon"/>
        <t:Anchor>
          <t:Comment id="343525781"/>
        </t:Anchor>
        <t:Assign userId="S::kfph125@astrazeneca.net::e1a68730-3858-48ee-be41-8565d4fcc242" userProvider="AD" userName="Garbes, Pedro"/>
      </t:Event>
      <t:Event id="{BD4F7649-DF8A-45C3-AE0F-11139BC90027}" time="2022-03-06T22:41:04.64Z">
        <t:Attribution userId="S::ktnk083@astrazeneca.net::cdfd301b-2406-4fc1-8169-983017979686" userProvider="AD" userName="Piggott, Simon"/>
        <t:Anchor>
          <t:Comment id="343525781"/>
        </t:Anchor>
        <t:SetTitle title="@Garbes, Pedro see my note to Venkatesh above - do you have a preference?"/>
      </t:Event>
      <t:Event id="{CA055E03-361C-48F8-A9F0-3C256DE78AEB}" time="2022-03-07T00:06:59.137Z">
        <t:Attribution userId="S::kfph125@astrazeneca.net::e1a68730-3858-48ee-be41-8565d4fcc242" userProvider="AD" userName="Garbes, Pedro"/>
        <t:Anchor>
          <t:Comment id="1596579036"/>
        </t:Anchor>
        <t:UnassignAll/>
      </t:Event>
      <t:Event id="{0EDD754D-CDD7-4F7F-9726-171C14BAC498}" time="2022-03-07T00:06:59.137Z">
        <t:Attribution userId="S::kfph125@astrazeneca.net::e1a68730-3858-48ee-be41-8565d4fcc242" userProvider="AD" userName="Garbes, Pedro"/>
        <t:Anchor>
          <t:Comment id="1596579036"/>
        </t:Anchor>
        <t:Assign userId="S::kxpg256@astrazeneca.net::725cc54b-956f-4ae8-9a8f-a60626437000" userProvider="AD" userName="Pilla Reddy, Venkatesh"/>
      </t:Event>
    </t:History>
  </t:Task>
  <t:Task id="{FFC7BE71-A1C7-4F5A-9AB0-00479C819152}">
    <t:Anchor>
      <t:Comment id="1763997788"/>
    </t:Anchor>
    <t:History>
      <t:Event id="{C4649CF0-9EC5-4FDD-8744-1869A7ACFBCF}" time="2022-03-01T16:52:19.589Z">
        <t:Attribution userId="S::ktnk083@astrazeneca.net::cdfd301b-2406-4fc1-8169-983017979686" userProvider="AD" userName="Piggott, Simon"/>
        <t:Anchor>
          <t:Comment id="1710796128"/>
        </t:Anchor>
        <t:Create/>
      </t:Event>
      <t:Event id="{A17908D3-A955-4EC7-9D46-EFEF132B59A3}" time="2022-03-01T16:52:19.589Z">
        <t:Attribution userId="S::ktnk083@astrazeneca.net::cdfd301b-2406-4fc1-8169-983017979686" userProvider="AD" userName="Piggott, Simon"/>
        <t:Anchor>
          <t:Comment id="1710796128"/>
        </t:Anchor>
        <t:Assign userId="S::kjkx658@astrazeneca.net::7b245895-5f31-4d43-9a29-761353357caf" userProvider="AD" userName="Cromer Berman, Stacey"/>
      </t:Event>
      <t:Event id="{DB778AC8-B2A5-4BB0-85A8-FEFC39539400}" time="2022-03-01T16:52:19.589Z">
        <t:Attribution userId="S::ktnk083@astrazeneca.net::cdfd301b-2406-4fc1-8169-983017979686" userProvider="AD" userName="Piggott, Simon"/>
        <t:Anchor>
          <t:Comment id="1710796128"/>
        </t:Anchor>
        <t:SetTitle title="@Cromer Berman, Stacey"/>
      </t:Event>
    </t:History>
  </t:Task>
  <t:Task id="{E952F290-CE83-4821-8819-0820F558051D}">
    <t:Anchor>
      <t:Comment id="633813752"/>
    </t:Anchor>
    <t:History>
      <t:Event id="{B89E6775-49DC-4833-AB1B-8B4CC1E89C66}" time="2022-03-01T17:01:20.74Z">
        <t:Attribution userId="S::ktnk083@astrazeneca.net::cdfd301b-2406-4fc1-8169-983017979686" userProvider="AD" userName="Piggott, Simon"/>
        <t:Anchor>
          <t:Comment id="1281958155"/>
        </t:Anchor>
        <t:Create/>
      </t:Event>
      <t:Event id="{A3058C9F-3943-44B6-85FC-878C373F45BA}" time="2022-03-01T17:01:20.74Z">
        <t:Attribution userId="S::ktnk083@astrazeneca.net::cdfd301b-2406-4fc1-8169-983017979686" userProvider="AD" userName="Piggott, Simon"/>
        <t:Anchor>
          <t:Comment id="1281958155"/>
        </t:Anchor>
        <t:Assign userId="S::kjlw669@astrazeneca.net::e23521c0-ad6f-42a9-87b6-7a6eff34545b" userProvider="AD" userName="Arends, Rosalin"/>
      </t:Event>
      <t:Event id="{E36763EF-4324-4282-9285-158EF997342D}" time="2022-03-01T17:01:20.74Z">
        <t:Attribution userId="S::ktnk083@astrazeneca.net::cdfd301b-2406-4fc1-8169-983017979686" userProvider="AD" userName="Piggott, Simon"/>
        <t:Anchor>
          <t:Comment id="1281958155"/>
        </t:Anchor>
        <t:SetTitle title="Rationale: All items are based on 6 months (FDA citation needed) @Arends, Rosalin"/>
      </t:Event>
      <t:Event id="{B26D1CC7-F7E2-494F-98F5-4CC48875FDF5}" time="2022-03-01T20:35:23.967Z">
        <t:Attribution userId="S::ktnk083@astrazeneca.net::cdfd301b-2406-4fc1-8169-983017979686" userProvider="AD" userName="Piggott, Simon"/>
        <t:Anchor>
          <t:Comment id="29236802"/>
        </t:Anchor>
        <t:UnassignAll/>
      </t:Event>
      <t:Event id="{27410B9B-E37F-4ED8-9569-A5F9603FFCC3}" time="2022-03-01T20:35:23.967Z">
        <t:Attribution userId="S::ktnk083@astrazeneca.net::cdfd301b-2406-4fc1-8169-983017979686" userProvider="AD" userName="Piggott, Simon"/>
        <t:Anchor>
          <t:Comment id="29236802"/>
        </t:Anchor>
        <t:Assign userId="S::kjkx658@astrazeneca.net::7b245895-5f31-4d43-9a29-761353357caf" userProvider="AD" userName="Cromer Berman, Stacey"/>
      </t:Event>
    </t:History>
  </t:Task>
  <t:Task id="{5ED429F2-DDAA-4849-A1DF-DAEE79455E27}">
    <t:Anchor>
      <t:Comment id="633793670"/>
    </t:Anchor>
    <t:History>
      <t:Event id="{D8A5B05C-D130-4C3F-9339-B9F374D97F7A}" time="2022-03-01T17:24:19.5Z">
        <t:Attribution userId="S::ktnk083@astrazeneca.net::cdfd301b-2406-4fc1-8169-983017979686" userProvider="AD" userName="Piggott, Simon"/>
        <t:Anchor>
          <t:Comment id="2004461039"/>
        </t:Anchor>
        <t:Create/>
      </t:Event>
      <t:Event id="{D83A59D2-0875-4574-985C-7E341E428D88}" time="2022-03-01T17:24:19.5Z">
        <t:Attribution userId="S::ktnk083@astrazeneca.net::cdfd301b-2406-4fc1-8169-983017979686" userProvider="AD" userName="Piggott, Simon"/>
        <t:Anchor>
          <t:Comment id="2004461039"/>
        </t:Anchor>
        <t:Assign userId="S::ktxv828@astrazeneca.net::de8fb1cd-3f41-4ccd-8762-cd48f6cb0dc0" userProvider="AD" userName="Brooks, Dennis"/>
      </t:Event>
      <t:Event id="{BD86B912-9D10-44F8-B3BB-87DE6B6C0796}" time="2022-03-01T17:24:19.5Z">
        <t:Attribution userId="S::ktnk083@astrazeneca.net::cdfd301b-2406-4fc1-8169-983017979686" userProvider="AD" userName="Piggott, Simon"/>
        <t:Anchor>
          <t:Comment id="2004461039"/>
        </t:Anchor>
        <t:SetTitle title="Rationale: Context added here to help with the understanding of the event @Brooks, Dennis"/>
      </t:Event>
    </t:History>
  </t:Task>
  <t:Task id="{285B2E05-7E58-487F-A36A-47276F065F14}">
    <t:Anchor>
      <t:Comment id="633848352"/>
    </t:Anchor>
    <t:History>
      <t:Event id="{074E9A35-4C4C-4980-9A1D-E2E423B90F7F}" time="2022-03-01T17:34:38.994Z">
        <t:Attribution userId="S::ktnk083@astrazeneca.net::cdfd301b-2406-4fc1-8169-983017979686" userProvider="AD" userName="Piggott, Simon"/>
        <t:Anchor>
          <t:Comment id="817914576"/>
        </t:Anchor>
        <t:Create/>
      </t:Event>
      <t:Event id="{316F9B7C-4E10-42FB-8C67-BB6D359C68D9}" time="2022-03-01T17:34:38.994Z">
        <t:Attribution userId="S::ktnk083@astrazeneca.net::cdfd301b-2406-4fc1-8169-983017979686" userProvider="AD" userName="Piggott, Simon"/>
        <t:Anchor>
          <t:Comment id="817914576"/>
        </t:Anchor>
        <t:Assign userId="S::kfpf487@astrazeneca.net::9f1b3e31-b304-46c7-b879-8ea1891976fb" userProvider="AD" userName="Maselkar, Sheetal"/>
      </t:Event>
      <t:Event id="{7021D88F-B67E-4CA9-A93F-4CD4D631C236}" time="2022-03-01T17:34:38.994Z">
        <t:Attribution userId="S::ktnk083@astrazeneca.net::cdfd301b-2406-4fc1-8169-983017979686" userProvider="AD" userName="Piggott, Simon"/>
        <t:Anchor>
          <t:Comment id="817914576"/>
        </t:Anchor>
        <t:SetTitle title="@Maselkar, Sheetal"/>
      </t:Event>
    </t:History>
  </t:Task>
  <t:Task id="{130939A0-1806-4D89-8DFC-390F09052F1F}">
    <t:Anchor>
      <t:Comment id="633899369"/>
    </t:Anchor>
    <t:History>
      <t:Event id="{53D34822-FEB3-4A60-8F16-74E6213C03B9}" time="2022-03-01T17:51:08.823Z">
        <t:Attribution userId="S::ktnk083@astrazeneca.net::cdfd301b-2406-4fc1-8169-983017979686" userProvider="AD" userName="Piggott, Simon"/>
        <t:Anchor>
          <t:Comment id="421384109"/>
        </t:Anchor>
        <t:Create/>
      </t:Event>
      <t:Event id="{35915D43-13A7-4C3E-AC05-D6A33F18B118}" time="2022-03-01T17:51:08.823Z">
        <t:Attribution userId="S::ktnk083@astrazeneca.net::cdfd301b-2406-4fc1-8169-983017979686" userProvider="AD" userName="Piggott, Simon"/>
        <t:Anchor>
          <t:Comment id="421384109"/>
        </t:Anchor>
        <t:Assign userId="S::kxbx681@astrazeneca.net::e8a807be-cae7-4ebe-8e21-fa9e4fc93694" userProvider="AD" userName="Schmelzer, Albert"/>
      </t:Event>
      <t:Event id="{1D42E41B-90D5-4494-9430-A26BAB9BCD66}" time="2022-03-01T17:51:08.823Z">
        <t:Attribution userId="S::ktnk083@astrazeneca.net::cdfd301b-2406-4fc1-8169-983017979686" userProvider="AD" userName="Piggott, Simon"/>
        <t:Anchor>
          <t:Comment id="421384109"/>
        </t:Anchor>
        <t:SetTitle title="@Schmelzer, Albert are you able to provide the rationales for the changes in this section please?"/>
      </t:Event>
    </t:History>
  </t:Task>
  <t:Task id="{D49C6360-3312-40B0-81B7-7EAC1B22E0EA}">
    <t:Anchor>
      <t:Comment id="633807217"/>
    </t:Anchor>
    <t:History>
      <t:Event id="{F2D153BE-3070-4C37-A549-871217EC1B4C}" time="2022-03-01T17:54:50.898Z">
        <t:Attribution userId="S::ktnk083@astrazeneca.net::cdfd301b-2406-4fc1-8169-983017979686" userProvider="AD" userName="Piggott, Simon"/>
        <t:Anchor>
          <t:Comment id="390197538"/>
        </t:Anchor>
        <t:Create/>
      </t:Event>
      <t:Event id="{BD343DCA-FBDA-46EA-8890-EE9F35973073}" time="2022-03-01T17:54:50.898Z">
        <t:Attribution userId="S::ktnk083@astrazeneca.net::cdfd301b-2406-4fc1-8169-983017979686" userProvider="AD" userName="Piggott, Simon"/>
        <t:Anchor>
          <t:Comment id="390197538"/>
        </t:Anchor>
        <t:Assign userId="S::kgmv883@astrazeneca.net::764702e1-8c86-4b2c-8a9c-bd3380b0d6e5" userProvider="AD" userName="Loo, Yueh-Ming"/>
      </t:Event>
      <t:Event id="{83F3A69C-6CE2-46EC-873C-DFA9F7982173}" time="2022-03-01T17:54:50.898Z">
        <t:Attribution userId="S::ktnk083@astrazeneca.net::cdfd301b-2406-4fc1-8169-983017979686" userProvider="AD" userName="Piggott, Simon"/>
        <t:Anchor>
          <t:Comment id="390197538"/>
        </t:Anchor>
        <t:SetTitle title="@Loo, Yueh-Ming can I ask if you can update this language and provide a rational please?"/>
      </t:Event>
    </t:History>
  </t:Task>
  <t:Task id="{ECEB3C62-A08D-424D-8D5A-20D6E0519C7D}">
    <t:Anchor>
      <t:Comment id="552376923"/>
    </t:Anchor>
    <t:History>
      <t:Event id="{999D5401-56FE-4F5C-B41D-52EB4C3AA5F4}" time="2022-03-06T22:40:31.965Z">
        <t:Attribution userId="S::ktnk083@astrazeneca.net::cdfd301b-2406-4fc1-8169-983017979686" userProvider="AD" userName="Piggott, Simon"/>
        <t:Anchor>
          <t:Comment id="552376923"/>
        </t:Anchor>
        <t:Create/>
      </t:Event>
      <t:Event id="{1AE37B0E-5FAD-42E5-AD94-7B069AB89A6F}" time="2022-03-06T22:40:31.965Z">
        <t:Attribution userId="S::ktnk083@astrazeneca.net::cdfd301b-2406-4fc1-8169-983017979686" userProvider="AD" userName="Piggott, Simon"/>
        <t:Anchor>
          <t:Comment id="552376923"/>
        </t:Anchor>
        <t:Assign userId="S::kxpg256@astrazeneca.net::725cc54b-956f-4ae8-9a8f-a60626437000" userProvider="AD" userName="Pilla Reddy, Venkatesh"/>
      </t:Event>
      <t:Event id="{4B018C2A-7900-41BC-8E06-18BBDBEFEAFA}" time="2022-03-06T22:40:31.965Z">
        <t:Attribution userId="S::ktnk083@astrazeneca.net::cdfd301b-2406-4fc1-8169-983017979686" userProvider="AD" userName="Piggott, Simon"/>
        <t:Anchor>
          <t:Comment id="552376923"/>
        </t:Anchor>
        <t:SetTitle title="@Pilla Reddy, Venkatesh we are allowed to redact any treatment specific items and this has been completed in the document. However, can we redact all items in the question relating to TACKLE or does it impact the response?"/>
      </t:Event>
      <t:Event id="{B484D736-FE8F-48EF-845B-71E219F66412}" time="2022-03-07T01:11:52.345Z">
        <t:Attribution userId="S::ktnk083@astrazeneca.net::cdfd301b-2406-4fc1-8169-983017979686" userProvider="AD" userName="Piggott, Simon"/>
        <t:Anchor>
          <t:Comment id="1508643049"/>
        </t:Anchor>
        <t:UnassignAll/>
      </t:Event>
      <t:Event id="{936E7A43-FC29-4843-AB21-BD8252BD8C23}" time="2022-03-07T01:11:52.345Z">
        <t:Attribution userId="S::ktnk083@astrazeneca.net::cdfd301b-2406-4fc1-8169-983017979686" userProvider="AD" userName="Piggott, Simon"/>
        <t:Anchor>
          <t:Comment id="1508643049"/>
        </t:Anchor>
        <t:Assign userId="S::kfph125@astrazeneca.net::e1a68730-3858-48ee-be41-8565d4fcc242" userProvider="AD" userName="Garbes, Pedro"/>
      </t:Event>
    </t:History>
  </t:Task>
  <t:Task id="{F815B79A-A1D0-4682-AC60-CCBC51CDBF89}">
    <t:Anchor>
      <t:Comment id="130551149"/>
    </t:Anchor>
    <t:History>
      <t:Event id="{BEAB58B1-9467-4535-88A7-A64EE343A3BB}" time="2022-03-06T23:54:26.397Z">
        <t:Attribution userId="S::ktnk083@astrazeneca.net::cdfd301b-2406-4fc1-8169-983017979686" userProvider="AD" userName="Piggott, Simon"/>
        <t:Anchor>
          <t:Comment id="658086363"/>
        </t:Anchor>
        <t:Create/>
      </t:Event>
      <t:Event id="{5151EC6A-E1C1-44E7-A19F-3BA47453916A}" time="2022-03-06T23:54:26.397Z">
        <t:Attribution userId="S::ktnk083@astrazeneca.net::cdfd301b-2406-4fc1-8169-983017979686" userProvider="AD" userName="Piggott, Simon"/>
        <t:Anchor>
          <t:Comment id="658086363"/>
        </t:Anchor>
        <t:Assign userId="S::kfph125@astrazeneca.net::e1a68730-3858-48ee-be41-8565d4fcc242" userProvider="AD" userName="Garbes, Pedro"/>
      </t:Event>
      <t:Event id="{7F5F6670-44A9-4010-8A4F-3383B997CA78}" time="2022-03-06T23:54:26.397Z">
        <t:Attribution userId="S::ktnk083@astrazeneca.net::cdfd301b-2406-4fc1-8169-983017979686" userProvider="AD" userName="Piggott, Simon"/>
        <t:Anchor>
          <t:Comment id="658086363"/>
        </t:Anchor>
        <t:SetTitle title="@Garbes, Pedro do we need to suggest any amendments to the text here as factual inaccuracies?"/>
      </t:Event>
    </t:History>
  </t:Task>
</t:Task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1ee89e71-04cd-405e-9ca3-99e020c1694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D5E5A046A2E9A4788BF61013A8A941E" ma:contentTypeVersion="6" ma:contentTypeDescription="Create a new document." ma:contentTypeScope="" ma:versionID="7f6a600ab5fb471337f947ca0bdac588">
  <xsd:schema xmlns:xsd="http://www.w3.org/2001/XMLSchema" xmlns:xs="http://www.w3.org/2001/XMLSchema" xmlns:p="http://schemas.microsoft.com/office/2006/metadata/properties" xmlns:ns2="44a56295-c29e-4898-8136-a54736c65b82" xmlns:ns3="c22e142d-f1b9-4b95-ad5b-c65a62beb9d1" xmlns:ns4="2ed59429-34c8-4c22-a169-432d07664f2a" xmlns:ns5="b00c2015-aaf6-4827-951d-b3732742b6ff" targetNamespace="http://schemas.microsoft.com/office/2006/metadata/properties" ma:root="true" ma:fieldsID="cf1e41a8cbd23237ec60a0e0821ac2b5" ns2:_="" ns3:_="" ns4:_="" ns5:_="">
    <xsd:import namespace="44a56295-c29e-4898-8136-a54736c65b82"/>
    <xsd:import namespace="c22e142d-f1b9-4b95-ad5b-c65a62beb9d1"/>
    <xsd:import namespace="2ed59429-34c8-4c22-a169-432d07664f2a"/>
    <xsd:import namespace="b00c2015-aaf6-4827-951d-b3732742b6ff"/>
    <xsd:element name="properties">
      <xsd:complexType>
        <xsd:sequence>
          <xsd:element name="documentManagement">
            <xsd:complexType>
              <xsd:all>
                <xsd:element ref="ns2:Descriptions" minOccurs="0"/>
                <xsd:element ref="ns2:Keyword" minOccurs="0"/>
                <xsd:element ref="ns3:_dlc_DocId" minOccurs="0"/>
                <xsd:element ref="ns3:_dlc_DocIdUrl" minOccurs="0"/>
                <xsd:element ref="ns3:_dlc_DocIdPersistId" minOccurs="0"/>
                <xsd:element ref="ns4:MediaServiceMetadata" minOccurs="0"/>
                <xsd:element ref="ns4:MediaServiceFastMetadata" minOccurs="0"/>
                <xsd:element ref="ns4:MediaServiceAutoKeyPoints" minOccurs="0"/>
                <xsd:element ref="ns4:MediaServiceKeyPoints" minOccurs="0"/>
                <xsd:element ref="ns5: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e142d-f1b9-4b95-ad5b-c65a62beb9d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d59429-34c8-4c22-a169-432d07664f2a"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0c2015-aaf6-4827-951d-b3732742b6f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_dlc_DocId xmlns="c22e142d-f1b9-4b95-ad5b-c65a62beb9d1">XQFUHNXNWZXX-1484909261-5334</_dlc_DocId>
    <_dlc_DocIdUrl xmlns="c22e142d-f1b9-4b95-ad5b-c65a62beb9d1">
      <Url>https://azcollaboration.sharepoint.com/sites/CUS063/_layouts/15/DocIdRedir.aspx?ID=XQFUHNXNWZXX-1484909261-5334</Url>
      <Description>XQFUHNXNWZXX-1484909261-5334</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B0156-8B01-469B-B892-4E9F6AD7CD09}">
  <ds:schemaRefs>
    <ds:schemaRef ds:uri="http://schemas.microsoft.com/sharepoint/events"/>
  </ds:schemaRefs>
</ds:datastoreItem>
</file>

<file path=customXml/itemProps2.xml><?xml version="1.0" encoding="utf-8"?>
<ds:datastoreItem xmlns:ds="http://schemas.openxmlformats.org/officeDocument/2006/customXml" ds:itemID="{A8263BF4-5367-4137-B1AE-35CEB2567348}">
  <ds:schemaRefs>
    <ds:schemaRef ds:uri="http://schemas.microsoft.com/sharepoint/v3/contenttype/forms"/>
  </ds:schemaRefs>
</ds:datastoreItem>
</file>

<file path=customXml/itemProps3.xml><?xml version="1.0" encoding="utf-8"?>
<ds:datastoreItem xmlns:ds="http://schemas.openxmlformats.org/officeDocument/2006/customXml" ds:itemID="{6866F35D-3E1F-477E-A3B1-5E882D776D14}">
  <ds:schemaRefs>
    <ds:schemaRef ds:uri="Microsoft.SharePoint.Taxonomy.ContentTypeSync"/>
  </ds:schemaRefs>
</ds:datastoreItem>
</file>

<file path=customXml/itemProps4.xml><?xml version="1.0" encoding="utf-8"?>
<ds:datastoreItem xmlns:ds="http://schemas.openxmlformats.org/officeDocument/2006/customXml" ds:itemID="{40396953-A3CD-4FDF-9EEE-2EBBE863DC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c22e142d-f1b9-4b95-ad5b-c65a62beb9d1"/>
    <ds:schemaRef ds:uri="2ed59429-34c8-4c22-a169-432d07664f2a"/>
    <ds:schemaRef ds:uri="b00c2015-aaf6-4827-951d-b3732742b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3959B8-8A9F-4DDA-A640-B68C16E5A883}">
  <ds:schemaRefs>
    <ds:schemaRef ds:uri="http://schemas.openxmlformats.org/package/2006/metadata/core-properties"/>
    <ds:schemaRef ds:uri="http://schemas.microsoft.com/office/infopath/2007/PartnerControls"/>
    <ds:schemaRef ds:uri="http://purl.org/dc/terms/"/>
    <ds:schemaRef ds:uri="c22e142d-f1b9-4b95-ad5b-c65a62beb9d1"/>
    <ds:schemaRef ds:uri="http://schemas.microsoft.com/office/2006/metadata/properties"/>
    <ds:schemaRef ds:uri="http://schemas.microsoft.com/office/2006/documentManagement/types"/>
    <ds:schemaRef ds:uri="http://purl.org/dc/dcmitype/"/>
    <ds:schemaRef ds:uri="http://purl.org/dc/elements/1.1/"/>
    <ds:schemaRef ds:uri="b00c2015-aaf6-4827-951d-b3732742b6ff"/>
    <ds:schemaRef ds:uri="2ed59429-34c8-4c22-a169-432d07664f2a"/>
    <ds:schemaRef ds:uri="44a56295-c29e-4898-8136-a54736c65b82"/>
    <ds:schemaRef ds:uri="http://www.w3.org/XML/1998/namespace"/>
  </ds:schemaRefs>
</ds:datastoreItem>
</file>

<file path=customXml/itemProps6.xml><?xml version="1.0" encoding="utf-8"?>
<ds:datastoreItem xmlns:ds="http://schemas.openxmlformats.org/officeDocument/2006/customXml" ds:itemID="{18054E3F-AB8A-411D-B9DB-C81DCDEA2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144</TotalTime>
  <Pages>92</Pages>
  <Words>23605</Words>
  <Characters>134554</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Company>
  <LinksUpToDate>false</LinksUpToDate>
  <CharactersWithSpaces>157844</CharactersWithSpaces>
  <SharedDoc>false</SharedDoc>
  <HLinks>
    <vt:vector size="264" baseType="variant">
      <vt:variant>
        <vt:i4>3473445</vt:i4>
      </vt:variant>
      <vt:variant>
        <vt:i4>471</vt:i4>
      </vt:variant>
      <vt:variant>
        <vt:i4>0</vt:i4>
      </vt:variant>
      <vt:variant>
        <vt:i4>5</vt:i4>
      </vt:variant>
      <vt:variant>
        <vt:lpwstr>https://www.tga.gov.au/</vt:lpwstr>
      </vt:variant>
      <vt:variant>
        <vt:lpwstr/>
      </vt:variant>
      <vt:variant>
        <vt:i4>5242926</vt:i4>
      </vt:variant>
      <vt:variant>
        <vt:i4>468</vt:i4>
      </vt:variant>
      <vt:variant>
        <vt:i4>0</vt:i4>
      </vt:variant>
      <vt:variant>
        <vt:i4>5</vt:i4>
      </vt:variant>
      <vt:variant>
        <vt:lpwstr>mailto:info@tga.gov.au</vt:lpwstr>
      </vt:variant>
      <vt:variant>
        <vt:lpwstr/>
      </vt:variant>
      <vt:variant>
        <vt:i4>4194312</vt:i4>
      </vt:variant>
      <vt:variant>
        <vt:i4>465</vt:i4>
      </vt:variant>
      <vt:variant>
        <vt:i4>0</vt:i4>
      </vt:variant>
      <vt:variant>
        <vt:i4>5</vt:i4>
      </vt:variant>
      <vt:variant>
        <vt:lpwstr>https://www.tga.gov.au/product-information-pi</vt:lpwstr>
      </vt:variant>
      <vt:variant>
        <vt:lpwstr/>
      </vt:variant>
      <vt:variant>
        <vt:i4>4194312</vt:i4>
      </vt:variant>
      <vt:variant>
        <vt:i4>132</vt:i4>
      </vt:variant>
      <vt:variant>
        <vt:i4>0</vt:i4>
      </vt:variant>
      <vt:variant>
        <vt:i4>5</vt:i4>
      </vt:variant>
      <vt:variant>
        <vt:lpwstr>https://www.tga.gov.au/product-information-pi</vt:lpwstr>
      </vt:variant>
      <vt:variant>
        <vt:lpwstr/>
      </vt:variant>
      <vt:variant>
        <vt:i4>7078009</vt:i4>
      </vt:variant>
      <vt:variant>
        <vt:i4>126</vt:i4>
      </vt:variant>
      <vt:variant>
        <vt:i4>0</vt:i4>
      </vt:variant>
      <vt:variant>
        <vt:i4>5</vt:i4>
      </vt:variant>
      <vt:variant>
        <vt:lpwstr>https://www.tga.gov.au/covid-19-vaccine-pfizer-australia-comirnaty-tozinameran-mrna</vt:lpwstr>
      </vt:variant>
      <vt:variant>
        <vt:lpwstr/>
      </vt:variant>
      <vt:variant>
        <vt:i4>1048636</vt:i4>
      </vt:variant>
      <vt:variant>
        <vt:i4>92</vt:i4>
      </vt:variant>
      <vt:variant>
        <vt:i4>0</vt:i4>
      </vt:variant>
      <vt:variant>
        <vt:i4>5</vt:i4>
      </vt:variant>
      <vt:variant>
        <vt:lpwstr/>
      </vt:variant>
      <vt:variant>
        <vt:lpwstr>_Toc96701130</vt:lpwstr>
      </vt:variant>
      <vt:variant>
        <vt:i4>1638461</vt:i4>
      </vt:variant>
      <vt:variant>
        <vt:i4>86</vt:i4>
      </vt:variant>
      <vt:variant>
        <vt:i4>0</vt:i4>
      </vt:variant>
      <vt:variant>
        <vt:i4>5</vt:i4>
      </vt:variant>
      <vt:variant>
        <vt:lpwstr/>
      </vt:variant>
      <vt:variant>
        <vt:lpwstr>_Toc96701129</vt:lpwstr>
      </vt:variant>
      <vt:variant>
        <vt:i4>1572925</vt:i4>
      </vt:variant>
      <vt:variant>
        <vt:i4>80</vt:i4>
      </vt:variant>
      <vt:variant>
        <vt:i4>0</vt:i4>
      </vt:variant>
      <vt:variant>
        <vt:i4>5</vt:i4>
      </vt:variant>
      <vt:variant>
        <vt:lpwstr/>
      </vt:variant>
      <vt:variant>
        <vt:lpwstr>_Toc96701128</vt:lpwstr>
      </vt:variant>
      <vt:variant>
        <vt:i4>1507389</vt:i4>
      </vt:variant>
      <vt:variant>
        <vt:i4>74</vt:i4>
      </vt:variant>
      <vt:variant>
        <vt:i4>0</vt:i4>
      </vt:variant>
      <vt:variant>
        <vt:i4>5</vt:i4>
      </vt:variant>
      <vt:variant>
        <vt:lpwstr/>
      </vt:variant>
      <vt:variant>
        <vt:lpwstr>_Toc96701127</vt:lpwstr>
      </vt:variant>
      <vt:variant>
        <vt:i4>1441853</vt:i4>
      </vt:variant>
      <vt:variant>
        <vt:i4>68</vt:i4>
      </vt:variant>
      <vt:variant>
        <vt:i4>0</vt:i4>
      </vt:variant>
      <vt:variant>
        <vt:i4>5</vt:i4>
      </vt:variant>
      <vt:variant>
        <vt:lpwstr/>
      </vt:variant>
      <vt:variant>
        <vt:lpwstr>_Toc96701126</vt:lpwstr>
      </vt:variant>
      <vt:variant>
        <vt:i4>1376317</vt:i4>
      </vt:variant>
      <vt:variant>
        <vt:i4>62</vt:i4>
      </vt:variant>
      <vt:variant>
        <vt:i4>0</vt:i4>
      </vt:variant>
      <vt:variant>
        <vt:i4>5</vt:i4>
      </vt:variant>
      <vt:variant>
        <vt:lpwstr/>
      </vt:variant>
      <vt:variant>
        <vt:lpwstr>_Toc96701125</vt:lpwstr>
      </vt:variant>
      <vt:variant>
        <vt:i4>1310781</vt:i4>
      </vt:variant>
      <vt:variant>
        <vt:i4>56</vt:i4>
      </vt:variant>
      <vt:variant>
        <vt:i4>0</vt:i4>
      </vt:variant>
      <vt:variant>
        <vt:i4>5</vt:i4>
      </vt:variant>
      <vt:variant>
        <vt:lpwstr/>
      </vt:variant>
      <vt:variant>
        <vt:lpwstr>_Toc96701124</vt:lpwstr>
      </vt:variant>
      <vt:variant>
        <vt:i4>1245245</vt:i4>
      </vt:variant>
      <vt:variant>
        <vt:i4>50</vt:i4>
      </vt:variant>
      <vt:variant>
        <vt:i4>0</vt:i4>
      </vt:variant>
      <vt:variant>
        <vt:i4>5</vt:i4>
      </vt:variant>
      <vt:variant>
        <vt:lpwstr/>
      </vt:variant>
      <vt:variant>
        <vt:lpwstr>_Toc96701123</vt:lpwstr>
      </vt:variant>
      <vt:variant>
        <vt:i4>1179709</vt:i4>
      </vt:variant>
      <vt:variant>
        <vt:i4>44</vt:i4>
      </vt:variant>
      <vt:variant>
        <vt:i4>0</vt:i4>
      </vt:variant>
      <vt:variant>
        <vt:i4>5</vt:i4>
      </vt:variant>
      <vt:variant>
        <vt:lpwstr/>
      </vt:variant>
      <vt:variant>
        <vt:lpwstr>_Toc96701122</vt:lpwstr>
      </vt:variant>
      <vt:variant>
        <vt:i4>1114173</vt:i4>
      </vt:variant>
      <vt:variant>
        <vt:i4>38</vt:i4>
      </vt:variant>
      <vt:variant>
        <vt:i4>0</vt:i4>
      </vt:variant>
      <vt:variant>
        <vt:i4>5</vt:i4>
      </vt:variant>
      <vt:variant>
        <vt:lpwstr/>
      </vt:variant>
      <vt:variant>
        <vt:lpwstr>_Toc96701121</vt:lpwstr>
      </vt:variant>
      <vt:variant>
        <vt:i4>1048637</vt:i4>
      </vt:variant>
      <vt:variant>
        <vt:i4>32</vt:i4>
      </vt:variant>
      <vt:variant>
        <vt:i4>0</vt:i4>
      </vt:variant>
      <vt:variant>
        <vt:i4>5</vt:i4>
      </vt:variant>
      <vt:variant>
        <vt:lpwstr/>
      </vt:variant>
      <vt:variant>
        <vt:lpwstr>_Toc96701120</vt:lpwstr>
      </vt:variant>
      <vt:variant>
        <vt:i4>1638462</vt:i4>
      </vt:variant>
      <vt:variant>
        <vt:i4>26</vt:i4>
      </vt:variant>
      <vt:variant>
        <vt:i4>0</vt:i4>
      </vt:variant>
      <vt:variant>
        <vt:i4>5</vt:i4>
      </vt:variant>
      <vt:variant>
        <vt:lpwstr/>
      </vt:variant>
      <vt:variant>
        <vt:lpwstr>_Toc96701119</vt:lpwstr>
      </vt:variant>
      <vt:variant>
        <vt:i4>1572926</vt:i4>
      </vt:variant>
      <vt:variant>
        <vt:i4>20</vt:i4>
      </vt:variant>
      <vt:variant>
        <vt:i4>0</vt:i4>
      </vt:variant>
      <vt:variant>
        <vt:i4>5</vt:i4>
      </vt:variant>
      <vt:variant>
        <vt:lpwstr/>
      </vt:variant>
      <vt:variant>
        <vt:lpwstr>_Toc96701118</vt:lpwstr>
      </vt:variant>
      <vt:variant>
        <vt:i4>1507390</vt:i4>
      </vt:variant>
      <vt:variant>
        <vt:i4>14</vt:i4>
      </vt:variant>
      <vt:variant>
        <vt:i4>0</vt:i4>
      </vt:variant>
      <vt:variant>
        <vt:i4>5</vt:i4>
      </vt:variant>
      <vt:variant>
        <vt:lpwstr/>
      </vt:variant>
      <vt:variant>
        <vt:lpwstr>_Toc96701117</vt:lpwstr>
      </vt:variant>
      <vt:variant>
        <vt:i4>1441854</vt:i4>
      </vt:variant>
      <vt:variant>
        <vt:i4>8</vt:i4>
      </vt:variant>
      <vt:variant>
        <vt:i4>0</vt:i4>
      </vt:variant>
      <vt:variant>
        <vt:i4>5</vt:i4>
      </vt:variant>
      <vt:variant>
        <vt:lpwstr/>
      </vt:variant>
      <vt:variant>
        <vt:lpwstr>_Toc96701116</vt:lpwstr>
      </vt:variant>
      <vt:variant>
        <vt:i4>6291548</vt:i4>
      </vt:variant>
      <vt:variant>
        <vt:i4>3</vt:i4>
      </vt:variant>
      <vt:variant>
        <vt:i4>0</vt:i4>
      </vt:variant>
      <vt:variant>
        <vt:i4>5</vt:i4>
      </vt:variant>
      <vt:variant>
        <vt:lpwstr>mailto:tga.copyright@tga.gov.au</vt:lpwstr>
      </vt:variant>
      <vt:variant>
        <vt:lpwstr/>
      </vt:variant>
      <vt:variant>
        <vt:i4>3473445</vt:i4>
      </vt:variant>
      <vt:variant>
        <vt:i4>0</vt:i4>
      </vt:variant>
      <vt:variant>
        <vt:i4>0</vt:i4>
      </vt:variant>
      <vt:variant>
        <vt:i4>5</vt:i4>
      </vt:variant>
      <vt:variant>
        <vt:lpwstr>https://www.tga.gov.au/</vt:lpwstr>
      </vt:variant>
      <vt:variant>
        <vt:lpwstr/>
      </vt:variant>
      <vt:variant>
        <vt:i4>4980811</vt:i4>
      </vt:variant>
      <vt:variant>
        <vt:i4>45</vt:i4>
      </vt:variant>
      <vt:variant>
        <vt:i4>0</vt:i4>
      </vt:variant>
      <vt:variant>
        <vt:i4>5</vt:i4>
      </vt:variant>
      <vt:variant>
        <vt:lpwstr>https://www.fda.gov/media/155107/download</vt:lpwstr>
      </vt:variant>
      <vt:variant>
        <vt:lpwstr/>
      </vt:variant>
      <vt:variant>
        <vt:i4>3473519</vt:i4>
      </vt:variant>
      <vt:variant>
        <vt:i4>42</vt:i4>
      </vt:variant>
      <vt:variant>
        <vt:i4>0</vt:i4>
      </vt:variant>
      <vt:variant>
        <vt:i4>5</vt:i4>
      </vt:variant>
      <vt:variant>
        <vt:lpwstr>https://www.who.int/en/activities/tracking-SARS-CoV-2-variants/</vt:lpwstr>
      </vt:variant>
      <vt:variant>
        <vt:lpwstr/>
      </vt:variant>
      <vt:variant>
        <vt:i4>6488163</vt:i4>
      </vt:variant>
      <vt:variant>
        <vt:i4>39</vt:i4>
      </vt:variant>
      <vt:variant>
        <vt:i4>0</vt:i4>
      </vt:variant>
      <vt:variant>
        <vt:i4>5</vt:i4>
      </vt:variant>
      <vt:variant>
        <vt:lpwstr>https://www.health.gov.au/initiatives-and-programs/covid-19-vaccines/numbers-statistics</vt:lpwstr>
      </vt:variant>
      <vt:variant>
        <vt:lpwstr/>
      </vt:variant>
      <vt:variant>
        <vt:i4>6422655</vt:i4>
      </vt:variant>
      <vt:variant>
        <vt:i4>36</vt:i4>
      </vt:variant>
      <vt:variant>
        <vt:i4>0</vt:i4>
      </vt:variant>
      <vt:variant>
        <vt:i4>5</vt:i4>
      </vt:variant>
      <vt:variant>
        <vt:lpwstr>https://www.tga.gov.au/auspar/auspar-bnt162b2-mrna</vt:lpwstr>
      </vt:variant>
      <vt:variant>
        <vt:lpwstr/>
      </vt:variant>
      <vt:variant>
        <vt:i4>393294</vt:i4>
      </vt:variant>
      <vt:variant>
        <vt:i4>33</vt:i4>
      </vt:variant>
      <vt:variant>
        <vt:i4>0</vt:i4>
      </vt:variant>
      <vt:variant>
        <vt:i4>5</vt:i4>
      </vt:variant>
      <vt:variant>
        <vt:lpwstr>https://www.tga.gov.au/auspar/auspar-bnt162b2-mrna-comirnaty</vt:lpwstr>
      </vt:variant>
      <vt:variant>
        <vt:lpwstr/>
      </vt:variant>
      <vt:variant>
        <vt:i4>3211386</vt:i4>
      </vt:variant>
      <vt:variant>
        <vt:i4>30</vt:i4>
      </vt:variant>
      <vt:variant>
        <vt:i4>0</vt:i4>
      </vt:variant>
      <vt:variant>
        <vt:i4>5</vt:i4>
      </vt:variant>
      <vt:variant>
        <vt:lpwstr>https://www.tga.gov.au/auspar/auspar-chadox1-s</vt:lpwstr>
      </vt:variant>
      <vt:variant>
        <vt:lpwstr/>
      </vt:variant>
      <vt:variant>
        <vt:i4>2818092</vt:i4>
      </vt:variant>
      <vt:variant>
        <vt:i4>27</vt:i4>
      </vt:variant>
      <vt:variant>
        <vt:i4>0</vt:i4>
      </vt:variant>
      <vt:variant>
        <vt:i4>5</vt:i4>
      </vt:variant>
      <vt:variant>
        <vt:lpwstr>https://www.tga.gov.au/auspar/auspar-ad26cov2s</vt:lpwstr>
      </vt:variant>
      <vt:variant>
        <vt:lpwstr/>
      </vt:variant>
      <vt:variant>
        <vt:i4>6029389</vt:i4>
      </vt:variant>
      <vt:variant>
        <vt:i4>24</vt:i4>
      </vt:variant>
      <vt:variant>
        <vt:i4>0</vt:i4>
      </vt:variant>
      <vt:variant>
        <vt:i4>5</vt:i4>
      </vt:variant>
      <vt:variant>
        <vt:lpwstr>https://www.tga.gov.au/auspar/auspar-elasomeran-0</vt:lpwstr>
      </vt:variant>
      <vt:variant>
        <vt:lpwstr/>
      </vt:variant>
      <vt:variant>
        <vt:i4>7405603</vt:i4>
      </vt:variant>
      <vt:variant>
        <vt:i4>21</vt:i4>
      </vt:variant>
      <vt:variant>
        <vt:i4>0</vt:i4>
      </vt:variant>
      <vt:variant>
        <vt:i4>5</vt:i4>
      </vt:variant>
      <vt:variant>
        <vt:lpwstr>https://www.tga.gov.au/auspar/auspar-elasomeran</vt:lpwstr>
      </vt:variant>
      <vt:variant>
        <vt:lpwstr/>
      </vt:variant>
      <vt:variant>
        <vt:i4>327772</vt:i4>
      </vt:variant>
      <vt:variant>
        <vt:i4>18</vt:i4>
      </vt:variant>
      <vt:variant>
        <vt:i4>0</vt:i4>
      </vt:variant>
      <vt:variant>
        <vt:i4>5</vt:i4>
      </vt:variant>
      <vt:variant>
        <vt:lpwstr>https://www.tga.gov.au/auspar/auspar-casirivimabimdevimab</vt:lpwstr>
      </vt:variant>
      <vt:variant>
        <vt:lpwstr/>
      </vt:variant>
      <vt:variant>
        <vt:i4>8257573</vt:i4>
      </vt:variant>
      <vt:variant>
        <vt:i4>15</vt:i4>
      </vt:variant>
      <vt:variant>
        <vt:i4>0</vt:i4>
      </vt:variant>
      <vt:variant>
        <vt:i4>5</vt:i4>
      </vt:variant>
      <vt:variant>
        <vt:lpwstr>https://www.tga.gov.au/auspar/auspar-sotrovimab</vt:lpwstr>
      </vt:variant>
      <vt:variant>
        <vt:lpwstr/>
      </vt:variant>
      <vt:variant>
        <vt:i4>6553639</vt:i4>
      </vt:variant>
      <vt:variant>
        <vt:i4>12</vt:i4>
      </vt:variant>
      <vt:variant>
        <vt:i4>0</vt:i4>
      </vt:variant>
      <vt:variant>
        <vt:i4>5</vt:i4>
      </vt:variant>
      <vt:variant>
        <vt:lpwstr>https://www.tga.gov.au/auspar/auspar-remdesivir</vt:lpwstr>
      </vt:variant>
      <vt:variant>
        <vt:lpwstr/>
      </vt:variant>
      <vt:variant>
        <vt:i4>327693</vt:i4>
      </vt:variant>
      <vt:variant>
        <vt:i4>8</vt:i4>
      </vt:variant>
      <vt:variant>
        <vt:i4>0</vt:i4>
      </vt:variant>
      <vt:variant>
        <vt:i4>5</vt:i4>
      </vt:variant>
      <vt:variant>
        <vt:lpwstr>https://www.health.gov.au/health-alerts/covid-19/case-numbers-and-statistics</vt:lpwstr>
      </vt:variant>
      <vt:variant>
        <vt:lpwstr/>
      </vt:variant>
      <vt:variant>
        <vt:i4>327693</vt:i4>
      </vt:variant>
      <vt:variant>
        <vt:i4>6</vt:i4>
      </vt:variant>
      <vt:variant>
        <vt:i4>0</vt:i4>
      </vt:variant>
      <vt:variant>
        <vt:i4>5</vt:i4>
      </vt:variant>
      <vt:variant>
        <vt:lpwstr>https://www.health.gov.au/health-alerts/covid-19/case-numbers-and-statistics</vt:lpwstr>
      </vt:variant>
      <vt:variant>
        <vt:lpwstr/>
      </vt:variant>
      <vt:variant>
        <vt:i4>327693</vt:i4>
      </vt:variant>
      <vt:variant>
        <vt:i4>2</vt:i4>
      </vt:variant>
      <vt:variant>
        <vt:i4>0</vt:i4>
      </vt:variant>
      <vt:variant>
        <vt:i4>5</vt:i4>
      </vt:variant>
      <vt:variant>
        <vt:lpwstr>https://www.health.gov.au/health-alerts/covid-19/case-numbers-and-statistics</vt:lpwstr>
      </vt:variant>
      <vt:variant>
        <vt:lpwstr/>
      </vt:variant>
      <vt:variant>
        <vt:i4>327693</vt:i4>
      </vt:variant>
      <vt:variant>
        <vt:i4>0</vt:i4>
      </vt:variant>
      <vt:variant>
        <vt:i4>0</vt:i4>
      </vt:variant>
      <vt:variant>
        <vt:i4>5</vt:i4>
      </vt:variant>
      <vt:variant>
        <vt:lpwstr>https://www.health.gov.au/health-alerts/covid-19/case-numbers-and-statistics</vt:lpwstr>
      </vt:variant>
      <vt:variant>
        <vt:lpwstr/>
      </vt:variant>
      <vt:variant>
        <vt:i4>2490431</vt:i4>
      </vt:variant>
      <vt:variant>
        <vt:i4>15</vt:i4>
      </vt:variant>
      <vt:variant>
        <vt:i4>0</vt:i4>
      </vt:variant>
      <vt:variant>
        <vt:i4>5</vt:i4>
      </vt:variant>
      <vt:variant>
        <vt:lpwstr>https://www.canada.ca/en/health-canada/services/drug-health-product-review-approval/profile-public-release-clinical-information-guidance/document.html</vt:lpwstr>
      </vt:variant>
      <vt:variant>
        <vt:lpwstr/>
      </vt:variant>
      <vt:variant>
        <vt:i4>5374018</vt:i4>
      </vt:variant>
      <vt:variant>
        <vt:i4>12</vt:i4>
      </vt:variant>
      <vt:variant>
        <vt:i4>0</vt:i4>
      </vt:variant>
      <vt:variant>
        <vt:i4>5</vt:i4>
      </vt:variant>
      <vt:variant>
        <vt:lpwstr>https://www.astrazeneca.ca/en/media/press-releases/2022/astrazeneca-to-supply-canada-with-100-000-doses-of-evusheld--a-l.html</vt:lpwstr>
      </vt:variant>
      <vt:variant>
        <vt:lpwstr/>
      </vt:variant>
      <vt:variant>
        <vt:i4>5505039</vt:i4>
      </vt:variant>
      <vt:variant>
        <vt:i4>9</vt:i4>
      </vt:variant>
      <vt:variant>
        <vt:i4>0</vt:i4>
      </vt:variant>
      <vt:variant>
        <vt:i4>5</vt:i4>
      </vt:variant>
      <vt:variant>
        <vt:lpwstr>https://www.canada.ca/en/public-services-procurement/news/2022/02/government-of-canada-signs-new-covid-19-antibody-therapy-agreement.html</vt:lpwstr>
      </vt:variant>
      <vt:variant>
        <vt:lpwstr/>
      </vt:variant>
      <vt:variant>
        <vt:i4>1769548</vt:i4>
      </vt:variant>
      <vt:variant>
        <vt:i4>6</vt:i4>
      </vt:variant>
      <vt:variant>
        <vt:i4>0</vt:i4>
      </vt:variant>
      <vt:variant>
        <vt:i4>5</vt:i4>
      </vt:variant>
      <vt:variant>
        <vt:lpwstr>https://www.astrazeneca.ca/content/az-ca/media/press-releases/2021/astrazeneca-canada-files-for-health-canada-authorization-of-azd7.html</vt:lpwstr>
      </vt:variant>
      <vt:variant>
        <vt:lpwstr/>
      </vt:variant>
      <vt:variant>
        <vt:i4>7209015</vt:i4>
      </vt:variant>
      <vt:variant>
        <vt:i4>3</vt:i4>
      </vt:variant>
      <vt:variant>
        <vt:i4>0</vt:i4>
      </vt:variant>
      <vt:variant>
        <vt:i4>5</vt:i4>
      </vt:variant>
      <vt:variant>
        <vt:lpwstr>https://www.canada.ca/en/health-canada/services/drug-health-product-review-approval/submissions-under-review/new-drug-submissions-under-review.html</vt:lpwstr>
      </vt:variant>
      <vt:variant>
        <vt:lpwstr/>
      </vt:variant>
      <vt:variant>
        <vt:i4>5374018</vt:i4>
      </vt:variant>
      <vt:variant>
        <vt:i4>0</vt:i4>
      </vt:variant>
      <vt:variant>
        <vt:i4>0</vt:i4>
      </vt:variant>
      <vt:variant>
        <vt:i4>5</vt:i4>
      </vt:variant>
      <vt:variant>
        <vt:lpwstr>https://www.astrazeneca.ca/en/media/press-releases/2022/astrazeneca-to-supply-canada-with-100-000-doses-of-evusheld--a-l.html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tixagevimab/cilgavimab</dc:title>
  <dc:subject>prescription medicine regulation</dc:subject>
  <dc:creator>Therapeutic Goods Administration</dc:creator>
  <cp:keywords/>
  <cp:lastModifiedBy>KOLARIK-OREILLY, Kristy</cp:lastModifiedBy>
  <cp:revision>7</cp:revision>
  <cp:lastPrinted>2019-08-15T00:30:00Z</cp:lastPrinted>
  <dcterms:created xsi:type="dcterms:W3CDTF">2022-03-07T23:55:00Z</dcterms:created>
  <dcterms:modified xsi:type="dcterms:W3CDTF">2022-03-10T23:33:00Z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0x010100FD5E5A046A2E9A4788BF61013A8A941E</vt:lpwstr>
  </property>
  <property fmtid="{D5CDD505-2E9C-101B-9397-08002B2CF9AE}" pid="3" name="_dlc_DocIdItemGuid">
    <vt:lpwstr>67625703-99f0-4c9e-ae76-1daa9365df43</vt:lpwstr>
  </property>
</Properties>
</file>