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10B80" w14:textId="7D49C7FF" w:rsidR="004032BD" w:rsidRPr="00497C85" w:rsidRDefault="004032BD" w:rsidP="00DF5E99">
      <w:pPr>
        <w:pStyle w:val="Heading1"/>
        <w:numPr>
          <w:ilvl w:val="0"/>
          <w:numId w:val="0"/>
        </w:numPr>
        <w:spacing w:after="240"/>
        <w:rPr>
          <w:rFonts w:eastAsia="SimSun" w:cstheme="minorHAnsi"/>
        </w:rPr>
      </w:pPr>
      <w:r w:rsidRPr="00497C85">
        <w:rPr>
          <w:rFonts w:eastAsia="SimSun" w:cstheme="minorHAnsi"/>
        </w:rPr>
        <w:t xml:space="preserve">Australian </w:t>
      </w:r>
      <w:r w:rsidR="00BF4110">
        <w:rPr>
          <w:rFonts w:eastAsia="SimSun" w:cstheme="minorHAnsi"/>
        </w:rPr>
        <w:t>PRODUCT INFORMATION</w:t>
      </w:r>
      <w:r w:rsidR="00BF4110" w:rsidRPr="00497C85">
        <w:rPr>
          <w:rFonts w:eastAsia="SimSun" w:cstheme="minorHAnsi"/>
        </w:rPr>
        <w:t xml:space="preserve"> </w:t>
      </w:r>
      <w:r w:rsidRPr="00497C85">
        <w:rPr>
          <w:rFonts w:eastAsia="SimSun" w:cstheme="minorHAnsi"/>
        </w:rPr>
        <w:t xml:space="preserve">– </w:t>
      </w:r>
      <w:r w:rsidR="00A72894" w:rsidRPr="00CA6024">
        <w:rPr>
          <w:rFonts w:cs="Times New Roman"/>
        </w:rPr>
        <w:t>BRALTUS</w:t>
      </w:r>
      <w:r w:rsidR="00A72894" w:rsidRPr="00CA6024">
        <w:rPr>
          <w:rFonts w:cs="Times New Roman"/>
          <w:vertAlign w:val="superscript"/>
        </w:rPr>
        <w:t>®</w:t>
      </w:r>
      <w:r w:rsidR="00A72894" w:rsidRPr="00CA6024">
        <w:rPr>
          <w:rFonts w:cs="Times New Roman"/>
        </w:rPr>
        <w:t xml:space="preserve"> </w:t>
      </w:r>
      <w:r w:rsidR="009A0A5A">
        <w:rPr>
          <w:rFonts w:cs="Times New Roman"/>
        </w:rPr>
        <w:t>(</w:t>
      </w:r>
      <w:r w:rsidR="00A72894" w:rsidRPr="00CA6024">
        <w:rPr>
          <w:rFonts w:cs="Times New Roman"/>
        </w:rPr>
        <w:t xml:space="preserve">tiotropium </w:t>
      </w:r>
      <w:r w:rsidR="009A0A5A">
        <w:rPr>
          <w:rFonts w:cs="Times New Roman"/>
        </w:rPr>
        <w:t>[</w:t>
      </w:r>
      <w:r w:rsidR="00A72894" w:rsidRPr="00CA6024">
        <w:rPr>
          <w:rFonts w:cs="Times New Roman"/>
        </w:rPr>
        <w:t>as bromide</w:t>
      </w:r>
      <w:r w:rsidR="009A0A5A">
        <w:rPr>
          <w:rFonts w:cs="Times New Roman"/>
        </w:rPr>
        <w:t>])</w:t>
      </w:r>
      <w:r w:rsidR="009A0A5A" w:rsidRPr="00CA6024">
        <w:rPr>
          <w:rFonts w:cs="Times New Roman"/>
        </w:rPr>
        <w:t xml:space="preserve"> </w:t>
      </w:r>
      <w:r w:rsidR="00A72894" w:rsidRPr="00CA6024">
        <w:rPr>
          <w:rFonts w:cs="Times New Roman"/>
        </w:rPr>
        <w:t>Powder for inhalation, hard capsule</w:t>
      </w:r>
    </w:p>
    <w:p w14:paraId="6F12F79B" w14:textId="77777777" w:rsidR="001A3992" w:rsidRPr="00CA6024" w:rsidRDefault="001A3992" w:rsidP="00F81BEA">
      <w:pPr>
        <w:pStyle w:val="Heading1"/>
      </w:pPr>
      <w:r w:rsidRPr="00CA6024">
        <w:t>Name of the medicine</w:t>
      </w:r>
    </w:p>
    <w:p w14:paraId="45B1D870" w14:textId="77777777" w:rsidR="00CA6024" w:rsidRDefault="00465473" w:rsidP="00A72894">
      <w:pPr>
        <w:pStyle w:val="BodyText"/>
        <w:spacing w:line="259" w:lineRule="auto"/>
        <w:rPr>
          <w:rFonts w:cs="Times New Roman"/>
        </w:rPr>
      </w:pPr>
      <w:r>
        <w:rPr>
          <w:rFonts w:cs="Times New Roman"/>
        </w:rPr>
        <w:t>T</w:t>
      </w:r>
      <w:r w:rsidRPr="00CA6024">
        <w:rPr>
          <w:rFonts w:cs="Times New Roman"/>
        </w:rPr>
        <w:t>iotropium (as tiotropium bromide</w:t>
      </w:r>
      <w:r w:rsidR="00A72894">
        <w:rPr>
          <w:rFonts w:cs="Times New Roman"/>
        </w:rPr>
        <w:t>)</w:t>
      </w:r>
    </w:p>
    <w:p w14:paraId="52C92684" w14:textId="77777777" w:rsidR="00A72894" w:rsidRPr="00A72894" w:rsidRDefault="00A72894" w:rsidP="00A72894">
      <w:pPr>
        <w:pStyle w:val="BodyText"/>
        <w:spacing w:line="259" w:lineRule="auto"/>
        <w:rPr>
          <w:rFonts w:cs="Times New Roman"/>
        </w:rPr>
      </w:pPr>
    </w:p>
    <w:p w14:paraId="09D76A07" w14:textId="77777777" w:rsidR="001A3992" w:rsidRDefault="001A3992" w:rsidP="001A3992">
      <w:pPr>
        <w:pStyle w:val="Heading1"/>
        <w:spacing w:before="0" w:after="120"/>
        <w:rPr>
          <w:rFonts w:cstheme="minorHAnsi"/>
        </w:rPr>
      </w:pPr>
      <w:r w:rsidRPr="00497C85">
        <w:rPr>
          <w:rFonts w:cstheme="minorHAnsi"/>
        </w:rPr>
        <w:t>Qualitative and quantitative composition</w:t>
      </w:r>
    </w:p>
    <w:p w14:paraId="280B3A61" w14:textId="77777777" w:rsidR="00A72894" w:rsidRDefault="00465473" w:rsidP="00A72894">
      <w:pPr>
        <w:pStyle w:val="BodyText"/>
        <w:rPr>
          <w:rFonts w:cs="Times New Roman"/>
        </w:rPr>
      </w:pPr>
      <w:r w:rsidRPr="00465473">
        <w:rPr>
          <w:rFonts w:cs="Times New Roman"/>
        </w:rPr>
        <w:t>BRALTUS</w:t>
      </w:r>
      <w:r w:rsidRPr="00465473">
        <w:rPr>
          <w:rFonts w:cs="Times New Roman"/>
          <w:vertAlign w:val="superscript"/>
        </w:rPr>
        <w:t>®</w:t>
      </w:r>
      <w:r w:rsidRPr="00465473">
        <w:rPr>
          <w:rFonts w:cs="Times New Roman"/>
        </w:rPr>
        <w:t xml:space="preserve"> tiotropium (as bromide) </w:t>
      </w:r>
      <w:r>
        <w:rPr>
          <w:rFonts w:cs="Times New Roman"/>
        </w:rPr>
        <w:t>p</w:t>
      </w:r>
      <w:r w:rsidRPr="00465473">
        <w:rPr>
          <w:rFonts w:cs="Times New Roman"/>
        </w:rPr>
        <w:t>owder for inhalation, hard capsule. The drug product must be inhaled with the ZONDA</w:t>
      </w:r>
      <w:r w:rsidRPr="00465473">
        <w:rPr>
          <w:rFonts w:cs="Times New Roman"/>
          <w:vertAlign w:val="superscript"/>
        </w:rPr>
        <w:t>®</w:t>
      </w:r>
      <w:r w:rsidRPr="00465473">
        <w:rPr>
          <w:rFonts w:cs="Times New Roman"/>
        </w:rPr>
        <w:t xml:space="preserve"> device.</w:t>
      </w:r>
    </w:p>
    <w:p w14:paraId="51CB58AE" w14:textId="64C6BC52" w:rsidR="002D1401" w:rsidRPr="00A72894" w:rsidRDefault="002D1401" w:rsidP="00A72894">
      <w:pPr>
        <w:pStyle w:val="BodyText"/>
        <w:rPr>
          <w:rFonts w:cs="Times New Roman"/>
        </w:rPr>
      </w:pPr>
      <w:r>
        <w:rPr>
          <w:rFonts w:cs="Times New Roman"/>
        </w:rPr>
        <w:t xml:space="preserve">BRALTUS is a generic version of SPIRIVA. </w:t>
      </w:r>
      <w:r w:rsidR="0073771A">
        <w:rPr>
          <w:rFonts w:cs="Times New Roman"/>
        </w:rPr>
        <w:t>Each capsule of BRALTUS and SPIRIVA delivers 10 micrograms of tiotropium and are equivalent.</w:t>
      </w:r>
    </w:p>
    <w:p w14:paraId="0115E2F5" w14:textId="77777777" w:rsidR="0073771A" w:rsidRDefault="0073771A" w:rsidP="00A72894">
      <w:pPr>
        <w:pStyle w:val="BodyText"/>
      </w:pPr>
      <w:r w:rsidRPr="00F81BEA">
        <w:t xml:space="preserve">BRALTUS </w:t>
      </w:r>
      <w:r>
        <w:t>capsules</w:t>
      </w:r>
      <w:r w:rsidRPr="00F81BEA">
        <w:t xml:space="preserve"> are </w:t>
      </w:r>
      <w:proofErr w:type="spellStart"/>
      <w:r w:rsidRPr="00F81BEA">
        <w:t>colourless</w:t>
      </w:r>
      <w:proofErr w:type="spellEnd"/>
      <w:r w:rsidRPr="00F81BEA">
        <w:t xml:space="preserve"> and transparent. The c</w:t>
      </w:r>
      <w:r>
        <w:t>apsules contain a white powder.</w:t>
      </w:r>
    </w:p>
    <w:p w14:paraId="3FB07904" w14:textId="77777777" w:rsidR="002E77A5" w:rsidRPr="00A72894" w:rsidRDefault="00A72894" w:rsidP="00A72894">
      <w:pPr>
        <w:pStyle w:val="BodyText"/>
        <w:rPr>
          <w:rFonts w:cs="Times New Roman"/>
        </w:rPr>
      </w:pPr>
      <w:r>
        <w:rPr>
          <w:rFonts w:cs="Times New Roman"/>
        </w:rPr>
        <w:t xml:space="preserve">Excipient(s) with known effect: </w:t>
      </w:r>
      <w:r w:rsidR="00F81BEA" w:rsidRPr="00494AF5">
        <w:rPr>
          <w:rFonts w:cs="Times New Roman"/>
        </w:rPr>
        <w:t>lactose monohydrate</w:t>
      </w:r>
      <w:r w:rsidR="00F81BEA">
        <w:rPr>
          <w:rFonts w:cs="Times New Roman"/>
        </w:rPr>
        <w:t>.</w:t>
      </w:r>
    </w:p>
    <w:p w14:paraId="701F6824" w14:textId="77777777" w:rsidR="00571486" w:rsidRPr="00A72894" w:rsidRDefault="00571486" w:rsidP="00521371">
      <w:pPr>
        <w:pStyle w:val="BodyText"/>
        <w:rPr>
          <w:rFonts w:cs="Times New Roman"/>
        </w:rPr>
      </w:pPr>
      <w:r w:rsidRPr="00A72894">
        <w:rPr>
          <w:rFonts w:cs="Times New Roman"/>
        </w:rPr>
        <w:t>For the full list of excipients, see Section 6.1 List of excipients.</w:t>
      </w:r>
    </w:p>
    <w:p w14:paraId="7FEB22A3" w14:textId="77777777" w:rsidR="001A3992" w:rsidRDefault="001A3992" w:rsidP="00521371">
      <w:pPr>
        <w:pStyle w:val="Heading1"/>
        <w:rPr>
          <w:rFonts w:cstheme="minorHAnsi"/>
        </w:rPr>
      </w:pPr>
      <w:r w:rsidRPr="00497C85">
        <w:rPr>
          <w:rFonts w:cstheme="minorHAnsi"/>
        </w:rPr>
        <w:t>Pharmaceutical form</w:t>
      </w:r>
    </w:p>
    <w:p w14:paraId="7A9CC744" w14:textId="77777777" w:rsidR="00F81BEA" w:rsidRPr="008C55BC" w:rsidRDefault="00F81BEA" w:rsidP="00F81BEA">
      <w:pPr>
        <w:pStyle w:val="BodyText"/>
        <w:spacing w:line="259" w:lineRule="auto"/>
        <w:rPr>
          <w:rFonts w:cs="Times New Roman"/>
          <w:b/>
        </w:rPr>
      </w:pPr>
      <w:r>
        <w:rPr>
          <w:rFonts w:cs="Times New Roman"/>
          <w:b/>
        </w:rPr>
        <w:t xml:space="preserve">BRALTUS </w:t>
      </w:r>
      <w:r w:rsidRPr="008C55BC">
        <w:rPr>
          <w:rFonts w:cs="Times New Roman"/>
          <w:b/>
        </w:rPr>
        <w:t>powder for inhalation in capsules.</w:t>
      </w:r>
    </w:p>
    <w:p w14:paraId="6B9565E0" w14:textId="77777777" w:rsidR="00F81BEA" w:rsidRPr="00F81BEA" w:rsidRDefault="00F81BEA" w:rsidP="00F81BEA">
      <w:pPr>
        <w:pStyle w:val="BodyText"/>
      </w:pPr>
      <w:r w:rsidRPr="00F81BEA">
        <w:t>Each hard BRALTUS capsule contains 13 micrograms tiotropium, equivalent to 15.6 micrograms tiotropium bromide.</w:t>
      </w:r>
    </w:p>
    <w:p w14:paraId="5D722B0C" w14:textId="77777777" w:rsidR="00521371" w:rsidRPr="00F81BEA" w:rsidRDefault="00521371" w:rsidP="00521371">
      <w:pPr>
        <w:pStyle w:val="BodyText"/>
      </w:pPr>
    </w:p>
    <w:p w14:paraId="7FEA621E" w14:textId="77777777" w:rsidR="001A3992" w:rsidRPr="00497C85" w:rsidRDefault="001A3992" w:rsidP="001A3992">
      <w:pPr>
        <w:pStyle w:val="Heading1"/>
        <w:spacing w:before="0" w:after="120"/>
        <w:rPr>
          <w:rFonts w:cstheme="minorHAnsi"/>
        </w:rPr>
      </w:pPr>
      <w:r w:rsidRPr="00497C85">
        <w:rPr>
          <w:rFonts w:cstheme="minorHAnsi"/>
        </w:rPr>
        <w:t>Clinical particulars</w:t>
      </w:r>
    </w:p>
    <w:p w14:paraId="5DC31547" w14:textId="77777777" w:rsidR="001A3992" w:rsidRDefault="001A3992" w:rsidP="001A3992">
      <w:pPr>
        <w:pStyle w:val="Heading2"/>
        <w:spacing w:before="0" w:after="120"/>
        <w:rPr>
          <w:rFonts w:cstheme="minorHAnsi"/>
        </w:rPr>
      </w:pPr>
      <w:r w:rsidRPr="00497C85">
        <w:rPr>
          <w:rFonts w:cstheme="minorHAnsi"/>
        </w:rPr>
        <w:t xml:space="preserve">Therapeutic indications </w:t>
      </w:r>
    </w:p>
    <w:p w14:paraId="201432B7" w14:textId="77777777" w:rsidR="00917D91" w:rsidRPr="00917D91" w:rsidRDefault="00917D91" w:rsidP="00917D91">
      <w:pPr>
        <w:pStyle w:val="BodyText"/>
      </w:pPr>
      <w:r w:rsidRPr="00917D91">
        <w:t xml:space="preserve">BRALTUS is indicated for the long term maintenance treatment of bronchospasm and </w:t>
      </w:r>
      <w:proofErr w:type="spellStart"/>
      <w:r w:rsidRPr="00917D91">
        <w:t>dyspnoea</w:t>
      </w:r>
      <w:proofErr w:type="spellEnd"/>
      <w:r w:rsidRPr="00917D91">
        <w:t xml:space="preserve"> associated with chronic obstructive pulmonary disease (COPD). BRALTUS is indicated for the prevention of COPD exacerbations.</w:t>
      </w:r>
    </w:p>
    <w:p w14:paraId="41EA5BDD" w14:textId="77777777" w:rsidR="001A3992" w:rsidRDefault="001A3992" w:rsidP="001A3992">
      <w:pPr>
        <w:pStyle w:val="Heading2"/>
        <w:spacing w:before="0" w:after="120"/>
        <w:rPr>
          <w:rFonts w:cstheme="minorHAnsi"/>
        </w:rPr>
      </w:pPr>
      <w:r w:rsidRPr="00497C85">
        <w:rPr>
          <w:rFonts w:cstheme="minorHAnsi"/>
        </w:rPr>
        <w:t xml:space="preserve">Dose and method of administration </w:t>
      </w:r>
    </w:p>
    <w:p w14:paraId="56D30EC4" w14:textId="77777777" w:rsidR="00917D91" w:rsidRDefault="00917D91" w:rsidP="00917D91">
      <w:pPr>
        <w:pStyle w:val="BodyText"/>
        <w:spacing w:line="259" w:lineRule="auto"/>
        <w:rPr>
          <w:rFonts w:cs="Times New Roman"/>
        </w:rPr>
      </w:pPr>
      <w:r w:rsidRPr="006A3E14">
        <w:rPr>
          <w:rFonts w:cs="Times New Roman"/>
        </w:rPr>
        <w:t xml:space="preserve">The recommended dosage of </w:t>
      </w:r>
      <w:r>
        <w:rPr>
          <w:rFonts w:cs="Times New Roman"/>
        </w:rPr>
        <w:t xml:space="preserve">BRALTUS </w:t>
      </w:r>
      <w:r w:rsidRPr="006A3E14">
        <w:rPr>
          <w:rFonts w:cs="Times New Roman"/>
        </w:rPr>
        <w:t xml:space="preserve">is inhalation of the contents of one capsule, once daily with the </w:t>
      </w:r>
      <w:r>
        <w:rPr>
          <w:rFonts w:cs="Times New Roman"/>
        </w:rPr>
        <w:t>ZONDA</w:t>
      </w:r>
      <w:r w:rsidRPr="006A3E14">
        <w:rPr>
          <w:rFonts w:cs="Times New Roman"/>
        </w:rPr>
        <w:t xml:space="preserve"> device, at the same time each day (see </w:t>
      </w:r>
      <w:r>
        <w:rPr>
          <w:rFonts w:cs="Times New Roman"/>
        </w:rPr>
        <w:t>ZONDA</w:t>
      </w:r>
      <w:r w:rsidRPr="006A3E14">
        <w:rPr>
          <w:rFonts w:cs="Times New Roman"/>
        </w:rPr>
        <w:t xml:space="preserve"> instructions for use</w:t>
      </w:r>
      <w:r>
        <w:rPr>
          <w:rFonts w:cs="Times New Roman"/>
        </w:rPr>
        <w:t>, in the patient information leaflet provided in each pack of BRALTUS</w:t>
      </w:r>
      <w:r w:rsidRPr="006A3E14">
        <w:rPr>
          <w:rFonts w:cs="Times New Roman"/>
        </w:rPr>
        <w:t>).</w:t>
      </w:r>
      <w:r>
        <w:rPr>
          <w:rFonts w:cs="Times New Roman"/>
        </w:rPr>
        <w:t xml:space="preserve"> </w:t>
      </w:r>
    </w:p>
    <w:p w14:paraId="79EA5B1A" w14:textId="77777777" w:rsidR="00917D91" w:rsidRPr="006A3E14" w:rsidRDefault="00917D91" w:rsidP="002D1401">
      <w:pPr>
        <w:pStyle w:val="BodyText"/>
        <w:spacing w:line="259" w:lineRule="auto"/>
        <w:rPr>
          <w:rFonts w:cs="Times New Roman"/>
        </w:rPr>
      </w:pPr>
      <w:r>
        <w:rPr>
          <w:rFonts w:cs="Times New Roman"/>
        </w:rPr>
        <w:t>The delivered dose (the dose that leaves the mouthpiece of the ZONDA inhaler) is 10 micrograms of tiotropium per capsule.</w:t>
      </w:r>
    </w:p>
    <w:p w14:paraId="2EB5F5D9" w14:textId="77777777" w:rsidR="00917D91" w:rsidRDefault="00917D91" w:rsidP="00917D91">
      <w:pPr>
        <w:pStyle w:val="BodyText"/>
        <w:spacing w:line="259" w:lineRule="auto"/>
        <w:rPr>
          <w:rFonts w:cs="Times New Roman"/>
        </w:rPr>
      </w:pPr>
      <w:r>
        <w:rPr>
          <w:rFonts w:cs="Times New Roman"/>
        </w:rPr>
        <w:lastRenderedPageBreak/>
        <w:t xml:space="preserve">BRALTUS </w:t>
      </w:r>
      <w:r w:rsidR="0050155F">
        <w:rPr>
          <w:rFonts w:cs="Times New Roman"/>
        </w:rPr>
        <w:t>capsules</w:t>
      </w:r>
      <w:r w:rsidRPr="006A3E14">
        <w:rPr>
          <w:rFonts w:cs="Times New Roman"/>
        </w:rPr>
        <w:t xml:space="preserve"> must not be swallowed.</w:t>
      </w:r>
    </w:p>
    <w:p w14:paraId="15A553FC" w14:textId="77777777" w:rsidR="00917D91" w:rsidRPr="006A3E14" w:rsidRDefault="00917D91" w:rsidP="00917D91">
      <w:pPr>
        <w:pStyle w:val="BodyText"/>
        <w:spacing w:line="259" w:lineRule="auto"/>
        <w:rPr>
          <w:rFonts w:cs="Times New Roman"/>
        </w:rPr>
      </w:pPr>
      <w:r>
        <w:rPr>
          <w:rFonts w:cs="Times New Roman"/>
        </w:rPr>
        <w:t>Do not place a BRALTUS capsule directly into the mouthpiece.</w:t>
      </w:r>
    </w:p>
    <w:p w14:paraId="0293AF56" w14:textId="77777777" w:rsidR="00917D91" w:rsidRPr="002C336B" w:rsidRDefault="00917D91" w:rsidP="00917D91">
      <w:pPr>
        <w:pStyle w:val="BodyText"/>
        <w:spacing w:line="259" w:lineRule="auto"/>
        <w:rPr>
          <w:rFonts w:cs="Times New Roman"/>
          <w:u w:val="single"/>
        </w:rPr>
      </w:pPr>
      <w:r w:rsidRPr="002C336B">
        <w:rPr>
          <w:rFonts w:cs="Times New Roman"/>
          <w:u w:val="single"/>
        </w:rPr>
        <w:t>Special populations:</w:t>
      </w:r>
    </w:p>
    <w:p w14:paraId="76BA1FF9" w14:textId="77777777" w:rsidR="00917D91" w:rsidRDefault="00917D91" w:rsidP="00917D91">
      <w:pPr>
        <w:pStyle w:val="BodyText"/>
        <w:spacing w:line="259" w:lineRule="auto"/>
        <w:rPr>
          <w:rFonts w:cs="Times New Roman"/>
        </w:rPr>
      </w:pPr>
      <w:r w:rsidRPr="006A3E14">
        <w:rPr>
          <w:rFonts w:cs="Times New Roman"/>
        </w:rPr>
        <w:t xml:space="preserve">Elderly patients can use </w:t>
      </w:r>
      <w:r>
        <w:rPr>
          <w:rFonts w:cs="Times New Roman"/>
        </w:rPr>
        <w:t xml:space="preserve">BRALTUS </w:t>
      </w:r>
      <w:r w:rsidRPr="006A3E14">
        <w:rPr>
          <w:rFonts w:cs="Times New Roman"/>
        </w:rPr>
        <w:t>at the recommended dose.</w:t>
      </w:r>
    </w:p>
    <w:p w14:paraId="5D699A54" w14:textId="77777777" w:rsidR="00917D91" w:rsidRPr="006A3E14" w:rsidRDefault="00917D91" w:rsidP="00917D91">
      <w:pPr>
        <w:pStyle w:val="BodyText"/>
        <w:spacing w:line="259" w:lineRule="auto"/>
        <w:rPr>
          <w:rFonts w:cs="Times New Roman"/>
        </w:rPr>
      </w:pPr>
      <w:proofErr w:type="spellStart"/>
      <w:r w:rsidRPr="006A3E14">
        <w:rPr>
          <w:rFonts w:cs="Times New Roman"/>
        </w:rPr>
        <w:t>Renally</w:t>
      </w:r>
      <w:proofErr w:type="spellEnd"/>
      <w:r w:rsidRPr="006A3E14">
        <w:rPr>
          <w:rFonts w:cs="Times New Roman"/>
        </w:rPr>
        <w:t xml:space="preserve"> impaired patients can use </w:t>
      </w:r>
      <w:r>
        <w:rPr>
          <w:rFonts w:cs="Times New Roman"/>
        </w:rPr>
        <w:t xml:space="preserve">BRALTUS </w:t>
      </w:r>
      <w:r w:rsidRPr="006A3E14">
        <w:rPr>
          <w:rFonts w:cs="Times New Roman"/>
        </w:rPr>
        <w:t xml:space="preserve">at the recommended dose. However, as with all predominantly </w:t>
      </w:r>
      <w:proofErr w:type="spellStart"/>
      <w:r w:rsidRPr="006A3E14">
        <w:rPr>
          <w:rFonts w:cs="Times New Roman"/>
        </w:rPr>
        <w:t>renally</w:t>
      </w:r>
      <w:proofErr w:type="spellEnd"/>
      <w:r w:rsidRPr="006A3E14">
        <w:rPr>
          <w:rFonts w:cs="Times New Roman"/>
        </w:rPr>
        <w:t xml:space="preserve"> excreted drugs, </w:t>
      </w:r>
      <w:r>
        <w:rPr>
          <w:rFonts w:cs="Times New Roman"/>
        </w:rPr>
        <w:t>tiotropium</w:t>
      </w:r>
      <w:r w:rsidRPr="006A3E14">
        <w:rPr>
          <w:rFonts w:cs="Times New Roman"/>
        </w:rPr>
        <w:t xml:space="preserve"> use should be monitored closely in patients with moderate to severe renal impairment</w:t>
      </w:r>
      <w:r>
        <w:rPr>
          <w:rFonts w:cs="Times New Roman"/>
        </w:rPr>
        <w:t xml:space="preserve"> (</w:t>
      </w:r>
      <w:r w:rsidR="00131BBE">
        <w:rPr>
          <w:rFonts w:cs="Times New Roman"/>
        </w:rPr>
        <w:t>see Section</w:t>
      </w:r>
      <w:r w:rsidRPr="00917D91">
        <w:rPr>
          <w:rFonts w:cs="Times New Roman"/>
        </w:rPr>
        <w:t xml:space="preserve"> 5.2 Pharmacokinetic properties).</w:t>
      </w:r>
    </w:p>
    <w:p w14:paraId="375277A3" w14:textId="77777777" w:rsidR="00917D91" w:rsidRPr="006A3E14" w:rsidRDefault="00917D91" w:rsidP="00917D91">
      <w:pPr>
        <w:pStyle w:val="BodyText"/>
        <w:spacing w:line="259" w:lineRule="auto"/>
        <w:rPr>
          <w:rFonts w:cs="Times New Roman"/>
        </w:rPr>
      </w:pPr>
      <w:proofErr w:type="spellStart"/>
      <w:r w:rsidRPr="006A3E14">
        <w:rPr>
          <w:rFonts w:cs="Times New Roman"/>
        </w:rPr>
        <w:t>Hepatically</w:t>
      </w:r>
      <w:proofErr w:type="spellEnd"/>
      <w:r w:rsidRPr="006A3E14">
        <w:rPr>
          <w:rFonts w:cs="Times New Roman"/>
        </w:rPr>
        <w:t xml:space="preserve"> impaired patients can use </w:t>
      </w:r>
      <w:r w:rsidR="00521371">
        <w:rPr>
          <w:rFonts w:cs="Times New Roman"/>
        </w:rPr>
        <w:t>BRALTUS</w:t>
      </w:r>
      <w:r w:rsidRPr="006A3E14">
        <w:rPr>
          <w:rFonts w:cs="Times New Roman"/>
        </w:rPr>
        <w:t xml:space="preserve"> at the recommended dose.</w:t>
      </w:r>
    </w:p>
    <w:p w14:paraId="71C46A00" w14:textId="77777777" w:rsidR="00917D91" w:rsidRPr="002C336B" w:rsidRDefault="00917D91" w:rsidP="00917D91">
      <w:pPr>
        <w:pStyle w:val="BodyText"/>
        <w:spacing w:line="259" w:lineRule="auto"/>
        <w:rPr>
          <w:rFonts w:cs="Times New Roman"/>
          <w:u w:val="single"/>
        </w:rPr>
      </w:pPr>
      <w:proofErr w:type="spellStart"/>
      <w:r w:rsidRPr="002C336B">
        <w:rPr>
          <w:rFonts w:cs="Times New Roman"/>
          <w:u w:val="single"/>
        </w:rPr>
        <w:t>Paediatric</w:t>
      </w:r>
      <w:proofErr w:type="spellEnd"/>
      <w:r w:rsidRPr="002C336B">
        <w:rPr>
          <w:rFonts w:cs="Times New Roman"/>
          <w:u w:val="single"/>
        </w:rPr>
        <w:t xml:space="preserve"> population:</w:t>
      </w:r>
    </w:p>
    <w:p w14:paraId="17236E46" w14:textId="77777777" w:rsidR="00917D91" w:rsidRDefault="00917D91" w:rsidP="00917D91">
      <w:pPr>
        <w:pStyle w:val="BodyText"/>
        <w:spacing w:line="259" w:lineRule="auto"/>
        <w:rPr>
          <w:rFonts w:cs="Times New Roman"/>
        </w:rPr>
      </w:pPr>
      <w:r w:rsidRPr="006A3E14">
        <w:rPr>
          <w:rFonts w:cs="Times New Roman"/>
        </w:rPr>
        <w:t xml:space="preserve">There is no experience with </w:t>
      </w:r>
      <w:r>
        <w:rPr>
          <w:rFonts w:cs="Times New Roman"/>
        </w:rPr>
        <w:t>tiotropium</w:t>
      </w:r>
      <w:r w:rsidRPr="006A3E14">
        <w:rPr>
          <w:rFonts w:cs="Times New Roman"/>
        </w:rPr>
        <w:t xml:space="preserve"> in infants</w:t>
      </w:r>
      <w:r>
        <w:rPr>
          <w:rFonts w:cs="Times New Roman"/>
        </w:rPr>
        <w:t xml:space="preserve">, </w:t>
      </w:r>
      <w:r w:rsidRPr="006A3E14">
        <w:rPr>
          <w:rFonts w:cs="Times New Roman"/>
        </w:rPr>
        <w:t xml:space="preserve">children </w:t>
      </w:r>
      <w:r>
        <w:rPr>
          <w:rFonts w:cs="Times New Roman"/>
        </w:rPr>
        <w:t xml:space="preserve">or adolescents </w:t>
      </w:r>
      <w:r w:rsidRPr="006A3E14">
        <w:rPr>
          <w:rFonts w:cs="Times New Roman"/>
        </w:rPr>
        <w:t>and therefore should not be used in this age group</w:t>
      </w:r>
      <w:r>
        <w:rPr>
          <w:rFonts w:cs="Times New Roman"/>
        </w:rPr>
        <w:t>.</w:t>
      </w:r>
    </w:p>
    <w:p w14:paraId="454A390A" w14:textId="77777777" w:rsidR="00917D91" w:rsidRPr="00B20036" w:rsidRDefault="00917D91" w:rsidP="00917D91">
      <w:pPr>
        <w:pStyle w:val="BodyText"/>
        <w:spacing w:line="259" w:lineRule="auto"/>
        <w:rPr>
          <w:rFonts w:cs="Times New Roman"/>
        </w:rPr>
      </w:pPr>
      <w:r w:rsidRPr="00B20036">
        <w:rPr>
          <w:rFonts w:cs="Times New Roman"/>
        </w:rPr>
        <w:t>Method of administration</w:t>
      </w:r>
      <w:r>
        <w:rPr>
          <w:rFonts w:cs="Times New Roman"/>
        </w:rPr>
        <w:t>:</w:t>
      </w:r>
    </w:p>
    <w:p w14:paraId="4B7B04A8" w14:textId="77777777" w:rsidR="00917D91" w:rsidRPr="00B20036" w:rsidRDefault="00917D91" w:rsidP="00917D91">
      <w:pPr>
        <w:pStyle w:val="BodyText"/>
        <w:spacing w:line="259" w:lineRule="auto"/>
        <w:rPr>
          <w:rFonts w:cs="Times New Roman"/>
        </w:rPr>
      </w:pPr>
      <w:r w:rsidRPr="00B20036">
        <w:rPr>
          <w:rFonts w:cs="Times New Roman"/>
        </w:rPr>
        <w:t>To ensure proper administration of the medicinal product, the patient should be train</w:t>
      </w:r>
      <w:r>
        <w:rPr>
          <w:rFonts w:cs="Times New Roman"/>
        </w:rPr>
        <w:t xml:space="preserve">ed in the use of the inhaler by </w:t>
      </w:r>
      <w:r w:rsidRPr="00B20036">
        <w:rPr>
          <w:rFonts w:cs="Times New Roman"/>
        </w:rPr>
        <w:t>either the prescribing physician or by other healthcare professionals.</w:t>
      </w:r>
    </w:p>
    <w:p w14:paraId="496E7A92" w14:textId="77777777" w:rsidR="00917D91" w:rsidRPr="00B20036" w:rsidRDefault="00917D91" w:rsidP="00917D91">
      <w:pPr>
        <w:pStyle w:val="BodyText"/>
        <w:spacing w:line="259" w:lineRule="auto"/>
        <w:rPr>
          <w:rFonts w:cs="Times New Roman"/>
        </w:rPr>
      </w:pPr>
      <w:r w:rsidRPr="00B20036">
        <w:rPr>
          <w:rFonts w:cs="Times New Roman"/>
        </w:rPr>
        <w:t>The Z</w:t>
      </w:r>
      <w:r>
        <w:rPr>
          <w:rFonts w:cs="Times New Roman"/>
        </w:rPr>
        <w:t>ONDA</w:t>
      </w:r>
      <w:r w:rsidRPr="00B20036">
        <w:rPr>
          <w:rFonts w:cs="Times New Roman"/>
        </w:rPr>
        <w:t xml:space="preserve"> inhaler is especially designed for B</w:t>
      </w:r>
      <w:r>
        <w:rPr>
          <w:rFonts w:cs="Times New Roman"/>
        </w:rPr>
        <w:t>RALTUS</w:t>
      </w:r>
      <w:r w:rsidRPr="00B20036">
        <w:rPr>
          <w:rFonts w:cs="Times New Roman"/>
        </w:rPr>
        <w:t xml:space="preserve"> </w:t>
      </w:r>
      <w:r w:rsidR="0050155F">
        <w:rPr>
          <w:rFonts w:cs="Times New Roman"/>
        </w:rPr>
        <w:t>capsules</w:t>
      </w:r>
      <w:r w:rsidRPr="00B20036">
        <w:rPr>
          <w:rFonts w:cs="Times New Roman"/>
        </w:rPr>
        <w:t>; patients must not use it to take any other medication.</w:t>
      </w:r>
    </w:p>
    <w:p w14:paraId="2E610F34" w14:textId="77777777" w:rsidR="00917D91" w:rsidRPr="00B20036" w:rsidRDefault="00917D91" w:rsidP="00917D91">
      <w:pPr>
        <w:pStyle w:val="BodyText"/>
        <w:spacing w:line="259" w:lineRule="auto"/>
        <w:rPr>
          <w:rFonts w:cs="Times New Roman"/>
        </w:rPr>
      </w:pPr>
      <w:r w:rsidRPr="00B20036">
        <w:rPr>
          <w:rFonts w:cs="Times New Roman"/>
        </w:rPr>
        <w:t>B</w:t>
      </w:r>
      <w:r>
        <w:rPr>
          <w:rFonts w:cs="Times New Roman"/>
        </w:rPr>
        <w:t>RALTUS</w:t>
      </w:r>
      <w:r w:rsidRPr="00B20036">
        <w:rPr>
          <w:rFonts w:cs="Times New Roman"/>
        </w:rPr>
        <w:t xml:space="preserve"> </w:t>
      </w:r>
      <w:r w:rsidR="0050155F">
        <w:rPr>
          <w:rFonts w:cs="Times New Roman"/>
        </w:rPr>
        <w:t>capsules</w:t>
      </w:r>
      <w:r w:rsidRPr="00B20036">
        <w:rPr>
          <w:rFonts w:cs="Times New Roman"/>
        </w:rPr>
        <w:t xml:space="preserve"> must only be inhaled using the Z</w:t>
      </w:r>
      <w:r>
        <w:rPr>
          <w:rFonts w:cs="Times New Roman"/>
        </w:rPr>
        <w:t>ONDA</w:t>
      </w:r>
      <w:r w:rsidRPr="00B20036">
        <w:rPr>
          <w:rFonts w:cs="Times New Roman"/>
        </w:rPr>
        <w:t xml:space="preserve"> inhaler. Patients must not use any other inhalers to take</w:t>
      </w:r>
      <w:r>
        <w:rPr>
          <w:rFonts w:cs="Times New Roman"/>
        </w:rPr>
        <w:t xml:space="preserve"> </w:t>
      </w:r>
      <w:r w:rsidRPr="00B20036">
        <w:rPr>
          <w:rFonts w:cs="Times New Roman"/>
        </w:rPr>
        <w:t>B</w:t>
      </w:r>
      <w:r>
        <w:rPr>
          <w:rFonts w:cs="Times New Roman"/>
        </w:rPr>
        <w:t>RALTUS</w:t>
      </w:r>
      <w:r w:rsidRPr="00B20036">
        <w:rPr>
          <w:rFonts w:cs="Times New Roman"/>
        </w:rPr>
        <w:t xml:space="preserve"> </w:t>
      </w:r>
      <w:r w:rsidR="0050155F">
        <w:rPr>
          <w:rFonts w:cs="Times New Roman"/>
        </w:rPr>
        <w:t>capsules</w:t>
      </w:r>
      <w:r w:rsidRPr="00B20036">
        <w:rPr>
          <w:rFonts w:cs="Times New Roman"/>
        </w:rPr>
        <w:t>.</w:t>
      </w:r>
    </w:p>
    <w:p w14:paraId="5C910166" w14:textId="77777777" w:rsidR="00917D91" w:rsidRDefault="00917D91" w:rsidP="00917D91">
      <w:pPr>
        <w:pStyle w:val="BodyText"/>
        <w:spacing w:line="259" w:lineRule="auto"/>
        <w:rPr>
          <w:rFonts w:cs="Times New Roman"/>
        </w:rPr>
      </w:pPr>
      <w:r w:rsidRPr="00B20036">
        <w:rPr>
          <w:rFonts w:cs="Times New Roman"/>
        </w:rPr>
        <w:t>The Z</w:t>
      </w:r>
      <w:r>
        <w:rPr>
          <w:rFonts w:cs="Times New Roman"/>
        </w:rPr>
        <w:t>ONDA</w:t>
      </w:r>
      <w:r w:rsidRPr="00B20036">
        <w:rPr>
          <w:rFonts w:cs="Times New Roman"/>
        </w:rPr>
        <w:t xml:space="preserve"> inhaler should only be used with the bottle of capsules provided. Do not reuse the inhaler for another</w:t>
      </w:r>
      <w:r>
        <w:rPr>
          <w:rFonts w:cs="Times New Roman"/>
        </w:rPr>
        <w:t xml:space="preserve"> </w:t>
      </w:r>
      <w:r w:rsidRPr="00B20036">
        <w:rPr>
          <w:rFonts w:cs="Times New Roman"/>
        </w:rPr>
        <w:t>bottle of capsules. Discard the Z</w:t>
      </w:r>
      <w:r>
        <w:rPr>
          <w:rFonts w:cs="Times New Roman"/>
        </w:rPr>
        <w:t>ONDA</w:t>
      </w:r>
      <w:r w:rsidRPr="00B20036">
        <w:rPr>
          <w:rFonts w:cs="Times New Roman"/>
        </w:rPr>
        <w:t xml:space="preserve"> device after 30 uses</w:t>
      </w:r>
      <w:r>
        <w:rPr>
          <w:rFonts w:cs="Times New Roman"/>
        </w:rPr>
        <w:t>.</w:t>
      </w:r>
    </w:p>
    <w:p w14:paraId="41EF9925" w14:textId="77777777" w:rsidR="00591558" w:rsidRDefault="00591558" w:rsidP="00917D91">
      <w:pPr>
        <w:pStyle w:val="BodyText"/>
        <w:spacing w:line="259" w:lineRule="auto"/>
        <w:rPr>
          <w:rFonts w:cs="Times New Roman"/>
        </w:rPr>
      </w:pPr>
      <w:r>
        <w:t>The capsule shell is not inhaled and remains in the device.</w:t>
      </w:r>
    </w:p>
    <w:p w14:paraId="1FD2FA48" w14:textId="77777777" w:rsidR="00521371" w:rsidRPr="00DE0C41" w:rsidRDefault="00521371" w:rsidP="00591558">
      <w:pPr>
        <w:pStyle w:val="BodyText"/>
        <w:spacing w:line="259" w:lineRule="auto"/>
        <w:ind w:left="0"/>
        <w:rPr>
          <w:rFonts w:cs="Times New Roman"/>
        </w:rPr>
      </w:pPr>
    </w:p>
    <w:p w14:paraId="7BD86DD3" w14:textId="77777777" w:rsidR="001A3992" w:rsidRDefault="001A3992" w:rsidP="001A3992">
      <w:pPr>
        <w:pStyle w:val="Heading2"/>
        <w:spacing w:before="0" w:after="120"/>
        <w:rPr>
          <w:rFonts w:cstheme="minorHAnsi"/>
        </w:rPr>
      </w:pPr>
      <w:r w:rsidRPr="00497C85">
        <w:rPr>
          <w:rFonts w:cstheme="minorHAnsi"/>
        </w:rPr>
        <w:t>Contraindications</w:t>
      </w:r>
    </w:p>
    <w:p w14:paraId="38FA3768" w14:textId="77777777" w:rsidR="00131BBE" w:rsidRDefault="00131BBE" w:rsidP="00131BBE">
      <w:pPr>
        <w:pStyle w:val="BodyText"/>
        <w:spacing w:line="259" w:lineRule="auto"/>
        <w:rPr>
          <w:rFonts w:cs="Times New Roman"/>
        </w:rPr>
      </w:pPr>
      <w:r>
        <w:rPr>
          <w:rFonts w:cs="Times New Roman"/>
        </w:rPr>
        <w:t xml:space="preserve">BRALTUS </w:t>
      </w:r>
      <w:r w:rsidRPr="00617BDC">
        <w:rPr>
          <w:rFonts w:cs="Times New Roman"/>
        </w:rPr>
        <w:t xml:space="preserve">is contraindicated in patients with a history of hypersensitivity to tiotropium bromide, atropine or its derivatives, e.g. ipratropium or </w:t>
      </w:r>
      <w:proofErr w:type="spellStart"/>
      <w:r w:rsidRPr="00617BDC">
        <w:rPr>
          <w:rFonts w:cs="Times New Roman"/>
        </w:rPr>
        <w:t>oxitropium</w:t>
      </w:r>
      <w:proofErr w:type="spellEnd"/>
      <w:r w:rsidRPr="00617BDC">
        <w:rPr>
          <w:rFonts w:cs="Times New Roman"/>
        </w:rPr>
        <w:t xml:space="preserve"> or to any other component of this product (see</w:t>
      </w:r>
      <w:r>
        <w:rPr>
          <w:rFonts w:cs="Times New Roman"/>
        </w:rPr>
        <w:t xml:space="preserve"> Section 6.1 List of excipients)</w:t>
      </w:r>
      <w:r w:rsidRPr="00DE0C41">
        <w:rPr>
          <w:rFonts w:cs="Times New Roman"/>
        </w:rPr>
        <w:t>.</w:t>
      </w:r>
    </w:p>
    <w:p w14:paraId="722C5F14" w14:textId="77777777" w:rsidR="00521371" w:rsidRPr="00DE0C41" w:rsidRDefault="00521371" w:rsidP="00131BBE">
      <w:pPr>
        <w:pStyle w:val="BodyText"/>
        <w:spacing w:line="259" w:lineRule="auto"/>
        <w:rPr>
          <w:rFonts w:cs="Times New Roman"/>
        </w:rPr>
      </w:pPr>
    </w:p>
    <w:p w14:paraId="2B487B5A" w14:textId="77777777" w:rsidR="00131BBE" w:rsidRPr="00131BBE" w:rsidRDefault="007F403C" w:rsidP="007F403C">
      <w:pPr>
        <w:pStyle w:val="Heading2"/>
      </w:pPr>
      <w:r>
        <w:t>Special Warnings and Precautions for Use</w:t>
      </w:r>
    </w:p>
    <w:p w14:paraId="16B0F38E" w14:textId="77777777" w:rsidR="00131BBE" w:rsidRPr="00617BDC" w:rsidRDefault="00131BBE" w:rsidP="00131BBE">
      <w:pPr>
        <w:pStyle w:val="BodyText"/>
        <w:spacing w:line="259" w:lineRule="auto"/>
        <w:rPr>
          <w:rFonts w:cs="Times New Roman"/>
        </w:rPr>
      </w:pPr>
      <w:r>
        <w:rPr>
          <w:rFonts w:cs="Times New Roman"/>
        </w:rPr>
        <w:t>Tiotropium</w:t>
      </w:r>
      <w:r w:rsidRPr="00617BDC">
        <w:rPr>
          <w:rFonts w:cs="Times New Roman"/>
        </w:rPr>
        <w:t>, as a once daily maintenance bronchodilator, should not be used for the treatment of acute episodes of bronchospasm, i.e. rescue therapy.</w:t>
      </w:r>
    </w:p>
    <w:p w14:paraId="1D7C497B" w14:textId="77777777" w:rsidR="00131BBE" w:rsidRPr="00617BDC" w:rsidRDefault="00131BBE" w:rsidP="00131BBE">
      <w:pPr>
        <w:pStyle w:val="BodyText"/>
        <w:spacing w:line="259" w:lineRule="auto"/>
        <w:rPr>
          <w:rFonts w:cs="Times New Roman"/>
        </w:rPr>
      </w:pPr>
      <w:r w:rsidRPr="00617BDC">
        <w:rPr>
          <w:rFonts w:cs="Times New Roman"/>
        </w:rPr>
        <w:lastRenderedPageBreak/>
        <w:t xml:space="preserve">Immediate hypersensitivity reactions may occur after administration of </w:t>
      </w:r>
      <w:r>
        <w:rPr>
          <w:rFonts w:cs="Times New Roman"/>
        </w:rPr>
        <w:t>tiotropium</w:t>
      </w:r>
      <w:r w:rsidRPr="00617BDC">
        <w:rPr>
          <w:rFonts w:cs="Times New Roman"/>
        </w:rPr>
        <w:t>.</w:t>
      </w:r>
    </w:p>
    <w:p w14:paraId="441BC4AE" w14:textId="77777777" w:rsidR="00131BBE" w:rsidRPr="00617BDC" w:rsidRDefault="00131BBE" w:rsidP="00131BBE">
      <w:pPr>
        <w:pStyle w:val="BodyText"/>
        <w:spacing w:line="259" w:lineRule="auto"/>
        <w:rPr>
          <w:rFonts w:cs="Times New Roman"/>
        </w:rPr>
      </w:pPr>
      <w:r w:rsidRPr="00617BDC">
        <w:rPr>
          <w:rFonts w:cs="Times New Roman"/>
        </w:rPr>
        <w:t xml:space="preserve">As with other anticholinergic drugs, </w:t>
      </w:r>
      <w:r>
        <w:rPr>
          <w:rFonts w:cs="Times New Roman"/>
        </w:rPr>
        <w:t>tiotropium</w:t>
      </w:r>
      <w:r w:rsidRPr="00617BDC">
        <w:rPr>
          <w:rFonts w:cs="Times New Roman"/>
        </w:rPr>
        <w:t xml:space="preserve"> should be used with caution in patients with narrow-angle glaucoma, prostatic hyperplasia or bladder-neck obstruction. In a meta-analysis of placebo-controlled trials, </w:t>
      </w:r>
      <w:r>
        <w:rPr>
          <w:rFonts w:cs="Times New Roman"/>
        </w:rPr>
        <w:t>tiotropium</w:t>
      </w:r>
      <w:r w:rsidRPr="00617BDC">
        <w:rPr>
          <w:rFonts w:cs="Times New Roman"/>
        </w:rPr>
        <w:t xml:space="preserve"> was associated with a non-significant increase in the risk of urinary retention, and a significant increase in the risk of micturition difficulties.</w:t>
      </w:r>
    </w:p>
    <w:p w14:paraId="78552E9C" w14:textId="77777777" w:rsidR="00131BBE" w:rsidRPr="00617BDC" w:rsidRDefault="00131BBE" w:rsidP="00131BBE">
      <w:pPr>
        <w:pStyle w:val="BodyText"/>
        <w:spacing w:line="259" w:lineRule="auto"/>
        <w:rPr>
          <w:rFonts w:cs="Times New Roman"/>
        </w:rPr>
      </w:pPr>
      <w:r w:rsidRPr="00617BDC">
        <w:rPr>
          <w:rFonts w:cs="Times New Roman"/>
        </w:rPr>
        <w:t>Inhaled medicines may cause inhalation-induced bronchospasm.</w:t>
      </w:r>
    </w:p>
    <w:p w14:paraId="76EA09FC" w14:textId="77777777" w:rsidR="00131BBE" w:rsidRPr="00617BDC" w:rsidRDefault="00131BBE" w:rsidP="00131BBE">
      <w:pPr>
        <w:pStyle w:val="BodyText"/>
        <w:spacing w:line="259" w:lineRule="auto"/>
        <w:rPr>
          <w:rFonts w:cs="Times New Roman"/>
        </w:rPr>
      </w:pPr>
      <w:r w:rsidRPr="00617BDC">
        <w:rPr>
          <w:rFonts w:cs="Times New Roman"/>
        </w:rPr>
        <w:t xml:space="preserve">Tiotropium should be used with caution in patients with recent myocardial infarction &lt;6 months; any unstable or life threatening cardiac arrhythmia or cardiac arrhythmia requiring intervention or a change in drug therapy in the past year; </w:t>
      </w:r>
      <w:proofErr w:type="spellStart"/>
      <w:r w:rsidRPr="00617BDC">
        <w:rPr>
          <w:rFonts w:cs="Times New Roman"/>
        </w:rPr>
        <w:t>hospitalisation</w:t>
      </w:r>
      <w:proofErr w:type="spellEnd"/>
      <w:r w:rsidRPr="00617BDC">
        <w:rPr>
          <w:rFonts w:cs="Times New Roman"/>
        </w:rPr>
        <w:t xml:space="preserve"> of heart failure (NYHA Class III or IV) within the past year. These patients were excluded from the clinical trials and these conditions may be affected by the anticholinergic mechanism of action.</w:t>
      </w:r>
    </w:p>
    <w:p w14:paraId="0B8DF75F" w14:textId="77777777" w:rsidR="00131BBE" w:rsidRPr="00617BDC" w:rsidRDefault="00131BBE" w:rsidP="00131BBE">
      <w:pPr>
        <w:pStyle w:val="BodyText"/>
        <w:spacing w:line="259" w:lineRule="auto"/>
        <w:rPr>
          <w:rFonts w:cs="Times New Roman"/>
        </w:rPr>
      </w:pPr>
      <w:r w:rsidRPr="00617BDC">
        <w:rPr>
          <w:rFonts w:cs="Times New Roman"/>
        </w:rPr>
        <w:t xml:space="preserve">As with all predominantly </w:t>
      </w:r>
      <w:proofErr w:type="spellStart"/>
      <w:r w:rsidRPr="00617BDC">
        <w:rPr>
          <w:rFonts w:cs="Times New Roman"/>
        </w:rPr>
        <w:t>renally</w:t>
      </w:r>
      <w:proofErr w:type="spellEnd"/>
      <w:r w:rsidRPr="00617BDC">
        <w:rPr>
          <w:rFonts w:cs="Times New Roman"/>
        </w:rPr>
        <w:t xml:space="preserve"> excreted drugs, </w:t>
      </w:r>
      <w:r>
        <w:rPr>
          <w:rFonts w:cs="Times New Roman"/>
        </w:rPr>
        <w:t>tiotropium</w:t>
      </w:r>
      <w:r w:rsidRPr="00617BDC">
        <w:rPr>
          <w:rFonts w:cs="Times New Roman"/>
        </w:rPr>
        <w:t xml:space="preserve"> use should be monitored closely in patients with moderate to severe renal impairment (creatinine clearance of ≤50 mL/min) (see </w:t>
      </w:r>
      <w:r>
        <w:rPr>
          <w:rFonts w:cs="Times New Roman"/>
        </w:rPr>
        <w:t>Section 5.2 Pharmacokinetic properties</w:t>
      </w:r>
      <w:r w:rsidRPr="00617BDC">
        <w:rPr>
          <w:rFonts w:cs="Times New Roman"/>
        </w:rPr>
        <w:t>).</w:t>
      </w:r>
      <w:r>
        <w:rPr>
          <w:rFonts w:cs="Times New Roman"/>
        </w:rPr>
        <w:t xml:space="preserve">  Tiotropium should be used only if the expected benefits outweigh the potential risk. There is no long term experience in patients with severe renal impairment. </w:t>
      </w:r>
    </w:p>
    <w:p w14:paraId="60579D80" w14:textId="77777777" w:rsidR="00131BBE" w:rsidRDefault="00131BBE" w:rsidP="007F403C">
      <w:pPr>
        <w:pStyle w:val="BodyText"/>
        <w:spacing w:line="259" w:lineRule="auto"/>
        <w:rPr>
          <w:rFonts w:cs="Times New Roman"/>
        </w:rPr>
      </w:pPr>
      <w:r w:rsidRPr="00617BDC">
        <w:rPr>
          <w:rFonts w:cs="Times New Roman"/>
        </w:rPr>
        <w:t xml:space="preserve">Patients must be instructed in the correct administration of </w:t>
      </w:r>
      <w:r>
        <w:rPr>
          <w:rFonts w:cs="Times New Roman"/>
        </w:rPr>
        <w:t>tiotropium</w:t>
      </w:r>
      <w:r w:rsidRPr="00617BDC">
        <w:rPr>
          <w:rFonts w:cs="Times New Roman"/>
        </w:rPr>
        <w:t xml:space="preserve">. Care must be taken not to allow the powder or spray to enter into the eyes. Eye pain or discomfort, blurred vision, visual halos or </w:t>
      </w:r>
      <w:proofErr w:type="spellStart"/>
      <w:r w:rsidRPr="00617BDC">
        <w:rPr>
          <w:rFonts w:cs="Times New Roman"/>
        </w:rPr>
        <w:t>coloured</w:t>
      </w:r>
      <w:proofErr w:type="spellEnd"/>
      <w:r w:rsidRPr="00617BDC">
        <w:rPr>
          <w:rFonts w:cs="Times New Roman"/>
        </w:rPr>
        <w:t xml:space="preserve"> images in association with red eyes from conjunctival congestion and corneal </w:t>
      </w:r>
      <w:proofErr w:type="spellStart"/>
      <w:r w:rsidRPr="00617BDC">
        <w:rPr>
          <w:rFonts w:cs="Times New Roman"/>
        </w:rPr>
        <w:t>oedema</w:t>
      </w:r>
      <w:proofErr w:type="spellEnd"/>
      <w:r w:rsidRPr="00617BDC">
        <w:rPr>
          <w:rFonts w:cs="Times New Roman"/>
        </w:rPr>
        <w:t xml:space="preserve"> may be signs of acute narrow-angle glaucoma. Should any combination of these symptoms develop specialist advice should be sought immediately. </w:t>
      </w:r>
      <w:proofErr w:type="spellStart"/>
      <w:r w:rsidRPr="00617BDC">
        <w:rPr>
          <w:rFonts w:cs="Times New Roman"/>
        </w:rPr>
        <w:t>Miotic</w:t>
      </w:r>
      <w:proofErr w:type="spellEnd"/>
      <w:r w:rsidRPr="00617BDC">
        <w:rPr>
          <w:rFonts w:cs="Times New Roman"/>
        </w:rPr>
        <w:t xml:space="preserve"> eye drops are not considered to be effective treatment.</w:t>
      </w:r>
    </w:p>
    <w:p w14:paraId="1C4214DD" w14:textId="77777777" w:rsidR="00131BBE" w:rsidRDefault="00131BBE" w:rsidP="00131BBE">
      <w:pPr>
        <w:pStyle w:val="BodyText"/>
        <w:spacing w:line="259" w:lineRule="auto"/>
        <w:rPr>
          <w:rFonts w:cs="Times New Roman"/>
        </w:rPr>
      </w:pPr>
      <w:r>
        <w:rPr>
          <w:rFonts w:cs="Times New Roman"/>
        </w:rPr>
        <w:t xml:space="preserve">Dry mouth which has been observed with anticholinergic </w:t>
      </w:r>
      <w:proofErr w:type="gramStart"/>
      <w:r>
        <w:rPr>
          <w:rFonts w:cs="Times New Roman"/>
        </w:rPr>
        <w:t>treatment,</w:t>
      </w:r>
      <w:proofErr w:type="gramEnd"/>
      <w:r>
        <w:rPr>
          <w:rFonts w:cs="Times New Roman"/>
        </w:rPr>
        <w:t xml:space="preserve"> may in the long term be associated with dental caries. </w:t>
      </w:r>
    </w:p>
    <w:p w14:paraId="2E272233" w14:textId="77777777" w:rsidR="00131BBE" w:rsidRPr="00617BDC" w:rsidRDefault="00131BBE" w:rsidP="00131BBE">
      <w:pPr>
        <w:pStyle w:val="BodyText"/>
        <w:spacing w:line="259" w:lineRule="auto"/>
        <w:rPr>
          <w:rFonts w:cs="Times New Roman"/>
        </w:rPr>
      </w:pPr>
      <w:r>
        <w:rPr>
          <w:rFonts w:cs="Times New Roman"/>
        </w:rPr>
        <w:t xml:space="preserve">An increase in anticholinergic effects may occur with increasing age. </w:t>
      </w:r>
    </w:p>
    <w:p w14:paraId="2E57D60C" w14:textId="77777777" w:rsidR="00131BBE" w:rsidRPr="00617BDC" w:rsidRDefault="00131BBE" w:rsidP="00131BBE">
      <w:pPr>
        <w:pStyle w:val="BodyText"/>
        <w:spacing w:line="259" w:lineRule="auto"/>
        <w:rPr>
          <w:rFonts w:cs="Times New Roman"/>
        </w:rPr>
      </w:pPr>
      <w:r>
        <w:rPr>
          <w:rFonts w:cs="Times New Roman"/>
        </w:rPr>
        <w:t xml:space="preserve">BRALTUS </w:t>
      </w:r>
      <w:r w:rsidRPr="00617BDC">
        <w:rPr>
          <w:rFonts w:cs="Times New Roman"/>
        </w:rPr>
        <w:t xml:space="preserve">should not be used more frequently than once daily (see </w:t>
      </w:r>
      <w:r>
        <w:rPr>
          <w:rFonts w:cs="Times New Roman"/>
        </w:rPr>
        <w:t>Section 4.8 Overdose</w:t>
      </w:r>
      <w:r w:rsidRPr="00617BDC">
        <w:rPr>
          <w:rFonts w:cs="Times New Roman"/>
        </w:rPr>
        <w:t>).</w:t>
      </w:r>
    </w:p>
    <w:p w14:paraId="7ABB43D3" w14:textId="77777777" w:rsidR="00131BBE" w:rsidRPr="00617BDC" w:rsidRDefault="00131BBE" w:rsidP="00131BBE">
      <w:pPr>
        <w:pStyle w:val="BodyText"/>
        <w:spacing w:line="259" w:lineRule="auto"/>
        <w:rPr>
          <w:rFonts w:cs="Times New Roman"/>
        </w:rPr>
      </w:pPr>
      <w:r>
        <w:rPr>
          <w:rFonts w:cs="Times New Roman"/>
        </w:rPr>
        <w:t xml:space="preserve">BRALTUS </w:t>
      </w:r>
      <w:r w:rsidR="0050155F">
        <w:rPr>
          <w:rFonts w:cs="Times New Roman"/>
        </w:rPr>
        <w:t>capsules</w:t>
      </w:r>
      <w:r w:rsidRPr="00617BDC">
        <w:rPr>
          <w:rFonts w:cs="Times New Roman"/>
        </w:rPr>
        <w:t xml:space="preserve"> are to be used only with the </w:t>
      </w:r>
      <w:r>
        <w:rPr>
          <w:rFonts w:cs="Times New Roman"/>
        </w:rPr>
        <w:t>ZONDA</w:t>
      </w:r>
      <w:r w:rsidRPr="00EB5596">
        <w:rPr>
          <w:rFonts w:cs="Times New Roman"/>
          <w:vertAlign w:val="superscript"/>
        </w:rPr>
        <w:t>®</w:t>
      </w:r>
      <w:r w:rsidRPr="00617BDC">
        <w:rPr>
          <w:rFonts w:cs="Times New Roman"/>
        </w:rPr>
        <w:t xml:space="preserve"> device </w:t>
      </w:r>
      <w:r w:rsidRPr="00B20036">
        <w:rPr>
          <w:rFonts w:cs="Times New Roman"/>
        </w:rPr>
        <w:t xml:space="preserve">(see </w:t>
      </w:r>
      <w:r>
        <w:rPr>
          <w:rFonts w:cs="Times New Roman"/>
        </w:rPr>
        <w:t>Section 4.2 Dose and method of administration)</w:t>
      </w:r>
      <w:r w:rsidRPr="00B20036">
        <w:rPr>
          <w:rFonts w:cs="Times New Roman"/>
        </w:rPr>
        <w:t>.</w:t>
      </w:r>
    </w:p>
    <w:p w14:paraId="7D260211" w14:textId="77777777" w:rsidR="00131BBE" w:rsidRDefault="00131BBE" w:rsidP="007F403C">
      <w:pPr>
        <w:pStyle w:val="BodyText"/>
      </w:pPr>
      <w:r w:rsidRPr="00617BDC">
        <w:t xml:space="preserve">This product contains </w:t>
      </w:r>
      <w:r>
        <w:t>18</w:t>
      </w:r>
      <w:r w:rsidRPr="00617BDC">
        <w:t xml:space="preserve"> mg of lactose monohydrate per capsule</w:t>
      </w:r>
      <w:r w:rsidRPr="00DE0C41">
        <w:t>.</w:t>
      </w:r>
      <w:r>
        <w:t xml:space="preserve">  The excipient lactose may contain trace amounts of milk proteins. Care should be taken with those with severe hypersensitivity or allergy to milk protein.</w:t>
      </w:r>
    </w:p>
    <w:p w14:paraId="362A2F4D" w14:textId="77777777" w:rsidR="007F403C" w:rsidRPr="00131BBE" w:rsidRDefault="007F403C" w:rsidP="007F403C">
      <w:pPr>
        <w:pStyle w:val="BodyText"/>
      </w:pPr>
    </w:p>
    <w:p w14:paraId="0B6570D2" w14:textId="77777777" w:rsidR="001A3992" w:rsidRDefault="001A3992" w:rsidP="001A3992">
      <w:pPr>
        <w:pStyle w:val="Heading3"/>
        <w:spacing w:before="0" w:after="120"/>
        <w:rPr>
          <w:rFonts w:cs="Times New Roman"/>
        </w:rPr>
      </w:pPr>
      <w:r w:rsidRPr="00131BBE">
        <w:rPr>
          <w:rFonts w:cs="Times New Roman"/>
        </w:rPr>
        <w:t xml:space="preserve">Use in hepatic impairment </w:t>
      </w:r>
    </w:p>
    <w:p w14:paraId="4DA5E594" w14:textId="77777777" w:rsidR="00131BBE" w:rsidRPr="00131BBE" w:rsidRDefault="00131BBE" w:rsidP="00131BBE">
      <w:pPr>
        <w:pStyle w:val="BodyText"/>
      </w:pPr>
      <w:r w:rsidRPr="00131BBE">
        <w:t xml:space="preserve">There are no data on the use of tiotropium in patients with hepatic impairment. As tiotropium is primarily cleared by renal mechanisms, no dosage adjustment is </w:t>
      </w:r>
      <w:r w:rsidRPr="00131BBE">
        <w:lastRenderedPageBreak/>
        <w:t>recommended. However patients should be monitored closely.</w:t>
      </w:r>
    </w:p>
    <w:p w14:paraId="70654EEE" w14:textId="77777777" w:rsidR="001A3992" w:rsidRDefault="001A3992" w:rsidP="001A3992">
      <w:pPr>
        <w:pStyle w:val="Heading3"/>
        <w:spacing w:before="0" w:after="120"/>
        <w:rPr>
          <w:rFonts w:cstheme="minorHAnsi"/>
        </w:rPr>
      </w:pPr>
      <w:r w:rsidRPr="00497C85">
        <w:rPr>
          <w:rFonts w:cstheme="minorHAnsi"/>
        </w:rPr>
        <w:t xml:space="preserve">Use in renal impairment </w:t>
      </w:r>
    </w:p>
    <w:p w14:paraId="7991FD70" w14:textId="77777777" w:rsidR="00683787" w:rsidRPr="00683787" w:rsidRDefault="00683787" w:rsidP="00683787">
      <w:pPr>
        <w:pStyle w:val="BodyText"/>
      </w:pPr>
      <w:proofErr w:type="spellStart"/>
      <w:r w:rsidRPr="00683787">
        <w:t>Renally</w:t>
      </w:r>
      <w:proofErr w:type="spellEnd"/>
      <w:r w:rsidRPr="00683787">
        <w:t xml:space="preserve">-impaired patients can use BRALTUS at the recommended dose. However, as with all predominantly </w:t>
      </w:r>
      <w:proofErr w:type="spellStart"/>
      <w:r w:rsidRPr="00683787">
        <w:t>renally</w:t>
      </w:r>
      <w:proofErr w:type="spellEnd"/>
      <w:r w:rsidRPr="00683787">
        <w:t xml:space="preserve"> excreted drugs, BRALTUS use should be monitored closely in patients with moderate to severe renal impairment.  For patients with moderate to severe </w:t>
      </w:r>
      <w:r w:rsidR="0073771A">
        <w:t xml:space="preserve">renal </w:t>
      </w:r>
      <w:r w:rsidRPr="00683787">
        <w:t xml:space="preserve">impairment - see </w:t>
      </w:r>
      <w:r>
        <w:t xml:space="preserve">Section 5.2 </w:t>
      </w:r>
      <w:r w:rsidRPr="00683787">
        <w:t>Pharmacokinetic</w:t>
      </w:r>
      <w:r>
        <w:t xml:space="preserve"> properties</w:t>
      </w:r>
      <w:r w:rsidRPr="00683787">
        <w:t>.</w:t>
      </w:r>
    </w:p>
    <w:p w14:paraId="70B4B0FD" w14:textId="77777777" w:rsidR="001A3992" w:rsidRDefault="001A3992" w:rsidP="001A3992">
      <w:pPr>
        <w:pStyle w:val="Heading3"/>
        <w:spacing w:before="0" w:after="120"/>
        <w:rPr>
          <w:rFonts w:cstheme="minorHAnsi"/>
        </w:rPr>
      </w:pPr>
      <w:r w:rsidRPr="00497C85">
        <w:rPr>
          <w:rFonts w:cstheme="minorHAnsi"/>
        </w:rPr>
        <w:t>Use in the elderly</w:t>
      </w:r>
    </w:p>
    <w:p w14:paraId="5EF6CB20" w14:textId="77777777" w:rsidR="00027A77" w:rsidRPr="00027A77" w:rsidRDefault="00027A77" w:rsidP="00027A77">
      <w:pPr>
        <w:pStyle w:val="BodyText"/>
      </w:pPr>
      <w:r w:rsidRPr="001317B9">
        <w:t xml:space="preserve">Elderly patients can use </w:t>
      </w:r>
      <w:r>
        <w:t xml:space="preserve">tiotropium </w:t>
      </w:r>
      <w:r w:rsidRPr="001317B9">
        <w:t xml:space="preserve">at the recommended dose. Renal clearance of tiotropium is likely to be slower in elderly </w:t>
      </w:r>
      <w:r>
        <w:t>patients (see Use in Renal Impairment)</w:t>
      </w:r>
      <w:r w:rsidRPr="00DE0C41">
        <w:t>.</w:t>
      </w:r>
    </w:p>
    <w:p w14:paraId="3CDB7626" w14:textId="77777777" w:rsidR="001A3992" w:rsidRDefault="001A3992" w:rsidP="001A3992">
      <w:pPr>
        <w:pStyle w:val="Heading3"/>
        <w:spacing w:before="0" w:after="120"/>
        <w:rPr>
          <w:rFonts w:cstheme="minorHAnsi"/>
        </w:rPr>
      </w:pPr>
      <w:r w:rsidRPr="00497C85">
        <w:rPr>
          <w:rFonts w:cstheme="minorHAnsi"/>
        </w:rPr>
        <w:t>Paediatric use</w:t>
      </w:r>
    </w:p>
    <w:p w14:paraId="4A505C62" w14:textId="77777777" w:rsidR="00027A77" w:rsidRPr="00027A77" w:rsidRDefault="00027A77" w:rsidP="00027A77">
      <w:pPr>
        <w:pStyle w:val="BodyText"/>
      </w:pPr>
      <w:r w:rsidRPr="00027A77">
        <w:t xml:space="preserve">The safety and effectiveness of tiotropium in </w:t>
      </w:r>
      <w:proofErr w:type="spellStart"/>
      <w:r w:rsidRPr="00027A77">
        <w:t>paediatric</w:t>
      </w:r>
      <w:proofErr w:type="spellEnd"/>
      <w:r w:rsidRPr="00027A77">
        <w:t xml:space="preserve"> patients or adolescents under 18 years of age has not been established. Therefore, BRALTUS should not be used in these patients.</w:t>
      </w:r>
    </w:p>
    <w:p w14:paraId="07F4E782" w14:textId="77777777" w:rsidR="001A3992" w:rsidRDefault="001A3992" w:rsidP="001A3992">
      <w:pPr>
        <w:pStyle w:val="Heading3"/>
        <w:spacing w:before="0" w:after="120"/>
        <w:rPr>
          <w:rFonts w:cstheme="minorHAnsi"/>
        </w:rPr>
      </w:pPr>
      <w:r w:rsidRPr="00521371">
        <w:rPr>
          <w:rFonts w:cstheme="minorHAnsi"/>
        </w:rPr>
        <w:t>Effects on laboratory tests</w:t>
      </w:r>
    </w:p>
    <w:p w14:paraId="596219C7" w14:textId="77777777" w:rsidR="00027A77" w:rsidRPr="00027A77" w:rsidRDefault="00521371" w:rsidP="00521371">
      <w:pPr>
        <w:pStyle w:val="BodyText"/>
      </w:pPr>
      <w:r>
        <w:t>No data available.</w:t>
      </w:r>
    </w:p>
    <w:p w14:paraId="2383BFEF" w14:textId="77777777" w:rsidR="001A3992" w:rsidRDefault="001A3992" w:rsidP="001A3992">
      <w:pPr>
        <w:pStyle w:val="Heading2"/>
        <w:keepNext/>
        <w:keepLines/>
        <w:spacing w:before="0" w:after="120"/>
        <w:rPr>
          <w:rFonts w:cstheme="minorHAnsi"/>
        </w:rPr>
      </w:pPr>
      <w:r w:rsidRPr="00497C85">
        <w:rPr>
          <w:rFonts w:cstheme="minorHAnsi"/>
        </w:rPr>
        <w:t>Interactions with other medicines and other forms of interactions</w:t>
      </w:r>
    </w:p>
    <w:p w14:paraId="10670919" w14:textId="77777777" w:rsidR="00027A77" w:rsidRPr="001317B9" w:rsidRDefault="00027A77" w:rsidP="00027A77">
      <w:pPr>
        <w:pStyle w:val="BodyText"/>
        <w:spacing w:line="259" w:lineRule="auto"/>
        <w:rPr>
          <w:rFonts w:cs="Times New Roman"/>
        </w:rPr>
      </w:pPr>
      <w:r w:rsidRPr="001317B9">
        <w:rPr>
          <w:rFonts w:cs="Times New Roman"/>
        </w:rPr>
        <w:t xml:space="preserve">Although no formal drug interaction studies have been performed, tiotropium has been used concomitantly with other drugs which are commonly used in the treatment of COPD, including sympathomimetic bronchodilators, </w:t>
      </w:r>
      <w:proofErr w:type="spellStart"/>
      <w:r w:rsidRPr="001317B9">
        <w:rPr>
          <w:rFonts w:cs="Times New Roman"/>
        </w:rPr>
        <w:t>methylxanthines</w:t>
      </w:r>
      <w:proofErr w:type="spellEnd"/>
      <w:r w:rsidRPr="001317B9">
        <w:rPr>
          <w:rFonts w:cs="Times New Roman"/>
        </w:rPr>
        <w:t>, oral and inhaled steroids without clinical evidence of drug interactions.</w:t>
      </w:r>
    </w:p>
    <w:p w14:paraId="5BD4AC51" w14:textId="77777777" w:rsidR="00027A77" w:rsidRPr="001317B9" w:rsidRDefault="00027A77" w:rsidP="00027A77">
      <w:pPr>
        <w:pStyle w:val="BodyText"/>
        <w:spacing w:line="259" w:lineRule="auto"/>
        <w:rPr>
          <w:rFonts w:cs="Times New Roman"/>
        </w:rPr>
      </w:pPr>
      <w:r w:rsidRPr="001317B9">
        <w:rPr>
          <w:rFonts w:cs="Times New Roman"/>
        </w:rPr>
        <w:t>Common concomitant medications (LABA, ICS and their combinations) used by patients with COPD were not found to alter the exposure to tiotropium.</w:t>
      </w:r>
    </w:p>
    <w:p w14:paraId="08E38E06" w14:textId="77777777" w:rsidR="00027A77" w:rsidRPr="00027A77" w:rsidRDefault="00027A77" w:rsidP="00027A77">
      <w:pPr>
        <w:pStyle w:val="BodyText"/>
      </w:pPr>
      <w:r w:rsidRPr="001317B9">
        <w:rPr>
          <w:rFonts w:cs="Times New Roman"/>
        </w:rPr>
        <w:t xml:space="preserve">Limited information about co-administration of other anticholinergic medicines with </w:t>
      </w:r>
      <w:r>
        <w:rPr>
          <w:rFonts w:cs="Times New Roman"/>
        </w:rPr>
        <w:t>tiotropium</w:t>
      </w:r>
      <w:r w:rsidRPr="001317B9">
        <w:rPr>
          <w:rFonts w:cs="Times New Roman"/>
        </w:rPr>
        <w:t xml:space="preserve"> is available from a clinical trial. The concomitant use of </w:t>
      </w:r>
      <w:r>
        <w:rPr>
          <w:rFonts w:cs="Times New Roman"/>
        </w:rPr>
        <w:t>tiotropium</w:t>
      </w:r>
      <w:r w:rsidRPr="001317B9">
        <w:rPr>
          <w:rFonts w:cs="Times New Roman"/>
        </w:rPr>
        <w:t xml:space="preserve"> with other anticholinergic agents (e.g. </w:t>
      </w:r>
      <w:proofErr w:type="spellStart"/>
      <w:r w:rsidRPr="001317B9">
        <w:rPr>
          <w:rFonts w:cs="Times New Roman"/>
        </w:rPr>
        <w:t>glycopyrronium</w:t>
      </w:r>
      <w:proofErr w:type="spellEnd"/>
      <w:r w:rsidRPr="001317B9">
        <w:rPr>
          <w:rFonts w:cs="Times New Roman"/>
        </w:rPr>
        <w:t xml:space="preserve">, </w:t>
      </w:r>
      <w:proofErr w:type="spellStart"/>
      <w:r w:rsidRPr="001317B9">
        <w:rPr>
          <w:rFonts w:cs="Times New Roman"/>
        </w:rPr>
        <w:t>aclidinium</w:t>
      </w:r>
      <w:proofErr w:type="spellEnd"/>
      <w:r w:rsidRPr="001317B9">
        <w:rPr>
          <w:rFonts w:cs="Times New Roman"/>
        </w:rPr>
        <w:t xml:space="preserve">, </w:t>
      </w:r>
      <w:proofErr w:type="spellStart"/>
      <w:r w:rsidRPr="001317B9">
        <w:rPr>
          <w:rFonts w:cs="Times New Roman"/>
        </w:rPr>
        <w:t>umeclidinium</w:t>
      </w:r>
      <w:proofErr w:type="spellEnd"/>
      <w:r w:rsidRPr="001317B9">
        <w:rPr>
          <w:rFonts w:cs="Times New Roman"/>
        </w:rPr>
        <w:t xml:space="preserve">, ipratropium) is expected to have additive anticholinergic effects. Acute single dose administration of ipratropium bromide monohydrate after 19 days of </w:t>
      </w:r>
      <w:r>
        <w:rPr>
          <w:rFonts w:cs="Times New Roman"/>
        </w:rPr>
        <w:t>tiotropium</w:t>
      </w:r>
      <w:r w:rsidRPr="001317B9">
        <w:rPr>
          <w:rFonts w:cs="Times New Roman"/>
        </w:rPr>
        <w:t xml:space="preserve"> treatment in healthy volunteers (n=35) was not associated with relevant changes in vital signs or electrocardiographic findings. Adverse events were reported by 3 (9%) of subjects in the study during ipratropium treatment with tiotropium compared to 1 (3%) during placebo treatment with tiotropium. Ipratropium was associated with a 16% decrease in salivary secretions in healthy volunteers. Chronic co-administration of other anticholinergic medicines with </w:t>
      </w:r>
      <w:r>
        <w:rPr>
          <w:rFonts w:cs="Times New Roman"/>
        </w:rPr>
        <w:t>tiotropium</w:t>
      </w:r>
      <w:r w:rsidRPr="001317B9">
        <w:rPr>
          <w:rFonts w:cs="Times New Roman"/>
        </w:rPr>
        <w:t xml:space="preserve"> has not been studied and is therefore not recommended</w:t>
      </w:r>
      <w:r>
        <w:rPr>
          <w:rFonts w:cs="Times New Roman"/>
        </w:rPr>
        <w:t>.</w:t>
      </w:r>
    </w:p>
    <w:p w14:paraId="1CCC338E" w14:textId="77777777" w:rsidR="001A3992" w:rsidRDefault="001A3992" w:rsidP="001A3992">
      <w:pPr>
        <w:pStyle w:val="Heading2"/>
        <w:spacing w:before="0" w:after="120"/>
        <w:rPr>
          <w:rFonts w:cstheme="minorHAnsi"/>
        </w:rPr>
      </w:pPr>
      <w:r w:rsidRPr="00497C85">
        <w:rPr>
          <w:rFonts w:cstheme="minorHAnsi"/>
        </w:rPr>
        <w:t xml:space="preserve">Fertility, pregnancy and lactation </w:t>
      </w:r>
    </w:p>
    <w:p w14:paraId="60E28AFA" w14:textId="77777777" w:rsidR="001A3992" w:rsidRDefault="001A3992" w:rsidP="001A3992">
      <w:pPr>
        <w:pStyle w:val="Heading3"/>
        <w:spacing w:before="0" w:after="120"/>
        <w:rPr>
          <w:rFonts w:cstheme="minorHAnsi"/>
        </w:rPr>
      </w:pPr>
      <w:r w:rsidRPr="00497C85">
        <w:rPr>
          <w:rFonts w:cstheme="minorHAnsi"/>
        </w:rPr>
        <w:t>Effects on fertility</w:t>
      </w:r>
    </w:p>
    <w:p w14:paraId="6DFA8218" w14:textId="77777777" w:rsidR="00027A77" w:rsidRPr="00027A77" w:rsidRDefault="00027A77" w:rsidP="00027A77">
      <w:pPr>
        <w:pStyle w:val="BodyText"/>
      </w:pPr>
      <w:r w:rsidRPr="00027A77">
        <w:t xml:space="preserve">Clinical data on fertility are not available for tiotropium. Tiotropium (as bromide) did not affect the fertility of male or female rats when administered by inhalation at doses up to 2 </w:t>
      </w:r>
      <w:r w:rsidRPr="00027A77">
        <w:lastRenderedPageBreak/>
        <w:t xml:space="preserve">mg/kg (750x the maximum recommended human daily dose of 22.5 </w:t>
      </w:r>
      <w:proofErr w:type="spellStart"/>
      <w:r w:rsidRPr="00027A77">
        <w:t>μg</w:t>
      </w:r>
      <w:proofErr w:type="spellEnd"/>
      <w:r w:rsidRPr="00027A77">
        <w:t>, based on body surface area).</w:t>
      </w:r>
    </w:p>
    <w:p w14:paraId="3E5DB46D" w14:textId="77777777" w:rsidR="001A3992" w:rsidRDefault="001A3992" w:rsidP="001A3992">
      <w:pPr>
        <w:pStyle w:val="Heading3"/>
        <w:spacing w:before="0" w:after="120"/>
        <w:rPr>
          <w:rFonts w:cstheme="minorHAnsi"/>
        </w:rPr>
      </w:pPr>
      <w:r w:rsidRPr="00497C85">
        <w:rPr>
          <w:rFonts w:cstheme="minorHAnsi"/>
        </w:rPr>
        <w:t xml:space="preserve">Use in pregnancy </w:t>
      </w:r>
      <w:r w:rsidR="00497C85" w:rsidRPr="00497C85">
        <w:rPr>
          <w:rFonts w:cstheme="minorHAnsi"/>
        </w:rPr>
        <w:t>– Pregnancy Category B1</w:t>
      </w:r>
    </w:p>
    <w:p w14:paraId="2BDF8E0B" w14:textId="77777777" w:rsidR="00027A77" w:rsidRPr="001317B9" w:rsidRDefault="00027A77" w:rsidP="00027A77">
      <w:pPr>
        <w:pStyle w:val="BodyText"/>
      </w:pPr>
      <w:r w:rsidRPr="001317B9">
        <w:t xml:space="preserve">There is a limited amount of data from the use of tiotropium in pregnant women. Reproductive toxicity studies with tiotropium bromide administered by inhalation to rats and rabbits at doses up to 2.0 and 0.5 mg/kg/day, respectively, produced no evidence of fetal malformations. These doses correspond to 750x and 400x the maximum recommended human daily dose of 22.5 </w:t>
      </w:r>
      <w:r>
        <w:t>microgram</w:t>
      </w:r>
      <w:r w:rsidRPr="001317B9">
        <w:t xml:space="preserve"> based on body surface area. Animal studies do not suggest direct or indirect harmful effects with respect to reproductive toxicity at clinically relevant doses.</w:t>
      </w:r>
    </w:p>
    <w:p w14:paraId="3A590AAC" w14:textId="77777777" w:rsidR="00027A77" w:rsidRPr="00027A77" w:rsidRDefault="00027A77" w:rsidP="00027A77">
      <w:pPr>
        <w:pStyle w:val="BodyText"/>
      </w:pPr>
      <w:r w:rsidRPr="001317B9">
        <w:t xml:space="preserve">As a precautionary measure, it is preferable to avoid the use of </w:t>
      </w:r>
      <w:r>
        <w:t>tiotropium</w:t>
      </w:r>
      <w:r w:rsidRPr="001317B9">
        <w:t xml:space="preserve"> during pregnancy.</w:t>
      </w:r>
    </w:p>
    <w:p w14:paraId="04FB37B0" w14:textId="77777777" w:rsidR="00027A77" w:rsidRDefault="00027A77" w:rsidP="001A3992">
      <w:pPr>
        <w:pStyle w:val="Heading3"/>
        <w:spacing w:before="0" w:after="120"/>
        <w:rPr>
          <w:rFonts w:cstheme="minorHAnsi"/>
        </w:rPr>
      </w:pPr>
      <w:r>
        <w:rPr>
          <w:rFonts w:cstheme="minorHAnsi"/>
        </w:rPr>
        <w:t>Use in lactation</w:t>
      </w:r>
    </w:p>
    <w:p w14:paraId="34940E31" w14:textId="77777777" w:rsidR="00027A77" w:rsidRPr="001317B9" w:rsidRDefault="00027A77" w:rsidP="00027A77">
      <w:pPr>
        <w:pStyle w:val="BodyText"/>
        <w:spacing w:line="259" w:lineRule="auto"/>
        <w:rPr>
          <w:rFonts w:cs="Times New Roman"/>
        </w:rPr>
      </w:pPr>
      <w:r w:rsidRPr="001317B9">
        <w:rPr>
          <w:rFonts w:cs="Times New Roman"/>
        </w:rPr>
        <w:t>Clinical data from lactating women exposed to tiotropium are not available. Based on studies in lactating rats, a small amount of tiotropium is excreted in breast milk.</w:t>
      </w:r>
    </w:p>
    <w:p w14:paraId="2EF12A92" w14:textId="77777777" w:rsidR="00027A77" w:rsidRDefault="00027A77" w:rsidP="00027A77">
      <w:pPr>
        <w:pStyle w:val="BodyText"/>
        <w:rPr>
          <w:rFonts w:cs="Times New Roman"/>
        </w:rPr>
      </w:pPr>
      <w:r w:rsidRPr="001317B9">
        <w:rPr>
          <w:rFonts w:cs="Times New Roman"/>
        </w:rPr>
        <w:t>Therefore, tiotropium should not be used in lactating women unless the expected benefit outweighs any possible risk to the infant</w:t>
      </w:r>
      <w:r w:rsidRPr="00DE0C41">
        <w:rPr>
          <w:rFonts w:cs="Times New Roman"/>
        </w:rPr>
        <w:t>.</w:t>
      </w:r>
    </w:p>
    <w:p w14:paraId="74FAE26D" w14:textId="77777777" w:rsidR="001A3992" w:rsidRPr="00497C85" w:rsidRDefault="001A3992" w:rsidP="00027A77">
      <w:pPr>
        <w:pStyle w:val="BodyText"/>
      </w:pPr>
    </w:p>
    <w:p w14:paraId="57CD6310" w14:textId="77777777" w:rsidR="001A3992" w:rsidRDefault="001A3992" w:rsidP="001A3992">
      <w:pPr>
        <w:pStyle w:val="Heading2"/>
        <w:spacing w:before="0" w:after="120"/>
        <w:rPr>
          <w:rFonts w:cstheme="minorHAnsi"/>
        </w:rPr>
      </w:pPr>
      <w:r w:rsidRPr="00497C85">
        <w:rPr>
          <w:rFonts w:cstheme="minorHAnsi"/>
        </w:rPr>
        <w:t xml:space="preserve">Effects on ability to drive and use machines </w:t>
      </w:r>
    </w:p>
    <w:p w14:paraId="7D5E3334" w14:textId="77777777" w:rsidR="00027A77" w:rsidRPr="00027A77" w:rsidRDefault="00027A77" w:rsidP="00027A77">
      <w:pPr>
        <w:pStyle w:val="BodyText"/>
      </w:pPr>
      <w:r w:rsidRPr="001317B9">
        <w:rPr>
          <w:rFonts w:cs="Times New Roman"/>
        </w:rPr>
        <w:t>No studies on the effects on the ability to drive and use machines have been performed. The occurrence of dizziness or blurred vision may influence the ability to drive and use machinery</w:t>
      </w:r>
      <w:r w:rsidR="007F403C">
        <w:rPr>
          <w:rFonts w:cs="Times New Roman"/>
        </w:rPr>
        <w:t>.</w:t>
      </w:r>
    </w:p>
    <w:p w14:paraId="21DF3C4A" w14:textId="77777777" w:rsidR="00497C85" w:rsidRPr="00497C85" w:rsidRDefault="00497C85" w:rsidP="00497C85">
      <w:pPr>
        <w:rPr>
          <w:rFonts w:asciiTheme="majorHAnsi" w:hAnsiTheme="majorHAnsi" w:cstheme="minorHAnsi"/>
        </w:rPr>
      </w:pPr>
    </w:p>
    <w:p w14:paraId="0C18BA07" w14:textId="77777777" w:rsidR="001A3992" w:rsidRDefault="001A3992" w:rsidP="0085579C">
      <w:pPr>
        <w:pStyle w:val="Heading2"/>
      </w:pPr>
      <w:r w:rsidRPr="00497C85">
        <w:t>Adverse effects (Undesirable effects)</w:t>
      </w:r>
    </w:p>
    <w:p w14:paraId="2BA55B89" w14:textId="77777777" w:rsidR="0085579C" w:rsidRDefault="0085579C" w:rsidP="0085579C">
      <w:pPr>
        <w:pStyle w:val="BodyText"/>
      </w:pPr>
      <w:r>
        <w:t>Many of the listed undesirable effects can be assigned to the anticholinergic properties of tiotropium.</w:t>
      </w:r>
    </w:p>
    <w:p w14:paraId="01B56B11" w14:textId="77777777" w:rsidR="0085579C" w:rsidRDefault="0085579C" w:rsidP="0085579C">
      <w:pPr>
        <w:pStyle w:val="BodyText"/>
      </w:pPr>
      <w:r>
        <w:t>Adverse drug reactions were identified from data obtained in clinical trials and spontaneous reporting during post approval use of the drug. The clinical trial database includes 9,647 tiotropium patients from 28 placebo-controlled clinical trials with treatment periods ranging between four weeks and four years, contributing 12,469 person years of exposure to tiotropium.</w:t>
      </w:r>
    </w:p>
    <w:p w14:paraId="27D92BEA" w14:textId="77777777" w:rsidR="0085579C" w:rsidRDefault="0085579C" w:rsidP="0085579C">
      <w:pPr>
        <w:pStyle w:val="BodyText"/>
      </w:pPr>
      <w:r>
        <w:t>Frequency is defined using the following convention:</w:t>
      </w:r>
    </w:p>
    <w:p w14:paraId="51768773" w14:textId="77777777" w:rsidR="0085579C" w:rsidRDefault="0085579C" w:rsidP="0085579C">
      <w:pPr>
        <w:pStyle w:val="BodyText"/>
      </w:pPr>
      <w:r>
        <w:t>Very common (≥1/10); common (≥1/100 to &lt;1/10); uncommon (≥1/1,000 to &lt;1/100); rare (≥1/10,000 to &lt;1/1,000); very rare (&lt;1/10,000), not known (cannot be estimated from the available data).</w:t>
      </w:r>
    </w:p>
    <w:tbl>
      <w:tblPr>
        <w:tblW w:w="0" w:type="auto"/>
        <w:tblInd w:w="89" w:type="dxa"/>
        <w:tblLayout w:type="fixed"/>
        <w:tblCellMar>
          <w:left w:w="0" w:type="dxa"/>
          <w:right w:w="0" w:type="dxa"/>
        </w:tblCellMar>
        <w:tblLook w:val="0000" w:firstRow="0" w:lastRow="0" w:firstColumn="0" w:lastColumn="0" w:noHBand="0" w:noVBand="0"/>
      </w:tblPr>
      <w:tblGrid>
        <w:gridCol w:w="5530"/>
        <w:gridCol w:w="2324"/>
      </w:tblGrid>
      <w:tr w:rsidR="0085579C" w14:paraId="27F16AC9" w14:textId="77777777" w:rsidTr="00A650BB">
        <w:trPr>
          <w:trHeight w:hRule="exact" w:val="240"/>
          <w:tblHeader/>
        </w:trPr>
        <w:tc>
          <w:tcPr>
            <w:tcW w:w="5530" w:type="dxa"/>
            <w:tcBorders>
              <w:top w:val="single" w:sz="4" w:space="0" w:color="000000"/>
              <w:left w:val="single" w:sz="4" w:space="0" w:color="000000"/>
              <w:bottom w:val="single" w:sz="4" w:space="0" w:color="000000"/>
              <w:right w:val="single" w:sz="4" w:space="0" w:color="000000"/>
            </w:tcBorders>
          </w:tcPr>
          <w:p w14:paraId="4B3736A5" w14:textId="77777777" w:rsidR="0085579C" w:rsidRDefault="0085579C" w:rsidP="002B33D3">
            <w:pPr>
              <w:pStyle w:val="TableParagraph"/>
              <w:kinsoku w:val="0"/>
              <w:overflowPunct w:val="0"/>
              <w:spacing w:line="226" w:lineRule="exact"/>
              <w:ind w:left="102"/>
            </w:pPr>
            <w:r>
              <w:rPr>
                <w:rFonts w:ascii="Arial" w:hAnsi="Arial" w:cs="Arial"/>
                <w:b/>
                <w:bCs/>
                <w:spacing w:val="1"/>
                <w:sz w:val="20"/>
                <w:szCs w:val="20"/>
              </w:rPr>
              <w:t>S</w:t>
            </w:r>
            <w:r>
              <w:rPr>
                <w:rFonts w:ascii="Arial" w:hAnsi="Arial" w:cs="Arial"/>
                <w:b/>
                <w:bCs/>
                <w:spacing w:val="-3"/>
                <w:sz w:val="20"/>
                <w:szCs w:val="20"/>
              </w:rPr>
              <w:t>y</w:t>
            </w:r>
            <w:r>
              <w:rPr>
                <w:rFonts w:ascii="Arial" w:hAnsi="Arial" w:cs="Arial"/>
                <w:b/>
                <w:bCs/>
                <w:spacing w:val="-1"/>
                <w:sz w:val="20"/>
                <w:szCs w:val="20"/>
              </w:rPr>
              <w:t>s</w:t>
            </w:r>
            <w:r>
              <w:rPr>
                <w:rFonts w:ascii="Arial" w:hAnsi="Arial" w:cs="Arial"/>
                <w:b/>
                <w:bCs/>
                <w:sz w:val="20"/>
                <w:szCs w:val="20"/>
              </w:rPr>
              <w:t>t</w:t>
            </w:r>
            <w:r>
              <w:rPr>
                <w:rFonts w:ascii="Arial" w:hAnsi="Arial" w:cs="Arial"/>
                <w:b/>
                <w:bCs/>
                <w:spacing w:val="-1"/>
                <w:sz w:val="20"/>
                <w:szCs w:val="20"/>
              </w:rPr>
              <w:t>e</w:t>
            </w:r>
            <w:r>
              <w:rPr>
                <w:rFonts w:ascii="Arial" w:hAnsi="Arial" w:cs="Arial"/>
                <w:b/>
                <w:bCs/>
                <w:sz w:val="20"/>
                <w:szCs w:val="20"/>
              </w:rPr>
              <w:t>m</w:t>
            </w:r>
            <w:r>
              <w:rPr>
                <w:rFonts w:ascii="Arial" w:hAnsi="Arial" w:cs="Arial"/>
                <w:b/>
                <w:bCs/>
                <w:spacing w:val="-6"/>
                <w:sz w:val="20"/>
                <w:szCs w:val="20"/>
              </w:rPr>
              <w:t xml:space="preserve"> </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g</w:t>
            </w:r>
            <w:r>
              <w:rPr>
                <w:rFonts w:ascii="Arial" w:hAnsi="Arial" w:cs="Arial"/>
                <w:b/>
                <w:bCs/>
                <w:spacing w:val="-1"/>
                <w:sz w:val="20"/>
                <w:szCs w:val="20"/>
              </w:rPr>
              <w:t>a</w:t>
            </w:r>
            <w:r>
              <w:rPr>
                <w:rFonts w:ascii="Arial" w:hAnsi="Arial" w:cs="Arial"/>
                <w:b/>
                <w:bCs/>
                <w:sz w:val="20"/>
                <w:szCs w:val="20"/>
              </w:rPr>
              <w:t>n</w:t>
            </w:r>
            <w:r>
              <w:rPr>
                <w:rFonts w:ascii="Arial" w:hAnsi="Arial" w:cs="Arial"/>
                <w:b/>
                <w:bCs/>
                <w:spacing w:val="-7"/>
                <w:sz w:val="20"/>
                <w:szCs w:val="20"/>
              </w:rPr>
              <w:t xml:space="preserve"> </w:t>
            </w:r>
            <w:r>
              <w:rPr>
                <w:rFonts w:ascii="Arial" w:hAnsi="Arial" w:cs="Arial"/>
                <w:b/>
                <w:bCs/>
                <w:spacing w:val="2"/>
                <w:sz w:val="20"/>
                <w:szCs w:val="20"/>
              </w:rPr>
              <w:t>C</w:t>
            </w:r>
            <w:r>
              <w:rPr>
                <w:rFonts w:ascii="Arial" w:hAnsi="Arial" w:cs="Arial"/>
                <w:b/>
                <w:bCs/>
                <w:spacing w:val="-1"/>
                <w:sz w:val="20"/>
                <w:szCs w:val="20"/>
              </w:rPr>
              <w:t>la</w:t>
            </w:r>
            <w:r>
              <w:rPr>
                <w:rFonts w:ascii="Arial" w:hAnsi="Arial" w:cs="Arial"/>
                <w:b/>
                <w:bCs/>
                <w:spacing w:val="2"/>
                <w:sz w:val="20"/>
                <w:szCs w:val="20"/>
              </w:rPr>
              <w:t>s</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z w:val="20"/>
                <w:szCs w:val="20"/>
              </w:rPr>
              <w:t>/</w:t>
            </w:r>
            <w:r>
              <w:rPr>
                <w:rFonts w:ascii="Arial" w:hAnsi="Arial" w:cs="Arial"/>
                <w:b/>
                <w:bCs/>
                <w:spacing w:val="-8"/>
                <w:sz w:val="20"/>
                <w:szCs w:val="20"/>
              </w:rPr>
              <w:t xml:space="preserve"> </w:t>
            </w:r>
            <w:proofErr w:type="spellStart"/>
            <w:r>
              <w:rPr>
                <w:rFonts w:ascii="Arial" w:hAnsi="Arial" w:cs="Arial"/>
                <w:b/>
                <w:bCs/>
                <w:spacing w:val="4"/>
                <w:sz w:val="20"/>
                <w:szCs w:val="20"/>
              </w:rPr>
              <w:t>M</w:t>
            </w:r>
            <w:r>
              <w:rPr>
                <w:rFonts w:ascii="Arial" w:hAnsi="Arial" w:cs="Arial"/>
                <w:b/>
                <w:bCs/>
                <w:spacing w:val="-1"/>
                <w:sz w:val="20"/>
                <w:szCs w:val="20"/>
              </w:rPr>
              <w:t>e</w:t>
            </w:r>
            <w:r>
              <w:rPr>
                <w:rFonts w:ascii="Arial" w:hAnsi="Arial" w:cs="Arial"/>
                <w:b/>
                <w:bCs/>
                <w:sz w:val="20"/>
                <w:szCs w:val="20"/>
              </w:rPr>
              <w:t>dD</w:t>
            </w:r>
            <w:r>
              <w:rPr>
                <w:rFonts w:ascii="Arial" w:hAnsi="Arial" w:cs="Arial"/>
                <w:b/>
                <w:bCs/>
                <w:spacing w:val="2"/>
                <w:sz w:val="20"/>
                <w:szCs w:val="20"/>
              </w:rPr>
              <w:t>R</w:t>
            </w:r>
            <w:r>
              <w:rPr>
                <w:rFonts w:ascii="Arial" w:hAnsi="Arial" w:cs="Arial"/>
                <w:b/>
                <w:bCs/>
                <w:sz w:val="20"/>
                <w:szCs w:val="20"/>
              </w:rPr>
              <w:t>A</w:t>
            </w:r>
            <w:proofErr w:type="spellEnd"/>
            <w:r>
              <w:rPr>
                <w:rFonts w:ascii="Arial" w:hAnsi="Arial" w:cs="Arial"/>
                <w:b/>
                <w:bCs/>
                <w:spacing w:val="-10"/>
                <w:sz w:val="20"/>
                <w:szCs w:val="20"/>
              </w:rPr>
              <w:t xml:space="preserve"> </w:t>
            </w:r>
            <w:r>
              <w:rPr>
                <w:rFonts w:ascii="Arial" w:hAnsi="Arial" w:cs="Arial"/>
                <w:b/>
                <w:bCs/>
                <w:spacing w:val="1"/>
                <w:sz w:val="20"/>
                <w:szCs w:val="20"/>
              </w:rPr>
              <w:t>P</w:t>
            </w:r>
            <w:r>
              <w:rPr>
                <w:rFonts w:ascii="Arial" w:hAnsi="Arial" w:cs="Arial"/>
                <w:b/>
                <w:bCs/>
                <w:spacing w:val="-1"/>
                <w:sz w:val="20"/>
                <w:szCs w:val="20"/>
              </w:rPr>
              <w:t>re</w:t>
            </w:r>
            <w:r>
              <w:rPr>
                <w:rFonts w:ascii="Arial" w:hAnsi="Arial" w:cs="Arial"/>
                <w:b/>
                <w:bCs/>
                <w:sz w:val="20"/>
                <w:szCs w:val="20"/>
              </w:rPr>
              <w:t>f</w:t>
            </w:r>
            <w:r>
              <w:rPr>
                <w:rFonts w:ascii="Arial" w:hAnsi="Arial" w:cs="Arial"/>
                <w:b/>
                <w:bCs/>
                <w:spacing w:val="2"/>
                <w:sz w:val="20"/>
                <w:szCs w:val="20"/>
              </w:rPr>
              <w:t>e</w:t>
            </w:r>
            <w:r>
              <w:rPr>
                <w:rFonts w:ascii="Arial" w:hAnsi="Arial" w:cs="Arial"/>
                <w:b/>
                <w:bCs/>
                <w:spacing w:val="-1"/>
                <w:sz w:val="20"/>
                <w:szCs w:val="20"/>
              </w:rPr>
              <w:t>rre</w:t>
            </w:r>
            <w:r>
              <w:rPr>
                <w:rFonts w:ascii="Arial" w:hAnsi="Arial" w:cs="Arial"/>
                <w:b/>
                <w:bCs/>
                <w:sz w:val="20"/>
                <w:szCs w:val="20"/>
              </w:rPr>
              <w:t>d</w:t>
            </w:r>
            <w:r>
              <w:rPr>
                <w:rFonts w:ascii="Arial" w:hAnsi="Arial" w:cs="Arial"/>
                <w:b/>
                <w:bCs/>
                <w:spacing w:val="-6"/>
                <w:sz w:val="20"/>
                <w:szCs w:val="20"/>
              </w:rPr>
              <w:t xml:space="preserve"> </w:t>
            </w:r>
            <w:r>
              <w:rPr>
                <w:rFonts w:ascii="Arial" w:hAnsi="Arial" w:cs="Arial"/>
                <w:b/>
                <w:bCs/>
                <w:spacing w:val="3"/>
                <w:sz w:val="20"/>
                <w:szCs w:val="20"/>
              </w:rPr>
              <w:t>T</w:t>
            </w:r>
            <w:r>
              <w:rPr>
                <w:rFonts w:ascii="Arial" w:hAnsi="Arial" w:cs="Arial"/>
                <w:b/>
                <w:bCs/>
                <w:spacing w:val="-1"/>
                <w:sz w:val="20"/>
                <w:szCs w:val="20"/>
              </w:rPr>
              <w:t>er</w:t>
            </w:r>
            <w:r>
              <w:rPr>
                <w:rFonts w:ascii="Arial" w:hAnsi="Arial" w:cs="Arial"/>
                <w:b/>
                <w:bCs/>
                <w:sz w:val="20"/>
                <w:szCs w:val="20"/>
              </w:rPr>
              <w:t>m</w:t>
            </w:r>
          </w:p>
        </w:tc>
        <w:tc>
          <w:tcPr>
            <w:tcW w:w="2324" w:type="dxa"/>
            <w:tcBorders>
              <w:top w:val="single" w:sz="4" w:space="0" w:color="000000"/>
              <w:left w:val="single" w:sz="4" w:space="0" w:color="000000"/>
              <w:bottom w:val="single" w:sz="4" w:space="0" w:color="000000"/>
              <w:right w:val="single" w:sz="4" w:space="0" w:color="000000"/>
            </w:tcBorders>
          </w:tcPr>
          <w:p w14:paraId="2038390D" w14:textId="77777777" w:rsidR="0085579C" w:rsidRDefault="0085579C" w:rsidP="002B33D3">
            <w:pPr>
              <w:pStyle w:val="TableParagraph"/>
              <w:kinsoku w:val="0"/>
              <w:overflowPunct w:val="0"/>
              <w:spacing w:line="226" w:lineRule="exact"/>
              <w:ind w:left="339"/>
            </w:pPr>
            <w:r>
              <w:rPr>
                <w:rFonts w:ascii="Arial" w:hAnsi="Arial" w:cs="Arial"/>
                <w:b/>
                <w:bCs/>
                <w:sz w:val="20"/>
                <w:szCs w:val="20"/>
              </w:rPr>
              <w:t>F</w:t>
            </w:r>
            <w:r>
              <w:rPr>
                <w:rFonts w:ascii="Arial" w:hAnsi="Arial" w:cs="Arial"/>
                <w:b/>
                <w:bCs/>
                <w:spacing w:val="-1"/>
                <w:sz w:val="20"/>
                <w:szCs w:val="20"/>
              </w:rPr>
              <w:t>re</w:t>
            </w:r>
            <w:r>
              <w:rPr>
                <w:rFonts w:ascii="Arial" w:hAnsi="Arial" w:cs="Arial"/>
                <w:b/>
                <w:bCs/>
                <w:sz w:val="20"/>
                <w:szCs w:val="20"/>
              </w:rPr>
              <w:t>qu</w:t>
            </w:r>
            <w:r>
              <w:rPr>
                <w:rFonts w:ascii="Arial" w:hAnsi="Arial" w:cs="Arial"/>
                <w:b/>
                <w:bCs/>
                <w:spacing w:val="-1"/>
                <w:sz w:val="20"/>
                <w:szCs w:val="20"/>
              </w:rPr>
              <w:t>e</w:t>
            </w:r>
            <w:r>
              <w:rPr>
                <w:rFonts w:ascii="Arial" w:hAnsi="Arial" w:cs="Arial"/>
                <w:b/>
                <w:bCs/>
                <w:sz w:val="20"/>
                <w:szCs w:val="20"/>
              </w:rPr>
              <w:t>n</w:t>
            </w:r>
            <w:r>
              <w:rPr>
                <w:rFonts w:ascii="Arial" w:hAnsi="Arial" w:cs="Arial"/>
                <w:b/>
                <w:bCs/>
                <w:spacing w:val="2"/>
                <w:sz w:val="20"/>
                <w:szCs w:val="20"/>
              </w:rPr>
              <w:t>c</w:t>
            </w:r>
            <w:r>
              <w:rPr>
                <w:rFonts w:ascii="Arial" w:hAnsi="Arial" w:cs="Arial"/>
                <w:b/>
                <w:bCs/>
                <w:sz w:val="20"/>
                <w:szCs w:val="20"/>
              </w:rPr>
              <w:t>y</w:t>
            </w:r>
          </w:p>
        </w:tc>
      </w:tr>
      <w:tr w:rsidR="0085579C" w14:paraId="05ECD82E" w14:textId="77777777" w:rsidTr="002B33D3">
        <w:trPr>
          <w:trHeight w:hRule="exact" w:val="240"/>
        </w:trPr>
        <w:tc>
          <w:tcPr>
            <w:tcW w:w="7854" w:type="dxa"/>
            <w:gridSpan w:val="2"/>
            <w:tcBorders>
              <w:top w:val="single" w:sz="4" w:space="0" w:color="000000"/>
              <w:left w:val="single" w:sz="4" w:space="0" w:color="000000"/>
              <w:bottom w:val="single" w:sz="4" w:space="0" w:color="000000"/>
              <w:right w:val="single" w:sz="4" w:space="0" w:color="000000"/>
            </w:tcBorders>
          </w:tcPr>
          <w:p w14:paraId="739A6A4C" w14:textId="77777777" w:rsidR="0085579C" w:rsidRDefault="0085579C" w:rsidP="002B33D3">
            <w:pPr>
              <w:pStyle w:val="TableParagraph"/>
              <w:kinsoku w:val="0"/>
              <w:overflowPunct w:val="0"/>
              <w:spacing w:line="228" w:lineRule="exact"/>
              <w:ind w:left="102"/>
            </w:pPr>
            <w:r>
              <w:rPr>
                <w:rFonts w:ascii="Arial" w:hAnsi="Arial" w:cs="Arial"/>
                <w:spacing w:val="-1"/>
                <w:sz w:val="20"/>
                <w:szCs w:val="20"/>
                <w:u w:val="single"/>
              </w:rPr>
              <w:t>Met</w:t>
            </w:r>
            <w:r>
              <w:rPr>
                <w:rFonts w:ascii="Arial" w:hAnsi="Arial" w:cs="Arial"/>
                <w:spacing w:val="2"/>
                <w:sz w:val="20"/>
                <w:szCs w:val="20"/>
                <w:u w:val="single"/>
              </w:rPr>
              <w:t>a</w:t>
            </w:r>
            <w:r>
              <w:rPr>
                <w:rFonts w:ascii="Arial" w:hAnsi="Arial" w:cs="Arial"/>
                <w:spacing w:val="-1"/>
                <w:sz w:val="20"/>
                <w:szCs w:val="20"/>
                <w:u w:val="single"/>
              </w:rPr>
              <w:t>bo</w:t>
            </w:r>
            <w:r>
              <w:rPr>
                <w:rFonts w:ascii="Arial" w:hAnsi="Arial" w:cs="Arial"/>
                <w:spacing w:val="1"/>
                <w:sz w:val="20"/>
                <w:szCs w:val="20"/>
                <w:u w:val="single"/>
              </w:rPr>
              <w:t>l</w:t>
            </w:r>
            <w:r>
              <w:rPr>
                <w:rFonts w:ascii="Arial" w:hAnsi="Arial" w:cs="Arial"/>
                <w:spacing w:val="-2"/>
                <w:sz w:val="20"/>
                <w:szCs w:val="20"/>
                <w:u w:val="single"/>
              </w:rPr>
              <w:t>i</w:t>
            </w:r>
            <w:r>
              <w:rPr>
                <w:rFonts w:ascii="Arial" w:hAnsi="Arial" w:cs="Arial"/>
                <w:spacing w:val="1"/>
                <w:sz w:val="20"/>
                <w:szCs w:val="20"/>
                <w:u w:val="single"/>
              </w:rPr>
              <w:t>s</w:t>
            </w:r>
            <w:r>
              <w:rPr>
                <w:rFonts w:ascii="Arial" w:hAnsi="Arial" w:cs="Arial"/>
                <w:sz w:val="20"/>
                <w:szCs w:val="20"/>
                <w:u w:val="single"/>
              </w:rPr>
              <w:t>m</w:t>
            </w:r>
            <w:r>
              <w:rPr>
                <w:rFonts w:ascii="Arial" w:hAnsi="Arial" w:cs="Arial"/>
                <w:spacing w:val="-7"/>
                <w:sz w:val="20"/>
                <w:szCs w:val="20"/>
                <w:u w:val="single"/>
              </w:rPr>
              <w:t xml:space="preserve"> </w:t>
            </w:r>
            <w:r>
              <w:rPr>
                <w:rFonts w:ascii="Arial" w:hAnsi="Arial" w:cs="Arial"/>
                <w:spacing w:val="-1"/>
                <w:sz w:val="20"/>
                <w:szCs w:val="20"/>
                <w:u w:val="single"/>
              </w:rPr>
              <w:t>and</w:t>
            </w:r>
            <w:r>
              <w:rPr>
                <w:rFonts w:ascii="Arial" w:hAnsi="Arial" w:cs="Arial"/>
                <w:spacing w:val="-11"/>
                <w:sz w:val="20"/>
                <w:szCs w:val="20"/>
                <w:u w:val="single"/>
              </w:rPr>
              <w:t xml:space="preserve"> </w:t>
            </w:r>
            <w:r>
              <w:rPr>
                <w:rFonts w:ascii="Arial" w:hAnsi="Arial" w:cs="Arial"/>
                <w:spacing w:val="-1"/>
                <w:sz w:val="20"/>
                <w:szCs w:val="20"/>
                <w:u w:val="single"/>
              </w:rPr>
              <w:t>nut</w:t>
            </w:r>
            <w:r>
              <w:rPr>
                <w:rFonts w:ascii="Arial" w:hAnsi="Arial" w:cs="Arial"/>
                <w:spacing w:val="3"/>
                <w:sz w:val="20"/>
                <w:szCs w:val="20"/>
                <w:u w:val="single"/>
              </w:rPr>
              <w:t>r</w:t>
            </w:r>
            <w:r>
              <w:rPr>
                <w:rFonts w:ascii="Arial" w:hAnsi="Arial" w:cs="Arial"/>
                <w:spacing w:val="-1"/>
                <w:sz w:val="20"/>
                <w:szCs w:val="20"/>
                <w:u w:val="single"/>
              </w:rPr>
              <w:t>it</w:t>
            </w:r>
            <w:r>
              <w:rPr>
                <w:rFonts w:ascii="Arial" w:hAnsi="Arial" w:cs="Arial"/>
                <w:spacing w:val="1"/>
                <w:sz w:val="20"/>
                <w:szCs w:val="20"/>
                <w:u w:val="single"/>
              </w:rPr>
              <w:t>i</w:t>
            </w:r>
            <w:r>
              <w:rPr>
                <w:rFonts w:ascii="Arial" w:hAnsi="Arial" w:cs="Arial"/>
                <w:spacing w:val="-1"/>
                <w:sz w:val="20"/>
                <w:szCs w:val="20"/>
                <w:u w:val="single"/>
              </w:rPr>
              <w:t>on</w:t>
            </w:r>
            <w:r>
              <w:rPr>
                <w:rFonts w:ascii="Arial" w:hAnsi="Arial" w:cs="Arial"/>
                <w:spacing w:val="-11"/>
                <w:sz w:val="20"/>
                <w:szCs w:val="20"/>
                <w:u w:val="single"/>
              </w:rPr>
              <w:t xml:space="preserve"> </w:t>
            </w:r>
            <w:r>
              <w:rPr>
                <w:rFonts w:ascii="Arial" w:hAnsi="Arial" w:cs="Arial"/>
                <w:spacing w:val="2"/>
                <w:sz w:val="20"/>
                <w:szCs w:val="20"/>
                <w:u w:val="single"/>
              </w:rPr>
              <w:t>d</w:t>
            </w:r>
            <w:r>
              <w:rPr>
                <w:rFonts w:ascii="Arial" w:hAnsi="Arial" w:cs="Arial"/>
                <w:spacing w:val="1"/>
                <w:sz w:val="20"/>
                <w:szCs w:val="20"/>
                <w:u w:val="single"/>
              </w:rPr>
              <w:t>is</w:t>
            </w:r>
            <w:r>
              <w:rPr>
                <w:rFonts w:ascii="Arial" w:hAnsi="Arial" w:cs="Arial"/>
                <w:spacing w:val="-1"/>
                <w:sz w:val="20"/>
                <w:szCs w:val="20"/>
                <w:u w:val="single"/>
              </w:rPr>
              <w:t>o</w:t>
            </w:r>
            <w:r>
              <w:rPr>
                <w:rFonts w:ascii="Arial" w:hAnsi="Arial" w:cs="Arial"/>
                <w:sz w:val="20"/>
                <w:szCs w:val="20"/>
                <w:u w:val="single"/>
              </w:rPr>
              <w:t>r</w:t>
            </w:r>
            <w:r>
              <w:rPr>
                <w:rFonts w:ascii="Arial" w:hAnsi="Arial" w:cs="Arial"/>
                <w:spacing w:val="-1"/>
                <w:sz w:val="20"/>
                <w:szCs w:val="20"/>
                <w:u w:val="single"/>
              </w:rPr>
              <w:t>de</w:t>
            </w:r>
            <w:r>
              <w:rPr>
                <w:rFonts w:ascii="Arial" w:hAnsi="Arial" w:cs="Arial"/>
                <w:sz w:val="20"/>
                <w:szCs w:val="20"/>
                <w:u w:val="single"/>
              </w:rPr>
              <w:t>rs</w:t>
            </w:r>
          </w:p>
        </w:tc>
      </w:tr>
      <w:tr w:rsidR="0085579C" w14:paraId="47CD9DA6"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6A2E05D8" w14:textId="77777777" w:rsidR="0085579C" w:rsidRDefault="0085579C" w:rsidP="002B33D3">
            <w:pPr>
              <w:pStyle w:val="TableParagraph"/>
              <w:kinsoku w:val="0"/>
              <w:overflowPunct w:val="0"/>
              <w:spacing w:line="228" w:lineRule="exact"/>
              <w:ind w:left="102"/>
            </w:pPr>
            <w:r>
              <w:rPr>
                <w:rFonts w:ascii="Arial" w:hAnsi="Arial" w:cs="Arial"/>
                <w:sz w:val="20"/>
                <w:szCs w:val="20"/>
              </w:rPr>
              <w:t>D</w:t>
            </w:r>
            <w:r>
              <w:rPr>
                <w:rFonts w:ascii="Arial" w:hAnsi="Arial" w:cs="Arial"/>
                <w:spacing w:val="-1"/>
                <w:sz w:val="20"/>
                <w:szCs w:val="20"/>
              </w:rPr>
              <w:t>e</w:t>
            </w:r>
            <w:r>
              <w:rPr>
                <w:rFonts w:ascii="Arial" w:hAnsi="Arial" w:cs="Arial"/>
                <w:spacing w:val="4"/>
                <w:sz w:val="20"/>
                <w:szCs w:val="20"/>
              </w:rPr>
              <w:t>h</w:t>
            </w:r>
            <w:r>
              <w:rPr>
                <w:rFonts w:ascii="Arial" w:hAnsi="Arial" w:cs="Arial"/>
                <w:spacing w:val="-5"/>
                <w:sz w:val="20"/>
                <w:szCs w:val="20"/>
              </w:rPr>
              <w:t>y</w:t>
            </w:r>
            <w:r>
              <w:rPr>
                <w:rFonts w:ascii="Arial" w:hAnsi="Arial" w:cs="Arial"/>
                <w:spacing w:val="-1"/>
                <w:sz w:val="20"/>
                <w:szCs w:val="20"/>
              </w:rPr>
              <w:t>d</w:t>
            </w:r>
            <w:r>
              <w:rPr>
                <w:rFonts w:ascii="Arial" w:hAnsi="Arial" w:cs="Arial"/>
                <w:sz w:val="20"/>
                <w:szCs w:val="20"/>
              </w:rPr>
              <w:t>r</w:t>
            </w:r>
            <w:r>
              <w:rPr>
                <w:rFonts w:ascii="Arial" w:hAnsi="Arial" w:cs="Arial"/>
                <w:spacing w:val="-1"/>
                <w:sz w:val="20"/>
                <w:szCs w:val="20"/>
              </w:rPr>
              <w:t>a</w:t>
            </w:r>
            <w:r>
              <w:rPr>
                <w:rFonts w:ascii="Arial" w:hAnsi="Arial" w:cs="Arial"/>
                <w:spacing w:val="2"/>
                <w:sz w:val="20"/>
                <w:szCs w:val="20"/>
              </w:rPr>
              <w:t>t</w:t>
            </w:r>
            <w:r>
              <w:rPr>
                <w:rFonts w:ascii="Arial" w:hAnsi="Arial" w:cs="Arial"/>
                <w:spacing w:val="-1"/>
                <w:sz w:val="20"/>
                <w:szCs w:val="20"/>
              </w:rPr>
              <w:t>ion</w:t>
            </w:r>
          </w:p>
        </w:tc>
        <w:tc>
          <w:tcPr>
            <w:tcW w:w="2324" w:type="dxa"/>
            <w:tcBorders>
              <w:top w:val="single" w:sz="4" w:space="0" w:color="000000"/>
              <w:left w:val="single" w:sz="4" w:space="0" w:color="000000"/>
              <w:bottom w:val="single" w:sz="4" w:space="0" w:color="000000"/>
              <w:right w:val="single" w:sz="4" w:space="0" w:color="000000"/>
            </w:tcBorders>
          </w:tcPr>
          <w:p w14:paraId="02A324F6" w14:textId="77777777" w:rsidR="0085579C" w:rsidRDefault="0085579C" w:rsidP="002B33D3">
            <w:pPr>
              <w:pStyle w:val="TableParagraph"/>
              <w:kinsoku w:val="0"/>
              <w:overflowPunct w:val="0"/>
              <w:spacing w:line="228" w:lineRule="exact"/>
              <w:ind w:left="370"/>
            </w:pPr>
            <w:r>
              <w:rPr>
                <w:rFonts w:ascii="Arial" w:hAnsi="Arial" w:cs="Arial"/>
                <w:sz w:val="20"/>
                <w:szCs w:val="20"/>
              </w:rPr>
              <w:t>N</w:t>
            </w:r>
            <w:r>
              <w:rPr>
                <w:rFonts w:ascii="Arial" w:hAnsi="Arial" w:cs="Arial"/>
                <w:spacing w:val="-1"/>
                <w:sz w:val="20"/>
                <w:szCs w:val="20"/>
              </w:rPr>
              <w:t>o</w:t>
            </w:r>
            <w:r>
              <w:rPr>
                <w:rFonts w:ascii="Arial" w:hAnsi="Arial" w:cs="Arial"/>
                <w:sz w:val="20"/>
                <w:szCs w:val="20"/>
              </w:rPr>
              <w:t>t</w:t>
            </w:r>
            <w:r>
              <w:rPr>
                <w:rFonts w:ascii="Arial" w:hAnsi="Arial" w:cs="Arial"/>
                <w:spacing w:val="-10"/>
                <w:sz w:val="20"/>
                <w:szCs w:val="20"/>
              </w:rPr>
              <w:t xml:space="preserve"> </w:t>
            </w:r>
            <w:r>
              <w:rPr>
                <w:rFonts w:ascii="Arial" w:hAnsi="Arial" w:cs="Arial"/>
                <w:spacing w:val="3"/>
                <w:sz w:val="20"/>
                <w:szCs w:val="20"/>
              </w:rPr>
              <w:t>k</w:t>
            </w:r>
            <w:r>
              <w:rPr>
                <w:rFonts w:ascii="Arial" w:hAnsi="Arial" w:cs="Arial"/>
                <w:spacing w:val="-1"/>
                <w:sz w:val="20"/>
                <w:szCs w:val="20"/>
              </w:rPr>
              <w:t>no</w:t>
            </w:r>
            <w:r>
              <w:rPr>
                <w:rFonts w:ascii="Arial" w:hAnsi="Arial" w:cs="Arial"/>
                <w:sz w:val="20"/>
                <w:szCs w:val="20"/>
              </w:rPr>
              <w:t>wn</w:t>
            </w:r>
          </w:p>
        </w:tc>
      </w:tr>
      <w:tr w:rsidR="0085579C" w14:paraId="63BED3F7" w14:textId="77777777" w:rsidTr="002B33D3">
        <w:trPr>
          <w:trHeight w:hRule="exact" w:val="240"/>
        </w:trPr>
        <w:tc>
          <w:tcPr>
            <w:tcW w:w="7854" w:type="dxa"/>
            <w:gridSpan w:val="2"/>
            <w:tcBorders>
              <w:top w:val="single" w:sz="4" w:space="0" w:color="000000"/>
              <w:left w:val="single" w:sz="4" w:space="0" w:color="000000"/>
              <w:bottom w:val="single" w:sz="4" w:space="0" w:color="000000"/>
              <w:right w:val="single" w:sz="4" w:space="0" w:color="000000"/>
            </w:tcBorders>
          </w:tcPr>
          <w:p w14:paraId="3625D08F" w14:textId="77777777" w:rsidR="0085579C" w:rsidRDefault="0085579C" w:rsidP="002B33D3">
            <w:pPr>
              <w:pStyle w:val="TableParagraph"/>
              <w:kinsoku w:val="0"/>
              <w:overflowPunct w:val="0"/>
              <w:spacing w:line="228" w:lineRule="exact"/>
              <w:ind w:left="102"/>
            </w:pPr>
            <w:r>
              <w:rPr>
                <w:rFonts w:ascii="Arial" w:hAnsi="Arial" w:cs="Arial"/>
                <w:sz w:val="20"/>
                <w:szCs w:val="20"/>
                <w:u w:val="single"/>
              </w:rPr>
              <w:lastRenderedPageBreak/>
              <w:t>N</w:t>
            </w:r>
            <w:r>
              <w:rPr>
                <w:rFonts w:ascii="Arial" w:hAnsi="Arial" w:cs="Arial"/>
                <w:spacing w:val="-1"/>
                <w:sz w:val="20"/>
                <w:szCs w:val="20"/>
                <w:u w:val="single"/>
              </w:rPr>
              <w:t>e</w:t>
            </w:r>
            <w:r>
              <w:rPr>
                <w:rFonts w:ascii="Arial" w:hAnsi="Arial" w:cs="Arial"/>
                <w:sz w:val="20"/>
                <w:szCs w:val="20"/>
                <w:u w:val="single"/>
              </w:rPr>
              <w:t>r</w:t>
            </w:r>
            <w:r>
              <w:rPr>
                <w:rFonts w:ascii="Arial" w:hAnsi="Arial" w:cs="Arial"/>
                <w:spacing w:val="-2"/>
                <w:sz w:val="20"/>
                <w:szCs w:val="20"/>
                <w:u w:val="single"/>
              </w:rPr>
              <w:t>v</w:t>
            </w:r>
            <w:r>
              <w:rPr>
                <w:rFonts w:ascii="Arial" w:hAnsi="Arial" w:cs="Arial"/>
                <w:spacing w:val="2"/>
                <w:sz w:val="20"/>
                <w:szCs w:val="20"/>
                <w:u w:val="single"/>
              </w:rPr>
              <w:t>o</w:t>
            </w:r>
            <w:r>
              <w:rPr>
                <w:rFonts w:ascii="Arial" w:hAnsi="Arial" w:cs="Arial"/>
                <w:spacing w:val="-1"/>
                <w:sz w:val="20"/>
                <w:szCs w:val="20"/>
                <w:u w:val="single"/>
              </w:rPr>
              <w:t>us</w:t>
            </w:r>
            <w:r>
              <w:rPr>
                <w:rFonts w:ascii="Arial" w:hAnsi="Arial" w:cs="Arial"/>
                <w:spacing w:val="-10"/>
                <w:sz w:val="20"/>
                <w:szCs w:val="20"/>
                <w:u w:val="single"/>
              </w:rPr>
              <w:t xml:space="preserve"> </w:t>
            </w:r>
            <w:r>
              <w:rPr>
                <w:rFonts w:ascii="Arial" w:hAnsi="Arial" w:cs="Arial"/>
                <w:spacing w:val="3"/>
                <w:sz w:val="20"/>
                <w:szCs w:val="20"/>
                <w:u w:val="single"/>
              </w:rPr>
              <w:t>s</w:t>
            </w:r>
            <w:r>
              <w:rPr>
                <w:rFonts w:ascii="Arial" w:hAnsi="Arial" w:cs="Arial"/>
                <w:spacing w:val="-7"/>
                <w:sz w:val="20"/>
                <w:szCs w:val="20"/>
                <w:u w:val="single"/>
              </w:rPr>
              <w:t>y</w:t>
            </w:r>
            <w:r>
              <w:rPr>
                <w:rFonts w:ascii="Arial" w:hAnsi="Arial" w:cs="Arial"/>
                <w:spacing w:val="3"/>
                <w:sz w:val="20"/>
                <w:szCs w:val="20"/>
                <w:u w:val="single"/>
              </w:rPr>
              <w:t>s</w:t>
            </w:r>
            <w:r>
              <w:rPr>
                <w:rFonts w:ascii="Arial" w:hAnsi="Arial" w:cs="Arial"/>
                <w:spacing w:val="-1"/>
                <w:sz w:val="20"/>
                <w:szCs w:val="20"/>
                <w:u w:val="single"/>
              </w:rPr>
              <w:t>tem</w:t>
            </w:r>
            <w:r>
              <w:rPr>
                <w:rFonts w:ascii="Arial" w:hAnsi="Arial" w:cs="Arial"/>
                <w:spacing w:val="-8"/>
                <w:sz w:val="20"/>
                <w:szCs w:val="20"/>
                <w:u w:val="single"/>
              </w:rPr>
              <w:t xml:space="preserve"> </w:t>
            </w:r>
            <w:r>
              <w:rPr>
                <w:rFonts w:ascii="Arial" w:hAnsi="Arial" w:cs="Arial"/>
                <w:spacing w:val="-1"/>
                <w:sz w:val="20"/>
                <w:szCs w:val="20"/>
                <w:u w:val="single"/>
              </w:rPr>
              <w:t>di</w:t>
            </w:r>
            <w:r>
              <w:rPr>
                <w:rFonts w:ascii="Arial" w:hAnsi="Arial" w:cs="Arial"/>
                <w:spacing w:val="1"/>
                <w:sz w:val="20"/>
                <w:szCs w:val="20"/>
                <w:u w:val="single"/>
              </w:rPr>
              <w:t>s</w:t>
            </w:r>
            <w:r>
              <w:rPr>
                <w:rFonts w:ascii="Arial" w:hAnsi="Arial" w:cs="Arial"/>
                <w:spacing w:val="-1"/>
                <w:sz w:val="20"/>
                <w:szCs w:val="20"/>
                <w:u w:val="single"/>
              </w:rPr>
              <w:t>o</w:t>
            </w:r>
            <w:r>
              <w:rPr>
                <w:rFonts w:ascii="Arial" w:hAnsi="Arial" w:cs="Arial"/>
                <w:sz w:val="20"/>
                <w:szCs w:val="20"/>
                <w:u w:val="single"/>
              </w:rPr>
              <w:t>r</w:t>
            </w:r>
            <w:r>
              <w:rPr>
                <w:rFonts w:ascii="Arial" w:hAnsi="Arial" w:cs="Arial"/>
                <w:spacing w:val="-1"/>
                <w:sz w:val="20"/>
                <w:szCs w:val="20"/>
                <w:u w:val="single"/>
              </w:rPr>
              <w:t>de</w:t>
            </w:r>
            <w:r>
              <w:rPr>
                <w:rFonts w:ascii="Arial" w:hAnsi="Arial" w:cs="Arial"/>
                <w:sz w:val="20"/>
                <w:szCs w:val="20"/>
                <w:u w:val="single"/>
              </w:rPr>
              <w:t>rs</w:t>
            </w:r>
          </w:p>
        </w:tc>
      </w:tr>
      <w:tr w:rsidR="0085579C" w14:paraId="0CC74835"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2AD698A7" w14:textId="77777777" w:rsidR="0085579C" w:rsidRDefault="0085579C" w:rsidP="002B33D3">
            <w:pPr>
              <w:pStyle w:val="TableParagraph"/>
              <w:kinsoku w:val="0"/>
              <w:overflowPunct w:val="0"/>
              <w:spacing w:line="228" w:lineRule="exact"/>
              <w:ind w:left="102"/>
            </w:pPr>
            <w:r>
              <w:rPr>
                <w:rFonts w:ascii="Arial" w:hAnsi="Arial" w:cs="Arial"/>
                <w:sz w:val="20"/>
                <w:szCs w:val="20"/>
              </w:rPr>
              <w:t>D</w:t>
            </w:r>
            <w:r>
              <w:rPr>
                <w:rFonts w:ascii="Arial" w:hAnsi="Arial" w:cs="Arial"/>
                <w:spacing w:val="1"/>
                <w:sz w:val="20"/>
                <w:szCs w:val="20"/>
              </w:rPr>
              <w:t>i</w:t>
            </w:r>
            <w:r>
              <w:rPr>
                <w:rFonts w:ascii="Arial" w:hAnsi="Arial" w:cs="Arial"/>
                <w:spacing w:val="-2"/>
                <w:sz w:val="20"/>
                <w:szCs w:val="20"/>
              </w:rPr>
              <w:t>zz</w:t>
            </w:r>
            <w:r>
              <w:rPr>
                <w:rFonts w:ascii="Arial" w:hAnsi="Arial" w:cs="Arial"/>
                <w:spacing w:val="1"/>
                <w:sz w:val="20"/>
                <w:szCs w:val="20"/>
              </w:rPr>
              <w:t>i</w:t>
            </w:r>
            <w:r>
              <w:rPr>
                <w:rFonts w:ascii="Arial" w:hAnsi="Arial" w:cs="Arial"/>
                <w:spacing w:val="-1"/>
                <w:sz w:val="20"/>
                <w:szCs w:val="20"/>
              </w:rPr>
              <w:t>ne</w:t>
            </w:r>
            <w:r>
              <w:rPr>
                <w:rFonts w:ascii="Arial" w:hAnsi="Arial" w:cs="Arial"/>
                <w:spacing w:val="1"/>
                <w:sz w:val="20"/>
                <w:szCs w:val="20"/>
              </w:rPr>
              <w:t>s</w:t>
            </w:r>
            <w:r>
              <w:rPr>
                <w:rFonts w:ascii="Arial" w:hAnsi="Arial" w:cs="Arial"/>
                <w:sz w:val="20"/>
                <w:szCs w:val="20"/>
              </w:rPr>
              <w:t>s</w:t>
            </w:r>
          </w:p>
        </w:tc>
        <w:tc>
          <w:tcPr>
            <w:tcW w:w="2324" w:type="dxa"/>
            <w:tcBorders>
              <w:top w:val="single" w:sz="4" w:space="0" w:color="000000"/>
              <w:left w:val="single" w:sz="4" w:space="0" w:color="000000"/>
              <w:bottom w:val="single" w:sz="4" w:space="0" w:color="000000"/>
              <w:right w:val="single" w:sz="4" w:space="0" w:color="000000"/>
            </w:tcBorders>
          </w:tcPr>
          <w:p w14:paraId="05AB040E" w14:textId="77777777" w:rsidR="0085579C" w:rsidRDefault="0085579C" w:rsidP="002B33D3">
            <w:pPr>
              <w:pStyle w:val="TableParagraph"/>
              <w:kinsoku w:val="0"/>
              <w:overflowPunct w:val="0"/>
              <w:spacing w:line="228" w:lineRule="exact"/>
              <w:ind w:left="332"/>
            </w:pPr>
            <w:r>
              <w:rPr>
                <w:rFonts w:ascii="Arial" w:hAnsi="Arial" w:cs="Arial"/>
                <w:sz w:val="20"/>
                <w:szCs w:val="20"/>
              </w:rPr>
              <w:t>U</w:t>
            </w:r>
            <w:r>
              <w:rPr>
                <w:rFonts w:ascii="Arial" w:hAnsi="Arial" w:cs="Arial"/>
                <w:spacing w:val="-1"/>
                <w:sz w:val="20"/>
                <w:szCs w:val="20"/>
              </w:rPr>
              <w:t>n</w:t>
            </w:r>
            <w:r>
              <w:rPr>
                <w:rFonts w:ascii="Arial" w:hAnsi="Arial" w:cs="Arial"/>
                <w:spacing w:val="1"/>
                <w:sz w:val="20"/>
                <w:szCs w:val="20"/>
              </w:rPr>
              <w:t>c</w:t>
            </w:r>
            <w:r>
              <w:rPr>
                <w:rFonts w:ascii="Arial" w:hAnsi="Arial" w:cs="Arial"/>
                <w:spacing w:val="-1"/>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on</w:t>
            </w:r>
          </w:p>
        </w:tc>
      </w:tr>
      <w:tr w:rsidR="0085579C" w14:paraId="0799F319"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5429D8CB" w14:textId="77777777" w:rsidR="0085579C" w:rsidRDefault="0085579C" w:rsidP="002B33D3">
            <w:pPr>
              <w:pStyle w:val="TableParagraph"/>
              <w:kinsoku w:val="0"/>
              <w:overflowPunct w:val="0"/>
              <w:spacing w:line="228" w:lineRule="exact"/>
              <w:ind w:left="102"/>
              <w:rPr>
                <w:rFonts w:ascii="Arial" w:hAnsi="Arial" w:cs="Arial"/>
                <w:sz w:val="20"/>
                <w:szCs w:val="20"/>
              </w:rPr>
            </w:pPr>
            <w:r>
              <w:rPr>
                <w:rFonts w:ascii="Arial" w:hAnsi="Arial" w:cs="Arial"/>
                <w:sz w:val="20"/>
                <w:szCs w:val="20"/>
              </w:rPr>
              <w:t xml:space="preserve">Headache </w:t>
            </w:r>
          </w:p>
        </w:tc>
        <w:tc>
          <w:tcPr>
            <w:tcW w:w="2324" w:type="dxa"/>
            <w:tcBorders>
              <w:top w:val="single" w:sz="4" w:space="0" w:color="000000"/>
              <w:left w:val="single" w:sz="4" w:space="0" w:color="000000"/>
              <w:bottom w:val="single" w:sz="4" w:space="0" w:color="000000"/>
              <w:right w:val="single" w:sz="4" w:space="0" w:color="000000"/>
            </w:tcBorders>
          </w:tcPr>
          <w:p w14:paraId="646EBEC8" w14:textId="77777777" w:rsidR="0085579C" w:rsidRDefault="0085579C" w:rsidP="002B33D3">
            <w:pPr>
              <w:pStyle w:val="TableParagraph"/>
              <w:kinsoku w:val="0"/>
              <w:overflowPunct w:val="0"/>
              <w:spacing w:line="228" w:lineRule="exact"/>
              <w:ind w:left="332"/>
              <w:rPr>
                <w:rFonts w:ascii="Arial" w:hAnsi="Arial" w:cs="Arial"/>
                <w:sz w:val="20"/>
                <w:szCs w:val="20"/>
              </w:rPr>
            </w:pPr>
            <w:r>
              <w:rPr>
                <w:rFonts w:ascii="Arial" w:hAnsi="Arial" w:cs="Arial"/>
                <w:sz w:val="20"/>
                <w:szCs w:val="20"/>
              </w:rPr>
              <w:t>Uncommon</w:t>
            </w:r>
          </w:p>
        </w:tc>
      </w:tr>
      <w:tr w:rsidR="0085579C" w14:paraId="24D1E611"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380FC3E6" w14:textId="77777777" w:rsidR="0085579C" w:rsidRDefault="0085579C" w:rsidP="002B33D3">
            <w:pPr>
              <w:pStyle w:val="TableParagraph"/>
              <w:kinsoku w:val="0"/>
              <w:overflowPunct w:val="0"/>
              <w:spacing w:line="228" w:lineRule="exact"/>
              <w:ind w:left="102"/>
              <w:rPr>
                <w:rFonts w:ascii="Arial" w:hAnsi="Arial" w:cs="Arial"/>
                <w:sz w:val="20"/>
                <w:szCs w:val="20"/>
              </w:rPr>
            </w:pPr>
            <w:r>
              <w:rPr>
                <w:rFonts w:ascii="Arial" w:hAnsi="Arial" w:cs="Arial"/>
                <w:sz w:val="20"/>
                <w:szCs w:val="20"/>
              </w:rPr>
              <w:t>Taste disorder</w:t>
            </w:r>
          </w:p>
        </w:tc>
        <w:tc>
          <w:tcPr>
            <w:tcW w:w="2324" w:type="dxa"/>
            <w:tcBorders>
              <w:top w:val="single" w:sz="4" w:space="0" w:color="000000"/>
              <w:left w:val="single" w:sz="4" w:space="0" w:color="000000"/>
              <w:bottom w:val="single" w:sz="4" w:space="0" w:color="000000"/>
              <w:right w:val="single" w:sz="4" w:space="0" w:color="000000"/>
            </w:tcBorders>
          </w:tcPr>
          <w:p w14:paraId="4FDB22C6" w14:textId="77777777" w:rsidR="0085579C" w:rsidRDefault="0085579C" w:rsidP="002B33D3">
            <w:pPr>
              <w:pStyle w:val="TableParagraph"/>
              <w:kinsoku w:val="0"/>
              <w:overflowPunct w:val="0"/>
              <w:spacing w:line="228" w:lineRule="exact"/>
              <w:ind w:left="332"/>
              <w:rPr>
                <w:rFonts w:ascii="Arial" w:hAnsi="Arial" w:cs="Arial"/>
                <w:sz w:val="20"/>
                <w:szCs w:val="20"/>
              </w:rPr>
            </w:pPr>
            <w:r>
              <w:rPr>
                <w:rFonts w:ascii="Arial" w:hAnsi="Arial" w:cs="Arial"/>
                <w:sz w:val="20"/>
                <w:szCs w:val="20"/>
              </w:rPr>
              <w:t>Uncommon</w:t>
            </w:r>
          </w:p>
        </w:tc>
      </w:tr>
      <w:tr w:rsidR="0085579C" w14:paraId="4581D37B"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2373CF60" w14:textId="77777777" w:rsidR="0085579C" w:rsidRDefault="0085579C" w:rsidP="002B33D3">
            <w:pPr>
              <w:pStyle w:val="TableParagraph"/>
              <w:kinsoku w:val="0"/>
              <w:overflowPunct w:val="0"/>
              <w:spacing w:line="228" w:lineRule="exact"/>
              <w:ind w:left="102"/>
            </w:pPr>
            <w:r>
              <w:rPr>
                <w:rFonts w:ascii="Arial" w:hAnsi="Arial" w:cs="Arial"/>
                <w:spacing w:val="-1"/>
                <w:sz w:val="20"/>
                <w:szCs w:val="20"/>
              </w:rPr>
              <w:t>In</w:t>
            </w:r>
            <w:r>
              <w:rPr>
                <w:rFonts w:ascii="Arial" w:hAnsi="Arial" w:cs="Arial"/>
                <w:spacing w:val="1"/>
                <w:sz w:val="20"/>
                <w:szCs w:val="20"/>
              </w:rPr>
              <w:t>s</w:t>
            </w:r>
            <w:r>
              <w:rPr>
                <w:rFonts w:ascii="Arial" w:hAnsi="Arial" w:cs="Arial"/>
                <w:spacing w:val="-1"/>
                <w:sz w:val="20"/>
                <w:szCs w:val="20"/>
              </w:rPr>
              <w:t>o</w:t>
            </w:r>
            <w:r>
              <w:rPr>
                <w:rFonts w:ascii="Arial" w:hAnsi="Arial" w:cs="Arial"/>
                <w:spacing w:val="4"/>
                <w:sz w:val="20"/>
                <w:szCs w:val="20"/>
              </w:rPr>
              <w:t>m</w:t>
            </w:r>
            <w:r>
              <w:rPr>
                <w:rFonts w:ascii="Arial" w:hAnsi="Arial" w:cs="Arial"/>
                <w:spacing w:val="-1"/>
                <w:sz w:val="20"/>
                <w:szCs w:val="20"/>
              </w:rPr>
              <w:t>ni</w:t>
            </w:r>
            <w:r>
              <w:rPr>
                <w:rFonts w:ascii="Arial" w:hAnsi="Arial" w:cs="Arial"/>
                <w:sz w:val="20"/>
                <w:szCs w:val="20"/>
              </w:rPr>
              <w:t>a</w:t>
            </w:r>
          </w:p>
        </w:tc>
        <w:tc>
          <w:tcPr>
            <w:tcW w:w="2324" w:type="dxa"/>
            <w:tcBorders>
              <w:top w:val="single" w:sz="4" w:space="0" w:color="000000"/>
              <w:left w:val="single" w:sz="4" w:space="0" w:color="000000"/>
              <w:bottom w:val="single" w:sz="4" w:space="0" w:color="000000"/>
              <w:right w:val="single" w:sz="4" w:space="0" w:color="000000"/>
            </w:tcBorders>
          </w:tcPr>
          <w:p w14:paraId="2CE76E5E" w14:textId="77777777" w:rsidR="0085579C" w:rsidRDefault="0085579C" w:rsidP="002B33D3">
            <w:pPr>
              <w:pStyle w:val="TableParagraph"/>
              <w:kinsoku w:val="0"/>
              <w:overflowPunct w:val="0"/>
              <w:spacing w:line="228" w:lineRule="exact"/>
              <w:ind w:left="608" w:right="610"/>
              <w:jc w:val="center"/>
            </w:pPr>
            <w:r>
              <w:rPr>
                <w:rFonts w:ascii="Arial" w:hAnsi="Arial" w:cs="Arial"/>
                <w:sz w:val="20"/>
                <w:szCs w:val="20"/>
              </w:rPr>
              <w:t>R</w:t>
            </w:r>
            <w:r>
              <w:rPr>
                <w:rFonts w:ascii="Arial" w:hAnsi="Arial" w:cs="Arial"/>
                <w:spacing w:val="-1"/>
                <w:sz w:val="20"/>
                <w:szCs w:val="20"/>
              </w:rPr>
              <w:t>a</w:t>
            </w:r>
            <w:r>
              <w:rPr>
                <w:rFonts w:ascii="Arial" w:hAnsi="Arial" w:cs="Arial"/>
                <w:sz w:val="20"/>
                <w:szCs w:val="20"/>
              </w:rPr>
              <w:t>re</w:t>
            </w:r>
          </w:p>
        </w:tc>
      </w:tr>
      <w:tr w:rsidR="0085579C" w14:paraId="7270BE86" w14:textId="77777777" w:rsidTr="002B33D3">
        <w:trPr>
          <w:trHeight w:hRule="exact" w:val="240"/>
        </w:trPr>
        <w:tc>
          <w:tcPr>
            <w:tcW w:w="7854" w:type="dxa"/>
            <w:gridSpan w:val="2"/>
            <w:tcBorders>
              <w:top w:val="single" w:sz="4" w:space="0" w:color="000000"/>
              <w:left w:val="single" w:sz="4" w:space="0" w:color="000000"/>
              <w:bottom w:val="single" w:sz="4" w:space="0" w:color="000000"/>
              <w:right w:val="single" w:sz="4" w:space="0" w:color="000000"/>
            </w:tcBorders>
          </w:tcPr>
          <w:p w14:paraId="209AEC87" w14:textId="77777777" w:rsidR="0085579C" w:rsidRDefault="0085579C" w:rsidP="002B33D3">
            <w:pPr>
              <w:pStyle w:val="TableParagraph"/>
              <w:kinsoku w:val="0"/>
              <w:overflowPunct w:val="0"/>
              <w:spacing w:line="228" w:lineRule="exact"/>
              <w:ind w:left="102"/>
            </w:pPr>
            <w:r>
              <w:rPr>
                <w:rFonts w:ascii="Arial" w:hAnsi="Arial" w:cs="Arial"/>
                <w:spacing w:val="1"/>
                <w:sz w:val="20"/>
                <w:szCs w:val="20"/>
                <w:u w:val="single"/>
              </w:rPr>
              <w:t>E</w:t>
            </w:r>
            <w:r>
              <w:rPr>
                <w:rFonts w:ascii="Arial" w:hAnsi="Arial" w:cs="Arial"/>
                <w:spacing w:val="-5"/>
                <w:sz w:val="20"/>
                <w:szCs w:val="20"/>
                <w:u w:val="single"/>
              </w:rPr>
              <w:t>ye</w:t>
            </w:r>
            <w:r>
              <w:rPr>
                <w:rFonts w:ascii="Arial" w:hAnsi="Arial" w:cs="Arial"/>
                <w:spacing w:val="-6"/>
                <w:sz w:val="20"/>
                <w:szCs w:val="20"/>
                <w:u w:val="single"/>
              </w:rPr>
              <w:t xml:space="preserve"> </w:t>
            </w:r>
            <w:r>
              <w:rPr>
                <w:rFonts w:ascii="Arial" w:hAnsi="Arial" w:cs="Arial"/>
                <w:spacing w:val="2"/>
                <w:sz w:val="20"/>
                <w:szCs w:val="20"/>
                <w:u w:val="single"/>
              </w:rPr>
              <w:t>d</w:t>
            </w:r>
            <w:r>
              <w:rPr>
                <w:rFonts w:ascii="Arial" w:hAnsi="Arial" w:cs="Arial"/>
                <w:spacing w:val="-2"/>
                <w:sz w:val="20"/>
                <w:szCs w:val="20"/>
                <w:u w:val="single"/>
              </w:rPr>
              <w:t>i</w:t>
            </w:r>
            <w:r>
              <w:rPr>
                <w:rFonts w:ascii="Arial" w:hAnsi="Arial" w:cs="Arial"/>
                <w:spacing w:val="1"/>
                <w:sz w:val="20"/>
                <w:szCs w:val="20"/>
                <w:u w:val="single"/>
              </w:rPr>
              <w:t>s</w:t>
            </w:r>
            <w:r>
              <w:rPr>
                <w:rFonts w:ascii="Arial" w:hAnsi="Arial" w:cs="Arial"/>
                <w:spacing w:val="-1"/>
                <w:sz w:val="20"/>
                <w:szCs w:val="20"/>
                <w:u w:val="single"/>
              </w:rPr>
              <w:t>o</w:t>
            </w:r>
            <w:r>
              <w:rPr>
                <w:rFonts w:ascii="Arial" w:hAnsi="Arial" w:cs="Arial"/>
                <w:sz w:val="20"/>
                <w:szCs w:val="20"/>
                <w:u w:val="single"/>
              </w:rPr>
              <w:t>r</w:t>
            </w:r>
            <w:r>
              <w:rPr>
                <w:rFonts w:ascii="Arial" w:hAnsi="Arial" w:cs="Arial"/>
                <w:spacing w:val="-1"/>
                <w:sz w:val="20"/>
                <w:szCs w:val="20"/>
                <w:u w:val="single"/>
              </w:rPr>
              <w:t>de</w:t>
            </w:r>
            <w:r>
              <w:rPr>
                <w:rFonts w:ascii="Arial" w:hAnsi="Arial" w:cs="Arial"/>
                <w:sz w:val="20"/>
                <w:szCs w:val="20"/>
                <w:u w:val="single"/>
              </w:rPr>
              <w:t>rs</w:t>
            </w:r>
          </w:p>
        </w:tc>
      </w:tr>
      <w:tr w:rsidR="0085579C" w14:paraId="4FD1FE35"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6A49FF75" w14:textId="77777777" w:rsidR="0085579C" w:rsidRDefault="0085579C" w:rsidP="002B33D3">
            <w:pPr>
              <w:pStyle w:val="TableParagraph"/>
              <w:kinsoku w:val="0"/>
              <w:overflowPunct w:val="0"/>
              <w:spacing w:line="228" w:lineRule="exact"/>
              <w:ind w:left="102"/>
            </w:pPr>
            <w:r>
              <w:rPr>
                <w:rFonts w:ascii="Arial" w:hAnsi="Arial" w:cs="Arial"/>
                <w:spacing w:val="-1"/>
                <w:sz w:val="20"/>
                <w:szCs w:val="20"/>
              </w:rPr>
              <w:t>Vi</w:t>
            </w:r>
            <w:r>
              <w:rPr>
                <w:rFonts w:ascii="Arial" w:hAnsi="Arial" w:cs="Arial"/>
                <w:spacing w:val="1"/>
                <w:sz w:val="20"/>
                <w:szCs w:val="20"/>
              </w:rPr>
              <w:t>si</w:t>
            </w:r>
            <w:r>
              <w:rPr>
                <w:rFonts w:ascii="Arial" w:hAnsi="Arial" w:cs="Arial"/>
                <w:spacing w:val="-1"/>
                <w:sz w:val="20"/>
                <w:szCs w:val="20"/>
              </w:rPr>
              <w:t>o</w:t>
            </w:r>
            <w:r>
              <w:rPr>
                <w:rFonts w:ascii="Arial" w:hAnsi="Arial" w:cs="Arial"/>
                <w:sz w:val="20"/>
                <w:szCs w:val="20"/>
              </w:rPr>
              <w:t>n</w:t>
            </w:r>
            <w:r>
              <w:rPr>
                <w:rFonts w:ascii="Arial" w:hAnsi="Arial" w:cs="Arial"/>
                <w:spacing w:val="-13"/>
                <w:sz w:val="20"/>
                <w:szCs w:val="20"/>
              </w:rPr>
              <w:t xml:space="preserve"> </w:t>
            </w:r>
            <w:r>
              <w:rPr>
                <w:rFonts w:ascii="Arial" w:hAnsi="Arial" w:cs="Arial"/>
                <w:spacing w:val="2"/>
                <w:sz w:val="20"/>
                <w:szCs w:val="20"/>
              </w:rPr>
              <w:t>b</w:t>
            </w:r>
            <w:r>
              <w:rPr>
                <w:rFonts w:ascii="Arial" w:hAnsi="Arial" w:cs="Arial"/>
                <w:spacing w:val="-1"/>
                <w:sz w:val="20"/>
                <w:szCs w:val="20"/>
              </w:rPr>
              <w:t>lu</w:t>
            </w:r>
            <w:r>
              <w:rPr>
                <w:rFonts w:ascii="Arial" w:hAnsi="Arial" w:cs="Arial"/>
                <w:sz w:val="20"/>
                <w:szCs w:val="20"/>
              </w:rPr>
              <w:t>rr</w:t>
            </w:r>
            <w:r>
              <w:rPr>
                <w:rFonts w:ascii="Arial" w:hAnsi="Arial" w:cs="Arial"/>
                <w:spacing w:val="2"/>
                <w:sz w:val="20"/>
                <w:szCs w:val="20"/>
              </w:rPr>
              <w:t>e</w:t>
            </w:r>
            <w:r>
              <w:rPr>
                <w:rFonts w:ascii="Arial" w:hAnsi="Arial" w:cs="Arial"/>
                <w:sz w:val="20"/>
                <w:szCs w:val="20"/>
              </w:rPr>
              <w:t>d</w:t>
            </w:r>
          </w:p>
        </w:tc>
        <w:tc>
          <w:tcPr>
            <w:tcW w:w="2324" w:type="dxa"/>
            <w:tcBorders>
              <w:top w:val="single" w:sz="4" w:space="0" w:color="000000"/>
              <w:left w:val="single" w:sz="4" w:space="0" w:color="000000"/>
              <w:bottom w:val="single" w:sz="4" w:space="0" w:color="000000"/>
              <w:right w:val="single" w:sz="4" w:space="0" w:color="000000"/>
            </w:tcBorders>
          </w:tcPr>
          <w:p w14:paraId="33DA112F" w14:textId="77777777" w:rsidR="0085579C" w:rsidRDefault="0085579C" w:rsidP="002B33D3">
            <w:pPr>
              <w:pStyle w:val="TableParagraph"/>
              <w:kinsoku w:val="0"/>
              <w:overflowPunct w:val="0"/>
              <w:spacing w:line="228" w:lineRule="exact"/>
              <w:ind w:left="332"/>
            </w:pPr>
            <w:r>
              <w:rPr>
                <w:rFonts w:ascii="Arial" w:hAnsi="Arial" w:cs="Arial"/>
                <w:sz w:val="20"/>
                <w:szCs w:val="20"/>
              </w:rPr>
              <w:t>U</w:t>
            </w:r>
            <w:r>
              <w:rPr>
                <w:rFonts w:ascii="Arial" w:hAnsi="Arial" w:cs="Arial"/>
                <w:spacing w:val="-1"/>
                <w:sz w:val="20"/>
                <w:szCs w:val="20"/>
              </w:rPr>
              <w:t>n</w:t>
            </w:r>
            <w:r>
              <w:rPr>
                <w:rFonts w:ascii="Arial" w:hAnsi="Arial" w:cs="Arial"/>
                <w:spacing w:val="1"/>
                <w:sz w:val="20"/>
                <w:szCs w:val="20"/>
              </w:rPr>
              <w:t>c</w:t>
            </w:r>
            <w:r>
              <w:rPr>
                <w:rFonts w:ascii="Arial" w:hAnsi="Arial" w:cs="Arial"/>
                <w:spacing w:val="-1"/>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on</w:t>
            </w:r>
          </w:p>
        </w:tc>
      </w:tr>
      <w:tr w:rsidR="0085579C" w14:paraId="5BBDFFD7"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461211B1" w14:textId="77777777" w:rsidR="0085579C" w:rsidRDefault="0085579C" w:rsidP="002B33D3">
            <w:pPr>
              <w:pStyle w:val="TableParagraph"/>
              <w:kinsoku w:val="0"/>
              <w:overflowPunct w:val="0"/>
              <w:spacing w:line="228" w:lineRule="exact"/>
              <w:ind w:left="102"/>
            </w:pPr>
            <w:r>
              <w:rPr>
                <w:rFonts w:ascii="Arial" w:hAnsi="Arial" w:cs="Arial"/>
                <w:spacing w:val="1"/>
                <w:sz w:val="20"/>
                <w:szCs w:val="20"/>
              </w:rPr>
              <w:t>G</w:t>
            </w:r>
            <w:r>
              <w:rPr>
                <w:rFonts w:ascii="Arial" w:hAnsi="Arial" w:cs="Arial"/>
                <w:spacing w:val="-1"/>
                <w:sz w:val="20"/>
                <w:szCs w:val="20"/>
              </w:rPr>
              <w:t>lau</w:t>
            </w:r>
            <w:r>
              <w:rPr>
                <w:rFonts w:ascii="Arial" w:hAnsi="Arial" w:cs="Arial"/>
                <w:spacing w:val="1"/>
                <w:sz w:val="20"/>
                <w:szCs w:val="20"/>
              </w:rPr>
              <w:t>c</w:t>
            </w:r>
            <w:r>
              <w:rPr>
                <w:rFonts w:ascii="Arial" w:hAnsi="Arial" w:cs="Arial"/>
                <w:spacing w:val="-1"/>
                <w:sz w:val="20"/>
                <w:szCs w:val="20"/>
              </w:rPr>
              <w:t>o</w:t>
            </w:r>
            <w:r>
              <w:rPr>
                <w:rFonts w:ascii="Arial" w:hAnsi="Arial" w:cs="Arial"/>
                <w:spacing w:val="4"/>
                <w:sz w:val="20"/>
                <w:szCs w:val="20"/>
              </w:rPr>
              <w:t>m</w:t>
            </w:r>
            <w:r>
              <w:rPr>
                <w:rFonts w:ascii="Arial" w:hAnsi="Arial" w:cs="Arial"/>
                <w:sz w:val="20"/>
                <w:szCs w:val="20"/>
              </w:rPr>
              <w:t>a</w:t>
            </w:r>
          </w:p>
        </w:tc>
        <w:tc>
          <w:tcPr>
            <w:tcW w:w="2324" w:type="dxa"/>
            <w:tcBorders>
              <w:top w:val="single" w:sz="4" w:space="0" w:color="000000"/>
              <w:left w:val="single" w:sz="4" w:space="0" w:color="000000"/>
              <w:bottom w:val="single" w:sz="4" w:space="0" w:color="000000"/>
              <w:right w:val="single" w:sz="4" w:space="0" w:color="000000"/>
            </w:tcBorders>
          </w:tcPr>
          <w:p w14:paraId="3E3D965B" w14:textId="77777777" w:rsidR="0085579C" w:rsidRDefault="0085579C" w:rsidP="002B33D3">
            <w:pPr>
              <w:pStyle w:val="TableParagraph"/>
              <w:kinsoku w:val="0"/>
              <w:overflowPunct w:val="0"/>
              <w:spacing w:line="228" w:lineRule="exact"/>
              <w:ind w:left="608" w:right="610"/>
              <w:jc w:val="center"/>
            </w:pPr>
            <w:r>
              <w:rPr>
                <w:rFonts w:ascii="Arial" w:hAnsi="Arial" w:cs="Arial"/>
                <w:sz w:val="20"/>
                <w:szCs w:val="20"/>
              </w:rPr>
              <w:t>R</w:t>
            </w:r>
            <w:r>
              <w:rPr>
                <w:rFonts w:ascii="Arial" w:hAnsi="Arial" w:cs="Arial"/>
                <w:spacing w:val="-1"/>
                <w:sz w:val="20"/>
                <w:szCs w:val="20"/>
              </w:rPr>
              <w:t>a</w:t>
            </w:r>
            <w:r>
              <w:rPr>
                <w:rFonts w:ascii="Arial" w:hAnsi="Arial" w:cs="Arial"/>
                <w:sz w:val="20"/>
                <w:szCs w:val="20"/>
              </w:rPr>
              <w:t>re</w:t>
            </w:r>
          </w:p>
        </w:tc>
      </w:tr>
      <w:tr w:rsidR="0085579C" w14:paraId="7A257F79"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230CD2B1" w14:textId="77777777" w:rsidR="0085579C" w:rsidRDefault="0085579C" w:rsidP="002B33D3">
            <w:pPr>
              <w:pStyle w:val="TableParagraph"/>
              <w:kinsoku w:val="0"/>
              <w:overflowPunct w:val="0"/>
              <w:spacing w:line="228" w:lineRule="exact"/>
              <w:ind w:left="102"/>
            </w:pPr>
            <w:r>
              <w:rPr>
                <w:rFonts w:ascii="Arial" w:hAnsi="Arial" w:cs="Arial"/>
                <w:spacing w:val="-1"/>
                <w:sz w:val="20"/>
                <w:szCs w:val="20"/>
              </w:rPr>
              <w:t>Int</w:t>
            </w:r>
            <w:r>
              <w:rPr>
                <w:rFonts w:ascii="Arial" w:hAnsi="Arial" w:cs="Arial"/>
                <w:sz w:val="20"/>
                <w:szCs w:val="20"/>
              </w:rPr>
              <w:t>r</w:t>
            </w:r>
            <w:r>
              <w:rPr>
                <w:rFonts w:ascii="Arial" w:hAnsi="Arial" w:cs="Arial"/>
                <w:spacing w:val="-1"/>
                <w:sz w:val="20"/>
                <w:szCs w:val="20"/>
              </w:rPr>
              <w:t>ao</w:t>
            </w:r>
            <w:r>
              <w:rPr>
                <w:rFonts w:ascii="Arial" w:hAnsi="Arial" w:cs="Arial"/>
                <w:spacing w:val="1"/>
                <w:sz w:val="20"/>
                <w:szCs w:val="20"/>
              </w:rPr>
              <w:t>c</w:t>
            </w:r>
            <w:r>
              <w:rPr>
                <w:rFonts w:ascii="Arial" w:hAnsi="Arial" w:cs="Arial"/>
                <w:spacing w:val="2"/>
                <w:sz w:val="20"/>
                <w:szCs w:val="20"/>
              </w:rPr>
              <w:t>u</w:t>
            </w:r>
            <w:r>
              <w:rPr>
                <w:rFonts w:ascii="Arial" w:hAnsi="Arial" w:cs="Arial"/>
                <w:spacing w:val="-1"/>
                <w:sz w:val="20"/>
                <w:szCs w:val="20"/>
              </w:rPr>
              <w:t>la</w:t>
            </w:r>
            <w:r>
              <w:rPr>
                <w:rFonts w:ascii="Arial" w:hAnsi="Arial" w:cs="Arial"/>
                <w:sz w:val="20"/>
                <w:szCs w:val="20"/>
              </w:rPr>
              <w:t>r</w:t>
            </w:r>
            <w:r>
              <w:rPr>
                <w:rFonts w:ascii="Arial" w:hAnsi="Arial" w:cs="Arial"/>
                <w:spacing w:val="-13"/>
                <w:sz w:val="20"/>
                <w:szCs w:val="20"/>
              </w:rPr>
              <w:t xml:space="preserve"> </w:t>
            </w:r>
            <w:r>
              <w:rPr>
                <w:rFonts w:ascii="Arial" w:hAnsi="Arial" w:cs="Arial"/>
                <w:spacing w:val="-1"/>
                <w:sz w:val="20"/>
                <w:szCs w:val="20"/>
              </w:rPr>
              <w:t>p</w:t>
            </w:r>
            <w:r>
              <w:rPr>
                <w:rFonts w:ascii="Arial" w:hAnsi="Arial" w:cs="Arial"/>
                <w:sz w:val="20"/>
                <w:szCs w:val="20"/>
              </w:rPr>
              <w:t>r</w:t>
            </w:r>
            <w:r>
              <w:rPr>
                <w:rFonts w:ascii="Arial" w:hAnsi="Arial" w:cs="Arial"/>
                <w:spacing w:val="-1"/>
                <w:sz w:val="20"/>
                <w:szCs w:val="20"/>
              </w:rPr>
              <w:t>e</w:t>
            </w:r>
            <w:r>
              <w:rPr>
                <w:rFonts w:ascii="Arial" w:hAnsi="Arial" w:cs="Arial"/>
                <w:spacing w:val="1"/>
                <w:sz w:val="20"/>
                <w:szCs w:val="20"/>
              </w:rPr>
              <w:t>ss</w:t>
            </w:r>
            <w:r>
              <w:rPr>
                <w:rFonts w:ascii="Arial" w:hAnsi="Arial" w:cs="Arial"/>
                <w:spacing w:val="-1"/>
                <w:sz w:val="20"/>
                <w:szCs w:val="20"/>
              </w:rPr>
              <w:t>u</w:t>
            </w:r>
            <w:r>
              <w:rPr>
                <w:rFonts w:ascii="Arial" w:hAnsi="Arial" w:cs="Arial"/>
                <w:sz w:val="20"/>
                <w:szCs w:val="20"/>
              </w:rPr>
              <w:t>re</w:t>
            </w:r>
            <w:r>
              <w:rPr>
                <w:rFonts w:ascii="Arial" w:hAnsi="Arial" w:cs="Arial"/>
                <w:spacing w:val="-12"/>
                <w:sz w:val="20"/>
                <w:szCs w:val="20"/>
              </w:rPr>
              <w:t xml:space="preserve"> </w:t>
            </w:r>
            <w:r>
              <w:rPr>
                <w:rFonts w:ascii="Arial" w:hAnsi="Arial" w:cs="Arial"/>
                <w:spacing w:val="-1"/>
                <w:sz w:val="20"/>
                <w:szCs w:val="20"/>
              </w:rPr>
              <w:t>in</w:t>
            </w:r>
            <w:r>
              <w:rPr>
                <w:rFonts w:ascii="Arial" w:hAnsi="Arial" w:cs="Arial"/>
                <w:spacing w:val="1"/>
                <w:sz w:val="20"/>
                <w:szCs w:val="20"/>
              </w:rPr>
              <w:t>c</w:t>
            </w:r>
            <w:r>
              <w:rPr>
                <w:rFonts w:ascii="Arial" w:hAnsi="Arial" w:cs="Arial"/>
                <w:sz w:val="20"/>
                <w:szCs w:val="20"/>
              </w:rPr>
              <w:t>r</w:t>
            </w:r>
            <w:r>
              <w:rPr>
                <w:rFonts w:ascii="Arial" w:hAnsi="Arial" w:cs="Arial"/>
                <w:spacing w:val="-1"/>
                <w:sz w:val="20"/>
                <w:szCs w:val="20"/>
              </w:rPr>
              <w:t>e</w:t>
            </w:r>
            <w:r>
              <w:rPr>
                <w:rFonts w:ascii="Arial" w:hAnsi="Arial" w:cs="Arial"/>
                <w:spacing w:val="2"/>
                <w:sz w:val="20"/>
                <w:szCs w:val="20"/>
              </w:rPr>
              <w:t>a</w:t>
            </w:r>
            <w:r>
              <w:rPr>
                <w:rFonts w:ascii="Arial" w:hAnsi="Arial" w:cs="Arial"/>
                <w:spacing w:val="1"/>
                <w:sz w:val="20"/>
                <w:szCs w:val="20"/>
              </w:rPr>
              <w:t>s</w:t>
            </w:r>
            <w:r>
              <w:rPr>
                <w:rFonts w:ascii="Arial" w:hAnsi="Arial" w:cs="Arial"/>
                <w:spacing w:val="-1"/>
                <w:sz w:val="20"/>
                <w:szCs w:val="20"/>
              </w:rPr>
              <w:t>ed</w:t>
            </w:r>
          </w:p>
        </w:tc>
        <w:tc>
          <w:tcPr>
            <w:tcW w:w="2324" w:type="dxa"/>
            <w:tcBorders>
              <w:top w:val="single" w:sz="4" w:space="0" w:color="000000"/>
              <w:left w:val="single" w:sz="4" w:space="0" w:color="000000"/>
              <w:bottom w:val="single" w:sz="4" w:space="0" w:color="000000"/>
              <w:right w:val="single" w:sz="4" w:space="0" w:color="000000"/>
            </w:tcBorders>
          </w:tcPr>
          <w:p w14:paraId="3DFBA63E" w14:textId="77777777" w:rsidR="0085579C" w:rsidRDefault="0085579C" w:rsidP="002B33D3">
            <w:pPr>
              <w:pStyle w:val="TableParagraph"/>
              <w:kinsoku w:val="0"/>
              <w:overflowPunct w:val="0"/>
              <w:spacing w:line="228" w:lineRule="exact"/>
              <w:ind w:left="608" w:right="610"/>
              <w:jc w:val="center"/>
            </w:pPr>
            <w:r>
              <w:rPr>
                <w:rFonts w:ascii="Arial" w:hAnsi="Arial" w:cs="Arial"/>
                <w:sz w:val="20"/>
                <w:szCs w:val="20"/>
              </w:rPr>
              <w:t>R</w:t>
            </w:r>
            <w:r>
              <w:rPr>
                <w:rFonts w:ascii="Arial" w:hAnsi="Arial" w:cs="Arial"/>
                <w:spacing w:val="-1"/>
                <w:sz w:val="20"/>
                <w:szCs w:val="20"/>
              </w:rPr>
              <w:t>a</w:t>
            </w:r>
            <w:r>
              <w:rPr>
                <w:rFonts w:ascii="Arial" w:hAnsi="Arial" w:cs="Arial"/>
                <w:sz w:val="20"/>
                <w:szCs w:val="20"/>
              </w:rPr>
              <w:t>re</w:t>
            </w:r>
          </w:p>
        </w:tc>
      </w:tr>
      <w:tr w:rsidR="0085579C" w14:paraId="692F63D5" w14:textId="77777777" w:rsidTr="002B33D3">
        <w:trPr>
          <w:trHeight w:hRule="exact" w:val="240"/>
        </w:trPr>
        <w:tc>
          <w:tcPr>
            <w:tcW w:w="7854" w:type="dxa"/>
            <w:gridSpan w:val="2"/>
            <w:tcBorders>
              <w:top w:val="single" w:sz="4" w:space="0" w:color="000000"/>
              <w:left w:val="single" w:sz="4" w:space="0" w:color="000000"/>
              <w:bottom w:val="single" w:sz="4" w:space="0" w:color="000000"/>
              <w:right w:val="single" w:sz="4" w:space="0" w:color="000000"/>
            </w:tcBorders>
          </w:tcPr>
          <w:p w14:paraId="0B9834D4" w14:textId="77777777" w:rsidR="0085579C" w:rsidRDefault="0085579C" w:rsidP="002B33D3">
            <w:pPr>
              <w:pStyle w:val="TableParagraph"/>
              <w:kinsoku w:val="0"/>
              <w:overflowPunct w:val="0"/>
              <w:spacing w:line="228" w:lineRule="exact"/>
              <w:ind w:left="102"/>
            </w:pPr>
            <w:r>
              <w:rPr>
                <w:rFonts w:ascii="Arial" w:hAnsi="Arial" w:cs="Arial"/>
                <w:sz w:val="20"/>
                <w:szCs w:val="20"/>
                <w:u w:val="single"/>
              </w:rPr>
              <w:t>C</w:t>
            </w:r>
            <w:r>
              <w:rPr>
                <w:rFonts w:ascii="Arial" w:hAnsi="Arial" w:cs="Arial"/>
                <w:spacing w:val="-1"/>
                <w:sz w:val="20"/>
                <w:szCs w:val="20"/>
                <w:u w:val="single"/>
              </w:rPr>
              <w:t>a</w:t>
            </w:r>
            <w:r>
              <w:rPr>
                <w:rFonts w:ascii="Arial" w:hAnsi="Arial" w:cs="Arial"/>
                <w:sz w:val="20"/>
                <w:szCs w:val="20"/>
                <w:u w:val="single"/>
              </w:rPr>
              <w:t>r</w:t>
            </w:r>
            <w:r>
              <w:rPr>
                <w:rFonts w:ascii="Arial" w:hAnsi="Arial" w:cs="Arial"/>
                <w:spacing w:val="-1"/>
                <w:sz w:val="20"/>
                <w:szCs w:val="20"/>
                <w:u w:val="single"/>
              </w:rPr>
              <w:t>d</w:t>
            </w:r>
            <w:r>
              <w:rPr>
                <w:rFonts w:ascii="Arial" w:hAnsi="Arial" w:cs="Arial"/>
                <w:spacing w:val="1"/>
                <w:sz w:val="20"/>
                <w:szCs w:val="20"/>
                <w:u w:val="single"/>
              </w:rPr>
              <w:t>i</w:t>
            </w:r>
            <w:r>
              <w:rPr>
                <w:rFonts w:ascii="Arial" w:hAnsi="Arial" w:cs="Arial"/>
                <w:spacing w:val="-1"/>
                <w:sz w:val="20"/>
                <w:szCs w:val="20"/>
                <w:u w:val="single"/>
              </w:rPr>
              <w:t>ac</w:t>
            </w:r>
            <w:r>
              <w:rPr>
                <w:rFonts w:ascii="Arial" w:hAnsi="Arial" w:cs="Arial"/>
                <w:spacing w:val="-15"/>
                <w:sz w:val="20"/>
                <w:szCs w:val="20"/>
                <w:u w:val="single"/>
              </w:rPr>
              <w:t xml:space="preserve"> </w:t>
            </w:r>
            <w:r>
              <w:rPr>
                <w:rFonts w:ascii="Arial" w:hAnsi="Arial" w:cs="Arial"/>
                <w:spacing w:val="-1"/>
                <w:sz w:val="20"/>
                <w:szCs w:val="20"/>
                <w:u w:val="single"/>
              </w:rPr>
              <w:t>di</w:t>
            </w:r>
            <w:r>
              <w:rPr>
                <w:rFonts w:ascii="Arial" w:hAnsi="Arial" w:cs="Arial"/>
                <w:spacing w:val="1"/>
                <w:sz w:val="20"/>
                <w:szCs w:val="20"/>
                <w:u w:val="single"/>
              </w:rPr>
              <w:t>s</w:t>
            </w:r>
            <w:r>
              <w:rPr>
                <w:rFonts w:ascii="Arial" w:hAnsi="Arial" w:cs="Arial"/>
                <w:spacing w:val="-1"/>
                <w:sz w:val="20"/>
                <w:szCs w:val="20"/>
                <w:u w:val="single"/>
              </w:rPr>
              <w:t>o</w:t>
            </w:r>
            <w:r>
              <w:rPr>
                <w:rFonts w:ascii="Arial" w:hAnsi="Arial" w:cs="Arial"/>
                <w:sz w:val="20"/>
                <w:szCs w:val="20"/>
                <w:u w:val="single"/>
              </w:rPr>
              <w:t>r</w:t>
            </w:r>
            <w:r>
              <w:rPr>
                <w:rFonts w:ascii="Arial" w:hAnsi="Arial" w:cs="Arial"/>
                <w:spacing w:val="2"/>
                <w:sz w:val="20"/>
                <w:szCs w:val="20"/>
                <w:u w:val="single"/>
              </w:rPr>
              <w:t>d</w:t>
            </w:r>
            <w:r>
              <w:rPr>
                <w:rFonts w:ascii="Arial" w:hAnsi="Arial" w:cs="Arial"/>
                <w:spacing w:val="-1"/>
                <w:sz w:val="20"/>
                <w:szCs w:val="20"/>
                <w:u w:val="single"/>
              </w:rPr>
              <w:t>e</w:t>
            </w:r>
            <w:r>
              <w:rPr>
                <w:rFonts w:ascii="Arial" w:hAnsi="Arial" w:cs="Arial"/>
                <w:sz w:val="20"/>
                <w:szCs w:val="20"/>
                <w:u w:val="single"/>
              </w:rPr>
              <w:t>rs</w:t>
            </w:r>
          </w:p>
        </w:tc>
      </w:tr>
      <w:tr w:rsidR="0085579C" w14:paraId="4B6D2DEF"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5A15D2C5" w14:textId="77777777" w:rsidR="0085579C" w:rsidRDefault="0085579C" w:rsidP="002B33D3">
            <w:pPr>
              <w:pStyle w:val="TableParagraph"/>
              <w:kinsoku w:val="0"/>
              <w:overflowPunct w:val="0"/>
              <w:spacing w:line="228" w:lineRule="exact"/>
              <w:ind w:left="102"/>
            </w:pPr>
            <w:r>
              <w:rPr>
                <w:rFonts w:ascii="Arial" w:hAnsi="Arial" w:cs="Arial"/>
                <w:spacing w:val="-1"/>
                <w:sz w:val="20"/>
                <w:szCs w:val="20"/>
              </w:rPr>
              <w:t>At</w:t>
            </w:r>
            <w:r>
              <w:rPr>
                <w:rFonts w:ascii="Arial" w:hAnsi="Arial" w:cs="Arial"/>
                <w:sz w:val="20"/>
                <w:szCs w:val="20"/>
              </w:rPr>
              <w:t>r</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l</w:t>
            </w:r>
            <w:r>
              <w:rPr>
                <w:rFonts w:ascii="Arial" w:hAnsi="Arial" w:cs="Arial"/>
                <w:spacing w:val="-15"/>
                <w:sz w:val="20"/>
                <w:szCs w:val="20"/>
              </w:rPr>
              <w:t xml:space="preserve"> </w:t>
            </w:r>
            <w:r>
              <w:rPr>
                <w:rFonts w:ascii="Arial" w:hAnsi="Arial" w:cs="Arial"/>
                <w:spacing w:val="2"/>
                <w:sz w:val="20"/>
                <w:szCs w:val="20"/>
              </w:rPr>
              <w:t>f</w:t>
            </w:r>
            <w:r>
              <w:rPr>
                <w:rFonts w:ascii="Arial" w:hAnsi="Arial" w:cs="Arial"/>
                <w:spacing w:val="-1"/>
                <w:sz w:val="20"/>
                <w:szCs w:val="20"/>
              </w:rPr>
              <w:t>ib</w:t>
            </w:r>
            <w:r>
              <w:rPr>
                <w:rFonts w:ascii="Arial" w:hAnsi="Arial" w:cs="Arial"/>
                <w:sz w:val="20"/>
                <w:szCs w:val="20"/>
              </w:rPr>
              <w:t>r</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l</w:t>
            </w:r>
            <w:r>
              <w:rPr>
                <w:rFonts w:ascii="Arial" w:hAnsi="Arial" w:cs="Arial"/>
                <w:spacing w:val="-1"/>
                <w:sz w:val="20"/>
                <w:szCs w:val="20"/>
              </w:rPr>
              <w:t>at</w:t>
            </w:r>
            <w:r>
              <w:rPr>
                <w:rFonts w:ascii="Arial" w:hAnsi="Arial" w:cs="Arial"/>
                <w:spacing w:val="1"/>
                <w:sz w:val="20"/>
                <w:szCs w:val="20"/>
              </w:rPr>
              <w:t>i</w:t>
            </w:r>
            <w:r>
              <w:rPr>
                <w:rFonts w:ascii="Arial" w:hAnsi="Arial" w:cs="Arial"/>
                <w:spacing w:val="-1"/>
                <w:sz w:val="20"/>
                <w:szCs w:val="20"/>
              </w:rPr>
              <w:t>o</w:t>
            </w:r>
            <w:r>
              <w:rPr>
                <w:rFonts w:ascii="Arial" w:hAnsi="Arial" w:cs="Arial"/>
                <w:sz w:val="20"/>
                <w:szCs w:val="20"/>
              </w:rPr>
              <w:t>n</w:t>
            </w:r>
          </w:p>
        </w:tc>
        <w:tc>
          <w:tcPr>
            <w:tcW w:w="2324" w:type="dxa"/>
            <w:tcBorders>
              <w:top w:val="single" w:sz="4" w:space="0" w:color="000000"/>
              <w:left w:val="single" w:sz="4" w:space="0" w:color="000000"/>
              <w:bottom w:val="single" w:sz="4" w:space="0" w:color="000000"/>
              <w:right w:val="single" w:sz="4" w:space="0" w:color="000000"/>
            </w:tcBorders>
          </w:tcPr>
          <w:p w14:paraId="1243BB17" w14:textId="77777777" w:rsidR="0085579C" w:rsidRDefault="0085579C" w:rsidP="002B33D3">
            <w:pPr>
              <w:pStyle w:val="TableParagraph"/>
              <w:kinsoku w:val="0"/>
              <w:overflowPunct w:val="0"/>
              <w:spacing w:line="228" w:lineRule="exact"/>
              <w:ind w:left="332"/>
            </w:pPr>
            <w:r>
              <w:rPr>
                <w:rFonts w:ascii="Arial" w:hAnsi="Arial" w:cs="Arial"/>
                <w:sz w:val="20"/>
                <w:szCs w:val="20"/>
              </w:rPr>
              <w:t>U</w:t>
            </w:r>
            <w:r>
              <w:rPr>
                <w:rFonts w:ascii="Arial" w:hAnsi="Arial" w:cs="Arial"/>
                <w:spacing w:val="-1"/>
                <w:sz w:val="20"/>
                <w:szCs w:val="20"/>
              </w:rPr>
              <w:t>n</w:t>
            </w:r>
            <w:r>
              <w:rPr>
                <w:rFonts w:ascii="Arial" w:hAnsi="Arial" w:cs="Arial"/>
                <w:spacing w:val="1"/>
                <w:sz w:val="20"/>
                <w:szCs w:val="20"/>
              </w:rPr>
              <w:t>c</w:t>
            </w:r>
            <w:r>
              <w:rPr>
                <w:rFonts w:ascii="Arial" w:hAnsi="Arial" w:cs="Arial"/>
                <w:spacing w:val="-1"/>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on</w:t>
            </w:r>
          </w:p>
        </w:tc>
      </w:tr>
      <w:tr w:rsidR="0085579C" w14:paraId="0000FFB1"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3687F5BA" w14:textId="77777777" w:rsidR="0085579C" w:rsidRDefault="0085579C" w:rsidP="002B33D3">
            <w:pPr>
              <w:pStyle w:val="TableParagraph"/>
              <w:kinsoku w:val="0"/>
              <w:overflowPunct w:val="0"/>
              <w:spacing w:line="228" w:lineRule="exact"/>
              <w:ind w:left="102"/>
            </w:pPr>
            <w:r>
              <w:rPr>
                <w:rFonts w:ascii="Arial" w:hAnsi="Arial" w:cs="Arial"/>
                <w:spacing w:val="-1"/>
                <w:sz w:val="20"/>
                <w:szCs w:val="20"/>
              </w:rPr>
              <w:t>Pa</w:t>
            </w:r>
            <w:r>
              <w:rPr>
                <w:rFonts w:ascii="Arial" w:hAnsi="Arial" w:cs="Arial"/>
                <w:spacing w:val="1"/>
                <w:sz w:val="20"/>
                <w:szCs w:val="20"/>
              </w:rPr>
              <w:t>l</w:t>
            </w:r>
            <w:r>
              <w:rPr>
                <w:rFonts w:ascii="Arial" w:hAnsi="Arial" w:cs="Arial"/>
                <w:spacing w:val="-1"/>
                <w:sz w:val="20"/>
                <w:szCs w:val="20"/>
              </w:rPr>
              <w:t>pi</w:t>
            </w:r>
            <w:r>
              <w:rPr>
                <w:rFonts w:ascii="Arial" w:hAnsi="Arial" w:cs="Arial"/>
                <w:spacing w:val="2"/>
                <w:sz w:val="20"/>
                <w:szCs w:val="20"/>
              </w:rPr>
              <w:t>t</w:t>
            </w:r>
            <w:r>
              <w:rPr>
                <w:rFonts w:ascii="Arial" w:hAnsi="Arial" w:cs="Arial"/>
                <w:spacing w:val="-1"/>
                <w:sz w:val="20"/>
                <w:szCs w:val="20"/>
              </w:rPr>
              <w:t>at</w:t>
            </w:r>
            <w:r>
              <w:rPr>
                <w:rFonts w:ascii="Arial" w:hAnsi="Arial" w:cs="Arial"/>
                <w:spacing w:val="1"/>
                <w:sz w:val="20"/>
                <w:szCs w:val="20"/>
              </w:rPr>
              <w:t>i</w:t>
            </w:r>
            <w:r>
              <w:rPr>
                <w:rFonts w:ascii="Arial" w:hAnsi="Arial" w:cs="Arial"/>
                <w:spacing w:val="-1"/>
                <w:sz w:val="20"/>
                <w:szCs w:val="20"/>
              </w:rPr>
              <w:t>ons</w:t>
            </w:r>
          </w:p>
        </w:tc>
        <w:tc>
          <w:tcPr>
            <w:tcW w:w="2324" w:type="dxa"/>
            <w:tcBorders>
              <w:top w:val="single" w:sz="4" w:space="0" w:color="000000"/>
              <w:left w:val="single" w:sz="4" w:space="0" w:color="000000"/>
              <w:bottom w:val="single" w:sz="4" w:space="0" w:color="000000"/>
              <w:right w:val="single" w:sz="4" w:space="0" w:color="000000"/>
            </w:tcBorders>
          </w:tcPr>
          <w:p w14:paraId="18EABA7D" w14:textId="77777777" w:rsidR="0085579C" w:rsidRDefault="0085579C" w:rsidP="002B33D3">
            <w:pPr>
              <w:pStyle w:val="TableParagraph"/>
              <w:kinsoku w:val="0"/>
              <w:overflowPunct w:val="0"/>
              <w:spacing w:line="228" w:lineRule="exact"/>
              <w:ind w:left="608" w:right="610"/>
              <w:jc w:val="center"/>
            </w:pPr>
            <w:r>
              <w:rPr>
                <w:rFonts w:ascii="Arial" w:hAnsi="Arial" w:cs="Arial"/>
                <w:sz w:val="20"/>
                <w:szCs w:val="20"/>
              </w:rPr>
              <w:t>R</w:t>
            </w:r>
            <w:r>
              <w:rPr>
                <w:rFonts w:ascii="Arial" w:hAnsi="Arial" w:cs="Arial"/>
                <w:spacing w:val="-1"/>
                <w:sz w:val="20"/>
                <w:szCs w:val="20"/>
              </w:rPr>
              <w:t>a</w:t>
            </w:r>
            <w:r>
              <w:rPr>
                <w:rFonts w:ascii="Arial" w:hAnsi="Arial" w:cs="Arial"/>
                <w:sz w:val="20"/>
                <w:szCs w:val="20"/>
              </w:rPr>
              <w:t>re</w:t>
            </w:r>
          </w:p>
        </w:tc>
      </w:tr>
      <w:tr w:rsidR="0085579C" w14:paraId="4937A2A7"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415DD835" w14:textId="77777777" w:rsidR="0085579C" w:rsidRDefault="0085579C" w:rsidP="002B33D3">
            <w:pPr>
              <w:pStyle w:val="TableParagraph"/>
              <w:kinsoku w:val="0"/>
              <w:overflowPunct w:val="0"/>
              <w:spacing w:line="228" w:lineRule="exact"/>
              <w:ind w:left="102"/>
            </w:pPr>
            <w:r>
              <w:rPr>
                <w:rFonts w:ascii="Arial" w:hAnsi="Arial" w:cs="Arial"/>
                <w:spacing w:val="-1"/>
                <w:sz w:val="20"/>
                <w:szCs w:val="20"/>
              </w:rPr>
              <w:t>Sup</w:t>
            </w:r>
            <w:r>
              <w:rPr>
                <w:rFonts w:ascii="Arial" w:hAnsi="Arial" w:cs="Arial"/>
                <w:sz w:val="20"/>
                <w:szCs w:val="20"/>
              </w:rPr>
              <w:t>r</w:t>
            </w:r>
            <w:r>
              <w:rPr>
                <w:rFonts w:ascii="Arial" w:hAnsi="Arial" w:cs="Arial"/>
                <w:spacing w:val="2"/>
                <w:sz w:val="20"/>
                <w:szCs w:val="20"/>
              </w:rPr>
              <w:t>a</w:t>
            </w:r>
            <w:r>
              <w:rPr>
                <w:rFonts w:ascii="Arial" w:hAnsi="Arial" w:cs="Arial"/>
                <w:spacing w:val="-2"/>
                <w:sz w:val="20"/>
                <w:szCs w:val="20"/>
              </w:rPr>
              <w:t>v</w:t>
            </w:r>
            <w:r>
              <w:rPr>
                <w:rFonts w:ascii="Arial" w:hAnsi="Arial" w:cs="Arial"/>
                <w:spacing w:val="2"/>
                <w:sz w:val="20"/>
                <w:szCs w:val="20"/>
              </w:rPr>
              <w:t>e</w:t>
            </w:r>
            <w:r>
              <w:rPr>
                <w:rFonts w:ascii="Arial" w:hAnsi="Arial" w:cs="Arial"/>
                <w:spacing w:val="-1"/>
                <w:sz w:val="20"/>
                <w:szCs w:val="20"/>
              </w:rPr>
              <w:t>nt</w:t>
            </w:r>
            <w:r>
              <w:rPr>
                <w:rFonts w:ascii="Arial" w:hAnsi="Arial" w:cs="Arial"/>
                <w:sz w:val="20"/>
                <w:szCs w:val="20"/>
              </w:rPr>
              <w:t>r</w:t>
            </w:r>
            <w:r>
              <w:rPr>
                <w:rFonts w:ascii="Arial" w:hAnsi="Arial" w:cs="Arial"/>
                <w:spacing w:val="-1"/>
                <w:sz w:val="20"/>
                <w:szCs w:val="20"/>
              </w:rPr>
              <w:t>i</w:t>
            </w:r>
            <w:r>
              <w:rPr>
                <w:rFonts w:ascii="Arial" w:hAnsi="Arial" w:cs="Arial"/>
                <w:spacing w:val="1"/>
                <w:sz w:val="20"/>
                <w:szCs w:val="20"/>
              </w:rPr>
              <w:t>c</w:t>
            </w:r>
            <w:r>
              <w:rPr>
                <w:rFonts w:ascii="Arial" w:hAnsi="Arial" w:cs="Arial"/>
                <w:spacing w:val="2"/>
                <w:sz w:val="20"/>
                <w:szCs w:val="20"/>
              </w:rPr>
              <w:t>u</w:t>
            </w:r>
            <w:r>
              <w:rPr>
                <w:rFonts w:ascii="Arial" w:hAnsi="Arial" w:cs="Arial"/>
                <w:spacing w:val="-2"/>
                <w:sz w:val="20"/>
                <w:szCs w:val="20"/>
              </w:rPr>
              <w:t>l</w:t>
            </w:r>
            <w:r>
              <w:rPr>
                <w:rFonts w:ascii="Arial" w:hAnsi="Arial" w:cs="Arial"/>
                <w:spacing w:val="-1"/>
                <w:sz w:val="20"/>
                <w:szCs w:val="20"/>
              </w:rPr>
              <w:t>a</w:t>
            </w:r>
            <w:r>
              <w:rPr>
                <w:rFonts w:ascii="Arial" w:hAnsi="Arial" w:cs="Arial"/>
                <w:sz w:val="20"/>
                <w:szCs w:val="20"/>
              </w:rPr>
              <w:t>r</w:t>
            </w:r>
            <w:r>
              <w:rPr>
                <w:rFonts w:ascii="Arial" w:hAnsi="Arial" w:cs="Arial"/>
                <w:spacing w:val="-24"/>
                <w:sz w:val="20"/>
                <w:szCs w:val="20"/>
              </w:rPr>
              <w:t xml:space="preserve"> </w:t>
            </w:r>
            <w:r>
              <w:rPr>
                <w:rFonts w:ascii="Arial" w:hAnsi="Arial" w:cs="Arial"/>
                <w:spacing w:val="-1"/>
                <w:sz w:val="20"/>
                <w:szCs w:val="20"/>
              </w:rPr>
              <w:t>ta</w:t>
            </w:r>
            <w:r>
              <w:rPr>
                <w:rFonts w:ascii="Arial" w:hAnsi="Arial" w:cs="Arial"/>
                <w:spacing w:val="1"/>
                <w:sz w:val="20"/>
                <w:szCs w:val="20"/>
              </w:rPr>
              <w:t>c</w:t>
            </w:r>
            <w:r>
              <w:rPr>
                <w:rFonts w:ascii="Arial" w:hAnsi="Arial" w:cs="Arial"/>
                <w:spacing w:val="4"/>
                <w:sz w:val="20"/>
                <w:szCs w:val="20"/>
              </w:rPr>
              <w:t>h</w:t>
            </w:r>
            <w:r>
              <w:rPr>
                <w:rFonts w:ascii="Arial" w:hAnsi="Arial" w:cs="Arial"/>
                <w:spacing w:val="-5"/>
                <w:sz w:val="20"/>
                <w:szCs w:val="20"/>
              </w:rPr>
              <w:t>y</w:t>
            </w:r>
            <w:r>
              <w:rPr>
                <w:rFonts w:ascii="Arial" w:hAnsi="Arial" w:cs="Arial"/>
                <w:spacing w:val="1"/>
                <w:sz w:val="20"/>
                <w:szCs w:val="20"/>
              </w:rPr>
              <w:t>c</w:t>
            </w:r>
            <w:r>
              <w:rPr>
                <w:rFonts w:ascii="Arial" w:hAnsi="Arial" w:cs="Arial"/>
                <w:spacing w:val="-1"/>
                <w:sz w:val="20"/>
                <w:szCs w:val="20"/>
              </w:rPr>
              <w:t>a</w:t>
            </w:r>
            <w:r>
              <w:rPr>
                <w:rFonts w:ascii="Arial" w:hAnsi="Arial" w:cs="Arial"/>
                <w:sz w:val="20"/>
                <w:szCs w:val="20"/>
              </w:rPr>
              <w:t>r</w:t>
            </w:r>
            <w:r>
              <w:rPr>
                <w:rFonts w:ascii="Arial" w:hAnsi="Arial" w:cs="Arial"/>
                <w:spacing w:val="2"/>
                <w:sz w:val="20"/>
                <w:szCs w:val="20"/>
              </w:rPr>
              <w:t>d</w:t>
            </w:r>
            <w:r>
              <w:rPr>
                <w:rFonts w:ascii="Arial" w:hAnsi="Arial" w:cs="Arial"/>
                <w:spacing w:val="1"/>
                <w:sz w:val="20"/>
                <w:szCs w:val="20"/>
              </w:rPr>
              <w:t>i</w:t>
            </w:r>
            <w:r>
              <w:rPr>
                <w:rFonts w:ascii="Arial" w:hAnsi="Arial" w:cs="Arial"/>
                <w:sz w:val="20"/>
                <w:szCs w:val="20"/>
              </w:rPr>
              <w:t>a</w:t>
            </w:r>
          </w:p>
        </w:tc>
        <w:tc>
          <w:tcPr>
            <w:tcW w:w="2324" w:type="dxa"/>
            <w:tcBorders>
              <w:top w:val="single" w:sz="4" w:space="0" w:color="000000"/>
              <w:left w:val="single" w:sz="4" w:space="0" w:color="000000"/>
              <w:bottom w:val="single" w:sz="4" w:space="0" w:color="000000"/>
              <w:right w:val="single" w:sz="4" w:space="0" w:color="000000"/>
            </w:tcBorders>
          </w:tcPr>
          <w:p w14:paraId="483C37DB" w14:textId="77777777" w:rsidR="0085579C" w:rsidRDefault="0085579C" w:rsidP="002B33D3">
            <w:pPr>
              <w:pStyle w:val="TableParagraph"/>
              <w:kinsoku w:val="0"/>
              <w:overflowPunct w:val="0"/>
              <w:spacing w:line="228" w:lineRule="exact"/>
              <w:ind w:left="608" w:right="610"/>
              <w:jc w:val="center"/>
            </w:pPr>
            <w:r>
              <w:rPr>
                <w:rFonts w:ascii="Arial" w:hAnsi="Arial" w:cs="Arial"/>
                <w:sz w:val="20"/>
                <w:szCs w:val="20"/>
              </w:rPr>
              <w:t>R</w:t>
            </w:r>
            <w:r>
              <w:rPr>
                <w:rFonts w:ascii="Arial" w:hAnsi="Arial" w:cs="Arial"/>
                <w:spacing w:val="-1"/>
                <w:sz w:val="20"/>
                <w:szCs w:val="20"/>
              </w:rPr>
              <w:t>a</w:t>
            </w:r>
            <w:r>
              <w:rPr>
                <w:rFonts w:ascii="Arial" w:hAnsi="Arial" w:cs="Arial"/>
                <w:sz w:val="20"/>
                <w:szCs w:val="20"/>
              </w:rPr>
              <w:t>re</w:t>
            </w:r>
          </w:p>
        </w:tc>
      </w:tr>
      <w:tr w:rsidR="0085579C" w14:paraId="076D8188"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7667AF31" w14:textId="77777777" w:rsidR="0085579C" w:rsidRDefault="0085579C" w:rsidP="002B33D3">
            <w:pPr>
              <w:pStyle w:val="TableParagraph"/>
              <w:kinsoku w:val="0"/>
              <w:overflowPunct w:val="0"/>
              <w:spacing w:line="228" w:lineRule="exact"/>
              <w:ind w:left="102"/>
            </w:pPr>
            <w:r>
              <w:rPr>
                <w:rFonts w:ascii="Arial" w:hAnsi="Arial" w:cs="Arial"/>
                <w:spacing w:val="3"/>
                <w:sz w:val="20"/>
                <w:szCs w:val="20"/>
              </w:rPr>
              <w:t>T</w:t>
            </w:r>
            <w:r>
              <w:rPr>
                <w:rFonts w:ascii="Arial" w:hAnsi="Arial" w:cs="Arial"/>
                <w:spacing w:val="-1"/>
                <w:sz w:val="20"/>
                <w:szCs w:val="20"/>
              </w:rPr>
              <w:t>a</w:t>
            </w:r>
            <w:r>
              <w:rPr>
                <w:rFonts w:ascii="Arial" w:hAnsi="Arial" w:cs="Arial"/>
                <w:spacing w:val="1"/>
                <w:sz w:val="20"/>
                <w:szCs w:val="20"/>
              </w:rPr>
              <w:t>c</w:t>
            </w:r>
            <w:r>
              <w:rPr>
                <w:rFonts w:ascii="Arial" w:hAnsi="Arial" w:cs="Arial"/>
                <w:spacing w:val="2"/>
                <w:sz w:val="20"/>
                <w:szCs w:val="20"/>
              </w:rPr>
              <w:t>h</w:t>
            </w:r>
            <w:r>
              <w:rPr>
                <w:rFonts w:ascii="Arial" w:hAnsi="Arial" w:cs="Arial"/>
                <w:spacing w:val="-7"/>
                <w:sz w:val="20"/>
                <w:szCs w:val="20"/>
              </w:rPr>
              <w:t>y</w:t>
            </w:r>
            <w:r>
              <w:rPr>
                <w:rFonts w:ascii="Arial" w:hAnsi="Arial" w:cs="Arial"/>
                <w:spacing w:val="1"/>
                <w:sz w:val="20"/>
                <w:szCs w:val="20"/>
              </w:rPr>
              <w:t>c</w:t>
            </w:r>
            <w:r>
              <w:rPr>
                <w:rFonts w:ascii="Arial" w:hAnsi="Arial" w:cs="Arial"/>
                <w:spacing w:val="-1"/>
                <w:sz w:val="20"/>
                <w:szCs w:val="20"/>
              </w:rPr>
              <w:t>a</w:t>
            </w:r>
            <w:r>
              <w:rPr>
                <w:rFonts w:ascii="Arial" w:hAnsi="Arial" w:cs="Arial"/>
                <w:sz w:val="20"/>
                <w:szCs w:val="20"/>
              </w:rPr>
              <w:t>r</w:t>
            </w:r>
            <w:r>
              <w:rPr>
                <w:rFonts w:ascii="Arial" w:hAnsi="Arial" w:cs="Arial"/>
                <w:spacing w:val="2"/>
                <w:sz w:val="20"/>
                <w:szCs w:val="20"/>
              </w:rPr>
              <w:t>d</w:t>
            </w:r>
            <w:r>
              <w:rPr>
                <w:rFonts w:ascii="Arial" w:hAnsi="Arial" w:cs="Arial"/>
                <w:spacing w:val="-1"/>
                <w:sz w:val="20"/>
                <w:szCs w:val="20"/>
              </w:rPr>
              <w:t>i</w:t>
            </w:r>
            <w:r>
              <w:rPr>
                <w:rFonts w:ascii="Arial" w:hAnsi="Arial" w:cs="Arial"/>
                <w:sz w:val="20"/>
                <w:szCs w:val="20"/>
              </w:rPr>
              <w:t>a</w:t>
            </w:r>
          </w:p>
        </w:tc>
        <w:tc>
          <w:tcPr>
            <w:tcW w:w="2324" w:type="dxa"/>
            <w:tcBorders>
              <w:top w:val="single" w:sz="4" w:space="0" w:color="000000"/>
              <w:left w:val="single" w:sz="4" w:space="0" w:color="000000"/>
              <w:bottom w:val="single" w:sz="4" w:space="0" w:color="000000"/>
              <w:right w:val="single" w:sz="4" w:space="0" w:color="000000"/>
            </w:tcBorders>
          </w:tcPr>
          <w:p w14:paraId="02B8D26E" w14:textId="77777777" w:rsidR="0085579C" w:rsidRDefault="0085579C" w:rsidP="002B33D3">
            <w:pPr>
              <w:pStyle w:val="TableParagraph"/>
              <w:kinsoku w:val="0"/>
              <w:overflowPunct w:val="0"/>
              <w:spacing w:line="228" w:lineRule="exact"/>
              <w:ind w:left="608" w:right="610"/>
              <w:jc w:val="center"/>
            </w:pPr>
            <w:r>
              <w:rPr>
                <w:rFonts w:ascii="Arial" w:hAnsi="Arial" w:cs="Arial"/>
                <w:sz w:val="20"/>
                <w:szCs w:val="20"/>
              </w:rPr>
              <w:t>R</w:t>
            </w:r>
            <w:r>
              <w:rPr>
                <w:rFonts w:ascii="Arial" w:hAnsi="Arial" w:cs="Arial"/>
                <w:spacing w:val="-1"/>
                <w:sz w:val="20"/>
                <w:szCs w:val="20"/>
              </w:rPr>
              <w:t>a</w:t>
            </w:r>
            <w:r>
              <w:rPr>
                <w:rFonts w:ascii="Arial" w:hAnsi="Arial" w:cs="Arial"/>
                <w:sz w:val="20"/>
                <w:szCs w:val="20"/>
              </w:rPr>
              <w:t>re</w:t>
            </w:r>
          </w:p>
        </w:tc>
      </w:tr>
      <w:tr w:rsidR="0085579C" w14:paraId="4DB558FF" w14:textId="77777777" w:rsidTr="002B33D3">
        <w:trPr>
          <w:trHeight w:hRule="exact" w:val="240"/>
        </w:trPr>
        <w:tc>
          <w:tcPr>
            <w:tcW w:w="7854" w:type="dxa"/>
            <w:gridSpan w:val="2"/>
            <w:tcBorders>
              <w:top w:val="single" w:sz="4" w:space="0" w:color="000000"/>
              <w:left w:val="single" w:sz="4" w:space="0" w:color="000000"/>
              <w:bottom w:val="single" w:sz="4" w:space="0" w:color="000000"/>
              <w:right w:val="single" w:sz="4" w:space="0" w:color="000000"/>
            </w:tcBorders>
          </w:tcPr>
          <w:p w14:paraId="0F0F0166" w14:textId="77777777" w:rsidR="0085579C" w:rsidRDefault="0085579C" w:rsidP="002B33D3">
            <w:pPr>
              <w:pStyle w:val="TableParagraph"/>
              <w:kinsoku w:val="0"/>
              <w:overflowPunct w:val="0"/>
              <w:spacing w:line="228" w:lineRule="exact"/>
              <w:ind w:left="102"/>
            </w:pPr>
            <w:r>
              <w:rPr>
                <w:rFonts w:ascii="Arial" w:hAnsi="Arial" w:cs="Arial"/>
                <w:sz w:val="20"/>
                <w:szCs w:val="20"/>
                <w:u w:val="single"/>
              </w:rPr>
              <w:t>R</w:t>
            </w:r>
            <w:r>
              <w:rPr>
                <w:rFonts w:ascii="Arial" w:hAnsi="Arial" w:cs="Arial"/>
                <w:spacing w:val="-1"/>
                <w:sz w:val="20"/>
                <w:szCs w:val="20"/>
                <w:u w:val="single"/>
              </w:rPr>
              <w:t>e</w:t>
            </w:r>
            <w:r>
              <w:rPr>
                <w:rFonts w:ascii="Arial" w:hAnsi="Arial" w:cs="Arial"/>
                <w:spacing w:val="1"/>
                <w:sz w:val="20"/>
                <w:szCs w:val="20"/>
                <w:u w:val="single"/>
              </w:rPr>
              <w:t>s</w:t>
            </w:r>
            <w:r>
              <w:rPr>
                <w:rFonts w:ascii="Arial" w:hAnsi="Arial" w:cs="Arial"/>
                <w:spacing w:val="-1"/>
                <w:sz w:val="20"/>
                <w:szCs w:val="20"/>
                <w:u w:val="single"/>
              </w:rPr>
              <w:t>pi</w:t>
            </w:r>
            <w:r>
              <w:rPr>
                <w:rFonts w:ascii="Arial" w:hAnsi="Arial" w:cs="Arial"/>
                <w:sz w:val="20"/>
                <w:szCs w:val="20"/>
                <w:u w:val="single"/>
              </w:rPr>
              <w:t>r</w:t>
            </w:r>
            <w:r>
              <w:rPr>
                <w:rFonts w:ascii="Arial" w:hAnsi="Arial" w:cs="Arial"/>
                <w:spacing w:val="-1"/>
                <w:sz w:val="20"/>
                <w:szCs w:val="20"/>
                <w:u w:val="single"/>
              </w:rPr>
              <w:t>a</w:t>
            </w:r>
            <w:r>
              <w:rPr>
                <w:rFonts w:ascii="Arial" w:hAnsi="Arial" w:cs="Arial"/>
                <w:spacing w:val="2"/>
                <w:sz w:val="20"/>
                <w:szCs w:val="20"/>
                <w:u w:val="single"/>
              </w:rPr>
              <w:t>t</w:t>
            </w:r>
            <w:r>
              <w:rPr>
                <w:rFonts w:ascii="Arial" w:hAnsi="Arial" w:cs="Arial"/>
                <w:spacing w:val="-1"/>
                <w:sz w:val="20"/>
                <w:szCs w:val="20"/>
                <w:u w:val="single"/>
              </w:rPr>
              <w:t>o</w:t>
            </w:r>
            <w:r>
              <w:rPr>
                <w:rFonts w:ascii="Arial" w:hAnsi="Arial" w:cs="Arial"/>
                <w:spacing w:val="3"/>
                <w:sz w:val="20"/>
                <w:szCs w:val="20"/>
                <w:u w:val="single"/>
              </w:rPr>
              <w:t>r</w:t>
            </w:r>
            <w:r>
              <w:rPr>
                <w:rFonts w:ascii="Arial" w:hAnsi="Arial" w:cs="Arial"/>
                <w:spacing w:val="-5"/>
                <w:sz w:val="20"/>
                <w:szCs w:val="20"/>
                <w:u w:val="single"/>
              </w:rPr>
              <w:t>y</w:t>
            </w:r>
            <w:r>
              <w:rPr>
                <w:rFonts w:ascii="Arial" w:hAnsi="Arial" w:cs="Arial"/>
                <w:sz w:val="20"/>
                <w:szCs w:val="20"/>
                <w:u w:val="single"/>
              </w:rPr>
              <w:t>,</w:t>
            </w:r>
            <w:r>
              <w:rPr>
                <w:rFonts w:ascii="Arial" w:hAnsi="Arial" w:cs="Arial"/>
                <w:spacing w:val="-9"/>
                <w:sz w:val="20"/>
                <w:szCs w:val="20"/>
                <w:u w:val="single"/>
              </w:rPr>
              <w:t xml:space="preserve"> </w:t>
            </w:r>
            <w:r>
              <w:rPr>
                <w:rFonts w:ascii="Arial" w:hAnsi="Arial" w:cs="Arial"/>
                <w:spacing w:val="-1"/>
                <w:sz w:val="20"/>
                <w:szCs w:val="20"/>
                <w:u w:val="single"/>
              </w:rPr>
              <w:t>tho</w:t>
            </w:r>
            <w:r>
              <w:rPr>
                <w:rFonts w:ascii="Arial" w:hAnsi="Arial" w:cs="Arial"/>
                <w:sz w:val="20"/>
                <w:szCs w:val="20"/>
                <w:u w:val="single"/>
              </w:rPr>
              <w:t>r</w:t>
            </w:r>
            <w:r>
              <w:rPr>
                <w:rFonts w:ascii="Arial" w:hAnsi="Arial" w:cs="Arial"/>
                <w:spacing w:val="-1"/>
                <w:sz w:val="20"/>
                <w:szCs w:val="20"/>
                <w:u w:val="single"/>
              </w:rPr>
              <w:t>a</w:t>
            </w:r>
            <w:r>
              <w:rPr>
                <w:rFonts w:ascii="Arial" w:hAnsi="Arial" w:cs="Arial"/>
                <w:spacing w:val="3"/>
                <w:sz w:val="20"/>
                <w:szCs w:val="20"/>
                <w:u w:val="single"/>
              </w:rPr>
              <w:t>c</w:t>
            </w:r>
            <w:r>
              <w:rPr>
                <w:rFonts w:ascii="Arial" w:hAnsi="Arial" w:cs="Arial"/>
                <w:spacing w:val="-1"/>
                <w:sz w:val="20"/>
                <w:szCs w:val="20"/>
                <w:u w:val="single"/>
              </w:rPr>
              <w:t>i</w:t>
            </w:r>
            <w:r>
              <w:rPr>
                <w:rFonts w:ascii="Arial" w:hAnsi="Arial" w:cs="Arial"/>
                <w:sz w:val="20"/>
                <w:szCs w:val="20"/>
                <w:u w:val="single"/>
              </w:rPr>
              <w:t>c</w:t>
            </w:r>
            <w:r>
              <w:rPr>
                <w:rFonts w:ascii="Arial" w:hAnsi="Arial" w:cs="Arial"/>
                <w:spacing w:val="-9"/>
                <w:sz w:val="20"/>
                <w:szCs w:val="20"/>
                <w:u w:val="single"/>
              </w:rPr>
              <w:t xml:space="preserve"> </w:t>
            </w:r>
            <w:r>
              <w:rPr>
                <w:rFonts w:ascii="Arial" w:hAnsi="Arial" w:cs="Arial"/>
                <w:spacing w:val="-1"/>
                <w:sz w:val="20"/>
                <w:szCs w:val="20"/>
                <w:u w:val="single"/>
              </w:rPr>
              <w:t>and</w:t>
            </w:r>
            <w:r>
              <w:rPr>
                <w:rFonts w:ascii="Arial" w:hAnsi="Arial" w:cs="Arial"/>
                <w:spacing w:val="-8"/>
                <w:sz w:val="20"/>
                <w:szCs w:val="20"/>
                <w:u w:val="single"/>
              </w:rPr>
              <w:t xml:space="preserve"> </w:t>
            </w:r>
            <w:r>
              <w:rPr>
                <w:rFonts w:ascii="Arial" w:hAnsi="Arial" w:cs="Arial"/>
                <w:spacing w:val="2"/>
                <w:sz w:val="20"/>
                <w:szCs w:val="20"/>
                <w:u w:val="single"/>
              </w:rPr>
              <w:t>m</w:t>
            </w:r>
            <w:r>
              <w:rPr>
                <w:rFonts w:ascii="Arial" w:hAnsi="Arial" w:cs="Arial"/>
                <w:spacing w:val="-1"/>
                <w:sz w:val="20"/>
                <w:szCs w:val="20"/>
                <w:u w:val="single"/>
              </w:rPr>
              <w:t>ed</w:t>
            </w:r>
            <w:r>
              <w:rPr>
                <w:rFonts w:ascii="Arial" w:hAnsi="Arial" w:cs="Arial"/>
                <w:spacing w:val="1"/>
                <w:sz w:val="20"/>
                <w:szCs w:val="20"/>
                <w:u w:val="single"/>
              </w:rPr>
              <w:t>i</w:t>
            </w:r>
            <w:r>
              <w:rPr>
                <w:rFonts w:ascii="Arial" w:hAnsi="Arial" w:cs="Arial"/>
                <w:spacing w:val="-1"/>
                <w:sz w:val="20"/>
                <w:szCs w:val="20"/>
                <w:u w:val="single"/>
              </w:rPr>
              <w:t>a</w:t>
            </w:r>
            <w:r>
              <w:rPr>
                <w:rFonts w:ascii="Arial" w:hAnsi="Arial" w:cs="Arial"/>
                <w:spacing w:val="1"/>
                <w:sz w:val="20"/>
                <w:szCs w:val="20"/>
                <w:u w:val="single"/>
              </w:rPr>
              <w:t>s</w:t>
            </w:r>
            <w:r>
              <w:rPr>
                <w:rFonts w:ascii="Arial" w:hAnsi="Arial" w:cs="Arial"/>
                <w:spacing w:val="-1"/>
                <w:sz w:val="20"/>
                <w:szCs w:val="20"/>
                <w:u w:val="single"/>
              </w:rPr>
              <w:t>t</w:t>
            </w:r>
            <w:r>
              <w:rPr>
                <w:rFonts w:ascii="Arial" w:hAnsi="Arial" w:cs="Arial"/>
                <w:spacing w:val="-2"/>
                <w:sz w:val="20"/>
                <w:szCs w:val="20"/>
                <w:u w:val="single"/>
              </w:rPr>
              <w:t>i</w:t>
            </w:r>
            <w:r>
              <w:rPr>
                <w:rFonts w:ascii="Arial" w:hAnsi="Arial" w:cs="Arial"/>
                <w:spacing w:val="2"/>
                <w:sz w:val="20"/>
                <w:szCs w:val="20"/>
                <w:u w:val="single"/>
              </w:rPr>
              <w:t>n</w:t>
            </w:r>
            <w:r>
              <w:rPr>
                <w:rFonts w:ascii="Arial" w:hAnsi="Arial" w:cs="Arial"/>
                <w:spacing w:val="-1"/>
                <w:sz w:val="20"/>
                <w:szCs w:val="20"/>
                <w:u w:val="single"/>
              </w:rPr>
              <w:t>al</w:t>
            </w:r>
            <w:r>
              <w:rPr>
                <w:rFonts w:ascii="Arial" w:hAnsi="Arial" w:cs="Arial"/>
                <w:spacing w:val="-9"/>
                <w:sz w:val="20"/>
                <w:szCs w:val="20"/>
                <w:u w:val="single"/>
              </w:rPr>
              <w:t xml:space="preserve"> </w:t>
            </w:r>
            <w:r>
              <w:rPr>
                <w:rFonts w:ascii="Arial" w:hAnsi="Arial" w:cs="Arial"/>
                <w:spacing w:val="-1"/>
                <w:sz w:val="20"/>
                <w:szCs w:val="20"/>
                <w:u w:val="single"/>
              </w:rPr>
              <w:t>di</w:t>
            </w:r>
            <w:r>
              <w:rPr>
                <w:rFonts w:ascii="Arial" w:hAnsi="Arial" w:cs="Arial"/>
                <w:spacing w:val="1"/>
                <w:sz w:val="20"/>
                <w:szCs w:val="20"/>
                <w:u w:val="single"/>
              </w:rPr>
              <w:t>s</w:t>
            </w:r>
            <w:r>
              <w:rPr>
                <w:rFonts w:ascii="Arial" w:hAnsi="Arial" w:cs="Arial"/>
                <w:spacing w:val="-1"/>
                <w:sz w:val="20"/>
                <w:szCs w:val="20"/>
                <w:u w:val="single"/>
              </w:rPr>
              <w:t>o</w:t>
            </w:r>
            <w:r>
              <w:rPr>
                <w:rFonts w:ascii="Arial" w:hAnsi="Arial" w:cs="Arial"/>
                <w:sz w:val="20"/>
                <w:szCs w:val="20"/>
                <w:u w:val="single"/>
              </w:rPr>
              <w:t>r</w:t>
            </w:r>
            <w:r>
              <w:rPr>
                <w:rFonts w:ascii="Arial" w:hAnsi="Arial" w:cs="Arial"/>
                <w:spacing w:val="2"/>
                <w:sz w:val="20"/>
                <w:szCs w:val="20"/>
                <w:u w:val="single"/>
              </w:rPr>
              <w:t>d</w:t>
            </w:r>
            <w:r>
              <w:rPr>
                <w:rFonts w:ascii="Arial" w:hAnsi="Arial" w:cs="Arial"/>
                <w:spacing w:val="-1"/>
                <w:sz w:val="20"/>
                <w:szCs w:val="20"/>
                <w:u w:val="single"/>
              </w:rPr>
              <w:t>e</w:t>
            </w:r>
            <w:r>
              <w:rPr>
                <w:rFonts w:ascii="Arial" w:hAnsi="Arial" w:cs="Arial"/>
                <w:sz w:val="20"/>
                <w:szCs w:val="20"/>
                <w:u w:val="single"/>
              </w:rPr>
              <w:t>rs</w:t>
            </w:r>
          </w:p>
        </w:tc>
      </w:tr>
      <w:tr w:rsidR="0085579C" w14:paraId="5A09DD1D"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41240D02" w14:textId="77777777" w:rsidR="0085579C" w:rsidRDefault="0085579C" w:rsidP="002B33D3">
            <w:pPr>
              <w:pStyle w:val="TableParagraph"/>
              <w:kinsoku w:val="0"/>
              <w:overflowPunct w:val="0"/>
              <w:spacing w:line="228" w:lineRule="exact"/>
              <w:ind w:left="102"/>
            </w:pPr>
            <w:r>
              <w:rPr>
                <w:rFonts w:ascii="Arial" w:hAnsi="Arial" w:cs="Arial"/>
                <w:sz w:val="20"/>
                <w:szCs w:val="20"/>
              </w:rPr>
              <w:t>C</w:t>
            </w:r>
            <w:r>
              <w:rPr>
                <w:rFonts w:ascii="Arial" w:hAnsi="Arial" w:cs="Arial"/>
                <w:spacing w:val="-1"/>
                <w:sz w:val="20"/>
                <w:szCs w:val="20"/>
              </w:rPr>
              <w:t>ou</w:t>
            </w:r>
            <w:r>
              <w:rPr>
                <w:rFonts w:ascii="Arial" w:hAnsi="Arial" w:cs="Arial"/>
                <w:spacing w:val="2"/>
                <w:sz w:val="20"/>
                <w:szCs w:val="20"/>
              </w:rPr>
              <w:t>g</w:t>
            </w:r>
            <w:r>
              <w:rPr>
                <w:rFonts w:ascii="Arial" w:hAnsi="Arial" w:cs="Arial"/>
                <w:sz w:val="20"/>
                <w:szCs w:val="20"/>
              </w:rPr>
              <w:t>h</w:t>
            </w:r>
          </w:p>
        </w:tc>
        <w:tc>
          <w:tcPr>
            <w:tcW w:w="2324" w:type="dxa"/>
            <w:tcBorders>
              <w:top w:val="single" w:sz="4" w:space="0" w:color="000000"/>
              <w:left w:val="single" w:sz="4" w:space="0" w:color="000000"/>
              <w:bottom w:val="single" w:sz="4" w:space="0" w:color="000000"/>
              <w:right w:val="single" w:sz="4" w:space="0" w:color="000000"/>
            </w:tcBorders>
          </w:tcPr>
          <w:p w14:paraId="1F13EA22" w14:textId="77777777" w:rsidR="0085579C" w:rsidRDefault="0085579C" w:rsidP="002B33D3">
            <w:pPr>
              <w:pStyle w:val="TableParagraph"/>
              <w:kinsoku w:val="0"/>
              <w:overflowPunct w:val="0"/>
              <w:spacing w:line="228" w:lineRule="exact"/>
              <w:ind w:left="332"/>
            </w:pPr>
            <w:r>
              <w:rPr>
                <w:rFonts w:ascii="Arial" w:hAnsi="Arial" w:cs="Arial"/>
                <w:sz w:val="20"/>
                <w:szCs w:val="20"/>
              </w:rPr>
              <w:t>U</w:t>
            </w:r>
            <w:r>
              <w:rPr>
                <w:rFonts w:ascii="Arial" w:hAnsi="Arial" w:cs="Arial"/>
                <w:spacing w:val="-1"/>
                <w:sz w:val="20"/>
                <w:szCs w:val="20"/>
              </w:rPr>
              <w:t>n</w:t>
            </w:r>
            <w:r>
              <w:rPr>
                <w:rFonts w:ascii="Arial" w:hAnsi="Arial" w:cs="Arial"/>
                <w:spacing w:val="1"/>
                <w:sz w:val="20"/>
                <w:szCs w:val="20"/>
              </w:rPr>
              <w:t>c</w:t>
            </w:r>
            <w:r>
              <w:rPr>
                <w:rFonts w:ascii="Arial" w:hAnsi="Arial" w:cs="Arial"/>
                <w:spacing w:val="-1"/>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on</w:t>
            </w:r>
          </w:p>
        </w:tc>
      </w:tr>
      <w:tr w:rsidR="0085579C" w14:paraId="77B7CA1A"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4774754E" w14:textId="77777777" w:rsidR="0085579C" w:rsidRDefault="0085579C" w:rsidP="002B33D3">
            <w:pPr>
              <w:pStyle w:val="TableParagraph"/>
              <w:kinsoku w:val="0"/>
              <w:overflowPunct w:val="0"/>
              <w:spacing w:line="228" w:lineRule="exact"/>
              <w:ind w:left="102"/>
            </w:pPr>
            <w:r>
              <w:rPr>
                <w:rFonts w:ascii="Arial" w:hAnsi="Arial" w:cs="Arial"/>
                <w:spacing w:val="2"/>
                <w:sz w:val="20"/>
                <w:szCs w:val="20"/>
              </w:rPr>
              <w:t>D</w:t>
            </w:r>
            <w:r>
              <w:rPr>
                <w:rFonts w:ascii="Arial" w:hAnsi="Arial" w:cs="Arial"/>
                <w:spacing w:val="-5"/>
                <w:sz w:val="20"/>
                <w:szCs w:val="20"/>
              </w:rPr>
              <w:t>y</w:t>
            </w:r>
            <w:r>
              <w:rPr>
                <w:rFonts w:ascii="Arial" w:hAnsi="Arial" w:cs="Arial"/>
                <w:spacing w:val="1"/>
                <w:sz w:val="20"/>
                <w:szCs w:val="20"/>
              </w:rPr>
              <w:t>s</w:t>
            </w:r>
            <w:r>
              <w:rPr>
                <w:rFonts w:ascii="Arial" w:hAnsi="Arial" w:cs="Arial"/>
                <w:spacing w:val="-1"/>
                <w:sz w:val="20"/>
                <w:szCs w:val="20"/>
              </w:rPr>
              <w:t>p</w:t>
            </w:r>
            <w:r>
              <w:rPr>
                <w:rFonts w:ascii="Arial" w:hAnsi="Arial" w:cs="Arial"/>
                <w:spacing w:val="2"/>
                <w:sz w:val="20"/>
                <w:szCs w:val="20"/>
              </w:rPr>
              <w:t>h</w:t>
            </w:r>
            <w:r>
              <w:rPr>
                <w:rFonts w:ascii="Arial" w:hAnsi="Arial" w:cs="Arial"/>
                <w:spacing w:val="-1"/>
                <w:sz w:val="20"/>
                <w:szCs w:val="20"/>
              </w:rPr>
              <w:t>on</w:t>
            </w:r>
            <w:r>
              <w:rPr>
                <w:rFonts w:ascii="Arial" w:hAnsi="Arial" w:cs="Arial"/>
                <w:spacing w:val="1"/>
                <w:sz w:val="20"/>
                <w:szCs w:val="20"/>
              </w:rPr>
              <w:t>i</w:t>
            </w:r>
            <w:r>
              <w:rPr>
                <w:rFonts w:ascii="Arial" w:hAnsi="Arial" w:cs="Arial"/>
                <w:sz w:val="20"/>
                <w:szCs w:val="20"/>
              </w:rPr>
              <w:t>a</w:t>
            </w:r>
          </w:p>
        </w:tc>
        <w:tc>
          <w:tcPr>
            <w:tcW w:w="2324" w:type="dxa"/>
            <w:tcBorders>
              <w:top w:val="single" w:sz="4" w:space="0" w:color="000000"/>
              <w:left w:val="single" w:sz="4" w:space="0" w:color="000000"/>
              <w:bottom w:val="single" w:sz="4" w:space="0" w:color="000000"/>
              <w:right w:val="single" w:sz="4" w:space="0" w:color="000000"/>
            </w:tcBorders>
          </w:tcPr>
          <w:p w14:paraId="59C50E05" w14:textId="77777777" w:rsidR="0085579C" w:rsidRDefault="0085579C" w:rsidP="002B33D3">
            <w:pPr>
              <w:pStyle w:val="TableParagraph"/>
              <w:kinsoku w:val="0"/>
              <w:overflowPunct w:val="0"/>
              <w:spacing w:line="228" w:lineRule="exact"/>
              <w:ind w:left="332"/>
            </w:pPr>
            <w:r>
              <w:rPr>
                <w:rFonts w:ascii="Arial" w:hAnsi="Arial" w:cs="Arial"/>
                <w:sz w:val="20"/>
                <w:szCs w:val="20"/>
              </w:rPr>
              <w:t>U</w:t>
            </w:r>
            <w:r>
              <w:rPr>
                <w:rFonts w:ascii="Arial" w:hAnsi="Arial" w:cs="Arial"/>
                <w:spacing w:val="-1"/>
                <w:sz w:val="20"/>
                <w:szCs w:val="20"/>
              </w:rPr>
              <w:t>n</w:t>
            </w:r>
            <w:r>
              <w:rPr>
                <w:rFonts w:ascii="Arial" w:hAnsi="Arial" w:cs="Arial"/>
                <w:spacing w:val="1"/>
                <w:sz w:val="20"/>
                <w:szCs w:val="20"/>
              </w:rPr>
              <w:t>c</w:t>
            </w:r>
            <w:r>
              <w:rPr>
                <w:rFonts w:ascii="Arial" w:hAnsi="Arial" w:cs="Arial"/>
                <w:spacing w:val="-1"/>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on</w:t>
            </w:r>
          </w:p>
        </w:tc>
      </w:tr>
      <w:tr w:rsidR="0085579C" w14:paraId="61B46154"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60D1440D" w14:textId="77777777" w:rsidR="0085579C" w:rsidRDefault="0085579C" w:rsidP="002B33D3">
            <w:pPr>
              <w:pStyle w:val="TableParagraph"/>
              <w:kinsoku w:val="0"/>
              <w:overflowPunct w:val="0"/>
              <w:spacing w:line="228" w:lineRule="exact"/>
              <w:ind w:left="102"/>
            </w:pPr>
            <w:r>
              <w:rPr>
                <w:rFonts w:ascii="Arial" w:hAnsi="Arial" w:cs="Arial"/>
                <w:spacing w:val="-1"/>
                <w:sz w:val="20"/>
                <w:szCs w:val="20"/>
              </w:rPr>
              <w:t>Pha</w:t>
            </w:r>
            <w:r>
              <w:rPr>
                <w:rFonts w:ascii="Arial" w:hAnsi="Arial" w:cs="Arial"/>
                <w:spacing w:val="5"/>
                <w:sz w:val="20"/>
                <w:szCs w:val="20"/>
              </w:rPr>
              <w:t>r</w:t>
            </w:r>
            <w:r>
              <w:rPr>
                <w:rFonts w:ascii="Arial" w:hAnsi="Arial" w:cs="Arial"/>
                <w:spacing w:val="-5"/>
                <w:sz w:val="20"/>
                <w:szCs w:val="20"/>
              </w:rPr>
              <w:t>y</w:t>
            </w:r>
            <w:r>
              <w:rPr>
                <w:rFonts w:ascii="Arial" w:hAnsi="Arial" w:cs="Arial"/>
                <w:spacing w:val="-1"/>
                <w:sz w:val="20"/>
                <w:szCs w:val="20"/>
              </w:rPr>
              <w:t>n</w:t>
            </w:r>
            <w:r>
              <w:rPr>
                <w:rFonts w:ascii="Arial" w:hAnsi="Arial" w:cs="Arial"/>
                <w:spacing w:val="2"/>
                <w:sz w:val="20"/>
                <w:szCs w:val="20"/>
              </w:rPr>
              <w:t>g</w:t>
            </w:r>
            <w:r>
              <w:rPr>
                <w:rFonts w:ascii="Arial" w:hAnsi="Arial" w:cs="Arial"/>
                <w:spacing w:val="-1"/>
                <w:sz w:val="20"/>
                <w:szCs w:val="20"/>
              </w:rPr>
              <w:t>i</w:t>
            </w:r>
            <w:r>
              <w:rPr>
                <w:rFonts w:ascii="Arial" w:hAnsi="Arial" w:cs="Arial"/>
                <w:spacing w:val="2"/>
                <w:sz w:val="20"/>
                <w:szCs w:val="20"/>
              </w:rPr>
              <w:t>t</w:t>
            </w:r>
            <w:r>
              <w:rPr>
                <w:rFonts w:ascii="Arial" w:hAnsi="Arial" w:cs="Arial"/>
                <w:spacing w:val="-2"/>
                <w:sz w:val="20"/>
                <w:szCs w:val="20"/>
              </w:rPr>
              <w:t>i</w:t>
            </w:r>
            <w:r>
              <w:rPr>
                <w:rFonts w:ascii="Arial" w:hAnsi="Arial" w:cs="Arial"/>
                <w:sz w:val="20"/>
                <w:szCs w:val="20"/>
              </w:rPr>
              <w:t>s</w:t>
            </w:r>
          </w:p>
        </w:tc>
        <w:tc>
          <w:tcPr>
            <w:tcW w:w="2324" w:type="dxa"/>
            <w:tcBorders>
              <w:top w:val="single" w:sz="4" w:space="0" w:color="000000"/>
              <w:left w:val="single" w:sz="4" w:space="0" w:color="000000"/>
              <w:bottom w:val="single" w:sz="4" w:space="0" w:color="000000"/>
              <w:right w:val="single" w:sz="4" w:space="0" w:color="000000"/>
            </w:tcBorders>
          </w:tcPr>
          <w:p w14:paraId="572C8342" w14:textId="77777777" w:rsidR="0085579C" w:rsidRDefault="0085579C" w:rsidP="002B33D3">
            <w:pPr>
              <w:pStyle w:val="TableParagraph"/>
              <w:kinsoku w:val="0"/>
              <w:overflowPunct w:val="0"/>
              <w:spacing w:line="228" w:lineRule="exact"/>
              <w:ind w:left="332"/>
            </w:pPr>
            <w:r>
              <w:rPr>
                <w:rFonts w:ascii="Arial" w:hAnsi="Arial" w:cs="Arial"/>
                <w:sz w:val="20"/>
                <w:szCs w:val="20"/>
              </w:rPr>
              <w:t>U</w:t>
            </w:r>
            <w:r>
              <w:rPr>
                <w:rFonts w:ascii="Arial" w:hAnsi="Arial" w:cs="Arial"/>
                <w:spacing w:val="-1"/>
                <w:sz w:val="20"/>
                <w:szCs w:val="20"/>
              </w:rPr>
              <w:t>n</w:t>
            </w:r>
            <w:r>
              <w:rPr>
                <w:rFonts w:ascii="Arial" w:hAnsi="Arial" w:cs="Arial"/>
                <w:spacing w:val="1"/>
                <w:sz w:val="20"/>
                <w:szCs w:val="20"/>
              </w:rPr>
              <w:t>c</w:t>
            </w:r>
            <w:r>
              <w:rPr>
                <w:rFonts w:ascii="Arial" w:hAnsi="Arial" w:cs="Arial"/>
                <w:spacing w:val="-1"/>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on</w:t>
            </w:r>
          </w:p>
        </w:tc>
      </w:tr>
      <w:tr w:rsidR="0085579C" w14:paraId="7C017D8A"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6006B200" w14:textId="77777777" w:rsidR="0085579C" w:rsidRDefault="0085579C" w:rsidP="002B33D3">
            <w:pPr>
              <w:pStyle w:val="TableParagraph"/>
              <w:kinsoku w:val="0"/>
              <w:overflowPunct w:val="0"/>
              <w:spacing w:line="228" w:lineRule="exact"/>
              <w:ind w:left="102"/>
            </w:pPr>
            <w:r>
              <w:rPr>
                <w:rFonts w:ascii="Arial" w:hAnsi="Arial" w:cs="Arial"/>
                <w:spacing w:val="-1"/>
                <w:sz w:val="20"/>
                <w:szCs w:val="20"/>
              </w:rPr>
              <w:t>Epi</w:t>
            </w:r>
            <w:r>
              <w:rPr>
                <w:rFonts w:ascii="Arial" w:hAnsi="Arial" w:cs="Arial"/>
                <w:spacing w:val="1"/>
                <w:sz w:val="20"/>
                <w:szCs w:val="20"/>
              </w:rPr>
              <w:t>s</w:t>
            </w:r>
            <w:r>
              <w:rPr>
                <w:rFonts w:ascii="Arial" w:hAnsi="Arial" w:cs="Arial"/>
                <w:spacing w:val="2"/>
                <w:sz w:val="20"/>
                <w:szCs w:val="20"/>
              </w:rPr>
              <w:t>t</w:t>
            </w:r>
            <w:r>
              <w:rPr>
                <w:rFonts w:ascii="Arial" w:hAnsi="Arial" w:cs="Arial"/>
                <w:spacing w:val="-1"/>
                <w:sz w:val="20"/>
                <w:szCs w:val="20"/>
              </w:rPr>
              <w:t>a</w:t>
            </w:r>
            <w:r>
              <w:rPr>
                <w:rFonts w:ascii="Arial" w:hAnsi="Arial" w:cs="Arial"/>
                <w:spacing w:val="1"/>
                <w:sz w:val="20"/>
                <w:szCs w:val="20"/>
              </w:rPr>
              <w:t>x</w:t>
            </w:r>
            <w:r>
              <w:rPr>
                <w:rFonts w:ascii="Arial" w:hAnsi="Arial" w:cs="Arial"/>
                <w:spacing w:val="-1"/>
                <w:sz w:val="20"/>
                <w:szCs w:val="20"/>
              </w:rPr>
              <w:t>is</w:t>
            </w:r>
          </w:p>
        </w:tc>
        <w:tc>
          <w:tcPr>
            <w:tcW w:w="2324" w:type="dxa"/>
            <w:tcBorders>
              <w:top w:val="single" w:sz="4" w:space="0" w:color="000000"/>
              <w:left w:val="single" w:sz="4" w:space="0" w:color="000000"/>
              <w:bottom w:val="single" w:sz="4" w:space="0" w:color="000000"/>
              <w:right w:val="single" w:sz="4" w:space="0" w:color="000000"/>
            </w:tcBorders>
          </w:tcPr>
          <w:p w14:paraId="7BE785B5" w14:textId="77777777" w:rsidR="0085579C" w:rsidRDefault="0085579C" w:rsidP="002B33D3">
            <w:pPr>
              <w:pStyle w:val="TableParagraph"/>
              <w:kinsoku w:val="0"/>
              <w:overflowPunct w:val="0"/>
              <w:spacing w:line="228" w:lineRule="exact"/>
              <w:ind w:left="608" w:right="610"/>
              <w:jc w:val="center"/>
            </w:pPr>
            <w:r>
              <w:rPr>
                <w:rFonts w:ascii="Arial" w:hAnsi="Arial" w:cs="Arial"/>
                <w:sz w:val="20"/>
                <w:szCs w:val="20"/>
              </w:rPr>
              <w:t>R</w:t>
            </w:r>
            <w:r>
              <w:rPr>
                <w:rFonts w:ascii="Arial" w:hAnsi="Arial" w:cs="Arial"/>
                <w:spacing w:val="-1"/>
                <w:sz w:val="20"/>
                <w:szCs w:val="20"/>
              </w:rPr>
              <w:t>a</w:t>
            </w:r>
            <w:r>
              <w:rPr>
                <w:rFonts w:ascii="Arial" w:hAnsi="Arial" w:cs="Arial"/>
                <w:sz w:val="20"/>
                <w:szCs w:val="20"/>
              </w:rPr>
              <w:t>re</w:t>
            </w:r>
          </w:p>
        </w:tc>
      </w:tr>
      <w:tr w:rsidR="0085579C" w14:paraId="10C0C437"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603A2306" w14:textId="77777777" w:rsidR="0085579C" w:rsidRDefault="0085579C" w:rsidP="002B33D3">
            <w:pPr>
              <w:pStyle w:val="TableParagraph"/>
              <w:kinsoku w:val="0"/>
              <w:overflowPunct w:val="0"/>
              <w:spacing w:line="228" w:lineRule="exact"/>
              <w:ind w:left="102"/>
            </w:pPr>
            <w:r>
              <w:rPr>
                <w:rFonts w:ascii="Arial" w:hAnsi="Arial" w:cs="Arial"/>
                <w:spacing w:val="-1"/>
                <w:sz w:val="20"/>
                <w:szCs w:val="20"/>
              </w:rPr>
              <w:t>B</w:t>
            </w:r>
            <w:r>
              <w:rPr>
                <w:rFonts w:ascii="Arial" w:hAnsi="Arial" w:cs="Arial"/>
                <w:sz w:val="20"/>
                <w:szCs w:val="20"/>
              </w:rPr>
              <w:t>r</w:t>
            </w:r>
            <w:r>
              <w:rPr>
                <w:rFonts w:ascii="Arial" w:hAnsi="Arial" w:cs="Arial"/>
                <w:spacing w:val="-1"/>
                <w:sz w:val="20"/>
                <w:szCs w:val="20"/>
              </w:rPr>
              <w:t>on</w:t>
            </w:r>
            <w:r>
              <w:rPr>
                <w:rFonts w:ascii="Arial" w:hAnsi="Arial" w:cs="Arial"/>
                <w:spacing w:val="1"/>
                <w:sz w:val="20"/>
                <w:szCs w:val="20"/>
              </w:rPr>
              <w:t>c</w:t>
            </w:r>
            <w:r>
              <w:rPr>
                <w:rFonts w:ascii="Arial" w:hAnsi="Arial" w:cs="Arial"/>
                <w:spacing w:val="-1"/>
                <w:sz w:val="20"/>
                <w:szCs w:val="20"/>
              </w:rPr>
              <w:t>ho</w:t>
            </w:r>
            <w:r>
              <w:rPr>
                <w:rFonts w:ascii="Arial" w:hAnsi="Arial" w:cs="Arial"/>
                <w:spacing w:val="1"/>
                <w:sz w:val="20"/>
                <w:szCs w:val="20"/>
              </w:rPr>
              <w:t>s</w:t>
            </w:r>
            <w:r>
              <w:rPr>
                <w:rFonts w:ascii="Arial" w:hAnsi="Arial" w:cs="Arial"/>
                <w:spacing w:val="2"/>
                <w:sz w:val="20"/>
                <w:szCs w:val="20"/>
              </w:rPr>
              <w:t>p</w:t>
            </w:r>
            <w:r>
              <w:rPr>
                <w:rFonts w:ascii="Arial" w:hAnsi="Arial" w:cs="Arial"/>
                <w:spacing w:val="-1"/>
                <w:sz w:val="20"/>
                <w:szCs w:val="20"/>
              </w:rPr>
              <w:t>a</w:t>
            </w:r>
            <w:r>
              <w:rPr>
                <w:rFonts w:ascii="Arial" w:hAnsi="Arial" w:cs="Arial"/>
                <w:spacing w:val="1"/>
                <w:sz w:val="20"/>
                <w:szCs w:val="20"/>
              </w:rPr>
              <w:t>s</w:t>
            </w:r>
            <w:r>
              <w:rPr>
                <w:rFonts w:ascii="Arial" w:hAnsi="Arial" w:cs="Arial"/>
                <w:sz w:val="20"/>
                <w:szCs w:val="20"/>
              </w:rPr>
              <w:t>m</w:t>
            </w:r>
          </w:p>
        </w:tc>
        <w:tc>
          <w:tcPr>
            <w:tcW w:w="2324" w:type="dxa"/>
            <w:tcBorders>
              <w:top w:val="single" w:sz="4" w:space="0" w:color="000000"/>
              <w:left w:val="single" w:sz="4" w:space="0" w:color="000000"/>
              <w:bottom w:val="single" w:sz="4" w:space="0" w:color="000000"/>
              <w:right w:val="single" w:sz="4" w:space="0" w:color="000000"/>
            </w:tcBorders>
          </w:tcPr>
          <w:p w14:paraId="315E7BD1" w14:textId="77777777" w:rsidR="0085579C" w:rsidRDefault="0085579C" w:rsidP="002B33D3">
            <w:pPr>
              <w:pStyle w:val="TableParagraph"/>
              <w:kinsoku w:val="0"/>
              <w:overflowPunct w:val="0"/>
              <w:spacing w:line="228" w:lineRule="exact"/>
              <w:ind w:left="608" w:right="610"/>
              <w:jc w:val="center"/>
            </w:pPr>
            <w:r>
              <w:rPr>
                <w:rFonts w:ascii="Arial" w:hAnsi="Arial" w:cs="Arial"/>
                <w:sz w:val="20"/>
                <w:szCs w:val="20"/>
              </w:rPr>
              <w:t>R</w:t>
            </w:r>
            <w:r>
              <w:rPr>
                <w:rFonts w:ascii="Arial" w:hAnsi="Arial" w:cs="Arial"/>
                <w:spacing w:val="-1"/>
                <w:sz w:val="20"/>
                <w:szCs w:val="20"/>
              </w:rPr>
              <w:t>a</w:t>
            </w:r>
            <w:r>
              <w:rPr>
                <w:rFonts w:ascii="Arial" w:hAnsi="Arial" w:cs="Arial"/>
                <w:sz w:val="20"/>
                <w:szCs w:val="20"/>
              </w:rPr>
              <w:t>re</w:t>
            </w:r>
          </w:p>
        </w:tc>
      </w:tr>
      <w:tr w:rsidR="0085579C" w14:paraId="73AC5465"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4E3429CD" w14:textId="77777777" w:rsidR="0085579C" w:rsidRDefault="0085579C" w:rsidP="002B33D3">
            <w:pPr>
              <w:pStyle w:val="TableParagraph"/>
              <w:kinsoku w:val="0"/>
              <w:overflowPunct w:val="0"/>
              <w:spacing w:line="226" w:lineRule="exact"/>
              <w:ind w:left="102"/>
            </w:pPr>
            <w:r>
              <w:rPr>
                <w:rFonts w:ascii="Arial" w:hAnsi="Arial" w:cs="Arial"/>
                <w:spacing w:val="-1"/>
                <w:sz w:val="20"/>
                <w:szCs w:val="20"/>
              </w:rPr>
              <w:t>La</w:t>
            </w:r>
            <w:r>
              <w:rPr>
                <w:rFonts w:ascii="Arial" w:hAnsi="Arial" w:cs="Arial"/>
                <w:spacing w:val="3"/>
                <w:sz w:val="20"/>
                <w:szCs w:val="20"/>
              </w:rPr>
              <w:t>r</w:t>
            </w:r>
            <w:r>
              <w:rPr>
                <w:rFonts w:ascii="Arial" w:hAnsi="Arial" w:cs="Arial"/>
                <w:spacing w:val="-5"/>
                <w:sz w:val="20"/>
                <w:szCs w:val="20"/>
              </w:rPr>
              <w:t>y</w:t>
            </w:r>
            <w:r>
              <w:rPr>
                <w:rFonts w:ascii="Arial" w:hAnsi="Arial" w:cs="Arial"/>
                <w:spacing w:val="2"/>
                <w:sz w:val="20"/>
                <w:szCs w:val="20"/>
              </w:rPr>
              <w:t>n</w:t>
            </w:r>
            <w:r>
              <w:rPr>
                <w:rFonts w:ascii="Arial" w:hAnsi="Arial" w:cs="Arial"/>
                <w:spacing w:val="-1"/>
                <w:sz w:val="20"/>
                <w:szCs w:val="20"/>
              </w:rPr>
              <w:t>gi</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s</w:t>
            </w:r>
          </w:p>
        </w:tc>
        <w:tc>
          <w:tcPr>
            <w:tcW w:w="2324" w:type="dxa"/>
            <w:tcBorders>
              <w:top w:val="single" w:sz="4" w:space="0" w:color="000000"/>
              <w:left w:val="single" w:sz="4" w:space="0" w:color="000000"/>
              <w:bottom w:val="single" w:sz="4" w:space="0" w:color="000000"/>
              <w:right w:val="single" w:sz="4" w:space="0" w:color="000000"/>
            </w:tcBorders>
          </w:tcPr>
          <w:p w14:paraId="423483AD" w14:textId="77777777" w:rsidR="0085579C" w:rsidRDefault="0085579C" w:rsidP="002B33D3">
            <w:pPr>
              <w:pStyle w:val="TableParagraph"/>
              <w:kinsoku w:val="0"/>
              <w:overflowPunct w:val="0"/>
              <w:spacing w:line="226" w:lineRule="exact"/>
              <w:ind w:left="608" w:right="610"/>
              <w:jc w:val="center"/>
            </w:pPr>
            <w:r>
              <w:rPr>
                <w:rFonts w:ascii="Arial" w:hAnsi="Arial" w:cs="Arial"/>
                <w:sz w:val="20"/>
                <w:szCs w:val="20"/>
              </w:rPr>
              <w:t>R</w:t>
            </w:r>
            <w:r>
              <w:rPr>
                <w:rFonts w:ascii="Arial" w:hAnsi="Arial" w:cs="Arial"/>
                <w:spacing w:val="-1"/>
                <w:sz w:val="20"/>
                <w:szCs w:val="20"/>
              </w:rPr>
              <w:t>a</w:t>
            </w:r>
            <w:r>
              <w:rPr>
                <w:rFonts w:ascii="Arial" w:hAnsi="Arial" w:cs="Arial"/>
                <w:sz w:val="20"/>
                <w:szCs w:val="20"/>
              </w:rPr>
              <w:t>re</w:t>
            </w:r>
          </w:p>
        </w:tc>
      </w:tr>
      <w:tr w:rsidR="0085579C" w14:paraId="20DB76A3"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352E8AA6" w14:textId="77777777" w:rsidR="0085579C" w:rsidRDefault="0085579C" w:rsidP="002B33D3">
            <w:pPr>
              <w:pStyle w:val="TableParagraph"/>
              <w:kinsoku w:val="0"/>
              <w:overflowPunct w:val="0"/>
              <w:spacing w:line="226" w:lineRule="exact"/>
              <w:ind w:left="102"/>
            </w:pPr>
            <w:r>
              <w:rPr>
                <w:rFonts w:ascii="Arial" w:hAnsi="Arial" w:cs="Arial"/>
                <w:spacing w:val="-1"/>
                <w:sz w:val="20"/>
                <w:szCs w:val="20"/>
              </w:rPr>
              <w:t>Si</w:t>
            </w:r>
            <w:r>
              <w:rPr>
                <w:rFonts w:ascii="Arial" w:hAnsi="Arial" w:cs="Arial"/>
                <w:spacing w:val="2"/>
                <w:sz w:val="20"/>
                <w:szCs w:val="20"/>
              </w:rPr>
              <w:t>n</w:t>
            </w:r>
            <w:r>
              <w:rPr>
                <w:rFonts w:ascii="Arial" w:hAnsi="Arial" w:cs="Arial"/>
                <w:spacing w:val="-1"/>
                <w:sz w:val="20"/>
                <w:szCs w:val="20"/>
              </w:rPr>
              <w:t>u</w:t>
            </w:r>
            <w:r>
              <w:rPr>
                <w:rFonts w:ascii="Arial" w:hAnsi="Arial" w:cs="Arial"/>
                <w:spacing w:val="1"/>
                <w:sz w:val="20"/>
                <w:szCs w:val="20"/>
              </w:rPr>
              <w:t>s</w:t>
            </w:r>
            <w:r>
              <w:rPr>
                <w:rFonts w:ascii="Arial" w:hAnsi="Arial" w:cs="Arial"/>
                <w:spacing w:val="-1"/>
                <w:sz w:val="20"/>
                <w:szCs w:val="20"/>
              </w:rPr>
              <w:t>i</w:t>
            </w:r>
            <w:r>
              <w:rPr>
                <w:rFonts w:ascii="Arial" w:hAnsi="Arial" w:cs="Arial"/>
                <w:spacing w:val="2"/>
                <w:sz w:val="20"/>
                <w:szCs w:val="20"/>
              </w:rPr>
              <w:t>t</w:t>
            </w:r>
            <w:r>
              <w:rPr>
                <w:rFonts w:ascii="Arial" w:hAnsi="Arial" w:cs="Arial"/>
                <w:spacing w:val="-1"/>
                <w:sz w:val="20"/>
                <w:szCs w:val="20"/>
              </w:rPr>
              <w:t>is</w:t>
            </w:r>
          </w:p>
        </w:tc>
        <w:tc>
          <w:tcPr>
            <w:tcW w:w="2324" w:type="dxa"/>
            <w:tcBorders>
              <w:top w:val="single" w:sz="4" w:space="0" w:color="000000"/>
              <w:left w:val="single" w:sz="4" w:space="0" w:color="000000"/>
              <w:bottom w:val="single" w:sz="4" w:space="0" w:color="000000"/>
              <w:right w:val="single" w:sz="4" w:space="0" w:color="000000"/>
            </w:tcBorders>
          </w:tcPr>
          <w:p w14:paraId="5589C1C5" w14:textId="77777777" w:rsidR="0085579C" w:rsidRDefault="0085579C" w:rsidP="002B33D3">
            <w:pPr>
              <w:pStyle w:val="TableParagraph"/>
              <w:kinsoku w:val="0"/>
              <w:overflowPunct w:val="0"/>
              <w:spacing w:line="226" w:lineRule="exact"/>
              <w:ind w:left="608" w:right="610"/>
              <w:jc w:val="center"/>
            </w:pPr>
            <w:r>
              <w:rPr>
                <w:rFonts w:ascii="Arial" w:hAnsi="Arial" w:cs="Arial"/>
                <w:sz w:val="20"/>
                <w:szCs w:val="20"/>
              </w:rPr>
              <w:t>R</w:t>
            </w:r>
            <w:r>
              <w:rPr>
                <w:rFonts w:ascii="Arial" w:hAnsi="Arial" w:cs="Arial"/>
                <w:spacing w:val="-1"/>
                <w:sz w:val="20"/>
                <w:szCs w:val="20"/>
              </w:rPr>
              <w:t>a</w:t>
            </w:r>
            <w:r>
              <w:rPr>
                <w:rFonts w:ascii="Arial" w:hAnsi="Arial" w:cs="Arial"/>
                <w:sz w:val="20"/>
                <w:szCs w:val="20"/>
              </w:rPr>
              <w:t>re</w:t>
            </w:r>
          </w:p>
        </w:tc>
      </w:tr>
      <w:tr w:rsidR="0085579C" w14:paraId="5B6C28F3" w14:textId="77777777" w:rsidTr="002B33D3">
        <w:trPr>
          <w:trHeight w:hRule="exact" w:val="240"/>
        </w:trPr>
        <w:tc>
          <w:tcPr>
            <w:tcW w:w="7854" w:type="dxa"/>
            <w:gridSpan w:val="2"/>
            <w:tcBorders>
              <w:top w:val="single" w:sz="4" w:space="0" w:color="000000"/>
              <w:left w:val="single" w:sz="4" w:space="0" w:color="000000"/>
              <w:bottom w:val="single" w:sz="4" w:space="0" w:color="000000"/>
              <w:right w:val="single" w:sz="4" w:space="0" w:color="000000"/>
            </w:tcBorders>
          </w:tcPr>
          <w:p w14:paraId="1E631D6A" w14:textId="77777777" w:rsidR="0085579C" w:rsidRDefault="0085579C" w:rsidP="002B33D3">
            <w:pPr>
              <w:pStyle w:val="TableParagraph"/>
              <w:kinsoku w:val="0"/>
              <w:overflowPunct w:val="0"/>
              <w:spacing w:line="226" w:lineRule="exact"/>
              <w:ind w:left="102"/>
            </w:pPr>
            <w:r>
              <w:rPr>
                <w:rFonts w:ascii="Arial" w:hAnsi="Arial" w:cs="Arial"/>
                <w:spacing w:val="1"/>
                <w:sz w:val="20"/>
                <w:szCs w:val="20"/>
                <w:u w:val="single"/>
              </w:rPr>
              <w:t>G</w:t>
            </w:r>
            <w:r>
              <w:rPr>
                <w:rFonts w:ascii="Arial" w:hAnsi="Arial" w:cs="Arial"/>
                <w:spacing w:val="-1"/>
                <w:sz w:val="20"/>
                <w:szCs w:val="20"/>
                <w:u w:val="single"/>
              </w:rPr>
              <w:t>a</w:t>
            </w:r>
            <w:r>
              <w:rPr>
                <w:rFonts w:ascii="Arial" w:hAnsi="Arial" w:cs="Arial"/>
                <w:spacing w:val="1"/>
                <w:sz w:val="20"/>
                <w:szCs w:val="20"/>
                <w:u w:val="single"/>
              </w:rPr>
              <w:t>s</w:t>
            </w:r>
            <w:r>
              <w:rPr>
                <w:rFonts w:ascii="Arial" w:hAnsi="Arial" w:cs="Arial"/>
                <w:spacing w:val="-1"/>
                <w:sz w:val="20"/>
                <w:szCs w:val="20"/>
                <w:u w:val="single"/>
              </w:rPr>
              <w:t>t</w:t>
            </w:r>
            <w:r>
              <w:rPr>
                <w:rFonts w:ascii="Arial" w:hAnsi="Arial" w:cs="Arial"/>
                <w:sz w:val="20"/>
                <w:szCs w:val="20"/>
                <w:u w:val="single"/>
              </w:rPr>
              <w:t>r</w:t>
            </w:r>
            <w:r>
              <w:rPr>
                <w:rFonts w:ascii="Arial" w:hAnsi="Arial" w:cs="Arial"/>
                <w:spacing w:val="-1"/>
                <w:sz w:val="20"/>
                <w:szCs w:val="20"/>
                <w:u w:val="single"/>
              </w:rPr>
              <w:t>ointe</w:t>
            </w:r>
            <w:r>
              <w:rPr>
                <w:rFonts w:ascii="Arial" w:hAnsi="Arial" w:cs="Arial"/>
                <w:spacing w:val="1"/>
                <w:sz w:val="20"/>
                <w:szCs w:val="20"/>
                <w:u w:val="single"/>
              </w:rPr>
              <w:t>s</w:t>
            </w:r>
            <w:r>
              <w:rPr>
                <w:rFonts w:ascii="Arial" w:hAnsi="Arial" w:cs="Arial"/>
                <w:spacing w:val="2"/>
                <w:sz w:val="20"/>
                <w:szCs w:val="20"/>
                <w:u w:val="single"/>
              </w:rPr>
              <w:t>t</w:t>
            </w:r>
            <w:r>
              <w:rPr>
                <w:rFonts w:ascii="Arial" w:hAnsi="Arial" w:cs="Arial"/>
                <w:spacing w:val="-1"/>
                <w:sz w:val="20"/>
                <w:szCs w:val="20"/>
                <w:u w:val="single"/>
              </w:rPr>
              <w:t>i</w:t>
            </w:r>
            <w:r>
              <w:rPr>
                <w:rFonts w:ascii="Arial" w:hAnsi="Arial" w:cs="Arial"/>
                <w:spacing w:val="2"/>
                <w:sz w:val="20"/>
                <w:szCs w:val="20"/>
                <w:u w:val="single"/>
              </w:rPr>
              <w:t>n</w:t>
            </w:r>
            <w:r>
              <w:rPr>
                <w:rFonts w:ascii="Arial" w:hAnsi="Arial" w:cs="Arial"/>
                <w:spacing w:val="-1"/>
                <w:sz w:val="20"/>
                <w:szCs w:val="20"/>
                <w:u w:val="single"/>
              </w:rPr>
              <w:t>al</w:t>
            </w:r>
            <w:r>
              <w:rPr>
                <w:rFonts w:ascii="Arial" w:hAnsi="Arial" w:cs="Arial"/>
                <w:spacing w:val="-22"/>
                <w:sz w:val="20"/>
                <w:szCs w:val="20"/>
                <w:u w:val="single"/>
              </w:rPr>
              <w:t xml:space="preserve"> </w:t>
            </w:r>
            <w:r>
              <w:rPr>
                <w:rFonts w:ascii="Arial" w:hAnsi="Arial" w:cs="Arial"/>
                <w:spacing w:val="-1"/>
                <w:sz w:val="20"/>
                <w:szCs w:val="20"/>
                <w:u w:val="single"/>
              </w:rPr>
              <w:t>di</w:t>
            </w:r>
            <w:r>
              <w:rPr>
                <w:rFonts w:ascii="Arial" w:hAnsi="Arial" w:cs="Arial"/>
                <w:spacing w:val="1"/>
                <w:sz w:val="20"/>
                <w:szCs w:val="20"/>
                <w:u w:val="single"/>
              </w:rPr>
              <w:t>s</w:t>
            </w:r>
            <w:r>
              <w:rPr>
                <w:rFonts w:ascii="Arial" w:hAnsi="Arial" w:cs="Arial"/>
                <w:spacing w:val="-1"/>
                <w:sz w:val="20"/>
                <w:szCs w:val="20"/>
                <w:u w:val="single"/>
              </w:rPr>
              <w:t>o</w:t>
            </w:r>
            <w:r>
              <w:rPr>
                <w:rFonts w:ascii="Arial" w:hAnsi="Arial" w:cs="Arial"/>
                <w:sz w:val="20"/>
                <w:szCs w:val="20"/>
                <w:u w:val="single"/>
              </w:rPr>
              <w:t>r</w:t>
            </w:r>
            <w:r>
              <w:rPr>
                <w:rFonts w:ascii="Arial" w:hAnsi="Arial" w:cs="Arial"/>
                <w:spacing w:val="2"/>
                <w:sz w:val="20"/>
                <w:szCs w:val="20"/>
                <w:u w:val="single"/>
              </w:rPr>
              <w:t>d</w:t>
            </w:r>
            <w:r>
              <w:rPr>
                <w:rFonts w:ascii="Arial" w:hAnsi="Arial" w:cs="Arial"/>
                <w:spacing w:val="-1"/>
                <w:sz w:val="20"/>
                <w:szCs w:val="20"/>
                <w:u w:val="single"/>
              </w:rPr>
              <w:t>e</w:t>
            </w:r>
            <w:r>
              <w:rPr>
                <w:rFonts w:ascii="Arial" w:hAnsi="Arial" w:cs="Arial"/>
                <w:sz w:val="20"/>
                <w:szCs w:val="20"/>
                <w:u w:val="single"/>
              </w:rPr>
              <w:t>rs</w:t>
            </w:r>
          </w:p>
        </w:tc>
      </w:tr>
      <w:tr w:rsidR="0085579C" w14:paraId="27D8617E"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5F6BCA04" w14:textId="77777777" w:rsidR="0085579C" w:rsidRDefault="0085579C" w:rsidP="002B33D3">
            <w:pPr>
              <w:pStyle w:val="TableParagraph"/>
              <w:kinsoku w:val="0"/>
              <w:overflowPunct w:val="0"/>
              <w:spacing w:line="226" w:lineRule="exact"/>
              <w:ind w:left="102"/>
            </w:pPr>
            <w:r>
              <w:rPr>
                <w:rFonts w:ascii="Arial" w:hAnsi="Arial" w:cs="Arial"/>
                <w:sz w:val="20"/>
                <w:szCs w:val="20"/>
              </w:rPr>
              <w:t>D</w:t>
            </w:r>
            <w:r>
              <w:rPr>
                <w:rFonts w:ascii="Arial" w:hAnsi="Arial" w:cs="Arial"/>
                <w:spacing w:val="3"/>
                <w:sz w:val="20"/>
                <w:szCs w:val="20"/>
              </w:rPr>
              <w:t>r</w:t>
            </w:r>
            <w:r>
              <w:rPr>
                <w:rFonts w:ascii="Arial" w:hAnsi="Arial" w:cs="Arial"/>
                <w:sz w:val="20"/>
                <w:szCs w:val="20"/>
              </w:rPr>
              <w:t>y</w:t>
            </w:r>
            <w:r>
              <w:rPr>
                <w:rFonts w:ascii="Arial" w:hAnsi="Arial" w:cs="Arial"/>
                <w:spacing w:val="-12"/>
                <w:sz w:val="20"/>
                <w:szCs w:val="20"/>
              </w:rPr>
              <w:t xml:space="preserve"> </w:t>
            </w:r>
            <w:r>
              <w:rPr>
                <w:rFonts w:ascii="Arial" w:hAnsi="Arial" w:cs="Arial"/>
                <w:spacing w:val="2"/>
                <w:sz w:val="20"/>
                <w:szCs w:val="20"/>
              </w:rPr>
              <w:t>M</w:t>
            </w:r>
            <w:r>
              <w:rPr>
                <w:rFonts w:ascii="Arial" w:hAnsi="Arial" w:cs="Arial"/>
                <w:spacing w:val="-1"/>
                <w:sz w:val="20"/>
                <w:szCs w:val="20"/>
              </w:rPr>
              <w:t>out</w:t>
            </w:r>
            <w:r>
              <w:rPr>
                <w:rFonts w:ascii="Arial" w:hAnsi="Arial" w:cs="Arial"/>
                <w:spacing w:val="2"/>
                <w:sz w:val="20"/>
                <w:szCs w:val="20"/>
              </w:rPr>
              <w:t>h</w:t>
            </w:r>
            <w:r>
              <w:rPr>
                <w:rFonts w:ascii="Arial" w:hAnsi="Arial" w:cs="Arial"/>
                <w:sz w:val="20"/>
                <w:szCs w:val="20"/>
              </w:rPr>
              <w:t>,</w:t>
            </w:r>
            <w:r>
              <w:rPr>
                <w:rFonts w:ascii="Arial" w:hAnsi="Arial" w:cs="Arial"/>
                <w:spacing w:val="-7"/>
                <w:sz w:val="20"/>
                <w:szCs w:val="20"/>
              </w:rPr>
              <w:t xml:space="preserve"> </w:t>
            </w:r>
            <w:r>
              <w:rPr>
                <w:rFonts w:ascii="Arial" w:hAnsi="Arial" w:cs="Arial"/>
                <w:spacing w:val="-1"/>
                <w:sz w:val="20"/>
                <w:szCs w:val="20"/>
              </w:rPr>
              <w:t>u</w:t>
            </w:r>
            <w:r>
              <w:rPr>
                <w:rFonts w:ascii="Arial" w:hAnsi="Arial" w:cs="Arial"/>
                <w:spacing w:val="1"/>
                <w:sz w:val="20"/>
                <w:szCs w:val="20"/>
              </w:rPr>
              <w:t>s</w:t>
            </w:r>
            <w:r>
              <w:rPr>
                <w:rFonts w:ascii="Arial" w:hAnsi="Arial" w:cs="Arial"/>
                <w:spacing w:val="-1"/>
                <w:sz w:val="20"/>
                <w:szCs w:val="20"/>
              </w:rPr>
              <w:t>u</w:t>
            </w:r>
            <w:r>
              <w:rPr>
                <w:rFonts w:ascii="Arial" w:hAnsi="Arial" w:cs="Arial"/>
                <w:spacing w:val="2"/>
                <w:sz w:val="20"/>
                <w:szCs w:val="20"/>
              </w:rPr>
              <w:t>a</w:t>
            </w:r>
            <w:r>
              <w:rPr>
                <w:rFonts w:ascii="Arial" w:hAnsi="Arial" w:cs="Arial"/>
                <w:spacing w:val="-1"/>
                <w:sz w:val="20"/>
                <w:szCs w:val="20"/>
              </w:rPr>
              <w:t>l</w:t>
            </w:r>
            <w:r>
              <w:rPr>
                <w:rFonts w:ascii="Arial" w:hAnsi="Arial" w:cs="Arial"/>
                <w:spacing w:val="3"/>
                <w:sz w:val="20"/>
                <w:szCs w:val="20"/>
              </w:rPr>
              <w:t>l</w:t>
            </w:r>
            <w:r>
              <w:rPr>
                <w:rFonts w:ascii="Arial" w:hAnsi="Arial" w:cs="Arial"/>
                <w:sz w:val="20"/>
                <w:szCs w:val="20"/>
              </w:rPr>
              <w:t>y</w:t>
            </w:r>
            <w:r>
              <w:rPr>
                <w:rFonts w:ascii="Arial" w:hAnsi="Arial" w:cs="Arial"/>
                <w:spacing w:val="-11"/>
                <w:sz w:val="20"/>
                <w:szCs w:val="20"/>
              </w:rPr>
              <w:t xml:space="preserve"> </w:t>
            </w:r>
            <w:r>
              <w:rPr>
                <w:rFonts w:ascii="Arial" w:hAnsi="Arial" w:cs="Arial"/>
                <w:spacing w:val="4"/>
                <w:sz w:val="20"/>
                <w:szCs w:val="20"/>
              </w:rPr>
              <w:t>m</w:t>
            </w:r>
            <w:r>
              <w:rPr>
                <w:rFonts w:ascii="Arial" w:hAnsi="Arial" w:cs="Arial"/>
                <w:spacing w:val="-1"/>
                <w:sz w:val="20"/>
                <w:szCs w:val="20"/>
              </w:rPr>
              <w:t>ild</w:t>
            </w:r>
          </w:p>
        </w:tc>
        <w:tc>
          <w:tcPr>
            <w:tcW w:w="2324" w:type="dxa"/>
            <w:tcBorders>
              <w:top w:val="single" w:sz="4" w:space="0" w:color="000000"/>
              <w:left w:val="single" w:sz="4" w:space="0" w:color="000000"/>
              <w:bottom w:val="single" w:sz="4" w:space="0" w:color="000000"/>
              <w:right w:val="single" w:sz="4" w:space="0" w:color="000000"/>
            </w:tcBorders>
          </w:tcPr>
          <w:p w14:paraId="4531F031" w14:textId="77777777" w:rsidR="0085579C" w:rsidRDefault="0085579C" w:rsidP="002B33D3">
            <w:pPr>
              <w:pStyle w:val="TableParagraph"/>
              <w:kinsoku w:val="0"/>
              <w:overflowPunct w:val="0"/>
              <w:spacing w:line="226" w:lineRule="exact"/>
              <w:ind w:left="438"/>
            </w:pPr>
            <w:r>
              <w:rPr>
                <w:rFonts w:ascii="Arial" w:hAnsi="Arial" w:cs="Arial"/>
                <w:sz w:val="20"/>
                <w:szCs w:val="20"/>
              </w:rPr>
              <w:t>C</w:t>
            </w:r>
            <w:r>
              <w:rPr>
                <w:rFonts w:ascii="Arial" w:hAnsi="Arial" w:cs="Arial"/>
                <w:spacing w:val="-1"/>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on</w:t>
            </w:r>
          </w:p>
        </w:tc>
      </w:tr>
      <w:tr w:rsidR="0085579C" w14:paraId="4D42A366"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3320E282" w14:textId="77777777" w:rsidR="0085579C" w:rsidRDefault="0085579C" w:rsidP="002B33D3">
            <w:pPr>
              <w:pStyle w:val="TableParagraph"/>
              <w:kinsoku w:val="0"/>
              <w:overflowPunct w:val="0"/>
              <w:spacing w:line="226" w:lineRule="exact"/>
              <w:ind w:left="102"/>
            </w:pPr>
            <w:r>
              <w:rPr>
                <w:rFonts w:ascii="Arial" w:hAnsi="Arial" w:cs="Arial"/>
                <w:sz w:val="20"/>
                <w:szCs w:val="20"/>
              </w:rPr>
              <w:t>C</w:t>
            </w:r>
            <w:r>
              <w:rPr>
                <w:rFonts w:ascii="Arial" w:hAnsi="Arial" w:cs="Arial"/>
                <w:spacing w:val="-1"/>
                <w:sz w:val="20"/>
                <w:szCs w:val="20"/>
              </w:rPr>
              <w:t>on</w:t>
            </w:r>
            <w:r>
              <w:rPr>
                <w:rFonts w:ascii="Arial" w:hAnsi="Arial" w:cs="Arial"/>
                <w:spacing w:val="1"/>
                <w:sz w:val="20"/>
                <w:szCs w:val="20"/>
              </w:rPr>
              <w:t>s</w:t>
            </w:r>
            <w:r>
              <w:rPr>
                <w:rFonts w:ascii="Arial" w:hAnsi="Arial" w:cs="Arial"/>
                <w:spacing w:val="-1"/>
                <w:sz w:val="20"/>
                <w:szCs w:val="20"/>
              </w:rPr>
              <w:t>t</w:t>
            </w:r>
            <w:r>
              <w:rPr>
                <w:rFonts w:ascii="Arial" w:hAnsi="Arial" w:cs="Arial"/>
                <w:spacing w:val="1"/>
                <w:sz w:val="20"/>
                <w:szCs w:val="20"/>
              </w:rPr>
              <w:t>i</w:t>
            </w:r>
            <w:r>
              <w:rPr>
                <w:rFonts w:ascii="Arial" w:hAnsi="Arial" w:cs="Arial"/>
                <w:spacing w:val="-1"/>
                <w:sz w:val="20"/>
                <w:szCs w:val="20"/>
              </w:rPr>
              <w:t>pa</w:t>
            </w:r>
            <w:r>
              <w:rPr>
                <w:rFonts w:ascii="Arial" w:hAnsi="Arial" w:cs="Arial"/>
                <w:spacing w:val="2"/>
                <w:sz w:val="20"/>
                <w:szCs w:val="20"/>
              </w:rPr>
              <w:t>t</w:t>
            </w:r>
            <w:r>
              <w:rPr>
                <w:rFonts w:ascii="Arial" w:hAnsi="Arial" w:cs="Arial"/>
                <w:spacing w:val="-2"/>
                <w:sz w:val="20"/>
                <w:szCs w:val="20"/>
              </w:rPr>
              <w:t>i</w:t>
            </w:r>
            <w:r>
              <w:rPr>
                <w:rFonts w:ascii="Arial" w:hAnsi="Arial" w:cs="Arial"/>
                <w:spacing w:val="-1"/>
                <w:sz w:val="20"/>
                <w:szCs w:val="20"/>
              </w:rPr>
              <w:t>on</w:t>
            </w:r>
          </w:p>
        </w:tc>
        <w:tc>
          <w:tcPr>
            <w:tcW w:w="2324" w:type="dxa"/>
            <w:tcBorders>
              <w:top w:val="single" w:sz="4" w:space="0" w:color="000000"/>
              <w:left w:val="single" w:sz="4" w:space="0" w:color="000000"/>
              <w:bottom w:val="single" w:sz="4" w:space="0" w:color="000000"/>
              <w:right w:val="single" w:sz="4" w:space="0" w:color="000000"/>
            </w:tcBorders>
          </w:tcPr>
          <w:p w14:paraId="0F9E76DD" w14:textId="77777777" w:rsidR="0085579C" w:rsidRDefault="0085579C" w:rsidP="002B33D3">
            <w:pPr>
              <w:pStyle w:val="TableParagraph"/>
              <w:kinsoku w:val="0"/>
              <w:overflowPunct w:val="0"/>
              <w:spacing w:line="226" w:lineRule="exact"/>
              <w:ind w:left="332"/>
            </w:pPr>
            <w:r>
              <w:rPr>
                <w:rFonts w:ascii="Arial" w:hAnsi="Arial" w:cs="Arial"/>
                <w:sz w:val="20"/>
                <w:szCs w:val="20"/>
              </w:rPr>
              <w:t>U</w:t>
            </w:r>
            <w:r>
              <w:rPr>
                <w:rFonts w:ascii="Arial" w:hAnsi="Arial" w:cs="Arial"/>
                <w:spacing w:val="-1"/>
                <w:sz w:val="20"/>
                <w:szCs w:val="20"/>
              </w:rPr>
              <w:t>n</w:t>
            </w:r>
            <w:r>
              <w:rPr>
                <w:rFonts w:ascii="Arial" w:hAnsi="Arial" w:cs="Arial"/>
                <w:spacing w:val="1"/>
                <w:sz w:val="20"/>
                <w:szCs w:val="20"/>
              </w:rPr>
              <w:t>c</w:t>
            </w:r>
            <w:r>
              <w:rPr>
                <w:rFonts w:ascii="Arial" w:hAnsi="Arial" w:cs="Arial"/>
                <w:spacing w:val="-1"/>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on</w:t>
            </w:r>
          </w:p>
        </w:tc>
      </w:tr>
      <w:tr w:rsidR="0085579C" w14:paraId="535450F4"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108352DB" w14:textId="77777777" w:rsidR="0085579C" w:rsidRDefault="0085579C" w:rsidP="002B33D3">
            <w:pPr>
              <w:pStyle w:val="TableParagraph"/>
              <w:kinsoku w:val="0"/>
              <w:overflowPunct w:val="0"/>
              <w:spacing w:line="226" w:lineRule="exact"/>
              <w:ind w:left="102"/>
            </w:pPr>
            <w:r>
              <w:rPr>
                <w:rFonts w:ascii="Arial" w:hAnsi="Arial" w:cs="Arial"/>
                <w:spacing w:val="1"/>
                <w:sz w:val="20"/>
                <w:szCs w:val="20"/>
              </w:rPr>
              <w:t>O</w:t>
            </w:r>
            <w:r>
              <w:rPr>
                <w:rFonts w:ascii="Arial" w:hAnsi="Arial" w:cs="Arial"/>
                <w:sz w:val="20"/>
                <w:szCs w:val="20"/>
              </w:rPr>
              <w:t>r</w:t>
            </w:r>
            <w:r>
              <w:rPr>
                <w:rFonts w:ascii="Arial" w:hAnsi="Arial" w:cs="Arial"/>
                <w:spacing w:val="-1"/>
                <w:sz w:val="20"/>
                <w:szCs w:val="20"/>
              </w:rPr>
              <w:t>opha</w:t>
            </w:r>
            <w:r>
              <w:rPr>
                <w:rFonts w:ascii="Arial" w:hAnsi="Arial" w:cs="Arial"/>
                <w:spacing w:val="3"/>
                <w:sz w:val="20"/>
                <w:szCs w:val="20"/>
              </w:rPr>
              <w:t>r</w:t>
            </w:r>
            <w:r>
              <w:rPr>
                <w:rFonts w:ascii="Arial" w:hAnsi="Arial" w:cs="Arial"/>
                <w:spacing w:val="-5"/>
                <w:sz w:val="20"/>
                <w:szCs w:val="20"/>
              </w:rPr>
              <w:t>y</w:t>
            </w:r>
            <w:r>
              <w:rPr>
                <w:rFonts w:ascii="Arial" w:hAnsi="Arial" w:cs="Arial"/>
                <w:spacing w:val="2"/>
                <w:sz w:val="20"/>
                <w:szCs w:val="20"/>
              </w:rPr>
              <w:t>n</w:t>
            </w:r>
            <w:r>
              <w:rPr>
                <w:rFonts w:ascii="Arial" w:hAnsi="Arial" w:cs="Arial"/>
                <w:spacing w:val="-1"/>
                <w:sz w:val="20"/>
                <w:szCs w:val="20"/>
              </w:rPr>
              <w:t>g</w:t>
            </w:r>
            <w:r>
              <w:rPr>
                <w:rFonts w:ascii="Arial" w:hAnsi="Arial" w:cs="Arial"/>
                <w:spacing w:val="2"/>
                <w:sz w:val="20"/>
                <w:szCs w:val="20"/>
              </w:rPr>
              <w:t>e</w:t>
            </w:r>
            <w:r>
              <w:rPr>
                <w:rFonts w:ascii="Arial" w:hAnsi="Arial" w:cs="Arial"/>
                <w:spacing w:val="-1"/>
                <w:sz w:val="20"/>
                <w:szCs w:val="20"/>
              </w:rPr>
              <w:t>a</w:t>
            </w:r>
            <w:r>
              <w:rPr>
                <w:rFonts w:ascii="Arial" w:hAnsi="Arial" w:cs="Arial"/>
                <w:sz w:val="20"/>
                <w:szCs w:val="20"/>
              </w:rPr>
              <w:t>l</w:t>
            </w:r>
            <w:r>
              <w:rPr>
                <w:rFonts w:ascii="Arial" w:hAnsi="Arial" w:cs="Arial"/>
                <w:spacing w:val="-25"/>
                <w:sz w:val="20"/>
                <w:szCs w:val="20"/>
              </w:rPr>
              <w:t xml:space="preserve"> </w:t>
            </w:r>
            <w:r>
              <w:rPr>
                <w:rFonts w:ascii="Arial" w:hAnsi="Arial" w:cs="Arial"/>
                <w:spacing w:val="1"/>
                <w:sz w:val="20"/>
                <w:szCs w:val="20"/>
              </w:rPr>
              <w:t>c</w:t>
            </w:r>
            <w:r>
              <w:rPr>
                <w:rFonts w:ascii="Arial" w:hAnsi="Arial" w:cs="Arial"/>
                <w:spacing w:val="2"/>
                <w:sz w:val="20"/>
                <w:szCs w:val="20"/>
              </w:rPr>
              <w:t>a</w:t>
            </w:r>
            <w:r>
              <w:rPr>
                <w:rFonts w:ascii="Arial" w:hAnsi="Arial" w:cs="Arial"/>
                <w:spacing w:val="-1"/>
                <w:sz w:val="20"/>
                <w:szCs w:val="20"/>
              </w:rPr>
              <w:t>n</w:t>
            </w:r>
            <w:r>
              <w:rPr>
                <w:rFonts w:ascii="Arial" w:hAnsi="Arial" w:cs="Arial"/>
                <w:spacing w:val="2"/>
                <w:sz w:val="20"/>
                <w:szCs w:val="20"/>
              </w:rPr>
              <w:t>d</w:t>
            </w:r>
            <w:r>
              <w:rPr>
                <w:rFonts w:ascii="Arial" w:hAnsi="Arial" w:cs="Arial"/>
                <w:spacing w:val="-1"/>
                <w:sz w:val="20"/>
                <w:szCs w:val="20"/>
              </w:rPr>
              <w:t>i</w:t>
            </w:r>
            <w:r>
              <w:rPr>
                <w:rFonts w:ascii="Arial" w:hAnsi="Arial" w:cs="Arial"/>
                <w:spacing w:val="2"/>
                <w:sz w:val="20"/>
                <w:szCs w:val="20"/>
              </w:rPr>
              <w:t>d</w:t>
            </w:r>
            <w:r>
              <w:rPr>
                <w:rFonts w:ascii="Arial" w:hAnsi="Arial" w:cs="Arial"/>
                <w:spacing w:val="-1"/>
                <w:sz w:val="20"/>
                <w:szCs w:val="20"/>
              </w:rPr>
              <w:t>ia</w:t>
            </w:r>
            <w:r>
              <w:rPr>
                <w:rFonts w:ascii="Arial" w:hAnsi="Arial" w:cs="Arial"/>
                <w:spacing w:val="1"/>
                <w:sz w:val="20"/>
                <w:szCs w:val="20"/>
              </w:rPr>
              <w:t>s</w:t>
            </w:r>
            <w:r>
              <w:rPr>
                <w:rFonts w:ascii="Arial" w:hAnsi="Arial" w:cs="Arial"/>
                <w:spacing w:val="-1"/>
                <w:sz w:val="20"/>
                <w:szCs w:val="20"/>
              </w:rPr>
              <w:t>is</w:t>
            </w:r>
          </w:p>
        </w:tc>
        <w:tc>
          <w:tcPr>
            <w:tcW w:w="2324" w:type="dxa"/>
            <w:tcBorders>
              <w:top w:val="single" w:sz="4" w:space="0" w:color="000000"/>
              <w:left w:val="single" w:sz="4" w:space="0" w:color="000000"/>
              <w:bottom w:val="single" w:sz="4" w:space="0" w:color="000000"/>
              <w:right w:val="single" w:sz="4" w:space="0" w:color="000000"/>
            </w:tcBorders>
          </w:tcPr>
          <w:p w14:paraId="190E4406" w14:textId="77777777" w:rsidR="0085579C" w:rsidRDefault="0085579C" w:rsidP="002B33D3">
            <w:pPr>
              <w:pStyle w:val="TableParagraph"/>
              <w:kinsoku w:val="0"/>
              <w:overflowPunct w:val="0"/>
              <w:spacing w:line="226" w:lineRule="exact"/>
              <w:ind w:left="332"/>
            </w:pPr>
            <w:r>
              <w:rPr>
                <w:rFonts w:ascii="Arial" w:hAnsi="Arial" w:cs="Arial"/>
                <w:sz w:val="20"/>
                <w:szCs w:val="20"/>
              </w:rPr>
              <w:t>U</w:t>
            </w:r>
            <w:r>
              <w:rPr>
                <w:rFonts w:ascii="Arial" w:hAnsi="Arial" w:cs="Arial"/>
                <w:spacing w:val="-1"/>
                <w:sz w:val="20"/>
                <w:szCs w:val="20"/>
              </w:rPr>
              <w:t>n</w:t>
            </w:r>
            <w:r>
              <w:rPr>
                <w:rFonts w:ascii="Arial" w:hAnsi="Arial" w:cs="Arial"/>
                <w:spacing w:val="1"/>
                <w:sz w:val="20"/>
                <w:szCs w:val="20"/>
              </w:rPr>
              <w:t>c</w:t>
            </w:r>
            <w:r>
              <w:rPr>
                <w:rFonts w:ascii="Arial" w:hAnsi="Arial" w:cs="Arial"/>
                <w:spacing w:val="-1"/>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on</w:t>
            </w:r>
          </w:p>
        </w:tc>
      </w:tr>
      <w:tr w:rsidR="0085579C" w14:paraId="4613C8CE"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64B27203" w14:textId="77777777" w:rsidR="0085579C" w:rsidRDefault="0085579C" w:rsidP="002B33D3">
            <w:pPr>
              <w:pStyle w:val="TableParagraph"/>
              <w:kinsoku w:val="0"/>
              <w:overflowPunct w:val="0"/>
              <w:spacing w:line="226" w:lineRule="exact"/>
              <w:ind w:left="102"/>
            </w:pPr>
            <w:proofErr w:type="spellStart"/>
            <w:r>
              <w:rPr>
                <w:rFonts w:ascii="Arial" w:hAnsi="Arial" w:cs="Arial"/>
                <w:spacing w:val="1"/>
                <w:sz w:val="20"/>
                <w:szCs w:val="20"/>
              </w:rPr>
              <w:t>G</w:t>
            </w:r>
            <w:r>
              <w:rPr>
                <w:rFonts w:ascii="Arial" w:hAnsi="Arial" w:cs="Arial"/>
                <w:spacing w:val="-1"/>
                <w:sz w:val="20"/>
                <w:szCs w:val="20"/>
              </w:rPr>
              <w:t>a</w:t>
            </w:r>
            <w:r>
              <w:rPr>
                <w:rFonts w:ascii="Arial" w:hAnsi="Arial" w:cs="Arial"/>
                <w:spacing w:val="1"/>
                <w:sz w:val="20"/>
                <w:szCs w:val="20"/>
              </w:rPr>
              <w:t>s</w:t>
            </w:r>
            <w:r>
              <w:rPr>
                <w:rFonts w:ascii="Arial" w:hAnsi="Arial" w:cs="Arial"/>
                <w:spacing w:val="-1"/>
                <w:sz w:val="20"/>
                <w:szCs w:val="20"/>
              </w:rPr>
              <w:t>t</w:t>
            </w:r>
            <w:r>
              <w:rPr>
                <w:rFonts w:ascii="Arial" w:hAnsi="Arial" w:cs="Arial"/>
                <w:sz w:val="20"/>
                <w:szCs w:val="20"/>
              </w:rPr>
              <w:t>r</w:t>
            </w:r>
            <w:r>
              <w:rPr>
                <w:rFonts w:ascii="Arial" w:hAnsi="Arial" w:cs="Arial"/>
                <w:spacing w:val="-1"/>
                <w:sz w:val="20"/>
                <w:szCs w:val="20"/>
              </w:rPr>
              <w:t>ooe</w:t>
            </w:r>
            <w:r>
              <w:rPr>
                <w:rFonts w:ascii="Arial" w:hAnsi="Arial" w:cs="Arial"/>
                <w:spacing w:val="1"/>
                <w:sz w:val="20"/>
                <w:szCs w:val="20"/>
              </w:rPr>
              <w:t>s</w:t>
            </w:r>
            <w:r>
              <w:rPr>
                <w:rFonts w:ascii="Arial" w:hAnsi="Arial" w:cs="Arial"/>
                <w:spacing w:val="-1"/>
                <w:sz w:val="20"/>
                <w:szCs w:val="20"/>
              </w:rPr>
              <w:t>o</w:t>
            </w:r>
            <w:r>
              <w:rPr>
                <w:rFonts w:ascii="Arial" w:hAnsi="Arial" w:cs="Arial"/>
                <w:spacing w:val="2"/>
                <w:sz w:val="20"/>
                <w:szCs w:val="20"/>
              </w:rPr>
              <w:t>p</w:t>
            </w:r>
            <w:r>
              <w:rPr>
                <w:rFonts w:ascii="Arial" w:hAnsi="Arial" w:cs="Arial"/>
                <w:spacing w:val="-1"/>
                <w:sz w:val="20"/>
                <w:szCs w:val="20"/>
              </w:rPr>
              <w:t>ha</w:t>
            </w:r>
            <w:r>
              <w:rPr>
                <w:rFonts w:ascii="Arial" w:hAnsi="Arial" w:cs="Arial"/>
                <w:spacing w:val="2"/>
                <w:sz w:val="20"/>
                <w:szCs w:val="20"/>
              </w:rPr>
              <w:t>g</w:t>
            </w:r>
            <w:r>
              <w:rPr>
                <w:rFonts w:ascii="Arial" w:hAnsi="Arial" w:cs="Arial"/>
                <w:spacing w:val="-1"/>
                <w:sz w:val="20"/>
                <w:szCs w:val="20"/>
              </w:rPr>
              <w:t>ea</w:t>
            </w:r>
            <w:r>
              <w:rPr>
                <w:rFonts w:ascii="Arial" w:hAnsi="Arial" w:cs="Arial"/>
                <w:sz w:val="20"/>
                <w:szCs w:val="20"/>
              </w:rPr>
              <w:t>l</w:t>
            </w:r>
            <w:proofErr w:type="spellEnd"/>
            <w:r>
              <w:rPr>
                <w:rFonts w:ascii="Arial" w:hAnsi="Arial" w:cs="Arial"/>
                <w:spacing w:val="-15"/>
                <w:sz w:val="20"/>
                <w:szCs w:val="20"/>
              </w:rPr>
              <w:t xml:space="preserve"> </w:t>
            </w:r>
            <w:r>
              <w:rPr>
                <w:rFonts w:ascii="Arial" w:hAnsi="Arial" w:cs="Arial"/>
                <w:sz w:val="20"/>
                <w:szCs w:val="20"/>
              </w:rPr>
              <w:t>r</w:t>
            </w:r>
            <w:r>
              <w:rPr>
                <w:rFonts w:ascii="Arial" w:hAnsi="Arial" w:cs="Arial"/>
                <w:spacing w:val="-1"/>
                <w:sz w:val="20"/>
                <w:szCs w:val="20"/>
              </w:rPr>
              <w:t>e</w:t>
            </w:r>
            <w:r>
              <w:rPr>
                <w:rFonts w:ascii="Arial" w:hAnsi="Arial" w:cs="Arial"/>
                <w:spacing w:val="2"/>
                <w:sz w:val="20"/>
                <w:szCs w:val="20"/>
              </w:rPr>
              <w:t>f</w:t>
            </w:r>
            <w:r>
              <w:rPr>
                <w:rFonts w:ascii="Arial" w:hAnsi="Arial" w:cs="Arial"/>
                <w:spacing w:val="-1"/>
                <w:sz w:val="20"/>
                <w:szCs w:val="20"/>
              </w:rPr>
              <w:t>lu</w:t>
            </w:r>
            <w:r>
              <w:rPr>
                <w:rFonts w:ascii="Arial" w:hAnsi="Arial" w:cs="Arial"/>
                <w:sz w:val="20"/>
                <w:szCs w:val="20"/>
              </w:rPr>
              <w:t>x</w:t>
            </w:r>
            <w:r>
              <w:rPr>
                <w:rFonts w:ascii="Arial" w:hAnsi="Arial" w:cs="Arial"/>
                <w:spacing w:val="-12"/>
                <w:sz w:val="20"/>
                <w:szCs w:val="20"/>
              </w:rPr>
              <w:t xml:space="preserve"> </w:t>
            </w:r>
            <w:r>
              <w:rPr>
                <w:rFonts w:ascii="Arial" w:hAnsi="Arial" w:cs="Arial"/>
                <w:spacing w:val="-1"/>
                <w:sz w:val="20"/>
                <w:szCs w:val="20"/>
              </w:rPr>
              <w:t>di</w:t>
            </w:r>
            <w:r>
              <w:rPr>
                <w:rFonts w:ascii="Arial" w:hAnsi="Arial" w:cs="Arial"/>
                <w:spacing w:val="1"/>
                <w:sz w:val="20"/>
                <w:szCs w:val="20"/>
              </w:rPr>
              <w:t>s</w:t>
            </w:r>
            <w:r>
              <w:rPr>
                <w:rFonts w:ascii="Arial" w:hAnsi="Arial" w:cs="Arial"/>
                <w:spacing w:val="-1"/>
                <w:sz w:val="20"/>
                <w:szCs w:val="20"/>
              </w:rPr>
              <w:t>ea</w:t>
            </w:r>
            <w:r>
              <w:rPr>
                <w:rFonts w:ascii="Arial" w:hAnsi="Arial" w:cs="Arial"/>
                <w:spacing w:val="1"/>
                <w:sz w:val="20"/>
                <w:szCs w:val="20"/>
              </w:rPr>
              <w:t>s</w:t>
            </w:r>
            <w:r>
              <w:rPr>
                <w:rFonts w:ascii="Arial" w:hAnsi="Arial" w:cs="Arial"/>
                <w:sz w:val="20"/>
                <w:szCs w:val="20"/>
              </w:rPr>
              <w:t>e</w:t>
            </w:r>
          </w:p>
        </w:tc>
        <w:tc>
          <w:tcPr>
            <w:tcW w:w="2324" w:type="dxa"/>
            <w:tcBorders>
              <w:top w:val="single" w:sz="4" w:space="0" w:color="000000"/>
              <w:left w:val="single" w:sz="4" w:space="0" w:color="000000"/>
              <w:bottom w:val="single" w:sz="4" w:space="0" w:color="000000"/>
              <w:right w:val="single" w:sz="4" w:space="0" w:color="000000"/>
            </w:tcBorders>
          </w:tcPr>
          <w:p w14:paraId="2CCCC0F9" w14:textId="77777777" w:rsidR="0085579C" w:rsidRDefault="0085579C" w:rsidP="002B33D3">
            <w:pPr>
              <w:pStyle w:val="TableParagraph"/>
              <w:kinsoku w:val="0"/>
              <w:overflowPunct w:val="0"/>
              <w:spacing w:line="226" w:lineRule="exact"/>
              <w:ind w:left="332"/>
            </w:pPr>
            <w:r>
              <w:rPr>
                <w:rFonts w:ascii="Arial" w:hAnsi="Arial" w:cs="Arial"/>
                <w:sz w:val="20"/>
                <w:szCs w:val="20"/>
              </w:rPr>
              <w:t>U</w:t>
            </w:r>
            <w:r>
              <w:rPr>
                <w:rFonts w:ascii="Arial" w:hAnsi="Arial" w:cs="Arial"/>
                <w:spacing w:val="-1"/>
                <w:sz w:val="20"/>
                <w:szCs w:val="20"/>
              </w:rPr>
              <w:t>n</w:t>
            </w:r>
            <w:r>
              <w:rPr>
                <w:rFonts w:ascii="Arial" w:hAnsi="Arial" w:cs="Arial"/>
                <w:spacing w:val="1"/>
                <w:sz w:val="20"/>
                <w:szCs w:val="20"/>
              </w:rPr>
              <w:t>c</w:t>
            </w:r>
            <w:r>
              <w:rPr>
                <w:rFonts w:ascii="Arial" w:hAnsi="Arial" w:cs="Arial"/>
                <w:spacing w:val="-1"/>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on</w:t>
            </w:r>
          </w:p>
        </w:tc>
      </w:tr>
      <w:tr w:rsidR="0085579C" w14:paraId="2E002473"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000B5118" w14:textId="77777777" w:rsidR="0085579C" w:rsidRDefault="0085579C" w:rsidP="002B33D3">
            <w:pPr>
              <w:pStyle w:val="TableParagraph"/>
              <w:kinsoku w:val="0"/>
              <w:overflowPunct w:val="0"/>
              <w:spacing w:line="226" w:lineRule="exact"/>
              <w:ind w:left="102"/>
            </w:pPr>
            <w:r>
              <w:rPr>
                <w:rFonts w:ascii="Arial" w:hAnsi="Arial" w:cs="Arial"/>
                <w:spacing w:val="2"/>
                <w:sz w:val="20"/>
                <w:szCs w:val="20"/>
              </w:rPr>
              <w:t>D</w:t>
            </w:r>
            <w:r>
              <w:rPr>
                <w:rFonts w:ascii="Arial" w:hAnsi="Arial" w:cs="Arial"/>
                <w:spacing w:val="-5"/>
                <w:sz w:val="20"/>
                <w:szCs w:val="20"/>
              </w:rPr>
              <w:t>y</w:t>
            </w:r>
            <w:r>
              <w:rPr>
                <w:rFonts w:ascii="Arial" w:hAnsi="Arial" w:cs="Arial"/>
                <w:spacing w:val="1"/>
                <w:sz w:val="20"/>
                <w:szCs w:val="20"/>
              </w:rPr>
              <w:t>s</w:t>
            </w:r>
            <w:r>
              <w:rPr>
                <w:rFonts w:ascii="Arial" w:hAnsi="Arial" w:cs="Arial"/>
                <w:spacing w:val="-1"/>
                <w:sz w:val="20"/>
                <w:szCs w:val="20"/>
              </w:rPr>
              <w:t>p</w:t>
            </w:r>
            <w:r>
              <w:rPr>
                <w:rFonts w:ascii="Arial" w:hAnsi="Arial" w:cs="Arial"/>
                <w:spacing w:val="2"/>
                <w:sz w:val="20"/>
                <w:szCs w:val="20"/>
              </w:rPr>
              <w:t>h</w:t>
            </w:r>
            <w:r>
              <w:rPr>
                <w:rFonts w:ascii="Arial" w:hAnsi="Arial" w:cs="Arial"/>
                <w:spacing w:val="-1"/>
                <w:sz w:val="20"/>
                <w:szCs w:val="20"/>
              </w:rPr>
              <w:t>ag</w:t>
            </w:r>
            <w:r>
              <w:rPr>
                <w:rFonts w:ascii="Arial" w:hAnsi="Arial" w:cs="Arial"/>
                <w:spacing w:val="1"/>
                <w:sz w:val="20"/>
                <w:szCs w:val="20"/>
              </w:rPr>
              <w:t>i</w:t>
            </w:r>
            <w:r>
              <w:rPr>
                <w:rFonts w:ascii="Arial" w:hAnsi="Arial" w:cs="Arial"/>
                <w:sz w:val="20"/>
                <w:szCs w:val="20"/>
              </w:rPr>
              <w:t>a</w:t>
            </w:r>
          </w:p>
        </w:tc>
        <w:tc>
          <w:tcPr>
            <w:tcW w:w="2324" w:type="dxa"/>
            <w:tcBorders>
              <w:top w:val="single" w:sz="4" w:space="0" w:color="000000"/>
              <w:left w:val="single" w:sz="4" w:space="0" w:color="000000"/>
              <w:bottom w:val="single" w:sz="4" w:space="0" w:color="000000"/>
              <w:right w:val="single" w:sz="4" w:space="0" w:color="000000"/>
            </w:tcBorders>
          </w:tcPr>
          <w:p w14:paraId="4D32B96B" w14:textId="77777777" w:rsidR="0085579C" w:rsidRDefault="0085579C" w:rsidP="002B33D3">
            <w:pPr>
              <w:pStyle w:val="TableParagraph"/>
              <w:kinsoku w:val="0"/>
              <w:overflowPunct w:val="0"/>
              <w:spacing w:line="226" w:lineRule="exact"/>
              <w:ind w:left="608" w:right="610"/>
              <w:jc w:val="center"/>
            </w:pPr>
            <w:r>
              <w:rPr>
                <w:rFonts w:ascii="Arial" w:hAnsi="Arial" w:cs="Arial"/>
                <w:sz w:val="20"/>
                <w:szCs w:val="20"/>
              </w:rPr>
              <w:t>R</w:t>
            </w:r>
            <w:r>
              <w:rPr>
                <w:rFonts w:ascii="Arial" w:hAnsi="Arial" w:cs="Arial"/>
                <w:spacing w:val="-1"/>
                <w:sz w:val="20"/>
                <w:szCs w:val="20"/>
              </w:rPr>
              <w:t>a</w:t>
            </w:r>
            <w:r>
              <w:rPr>
                <w:rFonts w:ascii="Arial" w:hAnsi="Arial" w:cs="Arial"/>
                <w:sz w:val="20"/>
                <w:szCs w:val="20"/>
              </w:rPr>
              <w:t>re</w:t>
            </w:r>
          </w:p>
        </w:tc>
      </w:tr>
      <w:tr w:rsidR="0085579C" w14:paraId="78726CB9"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56832A71" w14:textId="77777777" w:rsidR="0085579C" w:rsidRDefault="0085579C" w:rsidP="002B33D3">
            <w:pPr>
              <w:pStyle w:val="TableParagraph"/>
              <w:kinsoku w:val="0"/>
              <w:overflowPunct w:val="0"/>
              <w:spacing w:line="226" w:lineRule="exact"/>
              <w:ind w:left="102"/>
            </w:pPr>
            <w:r>
              <w:rPr>
                <w:rFonts w:ascii="Arial" w:hAnsi="Arial" w:cs="Arial"/>
                <w:spacing w:val="1"/>
                <w:sz w:val="20"/>
                <w:szCs w:val="20"/>
              </w:rPr>
              <w:t>G</w:t>
            </w:r>
            <w:r>
              <w:rPr>
                <w:rFonts w:ascii="Arial" w:hAnsi="Arial" w:cs="Arial"/>
                <w:spacing w:val="-1"/>
                <w:sz w:val="20"/>
                <w:szCs w:val="20"/>
              </w:rPr>
              <w:t>in</w:t>
            </w:r>
            <w:r>
              <w:rPr>
                <w:rFonts w:ascii="Arial" w:hAnsi="Arial" w:cs="Arial"/>
                <w:spacing w:val="2"/>
                <w:sz w:val="20"/>
                <w:szCs w:val="20"/>
              </w:rPr>
              <w:t>g</w:t>
            </w:r>
            <w:r>
              <w:rPr>
                <w:rFonts w:ascii="Arial" w:hAnsi="Arial" w:cs="Arial"/>
                <w:spacing w:val="-1"/>
                <w:sz w:val="20"/>
                <w:szCs w:val="20"/>
              </w:rPr>
              <w:t>i</w:t>
            </w:r>
            <w:r>
              <w:rPr>
                <w:rFonts w:ascii="Arial" w:hAnsi="Arial" w:cs="Arial"/>
                <w:spacing w:val="1"/>
                <w:sz w:val="20"/>
                <w:szCs w:val="20"/>
              </w:rPr>
              <w:t>v</w:t>
            </w:r>
            <w:r>
              <w:rPr>
                <w:rFonts w:ascii="Arial" w:hAnsi="Arial" w:cs="Arial"/>
                <w:spacing w:val="-1"/>
                <w:sz w:val="20"/>
                <w:szCs w:val="20"/>
              </w:rPr>
              <w:t>itis</w:t>
            </w:r>
          </w:p>
        </w:tc>
        <w:tc>
          <w:tcPr>
            <w:tcW w:w="2324" w:type="dxa"/>
            <w:tcBorders>
              <w:top w:val="single" w:sz="4" w:space="0" w:color="000000"/>
              <w:left w:val="single" w:sz="4" w:space="0" w:color="000000"/>
              <w:bottom w:val="single" w:sz="4" w:space="0" w:color="000000"/>
              <w:right w:val="single" w:sz="4" w:space="0" w:color="000000"/>
            </w:tcBorders>
          </w:tcPr>
          <w:p w14:paraId="010002A7" w14:textId="77777777" w:rsidR="0085579C" w:rsidRDefault="0085579C" w:rsidP="002B33D3">
            <w:pPr>
              <w:pStyle w:val="TableParagraph"/>
              <w:kinsoku w:val="0"/>
              <w:overflowPunct w:val="0"/>
              <w:spacing w:line="226" w:lineRule="exact"/>
              <w:ind w:left="608" w:right="610"/>
              <w:jc w:val="center"/>
            </w:pPr>
            <w:r>
              <w:rPr>
                <w:rFonts w:ascii="Arial" w:hAnsi="Arial" w:cs="Arial"/>
                <w:sz w:val="20"/>
                <w:szCs w:val="20"/>
              </w:rPr>
              <w:t>R</w:t>
            </w:r>
            <w:r>
              <w:rPr>
                <w:rFonts w:ascii="Arial" w:hAnsi="Arial" w:cs="Arial"/>
                <w:spacing w:val="-1"/>
                <w:sz w:val="20"/>
                <w:szCs w:val="20"/>
              </w:rPr>
              <w:t>a</w:t>
            </w:r>
            <w:r>
              <w:rPr>
                <w:rFonts w:ascii="Arial" w:hAnsi="Arial" w:cs="Arial"/>
                <w:sz w:val="20"/>
                <w:szCs w:val="20"/>
              </w:rPr>
              <w:t>re</w:t>
            </w:r>
          </w:p>
        </w:tc>
      </w:tr>
      <w:tr w:rsidR="0085579C" w14:paraId="4CDFF034"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58C1EDEB" w14:textId="77777777" w:rsidR="0085579C" w:rsidRDefault="0085579C" w:rsidP="002B33D3">
            <w:pPr>
              <w:pStyle w:val="TableParagraph"/>
              <w:kinsoku w:val="0"/>
              <w:overflowPunct w:val="0"/>
              <w:spacing w:line="226" w:lineRule="exact"/>
              <w:ind w:left="102"/>
            </w:pPr>
            <w:r>
              <w:rPr>
                <w:rFonts w:ascii="Arial" w:hAnsi="Arial" w:cs="Arial"/>
                <w:spacing w:val="1"/>
                <w:sz w:val="20"/>
                <w:szCs w:val="20"/>
              </w:rPr>
              <w:t>G</w:t>
            </w:r>
            <w:r>
              <w:rPr>
                <w:rFonts w:ascii="Arial" w:hAnsi="Arial" w:cs="Arial"/>
                <w:spacing w:val="-1"/>
                <w:sz w:val="20"/>
                <w:szCs w:val="20"/>
              </w:rPr>
              <w:t>lo</w:t>
            </w:r>
            <w:r>
              <w:rPr>
                <w:rFonts w:ascii="Arial" w:hAnsi="Arial" w:cs="Arial"/>
                <w:spacing w:val="1"/>
                <w:sz w:val="20"/>
                <w:szCs w:val="20"/>
              </w:rPr>
              <w:t>ss</w:t>
            </w:r>
            <w:r>
              <w:rPr>
                <w:rFonts w:ascii="Arial" w:hAnsi="Arial" w:cs="Arial"/>
                <w:spacing w:val="-1"/>
                <w:sz w:val="20"/>
                <w:szCs w:val="20"/>
              </w:rPr>
              <w:t>itis</w:t>
            </w:r>
          </w:p>
        </w:tc>
        <w:tc>
          <w:tcPr>
            <w:tcW w:w="2324" w:type="dxa"/>
            <w:tcBorders>
              <w:top w:val="single" w:sz="4" w:space="0" w:color="000000"/>
              <w:left w:val="single" w:sz="4" w:space="0" w:color="000000"/>
              <w:bottom w:val="single" w:sz="4" w:space="0" w:color="000000"/>
              <w:right w:val="single" w:sz="4" w:space="0" w:color="000000"/>
            </w:tcBorders>
          </w:tcPr>
          <w:p w14:paraId="22D1275D" w14:textId="77777777" w:rsidR="0085579C" w:rsidRDefault="0085579C" w:rsidP="002B33D3">
            <w:pPr>
              <w:pStyle w:val="TableParagraph"/>
              <w:kinsoku w:val="0"/>
              <w:overflowPunct w:val="0"/>
              <w:spacing w:line="226" w:lineRule="exact"/>
              <w:ind w:left="608" w:right="610"/>
              <w:jc w:val="center"/>
            </w:pPr>
            <w:r>
              <w:rPr>
                <w:rFonts w:ascii="Arial" w:hAnsi="Arial" w:cs="Arial"/>
                <w:sz w:val="20"/>
                <w:szCs w:val="20"/>
              </w:rPr>
              <w:t>R</w:t>
            </w:r>
            <w:r>
              <w:rPr>
                <w:rFonts w:ascii="Arial" w:hAnsi="Arial" w:cs="Arial"/>
                <w:spacing w:val="-1"/>
                <w:sz w:val="20"/>
                <w:szCs w:val="20"/>
              </w:rPr>
              <w:t>a</w:t>
            </w:r>
            <w:r>
              <w:rPr>
                <w:rFonts w:ascii="Arial" w:hAnsi="Arial" w:cs="Arial"/>
                <w:sz w:val="20"/>
                <w:szCs w:val="20"/>
              </w:rPr>
              <w:t>re</w:t>
            </w:r>
          </w:p>
        </w:tc>
      </w:tr>
      <w:tr w:rsidR="0085579C" w14:paraId="2AF386C3"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460ED76D" w14:textId="77777777" w:rsidR="0085579C" w:rsidRDefault="0085579C" w:rsidP="002B33D3">
            <w:pPr>
              <w:pStyle w:val="TableParagraph"/>
              <w:kinsoku w:val="0"/>
              <w:overflowPunct w:val="0"/>
              <w:spacing w:line="226" w:lineRule="exact"/>
              <w:ind w:left="102"/>
            </w:pPr>
            <w:r>
              <w:rPr>
                <w:rFonts w:ascii="Arial" w:hAnsi="Arial" w:cs="Arial"/>
                <w:spacing w:val="-1"/>
                <w:sz w:val="20"/>
                <w:szCs w:val="20"/>
              </w:rPr>
              <w:t>Sto</w:t>
            </w:r>
            <w:r>
              <w:rPr>
                <w:rFonts w:ascii="Arial" w:hAnsi="Arial" w:cs="Arial"/>
                <w:spacing w:val="4"/>
                <w:sz w:val="20"/>
                <w:szCs w:val="20"/>
              </w:rPr>
              <w:t>m</w:t>
            </w:r>
            <w:r>
              <w:rPr>
                <w:rFonts w:ascii="Arial" w:hAnsi="Arial" w:cs="Arial"/>
                <w:spacing w:val="-1"/>
                <w:sz w:val="20"/>
                <w:szCs w:val="20"/>
              </w:rPr>
              <w:t>at</w:t>
            </w:r>
            <w:r>
              <w:rPr>
                <w:rFonts w:ascii="Arial" w:hAnsi="Arial" w:cs="Arial"/>
                <w:spacing w:val="-2"/>
                <w:sz w:val="20"/>
                <w:szCs w:val="20"/>
              </w:rPr>
              <w:t>i</w:t>
            </w:r>
            <w:r>
              <w:rPr>
                <w:rFonts w:ascii="Arial" w:hAnsi="Arial" w:cs="Arial"/>
                <w:spacing w:val="-1"/>
                <w:sz w:val="20"/>
                <w:szCs w:val="20"/>
              </w:rPr>
              <w:t>t</w:t>
            </w:r>
            <w:r>
              <w:rPr>
                <w:rFonts w:ascii="Arial" w:hAnsi="Arial" w:cs="Arial"/>
                <w:spacing w:val="-2"/>
                <w:sz w:val="20"/>
                <w:szCs w:val="20"/>
              </w:rPr>
              <w:t>i</w:t>
            </w:r>
            <w:r>
              <w:rPr>
                <w:rFonts w:ascii="Arial" w:hAnsi="Arial" w:cs="Arial"/>
                <w:sz w:val="20"/>
                <w:szCs w:val="20"/>
              </w:rPr>
              <w:t>s</w:t>
            </w:r>
          </w:p>
        </w:tc>
        <w:tc>
          <w:tcPr>
            <w:tcW w:w="2324" w:type="dxa"/>
            <w:tcBorders>
              <w:top w:val="single" w:sz="4" w:space="0" w:color="000000"/>
              <w:left w:val="single" w:sz="4" w:space="0" w:color="000000"/>
              <w:bottom w:val="single" w:sz="4" w:space="0" w:color="000000"/>
              <w:right w:val="single" w:sz="4" w:space="0" w:color="000000"/>
            </w:tcBorders>
          </w:tcPr>
          <w:p w14:paraId="426B56F3" w14:textId="77777777" w:rsidR="0085579C" w:rsidRDefault="0085579C" w:rsidP="002B33D3">
            <w:pPr>
              <w:pStyle w:val="TableParagraph"/>
              <w:kinsoku w:val="0"/>
              <w:overflowPunct w:val="0"/>
              <w:spacing w:line="226" w:lineRule="exact"/>
              <w:ind w:left="608" w:right="610"/>
              <w:jc w:val="center"/>
            </w:pPr>
            <w:r>
              <w:rPr>
                <w:rFonts w:ascii="Arial" w:hAnsi="Arial" w:cs="Arial"/>
                <w:sz w:val="20"/>
                <w:szCs w:val="20"/>
              </w:rPr>
              <w:t>R</w:t>
            </w:r>
            <w:r>
              <w:rPr>
                <w:rFonts w:ascii="Arial" w:hAnsi="Arial" w:cs="Arial"/>
                <w:spacing w:val="-1"/>
                <w:sz w:val="20"/>
                <w:szCs w:val="20"/>
              </w:rPr>
              <w:t>a</w:t>
            </w:r>
            <w:r>
              <w:rPr>
                <w:rFonts w:ascii="Arial" w:hAnsi="Arial" w:cs="Arial"/>
                <w:sz w:val="20"/>
                <w:szCs w:val="20"/>
              </w:rPr>
              <w:t>re</w:t>
            </w:r>
          </w:p>
        </w:tc>
      </w:tr>
      <w:tr w:rsidR="0085579C" w14:paraId="5DCBA2C2"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5B85C28D" w14:textId="77777777" w:rsidR="0085579C" w:rsidRDefault="0085579C" w:rsidP="002B33D3">
            <w:pPr>
              <w:pStyle w:val="TableParagraph"/>
              <w:kinsoku w:val="0"/>
              <w:overflowPunct w:val="0"/>
              <w:spacing w:line="226" w:lineRule="exact"/>
              <w:ind w:left="102"/>
              <w:rPr>
                <w:rFonts w:ascii="Arial" w:hAnsi="Arial" w:cs="Arial"/>
                <w:spacing w:val="-1"/>
                <w:sz w:val="20"/>
                <w:szCs w:val="20"/>
              </w:rPr>
            </w:pPr>
            <w:r>
              <w:rPr>
                <w:rFonts w:ascii="Arial" w:hAnsi="Arial" w:cs="Arial"/>
                <w:spacing w:val="-1"/>
                <w:sz w:val="20"/>
                <w:szCs w:val="20"/>
              </w:rPr>
              <w:t>Nausea</w:t>
            </w:r>
          </w:p>
        </w:tc>
        <w:tc>
          <w:tcPr>
            <w:tcW w:w="2324" w:type="dxa"/>
            <w:tcBorders>
              <w:top w:val="single" w:sz="4" w:space="0" w:color="000000"/>
              <w:left w:val="single" w:sz="4" w:space="0" w:color="000000"/>
              <w:bottom w:val="single" w:sz="4" w:space="0" w:color="000000"/>
              <w:right w:val="single" w:sz="4" w:space="0" w:color="000000"/>
            </w:tcBorders>
          </w:tcPr>
          <w:p w14:paraId="358581A7" w14:textId="77777777" w:rsidR="0085579C" w:rsidRDefault="0085579C" w:rsidP="002B33D3">
            <w:pPr>
              <w:pStyle w:val="TableParagraph"/>
              <w:kinsoku w:val="0"/>
              <w:overflowPunct w:val="0"/>
              <w:spacing w:line="226" w:lineRule="exact"/>
              <w:ind w:left="608" w:right="610"/>
              <w:jc w:val="center"/>
              <w:rPr>
                <w:rFonts w:ascii="Arial" w:hAnsi="Arial" w:cs="Arial"/>
                <w:sz w:val="20"/>
                <w:szCs w:val="20"/>
              </w:rPr>
            </w:pPr>
            <w:r>
              <w:rPr>
                <w:rFonts w:ascii="Arial" w:hAnsi="Arial" w:cs="Arial"/>
                <w:sz w:val="20"/>
                <w:szCs w:val="20"/>
              </w:rPr>
              <w:t>Rare</w:t>
            </w:r>
          </w:p>
        </w:tc>
      </w:tr>
      <w:tr w:rsidR="0085579C" w14:paraId="07EFA6C1"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682FC411" w14:textId="77777777" w:rsidR="0085579C" w:rsidRDefault="0085579C" w:rsidP="002B33D3">
            <w:pPr>
              <w:pStyle w:val="TableParagraph"/>
              <w:kinsoku w:val="0"/>
              <w:overflowPunct w:val="0"/>
              <w:spacing w:line="226" w:lineRule="exact"/>
              <w:ind w:left="102"/>
            </w:pPr>
            <w:r>
              <w:rPr>
                <w:rFonts w:ascii="Arial" w:hAnsi="Arial" w:cs="Arial"/>
                <w:spacing w:val="-1"/>
                <w:sz w:val="20"/>
                <w:szCs w:val="20"/>
              </w:rPr>
              <w:t>Inte</w:t>
            </w:r>
            <w:r>
              <w:rPr>
                <w:rFonts w:ascii="Arial" w:hAnsi="Arial" w:cs="Arial"/>
                <w:spacing w:val="1"/>
                <w:sz w:val="20"/>
                <w:szCs w:val="20"/>
              </w:rPr>
              <w:t>s</w:t>
            </w:r>
            <w:r>
              <w:rPr>
                <w:rFonts w:ascii="Arial" w:hAnsi="Arial" w:cs="Arial"/>
                <w:spacing w:val="-1"/>
                <w:sz w:val="20"/>
                <w:szCs w:val="20"/>
              </w:rPr>
              <w:t>t</w:t>
            </w:r>
            <w:r>
              <w:rPr>
                <w:rFonts w:ascii="Arial" w:hAnsi="Arial" w:cs="Arial"/>
                <w:spacing w:val="1"/>
                <w:sz w:val="20"/>
                <w:szCs w:val="20"/>
              </w:rPr>
              <w:t>i</w:t>
            </w:r>
            <w:r>
              <w:rPr>
                <w:rFonts w:ascii="Arial" w:hAnsi="Arial" w:cs="Arial"/>
                <w:spacing w:val="-1"/>
                <w:sz w:val="20"/>
                <w:szCs w:val="20"/>
              </w:rPr>
              <w:t>n</w:t>
            </w:r>
            <w:r>
              <w:rPr>
                <w:rFonts w:ascii="Arial" w:hAnsi="Arial" w:cs="Arial"/>
                <w:spacing w:val="2"/>
                <w:sz w:val="20"/>
                <w:szCs w:val="20"/>
              </w:rPr>
              <w:t>a</w:t>
            </w:r>
            <w:r>
              <w:rPr>
                <w:rFonts w:ascii="Arial" w:hAnsi="Arial" w:cs="Arial"/>
                <w:sz w:val="20"/>
                <w:szCs w:val="20"/>
              </w:rPr>
              <w:t>l</w:t>
            </w:r>
            <w:r>
              <w:rPr>
                <w:rFonts w:ascii="Arial" w:hAnsi="Arial" w:cs="Arial"/>
                <w:spacing w:val="-11"/>
                <w:sz w:val="20"/>
                <w:szCs w:val="20"/>
              </w:rPr>
              <w:t xml:space="preserve"> </w:t>
            </w:r>
            <w:r>
              <w:rPr>
                <w:rFonts w:ascii="Arial" w:hAnsi="Arial" w:cs="Arial"/>
                <w:spacing w:val="-1"/>
                <w:sz w:val="20"/>
                <w:szCs w:val="20"/>
              </w:rPr>
              <w:t>ob</w:t>
            </w:r>
            <w:r>
              <w:rPr>
                <w:rFonts w:ascii="Arial" w:hAnsi="Arial" w:cs="Arial"/>
                <w:spacing w:val="1"/>
                <w:sz w:val="20"/>
                <w:szCs w:val="20"/>
              </w:rPr>
              <w:t>s</w:t>
            </w:r>
            <w:r>
              <w:rPr>
                <w:rFonts w:ascii="Arial" w:hAnsi="Arial" w:cs="Arial"/>
                <w:spacing w:val="-1"/>
                <w:sz w:val="20"/>
                <w:szCs w:val="20"/>
              </w:rPr>
              <w:t>t</w:t>
            </w:r>
            <w:r>
              <w:rPr>
                <w:rFonts w:ascii="Arial" w:hAnsi="Arial" w:cs="Arial"/>
                <w:sz w:val="20"/>
                <w:szCs w:val="20"/>
              </w:rPr>
              <w:t>r</w:t>
            </w:r>
            <w:r>
              <w:rPr>
                <w:rFonts w:ascii="Arial" w:hAnsi="Arial" w:cs="Arial"/>
                <w:spacing w:val="-1"/>
                <w:sz w:val="20"/>
                <w:szCs w:val="20"/>
              </w:rPr>
              <w:t>u</w:t>
            </w:r>
            <w:r>
              <w:rPr>
                <w:rFonts w:ascii="Arial" w:hAnsi="Arial" w:cs="Arial"/>
                <w:spacing w:val="1"/>
                <w:sz w:val="20"/>
                <w:szCs w:val="20"/>
              </w:rPr>
              <w:t>c</w:t>
            </w:r>
            <w:r>
              <w:rPr>
                <w:rFonts w:ascii="Arial" w:hAnsi="Arial" w:cs="Arial"/>
                <w:spacing w:val="2"/>
                <w:sz w:val="20"/>
                <w:szCs w:val="20"/>
              </w:rPr>
              <w:t>t</w:t>
            </w:r>
            <w:r>
              <w:rPr>
                <w:rFonts w:ascii="Arial" w:hAnsi="Arial" w:cs="Arial"/>
                <w:spacing w:val="-1"/>
                <w:sz w:val="20"/>
                <w:szCs w:val="20"/>
              </w:rPr>
              <w:t>io</w:t>
            </w:r>
            <w:r>
              <w:rPr>
                <w:rFonts w:ascii="Arial" w:hAnsi="Arial" w:cs="Arial"/>
                <w:spacing w:val="2"/>
                <w:sz w:val="20"/>
                <w:szCs w:val="20"/>
              </w:rPr>
              <w:t>n</w:t>
            </w:r>
            <w:r>
              <w:rPr>
                <w:rFonts w:ascii="Arial" w:hAnsi="Arial" w:cs="Arial"/>
                <w:sz w:val="20"/>
                <w:szCs w:val="20"/>
              </w:rPr>
              <w:t>,</w:t>
            </w:r>
            <w:r>
              <w:rPr>
                <w:rFonts w:ascii="Arial" w:hAnsi="Arial" w:cs="Arial"/>
                <w:spacing w:val="-10"/>
                <w:sz w:val="20"/>
                <w:szCs w:val="20"/>
              </w:rPr>
              <w:t xml:space="preserve"> </w:t>
            </w:r>
            <w:r>
              <w:rPr>
                <w:rFonts w:ascii="Arial" w:hAnsi="Arial" w:cs="Arial"/>
                <w:spacing w:val="1"/>
                <w:sz w:val="20"/>
                <w:szCs w:val="20"/>
              </w:rPr>
              <w:t>i</w:t>
            </w:r>
            <w:r>
              <w:rPr>
                <w:rFonts w:ascii="Arial" w:hAnsi="Arial" w:cs="Arial"/>
                <w:spacing w:val="-1"/>
                <w:sz w:val="20"/>
                <w:szCs w:val="20"/>
              </w:rPr>
              <w:t>n</w:t>
            </w:r>
            <w:r>
              <w:rPr>
                <w:rFonts w:ascii="Arial" w:hAnsi="Arial" w:cs="Arial"/>
                <w:spacing w:val="1"/>
                <w:sz w:val="20"/>
                <w:szCs w:val="20"/>
              </w:rPr>
              <w:t>c</w:t>
            </w:r>
            <w:r>
              <w:rPr>
                <w:rFonts w:ascii="Arial" w:hAnsi="Arial" w:cs="Arial"/>
                <w:spacing w:val="-2"/>
                <w:sz w:val="20"/>
                <w:szCs w:val="20"/>
              </w:rPr>
              <w:t>l</w:t>
            </w:r>
            <w:r>
              <w:rPr>
                <w:rFonts w:ascii="Arial" w:hAnsi="Arial" w:cs="Arial"/>
                <w:spacing w:val="2"/>
                <w:sz w:val="20"/>
                <w:szCs w:val="20"/>
              </w:rPr>
              <w:t>u</w:t>
            </w:r>
            <w:r>
              <w:rPr>
                <w:rFonts w:ascii="Arial" w:hAnsi="Arial" w:cs="Arial"/>
                <w:spacing w:val="-1"/>
                <w:sz w:val="20"/>
                <w:szCs w:val="20"/>
              </w:rPr>
              <w:t>di</w:t>
            </w:r>
            <w:r>
              <w:rPr>
                <w:rFonts w:ascii="Arial" w:hAnsi="Arial" w:cs="Arial"/>
                <w:spacing w:val="2"/>
                <w:sz w:val="20"/>
                <w:szCs w:val="20"/>
              </w:rPr>
              <w:t>n</w:t>
            </w:r>
            <w:r>
              <w:rPr>
                <w:rFonts w:ascii="Arial" w:hAnsi="Arial" w:cs="Arial"/>
                <w:sz w:val="20"/>
                <w:szCs w:val="20"/>
              </w:rPr>
              <w:t>g</w:t>
            </w:r>
            <w:r>
              <w:rPr>
                <w:rFonts w:ascii="Arial" w:hAnsi="Arial" w:cs="Arial"/>
                <w:spacing w:val="-11"/>
                <w:sz w:val="20"/>
                <w:szCs w:val="20"/>
              </w:rPr>
              <w:t xml:space="preserve"> </w:t>
            </w:r>
            <w:r>
              <w:rPr>
                <w:rFonts w:ascii="Arial" w:hAnsi="Arial" w:cs="Arial"/>
                <w:spacing w:val="1"/>
                <w:sz w:val="20"/>
                <w:szCs w:val="20"/>
              </w:rPr>
              <w:t>i</w:t>
            </w:r>
            <w:r>
              <w:rPr>
                <w:rFonts w:ascii="Arial" w:hAnsi="Arial" w:cs="Arial"/>
                <w:spacing w:val="-2"/>
                <w:sz w:val="20"/>
                <w:szCs w:val="20"/>
              </w:rPr>
              <w:t>l</w:t>
            </w:r>
            <w:r>
              <w:rPr>
                <w:rFonts w:ascii="Arial" w:hAnsi="Arial" w:cs="Arial"/>
                <w:spacing w:val="-1"/>
                <w:sz w:val="20"/>
                <w:szCs w:val="20"/>
              </w:rPr>
              <w:t>eu</w:t>
            </w:r>
            <w:r>
              <w:rPr>
                <w:rFonts w:ascii="Arial" w:hAnsi="Arial" w:cs="Arial"/>
                <w:sz w:val="20"/>
                <w:szCs w:val="20"/>
              </w:rPr>
              <w:t>s</w:t>
            </w:r>
            <w:r>
              <w:rPr>
                <w:rFonts w:ascii="Arial" w:hAnsi="Arial" w:cs="Arial"/>
                <w:spacing w:val="-6"/>
                <w:sz w:val="20"/>
                <w:szCs w:val="20"/>
              </w:rPr>
              <w:t xml:space="preserve"> </w:t>
            </w:r>
            <w:r>
              <w:rPr>
                <w:rFonts w:ascii="Arial" w:hAnsi="Arial" w:cs="Arial"/>
                <w:spacing w:val="-1"/>
                <w:sz w:val="20"/>
                <w:szCs w:val="20"/>
              </w:rPr>
              <w:t>pa</w:t>
            </w:r>
            <w:r>
              <w:rPr>
                <w:rFonts w:ascii="Arial" w:hAnsi="Arial" w:cs="Arial"/>
                <w:sz w:val="20"/>
                <w:szCs w:val="20"/>
              </w:rPr>
              <w:t>r</w:t>
            </w:r>
            <w:r>
              <w:rPr>
                <w:rFonts w:ascii="Arial" w:hAnsi="Arial" w:cs="Arial"/>
                <w:spacing w:val="2"/>
                <w:sz w:val="20"/>
                <w:szCs w:val="20"/>
              </w:rPr>
              <w:t>a</w:t>
            </w:r>
            <w:r>
              <w:rPr>
                <w:rFonts w:ascii="Arial" w:hAnsi="Arial" w:cs="Arial"/>
                <w:spacing w:val="1"/>
                <w:sz w:val="20"/>
                <w:szCs w:val="20"/>
              </w:rPr>
              <w:t>l</w:t>
            </w:r>
            <w:r>
              <w:rPr>
                <w:rFonts w:ascii="Arial" w:hAnsi="Arial" w:cs="Arial"/>
                <w:spacing w:val="-5"/>
                <w:sz w:val="20"/>
                <w:szCs w:val="20"/>
              </w:rPr>
              <w:t>y</w:t>
            </w:r>
            <w:r>
              <w:rPr>
                <w:rFonts w:ascii="Arial" w:hAnsi="Arial" w:cs="Arial"/>
                <w:spacing w:val="2"/>
                <w:sz w:val="20"/>
                <w:szCs w:val="20"/>
              </w:rPr>
              <w:t>t</w:t>
            </w:r>
            <w:r>
              <w:rPr>
                <w:rFonts w:ascii="Arial" w:hAnsi="Arial" w:cs="Arial"/>
                <w:spacing w:val="-2"/>
                <w:sz w:val="20"/>
                <w:szCs w:val="20"/>
              </w:rPr>
              <w:t>i</w:t>
            </w:r>
            <w:r>
              <w:rPr>
                <w:rFonts w:ascii="Arial" w:hAnsi="Arial" w:cs="Arial"/>
                <w:sz w:val="20"/>
                <w:szCs w:val="20"/>
              </w:rPr>
              <w:t>c</w:t>
            </w:r>
          </w:p>
        </w:tc>
        <w:tc>
          <w:tcPr>
            <w:tcW w:w="2324" w:type="dxa"/>
            <w:tcBorders>
              <w:top w:val="single" w:sz="4" w:space="0" w:color="000000"/>
              <w:left w:val="single" w:sz="4" w:space="0" w:color="000000"/>
              <w:bottom w:val="single" w:sz="4" w:space="0" w:color="000000"/>
              <w:right w:val="single" w:sz="4" w:space="0" w:color="000000"/>
            </w:tcBorders>
          </w:tcPr>
          <w:p w14:paraId="0B81A6FB" w14:textId="77777777" w:rsidR="0085579C" w:rsidRDefault="0085579C" w:rsidP="002B33D3">
            <w:pPr>
              <w:pStyle w:val="TableParagraph"/>
              <w:kinsoku w:val="0"/>
              <w:overflowPunct w:val="0"/>
              <w:spacing w:line="226" w:lineRule="exact"/>
              <w:ind w:left="608" w:right="610"/>
              <w:jc w:val="center"/>
            </w:pPr>
            <w:r>
              <w:rPr>
                <w:rFonts w:ascii="Arial" w:hAnsi="Arial" w:cs="Arial"/>
                <w:sz w:val="20"/>
                <w:szCs w:val="20"/>
              </w:rPr>
              <w:t>R</w:t>
            </w:r>
            <w:r>
              <w:rPr>
                <w:rFonts w:ascii="Arial" w:hAnsi="Arial" w:cs="Arial"/>
                <w:spacing w:val="-1"/>
                <w:sz w:val="20"/>
                <w:szCs w:val="20"/>
              </w:rPr>
              <w:t>a</w:t>
            </w:r>
            <w:r>
              <w:rPr>
                <w:rFonts w:ascii="Arial" w:hAnsi="Arial" w:cs="Arial"/>
                <w:sz w:val="20"/>
                <w:szCs w:val="20"/>
              </w:rPr>
              <w:t>re</w:t>
            </w:r>
          </w:p>
        </w:tc>
      </w:tr>
      <w:tr w:rsidR="0085579C" w14:paraId="474C32CD"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0FDCFD1A" w14:textId="77777777" w:rsidR="0085579C" w:rsidRDefault="0085579C" w:rsidP="002B33D3">
            <w:pPr>
              <w:pStyle w:val="TableParagraph"/>
              <w:kinsoku w:val="0"/>
              <w:overflowPunct w:val="0"/>
              <w:spacing w:line="226" w:lineRule="exact"/>
              <w:ind w:left="102"/>
              <w:rPr>
                <w:rFonts w:ascii="Arial" w:hAnsi="Arial" w:cs="Arial"/>
                <w:spacing w:val="-1"/>
                <w:sz w:val="20"/>
                <w:szCs w:val="20"/>
              </w:rPr>
            </w:pPr>
            <w:r>
              <w:rPr>
                <w:rFonts w:ascii="Arial" w:hAnsi="Arial" w:cs="Arial"/>
                <w:spacing w:val="-1"/>
                <w:sz w:val="20"/>
                <w:szCs w:val="20"/>
              </w:rPr>
              <w:t>Dental caries</w:t>
            </w:r>
          </w:p>
        </w:tc>
        <w:tc>
          <w:tcPr>
            <w:tcW w:w="2324" w:type="dxa"/>
            <w:tcBorders>
              <w:top w:val="single" w:sz="4" w:space="0" w:color="000000"/>
              <w:left w:val="single" w:sz="4" w:space="0" w:color="000000"/>
              <w:bottom w:val="single" w:sz="4" w:space="0" w:color="000000"/>
              <w:right w:val="single" w:sz="4" w:space="0" w:color="000000"/>
            </w:tcBorders>
          </w:tcPr>
          <w:p w14:paraId="2BE690C2" w14:textId="77777777" w:rsidR="0085579C" w:rsidRDefault="0085579C" w:rsidP="002B33D3">
            <w:pPr>
              <w:pStyle w:val="TableParagraph"/>
              <w:kinsoku w:val="0"/>
              <w:overflowPunct w:val="0"/>
              <w:spacing w:line="226" w:lineRule="exact"/>
              <w:ind w:left="608" w:right="610"/>
              <w:jc w:val="center"/>
              <w:rPr>
                <w:rFonts w:ascii="Arial" w:hAnsi="Arial" w:cs="Arial"/>
                <w:sz w:val="20"/>
                <w:szCs w:val="20"/>
              </w:rPr>
            </w:pPr>
            <w:r>
              <w:rPr>
                <w:rFonts w:ascii="Arial" w:hAnsi="Arial" w:cs="Arial"/>
                <w:sz w:val="20"/>
                <w:szCs w:val="20"/>
              </w:rPr>
              <w:t>Very Rare</w:t>
            </w:r>
          </w:p>
        </w:tc>
      </w:tr>
      <w:tr w:rsidR="0085579C" w14:paraId="79B82D5B" w14:textId="77777777" w:rsidTr="002B33D3">
        <w:trPr>
          <w:trHeight w:hRule="exact" w:val="240"/>
        </w:trPr>
        <w:tc>
          <w:tcPr>
            <w:tcW w:w="7854" w:type="dxa"/>
            <w:gridSpan w:val="2"/>
            <w:tcBorders>
              <w:top w:val="single" w:sz="4" w:space="0" w:color="000000"/>
              <w:left w:val="single" w:sz="4" w:space="0" w:color="000000"/>
              <w:bottom w:val="single" w:sz="4" w:space="0" w:color="000000"/>
              <w:right w:val="single" w:sz="4" w:space="0" w:color="000000"/>
            </w:tcBorders>
          </w:tcPr>
          <w:p w14:paraId="5145B185" w14:textId="77777777" w:rsidR="0085579C" w:rsidRDefault="0085579C" w:rsidP="002B33D3">
            <w:pPr>
              <w:pStyle w:val="TableParagraph"/>
              <w:kinsoku w:val="0"/>
              <w:overflowPunct w:val="0"/>
              <w:spacing w:line="226" w:lineRule="exact"/>
              <w:ind w:left="102"/>
            </w:pPr>
            <w:r>
              <w:rPr>
                <w:rFonts w:ascii="Arial" w:hAnsi="Arial" w:cs="Arial"/>
                <w:spacing w:val="-1"/>
                <w:sz w:val="20"/>
                <w:szCs w:val="20"/>
                <w:u w:val="single"/>
              </w:rPr>
              <w:t>S</w:t>
            </w:r>
            <w:r>
              <w:rPr>
                <w:rFonts w:ascii="Arial" w:hAnsi="Arial" w:cs="Arial"/>
                <w:spacing w:val="3"/>
                <w:sz w:val="20"/>
                <w:szCs w:val="20"/>
                <w:u w:val="single"/>
              </w:rPr>
              <w:t>k</w:t>
            </w:r>
            <w:r>
              <w:rPr>
                <w:rFonts w:ascii="Arial" w:hAnsi="Arial" w:cs="Arial"/>
                <w:spacing w:val="-1"/>
                <w:sz w:val="20"/>
                <w:szCs w:val="20"/>
                <w:u w:val="single"/>
              </w:rPr>
              <w:t>i</w:t>
            </w:r>
            <w:r>
              <w:rPr>
                <w:rFonts w:ascii="Arial" w:hAnsi="Arial" w:cs="Arial"/>
                <w:sz w:val="20"/>
                <w:szCs w:val="20"/>
                <w:u w:val="single"/>
              </w:rPr>
              <w:t>n</w:t>
            </w:r>
            <w:r>
              <w:rPr>
                <w:rFonts w:ascii="Arial" w:hAnsi="Arial" w:cs="Arial"/>
                <w:spacing w:val="-9"/>
                <w:sz w:val="20"/>
                <w:szCs w:val="20"/>
                <w:u w:val="single"/>
              </w:rPr>
              <w:t xml:space="preserve"> </w:t>
            </w:r>
            <w:r>
              <w:rPr>
                <w:rFonts w:ascii="Arial" w:hAnsi="Arial" w:cs="Arial"/>
                <w:spacing w:val="-1"/>
                <w:sz w:val="20"/>
                <w:szCs w:val="20"/>
                <w:u w:val="single"/>
              </w:rPr>
              <w:t>and</w:t>
            </w:r>
            <w:r>
              <w:rPr>
                <w:rFonts w:ascii="Arial" w:hAnsi="Arial" w:cs="Arial"/>
                <w:spacing w:val="-8"/>
                <w:sz w:val="20"/>
                <w:szCs w:val="20"/>
                <w:u w:val="single"/>
              </w:rPr>
              <w:t xml:space="preserve"> </w:t>
            </w:r>
            <w:r>
              <w:rPr>
                <w:rFonts w:ascii="Arial" w:hAnsi="Arial" w:cs="Arial"/>
                <w:spacing w:val="1"/>
                <w:sz w:val="20"/>
                <w:szCs w:val="20"/>
                <w:u w:val="single"/>
              </w:rPr>
              <w:t>s</w:t>
            </w:r>
            <w:r>
              <w:rPr>
                <w:rFonts w:ascii="Arial" w:hAnsi="Arial" w:cs="Arial"/>
                <w:spacing w:val="2"/>
                <w:sz w:val="20"/>
                <w:szCs w:val="20"/>
                <w:u w:val="single"/>
              </w:rPr>
              <w:t>u</w:t>
            </w:r>
            <w:r>
              <w:rPr>
                <w:rFonts w:ascii="Arial" w:hAnsi="Arial" w:cs="Arial"/>
                <w:spacing w:val="-1"/>
                <w:sz w:val="20"/>
                <w:szCs w:val="20"/>
                <w:u w:val="single"/>
              </w:rPr>
              <w:t>b</w:t>
            </w:r>
            <w:r>
              <w:rPr>
                <w:rFonts w:ascii="Arial" w:hAnsi="Arial" w:cs="Arial"/>
                <w:spacing w:val="1"/>
                <w:sz w:val="20"/>
                <w:szCs w:val="20"/>
                <w:u w:val="single"/>
              </w:rPr>
              <w:t>c</w:t>
            </w:r>
            <w:r>
              <w:rPr>
                <w:rFonts w:ascii="Arial" w:hAnsi="Arial" w:cs="Arial"/>
                <w:spacing w:val="-1"/>
                <w:sz w:val="20"/>
                <w:szCs w:val="20"/>
                <w:u w:val="single"/>
              </w:rPr>
              <w:t>ut</w:t>
            </w:r>
            <w:r>
              <w:rPr>
                <w:rFonts w:ascii="Arial" w:hAnsi="Arial" w:cs="Arial"/>
                <w:spacing w:val="2"/>
                <w:sz w:val="20"/>
                <w:szCs w:val="20"/>
                <w:u w:val="single"/>
              </w:rPr>
              <w:t>a</w:t>
            </w:r>
            <w:r>
              <w:rPr>
                <w:rFonts w:ascii="Arial" w:hAnsi="Arial" w:cs="Arial"/>
                <w:spacing w:val="-1"/>
                <w:sz w:val="20"/>
                <w:szCs w:val="20"/>
                <w:u w:val="single"/>
              </w:rPr>
              <w:t>ne</w:t>
            </w:r>
            <w:r>
              <w:rPr>
                <w:rFonts w:ascii="Arial" w:hAnsi="Arial" w:cs="Arial"/>
                <w:spacing w:val="2"/>
                <w:sz w:val="20"/>
                <w:szCs w:val="20"/>
                <w:u w:val="single"/>
              </w:rPr>
              <w:t>o</w:t>
            </w:r>
            <w:r>
              <w:rPr>
                <w:rFonts w:ascii="Arial" w:hAnsi="Arial" w:cs="Arial"/>
                <w:spacing w:val="-1"/>
                <w:sz w:val="20"/>
                <w:szCs w:val="20"/>
                <w:u w:val="single"/>
              </w:rPr>
              <w:t>us</w:t>
            </w:r>
            <w:r>
              <w:rPr>
                <w:rFonts w:ascii="Arial" w:hAnsi="Arial" w:cs="Arial"/>
                <w:spacing w:val="-6"/>
                <w:sz w:val="20"/>
                <w:szCs w:val="20"/>
                <w:u w:val="single"/>
              </w:rPr>
              <w:t xml:space="preserve"> </w:t>
            </w:r>
            <w:r>
              <w:rPr>
                <w:rFonts w:ascii="Arial" w:hAnsi="Arial" w:cs="Arial"/>
                <w:spacing w:val="-1"/>
                <w:sz w:val="20"/>
                <w:szCs w:val="20"/>
                <w:u w:val="single"/>
              </w:rPr>
              <w:t>ti</w:t>
            </w:r>
            <w:r>
              <w:rPr>
                <w:rFonts w:ascii="Arial" w:hAnsi="Arial" w:cs="Arial"/>
                <w:spacing w:val="1"/>
                <w:sz w:val="20"/>
                <w:szCs w:val="20"/>
                <w:u w:val="single"/>
              </w:rPr>
              <w:t>s</w:t>
            </w:r>
            <w:r>
              <w:rPr>
                <w:rFonts w:ascii="Arial" w:hAnsi="Arial" w:cs="Arial"/>
                <w:spacing w:val="3"/>
                <w:sz w:val="20"/>
                <w:szCs w:val="20"/>
                <w:u w:val="single"/>
              </w:rPr>
              <w:t>s</w:t>
            </w:r>
            <w:r>
              <w:rPr>
                <w:rFonts w:ascii="Arial" w:hAnsi="Arial" w:cs="Arial"/>
                <w:spacing w:val="-1"/>
                <w:sz w:val="20"/>
                <w:szCs w:val="20"/>
                <w:u w:val="single"/>
              </w:rPr>
              <w:t>ue</w:t>
            </w:r>
            <w:r>
              <w:rPr>
                <w:rFonts w:ascii="Arial" w:hAnsi="Arial" w:cs="Arial"/>
                <w:spacing w:val="-9"/>
                <w:sz w:val="20"/>
                <w:szCs w:val="20"/>
                <w:u w:val="single"/>
              </w:rPr>
              <w:t xml:space="preserve"> </w:t>
            </w:r>
            <w:r>
              <w:rPr>
                <w:rFonts w:ascii="Arial" w:hAnsi="Arial" w:cs="Arial"/>
                <w:spacing w:val="2"/>
                <w:sz w:val="20"/>
                <w:szCs w:val="20"/>
                <w:u w:val="single"/>
              </w:rPr>
              <w:t>d</w:t>
            </w:r>
            <w:r>
              <w:rPr>
                <w:rFonts w:ascii="Arial" w:hAnsi="Arial" w:cs="Arial"/>
                <w:spacing w:val="-2"/>
                <w:sz w:val="20"/>
                <w:szCs w:val="20"/>
                <w:u w:val="single"/>
              </w:rPr>
              <w:t>i</w:t>
            </w:r>
            <w:r>
              <w:rPr>
                <w:rFonts w:ascii="Arial" w:hAnsi="Arial" w:cs="Arial"/>
                <w:spacing w:val="1"/>
                <w:sz w:val="20"/>
                <w:szCs w:val="20"/>
                <w:u w:val="single"/>
              </w:rPr>
              <w:t>s</w:t>
            </w:r>
            <w:r>
              <w:rPr>
                <w:rFonts w:ascii="Arial" w:hAnsi="Arial" w:cs="Arial"/>
                <w:spacing w:val="-1"/>
                <w:sz w:val="20"/>
                <w:szCs w:val="20"/>
                <w:u w:val="single"/>
              </w:rPr>
              <w:t>o</w:t>
            </w:r>
            <w:r>
              <w:rPr>
                <w:rFonts w:ascii="Arial" w:hAnsi="Arial" w:cs="Arial"/>
                <w:sz w:val="20"/>
                <w:szCs w:val="20"/>
                <w:u w:val="single"/>
              </w:rPr>
              <w:t>r</w:t>
            </w:r>
            <w:r>
              <w:rPr>
                <w:rFonts w:ascii="Arial" w:hAnsi="Arial" w:cs="Arial"/>
                <w:spacing w:val="-1"/>
                <w:sz w:val="20"/>
                <w:szCs w:val="20"/>
                <w:u w:val="single"/>
              </w:rPr>
              <w:t>de</w:t>
            </w:r>
            <w:r>
              <w:rPr>
                <w:rFonts w:ascii="Arial" w:hAnsi="Arial" w:cs="Arial"/>
                <w:sz w:val="20"/>
                <w:szCs w:val="20"/>
                <w:u w:val="single"/>
              </w:rPr>
              <w:t>r</w:t>
            </w:r>
            <w:r>
              <w:rPr>
                <w:rFonts w:ascii="Arial" w:hAnsi="Arial" w:cs="Arial"/>
                <w:spacing w:val="1"/>
                <w:sz w:val="20"/>
                <w:szCs w:val="20"/>
                <w:u w:val="single"/>
              </w:rPr>
              <w:t>s</w:t>
            </w:r>
            <w:r>
              <w:rPr>
                <w:rFonts w:ascii="Arial" w:hAnsi="Arial" w:cs="Arial"/>
                <w:sz w:val="20"/>
                <w:szCs w:val="20"/>
                <w:u w:val="single"/>
              </w:rPr>
              <w:t>,</w:t>
            </w:r>
            <w:r>
              <w:rPr>
                <w:rFonts w:ascii="Arial" w:hAnsi="Arial" w:cs="Arial"/>
                <w:spacing w:val="-8"/>
                <w:sz w:val="20"/>
                <w:szCs w:val="20"/>
                <w:u w:val="single"/>
              </w:rPr>
              <w:t xml:space="preserve"> </w:t>
            </w:r>
            <w:r>
              <w:rPr>
                <w:rFonts w:ascii="Arial" w:hAnsi="Arial" w:cs="Arial"/>
                <w:spacing w:val="-1"/>
                <w:sz w:val="20"/>
                <w:szCs w:val="20"/>
                <w:u w:val="single"/>
              </w:rPr>
              <w:t>i</w:t>
            </w:r>
            <w:r>
              <w:rPr>
                <w:rFonts w:ascii="Arial" w:hAnsi="Arial" w:cs="Arial"/>
                <w:spacing w:val="2"/>
                <w:sz w:val="20"/>
                <w:szCs w:val="20"/>
                <w:u w:val="single"/>
              </w:rPr>
              <w:t>m</w:t>
            </w:r>
            <w:r>
              <w:rPr>
                <w:rFonts w:ascii="Arial" w:hAnsi="Arial" w:cs="Arial"/>
                <w:spacing w:val="4"/>
                <w:sz w:val="20"/>
                <w:szCs w:val="20"/>
                <w:u w:val="single"/>
              </w:rPr>
              <w:t>m</w:t>
            </w:r>
            <w:r>
              <w:rPr>
                <w:rFonts w:ascii="Arial" w:hAnsi="Arial" w:cs="Arial"/>
                <w:spacing w:val="-1"/>
                <w:sz w:val="20"/>
                <w:szCs w:val="20"/>
                <w:u w:val="single"/>
              </w:rPr>
              <w:t>une</w:t>
            </w:r>
            <w:r>
              <w:rPr>
                <w:rFonts w:ascii="Arial" w:hAnsi="Arial" w:cs="Arial"/>
                <w:spacing w:val="41"/>
                <w:sz w:val="20"/>
                <w:szCs w:val="20"/>
                <w:u w:val="single"/>
              </w:rPr>
              <w:t xml:space="preserve"> </w:t>
            </w:r>
            <w:r>
              <w:rPr>
                <w:rFonts w:ascii="Arial" w:hAnsi="Arial" w:cs="Arial"/>
                <w:spacing w:val="3"/>
                <w:sz w:val="20"/>
                <w:szCs w:val="20"/>
                <w:u w:val="single"/>
              </w:rPr>
              <w:t>s</w:t>
            </w:r>
            <w:r>
              <w:rPr>
                <w:rFonts w:ascii="Arial" w:hAnsi="Arial" w:cs="Arial"/>
                <w:spacing w:val="-5"/>
                <w:sz w:val="20"/>
                <w:szCs w:val="20"/>
                <w:u w:val="single"/>
              </w:rPr>
              <w:t>y</w:t>
            </w:r>
            <w:r>
              <w:rPr>
                <w:rFonts w:ascii="Arial" w:hAnsi="Arial" w:cs="Arial"/>
                <w:spacing w:val="1"/>
                <w:sz w:val="20"/>
                <w:szCs w:val="20"/>
                <w:u w:val="single"/>
              </w:rPr>
              <w:t>s</w:t>
            </w:r>
            <w:r>
              <w:rPr>
                <w:rFonts w:ascii="Arial" w:hAnsi="Arial" w:cs="Arial"/>
                <w:spacing w:val="2"/>
                <w:sz w:val="20"/>
                <w:szCs w:val="20"/>
                <w:u w:val="single"/>
              </w:rPr>
              <w:t>t</w:t>
            </w:r>
            <w:r>
              <w:rPr>
                <w:rFonts w:ascii="Arial" w:hAnsi="Arial" w:cs="Arial"/>
                <w:spacing w:val="-1"/>
                <w:sz w:val="20"/>
                <w:szCs w:val="20"/>
                <w:u w:val="single"/>
              </w:rPr>
              <w:t>em</w:t>
            </w:r>
            <w:r>
              <w:rPr>
                <w:rFonts w:ascii="Arial" w:hAnsi="Arial" w:cs="Arial"/>
                <w:spacing w:val="-4"/>
                <w:sz w:val="20"/>
                <w:szCs w:val="20"/>
                <w:u w:val="single"/>
              </w:rPr>
              <w:t xml:space="preserve"> </w:t>
            </w:r>
            <w:r>
              <w:rPr>
                <w:rFonts w:ascii="Arial" w:hAnsi="Arial" w:cs="Arial"/>
                <w:spacing w:val="-1"/>
                <w:sz w:val="20"/>
                <w:szCs w:val="20"/>
                <w:u w:val="single"/>
              </w:rPr>
              <w:t>d</w:t>
            </w:r>
            <w:r>
              <w:rPr>
                <w:rFonts w:ascii="Arial" w:hAnsi="Arial" w:cs="Arial"/>
                <w:spacing w:val="-2"/>
                <w:sz w:val="20"/>
                <w:szCs w:val="20"/>
                <w:u w:val="single"/>
              </w:rPr>
              <w:t>i</w:t>
            </w:r>
            <w:r>
              <w:rPr>
                <w:rFonts w:ascii="Arial" w:hAnsi="Arial" w:cs="Arial"/>
                <w:spacing w:val="1"/>
                <w:sz w:val="20"/>
                <w:szCs w:val="20"/>
                <w:u w:val="single"/>
              </w:rPr>
              <w:t>s</w:t>
            </w:r>
            <w:r>
              <w:rPr>
                <w:rFonts w:ascii="Arial" w:hAnsi="Arial" w:cs="Arial"/>
                <w:spacing w:val="-1"/>
                <w:sz w:val="20"/>
                <w:szCs w:val="20"/>
                <w:u w:val="single"/>
              </w:rPr>
              <w:t>o</w:t>
            </w:r>
            <w:r>
              <w:rPr>
                <w:rFonts w:ascii="Arial" w:hAnsi="Arial" w:cs="Arial"/>
                <w:sz w:val="20"/>
                <w:szCs w:val="20"/>
                <w:u w:val="single"/>
              </w:rPr>
              <w:t>r</w:t>
            </w:r>
            <w:r>
              <w:rPr>
                <w:rFonts w:ascii="Arial" w:hAnsi="Arial" w:cs="Arial"/>
                <w:spacing w:val="-1"/>
                <w:sz w:val="20"/>
                <w:szCs w:val="20"/>
                <w:u w:val="single"/>
              </w:rPr>
              <w:t>de</w:t>
            </w:r>
            <w:r>
              <w:rPr>
                <w:rFonts w:ascii="Arial" w:hAnsi="Arial" w:cs="Arial"/>
                <w:sz w:val="20"/>
                <w:szCs w:val="20"/>
                <w:u w:val="single"/>
              </w:rPr>
              <w:t>rs</w:t>
            </w:r>
          </w:p>
        </w:tc>
      </w:tr>
      <w:tr w:rsidR="0085579C" w14:paraId="0090F6C0"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29B0E76F" w14:textId="77777777" w:rsidR="0085579C" w:rsidRDefault="0085579C" w:rsidP="002B33D3">
            <w:pPr>
              <w:pStyle w:val="TableParagraph"/>
              <w:kinsoku w:val="0"/>
              <w:overflowPunct w:val="0"/>
              <w:spacing w:line="226" w:lineRule="exact"/>
              <w:ind w:left="102"/>
            </w:pPr>
            <w:r>
              <w:rPr>
                <w:rFonts w:ascii="Arial" w:hAnsi="Arial" w:cs="Arial"/>
                <w:sz w:val="20"/>
                <w:szCs w:val="20"/>
              </w:rPr>
              <w:t>R</w:t>
            </w:r>
            <w:r>
              <w:rPr>
                <w:rFonts w:ascii="Arial" w:hAnsi="Arial" w:cs="Arial"/>
                <w:spacing w:val="-1"/>
                <w:sz w:val="20"/>
                <w:szCs w:val="20"/>
              </w:rPr>
              <w:t>a</w:t>
            </w:r>
            <w:r>
              <w:rPr>
                <w:rFonts w:ascii="Arial" w:hAnsi="Arial" w:cs="Arial"/>
                <w:spacing w:val="1"/>
                <w:sz w:val="20"/>
                <w:szCs w:val="20"/>
              </w:rPr>
              <w:t>s</w:t>
            </w:r>
            <w:r>
              <w:rPr>
                <w:rFonts w:ascii="Arial" w:hAnsi="Arial" w:cs="Arial"/>
                <w:sz w:val="20"/>
                <w:szCs w:val="20"/>
              </w:rPr>
              <w:t>h</w:t>
            </w:r>
          </w:p>
        </w:tc>
        <w:tc>
          <w:tcPr>
            <w:tcW w:w="2324" w:type="dxa"/>
            <w:tcBorders>
              <w:top w:val="single" w:sz="4" w:space="0" w:color="000000"/>
              <w:left w:val="single" w:sz="4" w:space="0" w:color="000000"/>
              <w:bottom w:val="single" w:sz="4" w:space="0" w:color="000000"/>
              <w:right w:val="single" w:sz="4" w:space="0" w:color="000000"/>
            </w:tcBorders>
          </w:tcPr>
          <w:p w14:paraId="02AB4C0B" w14:textId="77777777" w:rsidR="0085579C" w:rsidRDefault="0085579C" w:rsidP="002B33D3">
            <w:pPr>
              <w:pStyle w:val="TableParagraph"/>
              <w:kinsoku w:val="0"/>
              <w:overflowPunct w:val="0"/>
              <w:spacing w:line="226" w:lineRule="exact"/>
              <w:ind w:left="332"/>
            </w:pPr>
            <w:r>
              <w:rPr>
                <w:rFonts w:ascii="Arial" w:hAnsi="Arial" w:cs="Arial"/>
                <w:sz w:val="20"/>
                <w:szCs w:val="20"/>
              </w:rPr>
              <w:t>U</w:t>
            </w:r>
            <w:r>
              <w:rPr>
                <w:rFonts w:ascii="Arial" w:hAnsi="Arial" w:cs="Arial"/>
                <w:spacing w:val="-1"/>
                <w:sz w:val="20"/>
                <w:szCs w:val="20"/>
              </w:rPr>
              <w:t>n</w:t>
            </w:r>
            <w:r>
              <w:rPr>
                <w:rFonts w:ascii="Arial" w:hAnsi="Arial" w:cs="Arial"/>
                <w:spacing w:val="1"/>
                <w:sz w:val="20"/>
                <w:szCs w:val="20"/>
              </w:rPr>
              <w:t>c</w:t>
            </w:r>
            <w:r>
              <w:rPr>
                <w:rFonts w:ascii="Arial" w:hAnsi="Arial" w:cs="Arial"/>
                <w:spacing w:val="-1"/>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on</w:t>
            </w:r>
          </w:p>
        </w:tc>
      </w:tr>
      <w:tr w:rsidR="0085579C" w14:paraId="5307213D"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5456D26F" w14:textId="77777777" w:rsidR="0085579C" w:rsidRDefault="0085579C" w:rsidP="002B33D3">
            <w:pPr>
              <w:pStyle w:val="TableParagraph"/>
              <w:kinsoku w:val="0"/>
              <w:overflowPunct w:val="0"/>
              <w:spacing w:line="226" w:lineRule="exact"/>
              <w:ind w:left="102"/>
            </w:pPr>
            <w:r>
              <w:rPr>
                <w:rFonts w:ascii="Arial" w:hAnsi="Arial" w:cs="Arial"/>
                <w:spacing w:val="-1"/>
                <w:sz w:val="20"/>
                <w:szCs w:val="20"/>
              </w:rPr>
              <w:t>P</w:t>
            </w:r>
            <w:r>
              <w:rPr>
                <w:rFonts w:ascii="Arial" w:hAnsi="Arial" w:cs="Arial"/>
                <w:sz w:val="20"/>
                <w:szCs w:val="20"/>
              </w:rPr>
              <w:t>r</w:t>
            </w:r>
            <w:r>
              <w:rPr>
                <w:rFonts w:ascii="Arial" w:hAnsi="Arial" w:cs="Arial"/>
                <w:spacing w:val="-1"/>
                <w:sz w:val="20"/>
                <w:szCs w:val="20"/>
              </w:rPr>
              <w:t>u</w:t>
            </w:r>
            <w:r>
              <w:rPr>
                <w:rFonts w:ascii="Arial" w:hAnsi="Arial" w:cs="Arial"/>
                <w:sz w:val="20"/>
                <w:szCs w:val="20"/>
              </w:rPr>
              <w:t>r</w:t>
            </w:r>
            <w:r>
              <w:rPr>
                <w:rFonts w:ascii="Arial" w:hAnsi="Arial" w:cs="Arial"/>
                <w:spacing w:val="-2"/>
                <w:sz w:val="20"/>
                <w:szCs w:val="20"/>
              </w:rPr>
              <w:t>i</w:t>
            </w:r>
            <w:r>
              <w:rPr>
                <w:rFonts w:ascii="Arial" w:hAnsi="Arial" w:cs="Arial"/>
                <w:spacing w:val="-1"/>
                <w:sz w:val="20"/>
                <w:szCs w:val="20"/>
              </w:rPr>
              <w:t>tus</w:t>
            </w:r>
          </w:p>
        </w:tc>
        <w:tc>
          <w:tcPr>
            <w:tcW w:w="2324" w:type="dxa"/>
            <w:tcBorders>
              <w:top w:val="single" w:sz="4" w:space="0" w:color="000000"/>
              <w:left w:val="single" w:sz="4" w:space="0" w:color="000000"/>
              <w:bottom w:val="single" w:sz="4" w:space="0" w:color="000000"/>
              <w:right w:val="single" w:sz="4" w:space="0" w:color="000000"/>
            </w:tcBorders>
          </w:tcPr>
          <w:p w14:paraId="21D3BD05" w14:textId="77777777" w:rsidR="0085579C" w:rsidRDefault="0085579C" w:rsidP="002B33D3">
            <w:pPr>
              <w:pStyle w:val="TableParagraph"/>
              <w:kinsoku w:val="0"/>
              <w:overflowPunct w:val="0"/>
              <w:spacing w:line="226" w:lineRule="exact"/>
              <w:ind w:left="608" w:right="610"/>
              <w:jc w:val="center"/>
            </w:pPr>
            <w:r>
              <w:rPr>
                <w:rFonts w:ascii="Arial" w:hAnsi="Arial" w:cs="Arial"/>
                <w:sz w:val="20"/>
                <w:szCs w:val="20"/>
              </w:rPr>
              <w:t>R</w:t>
            </w:r>
            <w:r>
              <w:rPr>
                <w:rFonts w:ascii="Arial" w:hAnsi="Arial" w:cs="Arial"/>
                <w:spacing w:val="-1"/>
                <w:sz w:val="20"/>
                <w:szCs w:val="20"/>
              </w:rPr>
              <w:t>a</w:t>
            </w:r>
            <w:r>
              <w:rPr>
                <w:rFonts w:ascii="Arial" w:hAnsi="Arial" w:cs="Arial"/>
                <w:sz w:val="20"/>
                <w:szCs w:val="20"/>
              </w:rPr>
              <w:t>re</w:t>
            </w:r>
          </w:p>
        </w:tc>
      </w:tr>
      <w:tr w:rsidR="0085579C" w14:paraId="32E90E73"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5392F262" w14:textId="77777777" w:rsidR="0085579C" w:rsidRDefault="0085579C" w:rsidP="002B33D3">
            <w:pPr>
              <w:pStyle w:val="TableParagraph"/>
              <w:kinsoku w:val="0"/>
              <w:overflowPunct w:val="0"/>
              <w:spacing w:line="226" w:lineRule="exact"/>
              <w:ind w:left="102"/>
            </w:pPr>
            <w:proofErr w:type="spellStart"/>
            <w:r>
              <w:rPr>
                <w:rFonts w:ascii="Arial" w:hAnsi="Arial" w:cs="Arial"/>
                <w:spacing w:val="-1"/>
                <w:sz w:val="20"/>
                <w:szCs w:val="20"/>
              </w:rPr>
              <w:t>An</w:t>
            </w:r>
            <w:r>
              <w:rPr>
                <w:rFonts w:ascii="Arial" w:hAnsi="Arial" w:cs="Arial"/>
                <w:spacing w:val="2"/>
                <w:sz w:val="20"/>
                <w:szCs w:val="20"/>
              </w:rPr>
              <w:t>g</w:t>
            </w:r>
            <w:r>
              <w:rPr>
                <w:rFonts w:ascii="Arial" w:hAnsi="Arial" w:cs="Arial"/>
                <w:spacing w:val="-1"/>
                <w:sz w:val="20"/>
                <w:szCs w:val="20"/>
              </w:rPr>
              <w:t>i</w:t>
            </w:r>
            <w:r>
              <w:rPr>
                <w:rFonts w:ascii="Arial" w:hAnsi="Arial" w:cs="Arial"/>
                <w:spacing w:val="2"/>
                <w:sz w:val="20"/>
                <w:szCs w:val="20"/>
              </w:rPr>
              <w:t>o</w:t>
            </w:r>
            <w:r>
              <w:rPr>
                <w:rFonts w:ascii="Arial" w:hAnsi="Arial" w:cs="Arial"/>
                <w:spacing w:val="-1"/>
                <w:sz w:val="20"/>
                <w:szCs w:val="20"/>
              </w:rPr>
              <w:t>neu</w:t>
            </w:r>
            <w:r>
              <w:rPr>
                <w:rFonts w:ascii="Arial" w:hAnsi="Arial" w:cs="Arial"/>
                <w:sz w:val="20"/>
                <w:szCs w:val="20"/>
              </w:rPr>
              <w:t>r</w:t>
            </w:r>
            <w:r>
              <w:rPr>
                <w:rFonts w:ascii="Arial" w:hAnsi="Arial" w:cs="Arial"/>
                <w:spacing w:val="-1"/>
                <w:sz w:val="20"/>
                <w:szCs w:val="20"/>
              </w:rPr>
              <w:t>o</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c</w:t>
            </w:r>
            <w:proofErr w:type="spellEnd"/>
            <w:r>
              <w:rPr>
                <w:rFonts w:ascii="Arial" w:hAnsi="Arial" w:cs="Arial"/>
                <w:spacing w:val="-20"/>
                <w:sz w:val="20"/>
                <w:szCs w:val="20"/>
              </w:rPr>
              <w:t xml:space="preserve"> </w:t>
            </w:r>
            <w:proofErr w:type="spellStart"/>
            <w:r>
              <w:rPr>
                <w:rFonts w:ascii="Arial" w:hAnsi="Arial" w:cs="Arial"/>
                <w:spacing w:val="-1"/>
                <w:sz w:val="20"/>
                <w:szCs w:val="20"/>
              </w:rPr>
              <w:t>o</w:t>
            </w:r>
            <w:r>
              <w:rPr>
                <w:rFonts w:ascii="Arial" w:hAnsi="Arial" w:cs="Arial"/>
                <w:spacing w:val="2"/>
                <w:sz w:val="20"/>
                <w:szCs w:val="20"/>
              </w:rPr>
              <w:t>e</w:t>
            </w:r>
            <w:r>
              <w:rPr>
                <w:rFonts w:ascii="Arial" w:hAnsi="Arial" w:cs="Arial"/>
                <w:spacing w:val="-1"/>
                <w:sz w:val="20"/>
                <w:szCs w:val="20"/>
              </w:rPr>
              <w:t>de</w:t>
            </w:r>
            <w:r>
              <w:rPr>
                <w:rFonts w:ascii="Arial" w:hAnsi="Arial" w:cs="Arial"/>
                <w:spacing w:val="4"/>
                <w:sz w:val="20"/>
                <w:szCs w:val="20"/>
              </w:rPr>
              <w:t>m</w:t>
            </w:r>
            <w:r>
              <w:rPr>
                <w:rFonts w:ascii="Arial" w:hAnsi="Arial" w:cs="Arial"/>
                <w:sz w:val="20"/>
                <w:szCs w:val="20"/>
              </w:rPr>
              <w:t>a</w:t>
            </w:r>
            <w:proofErr w:type="spellEnd"/>
          </w:p>
        </w:tc>
        <w:tc>
          <w:tcPr>
            <w:tcW w:w="2324" w:type="dxa"/>
            <w:tcBorders>
              <w:top w:val="single" w:sz="4" w:space="0" w:color="000000"/>
              <w:left w:val="single" w:sz="4" w:space="0" w:color="000000"/>
              <w:bottom w:val="single" w:sz="4" w:space="0" w:color="000000"/>
              <w:right w:val="single" w:sz="4" w:space="0" w:color="000000"/>
            </w:tcBorders>
          </w:tcPr>
          <w:p w14:paraId="47696F8B" w14:textId="77777777" w:rsidR="0085579C" w:rsidRDefault="0085579C" w:rsidP="002B33D3">
            <w:pPr>
              <w:pStyle w:val="TableParagraph"/>
              <w:kinsoku w:val="0"/>
              <w:overflowPunct w:val="0"/>
              <w:spacing w:line="226" w:lineRule="exact"/>
              <w:ind w:left="608" w:right="610"/>
              <w:jc w:val="center"/>
            </w:pPr>
            <w:r>
              <w:rPr>
                <w:rFonts w:ascii="Arial" w:hAnsi="Arial" w:cs="Arial"/>
                <w:sz w:val="20"/>
                <w:szCs w:val="20"/>
              </w:rPr>
              <w:t>R</w:t>
            </w:r>
            <w:r>
              <w:rPr>
                <w:rFonts w:ascii="Arial" w:hAnsi="Arial" w:cs="Arial"/>
                <w:spacing w:val="-1"/>
                <w:sz w:val="20"/>
                <w:szCs w:val="20"/>
              </w:rPr>
              <w:t>a</w:t>
            </w:r>
            <w:r>
              <w:rPr>
                <w:rFonts w:ascii="Arial" w:hAnsi="Arial" w:cs="Arial"/>
                <w:sz w:val="20"/>
                <w:szCs w:val="20"/>
              </w:rPr>
              <w:t>re</w:t>
            </w:r>
          </w:p>
        </w:tc>
      </w:tr>
      <w:tr w:rsidR="0085579C" w14:paraId="40D245C4"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31DC1B48" w14:textId="77777777" w:rsidR="0085579C" w:rsidRDefault="0085579C" w:rsidP="002B33D3">
            <w:pPr>
              <w:pStyle w:val="TableParagraph"/>
              <w:kinsoku w:val="0"/>
              <w:overflowPunct w:val="0"/>
              <w:spacing w:line="226" w:lineRule="exact"/>
              <w:ind w:left="102"/>
            </w:pPr>
            <w:proofErr w:type="spellStart"/>
            <w:r>
              <w:rPr>
                <w:rFonts w:ascii="Arial" w:hAnsi="Arial" w:cs="Arial"/>
                <w:sz w:val="20"/>
                <w:szCs w:val="20"/>
              </w:rPr>
              <w:t>Ur</w:t>
            </w:r>
            <w:r>
              <w:rPr>
                <w:rFonts w:ascii="Arial" w:hAnsi="Arial" w:cs="Arial"/>
                <w:spacing w:val="-1"/>
                <w:sz w:val="20"/>
                <w:szCs w:val="20"/>
              </w:rPr>
              <w:t>ti</w:t>
            </w:r>
            <w:r>
              <w:rPr>
                <w:rFonts w:ascii="Arial" w:hAnsi="Arial" w:cs="Arial"/>
                <w:spacing w:val="1"/>
                <w:sz w:val="20"/>
                <w:szCs w:val="20"/>
              </w:rPr>
              <w:t>c</w:t>
            </w:r>
            <w:r>
              <w:rPr>
                <w:rFonts w:ascii="Arial" w:hAnsi="Arial" w:cs="Arial"/>
                <w:spacing w:val="-1"/>
                <w:sz w:val="20"/>
                <w:szCs w:val="20"/>
              </w:rPr>
              <w:t>a</w:t>
            </w:r>
            <w:r>
              <w:rPr>
                <w:rFonts w:ascii="Arial" w:hAnsi="Arial" w:cs="Arial"/>
                <w:sz w:val="20"/>
                <w:szCs w:val="20"/>
              </w:rPr>
              <w:t>r</w:t>
            </w:r>
            <w:r>
              <w:rPr>
                <w:rFonts w:ascii="Arial" w:hAnsi="Arial" w:cs="Arial"/>
                <w:spacing w:val="-1"/>
                <w:sz w:val="20"/>
                <w:szCs w:val="20"/>
              </w:rPr>
              <w:t>ia</w:t>
            </w:r>
            <w:proofErr w:type="spellEnd"/>
          </w:p>
        </w:tc>
        <w:tc>
          <w:tcPr>
            <w:tcW w:w="2324" w:type="dxa"/>
            <w:tcBorders>
              <w:top w:val="single" w:sz="4" w:space="0" w:color="000000"/>
              <w:left w:val="single" w:sz="4" w:space="0" w:color="000000"/>
              <w:bottom w:val="single" w:sz="4" w:space="0" w:color="000000"/>
              <w:right w:val="single" w:sz="4" w:space="0" w:color="000000"/>
            </w:tcBorders>
          </w:tcPr>
          <w:p w14:paraId="640F7A43" w14:textId="77777777" w:rsidR="0085579C" w:rsidRDefault="0085579C" w:rsidP="002B33D3">
            <w:pPr>
              <w:pStyle w:val="TableParagraph"/>
              <w:kinsoku w:val="0"/>
              <w:overflowPunct w:val="0"/>
              <w:spacing w:line="226" w:lineRule="exact"/>
              <w:ind w:left="608" w:right="610"/>
              <w:jc w:val="center"/>
            </w:pPr>
            <w:r>
              <w:rPr>
                <w:rFonts w:ascii="Arial" w:hAnsi="Arial" w:cs="Arial"/>
                <w:sz w:val="20"/>
                <w:szCs w:val="20"/>
              </w:rPr>
              <w:t>R</w:t>
            </w:r>
            <w:r>
              <w:rPr>
                <w:rFonts w:ascii="Arial" w:hAnsi="Arial" w:cs="Arial"/>
                <w:spacing w:val="-1"/>
                <w:sz w:val="20"/>
                <w:szCs w:val="20"/>
              </w:rPr>
              <w:t>a</w:t>
            </w:r>
            <w:r>
              <w:rPr>
                <w:rFonts w:ascii="Arial" w:hAnsi="Arial" w:cs="Arial"/>
                <w:sz w:val="20"/>
                <w:szCs w:val="20"/>
              </w:rPr>
              <w:t>re</w:t>
            </w:r>
          </w:p>
        </w:tc>
      </w:tr>
      <w:tr w:rsidR="0085579C" w14:paraId="528764AC"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5DCB397B" w14:textId="77777777" w:rsidR="0085579C" w:rsidRDefault="0085579C" w:rsidP="002B33D3">
            <w:pPr>
              <w:pStyle w:val="TableParagraph"/>
              <w:kinsoku w:val="0"/>
              <w:overflowPunct w:val="0"/>
              <w:spacing w:line="226" w:lineRule="exact"/>
              <w:ind w:left="102"/>
            </w:pPr>
            <w:r>
              <w:rPr>
                <w:rFonts w:ascii="Arial" w:hAnsi="Arial" w:cs="Arial"/>
                <w:spacing w:val="2"/>
                <w:sz w:val="20"/>
                <w:szCs w:val="20"/>
              </w:rPr>
              <w:t>H</w:t>
            </w:r>
            <w:r>
              <w:rPr>
                <w:rFonts w:ascii="Arial" w:hAnsi="Arial" w:cs="Arial"/>
                <w:spacing w:val="-5"/>
                <w:sz w:val="20"/>
                <w:szCs w:val="20"/>
              </w:rPr>
              <w:t>y</w:t>
            </w:r>
            <w:r>
              <w:rPr>
                <w:rFonts w:ascii="Arial" w:hAnsi="Arial" w:cs="Arial"/>
                <w:spacing w:val="2"/>
                <w:sz w:val="20"/>
                <w:szCs w:val="20"/>
              </w:rPr>
              <w:t>p</w:t>
            </w:r>
            <w:r>
              <w:rPr>
                <w:rFonts w:ascii="Arial" w:hAnsi="Arial" w:cs="Arial"/>
                <w:spacing w:val="-1"/>
                <w:sz w:val="20"/>
                <w:szCs w:val="20"/>
              </w:rPr>
              <w:t>e</w:t>
            </w:r>
            <w:r>
              <w:rPr>
                <w:rFonts w:ascii="Arial" w:hAnsi="Arial" w:cs="Arial"/>
                <w:sz w:val="20"/>
                <w:szCs w:val="20"/>
              </w:rPr>
              <w:t>r</w:t>
            </w:r>
            <w:r>
              <w:rPr>
                <w:rFonts w:ascii="Arial" w:hAnsi="Arial" w:cs="Arial"/>
                <w:spacing w:val="1"/>
                <w:sz w:val="20"/>
                <w:szCs w:val="20"/>
              </w:rPr>
              <w:t>s</w:t>
            </w:r>
            <w:r>
              <w:rPr>
                <w:rFonts w:ascii="Arial" w:hAnsi="Arial" w:cs="Arial"/>
                <w:spacing w:val="-1"/>
                <w:sz w:val="20"/>
                <w:szCs w:val="20"/>
              </w:rPr>
              <w:t>en</w:t>
            </w:r>
            <w:r>
              <w:rPr>
                <w:rFonts w:ascii="Arial" w:hAnsi="Arial" w:cs="Arial"/>
                <w:spacing w:val="1"/>
                <w:sz w:val="20"/>
                <w:szCs w:val="20"/>
              </w:rPr>
              <w:t>s</w:t>
            </w:r>
            <w:r>
              <w:rPr>
                <w:rFonts w:ascii="Arial" w:hAnsi="Arial" w:cs="Arial"/>
                <w:spacing w:val="-2"/>
                <w:sz w:val="20"/>
                <w:szCs w:val="20"/>
              </w:rPr>
              <w:t>i</w:t>
            </w:r>
            <w:r>
              <w:rPr>
                <w:rFonts w:ascii="Arial" w:hAnsi="Arial" w:cs="Arial"/>
                <w:spacing w:val="2"/>
                <w:sz w:val="20"/>
                <w:szCs w:val="20"/>
              </w:rPr>
              <w:t>t</w:t>
            </w:r>
            <w:r>
              <w:rPr>
                <w:rFonts w:ascii="Arial" w:hAnsi="Arial" w:cs="Arial"/>
                <w:spacing w:val="-1"/>
                <w:sz w:val="20"/>
                <w:szCs w:val="20"/>
              </w:rPr>
              <w:t>i</w:t>
            </w:r>
            <w:r>
              <w:rPr>
                <w:rFonts w:ascii="Arial" w:hAnsi="Arial" w:cs="Arial"/>
                <w:spacing w:val="1"/>
                <w:sz w:val="20"/>
                <w:szCs w:val="20"/>
              </w:rPr>
              <w:t>v</w:t>
            </w:r>
            <w:r>
              <w:rPr>
                <w:rFonts w:ascii="Arial" w:hAnsi="Arial" w:cs="Arial"/>
                <w:spacing w:val="-2"/>
                <w:sz w:val="20"/>
                <w:szCs w:val="20"/>
              </w:rPr>
              <w:t>i</w:t>
            </w:r>
            <w:r>
              <w:rPr>
                <w:rFonts w:ascii="Arial" w:hAnsi="Arial" w:cs="Arial"/>
                <w:spacing w:val="4"/>
                <w:sz w:val="20"/>
                <w:szCs w:val="20"/>
              </w:rPr>
              <w:t>t</w:t>
            </w:r>
            <w:r>
              <w:rPr>
                <w:rFonts w:ascii="Arial" w:hAnsi="Arial" w:cs="Arial"/>
                <w:sz w:val="20"/>
                <w:szCs w:val="20"/>
              </w:rPr>
              <w:t>y</w:t>
            </w:r>
            <w:r>
              <w:rPr>
                <w:rFonts w:ascii="Arial" w:hAnsi="Arial" w:cs="Arial"/>
                <w:spacing w:val="-17"/>
                <w:sz w:val="20"/>
                <w:szCs w:val="20"/>
              </w:rPr>
              <w:t xml:space="preserve"> </w:t>
            </w:r>
            <w:r>
              <w:rPr>
                <w:rFonts w:ascii="Arial" w:hAnsi="Arial" w:cs="Arial"/>
                <w:sz w:val="20"/>
                <w:szCs w:val="20"/>
              </w:rPr>
              <w:t>(</w:t>
            </w:r>
            <w:r>
              <w:rPr>
                <w:rFonts w:ascii="Arial" w:hAnsi="Arial" w:cs="Arial"/>
                <w:spacing w:val="-1"/>
                <w:sz w:val="20"/>
                <w:szCs w:val="20"/>
              </w:rPr>
              <w:t>in</w:t>
            </w:r>
            <w:r>
              <w:rPr>
                <w:rFonts w:ascii="Arial" w:hAnsi="Arial" w:cs="Arial"/>
                <w:spacing w:val="1"/>
                <w:sz w:val="20"/>
                <w:szCs w:val="20"/>
              </w:rPr>
              <w:t>cl</w:t>
            </w:r>
            <w:r>
              <w:rPr>
                <w:rFonts w:ascii="Arial" w:hAnsi="Arial" w:cs="Arial"/>
                <w:spacing w:val="-1"/>
                <w:sz w:val="20"/>
                <w:szCs w:val="20"/>
              </w:rPr>
              <w:t>u</w:t>
            </w:r>
            <w:r>
              <w:rPr>
                <w:rFonts w:ascii="Arial" w:hAnsi="Arial" w:cs="Arial"/>
                <w:spacing w:val="2"/>
                <w:sz w:val="20"/>
                <w:szCs w:val="20"/>
              </w:rPr>
              <w:t>d</w:t>
            </w:r>
            <w:r>
              <w:rPr>
                <w:rFonts w:ascii="Arial" w:hAnsi="Arial" w:cs="Arial"/>
                <w:spacing w:val="-1"/>
                <w:sz w:val="20"/>
                <w:szCs w:val="20"/>
              </w:rPr>
              <w:t>in</w:t>
            </w:r>
            <w:r>
              <w:rPr>
                <w:rFonts w:ascii="Arial" w:hAnsi="Arial" w:cs="Arial"/>
                <w:sz w:val="20"/>
                <w:szCs w:val="20"/>
              </w:rPr>
              <w:t>g</w:t>
            </w:r>
            <w:r>
              <w:rPr>
                <w:rFonts w:ascii="Arial" w:hAnsi="Arial" w:cs="Arial"/>
                <w:spacing w:val="-13"/>
                <w:sz w:val="20"/>
                <w:szCs w:val="20"/>
              </w:rPr>
              <w:t xml:space="preserve"> </w:t>
            </w:r>
            <w:r>
              <w:rPr>
                <w:rFonts w:ascii="Arial" w:hAnsi="Arial" w:cs="Arial"/>
                <w:spacing w:val="1"/>
                <w:sz w:val="20"/>
                <w:szCs w:val="20"/>
              </w:rPr>
              <w:t>i</w:t>
            </w:r>
            <w:r>
              <w:rPr>
                <w:rFonts w:ascii="Arial" w:hAnsi="Arial" w:cs="Arial"/>
                <w:spacing w:val="2"/>
                <w:sz w:val="20"/>
                <w:szCs w:val="20"/>
              </w:rPr>
              <w:t>mm</w:t>
            </w:r>
            <w:r>
              <w:rPr>
                <w:rFonts w:ascii="Arial" w:hAnsi="Arial" w:cs="Arial"/>
                <w:spacing w:val="-1"/>
                <w:sz w:val="20"/>
                <w:szCs w:val="20"/>
              </w:rPr>
              <w:t>ed</w:t>
            </w:r>
            <w:r>
              <w:rPr>
                <w:rFonts w:ascii="Arial" w:hAnsi="Arial" w:cs="Arial"/>
                <w:spacing w:val="-2"/>
                <w:sz w:val="20"/>
                <w:szCs w:val="20"/>
              </w:rPr>
              <w:t>i</w:t>
            </w:r>
            <w:r>
              <w:rPr>
                <w:rFonts w:ascii="Arial" w:hAnsi="Arial" w:cs="Arial"/>
                <w:spacing w:val="-1"/>
                <w:sz w:val="20"/>
                <w:szCs w:val="20"/>
              </w:rPr>
              <w:t>at</w:t>
            </w:r>
            <w:r>
              <w:rPr>
                <w:rFonts w:ascii="Arial" w:hAnsi="Arial" w:cs="Arial"/>
                <w:sz w:val="20"/>
                <w:szCs w:val="20"/>
              </w:rPr>
              <w:t>e</w:t>
            </w:r>
            <w:r>
              <w:rPr>
                <w:rFonts w:ascii="Arial" w:hAnsi="Arial" w:cs="Arial"/>
                <w:spacing w:val="-14"/>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pacing w:val="-1"/>
                <w:sz w:val="20"/>
                <w:szCs w:val="20"/>
              </w:rPr>
              <w:t>a</w:t>
            </w:r>
            <w:r>
              <w:rPr>
                <w:rFonts w:ascii="Arial" w:hAnsi="Arial" w:cs="Arial"/>
                <w:spacing w:val="1"/>
                <w:sz w:val="20"/>
                <w:szCs w:val="20"/>
              </w:rPr>
              <w:t>c</w:t>
            </w:r>
            <w:r>
              <w:rPr>
                <w:rFonts w:ascii="Arial" w:hAnsi="Arial" w:cs="Arial"/>
                <w:spacing w:val="-1"/>
                <w:sz w:val="20"/>
                <w:szCs w:val="20"/>
              </w:rPr>
              <w:t>ti</w:t>
            </w:r>
            <w:r>
              <w:rPr>
                <w:rFonts w:ascii="Arial" w:hAnsi="Arial" w:cs="Arial"/>
                <w:spacing w:val="2"/>
                <w:sz w:val="20"/>
                <w:szCs w:val="20"/>
              </w:rPr>
              <w:t>o</w:t>
            </w:r>
            <w:r>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w:t>
            </w:r>
          </w:p>
        </w:tc>
        <w:tc>
          <w:tcPr>
            <w:tcW w:w="2324" w:type="dxa"/>
            <w:tcBorders>
              <w:top w:val="single" w:sz="4" w:space="0" w:color="000000"/>
              <w:left w:val="single" w:sz="4" w:space="0" w:color="000000"/>
              <w:bottom w:val="single" w:sz="4" w:space="0" w:color="000000"/>
              <w:right w:val="single" w:sz="4" w:space="0" w:color="000000"/>
            </w:tcBorders>
          </w:tcPr>
          <w:p w14:paraId="5869163F" w14:textId="77777777" w:rsidR="0085579C" w:rsidRDefault="0085579C" w:rsidP="002B33D3">
            <w:pPr>
              <w:pStyle w:val="TableParagraph"/>
              <w:kinsoku w:val="0"/>
              <w:overflowPunct w:val="0"/>
              <w:spacing w:line="226" w:lineRule="exact"/>
              <w:ind w:left="608" w:right="610"/>
              <w:jc w:val="center"/>
            </w:pPr>
            <w:r>
              <w:rPr>
                <w:rFonts w:ascii="Arial" w:hAnsi="Arial" w:cs="Arial"/>
                <w:sz w:val="20"/>
                <w:szCs w:val="20"/>
              </w:rPr>
              <w:t>R</w:t>
            </w:r>
            <w:r>
              <w:rPr>
                <w:rFonts w:ascii="Arial" w:hAnsi="Arial" w:cs="Arial"/>
                <w:spacing w:val="-1"/>
                <w:sz w:val="20"/>
                <w:szCs w:val="20"/>
              </w:rPr>
              <w:t>a</w:t>
            </w:r>
            <w:r>
              <w:rPr>
                <w:rFonts w:ascii="Arial" w:hAnsi="Arial" w:cs="Arial"/>
                <w:sz w:val="20"/>
                <w:szCs w:val="20"/>
              </w:rPr>
              <w:t>re</w:t>
            </w:r>
          </w:p>
        </w:tc>
      </w:tr>
      <w:tr w:rsidR="0085579C" w14:paraId="1B21D2DE"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2F2E0901" w14:textId="77777777" w:rsidR="0085579C" w:rsidRDefault="0085579C" w:rsidP="002B33D3">
            <w:pPr>
              <w:pStyle w:val="TableParagraph"/>
              <w:kinsoku w:val="0"/>
              <w:overflowPunct w:val="0"/>
              <w:spacing w:line="226" w:lineRule="exact"/>
              <w:ind w:left="102"/>
            </w:pPr>
            <w:r>
              <w:rPr>
                <w:rFonts w:ascii="Arial" w:hAnsi="Arial" w:cs="Arial"/>
                <w:spacing w:val="-1"/>
                <w:sz w:val="20"/>
                <w:szCs w:val="20"/>
              </w:rPr>
              <w:t>S</w:t>
            </w:r>
            <w:r>
              <w:rPr>
                <w:rFonts w:ascii="Arial" w:hAnsi="Arial" w:cs="Arial"/>
                <w:spacing w:val="3"/>
                <w:sz w:val="20"/>
                <w:szCs w:val="20"/>
              </w:rPr>
              <w:t>k</w:t>
            </w:r>
            <w:r>
              <w:rPr>
                <w:rFonts w:ascii="Arial" w:hAnsi="Arial" w:cs="Arial"/>
                <w:spacing w:val="-1"/>
                <w:sz w:val="20"/>
                <w:szCs w:val="20"/>
              </w:rPr>
              <w:t>i</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in</w:t>
            </w:r>
            <w:r>
              <w:rPr>
                <w:rFonts w:ascii="Arial" w:hAnsi="Arial" w:cs="Arial"/>
                <w:spacing w:val="2"/>
                <w:sz w:val="20"/>
                <w:szCs w:val="20"/>
              </w:rPr>
              <w:t>f</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ti</w:t>
            </w:r>
            <w:r>
              <w:rPr>
                <w:rFonts w:ascii="Arial" w:hAnsi="Arial" w:cs="Arial"/>
                <w:spacing w:val="2"/>
                <w:sz w:val="20"/>
                <w:szCs w:val="20"/>
              </w:rPr>
              <w:t>o</w:t>
            </w:r>
            <w:r>
              <w:rPr>
                <w:rFonts w:ascii="Arial" w:hAnsi="Arial" w:cs="Arial"/>
                <w:spacing w:val="-1"/>
                <w:sz w:val="20"/>
                <w:szCs w:val="20"/>
              </w:rPr>
              <w:t>n/</w:t>
            </w:r>
            <w:r>
              <w:rPr>
                <w:rFonts w:ascii="Arial" w:hAnsi="Arial" w:cs="Arial"/>
                <w:spacing w:val="1"/>
                <w:sz w:val="20"/>
                <w:szCs w:val="20"/>
              </w:rPr>
              <w:t>s</w:t>
            </w:r>
            <w:r>
              <w:rPr>
                <w:rFonts w:ascii="Arial" w:hAnsi="Arial" w:cs="Arial"/>
                <w:spacing w:val="3"/>
                <w:sz w:val="20"/>
                <w:szCs w:val="20"/>
              </w:rPr>
              <w:t>k</w:t>
            </w:r>
            <w:r>
              <w:rPr>
                <w:rFonts w:ascii="Arial" w:hAnsi="Arial" w:cs="Arial"/>
                <w:spacing w:val="-1"/>
                <w:sz w:val="20"/>
                <w:szCs w:val="20"/>
              </w:rPr>
              <w:t>i</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ul</w:t>
            </w:r>
            <w:r>
              <w:rPr>
                <w:rFonts w:ascii="Arial" w:hAnsi="Arial" w:cs="Arial"/>
                <w:spacing w:val="1"/>
                <w:sz w:val="20"/>
                <w:szCs w:val="20"/>
              </w:rPr>
              <w:t>c</w:t>
            </w:r>
            <w:r>
              <w:rPr>
                <w:rFonts w:ascii="Arial" w:hAnsi="Arial" w:cs="Arial"/>
                <w:spacing w:val="-1"/>
                <w:sz w:val="20"/>
                <w:szCs w:val="20"/>
              </w:rPr>
              <w:t>er</w:t>
            </w:r>
          </w:p>
        </w:tc>
        <w:tc>
          <w:tcPr>
            <w:tcW w:w="2324" w:type="dxa"/>
            <w:tcBorders>
              <w:top w:val="single" w:sz="4" w:space="0" w:color="000000"/>
              <w:left w:val="single" w:sz="4" w:space="0" w:color="000000"/>
              <w:bottom w:val="single" w:sz="4" w:space="0" w:color="000000"/>
              <w:right w:val="single" w:sz="4" w:space="0" w:color="000000"/>
            </w:tcBorders>
          </w:tcPr>
          <w:p w14:paraId="141C4222" w14:textId="77777777" w:rsidR="0085579C" w:rsidRDefault="0085579C" w:rsidP="002B33D3">
            <w:pPr>
              <w:pStyle w:val="TableParagraph"/>
              <w:kinsoku w:val="0"/>
              <w:overflowPunct w:val="0"/>
              <w:spacing w:line="226" w:lineRule="exact"/>
              <w:ind w:left="370"/>
            </w:pPr>
            <w:r>
              <w:rPr>
                <w:rFonts w:ascii="Arial" w:hAnsi="Arial" w:cs="Arial"/>
                <w:sz w:val="20"/>
                <w:szCs w:val="20"/>
              </w:rPr>
              <w:t>N</w:t>
            </w:r>
            <w:r>
              <w:rPr>
                <w:rFonts w:ascii="Arial" w:hAnsi="Arial" w:cs="Arial"/>
                <w:spacing w:val="-1"/>
                <w:sz w:val="20"/>
                <w:szCs w:val="20"/>
              </w:rPr>
              <w:t>o</w:t>
            </w:r>
            <w:r>
              <w:rPr>
                <w:rFonts w:ascii="Arial" w:hAnsi="Arial" w:cs="Arial"/>
                <w:sz w:val="20"/>
                <w:szCs w:val="20"/>
              </w:rPr>
              <w:t>t</w:t>
            </w:r>
            <w:r>
              <w:rPr>
                <w:rFonts w:ascii="Arial" w:hAnsi="Arial" w:cs="Arial"/>
                <w:spacing w:val="-10"/>
                <w:sz w:val="20"/>
                <w:szCs w:val="20"/>
              </w:rPr>
              <w:t xml:space="preserve"> </w:t>
            </w:r>
            <w:r>
              <w:rPr>
                <w:rFonts w:ascii="Arial" w:hAnsi="Arial" w:cs="Arial"/>
                <w:spacing w:val="3"/>
                <w:sz w:val="20"/>
                <w:szCs w:val="20"/>
              </w:rPr>
              <w:t>k</w:t>
            </w:r>
            <w:r>
              <w:rPr>
                <w:rFonts w:ascii="Arial" w:hAnsi="Arial" w:cs="Arial"/>
                <w:spacing w:val="-1"/>
                <w:sz w:val="20"/>
                <w:szCs w:val="20"/>
              </w:rPr>
              <w:t>no</w:t>
            </w:r>
            <w:r>
              <w:rPr>
                <w:rFonts w:ascii="Arial" w:hAnsi="Arial" w:cs="Arial"/>
                <w:sz w:val="20"/>
                <w:szCs w:val="20"/>
              </w:rPr>
              <w:t>wn</w:t>
            </w:r>
          </w:p>
        </w:tc>
      </w:tr>
      <w:tr w:rsidR="0085579C" w14:paraId="63545EDA"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7BA3512E" w14:textId="77777777" w:rsidR="0085579C" w:rsidRDefault="0085579C" w:rsidP="002B33D3">
            <w:pPr>
              <w:pStyle w:val="TableParagraph"/>
              <w:kinsoku w:val="0"/>
              <w:overflowPunct w:val="0"/>
              <w:spacing w:line="226" w:lineRule="exact"/>
              <w:ind w:left="102"/>
              <w:rPr>
                <w:rFonts w:ascii="Arial" w:hAnsi="Arial" w:cs="Arial"/>
                <w:sz w:val="20"/>
                <w:szCs w:val="20"/>
              </w:rPr>
            </w:pPr>
            <w:r>
              <w:rPr>
                <w:rFonts w:ascii="Arial" w:hAnsi="Arial" w:cs="Arial"/>
                <w:sz w:val="20"/>
                <w:szCs w:val="20"/>
              </w:rPr>
              <w:t>D</w:t>
            </w:r>
            <w:r>
              <w:rPr>
                <w:rFonts w:ascii="Arial" w:hAnsi="Arial" w:cs="Arial"/>
                <w:spacing w:val="3"/>
                <w:sz w:val="20"/>
                <w:szCs w:val="20"/>
              </w:rPr>
              <w:t>r</w:t>
            </w:r>
            <w:r>
              <w:rPr>
                <w:rFonts w:ascii="Arial" w:hAnsi="Arial" w:cs="Arial"/>
                <w:sz w:val="20"/>
                <w:szCs w:val="20"/>
              </w:rPr>
              <w:t>y</w:t>
            </w:r>
            <w:r>
              <w:rPr>
                <w:rFonts w:ascii="Arial" w:hAnsi="Arial" w:cs="Arial"/>
                <w:spacing w:val="-11"/>
                <w:sz w:val="20"/>
                <w:szCs w:val="20"/>
              </w:rPr>
              <w:t xml:space="preserve"> </w:t>
            </w:r>
            <w:r>
              <w:rPr>
                <w:rFonts w:ascii="Arial" w:hAnsi="Arial" w:cs="Arial"/>
                <w:spacing w:val="1"/>
                <w:sz w:val="20"/>
                <w:szCs w:val="20"/>
              </w:rPr>
              <w:t>s</w:t>
            </w:r>
            <w:r>
              <w:rPr>
                <w:rFonts w:ascii="Arial" w:hAnsi="Arial" w:cs="Arial"/>
                <w:spacing w:val="3"/>
                <w:sz w:val="20"/>
                <w:szCs w:val="20"/>
              </w:rPr>
              <w:t>k</w:t>
            </w:r>
            <w:r>
              <w:rPr>
                <w:rFonts w:ascii="Arial" w:hAnsi="Arial" w:cs="Arial"/>
                <w:spacing w:val="-1"/>
                <w:sz w:val="20"/>
                <w:szCs w:val="20"/>
              </w:rPr>
              <w:t>i</w:t>
            </w:r>
            <w:r>
              <w:rPr>
                <w:rFonts w:ascii="Arial" w:hAnsi="Arial" w:cs="Arial"/>
                <w:sz w:val="20"/>
                <w:szCs w:val="20"/>
              </w:rPr>
              <w:t>n</w:t>
            </w:r>
          </w:p>
          <w:p w14:paraId="436E5D4D" w14:textId="77777777" w:rsidR="0085579C" w:rsidRDefault="0085579C" w:rsidP="002B33D3">
            <w:pPr>
              <w:pStyle w:val="TableParagraph"/>
              <w:kinsoku w:val="0"/>
              <w:overflowPunct w:val="0"/>
              <w:spacing w:line="226" w:lineRule="exact"/>
              <w:ind w:left="102"/>
            </w:pPr>
          </w:p>
        </w:tc>
        <w:tc>
          <w:tcPr>
            <w:tcW w:w="2324" w:type="dxa"/>
            <w:tcBorders>
              <w:top w:val="single" w:sz="4" w:space="0" w:color="000000"/>
              <w:left w:val="single" w:sz="4" w:space="0" w:color="000000"/>
              <w:bottom w:val="single" w:sz="4" w:space="0" w:color="000000"/>
              <w:right w:val="single" w:sz="4" w:space="0" w:color="000000"/>
            </w:tcBorders>
          </w:tcPr>
          <w:p w14:paraId="7BFE3C18" w14:textId="77777777" w:rsidR="0085579C" w:rsidRDefault="0085579C" w:rsidP="002B33D3">
            <w:pPr>
              <w:pStyle w:val="TableParagraph"/>
              <w:kinsoku w:val="0"/>
              <w:overflowPunct w:val="0"/>
              <w:spacing w:line="226" w:lineRule="exact"/>
              <w:ind w:left="370"/>
            </w:pPr>
            <w:r>
              <w:rPr>
                <w:rFonts w:ascii="Arial" w:hAnsi="Arial" w:cs="Arial"/>
                <w:sz w:val="20"/>
                <w:szCs w:val="20"/>
              </w:rPr>
              <w:t>N</w:t>
            </w:r>
            <w:r>
              <w:rPr>
                <w:rFonts w:ascii="Arial" w:hAnsi="Arial" w:cs="Arial"/>
                <w:spacing w:val="-1"/>
                <w:sz w:val="20"/>
                <w:szCs w:val="20"/>
              </w:rPr>
              <w:t>o</w:t>
            </w:r>
            <w:r>
              <w:rPr>
                <w:rFonts w:ascii="Arial" w:hAnsi="Arial" w:cs="Arial"/>
                <w:sz w:val="20"/>
                <w:szCs w:val="20"/>
              </w:rPr>
              <w:t>t</w:t>
            </w:r>
            <w:r>
              <w:rPr>
                <w:rFonts w:ascii="Arial" w:hAnsi="Arial" w:cs="Arial"/>
                <w:spacing w:val="-10"/>
                <w:sz w:val="20"/>
                <w:szCs w:val="20"/>
              </w:rPr>
              <w:t xml:space="preserve"> </w:t>
            </w:r>
            <w:r>
              <w:rPr>
                <w:rFonts w:ascii="Arial" w:hAnsi="Arial" w:cs="Arial"/>
                <w:spacing w:val="3"/>
                <w:sz w:val="20"/>
                <w:szCs w:val="20"/>
              </w:rPr>
              <w:t>k</w:t>
            </w:r>
            <w:r>
              <w:rPr>
                <w:rFonts w:ascii="Arial" w:hAnsi="Arial" w:cs="Arial"/>
                <w:spacing w:val="-1"/>
                <w:sz w:val="20"/>
                <w:szCs w:val="20"/>
              </w:rPr>
              <w:t>no</w:t>
            </w:r>
            <w:r>
              <w:rPr>
                <w:rFonts w:ascii="Arial" w:hAnsi="Arial" w:cs="Arial"/>
                <w:sz w:val="20"/>
                <w:szCs w:val="20"/>
              </w:rPr>
              <w:t>wn</w:t>
            </w:r>
          </w:p>
        </w:tc>
      </w:tr>
      <w:tr w:rsidR="0085579C" w14:paraId="45970791"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36C7AE08" w14:textId="77777777" w:rsidR="0085579C" w:rsidRDefault="0085579C" w:rsidP="002B33D3">
            <w:pPr>
              <w:pStyle w:val="TableParagraph"/>
              <w:kinsoku w:val="0"/>
              <w:overflowPunct w:val="0"/>
              <w:spacing w:line="226" w:lineRule="exact"/>
              <w:ind w:left="102"/>
              <w:rPr>
                <w:rFonts w:ascii="Arial" w:hAnsi="Arial" w:cs="Arial"/>
                <w:sz w:val="20"/>
                <w:szCs w:val="20"/>
              </w:rPr>
            </w:pPr>
            <w:r>
              <w:rPr>
                <w:rFonts w:ascii="Arial" w:hAnsi="Arial" w:cs="Arial"/>
                <w:sz w:val="20"/>
                <w:szCs w:val="20"/>
              </w:rPr>
              <w:t>Anaphylactic reaction</w:t>
            </w:r>
          </w:p>
        </w:tc>
        <w:tc>
          <w:tcPr>
            <w:tcW w:w="2324" w:type="dxa"/>
            <w:tcBorders>
              <w:top w:val="single" w:sz="4" w:space="0" w:color="000000"/>
              <w:left w:val="single" w:sz="4" w:space="0" w:color="000000"/>
              <w:bottom w:val="single" w:sz="4" w:space="0" w:color="000000"/>
              <w:right w:val="single" w:sz="4" w:space="0" w:color="000000"/>
            </w:tcBorders>
          </w:tcPr>
          <w:p w14:paraId="256C44C5" w14:textId="77777777" w:rsidR="0085579C" w:rsidRDefault="0085579C" w:rsidP="002B33D3">
            <w:pPr>
              <w:pStyle w:val="TableParagraph"/>
              <w:kinsoku w:val="0"/>
              <w:overflowPunct w:val="0"/>
              <w:spacing w:line="226" w:lineRule="exact"/>
              <w:ind w:left="370"/>
              <w:rPr>
                <w:rFonts w:ascii="Arial" w:hAnsi="Arial" w:cs="Arial"/>
                <w:sz w:val="20"/>
                <w:szCs w:val="20"/>
              </w:rPr>
            </w:pPr>
            <w:r>
              <w:rPr>
                <w:rFonts w:ascii="Arial" w:hAnsi="Arial" w:cs="Arial"/>
                <w:sz w:val="20"/>
                <w:szCs w:val="20"/>
              </w:rPr>
              <w:t>Not known</w:t>
            </w:r>
          </w:p>
        </w:tc>
      </w:tr>
      <w:tr w:rsidR="0085579C" w14:paraId="75E936CD" w14:textId="77777777" w:rsidTr="002B33D3">
        <w:trPr>
          <w:trHeight w:hRule="exact" w:val="240"/>
        </w:trPr>
        <w:tc>
          <w:tcPr>
            <w:tcW w:w="7854" w:type="dxa"/>
            <w:gridSpan w:val="2"/>
            <w:tcBorders>
              <w:top w:val="single" w:sz="4" w:space="0" w:color="000000"/>
              <w:left w:val="single" w:sz="4" w:space="0" w:color="000000"/>
              <w:bottom w:val="single" w:sz="4" w:space="0" w:color="000000"/>
              <w:right w:val="single" w:sz="4" w:space="0" w:color="000000"/>
            </w:tcBorders>
          </w:tcPr>
          <w:p w14:paraId="4E0A22E3" w14:textId="77777777" w:rsidR="0085579C" w:rsidRDefault="0085579C" w:rsidP="002B33D3">
            <w:pPr>
              <w:pStyle w:val="TableParagraph"/>
              <w:kinsoku w:val="0"/>
              <w:overflowPunct w:val="0"/>
              <w:spacing w:line="226" w:lineRule="exact"/>
              <w:ind w:left="102"/>
            </w:pPr>
            <w:r>
              <w:rPr>
                <w:rFonts w:ascii="Arial" w:hAnsi="Arial" w:cs="Arial"/>
                <w:spacing w:val="-1"/>
                <w:sz w:val="20"/>
                <w:szCs w:val="20"/>
                <w:u w:val="single"/>
              </w:rPr>
              <w:t>Mu</w:t>
            </w:r>
            <w:r>
              <w:rPr>
                <w:rFonts w:ascii="Arial" w:hAnsi="Arial" w:cs="Arial"/>
                <w:spacing w:val="1"/>
                <w:sz w:val="20"/>
                <w:szCs w:val="20"/>
                <w:u w:val="single"/>
              </w:rPr>
              <w:t>sc</w:t>
            </w:r>
            <w:r>
              <w:rPr>
                <w:rFonts w:ascii="Arial" w:hAnsi="Arial" w:cs="Arial"/>
                <w:spacing w:val="-1"/>
                <w:sz w:val="20"/>
                <w:szCs w:val="20"/>
                <w:u w:val="single"/>
              </w:rPr>
              <w:t>ulo</w:t>
            </w:r>
            <w:r>
              <w:rPr>
                <w:rFonts w:ascii="Arial" w:hAnsi="Arial" w:cs="Arial"/>
                <w:spacing w:val="1"/>
                <w:sz w:val="20"/>
                <w:szCs w:val="20"/>
                <w:u w:val="single"/>
              </w:rPr>
              <w:t>s</w:t>
            </w:r>
            <w:r>
              <w:rPr>
                <w:rFonts w:ascii="Arial" w:hAnsi="Arial" w:cs="Arial"/>
                <w:spacing w:val="3"/>
                <w:sz w:val="20"/>
                <w:szCs w:val="20"/>
                <w:u w:val="single"/>
              </w:rPr>
              <w:t>k</w:t>
            </w:r>
            <w:r>
              <w:rPr>
                <w:rFonts w:ascii="Arial" w:hAnsi="Arial" w:cs="Arial"/>
                <w:spacing w:val="-1"/>
                <w:sz w:val="20"/>
                <w:szCs w:val="20"/>
                <w:u w:val="single"/>
              </w:rPr>
              <w:t>elet</w:t>
            </w:r>
            <w:r>
              <w:rPr>
                <w:rFonts w:ascii="Arial" w:hAnsi="Arial" w:cs="Arial"/>
                <w:spacing w:val="2"/>
                <w:sz w:val="20"/>
                <w:szCs w:val="20"/>
                <w:u w:val="single"/>
              </w:rPr>
              <w:t>a</w:t>
            </w:r>
            <w:r>
              <w:rPr>
                <w:rFonts w:ascii="Arial" w:hAnsi="Arial" w:cs="Arial"/>
                <w:sz w:val="20"/>
                <w:szCs w:val="20"/>
                <w:u w:val="single"/>
              </w:rPr>
              <w:t>l</w:t>
            </w:r>
            <w:r>
              <w:rPr>
                <w:rFonts w:ascii="Arial" w:hAnsi="Arial" w:cs="Arial"/>
                <w:spacing w:val="-13"/>
                <w:sz w:val="20"/>
                <w:szCs w:val="20"/>
                <w:u w:val="single"/>
              </w:rPr>
              <w:t xml:space="preserve"> </w:t>
            </w:r>
            <w:r>
              <w:rPr>
                <w:rFonts w:ascii="Arial" w:hAnsi="Arial" w:cs="Arial"/>
                <w:spacing w:val="2"/>
                <w:sz w:val="20"/>
                <w:szCs w:val="20"/>
                <w:u w:val="single"/>
              </w:rPr>
              <w:t>a</w:t>
            </w:r>
            <w:r>
              <w:rPr>
                <w:rFonts w:ascii="Arial" w:hAnsi="Arial" w:cs="Arial"/>
                <w:spacing w:val="-1"/>
                <w:sz w:val="20"/>
                <w:szCs w:val="20"/>
                <w:u w:val="single"/>
              </w:rPr>
              <w:t>nd</w:t>
            </w:r>
            <w:r>
              <w:rPr>
                <w:rFonts w:ascii="Arial" w:hAnsi="Arial" w:cs="Arial"/>
                <w:spacing w:val="-11"/>
                <w:sz w:val="20"/>
                <w:szCs w:val="20"/>
                <w:u w:val="single"/>
              </w:rPr>
              <w:t xml:space="preserve"> </w:t>
            </w:r>
            <w:r>
              <w:rPr>
                <w:rFonts w:ascii="Arial" w:hAnsi="Arial" w:cs="Arial"/>
                <w:spacing w:val="1"/>
                <w:sz w:val="20"/>
                <w:szCs w:val="20"/>
                <w:u w:val="single"/>
              </w:rPr>
              <w:t>c</w:t>
            </w:r>
            <w:r>
              <w:rPr>
                <w:rFonts w:ascii="Arial" w:hAnsi="Arial" w:cs="Arial"/>
                <w:spacing w:val="2"/>
                <w:sz w:val="20"/>
                <w:szCs w:val="20"/>
                <w:u w:val="single"/>
              </w:rPr>
              <w:t>o</w:t>
            </w:r>
            <w:r>
              <w:rPr>
                <w:rFonts w:ascii="Arial" w:hAnsi="Arial" w:cs="Arial"/>
                <w:spacing w:val="-1"/>
                <w:sz w:val="20"/>
                <w:szCs w:val="20"/>
                <w:u w:val="single"/>
              </w:rPr>
              <w:t>nn</w:t>
            </w:r>
            <w:r>
              <w:rPr>
                <w:rFonts w:ascii="Arial" w:hAnsi="Arial" w:cs="Arial"/>
                <w:spacing w:val="2"/>
                <w:sz w:val="20"/>
                <w:szCs w:val="20"/>
                <w:u w:val="single"/>
              </w:rPr>
              <w:t>e</w:t>
            </w:r>
            <w:r>
              <w:rPr>
                <w:rFonts w:ascii="Arial" w:hAnsi="Arial" w:cs="Arial"/>
                <w:spacing w:val="1"/>
                <w:sz w:val="20"/>
                <w:szCs w:val="20"/>
                <w:u w:val="single"/>
              </w:rPr>
              <w:t>c</w:t>
            </w:r>
            <w:r>
              <w:rPr>
                <w:rFonts w:ascii="Arial" w:hAnsi="Arial" w:cs="Arial"/>
                <w:spacing w:val="-1"/>
                <w:sz w:val="20"/>
                <w:szCs w:val="20"/>
                <w:u w:val="single"/>
              </w:rPr>
              <w:t>ti</w:t>
            </w:r>
            <w:r>
              <w:rPr>
                <w:rFonts w:ascii="Arial" w:hAnsi="Arial" w:cs="Arial"/>
                <w:spacing w:val="-2"/>
                <w:sz w:val="20"/>
                <w:szCs w:val="20"/>
                <w:u w:val="single"/>
              </w:rPr>
              <w:t>v</w:t>
            </w:r>
            <w:r>
              <w:rPr>
                <w:rFonts w:ascii="Arial" w:hAnsi="Arial" w:cs="Arial"/>
                <w:sz w:val="20"/>
                <w:szCs w:val="20"/>
                <w:u w:val="single"/>
              </w:rPr>
              <w:t>e</w:t>
            </w:r>
            <w:r>
              <w:rPr>
                <w:rFonts w:ascii="Arial" w:hAnsi="Arial" w:cs="Arial"/>
                <w:spacing w:val="-10"/>
                <w:sz w:val="20"/>
                <w:szCs w:val="20"/>
                <w:u w:val="single"/>
              </w:rPr>
              <w:t xml:space="preserve"> </w:t>
            </w:r>
            <w:r>
              <w:rPr>
                <w:rFonts w:ascii="Arial" w:hAnsi="Arial" w:cs="Arial"/>
                <w:spacing w:val="-1"/>
                <w:sz w:val="20"/>
                <w:szCs w:val="20"/>
                <w:u w:val="single"/>
              </w:rPr>
              <w:t>ti</w:t>
            </w:r>
            <w:r>
              <w:rPr>
                <w:rFonts w:ascii="Arial" w:hAnsi="Arial" w:cs="Arial"/>
                <w:spacing w:val="1"/>
                <w:sz w:val="20"/>
                <w:szCs w:val="20"/>
                <w:u w:val="single"/>
              </w:rPr>
              <w:t>ss</w:t>
            </w:r>
            <w:r>
              <w:rPr>
                <w:rFonts w:ascii="Arial" w:hAnsi="Arial" w:cs="Arial"/>
                <w:spacing w:val="-1"/>
                <w:sz w:val="20"/>
                <w:szCs w:val="20"/>
                <w:u w:val="single"/>
              </w:rPr>
              <w:t>ue</w:t>
            </w:r>
            <w:r>
              <w:rPr>
                <w:rFonts w:ascii="Arial" w:hAnsi="Arial" w:cs="Arial"/>
                <w:spacing w:val="-9"/>
                <w:sz w:val="20"/>
                <w:szCs w:val="20"/>
                <w:u w:val="single"/>
              </w:rPr>
              <w:t xml:space="preserve"> </w:t>
            </w:r>
            <w:r>
              <w:rPr>
                <w:rFonts w:ascii="Arial" w:hAnsi="Arial" w:cs="Arial"/>
                <w:spacing w:val="-1"/>
                <w:sz w:val="20"/>
                <w:szCs w:val="20"/>
                <w:u w:val="single"/>
              </w:rPr>
              <w:t>di</w:t>
            </w:r>
            <w:r>
              <w:rPr>
                <w:rFonts w:ascii="Arial" w:hAnsi="Arial" w:cs="Arial"/>
                <w:spacing w:val="1"/>
                <w:sz w:val="20"/>
                <w:szCs w:val="20"/>
                <w:u w:val="single"/>
              </w:rPr>
              <w:t>s</w:t>
            </w:r>
            <w:r>
              <w:rPr>
                <w:rFonts w:ascii="Arial" w:hAnsi="Arial" w:cs="Arial"/>
                <w:spacing w:val="-1"/>
                <w:sz w:val="20"/>
                <w:szCs w:val="20"/>
                <w:u w:val="single"/>
              </w:rPr>
              <w:t>o</w:t>
            </w:r>
            <w:r>
              <w:rPr>
                <w:rFonts w:ascii="Arial" w:hAnsi="Arial" w:cs="Arial"/>
                <w:sz w:val="20"/>
                <w:szCs w:val="20"/>
                <w:u w:val="single"/>
              </w:rPr>
              <w:t>r</w:t>
            </w:r>
            <w:r>
              <w:rPr>
                <w:rFonts w:ascii="Arial" w:hAnsi="Arial" w:cs="Arial"/>
                <w:spacing w:val="2"/>
                <w:sz w:val="20"/>
                <w:szCs w:val="20"/>
                <w:u w:val="single"/>
              </w:rPr>
              <w:t>d</w:t>
            </w:r>
            <w:r>
              <w:rPr>
                <w:rFonts w:ascii="Arial" w:hAnsi="Arial" w:cs="Arial"/>
                <w:spacing w:val="-1"/>
                <w:sz w:val="20"/>
                <w:szCs w:val="20"/>
                <w:u w:val="single"/>
              </w:rPr>
              <w:t>e</w:t>
            </w:r>
            <w:r>
              <w:rPr>
                <w:rFonts w:ascii="Arial" w:hAnsi="Arial" w:cs="Arial"/>
                <w:sz w:val="20"/>
                <w:szCs w:val="20"/>
                <w:u w:val="single"/>
              </w:rPr>
              <w:t>rs</w:t>
            </w:r>
          </w:p>
        </w:tc>
      </w:tr>
      <w:tr w:rsidR="0085579C" w14:paraId="2611C0D0"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0EE85C99" w14:textId="77777777" w:rsidR="0085579C" w:rsidRDefault="0085579C" w:rsidP="002B33D3">
            <w:pPr>
              <w:pStyle w:val="TableParagraph"/>
              <w:kinsoku w:val="0"/>
              <w:overflowPunct w:val="0"/>
              <w:spacing w:line="226" w:lineRule="exact"/>
              <w:ind w:left="102"/>
            </w:pPr>
            <w:r>
              <w:rPr>
                <w:rFonts w:ascii="Arial" w:hAnsi="Arial" w:cs="Arial"/>
                <w:spacing w:val="1"/>
                <w:sz w:val="20"/>
                <w:szCs w:val="20"/>
              </w:rPr>
              <w:t>J</w:t>
            </w:r>
            <w:r>
              <w:rPr>
                <w:rFonts w:ascii="Arial" w:hAnsi="Arial" w:cs="Arial"/>
                <w:spacing w:val="-1"/>
                <w:sz w:val="20"/>
                <w:szCs w:val="20"/>
              </w:rPr>
              <w:t>oin</w:t>
            </w:r>
            <w:r>
              <w:rPr>
                <w:rFonts w:ascii="Arial" w:hAnsi="Arial" w:cs="Arial"/>
                <w:sz w:val="20"/>
                <w:szCs w:val="20"/>
              </w:rPr>
              <w:t>t</w:t>
            </w:r>
            <w:r>
              <w:rPr>
                <w:rFonts w:ascii="Arial" w:hAnsi="Arial" w:cs="Arial"/>
                <w:spacing w:val="-13"/>
                <w:sz w:val="20"/>
                <w:szCs w:val="20"/>
              </w:rPr>
              <w:t xml:space="preserve"> </w:t>
            </w:r>
            <w:r>
              <w:rPr>
                <w:rFonts w:ascii="Arial" w:hAnsi="Arial" w:cs="Arial"/>
                <w:spacing w:val="3"/>
                <w:sz w:val="20"/>
                <w:szCs w:val="20"/>
              </w:rPr>
              <w:t>s</w:t>
            </w:r>
            <w:r>
              <w:rPr>
                <w:rFonts w:ascii="Arial" w:hAnsi="Arial" w:cs="Arial"/>
                <w:spacing w:val="-3"/>
                <w:sz w:val="20"/>
                <w:szCs w:val="20"/>
              </w:rPr>
              <w:t>w</w:t>
            </w:r>
            <w:r>
              <w:rPr>
                <w:rFonts w:ascii="Arial" w:hAnsi="Arial" w:cs="Arial"/>
                <w:spacing w:val="2"/>
                <w:sz w:val="20"/>
                <w:szCs w:val="20"/>
              </w:rPr>
              <w:t>e</w:t>
            </w:r>
            <w:r>
              <w:rPr>
                <w:rFonts w:ascii="Arial" w:hAnsi="Arial" w:cs="Arial"/>
                <w:spacing w:val="-1"/>
                <w:sz w:val="20"/>
                <w:szCs w:val="20"/>
              </w:rPr>
              <w:t>l</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p>
        </w:tc>
        <w:tc>
          <w:tcPr>
            <w:tcW w:w="2324" w:type="dxa"/>
            <w:tcBorders>
              <w:top w:val="single" w:sz="4" w:space="0" w:color="000000"/>
              <w:left w:val="single" w:sz="4" w:space="0" w:color="000000"/>
              <w:bottom w:val="single" w:sz="4" w:space="0" w:color="000000"/>
              <w:right w:val="single" w:sz="4" w:space="0" w:color="000000"/>
            </w:tcBorders>
          </w:tcPr>
          <w:p w14:paraId="03351275" w14:textId="77777777" w:rsidR="0085579C" w:rsidRDefault="0085579C" w:rsidP="002B33D3">
            <w:pPr>
              <w:pStyle w:val="TableParagraph"/>
              <w:kinsoku w:val="0"/>
              <w:overflowPunct w:val="0"/>
              <w:spacing w:line="226" w:lineRule="exact"/>
              <w:ind w:left="370"/>
            </w:pPr>
            <w:r>
              <w:rPr>
                <w:rFonts w:ascii="Arial" w:hAnsi="Arial" w:cs="Arial"/>
                <w:sz w:val="20"/>
                <w:szCs w:val="20"/>
              </w:rPr>
              <w:t>N</w:t>
            </w:r>
            <w:r>
              <w:rPr>
                <w:rFonts w:ascii="Arial" w:hAnsi="Arial" w:cs="Arial"/>
                <w:spacing w:val="-1"/>
                <w:sz w:val="20"/>
                <w:szCs w:val="20"/>
              </w:rPr>
              <w:t>o</w:t>
            </w:r>
            <w:r>
              <w:rPr>
                <w:rFonts w:ascii="Arial" w:hAnsi="Arial" w:cs="Arial"/>
                <w:sz w:val="20"/>
                <w:szCs w:val="20"/>
              </w:rPr>
              <w:t>t</w:t>
            </w:r>
            <w:r>
              <w:rPr>
                <w:rFonts w:ascii="Arial" w:hAnsi="Arial" w:cs="Arial"/>
                <w:spacing w:val="-10"/>
                <w:sz w:val="20"/>
                <w:szCs w:val="20"/>
              </w:rPr>
              <w:t xml:space="preserve"> </w:t>
            </w:r>
            <w:r>
              <w:rPr>
                <w:rFonts w:ascii="Arial" w:hAnsi="Arial" w:cs="Arial"/>
                <w:spacing w:val="3"/>
                <w:sz w:val="20"/>
                <w:szCs w:val="20"/>
              </w:rPr>
              <w:t>k</w:t>
            </w:r>
            <w:r>
              <w:rPr>
                <w:rFonts w:ascii="Arial" w:hAnsi="Arial" w:cs="Arial"/>
                <w:spacing w:val="-1"/>
                <w:sz w:val="20"/>
                <w:szCs w:val="20"/>
              </w:rPr>
              <w:t>no</w:t>
            </w:r>
            <w:r>
              <w:rPr>
                <w:rFonts w:ascii="Arial" w:hAnsi="Arial" w:cs="Arial"/>
                <w:sz w:val="20"/>
                <w:szCs w:val="20"/>
              </w:rPr>
              <w:t>wn</w:t>
            </w:r>
          </w:p>
        </w:tc>
      </w:tr>
      <w:tr w:rsidR="0085579C" w14:paraId="3D3DDA7F" w14:textId="77777777" w:rsidTr="002B33D3">
        <w:trPr>
          <w:trHeight w:hRule="exact" w:val="240"/>
        </w:trPr>
        <w:tc>
          <w:tcPr>
            <w:tcW w:w="7854" w:type="dxa"/>
            <w:gridSpan w:val="2"/>
            <w:tcBorders>
              <w:top w:val="single" w:sz="4" w:space="0" w:color="000000"/>
              <w:left w:val="single" w:sz="4" w:space="0" w:color="000000"/>
              <w:bottom w:val="single" w:sz="4" w:space="0" w:color="000000"/>
              <w:right w:val="single" w:sz="4" w:space="0" w:color="000000"/>
            </w:tcBorders>
          </w:tcPr>
          <w:p w14:paraId="121EA8C9" w14:textId="77777777" w:rsidR="0085579C" w:rsidRDefault="0085579C" w:rsidP="002B33D3">
            <w:pPr>
              <w:pStyle w:val="TableParagraph"/>
              <w:kinsoku w:val="0"/>
              <w:overflowPunct w:val="0"/>
              <w:spacing w:line="226" w:lineRule="exact"/>
              <w:ind w:left="102"/>
            </w:pPr>
            <w:r>
              <w:rPr>
                <w:rFonts w:ascii="Arial" w:hAnsi="Arial" w:cs="Arial"/>
                <w:sz w:val="20"/>
                <w:szCs w:val="20"/>
                <w:u w:val="single"/>
              </w:rPr>
              <w:t>R</w:t>
            </w:r>
            <w:r>
              <w:rPr>
                <w:rFonts w:ascii="Arial" w:hAnsi="Arial" w:cs="Arial"/>
                <w:spacing w:val="-1"/>
                <w:sz w:val="20"/>
                <w:szCs w:val="20"/>
                <w:u w:val="single"/>
              </w:rPr>
              <w:t>en</w:t>
            </w:r>
            <w:r>
              <w:rPr>
                <w:rFonts w:ascii="Arial" w:hAnsi="Arial" w:cs="Arial"/>
                <w:spacing w:val="2"/>
                <w:sz w:val="20"/>
                <w:szCs w:val="20"/>
                <w:u w:val="single"/>
              </w:rPr>
              <w:t>a</w:t>
            </w:r>
            <w:r>
              <w:rPr>
                <w:rFonts w:ascii="Arial" w:hAnsi="Arial" w:cs="Arial"/>
                <w:sz w:val="20"/>
                <w:szCs w:val="20"/>
                <w:u w:val="single"/>
              </w:rPr>
              <w:t>l</w:t>
            </w:r>
            <w:r>
              <w:rPr>
                <w:rFonts w:ascii="Arial" w:hAnsi="Arial" w:cs="Arial"/>
                <w:spacing w:val="-11"/>
                <w:sz w:val="20"/>
                <w:szCs w:val="20"/>
                <w:u w:val="single"/>
              </w:rPr>
              <w:t xml:space="preserve"> </w:t>
            </w:r>
            <w:r>
              <w:rPr>
                <w:rFonts w:ascii="Arial" w:hAnsi="Arial" w:cs="Arial"/>
                <w:spacing w:val="2"/>
                <w:sz w:val="20"/>
                <w:szCs w:val="20"/>
                <w:u w:val="single"/>
              </w:rPr>
              <w:t>a</w:t>
            </w:r>
            <w:r>
              <w:rPr>
                <w:rFonts w:ascii="Arial" w:hAnsi="Arial" w:cs="Arial"/>
                <w:spacing w:val="-1"/>
                <w:sz w:val="20"/>
                <w:szCs w:val="20"/>
                <w:u w:val="single"/>
              </w:rPr>
              <w:t>nd</w:t>
            </w:r>
            <w:r>
              <w:rPr>
                <w:rFonts w:ascii="Arial" w:hAnsi="Arial" w:cs="Arial"/>
                <w:spacing w:val="-9"/>
                <w:sz w:val="20"/>
                <w:szCs w:val="20"/>
                <w:u w:val="single"/>
              </w:rPr>
              <w:t xml:space="preserve"> </w:t>
            </w:r>
            <w:r>
              <w:rPr>
                <w:rFonts w:ascii="Arial" w:hAnsi="Arial" w:cs="Arial"/>
                <w:spacing w:val="-1"/>
                <w:sz w:val="20"/>
                <w:szCs w:val="20"/>
                <w:u w:val="single"/>
              </w:rPr>
              <w:t>u</w:t>
            </w:r>
            <w:r>
              <w:rPr>
                <w:rFonts w:ascii="Arial" w:hAnsi="Arial" w:cs="Arial"/>
                <w:spacing w:val="3"/>
                <w:sz w:val="20"/>
                <w:szCs w:val="20"/>
                <w:u w:val="single"/>
              </w:rPr>
              <w:t>r</w:t>
            </w:r>
            <w:r>
              <w:rPr>
                <w:rFonts w:ascii="Arial" w:hAnsi="Arial" w:cs="Arial"/>
                <w:spacing w:val="-2"/>
                <w:sz w:val="20"/>
                <w:szCs w:val="20"/>
                <w:u w:val="single"/>
              </w:rPr>
              <w:t>i</w:t>
            </w:r>
            <w:r>
              <w:rPr>
                <w:rFonts w:ascii="Arial" w:hAnsi="Arial" w:cs="Arial"/>
                <w:spacing w:val="-1"/>
                <w:sz w:val="20"/>
                <w:szCs w:val="20"/>
                <w:u w:val="single"/>
              </w:rPr>
              <w:t>na</w:t>
            </w:r>
            <w:r>
              <w:rPr>
                <w:rFonts w:ascii="Arial" w:hAnsi="Arial" w:cs="Arial"/>
                <w:spacing w:val="5"/>
                <w:sz w:val="20"/>
                <w:szCs w:val="20"/>
                <w:u w:val="single"/>
              </w:rPr>
              <w:t>r</w:t>
            </w:r>
            <w:r>
              <w:rPr>
                <w:rFonts w:ascii="Arial" w:hAnsi="Arial" w:cs="Arial"/>
                <w:sz w:val="20"/>
                <w:szCs w:val="20"/>
                <w:u w:val="single"/>
              </w:rPr>
              <w:t>y</w:t>
            </w:r>
            <w:r>
              <w:rPr>
                <w:rFonts w:ascii="Arial" w:hAnsi="Arial" w:cs="Arial"/>
                <w:spacing w:val="-12"/>
                <w:sz w:val="20"/>
                <w:szCs w:val="20"/>
                <w:u w:val="single"/>
              </w:rPr>
              <w:t xml:space="preserve"> </w:t>
            </w:r>
            <w:r>
              <w:rPr>
                <w:rFonts w:ascii="Arial" w:hAnsi="Arial" w:cs="Arial"/>
                <w:spacing w:val="2"/>
                <w:sz w:val="20"/>
                <w:szCs w:val="20"/>
                <w:u w:val="single"/>
              </w:rPr>
              <w:t>d</w:t>
            </w:r>
            <w:r>
              <w:rPr>
                <w:rFonts w:ascii="Arial" w:hAnsi="Arial" w:cs="Arial"/>
                <w:spacing w:val="-2"/>
                <w:sz w:val="20"/>
                <w:szCs w:val="20"/>
                <w:u w:val="single"/>
              </w:rPr>
              <w:t>i</w:t>
            </w:r>
            <w:r>
              <w:rPr>
                <w:rFonts w:ascii="Arial" w:hAnsi="Arial" w:cs="Arial"/>
                <w:spacing w:val="1"/>
                <w:sz w:val="20"/>
                <w:szCs w:val="20"/>
                <w:u w:val="single"/>
              </w:rPr>
              <w:t>s</w:t>
            </w:r>
            <w:r>
              <w:rPr>
                <w:rFonts w:ascii="Arial" w:hAnsi="Arial" w:cs="Arial"/>
                <w:spacing w:val="-1"/>
                <w:sz w:val="20"/>
                <w:szCs w:val="20"/>
                <w:u w:val="single"/>
              </w:rPr>
              <w:t>o</w:t>
            </w:r>
            <w:r>
              <w:rPr>
                <w:rFonts w:ascii="Arial" w:hAnsi="Arial" w:cs="Arial"/>
                <w:sz w:val="20"/>
                <w:szCs w:val="20"/>
                <w:u w:val="single"/>
              </w:rPr>
              <w:t>r</w:t>
            </w:r>
            <w:r>
              <w:rPr>
                <w:rFonts w:ascii="Arial" w:hAnsi="Arial" w:cs="Arial"/>
                <w:spacing w:val="-1"/>
                <w:sz w:val="20"/>
                <w:szCs w:val="20"/>
                <w:u w:val="single"/>
              </w:rPr>
              <w:t>de</w:t>
            </w:r>
            <w:r>
              <w:rPr>
                <w:rFonts w:ascii="Arial" w:hAnsi="Arial" w:cs="Arial"/>
                <w:spacing w:val="3"/>
                <w:sz w:val="20"/>
                <w:szCs w:val="20"/>
                <w:u w:val="single"/>
              </w:rPr>
              <w:t>r</w:t>
            </w:r>
            <w:r>
              <w:rPr>
                <w:rFonts w:ascii="Arial" w:hAnsi="Arial" w:cs="Arial"/>
                <w:sz w:val="20"/>
                <w:szCs w:val="20"/>
                <w:u w:val="single"/>
              </w:rPr>
              <w:t>s</w:t>
            </w:r>
          </w:p>
        </w:tc>
      </w:tr>
      <w:tr w:rsidR="0085579C" w14:paraId="65C2B814"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08F40BD0" w14:textId="77777777" w:rsidR="0085579C" w:rsidRDefault="0085579C" w:rsidP="002B33D3">
            <w:pPr>
              <w:pStyle w:val="TableParagraph"/>
              <w:kinsoku w:val="0"/>
              <w:overflowPunct w:val="0"/>
              <w:spacing w:line="226" w:lineRule="exact"/>
              <w:ind w:left="102"/>
            </w:pPr>
            <w:r>
              <w:rPr>
                <w:rFonts w:ascii="Arial" w:hAnsi="Arial" w:cs="Arial"/>
                <w:sz w:val="20"/>
                <w:szCs w:val="20"/>
              </w:rPr>
              <w:t>Ur</w:t>
            </w:r>
            <w:r>
              <w:rPr>
                <w:rFonts w:ascii="Arial" w:hAnsi="Arial" w:cs="Arial"/>
                <w:spacing w:val="-1"/>
                <w:sz w:val="20"/>
                <w:szCs w:val="20"/>
              </w:rPr>
              <w:t>ina</w:t>
            </w:r>
            <w:r>
              <w:rPr>
                <w:rFonts w:ascii="Arial" w:hAnsi="Arial" w:cs="Arial"/>
                <w:spacing w:val="5"/>
                <w:sz w:val="20"/>
                <w:szCs w:val="20"/>
              </w:rPr>
              <w:t>r</w:t>
            </w:r>
            <w:r>
              <w:rPr>
                <w:rFonts w:ascii="Arial" w:hAnsi="Arial" w:cs="Arial"/>
                <w:sz w:val="20"/>
                <w:szCs w:val="20"/>
              </w:rPr>
              <w:t>y</w:t>
            </w:r>
            <w:r>
              <w:rPr>
                <w:rFonts w:ascii="Arial" w:hAnsi="Arial" w:cs="Arial"/>
                <w:spacing w:val="-12"/>
                <w:sz w:val="20"/>
                <w:szCs w:val="20"/>
              </w:rPr>
              <w:t xml:space="preserve"> </w:t>
            </w:r>
            <w:r>
              <w:rPr>
                <w:rFonts w:ascii="Arial" w:hAnsi="Arial" w:cs="Arial"/>
                <w:sz w:val="20"/>
                <w:szCs w:val="20"/>
              </w:rPr>
              <w:t>r</w:t>
            </w:r>
            <w:r>
              <w:rPr>
                <w:rFonts w:ascii="Arial" w:hAnsi="Arial" w:cs="Arial"/>
                <w:spacing w:val="-1"/>
                <w:sz w:val="20"/>
                <w:szCs w:val="20"/>
              </w:rPr>
              <w:t>et</w:t>
            </w:r>
            <w:r>
              <w:rPr>
                <w:rFonts w:ascii="Arial" w:hAnsi="Arial" w:cs="Arial"/>
                <w:spacing w:val="2"/>
                <w:sz w:val="20"/>
                <w:szCs w:val="20"/>
              </w:rPr>
              <w:t>e</w:t>
            </w:r>
            <w:r>
              <w:rPr>
                <w:rFonts w:ascii="Arial" w:hAnsi="Arial" w:cs="Arial"/>
                <w:spacing w:val="-1"/>
                <w:sz w:val="20"/>
                <w:szCs w:val="20"/>
              </w:rPr>
              <w:t>nt</w:t>
            </w:r>
            <w:r>
              <w:rPr>
                <w:rFonts w:ascii="Arial" w:hAnsi="Arial" w:cs="Arial"/>
                <w:spacing w:val="1"/>
                <w:sz w:val="20"/>
                <w:szCs w:val="20"/>
              </w:rPr>
              <w:t>i</w:t>
            </w:r>
            <w:r>
              <w:rPr>
                <w:rFonts w:ascii="Arial" w:hAnsi="Arial" w:cs="Arial"/>
                <w:spacing w:val="-1"/>
                <w:sz w:val="20"/>
                <w:szCs w:val="20"/>
              </w:rPr>
              <w:t>o</w:t>
            </w:r>
            <w:r>
              <w:rPr>
                <w:rFonts w:ascii="Arial" w:hAnsi="Arial" w:cs="Arial"/>
                <w:sz w:val="20"/>
                <w:szCs w:val="20"/>
              </w:rPr>
              <w:t>n</w:t>
            </w:r>
            <w:r>
              <w:rPr>
                <w:rFonts w:ascii="Arial" w:hAnsi="Arial" w:cs="Arial"/>
                <w:spacing w:val="-8"/>
                <w:sz w:val="20"/>
                <w:szCs w:val="20"/>
              </w:rPr>
              <w:t xml:space="preserve"> </w:t>
            </w:r>
            <w:r>
              <w:rPr>
                <w:rFonts w:ascii="Arial" w:hAnsi="Arial" w:cs="Arial"/>
                <w:sz w:val="20"/>
                <w:szCs w:val="20"/>
              </w:rPr>
              <w:t>(</w:t>
            </w:r>
            <w:r>
              <w:rPr>
                <w:rFonts w:ascii="Arial" w:hAnsi="Arial" w:cs="Arial"/>
                <w:spacing w:val="-1"/>
                <w:sz w:val="20"/>
                <w:szCs w:val="20"/>
              </w:rPr>
              <w:t>u</w:t>
            </w:r>
            <w:r>
              <w:rPr>
                <w:rFonts w:ascii="Arial" w:hAnsi="Arial" w:cs="Arial"/>
                <w:spacing w:val="1"/>
                <w:sz w:val="20"/>
                <w:szCs w:val="20"/>
              </w:rPr>
              <w:t>s</w:t>
            </w:r>
            <w:r>
              <w:rPr>
                <w:rFonts w:ascii="Arial" w:hAnsi="Arial" w:cs="Arial"/>
                <w:spacing w:val="2"/>
                <w:sz w:val="20"/>
                <w:szCs w:val="20"/>
              </w:rPr>
              <w:t>u</w:t>
            </w:r>
            <w:r>
              <w:rPr>
                <w:rFonts w:ascii="Arial" w:hAnsi="Arial" w:cs="Arial"/>
                <w:spacing w:val="-1"/>
                <w:sz w:val="20"/>
                <w:szCs w:val="20"/>
              </w:rPr>
              <w:t>a</w:t>
            </w:r>
            <w:r>
              <w:rPr>
                <w:rFonts w:ascii="Arial" w:hAnsi="Arial" w:cs="Arial"/>
                <w:spacing w:val="1"/>
                <w:sz w:val="20"/>
                <w:szCs w:val="20"/>
              </w:rPr>
              <w:t>ll</w:t>
            </w:r>
            <w:r>
              <w:rPr>
                <w:rFonts w:ascii="Arial" w:hAnsi="Arial" w:cs="Arial"/>
                <w:sz w:val="20"/>
                <w:szCs w:val="20"/>
              </w:rPr>
              <w:t>y</w:t>
            </w:r>
            <w:r>
              <w:rPr>
                <w:rFonts w:ascii="Arial" w:hAnsi="Arial" w:cs="Arial"/>
                <w:spacing w:val="-9"/>
                <w:sz w:val="20"/>
                <w:szCs w:val="20"/>
              </w:rPr>
              <w:t xml:space="preserve"> </w:t>
            </w:r>
            <w:r>
              <w:rPr>
                <w:rFonts w:ascii="Arial" w:hAnsi="Arial" w:cs="Arial"/>
                <w:spacing w:val="-2"/>
                <w:sz w:val="20"/>
                <w:szCs w:val="20"/>
              </w:rPr>
              <w:t>i</w:t>
            </w:r>
            <w:r>
              <w:rPr>
                <w:rFonts w:ascii="Arial" w:hAnsi="Arial" w:cs="Arial"/>
                <w:sz w:val="20"/>
                <w:szCs w:val="20"/>
              </w:rPr>
              <w:t>n</w:t>
            </w:r>
            <w:r>
              <w:rPr>
                <w:rFonts w:ascii="Arial" w:hAnsi="Arial" w:cs="Arial"/>
                <w:spacing w:val="-6"/>
                <w:sz w:val="20"/>
                <w:szCs w:val="20"/>
              </w:rPr>
              <w:t xml:space="preserve"> </w:t>
            </w:r>
            <w:r>
              <w:rPr>
                <w:rFonts w:ascii="Arial" w:hAnsi="Arial" w:cs="Arial"/>
                <w:spacing w:val="4"/>
                <w:sz w:val="20"/>
                <w:szCs w:val="20"/>
              </w:rPr>
              <w:t>m</w:t>
            </w:r>
            <w:r>
              <w:rPr>
                <w:rFonts w:ascii="Arial" w:hAnsi="Arial" w:cs="Arial"/>
                <w:spacing w:val="-1"/>
                <w:sz w:val="20"/>
                <w:szCs w:val="20"/>
              </w:rPr>
              <w:t>e</w:t>
            </w:r>
            <w:r>
              <w:rPr>
                <w:rFonts w:ascii="Arial" w:hAnsi="Arial" w:cs="Arial"/>
                <w:sz w:val="20"/>
                <w:szCs w:val="20"/>
              </w:rPr>
              <w:t>n</w:t>
            </w:r>
            <w:r>
              <w:rPr>
                <w:rFonts w:ascii="Arial" w:hAnsi="Arial" w:cs="Arial"/>
                <w:spacing w:val="-8"/>
                <w:sz w:val="20"/>
                <w:szCs w:val="20"/>
              </w:rPr>
              <w:t xml:space="preserve"> </w:t>
            </w:r>
            <w:r>
              <w:rPr>
                <w:rFonts w:ascii="Arial" w:hAnsi="Arial" w:cs="Arial"/>
                <w:spacing w:val="-3"/>
                <w:sz w:val="20"/>
                <w:szCs w:val="20"/>
              </w:rPr>
              <w:t>w</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h</w:t>
            </w:r>
            <w:r>
              <w:rPr>
                <w:rFonts w:ascii="Arial" w:hAnsi="Arial" w:cs="Arial"/>
                <w:spacing w:val="-7"/>
                <w:sz w:val="20"/>
                <w:szCs w:val="20"/>
              </w:rPr>
              <w:t xml:space="preserve"> </w:t>
            </w:r>
            <w:r>
              <w:rPr>
                <w:rFonts w:ascii="Arial" w:hAnsi="Arial" w:cs="Arial"/>
                <w:spacing w:val="-1"/>
                <w:sz w:val="20"/>
                <w:szCs w:val="20"/>
              </w:rPr>
              <w:t>p</w:t>
            </w:r>
            <w:r>
              <w:rPr>
                <w:rFonts w:ascii="Arial" w:hAnsi="Arial" w:cs="Arial"/>
                <w:sz w:val="20"/>
                <w:szCs w:val="20"/>
              </w:rPr>
              <w:t>r</w:t>
            </w:r>
            <w:r>
              <w:rPr>
                <w:rFonts w:ascii="Arial" w:hAnsi="Arial" w:cs="Arial"/>
                <w:spacing w:val="2"/>
                <w:sz w:val="20"/>
                <w:szCs w:val="20"/>
              </w:rPr>
              <w:t>e</w:t>
            </w:r>
            <w:r>
              <w:rPr>
                <w:rFonts w:ascii="Arial" w:hAnsi="Arial" w:cs="Arial"/>
                <w:spacing w:val="-1"/>
                <w:sz w:val="20"/>
                <w:szCs w:val="20"/>
              </w:rPr>
              <w:t>d</w:t>
            </w:r>
            <w:r>
              <w:rPr>
                <w:rFonts w:ascii="Arial" w:hAnsi="Arial" w:cs="Arial"/>
                <w:spacing w:val="-2"/>
                <w:sz w:val="20"/>
                <w:szCs w:val="20"/>
              </w:rPr>
              <w:t>i</w:t>
            </w:r>
            <w:r>
              <w:rPr>
                <w:rFonts w:ascii="Arial" w:hAnsi="Arial" w:cs="Arial"/>
                <w:spacing w:val="1"/>
                <w:sz w:val="20"/>
                <w:szCs w:val="20"/>
              </w:rPr>
              <w:t>s</w:t>
            </w:r>
            <w:r>
              <w:rPr>
                <w:rFonts w:ascii="Arial" w:hAnsi="Arial" w:cs="Arial"/>
                <w:spacing w:val="-1"/>
                <w:sz w:val="20"/>
                <w:szCs w:val="20"/>
              </w:rPr>
              <w:t>po</w:t>
            </w:r>
            <w:r>
              <w:rPr>
                <w:rFonts w:ascii="Arial" w:hAnsi="Arial" w:cs="Arial"/>
                <w:spacing w:val="3"/>
                <w:sz w:val="20"/>
                <w:szCs w:val="20"/>
              </w:rPr>
              <w:t>s</w:t>
            </w:r>
            <w:r>
              <w:rPr>
                <w:rFonts w:ascii="Arial" w:hAnsi="Arial" w:cs="Arial"/>
                <w:spacing w:val="-2"/>
                <w:sz w:val="20"/>
                <w:szCs w:val="20"/>
              </w:rPr>
              <w:t>i</w:t>
            </w:r>
            <w:r>
              <w:rPr>
                <w:rFonts w:ascii="Arial" w:hAnsi="Arial" w:cs="Arial"/>
                <w:spacing w:val="-1"/>
                <w:sz w:val="20"/>
                <w:szCs w:val="20"/>
              </w:rPr>
              <w:t>n</w:t>
            </w:r>
            <w:r>
              <w:rPr>
                <w:rFonts w:ascii="Arial" w:hAnsi="Arial" w:cs="Arial"/>
                <w:sz w:val="20"/>
                <w:szCs w:val="20"/>
              </w:rPr>
              <w:t>g</w:t>
            </w:r>
            <w:r>
              <w:rPr>
                <w:rFonts w:ascii="Arial" w:hAnsi="Arial" w:cs="Arial"/>
                <w:spacing w:val="-7"/>
                <w:sz w:val="20"/>
                <w:szCs w:val="20"/>
              </w:rPr>
              <w:t xml:space="preserve"> </w:t>
            </w:r>
            <w:r>
              <w:rPr>
                <w:rFonts w:ascii="Arial" w:hAnsi="Arial" w:cs="Arial"/>
                <w:spacing w:val="2"/>
                <w:sz w:val="20"/>
                <w:szCs w:val="20"/>
              </w:rPr>
              <w:t>f</w:t>
            </w:r>
            <w:r>
              <w:rPr>
                <w:rFonts w:ascii="Arial" w:hAnsi="Arial" w:cs="Arial"/>
                <w:spacing w:val="-1"/>
                <w:sz w:val="20"/>
                <w:szCs w:val="20"/>
              </w:rPr>
              <w:t>a</w:t>
            </w:r>
            <w:r>
              <w:rPr>
                <w:rFonts w:ascii="Arial" w:hAnsi="Arial" w:cs="Arial"/>
                <w:spacing w:val="1"/>
                <w:sz w:val="20"/>
                <w:szCs w:val="20"/>
              </w:rPr>
              <w:t>c</w:t>
            </w:r>
            <w:r>
              <w:rPr>
                <w:rFonts w:ascii="Arial" w:hAnsi="Arial" w:cs="Arial"/>
                <w:spacing w:val="-1"/>
                <w:sz w:val="20"/>
                <w:szCs w:val="20"/>
              </w:rPr>
              <w:t>to</w:t>
            </w:r>
            <w:r>
              <w:rPr>
                <w:rFonts w:ascii="Arial" w:hAnsi="Arial" w:cs="Arial"/>
                <w:sz w:val="20"/>
                <w:szCs w:val="20"/>
              </w:rPr>
              <w:t>r</w:t>
            </w:r>
            <w:r>
              <w:rPr>
                <w:rFonts w:ascii="Arial" w:hAnsi="Arial" w:cs="Arial"/>
                <w:spacing w:val="1"/>
                <w:sz w:val="20"/>
                <w:szCs w:val="20"/>
              </w:rPr>
              <w:t>s</w:t>
            </w:r>
            <w:r>
              <w:rPr>
                <w:rFonts w:ascii="Arial" w:hAnsi="Arial" w:cs="Arial"/>
                <w:sz w:val="20"/>
                <w:szCs w:val="20"/>
              </w:rPr>
              <w:t>)</w:t>
            </w:r>
          </w:p>
        </w:tc>
        <w:tc>
          <w:tcPr>
            <w:tcW w:w="2324" w:type="dxa"/>
            <w:tcBorders>
              <w:top w:val="single" w:sz="4" w:space="0" w:color="000000"/>
              <w:left w:val="single" w:sz="4" w:space="0" w:color="000000"/>
              <w:bottom w:val="single" w:sz="4" w:space="0" w:color="000000"/>
              <w:right w:val="single" w:sz="4" w:space="0" w:color="000000"/>
            </w:tcBorders>
          </w:tcPr>
          <w:p w14:paraId="1575DD97" w14:textId="77777777" w:rsidR="0085579C" w:rsidRDefault="0085579C" w:rsidP="002B33D3">
            <w:pPr>
              <w:pStyle w:val="TableParagraph"/>
              <w:kinsoku w:val="0"/>
              <w:overflowPunct w:val="0"/>
              <w:spacing w:line="226" w:lineRule="exact"/>
              <w:ind w:left="332"/>
            </w:pPr>
            <w:r>
              <w:rPr>
                <w:rFonts w:ascii="Arial" w:hAnsi="Arial" w:cs="Arial"/>
                <w:sz w:val="20"/>
                <w:szCs w:val="20"/>
              </w:rPr>
              <w:t>U</w:t>
            </w:r>
            <w:r>
              <w:rPr>
                <w:rFonts w:ascii="Arial" w:hAnsi="Arial" w:cs="Arial"/>
                <w:spacing w:val="-1"/>
                <w:sz w:val="20"/>
                <w:szCs w:val="20"/>
              </w:rPr>
              <w:t>n</w:t>
            </w:r>
            <w:r>
              <w:rPr>
                <w:rFonts w:ascii="Arial" w:hAnsi="Arial" w:cs="Arial"/>
                <w:spacing w:val="1"/>
                <w:sz w:val="20"/>
                <w:szCs w:val="20"/>
              </w:rPr>
              <w:t>c</w:t>
            </w:r>
            <w:r>
              <w:rPr>
                <w:rFonts w:ascii="Arial" w:hAnsi="Arial" w:cs="Arial"/>
                <w:spacing w:val="-1"/>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on</w:t>
            </w:r>
          </w:p>
        </w:tc>
      </w:tr>
      <w:tr w:rsidR="0085579C" w14:paraId="205F8ECD"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7A1CC961" w14:textId="77777777" w:rsidR="0085579C" w:rsidRDefault="0085579C" w:rsidP="002B33D3">
            <w:pPr>
              <w:pStyle w:val="TableParagraph"/>
              <w:kinsoku w:val="0"/>
              <w:overflowPunct w:val="0"/>
              <w:spacing w:line="226" w:lineRule="exact"/>
              <w:ind w:left="102"/>
            </w:pPr>
            <w:r>
              <w:rPr>
                <w:rFonts w:ascii="Arial" w:hAnsi="Arial" w:cs="Arial"/>
                <w:spacing w:val="2"/>
                <w:sz w:val="20"/>
                <w:szCs w:val="20"/>
              </w:rPr>
              <w:t>D</w:t>
            </w:r>
            <w:r>
              <w:rPr>
                <w:rFonts w:ascii="Arial" w:hAnsi="Arial" w:cs="Arial"/>
                <w:spacing w:val="-5"/>
                <w:sz w:val="20"/>
                <w:szCs w:val="20"/>
              </w:rPr>
              <w:t>y</w:t>
            </w:r>
            <w:r>
              <w:rPr>
                <w:rFonts w:ascii="Arial" w:hAnsi="Arial" w:cs="Arial"/>
                <w:spacing w:val="1"/>
                <w:sz w:val="20"/>
                <w:szCs w:val="20"/>
              </w:rPr>
              <w:t>s</w:t>
            </w:r>
            <w:r>
              <w:rPr>
                <w:rFonts w:ascii="Arial" w:hAnsi="Arial" w:cs="Arial"/>
                <w:spacing w:val="-1"/>
                <w:sz w:val="20"/>
                <w:szCs w:val="20"/>
              </w:rPr>
              <w:t>u</w:t>
            </w:r>
            <w:r>
              <w:rPr>
                <w:rFonts w:ascii="Arial" w:hAnsi="Arial" w:cs="Arial"/>
                <w:sz w:val="20"/>
                <w:szCs w:val="20"/>
              </w:rPr>
              <w:t>r</w:t>
            </w:r>
            <w:r>
              <w:rPr>
                <w:rFonts w:ascii="Arial" w:hAnsi="Arial" w:cs="Arial"/>
                <w:spacing w:val="-1"/>
                <w:sz w:val="20"/>
                <w:szCs w:val="20"/>
              </w:rPr>
              <w:t>i</w:t>
            </w:r>
            <w:r>
              <w:rPr>
                <w:rFonts w:ascii="Arial" w:hAnsi="Arial" w:cs="Arial"/>
                <w:sz w:val="20"/>
                <w:szCs w:val="20"/>
              </w:rPr>
              <w:t>a</w:t>
            </w:r>
          </w:p>
        </w:tc>
        <w:tc>
          <w:tcPr>
            <w:tcW w:w="2324" w:type="dxa"/>
            <w:tcBorders>
              <w:top w:val="single" w:sz="4" w:space="0" w:color="000000"/>
              <w:left w:val="single" w:sz="4" w:space="0" w:color="000000"/>
              <w:bottom w:val="single" w:sz="4" w:space="0" w:color="000000"/>
              <w:right w:val="single" w:sz="4" w:space="0" w:color="000000"/>
            </w:tcBorders>
          </w:tcPr>
          <w:p w14:paraId="3D668094" w14:textId="77777777" w:rsidR="0085579C" w:rsidRDefault="0085579C" w:rsidP="002B33D3">
            <w:pPr>
              <w:pStyle w:val="TableParagraph"/>
              <w:kinsoku w:val="0"/>
              <w:overflowPunct w:val="0"/>
              <w:spacing w:line="226" w:lineRule="exact"/>
              <w:ind w:left="332"/>
            </w:pPr>
            <w:r>
              <w:rPr>
                <w:rFonts w:ascii="Arial" w:hAnsi="Arial" w:cs="Arial"/>
                <w:sz w:val="20"/>
                <w:szCs w:val="20"/>
              </w:rPr>
              <w:t>U</w:t>
            </w:r>
            <w:r>
              <w:rPr>
                <w:rFonts w:ascii="Arial" w:hAnsi="Arial" w:cs="Arial"/>
                <w:spacing w:val="-1"/>
                <w:sz w:val="20"/>
                <w:szCs w:val="20"/>
              </w:rPr>
              <w:t>n</w:t>
            </w:r>
            <w:r>
              <w:rPr>
                <w:rFonts w:ascii="Arial" w:hAnsi="Arial" w:cs="Arial"/>
                <w:spacing w:val="1"/>
                <w:sz w:val="20"/>
                <w:szCs w:val="20"/>
              </w:rPr>
              <w:t>c</w:t>
            </w:r>
            <w:r>
              <w:rPr>
                <w:rFonts w:ascii="Arial" w:hAnsi="Arial" w:cs="Arial"/>
                <w:spacing w:val="-1"/>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on</w:t>
            </w:r>
          </w:p>
        </w:tc>
      </w:tr>
      <w:tr w:rsidR="0085579C" w14:paraId="5F5B0D17" w14:textId="77777777" w:rsidTr="002B33D3">
        <w:trPr>
          <w:trHeight w:hRule="exact" w:val="240"/>
        </w:trPr>
        <w:tc>
          <w:tcPr>
            <w:tcW w:w="5530" w:type="dxa"/>
            <w:tcBorders>
              <w:top w:val="single" w:sz="4" w:space="0" w:color="000000"/>
              <w:left w:val="single" w:sz="4" w:space="0" w:color="000000"/>
              <w:bottom w:val="single" w:sz="4" w:space="0" w:color="000000"/>
              <w:right w:val="single" w:sz="4" w:space="0" w:color="000000"/>
            </w:tcBorders>
          </w:tcPr>
          <w:p w14:paraId="0CF60A92" w14:textId="77777777" w:rsidR="0085579C" w:rsidRDefault="0085579C" w:rsidP="002B33D3">
            <w:pPr>
              <w:pStyle w:val="TableParagraph"/>
              <w:kinsoku w:val="0"/>
              <w:overflowPunct w:val="0"/>
              <w:spacing w:line="226" w:lineRule="exact"/>
              <w:ind w:left="102"/>
            </w:pPr>
            <w:r>
              <w:rPr>
                <w:rFonts w:ascii="Arial" w:hAnsi="Arial" w:cs="Arial"/>
                <w:sz w:val="20"/>
                <w:szCs w:val="20"/>
              </w:rPr>
              <w:t>Ur</w:t>
            </w:r>
            <w:r>
              <w:rPr>
                <w:rFonts w:ascii="Arial" w:hAnsi="Arial" w:cs="Arial"/>
                <w:spacing w:val="-1"/>
                <w:sz w:val="20"/>
                <w:szCs w:val="20"/>
              </w:rPr>
              <w:t>ina</w:t>
            </w:r>
            <w:r>
              <w:rPr>
                <w:rFonts w:ascii="Arial" w:hAnsi="Arial" w:cs="Arial"/>
                <w:spacing w:val="5"/>
                <w:sz w:val="20"/>
                <w:szCs w:val="20"/>
              </w:rPr>
              <w:t>r</w:t>
            </w:r>
            <w:r>
              <w:rPr>
                <w:rFonts w:ascii="Arial" w:hAnsi="Arial" w:cs="Arial"/>
                <w:sz w:val="20"/>
                <w:szCs w:val="20"/>
              </w:rPr>
              <w:t>y</w:t>
            </w:r>
            <w:r>
              <w:rPr>
                <w:rFonts w:ascii="Arial" w:hAnsi="Arial" w:cs="Arial"/>
                <w:spacing w:val="-14"/>
                <w:sz w:val="20"/>
                <w:szCs w:val="20"/>
              </w:rPr>
              <w:t xml:space="preserve"> </w:t>
            </w:r>
            <w:r>
              <w:rPr>
                <w:rFonts w:ascii="Arial" w:hAnsi="Arial" w:cs="Arial"/>
                <w:spacing w:val="-1"/>
                <w:sz w:val="20"/>
                <w:szCs w:val="20"/>
              </w:rPr>
              <w:t>t</w:t>
            </w:r>
            <w:r>
              <w:rPr>
                <w:rFonts w:ascii="Arial" w:hAnsi="Arial" w:cs="Arial"/>
                <w:sz w:val="20"/>
                <w:szCs w:val="20"/>
              </w:rPr>
              <w:t>r</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10"/>
                <w:sz w:val="20"/>
                <w:szCs w:val="20"/>
              </w:rPr>
              <w:t xml:space="preserve"> </w:t>
            </w:r>
            <w:r>
              <w:rPr>
                <w:rFonts w:ascii="Arial" w:hAnsi="Arial" w:cs="Arial"/>
                <w:spacing w:val="1"/>
                <w:sz w:val="20"/>
                <w:szCs w:val="20"/>
              </w:rPr>
              <w:t>i</w:t>
            </w:r>
            <w:r>
              <w:rPr>
                <w:rFonts w:ascii="Arial" w:hAnsi="Arial" w:cs="Arial"/>
                <w:spacing w:val="-1"/>
                <w:sz w:val="20"/>
                <w:szCs w:val="20"/>
              </w:rPr>
              <w:t>n</w:t>
            </w:r>
            <w:r>
              <w:rPr>
                <w:rFonts w:ascii="Arial" w:hAnsi="Arial" w:cs="Arial"/>
                <w:spacing w:val="2"/>
                <w:sz w:val="20"/>
                <w:szCs w:val="20"/>
              </w:rPr>
              <w:t>f</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tion</w:t>
            </w:r>
          </w:p>
        </w:tc>
        <w:tc>
          <w:tcPr>
            <w:tcW w:w="2324" w:type="dxa"/>
            <w:tcBorders>
              <w:top w:val="single" w:sz="4" w:space="0" w:color="000000"/>
              <w:left w:val="single" w:sz="4" w:space="0" w:color="000000"/>
              <w:bottom w:val="single" w:sz="4" w:space="0" w:color="000000"/>
              <w:right w:val="single" w:sz="4" w:space="0" w:color="000000"/>
            </w:tcBorders>
          </w:tcPr>
          <w:p w14:paraId="56002A13" w14:textId="77777777" w:rsidR="0085579C" w:rsidRDefault="0085579C" w:rsidP="002B33D3">
            <w:pPr>
              <w:pStyle w:val="TableParagraph"/>
              <w:kinsoku w:val="0"/>
              <w:overflowPunct w:val="0"/>
              <w:spacing w:line="226" w:lineRule="exact"/>
              <w:ind w:left="608" w:right="610"/>
              <w:jc w:val="center"/>
            </w:pPr>
            <w:r>
              <w:rPr>
                <w:rFonts w:ascii="Arial" w:hAnsi="Arial" w:cs="Arial"/>
                <w:sz w:val="20"/>
                <w:szCs w:val="20"/>
              </w:rPr>
              <w:t>R</w:t>
            </w:r>
            <w:r>
              <w:rPr>
                <w:rFonts w:ascii="Arial" w:hAnsi="Arial" w:cs="Arial"/>
                <w:spacing w:val="-1"/>
                <w:sz w:val="20"/>
                <w:szCs w:val="20"/>
              </w:rPr>
              <w:t>a</w:t>
            </w:r>
            <w:r>
              <w:rPr>
                <w:rFonts w:ascii="Arial" w:hAnsi="Arial" w:cs="Arial"/>
                <w:sz w:val="20"/>
                <w:szCs w:val="20"/>
              </w:rPr>
              <w:t>re</w:t>
            </w:r>
          </w:p>
        </w:tc>
      </w:tr>
    </w:tbl>
    <w:p w14:paraId="431224AA" w14:textId="77777777" w:rsidR="0085579C" w:rsidRPr="0085579C" w:rsidRDefault="0085579C" w:rsidP="0085579C">
      <w:pPr>
        <w:pStyle w:val="BodyText"/>
      </w:pPr>
    </w:p>
    <w:p w14:paraId="2A156A85" w14:textId="77777777" w:rsidR="009230F3" w:rsidRDefault="009230F3" w:rsidP="009230F3">
      <w:pPr>
        <w:pStyle w:val="Heading3"/>
      </w:pPr>
      <w:r>
        <w:lastRenderedPageBreak/>
        <w:t>Reporting suspected adverse effects</w:t>
      </w:r>
    </w:p>
    <w:p w14:paraId="12A44537" w14:textId="27952C11" w:rsidR="00497C85" w:rsidRPr="00497C85" w:rsidRDefault="00497C85" w:rsidP="007F403C">
      <w:pPr>
        <w:pStyle w:val="BodyText"/>
      </w:pPr>
      <w:r w:rsidRPr="00497C85">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8" w:history="1">
        <w:r w:rsidRPr="00497C85">
          <w:rPr>
            <w:rStyle w:val="Hyperlink"/>
            <w:rFonts w:asciiTheme="majorHAnsi" w:hAnsiTheme="majorHAnsi" w:cstheme="minorHAnsi"/>
            <w:lang w:val="en"/>
          </w:rPr>
          <w:t>www.tga.gov.au/reporting-problems</w:t>
        </w:r>
      </w:hyperlink>
      <w:r w:rsidRPr="00497C85">
        <w:t>.</w:t>
      </w:r>
    </w:p>
    <w:p w14:paraId="42FFFABD" w14:textId="77777777" w:rsidR="001A3992" w:rsidRDefault="001A3992" w:rsidP="001A3992">
      <w:pPr>
        <w:pStyle w:val="Heading2"/>
        <w:keepNext/>
        <w:keepLines/>
        <w:spacing w:before="0" w:after="120"/>
        <w:rPr>
          <w:rFonts w:cstheme="minorHAnsi"/>
        </w:rPr>
      </w:pPr>
      <w:r w:rsidRPr="00497C85">
        <w:rPr>
          <w:rFonts w:cstheme="minorHAnsi"/>
        </w:rPr>
        <w:t>Overdose</w:t>
      </w:r>
    </w:p>
    <w:p w14:paraId="7143017E" w14:textId="77777777" w:rsidR="007F403C" w:rsidRPr="00FB1358" w:rsidRDefault="007F403C" w:rsidP="007F403C">
      <w:pPr>
        <w:pStyle w:val="BodyText"/>
        <w:spacing w:line="259" w:lineRule="auto"/>
        <w:rPr>
          <w:rFonts w:cs="Times New Roman"/>
        </w:rPr>
      </w:pPr>
      <w:r w:rsidRPr="00FB1358">
        <w:rPr>
          <w:rFonts w:cs="Times New Roman"/>
        </w:rPr>
        <w:t>High doses of tiotropium may lead to anticholinergic signs and symptoms.</w:t>
      </w:r>
    </w:p>
    <w:p w14:paraId="329D4100" w14:textId="77777777" w:rsidR="007F403C" w:rsidRPr="00FB1358" w:rsidRDefault="007F403C" w:rsidP="007F403C">
      <w:pPr>
        <w:pStyle w:val="BodyText"/>
        <w:spacing w:line="259" w:lineRule="auto"/>
        <w:rPr>
          <w:rFonts w:cs="Times New Roman"/>
        </w:rPr>
      </w:pPr>
      <w:r w:rsidRPr="00FB1358">
        <w:rPr>
          <w:rFonts w:cs="Times New Roman"/>
        </w:rPr>
        <w:t>However, there were no systemic anticholinergic adverse effects following a single inhaled dose of up to 282 micrograms tiotropium in healthy volunteers. Additionally, no relevant adverse effects, beyond dry mouth, were observed following 7 day dosing of up to 141 micrograms tiotropium in healthy volunteers. In a multiple dose study in COPD patients, with a maximum daily dose of 36 micrograms tiotropium over four weeks, no significant undesirable effects were observed.</w:t>
      </w:r>
    </w:p>
    <w:p w14:paraId="55D36B26" w14:textId="77777777" w:rsidR="007F403C" w:rsidRPr="00FB1358" w:rsidRDefault="007F403C" w:rsidP="007F403C">
      <w:pPr>
        <w:pStyle w:val="BodyText"/>
        <w:spacing w:line="259" w:lineRule="auto"/>
        <w:rPr>
          <w:rFonts w:cs="Times New Roman"/>
        </w:rPr>
      </w:pPr>
      <w:r w:rsidRPr="00FB1358">
        <w:rPr>
          <w:rFonts w:cs="Times New Roman"/>
        </w:rPr>
        <w:t>Acute intoxication by inadvertent oral ingestion of tiotropium powder is unlikely, due to low oral bioavailability.</w:t>
      </w:r>
    </w:p>
    <w:p w14:paraId="2AC27BF4" w14:textId="77777777" w:rsidR="007F403C" w:rsidRPr="007F403C" w:rsidRDefault="007F403C" w:rsidP="007F403C">
      <w:pPr>
        <w:pStyle w:val="BodyText"/>
      </w:pPr>
      <w:r w:rsidRPr="00FB1358">
        <w:rPr>
          <w:rFonts w:cs="Times New Roman"/>
        </w:rPr>
        <w:t>For information on the management of overdose, contact the Poison Informati</w:t>
      </w:r>
      <w:r>
        <w:rPr>
          <w:rFonts w:cs="Times New Roman"/>
        </w:rPr>
        <w:t>on Centre on 131126 (Australia)</w:t>
      </w:r>
      <w:r w:rsidRPr="00DE0C41">
        <w:rPr>
          <w:rFonts w:cs="Times New Roman"/>
        </w:rPr>
        <w:t>.</w:t>
      </w:r>
    </w:p>
    <w:p w14:paraId="021A0FBE" w14:textId="77777777" w:rsidR="001A3992" w:rsidRDefault="001A3992" w:rsidP="001A3992">
      <w:pPr>
        <w:pStyle w:val="Heading1"/>
        <w:spacing w:before="0" w:after="120"/>
        <w:rPr>
          <w:rFonts w:cstheme="minorHAnsi"/>
          <w:lang w:val="en-US"/>
        </w:rPr>
      </w:pPr>
      <w:r w:rsidRPr="00497C85">
        <w:rPr>
          <w:rFonts w:cstheme="minorHAnsi"/>
          <w:lang w:val="en-US"/>
        </w:rPr>
        <w:t>Pharmacological properties</w:t>
      </w:r>
    </w:p>
    <w:p w14:paraId="3CDAA62B" w14:textId="77777777" w:rsidR="002745A7" w:rsidRPr="003473F4" w:rsidRDefault="002745A7" w:rsidP="003473F4">
      <w:pPr>
        <w:pStyle w:val="BodyText"/>
        <w:spacing w:line="259" w:lineRule="auto"/>
        <w:rPr>
          <w:rFonts w:cs="Times New Roman"/>
        </w:rPr>
      </w:pPr>
      <w:proofErr w:type="spellStart"/>
      <w:r w:rsidRPr="00494AF5">
        <w:rPr>
          <w:rFonts w:cs="Times New Roman"/>
        </w:rPr>
        <w:t>Pharmacotherapeutic</w:t>
      </w:r>
      <w:proofErr w:type="spellEnd"/>
      <w:r w:rsidRPr="00494AF5">
        <w:rPr>
          <w:rFonts w:cs="Times New Roman"/>
        </w:rPr>
        <w:t xml:space="preserve"> group: Other drugs for obstruct</w:t>
      </w:r>
      <w:r>
        <w:rPr>
          <w:rFonts w:cs="Times New Roman"/>
        </w:rPr>
        <w:t xml:space="preserve">ive airway diseases, inhalants, </w:t>
      </w:r>
      <w:r w:rsidRPr="00494AF5">
        <w:rPr>
          <w:rFonts w:cs="Times New Roman"/>
        </w:rPr>
        <w:t>anti</w:t>
      </w:r>
      <w:r w:rsidR="003473F4">
        <w:rPr>
          <w:rFonts w:cs="Times New Roman"/>
        </w:rPr>
        <w:t>cholinergics; ATC code: R03BB04</w:t>
      </w:r>
    </w:p>
    <w:p w14:paraId="2B2597AA" w14:textId="77777777" w:rsidR="002745A7" w:rsidRPr="002745A7" w:rsidRDefault="002745A7" w:rsidP="002745A7">
      <w:pPr>
        <w:pStyle w:val="BodyText"/>
      </w:pPr>
    </w:p>
    <w:p w14:paraId="5C382FA5" w14:textId="77777777" w:rsidR="001A3992" w:rsidRPr="00497C85" w:rsidRDefault="001A3992" w:rsidP="001A3992">
      <w:pPr>
        <w:pStyle w:val="Heading2"/>
        <w:spacing w:before="0" w:after="120"/>
        <w:rPr>
          <w:rFonts w:cstheme="minorHAnsi"/>
          <w:lang w:val="en-US"/>
        </w:rPr>
      </w:pPr>
      <w:proofErr w:type="spellStart"/>
      <w:r w:rsidRPr="00497C85">
        <w:rPr>
          <w:rFonts w:cstheme="minorHAnsi"/>
          <w:lang w:val="en-US"/>
        </w:rPr>
        <w:t>Pharmacodynamic</w:t>
      </w:r>
      <w:proofErr w:type="spellEnd"/>
      <w:r w:rsidRPr="00497C85">
        <w:rPr>
          <w:rFonts w:cstheme="minorHAnsi"/>
          <w:lang w:val="en-US"/>
        </w:rPr>
        <w:t xml:space="preserve"> properties </w:t>
      </w:r>
    </w:p>
    <w:p w14:paraId="7288B371" w14:textId="77777777" w:rsidR="001A3992" w:rsidRDefault="001A3992" w:rsidP="001A3992">
      <w:pPr>
        <w:pStyle w:val="Heading3"/>
        <w:spacing w:before="0" w:after="120"/>
        <w:rPr>
          <w:rFonts w:cstheme="minorHAnsi"/>
        </w:rPr>
      </w:pPr>
      <w:r w:rsidRPr="00497C85">
        <w:rPr>
          <w:rFonts w:cstheme="minorHAnsi"/>
        </w:rPr>
        <w:t>Mechanism of action</w:t>
      </w:r>
    </w:p>
    <w:p w14:paraId="0158E27A" w14:textId="77777777" w:rsidR="003473F4" w:rsidRPr="00494AF5" w:rsidRDefault="003473F4" w:rsidP="003473F4">
      <w:pPr>
        <w:pStyle w:val="BodyText"/>
        <w:spacing w:line="259" w:lineRule="auto"/>
        <w:rPr>
          <w:rFonts w:cs="Times New Roman"/>
        </w:rPr>
      </w:pPr>
      <w:r w:rsidRPr="00494AF5">
        <w:rPr>
          <w:rFonts w:cs="Times New Roman"/>
        </w:rPr>
        <w:t xml:space="preserve">Tiotropium is a long-acting, specific </w:t>
      </w:r>
      <w:proofErr w:type="spellStart"/>
      <w:r w:rsidRPr="00494AF5">
        <w:rPr>
          <w:rFonts w:cs="Times New Roman"/>
        </w:rPr>
        <w:t>antimuscarinic</w:t>
      </w:r>
      <w:proofErr w:type="spellEnd"/>
      <w:r w:rsidRPr="00494AF5">
        <w:rPr>
          <w:rFonts w:cs="Times New Roman"/>
        </w:rPr>
        <w:t xml:space="preserve"> (anticholinergic) agent. It has similar</w:t>
      </w:r>
      <w:r>
        <w:rPr>
          <w:rFonts w:cs="Times New Roman"/>
        </w:rPr>
        <w:t xml:space="preserve"> </w:t>
      </w:r>
      <w:r w:rsidRPr="00494AF5">
        <w:rPr>
          <w:rFonts w:cs="Times New Roman"/>
        </w:rPr>
        <w:t>affinity to the muscarinic receptor subtypes M</w:t>
      </w:r>
      <w:r w:rsidRPr="005D03E1">
        <w:rPr>
          <w:rFonts w:cs="Times New Roman"/>
          <w:vertAlign w:val="subscript"/>
        </w:rPr>
        <w:t>1</w:t>
      </w:r>
      <w:r w:rsidRPr="00494AF5">
        <w:rPr>
          <w:rFonts w:cs="Times New Roman"/>
        </w:rPr>
        <w:t xml:space="preserve"> to M</w:t>
      </w:r>
      <w:r w:rsidRPr="005D03E1">
        <w:rPr>
          <w:rFonts w:cs="Times New Roman"/>
          <w:vertAlign w:val="subscript"/>
        </w:rPr>
        <w:t>5</w:t>
      </w:r>
      <w:r w:rsidRPr="00494AF5">
        <w:rPr>
          <w:rFonts w:cs="Times New Roman"/>
        </w:rPr>
        <w:t xml:space="preserve"> (K</w:t>
      </w:r>
      <w:r w:rsidRPr="005D03E1">
        <w:rPr>
          <w:rFonts w:cs="Times New Roman"/>
          <w:vertAlign w:val="subscript"/>
        </w:rPr>
        <w:t>D</w:t>
      </w:r>
      <w:r w:rsidRPr="00494AF5">
        <w:rPr>
          <w:rFonts w:cs="Times New Roman"/>
        </w:rPr>
        <w:t xml:space="preserve"> 5-41 </w:t>
      </w:r>
      <w:proofErr w:type="spellStart"/>
      <w:r w:rsidRPr="00494AF5">
        <w:rPr>
          <w:rFonts w:cs="Times New Roman"/>
        </w:rPr>
        <w:t>pM</w:t>
      </w:r>
      <w:proofErr w:type="spellEnd"/>
      <w:r w:rsidRPr="00494AF5">
        <w:rPr>
          <w:rFonts w:cs="Times New Roman"/>
        </w:rPr>
        <w:t>). In the airways, inhibition</w:t>
      </w:r>
      <w:r>
        <w:rPr>
          <w:rFonts w:cs="Times New Roman"/>
        </w:rPr>
        <w:t xml:space="preserve"> </w:t>
      </w:r>
      <w:r w:rsidRPr="00494AF5">
        <w:rPr>
          <w:rFonts w:cs="Times New Roman"/>
        </w:rPr>
        <w:t>by tiotropium of M</w:t>
      </w:r>
      <w:r w:rsidRPr="005D03E1">
        <w:rPr>
          <w:rFonts w:cs="Times New Roman"/>
          <w:vertAlign w:val="subscript"/>
        </w:rPr>
        <w:t>3</w:t>
      </w:r>
      <w:r w:rsidRPr="00494AF5">
        <w:rPr>
          <w:rFonts w:cs="Times New Roman"/>
        </w:rPr>
        <w:t>-receptors at the smooth muscle results</w:t>
      </w:r>
      <w:r>
        <w:rPr>
          <w:rFonts w:cs="Times New Roman"/>
        </w:rPr>
        <w:t xml:space="preserve"> in relaxation. The competitive </w:t>
      </w:r>
      <w:r w:rsidRPr="00494AF5">
        <w:rPr>
          <w:rFonts w:cs="Times New Roman"/>
        </w:rPr>
        <w:t xml:space="preserve">and reversible nature of antagonism was shown with human </w:t>
      </w:r>
      <w:r>
        <w:rPr>
          <w:rFonts w:cs="Times New Roman"/>
        </w:rPr>
        <w:t xml:space="preserve">and animal origin receptors. In </w:t>
      </w:r>
      <w:r w:rsidRPr="00494AF5">
        <w:rPr>
          <w:rFonts w:cs="Times New Roman"/>
        </w:rPr>
        <w:t xml:space="preserve">non-clinical </w:t>
      </w:r>
      <w:r w:rsidRPr="000F3CEF">
        <w:rPr>
          <w:rFonts w:cs="Times New Roman"/>
          <w:i/>
        </w:rPr>
        <w:t>in vitro</w:t>
      </w:r>
      <w:r w:rsidRPr="00494AF5">
        <w:rPr>
          <w:rFonts w:cs="Times New Roman"/>
        </w:rPr>
        <w:t xml:space="preserve"> as well as </w:t>
      </w:r>
      <w:r w:rsidRPr="000F3CEF">
        <w:rPr>
          <w:rFonts w:cs="Times New Roman"/>
          <w:i/>
        </w:rPr>
        <w:t>in vivo</w:t>
      </w:r>
      <w:r w:rsidRPr="00494AF5">
        <w:rPr>
          <w:rFonts w:cs="Times New Roman"/>
        </w:rPr>
        <w:t xml:space="preserve"> studies, </w:t>
      </w:r>
      <w:proofErr w:type="spellStart"/>
      <w:r w:rsidRPr="00494AF5">
        <w:rPr>
          <w:rFonts w:cs="Times New Roman"/>
        </w:rPr>
        <w:t>bronchoprotect</w:t>
      </w:r>
      <w:r>
        <w:rPr>
          <w:rFonts w:cs="Times New Roman"/>
        </w:rPr>
        <w:t>ive</w:t>
      </w:r>
      <w:proofErr w:type="spellEnd"/>
      <w:r>
        <w:rPr>
          <w:rFonts w:cs="Times New Roman"/>
        </w:rPr>
        <w:t xml:space="preserve"> effects were dose dependent. </w:t>
      </w:r>
      <w:proofErr w:type="spellStart"/>
      <w:r w:rsidRPr="00494AF5">
        <w:rPr>
          <w:rFonts w:cs="Times New Roman"/>
        </w:rPr>
        <w:t>Bronchoprotective</w:t>
      </w:r>
      <w:proofErr w:type="spellEnd"/>
      <w:r w:rsidRPr="00494AF5">
        <w:rPr>
          <w:rFonts w:cs="Times New Roman"/>
        </w:rPr>
        <w:t xml:space="preserve"> effects lasting at least 24 hou</w:t>
      </w:r>
      <w:r>
        <w:rPr>
          <w:rFonts w:cs="Times New Roman"/>
        </w:rPr>
        <w:t xml:space="preserve">rs were observed in some of the </w:t>
      </w:r>
      <w:r w:rsidRPr="000F3CEF">
        <w:rPr>
          <w:rFonts w:cs="Times New Roman"/>
          <w:i/>
        </w:rPr>
        <w:t>in vivo</w:t>
      </w:r>
      <w:r w:rsidRPr="00494AF5">
        <w:rPr>
          <w:rFonts w:cs="Times New Roman"/>
        </w:rPr>
        <w:t xml:space="preserve"> studies. The long duration of effect of tiotropium </w:t>
      </w:r>
      <w:r>
        <w:rPr>
          <w:rFonts w:cs="Times New Roman"/>
        </w:rPr>
        <w:t xml:space="preserve">is likely to be due to its slow </w:t>
      </w:r>
      <w:r w:rsidRPr="00494AF5">
        <w:rPr>
          <w:rFonts w:cs="Times New Roman"/>
        </w:rPr>
        <w:t>dissociation from M</w:t>
      </w:r>
      <w:r w:rsidRPr="005D03E1">
        <w:rPr>
          <w:rFonts w:cs="Times New Roman"/>
          <w:vertAlign w:val="subscript"/>
        </w:rPr>
        <w:t>3</w:t>
      </w:r>
      <w:r w:rsidRPr="00494AF5">
        <w:rPr>
          <w:rFonts w:cs="Times New Roman"/>
        </w:rPr>
        <w:t>-receptors. Tiotropium exhibited a significant</w:t>
      </w:r>
      <w:r>
        <w:rPr>
          <w:rFonts w:cs="Times New Roman"/>
        </w:rPr>
        <w:t xml:space="preserve">ly longer dissociation half-life </w:t>
      </w:r>
      <w:r w:rsidRPr="00494AF5">
        <w:rPr>
          <w:rFonts w:cs="Times New Roman"/>
        </w:rPr>
        <w:t>from M</w:t>
      </w:r>
      <w:r w:rsidRPr="005D03E1">
        <w:rPr>
          <w:rFonts w:cs="Times New Roman"/>
          <w:vertAlign w:val="subscript"/>
        </w:rPr>
        <w:t>3</w:t>
      </w:r>
      <w:r w:rsidRPr="00494AF5">
        <w:rPr>
          <w:rFonts w:cs="Times New Roman"/>
        </w:rPr>
        <w:t xml:space="preserve"> receptors than ipratropium.</w:t>
      </w:r>
    </w:p>
    <w:p w14:paraId="49F50F80" w14:textId="77777777" w:rsidR="003473F4" w:rsidRDefault="003473F4" w:rsidP="003473F4">
      <w:pPr>
        <w:pStyle w:val="BodyText"/>
        <w:rPr>
          <w:rFonts w:cs="Times New Roman"/>
          <w:bCs/>
        </w:rPr>
      </w:pPr>
      <w:r w:rsidRPr="00494AF5">
        <w:rPr>
          <w:rFonts w:cs="Times New Roman"/>
        </w:rPr>
        <w:t xml:space="preserve">Tiotropium, </w:t>
      </w:r>
      <w:proofErr w:type="gramStart"/>
      <w:r w:rsidRPr="00494AF5">
        <w:rPr>
          <w:rFonts w:cs="Times New Roman"/>
        </w:rPr>
        <w:t>a</w:t>
      </w:r>
      <w:proofErr w:type="gramEnd"/>
      <w:r w:rsidRPr="00494AF5">
        <w:rPr>
          <w:rFonts w:cs="Times New Roman"/>
        </w:rPr>
        <w:t xml:space="preserve"> N-quaternary anticholinergic agent, is topi</w:t>
      </w:r>
      <w:r>
        <w:rPr>
          <w:rFonts w:cs="Times New Roman"/>
        </w:rPr>
        <w:t>cally (</w:t>
      </w:r>
      <w:proofErr w:type="spellStart"/>
      <w:r>
        <w:rPr>
          <w:rFonts w:cs="Times New Roman"/>
        </w:rPr>
        <w:t>broncho</w:t>
      </w:r>
      <w:proofErr w:type="spellEnd"/>
      <w:r>
        <w:rPr>
          <w:rFonts w:cs="Times New Roman"/>
        </w:rPr>
        <w:t xml:space="preserve">-) selective when </w:t>
      </w:r>
      <w:r w:rsidRPr="00494AF5">
        <w:rPr>
          <w:rFonts w:cs="Times New Roman"/>
        </w:rPr>
        <w:t>administered by inhalation. The high potency (IC</w:t>
      </w:r>
      <w:r w:rsidRPr="0028385E">
        <w:rPr>
          <w:rFonts w:cs="Times New Roman"/>
          <w:vertAlign w:val="subscript"/>
        </w:rPr>
        <w:t>50</w:t>
      </w:r>
      <w:r w:rsidRPr="00494AF5">
        <w:rPr>
          <w:rFonts w:cs="Times New Roman"/>
        </w:rPr>
        <w:t xml:space="preserve"> approx</w:t>
      </w:r>
      <w:r>
        <w:rPr>
          <w:rFonts w:cs="Times New Roman"/>
        </w:rPr>
        <w:t xml:space="preserve">imately 0.4 </w:t>
      </w:r>
      <w:proofErr w:type="spellStart"/>
      <w:r>
        <w:rPr>
          <w:rFonts w:cs="Times New Roman"/>
        </w:rPr>
        <w:t>nM</w:t>
      </w:r>
      <w:proofErr w:type="spellEnd"/>
      <w:r>
        <w:rPr>
          <w:rFonts w:cs="Times New Roman"/>
        </w:rPr>
        <w:t xml:space="preserve"> for M</w:t>
      </w:r>
      <w:r w:rsidRPr="0028385E">
        <w:rPr>
          <w:rFonts w:cs="Times New Roman"/>
          <w:vertAlign w:val="subscript"/>
        </w:rPr>
        <w:t>3</w:t>
      </w:r>
      <w:r>
        <w:rPr>
          <w:rFonts w:cs="Times New Roman"/>
        </w:rPr>
        <w:t xml:space="preserve">) and slow </w:t>
      </w:r>
      <w:r w:rsidRPr="00494AF5">
        <w:rPr>
          <w:rFonts w:cs="Times New Roman"/>
        </w:rPr>
        <w:t>receptor dissociation is associated with a significant and</w:t>
      </w:r>
      <w:r>
        <w:rPr>
          <w:rFonts w:cs="Times New Roman"/>
        </w:rPr>
        <w:t xml:space="preserve"> long-acting bronchodilation in </w:t>
      </w:r>
      <w:r w:rsidRPr="00494AF5">
        <w:rPr>
          <w:rFonts w:cs="Times New Roman"/>
        </w:rPr>
        <w:t>patients with chronic obstructive pulmonary disease (COPD).</w:t>
      </w:r>
      <w:r>
        <w:rPr>
          <w:rFonts w:cs="Times New Roman"/>
        </w:rPr>
        <w:t xml:space="preserve"> </w:t>
      </w:r>
      <w:r w:rsidRPr="00494AF5">
        <w:rPr>
          <w:rFonts w:cs="Times New Roman"/>
          <w:bCs/>
        </w:rPr>
        <w:t>The bronchodilation following inhalation of tiotropium is primarily a local effect on the</w:t>
      </w:r>
      <w:r>
        <w:rPr>
          <w:rFonts w:cs="Times New Roman"/>
        </w:rPr>
        <w:t xml:space="preserve"> </w:t>
      </w:r>
      <w:r w:rsidRPr="00494AF5">
        <w:rPr>
          <w:rFonts w:cs="Times New Roman"/>
          <w:bCs/>
        </w:rPr>
        <w:t xml:space="preserve">airways, not a systemic </w:t>
      </w:r>
      <w:r w:rsidRPr="00494AF5">
        <w:rPr>
          <w:rFonts w:cs="Times New Roman"/>
          <w:bCs/>
        </w:rPr>
        <w:lastRenderedPageBreak/>
        <w:t>one.</w:t>
      </w:r>
    </w:p>
    <w:p w14:paraId="59608FA5" w14:textId="77777777" w:rsidR="003473F4" w:rsidRPr="00494AF5" w:rsidRDefault="003473F4" w:rsidP="008253C7">
      <w:pPr>
        <w:pStyle w:val="BodyText"/>
        <w:keepNext/>
        <w:spacing w:line="259" w:lineRule="auto"/>
        <w:rPr>
          <w:rFonts w:cs="Times New Roman"/>
          <w:bCs/>
          <w:u w:val="single"/>
        </w:rPr>
      </w:pPr>
      <w:r w:rsidRPr="00494AF5">
        <w:rPr>
          <w:rFonts w:cs="Times New Roman"/>
          <w:bCs/>
          <w:u w:val="single"/>
        </w:rPr>
        <w:t>Cardiac electrophysiology</w:t>
      </w:r>
    </w:p>
    <w:p w14:paraId="687392B1" w14:textId="77777777" w:rsidR="003473F4" w:rsidRDefault="003473F4" w:rsidP="003473F4">
      <w:pPr>
        <w:pStyle w:val="BodyText"/>
        <w:spacing w:line="259" w:lineRule="auto"/>
        <w:rPr>
          <w:rFonts w:cs="Times New Roman"/>
          <w:bCs/>
        </w:rPr>
      </w:pPr>
      <w:r w:rsidRPr="00494AF5">
        <w:rPr>
          <w:rFonts w:cs="Times New Roman"/>
          <w:bCs/>
        </w:rPr>
        <w:t>In a dedicated QT study involving 53 healthy volunt</w:t>
      </w:r>
      <w:r>
        <w:rPr>
          <w:rFonts w:cs="Times New Roman"/>
          <w:bCs/>
        </w:rPr>
        <w:t xml:space="preserve">eers,  a dispensed dose of 18 micrograms of tiotropium and a dispensed dose of 54 micrograms </w:t>
      </w:r>
      <w:r w:rsidRPr="00494AF5">
        <w:rPr>
          <w:rFonts w:cs="Times New Roman"/>
          <w:bCs/>
        </w:rPr>
        <w:t xml:space="preserve"> </w:t>
      </w:r>
      <w:r>
        <w:rPr>
          <w:rFonts w:cs="Times New Roman"/>
          <w:bCs/>
        </w:rPr>
        <w:t xml:space="preserve">of tiotropium </w:t>
      </w:r>
      <w:r w:rsidRPr="00494AF5">
        <w:rPr>
          <w:rFonts w:cs="Times New Roman"/>
          <w:bCs/>
        </w:rPr>
        <w:t>over 12 days did not sig</w:t>
      </w:r>
      <w:r>
        <w:rPr>
          <w:rFonts w:cs="Times New Roman"/>
          <w:bCs/>
        </w:rPr>
        <w:t xml:space="preserve">nificantly prolong QT intervals </w:t>
      </w:r>
      <w:r w:rsidRPr="00494AF5">
        <w:rPr>
          <w:rFonts w:cs="Times New Roman"/>
          <w:bCs/>
        </w:rPr>
        <w:t>of the ECG.</w:t>
      </w:r>
    </w:p>
    <w:p w14:paraId="34CF83C4" w14:textId="77777777" w:rsidR="003473F4" w:rsidRDefault="003473F4" w:rsidP="003473F4">
      <w:pPr>
        <w:pStyle w:val="BodyText"/>
        <w:rPr>
          <w:rFonts w:cs="Times New Roman"/>
          <w:bCs/>
          <w:i/>
          <w:iCs/>
          <w:lang w:val="en-AU"/>
        </w:rPr>
      </w:pPr>
      <w:r>
        <w:rPr>
          <w:rFonts w:cs="Times New Roman"/>
          <w:bCs/>
        </w:rPr>
        <w:t xml:space="preserve">The pharmacokinetic studies conducted using BRALTUS (13 micrograms tiotropium) have demonstrated bioequivalence to the reference product containing a dispensed dose of 18 micrograms tiotropium (see </w:t>
      </w:r>
      <w:r>
        <w:rPr>
          <w:rFonts w:cs="Times New Roman"/>
          <w:b/>
          <w:bCs/>
          <w:i/>
          <w:iCs/>
          <w:lang w:val="en-AU"/>
        </w:rPr>
        <w:t>BRALTUS</w:t>
      </w:r>
      <w:r w:rsidRPr="00942A1C">
        <w:rPr>
          <w:rFonts w:cs="Times New Roman"/>
          <w:b/>
          <w:bCs/>
          <w:i/>
          <w:iCs/>
          <w:lang w:val="en-AU"/>
        </w:rPr>
        <w:t xml:space="preserve"> pharmacokinetic profile</w:t>
      </w:r>
      <w:r w:rsidRPr="00435BFC">
        <w:rPr>
          <w:rFonts w:cs="Times New Roman"/>
          <w:bCs/>
          <w:i/>
          <w:iCs/>
          <w:lang w:val="en-AU"/>
        </w:rPr>
        <w:t>)</w:t>
      </w:r>
      <w:r>
        <w:rPr>
          <w:rFonts w:cs="Times New Roman"/>
          <w:bCs/>
          <w:i/>
          <w:iCs/>
          <w:lang w:val="en-AU"/>
        </w:rPr>
        <w:t>.</w:t>
      </w:r>
    </w:p>
    <w:p w14:paraId="17FECC86" w14:textId="77777777" w:rsidR="003473F4" w:rsidRPr="003473F4" w:rsidRDefault="003473F4" w:rsidP="003473F4">
      <w:pPr>
        <w:pStyle w:val="BodyText"/>
      </w:pPr>
    </w:p>
    <w:p w14:paraId="24F8EDC0" w14:textId="77777777" w:rsidR="001A3992" w:rsidRDefault="001A3992" w:rsidP="001A3992">
      <w:pPr>
        <w:pStyle w:val="Heading3"/>
        <w:spacing w:before="0" w:after="120"/>
        <w:rPr>
          <w:rFonts w:cstheme="minorHAnsi"/>
          <w:lang w:val="en-US"/>
        </w:rPr>
      </w:pPr>
      <w:r w:rsidRPr="00497C85">
        <w:rPr>
          <w:rFonts w:cstheme="minorHAnsi"/>
        </w:rPr>
        <w:t>Clinical</w:t>
      </w:r>
      <w:r w:rsidRPr="00497C85">
        <w:rPr>
          <w:rFonts w:cstheme="minorHAnsi"/>
          <w:lang w:val="en-US"/>
        </w:rPr>
        <w:t xml:space="preserve"> trials</w:t>
      </w:r>
    </w:p>
    <w:p w14:paraId="7CC593A5" w14:textId="77777777" w:rsidR="002745A7" w:rsidRPr="00E9632D" w:rsidRDefault="002745A7" w:rsidP="002745A7">
      <w:pPr>
        <w:pStyle w:val="BodyText"/>
        <w:spacing w:after="240" w:line="259" w:lineRule="auto"/>
        <w:rPr>
          <w:rFonts w:cs="Times New Roman"/>
        </w:rPr>
      </w:pPr>
      <w:r w:rsidRPr="00E9632D">
        <w:rPr>
          <w:rFonts w:cs="Times New Roman"/>
        </w:rPr>
        <w:t xml:space="preserve">The reported clinical studies are those of the innovator reference product. </w:t>
      </w:r>
      <w:r>
        <w:rPr>
          <w:rFonts w:cs="Times New Roman"/>
        </w:rPr>
        <w:t>Bioequivalence</w:t>
      </w:r>
      <w:r w:rsidRPr="00E9632D">
        <w:rPr>
          <w:rFonts w:cs="Times New Roman"/>
        </w:rPr>
        <w:t xml:space="preserve"> has been demonstrated between BRALTUS </w:t>
      </w:r>
      <w:r>
        <w:rPr>
          <w:rFonts w:cs="Times New Roman"/>
        </w:rPr>
        <w:t xml:space="preserve">(13 micrograms </w:t>
      </w:r>
      <w:r>
        <w:rPr>
          <w:rFonts w:cs="Times New Roman"/>
          <w:lang w:val="en-AU"/>
        </w:rPr>
        <w:t>tiotropium</w:t>
      </w:r>
      <w:r>
        <w:rPr>
          <w:rFonts w:cs="Times New Roman"/>
        </w:rPr>
        <w:t xml:space="preserve">) </w:t>
      </w:r>
      <w:r w:rsidRPr="00E9632D">
        <w:rPr>
          <w:rFonts w:cs="Times New Roman"/>
        </w:rPr>
        <w:t>and the innovator reference product</w:t>
      </w:r>
      <w:r>
        <w:rPr>
          <w:rFonts w:cs="Times New Roman"/>
        </w:rPr>
        <w:t xml:space="preserve"> (18 micrograms </w:t>
      </w:r>
      <w:r>
        <w:rPr>
          <w:rFonts w:cs="Times New Roman"/>
          <w:lang w:val="en-AU"/>
        </w:rPr>
        <w:t>tiotropium</w:t>
      </w:r>
      <w:r>
        <w:rPr>
          <w:rFonts w:cs="Times New Roman"/>
        </w:rPr>
        <w:t>)</w:t>
      </w:r>
      <w:r w:rsidRPr="00E9632D">
        <w:rPr>
          <w:rFonts w:cs="Times New Roman"/>
        </w:rPr>
        <w:t>.</w:t>
      </w:r>
      <w:r>
        <w:rPr>
          <w:rFonts w:cs="Times New Roman"/>
        </w:rPr>
        <w:t xml:space="preserve">  </w:t>
      </w:r>
      <w:r w:rsidRPr="00E73A30">
        <w:rPr>
          <w:rFonts w:cs="Times New Roman"/>
          <w:i/>
        </w:rPr>
        <w:t>In vitro</w:t>
      </w:r>
      <w:r>
        <w:rPr>
          <w:rFonts w:cs="Times New Roman"/>
        </w:rPr>
        <w:t xml:space="preserve"> studies have demonstrated that the same delivered dose of tiotropium is obtained from BRALTUS (13 micrograms </w:t>
      </w:r>
      <w:r>
        <w:rPr>
          <w:rFonts w:cs="Times New Roman"/>
          <w:lang w:val="en-AU"/>
        </w:rPr>
        <w:t>tiotropium</w:t>
      </w:r>
      <w:r>
        <w:rPr>
          <w:rFonts w:cs="Times New Roman"/>
        </w:rPr>
        <w:t xml:space="preserve">) in combination with the ZONDA device when compared against the innovator inhalation product (18 micrograms </w:t>
      </w:r>
      <w:r>
        <w:rPr>
          <w:rFonts w:cs="Times New Roman"/>
          <w:lang w:val="en-AU"/>
        </w:rPr>
        <w:t>tiotropium</w:t>
      </w:r>
      <w:r>
        <w:rPr>
          <w:rFonts w:cs="Times New Roman"/>
        </w:rPr>
        <w:t>).</w:t>
      </w:r>
    </w:p>
    <w:p w14:paraId="42BE2A49" w14:textId="77777777" w:rsidR="002745A7" w:rsidRDefault="002745A7" w:rsidP="002745A7">
      <w:pPr>
        <w:pStyle w:val="BodyText"/>
        <w:rPr>
          <w:rFonts w:cs="Times New Roman"/>
        </w:rPr>
      </w:pPr>
      <w:r w:rsidRPr="00E9632D">
        <w:rPr>
          <w:rFonts w:cs="Times New Roman"/>
        </w:rPr>
        <w:t>Additionally, an investigation was conducted to assess inspiratory flow rates achieved using the ZONDA device. Two separate studies were performed, the first one in COPD patients and the second one in Healthy Volunteers, using the inhalation device of the innovator product compared to the ZONDA device.</w:t>
      </w:r>
    </w:p>
    <w:p w14:paraId="14690A6A" w14:textId="77777777" w:rsidR="002745A7" w:rsidRPr="0042476F" w:rsidRDefault="002745A7" w:rsidP="002745A7">
      <w:pPr>
        <w:pStyle w:val="BodyText"/>
        <w:spacing w:after="240" w:line="259" w:lineRule="auto"/>
        <w:rPr>
          <w:rFonts w:cs="Times New Roman"/>
          <w:b/>
          <w:u w:val="single"/>
        </w:rPr>
      </w:pPr>
      <w:r w:rsidRPr="0042476F">
        <w:rPr>
          <w:rFonts w:cs="Times New Roman"/>
          <w:b/>
          <w:u w:val="single"/>
        </w:rPr>
        <w:t>Inhalation profile study in COPD patients</w:t>
      </w:r>
    </w:p>
    <w:p w14:paraId="1CC13A75" w14:textId="77777777" w:rsidR="002745A7" w:rsidRPr="00E9632D" w:rsidRDefault="002745A7" w:rsidP="002745A7">
      <w:pPr>
        <w:pStyle w:val="BodyText"/>
        <w:spacing w:after="240" w:line="259" w:lineRule="auto"/>
        <w:rPr>
          <w:rFonts w:cs="Times New Roman"/>
        </w:rPr>
      </w:pPr>
      <w:r w:rsidRPr="00E9632D">
        <w:rPr>
          <w:rFonts w:cs="Times New Roman"/>
        </w:rPr>
        <w:t>A total of 50 patients with moderate (FEV</w:t>
      </w:r>
      <w:r w:rsidRPr="00235C73">
        <w:rPr>
          <w:rFonts w:cs="Times New Roman"/>
          <w:vertAlign w:val="subscript"/>
        </w:rPr>
        <w:t>1</w:t>
      </w:r>
      <w:r>
        <w:rPr>
          <w:rFonts w:cs="Times New Roman"/>
          <w:vertAlign w:val="subscript"/>
        </w:rPr>
        <w:t xml:space="preserve"> </w:t>
      </w:r>
      <w:r w:rsidRPr="00235C73">
        <w:rPr>
          <w:rFonts w:cs="Times New Roman"/>
        </w:rPr>
        <w:t>(</w:t>
      </w:r>
      <w:r>
        <w:rPr>
          <w:rFonts w:cs="Times New Roman"/>
        </w:rPr>
        <w:t xml:space="preserve">forced expiratory volume in 1 second) </w:t>
      </w:r>
      <w:r w:rsidRPr="00E9632D">
        <w:rPr>
          <w:rFonts w:cs="Times New Roman"/>
        </w:rPr>
        <w:t>= 50-79% predicted) (n</w:t>
      </w:r>
      <w:r>
        <w:rPr>
          <w:rFonts w:cs="Times New Roman"/>
        </w:rPr>
        <w:t xml:space="preserve"> </w:t>
      </w:r>
      <w:r w:rsidRPr="00E9632D">
        <w:rPr>
          <w:rFonts w:cs="Times New Roman"/>
        </w:rPr>
        <w:t>=26), severe (FEV</w:t>
      </w:r>
      <w:r w:rsidRPr="00235C73">
        <w:rPr>
          <w:rFonts w:cs="Times New Roman"/>
          <w:vertAlign w:val="subscript"/>
        </w:rPr>
        <w:t>1</w:t>
      </w:r>
      <w:r>
        <w:rPr>
          <w:rFonts w:cs="Times New Roman"/>
          <w:vertAlign w:val="subscript"/>
        </w:rPr>
        <w:t xml:space="preserve"> </w:t>
      </w:r>
      <w:r w:rsidRPr="00E9632D">
        <w:rPr>
          <w:rFonts w:cs="Times New Roman"/>
        </w:rPr>
        <w:t>=</w:t>
      </w:r>
      <w:r>
        <w:rPr>
          <w:rFonts w:cs="Times New Roman"/>
        </w:rPr>
        <w:t xml:space="preserve"> </w:t>
      </w:r>
      <w:r w:rsidRPr="00E9632D">
        <w:rPr>
          <w:rFonts w:cs="Times New Roman"/>
        </w:rPr>
        <w:t>30-49% predicted) (n=18) or very severe ((FEV</w:t>
      </w:r>
      <w:r w:rsidRPr="00235C73">
        <w:rPr>
          <w:rFonts w:cs="Times New Roman"/>
          <w:vertAlign w:val="subscript"/>
        </w:rPr>
        <w:t>1</w:t>
      </w:r>
      <w:r w:rsidRPr="00E9632D">
        <w:rPr>
          <w:rFonts w:cs="Times New Roman"/>
        </w:rPr>
        <w:t>&lt;30% predicted) (n</w:t>
      </w:r>
      <w:r>
        <w:rPr>
          <w:rFonts w:cs="Times New Roman"/>
        </w:rPr>
        <w:t xml:space="preserve"> </w:t>
      </w:r>
      <w:r w:rsidRPr="00E9632D">
        <w:rPr>
          <w:rFonts w:cs="Times New Roman"/>
        </w:rPr>
        <w:t xml:space="preserve">= 6) COPD were </w:t>
      </w:r>
      <w:proofErr w:type="spellStart"/>
      <w:r w:rsidRPr="00E9632D">
        <w:rPr>
          <w:rFonts w:cs="Times New Roman"/>
        </w:rPr>
        <w:t>randomised</w:t>
      </w:r>
      <w:proofErr w:type="spellEnd"/>
      <w:r w:rsidRPr="00E9632D">
        <w:rPr>
          <w:rFonts w:cs="Times New Roman"/>
        </w:rPr>
        <w:t xml:space="preserve"> and completed the study</w:t>
      </w:r>
      <w:r>
        <w:rPr>
          <w:rFonts w:cs="Times New Roman"/>
        </w:rPr>
        <w:t xml:space="preserve"> comparing the ZONDA device and the innovator’s dry powder inhaler. Each participant was asked to carry out two inhalations through each dry powder inhaler. </w:t>
      </w:r>
      <w:r w:rsidRPr="00E9632D">
        <w:rPr>
          <w:rFonts w:cs="Times New Roman"/>
        </w:rPr>
        <w:t>The peak inhalation flow</w:t>
      </w:r>
      <w:r>
        <w:rPr>
          <w:rFonts w:cs="Times New Roman"/>
        </w:rPr>
        <w:t>, maximum pressure change</w:t>
      </w:r>
      <w:r w:rsidRPr="00E9632D">
        <w:rPr>
          <w:rFonts w:cs="Times New Roman"/>
        </w:rPr>
        <w:t>, inhalation volume, time of inhalation, time to reach the PIF (</w:t>
      </w:r>
      <w:proofErr w:type="spellStart"/>
      <w:r w:rsidRPr="00E9632D">
        <w:rPr>
          <w:rFonts w:cs="Times New Roman"/>
        </w:rPr>
        <w:t>Tpeak</w:t>
      </w:r>
      <w:proofErr w:type="spellEnd"/>
      <w:r w:rsidRPr="00E9632D">
        <w:rPr>
          <w:rFonts w:cs="Times New Roman"/>
        </w:rPr>
        <w:t xml:space="preserve"> in sec) and the </w:t>
      </w:r>
      <w:r>
        <w:rPr>
          <w:rFonts w:cs="Times New Roman"/>
        </w:rPr>
        <w:t>acceleration rate</w:t>
      </w:r>
      <w:r w:rsidRPr="00E9632D">
        <w:rPr>
          <w:rFonts w:cs="Times New Roman"/>
        </w:rPr>
        <w:t xml:space="preserve"> were measured. The study was conducted with empty capsules.</w:t>
      </w:r>
    </w:p>
    <w:p w14:paraId="3BEC6BF4" w14:textId="77777777" w:rsidR="002745A7" w:rsidRDefault="002745A7" w:rsidP="002745A7">
      <w:pPr>
        <w:pStyle w:val="BodyText"/>
        <w:spacing w:after="240" w:line="259" w:lineRule="auto"/>
        <w:rPr>
          <w:rFonts w:cs="Times New Roman"/>
          <w:u w:val="single"/>
        </w:rPr>
      </w:pPr>
      <w:r w:rsidRPr="00E9632D">
        <w:rPr>
          <w:rFonts w:cs="Times New Roman"/>
        </w:rPr>
        <w:t>The majority of patients were able to achieve peak flow rate</w:t>
      </w:r>
      <w:r>
        <w:rPr>
          <w:rFonts w:cs="Times New Roman"/>
        </w:rPr>
        <w:t>s</w:t>
      </w:r>
      <w:r w:rsidRPr="00E9632D">
        <w:rPr>
          <w:rFonts w:cs="Times New Roman"/>
        </w:rPr>
        <w:t xml:space="preserve"> between 30 and 60 L/min</w:t>
      </w:r>
      <w:r>
        <w:rPr>
          <w:rFonts w:cs="Times New Roman"/>
        </w:rPr>
        <w:t xml:space="preserve"> for both devices</w:t>
      </w:r>
      <w:r w:rsidRPr="00E9632D">
        <w:rPr>
          <w:rFonts w:cs="Times New Roman"/>
        </w:rPr>
        <w:t xml:space="preserve">. The inhalation parameters of the ZONDA device were </w:t>
      </w:r>
      <w:r>
        <w:rPr>
          <w:rFonts w:cs="Times New Roman"/>
        </w:rPr>
        <w:t xml:space="preserve">significantly higher (p&lt;0.001) </w:t>
      </w:r>
      <w:r w:rsidRPr="00E9632D">
        <w:rPr>
          <w:rFonts w:cs="Times New Roman"/>
        </w:rPr>
        <w:t xml:space="preserve">than those of the innovator reference product with respect to </w:t>
      </w:r>
      <w:r>
        <w:rPr>
          <w:rFonts w:cs="Times New Roman"/>
        </w:rPr>
        <w:t xml:space="preserve">peak inhalation </w:t>
      </w:r>
      <w:r w:rsidRPr="00E9632D">
        <w:rPr>
          <w:rFonts w:cs="Times New Roman"/>
        </w:rPr>
        <w:t>flow, pressure change and acceleration rate.</w:t>
      </w:r>
    </w:p>
    <w:p w14:paraId="77F6341F" w14:textId="77777777" w:rsidR="002745A7" w:rsidRPr="009540F1" w:rsidRDefault="002745A7" w:rsidP="002745A7">
      <w:pPr>
        <w:pStyle w:val="BodyText"/>
        <w:spacing w:after="240" w:line="259" w:lineRule="auto"/>
        <w:rPr>
          <w:rFonts w:cs="Times New Roman"/>
          <w:b/>
          <w:u w:val="single"/>
        </w:rPr>
      </w:pPr>
      <w:r w:rsidRPr="009540F1">
        <w:rPr>
          <w:rFonts w:cs="Times New Roman"/>
          <w:b/>
          <w:u w:val="single"/>
        </w:rPr>
        <w:t>Inhalation profile study in Healthy Volunteers</w:t>
      </w:r>
      <w:r>
        <w:rPr>
          <w:rFonts w:cs="Times New Roman"/>
          <w:b/>
          <w:u w:val="single"/>
        </w:rPr>
        <w:t xml:space="preserve"> </w:t>
      </w:r>
    </w:p>
    <w:p w14:paraId="3B3A8A37" w14:textId="77777777" w:rsidR="002745A7" w:rsidRPr="00E9632D" w:rsidRDefault="002745A7" w:rsidP="002745A7">
      <w:pPr>
        <w:pStyle w:val="BodyText"/>
        <w:spacing w:after="240" w:line="259" w:lineRule="auto"/>
        <w:rPr>
          <w:rFonts w:cs="Times New Roman"/>
        </w:rPr>
      </w:pPr>
      <w:r w:rsidRPr="00E9632D">
        <w:rPr>
          <w:rFonts w:cs="Times New Roman"/>
        </w:rPr>
        <w:t xml:space="preserve">Fifty healthy volunteers (26 females and 24 males) completed </w:t>
      </w:r>
      <w:r>
        <w:rPr>
          <w:rFonts w:cs="Times New Roman"/>
        </w:rPr>
        <w:t xml:space="preserve">an open label, </w:t>
      </w:r>
      <w:proofErr w:type="spellStart"/>
      <w:r>
        <w:rPr>
          <w:rFonts w:cs="Times New Roman"/>
        </w:rPr>
        <w:t>randomised</w:t>
      </w:r>
      <w:proofErr w:type="spellEnd"/>
      <w:r w:rsidRPr="00E9632D">
        <w:rPr>
          <w:rFonts w:cs="Times New Roman"/>
        </w:rPr>
        <w:t xml:space="preserve"> study</w:t>
      </w:r>
      <w:r>
        <w:rPr>
          <w:rFonts w:cs="Times New Roman"/>
        </w:rPr>
        <w:t xml:space="preserve"> using a ZONDA device and the innovator dry powder inhaler</w:t>
      </w:r>
      <w:r w:rsidRPr="00E9632D">
        <w:rPr>
          <w:rFonts w:cs="Times New Roman"/>
        </w:rPr>
        <w:t xml:space="preserve">. Their ages ranged from </w:t>
      </w:r>
      <w:r w:rsidRPr="00E9632D">
        <w:rPr>
          <w:rFonts w:cs="Times New Roman"/>
        </w:rPr>
        <w:lastRenderedPageBreak/>
        <w:t>20 to 55 years and their FEV</w:t>
      </w:r>
      <w:r w:rsidRPr="00235C73">
        <w:rPr>
          <w:rFonts w:cs="Times New Roman"/>
          <w:vertAlign w:val="subscript"/>
        </w:rPr>
        <w:t>1</w:t>
      </w:r>
      <w:r w:rsidRPr="00E9632D">
        <w:rPr>
          <w:rFonts w:cs="Times New Roman"/>
        </w:rPr>
        <w:t xml:space="preserve"> % predicted</w:t>
      </w:r>
      <w:r>
        <w:rPr>
          <w:rFonts w:cs="Times New Roman"/>
        </w:rPr>
        <w:t xml:space="preserve"> values</w:t>
      </w:r>
      <w:r w:rsidRPr="00E9632D">
        <w:rPr>
          <w:rFonts w:cs="Times New Roman"/>
        </w:rPr>
        <w:t xml:space="preserve"> ranged from 80.0% to 118.0%. The study was conducted with empty capsules. </w:t>
      </w:r>
      <w:r w:rsidRPr="00C23DE6">
        <w:rPr>
          <w:rFonts w:cs="Times New Roman"/>
        </w:rPr>
        <w:t xml:space="preserve">The results show that the numerical differences </w:t>
      </w:r>
      <w:r>
        <w:rPr>
          <w:rFonts w:cs="Times New Roman"/>
        </w:rPr>
        <w:t xml:space="preserve">in the inhalation parameters of the ZONDA and the innovator’s dry powder inhaler </w:t>
      </w:r>
      <w:r w:rsidRPr="00C23DE6">
        <w:rPr>
          <w:rFonts w:cs="Times New Roman"/>
        </w:rPr>
        <w:t xml:space="preserve">are only small and </w:t>
      </w:r>
      <w:r>
        <w:rPr>
          <w:rFonts w:cs="Times New Roman"/>
        </w:rPr>
        <w:t xml:space="preserve">not </w:t>
      </w:r>
      <w:r w:rsidRPr="00C23DE6">
        <w:rPr>
          <w:rFonts w:cs="Times New Roman"/>
        </w:rPr>
        <w:t>likely to affect the emitted dose</w:t>
      </w:r>
      <w:r>
        <w:rPr>
          <w:rFonts w:cs="Times New Roman"/>
        </w:rPr>
        <w:t xml:space="preserve">. </w:t>
      </w:r>
      <w:r w:rsidRPr="00C23DE6">
        <w:rPr>
          <w:rFonts w:cs="Times New Roman"/>
        </w:rPr>
        <w:t>All peak inhalatio</w:t>
      </w:r>
      <w:r>
        <w:rPr>
          <w:rFonts w:cs="Times New Roman"/>
        </w:rPr>
        <w:t>n flows were above 30L/min and</w:t>
      </w:r>
      <w:r w:rsidRPr="00C23DE6">
        <w:rPr>
          <w:rFonts w:cs="Times New Roman"/>
        </w:rPr>
        <w:t xml:space="preserve"> with the inhaled volumes being greater</w:t>
      </w:r>
      <w:r>
        <w:rPr>
          <w:rFonts w:cs="Times New Roman"/>
        </w:rPr>
        <w:t xml:space="preserve"> </w:t>
      </w:r>
      <w:r w:rsidRPr="00C23DE6">
        <w:rPr>
          <w:rFonts w:cs="Times New Roman"/>
        </w:rPr>
        <w:t xml:space="preserve">than 1 </w:t>
      </w:r>
      <w:proofErr w:type="spellStart"/>
      <w:r w:rsidRPr="00C23DE6">
        <w:rPr>
          <w:rFonts w:cs="Times New Roman"/>
        </w:rPr>
        <w:t>litre</w:t>
      </w:r>
      <w:proofErr w:type="spellEnd"/>
      <w:r>
        <w:rPr>
          <w:rFonts w:cs="Times New Roman"/>
        </w:rPr>
        <w:t xml:space="preserve">, </w:t>
      </w:r>
      <w:r w:rsidRPr="00C23DE6">
        <w:rPr>
          <w:rFonts w:cs="Times New Roman"/>
        </w:rPr>
        <w:t xml:space="preserve">there would not be any issues </w:t>
      </w:r>
      <w:r>
        <w:rPr>
          <w:rFonts w:cs="Times New Roman"/>
        </w:rPr>
        <w:t xml:space="preserve">for both devices with respect </w:t>
      </w:r>
      <w:r w:rsidRPr="00E9632D">
        <w:rPr>
          <w:rFonts w:cs="Times New Roman"/>
        </w:rPr>
        <w:t>to dose emission,</w:t>
      </w:r>
      <w:r>
        <w:rPr>
          <w:rFonts w:cs="Times New Roman"/>
        </w:rPr>
        <w:t xml:space="preserve"> </w:t>
      </w:r>
      <w:r w:rsidRPr="00E9632D">
        <w:rPr>
          <w:rFonts w:cs="Times New Roman"/>
        </w:rPr>
        <w:t>therefore concluding that pharmacokinetic crossover studies would be consistent for both devices.</w:t>
      </w:r>
    </w:p>
    <w:p w14:paraId="4FD52AAF" w14:textId="77777777" w:rsidR="002745A7" w:rsidRPr="0001687C" w:rsidRDefault="002745A7" w:rsidP="002745A7">
      <w:pPr>
        <w:pStyle w:val="BodyText"/>
        <w:spacing w:after="240" w:line="259" w:lineRule="auto"/>
        <w:rPr>
          <w:rFonts w:cs="Times New Roman"/>
          <w:u w:val="single"/>
        </w:rPr>
      </w:pPr>
      <w:r w:rsidRPr="0001687C">
        <w:rPr>
          <w:rFonts w:cs="Times New Roman"/>
          <w:u w:val="single"/>
        </w:rPr>
        <w:t>Clinical efficacy</w:t>
      </w:r>
    </w:p>
    <w:p w14:paraId="3FD35916" w14:textId="77777777" w:rsidR="002745A7" w:rsidRPr="0001687C" w:rsidRDefault="002745A7" w:rsidP="002745A7">
      <w:pPr>
        <w:pStyle w:val="BodyText"/>
        <w:spacing w:after="240" w:line="259" w:lineRule="auto"/>
        <w:rPr>
          <w:rFonts w:cs="Times New Roman"/>
        </w:rPr>
      </w:pPr>
      <w:r w:rsidRPr="0001687C">
        <w:rPr>
          <w:rFonts w:cs="Times New Roman"/>
        </w:rPr>
        <w:t xml:space="preserve">The pivotal clinical development program consisted of four one-year </w:t>
      </w:r>
      <w:proofErr w:type="spellStart"/>
      <w:r w:rsidRPr="0001687C">
        <w:rPr>
          <w:rFonts w:cs="Times New Roman"/>
        </w:rPr>
        <w:t>randomised</w:t>
      </w:r>
      <w:proofErr w:type="spellEnd"/>
      <w:r w:rsidRPr="0001687C">
        <w:rPr>
          <w:rFonts w:cs="Times New Roman"/>
        </w:rPr>
        <w:t xml:space="preserve">, double-blind studies; two placebo-controlled and two with an active control (ipratropium) in 1456 COPD patients, 906 of which received </w:t>
      </w:r>
      <w:r>
        <w:rPr>
          <w:rFonts w:cs="Times New Roman"/>
        </w:rPr>
        <w:t>tiotropium</w:t>
      </w:r>
      <w:r w:rsidRPr="0001687C">
        <w:rPr>
          <w:rFonts w:cs="Times New Roman"/>
        </w:rPr>
        <w:t>. The studies assessed lung function in terms of forced expiratory volume in one second (FEV</w:t>
      </w:r>
      <w:r w:rsidRPr="002C336B">
        <w:rPr>
          <w:rFonts w:cs="Times New Roman"/>
          <w:vertAlign w:val="subscript"/>
        </w:rPr>
        <w:t>1</w:t>
      </w:r>
      <w:r w:rsidRPr="0001687C">
        <w:rPr>
          <w:rFonts w:cs="Times New Roman"/>
        </w:rPr>
        <w:t xml:space="preserve">), forced vital capacity (FVC) and peak expiratory flow rate (PEFR). Health outcome measures including </w:t>
      </w:r>
      <w:proofErr w:type="spellStart"/>
      <w:r w:rsidRPr="0001687C">
        <w:rPr>
          <w:rFonts w:cs="Times New Roman"/>
        </w:rPr>
        <w:t>dyspnoea</w:t>
      </w:r>
      <w:proofErr w:type="spellEnd"/>
      <w:r w:rsidRPr="0001687C">
        <w:rPr>
          <w:rFonts w:cs="Times New Roman"/>
        </w:rPr>
        <w:t xml:space="preserve">, exacerbations, </w:t>
      </w:r>
      <w:proofErr w:type="spellStart"/>
      <w:r w:rsidRPr="0001687C">
        <w:rPr>
          <w:rFonts w:cs="Times New Roman"/>
        </w:rPr>
        <w:t>hospitalisations</w:t>
      </w:r>
      <w:proofErr w:type="spellEnd"/>
      <w:r w:rsidRPr="0001687C">
        <w:rPr>
          <w:rFonts w:cs="Times New Roman"/>
        </w:rPr>
        <w:t xml:space="preserve"> and health-related quality of life (as measured by the St George’s Respiratory Questionnaire, SGRQ) were also assessed. In addition, the development program included two large trials of six months duration which compared the bronchodilator efficacy and safety of </w:t>
      </w:r>
      <w:r>
        <w:rPr>
          <w:rFonts w:cs="Times New Roman"/>
        </w:rPr>
        <w:t>tiotropium</w:t>
      </w:r>
      <w:r w:rsidRPr="0001687C">
        <w:rPr>
          <w:rFonts w:cs="Times New Roman"/>
        </w:rPr>
        <w:t>, with salmeterol</w:t>
      </w:r>
      <w:r>
        <w:rPr>
          <w:rFonts w:cs="Times New Roman"/>
        </w:rPr>
        <w:t xml:space="preserve"> </w:t>
      </w:r>
      <w:r w:rsidRPr="0001687C">
        <w:rPr>
          <w:rFonts w:cs="Times New Roman"/>
        </w:rPr>
        <w:t xml:space="preserve">inhalation aerosol and placebo in patients with COPD. These two studies </w:t>
      </w:r>
      <w:proofErr w:type="spellStart"/>
      <w:r w:rsidRPr="0001687C">
        <w:rPr>
          <w:rFonts w:cs="Times New Roman"/>
        </w:rPr>
        <w:t>randomised</w:t>
      </w:r>
      <w:proofErr w:type="spellEnd"/>
      <w:r w:rsidRPr="0001687C">
        <w:rPr>
          <w:rFonts w:cs="Times New Roman"/>
        </w:rPr>
        <w:t xml:space="preserve"> a total of 1207 patients, with approximately one-third treated with </w:t>
      </w:r>
      <w:r>
        <w:rPr>
          <w:rFonts w:cs="Times New Roman"/>
        </w:rPr>
        <w:t>tiotropium</w:t>
      </w:r>
      <w:r w:rsidRPr="0001687C">
        <w:rPr>
          <w:rFonts w:cs="Times New Roman"/>
        </w:rPr>
        <w:t>.</w:t>
      </w:r>
    </w:p>
    <w:p w14:paraId="2A0D6ED8" w14:textId="77777777" w:rsidR="002745A7" w:rsidRPr="0001687C" w:rsidRDefault="002745A7" w:rsidP="002745A7">
      <w:pPr>
        <w:pStyle w:val="BodyText"/>
        <w:spacing w:after="240" w:line="259" w:lineRule="auto"/>
        <w:rPr>
          <w:rFonts w:cs="Times New Roman"/>
          <w:u w:val="single"/>
        </w:rPr>
      </w:pPr>
      <w:r w:rsidRPr="0001687C">
        <w:rPr>
          <w:rFonts w:cs="Times New Roman"/>
          <w:u w:val="single"/>
        </w:rPr>
        <w:t>Lung function</w:t>
      </w:r>
    </w:p>
    <w:p w14:paraId="606223BE" w14:textId="77777777" w:rsidR="002745A7" w:rsidRDefault="002745A7" w:rsidP="002745A7">
      <w:pPr>
        <w:pStyle w:val="BodyText"/>
        <w:rPr>
          <w:rFonts w:cs="Times New Roman"/>
        </w:rPr>
      </w:pPr>
      <w:r w:rsidRPr="0001687C">
        <w:rPr>
          <w:rFonts w:cs="Times New Roman"/>
        </w:rPr>
        <w:t xml:space="preserve">Overall results from the four one-year studies demonstrated that </w:t>
      </w:r>
      <w:r>
        <w:rPr>
          <w:rFonts w:cs="Times New Roman"/>
        </w:rPr>
        <w:t>tiotropium</w:t>
      </w:r>
      <w:r w:rsidRPr="0001687C">
        <w:rPr>
          <w:rFonts w:cs="Times New Roman"/>
        </w:rPr>
        <w:t>, administered once daily, provided significant improvement in lung function (FEV</w:t>
      </w:r>
      <w:r w:rsidRPr="00FE5D09">
        <w:rPr>
          <w:rFonts w:cs="Times New Roman"/>
          <w:vertAlign w:val="subscript"/>
        </w:rPr>
        <w:t>1</w:t>
      </w:r>
      <w:r w:rsidRPr="0001687C">
        <w:rPr>
          <w:rFonts w:cs="Times New Roman"/>
        </w:rPr>
        <w:t xml:space="preserve"> and FVC) within 30 minutes following the first dose and that this improvement was maintained for 24 hours. </w:t>
      </w:r>
      <w:proofErr w:type="spellStart"/>
      <w:r w:rsidRPr="0001687C">
        <w:rPr>
          <w:rFonts w:cs="Times New Roman"/>
        </w:rPr>
        <w:t>Pharmacodynamic</w:t>
      </w:r>
      <w:proofErr w:type="spellEnd"/>
      <w:r w:rsidRPr="0001687C">
        <w:rPr>
          <w:rFonts w:cs="Times New Roman"/>
        </w:rPr>
        <w:t xml:space="preserve"> steady state was reached within one week, with near maximal bronchodilation observed by the third day. </w:t>
      </w:r>
      <w:r>
        <w:rPr>
          <w:rFonts w:cs="Times New Roman"/>
        </w:rPr>
        <w:t>Tiotropium</w:t>
      </w:r>
      <w:r w:rsidRPr="0001687C">
        <w:rPr>
          <w:rFonts w:cs="Times New Roman"/>
        </w:rPr>
        <w:t xml:space="preserve"> significantly improved morning and evening PEFR as measured by the patient’s daily recordings. The bronchodilator effects of </w:t>
      </w:r>
      <w:r>
        <w:rPr>
          <w:rFonts w:cs="Times New Roman"/>
        </w:rPr>
        <w:t>tiotropium</w:t>
      </w:r>
      <w:r w:rsidRPr="0001687C">
        <w:rPr>
          <w:rFonts w:cs="Times New Roman"/>
        </w:rPr>
        <w:t xml:space="preserve"> were maintained throughout the one-year period of administration with no evidence of tolerance.</w:t>
      </w:r>
    </w:p>
    <w:p w14:paraId="3002109B" w14:textId="77777777" w:rsidR="002745A7" w:rsidRPr="0001687C" w:rsidRDefault="002745A7" w:rsidP="002745A7">
      <w:pPr>
        <w:pStyle w:val="BodyText"/>
        <w:spacing w:after="240" w:line="259" w:lineRule="auto"/>
        <w:rPr>
          <w:rFonts w:cs="Times New Roman"/>
        </w:rPr>
      </w:pPr>
      <w:r w:rsidRPr="0001687C">
        <w:rPr>
          <w:rFonts w:cs="Times New Roman"/>
        </w:rPr>
        <w:t xml:space="preserve">In the two one-year, </w:t>
      </w:r>
      <w:proofErr w:type="spellStart"/>
      <w:r w:rsidRPr="0001687C">
        <w:rPr>
          <w:rFonts w:cs="Times New Roman"/>
        </w:rPr>
        <w:t>randomised</w:t>
      </w:r>
      <w:proofErr w:type="spellEnd"/>
      <w:r w:rsidRPr="0001687C">
        <w:rPr>
          <w:rFonts w:cs="Times New Roman"/>
        </w:rPr>
        <w:t xml:space="preserve">, double blind, placebo-controlled studies, 550 patients received </w:t>
      </w:r>
      <w:r>
        <w:rPr>
          <w:rFonts w:cs="Times New Roman"/>
        </w:rPr>
        <w:t>tiotropium</w:t>
      </w:r>
      <w:r w:rsidRPr="0001687C">
        <w:rPr>
          <w:rFonts w:cs="Times New Roman"/>
        </w:rPr>
        <w:t xml:space="preserve"> once daily and 371 patients received placebo. Mean differences in FEV</w:t>
      </w:r>
      <w:r w:rsidRPr="00FE5D09">
        <w:rPr>
          <w:rFonts w:cs="Times New Roman"/>
          <w:vertAlign w:val="subscript"/>
        </w:rPr>
        <w:t>1</w:t>
      </w:r>
      <w:r>
        <w:rPr>
          <w:rFonts w:cs="Times New Roman"/>
        </w:rPr>
        <w:t xml:space="preserve"> </w:t>
      </w:r>
      <w:r w:rsidRPr="0001687C">
        <w:rPr>
          <w:rFonts w:cs="Times New Roman"/>
        </w:rPr>
        <w:t xml:space="preserve">between </w:t>
      </w:r>
      <w:r>
        <w:rPr>
          <w:rFonts w:cs="Times New Roman"/>
        </w:rPr>
        <w:t>tiotropium</w:t>
      </w:r>
      <w:r w:rsidRPr="0001687C">
        <w:rPr>
          <w:rFonts w:cs="Times New Roman"/>
        </w:rPr>
        <w:t xml:space="preserve"> and placebo were highly statistically significant at all time points (p&lt;0.0001). The mean trough FEV</w:t>
      </w:r>
      <w:r w:rsidRPr="00FE5D09">
        <w:rPr>
          <w:rFonts w:cs="Times New Roman"/>
          <w:vertAlign w:val="subscript"/>
        </w:rPr>
        <w:t>1</w:t>
      </w:r>
      <w:r w:rsidRPr="0001687C">
        <w:rPr>
          <w:rFonts w:cs="Times New Roman"/>
        </w:rPr>
        <w:t xml:space="preserve"> at Day 92 (defined as the primary efficacy endpoint) was 0.14 L greater following </w:t>
      </w:r>
      <w:r>
        <w:rPr>
          <w:rFonts w:cs="Times New Roman"/>
        </w:rPr>
        <w:t>tiotropium</w:t>
      </w:r>
      <w:r w:rsidRPr="0001687C">
        <w:rPr>
          <w:rFonts w:cs="Times New Roman"/>
        </w:rPr>
        <w:t xml:space="preserve"> than placebo (p&lt;0.0001) and remained significantly different from placebo throughout the one year observation period (p&lt;0.0001). The FVC response generally paralleled that of FEV</w:t>
      </w:r>
      <w:r w:rsidRPr="00FE5D09">
        <w:rPr>
          <w:rFonts w:cs="Times New Roman"/>
          <w:vertAlign w:val="subscript"/>
        </w:rPr>
        <w:t>1</w:t>
      </w:r>
      <w:r w:rsidRPr="0001687C">
        <w:rPr>
          <w:rFonts w:cs="Times New Roman"/>
        </w:rPr>
        <w:t>.</w:t>
      </w:r>
    </w:p>
    <w:p w14:paraId="5A43E951" w14:textId="77777777" w:rsidR="002745A7" w:rsidRDefault="002745A7" w:rsidP="002745A7">
      <w:pPr>
        <w:pStyle w:val="BodyText"/>
        <w:rPr>
          <w:rFonts w:cs="Times New Roman"/>
        </w:rPr>
      </w:pPr>
      <w:r w:rsidRPr="0001687C">
        <w:rPr>
          <w:rFonts w:cs="Times New Roman"/>
        </w:rPr>
        <w:t xml:space="preserve">In the two one-year, </w:t>
      </w:r>
      <w:proofErr w:type="spellStart"/>
      <w:r w:rsidRPr="0001687C">
        <w:rPr>
          <w:rFonts w:cs="Times New Roman"/>
        </w:rPr>
        <w:t>randomised</w:t>
      </w:r>
      <w:proofErr w:type="spellEnd"/>
      <w:r w:rsidRPr="0001687C">
        <w:rPr>
          <w:rFonts w:cs="Times New Roman"/>
        </w:rPr>
        <w:t xml:space="preserve">, double blind, ipratropium-controlled studies, 356 patients received </w:t>
      </w:r>
      <w:r>
        <w:rPr>
          <w:rFonts w:cs="Times New Roman"/>
        </w:rPr>
        <w:t>tiotropium</w:t>
      </w:r>
      <w:r w:rsidRPr="0001687C">
        <w:rPr>
          <w:rFonts w:cs="Times New Roman"/>
        </w:rPr>
        <w:t xml:space="preserve"> once daily and 179 patients received ipratropium, 2 puffs of 20 micrograms,</w:t>
      </w:r>
      <w:r>
        <w:rPr>
          <w:rFonts w:cs="Times New Roman"/>
        </w:rPr>
        <w:t xml:space="preserve"> </w:t>
      </w:r>
      <w:r w:rsidRPr="0001687C">
        <w:rPr>
          <w:rFonts w:cs="Times New Roman"/>
        </w:rPr>
        <w:t>four times a day. Mean differences in trough FEV</w:t>
      </w:r>
      <w:r w:rsidRPr="00FE5D09">
        <w:rPr>
          <w:rFonts w:cs="Times New Roman"/>
          <w:vertAlign w:val="subscript"/>
        </w:rPr>
        <w:t>1</w:t>
      </w:r>
      <w:r w:rsidRPr="0001687C">
        <w:rPr>
          <w:rFonts w:cs="Times New Roman"/>
        </w:rPr>
        <w:t xml:space="preserve"> between </w:t>
      </w:r>
      <w:r>
        <w:rPr>
          <w:rFonts w:cs="Times New Roman"/>
        </w:rPr>
        <w:t>tiotropium</w:t>
      </w:r>
      <w:r w:rsidRPr="0001687C">
        <w:rPr>
          <w:rFonts w:cs="Times New Roman"/>
        </w:rPr>
        <w:t xml:space="preserve"> and ipratropium were highly statistically significant at all time points (p&lt;0.0001). The mean </w:t>
      </w:r>
      <w:r w:rsidRPr="0001687C">
        <w:rPr>
          <w:rFonts w:cs="Times New Roman"/>
        </w:rPr>
        <w:lastRenderedPageBreak/>
        <w:t>trough FEV</w:t>
      </w:r>
      <w:r w:rsidRPr="00FE5D09">
        <w:rPr>
          <w:rFonts w:cs="Times New Roman"/>
          <w:vertAlign w:val="subscript"/>
        </w:rPr>
        <w:t>1</w:t>
      </w:r>
      <w:r w:rsidRPr="0001687C">
        <w:rPr>
          <w:rFonts w:cs="Times New Roman"/>
        </w:rPr>
        <w:t xml:space="preserve"> on Day 92 was 0.14 L greater following </w:t>
      </w:r>
      <w:r>
        <w:rPr>
          <w:rFonts w:cs="Times New Roman"/>
        </w:rPr>
        <w:t>tiotropium</w:t>
      </w:r>
      <w:r w:rsidRPr="0001687C">
        <w:rPr>
          <w:rFonts w:cs="Times New Roman"/>
        </w:rPr>
        <w:t xml:space="preserve"> than ipratropium (p&lt;0.0001). The FVC response generally paralleled that of FEV</w:t>
      </w:r>
      <w:r w:rsidRPr="00FE5D09">
        <w:rPr>
          <w:rFonts w:cs="Times New Roman"/>
          <w:vertAlign w:val="subscript"/>
        </w:rPr>
        <w:t>1</w:t>
      </w:r>
      <w:r w:rsidRPr="0001687C">
        <w:rPr>
          <w:rFonts w:cs="Times New Roman"/>
        </w:rPr>
        <w:t>.</w:t>
      </w:r>
    </w:p>
    <w:p w14:paraId="7A5AAE8D" w14:textId="77777777" w:rsidR="002745A7" w:rsidRPr="00FE5D09" w:rsidRDefault="002745A7" w:rsidP="002745A7">
      <w:pPr>
        <w:pStyle w:val="BodyText"/>
        <w:spacing w:after="240" w:line="259" w:lineRule="auto"/>
        <w:rPr>
          <w:rFonts w:cs="Times New Roman"/>
          <w:u w:val="single"/>
        </w:rPr>
      </w:pPr>
      <w:r w:rsidRPr="00FE5D09">
        <w:rPr>
          <w:rFonts w:cs="Times New Roman"/>
          <w:u w:val="single"/>
        </w:rPr>
        <w:t>Long-term clinical trials (6 months and 1 year)</w:t>
      </w:r>
    </w:p>
    <w:p w14:paraId="03E7472B" w14:textId="77777777" w:rsidR="002745A7" w:rsidRPr="00FE5D09" w:rsidRDefault="002745A7" w:rsidP="002745A7">
      <w:pPr>
        <w:pStyle w:val="BodyText"/>
        <w:spacing w:after="240" w:line="259" w:lineRule="auto"/>
        <w:rPr>
          <w:rFonts w:cs="Times New Roman"/>
          <w:u w:val="single"/>
        </w:rPr>
      </w:pPr>
      <w:proofErr w:type="spellStart"/>
      <w:r w:rsidRPr="00FE5D09">
        <w:rPr>
          <w:rFonts w:cs="Times New Roman"/>
          <w:u w:val="single"/>
        </w:rPr>
        <w:t>Dyspnoea</w:t>
      </w:r>
      <w:proofErr w:type="spellEnd"/>
      <w:r w:rsidRPr="00FE5D09">
        <w:rPr>
          <w:rFonts w:cs="Times New Roman"/>
          <w:u w:val="single"/>
        </w:rPr>
        <w:t>, Exercise tolerance</w:t>
      </w:r>
    </w:p>
    <w:p w14:paraId="5AA1FE7B" w14:textId="77777777" w:rsidR="002745A7" w:rsidRPr="0001687C" w:rsidRDefault="002745A7" w:rsidP="002745A7">
      <w:pPr>
        <w:pStyle w:val="BodyText"/>
        <w:spacing w:after="240" w:line="259" w:lineRule="auto"/>
        <w:rPr>
          <w:rFonts w:cs="Times New Roman"/>
        </w:rPr>
      </w:pPr>
      <w:r w:rsidRPr="0001687C">
        <w:rPr>
          <w:rFonts w:cs="Times New Roman"/>
        </w:rPr>
        <w:t xml:space="preserve">In the one-year trials, </w:t>
      </w:r>
      <w:r>
        <w:rPr>
          <w:rFonts w:cs="Times New Roman"/>
        </w:rPr>
        <w:t>tiotropium</w:t>
      </w:r>
      <w:r w:rsidRPr="0001687C">
        <w:rPr>
          <w:rFonts w:cs="Times New Roman"/>
        </w:rPr>
        <w:t xml:space="preserve"> significantly improved </w:t>
      </w:r>
      <w:proofErr w:type="spellStart"/>
      <w:r w:rsidRPr="0001687C">
        <w:rPr>
          <w:rFonts w:cs="Times New Roman"/>
        </w:rPr>
        <w:t>dyspnoea</w:t>
      </w:r>
      <w:proofErr w:type="spellEnd"/>
      <w:r w:rsidRPr="0001687C">
        <w:rPr>
          <w:rFonts w:cs="Times New Roman"/>
        </w:rPr>
        <w:t xml:space="preserve"> in patients, as evaluated using the Mahler Transitional </w:t>
      </w:r>
      <w:proofErr w:type="spellStart"/>
      <w:r w:rsidRPr="0001687C">
        <w:rPr>
          <w:rFonts w:cs="Times New Roman"/>
        </w:rPr>
        <w:t>Dyspnoea</w:t>
      </w:r>
      <w:proofErr w:type="spellEnd"/>
      <w:r w:rsidRPr="0001687C">
        <w:rPr>
          <w:rFonts w:cs="Times New Roman"/>
        </w:rPr>
        <w:t xml:space="preserve"> Index (TDI) and patient daily reported symptoms. Following treatment with </w:t>
      </w:r>
      <w:r>
        <w:rPr>
          <w:rFonts w:cs="Times New Roman"/>
        </w:rPr>
        <w:t>tiotropium</w:t>
      </w:r>
      <w:r w:rsidRPr="0001687C">
        <w:rPr>
          <w:rFonts w:cs="Times New Roman"/>
        </w:rPr>
        <w:t xml:space="preserve">, the </w:t>
      </w:r>
      <w:proofErr w:type="spellStart"/>
      <w:r w:rsidRPr="0001687C">
        <w:rPr>
          <w:rFonts w:cs="Times New Roman"/>
        </w:rPr>
        <w:t>dyspnoea</w:t>
      </w:r>
      <w:proofErr w:type="spellEnd"/>
      <w:r w:rsidRPr="0001687C">
        <w:rPr>
          <w:rFonts w:cs="Times New Roman"/>
        </w:rPr>
        <w:t xml:space="preserve"> score improved significantly when compared to placebo, with changes in each domain, as well as the focal score, being highly statistically significant over one year (p&lt;0.0002). The proportion of patients treated with </w:t>
      </w:r>
      <w:r>
        <w:rPr>
          <w:rFonts w:cs="Times New Roman"/>
        </w:rPr>
        <w:t>tiotropium</w:t>
      </w:r>
      <w:r w:rsidRPr="0001687C">
        <w:rPr>
          <w:rFonts w:cs="Times New Roman"/>
        </w:rPr>
        <w:t xml:space="preserve"> who achieved a TDI focal</w:t>
      </w:r>
      <w:r>
        <w:rPr>
          <w:rFonts w:cs="Times New Roman"/>
        </w:rPr>
        <w:t xml:space="preserve"> </w:t>
      </w:r>
      <w:r w:rsidRPr="0001687C">
        <w:rPr>
          <w:rFonts w:cs="Times New Roman"/>
        </w:rPr>
        <w:t>score change of at least 1 point over the one-year period, representing a clinically meaningful difference, was statistically greater than the proportion of patients treated with placebo (p&lt;0.0001).</w:t>
      </w:r>
    </w:p>
    <w:p w14:paraId="13ACA7ED" w14:textId="77777777" w:rsidR="002745A7" w:rsidRDefault="002745A7" w:rsidP="002745A7">
      <w:pPr>
        <w:pStyle w:val="BodyText"/>
        <w:rPr>
          <w:rFonts w:cs="Times New Roman"/>
        </w:rPr>
      </w:pPr>
      <w:r w:rsidRPr="0001687C">
        <w:rPr>
          <w:rFonts w:cs="Times New Roman"/>
        </w:rPr>
        <w:t xml:space="preserve">When compared to ipratropium, patients treated with </w:t>
      </w:r>
      <w:r>
        <w:rPr>
          <w:rFonts w:cs="Times New Roman"/>
        </w:rPr>
        <w:t>tiotropium</w:t>
      </w:r>
      <w:r w:rsidRPr="0001687C">
        <w:rPr>
          <w:rFonts w:cs="Times New Roman"/>
        </w:rPr>
        <w:t xml:space="preserve"> exhibited significantly less </w:t>
      </w:r>
      <w:proofErr w:type="spellStart"/>
      <w:r w:rsidRPr="0001687C">
        <w:rPr>
          <w:rFonts w:cs="Times New Roman"/>
        </w:rPr>
        <w:t>dyspnoea</w:t>
      </w:r>
      <w:proofErr w:type="spellEnd"/>
      <w:r w:rsidRPr="0001687C">
        <w:rPr>
          <w:rFonts w:cs="Times New Roman"/>
        </w:rPr>
        <w:t xml:space="preserve"> at each time point, and the proportion of patients achieving a difference of 1 point in the TDI focal score was significantly greater in the </w:t>
      </w:r>
      <w:r>
        <w:rPr>
          <w:rFonts w:cs="Times New Roman"/>
        </w:rPr>
        <w:t>tiotropium</w:t>
      </w:r>
      <w:r w:rsidRPr="0001687C">
        <w:rPr>
          <w:rFonts w:cs="Times New Roman"/>
        </w:rPr>
        <w:t xml:space="preserve"> group.</w:t>
      </w:r>
    </w:p>
    <w:p w14:paraId="61B2F082" w14:textId="77777777" w:rsidR="002745A7" w:rsidRPr="0001687C" w:rsidRDefault="00591558" w:rsidP="002745A7">
      <w:pPr>
        <w:pStyle w:val="BodyText"/>
        <w:spacing w:after="240" w:line="259" w:lineRule="auto"/>
        <w:rPr>
          <w:rFonts w:cs="Times New Roman"/>
        </w:rPr>
      </w:pPr>
      <w:r w:rsidRPr="0001687C">
        <w:rPr>
          <w:rFonts w:cs="Times New Roman"/>
        </w:rPr>
        <w:t xml:space="preserve">The impact of improvement in </w:t>
      </w:r>
      <w:proofErr w:type="spellStart"/>
      <w:r w:rsidRPr="0001687C">
        <w:rPr>
          <w:rFonts w:cs="Times New Roman"/>
        </w:rPr>
        <w:t>dyspnoea</w:t>
      </w:r>
      <w:proofErr w:type="spellEnd"/>
      <w:r w:rsidRPr="0001687C">
        <w:rPr>
          <w:rFonts w:cs="Times New Roman"/>
        </w:rPr>
        <w:t xml:space="preserve"> on functional activities was investigated in two </w:t>
      </w:r>
      <w:proofErr w:type="spellStart"/>
      <w:r w:rsidRPr="0001687C">
        <w:rPr>
          <w:rFonts w:cs="Times New Roman"/>
        </w:rPr>
        <w:t>randomised</w:t>
      </w:r>
      <w:proofErr w:type="spellEnd"/>
      <w:r w:rsidRPr="0001687C">
        <w:rPr>
          <w:rFonts w:cs="Times New Roman"/>
        </w:rPr>
        <w:t xml:space="preserve">, double-blind, placebo-controlled, parallel group studies in 433 COPD patients. The studies investigated whether six weeks treatment with </w:t>
      </w:r>
      <w:r>
        <w:rPr>
          <w:rFonts w:cs="Times New Roman"/>
        </w:rPr>
        <w:t>tiotropium</w:t>
      </w:r>
      <w:r w:rsidRPr="0001687C">
        <w:rPr>
          <w:rFonts w:cs="Times New Roman"/>
        </w:rPr>
        <w:t xml:space="preserve"> once daily improves exercise tolerance in patients with COPD as measured by symptom-limited exercise endurance time (ET) during constant work rate cycle </w:t>
      </w:r>
      <w:proofErr w:type="spellStart"/>
      <w:r w:rsidRPr="0001687C">
        <w:rPr>
          <w:rFonts w:cs="Times New Roman"/>
        </w:rPr>
        <w:t>ergometry</w:t>
      </w:r>
      <w:proofErr w:type="spellEnd"/>
      <w:r w:rsidRPr="0001687C">
        <w:rPr>
          <w:rFonts w:cs="Times New Roman"/>
        </w:rPr>
        <w:t xml:space="preserve"> at 75% of maximal work capacity. Results demonstrated that </w:t>
      </w:r>
      <w:r>
        <w:rPr>
          <w:rFonts w:cs="Times New Roman"/>
        </w:rPr>
        <w:t>tiotropium</w:t>
      </w:r>
      <w:r w:rsidRPr="0001687C">
        <w:rPr>
          <w:rFonts w:cs="Times New Roman"/>
        </w:rPr>
        <w:t xml:space="preserve"> significantly improved ET by 20% to 28% compared with placebo.</w:t>
      </w:r>
      <w:r>
        <w:rPr>
          <w:rFonts w:cs="Times New Roman"/>
        </w:rPr>
        <w:t xml:space="preserve"> </w:t>
      </w:r>
      <w:r w:rsidR="002745A7" w:rsidRPr="0001687C">
        <w:rPr>
          <w:rFonts w:cs="Times New Roman"/>
        </w:rPr>
        <w:t>Increases in ET (seconds) are shown in Table 1.</w:t>
      </w:r>
    </w:p>
    <w:p w14:paraId="28C19B05" w14:textId="77777777" w:rsidR="002745A7" w:rsidRDefault="002745A7" w:rsidP="002745A7">
      <w:pPr>
        <w:pStyle w:val="BodyText"/>
        <w:spacing w:after="240" w:line="259" w:lineRule="auto"/>
        <w:rPr>
          <w:rFonts w:cs="Times New Roman"/>
        </w:rPr>
      </w:pPr>
      <w:r w:rsidRPr="0001687C">
        <w:rPr>
          <w:rFonts w:cs="Times New Roman"/>
        </w:rPr>
        <w:t xml:space="preserve">Additionally in these trials, </w:t>
      </w:r>
      <w:r>
        <w:rPr>
          <w:rFonts w:cs="Times New Roman"/>
        </w:rPr>
        <w:t>tiotropium</w:t>
      </w:r>
      <w:r w:rsidRPr="0001687C">
        <w:rPr>
          <w:rFonts w:cs="Times New Roman"/>
        </w:rPr>
        <w:t xml:space="preserve"> demonstrated significant reductions in lung hyperinflation at rest and significant reductions in lung hyperinflation and </w:t>
      </w:r>
      <w:proofErr w:type="spellStart"/>
      <w:r w:rsidRPr="0001687C">
        <w:rPr>
          <w:rFonts w:cs="Times New Roman"/>
        </w:rPr>
        <w:t>dyspnoea</w:t>
      </w:r>
      <w:proofErr w:type="spellEnd"/>
      <w:r w:rsidRPr="0001687C">
        <w:rPr>
          <w:rFonts w:cs="Times New Roman"/>
        </w:rPr>
        <w:t xml:space="preserve"> during constant work rate cycle exercise.</w:t>
      </w:r>
    </w:p>
    <w:p w14:paraId="2664E8F5" w14:textId="77777777" w:rsidR="002745A7" w:rsidRPr="002C336B" w:rsidRDefault="002745A7" w:rsidP="002745A7">
      <w:pPr>
        <w:pStyle w:val="Caption"/>
        <w:rPr>
          <w:rFonts w:ascii="Times New Roman" w:hAnsi="Times New Roman" w:cs="Times New Roman"/>
          <w:b/>
          <w:i w:val="0"/>
          <w:color w:val="auto"/>
          <w:sz w:val="24"/>
          <w:szCs w:val="24"/>
        </w:rPr>
      </w:pPr>
      <w:r w:rsidRPr="00AA59BE">
        <w:rPr>
          <w:rFonts w:ascii="Times New Roman" w:hAnsi="Times New Roman" w:cs="Times New Roman"/>
          <w:b/>
          <w:i w:val="0"/>
          <w:color w:val="auto"/>
          <w:sz w:val="24"/>
          <w:szCs w:val="24"/>
        </w:rPr>
        <w:t>Table 1: Endurance time (ET) after 42 days treatment with tiotropium vs placebo in patients with COPD</w:t>
      </w:r>
    </w:p>
    <w:p w14:paraId="0849C631" w14:textId="77777777" w:rsidR="002745A7" w:rsidRPr="0001687C" w:rsidRDefault="002745A7" w:rsidP="002745A7">
      <w:pPr>
        <w:kinsoku w:val="0"/>
        <w:overflowPunct w:val="0"/>
        <w:autoSpaceDE w:val="0"/>
        <w:autoSpaceDN w:val="0"/>
        <w:adjustRightInd w:val="0"/>
        <w:spacing w:before="8" w:line="40" w:lineRule="exact"/>
        <w:rPr>
          <w:rFonts w:ascii="Times New Roman" w:hAnsi="Times New Roman" w:cs="Times New Roman"/>
          <w:sz w:val="4"/>
          <w:szCs w:val="4"/>
        </w:rPr>
      </w:pPr>
    </w:p>
    <w:tbl>
      <w:tblPr>
        <w:tblW w:w="0" w:type="auto"/>
        <w:tblInd w:w="89" w:type="dxa"/>
        <w:tblLayout w:type="fixed"/>
        <w:tblCellMar>
          <w:left w:w="0" w:type="dxa"/>
          <w:right w:w="0" w:type="dxa"/>
        </w:tblCellMar>
        <w:tblLook w:val="0000" w:firstRow="0" w:lastRow="0" w:firstColumn="0" w:lastColumn="0" w:noHBand="0" w:noVBand="0"/>
      </w:tblPr>
      <w:tblGrid>
        <w:gridCol w:w="994"/>
        <w:gridCol w:w="1992"/>
        <w:gridCol w:w="1262"/>
        <w:gridCol w:w="982"/>
        <w:gridCol w:w="2669"/>
        <w:gridCol w:w="1024"/>
      </w:tblGrid>
      <w:tr w:rsidR="002745A7" w:rsidRPr="0001687C" w14:paraId="40B7E3F8" w14:textId="77777777" w:rsidTr="002B33D3">
        <w:trPr>
          <w:trHeight w:hRule="exact" w:val="470"/>
        </w:trPr>
        <w:tc>
          <w:tcPr>
            <w:tcW w:w="994" w:type="dxa"/>
            <w:vMerge w:val="restart"/>
            <w:tcBorders>
              <w:top w:val="single" w:sz="4" w:space="0" w:color="000000"/>
              <w:left w:val="single" w:sz="4" w:space="0" w:color="000000"/>
              <w:bottom w:val="single" w:sz="4" w:space="0" w:color="000000"/>
              <w:right w:val="single" w:sz="4" w:space="0" w:color="000000"/>
            </w:tcBorders>
          </w:tcPr>
          <w:p w14:paraId="1144E859" w14:textId="77777777" w:rsidR="002745A7" w:rsidRPr="0001687C" w:rsidRDefault="002745A7" w:rsidP="002B33D3">
            <w:pPr>
              <w:kinsoku w:val="0"/>
              <w:overflowPunct w:val="0"/>
              <w:autoSpaceDE w:val="0"/>
              <w:autoSpaceDN w:val="0"/>
              <w:adjustRightInd w:val="0"/>
              <w:spacing w:line="224" w:lineRule="exact"/>
              <w:ind w:left="212"/>
              <w:rPr>
                <w:rFonts w:ascii="Times New Roman" w:hAnsi="Times New Roman" w:cs="Times New Roman"/>
                <w:sz w:val="24"/>
                <w:szCs w:val="24"/>
              </w:rPr>
            </w:pPr>
            <w:r w:rsidRPr="0001687C">
              <w:rPr>
                <w:rFonts w:ascii="Arial" w:hAnsi="Arial" w:cs="Arial"/>
                <w:b/>
                <w:bCs/>
                <w:spacing w:val="-1"/>
                <w:sz w:val="20"/>
                <w:szCs w:val="20"/>
              </w:rPr>
              <w:t>S</w:t>
            </w:r>
            <w:r w:rsidRPr="0001687C">
              <w:rPr>
                <w:rFonts w:ascii="Arial" w:hAnsi="Arial" w:cs="Arial"/>
                <w:b/>
                <w:bCs/>
                <w:sz w:val="20"/>
                <w:szCs w:val="20"/>
              </w:rPr>
              <w:t>tu</w:t>
            </w:r>
            <w:r w:rsidRPr="0001687C">
              <w:rPr>
                <w:rFonts w:ascii="Arial" w:hAnsi="Arial" w:cs="Arial"/>
                <w:b/>
                <w:bCs/>
                <w:spacing w:val="3"/>
                <w:sz w:val="20"/>
                <w:szCs w:val="20"/>
              </w:rPr>
              <w:t>d</w:t>
            </w:r>
            <w:r w:rsidRPr="0001687C">
              <w:rPr>
                <w:rFonts w:ascii="Arial" w:hAnsi="Arial" w:cs="Arial"/>
                <w:b/>
                <w:bCs/>
                <w:sz w:val="20"/>
                <w:szCs w:val="20"/>
              </w:rPr>
              <w:t>y</w:t>
            </w:r>
          </w:p>
        </w:tc>
        <w:tc>
          <w:tcPr>
            <w:tcW w:w="1992" w:type="dxa"/>
            <w:vMerge w:val="restart"/>
            <w:tcBorders>
              <w:top w:val="single" w:sz="4" w:space="0" w:color="000000"/>
              <w:left w:val="single" w:sz="4" w:space="0" w:color="000000"/>
              <w:bottom w:val="single" w:sz="4" w:space="0" w:color="000000"/>
              <w:right w:val="single" w:sz="4" w:space="0" w:color="000000"/>
            </w:tcBorders>
          </w:tcPr>
          <w:p w14:paraId="1B9247B2" w14:textId="77777777" w:rsidR="002745A7" w:rsidRPr="0001687C" w:rsidRDefault="002745A7" w:rsidP="002B33D3">
            <w:pPr>
              <w:kinsoku w:val="0"/>
              <w:overflowPunct w:val="0"/>
              <w:autoSpaceDE w:val="0"/>
              <w:autoSpaceDN w:val="0"/>
              <w:adjustRightInd w:val="0"/>
              <w:spacing w:line="224" w:lineRule="exact"/>
              <w:ind w:left="339"/>
              <w:rPr>
                <w:rFonts w:ascii="Arial" w:hAnsi="Arial" w:cs="Arial"/>
                <w:sz w:val="20"/>
                <w:szCs w:val="20"/>
              </w:rPr>
            </w:pPr>
            <w:r w:rsidRPr="0001687C">
              <w:rPr>
                <w:rFonts w:ascii="Arial" w:hAnsi="Arial" w:cs="Arial"/>
                <w:b/>
                <w:bCs/>
                <w:spacing w:val="-1"/>
                <w:sz w:val="20"/>
                <w:szCs w:val="20"/>
              </w:rPr>
              <w:t>Pre</w:t>
            </w:r>
            <w:r w:rsidRPr="0001687C">
              <w:rPr>
                <w:rFonts w:ascii="Arial" w:hAnsi="Arial" w:cs="Arial"/>
                <w:b/>
                <w:bCs/>
                <w:sz w:val="20"/>
                <w:szCs w:val="20"/>
              </w:rPr>
              <w:t>-t</w:t>
            </w:r>
            <w:r w:rsidRPr="0001687C">
              <w:rPr>
                <w:rFonts w:ascii="Arial" w:hAnsi="Arial" w:cs="Arial"/>
                <w:b/>
                <w:bCs/>
                <w:spacing w:val="1"/>
                <w:sz w:val="20"/>
                <w:szCs w:val="20"/>
              </w:rPr>
              <w:t>r</w:t>
            </w:r>
            <w:r w:rsidRPr="0001687C">
              <w:rPr>
                <w:rFonts w:ascii="Arial" w:hAnsi="Arial" w:cs="Arial"/>
                <w:b/>
                <w:bCs/>
                <w:spacing w:val="-1"/>
                <w:sz w:val="20"/>
                <w:szCs w:val="20"/>
              </w:rPr>
              <w:t>ea</w:t>
            </w:r>
            <w:r w:rsidRPr="0001687C">
              <w:rPr>
                <w:rFonts w:ascii="Arial" w:hAnsi="Arial" w:cs="Arial"/>
                <w:b/>
                <w:bCs/>
                <w:sz w:val="20"/>
                <w:szCs w:val="20"/>
              </w:rPr>
              <w:t>tm</w:t>
            </w:r>
            <w:r w:rsidRPr="0001687C">
              <w:rPr>
                <w:rFonts w:ascii="Arial" w:hAnsi="Arial" w:cs="Arial"/>
                <w:b/>
                <w:bCs/>
                <w:spacing w:val="-1"/>
                <w:sz w:val="20"/>
                <w:szCs w:val="20"/>
              </w:rPr>
              <w:t>e</w:t>
            </w:r>
            <w:r w:rsidRPr="0001687C">
              <w:rPr>
                <w:rFonts w:ascii="Arial" w:hAnsi="Arial" w:cs="Arial"/>
                <w:b/>
                <w:bCs/>
                <w:sz w:val="20"/>
                <w:szCs w:val="20"/>
              </w:rPr>
              <w:t>nt</w:t>
            </w:r>
          </w:p>
          <w:p w14:paraId="55D53554" w14:textId="77777777" w:rsidR="002745A7" w:rsidRPr="0001687C" w:rsidRDefault="002745A7" w:rsidP="002B33D3">
            <w:pPr>
              <w:kinsoku w:val="0"/>
              <w:overflowPunct w:val="0"/>
              <w:autoSpaceDE w:val="0"/>
              <w:autoSpaceDN w:val="0"/>
              <w:adjustRightInd w:val="0"/>
              <w:ind w:left="517" w:right="424" w:hanging="94"/>
              <w:rPr>
                <w:rFonts w:ascii="Times New Roman" w:hAnsi="Times New Roman" w:cs="Times New Roman"/>
                <w:sz w:val="24"/>
                <w:szCs w:val="24"/>
              </w:rPr>
            </w:pPr>
            <w:r w:rsidRPr="0001687C">
              <w:rPr>
                <w:rFonts w:ascii="Arial" w:hAnsi="Arial" w:cs="Arial"/>
                <w:b/>
                <w:bCs/>
                <w:sz w:val="20"/>
                <w:szCs w:val="20"/>
              </w:rPr>
              <w:t>B</w:t>
            </w:r>
            <w:r w:rsidRPr="0001687C">
              <w:rPr>
                <w:rFonts w:ascii="Arial" w:hAnsi="Arial" w:cs="Arial"/>
                <w:b/>
                <w:bCs/>
                <w:spacing w:val="-1"/>
                <w:sz w:val="20"/>
                <w:szCs w:val="20"/>
              </w:rPr>
              <w:t>ase</w:t>
            </w:r>
            <w:r w:rsidRPr="0001687C">
              <w:rPr>
                <w:rFonts w:ascii="Arial" w:hAnsi="Arial" w:cs="Arial"/>
                <w:b/>
                <w:bCs/>
                <w:spacing w:val="2"/>
                <w:sz w:val="20"/>
                <w:szCs w:val="20"/>
              </w:rPr>
              <w:t>l</w:t>
            </w:r>
            <w:r w:rsidRPr="0001687C">
              <w:rPr>
                <w:rFonts w:ascii="Arial" w:hAnsi="Arial" w:cs="Arial"/>
                <w:b/>
                <w:bCs/>
                <w:spacing w:val="-1"/>
                <w:sz w:val="20"/>
                <w:szCs w:val="20"/>
              </w:rPr>
              <w:t>i</w:t>
            </w:r>
            <w:r w:rsidRPr="0001687C">
              <w:rPr>
                <w:rFonts w:ascii="Arial" w:hAnsi="Arial" w:cs="Arial"/>
                <w:b/>
                <w:bCs/>
                <w:sz w:val="20"/>
                <w:szCs w:val="20"/>
              </w:rPr>
              <w:t>ne</w:t>
            </w:r>
            <w:r w:rsidRPr="0001687C">
              <w:rPr>
                <w:rFonts w:ascii="Arial" w:hAnsi="Arial" w:cs="Arial"/>
                <w:b/>
                <w:bCs/>
                <w:spacing w:val="-10"/>
                <w:sz w:val="20"/>
                <w:szCs w:val="20"/>
              </w:rPr>
              <w:t xml:space="preserve"> </w:t>
            </w:r>
            <w:r w:rsidRPr="0001687C">
              <w:rPr>
                <w:rFonts w:ascii="Arial" w:hAnsi="Arial" w:cs="Arial"/>
                <w:b/>
                <w:bCs/>
                <w:spacing w:val="-1"/>
                <w:sz w:val="20"/>
                <w:szCs w:val="20"/>
              </w:rPr>
              <w:t>E</w:t>
            </w:r>
            <w:r w:rsidRPr="0001687C">
              <w:rPr>
                <w:rFonts w:ascii="Arial" w:hAnsi="Arial" w:cs="Arial"/>
                <w:b/>
                <w:bCs/>
                <w:sz w:val="20"/>
                <w:szCs w:val="20"/>
              </w:rPr>
              <w:t>T</w:t>
            </w:r>
            <w:r w:rsidRPr="0001687C">
              <w:rPr>
                <w:rFonts w:ascii="Arial" w:hAnsi="Arial" w:cs="Arial"/>
                <w:b/>
                <w:bCs/>
                <w:w w:val="99"/>
                <w:sz w:val="20"/>
                <w:szCs w:val="20"/>
              </w:rPr>
              <w:t xml:space="preserve"> </w:t>
            </w:r>
            <w:r w:rsidRPr="0001687C">
              <w:rPr>
                <w:rFonts w:ascii="Arial" w:hAnsi="Arial" w:cs="Arial"/>
                <w:b/>
                <w:bCs/>
                <w:sz w:val="20"/>
                <w:szCs w:val="20"/>
              </w:rPr>
              <w:t>(</w:t>
            </w:r>
            <w:r w:rsidRPr="0001687C">
              <w:rPr>
                <w:rFonts w:ascii="Arial" w:hAnsi="Arial" w:cs="Arial"/>
                <w:b/>
                <w:bCs/>
                <w:spacing w:val="-1"/>
                <w:sz w:val="20"/>
                <w:szCs w:val="20"/>
              </w:rPr>
              <w:t>sec</w:t>
            </w:r>
            <w:r w:rsidRPr="0001687C">
              <w:rPr>
                <w:rFonts w:ascii="Arial" w:hAnsi="Arial" w:cs="Arial"/>
                <w:b/>
                <w:bCs/>
                <w:sz w:val="20"/>
                <w:szCs w:val="20"/>
              </w:rPr>
              <w:t>ond</w:t>
            </w:r>
            <w:r w:rsidRPr="0001687C">
              <w:rPr>
                <w:rFonts w:ascii="Arial" w:hAnsi="Arial" w:cs="Arial"/>
                <w:b/>
                <w:bCs/>
                <w:spacing w:val="-1"/>
                <w:sz w:val="20"/>
                <w:szCs w:val="20"/>
              </w:rPr>
              <w:t>s)</w:t>
            </w:r>
          </w:p>
        </w:tc>
        <w:tc>
          <w:tcPr>
            <w:tcW w:w="2244" w:type="dxa"/>
            <w:gridSpan w:val="2"/>
            <w:tcBorders>
              <w:top w:val="single" w:sz="4" w:space="0" w:color="000000"/>
              <w:left w:val="single" w:sz="4" w:space="0" w:color="000000"/>
              <w:bottom w:val="single" w:sz="4" w:space="0" w:color="000000"/>
              <w:right w:val="single" w:sz="4" w:space="0" w:color="000000"/>
            </w:tcBorders>
          </w:tcPr>
          <w:p w14:paraId="6F6BC429" w14:textId="77777777" w:rsidR="002745A7" w:rsidRPr="0001687C" w:rsidRDefault="002745A7" w:rsidP="002B33D3">
            <w:pPr>
              <w:kinsoku w:val="0"/>
              <w:overflowPunct w:val="0"/>
              <w:autoSpaceDE w:val="0"/>
              <w:autoSpaceDN w:val="0"/>
              <w:adjustRightInd w:val="0"/>
              <w:spacing w:line="224" w:lineRule="exact"/>
              <w:ind w:right="3"/>
              <w:jc w:val="center"/>
              <w:rPr>
                <w:rFonts w:ascii="Arial" w:hAnsi="Arial" w:cs="Arial"/>
                <w:sz w:val="20"/>
                <w:szCs w:val="20"/>
              </w:rPr>
            </w:pPr>
            <w:r w:rsidRPr="0001687C">
              <w:rPr>
                <w:rFonts w:ascii="Arial" w:hAnsi="Arial" w:cs="Arial"/>
                <w:b/>
                <w:bCs/>
                <w:spacing w:val="-6"/>
                <w:sz w:val="20"/>
                <w:szCs w:val="20"/>
              </w:rPr>
              <w:t>A</w:t>
            </w:r>
            <w:r w:rsidRPr="0001687C">
              <w:rPr>
                <w:rFonts w:ascii="Arial" w:hAnsi="Arial" w:cs="Arial"/>
                <w:b/>
                <w:bCs/>
                <w:spacing w:val="3"/>
                <w:sz w:val="20"/>
                <w:szCs w:val="20"/>
              </w:rPr>
              <w:t>d</w:t>
            </w:r>
            <w:r w:rsidRPr="0001687C">
              <w:rPr>
                <w:rFonts w:ascii="Arial" w:hAnsi="Arial" w:cs="Arial"/>
                <w:b/>
                <w:bCs/>
                <w:spacing w:val="-1"/>
                <w:sz w:val="20"/>
                <w:szCs w:val="20"/>
              </w:rPr>
              <w:t>j</w:t>
            </w:r>
            <w:r w:rsidRPr="0001687C">
              <w:rPr>
                <w:rFonts w:ascii="Arial" w:hAnsi="Arial" w:cs="Arial"/>
                <w:b/>
                <w:bCs/>
                <w:spacing w:val="3"/>
                <w:sz w:val="20"/>
                <w:szCs w:val="20"/>
              </w:rPr>
              <w:t>u</w:t>
            </w:r>
            <w:r w:rsidRPr="0001687C">
              <w:rPr>
                <w:rFonts w:ascii="Arial" w:hAnsi="Arial" w:cs="Arial"/>
                <w:b/>
                <w:bCs/>
                <w:spacing w:val="-1"/>
                <w:sz w:val="20"/>
                <w:szCs w:val="20"/>
              </w:rPr>
              <w:t>s</w:t>
            </w:r>
            <w:r w:rsidRPr="0001687C">
              <w:rPr>
                <w:rFonts w:ascii="Arial" w:hAnsi="Arial" w:cs="Arial"/>
                <w:b/>
                <w:bCs/>
                <w:sz w:val="20"/>
                <w:szCs w:val="20"/>
              </w:rPr>
              <w:t>t</w:t>
            </w:r>
            <w:r w:rsidRPr="0001687C">
              <w:rPr>
                <w:rFonts w:ascii="Arial" w:hAnsi="Arial" w:cs="Arial"/>
                <w:b/>
                <w:bCs/>
                <w:spacing w:val="-1"/>
                <w:sz w:val="20"/>
                <w:szCs w:val="20"/>
              </w:rPr>
              <w:t>e</w:t>
            </w:r>
            <w:r w:rsidRPr="0001687C">
              <w:rPr>
                <w:rFonts w:ascii="Arial" w:hAnsi="Arial" w:cs="Arial"/>
                <w:b/>
                <w:bCs/>
                <w:sz w:val="20"/>
                <w:szCs w:val="20"/>
              </w:rPr>
              <w:t>d</w:t>
            </w:r>
            <w:r w:rsidRPr="0001687C">
              <w:rPr>
                <w:rFonts w:ascii="Arial" w:hAnsi="Arial" w:cs="Arial"/>
                <w:b/>
                <w:bCs/>
                <w:spacing w:val="-8"/>
                <w:sz w:val="20"/>
                <w:szCs w:val="20"/>
              </w:rPr>
              <w:t xml:space="preserve"> </w:t>
            </w:r>
            <w:r w:rsidRPr="0001687C">
              <w:rPr>
                <w:rFonts w:ascii="Arial" w:hAnsi="Arial" w:cs="Arial"/>
                <w:b/>
                <w:bCs/>
                <w:sz w:val="20"/>
                <w:szCs w:val="20"/>
              </w:rPr>
              <w:t>m</w:t>
            </w:r>
            <w:r w:rsidRPr="0001687C">
              <w:rPr>
                <w:rFonts w:ascii="Arial" w:hAnsi="Arial" w:cs="Arial"/>
                <w:b/>
                <w:bCs/>
                <w:spacing w:val="-1"/>
                <w:sz w:val="20"/>
                <w:szCs w:val="20"/>
              </w:rPr>
              <w:t>ea</w:t>
            </w:r>
            <w:r w:rsidRPr="0001687C">
              <w:rPr>
                <w:rFonts w:ascii="Arial" w:hAnsi="Arial" w:cs="Arial"/>
                <w:b/>
                <w:bCs/>
                <w:sz w:val="20"/>
                <w:szCs w:val="20"/>
              </w:rPr>
              <w:t>n</w:t>
            </w:r>
            <w:r w:rsidRPr="0001687C">
              <w:rPr>
                <w:rFonts w:ascii="Arial" w:hAnsi="Arial" w:cs="Arial"/>
                <w:b/>
                <w:bCs/>
                <w:spacing w:val="-6"/>
                <w:sz w:val="20"/>
                <w:szCs w:val="20"/>
              </w:rPr>
              <w:t xml:space="preserve"> </w:t>
            </w:r>
            <w:r w:rsidRPr="0001687C">
              <w:rPr>
                <w:rFonts w:ascii="Arial" w:hAnsi="Arial" w:cs="Arial"/>
                <w:b/>
                <w:bCs/>
                <w:spacing w:val="-1"/>
                <w:sz w:val="20"/>
                <w:szCs w:val="20"/>
              </w:rPr>
              <w:t>E</w:t>
            </w:r>
            <w:r w:rsidRPr="0001687C">
              <w:rPr>
                <w:rFonts w:ascii="Arial" w:hAnsi="Arial" w:cs="Arial"/>
                <w:b/>
                <w:bCs/>
                <w:sz w:val="20"/>
                <w:szCs w:val="20"/>
              </w:rPr>
              <w:t>T</w:t>
            </w:r>
          </w:p>
          <w:p w14:paraId="14514146" w14:textId="77777777" w:rsidR="002745A7" w:rsidRPr="0001687C" w:rsidRDefault="002745A7" w:rsidP="002B33D3">
            <w:pPr>
              <w:kinsoku w:val="0"/>
              <w:overflowPunct w:val="0"/>
              <w:autoSpaceDE w:val="0"/>
              <w:autoSpaceDN w:val="0"/>
              <w:adjustRightInd w:val="0"/>
              <w:ind w:right="6"/>
              <w:jc w:val="center"/>
              <w:rPr>
                <w:rFonts w:ascii="Times New Roman" w:hAnsi="Times New Roman" w:cs="Times New Roman"/>
                <w:sz w:val="24"/>
                <w:szCs w:val="24"/>
              </w:rPr>
            </w:pPr>
            <w:r w:rsidRPr="0001687C">
              <w:rPr>
                <w:rFonts w:ascii="Arial" w:hAnsi="Arial" w:cs="Arial"/>
                <w:b/>
                <w:bCs/>
                <w:sz w:val="20"/>
                <w:szCs w:val="20"/>
              </w:rPr>
              <w:t>(</w:t>
            </w:r>
            <w:r w:rsidRPr="0001687C">
              <w:rPr>
                <w:rFonts w:ascii="Arial" w:hAnsi="Arial" w:cs="Arial"/>
                <w:b/>
                <w:bCs/>
                <w:spacing w:val="-1"/>
                <w:sz w:val="20"/>
                <w:szCs w:val="20"/>
              </w:rPr>
              <w:t>sec</w:t>
            </w:r>
            <w:r w:rsidRPr="0001687C">
              <w:rPr>
                <w:rFonts w:ascii="Arial" w:hAnsi="Arial" w:cs="Arial"/>
                <w:b/>
                <w:bCs/>
                <w:sz w:val="20"/>
                <w:szCs w:val="20"/>
              </w:rPr>
              <w:t>ond</w:t>
            </w:r>
            <w:r w:rsidRPr="0001687C">
              <w:rPr>
                <w:rFonts w:ascii="Arial" w:hAnsi="Arial" w:cs="Arial"/>
                <w:b/>
                <w:bCs/>
                <w:spacing w:val="-1"/>
                <w:sz w:val="20"/>
                <w:szCs w:val="20"/>
              </w:rPr>
              <w:t>s)</w:t>
            </w:r>
          </w:p>
        </w:tc>
        <w:tc>
          <w:tcPr>
            <w:tcW w:w="2669" w:type="dxa"/>
            <w:vMerge w:val="restart"/>
            <w:tcBorders>
              <w:top w:val="single" w:sz="4" w:space="0" w:color="000000"/>
              <w:left w:val="single" w:sz="4" w:space="0" w:color="000000"/>
              <w:bottom w:val="single" w:sz="4" w:space="0" w:color="000000"/>
              <w:right w:val="single" w:sz="4" w:space="0" w:color="000000"/>
            </w:tcBorders>
          </w:tcPr>
          <w:p w14:paraId="0C41CEF5" w14:textId="77777777" w:rsidR="002745A7" w:rsidRPr="0001687C" w:rsidRDefault="002745A7" w:rsidP="002B33D3">
            <w:pPr>
              <w:kinsoku w:val="0"/>
              <w:overflowPunct w:val="0"/>
              <w:autoSpaceDE w:val="0"/>
              <w:autoSpaceDN w:val="0"/>
              <w:adjustRightInd w:val="0"/>
              <w:spacing w:line="224" w:lineRule="exact"/>
              <w:ind w:right="2"/>
              <w:jc w:val="center"/>
              <w:rPr>
                <w:rFonts w:ascii="Arial" w:hAnsi="Arial" w:cs="Arial"/>
                <w:sz w:val="20"/>
                <w:szCs w:val="20"/>
              </w:rPr>
            </w:pPr>
            <w:r w:rsidRPr="0001687C">
              <w:rPr>
                <w:rFonts w:ascii="Arial" w:hAnsi="Arial" w:cs="Arial"/>
                <w:b/>
                <w:bCs/>
                <w:spacing w:val="3"/>
                <w:sz w:val="20"/>
                <w:szCs w:val="20"/>
              </w:rPr>
              <w:t>T</w:t>
            </w:r>
            <w:r w:rsidRPr="0001687C">
              <w:rPr>
                <w:rFonts w:ascii="Arial" w:hAnsi="Arial" w:cs="Arial"/>
                <w:b/>
                <w:bCs/>
                <w:spacing w:val="-1"/>
                <w:sz w:val="20"/>
                <w:szCs w:val="20"/>
              </w:rPr>
              <w:t>rea</w:t>
            </w:r>
            <w:r w:rsidRPr="0001687C">
              <w:rPr>
                <w:rFonts w:ascii="Arial" w:hAnsi="Arial" w:cs="Arial"/>
                <w:b/>
                <w:bCs/>
                <w:sz w:val="20"/>
                <w:szCs w:val="20"/>
              </w:rPr>
              <w:t>tm</w:t>
            </w:r>
            <w:r w:rsidRPr="0001687C">
              <w:rPr>
                <w:rFonts w:ascii="Arial" w:hAnsi="Arial" w:cs="Arial"/>
                <w:b/>
                <w:bCs/>
                <w:spacing w:val="-1"/>
                <w:sz w:val="20"/>
                <w:szCs w:val="20"/>
              </w:rPr>
              <w:t>e</w:t>
            </w:r>
            <w:r w:rsidRPr="0001687C">
              <w:rPr>
                <w:rFonts w:ascii="Arial" w:hAnsi="Arial" w:cs="Arial"/>
                <w:b/>
                <w:bCs/>
                <w:sz w:val="20"/>
                <w:szCs w:val="20"/>
              </w:rPr>
              <w:t>nt</w:t>
            </w:r>
            <w:r w:rsidRPr="0001687C">
              <w:rPr>
                <w:rFonts w:ascii="Arial" w:hAnsi="Arial" w:cs="Arial"/>
                <w:b/>
                <w:bCs/>
                <w:spacing w:val="-20"/>
                <w:sz w:val="20"/>
                <w:szCs w:val="20"/>
              </w:rPr>
              <w:t xml:space="preserve"> </w:t>
            </w:r>
            <w:r w:rsidRPr="0001687C">
              <w:rPr>
                <w:rFonts w:ascii="Arial" w:hAnsi="Arial" w:cs="Arial"/>
                <w:b/>
                <w:bCs/>
                <w:sz w:val="20"/>
                <w:szCs w:val="20"/>
              </w:rPr>
              <w:t>D</w:t>
            </w:r>
            <w:r w:rsidRPr="0001687C">
              <w:rPr>
                <w:rFonts w:ascii="Arial" w:hAnsi="Arial" w:cs="Arial"/>
                <w:b/>
                <w:bCs/>
                <w:spacing w:val="-1"/>
                <w:sz w:val="20"/>
                <w:szCs w:val="20"/>
              </w:rPr>
              <w:t>i</w:t>
            </w:r>
            <w:r w:rsidRPr="0001687C">
              <w:rPr>
                <w:rFonts w:ascii="Arial" w:hAnsi="Arial" w:cs="Arial"/>
                <w:b/>
                <w:bCs/>
                <w:sz w:val="20"/>
                <w:szCs w:val="20"/>
              </w:rPr>
              <w:t>ff</w:t>
            </w:r>
            <w:r w:rsidRPr="0001687C">
              <w:rPr>
                <w:rFonts w:ascii="Arial" w:hAnsi="Arial" w:cs="Arial"/>
                <w:b/>
                <w:bCs/>
                <w:spacing w:val="-1"/>
                <w:sz w:val="20"/>
                <w:szCs w:val="20"/>
              </w:rPr>
              <w:t>ere</w:t>
            </w:r>
            <w:r w:rsidRPr="0001687C">
              <w:rPr>
                <w:rFonts w:ascii="Arial" w:hAnsi="Arial" w:cs="Arial"/>
                <w:b/>
                <w:bCs/>
                <w:sz w:val="20"/>
                <w:szCs w:val="20"/>
              </w:rPr>
              <w:t>n</w:t>
            </w:r>
            <w:r w:rsidRPr="0001687C">
              <w:rPr>
                <w:rFonts w:ascii="Arial" w:hAnsi="Arial" w:cs="Arial"/>
                <w:b/>
                <w:bCs/>
                <w:spacing w:val="2"/>
                <w:sz w:val="20"/>
                <w:szCs w:val="20"/>
              </w:rPr>
              <w:t>c</w:t>
            </w:r>
            <w:r w:rsidRPr="0001687C">
              <w:rPr>
                <w:rFonts w:ascii="Arial" w:hAnsi="Arial" w:cs="Arial"/>
                <w:b/>
                <w:bCs/>
                <w:sz w:val="20"/>
                <w:szCs w:val="20"/>
              </w:rPr>
              <w:t>e</w:t>
            </w:r>
          </w:p>
          <w:p w14:paraId="53AD4D24" w14:textId="77777777" w:rsidR="002745A7" w:rsidRPr="0001687C" w:rsidRDefault="002745A7" w:rsidP="002B33D3">
            <w:pPr>
              <w:kinsoku w:val="0"/>
              <w:overflowPunct w:val="0"/>
              <w:autoSpaceDE w:val="0"/>
              <w:autoSpaceDN w:val="0"/>
              <w:adjustRightInd w:val="0"/>
              <w:ind w:left="205" w:right="208"/>
              <w:jc w:val="center"/>
              <w:rPr>
                <w:rFonts w:ascii="Times New Roman" w:hAnsi="Times New Roman" w:cs="Times New Roman"/>
                <w:sz w:val="24"/>
                <w:szCs w:val="24"/>
              </w:rPr>
            </w:pPr>
            <w:proofErr w:type="spellStart"/>
            <w:r w:rsidRPr="0001687C">
              <w:rPr>
                <w:rFonts w:ascii="Arial" w:hAnsi="Arial" w:cs="Arial"/>
                <w:b/>
                <w:bCs/>
                <w:sz w:val="20"/>
                <w:szCs w:val="20"/>
              </w:rPr>
              <w:t>t</w:t>
            </w:r>
            <w:r w:rsidRPr="0001687C">
              <w:rPr>
                <w:rFonts w:ascii="Arial" w:hAnsi="Arial" w:cs="Arial"/>
                <w:b/>
                <w:bCs/>
                <w:spacing w:val="-1"/>
                <w:sz w:val="20"/>
                <w:szCs w:val="20"/>
              </w:rPr>
              <w:t>i</w:t>
            </w:r>
            <w:r w:rsidRPr="0001687C">
              <w:rPr>
                <w:rFonts w:ascii="Arial" w:hAnsi="Arial" w:cs="Arial"/>
                <w:b/>
                <w:bCs/>
                <w:sz w:val="20"/>
                <w:szCs w:val="20"/>
              </w:rPr>
              <w:t>o</w:t>
            </w:r>
            <w:proofErr w:type="spellEnd"/>
            <w:r w:rsidRPr="0001687C">
              <w:rPr>
                <w:rFonts w:ascii="Arial" w:hAnsi="Arial" w:cs="Arial"/>
                <w:b/>
                <w:bCs/>
                <w:spacing w:val="-4"/>
                <w:sz w:val="20"/>
                <w:szCs w:val="20"/>
              </w:rPr>
              <w:t xml:space="preserve"> </w:t>
            </w:r>
            <w:r w:rsidRPr="0001687C">
              <w:rPr>
                <w:rFonts w:ascii="Arial" w:hAnsi="Arial" w:cs="Arial"/>
                <w:b/>
                <w:bCs/>
                <w:sz w:val="20"/>
                <w:szCs w:val="20"/>
              </w:rPr>
              <w:t>–</w:t>
            </w:r>
            <w:r w:rsidRPr="0001687C">
              <w:rPr>
                <w:rFonts w:ascii="Arial" w:hAnsi="Arial" w:cs="Arial"/>
                <w:b/>
                <w:bCs/>
                <w:spacing w:val="-5"/>
                <w:sz w:val="20"/>
                <w:szCs w:val="20"/>
              </w:rPr>
              <w:t xml:space="preserve"> </w:t>
            </w:r>
            <w:r w:rsidRPr="0001687C">
              <w:rPr>
                <w:rFonts w:ascii="Arial" w:hAnsi="Arial" w:cs="Arial"/>
                <w:b/>
                <w:bCs/>
                <w:sz w:val="20"/>
                <w:szCs w:val="20"/>
              </w:rPr>
              <w:t>p</w:t>
            </w:r>
            <w:r w:rsidRPr="0001687C">
              <w:rPr>
                <w:rFonts w:ascii="Arial" w:hAnsi="Arial" w:cs="Arial"/>
                <w:b/>
                <w:bCs/>
                <w:spacing w:val="-1"/>
                <w:sz w:val="20"/>
                <w:szCs w:val="20"/>
              </w:rPr>
              <w:t>la</w:t>
            </w:r>
            <w:r w:rsidRPr="0001687C">
              <w:rPr>
                <w:rFonts w:ascii="Arial" w:hAnsi="Arial" w:cs="Arial"/>
                <w:b/>
                <w:bCs/>
                <w:spacing w:val="2"/>
                <w:sz w:val="20"/>
                <w:szCs w:val="20"/>
              </w:rPr>
              <w:t>c</w:t>
            </w:r>
            <w:r w:rsidRPr="0001687C">
              <w:rPr>
                <w:rFonts w:ascii="Arial" w:hAnsi="Arial" w:cs="Arial"/>
                <w:b/>
                <w:bCs/>
                <w:spacing w:val="-1"/>
                <w:sz w:val="20"/>
                <w:szCs w:val="20"/>
              </w:rPr>
              <w:t>e</w:t>
            </w:r>
            <w:r w:rsidRPr="0001687C">
              <w:rPr>
                <w:rFonts w:ascii="Arial" w:hAnsi="Arial" w:cs="Arial"/>
                <w:b/>
                <w:bCs/>
                <w:sz w:val="20"/>
                <w:szCs w:val="20"/>
              </w:rPr>
              <w:t>bo</w:t>
            </w:r>
            <w:r w:rsidRPr="0001687C">
              <w:rPr>
                <w:rFonts w:ascii="Arial" w:hAnsi="Arial" w:cs="Arial"/>
                <w:b/>
                <w:bCs/>
                <w:spacing w:val="-4"/>
                <w:sz w:val="20"/>
                <w:szCs w:val="20"/>
              </w:rPr>
              <w:t xml:space="preserve"> </w:t>
            </w:r>
            <w:r w:rsidRPr="0001687C">
              <w:rPr>
                <w:rFonts w:ascii="Arial" w:hAnsi="Arial" w:cs="Arial"/>
                <w:b/>
                <w:bCs/>
                <w:spacing w:val="-1"/>
                <w:sz w:val="20"/>
                <w:szCs w:val="20"/>
              </w:rPr>
              <w:t>a</w:t>
            </w:r>
            <w:r w:rsidRPr="0001687C">
              <w:rPr>
                <w:rFonts w:ascii="Arial" w:hAnsi="Arial" w:cs="Arial"/>
                <w:b/>
                <w:bCs/>
                <w:sz w:val="20"/>
                <w:szCs w:val="20"/>
              </w:rPr>
              <w:t>t</w:t>
            </w:r>
            <w:r w:rsidRPr="0001687C">
              <w:rPr>
                <w:rFonts w:ascii="Arial" w:hAnsi="Arial" w:cs="Arial"/>
                <w:b/>
                <w:bCs/>
                <w:spacing w:val="-4"/>
                <w:sz w:val="20"/>
                <w:szCs w:val="20"/>
              </w:rPr>
              <w:t xml:space="preserve"> </w:t>
            </w:r>
            <w:r w:rsidRPr="0001687C">
              <w:rPr>
                <w:rFonts w:ascii="Arial" w:hAnsi="Arial" w:cs="Arial"/>
                <w:b/>
                <w:bCs/>
                <w:spacing w:val="2"/>
                <w:sz w:val="20"/>
                <w:szCs w:val="20"/>
              </w:rPr>
              <w:t>4</w:t>
            </w:r>
            <w:r w:rsidRPr="0001687C">
              <w:rPr>
                <w:rFonts w:ascii="Arial" w:hAnsi="Arial" w:cs="Arial"/>
                <w:b/>
                <w:bCs/>
                <w:sz w:val="20"/>
                <w:szCs w:val="20"/>
              </w:rPr>
              <w:t>2</w:t>
            </w:r>
            <w:r w:rsidRPr="0001687C">
              <w:rPr>
                <w:rFonts w:ascii="Arial" w:hAnsi="Arial" w:cs="Arial"/>
                <w:b/>
                <w:bCs/>
                <w:spacing w:val="-5"/>
                <w:sz w:val="20"/>
                <w:szCs w:val="20"/>
              </w:rPr>
              <w:t xml:space="preserve"> </w:t>
            </w:r>
            <w:r w:rsidRPr="0001687C">
              <w:rPr>
                <w:rFonts w:ascii="Arial" w:hAnsi="Arial" w:cs="Arial"/>
                <w:b/>
                <w:bCs/>
                <w:sz w:val="20"/>
                <w:szCs w:val="20"/>
              </w:rPr>
              <w:t>d</w:t>
            </w:r>
            <w:r w:rsidRPr="0001687C">
              <w:rPr>
                <w:rFonts w:ascii="Arial" w:hAnsi="Arial" w:cs="Arial"/>
                <w:b/>
                <w:bCs/>
                <w:spacing w:val="2"/>
                <w:sz w:val="20"/>
                <w:szCs w:val="20"/>
              </w:rPr>
              <w:t>a</w:t>
            </w:r>
            <w:r w:rsidRPr="0001687C">
              <w:rPr>
                <w:rFonts w:ascii="Arial" w:hAnsi="Arial" w:cs="Arial"/>
                <w:b/>
                <w:bCs/>
                <w:spacing w:val="-1"/>
                <w:sz w:val="20"/>
                <w:szCs w:val="20"/>
              </w:rPr>
              <w:t>ys</w:t>
            </w:r>
            <w:r w:rsidRPr="0001687C">
              <w:rPr>
                <w:rFonts w:ascii="Arial" w:hAnsi="Arial" w:cs="Arial"/>
                <w:b/>
                <w:bCs/>
                <w:spacing w:val="-1"/>
                <w:w w:val="99"/>
                <w:sz w:val="20"/>
                <w:szCs w:val="20"/>
              </w:rPr>
              <w:t xml:space="preserve"> </w:t>
            </w:r>
            <w:r w:rsidRPr="0001687C">
              <w:rPr>
                <w:rFonts w:ascii="Arial" w:hAnsi="Arial" w:cs="Arial"/>
                <w:b/>
                <w:bCs/>
                <w:sz w:val="20"/>
                <w:szCs w:val="20"/>
              </w:rPr>
              <w:t>(</w:t>
            </w:r>
            <w:r w:rsidRPr="0001687C">
              <w:rPr>
                <w:rFonts w:ascii="Arial" w:hAnsi="Arial" w:cs="Arial"/>
                <w:b/>
                <w:bCs/>
                <w:spacing w:val="-1"/>
                <w:sz w:val="20"/>
                <w:szCs w:val="20"/>
              </w:rPr>
              <w:t>sec</w:t>
            </w:r>
            <w:r w:rsidRPr="0001687C">
              <w:rPr>
                <w:rFonts w:ascii="Arial" w:hAnsi="Arial" w:cs="Arial"/>
                <w:b/>
                <w:bCs/>
                <w:sz w:val="20"/>
                <w:szCs w:val="20"/>
              </w:rPr>
              <w:t>ond</w:t>
            </w:r>
            <w:r w:rsidRPr="0001687C">
              <w:rPr>
                <w:rFonts w:ascii="Arial" w:hAnsi="Arial" w:cs="Arial"/>
                <w:b/>
                <w:bCs/>
                <w:spacing w:val="-1"/>
                <w:sz w:val="20"/>
                <w:szCs w:val="20"/>
              </w:rPr>
              <w:t>s)</w:t>
            </w:r>
          </w:p>
        </w:tc>
        <w:tc>
          <w:tcPr>
            <w:tcW w:w="1024" w:type="dxa"/>
            <w:vMerge w:val="restart"/>
            <w:tcBorders>
              <w:top w:val="single" w:sz="4" w:space="0" w:color="000000"/>
              <w:left w:val="single" w:sz="4" w:space="0" w:color="000000"/>
              <w:bottom w:val="single" w:sz="4" w:space="0" w:color="000000"/>
              <w:right w:val="single" w:sz="4" w:space="0" w:color="000000"/>
            </w:tcBorders>
          </w:tcPr>
          <w:p w14:paraId="3A754A80" w14:textId="77777777" w:rsidR="002745A7" w:rsidRPr="0001687C" w:rsidRDefault="002745A7" w:rsidP="002B33D3">
            <w:pPr>
              <w:kinsoku w:val="0"/>
              <w:overflowPunct w:val="0"/>
              <w:autoSpaceDE w:val="0"/>
              <w:autoSpaceDN w:val="0"/>
              <w:adjustRightInd w:val="0"/>
              <w:spacing w:line="224" w:lineRule="exact"/>
              <w:ind w:left="154"/>
              <w:rPr>
                <w:rFonts w:ascii="Times New Roman" w:hAnsi="Times New Roman" w:cs="Times New Roman"/>
                <w:sz w:val="24"/>
                <w:szCs w:val="24"/>
              </w:rPr>
            </w:pPr>
            <w:r w:rsidRPr="0001687C">
              <w:rPr>
                <w:rFonts w:ascii="Arial" w:hAnsi="Arial" w:cs="Arial"/>
                <w:b/>
                <w:bCs/>
                <w:sz w:val="20"/>
                <w:szCs w:val="20"/>
              </w:rPr>
              <w:t>p-</w:t>
            </w:r>
            <w:r w:rsidRPr="0001687C">
              <w:rPr>
                <w:rFonts w:ascii="Arial" w:hAnsi="Arial" w:cs="Arial"/>
                <w:b/>
                <w:bCs/>
                <w:spacing w:val="2"/>
                <w:sz w:val="20"/>
                <w:szCs w:val="20"/>
              </w:rPr>
              <w:t>v</w:t>
            </w:r>
            <w:r w:rsidRPr="0001687C">
              <w:rPr>
                <w:rFonts w:ascii="Arial" w:hAnsi="Arial" w:cs="Arial"/>
                <w:b/>
                <w:bCs/>
                <w:spacing w:val="-1"/>
                <w:sz w:val="20"/>
                <w:szCs w:val="20"/>
              </w:rPr>
              <w:t>al</w:t>
            </w:r>
            <w:r w:rsidRPr="0001687C">
              <w:rPr>
                <w:rFonts w:ascii="Arial" w:hAnsi="Arial" w:cs="Arial"/>
                <w:b/>
                <w:bCs/>
                <w:sz w:val="20"/>
                <w:szCs w:val="20"/>
              </w:rPr>
              <w:t>ue</w:t>
            </w:r>
          </w:p>
        </w:tc>
      </w:tr>
      <w:tr w:rsidR="002745A7" w:rsidRPr="0001687C" w14:paraId="18A2D515" w14:textId="77777777" w:rsidTr="002B33D3">
        <w:trPr>
          <w:trHeight w:hRule="exact" w:val="240"/>
        </w:trPr>
        <w:tc>
          <w:tcPr>
            <w:tcW w:w="994" w:type="dxa"/>
            <w:vMerge/>
            <w:tcBorders>
              <w:top w:val="single" w:sz="4" w:space="0" w:color="000000"/>
              <w:left w:val="single" w:sz="4" w:space="0" w:color="000000"/>
              <w:bottom w:val="single" w:sz="4" w:space="0" w:color="000000"/>
              <w:right w:val="single" w:sz="4" w:space="0" w:color="000000"/>
            </w:tcBorders>
          </w:tcPr>
          <w:p w14:paraId="69B18845" w14:textId="77777777" w:rsidR="002745A7" w:rsidRPr="0001687C" w:rsidRDefault="002745A7" w:rsidP="002B33D3">
            <w:pPr>
              <w:kinsoku w:val="0"/>
              <w:overflowPunct w:val="0"/>
              <w:autoSpaceDE w:val="0"/>
              <w:autoSpaceDN w:val="0"/>
              <w:adjustRightInd w:val="0"/>
              <w:spacing w:line="224" w:lineRule="exact"/>
              <w:ind w:left="154"/>
              <w:rPr>
                <w:rFonts w:ascii="Times New Roman" w:hAnsi="Times New Roman" w:cs="Times New Roman"/>
                <w:sz w:val="24"/>
                <w:szCs w:val="24"/>
              </w:rPr>
            </w:pPr>
          </w:p>
        </w:tc>
        <w:tc>
          <w:tcPr>
            <w:tcW w:w="1992" w:type="dxa"/>
            <w:vMerge/>
            <w:tcBorders>
              <w:top w:val="single" w:sz="4" w:space="0" w:color="000000"/>
              <w:left w:val="single" w:sz="4" w:space="0" w:color="000000"/>
              <w:bottom w:val="single" w:sz="4" w:space="0" w:color="000000"/>
              <w:right w:val="single" w:sz="4" w:space="0" w:color="000000"/>
            </w:tcBorders>
          </w:tcPr>
          <w:p w14:paraId="5AC59D7A" w14:textId="77777777" w:rsidR="002745A7" w:rsidRPr="0001687C" w:rsidRDefault="002745A7" w:rsidP="002B33D3">
            <w:pPr>
              <w:kinsoku w:val="0"/>
              <w:overflowPunct w:val="0"/>
              <w:autoSpaceDE w:val="0"/>
              <w:autoSpaceDN w:val="0"/>
              <w:adjustRightInd w:val="0"/>
              <w:spacing w:line="224" w:lineRule="exact"/>
              <w:ind w:left="154"/>
              <w:rPr>
                <w:rFonts w:ascii="Times New Roman" w:hAnsi="Times New Roman" w:cs="Times New Roman"/>
                <w:sz w:val="24"/>
                <w:szCs w:val="24"/>
              </w:rPr>
            </w:pPr>
          </w:p>
        </w:tc>
        <w:tc>
          <w:tcPr>
            <w:tcW w:w="1262" w:type="dxa"/>
            <w:tcBorders>
              <w:top w:val="single" w:sz="4" w:space="0" w:color="000000"/>
              <w:left w:val="single" w:sz="4" w:space="0" w:color="000000"/>
              <w:bottom w:val="single" w:sz="4" w:space="0" w:color="000000"/>
              <w:right w:val="single" w:sz="4" w:space="0" w:color="000000"/>
            </w:tcBorders>
          </w:tcPr>
          <w:p w14:paraId="6A372610" w14:textId="77777777" w:rsidR="002745A7" w:rsidRPr="0001687C" w:rsidRDefault="002745A7" w:rsidP="002B33D3">
            <w:pPr>
              <w:kinsoku w:val="0"/>
              <w:overflowPunct w:val="0"/>
              <w:autoSpaceDE w:val="0"/>
              <w:autoSpaceDN w:val="0"/>
              <w:adjustRightInd w:val="0"/>
              <w:spacing w:line="224" w:lineRule="exact"/>
              <w:ind w:left="102"/>
              <w:rPr>
                <w:rFonts w:ascii="Times New Roman" w:hAnsi="Times New Roman" w:cs="Times New Roman"/>
                <w:sz w:val="24"/>
                <w:szCs w:val="24"/>
              </w:rPr>
            </w:pPr>
            <w:r w:rsidRPr="0001687C">
              <w:rPr>
                <w:rFonts w:ascii="Arial" w:hAnsi="Arial" w:cs="Arial"/>
                <w:b/>
                <w:bCs/>
                <w:spacing w:val="3"/>
                <w:sz w:val="20"/>
                <w:szCs w:val="20"/>
              </w:rPr>
              <w:t>T</w:t>
            </w:r>
            <w:r w:rsidRPr="0001687C">
              <w:rPr>
                <w:rFonts w:ascii="Arial" w:hAnsi="Arial" w:cs="Arial"/>
                <w:b/>
                <w:bCs/>
                <w:spacing w:val="-1"/>
                <w:sz w:val="20"/>
                <w:szCs w:val="20"/>
              </w:rPr>
              <w:t>i</w:t>
            </w:r>
            <w:r w:rsidRPr="0001687C">
              <w:rPr>
                <w:rFonts w:ascii="Arial" w:hAnsi="Arial" w:cs="Arial"/>
                <w:b/>
                <w:bCs/>
                <w:sz w:val="20"/>
                <w:szCs w:val="20"/>
              </w:rPr>
              <w:t>ot</w:t>
            </w:r>
            <w:r w:rsidRPr="0001687C">
              <w:rPr>
                <w:rFonts w:ascii="Arial" w:hAnsi="Arial" w:cs="Arial"/>
                <w:b/>
                <w:bCs/>
                <w:spacing w:val="-1"/>
                <w:sz w:val="20"/>
                <w:szCs w:val="20"/>
              </w:rPr>
              <w:t>r</w:t>
            </w:r>
            <w:r w:rsidRPr="0001687C">
              <w:rPr>
                <w:rFonts w:ascii="Arial" w:hAnsi="Arial" w:cs="Arial"/>
                <w:b/>
                <w:bCs/>
                <w:sz w:val="20"/>
                <w:szCs w:val="20"/>
              </w:rPr>
              <w:t>op</w:t>
            </w:r>
            <w:r w:rsidRPr="0001687C">
              <w:rPr>
                <w:rFonts w:ascii="Arial" w:hAnsi="Arial" w:cs="Arial"/>
                <w:b/>
                <w:bCs/>
                <w:spacing w:val="-1"/>
                <w:sz w:val="20"/>
                <w:szCs w:val="20"/>
              </w:rPr>
              <w:t>i</w:t>
            </w:r>
            <w:r w:rsidRPr="0001687C">
              <w:rPr>
                <w:rFonts w:ascii="Arial" w:hAnsi="Arial" w:cs="Arial"/>
                <w:b/>
                <w:bCs/>
                <w:sz w:val="20"/>
                <w:szCs w:val="20"/>
              </w:rPr>
              <w:t>um</w:t>
            </w:r>
          </w:p>
        </w:tc>
        <w:tc>
          <w:tcPr>
            <w:tcW w:w="982" w:type="dxa"/>
            <w:tcBorders>
              <w:top w:val="single" w:sz="4" w:space="0" w:color="000000"/>
              <w:left w:val="single" w:sz="4" w:space="0" w:color="000000"/>
              <w:bottom w:val="single" w:sz="4" w:space="0" w:color="000000"/>
              <w:right w:val="single" w:sz="4" w:space="0" w:color="000000"/>
            </w:tcBorders>
          </w:tcPr>
          <w:p w14:paraId="60BC1E5C" w14:textId="77777777" w:rsidR="002745A7" w:rsidRPr="0001687C" w:rsidRDefault="002745A7" w:rsidP="002B33D3">
            <w:pPr>
              <w:kinsoku w:val="0"/>
              <w:overflowPunct w:val="0"/>
              <w:autoSpaceDE w:val="0"/>
              <w:autoSpaceDN w:val="0"/>
              <w:adjustRightInd w:val="0"/>
              <w:spacing w:line="224" w:lineRule="exact"/>
              <w:ind w:left="102"/>
              <w:rPr>
                <w:rFonts w:ascii="Times New Roman" w:hAnsi="Times New Roman" w:cs="Times New Roman"/>
                <w:sz w:val="24"/>
                <w:szCs w:val="24"/>
              </w:rPr>
            </w:pPr>
            <w:r w:rsidRPr="0001687C">
              <w:rPr>
                <w:rFonts w:ascii="Arial" w:hAnsi="Arial" w:cs="Arial"/>
                <w:b/>
                <w:bCs/>
                <w:spacing w:val="-1"/>
                <w:sz w:val="20"/>
                <w:szCs w:val="20"/>
              </w:rPr>
              <w:t>Pla</w:t>
            </w:r>
            <w:r w:rsidRPr="0001687C">
              <w:rPr>
                <w:rFonts w:ascii="Arial" w:hAnsi="Arial" w:cs="Arial"/>
                <w:b/>
                <w:bCs/>
                <w:spacing w:val="2"/>
                <w:sz w:val="20"/>
                <w:szCs w:val="20"/>
              </w:rPr>
              <w:t>c</w:t>
            </w:r>
            <w:r w:rsidRPr="0001687C">
              <w:rPr>
                <w:rFonts w:ascii="Arial" w:hAnsi="Arial" w:cs="Arial"/>
                <w:b/>
                <w:bCs/>
                <w:spacing w:val="-1"/>
                <w:sz w:val="20"/>
                <w:szCs w:val="20"/>
              </w:rPr>
              <w:t>e</w:t>
            </w:r>
            <w:r w:rsidRPr="0001687C">
              <w:rPr>
                <w:rFonts w:ascii="Arial" w:hAnsi="Arial" w:cs="Arial"/>
                <w:b/>
                <w:bCs/>
                <w:sz w:val="20"/>
                <w:szCs w:val="20"/>
              </w:rPr>
              <w:t>bo</w:t>
            </w:r>
          </w:p>
        </w:tc>
        <w:tc>
          <w:tcPr>
            <w:tcW w:w="2669" w:type="dxa"/>
            <w:vMerge/>
            <w:tcBorders>
              <w:top w:val="single" w:sz="4" w:space="0" w:color="000000"/>
              <w:left w:val="single" w:sz="4" w:space="0" w:color="000000"/>
              <w:bottom w:val="single" w:sz="4" w:space="0" w:color="000000"/>
              <w:right w:val="single" w:sz="4" w:space="0" w:color="000000"/>
            </w:tcBorders>
          </w:tcPr>
          <w:p w14:paraId="2BE59480" w14:textId="77777777" w:rsidR="002745A7" w:rsidRPr="0001687C" w:rsidRDefault="002745A7" w:rsidP="002B33D3">
            <w:pPr>
              <w:kinsoku w:val="0"/>
              <w:overflowPunct w:val="0"/>
              <w:autoSpaceDE w:val="0"/>
              <w:autoSpaceDN w:val="0"/>
              <w:adjustRightInd w:val="0"/>
              <w:spacing w:line="224" w:lineRule="exact"/>
              <w:ind w:left="102"/>
              <w:rPr>
                <w:rFonts w:ascii="Times New Roman" w:hAnsi="Times New Roman" w:cs="Times New Roman"/>
                <w:sz w:val="24"/>
                <w:szCs w:val="24"/>
              </w:rPr>
            </w:pPr>
          </w:p>
        </w:tc>
        <w:tc>
          <w:tcPr>
            <w:tcW w:w="1024" w:type="dxa"/>
            <w:vMerge/>
            <w:tcBorders>
              <w:top w:val="single" w:sz="4" w:space="0" w:color="000000"/>
              <w:left w:val="single" w:sz="4" w:space="0" w:color="000000"/>
              <w:bottom w:val="single" w:sz="4" w:space="0" w:color="000000"/>
              <w:right w:val="single" w:sz="4" w:space="0" w:color="000000"/>
            </w:tcBorders>
          </w:tcPr>
          <w:p w14:paraId="217ECD9D" w14:textId="77777777" w:rsidR="002745A7" w:rsidRPr="0001687C" w:rsidRDefault="002745A7" w:rsidP="002B33D3">
            <w:pPr>
              <w:kinsoku w:val="0"/>
              <w:overflowPunct w:val="0"/>
              <w:autoSpaceDE w:val="0"/>
              <w:autoSpaceDN w:val="0"/>
              <w:adjustRightInd w:val="0"/>
              <w:spacing w:line="224" w:lineRule="exact"/>
              <w:ind w:left="102"/>
              <w:rPr>
                <w:rFonts w:ascii="Times New Roman" w:hAnsi="Times New Roman" w:cs="Times New Roman"/>
                <w:sz w:val="24"/>
                <w:szCs w:val="24"/>
              </w:rPr>
            </w:pPr>
          </w:p>
        </w:tc>
      </w:tr>
      <w:tr w:rsidR="002745A7" w:rsidRPr="0001687C" w14:paraId="2C9CF1B4" w14:textId="77777777" w:rsidTr="002B33D3">
        <w:trPr>
          <w:trHeight w:hRule="exact" w:val="240"/>
        </w:trPr>
        <w:tc>
          <w:tcPr>
            <w:tcW w:w="994" w:type="dxa"/>
            <w:tcBorders>
              <w:top w:val="single" w:sz="4" w:space="0" w:color="000000"/>
              <w:left w:val="single" w:sz="4" w:space="0" w:color="000000"/>
              <w:bottom w:val="single" w:sz="4" w:space="0" w:color="000000"/>
              <w:right w:val="single" w:sz="4" w:space="0" w:color="000000"/>
            </w:tcBorders>
          </w:tcPr>
          <w:p w14:paraId="39D54053" w14:textId="77777777" w:rsidR="002745A7" w:rsidRPr="0001687C" w:rsidRDefault="002745A7" w:rsidP="002B33D3">
            <w:pPr>
              <w:kinsoku w:val="0"/>
              <w:overflowPunct w:val="0"/>
              <w:autoSpaceDE w:val="0"/>
              <w:autoSpaceDN w:val="0"/>
              <w:adjustRightInd w:val="0"/>
              <w:spacing w:line="226" w:lineRule="exact"/>
              <w:ind w:left="102"/>
              <w:rPr>
                <w:rFonts w:ascii="Times New Roman" w:hAnsi="Times New Roman" w:cs="Times New Roman"/>
                <w:sz w:val="24"/>
                <w:szCs w:val="24"/>
              </w:rPr>
            </w:pPr>
            <w:r w:rsidRPr="0001687C">
              <w:rPr>
                <w:rFonts w:ascii="Arial" w:hAnsi="Arial" w:cs="Arial"/>
                <w:spacing w:val="3"/>
                <w:sz w:val="20"/>
                <w:szCs w:val="20"/>
              </w:rPr>
              <w:t>T</w:t>
            </w:r>
            <w:r w:rsidRPr="0001687C">
              <w:rPr>
                <w:rFonts w:ascii="Arial" w:hAnsi="Arial" w:cs="Arial"/>
                <w:sz w:val="20"/>
                <w:szCs w:val="20"/>
              </w:rPr>
              <w:t>r</w:t>
            </w:r>
            <w:r w:rsidRPr="0001687C">
              <w:rPr>
                <w:rFonts w:ascii="Arial" w:hAnsi="Arial" w:cs="Arial"/>
                <w:spacing w:val="-1"/>
                <w:sz w:val="20"/>
                <w:szCs w:val="20"/>
              </w:rPr>
              <w:t>ia</w:t>
            </w:r>
            <w:r w:rsidRPr="0001687C">
              <w:rPr>
                <w:rFonts w:ascii="Arial" w:hAnsi="Arial" w:cs="Arial"/>
                <w:sz w:val="20"/>
                <w:szCs w:val="20"/>
              </w:rPr>
              <w:t>l</w:t>
            </w:r>
            <w:r w:rsidRPr="0001687C">
              <w:rPr>
                <w:rFonts w:ascii="Arial" w:hAnsi="Arial" w:cs="Arial"/>
                <w:spacing w:val="-8"/>
                <w:sz w:val="20"/>
                <w:szCs w:val="20"/>
              </w:rPr>
              <w:t xml:space="preserve"> </w:t>
            </w:r>
            <w:r w:rsidRPr="0001687C">
              <w:rPr>
                <w:rFonts w:ascii="Arial" w:hAnsi="Arial" w:cs="Arial"/>
                <w:sz w:val="20"/>
                <w:szCs w:val="20"/>
              </w:rPr>
              <w:t>A</w:t>
            </w:r>
          </w:p>
        </w:tc>
        <w:tc>
          <w:tcPr>
            <w:tcW w:w="1992" w:type="dxa"/>
            <w:tcBorders>
              <w:top w:val="single" w:sz="4" w:space="0" w:color="000000"/>
              <w:left w:val="single" w:sz="4" w:space="0" w:color="000000"/>
              <w:bottom w:val="single" w:sz="4" w:space="0" w:color="000000"/>
              <w:right w:val="single" w:sz="4" w:space="0" w:color="000000"/>
            </w:tcBorders>
          </w:tcPr>
          <w:p w14:paraId="451184BF" w14:textId="77777777" w:rsidR="002745A7" w:rsidRPr="0001687C" w:rsidRDefault="002745A7" w:rsidP="002B33D3">
            <w:pPr>
              <w:kinsoku w:val="0"/>
              <w:overflowPunct w:val="0"/>
              <w:autoSpaceDE w:val="0"/>
              <w:autoSpaceDN w:val="0"/>
              <w:adjustRightInd w:val="0"/>
              <w:spacing w:line="226" w:lineRule="exact"/>
              <w:ind w:left="802" w:right="807"/>
              <w:jc w:val="center"/>
              <w:rPr>
                <w:rFonts w:ascii="Times New Roman" w:hAnsi="Times New Roman" w:cs="Times New Roman"/>
                <w:sz w:val="24"/>
                <w:szCs w:val="24"/>
              </w:rPr>
            </w:pPr>
            <w:r w:rsidRPr="0001687C">
              <w:rPr>
                <w:rFonts w:ascii="Arial" w:hAnsi="Arial" w:cs="Arial"/>
                <w:spacing w:val="-1"/>
                <w:sz w:val="20"/>
                <w:szCs w:val="20"/>
              </w:rPr>
              <w:t>492</w:t>
            </w:r>
          </w:p>
        </w:tc>
        <w:tc>
          <w:tcPr>
            <w:tcW w:w="1262" w:type="dxa"/>
            <w:tcBorders>
              <w:top w:val="single" w:sz="4" w:space="0" w:color="000000"/>
              <w:left w:val="single" w:sz="4" w:space="0" w:color="000000"/>
              <w:bottom w:val="single" w:sz="4" w:space="0" w:color="000000"/>
              <w:right w:val="single" w:sz="4" w:space="0" w:color="000000"/>
            </w:tcBorders>
          </w:tcPr>
          <w:p w14:paraId="4C1E6FFF" w14:textId="77777777" w:rsidR="002745A7" w:rsidRPr="0001687C" w:rsidRDefault="002745A7" w:rsidP="002B33D3">
            <w:pPr>
              <w:kinsoku w:val="0"/>
              <w:overflowPunct w:val="0"/>
              <w:autoSpaceDE w:val="0"/>
              <w:autoSpaceDN w:val="0"/>
              <w:adjustRightInd w:val="0"/>
              <w:spacing w:line="226" w:lineRule="exact"/>
              <w:ind w:left="438" w:right="443"/>
              <w:jc w:val="center"/>
              <w:rPr>
                <w:rFonts w:ascii="Times New Roman" w:hAnsi="Times New Roman" w:cs="Times New Roman"/>
                <w:sz w:val="24"/>
                <w:szCs w:val="24"/>
              </w:rPr>
            </w:pPr>
            <w:r w:rsidRPr="0001687C">
              <w:rPr>
                <w:rFonts w:ascii="Arial" w:hAnsi="Arial" w:cs="Arial"/>
                <w:spacing w:val="-1"/>
                <w:sz w:val="20"/>
                <w:szCs w:val="20"/>
              </w:rPr>
              <w:t>640</w:t>
            </w:r>
          </w:p>
        </w:tc>
        <w:tc>
          <w:tcPr>
            <w:tcW w:w="982" w:type="dxa"/>
            <w:tcBorders>
              <w:top w:val="single" w:sz="4" w:space="0" w:color="000000"/>
              <w:left w:val="single" w:sz="4" w:space="0" w:color="000000"/>
              <w:bottom w:val="single" w:sz="4" w:space="0" w:color="000000"/>
              <w:right w:val="single" w:sz="4" w:space="0" w:color="000000"/>
            </w:tcBorders>
          </w:tcPr>
          <w:p w14:paraId="46BB76F5" w14:textId="77777777" w:rsidR="002745A7" w:rsidRPr="0001687C" w:rsidRDefault="002745A7" w:rsidP="002B33D3">
            <w:pPr>
              <w:kinsoku w:val="0"/>
              <w:overflowPunct w:val="0"/>
              <w:autoSpaceDE w:val="0"/>
              <w:autoSpaceDN w:val="0"/>
              <w:adjustRightInd w:val="0"/>
              <w:spacing w:line="226" w:lineRule="exact"/>
              <w:ind w:left="318"/>
              <w:rPr>
                <w:rFonts w:ascii="Times New Roman" w:hAnsi="Times New Roman" w:cs="Times New Roman"/>
                <w:sz w:val="24"/>
                <w:szCs w:val="24"/>
              </w:rPr>
            </w:pPr>
            <w:r w:rsidRPr="0001687C">
              <w:rPr>
                <w:rFonts w:ascii="Arial" w:hAnsi="Arial" w:cs="Arial"/>
                <w:spacing w:val="-1"/>
                <w:sz w:val="20"/>
                <w:szCs w:val="20"/>
              </w:rPr>
              <w:t>535</w:t>
            </w:r>
          </w:p>
        </w:tc>
        <w:tc>
          <w:tcPr>
            <w:tcW w:w="2669" w:type="dxa"/>
            <w:tcBorders>
              <w:top w:val="single" w:sz="4" w:space="0" w:color="000000"/>
              <w:left w:val="single" w:sz="4" w:space="0" w:color="000000"/>
              <w:bottom w:val="single" w:sz="4" w:space="0" w:color="000000"/>
              <w:right w:val="single" w:sz="4" w:space="0" w:color="000000"/>
            </w:tcBorders>
          </w:tcPr>
          <w:p w14:paraId="20CF6F5F" w14:textId="77777777" w:rsidR="002745A7" w:rsidRPr="0001687C" w:rsidRDefault="002745A7" w:rsidP="002B33D3">
            <w:pPr>
              <w:kinsoku w:val="0"/>
              <w:overflowPunct w:val="0"/>
              <w:autoSpaceDE w:val="0"/>
              <w:autoSpaceDN w:val="0"/>
              <w:adjustRightInd w:val="0"/>
              <w:spacing w:line="226" w:lineRule="exact"/>
              <w:ind w:left="1141" w:right="1146"/>
              <w:jc w:val="center"/>
              <w:rPr>
                <w:rFonts w:ascii="Times New Roman" w:hAnsi="Times New Roman" w:cs="Times New Roman"/>
                <w:sz w:val="24"/>
                <w:szCs w:val="24"/>
              </w:rPr>
            </w:pPr>
            <w:r w:rsidRPr="0001687C">
              <w:rPr>
                <w:rFonts w:ascii="Arial" w:hAnsi="Arial" w:cs="Arial"/>
                <w:spacing w:val="-1"/>
                <w:sz w:val="20"/>
                <w:szCs w:val="20"/>
              </w:rPr>
              <w:t>105</w:t>
            </w:r>
          </w:p>
        </w:tc>
        <w:tc>
          <w:tcPr>
            <w:tcW w:w="1024" w:type="dxa"/>
            <w:tcBorders>
              <w:top w:val="single" w:sz="4" w:space="0" w:color="000000"/>
              <w:left w:val="single" w:sz="4" w:space="0" w:color="000000"/>
              <w:bottom w:val="single" w:sz="4" w:space="0" w:color="000000"/>
              <w:right w:val="single" w:sz="4" w:space="0" w:color="000000"/>
            </w:tcBorders>
          </w:tcPr>
          <w:p w14:paraId="50F0453C" w14:textId="77777777" w:rsidR="002745A7" w:rsidRPr="0001687C" w:rsidRDefault="002745A7" w:rsidP="002B33D3">
            <w:pPr>
              <w:kinsoku w:val="0"/>
              <w:overflowPunct w:val="0"/>
              <w:autoSpaceDE w:val="0"/>
              <w:autoSpaceDN w:val="0"/>
              <w:adjustRightInd w:val="0"/>
              <w:spacing w:line="226" w:lineRule="exact"/>
              <w:ind w:left="198"/>
              <w:rPr>
                <w:rFonts w:ascii="Times New Roman" w:hAnsi="Times New Roman" w:cs="Times New Roman"/>
                <w:sz w:val="24"/>
                <w:szCs w:val="24"/>
              </w:rPr>
            </w:pPr>
            <w:r w:rsidRPr="0001687C">
              <w:rPr>
                <w:rFonts w:ascii="Arial" w:hAnsi="Arial" w:cs="Arial"/>
                <w:spacing w:val="-1"/>
                <w:sz w:val="20"/>
                <w:szCs w:val="20"/>
              </w:rPr>
              <w:t>0.0</w:t>
            </w:r>
            <w:r w:rsidRPr="0001687C">
              <w:rPr>
                <w:rFonts w:ascii="Arial" w:hAnsi="Arial" w:cs="Arial"/>
                <w:spacing w:val="2"/>
                <w:sz w:val="20"/>
                <w:szCs w:val="20"/>
              </w:rPr>
              <w:t>0</w:t>
            </w:r>
            <w:r w:rsidRPr="0001687C">
              <w:rPr>
                <w:rFonts w:ascii="Arial" w:hAnsi="Arial" w:cs="Arial"/>
                <w:spacing w:val="-1"/>
                <w:sz w:val="20"/>
                <w:szCs w:val="20"/>
              </w:rPr>
              <w:t>98</w:t>
            </w:r>
          </w:p>
        </w:tc>
      </w:tr>
      <w:tr w:rsidR="002745A7" w:rsidRPr="0001687C" w14:paraId="55852B58" w14:textId="77777777" w:rsidTr="002B33D3">
        <w:trPr>
          <w:trHeight w:hRule="exact" w:val="240"/>
        </w:trPr>
        <w:tc>
          <w:tcPr>
            <w:tcW w:w="994" w:type="dxa"/>
            <w:tcBorders>
              <w:top w:val="single" w:sz="4" w:space="0" w:color="000000"/>
              <w:left w:val="single" w:sz="4" w:space="0" w:color="000000"/>
              <w:bottom w:val="single" w:sz="4" w:space="0" w:color="000000"/>
              <w:right w:val="single" w:sz="4" w:space="0" w:color="000000"/>
            </w:tcBorders>
          </w:tcPr>
          <w:p w14:paraId="1BF1573E" w14:textId="77777777" w:rsidR="002745A7" w:rsidRPr="0001687C" w:rsidRDefault="002745A7" w:rsidP="002B33D3">
            <w:pPr>
              <w:kinsoku w:val="0"/>
              <w:overflowPunct w:val="0"/>
              <w:autoSpaceDE w:val="0"/>
              <w:autoSpaceDN w:val="0"/>
              <w:adjustRightInd w:val="0"/>
              <w:spacing w:line="226" w:lineRule="exact"/>
              <w:ind w:left="102"/>
              <w:rPr>
                <w:rFonts w:ascii="Times New Roman" w:hAnsi="Times New Roman" w:cs="Times New Roman"/>
                <w:sz w:val="24"/>
                <w:szCs w:val="24"/>
              </w:rPr>
            </w:pPr>
            <w:r w:rsidRPr="0001687C">
              <w:rPr>
                <w:rFonts w:ascii="Arial" w:hAnsi="Arial" w:cs="Arial"/>
                <w:spacing w:val="3"/>
                <w:sz w:val="20"/>
                <w:szCs w:val="20"/>
              </w:rPr>
              <w:t>T</w:t>
            </w:r>
            <w:r w:rsidRPr="0001687C">
              <w:rPr>
                <w:rFonts w:ascii="Arial" w:hAnsi="Arial" w:cs="Arial"/>
                <w:sz w:val="20"/>
                <w:szCs w:val="20"/>
              </w:rPr>
              <w:t>r</w:t>
            </w:r>
            <w:r w:rsidRPr="0001687C">
              <w:rPr>
                <w:rFonts w:ascii="Arial" w:hAnsi="Arial" w:cs="Arial"/>
                <w:spacing w:val="-1"/>
                <w:sz w:val="20"/>
                <w:szCs w:val="20"/>
              </w:rPr>
              <w:t>ia</w:t>
            </w:r>
            <w:r w:rsidRPr="0001687C">
              <w:rPr>
                <w:rFonts w:ascii="Arial" w:hAnsi="Arial" w:cs="Arial"/>
                <w:sz w:val="20"/>
                <w:szCs w:val="20"/>
              </w:rPr>
              <w:t>l</w:t>
            </w:r>
            <w:r w:rsidRPr="0001687C">
              <w:rPr>
                <w:rFonts w:ascii="Arial" w:hAnsi="Arial" w:cs="Arial"/>
                <w:spacing w:val="-8"/>
                <w:sz w:val="20"/>
                <w:szCs w:val="20"/>
              </w:rPr>
              <w:t xml:space="preserve"> </w:t>
            </w:r>
            <w:r w:rsidRPr="0001687C">
              <w:rPr>
                <w:rFonts w:ascii="Arial" w:hAnsi="Arial" w:cs="Arial"/>
                <w:sz w:val="20"/>
                <w:szCs w:val="20"/>
              </w:rPr>
              <w:t>B</w:t>
            </w:r>
          </w:p>
        </w:tc>
        <w:tc>
          <w:tcPr>
            <w:tcW w:w="1992" w:type="dxa"/>
            <w:tcBorders>
              <w:top w:val="single" w:sz="4" w:space="0" w:color="000000"/>
              <w:left w:val="single" w:sz="4" w:space="0" w:color="000000"/>
              <w:bottom w:val="single" w:sz="4" w:space="0" w:color="000000"/>
              <w:right w:val="single" w:sz="4" w:space="0" w:color="000000"/>
            </w:tcBorders>
          </w:tcPr>
          <w:p w14:paraId="14AC98A1" w14:textId="77777777" w:rsidR="002745A7" w:rsidRPr="0001687C" w:rsidRDefault="002745A7" w:rsidP="002B33D3">
            <w:pPr>
              <w:kinsoku w:val="0"/>
              <w:overflowPunct w:val="0"/>
              <w:autoSpaceDE w:val="0"/>
              <w:autoSpaceDN w:val="0"/>
              <w:adjustRightInd w:val="0"/>
              <w:spacing w:line="226" w:lineRule="exact"/>
              <w:ind w:left="802" w:right="807"/>
              <w:jc w:val="center"/>
              <w:rPr>
                <w:rFonts w:ascii="Times New Roman" w:hAnsi="Times New Roman" w:cs="Times New Roman"/>
                <w:sz w:val="24"/>
                <w:szCs w:val="24"/>
              </w:rPr>
            </w:pPr>
            <w:r w:rsidRPr="0001687C">
              <w:rPr>
                <w:rFonts w:ascii="Arial" w:hAnsi="Arial" w:cs="Arial"/>
                <w:spacing w:val="-1"/>
                <w:sz w:val="20"/>
                <w:szCs w:val="20"/>
              </w:rPr>
              <w:t>537</w:t>
            </w:r>
          </w:p>
        </w:tc>
        <w:tc>
          <w:tcPr>
            <w:tcW w:w="1262" w:type="dxa"/>
            <w:tcBorders>
              <w:top w:val="single" w:sz="4" w:space="0" w:color="000000"/>
              <w:left w:val="single" w:sz="4" w:space="0" w:color="000000"/>
              <w:bottom w:val="single" w:sz="4" w:space="0" w:color="000000"/>
              <w:right w:val="single" w:sz="4" w:space="0" w:color="000000"/>
            </w:tcBorders>
          </w:tcPr>
          <w:p w14:paraId="3C680752" w14:textId="77777777" w:rsidR="002745A7" w:rsidRPr="0001687C" w:rsidRDefault="002745A7" w:rsidP="002B33D3">
            <w:pPr>
              <w:kinsoku w:val="0"/>
              <w:overflowPunct w:val="0"/>
              <w:autoSpaceDE w:val="0"/>
              <w:autoSpaceDN w:val="0"/>
              <w:adjustRightInd w:val="0"/>
              <w:spacing w:line="226" w:lineRule="exact"/>
              <w:ind w:left="438" w:right="443"/>
              <w:jc w:val="center"/>
              <w:rPr>
                <w:rFonts w:ascii="Times New Roman" w:hAnsi="Times New Roman" w:cs="Times New Roman"/>
                <w:sz w:val="24"/>
                <w:szCs w:val="24"/>
              </w:rPr>
            </w:pPr>
            <w:r w:rsidRPr="0001687C">
              <w:rPr>
                <w:rFonts w:ascii="Arial" w:hAnsi="Arial" w:cs="Arial"/>
                <w:spacing w:val="-1"/>
                <w:sz w:val="20"/>
                <w:szCs w:val="20"/>
              </w:rPr>
              <w:t>741</w:t>
            </w:r>
          </w:p>
        </w:tc>
        <w:tc>
          <w:tcPr>
            <w:tcW w:w="982" w:type="dxa"/>
            <w:tcBorders>
              <w:top w:val="single" w:sz="4" w:space="0" w:color="000000"/>
              <w:left w:val="single" w:sz="4" w:space="0" w:color="000000"/>
              <w:bottom w:val="single" w:sz="4" w:space="0" w:color="000000"/>
              <w:right w:val="single" w:sz="4" w:space="0" w:color="000000"/>
            </w:tcBorders>
          </w:tcPr>
          <w:p w14:paraId="7DED9C6B" w14:textId="77777777" w:rsidR="002745A7" w:rsidRPr="0001687C" w:rsidRDefault="002745A7" w:rsidP="002B33D3">
            <w:pPr>
              <w:kinsoku w:val="0"/>
              <w:overflowPunct w:val="0"/>
              <w:autoSpaceDE w:val="0"/>
              <w:autoSpaceDN w:val="0"/>
              <w:adjustRightInd w:val="0"/>
              <w:spacing w:line="226" w:lineRule="exact"/>
              <w:ind w:left="318"/>
              <w:rPr>
                <w:rFonts w:ascii="Times New Roman" w:hAnsi="Times New Roman" w:cs="Times New Roman"/>
                <w:sz w:val="24"/>
                <w:szCs w:val="24"/>
              </w:rPr>
            </w:pPr>
            <w:r w:rsidRPr="0001687C">
              <w:rPr>
                <w:rFonts w:ascii="Arial" w:hAnsi="Arial" w:cs="Arial"/>
                <w:spacing w:val="-1"/>
                <w:sz w:val="20"/>
                <w:szCs w:val="20"/>
              </w:rPr>
              <w:t>577</w:t>
            </w:r>
          </w:p>
        </w:tc>
        <w:tc>
          <w:tcPr>
            <w:tcW w:w="2669" w:type="dxa"/>
            <w:tcBorders>
              <w:top w:val="single" w:sz="4" w:space="0" w:color="000000"/>
              <w:left w:val="single" w:sz="4" w:space="0" w:color="000000"/>
              <w:bottom w:val="single" w:sz="4" w:space="0" w:color="000000"/>
              <w:right w:val="single" w:sz="4" w:space="0" w:color="000000"/>
            </w:tcBorders>
          </w:tcPr>
          <w:p w14:paraId="1F96A797" w14:textId="77777777" w:rsidR="002745A7" w:rsidRPr="0001687C" w:rsidRDefault="002745A7" w:rsidP="002B33D3">
            <w:pPr>
              <w:kinsoku w:val="0"/>
              <w:overflowPunct w:val="0"/>
              <w:autoSpaceDE w:val="0"/>
              <w:autoSpaceDN w:val="0"/>
              <w:adjustRightInd w:val="0"/>
              <w:spacing w:line="226" w:lineRule="exact"/>
              <w:ind w:left="1141" w:right="1146"/>
              <w:jc w:val="center"/>
              <w:rPr>
                <w:rFonts w:ascii="Times New Roman" w:hAnsi="Times New Roman" w:cs="Times New Roman"/>
                <w:sz w:val="24"/>
                <w:szCs w:val="24"/>
              </w:rPr>
            </w:pPr>
            <w:r w:rsidRPr="0001687C">
              <w:rPr>
                <w:rFonts w:ascii="Arial" w:hAnsi="Arial" w:cs="Arial"/>
                <w:spacing w:val="-1"/>
                <w:sz w:val="20"/>
                <w:szCs w:val="20"/>
              </w:rPr>
              <w:t>164</w:t>
            </w:r>
          </w:p>
        </w:tc>
        <w:tc>
          <w:tcPr>
            <w:tcW w:w="1024" w:type="dxa"/>
            <w:tcBorders>
              <w:top w:val="single" w:sz="4" w:space="0" w:color="000000"/>
              <w:left w:val="single" w:sz="4" w:space="0" w:color="000000"/>
              <w:bottom w:val="single" w:sz="4" w:space="0" w:color="000000"/>
              <w:right w:val="single" w:sz="4" w:space="0" w:color="000000"/>
            </w:tcBorders>
          </w:tcPr>
          <w:p w14:paraId="71A802ED" w14:textId="77777777" w:rsidR="002745A7" w:rsidRPr="0001687C" w:rsidRDefault="002745A7" w:rsidP="002B33D3">
            <w:pPr>
              <w:kinsoku w:val="0"/>
              <w:overflowPunct w:val="0"/>
              <w:autoSpaceDE w:val="0"/>
              <w:autoSpaceDN w:val="0"/>
              <w:adjustRightInd w:val="0"/>
              <w:spacing w:line="226" w:lineRule="exact"/>
              <w:ind w:left="198"/>
              <w:rPr>
                <w:rFonts w:ascii="Times New Roman" w:hAnsi="Times New Roman" w:cs="Times New Roman"/>
                <w:sz w:val="24"/>
                <w:szCs w:val="24"/>
              </w:rPr>
            </w:pPr>
            <w:r w:rsidRPr="0001687C">
              <w:rPr>
                <w:rFonts w:ascii="Arial" w:hAnsi="Arial" w:cs="Arial"/>
                <w:spacing w:val="-1"/>
                <w:sz w:val="20"/>
                <w:szCs w:val="20"/>
              </w:rPr>
              <w:t>0.0</w:t>
            </w:r>
            <w:r w:rsidRPr="0001687C">
              <w:rPr>
                <w:rFonts w:ascii="Arial" w:hAnsi="Arial" w:cs="Arial"/>
                <w:spacing w:val="2"/>
                <w:sz w:val="20"/>
                <w:szCs w:val="20"/>
              </w:rPr>
              <w:t>0</w:t>
            </w:r>
            <w:r w:rsidRPr="0001687C">
              <w:rPr>
                <w:rFonts w:ascii="Arial" w:hAnsi="Arial" w:cs="Arial"/>
                <w:spacing w:val="-1"/>
                <w:sz w:val="20"/>
                <w:szCs w:val="20"/>
              </w:rPr>
              <w:t>02</w:t>
            </w:r>
          </w:p>
        </w:tc>
      </w:tr>
    </w:tbl>
    <w:p w14:paraId="70DCA283" w14:textId="77777777" w:rsidR="002745A7" w:rsidRDefault="002745A7" w:rsidP="002745A7">
      <w:pPr>
        <w:pStyle w:val="BodyText"/>
        <w:rPr>
          <w:rFonts w:cs="Times New Roman"/>
        </w:rPr>
      </w:pPr>
    </w:p>
    <w:p w14:paraId="5B5369BC" w14:textId="77777777" w:rsidR="002745A7" w:rsidRPr="00FE5D09" w:rsidRDefault="002745A7" w:rsidP="002745A7">
      <w:pPr>
        <w:pStyle w:val="BodyText"/>
        <w:spacing w:after="240" w:line="259" w:lineRule="auto"/>
        <w:rPr>
          <w:rFonts w:cs="Times New Roman"/>
          <w:u w:val="single"/>
        </w:rPr>
      </w:pPr>
      <w:r w:rsidRPr="00FE5D09">
        <w:rPr>
          <w:rFonts w:cs="Times New Roman"/>
          <w:u w:val="single"/>
        </w:rPr>
        <w:t>Health related quality of life</w:t>
      </w:r>
    </w:p>
    <w:p w14:paraId="2A0C2BBD" w14:textId="77777777" w:rsidR="002745A7" w:rsidRPr="008A20DC" w:rsidRDefault="002745A7" w:rsidP="002745A7">
      <w:pPr>
        <w:pStyle w:val="BodyText"/>
        <w:spacing w:after="240" w:line="259" w:lineRule="auto"/>
        <w:rPr>
          <w:rFonts w:cs="Times New Roman"/>
        </w:rPr>
      </w:pPr>
      <w:r w:rsidRPr="008A20DC">
        <w:rPr>
          <w:rFonts w:cs="Times New Roman"/>
        </w:rPr>
        <w:t xml:space="preserve">The SGRQ was the primary instrument used to evaluate disease-specific health related quality of life, with the impact domain stated as the primary endpoint. </w:t>
      </w:r>
      <w:r>
        <w:rPr>
          <w:rFonts w:cs="Times New Roman"/>
        </w:rPr>
        <w:t>Tiotropium</w:t>
      </w:r>
      <w:r w:rsidRPr="008A20DC">
        <w:rPr>
          <w:rFonts w:cs="Times New Roman"/>
        </w:rPr>
        <w:t xml:space="preserve"> was </w:t>
      </w:r>
      <w:r w:rsidRPr="008A20DC">
        <w:rPr>
          <w:rFonts w:cs="Times New Roman"/>
        </w:rPr>
        <w:lastRenderedPageBreak/>
        <w:t xml:space="preserve">significantly more effective than both placebo and ipratropium in improving health-related quality of life based on the SGRQ. The percentages of patients in the </w:t>
      </w:r>
      <w:r>
        <w:rPr>
          <w:rFonts w:cs="Times New Roman"/>
        </w:rPr>
        <w:t>tiotropium</w:t>
      </w:r>
      <w:r w:rsidRPr="008A20DC">
        <w:rPr>
          <w:rFonts w:cs="Times New Roman"/>
        </w:rPr>
        <w:t xml:space="preserve"> groups who demonstrated a clinically meaningful improvement (pre-specified criteria of 4 units) over baseline were significantly greater than those in the placebo and ipratropium groups.</w:t>
      </w:r>
    </w:p>
    <w:p w14:paraId="2FF6AE5A" w14:textId="77777777" w:rsidR="002745A7" w:rsidRDefault="002745A7" w:rsidP="002745A7">
      <w:pPr>
        <w:pStyle w:val="BodyText"/>
        <w:spacing w:after="240" w:line="259" w:lineRule="auto"/>
        <w:rPr>
          <w:rFonts w:cs="Times New Roman"/>
        </w:rPr>
      </w:pPr>
      <w:r>
        <w:rPr>
          <w:rFonts w:cs="Times New Roman"/>
        </w:rPr>
        <w:t>Tiotropium</w:t>
      </w:r>
      <w:r w:rsidRPr="008A20DC">
        <w:rPr>
          <w:rFonts w:cs="Times New Roman"/>
        </w:rPr>
        <w:t xml:space="preserve"> was more effective than placebo in each domain. Generally, the difference between the treatment groups increased between baseline and the last treatment visit. For the primary measure, Impacts score, the difference between the two treatment groups ranged from 1.8 to 4.0 and was statistically significant (p&lt;0.05) on all test days.</w:t>
      </w:r>
    </w:p>
    <w:p w14:paraId="258B917B" w14:textId="77777777" w:rsidR="002745A7" w:rsidRPr="008A20DC" w:rsidRDefault="002745A7" w:rsidP="002745A7">
      <w:pPr>
        <w:pStyle w:val="BodyText"/>
        <w:spacing w:after="240" w:line="259" w:lineRule="auto"/>
        <w:rPr>
          <w:rFonts w:cs="Times New Roman"/>
        </w:rPr>
      </w:pPr>
      <w:r w:rsidRPr="008A20DC">
        <w:rPr>
          <w:rFonts w:cs="Times New Roman"/>
        </w:rPr>
        <w:t xml:space="preserve">A significantly greater (p&lt;0.05) percentage of patients in the </w:t>
      </w:r>
      <w:r>
        <w:rPr>
          <w:rFonts w:cs="Times New Roman"/>
        </w:rPr>
        <w:t>tiotropium</w:t>
      </w:r>
      <w:r w:rsidRPr="008A20DC">
        <w:rPr>
          <w:rFonts w:cs="Times New Roman"/>
        </w:rPr>
        <w:t xml:space="preserve"> group showed a clinically meaningful improvement (drop of 4 units) in the Impacts score from six months through to the end of the study and for Total score from three months through to the end of the study.</w:t>
      </w:r>
    </w:p>
    <w:p w14:paraId="7658ECE7" w14:textId="77777777" w:rsidR="002745A7" w:rsidRPr="008A20DC" w:rsidRDefault="002745A7" w:rsidP="002745A7">
      <w:pPr>
        <w:pStyle w:val="BodyText"/>
        <w:spacing w:after="240" w:line="259" w:lineRule="auto"/>
        <w:rPr>
          <w:rFonts w:cs="Times New Roman"/>
        </w:rPr>
      </w:pPr>
      <w:r>
        <w:rPr>
          <w:rFonts w:cs="Times New Roman"/>
        </w:rPr>
        <w:t>Tiotropium</w:t>
      </w:r>
      <w:r w:rsidRPr="008A20DC">
        <w:rPr>
          <w:rFonts w:cs="Times New Roman"/>
        </w:rPr>
        <w:t xml:space="preserve"> was also shown to be more effective than ipratropium in improving health-related quality of life using the SGRQ. For Impacts score, the difference between the two treatment groups in the mean score ranged from 0.6 at 8 days to 4.3 at 364 days and was statistically significant from three months through the end of the study. Statistically significant differences between </w:t>
      </w:r>
      <w:r>
        <w:rPr>
          <w:rFonts w:cs="Times New Roman"/>
        </w:rPr>
        <w:t>tiotropium</w:t>
      </w:r>
      <w:r w:rsidRPr="008A20DC">
        <w:rPr>
          <w:rFonts w:cs="Times New Roman"/>
        </w:rPr>
        <w:t xml:space="preserve"> and ipratropium were also noted for the Total score on four of six test days.</w:t>
      </w:r>
    </w:p>
    <w:p w14:paraId="4C855639" w14:textId="77777777" w:rsidR="002745A7" w:rsidRPr="008A20DC" w:rsidRDefault="002745A7" w:rsidP="002745A7">
      <w:pPr>
        <w:pStyle w:val="BodyText"/>
        <w:spacing w:after="240" w:line="259" w:lineRule="auto"/>
        <w:rPr>
          <w:rFonts w:cs="Times New Roman"/>
        </w:rPr>
      </w:pPr>
      <w:r w:rsidRPr="008A20DC">
        <w:rPr>
          <w:rFonts w:cs="Times New Roman"/>
        </w:rPr>
        <w:t xml:space="preserve">A significantly greater (p&lt;0.05) percentage of patients in the </w:t>
      </w:r>
      <w:r>
        <w:rPr>
          <w:rFonts w:cs="Times New Roman"/>
        </w:rPr>
        <w:t>tiotropium</w:t>
      </w:r>
      <w:r w:rsidRPr="008A20DC">
        <w:rPr>
          <w:rFonts w:cs="Times New Roman"/>
        </w:rPr>
        <w:t xml:space="preserve"> group showed clinically meaningful improvement (difference greater than 4 units) in both Impacts and Total scores over ipratropium after six months.</w:t>
      </w:r>
    </w:p>
    <w:p w14:paraId="3249AFBC" w14:textId="77777777" w:rsidR="002745A7" w:rsidRDefault="002745A7" w:rsidP="002745A7">
      <w:pPr>
        <w:pStyle w:val="BodyText"/>
        <w:spacing w:after="240" w:line="259" w:lineRule="auto"/>
        <w:rPr>
          <w:rFonts w:cs="Times New Roman"/>
        </w:rPr>
      </w:pPr>
      <w:r w:rsidRPr="008A20DC">
        <w:rPr>
          <w:rFonts w:cs="Times New Roman"/>
        </w:rPr>
        <w:t xml:space="preserve">Two trials of six months duration compared the bronchodilator efficacy and safety of </w:t>
      </w:r>
      <w:r>
        <w:rPr>
          <w:rFonts w:cs="Times New Roman"/>
        </w:rPr>
        <w:t>tiotropium</w:t>
      </w:r>
      <w:r w:rsidRPr="008A20DC">
        <w:rPr>
          <w:rFonts w:cs="Times New Roman"/>
        </w:rPr>
        <w:t xml:space="preserve"> once daily with salmeterol inhalation aerosol (50 micrograms twice daily) and placebo in patients with COPD. In one study, designed to evaluate the 12-hour duration of action, when the effects over time for </w:t>
      </w:r>
      <w:r>
        <w:rPr>
          <w:rFonts w:cs="Times New Roman"/>
        </w:rPr>
        <w:t>tiotropium</w:t>
      </w:r>
      <w:r w:rsidRPr="008A20DC">
        <w:rPr>
          <w:rFonts w:cs="Times New Roman"/>
        </w:rPr>
        <w:t xml:space="preserve"> and salmeterol were compared, the mean trough FEV</w:t>
      </w:r>
      <w:r w:rsidRPr="00FE5D09">
        <w:rPr>
          <w:rFonts w:cs="Times New Roman"/>
          <w:vertAlign w:val="subscript"/>
        </w:rPr>
        <w:t>1</w:t>
      </w:r>
      <w:r w:rsidRPr="008A20DC">
        <w:rPr>
          <w:rFonts w:cs="Times New Roman"/>
        </w:rPr>
        <w:t xml:space="preserve"> in the </w:t>
      </w:r>
      <w:r>
        <w:rPr>
          <w:rFonts w:cs="Times New Roman"/>
        </w:rPr>
        <w:t>tiotropium</w:t>
      </w:r>
      <w:r w:rsidRPr="008A20DC">
        <w:rPr>
          <w:rFonts w:cs="Times New Roman"/>
        </w:rPr>
        <w:t xml:space="preserve"> group was significantly higher than that in the salmeterol group (p&lt;0.05), beginning on day 57. The difference between </w:t>
      </w:r>
      <w:r>
        <w:rPr>
          <w:rFonts w:cs="Times New Roman"/>
        </w:rPr>
        <w:t>tiotropium</w:t>
      </w:r>
      <w:r w:rsidRPr="008A20DC">
        <w:rPr>
          <w:rFonts w:cs="Times New Roman"/>
        </w:rPr>
        <w:t xml:space="preserve"> and salmeterol for trough, average and peak FEV</w:t>
      </w:r>
      <w:r w:rsidRPr="00FE5D09">
        <w:rPr>
          <w:rFonts w:cs="Times New Roman"/>
          <w:vertAlign w:val="subscript"/>
        </w:rPr>
        <w:t>1</w:t>
      </w:r>
      <w:r w:rsidRPr="008A20DC">
        <w:rPr>
          <w:rFonts w:cs="Times New Roman"/>
        </w:rPr>
        <w:t xml:space="preserve"> response was statistically significant (p&lt;0.05), except for trough response on day 15, and average and peak FEV</w:t>
      </w:r>
      <w:r w:rsidRPr="00FE5D09">
        <w:rPr>
          <w:rFonts w:cs="Times New Roman"/>
          <w:vertAlign w:val="subscript"/>
        </w:rPr>
        <w:t>1</w:t>
      </w:r>
      <w:r w:rsidRPr="008A20DC">
        <w:rPr>
          <w:rFonts w:cs="Times New Roman"/>
        </w:rPr>
        <w:t xml:space="preserve"> response on day 1. At the end of the study, trough FVC had improved in the </w:t>
      </w:r>
      <w:r>
        <w:rPr>
          <w:rFonts w:cs="Times New Roman"/>
        </w:rPr>
        <w:t>tiotropium</w:t>
      </w:r>
      <w:r w:rsidRPr="008A20DC">
        <w:rPr>
          <w:rFonts w:cs="Times New Roman"/>
        </w:rPr>
        <w:t xml:space="preserve"> group significantly above the placebo (p&lt;0.001) and the salmeterol (p&lt;0.01) groups. At the end of the combined six months trials, the improvement in TDI focal scores for </w:t>
      </w:r>
      <w:r>
        <w:rPr>
          <w:rFonts w:cs="Times New Roman"/>
        </w:rPr>
        <w:t>tiotropium</w:t>
      </w:r>
      <w:r w:rsidRPr="008A20DC">
        <w:rPr>
          <w:rFonts w:cs="Times New Roman"/>
        </w:rPr>
        <w:t xml:space="preserve"> above placebo was 1.1 units (p&lt;0.001), which was both statistically and clinically significant, and for salmeterol above placebo was 0.7 units (p&lt;0.05), which was not clinically significant.</w:t>
      </w:r>
    </w:p>
    <w:p w14:paraId="4FE78FC5" w14:textId="77777777" w:rsidR="002745A7" w:rsidRPr="00FE5D09" w:rsidRDefault="002745A7" w:rsidP="002745A7">
      <w:pPr>
        <w:pStyle w:val="BodyText"/>
        <w:spacing w:after="240" w:line="259" w:lineRule="auto"/>
        <w:rPr>
          <w:rFonts w:cs="Times New Roman"/>
          <w:u w:val="single"/>
        </w:rPr>
      </w:pPr>
      <w:r w:rsidRPr="00FE5D09">
        <w:rPr>
          <w:rFonts w:cs="Times New Roman"/>
          <w:u w:val="single"/>
        </w:rPr>
        <w:t>COPD exacerbations</w:t>
      </w:r>
    </w:p>
    <w:p w14:paraId="0183558E" w14:textId="77777777" w:rsidR="002745A7" w:rsidRPr="008A20DC" w:rsidRDefault="002745A7" w:rsidP="002745A7">
      <w:pPr>
        <w:pStyle w:val="BodyText"/>
        <w:spacing w:after="240" w:line="259" w:lineRule="auto"/>
        <w:rPr>
          <w:rFonts w:cs="Times New Roman"/>
        </w:rPr>
      </w:pPr>
      <w:r w:rsidRPr="008A20DC">
        <w:rPr>
          <w:rFonts w:cs="Times New Roman"/>
        </w:rPr>
        <w:t xml:space="preserve">In the analysis of the pooled data from the four one-year studies, </w:t>
      </w:r>
      <w:r>
        <w:rPr>
          <w:rFonts w:cs="Times New Roman"/>
        </w:rPr>
        <w:t>tiotropium</w:t>
      </w:r>
      <w:r w:rsidRPr="008A20DC">
        <w:rPr>
          <w:rFonts w:cs="Times New Roman"/>
        </w:rPr>
        <w:t xml:space="preserve"> significantly reduced both the number of COPD exacerbations and the number of </w:t>
      </w:r>
      <w:proofErr w:type="spellStart"/>
      <w:r w:rsidRPr="008A20DC">
        <w:rPr>
          <w:rFonts w:cs="Times New Roman"/>
        </w:rPr>
        <w:t>hospitalisations</w:t>
      </w:r>
      <w:proofErr w:type="spellEnd"/>
      <w:r w:rsidRPr="008A20DC">
        <w:rPr>
          <w:rFonts w:cs="Times New Roman"/>
        </w:rPr>
        <w:t xml:space="preserve"> </w:t>
      </w:r>
      <w:r w:rsidRPr="008A20DC">
        <w:rPr>
          <w:rFonts w:cs="Times New Roman"/>
        </w:rPr>
        <w:lastRenderedPageBreak/>
        <w:t xml:space="preserve">associated with COPD exacerbations. In addition, time to first COPD exacerbation and to first </w:t>
      </w:r>
      <w:proofErr w:type="spellStart"/>
      <w:r w:rsidRPr="008A20DC">
        <w:rPr>
          <w:rFonts w:cs="Times New Roman"/>
        </w:rPr>
        <w:t>hospitalisation</w:t>
      </w:r>
      <w:proofErr w:type="spellEnd"/>
      <w:r w:rsidRPr="008A20DC">
        <w:rPr>
          <w:rFonts w:cs="Times New Roman"/>
        </w:rPr>
        <w:t xml:space="preserve"> associated with a COPD exacerbation was significantly prolonged.</w:t>
      </w:r>
    </w:p>
    <w:p w14:paraId="2675EC06" w14:textId="77777777" w:rsidR="002745A7" w:rsidRDefault="002745A7" w:rsidP="002745A7">
      <w:pPr>
        <w:pStyle w:val="BodyText"/>
        <w:spacing w:after="240" w:line="259" w:lineRule="auto"/>
        <w:rPr>
          <w:rFonts w:cs="Times New Roman"/>
        </w:rPr>
      </w:pPr>
      <w:r w:rsidRPr="008A20DC">
        <w:rPr>
          <w:rFonts w:cs="Times New Roman"/>
        </w:rPr>
        <w:t xml:space="preserve">In the placebo-controlled trials, the percentage of patients with at least one exacerbation during the treatment period was 36% in the </w:t>
      </w:r>
      <w:r>
        <w:rPr>
          <w:rFonts w:cs="Times New Roman"/>
        </w:rPr>
        <w:t>tiotropium</w:t>
      </w:r>
      <w:r w:rsidRPr="008A20DC">
        <w:rPr>
          <w:rFonts w:cs="Times New Roman"/>
        </w:rPr>
        <w:t xml:space="preserve"> group and 42% in the placebo group (p=0.03); at least one </w:t>
      </w:r>
      <w:proofErr w:type="spellStart"/>
      <w:r w:rsidRPr="008A20DC">
        <w:rPr>
          <w:rFonts w:cs="Times New Roman"/>
        </w:rPr>
        <w:t>hospitalisation</w:t>
      </w:r>
      <w:proofErr w:type="spellEnd"/>
      <w:r w:rsidRPr="008A20DC">
        <w:rPr>
          <w:rFonts w:cs="Times New Roman"/>
        </w:rPr>
        <w:t xml:space="preserve"> for exacerbation occurred in 5.5% and 9.4% of patients respectively (p=0.019). The number of exacerbations and </w:t>
      </w:r>
      <w:proofErr w:type="spellStart"/>
      <w:r w:rsidRPr="008A20DC">
        <w:rPr>
          <w:rFonts w:cs="Times New Roman"/>
        </w:rPr>
        <w:t>hospitalisations</w:t>
      </w:r>
      <w:proofErr w:type="spellEnd"/>
      <w:r w:rsidRPr="008A20DC">
        <w:rPr>
          <w:rFonts w:cs="Times New Roman"/>
        </w:rPr>
        <w:t xml:space="preserve"> associated with exacerbations (expressed as events per 100 patient years) were significantly fewer for patients treated with </w:t>
      </w:r>
      <w:r>
        <w:rPr>
          <w:rFonts w:cs="Times New Roman"/>
        </w:rPr>
        <w:t>tiotropium</w:t>
      </w:r>
      <w:r w:rsidRPr="008A20DC">
        <w:rPr>
          <w:rFonts w:cs="Times New Roman"/>
        </w:rPr>
        <w:t xml:space="preserve"> compared to placebo (p=0.045 and p=0.019 respectively). Patients on </w:t>
      </w:r>
      <w:r>
        <w:rPr>
          <w:rFonts w:cs="Times New Roman"/>
        </w:rPr>
        <w:t>tiotropium</w:t>
      </w:r>
      <w:r w:rsidRPr="008A20DC">
        <w:rPr>
          <w:rFonts w:cs="Times New Roman"/>
        </w:rPr>
        <w:t xml:space="preserve"> also spent significantly fewer days in hospital for exacerbations compared to placebo (p=0.023). The time to first exacerbation was significantly delayed in the </w:t>
      </w:r>
      <w:r>
        <w:rPr>
          <w:rFonts w:cs="Times New Roman"/>
        </w:rPr>
        <w:t>tiotropium</w:t>
      </w:r>
      <w:r w:rsidRPr="008A20DC">
        <w:rPr>
          <w:rFonts w:cs="Times New Roman"/>
        </w:rPr>
        <w:t xml:space="preserve"> group relative to placebo (p=0.011). Overall, these data indicate that therapy with </w:t>
      </w:r>
      <w:r>
        <w:rPr>
          <w:rFonts w:cs="Times New Roman"/>
        </w:rPr>
        <w:t>tiotropium</w:t>
      </w:r>
      <w:r w:rsidRPr="008A20DC">
        <w:rPr>
          <w:rFonts w:cs="Times New Roman"/>
        </w:rPr>
        <w:t xml:space="preserve"> is associated with a delayed onset and a lower incidence of COPD exacerbations.</w:t>
      </w:r>
    </w:p>
    <w:p w14:paraId="14EC67F1" w14:textId="77777777" w:rsidR="002745A7" w:rsidRDefault="002745A7" w:rsidP="002745A7">
      <w:pPr>
        <w:pStyle w:val="BodyText"/>
        <w:spacing w:after="240" w:line="259" w:lineRule="auto"/>
        <w:rPr>
          <w:rFonts w:cs="Times New Roman"/>
        </w:rPr>
      </w:pPr>
      <w:r w:rsidRPr="008A20DC">
        <w:rPr>
          <w:rFonts w:cs="Times New Roman"/>
        </w:rPr>
        <w:t xml:space="preserve">In the ipratropium-controlled trials, the percentage of patients with an exacerbation during the treatment period was 35% in the </w:t>
      </w:r>
      <w:r>
        <w:rPr>
          <w:rFonts w:cs="Times New Roman"/>
        </w:rPr>
        <w:t>tiotropium</w:t>
      </w:r>
      <w:r w:rsidRPr="008A20DC">
        <w:rPr>
          <w:rFonts w:cs="Times New Roman"/>
        </w:rPr>
        <w:t xml:space="preserve"> group and 46% in the ipratropium group, a difference that was statistically significant. A similar trend was seen for </w:t>
      </w:r>
      <w:proofErr w:type="spellStart"/>
      <w:r w:rsidRPr="008A20DC">
        <w:rPr>
          <w:rFonts w:cs="Times New Roman"/>
        </w:rPr>
        <w:t>hospitalisations</w:t>
      </w:r>
      <w:proofErr w:type="spellEnd"/>
      <w:r w:rsidRPr="008A20DC">
        <w:rPr>
          <w:rFonts w:cs="Times New Roman"/>
        </w:rPr>
        <w:t xml:space="preserve"> for exacerbation (7.3% vs. 11.7%; p=0.108). The number of exacerbations and exacerbation days impacted by these events was also less in the </w:t>
      </w:r>
      <w:r>
        <w:rPr>
          <w:rFonts w:cs="Times New Roman"/>
        </w:rPr>
        <w:t>tiotropium</w:t>
      </w:r>
      <w:r w:rsidRPr="008A20DC">
        <w:rPr>
          <w:rFonts w:cs="Times New Roman"/>
        </w:rPr>
        <w:t xml:space="preserve"> group compared to ipratropium (p=0.006 and p=0.002, respectively). A similar trend was observed for </w:t>
      </w:r>
      <w:proofErr w:type="spellStart"/>
      <w:r w:rsidRPr="008A20DC">
        <w:rPr>
          <w:rFonts w:cs="Times New Roman"/>
        </w:rPr>
        <w:t>hospitalisations</w:t>
      </w:r>
      <w:proofErr w:type="spellEnd"/>
      <w:r w:rsidRPr="008A20DC">
        <w:rPr>
          <w:rFonts w:cs="Times New Roman"/>
        </w:rPr>
        <w:t xml:space="preserve"> (p=0.0803) and </w:t>
      </w:r>
      <w:proofErr w:type="spellStart"/>
      <w:r w:rsidRPr="008A20DC">
        <w:rPr>
          <w:rFonts w:cs="Times New Roman"/>
        </w:rPr>
        <w:t>hospitalisation</w:t>
      </w:r>
      <w:proofErr w:type="spellEnd"/>
      <w:r w:rsidRPr="008A20DC">
        <w:rPr>
          <w:rFonts w:cs="Times New Roman"/>
        </w:rPr>
        <w:t xml:space="preserve"> days for exacerbations (p=0.86). The time to first exacerbation, as well as for </w:t>
      </w:r>
      <w:proofErr w:type="spellStart"/>
      <w:r w:rsidRPr="008A20DC">
        <w:rPr>
          <w:rFonts w:cs="Times New Roman"/>
        </w:rPr>
        <w:t>hospitalisation</w:t>
      </w:r>
      <w:proofErr w:type="spellEnd"/>
      <w:r w:rsidRPr="008A20DC">
        <w:rPr>
          <w:rFonts w:cs="Times New Roman"/>
        </w:rPr>
        <w:t xml:space="preserve"> for exacerbation, was significantly delayed in the </w:t>
      </w:r>
      <w:r>
        <w:rPr>
          <w:rFonts w:cs="Times New Roman"/>
        </w:rPr>
        <w:t>tiotropium</w:t>
      </w:r>
      <w:r w:rsidRPr="008A20DC">
        <w:rPr>
          <w:rFonts w:cs="Times New Roman"/>
        </w:rPr>
        <w:t xml:space="preserve"> group relative to the ipratropium group (p=0.008 and 0.048, respectively). Overall these data indicate that </w:t>
      </w:r>
      <w:r>
        <w:rPr>
          <w:rFonts w:cs="Times New Roman"/>
        </w:rPr>
        <w:t>tiotropium</w:t>
      </w:r>
      <w:r w:rsidRPr="008A20DC">
        <w:rPr>
          <w:rFonts w:cs="Times New Roman"/>
        </w:rPr>
        <w:t xml:space="preserve"> is associated with reduced exacerbations.</w:t>
      </w:r>
    </w:p>
    <w:p w14:paraId="4C5C4BA6" w14:textId="77777777" w:rsidR="002745A7" w:rsidRDefault="002745A7" w:rsidP="002745A7">
      <w:pPr>
        <w:pStyle w:val="BodyText"/>
        <w:rPr>
          <w:rFonts w:cs="Times New Roman"/>
        </w:rPr>
      </w:pPr>
      <w:r>
        <w:rPr>
          <w:rFonts w:cs="Times New Roman"/>
        </w:rPr>
        <w:t>Tiotropium</w:t>
      </w:r>
      <w:r w:rsidRPr="008A20DC">
        <w:rPr>
          <w:rFonts w:cs="Times New Roman"/>
        </w:rPr>
        <w:t xml:space="preserve"> significantly reduced the percentage of patients experiencing one or more COPD exacerbations compared with placebo in a six-month </w:t>
      </w:r>
      <w:proofErr w:type="spellStart"/>
      <w:r w:rsidRPr="008A20DC">
        <w:rPr>
          <w:rFonts w:cs="Times New Roman"/>
        </w:rPr>
        <w:t>randomised</w:t>
      </w:r>
      <w:proofErr w:type="spellEnd"/>
      <w:r w:rsidRPr="008A20DC">
        <w:rPr>
          <w:rFonts w:cs="Times New Roman"/>
        </w:rPr>
        <w:t xml:space="preserve">, double-blind, placebo-controlled trial of 1,829 patients with COPD (27.9% vs. 32.3%, respectively, p=0.0368). The mean number of exacerbations per patient-year was significantly lower in the </w:t>
      </w:r>
      <w:r>
        <w:rPr>
          <w:rFonts w:cs="Times New Roman"/>
        </w:rPr>
        <w:t>tiotropium</w:t>
      </w:r>
      <w:r w:rsidRPr="008A20DC">
        <w:rPr>
          <w:rFonts w:cs="Times New Roman"/>
        </w:rPr>
        <w:t xml:space="preserve"> group compared to placebo (0.85 vs. 1.05, respectively, p=0.003), as was the number of exacerbation days (p&lt;0.0001). Time to first exacerbation was significantly increased in the </w:t>
      </w:r>
      <w:r>
        <w:rPr>
          <w:rFonts w:cs="Times New Roman"/>
        </w:rPr>
        <w:t>tiotropium</w:t>
      </w:r>
      <w:r w:rsidRPr="008A20DC">
        <w:rPr>
          <w:rFonts w:cs="Times New Roman"/>
        </w:rPr>
        <w:t xml:space="preserve"> group compared to placebo (relative risk=0.834, p=0.034). Fewer </w:t>
      </w:r>
      <w:r>
        <w:rPr>
          <w:rFonts w:cs="Times New Roman"/>
        </w:rPr>
        <w:t>tiotropium</w:t>
      </w:r>
      <w:r w:rsidRPr="008A20DC">
        <w:rPr>
          <w:rFonts w:cs="Times New Roman"/>
        </w:rPr>
        <w:t xml:space="preserve"> patients were </w:t>
      </w:r>
      <w:proofErr w:type="spellStart"/>
      <w:r w:rsidRPr="008A20DC">
        <w:rPr>
          <w:rFonts w:cs="Times New Roman"/>
        </w:rPr>
        <w:t>hospitalised</w:t>
      </w:r>
      <w:proofErr w:type="spellEnd"/>
      <w:r w:rsidRPr="008A20DC">
        <w:rPr>
          <w:rFonts w:cs="Times New Roman"/>
        </w:rPr>
        <w:t xml:space="preserve"> because of COPD exacerbation (7.0% vs. 9.5%, respectively; p=0.056), although this difference was not statistically significant. The number of </w:t>
      </w:r>
      <w:proofErr w:type="spellStart"/>
      <w:r w:rsidRPr="008A20DC">
        <w:rPr>
          <w:rFonts w:cs="Times New Roman"/>
        </w:rPr>
        <w:t>hospitalisations</w:t>
      </w:r>
      <w:proofErr w:type="spellEnd"/>
      <w:r w:rsidRPr="008A20DC">
        <w:rPr>
          <w:rFonts w:cs="Times New Roman"/>
        </w:rPr>
        <w:t xml:space="preserve"> for exacerbations per patient-year was significantly lower in the </w:t>
      </w:r>
      <w:r>
        <w:rPr>
          <w:rFonts w:cs="Times New Roman"/>
        </w:rPr>
        <w:t>tiotropium</w:t>
      </w:r>
      <w:r w:rsidRPr="008A20DC">
        <w:rPr>
          <w:rFonts w:cs="Times New Roman"/>
        </w:rPr>
        <w:t xml:space="preserve"> group, compared to placebo (p=0.013). Similarly, the mean number of </w:t>
      </w:r>
      <w:proofErr w:type="spellStart"/>
      <w:r w:rsidRPr="008A20DC">
        <w:rPr>
          <w:rFonts w:cs="Times New Roman"/>
        </w:rPr>
        <w:t>hospitalisations</w:t>
      </w:r>
      <w:proofErr w:type="spellEnd"/>
      <w:r w:rsidRPr="008A20DC">
        <w:rPr>
          <w:rFonts w:cs="Times New Roman"/>
        </w:rPr>
        <w:t xml:space="preserve"> days for exacerbations was lower in the </w:t>
      </w:r>
      <w:r>
        <w:rPr>
          <w:rFonts w:cs="Times New Roman"/>
        </w:rPr>
        <w:t>tiotropium</w:t>
      </w:r>
      <w:r w:rsidRPr="008A20DC">
        <w:rPr>
          <w:rFonts w:cs="Times New Roman"/>
        </w:rPr>
        <w:t xml:space="preserve"> group compared to placebo (1.43 vs 1.70 days per patient-year, p=0.0013). The time to first </w:t>
      </w:r>
      <w:proofErr w:type="spellStart"/>
      <w:r w:rsidRPr="008A20DC">
        <w:rPr>
          <w:rFonts w:cs="Times New Roman"/>
        </w:rPr>
        <w:t>hospitalisation</w:t>
      </w:r>
      <w:proofErr w:type="spellEnd"/>
      <w:r w:rsidRPr="008A20DC">
        <w:rPr>
          <w:rFonts w:cs="Times New Roman"/>
        </w:rPr>
        <w:t xml:space="preserve"> for an exacerbation was significantly increased in the </w:t>
      </w:r>
      <w:r>
        <w:rPr>
          <w:rFonts w:cs="Times New Roman"/>
        </w:rPr>
        <w:t>tiotropium</w:t>
      </w:r>
      <w:r w:rsidRPr="008A20DC">
        <w:rPr>
          <w:rFonts w:cs="Times New Roman"/>
        </w:rPr>
        <w:t xml:space="preserve"> group compared to placebo (relative risk=0.723, p≤0.05). See Figure 1.</w:t>
      </w:r>
    </w:p>
    <w:p w14:paraId="0BCEFF41" w14:textId="77777777" w:rsidR="002745A7" w:rsidRDefault="002745A7" w:rsidP="002745A7">
      <w:pPr>
        <w:pStyle w:val="BodyText"/>
      </w:pPr>
      <w:r w:rsidRPr="008A20DC">
        <w:rPr>
          <w:rFonts w:cs="Times New Roman"/>
          <w:noProof/>
          <w:lang w:val="en-AU" w:eastAsia="en-AU"/>
        </w:rPr>
        <w:lastRenderedPageBreak/>
        <w:drawing>
          <wp:inline distT="0" distB="0" distL="0" distR="0" wp14:anchorId="57FE8A93" wp14:editId="498829FD">
            <wp:extent cx="5979160" cy="2941955"/>
            <wp:effectExtent l="0" t="0" r="2540" b="0"/>
            <wp:docPr id="2" name="Picture 2" descr="Figure 1: Kaplan-Meier estimates of the probability of no hospitalisation due to COPD exacerb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9160" cy="2941955"/>
                    </a:xfrm>
                    <a:prstGeom prst="rect">
                      <a:avLst/>
                    </a:prstGeom>
                    <a:noFill/>
                    <a:ln>
                      <a:noFill/>
                    </a:ln>
                  </pic:spPr>
                </pic:pic>
              </a:graphicData>
            </a:graphic>
          </wp:inline>
        </w:drawing>
      </w:r>
    </w:p>
    <w:p w14:paraId="1F23179D" w14:textId="77777777" w:rsidR="002745A7" w:rsidRPr="002C336B" w:rsidRDefault="002745A7" w:rsidP="002745A7">
      <w:pPr>
        <w:pStyle w:val="BodyText"/>
        <w:keepNext/>
        <w:spacing w:after="240" w:line="259" w:lineRule="auto"/>
        <w:rPr>
          <w:rFonts w:cs="Times New Roman"/>
          <w:b/>
        </w:rPr>
      </w:pPr>
      <w:r w:rsidRPr="002C336B">
        <w:rPr>
          <w:rFonts w:cs="Times New Roman"/>
          <w:b/>
        </w:rPr>
        <w:t xml:space="preserve">Figure 1: Kaplan-Meier estimates of the probability of no </w:t>
      </w:r>
      <w:proofErr w:type="spellStart"/>
      <w:r w:rsidRPr="002C336B">
        <w:rPr>
          <w:rFonts w:cs="Times New Roman"/>
          <w:b/>
        </w:rPr>
        <w:t>hospitalisation</w:t>
      </w:r>
      <w:proofErr w:type="spellEnd"/>
      <w:r w:rsidRPr="002C336B">
        <w:rPr>
          <w:rFonts w:cs="Times New Roman"/>
          <w:b/>
        </w:rPr>
        <w:t xml:space="preserve"> due to COPD exacerbation.</w:t>
      </w:r>
    </w:p>
    <w:p w14:paraId="204DA1F4" w14:textId="77777777" w:rsidR="002745A7" w:rsidRDefault="002745A7" w:rsidP="002745A7">
      <w:pPr>
        <w:pStyle w:val="BodyText"/>
        <w:spacing w:after="240" w:line="259" w:lineRule="auto"/>
        <w:rPr>
          <w:rFonts w:cs="Times New Roman"/>
        </w:rPr>
      </w:pPr>
      <w:r w:rsidRPr="008A20DC">
        <w:rPr>
          <w:rFonts w:cs="Times New Roman"/>
        </w:rPr>
        <w:t xml:space="preserve">A one-year </w:t>
      </w:r>
      <w:proofErr w:type="spellStart"/>
      <w:r w:rsidRPr="008A20DC">
        <w:rPr>
          <w:rFonts w:cs="Times New Roman"/>
        </w:rPr>
        <w:t>randomised</w:t>
      </w:r>
      <w:proofErr w:type="spellEnd"/>
      <w:r w:rsidRPr="008A20DC">
        <w:rPr>
          <w:rFonts w:cs="Times New Roman"/>
        </w:rPr>
        <w:t xml:space="preserve">, double-blind, double-dummy, parallel-group trial compared the effect of treatment with 18 </w:t>
      </w:r>
      <w:r>
        <w:rPr>
          <w:rFonts w:cs="Times New Roman"/>
        </w:rPr>
        <w:t>micrograms</w:t>
      </w:r>
      <w:r w:rsidRPr="008A20DC">
        <w:rPr>
          <w:rFonts w:cs="Times New Roman"/>
        </w:rPr>
        <w:t xml:space="preserve"> of </w:t>
      </w:r>
      <w:r>
        <w:rPr>
          <w:rFonts w:cs="Times New Roman"/>
        </w:rPr>
        <w:t>tiotropium</w:t>
      </w:r>
      <w:r w:rsidRPr="008A20DC">
        <w:rPr>
          <w:rFonts w:cs="Times New Roman"/>
        </w:rPr>
        <w:t xml:space="preserve"> once daily with that of 50 </w:t>
      </w:r>
      <w:r>
        <w:rPr>
          <w:rFonts w:cs="Times New Roman"/>
        </w:rPr>
        <w:t>micrograms</w:t>
      </w:r>
      <w:r w:rsidRPr="008A20DC">
        <w:rPr>
          <w:rFonts w:cs="Times New Roman"/>
        </w:rPr>
        <w:t xml:space="preserve"> of salmeterol HFA </w:t>
      </w:r>
      <w:proofErr w:type="spellStart"/>
      <w:r w:rsidRPr="008A20DC">
        <w:rPr>
          <w:rFonts w:cs="Times New Roman"/>
        </w:rPr>
        <w:t>pMDI</w:t>
      </w:r>
      <w:proofErr w:type="spellEnd"/>
      <w:r w:rsidRPr="008A20DC">
        <w:rPr>
          <w:rFonts w:cs="Times New Roman"/>
        </w:rPr>
        <w:t xml:space="preserve"> twice daily with the primary endpoint time to first moderate or severe exacerbation in 7,376 patients with COPD and a history of exacerbations in the preceding year (74.6% of treated patients were men, 99.6% white, and 48.1% current smokers; the mean age was 62.9 years and the mean FEV</w:t>
      </w:r>
      <w:r w:rsidRPr="002C336B">
        <w:rPr>
          <w:rFonts w:cs="Times New Roman"/>
          <w:vertAlign w:val="subscript"/>
        </w:rPr>
        <w:t>1</w:t>
      </w:r>
      <w:r w:rsidRPr="008A20DC">
        <w:rPr>
          <w:rFonts w:cs="Times New Roman"/>
        </w:rPr>
        <w:t xml:space="preserve"> was 49.3% predicted). The treatment groups were balanced with respect to demographics, COPD characteristics, pulmonary medication use at baseline, and concomitant diagnoses. Patients were allowed to continue their usual medications for COPD, except for anticholinergic drugs and long-acting β2-agonists, during the double-blind treatment phase. Short-acting β2-agonists were also permitted, as necessary, as rescue medications for acute relief of COPD symptoms.</w:t>
      </w:r>
    </w:p>
    <w:p w14:paraId="5D4ABECB" w14:textId="77777777" w:rsidR="002745A7" w:rsidRDefault="002745A7" w:rsidP="002745A7">
      <w:pPr>
        <w:pStyle w:val="BodyText"/>
      </w:pPr>
      <w:r w:rsidRPr="008A0205">
        <w:rPr>
          <w:rFonts w:cs="Times New Roman"/>
          <w:noProof/>
          <w:lang w:val="en-AU" w:eastAsia="en-AU"/>
        </w:rPr>
        <w:lastRenderedPageBreak/>
        <w:drawing>
          <wp:inline distT="0" distB="0" distL="0" distR="0" wp14:anchorId="1F037AC1" wp14:editId="2DA5F5D2">
            <wp:extent cx="5979160" cy="3373755"/>
            <wp:effectExtent l="0" t="0" r="2540" b="0"/>
            <wp:docPr id="72" name="Picture 72" descr="Figure 2: Kaplan-Meier estimates of the time to the first COPD exacerbation / Treated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9160" cy="3373755"/>
                    </a:xfrm>
                    <a:prstGeom prst="rect">
                      <a:avLst/>
                    </a:prstGeom>
                    <a:noFill/>
                    <a:ln>
                      <a:noFill/>
                    </a:ln>
                  </pic:spPr>
                </pic:pic>
              </a:graphicData>
            </a:graphic>
          </wp:inline>
        </w:drawing>
      </w:r>
    </w:p>
    <w:p w14:paraId="17865195" w14:textId="77777777" w:rsidR="002745A7" w:rsidRPr="002C336B" w:rsidRDefault="002745A7" w:rsidP="002745A7">
      <w:pPr>
        <w:pStyle w:val="BodyText"/>
        <w:keepNext/>
        <w:spacing w:after="240" w:line="259" w:lineRule="auto"/>
        <w:rPr>
          <w:rFonts w:cs="Times New Roman"/>
          <w:b/>
        </w:rPr>
      </w:pPr>
      <w:r w:rsidRPr="002C336B">
        <w:rPr>
          <w:rFonts w:cs="Times New Roman"/>
          <w:b/>
        </w:rPr>
        <w:t>Figure 2: Kaplan-Meier estimates of the time to the first COPD exacerbation / Treated Set</w:t>
      </w:r>
    </w:p>
    <w:p w14:paraId="16F480D2" w14:textId="77777777" w:rsidR="002745A7" w:rsidRDefault="002745A7" w:rsidP="002745A7">
      <w:pPr>
        <w:pStyle w:val="BodyText"/>
      </w:pPr>
      <w:r w:rsidRPr="008A0205">
        <w:rPr>
          <w:rFonts w:cs="Times New Roman"/>
          <w:noProof/>
          <w:lang w:val="en-AU" w:eastAsia="en-AU"/>
        </w:rPr>
        <w:drawing>
          <wp:inline distT="0" distB="0" distL="0" distR="0" wp14:anchorId="1B99F223" wp14:editId="19E3E33A">
            <wp:extent cx="5979160" cy="3270885"/>
            <wp:effectExtent l="0" t="0" r="2540" b="5715"/>
            <wp:docPr id="73" name="Picture 73" descr="Figure 3: Kaplan-Meier estimates of the time to the first hospitalised COPD exacerbation/Treated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9160" cy="3270885"/>
                    </a:xfrm>
                    <a:prstGeom prst="rect">
                      <a:avLst/>
                    </a:prstGeom>
                    <a:noFill/>
                    <a:ln>
                      <a:noFill/>
                    </a:ln>
                  </pic:spPr>
                </pic:pic>
              </a:graphicData>
            </a:graphic>
          </wp:inline>
        </w:drawing>
      </w:r>
    </w:p>
    <w:p w14:paraId="3CFEBAE7" w14:textId="77777777" w:rsidR="002745A7" w:rsidRPr="002C336B" w:rsidRDefault="002745A7" w:rsidP="002745A7">
      <w:pPr>
        <w:pStyle w:val="BodyText"/>
        <w:keepLines/>
        <w:spacing w:after="240" w:line="259" w:lineRule="auto"/>
        <w:rPr>
          <w:rFonts w:cs="Times New Roman"/>
          <w:b/>
        </w:rPr>
      </w:pPr>
      <w:r w:rsidRPr="002C336B">
        <w:rPr>
          <w:rFonts w:cs="Times New Roman"/>
          <w:b/>
        </w:rPr>
        <w:t>Figure 3: Kaplan-Meier estimates of the time to the first</w:t>
      </w:r>
      <w:r>
        <w:rPr>
          <w:rFonts w:cs="Times New Roman"/>
          <w:b/>
        </w:rPr>
        <w:t xml:space="preserve"> </w:t>
      </w:r>
      <w:proofErr w:type="spellStart"/>
      <w:r>
        <w:rPr>
          <w:rFonts w:cs="Times New Roman"/>
          <w:b/>
        </w:rPr>
        <w:t>hospitalised</w:t>
      </w:r>
      <w:proofErr w:type="spellEnd"/>
      <w:r>
        <w:rPr>
          <w:rFonts w:cs="Times New Roman"/>
          <w:b/>
        </w:rPr>
        <w:t xml:space="preserve"> COPD exacerbation</w:t>
      </w:r>
      <w:r w:rsidRPr="002C336B">
        <w:rPr>
          <w:rFonts w:cs="Times New Roman"/>
          <w:b/>
        </w:rPr>
        <w:t>/Treated Set</w:t>
      </w:r>
    </w:p>
    <w:p w14:paraId="1354F5C1" w14:textId="77777777" w:rsidR="002745A7" w:rsidRDefault="002745A7" w:rsidP="008253C7">
      <w:pPr>
        <w:pStyle w:val="BodyText"/>
        <w:keepNext/>
        <w:rPr>
          <w:rFonts w:cs="Times New Roman"/>
          <w:b/>
        </w:rPr>
      </w:pPr>
      <w:r w:rsidRPr="002C336B">
        <w:rPr>
          <w:rFonts w:cs="Times New Roman"/>
          <w:b/>
        </w:rPr>
        <w:lastRenderedPageBreak/>
        <w:t>Table 2: Summary of exacerbation endpoints</w:t>
      </w:r>
    </w:p>
    <w:tbl>
      <w:tblPr>
        <w:tblW w:w="9307" w:type="dxa"/>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02"/>
        <w:gridCol w:w="1701"/>
        <w:gridCol w:w="1134"/>
        <w:gridCol w:w="1478"/>
        <w:gridCol w:w="992"/>
      </w:tblGrid>
      <w:tr w:rsidR="002745A7" w:rsidRPr="008A0205" w14:paraId="57965DB9" w14:textId="77777777" w:rsidTr="008253C7">
        <w:trPr>
          <w:trHeight w:hRule="exact" w:val="2182"/>
        </w:trPr>
        <w:tc>
          <w:tcPr>
            <w:tcW w:w="4002" w:type="dxa"/>
          </w:tcPr>
          <w:p w14:paraId="3D64ABAE" w14:textId="77777777" w:rsidR="002745A7" w:rsidRPr="008A0205" w:rsidRDefault="002745A7" w:rsidP="002B33D3">
            <w:pPr>
              <w:pStyle w:val="BodyText"/>
              <w:spacing w:after="240" w:line="259" w:lineRule="auto"/>
              <w:rPr>
                <w:rFonts w:cs="Times New Roman"/>
                <w:lang w:val="en-AU"/>
              </w:rPr>
            </w:pPr>
            <w:r w:rsidRPr="008A0205">
              <w:rPr>
                <w:rFonts w:cs="Times New Roman"/>
                <w:b/>
                <w:bCs/>
                <w:lang w:val="en-AU"/>
              </w:rPr>
              <w:t>Endpoint</w:t>
            </w:r>
          </w:p>
        </w:tc>
        <w:tc>
          <w:tcPr>
            <w:tcW w:w="1701" w:type="dxa"/>
          </w:tcPr>
          <w:p w14:paraId="5A1AFF63" w14:textId="77777777" w:rsidR="002745A7" w:rsidRPr="008A0205" w:rsidRDefault="002745A7" w:rsidP="002B33D3">
            <w:pPr>
              <w:pStyle w:val="BodyText"/>
              <w:spacing w:after="240" w:line="259" w:lineRule="auto"/>
              <w:rPr>
                <w:rFonts w:cs="Times New Roman"/>
                <w:lang w:val="en-AU"/>
              </w:rPr>
            </w:pPr>
            <w:r w:rsidRPr="000B77B9">
              <w:rPr>
                <w:rFonts w:cs="Times New Roman"/>
                <w:b/>
              </w:rPr>
              <w:t>Tiotropium</w:t>
            </w:r>
            <w:r w:rsidRPr="008A0205">
              <w:rPr>
                <w:rFonts w:cs="Times New Roman"/>
                <w:b/>
                <w:bCs/>
                <w:lang w:val="en-AU"/>
              </w:rPr>
              <w:t>18 microgram (</w:t>
            </w:r>
            <w:r>
              <w:rPr>
                <w:rFonts w:cs="Times New Roman"/>
                <w:b/>
                <w:bCs/>
                <w:lang w:val="en-AU"/>
              </w:rPr>
              <w:t>Dry Powder Inhaler</w:t>
            </w:r>
            <w:r w:rsidRPr="008A0205">
              <w:rPr>
                <w:rFonts w:cs="Times New Roman"/>
                <w:b/>
                <w:bCs/>
                <w:lang w:val="en-AU"/>
              </w:rPr>
              <w:t>) N = 3,707</w:t>
            </w:r>
          </w:p>
        </w:tc>
        <w:tc>
          <w:tcPr>
            <w:tcW w:w="1134" w:type="dxa"/>
          </w:tcPr>
          <w:p w14:paraId="58C45640" w14:textId="77777777" w:rsidR="002745A7" w:rsidRPr="008A0205" w:rsidRDefault="002745A7" w:rsidP="002B33D3">
            <w:pPr>
              <w:pStyle w:val="BodyText"/>
              <w:spacing w:after="240" w:line="259" w:lineRule="auto"/>
              <w:rPr>
                <w:rFonts w:cs="Times New Roman"/>
                <w:lang w:val="en-AU"/>
              </w:rPr>
            </w:pPr>
            <w:r w:rsidRPr="008A0205">
              <w:rPr>
                <w:rFonts w:cs="Times New Roman"/>
                <w:b/>
                <w:bCs/>
                <w:lang w:val="en-AU"/>
              </w:rPr>
              <w:t xml:space="preserve">Salmeterol 50 microgram (HFA </w:t>
            </w:r>
            <w:proofErr w:type="spellStart"/>
            <w:r w:rsidRPr="008A0205">
              <w:rPr>
                <w:rFonts w:cs="Times New Roman"/>
                <w:b/>
                <w:bCs/>
                <w:lang w:val="en-AU"/>
              </w:rPr>
              <w:t>pMDI</w:t>
            </w:r>
            <w:proofErr w:type="spellEnd"/>
            <w:r w:rsidRPr="008A0205">
              <w:rPr>
                <w:rFonts w:cs="Times New Roman"/>
                <w:b/>
                <w:bCs/>
                <w:lang w:val="en-AU"/>
              </w:rPr>
              <w:t>)</w:t>
            </w:r>
          </w:p>
          <w:p w14:paraId="7F2DB48E" w14:textId="77777777" w:rsidR="002745A7" w:rsidRPr="008A0205" w:rsidRDefault="002745A7" w:rsidP="002B33D3">
            <w:pPr>
              <w:pStyle w:val="BodyText"/>
              <w:spacing w:after="240" w:line="259" w:lineRule="auto"/>
              <w:rPr>
                <w:rFonts w:cs="Times New Roman"/>
                <w:lang w:val="en-AU"/>
              </w:rPr>
            </w:pPr>
            <w:r w:rsidRPr="008A0205">
              <w:rPr>
                <w:rFonts w:cs="Times New Roman"/>
                <w:b/>
                <w:bCs/>
                <w:lang w:val="en-AU"/>
              </w:rPr>
              <w:t>N = 3,669</w:t>
            </w:r>
          </w:p>
        </w:tc>
        <w:tc>
          <w:tcPr>
            <w:tcW w:w="1478" w:type="dxa"/>
          </w:tcPr>
          <w:p w14:paraId="1774AD97" w14:textId="77777777" w:rsidR="002745A7" w:rsidRPr="008A0205" w:rsidRDefault="002745A7" w:rsidP="002B33D3">
            <w:pPr>
              <w:pStyle w:val="BodyText"/>
              <w:spacing w:after="240" w:line="259" w:lineRule="auto"/>
              <w:rPr>
                <w:rFonts w:cs="Times New Roman"/>
                <w:lang w:val="en-AU"/>
              </w:rPr>
            </w:pPr>
            <w:r w:rsidRPr="008A0205">
              <w:rPr>
                <w:rFonts w:cs="Times New Roman"/>
                <w:b/>
                <w:bCs/>
                <w:lang w:val="en-AU"/>
              </w:rPr>
              <w:t>Ratio (95% CI)</w:t>
            </w:r>
          </w:p>
        </w:tc>
        <w:tc>
          <w:tcPr>
            <w:tcW w:w="992" w:type="dxa"/>
          </w:tcPr>
          <w:p w14:paraId="72343306" w14:textId="77777777" w:rsidR="002745A7" w:rsidRPr="008A0205" w:rsidRDefault="002745A7" w:rsidP="002B33D3">
            <w:pPr>
              <w:pStyle w:val="BodyText"/>
              <w:spacing w:after="240" w:line="259" w:lineRule="auto"/>
              <w:rPr>
                <w:rFonts w:cs="Times New Roman"/>
                <w:lang w:val="en-AU"/>
              </w:rPr>
            </w:pPr>
            <w:r w:rsidRPr="008A0205">
              <w:rPr>
                <w:rFonts w:cs="Times New Roman"/>
                <w:b/>
                <w:bCs/>
                <w:lang w:val="en-AU"/>
              </w:rPr>
              <w:t>p-value</w:t>
            </w:r>
          </w:p>
        </w:tc>
      </w:tr>
      <w:tr w:rsidR="002745A7" w:rsidRPr="008A0205" w14:paraId="0665B7D4" w14:textId="77777777" w:rsidTr="002B33D3">
        <w:trPr>
          <w:trHeight w:hRule="exact" w:val="1006"/>
        </w:trPr>
        <w:tc>
          <w:tcPr>
            <w:tcW w:w="4002" w:type="dxa"/>
          </w:tcPr>
          <w:p w14:paraId="3E965574"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Time [days] to first exacerbation</w:t>
            </w:r>
            <w:r w:rsidRPr="00EB5596">
              <w:rPr>
                <w:rFonts w:cs="Times New Roman"/>
                <w:vertAlign w:val="superscript"/>
                <w:lang w:val="en-AU"/>
              </w:rPr>
              <w:t>†</w:t>
            </w:r>
          </w:p>
        </w:tc>
        <w:tc>
          <w:tcPr>
            <w:tcW w:w="1701" w:type="dxa"/>
          </w:tcPr>
          <w:p w14:paraId="2859156A"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187</w:t>
            </w:r>
          </w:p>
        </w:tc>
        <w:tc>
          <w:tcPr>
            <w:tcW w:w="1134" w:type="dxa"/>
          </w:tcPr>
          <w:p w14:paraId="7C9747EA"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145</w:t>
            </w:r>
          </w:p>
        </w:tc>
        <w:tc>
          <w:tcPr>
            <w:tcW w:w="1478" w:type="dxa"/>
          </w:tcPr>
          <w:p w14:paraId="52AED5FE" w14:textId="77777777" w:rsidR="002745A7" w:rsidRDefault="002745A7" w:rsidP="002B33D3">
            <w:pPr>
              <w:pStyle w:val="BodyText"/>
              <w:spacing w:after="240" w:line="259" w:lineRule="auto"/>
              <w:rPr>
                <w:rFonts w:cs="Times New Roman"/>
                <w:lang w:val="en-AU"/>
              </w:rPr>
            </w:pPr>
            <w:r w:rsidRPr="008A0205">
              <w:rPr>
                <w:rFonts w:cs="Times New Roman"/>
                <w:lang w:val="en-AU"/>
              </w:rPr>
              <w:t>0.83</w:t>
            </w:r>
          </w:p>
          <w:p w14:paraId="18544007"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(0.77 - 0.90)</w:t>
            </w:r>
          </w:p>
        </w:tc>
        <w:tc>
          <w:tcPr>
            <w:tcW w:w="992" w:type="dxa"/>
          </w:tcPr>
          <w:p w14:paraId="7328FC58"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&lt;0.001</w:t>
            </w:r>
          </w:p>
        </w:tc>
      </w:tr>
      <w:tr w:rsidR="002745A7" w:rsidRPr="008A0205" w14:paraId="30F9E863" w14:textId="77777777" w:rsidTr="002B33D3">
        <w:trPr>
          <w:trHeight w:hRule="exact" w:val="1131"/>
        </w:trPr>
        <w:tc>
          <w:tcPr>
            <w:tcW w:w="4002" w:type="dxa"/>
          </w:tcPr>
          <w:p w14:paraId="0749FD3C"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Time to first severe (hospitalised) exacerbation</w:t>
            </w:r>
            <w:r w:rsidRPr="00EB5596">
              <w:rPr>
                <w:rFonts w:cs="Times New Roman"/>
                <w:vertAlign w:val="superscript"/>
                <w:lang w:val="en-AU"/>
              </w:rPr>
              <w:t>§</w:t>
            </w:r>
          </w:p>
        </w:tc>
        <w:tc>
          <w:tcPr>
            <w:tcW w:w="1701" w:type="dxa"/>
          </w:tcPr>
          <w:p w14:paraId="3C84A9A2" w14:textId="77777777" w:rsidR="002745A7" w:rsidRPr="008A0205" w:rsidRDefault="002745A7" w:rsidP="002B33D3">
            <w:pPr>
              <w:pStyle w:val="BodyText"/>
              <w:spacing w:after="240" w:line="259" w:lineRule="auto"/>
              <w:rPr>
                <w:rFonts w:cs="Times New Roman"/>
                <w:lang w:val="en-AU"/>
              </w:rPr>
            </w:pPr>
          </w:p>
          <w:p w14:paraId="486C8697"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w:t>
            </w:r>
          </w:p>
        </w:tc>
        <w:tc>
          <w:tcPr>
            <w:tcW w:w="1134" w:type="dxa"/>
          </w:tcPr>
          <w:p w14:paraId="0674276D" w14:textId="77777777" w:rsidR="002745A7" w:rsidRPr="008A0205" w:rsidRDefault="002745A7" w:rsidP="002B33D3">
            <w:pPr>
              <w:pStyle w:val="BodyText"/>
              <w:spacing w:after="240" w:line="259" w:lineRule="auto"/>
              <w:rPr>
                <w:rFonts w:cs="Times New Roman"/>
                <w:lang w:val="en-AU"/>
              </w:rPr>
            </w:pPr>
          </w:p>
          <w:p w14:paraId="31192889"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w:t>
            </w:r>
          </w:p>
        </w:tc>
        <w:tc>
          <w:tcPr>
            <w:tcW w:w="1478" w:type="dxa"/>
          </w:tcPr>
          <w:p w14:paraId="2D34E27E"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0.72</w:t>
            </w:r>
          </w:p>
          <w:p w14:paraId="60E1C3A1"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(0.61 - 0.85)</w:t>
            </w:r>
          </w:p>
        </w:tc>
        <w:tc>
          <w:tcPr>
            <w:tcW w:w="992" w:type="dxa"/>
          </w:tcPr>
          <w:p w14:paraId="501AD8BF"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&lt;0.001</w:t>
            </w:r>
          </w:p>
        </w:tc>
      </w:tr>
      <w:tr w:rsidR="002745A7" w:rsidRPr="008A0205" w14:paraId="5448FF9B" w14:textId="77777777" w:rsidTr="002B33D3">
        <w:trPr>
          <w:trHeight w:hRule="exact" w:val="1005"/>
        </w:trPr>
        <w:tc>
          <w:tcPr>
            <w:tcW w:w="4002" w:type="dxa"/>
          </w:tcPr>
          <w:p w14:paraId="7E54DF00"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Patients with ≥1 exacerbation, n (%)</w:t>
            </w:r>
            <w:r w:rsidRPr="00EB5596">
              <w:rPr>
                <w:rFonts w:cs="Times New Roman"/>
                <w:vertAlign w:val="superscript"/>
                <w:lang w:val="en-AU"/>
              </w:rPr>
              <w:t>*</w:t>
            </w:r>
          </w:p>
        </w:tc>
        <w:tc>
          <w:tcPr>
            <w:tcW w:w="1701" w:type="dxa"/>
          </w:tcPr>
          <w:p w14:paraId="18FBF651"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1,277 (34.4)</w:t>
            </w:r>
          </w:p>
        </w:tc>
        <w:tc>
          <w:tcPr>
            <w:tcW w:w="1134" w:type="dxa"/>
          </w:tcPr>
          <w:p w14:paraId="152549E2"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1,414 (38.5)</w:t>
            </w:r>
          </w:p>
        </w:tc>
        <w:tc>
          <w:tcPr>
            <w:tcW w:w="1478" w:type="dxa"/>
          </w:tcPr>
          <w:p w14:paraId="52902F61"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0.90</w:t>
            </w:r>
          </w:p>
          <w:p w14:paraId="007672A3"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(0.85 - 0.95)</w:t>
            </w:r>
          </w:p>
        </w:tc>
        <w:tc>
          <w:tcPr>
            <w:tcW w:w="992" w:type="dxa"/>
          </w:tcPr>
          <w:p w14:paraId="5B1874E3"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&lt;0.001</w:t>
            </w:r>
          </w:p>
        </w:tc>
      </w:tr>
      <w:tr w:rsidR="002745A7" w:rsidRPr="008A0205" w14:paraId="71D5F634" w14:textId="77777777" w:rsidTr="002B33D3">
        <w:trPr>
          <w:trHeight w:hRule="exact" w:val="990"/>
        </w:trPr>
        <w:tc>
          <w:tcPr>
            <w:tcW w:w="4002" w:type="dxa"/>
          </w:tcPr>
          <w:p w14:paraId="0F82CC21"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Patients with ≥1 severe (hospitalised) exacerbation, n (%)</w:t>
            </w:r>
            <w:r w:rsidRPr="00EB5596">
              <w:rPr>
                <w:rFonts w:cs="Times New Roman"/>
                <w:vertAlign w:val="superscript"/>
                <w:lang w:val="en-AU"/>
              </w:rPr>
              <w:t>*</w:t>
            </w:r>
          </w:p>
        </w:tc>
        <w:tc>
          <w:tcPr>
            <w:tcW w:w="1701" w:type="dxa"/>
          </w:tcPr>
          <w:p w14:paraId="27DDDA44"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262 (7.1)</w:t>
            </w:r>
          </w:p>
        </w:tc>
        <w:tc>
          <w:tcPr>
            <w:tcW w:w="1134" w:type="dxa"/>
          </w:tcPr>
          <w:p w14:paraId="050B3919"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336 (9.2)</w:t>
            </w:r>
          </w:p>
        </w:tc>
        <w:tc>
          <w:tcPr>
            <w:tcW w:w="1478" w:type="dxa"/>
          </w:tcPr>
          <w:p w14:paraId="1A9A381F"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0.77</w:t>
            </w:r>
          </w:p>
          <w:p w14:paraId="2967AE0B"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(0.66 - 0.89)</w:t>
            </w:r>
          </w:p>
        </w:tc>
        <w:tc>
          <w:tcPr>
            <w:tcW w:w="992" w:type="dxa"/>
          </w:tcPr>
          <w:p w14:paraId="098C98FE"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&lt;0.001</w:t>
            </w:r>
          </w:p>
        </w:tc>
      </w:tr>
      <w:tr w:rsidR="002745A7" w:rsidRPr="008A0205" w14:paraId="26A617D9" w14:textId="77777777" w:rsidTr="002B33D3">
        <w:trPr>
          <w:trHeight w:hRule="exact" w:val="849"/>
        </w:trPr>
        <w:tc>
          <w:tcPr>
            <w:tcW w:w="4002" w:type="dxa"/>
          </w:tcPr>
          <w:p w14:paraId="38530FFE"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Mean exacerbation incidence rate per patient year</w:t>
            </w:r>
            <w:r w:rsidRPr="00EB5596">
              <w:rPr>
                <w:rFonts w:cs="Times New Roman"/>
                <w:vertAlign w:val="superscript"/>
                <w:lang w:val="en-AU"/>
              </w:rPr>
              <w:t>#</w:t>
            </w:r>
          </w:p>
        </w:tc>
        <w:tc>
          <w:tcPr>
            <w:tcW w:w="1701" w:type="dxa"/>
          </w:tcPr>
          <w:p w14:paraId="65995AB6"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0.64</w:t>
            </w:r>
          </w:p>
        </w:tc>
        <w:tc>
          <w:tcPr>
            <w:tcW w:w="1134" w:type="dxa"/>
          </w:tcPr>
          <w:p w14:paraId="4739F758"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0.72</w:t>
            </w:r>
          </w:p>
        </w:tc>
        <w:tc>
          <w:tcPr>
            <w:tcW w:w="1478" w:type="dxa"/>
          </w:tcPr>
          <w:p w14:paraId="15D2D525"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0.89</w:t>
            </w:r>
          </w:p>
          <w:p w14:paraId="5447AEAD"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(0.83 - 0.96)</w:t>
            </w:r>
          </w:p>
        </w:tc>
        <w:tc>
          <w:tcPr>
            <w:tcW w:w="992" w:type="dxa"/>
          </w:tcPr>
          <w:p w14:paraId="5D051290"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=0.002</w:t>
            </w:r>
          </w:p>
        </w:tc>
      </w:tr>
      <w:tr w:rsidR="002745A7" w:rsidRPr="008A0205" w14:paraId="16884C15" w14:textId="77777777" w:rsidTr="002B33D3">
        <w:trPr>
          <w:trHeight w:hRule="exact" w:val="1131"/>
        </w:trPr>
        <w:tc>
          <w:tcPr>
            <w:tcW w:w="4002" w:type="dxa"/>
          </w:tcPr>
          <w:p w14:paraId="4CEDAB22"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Mean severe (hospitalised) exacerbation incidence rate per patient year</w:t>
            </w:r>
            <w:r w:rsidRPr="00EB5596">
              <w:rPr>
                <w:rFonts w:cs="Times New Roman"/>
                <w:vertAlign w:val="superscript"/>
                <w:lang w:val="en-AU"/>
              </w:rPr>
              <w:t>#</w:t>
            </w:r>
          </w:p>
        </w:tc>
        <w:tc>
          <w:tcPr>
            <w:tcW w:w="1701" w:type="dxa"/>
          </w:tcPr>
          <w:p w14:paraId="54CB263F"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0.09</w:t>
            </w:r>
          </w:p>
        </w:tc>
        <w:tc>
          <w:tcPr>
            <w:tcW w:w="1134" w:type="dxa"/>
          </w:tcPr>
          <w:p w14:paraId="10871223"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0.13</w:t>
            </w:r>
          </w:p>
        </w:tc>
        <w:tc>
          <w:tcPr>
            <w:tcW w:w="1478" w:type="dxa"/>
          </w:tcPr>
          <w:p w14:paraId="28CF74A0"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0.73</w:t>
            </w:r>
          </w:p>
          <w:p w14:paraId="39B9E289"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(0.66 - 0.82)</w:t>
            </w:r>
          </w:p>
        </w:tc>
        <w:tc>
          <w:tcPr>
            <w:tcW w:w="992" w:type="dxa"/>
          </w:tcPr>
          <w:p w14:paraId="2B347564" w14:textId="77777777" w:rsidR="002745A7" w:rsidRPr="008A0205" w:rsidRDefault="002745A7" w:rsidP="002B33D3">
            <w:pPr>
              <w:pStyle w:val="BodyText"/>
              <w:spacing w:after="240" w:line="259" w:lineRule="auto"/>
              <w:rPr>
                <w:rFonts w:cs="Times New Roman"/>
                <w:lang w:val="en-AU"/>
              </w:rPr>
            </w:pPr>
            <w:r w:rsidRPr="008A0205">
              <w:rPr>
                <w:rFonts w:cs="Times New Roman"/>
                <w:lang w:val="en-AU"/>
              </w:rPr>
              <w:t>&lt;0.001</w:t>
            </w:r>
          </w:p>
        </w:tc>
      </w:tr>
    </w:tbl>
    <w:p w14:paraId="05DB7170" w14:textId="77777777" w:rsidR="002745A7" w:rsidRDefault="002745A7" w:rsidP="008253C7">
      <w:pPr>
        <w:pStyle w:val="BodyText"/>
        <w:ind w:left="0"/>
      </w:pPr>
    </w:p>
    <w:p w14:paraId="4E9B84D1" w14:textId="77777777" w:rsidR="002745A7" w:rsidRPr="008A0205" w:rsidRDefault="002745A7" w:rsidP="002745A7">
      <w:pPr>
        <w:pStyle w:val="BodyText"/>
        <w:spacing w:after="240" w:line="259" w:lineRule="auto"/>
        <w:rPr>
          <w:rFonts w:cs="Times New Roman"/>
        </w:rPr>
      </w:pPr>
      <w:r w:rsidRPr="008A0205">
        <w:rPr>
          <w:rFonts w:cs="Times New Roman"/>
        </w:rPr>
        <w:t xml:space="preserve">† Time to event analysis was done using Cox's proportional hazards regression model with (pooled) </w:t>
      </w:r>
      <w:proofErr w:type="spellStart"/>
      <w:r w:rsidRPr="008A0205">
        <w:rPr>
          <w:rFonts w:cs="Times New Roman"/>
        </w:rPr>
        <w:t>centre</w:t>
      </w:r>
      <w:proofErr w:type="spellEnd"/>
      <w:r w:rsidRPr="008A0205">
        <w:rPr>
          <w:rFonts w:cs="Times New Roman"/>
        </w:rPr>
        <w:t xml:space="preserve"> and treatment as covariate; ratio refers to hazard ratio. Number in column 2 and 3 denote the time in days to first exacerbation for the 1st quartile of patients on </w:t>
      </w:r>
      <w:r>
        <w:rPr>
          <w:rFonts w:cs="Times New Roman"/>
        </w:rPr>
        <w:t>tiotropium</w:t>
      </w:r>
      <w:r w:rsidRPr="008A0205">
        <w:rPr>
          <w:rFonts w:cs="Times New Roman"/>
        </w:rPr>
        <w:t xml:space="preserve"> experiencing an exacerbation and the 1st quartile of patients on Salmeterol experiencing an exacerbation, respectively.</w:t>
      </w:r>
    </w:p>
    <w:p w14:paraId="3F43296E" w14:textId="77777777" w:rsidR="002745A7" w:rsidRPr="008A0205" w:rsidRDefault="002745A7" w:rsidP="002745A7">
      <w:pPr>
        <w:pStyle w:val="BodyText"/>
        <w:spacing w:after="240" w:line="259" w:lineRule="auto"/>
        <w:rPr>
          <w:rFonts w:cs="Times New Roman"/>
        </w:rPr>
      </w:pPr>
      <w:r w:rsidRPr="008A0205">
        <w:rPr>
          <w:rFonts w:cs="Times New Roman"/>
        </w:rPr>
        <w:t xml:space="preserve">§ Time to event analysis was done using Cox's proportional hazards regression model with (pooled) </w:t>
      </w:r>
      <w:proofErr w:type="spellStart"/>
      <w:r w:rsidRPr="008A0205">
        <w:rPr>
          <w:rFonts w:cs="Times New Roman"/>
        </w:rPr>
        <w:t>centre</w:t>
      </w:r>
      <w:proofErr w:type="spellEnd"/>
      <w:r w:rsidRPr="008A0205">
        <w:rPr>
          <w:rFonts w:cs="Times New Roman"/>
        </w:rPr>
        <w:t xml:space="preserve"> and treatment as covariate; ratio refers to hazard ratio. Time [days] for the 1st quartile of patients cannot be calculated, because proportion of patients with severe exacerbation is too low.</w:t>
      </w:r>
    </w:p>
    <w:p w14:paraId="0E994332" w14:textId="77777777" w:rsidR="002745A7" w:rsidRPr="008A0205" w:rsidRDefault="002745A7" w:rsidP="002745A7">
      <w:pPr>
        <w:pStyle w:val="BodyText"/>
        <w:spacing w:after="240" w:line="259" w:lineRule="auto"/>
        <w:rPr>
          <w:rFonts w:cs="Times New Roman"/>
        </w:rPr>
      </w:pPr>
      <w:r w:rsidRPr="008A0205">
        <w:rPr>
          <w:rFonts w:cs="Times New Roman"/>
        </w:rPr>
        <w:t xml:space="preserve">* Number of patients with event </w:t>
      </w:r>
      <w:proofErr w:type="gramStart"/>
      <w:r w:rsidRPr="008A0205">
        <w:rPr>
          <w:rFonts w:cs="Times New Roman"/>
        </w:rPr>
        <w:t>were</w:t>
      </w:r>
      <w:proofErr w:type="gramEnd"/>
      <w:r w:rsidRPr="008A0205">
        <w:rPr>
          <w:rFonts w:cs="Times New Roman"/>
        </w:rPr>
        <w:t xml:space="preserve"> </w:t>
      </w:r>
      <w:proofErr w:type="spellStart"/>
      <w:r w:rsidRPr="008A0205">
        <w:rPr>
          <w:rFonts w:cs="Times New Roman"/>
        </w:rPr>
        <w:t>analysed</w:t>
      </w:r>
      <w:proofErr w:type="spellEnd"/>
      <w:r w:rsidRPr="008A0205">
        <w:rPr>
          <w:rFonts w:cs="Times New Roman"/>
        </w:rPr>
        <w:t xml:space="preserve"> using Cochran-Mantel-</w:t>
      </w:r>
      <w:proofErr w:type="spellStart"/>
      <w:r w:rsidRPr="008A0205">
        <w:rPr>
          <w:rFonts w:cs="Times New Roman"/>
        </w:rPr>
        <w:t>Haenszel</w:t>
      </w:r>
      <w:proofErr w:type="spellEnd"/>
      <w:r w:rsidRPr="008A0205">
        <w:rPr>
          <w:rFonts w:cs="Times New Roman"/>
        </w:rPr>
        <w:t xml:space="preserve"> test </w:t>
      </w:r>
      <w:r w:rsidRPr="008A0205">
        <w:rPr>
          <w:rFonts w:cs="Times New Roman"/>
        </w:rPr>
        <w:lastRenderedPageBreak/>
        <w:t xml:space="preserve">stratified by pooled </w:t>
      </w:r>
      <w:proofErr w:type="spellStart"/>
      <w:r w:rsidRPr="008A0205">
        <w:rPr>
          <w:rFonts w:cs="Times New Roman"/>
        </w:rPr>
        <w:t>centre</w:t>
      </w:r>
      <w:proofErr w:type="spellEnd"/>
      <w:r w:rsidRPr="008A0205">
        <w:rPr>
          <w:rFonts w:cs="Times New Roman"/>
        </w:rPr>
        <w:t>; ratio refers to risk ratio.</w:t>
      </w:r>
    </w:p>
    <w:p w14:paraId="28B38DA9" w14:textId="77777777" w:rsidR="002745A7" w:rsidRDefault="002745A7" w:rsidP="002745A7">
      <w:pPr>
        <w:pStyle w:val="BodyText"/>
        <w:spacing w:after="240" w:line="259" w:lineRule="auto"/>
        <w:rPr>
          <w:rFonts w:cs="Times New Roman"/>
        </w:rPr>
      </w:pPr>
      <w:r w:rsidRPr="008A0205">
        <w:rPr>
          <w:rFonts w:cs="Times New Roman"/>
        </w:rPr>
        <w:t xml:space="preserve"># Number of event analysis was done using Poisson regression correcting for </w:t>
      </w:r>
      <w:proofErr w:type="spellStart"/>
      <w:r w:rsidRPr="008A0205">
        <w:rPr>
          <w:rFonts w:cs="Times New Roman"/>
        </w:rPr>
        <w:t>overdispersion</w:t>
      </w:r>
      <w:proofErr w:type="spellEnd"/>
      <w:r w:rsidRPr="008A0205">
        <w:rPr>
          <w:rFonts w:cs="Times New Roman"/>
        </w:rPr>
        <w:t xml:space="preserve"> and adjusting for treatment exposure; ratio refers to rate ratio.</w:t>
      </w:r>
    </w:p>
    <w:p w14:paraId="0B4E6497" w14:textId="77777777" w:rsidR="002745A7" w:rsidRDefault="002745A7" w:rsidP="002745A7">
      <w:pPr>
        <w:pStyle w:val="BodyText"/>
        <w:spacing w:after="240" w:line="259" w:lineRule="auto"/>
        <w:rPr>
          <w:rFonts w:cs="Times New Roman"/>
        </w:rPr>
      </w:pPr>
      <w:r w:rsidRPr="00617BDC">
        <w:rPr>
          <w:rFonts w:cs="Times New Roman"/>
        </w:rPr>
        <w:t xml:space="preserve">Compared with salmeterol, </w:t>
      </w:r>
      <w:r>
        <w:rPr>
          <w:rFonts w:cs="Times New Roman"/>
        </w:rPr>
        <w:t>tiotropium</w:t>
      </w:r>
      <w:r w:rsidRPr="00617BDC">
        <w:rPr>
          <w:rFonts w:cs="Times New Roman"/>
        </w:rPr>
        <w:t xml:space="preserve"> increased the time to the first exacerbation (187 days vs. 145 days), with a 17% reduction in risk (hazard ratio, 0.83; 95% CI, 0.77 to 0.90; P&lt;0.001). </w:t>
      </w:r>
      <w:r>
        <w:rPr>
          <w:rFonts w:cs="Times New Roman"/>
        </w:rPr>
        <w:t>Tiotropium</w:t>
      </w:r>
      <w:r w:rsidRPr="00617BDC">
        <w:rPr>
          <w:rFonts w:cs="Times New Roman"/>
        </w:rPr>
        <w:t xml:space="preserve"> also increased the time to the first severe (</w:t>
      </w:r>
      <w:proofErr w:type="spellStart"/>
      <w:r w:rsidRPr="00617BDC">
        <w:rPr>
          <w:rFonts w:cs="Times New Roman"/>
        </w:rPr>
        <w:t>hospitalised</w:t>
      </w:r>
      <w:proofErr w:type="spellEnd"/>
      <w:r w:rsidRPr="00617BDC">
        <w:rPr>
          <w:rFonts w:cs="Times New Roman"/>
        </w:rPr>
        <w:t>) exacerbation (hazard ratio, 0.72; 95% CI, 0.61 to 0.85; P&lt;0.001), reduced the annual number of moderate or severe (</w:t>
      </w:r>
      <w:proofErr w:type="spellStart"/>
      <w:r w:rsidRPr="00617BDC">
        <w:rPr>
          <w:rFonts w:cs="Times New Roman"/>
        </w:rPr>
        <w:t>hospitalised</w:t>
      </w:r>
      <w:proofErr w:type="spellEnd"/>
      <w:r w:rsidRPr="00617BDC">
        <w:rPr>
          <w:rFonts w:cs="Times New Roman"/>
        </w:rPr>
        <w:t>) exacerbations (0.64 vs. 0.72; rate ratio, 0.89; 95% CI, 0.83 to 0.96; P=0.002), and reduced the annual number of severe (</w:t>
      </w:r>
      <w:proofErr w:type="spellStart"/>
      <w:r w:rsidRPr="00617BDC">
        <w:rPr>
          <w:rFonts w:cs="Times New Roman"/>
        </w:rPr>
        <w:t>hospitalised</w:t>
      </w:r>
      <w:proofErr w:type="spellEnd"/>
      <w:r w:rsidRPr="00617BDC">
        <w:rPr>
          <w:rFonts w:cs="Times New Roman"/>
        </w:rPr>
        <w:t>) exacerbations (0.09 vs. 0.13; rate ratio, 0.73; 95% CI, 0.66 to 0.82; P&lt;0.001).</w:t>
      </w:r>
    </w:p>
    <w:p w14:paraId="5975A050" w14:textId="77777777" w:rsidR="002745A7" w:rsidRPr="00EB5596" w:rsidRDefault="002745A7" w:rsidP="002745A7">
      <w:pPr>
        <w:pStyle w:val="BodyText"/>
        <w:spacing w:after="240" w:line="259" w:lineRule="auto"/>
        <w:rPr>
          <w:rFonts w:cs="Times New Roman"/>
          <w:u w:val="single"/>
        </w:rPr>
      </w:pPr>
      <w:r w:rsidRPr="00EB5596">
        <w:rPr>
          <w:rFonts w:cs="Times New Roman"/>
          <w:u w:val="single"/>
        </w:rPr>
        <w:t>Long-term clinical trials (&lt;1 up to 4 years)</w:t>
      </w:r>
    </w:p>
    <w:p w14:paraId="10940464" w14:textId="77777777" w:rsidR="002745A7" w:rsidRDefault="002745A7" w:rsidP="002745A7">
      <w:pPr>
        <w:pStyle w:val="BodyText"/>
        <w:rPr>
          <w:rFonts w:cs="Times New Roman"/>
        </w:rPr>
      </w:pPr>
      <w:r w:rsidRPr="00617BDC">
        <w:rPr>
          <w:rFonts w:cs="Times New Roman"/>
        </w:rPr>
        <w:t xml:space="preserve">In a 4-year trial of 5,993 patients, </w:t>
      </w:r>
      <w:r>
        <w:rPr>
          <w:rFonts w:cs="Times New Roman"/>
        </w:rPr>
        <w:t>tiotropium</w:t>
      </w:r>
      <w:r w:rsidRPr="00617BDC">
        <w:rPr>
          <w:rFonts w:cs="Times New Roman"/>
        </w:rPr>
        <w:t xml:space="preserve"> did not alter the </w:t>
      </w:r>
      <w:proofErr w:type="spellStart"/>
      <w:r w:rsidRPr="00617BDC">
        <w:rPr>
          <w:rFonts w:cs="Times New Roman"/>
        </w:rPr>
        <w:t>annualised</w:t>
      </w:r>
      <w:proofErr w:type="spellEnd"/>
      <w:r w:rsidRPr="00617BDC">
        <w:rPr>
          <w:rFonts w:cs="Times New Roman"/>
        </w:rPr>
        <w:t xml:space="preserve"> rate of decline of FEV</w:t>
      </w:r>
      <w:r w:rsidRPr="00EB5596">
        <w:rPr>
          <w:rFonts w:cs="Times New Roman"/>
          <w:vertAlign w:val="subscript"/>
        </w:rPr>
        <w:t>1</w:t>
      </w:r>
      <w:r w:rsidRPr="00617BDC">
        <w:rPr>
          <w:rFonts w:cs="Times New Roman"/>
        </w:rPr>
        <w:t xml:space="preserve"> (primary endpoint), but maintained improvements in the</w:t>
      </w:r>
      <w:r>
        <w:rPr>
          <w:rFonts w:cs="Times New Roman"/>
        </w:rPr>
        <w:t xml:space="preserve"> </w:t>
      </w:r>
      <w:r w:rsidRPr="00617BDC">
        <w:rPr>
          <w:rFonts w:cs="Times New Roman"/>
        </w:rPr>
        <w:t>secondary endpoint of the difference in FEV</w:t>
      </w:r>
      <w:r w:rsidRPr="00EB5596">
        <w:rPr>
          <w:rFonts w:cs="Times New Roman"/>
          <w:vertAlign w:val="subscript"/>
        </w:rPr>
        <w:t>1</w:t>
      </w:r>
      <w:r w:rsidRPr="00617BDC">
        <w:rPr>
          <w:rFonts w:cs="Times New Roman"/>
        </w:rPr>
        <w:t xml:space="preserve"> at clinic visits throughout 4 years (Figure 4).</w:t>
      </w:r>
    </w:p>
    <w:p w14:paraId="19793650" w14:textId="77777777" w:rsidR="002745A7" w:rsidRDefault="002745A7" w:rsidP="002745A7">
      <w:pPr>
        <w:pStyle w:val="BodyText"/>
        <w:rPr>
          <w:rFonts w:cs="Times New Roman"/>
        </w:rPr>
      </w:pPr>
    </w:p>
    <w:p w14:paraId="5A256790" w14:textId="77777777" w:rsidR="002745A7" w:rsidRDefault="002745A7" w:rsidP="002745A7">
      <w:pPr>
        <w:pStyle w:val="BodyText"/>
      </w:pPr>
      <w:r w:rsidRPr="00617BDC">
        <w:rPr>
          <w:rFonts w:cs="Times New Roman"/>
          <w:noProof/>
          <w:lang w:val="en-AU" w:eastAsia="en-AU"/>
        </w:rPr>
        <w:drawing>
          <wp:inline distT="0" distB="0" distL="0" distR="0" wp14:anchorId="7DAEE2B8" wp14:editId="4440A737">
            <wp:extent cx="3876675" cy="1933575"/>
            <wp:effectExtent l="0" t="0" r="9525" b="9525"/>
            <wp:docPr id="204" name="Picture 204" descr="Figure 4: Morning pre-dose FEV1 (i.e. trough) in the tiotropium and placebo groups over 4 years. P&lt;0.001 for all post-randomisation time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675" cy="1933575"/>
                    </a:xfrm>
                    <a:prstGeom prst="rect">
                      <a:avLst/>
                    </a:prstGeom>
                    <a:noFill/>
                    <a:ln>
                      <a:noFill/>
                    </a:ln>
                  </pic:spPr>
                </pic:pic>
              </a:graphicData>
            </a:graphic>
          </wp:inline>
        </w:drawing>
      </w:r>
    </w:p>
    <w:p w14:paraId="6802EA9C" w14:textId="77777777" w:rsidR="002745A7" w:rsidRPr="002C336B" w:rsidRDefault="002745A7" w:rsidP="002745A7">
      <w:pPr>
        <w:pStyle w:val="BodyText"/>
        <w:spacing w:after="240" w:line="259" w:lineRule="auto"/>
        <w:rPr>
          <w:rFonts w:cs="Times New Roman"/>
          <w:b/>
        </w:rPr>
      </w:pPr>
      <w:r w:rsidRPr="002C336B">
        <w:rPr>
          <w:rFonts w:cs="Times New Roman"/>
          <w:b/>
        </w:rPr>
        <w:t>Figure 4: Morning pre-dose FEV</w:t>
      </w:r>
      <w:r w:rsidRPr="002C336B">
        <w:rPr>
          <w:rFonts w:cs="Times New Roman"/>
          <w:b/>
          <w:vertAlign w:val="subscript"/>
        </w:rPr>
        <w:t>1</w:t>
      </w:r>
      <w:r w:rsidRPr="002C336B">
        <w:rPr>
          <w:rFonts w:cs="Times New Roman"/>
          <w:b/>
        </w:rPr>
        <w:t xml:space="preserve"> (i.e. trough) in the tiotropium and placebo groups over 4 years. </w:t>
      </w:r>
      <w:proofErr w:type="gramStart"/>
      <w:r w:rsidRPr="002C336B">
        <w:rPr>
          <w:rFonts w:cs="Times New Roman"/>
          <w:b/>
        </w:rPr>
        <w:t>P&lt;0.001 for all post-</w:t>
      </w:r>
      <w:proofErr w:type="spellStart"/>
      <w:r w:rsidRPr="002C336B">
        <w:rPr>
          <w:rFonts w:cs="Times New Roman"/>
          <w:b/>
        </w:rPr>
        <w:t>randomisation</w:t>
      </w:r>
      <w:proofErr w:type="spellEnd"/>
      <w:r w:rsidRPr="002C336B">
        <w:rPr>
          <w:rFonts w:cs="Times New Roman"/>
          <w:b/>
        </w:rPr>
        <w:t xml:space="preserve"> time points.</w:t>
      </w:r>
      <w:proofErr w:type="gramEnd"/>
    </w:p>
    <w:p w14:paraId="52EF40B5" w14:textId="77777777" w:rsidR="002745A7" w:rsidRPr="00617BDC" w:rsidRDefault="002745A7" w:rsidP="002745A7">
      <w:pPr>
        <w:pStyle w:val="BodyText"/>
        <w:spacing w:after="240" w:line="259" w:lineRule="auto"/>
        <w:rPr>
          <w:rFonts w:cs="Times New Roman"/>
        </w:rPr>
      </w:pPr>
      <w:r w:rsidRPr="00617BDC">
        <w:rPr>
          <w:rFonts w:cs="Times New Roman"/>
        </w:rPr>
        <w:t xml:space="preserve">A significantly higher proportion of patients in the tiotropium group than in the placebo group had an improvement of ≥4 units in the secondary endpoint of SGRQ total scores (i.e. exceeded the minimal clinically important difference) from baseline at 1 year (49% vs. 41%), 2 years (48% vs. 39%), 3 years (46% vs. 37%), and 4 years (45% vs. 36%) </w:t>
      </w:r>
      <w:proofErr w:type="gramStart"/>
      <w:r w:rsidRPr="00617BDC">
        <w:rPr>
          <w:rFonts w:cs="Times New Roman"/>
        </w:rPr>
        <w:t>(p&lt;0.001 for all comparisons).</w:t>
      </w:r>
      <w:proofErr w:type="gramEnd"/>
    </w:p>
    <w:p w14:paraId="3F923805" w14:textId="77777777" w:rsidR="002745A7" w:rsidRPr="00617BDC" w:rsidRDefault="002745A7" w:rsidP="002745A7">
      <w:pPr>
        <w:pStyle w:val="BodyText"/>
        <w:spacing w:after="240" w:line="259" w:lineRule="auto"/>
        <w:rPr>
          <w:rFonts w:cs="Times New Roman"/>
        </w:rPr>
      </w:pPr>
      <w:r w:rsidRPr="00617BDC">
        <w:rPr>
          <w:rFonts w:cs="Times New Roman"/>
        </w:rPr>
        <w:t xml:space="preserve">In the following secondary endpoints, tiotropium significantly delayed the time to the first exacerbation and significantly delayed the time to the first </w:t>
      </w:r>
      <w:proofErr w:type="spellStart"/>
      <w:r w:rsidRPr="00617BDC">
        <w:rPr>
          <w:rFonts w:cs="Times New Roman"/>
        </w:rPr>
        <w:t>hospitalisation</w:t>
      </w:r>
      <w:proofErr w:type="spellEnd"/>
      <w:r w:rsidRPr="00617BDC">
        <w:rPr>
          <w:rFonts w:cs="Times New Roman"/>
        </w:rPr>
        <w:t xml:space="preserve"> for an exacerbation. The Hazard Ratios (95% confidence interval [CI]) for an exacerbation or exacerbation leading to </w:t>
      </w:r>
      <w:proofErr w:type="spellStart"/>
      <w:r w:rsidRPr="00617BDC">
        <w:rPr>
          <w:rFonts w:cs="Times New Roman"/>
        </w:rPr>
        <w:t>hospitalisation</w:t>
      </w:r>
      <w:proofErr w:type="spellEnd"/>
      <w:r w:rsidRPr="00617BDC">
        <w:rPr>
          <w:rFonts w:cs="Times New Roman"/>
        </w:rPr>
        <w:t xml:space="preserve"> were 0.86 (0.81, 0.91) and 0.86 (0.78, 0.95), </w:t>
      </w:r>
      <w:r w:rsidRPr="00617BDC">
        <w:rPr>
          <w:rFonts w:cs="Times New Roman"/>
        </w:rPr>
        <w:lastRenderedPageBreak/>
        <w:t xml:space="preserve">respectively. Tiotropium was also associated with a reduction in the mean number of exacerbations of 14% (p&lt;0.001). The mean numbers of exacerbations leading to </w:t>
      </w:r>
      <w:proofErr w:type="spellStart"/>
      <w:r w:rsidRPr="00617BDC">
        <w:rPr>
          <w:rFonts w:cs="Times New Roman"/>
        </w:rPr>
        <w:t>hospitalisations</w:t>
      </w:r>
      <w:proofErr w:type="spellEnd"/>
      <w:r w:rsidRPr="00617BDC">
        <w:rPr>
          <w:rFonts w:cs="Times New Roman"/>
        </w:rPr>
        <w:t xml:space="preserve"> were infrequent and did not differ significantly between the tiotropium and placebo groups.</w:t>
      </w:r>
    </w:p>
    <w:p w14:paraId="677BF09B" w14:textId="77777777" w:rsidR="002745A7" w:rsidRPr="00617BDC" w:rsidRDefault="002745A7" w:rsidP="002745A7">
      <w:pPr>
        <w:pStyle w:val="BodyText"/>
        <w:spacing w:after="240" w:line="259" w:lineRule="auto"/>
        <w:rPr>
          <w:rFonts w:cs="Times New Roman"/>
        </w:rPr>
      </w:pPr>
      <w:r w:rsidRPr="00617BDC">
        <w:rPr>
          <w:rFonts w:cs="Times New Roman"/>
        </w:rPr>
        <w:t>During treatment, there was a 16% reduction in the risk of death. The incidence rate of death was 4.79 per 100 patient years in the placebo group vs. 4.10 per 100 patient years in the tiotropium group (hazard ratio (tiotropium/placebo) = 0.84, 95% CI = 0.73, 0.97).</w:t>
      </w:r>
    </w:p>
    <w:p w14:paraId="18CA4D84" w14:textId="77777777" w:rsidR="002745A7" w:rsidRDefault="002745A7" w:rsidP="002745A7">
      <w:pPr>
        <w:pStyle w:val="BodyText"/>
        <w:spacing w:after="240" w:line="259" w:lineRule="auto"/>
        <w:rPr>
          <w:rFonts w:cs="Times New Roman"/>
        </w:rPr>
      </w:pPr>
      <w:r w:rsidRPr="00617BDC">
        <w:rPr>
          <w:rFonts w:cs="Times New Roman"/>
        </w:rPr>
        <w:t xml:space="preserve">For the 4-year, protocol-defined study period up to day 1440, the effect of tiotropium extended to end of treatment period. Among patients for whom vital-status information was available (95% of patients), 921 patients died: 14.4% in the tiotropium group and 16.3% in the placebo group (hazard ratio, 0.87; 95% CI, 0.76 to 0.99). During a period of 4 years plus 30 days (1470 days) included in the intention-to-treat analysis, 941 patients died: 14.9% in the tiotropium group and 16.5% in the placebo group (hazard ratio, 0.89; 95% CI, 0.79 to 1.02). Fewer vital status data were available for the day 1470 analyses (75% of patients). The effect became non-significant within the 30-day follow-up period, when according to </w:t>
      </w:r>
      <w:proofErr w:type="gramStart"/>
      <w:r w:rsidRPr="00617BDC">
        <w:rPr>
          <w:rFonts w:cs="Times New Roman"/>
        </w:rPr>
        <w:t>protocol,</w:t>
      </w:r>
      <w:proofErr w:type="gramEnd"/>
      <w:r w:rsidRPr="00617BDC">
        <w:rPr>
          <w:rFonts w:cs="Times New Roman"/>
        </w:rPr>
        <w:t xml:space="preserve"> patients were discontinued from their study medication.</w:t>
      </w:r>
    </w:p>
    <w:p w14:paraId="240C8750" w14:textId="77777777" w:rsidR="002745A7" w:rsidRPr="00EB5596" w:rsidRDefault="002745A7" w:rsidP="002745A7">
      <w:pPr>
        <w:pStyle w:val="BodyText"/>
        <w:spacing w:after="240" w:line="259" w:lineRule="auto"/>
        <w:rPr>
          <w:rFonts w:cs="Times New Roman"/>
          <w:u w:val="single"/>
        </w:rPr>
      </w:pPr>
      <w:r w:rsidRPr="00EB5596">
        <w:rPr>
          <w:rFonts w:cs="Times New Roman"/>
          <w:u w:val="single"/>
        </w:rPr>
        <w:t>Long-term tiotropium active-controlled study</w:t>
      </w:r>
    </w:p>
    <w:p w14:paraId="0FAFD10C" w14:textId="77777777" w:rsidR="002745A7" w:rsidRPr="0031036B" w:rsidRDefault="002745A7" w:rsidP="002745A7">
      <w:pPr>
        <w:pStyle w:val="BodyText"/>
        <w:spacing w:after="240" w:line="259" w:lineRule="auto"/>
        <w:rPr>
          <w:rFonts w:cs="Times New Roman"/>
        </w:rPr>
      </w:pPr>
      <w:r w:rsidRPr="0031036B">
        <w:rPr>
          <w:rFonts w:cs="Times New Roman"/>
        </w:rPr>
        <w:t xml:space="preserve">A long term, large scale, </w:t>
      </w:r>
      <w:proofErr w:type="spellStart"/>
      <w:r w:rsidRPr="0031036B">
        <w:rPr>
          <w:rFonts w:cs="Times New Roman"/>
        </w:rPr>
        <w:t>randomised</w:t>
      </w:r>
      <w:proofErr w:type="spellEnd"/>
      <w:r w:rsidRPr="0031036B">
        <w:rPr>
          <w:rFonts w:cs="Times New Roman"/>
        </w:rPr>
        <w:t xml:space="preserve">, double-blind, active-controlled study with an observation period up to 3 years has been performed to compare the efficacy and safety of tiotropium </w:t>
      </w:r>
      <w:r>
        <w:rPr>
          <w:rFonts w:cs="Times New Roman"/>
        </w:rPr>
        <w:t xml:space="preserve">inhalation spray </w:t>
      </w:r>
      <w:r w:rsidRPr="0031036B">
        <w:rPr>
          <w:rFonts w:cs="Times New Roman"/>
        </w:rPr>
        <w:t>2.5 microgram</w:t>
      </w:r>
      <w:r>
        <w:rPr>
          <w:rFonts w:cs="Times New Roman"/>
        </w:rPr>
        <w:t>s</w:t>
      </w:r>
      <w:r w:rsidRPr="0031036B">
        <w:rPr>
          <w:rFonts w:cs="Times New Roman"/>
        </w:rPr>
        <w:t xml:space="preserve"> and tiotropium </w:t>
      </w:r>
      <w:r>
        <w:rPr>
          <w:rFonts w:cs="Times New Roman"/>
        </w:rPr>
        <w:t xml:space="preserve">powder for inhalation </w:t>
      </w:r>
      <w:r w:rsidRPr="0031036B">
        <w:rPr>
          <w:rFonts w:cs="Times New Roman"/>
        </w:rPr>
        <w:t>18 microgram</w:t>
      </w:r>
      <w:r>
        <w:rPr>
          <w:rFonts w:cs="Times New Roman"/>
        </w:rPr>
        <w:t>s</w:t>
      </w:r>
      <w:r w:rsidRPr="0031036B">
        <w:rPr>
          <w:rFonts w:cs="Times New Roman"/>
        </w:rPr>
        <w:t xml:space="preserve"> (5,711 patients receiving tiotropium 2.5 microgram</w:t>
      </w:r>
      <w:r>
        <w:rPr>
          <w:rFonts w:cs="Times New Roman"/>
        </w:rPr>
        <w:t>s</w:t>
      </w:r>
      <w:r w:rsidRPr="0031036B">
        <w:rPr>
          <w:rFonts w:cs="Times New Roman"/>
        </w:rPr>
        <w:t xml:space="preserve"> (2 puffs comprise one medicinal dose of 5 micrograms); 5,694 patients receiving tiotropium 18 microgram</w:t>
      </w:r>
      <w:r>
        <w:rPr>
          <w:rFonts w:cs="Times New Roman"/>
        </w:rPr>
        <w:t>s</w:t>
      </w:r>
      <w:r w:rsidRPr="0031036B">
        <w:rPr>
          <w:rFonts w:cs="Times New Roman"/>
        </w:rPr>
        <w:t>). The primary endpoints were time to first COPD exacerbation, time to all-cause mortality and in a sub-study (906 patients) trough FEV</w:t>
      </w:r>
      <w:r w:rsidRPr="0031036B">
        <w:rPr>
          <w:rFonts w:cs="Times New Roman"/>
          <w:vertAlign w:val="subscript"/>
        </w:rPr>
        <w:t>1</w:t>
      </w:r>
      <w:r w:rsidRPr="0031036B">
        <w:rPr>
          <w:rFonts w:cs="Times New Roman"/>
        </w:rPr>
        <w:t xml:space="preserve"> (pre-dose).</w:t>
      </w:r>
    </w:p>
    <w:p w14:paraId="66F369B0" w14:textId="77777777" w:rsidR="002745A7" w:rsidRPr="0031036B" w:rsidRDefault="002745A7" w:rsidP="002745A7">
      <w:pPr>
        <w:pStyle w:val="BodyText"/>
        <w:spacing w:after="240" w:line="259" w:lineRule="auto"/>
        <w:rPr>
          <w:rFonts w:cs="Times New Roman"/>
        </w:rPr>
      </w:pPr>
      <w:r w:rsidRPr="0021088A">
        <w:rPr>
          <w:rFonts w:cs="Times New Roman"/>
        </w:rPr>
        <w:t xml:space="preserve">The time to first COPD exacerbation was similar during the study with </w:t>
      </w:r>
      <w:r>
        <w:rPr>
          <w:rFonts w:cs="Times New Roman"/>
        </w:rPr>
        <w:t>tiotropium inhalation spray 2.5 microgram</w:t>
      </w:r>
      <w:r w:rsidRPr="0031036B">
        <w:rPr>
          <w:rFonts w:cs="Times New Roman"/>
        </w:rPr>
        <w:t xml:space="preserve"> and </w:t>
      </w:r>
      <w:r>
        <w:rPr>
          <w:rFonts w:cs="Times New Roman"/>
        </w:rPr>
        <w:t>tiotropium powder for inhalation 18 micrograms</w:t>
      </w:r>
      <w:r w:rsidRPr="0031036B">
        <w:rPr>
          <w:rFonts w:cs="Times New Roman"/>
        </w:rPr>
        <w:t xml:space="preserve"> (hazard ratio (</w:t>
      </w:r>
      <w:r>
        <w:rPr>
          <w:rFonts w:cs="Times New Roman"/>
        </w:rPr>
        <w:t>tiotropium 2.5 micrograms</w:t>
      </w:r>
      <w:r w:rsidRPr="0031036B">
        <w:rPr>
          <w:rFonts w:cs="Times New Roman"/>
        </w:rPr>
        <w:t>/</w:t>
      </w:r>
      <w:r>
        <w:rPr>
          <w:rFonts w:cs="Times New Roman"/>
        </w:rPr>
        <w:t>tiotropium 18 micrograms</w:t>
      </w:r>
      <w:r w:rsidRPr="0031036B">
        <w:rPr>
          <w:rFonts w:cs="Times New Roman"/>
        </w:rPr>
        <w:t xml:space="preserve">) 0.98 with a 95% CI of 0.93 to 1.03). The median number of days to the first COPD exacerbation was 756 days for </w:t>
      </w:r>
      <w:r>
        <w:rPr>
          <w:rFonts w:cs="Times New Roman"/>
        </w:rPr>
        <w:t>tiotropium 2.5 micrograms</w:t>
      </w:r>
      <w:r w:rsidRPr="0031036B">
        <w:rPr>
          <w:rFonts w:cs="Times New Roman"/>
        </w:rPr>
        <w:t xml:space="preserve"> and 719 days for </w:t>
      </w:r>
      <w:r>
        <w:rPr>
          <w:rFonts w:cs="Times New Roman"/>
        </w:rPr>
        <w:t>tiotropium 18 microgram</w:t>
      </w:r>
      <w:r w:rsidRPr="0031036B">
        <w:rPr>
          <w:rFonts w:cs="Times New Roman"/>
        </w:rPr>
        <w:t>.</w:t>
      </w:r>
    </w:p>
    <w:p w14:paraId="232A64D9" w14:textId="77777777" w:rsidR="002745A7" w:rsidRPr="0031036B" w:rsidRDefault="002745A7" w:rsidP="002745A7">
      <w:pPr>
        <w:pStyle w:val="BodyText"/>
        <w:spacing w:after="240" w:line="259" w:lineRule="auto"/>
        <w:rPr>
          <w:rFonts w:cs="Times New Roman"/>
        </w:rPr>
      </w:pPr>
      <w:r w:rsidRPr="0031036B">
        <w:rPr>
          <w:rFonts w:cs="Times New Roman"/>
        </w:rPr>
        <w:t xml:space="preserve">The bronchodilator effect of </w:t>
      </w:r>
      <w:r>
        <w:rPr>
          <w:rFonts w:cs="Times New Roman"/>
        </w:rPr>
        <w:t>tiotropium 2.5 micrograms</w:t>
      </w:r>
      <w:r w:rsidRPr="0031036B">
        <w:rPr>
          <w:rFonts w:cs="Times New Roman"/>
        </w:rPr>
        <w:t xml:space="preserve"> was sustained over 120 weeks, and was similar to </w:t>
      </w:r>
      <w:r>
        <w:rPr>
          <w:rFonts w:cs="Times New Roman"/>
        </w:rPr>
        <w:t>tiotropium 18 micrograms</w:t>
      </w:r>
      <w:r w:rsidRPr="0031036B">
        <w:rPr>
          <w:rFonts w:cs="Times New Roman"/>
        </w:rPr>
        <w:t>. The mean difference in trough FEV</w:t>
      </w:r>
      <w:r w:rsidRPr="0031036B">
        <w:rPr>
          <w:rFonts w:cs="Times New Roman"/>
          <w:vertAlign w:val="subscript"/>
        </w:rPr>
        <w:t>1</w:t>
      </w:r>
      <w:r w:rsidRPr="0031036B">
        <w:rPr>
          <w:rFonts w:cs="Times New Roman"/>
        </w:rPr>
        <w:t xml:space="preserve"> for </w:t>
      </w:r>
      <w:r>
        <w:rPr>
          <w:rFonts w:cs="Times New Roman"/>
        </w:rPr>
        <w:t>tiotropium 2.5 micrograms</w:t>
      </w:r>
      <w:r w:rsidRPr="0031036B">
        <w:rPr>
          <w:rFonts w:cs="Times New Roman"/>
        </w:rPr>
        <w:t xml:space="preserve"> versus </w:t>
      </w:r>
      <w:r>
        <w:rPr>
          <w:rFonts w:cs="Times New Roman"/>
        </w:rPr>
        <w:t>tiotropium18 micrograms</w:t>
      </w:r>
      <w:r w:rsidRPr="0031036B">
        <w:rPr>
          <w:rFonts w:cs="Times New Roman"/>
        </w:rPr>
        <w:t xml:space="preserve"> was -0.010 L (95% CI -0.038 to 0.018 L).</w:t>
      </w:r>
    </w:p>
    <w:p w14:paraId="37D26344" w14:textId="7F5BCB35" w:rsidR="00A57103" w:rsidRPr="008253C7" w:rsidRDefault="002745A7" w:rsidP="008253C7">
      <w:pPr>
        <w:pStyle w:val="BodyText"/>
        <w:spacing w:after="240" w:line="259" w:lineRule="auto"/>
        <w:rPr>
          <w:rFonts w:cs="Times New Roman"/>
        </w:rPr>
      </w:pPr>
      <w:r w:rsidRPr="0031036B">
        <w:rPr>
          <w:rFonts w:cs="Times New Roman"/>
        </w:rPr>
        <w:t xml:space="preserve">All-cause mortality was similar during the study with </w:t>
      </w:r>
      <w:r>
        <w:rPr>
          <w:rFonts w:cs="Times New Roman"/>
        </w:rPr>
        <w:t>tiotropium 2.5 micrograms</w:t>
      </w:r>
      <w:r w:rsidRPr="0031036B">
        <w:rPr>
          <w:rFonts w:cs="Times New Roman"/>
        </w:rPr>
        <w:t xml:space="preserve"> and </w:t>
      </w:r>
      <w:r>
        <w:rPr>
          <w:rFonts w:cs="Times New Roman"/>
        </w:rPr>
        <w:t>tiotropium 18 micrograms</w:t>
      </w:r>
      <w:r w:rsidRPr="0031036B">
        <w:rPr>
          <w:rFonts w:cs="Times New Roman"/>
        </w:rPr>
        <w:t xml:space="preserve"> (hazard ratio (</w:t>
      </w:r>
      <w:r>
        <w:rPr>
          <w:rFonts w:cs="Times New Roman"/>
        </w:rPr>
        <w:t>tiotropium 2.5 micrograms</w:t>
      </w:r>
      <w:r w:rsidRPr="0031036B">
        <w:rPr>
          <w:rFonts w:cs="Times New Roman"/>
        </w:rPr>
        <w:t xml:space="preserve"> / </w:t>
      </w:r>
      <w:r>
        <w:rPr>
          <w:rFonts w:cs="Times New Roman"/>
        </w:rPr>
        <w:t>tiotropium 18 micrograms</w:t>
      </w:r>
      <w:r w:rsidRPr="0031036B">
        <w:rPr>
          <w:rFonts w:cs="Times New Roman"/>
        </w:rPr>
        <w:t>) 0.96 with a 95% CI of</w:t>
      </w:r>
      <w:r w:rsidRPr="00617BDC">
        <w:rPr>
          <w:rFonts w:cs="Times New Roman"/>
        </w:rPr>
        <w:t xml:space="preserve"> 0.84 to 1.09).</w:t>
      </w:r>
    </w:p>
    <w:p w14:paraId="1D36EDEA" w14:textId="77777777" w:rsidR="001A3992" w:rsidRDefault="001A3992" w:rsidP="001A3992">
      <w:pPr>
        <w:pStyle w:val="Heading2"/>
        <w:keepNext/>
        <w:spacing w:before="0" w:after="120"/>
        <w:rPr>
          <w:rFonts w:cstheme="minorHAnsi"/>
          <w:lang w:val="en-US"/>
        </w:rPr>
      </w:pPr>
      <w:r w:rsidRPr="00497C85">
        <w:rPr>
          <w:rFonts w:cstheme="minorHAnsi"/>
          <w:lang w:val="en-US"/>
        </w:rPr>
        <w:lastRenderedPageBreak/>
        <w:t xml:space="preserve">Pharmacokinetic properties </w:t>
      </w:r>
    </w:p>
    <w:p w14:paraId="5F51E50D" w14:textId="77777777" w:rsidR="0085579C" w:rsidRPr="0085579C" w:rsidRDefault="0085579C" w:rsidP="0085579C">
      <w:pPr>
        <w:pStyle w:val="BodyText"/>
      </w:pPr>
      <w:r w:rsidRPr="0085579C">
        <w:t>Tiotropium is a non-chiral quaternary ammonium compound and is sparingly soluble in water. Tiotropium is administered by dry powder inhalation. Generally with the inhaled route of administration, the majority of the delivered dose is swallowed and deposited in the gastrointestinal tract, and to a lesser extent is delivered to the lungs.</w:t>
      </w:r>
    </w:p>
    <w:p w14:paraId="63CD02A8" w14:textId="77777777" w:rsidR="001A3992" w:rsidRDefault="001A3992" w:rsidP="001A3992">
      <w:pPr>
        <w:pStyle w:val="Heading3"/>
        <w:spacing w:before="0" w:after="120"/>
        <w:rPr>
          <w:rFonts w:cstheme="minorHAnsi"/>
        </w:rPr>
      </w:pPr>
      <w:r w:rsidRPr="00497C85">
        <w:rPr>
          <w:rFonts w:cstheme="minorHAnsi"/>
        </w:rPr>
        <w:t>Absorption</w:t>
      </w:r>
    </w:p>
    <w:p w14:paraId="4AEBC631" w14:textId="77777777" w:rsidR="0085579C" w:rsidRPr="0085579C" w:rsidRDefault="0085579C" w:rsidP="0085579C">
      <w:pPr>
        <w:pStyle w:val="BodyText"/>
      </w:pPr>
      <w:r w:rsidRPr="0001687C">
        <w:rPr>
          <w:rFonts w:cs="Times New Roman"/>
        </w:rPr>
        <w:t xml:space="preserve">Following inhalation in young healthy volunteers, the absolute bioavailability of 19.5% suggests that the proportion reaching the lung is highly bioavailable. The bioavailability is the apparent bioavailability, which is dependent upon the amount of tiotropium that is effectively inhaled. It is expected from the chemical structure of the compound that tiotropium is poorly absorbed from the gastro-intestinal tract. This was confirmed in a study in young healthy volunteers, with a low bioavailability of 2-3% for oral solutions. Food is not expected to influence the absorption of tiotropium for the same reason. Maximum tiotropium plasma concentrations were observed 5 - 7 minutes after inhalation. At steady state, peak tiotropium plasma concentrations in patients with COPD were </w:t>
      </w:r>
      <w:proofErr w:type="gramStart"/>
      <w:r w:rsidRPr="0001687C">
        <w:rPr>
          <w:rFonts w:cs="Times New Roman"/>
        </w:rPr>
        <w:t xml:space="preserve">12.9 </w:t>
      </w:r>
      <w:proofErr w:type="spellStart"/>
      <w:r w:rsidRPr="0001687C">
        <w:rPr>
          <w:rFonts w:cs="Times New Roman"/>
        </w:rPr>
        <w:t>pg</w:t>
      </w:r>
      <w:proofErr w:type="spellEnd"/>
      <w:r w:rsidRPr="0001687C">
        <w:rPr>
          <w:rFonts w:cs="Times New Roman"/>
        </w:rPr>
        <w:t>/mL</w:t>
      </w:r>
      <w:proofErr w:type="gramEnd"/>
      <w:r w:rsidRPr="0001687C">
        <w:rPr>
          <w:rFonts w:cs="Times New Roman"/>
        </w:rPr>
        <w:t xml:space="preserve"> and decreased rapidly in a multi-compartmental manner. Steady state trough plasma concentrations were </w:t>
      </w:r>
      <w:proofErr w:type="gramStart"/>
      <w:r w:rsidRPr="0001687C">
        <w:rPr>
          <w:rFonts w:cs="Times New Roman"/>
        </w:rPr>
        <w:t xml:space="preserve">1.71 </w:t>
      </w:r>
      <w:proofErr w:type="spellStart"/>
      <w:r w:rsidRPr="0001687C">
        <w:rPr>
          <w:rFonts w:cs="Times New Roman"/>
        </w:rPr>
        <w:t>pg</w:t>
      </w:r>
      <w:proofErr w:type="spellEnd"/>
      <w:r w:rsidRPr="0001687C">
        <w:rPr>
          <w:rFonts w:cs="Times New Roman"/>
        </w:rPr>
        <w:t>/</w:t>
      </w:r>
      <w:proofErr w:type="spellStart"/>
      <w:r w:rsidRPr="0001687C">
        <w:rPr>
          <w:rFonts w:cs="Times New Roman"/>
        </w:rPr>
        <w:t>mL</w:t>
      </w:r>
      <w:proofErr w:type="gramEnd"/>
      <w:r w:rsidRPr="0001687C">
        <w:rPr>
          <w:rFonts w:cs="Times New Roman"/>
        </w:rPr>
        <w:t>.</w:t>
      </w:r>
      <w:proofErr w:type="spellEnd"/>
    </w:p>
    <w:p w14:paraId="521F1380" w14:textId="77777777" w:rsidR="001A3992" w:rsidRDefault="001A3992" w:rsidP="001A3992">
      <w:pPr>
        <w:pStyle w:val="Heading3"/>
        <w:spacing w:before="0" w:after="120"/>
        <w:rPr>
          <w:rFonts w:cstheme="minorHAnsi"/>
        </w:rPr>
      </w:pPr>
      <w:r w:rsidRPr="00497C85">
        <w:rPr>
          <w:rFonts w:cstheme="minorHAnsi"/>
        </w:rPr>
        <w:t>Distribution</w:t>
      </w:r>
    </w:p>
    <w:p w14:paraId="0D3BFD34" w14:textId="77777777" w:rsidR="0085579C" w:rsidRPr="0085579C" w:rsidRDefault="0085579C" w:rsidP="0085579C">
      <w:pPr>
        <w:pStyle w:val="BodyText"/>
      </w:pPr>
      <w:r w:rsidRPr="0085579C">
        <w:t>Studies in rats have shown that tiotropium does not penetrate the blood-brain barrier to any relevant extent. Tiotropium has a plasma protein binding of 72% and shows a volume of distribution of 32 L/kg.</w:t>
      </w:r>
    </w:p>
    <w:p w14:paraId="516D765A" w14:textId="77777777" w:rsidR="001A3992" w:rsidRDefault="001A3992" w:rsidP="001A3992">
      <w:pPr>
        <w:pStyle w:val="Heading3"/>
        <w:spacing w:before="0" w:after="120"/>
        <w:rPr>
          <w:rFonts w:cstheme="minorHAnsi"/>
        </w:rPr>
      </w:pPr>
      <w:r w:rsidRPr="00497C85">
        <w:rPr>
          <w:rFonts w:cstheme="minorHAnsi"/>
        </w:rPr>
        <w:t>Metabolism</w:t>
      </w:r>
    </w:p>
    <w:p w14:paraId="6F6238F4" w14:textId="77777777" w:rsidR="0085579C" w:rsidRDefault="0085579C" w:rsidP="0085579C">
      <w:pPr>
        <w:pStyle w:val="BodyText"/>
      </w:pPr>
      <w:r>
        <w:t>Metabolism does not occur to any great extent in young healthy volunteers, as indicated by 74% renal excretion of unchanged drug after an intravenous dose. The major metabolic pathway is non-enzymatic ester cleavage to the alcohol N-</w:t>
      </w:r>
      <w:proofErr w:type="spellStart"/>
      <w:r>
        <w:t>methylscopine</w:t>
      </w:r>
      <w:proofErr w:type="spellEnd"/>
      <w:r>
        <w:t xml:space="preserve"> and </w:t>
      </w:r>
      <w:proofErr w:type="spellStart"/>
      <w:r>
        <w:t>dithienylglycolic</w:t>
      </w:r>
      <w:proofErr w:type="spellEnd"/>
      <w:r>
        <w:t xml:space="preserve"> acid that are inactive on muscarinic receptors.</w:t>
      </w:r>
    </w:p>
    <w:p w14:paraId="262FD5D0" w14:textId="77777777" w:rsidR="0085579C" w:rsidRDefault="0085579C" w:rsidP="0085579C">
      <w:pPr>
        <w:pStyle w:val="BodyText"/>
      </w:pPr>
      <w:r>
        <w:t xml:space="preserve">In vitro metabolism: In studies in animals and in vitro experiments with human liver </w:t>
      </w:r>
      <w:proofErr w:type="spellStart"/>
      <w:r>
        <w:t>microsomes</w:t>
      </w:r>
      <w:proofErr w:type="spellEnd"/>
      <w:r>
        <w:t xml:space="preserve"> and hepatocytes, minor amounts of a variety of glutathione conjugates, after oxidation of the </w:t>
      </w:r>
      <w:proofErr w:type="spellStart"/>
      <w:r>
        <w:t>thiophene</w:t>
      </w:r>
      <w:proofErr w:type="spellEnd"/>
      <w:r>
        <w:t xml:space="preserve"> rings, were observed. In vitro studies in human liver </w:t>
      </w:r>
      <w:proofErr w:type="spellStart"/>
      <w:r>
        <w:t>microsomes</w:t>
      </w:r>
      <w:proofErr w:type="spellEnd"/>
      <w:r>
        <w:t xml:space="preserve"> revealed that the enzymatic pathway, relevant for only a small amount of tiotropium metabolism, can be inhibited by cytochrome P450 (CYP) 2D6 inhibitor quinidine and CYP 3A4 inhibitors ketoconazole and </w:t>
      </w:r>
      <w:proofErr w:type="spellStart"/>
      <w:r>
        <w:t>gestodene</w:t>
      </w:r>
      <w:proofErr w:type="spellEnd"/>
      <w:r>
        <w:t>.</w:t>
      </w:r>
    </w:p>
    <w:p w14:paraId="142A5911" w14:textId="77777777" w:rsidR="0085579C" w:rsidRPr="0085579C" w:rsidRDefault="0085579C" w:rsidP="0085579C">
      <w:pPr>
        <w:pStyle w:val="BodyText"/>
      </w:pPr>
      <w:r>
        <w:t xml:space="preserve">Tiotropium, even in supra-therapeutic concentrations, does not inhibit CYP 1A1, 1A2, 2B6, 2C9, 2C19, 2D6, 2E1 or 3A in human liver </w:t>
      </w:r>
      <w:proofErr w:type="spellStart"/>
      <w:r>
        <w:t>microsomes</w:t>
      </w:r>
      <w:proofErr w:type="spellEnd"/>
      <w:r>
        <w:t>.</w:t>
      </w:r>
    </w:p>
    <w:p w14:paraId="37A7A61C" w14:textId="77777777" w:rsidR="001A3992" w:rsidRDefault="001A3992" w:rsidP="001A3992">
      <w:pPr>
        <w:pStyle w:val="Heading3"/>
        <w:spacing w:before="0" w:after="120"/>
        <w:rPr>
          <w:rFonts w:cstheme="minorHAnsi"/>
        </w:rPr>
      </w:pPr>
      <w:r w:rsidRPr="00497C85">
        <w:rPr>
          <w:rFonts w:cstheme="minorHAnsi"/>
        </w:rPr>
        <w:t>Excretion</w:t>
      </w:r>
    </w:p>
    <w:p w14:paraId="359C5E35" w14:textId="77777777" w:rsidR="0085579C" w:rsidRPr="0001687C" w:rsidRDefault="0085579C" w:rsidP="0085579C">
      <w:pPr>
        <w:pStyle w:val="BodyText"/>
        <w:spacing w:after="240" w:line="259" w:lineRule="auto"/>
        <w:rPr>
          <w:rFonts w:cs="Times New Roman"/>
        </w:rPr>
      </w:pPr>
      <w:r w:rsidRPr="0001687C">
        <w:rPr>
          <w:rFonts w:cs="Times New Roman"/>
        </w:rPr>
        <w:t xml:space="preserve">The effective half-life of tiotropium ranges between 27 to 45 h following inhalation by patients with COPD. Total clearance was 880 mL/min after an intravenous dose in young healthy volunteers. Urinary excretion of unchanged substance in young healthy volunteers is 74% of an intravenous dose. Following inhalation of tiotropium by patients with COPD to steady state, urinary excretion is 7% (1.3 </w:t>
      </w:r>
      <w:r>
        <w:rPr>
          <w:rFonts w:cs="Times New Roman"/>
        </w:rPr>
        <w:t>microgram</w:t>
      </w:r>
      <w:r w:rsidRPr="0001687C">
        <w:rPr>
          <w:rFonts w:cs="Times New Roman"/>
        </w:rPr>
        <w:t xml:space="preserve">) of the unchanged dose over 24 hours, </w:t>
      </w:r>
      <w:r w:rsidRPr="0001687C">
        <w:rPr>
          <w:rFonts w:cs="Times New Roman"/>
        </w:rPr>
        <w:lastRenderedPageBreak/>
        <w:t xml:space="preserve">the remainder being mainly non-absorbed drug in the gut that is eliminated via the </w:t>
      </w:r>
      <w:proofErr w:type="spellStart"/>
      <w:r w:rsidRPr="0001687C">
        <w:rPr>
          <w:rFonts w:cs="Times New Roman"/>
        </w:rPr>
        <w:t>faeces</w:t>
      </w:r>
      <w:proofErr w:type="spellEnd"/>
      <w:r w:rsidRPr="0001687C">
        <w:rPr>
          <w:rFonts w:cs="Times New Roman"/>
        </w:rPr>
        <w:t>. The renal clearance of tiotropium exceeds the creatinine clearance, indicating secretion into the</w:t>
      </w:r>
      <w:r>
        <w:rPr>
          <w:rFonts w:cs="Times New Roman"/>
        </w:rPr>
        <w:t xml:space="preserve"> </w:t>
      </w:r>
      <w:r w:rsidRPr="0001687C">
        <w:rPr>
          <w:rFonts w:cs="Times New Roman"/>
        </w:rPr>
        <w:t>urine. After chronic, once daily inhalation by patients with COPD, pharmacokinetic steady state was reached by day 7, with no accumulation thereafter.</w:t>
      </w:r>
    </w:p>
    <w:p w14:paraId="4AD6EF85" w14:textId="77777777" w:rsidR="0085579C" w:rsidRDefault="0085579C" w:rsidP="0085579C">
      <w:pPr>
        <w:pStyle w:val="BodyText"/>
        <w:rPr>
          <w:rFonts w:cs="Times New Roman"/>
        </w:rPr>
      </w:pPr>
      <w:r w:rsidRPr="0001687C">
        <w:rPr>
          <w:rFonts w:cs="Times New Roman"/>
        </w:rPr>
        <w:t>Tiotropium demonstrates linear pharmacokinetics in the therapeutic range independent of the formulation.</w:t>
      </w:r>
    </w:p>
    <w:p w14:paraId="32AF9A1C" w14:textId="77777777" w:rsidR="00942DFC" w:rsidRPr="0001687C" w:rsidRDefault="00942DFC" w:rsidP="00942DFC">
      <w:pPr>
        <w:pStyle w:val="BodyText"/>
        <w:spacing w:after="240" w:line="259" w:lineRule="auto"/>
        <w:rPr>
          <w:rFonts w:cs="Times New Roman"/>
          <w:u w:val="single"/>
        </w:rPr>
      </w:pPr>
      <w:r w:rsidRPr="0001687C">
        <w:rPr>
          <w:rFonts w:cs="Times New Roman"/>
          <w:u w:val="single"/>
        </w:rPr>
        <w:t>Special populations:</w:t>
      </w:r>
    </w:p>
    <w:p w14:paraId="15B7E104" w14:textId="77777777" w:rsidR="00942DFC" w:rsidRPr="0001687C" w:rsidRDefault="00942DFC" w:rsidP="00942DFC">
      <w:pPr>
        <w:pStyle w:val="BodyText"/>
        <w:spacing w:after="240" w:line="259" w:lineRule="auto"/>
        <w:rPr>
          <w:rFonts w:cs="Times New Roman"/>
        </w:rPr>
      </w:pPr>
      <w:r w:rsidRPr="0001687C">
        <w:rPr>
          <w:rFonts w:cs="Times New Roman"/>
          <w:u w:val="single"/>
        </w:rPr>
        <w:t>Elderly Patients:</w:t>
      </w:r>
    </w:p>
    <w:p w14:paraId="4A401CCF" w14:textId="77777777" w:rsidR="00942DFC" w:rsidRDefault="00942DFC" w:rsidP="00942DFC">
      <w:pPr>
        <w:pStyle w:val="BodyText"/>
        <w:spacing w:after="240" w:line="259" w:lineRule="auto"/>
        <w:rPr>
          <w:rFonts w:cs="Times New Roman"/>
        </w:rPr>
      </w:pPr>
      <w:r w:rsidRPr="0001687C">
        <w:rPr>
          <w:rFonts w:cs="Times New Roman"/>
        </w:rPr>
        <w:t xml:space="preserve">As expected for all predominantly </w:t>
      </w:r>
      <w:proofErr w:type="spellStart"/>
      <w:r w:rsidRPr="0001687C">
        <w:rPr>
          <w:rFonts w:cs="Times New Roman"/>
        </w:rPr>
        <w:t>renally</w:t>
      </w:r>
      <w:proofErr w:type="spellEnd"/>
      <w:r w:rsidRPr="0001687C">
        <w:rPr>
          <w:rFonts w:cs="Times New Roman"/>
        </w:rPr>
        <w:t xml:space="preserve"> excreted drugs, advancing age was associated with a decrease of tiotropium renal clearance (365 mL/min in patients with COPD &lt; 65 years to 271 mL/min in patients with COPD &gt; 65 years) This did not result in a corresponding increase in AUC</w:t>
      </w:r>
      <w:r w:rsidRPr="00E61EE2">
        <w:rPr>
          <w:rFonts w:cs="Times New Roman"/>
          <w:vertAlign w:val="subscript"/>
        </w:rPr>
        <w:t>0-6,ss</w:t>
      </w:r>
      <w:r w:rsidRPr="0001687C">
        <w:rPr>
          <w:rFonts w:cs="Times New Roman"/>
        </w:rPr>
        <w:t xml:space="preserve"> or </w:t>
      </w:r>
      <w:proofErr w:type="spellStart"/>
      <w:r w:rsidRPr="0001687C">
        <w:rPr>
          <w:rFonts w:cs="Times New Roman"/>
        </w:rPr>
        <w:t>C</w:t>
      </w:r>
      <w:r w:rsidRPr="00E61EE2">
        <w:rPr>
          <w:rFonts w:cs="Times New Roman"/>
          <w:vertAlign w:val="subscript"/>
        </w:rPr>
        <w:t>max,ss</w:t>
      </w:r>
      <w:proofErr w:type="spellEnd"/>
      <w:r w:rsidRPr="0001687C">
        <w:rPr>
          <w:rFonts w:cs="Times New Roman"/>
        </w:rPr>
        <w:t xml:space="preserve"> values.</w:t>
      </w:r>
    </w:p>
    <w:p w14:paraId="189E208C" w14:textId="77777777" w:rsidR="00942DFC" w:rsidRPr="0001687C" w:rsidRDefault="00942DFC" w:rsidP="00942DFC">
      <w:pPr>
        <w:pStyle w:val="BodyText"/>
        <w:spacing w:after="240" w:line="259" w:lineRule="auto"/>
        <w:rPr>
          <w:rFonts w:cs="Times New Roman"/>
          <w:u w:val="single"/>
        </w:rPr>
      </w:pPr>
      <w:proofErr w:type="spellStart"/>
      <w:r w:rsidRPr="0001687C">
        <w:rPr>
          <w:rFonts w:cs="Times New Roman"/>
          <w:u w:val="single"/>
        </w:rPr>
        <w:t>Renally</w:t>
      </w:r>
      <w:proofErr w:type="spellEnd"/>
      <w:r w:rsidRPr="0001687C">
        <w:rPr>
          <w:rFonts w:cs="Times New Roman"/>
          <w:u w:val="single"/>
        </w:rPr>
        <w:t xml:space="preserve"> Impaired Patients:</w:t>
      </w:r>
    </w:p>
    <w:p w14:paraId="05534B31" w14:textId="77777777" w:rsidR="00942DFC" w:rsidRPr="0001687C" w:rsidRDefault="00942DFC" w:rsidP="00942DFC">
      <w:pPr>
        <w:pStyle w:val="BodyText"/>
        <w:spacing w:after="240" w:line="259" w:lineRule="auto"/>
        <w:rPr>
          <w:rFonts w:cs="Times New Roman"/>
        </w:rPr>
      </w:pPr>
      <w:r w:rsidRPr="0001687C">
        <w:rPr>
          <w:rFonts w:cs="Times New Roman"/>
        </w:rPr>
        <w:t>Following once daily inhaled administrations of tiotropium to steady-state in patients with COPD with mild renal impairment (CL</w:t>
      </w:r>
      <w:r w:rsidRPr="006E19AB">
        <w:rPr>
          <w:rFonts w:cs="Times New Roman"/>
          <w:vertAlign w:val="subscript"/>
        </w:rPr>
        <w:t>CR</w:t>
      </w:r>
      <w:r w:rsidRPr="0001687C">
        <w:rPr>
          <w:rFonts w:cs="Times New Roman"/>
        </w:rPr>
        <w:t xml:space="preserve"> 50-80 mL/min) resulted in slightly higher AUC</w:t>
      </w:r>
      <w:r w:rsidRPr="006E19AB">
        <w:rPr>
          <w:rFonts w:cs="Times New Roman"/>
          <w:vertAlign w:val="subscript"/>
        </w:rPr>
        <w:t>0-6</w:t>
      </w:r>
      <w:proofErr w:type="gramStart"/>
      <w:r w:rsidRPr="006E19AB">
        <w:rPr>
          <w:rFonts w:cs="Times New Roman"/>
          <w:vertAlign w:val="subscript"/>
        </w:rPr>
        <w:t>,ss</w:t>
      </w:r>
      <w:proofErr w:type="gramEnd"/>
      <w:r w:rsidRPr="0001687C">
        <w:rPr>
          <w:rFonts w:cs="Times New Roman"/>
        </w:rPr>
        <w:t xml:space="preserve"> (between 1.8 – 30% higher) and similar </w:t>
      </w:r>
      <w:proofErr w:type="spellStart"/>
      <w:r w:rsidRPr="0001687C">
        <w:rPr>
          <w:rFonts w:cs="Times New Roman"/>
        </w:rPr>
        <w:t>C</w:t>
      </w:r>
      <w:r w:rsidRPr="006E19AB">
        <w:rPr>
          <w:rFonts w:cs="Times New Roman"/>
          <w:vertAlign w:val="subscript"/>
        </w:rPr>
        <w:t>max,ss</w:t>
      </w:r>
      <w:proofErr w:type="spellEnd"/>
      <w:r w:rsidRPr="0001687C">
        <w:rPr>
          <w:rFonts w:cs="Times New Roman"/>
        </w:rPr>
        <w:t xml:space="preserve"> values compared to patients with COPD with normal renal function (CL</w:t>
      </w:r>
      <w:r w:rsidRPr="006E19AB">
        <w:rPr>
          <w:rFonts w:cs="Times New Roman"/>
          <w:vertAlign w:val="subscript"/>
        </w:rPr>
        <w:t>CR</w:t>
      </w:r>
      <w:r w:rsidRPr="0001687C">
        <w:rPr>
          <w:rFonts w:cs="Times New Roman"/>
        </w:rPr>
        <w:t xml:space="preserve"> &gt;80 mL/min). In patients with COPD with moderate to severe renal impairment (CL</w:t>
      </w:r>
      <w:r w:rsidRPr="006E19AB">
        <w:rPr>
          <w:rFonts w:cs="Times New Roman"/>
          <w:vertAlign w:val="subscript"/>
        </w:rPr>
        <w:t>CR</w:t>
      </w:r>
      <w:r w:rsidRPr="0001687C">
        <w:rPr>
          <w:rFonts w:cs="Times New Roman"/>
        </w:rPr>
        <w:t xml:space="preserve"> &lt;50 mL/min), the intravenous administration of tiotropium resulted in a doubling of the plasma concentrations (82% increase in AUC</w:t>
      </w:r>
      <w:r w:rsidRPr="00FE5D09">
        <w:rPr>
          <w:rFonts w:cs="Times New Roman"/>
          <w:vertAlign w:val="subscript"/>
        </w:rPr>
        <w:t>0-4h</w:t>
      </w:r>
      <w:r w:rsidRPr="0001687C">
        <w:rPr>
          <w:rFonts w:cs="Times New Roman"/>
        </w:rPr>
        <w:t xml:space="preserve">) and 52% higher </w:t>
      </w:r>
      <w:proofErr w:type="spellStart"/>
      <w:r w:rsidRPr="0001687C">
        <w:rPr>
          <w:rFonts w:cs="Times New Roman"/>
        </w:rPr>
        <w:t>C</w:t>
      </w:r>
      <w:r w:rsidRPr="006E19AB">
        <w:rPr>
          <w:rFonts w:cs="Times New Roman"/>
          <w:vertAlign w:val="subscript"/>
        </w:rPr>
        <w:t>max</w:t>
      </w:r>
      <w:proofErr w:type="spellEnd"/>
      <w:r w:rsidRPr="0001687C">
        <w:rPr>
          <w:rFonts w:cs="Times New Roman"/>
        </w:rPr>
        <w:t xml:space="preserve"> compared to patients with COPD with normal renal function, which was confirmed by plasma concentrations after dry powder inhalation.</w:t>
      </w:r>
    </w:p>
    <w:p w14:paraId="67785058" w14:textId="77777777" w:rsidR="00942DFC" w:rsidRPr="0001687C" w:rsidRDefault="00942DFC" w:rsidP="00942DFC">
      <w:pPr>
        <w:pStyle w:val="BodyText"/>
        <w:spacing w:after="240" w:line="259" w:lineRule="auto"/>
        <w:rPr>
          <w:rFonts w:cs="Times New Roman"/>
          <w:u w:val="single"/>
        </w:rPr>
      </w:pPr>
      <w:proofErr w:type="spellStart"/>
      <w:r w:rsidRPr="0001687C">
        <w:rPr>
          <w:rFonts w:cs="Times New Roman"/>
          <w:u w:val="single"/>
        </w:rPr>
        <w:t>Hepatically</w:t>
      </w:r>
      <w:proofErr w:type="spellEnd"/>
      <w:r w:rsidRPr="0001687C">
        <w:rPr>
          <w:rFonts w:cs="Times New Roman"/>
          <w:u w:val="single"/>
        </w:rPr>
        <w:t xml:space="preserve"> Impaired Patients:</w:t>
      </w:r>
    </w:p>
    <w:p w14:paraId="0DAF2CFE" w14:textId="77777777" w:rsidR="00942DFC" w:rsidRDefault="00942DFC" w:rsidP="00942DFC">
      <w:pPr>
        <w:pStyle w:val="BodyText"/>
        <w:spacing w:after="240" w:line="259" w:lineRule="auto"/>
        <w:rPr>
          <w:rFonts w:cs="Times New Roman"/>
        </w:rPr>
      </w:pPr>
      <w:r w:rsidRPr="0001687C">
        <w:rPr>
          <w:rFonts w:cs="Times New Roman"/>
        </w:rPr>
        <w:t>There are no data on the pharmacokinetics of tiotropium in hepatic impairment. Liver insufficiency is not expected to have any relevant influence on tiotropium pharmacokinetics. Tiotropium is predominantly cleared by renal elimination (74% in young healthy volunteers) and by simple non-enzymatic ester cleavage to products that do not bind to muscarinic receptors.</w:t>
      </w:r>
    </w:p>
    <w:p w14:paraId="145DCAC4" w14:textId="77777777" w:rsidR="00942DFC" w:rsidRPr="00942A1C" w:rsidRDefault="00942DFC" w:rsidP="00942DFC">
      <w:pPr>
        <w:pStyle w:val="BodyText"/>
        <w:spacing w:after="240" w:line="259" w:lineRule="auto"/>
        <w:rPr>
          <w:rFonts w:cs="Times New Roman"/>
          <w:lang w:val="en-AU"/>
        </w:rPr>
      </w:pPr>
      <w:r>
        <w:rPr>
          <w:rFonts w:cs="Times New Roman"/>
          <w:b/>
          <w:bCs/>
          <w:i/>
          <w:iCs/>
          <w:lang w:val="en-AU"/>
        </w:rPr>
        <w:t>BRALTUS</w:t>
      </w:r>
      <w:r w:rsidRPr="00942A1C">
        <w:rPr>
          <w:rFonts w:cs="Times New Roman"/>
          <w:b/>
          <w:bCs/>
          <w:i/>
          <w:iCs/>
          <w:lang w:val="en-AU"/>
        </w:rPr>
        <w:t xml:space="preserve"> pharmacokinetic profile </w:t>
      </w:r>
    </w:p>
    <w:p w14:paraId="6D388769" w14:textId="77777777" w:rsidR="00942DFC" w:rsidRPr="00942DFC" w:rsidRDefault="00942DFC" w:rsidP="00942DFC">
      <w:pPr>
        <w:pStyle w:val="BodyText"/>
      </w:pPr>
      <w:r w:rsidRPr="00942A1C">
        <w:rPr>
          <w:rFonts w:cs="Times New Roman"/>
          <w:lang w:val="en-AU"/>
        </w:rPr>
        <w:t xml:space="preserve">In </w:t>
      </w:r>
      <w:r>
        <w:rPr>
          <w:rFonts w:cs="Times New Roman"/>
          <w:lang w:val="en-AU"/>
        </w:rPr>
        <w:t>a bioequivalence</w:t>
      </w:r>
      <w:r w:rsidRPr="00942A1C">
        <w:rPr>
          <w:rFonts w:cs="Times New Roman"/>
          <w:lang w:val="en-AU"/>
        </w:rPr>
        <w:t xml:space="preserve"> stud</w:t>
      </w:r>
      <w:r>
        <w:rPr>
          <w:rFonts w:cs="Times New Roman"/>
          <w:lang w:val="en-AU"/>
        </w:rPr>
        <w:t>y</w:t>
      </w:r>
      <w:r w:rsidRPr="00942A1C">
        <w:rPr>
          <w:rFonts w:cs="Times New Roman"/>
          <w:lang w:val="en-AU"/>
        </w:rPr>
        <w:t xml:space="preserve">, </w:t>
      </w:r>
      <w:r>
        <w:rPr>
          <w:rFonts w:cs="Times New Roman"/>
          <w:lang w:val="en-AU"/>
        </w:rPr>
        <w:t>BRALTUS (13 micrograms tiotropium)</w:t>
      </w:r>
      <w:r w:rsidRPr="00942A1C">
        <w:rPr>
          <w:rFonts w:cs="Times New Roman"/>
          <w:lang w:val="en-AU"/>
        </w:rPr>
        <w:t xml:space="preserve"> </w:t>
      </w:r>
      <w:r>
        <w:rPr>
          <w:rFonts w:cs="Times New Roman"/>
          <w:lang w:val="en-AU"/>
        </w:rPr>
        <w:t xml:space="preserve">in combination with the ZONDA device </w:t>
      </w:r>
      <w:r w:rsidRPr="00942A1C">
        <w:rPr>
          <w:rFonts w:cs="Times New Roman"/>
          <w:lang w:val="en-AU"/>
        </w:rPr>
        <w:t>was evaluated by comparing it against the innovator inhalation product</w:t>
      </w:r>
      <w:r w:rsidR="002D1401">
        <w:rPr>
          <w:rFonts w:cs="Times New Roman"/>
          <w:lang w:val="en-AU"/>
        </w:rPr>
        <w:t>, SPIRIVA</w:t>
      </w:r>
      <w:r>
        <w:rPr>
          <w:rFonts w:cs="Times New Roman"/>
          <w:lang w:val="en-AU"/>
        </w:rPr>
        <w:t xml:space="preserve"> (18 micrograms tiotropium)</w:t>
      </w:r>
      <w:r w:rsidR="002D1401">
        <w:rPr>
          <w:rFonts w:cs="Times New Roman"/>
          <w:lang w:val="en-AU"/>
        </w:rPr>
        <w:t xml:space="preserve"> in combination with the HANDIHALER device,</w:t>
      </w:r>
      <w:r w:rsidRPr="00942A1C">
        <w:rPr>
          <w:rFonts w:cs="Times New Roman"/>
          <w:lang w:val="en-AU"/>
        </w:rPr>
        <w:t xml:space="preserve"> containing the same </w:t>
      </w:r>
      <w:r>
        <w:rPr>
          <w:rFonts w:cs="Times New Roman"/>
          <w:lang w:val="en-AU"/>
        </w:rPr>
        <w:t xml:space="preserve">delivered dose of the </w:t>
      </w:r>
      <w:r w:rsidRPr="00942A1C">
        <w:rPr>
          <w:rFonts w:cs="Times New Roman"/>
          <w:lang w:val="en-AU"/>
        </w:rPr>
        <w:t xml:space="preserve">active substance. </w:t>
      </w:r>
      <w:r>
        <w:rPr>
          <w:rFonts w:cs="Times New Roman"/>
          <w:lang w:val="en-AU"/>
        </w:rPr>
        <w:t xml:space="preserve"> BRALTUS (13 micrograms tiotropium) was shown to be bioequivalent to </w:t>
      </w:r>
      <w:r w:rsidR="002D1401">
        <w:rPr>
          <w:rFonts w:cs="Times New Roman"/>
          <w:lang w:val="en-AU"/>
        </w:rPr>
        <w:t>SPIRIVA</w:t>
      </w:r>
      <w:r>
        <w:rPr>
          <w:rFonts w:cs="Times New Roman"/>
          <w:lang w:val="en-AU"/>
        </w:rPr>
        <w:t xml:space="preserve"> (18 micrograms tiotropium) in terms of rate and extent of systemic availability.</w:t>
      </w:r>
    </w:p>
    <w:p w14:paraId="2CAFA88E" w14:textId="77777777" w:rsidR="001A3992" w:rsidRDefault="001A3992" w:rsidP="008253C7">
      <w:pPr>
        <w:pStyle w:val="Heading2"/>
        <w:keepNext/>
        <w:spacing w:before="0" w:after="120"/>
        <w:rPr>
          <w:rFonts w:cstheme="minorHAnsi"/>
          <w:lang w:val="en-US"/>
        </w:rPr>
      </w:pPr>
      <w:r w:rsidRPr="00497C85">
        <w:rPr>
          <w:rFonts w:cstheme="minorHAnsi"/>
          <w:lang w:val="en-US"/>
        </w:rPr>
        <w:lastRenderedPageBreak/>
        <w:t>Preclinical safety data</w:t>
      </w:r>
    </w:p>
    <w:p w14:paraId="69E20828" w14:textId="77777777" w:rsidR="001A3992" w:rsidRDefault="001A3992" w:rsidP="001A3992">
      <w:pPr>
        <w:pStyle w:val="Heading3"/>
        <w:spacing w:before="0" w:after="120"/>
        <w:rPr>
          <w:rFonts w:cstheme="minorHAnsi"/>
        </w:rPr>
      </w:pPr>
      <w:r w:rsidRPr="00497C85">
        <w:rPr>
          <w:rFonts w:cstheme="minorHAnsi"/>
        </w:rPr>
        <w:t>Genotoxicity</w:t>
      </w:r>
    </w:p>
    <w:p w14:paraId="1F5FC5B1" w14:textId="77777777" w:rsidR="007F403C" w:rsidRDefault="007F403C" w:rsidP="007F403C">
      <w:pPr>
        <w:pStyle w:val="BodyText"/>
      </w:pPr>
      <w:r>
        <w:t>Tiotropium (as bromide) did not exhibit any genotoxic effects in assays for gene mutation (bacteria and mammalian cells in vitro and in vivo mouse micronucleus test) or DNA damage (rat hepatocytes in vitro).</w:t>
      </w:r>
    </w:p>
    <w:p w14:paraId="382FE501" w14:textId="77777777" w:rsidR="007F403C" w:rsidRPr="007F403C" w:rsidRDefault="007F403C" w:rsidP="007F403C">
      <w:pPr>
        <w:pStyle w:val="BodyText"/>
      </w:pPr>
      <w:r>
        <w:t xml:space="preserve">Consideration should be given to lower initial loading and maintenance doses in patients &gt;65 years and careful monitoring for the development of hypotension when up </w:t>
      </w:r>
      <w:proofErr w:type="gramStart"/>
      <w:r>
        <w:t>titrating</w:t>
      </w:r>
      <w:proofErr w:type="gramEnd"/>
      <w:r>
        <w:t xml:space="preserve"> the maintenance dose (see Section 4.2 Dose and method of administration).</w:t>
      </w:r>
    </w:p>
    <w:p w14:paraId="207118B4" w14:textId="77777777" w:rsidR="001A3992" w:rsidRDefault="001A3992" w:rsidP="007F403C">
      <w:pPr>
        <w:pStyle w:val="Heading3"/>
        <w:rPr>
          <w:lang w:val="en-US"/>
        </w:rPr>
      </w:pPr>
      <w:proofErr w:type="spellStart"/>
      <w:r w:rsidRPr="00497C85">
        <w:t>Carcin</w:t>
      </w:r>
      <w:r w:rsidRPr="00497C85">
        <w:rPr>
          <w:lang w:val="en-US"/>
        </w:rPr>
        <w:t>ogenicity</w:t>
      </w:r>
      <w:proofErr w:type="spellEnd"/>
    </w:p>
    <w:p w14:paraId="2DCD73DA" w14:textId="77777777" w:rsidR="007F403C" w:rsidRPr="007F403C" w:rsidRDefault="007F403C" w:rsidP="007F403C">
      <w:pPr>
        <w:pStyle w:val="BodyText"/>
      </w:pPr>
      <w:r w:rsidRPr="001317B9">
        <w:rPr>
          <w:rFonts w:cs="Times New Roman"/>
        </w:rPr>
        <w:t>Long-term carcinogenicity studies in mice and rats, with tiotropium (as bromide) administered by inhalation, showed no evidence of neoplastic responses. The highest doses studied were approximately 0.8x (male mouse), 38x (female mouse) and 16x (rat) greater than the maximum recommended human daily dose of 22.5</w:t>
      </w:r>
      <w:r>
        <w:rPr>
          <w:rFonts w:cs="Times New Roman"/>
        </w:rPr>
        <w:t xml:space="preserve"> microgram, based on body surface area</w:t>
      </w:r>
      <w:r w:rsidRPr="001317B9">
        <w:rPr>
          <w:rFonts w:cs="Times New Roman"/>
        </w:rPr>
        <w:t>.</w:t>
      </w:r>
    </w:p>
    <w:p w14:paraId="3DE25075" w14:textId="77777777" w:rsidR="001A3992" w:rsidRPr="00497C85" w:rsidRDefault="001A3992" w:rsidP="001A3992">
      <w:pPr>
        <w:pStyle w:val="Heading1"/>
        <w:spacing w:before="0" w:after="120"/>
        <w:rPr>
          <w:rFonts w:cstheme="minorHAnsi"/>
          <w:lang w:val="en-US"/>
        </w:rPr>
      </w:pPr>
      <w:r w:rsidRPr="00497C85">
        <w:rPr>
          <w:rFonts w:cstheme="minorHAnsi"/>
          <w:lang w:val="en-US"/>
        </w:rPr>
        <w:t>Pharmaceutical particulars</w:t>
      </w:r>
    </w:p>
    <w:p w14:paraId="2E355F50" w14:textId="77777777" w:rsidR="001A3992" w:rsidRPr="00F81BEA" w:rsidRDefault="001A3992" w:rsidP="00F81BEA">
      <w:pPr>
        <w:pStyle w:val="Heading2"/>
        <w:rPr>
          <w:rFonts w:cs="Times New Roman"/>
          <w:lang w:val="en-US"/>
        </w:rPr>
      </w:pPr>
      <w:r w:rsidRPr="00F81BEA">
        <w:rPr>
          <w:rFonts w:cs="Times New Roman"/>
          <w:lang w:val="en-US"/>
        </w:rPr>
        <w:t xml:space="preserve">List of excipients </w:t>
      </w:r>
    </w:p>
    <w:p w14:paraId="50964C7D" w14:textId="4B512508" w:rsidR="00F81BEA" w:rsidRPr="00F81BEA" w:rsidRDefault="00F81BEA" w:rsidP="00942DFC">
      <w:pPr>
        <w:pStyle w:val="BodyText"/>
      </w:pPr>
      <w:r>
        <w:t xml:space="preserve">BRALTUS </w:t>
      </w:r>
      <w:r w:rsidR="0050155F">
        <w:t>capsules</w:t>
      </w:r>
      <w:r w:rsidRPr="00494AF5">
        <w:t xml:space="preserve"> </w:t>
      </w:r>
      <w:r w:rsidR="00591558">
        <w:t>contain</w:t>
      </w:r>
      <w:r w:rsidRPr="00494AF5">
        <w:t xml:space="preserve"> lactose monohydrate</w:t>
      </w:r>
      <w:r w:rsidR="002D1401">
        <w:t>. The outer capsule shell is known as a</w:t>
      </w:r>
      <w:r>
        <w:t xml:space="preserve"> </w:t>
      </w:r>
      <w:proofErr w:type="spellStart"/>
      <w:r w:rsidR="005F1D6A">
        <w:t>Vcap</w:t>
      </w:r>
      <w:proofErr w:type="spellEnd"/>
      <w:r w:rsidR="002D1401">
        <w:t xml:space="preserve"> -</w:t>
      </w:r>
      <w:r w:rsidR="005F1D6A">
        <w:t xml:space="preserve"> </w:t>
      </w:r>
      <w:r>
        <w:t>The Vegetarian Alternative empty hard capsules size 3 (Natural/Natural) (Ingredient ID 10127)</w:t>
      </w:r>
      <w:r w:rsidRPr="00494AF5">
        <w:t>.</w:t>
      </w:r>
      <w:r w:rsidR="002D1401">
        <w:t xml:space="preserve"> </w:t>
      </w:r>
    </w:p>
    <w:p w14:paraId="31013BBE" w14:textId="77777777" w:rsidR="001A3992" w:rsidRDefault="001A3992" w:rsidP="00F81BEA">
      <w:pPr>
        <w:pStyle w:val="Heading2"/>
      </w:pPr>
      <w:r w:rsidRPr="00F81BEA">
        <w:t xml:space="preserve">Incompatibilities </w:t>
      </w:r>
    </w:p>
    <w:p w14:paraId="175DA3D2" w14:textId="77777777" w:rsidR="00942DFC" w:rsidRDefault="00942DFC" w:rsidP="00942DFC">
      <w:pPr>
        <w:pStyle w:val="BodyText"/>
      </w:pPr>
      <w:r>
        <w:t xml:space="preserve">See </w:t>
      </w:r>
      <w:r w:rsidRPr="00A57103">
        <w:t>Section 4.5</w:t>
      </w:r>
      <w:r>
        <w:t xml:space="preserve"> </w:t>
      </w:r>
      <w:r w:rsidRPr="00A57103">
        <w:t>Interactions with other medicines and other forms of interactions</w:t>
      </w:r>
      <w:r>
        <w:t>.</w:t>
      </w:r>
    </w:p>
    <w:p w14:paraId="7E6260D0" w14:textId="77777777" w:rsidR="00942DFC" w:rsidRPr="00942DFC" w:rsidRDefault="00942DFC" w:rsidP="00942DFC">
      <w:pPr>
        <w:pStyle w:val="BodyText"/>
      </w:pPr>
    </w:p>
    <w:p w14:paraId="1F290E3D" w14:textId="77777777" w:rsidR="001A3992" w:rsidRDefault="001A3992" w:rsidP="001A3992">
      <w:pPr>
        <w:pStyle w:val="Heading2"/>
        <w:spacing w:before="0" w:after="120"/>
        <w:rPr>
          <w:rFonts w:cstheme="minorHAnsi"/>
          <w:lang w:val="en-US"/>
        </w:rPr>
      </w:pPr>
      <w:r w:rsidRPr="00497C85">
        <w:rPr>
          <w:rFonts w:cstheme="minorHAnsi"/>
          <w:lang w:val="en-US"/>
        </w:rPr>
        <w:t xml:space="preserve">Shelf life </w:t>
      </w:r>
    </w:p>
    <w:p w14:paraId="05140B9C" w14:textId="77777777" w:rsidR="00497C85" w:rsidRDefault="00497C85" w:rsidP="00645C3B">
      <w:pPr>
        <w:pStyle w:val="BodyText"/>
      </w:pPr>
      <w:r w:rsidRPr="00497C85">
        <w:t>In Australia, information on the shelf life can be found on the public summary of the Australian Register of Therapeutic Goods (ARTG). The expiry date</w:t>
      </w:r>
      <w:r w:rsidR="00A57103">
        <w:t xml:space="preserve"> </w:t>
      </w:r>
      <w:r w:rsidR="00645C3B">
        <w:t xml:space="preserve">can be found on the packaging. </w:t>
      </w:r>
    </w:p>
    <w:p w14:paraId="6D0E2427" w14:textId="77777777" w:rsidR="00645C3B" w:rsidRPr="00645C3B" w:rsidRDefault="00645C3B" w:rsidP="00645C3B">
      <w:pPr>
        <w:pStyle w:val="BodyText"/>
        <w:rPr>
          <w:u w:val="single"/>
        </w:rPr>
      </w:pPr>
      <w:r w:rsidRPr="00645C3B">
        <w:rPr>
          <w:u w:val="single"/>
        </w:rPr>
        <w:t>In-use shelf life</w:t>
      </w:r>
    </w:p>
    <w:p w14:paraId="528DED1E" w14:textId="77777777" w:rsidR="00645C3B" w:rsidRPr="00497C85" w:rsidRDefault="00645C3B" w:rsidP="00645C3B">
      <w:pPr>
        <w:pStyle w:val="BodyText"/>
      </w:pPr>
      <w:r>
        <w:t xml:space="preserve">Discard the ZONDA device after 30 uses. Do not reuse the inhaler for another bottle of capsules. There is a ZONDA inhalation device provided with each box of BRALTUS </w:t>
      </w:r>
      <w:r w:rsidR="0050155F">
        <w:t>capsules</w:t>
      </w:r>
      <w:r>
        <w:t>.</w:t>
      </w:r>
    </w:p>
    <w:p w14:paraId="29CE88F8" w14:textId="77777777" w:rsidR="001A3992" w:rsidRDefault="001A3992" w:rsidP="001A3992">
      <w:pPr>
        <w:pStyle w:val="Heading2"/>
        <w:keepNext/>
        <w:keepLines/>
        <w:spacing w:before="0" w:after="120"/>
        <w:rPr>
          <w:rFonts w:cstheme="minorHAnsi"/>
          <w:lang w:val="en-US"/>
        </w:rPr>
      </w:pPr>
      <w:r w:rsidRPr="00497C85">
        <w:rPr>
          <w:rFonts w:cstheme="minorHAnsi"/>
          <w:lang w:val="en-US"/>
        </w:rPr>
        <w:t xml:space="preserve">Special precautions for storage </w:t>
      </w:r>
    </w:p>
    <w:p w14:paraId="7369493D" w14:textId="77777777" w:rsidR="00645C3B" w:rsidRPr="00645C3B" w:rsidRDefault="00645C3B" w:rsidP="00645C3B">
      <w:pPr>
        <w:rPr>
          <w:lang w:val="en-US"/>
        </w:rPr>
      </w:pPr>
      <w:r w:rsidRPr="00D61A05">
        <w:rPr>
          <w:rFonts w:ascii="Times New Roman" w:hAnsi="Times New Roman" w:cs="Times New Roman"/>
          <w:sz w:val="24"/>
          <w:szCs w:val="24"/>
        </w:rPr>
        <w:t xml:space="preserve">BRALTUS </w:t>
      </w:r>
      <w:r w:rsidR="0050155F">
        <w:rPr>
          <w:rFonts w:ascii="Times New Roman" w:hAnsi="Times New Roman" w:cs="Times New Roman"/>
          <w:sz w:val="24"/>
          <w:szCs w:val="24"/>
        </w:rPr>
        <w:t>capsules</w:t>
      </w:r>
      <w:r w:rsidRPr="00D61A05">
        <w:rPr>
          <w:rFonts w:ascii="Times New Roman" w:hAnsi="Times New Roman" w:cs="Times New Roman"/>
          <w:sz w:val="24"/>
          <w:szCs w:val="24"/>
        </w:rPr>
        <w:t xml:space="preserve"> for inhalation - </w:t>
      </w:r>
      <w:r>
        <w:rPr>
          <w:rFonts w:ascii="Times New Roman" w:hAnsi="Times New Roman" w:cs="Times New Roman"/>
          <w:sz w:val="24"/>
          <w:szCs w:val="24"/>
        </w:rPr>
        <w:t>Store below 25°C.</w:t>
      </w:r>
      <w:r w:rsidRPr="00D61A05">
        <w:rPr>
          <w:rFonts w:ascii="Times New Roman" w:hAnsi="Times New Roman" w:cs="Times New Roman"/>
          <w:sz w:val="24"/>
          <w:szCs w:val="24"/>
        </w:rPr>
        <w:t xml:space="preserve"> Keep the bottle tightly closed. </w:t>
      </w:r>
      <w:proofErr w:type="gramStart"/>
      <w:r w:rsidRPr="00D61A05">
        <w:rPr>
          <w:rFonts w:ascii="Times New Roman" w:hAnsi="Times New Roman" w:cs="Times New Roman"/>
          <w:sz w:val="24"/>
          <w:szCs w:val="24"/>
        </w:rPr>
        <w:t>Store in the original package to protect from moisture.</w:t>
      </w:r>
      <w:proofErr w:type="gramEnd"/>
      <w:r w:rsidRPr="00D61A05">
        <w:rPr>
          <w:rFonts w:ascii="Times New Roman" w:hAnsi="Times New Roman" w:cs="Times New Roman"/>
          <w:sz w:val="24"/>
          <w:szCs w:val="24"/>
        </w:rPr>
        <w:t xml:space="preserve"> Do not refrigerate or freeze. Avoid storage in direct sunlight or heat.</w:t>
      </w:r>
    </w:p>
    <w:p w14:paraId="292B9D60" w14:textId="77777777" w:rsidR="001A3992" w:rsidRDefault="001A3992" w:rsidP="001A3992">
      <w:pPr>
        <w:pStyle w:val="Heading2"/>
        <w:spacing w:before="0" w:after="120"/>
        <w:rPr>
          <w:rFonts w:cstheme="minorHAnsi"/>
          <w:lang w:val="en-US"/>
        </w:rPr>
      </w:pPr>
      <w:r w:rsidRPr="00497C85">
        <w:rPr>
          <w:rFonts w:cstheme="minorHAnsi"/>
          <w:lang w:val="en-US"/>
        </w:rPr>
        <w:lastRenderedPageBreak/>
        <w:t xml:space="preserve">Nature and contents of container </w:t>
      </w:r>
    </w:p>
    <w:p w14:paraId="2689E143" w14:textId="09DDC230" w:rsidR="006C328F" w:rsidRPr="006C328F" w:rsidRDefault="006C328F" w:rsidP="00A650BB">
      <w:pPr>
        <w:pStyle w:val="BodyText"/>
      </w:pPr>
      <w:r w:rsidRPr="006C328F">
        <w:t xml:space="preserve">BRALTUS </w:t>
      </w:r>
      <w:r w:rsidR="0050155F">
        <w:t>capsules</w:t>
      </w:r>
      <w:r w:rsidRPr="006C328F">
        <w:t xml:space="preserve"> are presented in HDPE bottles with a child resistant HDPE closure containing desiccant.  The pack contains a ZONDA inhalation device. The ZONDA inhaler has a green body and a cap with a white push button. </w:t>
      </w:r>
    </w:p>
    <w:p w14:paraId="12937BDE" w14:textId="46C8E2F7" w:rsidR="006C328F" w:rsidRPr="006C328F" w:rsidRDefault="006C328F" w:rsidP="006C328F">
      <w:pPr>
        <w:pStyle w:val="BodyText"/>
      </w:pPr>
      <w:proofErr w:type="gramStart"/>
      <w:r w:rsidRPr="006C328F">
        <w:t xml:space="preserve">Available in cartons containing </w:t>
      </w:r>
      <w:r w:rsidR="00591558">
        <w:t xml:space="preserve">a bottle of </w:t>
      </w:r>
      <w:r w:rsidRPr="006C328F">
        <w:t xml:space="preserve">30 capsules </w:t>
      </w:r>
      <w:r w:rsidR="00591558">
        <w:t>and</w:t>
      </w:r>
      <w:r w:rsidR="00591558" w:rsidRPr="006C328F">
        <w:t xml:space="preserve"> </w:t>
      </w:r>
      <w:r w:rsidRPr="006C328F">
        <w:t>the ZONDA device.</w:t>
      </w:r>
      <w:proofErr w:type="gramEnd"/>
    </w:p>
    <w:p w14:paraId="3F03B3CA" w14:textId="77777777" w:rsidR="001A3992" w:rsidRPr="00497C85" w:rsidRDefault="001A3992" w:rsidP="001A3992">
      <w:pPr>
        <w:pStyle w:val="Heading2"/>
        <w:spacing w:before="0" w:after="120"/>
        <w:rPr>
          <w:rFonts w:cstheme="minorHAnsi"/>
          <w:lang w:val="en-US"/>
        </w:rPr>
      </w:pPr>
      <w:r w:rsidRPr="00497C85">
        <w:rPr>
          <w:rFonts w:cstheme="minorHAnsi"/>
          <w:lang w:val="en-US"/>
        </w:rPr>
        <w:t xml:space="preserve">Special precautions for disposal </w:t>
      </w:r>
    </w:p>
    <w:p w14:paraId="0C151272" w14:textId="77777777" w:rsidR="00497C85" w:rsidRPr="00497C85" w:rsidRDefault="00497C85" w:rsidP="00645C3B">
      <w:pPr>
        <w:pStyle w:val="BodyText"/>
      </w:pPr>
      <w:r w:rsidRPr="00497C85">
        <w:t>In Australia, any unused medicine or waste material should be disposed of by taking to your local pharmacy.</w:t>
      </w:r>
    </w:p>
    <w:p w14:paraId="1F714C86" w14:textId="77777777" w:rsidR="001A3992" w:rsidRPr="00497C85" w:rsidRDefault="001A3992" w:rsidP="001A3992">
      <w:pPr>
        <w:pStyle w:val="Heading2"/>
        <w:spacing w:before="0" w:after="120"/>
        <w:rPr>
          <w:rFonts w:cstheme="minorHAnsi"/>
          <w:lang w:val="en-US"/>
        </w:rPr>
      </w:pPr>
      <w:r w:rsidRPr="00497C85">
        <w:rPr>
          <w:rFonts w:cstheme="minorHAnsi"/>
          <w:lang w:val="en-US"/>
        </w:rPr>
        <w:t>Physicochemical properties</w:t>
      </w:r>
    </w:p>
    <w:p w14:paraId="5891717E" w14:textId="77777777" w:rsidR="00E33F71" w:rsidRDefault="00E33F71" w:rsidP="00E33F71">
      <w:pPr>
        <w:pStyle w:val="BodyText"/>
        <w:spacing w:line="259" w:lineRule="auto"/>
        <w:rPr>
          <w:rFonts w:cs="Times New Roman"/>
        </w:rPr>
      </w:pPr>
      <w:r w:rsidRPr="00443E06">
        <w:rPr>
          <w:rFonts w:cs="Times New Roman"/>
          <w:lang w:val="en-AU"/>
        </w:rPr>
        <w:t xml:space="preserve">Tiotropium </w:t>
      </w:r>
      <w:r>
        <w:rPr>
          <w:rFonts w:cs="Times New Roman"/>
          <w:lang w:val="en-AU"/>
        </w:rPr>
        <w:t>b</w:t>
      </w:r>
      <w:r w:rsidRPr="00443E06">
        <w:rPr>
          <w:rFonts w:cs="Times New Roman"/>
          <w:lang w:val="en-AU"/>
        </w:rPr>
        <w:t xml:space="preserve">romide </w:t>
      </w:r>
      <w:r>
        <w:rPr>
          <w:rFonts w:cs="Times New Roman"/>
          <w:lang w:val="en-AU"/>
        </w:rPr>
        <w:t>m</w:t>
      </w:r>
      <w:r w:rsidRPr="00443E06">
        <w:rPr>
          <w:rFonts w:cs="Times New Roman"/>
          <w:lang w:val="en-AU"/>
        </w:rPr>
        <w:t xml:space="preserve">ethanol </w:t>
      </w:r>
      <w:r>
        <w:rPr>
          <w:rFonts w:cs="Times New Roman"/>
          <w:lang w:val="en-AU"/>
        </w:rPr>
        <w:t>s</w:t>
      </w:r>
      <w:r w:rsidRPr="00443E06">
        <w:rPr>
          <w:rFonts w:cs="Times New Roman"/>
          <w:lang w:val="en-AU"/>
        </w:rPr>
        <w:t xml:space="preserve">olvate is used in the manufacture of </w:t>
      </w:r>
      <w:r>
        <w:rPr>
          <w:rFonts w:cs="Times New Roman"/>
          <w:lang w:val="en-AU"/>
        </w:rPr>
        <w:t xml:space="preserve">BRALTUS </w:t>
      </w:r>
      <w:r w:rsidR="0050155F">
        <w:rPr>
          <w:rFonts w:cs="Times New Roman"/>
          <w:lang w:val="en-AU"/>
        </w:rPr>
        <w:t>capsules</w:t>
      </w:r>
      <w:r w:rsidRPr="00443E06">
        <w:rPr>
          <w:rFonts w:cs="Times New Roman"/>
          <w:lang w:val="en-AU"/>
        </w:rPr>
        <w:t xml:space="preserve">. It is </w:t>
      </w:r>
      <w:r>
        <w:rPr>
          <w:rFonts w:cs="Times New Roman"/>
          <w:lang w:val="en-AU"/>
        </w:rPr>
        <w:t>s</w:t>
      </w:r>
      <w:r w:rsidRPr="00443E06">
        <w:rPr>
          <w:rFonts w:cs="Times New Roman"/>
          <w:lang w:val="en-AU"/>
        </w:rPr>
        <w:t xml:space="preserve">pray </w:t>
      </w:r>
      <w:r>
        <w:rPr>
          <w:rFonts w:cs="Times New Roman"/>
          <w:lang w:val="en-AU"/>
        </w:rPr>
        <w:t>d</w:t>
      </w:r>
      <w:r w:rsidRPr="00443E06">
        <w:rPr>
          <w:rFonts w:cs="Times New Roman"/>
          <w:lang w:val="en-AU"/>
        </w:rPr>
        <w:t>ried with lactose where the methanol solvate is evaporated</w:t>
      </w:r>
      <w:r>
        <w:rPr>
          <w:rFonts w:cs="Times New Roman"/>
          <w:lang w:val="en-AU"/>
        </w:rPr>
        <w:t xml:space="preserve"> and</w:t>
      </w:r>
      <w:r w:rsidRPr="00443E06">
        <w:rPr>
          <w:rFonts w:cs="Times New Roman"/>
          <w:lang w:val="en-AU"/>
        </w:rPr>
        <w:t xml:space="preserve"> transformed to </w:t>
      </w:r>
      <w:r>
        <w:rPr>
          <w:rFonts w:cs="Times New Roman"/>
          <w:lang w:val="en-AU"/>
        </w:rPr>
        <w:t>t</w:t>
      </w:r>
      <w:r w:rsidRPr="00443E06">
        <w:rPr>
          <w:rFonts w:cs="Times New Roman"/>
          <w:lang w:val="en-AU"/>
        </w:rPr>
        <w:t xml:space="preserve">iotropium </w:t>
      </w:r>
      <w:r>
        <w:rPr>
          <w:rFonts w:cs="Times New Roman"/>
          <w:lang w:val="en-AU"/>
        </w:rPr>
        <w:t>b</w:t>
      </w:r>
      <w:r w:rsidRPr="00443E06">
        <w:rPr>
          <w:rFonts w:cs="Times New Roman"/>
          <w:lang w:val="en-AU"/>
        </w:rPr>
        <w:t xml:space="preserve">romide. Therefore </w:t>
      </w:r>
      <w:r>
        <w:rPr>
          <w:rFonts w:cs="Times New Roman"/>
          <w:lang w:val="en-AU"/>
        </w:rPr>
        <w:t>t</w:t>
      </w:r>
      <w:r w:rsidRPr="00443E06">
        <w:rPr>
          <w:rFonts w:cs="Times New Roman"/>
          <w:lang w:val="en-AU"/>
        </w:rPr>
        <w:t xml:space="preserve">iotropium </w:t>
      </w:r>
      <w:r>
        <w:rPr>
          <w:rFonts w:cs="Times New Roman"/>
          <w:lang w:val="en-AU"/>
        </w:rPr>
        <w:t>b</w:t>
      </w:r>
      <w:r w:rsidRPr="00443E06">
        <w:rPr>
          <w:rFonts w:cs="Times New Roman"/>
          <w:lang w:val="en-AU"/>
        </w:rPr>
        <w:t>romide is the Active</w:t>
      </w:r>
      <w:r>
        <w:rPr>
          <w:rFonts w:cs="Times New Roman"/>
          <w:lang w:val="en-AU"/>
        </w:rPr>
        <w:t xml:space="preserve"> </w:t>
      </w:r>
      <w:r w:rsidRPr="00443E06">
        <w:rPr>
          <w:rFonts w:cs="Times New Roman"/>
          <w:lang w:val="en-AU"/>
        </w:rPr>
        <w:t>Pharmaceutical Ingredient (API) in the finished product.</w:t>
      </w:r>
      <w:r>
        <w:rPr>
          <w:rFonts w:cs="Times New Roman"/>
          <w:lang w:val="en-AU"/>
        </w:rPr>
        <w:t xml:space="preserve">  </w:t>
      </w:r>
    </w:p>
    <w:p w14:paraId="5EBBCD2E" w14:textId="77777777" w:rsidR="00E33F71" w:rsidRPr="00494AF5" w:rsidRDefault="00E33F71" w:rsidP="00E33F71">
      <w:pPr>
        <w:pStyle w:val="BodyText"/>
        <w:spacing w:line="259" w:lineRule="auto"/>
        <w:rPr>
          <w:rFonts w:cs="Times New Roman"/>
        </w:rPr>
      </w:pPr>
      <w:r w:rsidRPr="00494AF5">
        <w:rPr>
          <w:rFonts w:cs="Times New Roman"/>
        </w:rPr>
        <w:t xml:space="preserve">Tiotropium bromide is a white to yellowish-white, </w:t>
      </w:r>
      <w:proofErr w:type="spellStart"/>
      <w:r w:rsidRPr="00494AF5">
        <w:rPr>
          <w:rFonts w:cs="Times New Roman"/>
        </w:rPr>
        <w:t>odourless</w:t>
      </w:r>
      <w:proofErr w:type="spellEnd"/>
      <w:r w:rsidRPr="00494AF5">
        <w:rPr>
          <w:rFonts w:cs="Times New Roman"/>
        </w:rPr>
        <w:t xml:space="preserve"> crystalline powder. It ex</w:t>
      </w:r>
      <w:r>
        <w:rPr>
          <w:rFonts w:cs="Times New Roman"/>
        </w:rPr>
        <w:t xml:space="preserve">ists as a </w:t>
      </w:r>
      <w:r w:rsidRPr="00494AF5">
        <w:rPr>
          <w:rFonts w:cs="Times New Roman"/>
        </w:rPr>
        <w:t xml:space="preserve">quaternary ammonium salt, and there are no </w:t>
      </w:r>
      <w:proofErr w:type="spellStart"/>
      <w:r w:rsidRPr="00494AF5">
        <w:rPr>
          <w:rFonts w:cs="Times New Roman"/>
        </w:rPr>
        <w:t>ionisable</w:t>
      </w:r>
      <w:proofErr w:type="spellEnd"/>
      <w:r w:rsidRPr="00494AF5">
        <w:rPr>
          <w:rFonts w:cs="Times New Roman"/>
        </w:rPr>
        <w:t xml:space="preserve"> fun</w:t>
      </w:r>
      <w:r>
        <w:rPr>
          <w:rFonts w:cs="Times New Roman"/>
        </w:rPr>
        <w:t xml:space="preserve">ctional groups on the molecule. </w:t>
      </w:r>
      <w:r w:rsidRPr="00494AF5">
        <w:rPr>
          <w:rFonts w:cs="Times New Roman"/>
        </w:rPr>
        <w:t>The active substance is not optically active.</w:t>
      </w:r>
    </w:p>
    <w:p w14:paraId="65BB58D1" w14:textId="77777777" w:rsidR="00E33F71" w:rsidRPr="00494AF5" w:rsidRDefault="00E33F71" w:rsidP="00E33F71">
      <w:pPr>
        <w:pStyle w:val="BodyText"/>
        <w:spacing w:line="259" w:lineRule="auto"/>
        <w:rPr>
          <w:rFonts w:cs="Times New Roman"/>
        </w:rPr>
      </w:pPr>
      <w:r w:rsidRPr="00494AF5">
        <w:rPr>
          <w:rFonts w:cs="Times New Roman"/>
        </w:rPr>
        <w:t xml:space="preserve">Tiotropium bromide is freely soluble in dimethyl </w:t>
      </w:r>
      <w:proofErr w:type="spellStart"/>
      <w:r w:rsidRPr="00494AF5">
        <w:rPr>
          <w:rFonts w:cs="Times New Roman"/>
        </w:rPr>
        <w:t>sulphoxide</w:t>
      </w:r>
      <w:proofErr w:type="spellEnd"/>
      <w:r w:rsidRPr="00494AF5">
        <w:rPr>
          <w:rFonts w:cs="Times New Roman"/>
        </w:rPr>
        <w:t>,</w:t>
      </w:r>
      <w:r>
        <w:rPr>
          <w:rFonts w:cs="Times New Roman"/>
        </w:rPr>
        <w:t xml:space="preserve"> soluble in methanol, sparingly </w:t>
      </w:r>
      <w:r w:rsidRPr="00494AF5">
        <w:rPr>
          <w:rFonts w:cs="Times New Roman"/>
        </w:rPr>
        <w:t>soluble in water and practically insoluble in methylene chlo</w:t>
      </w:r>
      <w:r>
        <w:rPr>
          <w:rFonts w:cs="Times New Roman"/>
        </w:rPr>
        <w:t xml:space="preserve">ride. The solubility in aqueous </w:t>
      </w:r>
      <w:r w:rsidRPr="00494AF5">
        <w:rPr>
          <w:rFonts w:cs="Times New Roman"/>
        </w:rPr>
        <w:t>solutions at room temperature is approx. 2.5%, independent</w:t>
      </w:r>
      <w:r>
        <w:rPr>
          <w:rFonts w:cs="Times New Roman"/>
        </w:rPr>
        <w:t xml:space="preserve"> of </w:t>
      </w:r>
      <w:proofErr w:type="spellStart"/>
      <w:r>
        <w:rPr>
          <w:rFonts w:cs="Times New Roman"/>
        </w:rPr>
        <w:t>pH.</w:t>
      </w:r>
      <w:proofErr w:type="spellEnd"/>
      <w:r>
        <w:rPr>
          <w:rFonts w:cs="Times New Roman"/>
        </w:rPr>
        <w:t xml:space="preserve"> At pH 7.4, the apparent </w:t>
      </w:r>
      <w:r w:rsidRPr="00494AF5">
        <w:rPr>
          <w:rFonts w:cs="Times New Roman"/>
        </w:rPr>
        <w:t>partition coefficient (log P</w:t>
      </w:r>
      <w:r w:rsidRPr="00186B5A">
        <w:rPr>
          <w:rFonts w:cs="Times New Roman"/>
          <w:vertAlign w:val="subscript"/>
        </w:rPr>
        <w:t>app</w:t>
      </w:r>
      <w:r w:rsidRPr="00494AF5">
        <w:rPr>
          <w:rFonts w:cs="Times New Roman"/>
        </w:rPr>
        <w:t>) is -2.25.</w:t>
      </w:r>
    </w:p>
    <w:p w14:paraId="5F4B3479" w14:textId="77777777" w:rsidR="009230F3" w:rsidRPr="00CA6024" w:rsidRDefault="009230F3" w:rsidP="009230F3">
      <w:pPr>
        <w:pStyle w:val="BodyText"/>
        <w:spacing w:line="259" w:lineRule="auto"/>
        <w:rPr>
          <w:rFonts w:cs="Times New Roman"/>
        </w:rPr>
      </w:pPr>
    </w:p>
    <w:p w14:paraId="6328EB09" w14:textId="77777777" w:rsidR="001A3992" w:rsidRDefault="001A3992" w:rsidP="001A3992">
      <w:pPr>
        <w:pStyle w:val="Heading3"/>
        <w:spacing w:before="0" w:after="120"/>
        <w:rPr>
          <w:rFonts w:cstheme="minorHAnsi"/>
          <w:lang w:val="en-US"/>
        </w:rPr>
      </w:pPr>
      <w:r w:rsidRPr="00497C85">
        <w:rPr>
          <w:rFonts w:cstheme="minorHAnsi"/>
          <w:lang w:val="en-US"/>
        </w:rPr>
        <w:t>Chemical structure</w:t>
      </w:r>
    </w:p>
    <w:p w14:paraId="33CD9362" w14:textId="77777777" w:rsidR="009230F3" w:rsidRPr="00DE0C41" w:rsidRDefault="009230F3" w:rsidP="009230F3">
      <w:pPr>
        <w:pStyle w:val="BodyText"/>
        <w:spacing w:line="259" w:lineRule="auto"/>
        <w:rPr>
          <w:rFonts w:cs="Times New Roman"/>
        </w:rPr>
      </w:pPr>
      <w:r w:rsidRPr="00494AF5">
        <w:rPr>
          <w:rFonts w:cs="Times New Roman"/>
        </w:rPr>
        <w:t>Structural formula:</w:t>
      </w:r>
    </w:p>
    <w:p w14:paraId="709BEBA4" w14:textId="77777777" w:rsidR="009230F3" w:rsidRDefault="009230F3" w:rsidP="009230F3">
      <w:pPr>
        <w:pStyle w:val="BodyText"/>
        <w:jc w:val="center"/>
        <w:rPr>
          <w:rFonts w:cs="Times New Roman"/>
        </w:rPr>
      </w:pPr>
      <w:r w:rsidRPr="00434804">
        <w:rPr>
          <w:rFonts w:cs="Times New Roman"/>
          <w:noProof/>
          <w:lang w:val="en-AU" w:eastAsia="en-AU"/>
        </w:rPr>
        <w:drawing>
          <wp:inline distT="0" distB="0" distL="0" distR="0" wp14:anchorId="64691DE7" wp14:editId="158E1042">
            <wp:extent cx="2127600" cy="1317600"/>
            <wp:effectExtent l="0" t="0" r="6350" b="0"/>
            <wp:docPr id="213" name="Picture 213" descr="Structural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7600" cy="1317600"/>
                    </a:xfrm>
                    <a:prstGeom prst="rect">
                      <a:avLst/>
                    </a:prstGeom>
                    <a:noFill/>
                    <a:ln>
                      <a:noFill/>
                    </a:ln>
                  </pic:spPr>
                </pic:pic>
              </a:graphicData>
            </a:graphic>
          </wp:inline>
        </w:drawing>
      </w:r>
      <w:r w:rsidRPr="00434804">
        <w:rPr>
          <w:rFonts w:cs="Times New Roman"/>
          <w:noProof/>
          <w:lang w:val="en-AU" w:eastAsia="en-AU"/>
        </w:rPr>
        <w:drawing>
          <wp:inline distT="0" distB="0" distL="0" distR="0" wp14:anchorId="1D4A69E6" wp14:editId="1860A6A0">
            <wp:extent cx="409575" cy="685800"/>
            <wp:effectExtent l="0" t="0" r="9525" b="0"/>
            <wp:docPr id="214" name="Picture 214" descr="Structural formula B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685800"/>
                    </a:xfrm>
                    <a:prstGeom prst="rect">
                      <a:avLst/>
                    </a:prstGeom>
                    <a:noFill/>
                    <a:ln>
                      <a:noFill/>
                    </a:ln>
                  </pic:spPr>
                </pic:pic>
              </a:graphicData>
            </a:graphic>
          </wp:inline>
        </w:drawing>
      </w:r>
    </w:p>
    <w:p w14:paraId="28ABF900" w14:textId="77777777" w:rsidR="00E33F71" w:rsidRPr="00DE0C41" w:rsidRDefault="00E33F71" w:rsidP="009230F3">
      <w:pPr>
        <w:pStyle w:val="BodyText"/>
        <w:jc w:val="center"/>
        <w:rPr>
          <w:rFonts w:cs="Times New Roman"/>
        </w:rPr>
      </w:pPr>
    </w:p>
    <w:p w14:paraId="687C49BE" w14:textId="77777777" w:rsidR="009230F3" w:rsidRPr="009230F3" w:rsidRDefault="00E33F71" w:rsidP="00645C3B">
      <w:pPr>
        <w:pStyle w:val="BodyText"/>
      </w:pPr>
      <w:r w:rsidRPr="00CA6024">
        <w:t>Chemical name: (1α</w:t>
      </w:r>
      <w:proofErr w:type="gramStart"/>
      <w:r w:rsidRPr="00CA6024">
        <w:t>,2β,4β,5α,7β</w:t>
      </w:r>
      <w:proofErr w:type="gramEnd"/>
      <w:r w:rsidRPr="00CA6024">
        <w:t xml:space="preserve">)-7-[(Hydroxydi-2-thienylacetyl)oxy]-9,9-dimethyl-3-oxa-9-azoniatricyclo [3.3.1.02,4] </w:t>
      </w:r>
      <w:proofErr w:type="spellStart"/>
      <w:r w:rsidRPr="00CA6024">
        <w:t>nonane</w:t>
      </w:r>
      <w:proofErr w:type="spellEnd"/>
      <w:r w:rsidRPr="00CA6024">
        <w:t xml:space="preserve"> bromide</w:t>
      </w:r>
    </w:p>
    <w:p w14:paraId="0325E893" w14:textId="77777777" w:rsidR="00A72894" w:rsidRPr="00CA6024" w:rsidRDefault="00A72894" w:rsidP="00A72894">
      <w:pPr>
        <w:pStyle w:val="BodyText"/>
        <w:spacing w:line="259" w:lineRule="auto"/>
        <w:rPr>
          <w:rFonts w:cs="Times New Roman"/>
        </w:rPr>
      </w:pPr>
      <w:r w:rsidRPr="00CA6024">
        <w:rPr>
          <w:rFonts w:cs="Times New Roman"/>
        </w:rPr>
        <w:t>Molecular formula: C</w:t>
      </w:r>
      <w:r w:rsidRPr="00CA6024">
        <w:rPr>
          <w:rFonts w:cs="Times New Roman"/>
          <w:vertAlign w:val="subscript"/>
        </w:rPr>
        <w:t>19</w:t>
      </w:r>
      <w:r w:rsidRPr="00CA6024">
        <w:rPr>
          <w:rFonts w:cs="Times New Roman"/>
        </w:rPr>
        <w:t>H</w:t>
      </w:r>
      <w:r w:rsidRPr="00CA6024">
        <w:rPr>
          <w:rFonts w:cs="Times New Roman"/>
          <w:vertAlign w:val="subscript"/>
        </w:rPr>
        <w:t>22</w:t>
      </w:r>
      <w:r w:rsidRPr="00CA6024">
        <w:rPr>
          <w:rFonts w:cs="Times New Roman"/>
        </w:rPr>
        <w:t>NO</w:t>
      </w:r>
      <w:r w:rsidRPr="00CA6024">
        <w:rPr>
          <w:rFonts w:cs="Times New Roman"/>
          <w:vertAlign w:val="subscript"/>
        </w:rPr>
        <w:t>4</w:t>
      </w:r>
      <w:r w:rsidRPr="00CA6024">
        <w:rPr>
          <w:rFonts w:cs="Times New Roman"/>
        </w:rPr>
        <w:t>S</w:t>
      </w:r>
      <w:r w:rsidRPr="00CA6024">
        <w:rPr>
          <w:rFonts w:cs="Times New Roman"/>
          <w:vertAlign w:val="subscript"/>
        </w:rPr>
        <w:t>2</w:t>
      </w:r>
      <w:r w:rsidRPr="00CA6024">
        <w:rPr>
          <w:rFonts w:cs="Times New Roman"/>
        </w:rPr>
        <w:t>Br</w:t>
      </w:r>
    </w:p>
    <w:p w14:paraId="2D227004" w14:textId="1B6F5E3E" w:rsidR="009230F3" w:rsidRPr="00CA6024" w:rsidRDefault="00A72894" w:rsidP="00A650BB">
      <w:pPr>
        <w:pStyle w:val="BodyText"/>
        <w:spacing w:line="259" w:lineRule="auto"/>
        <w:rPr>
          <w:rFonts w:cs="Times New Roman"/>
        </w:rPr>
      </w:pPr>
      <w:r w:rsidRPr="00CA6024">
        <w:rPr>
          <w:rFonts w:cs="Times New Roman"/>
        </w:rPr>
        <w:t>Molecular weight: 472.412</w:t>
      </w:r>
    </w:p>
    <w:p w14:paraId="1D300F24" w14:textId="77777777" w:rsidR="001A3992" w:rsidRDefault="001A3992" w:rsidP="001A3992">
      <w:pPr>
        <w:pStyle w:val="Heading3"/>
        <w:spacing w:before="0" w:after="120"/>
        <w:rPr>
          <w:rFonts w:cstheme="minorHAnsi"/>
          <w:lang w:val="en-US"/>
        </w:rPr>
      </w:pPr>
      <w:r w:rsidRPr="00497C85">
        <w:rPr>
          <w:rFonts w:cstheme="minorHAnsi"/>
          <w:lang w:val="en-US"/>
        </w:rPr>
        <w:lastRenderedPageBreak/>
        <w:t>CAS number</w:t>
      </w:r>
    </w:p>
    <w:p w14:paraId="57C188B5" w14:textId="77777777" w:rsidR="009230F3" w:rsidRDefault="009230F3" w:rsidP="009230F3">
      <w:pPr>
        <w:pStyle w:val="BodyText"/>
        <w:rPr>
          <w:rFonts w:cs="Times New Roman"/>
        </w:rPr>
      </w:pPr>
      <w:r w:rsidRPr="00CA6024">
        <w:rPr>
          <w:rFonts w:cs="Times New Roman"/>
        </w:rPr>
        <w:t>CAS number:  136310-93-5</w:t>
      </w:r>
    </w:p>
    <w:p w14:paraId="36A65D2C" w14:textId="77777777" w:rsidR="009230F3" w:rsidRDefault="009230F3" w:rsidP="009230F3">
      <w:pPr>
        <w:pStyle w:val="BodyText"/>
      </w:pPr>
      <w:bookmarkStart w:id="0" w:name="_GoBack"/>
      <w:bookmarkEnd w:id="0"/>
    </w:p>
    <w:p w14:paraId="27513D86" w14:textId="77777777" w:rsidR="001A3992" w:rsidRDefault="001A3992" w:rsidP="001A3992">
      <w:pPr>
        <w:pStyle w:val="Heading1"/>
        <w:spacing w:before="0" w:after="120"/>
        <w:rPr>
          <w:rFonts w:cstheme="minorHAnsi"/>
          <w:lang w:val="en-US"/>
        </w:rPr>
      </w:pPr>
      <w:r w:rsidRPr="00497C85">
        <w:rPr>
          <w:rFonts w:cstheme="minorHAnsi"/>
          <w:lang w:val="en-US"/>
        </w:rPr>
        <w:t>Medicine schedule (Poisons Standard)</w:t>
      </w:r>
    </w:p>
    <w:p w14:paraId="72B1FDAA" w14:textId="77777777" w:rsidR="00256002" w:rsidRPr="0056519B" w:rsidRDefault="0056519B" w:rsidP="0056519B">
      <w:pPr>
        <w:pStyle w:val="BodyText"/>
      </w:pPr>
      <w:proofErr w:type="gramStart"/>
      <w:r>
        <w:t xml:space="preserve">Prescription </w:t>
      </w:r>
      <w:r w:rsidR="00671F33">
        <w:t>O</w:t>
      </w:r>
      <w:r>
        <w:t xml:space="preserve">nly </w:t>
      </w:r>
      <w:r w:rsidR="00671F33">
        <w:t>Medicine (</w:t>
      </w:r>
      <w:r>
        <w:t>Schedule 4</w:t>
      </w:r>
      <w:r w:rsidR="00671F33">
        <w:t>).</w:t>
      </w:r>
      <w:proofErr w:type="gramEnd"/>
    </w:p>
    <w:p w14:paraId="315D679B" w14:textId="77777777" w:rsidR="008D12C4" w:rsidRPr="008D12C4" w:rsidRDefault="008D12C4" w:rsidP="00256002">
      <w:pPr>
        <w:pStyle w:val="BodyText"/>
      </w:pPr>
    </w:p>
    <w:p w14:paraId="675C8118" w14:textId="77777777" w:rsidR="001A3992" w:rsidRDefault="001A3992" w:rsidP="001A3992">
      <w:pPr>
        <w:pStyle w:val="Heading1"/>
        <w:spacing w:before="0" w:after="120"/>
        <w:rPr>
          <w:rFonts w:cstheme="minorHAnsi"/>
          <w:lang w:val="en-US"/>
        </w:rPr>
      </w:pPr>
      <w:r w:rsidRPr="00497C85">
        <w:rPr>
          <w:rFonts w:cstheme="minorHAnsi"/>
          <w:lang w:val="en-US"/>
        </w:rPr>
        <w:t>Sponsor</w:t>
      </w:r>
    </w:p>
    <w:p w14:paraId="62D1631D" w14:textId="77777777" w:rsidR="0056519B" w:rsidRPr="0056519B" w:rsidRDefault="0056519B" w:rsidP="0056519B">
      <w:pPr>
        <w:pStyle w:val="BodyText"/>
      </w:pPr>
      <w:proofErr w:type="spellStart"/>
      <w:r w:rsidRPr="0056519B">
        <w:t>Teva</w:t>
      </w:r>
      <w:proofErr w:type="spellEnd"/>
      <w:r w:rsidRPr="0056519B">
        <w:t xml:space="preserve"> Pharma Australia Pty Ltd</w:t>
      </w:r>
    </w:p>
    <w:p w14:paraId="15D430DF" w14:textId="77777777" w:rsidR="0056519B" w:rsidRPr="0056519B" w:rsidRDefault="0056519B" w:rsidP="0056519B">
      <w:pPr>
        <w:pStyle w:val="BodyText"/>
      </w:pPr>
      <w:r w:rsidRPr="0056519B">
        <w:t>37 Epping Road</w:t>
      </w:r>
    </w:p>
    <w:p w14:paraId="08638C9E" w14:textId="77777777" w:rsidR="0056519B" w:rsidRDefault="0056519B" w:rsidP="00A52B3B">
      <w:pPr>
        <w:pStyle w:val="BodyText"/>
      </w:pPr>
      <w:r w:rsidRPr="0056519B">
        <w:t>Macquarie Park NSW 2113</w:t>
      </w:r>
    </w:p>
    <w:p w14:paraId="6E164650" w14:textId="77777777" w:rsidR="00645C3B" w:rsidRDefault="00645C3B" w:rsidP="00645C3B">
      <w:pPr>
        <w:pStyle w:val="BodyText"/>
      </w:pPr>
      <w:r>
        <w:t xml:space="preserve">Email: </w:t>
      </w:r>
      <w:hyperlink r:id="rId15" w:history="1">
        <w:r w:rsidRPr="00464D48">
          <w:rPr>
            <w:rStyle w:val="Hyperlink"/>
          </w:rPr>
          <w:t>au.teva@tevapharm.com</w:t>
        </w:r>
      </w:hyperlink>
    </w:p>
    <w:p w14:paraId="67945EC0" w14:textId="77777777" w:rsidR="00645C3B" w:rsidRDefault="00645C3B" w:rsidP="00645C3B">
      <w:pPr>
        <w:pStyle w:val="BodyText"/>
      </w:pPr>
      <w:r>
        <w:t>Phone Number: 1800 288 382</w:t>
      </w:r>
    </w:p>
    <w:p w14:paraId="4203D6F9" w14:textId="77777777" w:rsidR="00645C3B" w:rsidRDefault="00645C3B" w:rsidP="00645C3B">
      <w:pPr>
        <w:pStyle w:val="BodyText"/>
      </w:pPr>
      <w:r>
        <w:t xml:space="preserve">Website: </w:t>
      </w:r>
      <w:hyperlink r:id="rId16" w:history="1">
        <w:r w:rsidRPr="00464D48">
          <w:rPr>
            <w:rStyle w:val="Hyperlink"/>
          </w:rPr>
          <w:t>www.tevapharma.com.au</w:t>
        </w:r>
      </w:hyperlink>
    </w:p>
    <w:p w14:paraId="285AE587" w14:textId="77777777" w:rsidR="00645C3B" w:rsidRPr="0056519B" w:rsidRDefault="00645C3B" w:rsidP="00645C3B">
      <w:pPr>
        <w:pStyle w:val="BodyText"/>
      </w:pPr>
    </w:p>
    <w:p w14:paraId="42242211" w14:textId="77777777" w:rsidR="001A3992" w:rsidRDefault="001A3992" w:rsidP="001A3992">
      <w:pPr>
        <w:pStyle w:val="Heading1"/>
        <w:spacing w:before="0" w:after="120"/>
        <w:rPr>
          <w:rFonts w:cstheme="minorHAnsi"/>
          <w:lang w:val="en-US"/>
        </w:rPr>
      </w:pPr>
      <w:r w:rsidRPr="00497C85">
        <w:rPr>
          <w:rFonts w:cstheme="minorHAnsi"/>
          <w:lang w:val="en-US"/>
        </w:rPr>
        <w:t xml:space="preserve">Date of first approval  </w:t>
      </w:r>
    </w:p>
    <w:p w14:paraId="7F3BBE96" w14:textId="01C6D84D" w:rsidR="008D12C4" w:rsidRPr="008D12C4" w:rsidRDefault="00B044F8" w:rsidP="00256002">
      <w:pPr>
        <w:pStyle w:val="BodyText"/>
      </w:pPr>
      <w:r>
        <w:t>31 October 2018</w:t>
      </w:r>
    </w:p>
    <w:p w14:paraId="320B8D95" w14:textId="77777777" w:rsidR="001A3992" w:rsidRDefault="001A3992" w:rsidP="001A3992">
      <w:pPr>
        <w:pStyle w:val="Heading1"/>
        <w:spacing w:before="0" w:after="120"/>
        <w:rPr>
          <w:rFonts w:cstheme="minorHAnsi"/>
          <w:lang w:val="en-US"/>
        </w:rPr>
      </w:pPr>
      <w:r w:rsidRPr="00497C85">
        <w:rPr>
          <w:rFonts w:cstheme="minorHAnsi"/>
          <w:lang w:val="en-US"/>
        </w:rPr>
        <w:t xml:space="preserve">Date of revision </w:t>
      </w:r>
    </w:p>
    <w:p w14:paraId="0043682C" w14:textId="07135BD6" w:rsidR="00645C3B" w:rsidRDefault="00B044F8" w:rsidP="00645C3B">
      <w:pPr>
        <w:pStyle w:val="BodyText"/>
      </w:pPr>
      <w:r>
        <w:t>31 October 2018</w:t>
      </w:r>
    </w:p>
    <w:p w14:paraId="0CB6D3D9" w14:textId="77777777" w:rsidR="00B044F8" w:rsidRPr="00256002" w:rsidRDefault="00B044F8" w:rsidP="00645C3B">
      <w:pPr>
        <w:pStyle w:val="BodyText"/>
      </w:pPr>
    </w:p>
    <w:p w14:paraId="350007B3" w14:textId="77777777" w:rsidR="001A3992" w:rsidRPr="00497C85" w:rsidRDefault="001A3992" w:rsidP="001A3992">
      <w:pPr>
        <w:pStyle w:val="Heading2"/>
        <w:numPr>
          <w:ilvl w:val="0"/>
          <w:numId w:val="0"/>
        </w:numPr>
        <w:spacing w:before="0" w:after="120"/>
        <w:rPr>
          <w:rFonts w:cstheme="minorHAnsi"/>
          <w:lang w:val="en-US"/>
        </w:rPr>
      </w:pPr>
      <w:r w:rsidRPr="00497C85">
        <w:rPr>
          <w:rFonts w:cstheme="minorHAnsi"/>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84"/>
        <w:gridCol w:w="7858"/>
      </w:tblGrid>
      <w:tr w:rsidR="00ED0937" w:rsidRPr="00497C85" w14:paraId="7CFE843D" w14:textId="77777777" w:rsidTr="00CA60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5D341BD8" w14:textId="77777777" w:rsidR="00ED0937" w:rsidRPr="00497C85" w:rsidRDefault="00ED0937" w:rsidP="00CA6024">
            <w:pPr>
              <w:rPr>
                <w:rFonts w:cstheme="minorHAnsi"/>
                <w:sz w:val="20"/>
                <w:lang w:val="en-US"/>
              </w:rPr>
            </w:pPr>
            <w:r w:rsidRPr="00497C85">
              <w:rPr>
                <w:rFonts w:cstheme="minorHAnsi"/>
                <w:sz w:val="20"/>
                <w:lang w:val="en-US"/>
              </w:rPr>
              <w:t>Section Changed</w:t>
            </w:r>
          </w:p>
        </w:tc>
        <w:tc>
          <w:tcPr>
            <w:tcW w:w="7858" w:type="dxa"/>
            <w:shd w:val="clear" w:color="auto" w:fill="F2F2F2" w:themeFill="background1" w:themeFillShade="F2"/>
            <w:vAlign w:val="center"/>
          </w:tcPr>
          <w:p w14:paraId="331D1013" w14:textId="77777777" w:rsidR="00ED0937" w:rsidRPr="00497C85" w:rsidRDefault="00ED0937" w:rsidP="00CA6024">
            <w:pP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497C85">
              <w:rPr>
                <w:rFonts w:cstheme="minorHAnsi"/>
                <w:sz w:val="20"/>
                <w:lang w:val="en-US"/>
              </w:rPr>
              <w:t>Summary of new information</w:t>
            </w:r>
          </w:p>
        </w:tc>
      </w:tr>
      <w:tr w:rsidR="00ED0937" w:rsidRPr="00497C85" w14:paraId="09E03D1D" w14:textId="77777777" w:rsidTr="00CA6024">
        <w:tc>
          <w:tcPr>
            <w:cnfStyle w:val="001000000000" w:firstRow="0" w:lastRow="0" w:firstColumn="1" w:lastColumn="0" w:oddVBand="0" w:evenVBand="0" w:oddHBand="0" w:evenHBand="0" w:firstRowFirstColumn="0" w:firstRowLastColumn="0" w:lastRowFirstColumn="0" w:lastRowLastColumn="0"/>
            <w:tcW w:w="1384" w:type="dxa"/>
            <w:vAlign w:val="center"/>
          </w:tcPr>
          <w:p w14:paraId="4B24021C" w14:textId="77777777" w:rsidR="00ED0937" w:rsidRPr="00497C85" w:rsidRDefault="00ED0937" w:rsidP="00CA6024">
            <w:pPr>
              <w:rPr>
                <w:rFonts w:cstheme="minorHAnsi"/>
                <w:lang w:val="en-US"/>
              </w:rPr>
            </w:pPr>
          </w:p>
        </w:tc>
        <w:tc>
          <w:tcPr>
            <w:tcW w:w="7858" w:type="dxa"/>
            <w:vAlign w:val="center"/>
          </w:tcPr>
          <w:p w14:paraId="3F71C004" w14:textId="77777777" w:rsidR="00ED0937" w:rsidRPr="00497C85" w:rsidRDefault="00ED0937" w:rsidP="00CA6024">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p>
        </w:tc>
      </w:tr>
      <w:tr w:rsidR="00ED0937" w:rsidRPr="00497C85" w14:paraId="2A7EDEA1" w14:textId="77777777" w:rsidTr="00CA6024">
        <w:tc>
          <w:tcPr>
            <w:cnfStyle w:val="001000000000" w:firstRow="0" w:lastRow="0" w:firstColumn="1" w:lastColumn="0" w:oddVBand="0" w:evenVBand="0" w:oddHBand="0" w:evenHBand="0" w:firstRowFirstColumn="0" w:firstRowLastColumn="0" w:lastRowFirstColumn="0" w:lastRowLastColumn="0"/>
            <w:tcW w:w="1384" w:type="dxa"/>
            <w:vAlign w:val="center"/>
          </w:tcPr>
          <w:p w14:paraId="7A9524F9" w14:textId="77777777" w:rsidR="00ED0937" w:rsidRPr="00497C85" w:rsidRDefault="00ED0937" w:rsidP="00CA6024">
            <w:pPr>
              <w:rPr>
                <w:rFonts w:cstheme="minorHAnsi"/>
                <w:lang w:val="en-US"/>
              </w:rPr>
            </w:pPr>
          </w:p>
        </w:tc>
        <w:tc>
          <w:tcPr>
            <w:tcW w:w="7858" w:type="dxa"/>
            <w:vAlign w:val="center"/>
          </w:tcPr>
          <w:p w14:paraId="46B86170" w14:textId="77777777" w:rsidR="00ED0937" w:rsidRPr="00497C85" w:rsidRDefault="00ED0937" w:rsidP="00CA6024">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p>
        </w:tc>
      </w:tr>
      <w:tr w:rsidR="00ED0937" w:rsidRPr="00497C85" w14:paraId="31FA4ECE" w14:textId="77777777" w:rsidTr="00CA6024">
        <w:tc>
          <w:tcPr>
            <w:cnfStyle w:val="001000000000" w:firstRow="0" w:lastRow="0" w:firstColumn="1" w:lastColumn="0" w:oddVBand="0" w:evenVBand="0" w:oddHBand="0" w:evenHBand="0" w:firstRowFirstColumn="0" w:firstRowLastColumn="0" w:lastRowFirstColumn="0" w:lastRowLastColumn="0"/>
            <w:tcW w:w="1384" w:type="dxa"/>
            <w:vAlign w:val="center"/>
          </w:tcPr>
          <w:p w14:paraId="602F9144" w14:textId="77777777" w:rsidR="00ED0937" w:rsidRPr="00497C85" w:rsidRDefault="00ED0937" w:rsidP="00CA6024">
            <w:pPr>
              <w:rPr>
                <w:rFonts w:cstheme="minorHAnsi"/>
                <w:lang w:val="en-US"/>
              </w:rPr>
            </w:pPr>
          </w:p>
        </w:tc>
        <w:tc>
          <w:tcPr>
            <w:tcW w:w="7858" w:type="dxa"/>
            <w:vAlign w:val="center"/>
          </w:tcPr>
          <w:p w14:paraId="1BE4C22F" w14:textId="77777777" w:rsidR="00ED0937" w:rsidRPr="00497C85" w:rsidRDefault="00ED0937" w:rsidP="00CA6024">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p>
        </w:tc>
      </w:tr>
    </w:tbl>
    <w:p w14:paraId="30EEE61C" w14:textId="77777777" w:rsidR="00960CD5" w:rsidRPr="006C328F" w:rsidRDefault="00960CD5" w:rsidP="006C328F">
      <w:pPr>
        <w:rPr>
          <w:lang w:val="en-US"/>
        </w:rPr>
      </w:pPr>
    </w:p>
    <w:sectPr w:rsidR="00960CD5" w:rsidRPr="006C328F">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FDB43" w14:textId="77777777" w:rsidR="00CA6024" w:rsidRDefault="00CA6024" w:rsidP="001A3992">
      <w:pPr>
        <w:spacing w:after="0" w:line="240" w:lineRule="auto"/>
      </w:pPr>
      <w:r>
        <w:separator/>
      </w:r>
    </w:p>
  </w:endnote>
  <w:endnote w:type="continuationSeparator" w:id="0">
    <w:p w14:paraId="0D7ED072" w14:textId="77777777" w:rsidR="00CA6024" w:rsidRDefault="00CA6024"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DC354" w14:textId="17CEBEE9" w:rsidR="00521371" w:rsidRPr="00521371" w:rsidRDefault="00521371">
    <w:pPr>
      <w:pStyle w:val="Footer"/>
      <w:rPr>
        <w:rFonts w:ascii="Times New Roman" w:hAnsi="Times New Roman" w:cs="Times New Roman"/>
      </w:rPr>
    </w:pPr>
    <w:r w:rsidRPr="00521371">
      <w:rPr>
        <w:rFonts w:ascii="Times New Roman" w:hAnsi="Times New Roman" w:cs="Times New Roman"/>
        <w:sz w:val="20"/>
      </w:rPr>
      <w:t xml:space="preserve">BRALTUS </w:t>
    </w:r>
    <w:r w:rsidRPr="00521371">
      <w:rPr>
        <w:rFonts w:ascii="Times New Roman" w:hAnsi="Times New Roman" w:cs="Times New Roman"/>
        <w:sz w:val="20"/>
      </w:rPr>
      <w:tab/>
    </w:r>
    <w:r w:rsidRPr="00521371">
      <w:rPr>
        <w:rFonts w:ascii="Times New Roman" w:hAnsi="Times New Roman" w:cs="Times New Roman"/>
        <w:sz w:val="20"/>
      </w:rPr>
      <w:tab/>
    </w:r>
    <w:r w:rsidR="00B044F8">
      <w:rPr>
        <w:rFonts w:ascii="Times New Roman" w:hAnsi="Times New Roman" w:cs="Times New Roman"/>
        <w:sz w:val="20"/>
      </w:rPr>
      <w:t>v 1.0</w:t>
    </w:r>
  </w:p>
  <w:p w14:paraId="258B3107" w14:textId="77777777" w:rsidR="00CA6024" w:rsidRPr="00B8074A" w:rsidRDefault="00CA6024" w:rsidP="00CA6024">
    <w:pPr>
      <w:pStyle w:val="Foote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1219A" w14:textId="77777777" w:rsidR="00CA6024" w:rsidRDefault="00CA6024" w:rsidP="001A3992">
      <w:pPr>
        <w:spacing w:after="0" w:line="240" w:lineRule="auto"/>
      </w:pPr>
      <w:r>
        <w:separator/>
      </w:r>
    </w:p>
  </w:footnote>
  <w:footnote w:type="continuationSeparator" w:id="0">
    <w:p w14:paraId="6EA31D39" w14:textId="77777777" w:rsidR="00CA6024" w:rsidRDefault="00CA6024" w:rsidP="001A3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769313794"/>
      <w:docPartObj>
        <w:docPartGallery w:val="Page Numbers (Top of Page)"/>
        <w:docPartUnique/>
      </w:docPartObj>
    </w:sdtPr>
    <w:sdtEndPr>
      <w:rPr>
        <w:rFonts w:ascii="Times New Roman" w:hAnsi="Times New Roman" w:cs="Times New Roman"/>
        <w:noProof/>
        <w:sz w:val="24"/>
        <w:szCs w:val="24"/>
      </w:rPr>
    </w:sdtEndPr>
    <w:sdtContent>
      <w:p w14:paraId="7B39CD36" w14:textId="77777777" w:rsidR="00521371" w:rsidRPr="00DE0C41" w:rsidRDefault="00521371" w:rsidP="00521371">
        <w:pPr>
          <w:pStyle w:val="Header"/>
          <w:tabs>
            <w:tab w:val="clear" w:pos="9026"/>
            <w:tab w:val="right" w:pos="9356"/>
          </w:tabs>
          <w:ind w:left="142"/>
          <w:rPr>
            <w:rFonts w:ascii="Times New Roman" w:hAnsi="Times New Roman" w:cs="Times New Roman"/>
            <w:noProof/>
            <w:sz w:val="24"/>
            <w:szCs w:val="24"/>
          </w:rPr>
        </w:pPr>
        <w:r w:rsidRPr="00DE0C41">
          <w:rPr>
            <w:rFonts w:ascii="Times New Roman" w:hAnsi="Times New Roman" w:cs="Times New Roman"/>
            <w:sz w:val="24"/>
            <w:szCs w:val="24"/>
          </w:rPr>
          <w:t>Product Information</w:t>
        </w:r>
        <w:r w:rsidRPr="00DE0C41">
          <w:rPr>
            <w:rFonts w:ascii="Times New Roman" w:hAnsi="Times New Roman" w:cs="Times New Roman"/>
            <w:sz w:val="24"/>
            <w:szCs w:val="24"/>
          </w:rPr>
          <w:tab/>
        </w:r>
        <w:r w:rsidRPr="00DE0C41">
          <w:rPr>
            <w:rFonts w:ascii="Times New Roman" w:hAnsi="Times New Roman" w:cs="Times New Roman"/>
            <w:sz w:val="24"/>
            <w:szCs w:val="24"/>
          </w:rPr>
          <w:tab/>
          <w:t xml:space="preserve">Page </w:t>
        </w:r>
        <w:r w:rsidRPr="00DE0C41">
          <w:rPr>
            <w:rFonts w:ascii="Times New Roman" w:hAnsi="Times New Roman" w:cs="Times New Roman"/>
            <w:sz w:val="24"/>
            <w:szCs w:val="24"/>
          </w:rPr>
          <w:fldChar w:fldCharType="begin"/>
        </w:r>
        <w:r w:rsidRPr="00DE0C41">
          <w:rPr>
            <w:rFonts w:ascii="Times New Roman" w:hAnsi="Times New Roman" w:cs="Times New Roman"/>
            <w:sz w:val="24"/>
            <w:szCs w:val="24"/>
          </w:rPr>
          <w:instrText xml:space="preserve"> PAGE   \* MERGEFORMAT </w:instrText>
        </w:r>
        <w:r w:rsidRPr="00DE0C41">
          <w:rPr>
            <w:rFonts w:ascii="Times New Roman" w:hAnsi="Times New Roman" w:cs="Times New Roman"/>
            <w:sz w:val="24"/>
            <w:szCs w:val="24"/>
          </w:rPr>
          <w:fldChar w:fldCharType="separate"/>
        </w:r>
        <w:r w:rsidR="00A650BB">
          <w:rPr>
            <w:rFonts w:ascii="Times New Roman" w:hAnsi="Times New Roman" w:cs="Times New Roman"/>
            <w:noProof/>
            <w:sz w:val="24"/>
            <w:szCs w:val="24"/>
          </w:rPr>
          <w:t>22</w:t>
        </w:r>
        <w:r w:rsidRPr="00DE0C41">
          <w:rPr>
            <w:rFonts w:ascii="Times New Roman" w:hAnsi="Times New Roman" w:cs="Times New Roman"/>
            <w:noProof/>
            <w:sz w:val="24"/>
            <w:szCs w:val="24"/>
          </w:rPr>
          <w:fldChar w:fldCharType="end"/>
        </w:r>
      </w:p>
    </w:sdtContent>
  </w:sdt>
  <w:tbl>
    <w:tblPr>
      <w:tblStyle w:val="TableGrid"/>
      <w:tblW w:w="0" w:type="auto"/>
      <w:shd w:val="clear" w:color="auto" w:fill="E4F2E0"/>
      <w:tblLook w:val="04A0" w:firstRow="1" w:lastRow="0" w:firstColumn="1" w:lastColumn="0" w:noHBand="0" w:noVBand="1"/>
    </w:tblPr>
    <w:tblGrid>
      <w:gridCol w:w="8720"/>
    </w:tblGrid>
    <w:tr w:rsidR="008253C7" w:rsidRPr="008253C7" w14:paraId="57686429" w14:textId="77777777" w:rsidTr="009A090B">
      <w:tc>
        <w:tcPr>
          <w:tcW w:w="8720" w:type="dxa"/>
          <w:shd w:val="clear" w:color="auto" w:fill="E4F2E0"/>
        </w:tcPr>
        <w:p w14:paraId="56F6DC25" w14:textId="77777777" w:rsidR="008253C7" w:rsidRPr="008253C7" w:rsidRDefault="008253C7" w:rsidP="009A090B">
          <w:pPr>
            <w:spacing w:before="40" w:after="40"/>
            <w:rPr>
              <w:rFonts w:ascii="Cambria" w:hAnsi="Cambria"/>
              <w:b/>
              <w:sz w:val="20"/>
              <w:szCs w:val="20"/>
            </w:rPr>
          </w:pPr>
          <w:r w:rsidRPr="008253C7">
            <w:rPr>
              <w:rFonts w:ascii="Cambria" w:hAnsi="Cambria"/>
              <w:b/>
              <w:sz w:val="20"/>
              <w:szCs w:val="20"/>
            </w:rPr>
            <w:t xml:space="preserve">Attachment 1: Product information for </w:t>
          </w:r>
          <w:proofErr w:type="spellStart"/>
          <w:r w:rsidRPr="008253C7">
            <w:rPr>
              <w:rFonts w:ascii="Cambria" w:hAnsi="Cambria"/>
              <w:b/>
              <w:sz w:val="20"/>
              <w:szCs w:val="20"/>
            </w:rPr>
            <w:t>AusPAR</w:t>
          </w:r>
          <w:proofErr w:type="spellEnd"/>
          <w:r w:rsidRPr="008253C7">
            <w:rPr>
              <w:rFonts w:ascii="Cambria" w:hAnsi="Cambria"/>
              <w:b/>
              <w:sz w:val="20"/>
              <w:szCs w:val="20"/>
            </w:rPr>
            <w:t xml:space="preserve"> BRALTUS - Tiotropium - </w:t>
          </w:r>
          <w:proofErr w:type="spellStart"/>
          <w:r w:rsidRPr="008253C7">
            <w:rPr>
              <w:rFonts w:ascii="Cambria" w:hAnsi="Cambria"/>
              <w:b/>
              <w:sz w:val="20"/>
              <w:szCs w:val="20"/>
            </w:rPr>
            <w:t>Teva</w:t>
          </w:r>
          <w:proofErr w:type="spellEnd"/>
          <w:r w:rsidRPr="008253C7">
            <w:rPr>
              <w:rFonts w:ascii="Cambria" w:hAnsi="Cambria"/>
              <w:b/>
              <w:sz w:val="20"/>
              <w:szCs w:val="20"/>
            </w:rPr>
            <w:t xml:space="preserve"> Pharmaceuticals Pty Ltd - PM-2017-03103-1-5 FINAL 13 June 2019. This is the Product Information that was approved with the submission described in this </w:t>
          </w:r>
          <w:proofErr w:type="spellStart"/>
          <w:r w:rsidRPr="008253C7">
            <w:rPr>
              <w:rFonts w:ascii="Cambria" w:hAnsi="Cambria"/>
              <w:b/>
              <w:sz w:val="20"/>
              <w:szCs w:val="20"/>
            </w:rPr>
            <w:t>AusPAR</w:t>
          </w:r>
          <w:proofErr w:type="spellEnd"/>
          <w:r w:rsidRPr="008253C7">
            <w:rPr>
              <w:rFonts w:ascii="Cambria" w:hAnsi="Cambria"/>
              <w:b/>
              <w:sz w:val="20"/>
              <w:szCs w:val="20"/>
            </w:rPr>
            <w:t>. It may have been superseded. For the most recent PI, please refer to the TGA website at &lt;</w:t>
          </w:r>
          <w:hyperlink r:id="rId1" w:history="1">
            <w:r w:rsidRPr="008253C7">
              <w:rPr>
                <w:rStyle w:val="Hyperlink"/>
                <w:rFonts w:ascii="Cambria" w:hAnsi="Cambria"/>
                <w:b/>
                <w:sz w:val="20"/>
                <w:szCs w:val="20"/>
              </w:rPr>
              <w:t>https://www.tga.gov.au/product-information-pi</w:t>
            </w:r>
          </w:hyperlink>
          <w:r w:rsidRPr="008253C7">
            <w:rPr>
              <w:rFonts w:ascii="Cambria" w:hAnsi="Cambria"/>
              <w:b/>
              <w:sz w:val="20"/>
              <w:szCs w:val="20"/>
            </w:rPr>
            <w:t>&gt;</w:t>
          </w:r>
        </w:p>
      </w:tc>
    </w:tr>
  </w:tbl>
  <w:p w14:paraId="73828A00" w14:textId="77777777" w:rsidR="00CA6024" w:rsidRPr="00521371" w:rsidRDefault="00CA6024" w:rsidP="005213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7803"/>
    <w:multiLevelType w:val="hybridMultilevel"/>
    <w:tmpl w:val="E272C78A"/>
    <w:lvl w:ilvl="0" w:tplc="834C644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F9576E"/>
    <w:multiLevelType w:val="hybridMultilevel"/>
    <w:tmpl w:val="1CFC732C"/>
    <w:lvl w:ilvl="0" w:tplc="834C644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AA32036"/>
    <w:multiLevelType w:val="hybridMultilevel"/>
    <w:tmpl w:val="0728EA30"/>
    <w:lvl w:ilvl="0" w:tplc="834C6448">
      <w:numFmt w:val="bullet"/>
      <w:lvlText w:val=""/>
      <w:lvlJc w:val="left"/>
      <w:pPr>
        <w:ind w:left="720" w:hanging="360"/>
      </w:pPr>
      <w:rPr>
        <w:rFonts w:ascii="Symbol" w:eastAsiaTheme="minorHAnsi" w:hAnsi="Symbol" w:cstheme="minorBidi" w:hint="default"/>
      </w:rPr>
    </w:lvl>
    <w:lvl w:ilvl="1" w:tplc="834C6448">
      <w:numFmt w:val="bullet"/>
      <w:lvlText w:val=""/>
      <w:lvlJc w:val="left"/>
      <w:pPr>
        <w:ind w:left="1440" w:hanging="360"/>
      </w:pPr>
      <w:rPr>
        <w:rFonts w:ascii="Symbol" w:eastAsiaTheme="minorHAnsi" w:hAnsi="Symbol"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AD35113"/>
    <w:multiLevelType w:val="hybridMultilevel"/>
    <w:tmpl w:val="C0540508"/>
    <w:lvl w:ilvl="0" w:tplc="834C6448">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87A2B2EE">
      <w:numFmt w:val="bullet"/>
      <w:lvlText w:val="·"/>
      <w:lvlJc w:val="left"/>
      <w:pPr>
        <w:ind w:left="2160" w:hanging="360"/>
      </w:pPr>
      <w:rPr>
        <w:rFonts w:ascii="Calibri" w:eastAsiaTheme="minorHAnsi" w:hAnsi="Calibri"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E3E7171"/>
    <w:multiLevelType w:val="hybridMultilevel"/>
    <w:tmpl w:val="A78C4BEE"/>
    <w:lvl w:ilvl="0" w:tplc="834C6448">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C22539"/>
    <w:multiLevelType w:val="hybridMultilevel"/>
    <w:tmpl w:val="37DC5AEA"/>
    <w:lvl w:ilvl="0" w:tplc="834C644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65A33D6"/>
    <w:multiLevelType w:val="hybridMultilevel"/>
    <w:tmpl w:val="901E4C86"/>
    <w:lvl w:ilvl="0" w:tplc="834C6448">
      <w:numFmt w:val="bullet"/>
      <w:lvlText w:val=""/>
      <w:lvlJc w:val="left"/>
      <w:pPr>
        <w:ind w:left="720" w:hanging="360"/>
      </w:pPr>
      <w:rPr>
        <w:rFonts w:ascii="Symbol" w:eastAsiaTheme="minorHAnsi" w:hAnsi="Symbol" w:cstheme="minorBidi" w:hint="default"/>
      </w:rPr>
    </w:lvl>
    <w:lvl w:ilvl="1" w:tplc="834C6448">
      <w:numFmt w:val="bullet"/>
      <w:lvlText w:val=""/>
      <w:lvlJc w:val="left"/>
      <w:pPr>
        <w:ind w:left="1440" w:hanging="360"/>
      </w:pPr>
      <w:rPr>
        <w:rFonts w:ascii="Symbol" w:eastAsiaTheme="minorHAnsi" w:hAnsi="Symbol"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5FE33CF"/>
    <w:multiLevelType w:val="hybridMultilevel"/>
    <w:tmpl w:val="E834AE8C"/>
    <w:lvl w:ilvl="0" w:tplc="834C6448">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9665AE2"/>
    <w:multiLevelType w:val="hybridMultilevel"/>
    <w:tmpl w:val="08DE9E94"/>
    <w:lvl w:ilvl="0" w:tplc="834C6448">
      <w:numFmt w:val="bullet"/>
      <w:lvlText w:val=""/>
      <w:lvlJc w:val="left"/>
      <w:pPr>
        <w:ind w:left="720" w:hanging="360"/>
      </w:pPr>
      <w:rPr>
        <w:rFonts w:ascii="Symbol" w:eastAsiaTheme="minorHAnsi" w:hAnsi="Symbol" w:cstheme="minorBidi" w:hint="default"/>
      </w:rPr>
    </w:lvl>
    <w:lvl w:ilvl="1" w:tplc="338A7CBA">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F3B2BC7"/>
    <w:multiLevelType w:val="hybridMultilevel"/>
    <w:tmpl w:val="1C5A1340"/>
    <w:lvl w:ilvl="0" w:tplc="834C6448">
      <w:numFmt w:val="bullet"/>
      <w:lvlText w:val=""/>
      <w:lvlJc w:val="left"/>
      <w:pPr>
        <w:ind w:left="360" w:hanging="360"/>
      </w:pPr>
      <w:rPr>
        <w:rFonts w:ascii="Symbol" w:eastAsiaTheme="minorHAnsi" w:hAnsi="Symbol" w:cstheme="minorBidi" w:hint="default"/>
      </w:rPr>
    </w:lvl>
    <w:lvl w:ilvl="1" w:tplc="05806AFC">
      <w:numFmt w:val="bullet"/>
      <w:lvlText w:val="·"/>
      <w:lvlJc w:val="left"/>
      <w:pPr>
        <w:ind w:left="1080" w:hanging="360"/>
      </w:pPr>
      <w:rPr>
        <w:rFonts w:ascii="Calibri" w:eastAsiaTheme="minorHAnsi" w:hAnsi="Calibri"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6E311EA7"/>
    <w:multiLevelType w:val="hybridMultilevel"/>
    <w:tmpl w:val="496AF7C6"/>
    <w:lvl w:ilvl="0" w:tplc="834C644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77F95BEA"/>
    <w:multiLevelType w:val="hybridMultilevel"/>
    <w:tmpl w:val="F904B256"/>
    <w:lvl w:ilvl="0" w:tplc="834C6448">
      <w:numFmt w:val="bullet"/>
      <w:lvlText w:val=""/>
      <w:lvlJc w:val="left"/>
      <w:pPr>
        <w:ind w:left="720" w:hanging="360"/>
      </w:pPr>
      <w:rPr>
        <w:rFonts w:ascii="Symbol" w:eastAsiaTheme="minorHAnsi" w:hAnsi="Symbol" w:cstheme="minorBidi" w:hint="default"/>
      </w:rPr>
    </w:lvl>
    <w:lvl w:ilvl="1" w:tplc="834C6448">
      <w:numFmt w:val="bullet"/>
      <w:lvlText w:val=""/>
      <w:lvlJc w:val="left"/>
      <w:pPr>
        <w:ind w:left="1440" w:hanging="360"/>
      </w:pPr>
      <w:rPr>
        <w:rFonts w:ascii="Symbol" w:eastAsiaTheme="minorHAnsi" w:hAnsi="Symbol"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9"/>
  </w:num>
  <w:num w:numId="4">
    <w:abstractNumId w:val="10"/>
  </w:num>
  <w:num w:numId="5">
    <w:abstractNumId w:val="0"/>
  </w:num>
  <w:num w:numId="6">
    <w:abstractNumId w:val="7"/>
  </w:num>
  <w:num w:numId="7">
    <w:abstractNumId w:val="5"/>
  </w:num>
  <w:num w:numId="8">
    <w:abstractNumId w:val="8"/>
  </w:num>
  <w:num w:numId="9">
    <w:abstractNumId w:val="6"/>
  </w:num>
  <w:num w:numId="10">
    <w:abstractNumId w:val="4"/>
  </w:num>
  <w:num w:numId="11">
    <w:abstractNumId w:val="1"/>
  </w:num>
  <w:num w:numId="12">
    <w:abstractNumId w:val="12"/>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809"/>
    <w:rsid w:val="00027A77"/>
    <w:rsid w:val="00131BBE"/>
    <w:rsid w:val="00174DE9"/>
    <w:rsid w:val="0019432B"/>
    <w:rsid w:val="001A3992"/>
    <w:rsid w:val="002047EA"/>
    <w:rsid w:val="00256002"/>
    <w:rsid w:val="002745A7"/>
    <w:rsid w:val="002D1401"/>
    <w:rsid w:val="002E277D"/>
    <w:rsid w:val="002E77A5"/>
    <w:rsid w:val="003241EA"/>
    <w:rsid w:val="003473F4"/>
    <w:rsid w:val="003A79FE"/>
    <w:rsid w:val="004032BD"/>
    <w:rsid w:val="00431ACD"/>
    <w:rsid w:val="00465473"/>
    <w:rsid w:val="00497C85"/>
    <w:rsid w:val="0050155F"/>
    <w:rsid w:val="00512BA0"/>
    <w:rsid w:val="00521371"/>
    <w:rsid w:val="005355DA"/>
    <w:rsid w:val="0056519B"/>
    <w:rsid w:val="00571486"/>
    <w:rsid w:val="00591558"/>
    <w:rsid w:val="005F1D6A"/>
    <w:rsid w:val="00645C3B"/>
    <w:rsid w:val="00671F33"/>
    <w:rsid w:val="00683787"/>
    <w:rsid w:val="006C328F"/>
    <w:rsid w:val="00706809"/>
    <w:rsid w:val="0073771A"/>
    <w:rsid w:val="007B7215"/>
    <w:rsid w:val="007E1DA2"/>
    <w:rsid w:val="007E693C"/>
    <w:rsid w:val="007F403C"/>
    <w:rsid w:val="008253C7"/>
    <w:rsid w:val="0085579C"/>
    <w:rsid w:val="008D12C4"/>
    <w:rsid w:val="00917D91"/>
    <w:rsid w:val="009230F3"/>
    <w:rsid w:val="00942DFC"/>
    <w:rsid w:val="00960CD5"/>
    <w:rsid w:val="009842EF"/>
    <w:rsid w:val="009906A5"/>
    <w:rsid w:val="009A0A5A"/>
    <w:rsid w:val="009C38D2"/>
    <w:rsid w:val="00A52B3B"/>
    <w:rsid w:val="00A57103"/>
    <w:rsid w:val="00A650BB"/>
    <w:rsid w:val="00A72894"/>
    <w:rsid w:val="00AA59BE"/>
    <w:rsid w:val="00B044F8"/>
    <w:rsid w:val="00BF4110"/>
    <w:rsid w:val="00C45896"/>
    <w:rsid w:val="00C85113"/>
    <w:rsid w:val="00CA6024"/>
    <w:rsid w:val="00CA6CCF"/>
    <w:rsid w:val="00D44BA0"/>
    <w:rsid w:val="00DF5E99"/>
    <w:rsid w:val="00E33F71"/>
    <w:rsid w:val="00E74A56"/>
    <w:rsid w:val="00EC5722"/>
    <w:rsid w:val="00ED0937"/>
    <w:rsid w:val="00EF6D97"/>
    <w:rsid w:val="00F81B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0C1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F81BEA"/>
    <w:pPr>
      <w:keepNext/>
      <w:keepLines/>
      <w:numPr>
        <w:numId w:val="1"/>
      </w:numPr>
      <w:spacing w:before="480" w:after="0"/>
      <w:outlineLvl w:val="0"/>
    </w:pPr>
    <w:rPr>
      <w:rFonts w:ascii="Times New Roman" w:eastAsiaTheme="majorEastAsia" w:hAnsi="Times New Roman" w:cstheme="majorBidi"/>
      <w:b/>
      <w:bCs/>
      <w:caps/>
      <w:sz w:val="28"/>
      <w:szCs w:val="28"/>
    </w:rPr>
  </w:style>
  <w:style w:type="paragraph" w:styleId="Heading2">
    <w:name w:val="heading 2"/>
    <w:basedOn w:val="Normal"/>
    <w:next w:val="Normal"/>
    <w:link w:val="Heading2Char"/>
    <w:uiPriority w:val="1"/>
    <w:unhideWhenUsed/>
    <w:qFormat/>
    <w:rsid w:val="0085579C"/>
    <w:pPr>
      <w:numPr>
        <w:ilvl w:val="1"/>
        <w:numId w:val="1"/>
      </w:numPr>
      <w:spacing w:before="240"/>
      <w:ind w:left="578" w:hanging="578"/>
      <w:outlineLvl w:val="1"/>
    </w:pPr>
    <w:rPr>
      <w:rFonts w:ascii="Times New Roman" w:hAnsi="Times New Roman"/>
      <w:b/>
      <w:smallCaps/>
      <w:sz w:val="24"/>
    </w:rPr>
  </w:style>
  <w:style w:type="paragraph" w:styleId="Heading3">
    <w:name w:val="heading 3"/>
    <w:basedOn w:val="Normal"/>
    <w:next w:val="Normal"/>
    <w:link w:val="Heading3Char"/>
    <w:uiPriority w:val="9"/>
    <w:unhideWhenUsed/>
    <w:qFormat/>
    <w:rsid w:val="007F403C"/>
    <w:pPr>
      <w:keepNext/>
      <w:keepLines/>
      <w:spacing w:before="200" w:after="0"/>
      <w:ind w:left="227"/>
      <w:outlineLvl w:val="2"/>
    </w:pPr>
    <w:rPr>
      <w:rFonts w:ascii="Times New Roman" w:eastAsiaTheme="majorEastAsia" w:hAnsi="Times New Roman"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81BEA"/>
    <w:rPr>
      <w:rFonts w:ascii="Times New Roman" w:eastAsiaTheme="majorEastAsia" w:hAnsi="Times New Roman" w:cstheme="majorBidi"/>
      <w:b/>
      <w:bCs/>
      <w:caps/>
      <w:sz w:val="28"/>
      <w:szCs w:val="28"/>
    </w:rPr>
  </w:style>
  <w:style w:type="character" w:customStyle="1" w:styleId="Heading2Char">
    <w:name w:val="Heading 2 Char"/>
    <w:basedOn w:val="DefaultParagraphFont"/>
    <w:link w:val="Heading2"/>
    <w:uiPriority w:val="1"/>
    <w:rsid w:val="0085579C"/>
    <w:rPr>
      <w:rFonts w:ascii="Times New Roman" w:hAnsi="Times New Roman"/>
      <w:b/>
      <w:smallCaps/>
      <w:sz w:val="24"/>
    </w:rPr>
  </w:style>
  <w:style w:type="character" w:customStyle="1" w:styleId="Heading3Char">
    <w:name w:val="Heading 3 Char"/>
    <w:basedOn w:val="DefaultParagraphFont"/>
    <w:link w:val="Heading3"/>
    <w:uiPriority w:val="9"/>
    <w:rsid w:val="007F403C"/>
    <w:rPr>
      <w:rFonts w:ascii="Times New Roman" w:eastAsiaTheme="majorEastAsia" w:hAnsi="Times New Roman"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1"/>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customStyle="1" w:styleId="InstructionalText">
    <w:name w:val="Instructional Text"/>
    <w:basedOn w:val="Normal"/>
    <w:qFormat/>
    <w:rsid w:val="00571486"/>
    <w:rPr>
      <w:i/>
      <w:vanish/>
      <w:color w:val="00B050"/>
    </w:rPr>
  </w:style>
  <w:style w:type="paragraph" w:styleId="BodyText">
    <w:name w:val="Body Text"/>
    <w:basedOn w:val="Normal"/>
    <w:link w:val="BodyTextChar"/>
    <w:uiPriority w:val="1"/>
    <w:qFormat/>
    <w:rsid w:val="00F81BEA"/>
    <w:pPr>
      <w:widowControl w:val="0"/>
      <w:spacing w:after="160" w:line="240" w:lineRule="auto"/>
      <w:ind w:left="113"/>
      <w:jc w:val="both"/>
    </w:pPr>
    <w:rPr>
      <w:rFonts w:ascii="Times New Roman" w:eastAsia="Times New Roman" w:hAnsi="Times New Roman" w:cs="Arial"/>
      <w:sz w:val="24"/>
      <w:szCs w:val="24"/>
      <w:lang w:val="en-US"/>
    </w:rPr>
  </w:style>
  <w:style w:type="character" w:customStyle="1" w:styleId="BodyTextChar">
    <w:name w:val="Body Text Char"/>
    <w:basedOn w:val="DefaultParagraphFont"/>
    <w:link w:val="BodyText"/>
    <w:uiPriority w:val="1"/>
    <w:rsid w:val="00F81BEA"/>
    <w:rPr>
      <w:rFonts w:ascii="Times New Roman" w:eastAsia="Times New Roman" w:hAnsi="Times New Roman" w:cs="Arial"/>
      <w:sz w:val="24"/>
      <w:szCs w:val="24"/>
      <w:lang w:val="en-US"/>
    </w:rPr>
  </w:style>
  <w:style w:type="paragraph" w:customStyle="1" w:styleId="TableParagraph">
    <w:name w:val="Table Paragraph"/>
    <w:basedOn w:val="Normal"/>
    <w:uiPriority w:val="1"/>
    <w:qFormat/>
    <w:rsid w:val="00CA6024"/>
    <w:pPr>
      <w:widowControl w:val="0"/>
      <w:spacing w:after="0" w:line="240" w:lineRule="auto"/>
    </w:pPr>
    <w:rPr>
      <w:lang w:val="en-US"/>
    </w:rPr>
  </w:style>
  <w:style w:type="table" w:styleId="TableGrid">
    <w:name w:val="Table Grid"/>
    <w:basedOn w:val="TableNormal"/>
    <w:uiPriority w:val="59"/>
    <w:rsid w:val="00CA602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A6024"/>
    <w:pPr>
      <w:widowControl w:val="0"/>
      <w:spacing w:after="0"/>
    </w:pPr>
    <w:rPr>
      <w:rFonts w:asciiTheme="minorHAnsi" w:hAnsiTheme="minorHAnsi"/>
      <w:b/>
      <w:bCs/>
      <w:lang w:val="en-US"/>
    </w:rPr>
  </w:style>
  <w:style w:type="character" w:customStyle="1" w:styleId="CommentSubjectChar">
    <w:name w:val="Comment Subject Char"/>
    <w:basedOn w:val="CommentTextChar"/>
    <w:link w:val="CommentSubject"/>
    <w:uiPriority w:val="99"/>
    <w:semiHidden/>
    <w:rsid w:val="00CA6024"/>
    <w:rPr>
      <w:rFonts w:ascii="Cambria" w:hAnsi="Cambria"/>
      <w:b/>
      <w:bCs/>
      <w:sz w:val="20"/>
      <w:szCs w:val="20"/>
      <w:lang w:val="en-US"/>
    </w:rPr>
  </w:style>
  <w:style w:type="paragraph" w:styleId="EndnoteText">
    <w:name w:val="endnote text"/>
    <w:basedOn w:val="Normal"/>
    <w:link w:val="EndnoteTextChar"/>
    <w:uiPriority w:val="99"/>
    <w:semiHidden/>
    <w:unhideWhenUsed/>
    <w:rsid w:val="00CA6024"/>
    <w:pPr>
      <w:widowControl w:val="0"/>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CA6024"/>
    <w:rPr>
      <w:sz w:val="20"/>
      <w:szCs w:val="20"/>
      <w:lang w:val="en-US"/>
    </w:rPr>
  </w:style>
  <w:style w:type="character" w:styleId="EndnoteReference">
    <w:name w:val="endnote reference"/>
    <w:basedOn w:val="DefaultParagraphFont"/>
    <w:uiPriority w:val="99"/>
    <w:semiHidden/>
    <w:unhideWhenUsed/>
    <w:rsid w:val="00CA6024"/>
    <w:rPr>
      <w:vertAlign w:val="superscript"/>
    </w:rPr>
  </w:style>
  <w:style w:type="paragraph" w:styleId="Caption">
    <w:name w:val="caption"/>
    <w:basedOn w:val="Normal"/>
    <w:next w:val="Normal"/>
    <w:uiPriority w:val="35"/>
    <w:unhideWhenUsed/>
    <w:qFormat/>
    <w:rsid w:val="00CA6024"/>
    <w:pPr>
      <w:widowControl w:val="0"/>
      <w:spacing w:line="240" w:lineRule="auto"/>
    </w:pPr>
    <w:rPr>
      <w:i/>
      <w:iCs/>
      <w:color w:val="1F497D" w:themeColor="text2"/>
      <w:sz w:val="18"/>
      <w:szCs w:val="18"/>
      <w:lang w:val="en-US"/>
    </w:rPr>
  </w:style>
  <w:style w:type="paragraph" w:styleId="Revision">
    <w:name w:val="Revision"/>
    <w:hidden/>
    <w:uiPriority w:val="99"/>
    <w:semiHidden/>
    <w:rsid w:val="00CA6024"/>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F81BEA"/>
    <w:pPr>
      <w:keepNext/>
      <w:keepLines/>
      <w:numPr>
        <w:numId w:val="1"/>
      </w:numPr>
      <w:spacing w:before="480" w:after="0"/>
      <w:outlineLvl w:val="0"/>
    </w:pPr>
    <w:rPr>
      <w:rFonts w:ascii="Times New Roman" w:eastAsiaTheme="majorEastAsia" w:hAnsi="Times New Roman" w:cstheme="majorBidi"/>
      <w:b/>
      <w:bCs/>
      <w:caps/>
      <w:sz w:val="28"/>
      <w:szCs w:val="28"/>
    </w:rPr>
  </w:style>
  <w:style w:type="paragraph" w:styleId="Heading2">
    <w:name w:val="heading 2"/>
    <w:basedOn w:val="Normal"/>
    <w:next w:val="Normal"/>
    <w:link w:val="Heading2Char"/>
    <w:uiPriority w:val="1"/>
    <w:unhideWhenUsed/>
    <w:qFormat/>
    <w:rsid w:val="0085579C"/>
    <w:pPr>
      <w:numPr>
        <w:ilvl w:val="1"/>
        <w:numId w:val="1"/>
      </w:numPr>
      <w:spacing w:before="240"/>
      <w:ind w:left="578" w:hanging="578"/>
      <w:outlineLvl w:val="1"/>
    </w:pPr>
    <w:rPr>
      <w:rFonts w:ascii="Times New Roman" w:hAnsi="Times New Roman"/>
      <w:b/>
      <w:smallCaps/>
      <w:sz w:val="24"/>
    </w:rPr>
  </w:style>
  <w:style w:type="paragraph" w:styleId="Heading3">
    <w:name w:val="heading 3"/>
    <w:basedOn w:val="Normal"/>
    <w:next w:val="Normal"/>
    <w:link w:val="Heading3Char"/>
    <w:uiPriority w:val="9"/>
    <w:unhideWhenUsed/>
    <w:qFormat/>
    <w:rsid w:val="007F403C"/>
    <w:pPr>
      <w:keepNext/>
      <w:keepLines/>
      <w:spacing w:before="200" w:after="0"/>
      <w:ind w:left="227"/>
      <w:outlineLvl w:val="2"/>
    </w:pPr>
    <w:rPr>
      <w:rFonts w:ascii="Times New Roman" w:eastAsiaTheme="majorEastAsia" w:hAnsi="Times New Roman"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81BEA"/>
    <w:rPr>
      <w:rFonts w:ascii="Times New Roman" w:eastAsiaTheme="majorEastAsia" w:hAnsi="Times New Roman" w:cstheme="majorBidi"/>
      <w:b/>
      <w:bCs/>
      <w:caps/>
      <w:sz w:val="28"/>
      <w:szCs w:val="28"/>
    </w:rPr>
  </w:style>
  <w:style w:type="character" w:customStyle="1" w:styleId="Heading2Char">
    <w:name w:val="Heading 2 Char"/>
    <w:basedOn w:val="DefaultParagraphFont"/>
    <w:link w:val="Heading2"/>
    <w:uiPriority w:val="1"/>
    <w:rsid w:val="0085579C"/>
    <w:rPr>
      <w:rFonts w:ascii="Times New Roman" w:hAnsi="Times New Roman"/>
      <w:b/>
      <w:smallCaps/>
      <w:sz w:val="24"/>
    </w:rPr>
  </w:style>
  <w:style w:type="character" w:customStyle="1" w:styleId="Heading3Char">
    <w:name w:val="Heading 3 Char"/>
    <w:basedOn w:val="DefaultParagraphFont"/>
    <w:link w:val="Heading3"/>
    <w:uiPriority w:val="9"/>
    <w:rsid w:val="007F403C"/>
    <w:rPr>
      <w:rFonts w:ascii="Times New Roman" w:eastAsiaTheme="majorEastAsia" w:hAnsi="Times New Roman"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1"/>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customStyle="1" w:styleId="InstructionalText">
    <w:name w:val="Instructional Text"/>
    <w:basedOn w:val="Normal"/>
    <w:qFormat/>
    <w:rsid w:val="00571486"/>
    <w:rPr>
      <w:i/>
      <w:vanish/>
      <w:color w:val="00B050"/>
    </w:rPr>
  </w:style>
  <w:style w:type="paragraph" w:styleId="BodyText">
    <w:name w:val="Body Text"/>
    <w:basedOn w:val="Normal"/>
    <w:link w:val="BodyTextChar"/>
    <w:uiPriority w:val="1"/>
    <w:qFormat/>
    <w:rsid w:val="00F81BEA"/>
    <w:pPr>
      <w:widowControl w:val="0"/>
      <w:spacing w:after="160" w:line="240" w:lineRule="auto"/>
      <w:ind w:left="113"/>
      <w:jc w:val="both"/>
    </w:pPr>
    <w:rPr>
      <w:rFonts w:ascii="Times New Roman" w:eastAsia="Times New Roman" w:hAnsi="Times New Roman" w:cs="Arial"/>
      <w:sz w:val="24"/>
      <w:szCs w:val="24"/>
      <w:lang w:val="en-US"/>
    </w:rPr>
  </w:style>
  <w:style w:type="character" w:customStyle="1" w:styleId="BodyTextChar">
    <w:name w:val="Body Text Char"/>
    <w:basedOn w:val="DefaultParagraphFont"/>
    <w:link w:val="BodyText"/>
    <w:uiPriority w:val="1"/>
    <w:rsid w:val="00F81BEA"/>
    <w:rPr>
      <w:rFonts w:ascii="Times New Roman" w:eastAsia="Times New Roman" w:hAnsi="Times New Roman" w:cs="Arial"/>
      <w:sz w:val="24"/>
      <w:szCs w:val="24"/>
      <w:lang w:val="en-US"/>
    </w:rPr>
  </w:style>
  <w:style w:type="paragraph" w:customStyle="1" w:styleId="TableParagraph">
    <w:name w:val="Table Paragraph"/>
    <w:basedOn w:val="Normal"/>
    <w:uiPriority w:val="1"/>
    <w:qFormat/>
    <w:rsid w:val="00CA6024"/>
    <w:pPr>
      <w:widowControl w:val="0"/>
      <w:spacing w:after="0" w:line="240" w:lineRule="auto"/>
    </w:pPr>
    <w:rPr>
      <w:lang w:val="en-US"/>
    </w:rPr>
  </w:style>
  <w:style w:type="table" w:styleId="TableGrid">
    <w:name w:val="Table Grid"/>
    <w:basedOn w:val="TableNormal"/>
    <w:uiPriority w:val="59"/>
    <w:rsid w:val="00CA602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A6024"/>
    <w:pPr>
      <w:widowControl w:val="0"/>
      <w:spacing w:after="0"/>
    </w:pPr>
    <w:rPr>
      <w:rFonts w:asciiTheme="minorHAnsi" w:hAnsiTheme="minorHAnsi"/>
      <w:b/>
      <w:bCs/>
      <w:lang w:val="en-US"/>
    </w:rPr>
  </w:style>
  <w:style w:type="character" w:customStyle="1" w:styleId="CommentSubjectChar">
    <w:name w:val="Comment Subject Char"/>
    <w:basedOn w:val="CommentTextChar"/>
    <w:link w:val="CommentSubject"/>
    <w:uiPriority w:val="99"/>
    <w:semiHidden/>
    <w:rsid w:val="00CA6024"/>
    <w:rPr>
      <w:rFonts w:ascii="Cambria" w:hAnsi="Cambria"/>
      <w:b/>
      <w:bCs/>
      <w:sz w:val="20"/>
      <w:szCs w:val="20"/>
      <w:lang w:val="en-US"/>
    </w:rPr>
  </w:style>
  <w:style w:type="paragraph" w:styleId="EndnoteText">
    <w:name w:val="endnote text"/>
    <w:basedOn w:val="Normal"/>
    <w:link w:val="EndnoteTextChar"/>
    <w:uiPriority w:val="99"/>
    <w:semiHidden/>
    <w:unhideWhenUsed/>
    <w:rsid w:val="00CA6024"/>
    <w:pPr>
      <w:widowControl w:val="0"/>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CA6024"/>
    <w:rPr>
      <w:sz w:val="20"/>
      <w:szCs w:val="20"/>
      <w:lang w:val="en-US"/>
    </w:rPr>
  </w:style>
  <w:style w:type="character" w:styleId="EndnoteReference">
    <w:name w:val="endnote reference"/>
    <w:basedOn w:val="DefaultParagraphFont"/>
    <w:uiPriority w:val="99"/>
    <w:semiHidden/>
    <w:unhideWhenUsed/>
    <w:rsid w:val="00CA6024"/>
    <w:rPr>
      <w:vertAlign w:val="superscript"/>
    </w:rPr>
  </w:style>
  <w:style w:type="paragraph" w:styleId="Caption">
    <w:name w:val="caption"/>
    <w:basedOn w:val="Normal"/>
    <w:next w:val="Normal"/>
    <w:uiPriority w:val="35"/>
    <w:unhideWhenUsed/>
    <w:qFormat/>
    <w:rsid w:val="00CA6024"/>
    <w:pPr>
      <w:widowControl w:val="0"/>
      <w:spacing w:line="240" w:lineRule="auto"/>
    </w:pPr>
    <w:rPr>
      <w:i/>
      <w:iCs/>
      <w:color w:val="1F497D" w:themeColor="text2"/>
      <w:sz w:val="18"/>
      <w:szCs w:val="18"/>
      <w:lang w:val="en-US"/>
    </w:rPr>
  </w:style>
  <w:style w:type="paragraph" w:styleId="Revision">
    <w:name w:val="Revision"/>
    <w:hidden/>
    <w:uiPriority w:val="99"/>
    <w:semiHidden/>
    <w:rsid w:val="00CA602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reporting-problems" TargetMode="External"/><Relationship Id="rId13" Type="http://schemas.openxmlformats.org/officeDocument/2006/relationships/image" Target="media/image5.emf"/><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evapharma.com.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mailto:au.teva@tevapharm.com"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1.WAR\AppData\Local\Temp\65\pi-template-new-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pi-template-new-format.dotx</Template>
  <TotalTime>4</TotalTime>
  <Pages>22</Pages>
  <Words>6821</Words>
  <Characters>38884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AusPAR Attachment 1: Product Information for Tiotropium</vt:lpstr>
    </vt:vector>
  </TitlesOfParts>
  <Company>Teva Pharma Australia Pty Ltd</Company>
  <LinksUpToDate>false</LinksUpToDate>
  <CharactersWithSpaces>45614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Tiotropium</dc:title>
  <dc:subject>Prescription medicines</dc:subject>
  <dc:creator>Nick Ward</dc:creator>
  <cp:keywords>AusPARs</cp:keywords>
  <cp:lastModifiedBy>SEARSON, Lisa</cp:lastModifiedBy>
  <cp:revision>4</cp:revision>
  <cp:lastPrinted>2017-09-05T05:25:00Z</cp:lastPrinted>
  <dcterms:created xsi:type="dcterms:W3CDTF">2019-08-13T05:46:00Z</dcterms:created>
  <dcterms:modified xsi:type="dcterms:W3CDTF">2019-08-13T05:52:00Z</dcterms:modified>
</cp:coreProperties>
</file>