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76314D7" w14:textId="77777777" w:rsidR="00A27F83" w:rsidRPr="00C32FD4" w:rsidRDefault="00A27F83" w:rsidP="00D74E2D">
      <w:pPr>
        <w:tabs>
          <w:tab w:val="left" w:pos="284"/>
        </w:tabs>
        <w:spacing w:after="600"/>
        <w:rPr>
          <w:rFonts w:asciiTheme="majorHAnsi" w:hAnsiTheme="majorHAnsi"/>
        </w:rPr>
      </w:pPr>
      <w:r w:rsidRPr="00C32FD4">
        <w:rPr>
          <w:noProof/>
        </w:rPr>
        <mc:AlternateContent>
          <mc:Choice Requires="wps">
            <w:drawing>
              <wp:inline distT="0" distB="0" distL="0" distR="0" wp14:anchorId="0F2357E5" wp14:editId="59EFB339">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B6EE2" w14:textId="77777777" w:rsidR="00BB2DAC" w:rsidRPr="00BE2A26" w:rsidRDefault="00BB2DAC" w:rsidP="00A27F83">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F2357E5"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edQIAAP4E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NFSnN64CpzsDbn6AZWA5ZurMraZfHFL6uiVqyy+t1X3LCYPosnAyeXZ0xHEB&#10;ZNO/1wyuITuvI9DQ2C6UDoqBAB1YejgyE0KhsJjP87ScY0Rh62CHG0g1HTbW+bdcdygYNbZAfAQn&#10;+1vnR9fJJdzltBRsLaSME7vdXEuL9gREso5fjP+Fm1TBWelwbEQcVyBGuCPshWgj6Y9llhfpVV7O&#10;1meL81mxLuaz8jxdzNKsvCrP0qIsbtbfQ4BZUbWCMa5uheKTALPi7wg+tMIonShB1Ne4nOfzkaE/&#10;JpnG73dJdsJDP0rR1XhxdCJV4PWNYpA2qTwRcrSTn8OPhEANpn+sSlRBIH6UgB82A6AEaWw0ewA9&#10;WA18AenwiIDRavsNox4assbu645YjpF8p0BToXsnw07GZjKIonC0xh6j0bz2Y5fvjBXbFpBH1Sp9&#10;CbprRNTEUxQHtUKTxeAPD0Lo4ufz6PX0bK1+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xv/qedQIAAP4EAAAOAAAAAAAAAAAA&#10;AAAAAC4CAABkcnMvZTJvRG9jLnhtbFBLAQItABQABgAIAAAAIQBj9U4M2QAAAAMBAAAPAAAAAAAA&#10;AAAAAAAAAM8EAABkcnMvZG93bnJldi54bWxQSwUGAAAAAAQABADzAAAA1QUAAAAA&#10;" stroked="f">
                <v:textbox inset="0,0,0,0">
                  <w:txbxContent>
                    <w:p w14:paraId="17CB6EE2" w14:textId="77777777" w:rsidR="00BB2DAC" w:rsidRPr="00BE2A26" w:rsidRDefault="00BB2DAC" w:rsidP="00A27F83">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C32FD4">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C32FD4">
          <w:rPr>
            <w:rStyle w:val="Hyperlink"/>
            <w:rFonts w:asciiTheme="majorHAnsi" w:hAnsiTheme="majorHAnsi"/>
          </w:rPr>
          <w:t>https://www.tga.gov.au/reporting-problems</w:t>
        </w:r>
      </w:hyperlink>
      <w:r w:rsidRPr="00C32FD4">
        <w:rPr>
          <w:rFonts w:asciiTheme="majorHAnsi" w:hAnsiTheme="majorHAnsi"/>
        </w:rPr>
        <w:t>.</w:t>
      </w:r>
    </w:p>
    <w:p w14:paraId="7B14A750" w14:textId="0DEC8885" w:rsidR="00163A7C" w:rsidRPr="00C32FD4" w:rsidRDefault="008671D6" w:rsidP="00D74E2D">
      <w:pPr>
        <w:pStyle w:val="Title"/>
        <w:spacing w:before="120" w:after="360"/>
        <w:rPr>
          <w:lang w:val="en-AU"/>
        </w:rPr>
      </w:pPr>
      <w:r w:rsidRPr="00C32FD4">
        <w:rPr>
          <w:lang w:val="en-AU"/>
        </w:rPr>
        <w:t xml:space="preserve">AUSTRALIAN </w:t>
      </w:r>
      <w:r w:rsidR="00163A7C" w:rsidRPr="00C32FD4">
        <w:rPr>
          <w:lang w:val="en-AU"/>
        </w:rPr>
        <w:t>PRODUCT INFORMATION</w:t>
      </w:r>
    </w:p>
    <w:p w14:paraId="21162EAA" w14:textId="3AFEE776" w:rsidR="00146570" w:rsidRPr="00C32FD4" w:rsidRDefault="002D1BE8" w:rsidP="006D6AED">
      <w:pPr>
        <w:pStyle w:val="Subtitle"/>
      </w:pPr>
      <w:r w:rsidRPr="00C32FD4">
        <w:t>ILUMYA</w:t>
      </w:r>
      <w:r w:rsidR="009002BF" w:rsidRPr="00C32FD4">
        <w:rPr>
          <w:vertAlign w:val="superscript"/>
        </w:rPr>
        <w:t>TM</w:t>
      </w:r>
      <w:r w:rsidR="00506012" w:rsidRPr="00C32FD4">
        <w:t xml:space="preserve"> </w:t>
      </w:r>
    </w:p>
    <w:p w14:paraId="6B08ECBF" w14:textId="77777777" w:rsidR="009F0D3D" w:rsidRPr="00C32FD4" w:rsidRDefault="00506012" w:rsidP="006D6AED">
      <w:pPr>
        <w:pStyle w:val="Subtitle2"/>
        <w:rPr>
          <w:lang w:val="en-AU"/>
        </w:rPr>
      </w:pPr>
      <w:r w:rsidRPr="00C32FD4">
        <w:rPr>
          <w:lang w:val="en-AU"/>
        </w:rPr>
        <w:t>100 mg</w:t>
      </w:r>
      <w:r w:rsidR="00B44CC1" w:rsidRPr="00C32FD4">
        <w:rPr>
          <w:lang w:val="en-AU"/>
        </w:rPr>
        <w:t xml:space="preserve"> /</w:t>
      </w:r>
      <w:r w:rsidR="00BB3A6B" w:rsidRPr="00C32FD4">
        <w:rPr>
          <w:lang w:val="en-AU"/>
        </w:rPr>
        <w:t xml:space="preserve">1 mL </w:t>
      </w:r>
      <w:r w:rsidR="000C5E33" w:rsidRPr="00C32FD4">
        <w:rPr>
          <w:lang w:val="en-AU"/>
        </w:rPr>
        <w:t>s</w:t>
      </w:r>
      <w:r w:rsidRPr="00C32FD4">
        <w:rPr>
          <w:lang w:val="en-AU"/>
        </w:rPr>
        <w:t>olution for injection</w:t>
      </w:r>
    </w:p>
    <w:p w14:paraId="506F560B" w14:textId="77777777" w:rsidR="009F0D3D" w:rsidRPr="00C32FD4" w:rsidRDefault="003F2438" w:rsidP="00D74E2D">
      <w:pPr>
        <w:pStyle w:val="Subtitle-activeingredient"/>
        <w:spacing w:after="360"/>
        <w:rPr>
          <w:lang w:val="en-AU"/>
        </w:rPr>
      </w:pPr>
      <w:r w:rsidRPr="00C32FD4">
        <w:rPr>
          <w:lang w:val="en-AU"/>
        </w:rPr>
        <w:t>(</w:t>
      </w:r>
      <w:proofErr w:type="spellStart"/>
      <w:r w:rsidR="00506012" w:rsidRPr="00C32FD4">
        <w:rPr>
          <w:lang w:val="en-AU"/>
        </w:rPr>
        <w:t>tildra</w:t>
      </w:r>
      <w:r w:rsidR="00983456" w:rsidRPr="00C32FD4">
        <w:rPr>
          <w:lang w:val="en-AU"/>
        </w:rPr>
        <w:t>kizumab</w:t>
      </w:r>
      <w:proofErr w:type="spellEnd"/>
      <w:r w:rsidRPr="00C32FD4">
        <w:rPr>
          <w:lang w:val="en-AU"/>
        </w:rPr>
        <w:t>)</w:t>
      </w:r>
    </w:p>
    <w:p w14:paraId="1C333566" w14:textId="0C46380E" w:rsidR="009F0D3D" w:rsidRPr="00C32FD4" w:rsidRDefault="008671D6" w:rsidP="00D74E2D">
      <w:pPr>
        <w:pStyle w:val="Heading1"/>
        <w:spacing w:before="480"/>
      </w:pPr>
      <w:r w:rsidRPr="00C32FD4">
        <w:t xml:space="preserve">1. </w:t>
      </w:r>
      <w:r w:rsidR="009F0D3D" w:rsidRPr="00C32FD4">
        <w:t>NAME OF THE MEDICINE</w:t>
      </w:r>
    </w:p>
    <w:p w14:paraId="7394386F" w14:textId="37E9F092" w:rsidR="009F0D3D" w:rsidRPr="00C32FD4" w:rsidRDefault="00983456" w:rsidP="00380805">
      <w:pPr>
        <w:pStyle w:val="BodyText"/>
      </w:pPr>
      <w:proofErr w:type="spellStart"/>
      <w:r w:rsidRPr="00C32FD4">
        <w:t>Tildrakizumab</w:t>
      </w:r>
      <w:proofErr w:type="spellEnd"/>
      <w:r w:rsidR="000E1C23" w:rsidRPr="00C32FD4">
        <w:t xml:space="preserve"> (</w:t>
      </w:r>
      <w:proofErr w:type="spellStart"/>
      <w:r w:rsidR="000E1C23" w:rsidRPr="00C32FD4">
        <w:t>rch</w:t>
      </w:r>
      <w:proofErr w:type="spellEnd"/>
      <w:r w:rsidR="000E1C23" w:rsidRPr="00C32FD4">
        <w:t>)</w:t>
      </w:r>
    </w:p>
    <w:p w14:paraId="0BF4AD04" w14:textId="1926BDFC" w:rsidR="00BB3A6B" w:rsidRPr="00C32FD4" w:rsidRDefault="00380805" w:rsidP="006D6AED">
      <w:pPr>
        <w:pStyle w:val="Heading1"/>
      </w:pPr>
      <w:r w:rsidRPr="00C32FD4">
        <w:t>2. QUANTITATIVE AND QUALITATIVE COMP</w:t>
      </w:r>
      <w:r w:rsidR="00035ED6" w:rsidRPr="00C32FD4">
        <w:t>O</w:t>
      </w:r>
      <w:r w:rsidRPr="00C32FD4">
        <w:t>SITION</w:t>
      </w:r>
    </w:p>
    <w:p w14:paraId="7E2990B3" w14:textId="13198D09" w:rsidR="00380805" w:rsidRPr="00C32FD4" w:rsidRDefault="004E7EA2" w:rsidP="00380805">
      <w:pPr>
        <w:pStyle w:val="BodyText"/>
      </w:pPr>
      <w:r>
        <w:t xml:space="preserve">The </w:t>
      </w:r>
      <w:r w:rsidR="00380805" w:rsidRPr="00C32FD4">
        <w:rPr>
          <w:rStyle w:val="BodyTextChar"/>
        </w:rPr>
        <w:t xml:space="preserve">single-use </w:t>
      </w:r>
      <w:r w:rsidR="00380805" w:rsidRPr="00C32FD4">
        <w:t>pre</w:t>
      </w:r>
      <w:r w:rsidR="00380805" w:rsidRPr="00C32FD4">
        <w:noBreakHyphen/>
        <w:t xml:space="preserve">filled syringe contains 100 mg/mL of </w:t>
      </w:r>
      <w:proofErr w:type="spellStart"/>
      <w:r w:rsidR="00380805" w:rsidRPr="00C32FD4">
        <w:t>tildrakizumab</w:t>
      </w:r>
      <w:proofErr w:type="spellEnd"/>
      <w:r w:rsidR="00380805" w:rsidRPr="00C32FD4">
        <w:t xml:space="preserve">. </w:t>
      </w:r>
    </w:p>
    <w:p w14:paraId="17B5924C" w14:textId="25079378" w:rsidR="00380805" w:rsidRPr="00C32FD4" w:rsidRDefault="00E46EAC" w:rsidP="00380805">
      <w:pPr>
        <w:pStyle w:val="BodyText"/>
      </w:pPr>
      <w:proofErr w:type="spellStart"/>
      <w:r w:rsidRPr="00C32FD4">
        <w:t>T</w:t>
      </w:r>
      <w:r w:rsidR="00380805" w:rsidRPr="00C32FD4">
        <w:t>ildrakizumab</w:t>
      </w:r>
      <w:proofErr w:type="spellEnd"/>
      <w:r w:rsidR="00380805" w:rsidRPr="00C32FD4">
        <w:t xml:space="preserve"> is a humanised IgG1/k monoclonal antibody produced </w:t>
      </w:r>
      <w:r w:rsidR="00380805" w:rsidRPr="00C32FD4">
        <w:rPr>
          <w:spacing w:val="2"/>
        </w:rPr>
        <w:t>b</w:t>
      </w:r>
      <w:r w:rsidR="00380805" w:rsidRPr="00C32FD4">
        <w:t>y r</w:t>
      </w:r>
      <w:r w:rsidR="00380805" w:rsidRPr="00C32FD4">
        <w:rPr>
          <w:spacing w:val="-2"/>
        </w:rPr>
        <w:t>e</w:t>
      </w:r>
      <w:r w:rsidR="00380805" w:rsidRPr="00C32FD4">
        <w:rPr>
          <w:spacing w:val="-1"/>
        </w:rPr>
        <w:t>c</w:t>
      </w:r>
      <w:r w:rsidR="00380805" w:rsidRPr="00C32FD4">
        <w:t>omb</w:t>
      </w:r>
      <w:r w:rsidR="00380805" w:rsidRPr="00C32FD4">
        <w:rPr>
          <w:spacing w:val="1"/>
        </w:rPr>
        <w:t>i</w:t>
      </w:r>
      <w:r w:rsidR="00380805" w:rsidRPr="00C32FD4">
        <w:t>n</w:t>
      </w:r>
      <w:r w:rsidR="00380805" w:rsidRPr="00C32FD4">
        <w:rPr>
          <w:spacing w:val="-1"/>
        </w:rPr>
        <w:t>a</w:t>
      </w:r>
      <w:r w:rsidR="00380805" w:rsidRPr="00C32FD4">
        <w:t>nt</w:t>
      </w:r>
      <w:r w:rsidR="00380805" w:rsidRPr="00C32FD4">
        <w:rPr>
          <w:spacing w:val="5"/>
        </w:rPr>
        <w:t xml:space="preserve"> </w:t>
      </w:r>
      <w:r w:rsidR="00380805" w:rsidRPr="00C32FD4">
        <w:t>D</w:t>
      </w:r>
      <w:r w:rsidR="00380805" w:rsidRPr="00C32FD4">
        <w:rPr>
          <w:spacing w:val="1"/>
        </w:rPr>
        <w:t>N</w:t>
      </w:r>
      <w:r w:rsidR="00380805" w:rsidRPr="00C32FD4">
        <w:t>A</w:t>
      </w:r>
      <w:r w:rsidR="00380805" w:rsidRPr="00C32FD4">
        <w:rPr>
          <w:spacing w:val="4"/>
        </w:rPr>
        <w:t xml:space="preserve"> </w:t>
      </w:r>
      <w:r w:rsidR="00380805" w:rsidRPr="00C32FD4">
        <w:t>te</w:t>
      </w:r>
      <w:r w:rsidR="00380805" w:rsidRPr="00C32FD4">
        <w:rPr>
          <w:spacing w:val="-1"/>
        </w:rPr>
        <w:t>c</w:t>
      </w:r>
      <w:r w:rsidR="00380805" w:rsidRPr="00C32FD4">
        <w:t>h</w:t>
      </w:r>
      <w:r w:rsidR="00380805" w:rsidRPr="00C32FD4">
        <w:rPr>
          <w:spacing w:val="2"/>
        </w:rPr>
        <w:t>n</w:t>
      </w:r>
      <w:r w:rsidR="00380805" w:rsidRPr="00C32FD4">
        <w:t>olo</w:t>
      </w:r>
      <w:r w:rsidR="00380805" w:rsidRPr="00C32FD4">
        <w:rPr>
          <w:spacing w:val="3"/>
        </w:rPr>
        <w:t>g</w:t>
      </w:r>
      <w:r w:rsidR="00380805" w:rsidRPr="00C32FD4">
        <w:t>y in</w:t>
      </w:r>
      <w:r w:rsidR="00380805" w:rsidRPr="00C32FD4">
        <w:rPr>
          <w:spacing w:val="5"/>
        </w:rPr>
        <w:t xml:space="preserve"> </w:t>
      </w:r>
      <w:r w:rsidR="00380805" w:rsidRPr="00C32FD4">
        <w:t>a</w:t>
      </w:r>
      <w:r w:rsidR="00380805" w:rsidRPr="00C32FD4">
        <w:rPr>
          <w:spacing w:val="4"/>
        </w:rPr>
        <w:t xml:space="preserve"> </w:t>
      </w:r>
      <w:r w:rsidR="00380805" w:rsidRPr="00C32FD4">
        <w:t>Chine</w:t>
      </w:r>
      <w:r w:rsidR="00380805" w:rsidRPr="00C32FD4">
        <w:rPr>
          <w:spacing w:val="2"/>
        </w:rPr>
        <w:t>s</w:t>
      </w:r>
      <w:r w:rsidR="00380805" w:rsidRPr="00C32FD4">
        <w:t>e</w:t>
      </w:r>
      <w:r w:rsidR="00380805" w:rsidRPr="00C32FD4">
        <w:rPr>
          <w:spacing w:val="4"/>
        </w:rPr>
        <w:t xml:space="preserve"> </w:t>
      </w:r>
      <w:r w:rsidR="00380805" w:rsidRPr="00C32FD4">
        <w:t>h</w:t>
      </w:r>
      <w:r w:rsidR="00380805" w:rsidRPr="00C32FD4">
        <w:rPr>
          <w:spacing w:val="-1"/>
        </w:rPr>
        <w:t>a</w:t>
      </w:r>
      <w:r w:rsidR="00380805" w:rsidRPr="00C32FD4">
        <w:rPr>
          <w:spacing w:val="3"/>
        </w:rPr>
        <w:t>m</w:t>
      </w:r>
      <w:r w:rsidR="00380805" w:rsidRPr="00C32FD4">
        <w:t>ster</w:t>
      </w:r>
      <w:r w:rsidR="00380805" w:rsidRPr="00C32FD4">
        <w:rPr>
          <w:spacing w:val="4"/>
        </w:rPr>
        <w:t xml:space="preserve"> </w:t>
      </w:r>
      <w:r w:rsidR="00380805" w:rsidRPr="00C32FD4">
        <w:t>ov</w:t>
      </w:r>
      <w:r w:rsidR="00380805" w:rsidRPr="00C32FD4">
        <w:rPr>
          <w:spacing w:val="-1"/>
        </w:rPr>
        <w:t>a</w:t>
      </w:r>
      <w:r w:rsidR="00380805" w:rsidRPr="00C32FD4">
        <w:rPr>
          <w:spacing w:val="4"/>
        </w:rPr>
        <w:t>r</w:t>
      </w:r>
      <w:r w:rsidR="00380805" w:rsidRPr="00C32FD4">
        <w:t>y</w:t>
      </w:r>
      <w:r w:rsidR="00380805" w:rsidRPr="00C32FD4">
        <w:rPr>
          <w:spacing w:val="2"/>
        </w:rPr>
        <w:t xml:space="preserve"> </w:t>
      </w:r>
      <w:r w:rsidR="00380805" w:rsidRPr="00C32FD4">
        <w:t>(CH</w:t>
      </w:r>
      <w:r w:rsidR="00380805" w:rsidRPr="00C32FD4">
        <w:rPr>
          <w:spacing w:val="-1"/>
        </w:rPr>
        <w:t>O</w:t>
      </w:r>
      <w:r w:rsidR="00380805" w:rsidRPr="00C32FD4">
        <w:t xml:space="preserve">) cells. </w:t>
      </w:r>
    </w:p>
    <w:p w14:paraId="3B66398D" w14:textId="56444273" w:rsidR="00380805" w:rsidRPr="00C32FD4" w:rsidRDefault="00380805" w:rsidP="00380805">
      <w:pPr>
        <w:pStyle w:val="BodyText"/>
      </w:pPr>
      <w:r w:rsidRPr="00C32FD4">
        <w:t>For a full list of excipients, see</w:t>
      </w:r>
      <w:r w:rsidR="00B85FDB">
        <w:t xml:space="preserve"> section</w:t>
      </w:r>
      <w:r w:rsidRPr="00C32FD4">
        <w:t xml:space="preserve"> </w:t>
      </w:r>
      <w:r w:rsidR="00737CA9">
        <w:rPr>
          <w:rStyle w:val="Hyperlink"/>
        </w:rPr>
        <w:fldChar w:fldCharType="begin"/>
      </w:r>
      <w:r w:rsidR="00737CA9">
        <w:rPr>
          <w:rStyle w:val="Hyperlink"/>
        </w:rPr>
        <w:instrText xml:space="preserve"> REF _Ref519172631 \h </w:instrText>
      </w:r>
      <w:r w:rsidR="00737CA9">
        <w:rPr>
          <w:rStyle w:val="Hyperlink"/>
        </w:rPr>
      </w:r>
      <w:r w:rsidR="00737CA9">
        <w:rPr>
          <w:rStyle w:val="Hyperlink"/>
        </w:rPr>
        <w:fldChar w:fldCharType="separate"/>
      </w:r>
      <w:r w:rsidR="00737CA9" w:rsidRPr="00C32FD4">
        <w:t xml:space="preserve">6.1 </w:t>
      </w:r>
      <w:r w:rsidR="00737CA9">
        <w:t>LIST OF EXCIPIENTS</w:t>
      </w:r>
      <w:r w:rsidR="00737CA9">
        <w:rPr>
          <w:rStyle w:val="Hyperlink"/>
        </w:rPr>
        <w:fldChar w:fldCharType="end"/>
      </w:r>
      <w:r w:rsidRPr="00C32FD4">
        <w:t>.</w:t>
      </w:r>
    </w:p>
    <w:p w14:paraId="449E299A" w14:textId="600EF61F" w:rsidR="009F0D3D" w:rsidRPr="00C32FD4" w:rsidRDefault="008671D6" w:rsidP="006D6AED">
      <w:pPr>
        <w:pStyle w:val="Heading1"/>
      </w:pPr>
      <w:bookmarkStart w:id="1" w:name="_Ref479155261"/>
      <w:r w:rsidRPr="00C32FD4">
        <w:t xml:space="preserve">3. </w:t>
      </w:r>
      <w:bookmarkEnd w:id="1"/>
      <w:r w:rsidRPr="00C32FD4">
        <w:t>PHARMACEUTICAL FORM</w:t>
      </w:r>
    </w:p>
    <w:p w14:paraId="59D30AC3" w14:textId="13B607C0" w:rsidR="003A1890" w:rsidRPr="00C32FD4" w:rsidRDefault="003A1890" w:rsidP="00380805">
      <w:pPr>
        <w:pStyle w:val="BodyText"/>
        <w:rPr>
          <w:rStyle w:val="BodyTextChar"/>
        </w:rPr>
      </w:pPr>
      <w:r w:rsidRPr="00C32FD4">
        <w:rPr>
          <w:rStyle w:val="BodyTextChar"/>
        </w:rPr>
        <w:t>S</w:t>
      </w:r>
      <w:r w:rsidR="00E35A6D" w:rsidRPr="00C32FD4">
        <w:rPr>
          <w:rStyle w:val="BodyTextChar"/>
        </w:rPr>
        <w:t xml:space="preserve">olution for injection </w:t>
      </w:r>
      <w:r w:rsidRPr="00C32FD4">
        <w:rPr>
          <w:rStyle w:val="BodyTextChar"/>
        </w:rPr>
        <w:t xml:space="preserve">in </w:t>
      </w:r>
      <w:r w:rsidR="004E7EA2">
        <w:rPr>
          <w:rStyle w:val="BodyTextChar"/>
        </w:rPr>
        <w:t xml:space="preserve">a </w:t>
      </w:r>
      <w:r w:rsidRPr="00C32FD4">
        <w:rPr>
          <w:rStyle w:val="BodyTextChar"/>
        </w:rPr>
        <w:t>single-use pre-filled syringe.</w:t>
      </w:r>
    </w:p>
    <w:p w14:paraId="02AEC6CD" w14:textId="17270DB9" w:rsidR="00E35A6D" w:rsidRPr="00C32FD4" w:rsidRDefault="003A1890" w:rsidP="00380805">
      <w:pPr>
        <w:pStyle w:val="BodyText"/>
        <w:rPr>
          <w:rFonts w:ascii="TimesNewRoman" w:hAnsi="Calibri" w:cs="TimesNewRoman"/>
        </w:rPr>
      </w:pPr>
      <w:r w:rsidRPr="00C32FD4">
        <w:rPr>
          <w:rStyle w:val="BodyTextChar"/>
        </w:rPr>
        <w:t xml:space="preserve">The solution </w:t>
      </w:r>
      <w:r w:rsidR="00E35A6D" w:rsidRPr="00C32FD4">
        <w:rPr>
          <w:rStyle w:val="BodyTextChar"/>
        </w:rPr>
        <w:t xml:space="preserve">is </w:t>
      </w:r>
      <w:r w:rsidR="00E35A6D" w:rsidRPr="00C32FD4">
        <w:t>clear to slightly opalescent</w:t>
      </w:r>
      <w:r w:rsidR="00607818" w:rsidRPr="00C32FD4">
        <w:t xml:space="preserve"> and</w:t>
      </w:r>
      <w:r w:rsidR="00E35A6D" w:rsidRPr="00C32FD4">
        <w:t xml:space="preserve"> colourless to slightly yellow</w:t>
      </w:r>
      <w:r w:rsidR="00E35A6D" w:rsidRPr="00C32FD4">
        <w:rPr>
          <w:rStyle w:val="BodyTextChar"/>
        </w:rPr>
        <w:t>.</w:t>
      </w:r>
      <w:r w:rsidR="00E35A6D" w:rsidRPr="00C32FD4">
        <w:rPr>
          <w:rFonts w:ascii="TimesNewRoman" w:hAnsi="Calibri" w:cs="TimesNewRoman"/>
        </w:rPr>
        <w:t xml:space="preserve"> </w:t>
      </w:r>
    </w:p>
    <w:p w14:paraId="060D4F63" w14:textId="4F09F8D2" w:rsidR="007F39E0" w:rsidRPr="00C32FD4" w:rsidRDefault="003A1890" w:rsidP="003A1890">
      <w:pPr>
        <w:pStyle w:val="Heading1"/>
      </w:pPr>
      <w:r w:rsidRPr="00C32FD4">
        <w:t>4. CLINICAL PARTICULARS</w:t>
      </w:r>
    </w:p>
    <w:p w14:paraId="3BB7A045" w14:textId="10D80154" w:rsidR="009F0D3D" w:rsidRPr="00C32FD4" w:rsidRDefault="003A1890" w:rsidP="00910E4A">
      <w:pPr>
        <w:pStyle w:val="Heading2"/>
      </w:pPr>
      <w:r w:rsidRPr="00C32FD4">
        <w:t xml:space="preserve">4.1 THERAPEUTIC </w:t>
      </w:r>
      <w:r w:rsidR="009F0D3D" w:rsidRPr="00C32FD4">
        <w:t>INDICATIONS</w:t>
      </w:r>
    </w:p>
    <w:p w14:paraId="0E8C5BC6" w14:textId="57F5A5BF" w:rsidR="009F0D3D" w:rsidRPr="00C32FD4" w:rsidRDefault="002D1BE8" w:rsidP="003A1890">
      <w:pPr>
        <w:pStyle w:val="BodyText"/>
      </w:pPr>
      <w:r w:rsidRPr="00C32FD4">
        <w:t>ILUMYA</w:t>
      </w:r>
      <w:r w:rsidR="00983456" w:rsidRPr="00C32FD4">
        <w:t xml:space="preserve"> is indicated for the treatment of adults with moderate-to-severe plaque psoriasis who are</w:t>
      </w:r>
      <w:r w:rsidR="00A908CD" w:rsidRPr="00C32FD4">
        <w:t xml:space="preserve"> </w:t>
      </w:r>
      <w:r w:rsidR="00983456" w:rsidRPr="00C32FD4">
        <w:t>candidates for systemic therapy.</w:t>
      </w:r>
    </w:p>
    <w:p w14:paraId="0BF55E7E" w14:textId="7FB4EC09" w:rsidR="003A1890" w:rsidRPr="00C32FD4" w:rsidRDefault="003A1890" w:rsidP="00910E4A">
      <w:pPr>
        <w:pStyle w:val="Heading2"/>
      </w:pPr>
      <w:r w:rsidRPr="00C32FD4">
        <w:t xml:space="preserve">4.2 DOSE AND </w:t>
      </w:r>
      <w:r w:rsidR="00910E4A" w:rsidRPr="00C32FD4">
        <w:t xml:space="preserve">METHOD OF </w:t>
      </w:r>
      <w:r w:rsidRPr="00C32FD4">
        <w:t>ADMINISTRATION</w:t>
      </w:r>
    </w:p>
    <w:p w14:paraId="5F36B2EE" w14:textId="2719A141" w:rsidR="003A1890" w:rsidRPr="00C32FD4" w:rsidRDefault="002D1BE8" w:rsidP="003A1890">
      <w:pPr>
        <w:pStyle w:val="BodyText"/>
      </w:pPr>
      <w:r w:rsidRPr="00C32FD4">
        <w:t>ILUMYA</w:t>
      </w:r>
      <w:r w:rsidR="003A1890" w:rsidRPr="00C32FD4">
        <w:t xml:space="preserve"> is intended for use under the guidance and supervision of a physician experienced in the diagnosis and treatment of psoriasis. It is administered by subcutaneous injection.</w:t>
      </w:r>
    </w:p>
    <w:p w14:paraId="2443E843" w14:textId="77777777" w:rsidR="003A1890" w:rsidRPr="00C32FD4" w:rsidRDefault="003A1890" w:rsidP="00910E4A">
      <w:pPr>
        <w:pStyle w:val="Heading3"/>
      </w:pPr>
      <w:r w:rsidRPr="00C32FD4">
        <w:lastRenderedPageBreak/>
        <w:t>Dosage:</w:t>
      </w:r>
    </w:p>
    <w:p w14:paraId="5C321D57" w14:textId="77777777" w:rsidR="003A1890" w:rsidRPr="00C32FD4" w:rsidRDefault="003A1890" w:rsidP="00910E4A">
      <w:pPr>
        <w:pStyle w:val="Heading4"/>
      </w:pPr>
      <w:r w:rsidRPr="00C32FD4">
        <w:t>Adults</w:t>
      </w:r>
    </w:p>
    <w:p w14:paraId="099C8BFE" w14:textId="49541FA6" w:rsidR="003A1890" w:rsidRPr="00C32FD4" w:rsidRDefault="003A1890" w:rsidP="003A1890">
      <w:pPr>
        <w:pStyle w:val="BodyText"/>
      </w:pPr>
      <w:r w:rsidRPr="00C32FD4">
        <w:t xml:space="preserve">The recommended dose </w:t>
      </w:r>
      <w:r w:rsidR="00B60964">
        <w:t xml:space="preserve">of ILUMYA </w:t>
      </w:r>
      <w:r w:rsidRPr="00C32FD4">
        <w:t xml:space="preserve">is </w:t>
      </w:r>
      <w:r w:rsidR="00B60964">
        <w:t>100</w:t>
      </w:r>
      <w:r w:rsidRPr="00C32FD4">
        <w:t xml:space="preserve"> mg </w:t>
      </w:r>
      <w:r w:rsidR="00B60964">
        <w:t xml:space="preserve">by subcutaneous injection </w:t>
      </w:r>
      <w:r w:rsidRPr="00C32FD4">
        <w:t>at weeks 0, 4 and every 12 weeks thereafter.</w:t>
      </w:r>
    </w:p>
    <w:p w14:paraId="466CE41E" w14:textId="77777777" w:rsidR="003A1890" w:rsidRPr="00C32FD4" w:rsidRDefault="003A1890" w:rsidP="003A1890">
      <w:pPr>
        <w:pStyle w:val="BodyText"/>
      </w:pPr>
      <w:r w:rsidRPr="00C32FD4">
        <w:t>If a dose is missed, administer the dose as soon as possible. Thereafter, resume dosing at the regularly scheduled interval.</w:t>
      </w:r>
    </w:p>
    <w:p w14:paraId="6E24BAFB" w14:textId="6F968F13" w:rsidR="003A1890" w:rsidRPr="00C32FD4" w:rsidRDefault="003A1890" w:rsidP="00910E4A">
      <w:pPr>
        <w:pStyle w:val="Heading3"/>
        <w:rPr>
          <w:rFonts w:eastAsia="TimesNewRoman"/>
        </w:rPr>
      </w:pPr>
      <w:r w:rsidRPr="00C32FD4">
        <w:rPr>
          <w:rFonts w:eastAsia="TimesNewRoman"/>
        </w:rPr>
        <w:t>Method of administration</w:t>
      </w:r>
      <w:r w:rsidR="00910E4A" w:rsidRPr="00C32FD4">
        <w:rPr>
          <w:rFonts w:eastAsia="TimesNewRoman"/>
        </w:rPr>
        <w:t>:</w:t>
      </w:r>
    </w:p>
    <w:p w14:paraId="122630E3" w14:textId="5BCC7DC1" w:rsidR="003A1890" w:rsidRPr="00C32FD4" w:rsidRDefault="002D1BE8" w:rsidP="003A1890">
      <w:pPr>
        <w:pStyle w:val="BodyText"/>
      </w:pPr>
      <w:r w:rsidRPr="00C32FD4">
        <w:t>ILUMYA</w:t>
      </w:r>
      <w:r w:rsidR="003A1890" w:rsidRPr="00C32FD4">
        <w:t xml:space="preserve"> </w:t>
      </w:r>
      <w:r w:rsidR="00D02D8F">
        <w:t xml:space="preserve">(1mL) </w:t>
      </w:r>
      <w:r w:rsidR="003A1890" w:rsidRPr="00C32FD4">
        <w:t>is administered by subcutaneous injection. Full instructions for use are provided in the Consumer Medicine Information.</w:t>
      </w:r>
    </w:p>
    <w:p w14:paraId="2E2BFE4A" w14:textId="2009F32D" w:rsidR="003A1890" w:rsidRPr="00C32FD4" w:rsidRDefault="003A1890" w:rsidP="003A1890">
      <w:pPr>
        <w:pStyle w:val="BodyText"/>
      </w:pPr>
      <w:r w:rsidRPr="00C32FD4">
        <w:t xml:space="preserve">After proper training in subcutaneous injection technique, patients may self-inject </w:t>
      </w:r>
      <w:r w:rsidR="002D1BE8" w:rsidRPr="00C32FD4">
        <w:t>ILUMYA</w:t>
      </w:r>
      <w:r w:rsidRPr="00C32FD4">
        <w:t xml:space="preserve"> if a healthcare professional determines that it is appropriate. However, the physician should ensure appropriate follow-up of patients.</w:t>
      </w:r>
    </w:p>
    <w:p w14:paraId="3C4EF71B" w14:textId="61DC1465" w:rsidR="003A1890" w:rsidRPr="00C32FD4" w:rsidRDefault="003A1890" w:rsidP="003A1890">
      <w:pPr>
        <w:pStyle w:val="BodyText"/>
      </w:pPr>
      <w:r w:rsidRPr="00C32FD4">
        <w:rPr>
          <w:spacing w:val="1"/>
        </w:rPr>
        <w:t>S</w:t>
      </w:r>
      <w:r w:rsidRPr="00C32FD4">
        <w:t>i</w:t>
      </w:r>
      <w:r w:rsidRPr="00C32FD4">
        <w:rPr>
          <w:spacing w:val="1"/>
        </w:rPr>
        <w:t>t</w:t>
      </w:r>
      <w:r w:rsidRPr="00C32FD4">
        <w:rPr>
          <w:spacing w:val="-1"/>
        </w:rPr>
        <w:t>e</w:t>
      </w:r>
      <w:r w:rsidRPr="00C32FD4">
        <w:t>s</w:t>
      </w:r>
      <w:r w:rsidRPr="00C32FD4">
        <w:rPr>
          <w:spacing w:val="1"/>
        </w:rPr>
        <w:t xml:space="preserve"> </w:t>
      </w:r>
      <w:r w:rsidRPr="00C32FD4">
        <w:t>for in</w:t>
      </w:r>
      <w:r w:rsidRPr="00C32FD4">
        <w:rPr>
          <w:spacing w:val="1"/>
        </w:rPr>
        <w:t>j</w:t>
      </w:r>
      <w:r w:rsidRPr="00C32FD4">
        <w:rPr>
          <w:spacing w:val="-1"/>
        </w:rPr>
        <w:t>ec</w:t>
      </w:r>
      <w:r w:rsidRPr="00C32FD4">
        <w:t>t</w:t>
      </w:r>
      <w:r w:rsidRPr="00C32FD4">
        <w:rPr>
          <w:spacing w:val="1"/>
        </w:rPr>
        <w:t>i</w:t>
      </w:r>
      <w:r w:rsidRPr="00C32FD4">
        <w:t>on</w:t>
      </w:r>
      <w:r w:rsidRPr="00C32FD4">
        <w:rPr>
          <w:spacing w:val="1"/>
        </w:rPr>
        <w:t xml:space="preserve"> </w:t>
      </w:r>
      <w:r w:rsidRPr="00C32FD4">
        <w:t>i</w:t>
      </w:r>
      <w:r w:rsidRPr="00C32FD4">
        <w:rPr>
          <w:spacing w:val="-2"/>
        </w:rPr>
        <w:t>n</w:t>
      </w:r>
      <w:r w:rsidRPr="00C32FD4">
        <w:rPr>
          <w:spacing w:val="-1"/>
        </w:rPr>
        <w:t>c</w:t>
      </w:r>
      <w:r w:rsidRPr="00C32FD4">
        <w:t>lude</w:t>
      </w:r>
      <w:r w:rsidRPr="00C32FD4">
        <w:rPr>
          <w:spacing w:val="1"/>
        </w:rPr>
        <w:t xml:space="preserve"> abdomen, thi</w:t>
      </w:r>
      <w:r w:rsidRPr="00C32FD4">
        <w:rPr>
          <w:spacing w:val="-2"/>
        </w:rPr>
        <w:t>g</w:t>
      </w:r>
      <w:r w:rsidRPr="00C32FD4">
        <w:t>hs,</w:t>
      </w:r>
      <w:r w:rsidRPr="00C32FD4">
        <w:rPr>
          <w:spacing w:val="1"/>
        </w:rPr>
        <w:t xml:space="preserve"> </w:t>
      </w:r>
      <w:r w:rsidRPr="00C32FD4">
        <w:t>or upp</w:t>
      </w:r>
      <w:r w:rsidRPr="00C32FD4">
        <w:rPr>
          <w:spacing w:val="-1"/>
        </w:rPr>
        <w:t>e</w:t>
      </w:r>
      <w:r w:rsidRPr="00C32FD4">
        <w:t xml:space="preserve">r </w:t>
      </w:r>
      <w:r w:rsidRPr="00C32FD4">
        <w:rPr>
          <w:spacing w:val="-1"/>
        </w:rPr>
        <w:t>a</w:t>
      </w:r>
      <w:r w:rsidRPr="00C32FD4">
        <w:t xml:space="preserve">rm. </w:t>
      </w:r>
      <w:r w:rsidRPr="00C32FD4">
        <w:rPr>
          <w:spacing w:val="5"/>
        </w:rPr>
        <w:t xml:space="preserve"> </w:t>
      </w:r>
      <w:r w:rsidRPr="00C32FD4">
        <w:t xml:space="preserve">Do not administer 5 cm around the navel or where the skin is tender, bruised, abnormally red, indurated or affected by psoriasis. Do not inject into scars, stretch marks, or blood vessels. </w:t>
      </w:r>
    </w:p>
    <w:p w14:paraId="60825EE8" w14:textId="77777777" w:rsidR="003A1890" w:rsidRPr="00C32FD4" w:rsidRDefault="003A1890" w:rsidP="003A1890">
      <w:pPr>
        <w:pStyle w:val="BodyText"/>
      </w:pPr>
      <w:r w:rsidRPr="00C32FD4">
        <w:t>The pre-filled syringe should be visually inspected for particulate matter and discolouration prior to administration. Product exhibiting particulate matter or discolouration must not be used. Do not shake.</w:t>
      </w:r>
    </w:p>
    <w:p w14:paraId="38C6BA91" w14:textId="426CE70E" w:rsidR="003A1890" w:rsidRPr="00C32FD4" w:rsidRDefault="003A1890" w:rsidP="003A1890">
      <w:pPr>
        <w:pStyle w:val="BodyText"/>
      </w:pPr>
    </w:p>
    <w:p w14:paraId="28EE740B" w14:textId="1BE533D6" w:rsidR="003A1890" w:rsidRPr="00C32FD4" w:rsidRDefault="002D1BE8" w:rsidP="003A1890">
      <w:pPr>
        <w:pStyle w:val="BodyText"/>
      </w:pPr>
      <w:r w:rsidRPr="00C32FD4">
        <w:t>ILUMYA</w:t>
      </w:r>
      <w:r w:rsidR="003A1890" w:rsidRPr="00C32FD4">
        <w:t xml:space="preserve"> does not contain any antimicrobial preservatives. Discard any unused product remaining in the pre-filled syringe. </w:t>
      </w:r>
      <w:r w:rsidRPr="00C32FD4">
        <w:t>ILUMYA</w:t>
      </w:r>
      <w:r w:rsidR="003A1890" w:rsidRPr="00C32FD4">
        <w:t xml:space="preserve"> pre-filled syringes are for single-use in one patient only. </w:t>
      </w:r>
    </w:p>
    <w:p w14:paraId="411F11F9" w14:textId="01D2D4D0" w:rsidR="00910E4A" w:rsidRPr="00C32FD4" w:rsidRDefault="00910E4A" w:rsidP="00910E4A">
      <w:pPr>
        <w:pStyle w:val="Heading3"/>
      </w:pPr>
      <w:r w:rsidRPr="00C32FD4">
        <w:t>Dosage adjustments in:</w:t>
      </w:r>
    </w:p>
    <w:p w14:paraId="22EE74BB" w14:textId="77777777" w:rsidR="00910E4A" w:rsidRPr="00C32FD4" w:rsidRDefault="00910E4A" w:rsidP="00910E4A">
      <w:pPr>
        <w:pStyle w:val="Heading4"/>
      </w:pPr>
      <w:r w:rsidRPr="00C32FD4">
        <w:t>Renal or hepatic impairment</w:t>
      </w:r>
    </w:p>
    <w:p w14:paraId="3100FF0E" w14:textId="4A6F2F4D" w:rsidR="00910E4A" w:rsidRPr="00C32FD4" w:rsidRDefault="002D1BE8" w:rsidP="00910E4A">
      <w:pPr>
        <w:pStyle w:val="BodyText"/>
      </w:pPr>
      <w:r w:rsidRPr="00C32FD4">
        <w:t>ILUMYA</w:t>
      </w:r>
      <w:r w:rsidR="00910E4A" w:rsidRPr="00C32FD4">
        <w:t xml:space="preserve"> has not been studied in these patient populations. No dose recommendations can be made.</w:t>
      </w:r>
    </w:p>
    <w:p w14:paraId="7500B1C6" w14:textId="77777777" w:rsidR="00910E4A" w:rsidRPr="00C32FD4" w:rsidRDefault="00910E4A" w:rsidP="00910E4A">
      <w:pPr>
        <w:pStyle w:val="Heading4"/>
      </w:pPr>
      <w:r w:rsidRPr="00C32FD4">
        <w:t>Elderly (≥ 65 years)</w:t>
      </w:r>
    </w:p>
    <w:p w14:paraId="36B0F80C" w14:textId="66E8EABD" w:rsidR="00910E4A" w:rsidRPr="00C32FD4" w:rsidRDefault="00910E4A" w:rsidP="00910E4A">
      <w:pPr>
        <w:pStyle w:val="BodyText"/>
      </w:pPr>
      <w:r w:rsidRPr="00C32FD4">
        <w:t xml:space="preserve">No dose adjustment is required (see </w:t>
      </w:r>
      <w:r w:rsidR="00B85FDB">
        <w:t xml:space="preserve">section </w:t>
      </w:r>
      <w:r w:rsidR="00C0165B" w:rsidRPr="00C32FD4">
        <w:rPr>
          <w:rStyle w:val="Hyperlink"/>
        </w:rPr>
        <w:fldChar w:fldCharType="begin"/>
      </w:r>
      <w:r w:rsidR="00C0165B" w:rsidRPr="00C32FD4">
        <w:rPr>
          <w:rStyle w:val="Hyperlink"/>
        </w:rPr>
        <w:instrText xml:space="preserve"> REF _Ref519172650 \h </w:instrText>
      </w:r>
      <w:r w:rsidR="00C0165B" w:rsidRPr="00C32FD4">
        <w:rPr>
          <w:rStyle w:val="Hyperlink"/>
        </w:rPr>
      </w:r>
      <w:r w:rsidR="00C0165B" w:rsidRPr="00C32FD4">
        <w:rPr>
          <w:rStyle w:val="Hyperlink"/>
        </w:rPr>
        <w:fldChar w:fldCharType="separate"/>
      </w:r>
      <w:r w:rsidR="00C0165B" w:rsidRPr="00C32FD4">
        <w:t>5.2 PHARMACOKINETIC PROPERTIES</w:t>
      </w:r>
      <w:r w:rsidR="00C0165B" w:rsidRPr="00C32FD4">
        <w:rPr>
          <w:rStyle w:val="Hyperlink"/>
        </w:rPr>
        <w:fldChar w:fldCharType="end"/>
      </w:r>
      <w:r w:rsidRPr="00C32FD4">
        <w:rPr>
          <w:b/>
        </w:rPr>
        <w:t>)</w:t>
      </w:r>
      <w:r w:rsidRPr="00C32FD4">
        <w:t>.</w:t>
      </w:r>
    </w:p>
    <w:p w14:paraId="0E457CC1" w14:textId="77777777" w:rsidR="00910E4A" w:rsidRPr="00C32FD4" w:rsidRDefault="00910E4A" w:rsidP="00910E4A">
      <w:pPr>
        <w:pStyle w:val="Heading4"/>
      </w:pPr>
      <w:r w:rsidRPr="00C32FD4">
        <w:t>Paediatric population</w:t>
      </w:r>
    </w:p>
    <w:p w14:paraId="1ACFA23A" w14:textId="282F0CF4" w:rsidR="00910E4A" w:rsidRPr="00C32FD4" w:rsidRDefault="00910E4A" w:rsidP="00910E4A">
      <w:pPr>
        <w:pStyle w:val="BodyText"/>
      </w:pPr>
      <w:r w:rsidRPr="00C32FD4">
        <w:t xml:space="preserve">The safety and efficacy of </w:t>
      </w:r>
      <w:r w:rsidR="002D1BE8" w:rsidRPr="00C32FD4">
        <w:t>ILUMYA</w:t>
      </w:r>
      <w:r w:rsidRPr="00C32FD4">
        <w:t xml:space="preserve"> in children and adolescents under 18 years of age has not yet been evaluated.</w:t>
      </w:r>
    </w:p>
    <w:p w14:paraId="34B5552D" w14:textId="4EEFF1DC" w:rsidR="009F0D3D" w:rsidRPr="00C32FD4" w:rsidRDefault="00910E4A" w:rsidP="00910E4A">
      <w:pPr>
        <w:pStyle w:val="Heading2"/>
      </w:pPr>
      <w:r w:rsidRPr="00C32FD4">
        <w:t xml:space="preserve">4.3 </w:t>
      </w:r>
      <w:r w:rsidR="009F0D3D" w:rsidRPr="00C32FD4">
        <w:t>CONTRAINDICATIONS</w:t>
      </w:r>
    </w:p>
    <w:p w14:paraId="2B917D89" w14:textId="3EDC4856" w:rsidR="00BF65BB" w:rsidRPr="00C32FD4" w:rsidRDefault="00BF65BB" w:rsidP="00380805">
      <w:pPr>
        <w:pStyle w:val="BodyText"/>
        <w:numPr>
          <w:ilvl w:val="0"/>
          <w:numId w:val="12"/>
        </w:numPr>
      </w:pPr>
      <w:r w:rsidRPr="00C32FD4">
        <w:t xml:space="preserve">Hypersensitivity to the active substance or to any of the excipients </w:t>
      </w:r>
      <w:r w:rsidR="00A8591C" w:rsidRPr="00C32FD4">
        <w:t>(see</w:t>
      </w:r>
      <w:r w:rsidR="00B85FDB">
        <w:t xml:space="preserve"> section</w:t>
      </w:r>
      <w:r w:rsidR="00A8591C" w:rsidRPr="00C32FD4">
        <w:t xml:space="preserve"> </w:t>
      </w:r>
      <w:r w:rsidR="00C0165B" w:rsidRPr="00C32FD4">
        <w:fldChar w:fldCharType="begin"/>
      </w:r>
      <w:r w:rsidR="00C0165B" w:rsidRPr="00C32FD4">
        <w:instrText xml:space="preserve"> REF _Ref519172660 \h </w:instrText>
      </w:r>
      <w:r w:rsidR="00C0165B" w:rsidRPr="00C32FD4">
        <w:fldChar w:fldCharType="separate"/>
      </w:r>
      <w:r w:rsidR="00C0165B" w:rsidRPr="00C32FD4">
        <w:t>4.4 SPECIAL WARNINGS AND PRECAUTIONS FOR USE</w:t>
      </w:r>
      <w:r w:rsidR="00C0165B" w:rsidRPr="00C32FD4">
        <w:fldChar w:fldCharType="end"/>
      </w:r>
      <w:r w:rsidR="00C0165B" w:rsidRPr="00C32FD4">
        <w:t xml:space="preserve"> </w:t>
      </w:r>
      <w:r w:rsidR="00AD1439" w:rsidRPr="00C32FD4">
        <w:t xml:space="preserve">and </w:t>
      </w:r>
      <w:r w:rsidR="00094AA2">
        <w:rPr>
          <w:rStyle w:val="Hyperlink"/>
        </w:rPr>
        <w:fldChar w:fldCharType="begin"/>
      </w:r>
      <w:r w:rsidR="00094AA2">
        <w:rPr>
          <w:rStyle w:val="Hyperlink"/>
        </w:rPr>
        <w:instrText xml:space="preserve"> REF _Ref519172631 \h </w:instrText>
      </w:r>
      <w:r w:rsidR="00094AA2">
        <w:rPr>
          <w:rStyle w:val="Hyperlink"/>
        </w:rPr>
      </w:r>
      <w:r w:rsidR="00094AA2">
        <w:rPr>
          <w:rStyle w:val="Hyperlink"/>
        </w:rPr>
        <w:fldChar w:fldCharType="separate"/>
      </w:r>
      <w:r w:rsidR="00094AA2" w:rsidRPr="00C32FD4">
        <w:t xml:space="preserve">6.1 </w:t>
      </w:r>
      <w:r w:rsidR="00094AA2">
        <w:t>LIST OF EXCIPIENTS</w:t>
      </w:r>
      <w:r w:rsidR="00094AA2">
        <w:rPr>
          <w:rStyle w:val="Hyperlink"/>
        </w:rPr>
        <w:fldChar w:fldCharType="end"/>
      </w:r>
      <w:r w:rsidR="00A8591C" w:rsidRPr="00C32FD4">
        <w:t>)</w:t>
      </w:r>
      <w:r w:rsidRPr="00C32FD4">
        <w:t>.</w:t>
      </w:r>
    </w:p>
    <w:p w14:paraId="0789B09D" w14:textId="23CFE2B0" w:rsidR="0008477C" w:rsidRPr="00C32FD4" w:rsidRDefault="00BF65BB" w:rsidP="00380805">
      <w:pPr>
        <w:pStyle w:val="BodyText"/>
        <w:numPr>
          <w:ilvl w:val="0"/>
          <w:numId w:val="12"/>
        </w:numPr>
      </w:pPr>
      <w:r w:rsidRPr="00C32FD4">
        <w:t>Clinically important active infection (e.g. active tuberculosis, see</w:t>
      </w:r>
      <w:r w:rsidR="00B85FDB">
        <w:t xml:space="preserve"> section</w:t>
      </w:r>
      <w:r w:rsidRPr="00C32FD4">
        <w:t xml:space="preserve"> </w:t>
      </w:r>
      <w:r w:rsidR="00C0165B" w:rsidRPr="00C32FD4">
        <w:rPr>
          <w:rStyle w:val="Hyperlink"/>
        </w:rPr>
        <w:fldChar w:fldCharType="begin"/>
      </w:r>
      <w:r w:rsidR="00C0165B" w:rsidRPr="00C32FD4">
        <w:rPr>
          <w:rStyle w:val="Hyperlink"/>
        </w:rPr>
        <w:instrText xml:space="preserve"> REF _Ref519172660 \h </w:instrText>
      </w:r>
      <w:r w:rsidR="00C0165B" w:rsidRPr="00C32FD4">
        <w:rPr>
          <w:rStyle w:val="Hyperlink"/>
        </w:rPr>
      </w:r>
      <w:r w:rsidR="00C0165B" w:rsidRPr="00C32FD4">
        <w:rPr>
          <w:rStyle w:val="Hyperlink"/>
        </w:rPr>
        <w:fldChar w:fldCharType="separate"/>
      </w:r>
      <w:r w:rsidR="00C0165B" w:rsidRPr="00C32FD4">
        <w:t>4.4 SPECIAL WARNINGS AND PRECAUTIONS FOR USE</w:t>
      </w:r>
      <w:r w:rsidR="00C0165B" w:rsidRPr="00C32FD4">
        <w:rPr>
          <w:rStyle w:val="Hyperlink"/>
        </w:rPr>
        <w:fldChar w:fldCharType="end"/>
      </w:r>
      <w:r w:rsidRPr="00C32FD4">
        <w:t>).</w:t>
      </w:r>
    </w:p>
    <w:p w14:paraId="388C454D" w14:textId="77AE1CEF" w:rsidR="009F0D3D" w:rsidRPr="00C32FD4" w:rsidRDefault="00910E4A" w:rsidP="00910E4A">
      <w:pPr>
        <w:pStyle w:val="Heading2"/>
      </w:pPr>
      <w:bookmarkStart w:id="2" w:name="_4.4_SPECIAL_WARNINGS"/>
      <w:bookmarkStart w:id="3" w:name="_Ref479155286"/>
      <w:bookmarkStart w:id="4" w:name="_Ref519172660"/>
      <w:bookmarkEnd w:id="2"/>
      <w:r w:rsidRPr="00C32FD4">
        <w:lastRenderedPageBreak/>
        <w:t xml:space="preserve">4.4 SPECIAL WARNINGS AND </w:t>
      </w:r>
      <w:r w:rsidR="009F0D3D" w:rsidRPr="00C32FD4">
        <w:t>PRECAUTIONS</w:t>
      </w:r>
      <w:bookmarkEnd w:id="3"/>
      <w:r w:rsidRPr="00C32FD4">
        <w:t xml:space="preserve"> FOR USE</w:t>
      </w:r>
      <w:bookmarkEnd w:id="4"/>
    </w:p>
    <w:p w14:paraId="784B5A49" w14:textId="77777777" w:rsidR="00663927" w:rsidRPr="00C32FD4" w:rsidRDefault="00663927" w:rsidP="00910E4A">
      <w:pPr>
        <w:pStyle w:val="Heading3"/>
        <w:rPr>
          <w:rFonts w:eastAsia="TimesNewRoman"/>
        </w:rPr>
      </w:pPr>
      <w:bookmarkStart w:id="5" w:name="_Infections"/>
      <w:bookmarkEnd w:id="5"/>
      <w:r w:rsidRPr="00C32FD4">
        <w:rPr>
          <w:rFonts w:eastAsia="TimesNewRoman"/>
        </w:rPr>
        <w:t>Infections</w:t>
      </w:r>
    </w:p>
    <w:p w14:paraId="7DD38F03" w14:textId="7B0DAEDC" w:rsidR="00663927" w:rsidRPr="00C32FD4" w:rsidRDefault="00663927" w:rsidP="00380805">
      <w:pPr>
        <w:pStyle w:val="BodyText"/>
      </w:pPr>
      <w:r w:rsidRPr="00C32FD4">
        <w:t xml:space="preserve">In clinical trials, there was no increased risk of infection in subjects treated with </w:t>
      </w:r>
      <w:r w:rsidR="002D1BE8" w:rsidRPr="00C32FD4">
        <w:t>ILUMYA</w:t>
      </w:r>
      <w:r w:rsidR="00143B1D" w:rsidRPr="00C32FD4">
        <w:t xml:space="preserve">, </w:t>
      </w:r>
      <w:r w:rsidRPr="00C32FD4">
        <w:t xml:space="preserve">however patients with active infections or a history of recurrent infections were not included in clinical trials. </w:t>
      </w:r>
      <w:r w:rsidR="00656A4A" w:rsidRPr="00C32FD4">
        <w:t xml:space="preserve">Caution should be exercised when considering the use of ILUMYA in patients with a chronic infection or a history of recurrent infection. </w:t>
      </w:r>
      <w:r w:rsidRPr="00C32FD4">
        <w:t>If a patient develops a serious infection</w:t>
      </w:r>
      <w:r w:rsidR="006D04F2" w:rsidRPr="00C32FD4">
        <w:t xml:space="preserve"> whilst on treatment with </w:t>
      </w:r>
      <w:r w:rsidR="002D1BE8" w:rsidRPr="00C32FD4">
        <w:t>ILUMYA</w:t>
      </w:r>
      <w:r w:rsidRPr="00C32FD4">
        <w:t>, the patient should be closely monitored.</w:t>
      </w:r>
    </w:p>
    <w:p w14:paraId="6AABC291" w14:textId="77777777" w:rsidR="00656A4A" w:rsidRPr="00C32FD4" w:rsidRDefault="002D1BE8" w:rsidP="00380805">
      <w:pPr>
        <w:pStyle w:val="BodyText"/>
      </w:pPr>
      <w:r w:rsidRPr="00C32FD4">
        <w:t>ILUMYA</w:t>
      </w:r>
      <w:r w:rsidR="00663927" w:rsidRPr="00C32FD4">
        <w:t xml:space="preserve"> must not be given to patients with active tuberculosis (TB). </w:t>
      </w:r>
    </w:p>
    <w:p w14:paraId="68A62E21" w14:textId="57F685BF" w:rsidR="00656A4A" w:rsidRPr="00C32FD4" w:rsidRDefault="00171D76" w:rsidP="00171D76">
      <w:pPr>
        <w:pStyle w:val="Heading3"/>
      </w:pPr>
      <w:r w:rsidRPr="00C32FD4">
        <w:t>Pre-treatment evaluation for tuberculosis</w:t>
      </w:r>
    </w:p>
    <w:p w14:paraId="1AD21BF6" w14:textId="1BD56234" w:rsidR="00663927" w:rsidRPr="00C32FD4" w:rsidRDefault="00171D76" w:rsidP="00380805">
      <w:pPr>
        <w:pStyle w:val="BodyText"/>
      </w:pPr>
      <w:r w:rsidRPr="00C32FD4">
        <w:t>Prior to initiating treatment with ILUMYA, patients should be evaluated for tuberculosis (TB) infection. Patients receiving ILUMYA should be monitored for signs and symptoms of active TB during and after treatment. A</w:t>
      </w:r>
      <w:r w:rsidR="00663927" w:rsidRPr="00C32FD4">
        <w:t xml:space="preserve">nti-TB therapy </w:t>
      </w:r>
      <w:r w:rsidRPr="00C32FD4">
        <w:t xml:space="preserve">should be considered </w:t>
      </w:r>
      <w:r w:rsidR="00663927" w:rsidRPr="00C32FD4">
        <w:t xml:space="preserve">prior to </w:t>
      </w:r>
      <w:r w:rsidR="00B90AAF" w:rsidRPr="00C32FD4">
        <w:t>initiating ILUMYA</w:t>
      </w:r>
      <w:r w:rsidR="00663927" w:rsidRPr="00C32FD4">
        <w:t xml:space="preserve"> in patients with </w:t>
      </w:r>
      <w:r w:rsidR="00B90AAF" w:rsidRPr="00C32FD4">
        <w:t xml:space="preserve">a past history of </w:t>
      </w:r>
      <w:r w:rsidR="00663927" w:rsidRPr="00C32FD4">
        <w:t>latent</w:t>
      </w:r>
      <w:r w:rsidR="00B90AAF" w:rsidRPr="00C32FD4">
        <w:t xml:space="preserve"> or active</w:t>
      </w:r>
      <w:r w:rsidR="00663927" w:rsidRPr="00C32FD4">
        <w:t xml:space="preserve"> TB</w:t>
      </w:r>
      <w:r w:rsidR="00B90AAF" w:rsidRPr="00C32FD4">
        <w:t xml:space="preserve"> in whom an adequate course of treatment cannot be confirmed</w:t>
      </w:r>
      <w:r w:rsidR="00663927" w:rsidRPr="00C32FD4">
        <w:t>.</w:t>
      </w:r>
    </w:p>
    <w:p w14:paraId="2B3DBE94" w14:textId="77777777" w:rsidR="00663927" w:rsidRPr="00C32FD4" w:rsidRDefault="00663927" w:rsidP="00910E4A">
      <w:pPr>
        <w:pStyle w:val="Heading3"/>
        <w:rPr>
          <w:rFonts w:eastAsia="TimesNewRoman"/>
        </w:rPr>
      </w:pPr>
      <w:bookmarkStart w:id="6" w:name="_Hypersensitivity"/>
      <w:bookmarkEnd w:id="6"/>
      <w:r w:rsidRPr="00C32FD4">
        <w:rPr>
          <w:rFonts w:eastAsia="TimesNewRoman"/>
        </w:rPr>
        <w:t>Hypersensitivity</w:t>
      </w:r>
    </w:p>
    <w:p w14:paraId="7AC50A14" w14:textId="2C877033" w:rsidR="00663927" w:rsidRPr="00C32FD4" w:rsidRDefault="00663927" w:rsidP="00380805">
      <w:pPr>
        <w:pStyle w:val="BodyText"/>
      </w:pPr>
      <w:r w:rsidRPr="00C32FD4">
        <w:t>Non</w:t>
      </w:r>
      <w:r w:rsidR="006B5907" w:rsidRPr="00C32FD4">
        <w:t>-</w:t>
      </w:r>
      <w:r w:rsidRPr="00C32FD4">
        <w:t xml:space="preserve">serious cases of </w:t>
      </w:r>
      <w:proofErr w:type="spellStart"/>
      <w:r w:rsidRPr="00C32FD4">
        <w:t>urticaria</w:t>
      </w:r>
      <w:proofErr w:type="spellEnd"/>
      <w:r w:rsidRPr="00C32FD4">
        <w:t xml:space="preserve"> occurred in </w:t>
      </w:r>
      <w:r w:rsidR="002D1BE8" w:rsidRPr="00C32FD4">
        <w:t>ILUMYA</w:t>
      </w:r>
      <w:r w:rsidR="00B6349A" w:rsidRPr="00C32FD4">
        <w:t>-</w:t>
      </w:r>
      <w:r w:rsidRPr="00C32FD4">
        <w:t>treated subjects in clinical trials. If a serious hypersensi</w:t>
      </w:r>
      <w:r w:rsidR="008B1F97" w:rsidRPr="00C32FD4">
        <w:t>ti</w:t>
      </w:r>
      <w:r w:rsidRPr="00C32FD4">
        <w:t xml:space="preserve">vity reaction occurs, administration of </w:t>
      </w:r>
      <w:r w:rsidR="002D1BE8" w:rsidRPr="00C32FD4">
        <w:t>ILUMYA</w:t>
      </w:r>
      <w:r w:rsidRPr="00C32FD4">
        <w:t xml:space="preserve"> should be discontinued immediately and appropriate therapy initiated.</w:t>
      </w:r>
    </w:p>
    <w:p w14:paraId="244F39CA" w14:textId="77777777" w:rsidR="00663927" w:rsidRPr="00C32FD4" w:rsidRDefault="00663927" w:rsidP="00910E4A">
      <w:pPr>
        <w:pStyle w:val="Heading3"/>
        <w:rPr>
          <w:rFonts w:eastAsia="TimesNewRoman"/>
        </w:rPr>
      </w:pPr>
      <w:bookmarkStart w:id="7" w:name="_Immunisations"/>
      <w:bookmarkEnd w:id="7"/>
      <w:r w:rsidRPr="00C32FD4">
        <w:rPr>
          <w:rFonts w:eastAsia="TimesNewRoman"/>
        </w:rPr>
        <w:t>Immunisations</w:t>
      </w:r>
    </w:p>
    <w:p w14:paraId="0E68BE0C" w14:textId="0126FD2A" w:rsidR="009F0D3D" w:rsidRPr="00C32FD4" w:rsidRDefault="00663927" w:rsidP="00380805">
      <w:pPr>
        <w:pStyle w:val="BodyText"/>
      </w:pPr>
      <w:r w:rsidRPr="00C32FD4">
        <w:t xml:space="preserve">Prior to </w:t>
      </w:r>
      <w:r w:rsidR="008B1F97" w:rsidRPr="00C32FD4">
        <w:t>initiating</w:t>
      </w:r>
      <w:r w:rsidRPr="00C32FD4">
        <w:t xml:space="preserve"> treatment with </w:t>
      </w:r>
      <w:r w:rsidR="002D1BE8" w:rsidRPr="00C32FD4">
        <w:t>ILUMYA</w:t>
      </w:r>
      <w:r w:rsidRPr="00C32FD4">
        <w:t>, consider completion of all appropriate immunisations</w:t>
      </w:r>
      <w:r w:rsidR="002E06E3" w:rsidRPr="00C32FD4">
        <w:t xml:space="preserve"> </w:t>
      </w:r>
      <w:r w:rsidRPr="00C32FD4">
        <w:t xml:space="preserve">according to current immunisation guidelines. </w:t>
      </w:r>
      <w:r w:rsidR="00C13700">
        <w:t xml:space="preserve">If a patient has received live viral or bacterial vaccination it is recommended to wait at least 4 weeks prior to starting treatment with </w:t>
      </w:r>
      <w:proofErr w:type="spellStart"/>
      <w:r w:rsidR="00C13700">
        <w:t>tildrakizumab</w:t>
      </w:r>
      <w:proofErr w:type="spellEnd"/>
      <w:r w:rsidR="00C13700">
        <w:t xml:space="preserve">. </w:t>
      </w:r>
      <w:r w:rsidRPr="00C32FD4">
        <w:t xml:space="preserve">Patients treated with </w:t>
      </w:r>
      <w:r w:rsidR="002D1BE8" w:rsidRPr="00C32FD4">
        <w:t>ILUMYA</w:t>
      </w:r>
      <w:r w:rsidRPr="00C32FD4">
        <w:t xml:space="preserve"> should not receive </w:t>
      </w:r>
      <w:r w:rsidR="002E06E3" w:rsidRPr="00C32FD4">
        <w:t xml:space="preserve">live </w:t>
      </w:r>
      <w:r w:rsidRPr="00C32FD4">
        <w:t>vaccines</w:t>
      </w:r>
      <w:r w:rsidR="00C13700">
        <w:t xml:space="preserve"> during treatment and for at least 17 weeks after treatment</w:t>
      </w:r>
      <w:r w:rsidRPr="00C32FD4">
        <w:t xml:space="preserve"> (see</w:t>
      </w:r>
      <w:r w:rsidR="00B85FDB">
        <w:t xml:space="preserve"> section</w:t>
      </w:r>
      <w:r w:rsidRPr="00C32FD4">
        <w:t xml:space="preserve"> </w:t>
      </w:r>
      <w:r w:rsidR="000E6DE4" w:rsidRPr="00C32FD4">
        <w:rPr>
          <w:rStyle w:val="Hyperlink"/>
        </w:rPr>
        <w:fldChar w:fldCharType="begin"/>
      </w:r>
      <w:r w:rsidR="000E6DE4" w:rsidRPr="00C32FD4">
        <w:rPr>
          <w:rStyle w:val="Hyperlink"/>
        </w:rPr>
        <w:instrText xml:space="preserve"> REF _Ref519172758 \h </w:instrText>
      </w:r>
      <w:r w:rsidR="000E6DE4" w:rsidRPr="00C32FD4">
        <w:rPr>
          <w:rStyle w:val="Hyperlink"/>
        </w:rPr>
      </w:r>
      <w:r w:rsidR="000E6DE4" w:rsidRPr="00C32FD4">
        <w:rPr>
          <w:rStyle w:val="Hyperlink"/>
        </w:rPr>
        <w:fldChar w:fldCharType="separate"/>
      </w:r>
      <w:r w:rsidR="000E6DE4" w:rsidRPr="00C32FD4">
        <w:t>4.5 INTERACTIONS WITH OTHER MEDICINES AND OTHER FORMS OF INTERACTIONS</w:t>
      </w:r>
      <w:r w:rsidR="000E6DE4" w:rsidRPr="00C32FD4">
        <w:rPr>
          <w:rStyle w:val="Hyperlink"/>
        </w:rPr>
        <w:fldChar w:fldCharType="end"/>
      </w:r>
      <w:r w:rsidRPr="00C32FD4">
        <w:t>).</w:t>
      </w:r>
    </w:p>
    <w:p w14:paraId="623C6EBE" w14:textId="77777777" w:rsidR="005B6D9F" w:rsidRPr="005B6D9F" w:rsidRDefault="005B6D9F" w:rsidP="005B6D9F">
      <w:pPr>
        <w:pStyle w:val="Heading3"/>
      </w:pPr>
      <w:r w:rsidRPr="005B6D9F">
        <w:t>Malignancy</w:t>
      </w:r>
    </w:p>
    <w:p w14:paraId="35D012EE" w14:textId="4883A49B" w:rsidR="005B6D9F" w:rsidRPr="005B6D9F" w:rsidRDefault="005B6D9F" w:rsidP="005B6D9F">
      <w:pPr>
        <w:pStyle w:val="BodyText"/>
      </w:pPr>
      <w:r w:rsidRPr="005B6D9F">
        <w:t xml:space="preserve">In the initial placebo-controlled period of the </w:t>
      </w:r>
      <w:r w:rsidR="008B7B7F">
        <w:t xml:space="preserve">Phase </w:t>
      </w:r>
      <w:r w:rsidRPr="005B6D9F">
        <w:t xml:space="preserve">2 </w:t>
      </w:r>
      <w:r w:rsidR="008B7B7F">
        <w:t xml:space="preserve">and Phase 3 </w:t>
      </w:r>
      <w:r w:rsidRPr="005B6D9F">
        <w:t xml:space="preserve">studies, a non-significant numerical imbalance between </w:t>
      </w:r>
      <w:proofErr w:type="spellStart"/>
      <w:r w:rsidRPr="005B6D9F">
        <w:t>tildrakizumab</w:t>
      </w:r>
      <w:proofErr w:type="spellEnd"/>
      <w:r w:rsidRPr="005B6D9F">
        <w:t xml:space="preserve">-treated patients and those receiving placebo with malignancies was reported (see </w:t>
      </w:r>
      <w:r w:rsidR="00B60964">
        <w:t xml:space="preserve">section </w:t>
      </w:r>
      <w:r w:rsidR="00B60964">
        <w:fldChar w:fldCharType="begin"/>
      </w:r>
      <w:r w:rsidR="00B60964">
        <w:instrText xml:space="preserve"> REF _Ref521938488 \h </w:instrText>
      </w:r>
      <w:r w:rsidR="00B60964">
        <w:fldChar w:fldCharType="separate"/>
      </w:r>
      <w:r w:rsidR="00B60964" w:rsidRPr="00C32FD4">
        <w:t>4.8 ADVERSE</w:t>
      </w:r>
      <w:r w:rsidR="00B60964" w:rsidRPr="00C32FD4">
        <w:rPr>
          <w:spacing w:val="1"/>
        </w:rPr>
        <w:t xml:space="preserve"> </w:t>
      </w:r>
      <w:r w:rsidR="00B60964" w:rsidRPr="00C32FD4">
        <w:t>EFFECTS (UNDESIRABLE EFFECTS)</w:t>
      </w:r>
      <w:r w:rsidR="00B60964">
        <w:fldChar w:fldCharType="end"/>
      </w:r>
      <w:r w:rsidRPr="005B6D9F">
        <w:t>).  As patients with prior or concurrent malignancy were excluded from the clinical trials, caution should be observed when treating patients with a history of malignancy or those who develop a malignancy during therapy.</w:t>
      </w:r>
    </w:p>
    <w:p w14:paraId="027685B3" w14:textId="77777777" w:rsidR="00A27AA5" w:rsidRDefault="00A27AA5" w:rsidP="005B6D9F">
      <w:pPr>
        <w:pStyle w:val="Heading3"/>
      </w:pPr>
      <w:r>
        <w:t>Use in the elderly</w:t>
      </w:r>
    </w:p>
    <w:p w14:paraId="28B615B6" w14:textId="48F394D5" w:rsidR="00A27AA5" w:rsidRDefault="00A27AA5" w:rsidP="00A27AA5">
      <w:pPr>
        <w:pStyle w:val="BodyText"/>
      </w:pPr>
      <w:r>
        <w:t>S</w:t>
      </w:r>
      <w:r w:rsidRPr="00C32FD4">
        <w:t xml:space="preserve">ee </w:t>
      </w:r>
      <w:r>
        <w:t xml:space="preserve">section </w:t>
      </w:r>
      <w:r w:rsidRPr="00C32FD4">
        <w:rPr>
          <w:rStyle w:val="Hyperlink"/>
        </w:rPr>
        <w:fldChar w:fldCharType="begin"/>
      </w:r>
      <w:r w:rsidRPr="00C32FD4">
        <w:rPr>
          <w:rStyle w:val="Hyperlink"/>
        </w:rPr>
        <w:instrText xml:space="preserve"> REF _Ref519172650 \h </w:instrText>
      </w:r>
      <w:r>
        <w:rPr>
          <w:rStyle w:val="Hyperlink"/>
        </w:rPr>
        <w:instrText xml:space="preserve"> \* MERGEFORMAT </w:instrText>
      </w:r>
      <w:r w:rsidRPr="00C32FD4">
        <w:rPr>
          <w:rStyle w:val="Hyperlink"/>
        </w:rPr>
      </w:r>
      <w:r w:rsidRPr="00C32FD4">
        <w:rPr>
          <w:rStyle w:val="Hyperlink"/>
        </w:rPr>
        <w:fldChar w:fldCharType="separate"/>
      </w:r>
      <w:r w:rsidRPr="00C32FD4">
        <w:t>5.2 PHARMACOKINETIC PROPERTIES</w:t>
      </w:r>
      <w:r w:rsidRPr="00C32FD4">
        <w:rPr>
          <w:rStyle w:val="Hyperlink"/>
        </w:rPr>
        <w:fldChar w:fldCharType="end"/>
      </w:r>
      <w:r w:rsidRPr="00C32FD4">
        <w:t>.</w:t>
      </w:r>
    </w:p>
    <w:p w14:paraId="4B5A79C8" w14:textId="1649CFD0" w:rsidR="00910E4A" w:rsidRPr="00C32FD4" w:rsidRDefault="00910E4A" w:rsidP="005B6D9F">
      <w:pPr>
        <w:pStyle w:val="Heading3"/>
      </w:pPr>
      <w:r w:rsidRPr="00C32FD4">
        <w:t>Paediatric Use</w:t>
      </w:r>
    </w:p>
    <w:p w14:paraId="634F86A8" w14:textId="743726B1" w:rsidR="009F0D3D" w:rsidRDefault="00910E4A" w:rsidP="00910E4A">
      <w:pPr>
        <w:pStyle w:val="BodyText"/>
      </w:pPr>
      <w:r w:rsidRPr="00C32FD4">
        <w:t xml:space="preserve">The safety and efficacy of </w:t>
      </w:r>
      <w:r w:rsidR="002D1BE8" w:rsidRPr="00C32FD4">
        <w:t>ILUMYA</w:t>
      </w:r>
      <w:r w:rsidRPr="00C32FD4">
        <w:t xml:space="preserve"> in children and adolescents under 18 years of age has not yet been evaluated.</w:t>
      </w:r>
      <w:r w:rsidR="003B786B">
        <w:t xml:space="preserve"> </w:t>
      </w:r>
    </w:p>
    <w:p w14:paraId="4CB9E20E" w14:textId="77777777" w:rsidR="003B786B" w:rsidRDefault="003B786B" w:rsidP="003B786B">
      <w:pPr>
        <w:pStyle w:val="Heading3"/>
      </w:pPr>
      <w:r>
        <w:t>Effects on laboratory tests</w:t>
      </w:r>
    </w:p>
    <w:p w14:paraId="02D4455F" w14:textId="48C7EACC" w:rsidR="003B786B" w:rsidRDefault="003B786B" w:rsidP="00910E4A">
      <w:pPr>
        <w:pStyle w:val="BodyText"/>
      </w:pPr>
      <w:r>
        <w:t xml:space="preserve">No data available. </w:t>
      </w:r>
    </w:p>
    <w:p w14:paraId="2BC64326" w14:textId="16ADFC8C" w:rsidR="00910E4A" w:rsidRPr="00C32FD4" w:rsidRDefault="00910E4A" w:rsidP="00910E4A">
      <w:pPr>
        <w:pStyle w:val="Heading2"/>
      </w:pPr>
      <w:bookmarkStart w:id="8" w:name="_4.5_INTERACTIONS_WITH"/>
      <w:bookmarkStart w:id="9" w:name="_Ref479155316"/>
      <w:bookmarkStart w:id="10" w:name="_Ref519172758"/>
      <w:bookmarkEnd w:id="8"/>
      <w:r w:rsidRPr="00C32FD4">
        <w:lastRenderedPageBreak/>
        <w:t>4.5 INTERACTIONS WITH OTHER MEDICINES</w:t>
      </w:r>
      <w:bookmarkEnd w:id="9"/>
      <w:r w:rsidRPr="00C32FD4">
        <w:t xml:space="preserve"> AND OTHER FORMS OF INTERACTIONS</w:t>
      </w:r>
      <w:bookmarkEnd w:id="10"/>
    </w:p>
    <w:p w14:paraId="700AD1C8" w14:textId="4FCAEF60" w:rsidR="00910E4A" w:rsidRPr="00C32FD4" w:rsidRDefault="00910E4A" w:rsidP="00910E4A">
      <w:pPr>
        <w:pStyle w:val="BodyText"/>
      </w:pPr>
      <w:r w:rsidRPr="00C32FD4">
        <w:t xml:space="preserve">Live vaccines should not be given concurrently with </w:t>
      </w:r>
      <w:r w:rsidR="002D1BE8" w:rsidRPr="00C32FD4">
        <w:t>ILUMYA</w:t>
      </w:r>
      <w:r w:rsidRPr="00C32FD4">
        <w:t xml:space="preserve"> (see </w:t>
      </w:r>
      <w:hyperlink w:anchor="_Immunisations" w:history="1">
        <w:r w:rsidR="009E2920" w:rsidRPr="00C32FD4">
          <w:rPr>
            <w:rStyle w:val="Hyperlink"/>
          </w:rPr>
          <w:t>section</w:t>
        </w:r>
      </w:hyperlink>
      <w:r w:rsidR="00B85FDB">
        <w:rPr>
          <w:rStyle w:val="Hyperlink"/>
        </w:rPr>
        <w:t xml:space="preserve"> </w:t>
      </w:r>
      <w:r w:rsidR="000E6DE4" w:rsidRPr="00C32FD4">
        <w:rPr>
          <w:rStyle w:val="Hyperlink"/>
        </w:rPr>
        <w:fldChar w:fldCharType="begin"/>
      </w:r>
      <w:r w:rsidR="000E6DE4" w:rsidRPr="00C32FD4">
        <w:rPr>
          <w:rStyle w:val="Hyperlink"/>
        </w:rPr>
        <w:instrText xml:space="preserve"> REF _Ref519172660 \h </w:instrText>
      </w:r>
      <w:r w:rsidR="000E6DE4" w:rsidRPr="00C32FD4">
        <w:rPr>
          <w:rStyle w:val="Hyperlink"/>
        </w:rPr>
      </w:r>
      <w:r w:rsidR="000E6DE4" w:rsidRPr="00C32FD4">
        <w:rPr>
          <w:rStyle w:val="Hyperlink"/>
        </w:rPr>
        <w:fldChar w:fldCharType="separate"/>
      </w:r>
      <w:r w:rsidR="000E6DE4" w:rsidRPr="00C32FD4">
        <w:t>4.4 SPECIAL WARNINGS AND PRECAUTIONS FOR USE</w:t>
      </w:r>
      <w:r w:rsidR="000E6DE4" w:rsidRPr="00C32FD4">
        <w:rPr>
          <w:rStyle w:val="Hyperlink"/>
        </w:rPr>
        <w:fldChar w:fldCharType="end"/>
      </w:r>
      <w:r w:rsidRPr="00C32FD4">
        <w:t>).</w:t>
      </w:r>
    </w:p>
    <w:p w14:paraId="3DEC401A" w14:textId="4A8C87CB" w:rsidR="00910E4A" w:rsidRPr="00C32FD4" w:rsidRDefault="00910E4A" w:rsidP="00910E4A">
      <w:pPr>
        <w:pStyle w:val="BodyText"/>
      </w:pPr>
      <w:r w:rsidRPr="00C32FD4">
        <w:t xml:space="preserve">Results from a drug-drug interactions study conducted in psoriasis subjects suggest that </w:t>
      </w:r>
      <w:r w:rsidR="002D1BE8" w:rsidRPr="00C32FD4">
        <w:t>ILUMYA</w:t>
      </w:r>
      <w:r w:rsidRPr="00C32FD4">
        <w:t xml:space="preserve"> had no clinically relevant effect on cytochrome p450 (CYP) enzymes CYP1A2, CYP2C9, CYP2C19, CYP2D6 and CYP3A4 (see </w:t>
      </w:r>
      <w:hyperlink w:anchor="_Drug_interactions" w:history="1">
        <w:r w:rsidR="00CC471A" w:rsidRPr="00C32FD4">
          <w:rPr>
            <w:rStyle w:val="Hyperlink"/>
          </w:rPr>
          <w:t>section</w:t>
        </w:r>
        <w:r w:rsidR="00B85FDB">
          <w:rPr>
            <w:rStyle w:val="Hyperlink"/>
          </w:rPr>
          <w:t xml:space="preserve"> </w:t>
        </w:r>
        <w:r w:rsidR="000E6DE4" w:rsidRPr="00C32FD4">
          <w:rPr>
            <w:rStyle w:val="Hyperlink"/>
          </w:rPr>
          <w:fldChar w:fldCharType="begin"/>
        </w:r>
        <w:r w:rsidR="000E6DE4" w:rsidRPr="00C32FD4">
          <w:rPr>
            <w:rStyle w:val="Hyperlink"/>
          </w:rPr>
          <w:instrText xml:space="preserve"> REF _Ref519172650 \h </w:instrText>
        </w:r>
        <w:r w:rsidR="000E6DE4" w:rsidRPr="00C32FD4">
          <w:rPr>
            <w:rStyle w:val="Hyperlink"/>
          </w:rPr>
        </w:r>
        <w:r w:rsidR="000E6DE4" w:rsidRPr="00C32FD4">
          <w:rPr>
            <w:rStyle w:val="Hyperlink"/>
          </w:rPr>
          <w:fldChar w:fldCharType="separate"/>
        </w:r>
        <w:r w:rsidR="000E6DE4" w:rsidRPr="00C32FD4">
          <w:t>5.2 PHARMACOKINETIC PROPERTIES</w:t>
        </w:r>
        <w:r w:rsidR="000E6DE4" w:rsidRPr="00C32FD4">
          <w:rPr>
            <w:rStyle w:val="Hyperlink"/>
          </w:rPr>
          <w:fldChar w:fldCharType="end"/>
        </w:r>
        <w:r w:rsidRPr="00C32FD4">
          <w:rPr>
            <w:rStyle w:val="Hyperlink"/>
          </w:rPr>
          <w:t xml:space="preserve"> </w:t>
        </w:r>
        <w:r w:rsidR="00115E2D" w:rsidRPr="00C32FD4">
          <w:rPr>
            <w:rStyle w:val="Hyperlink"/>
          </w:rPr>
          <w:t>–</w:t>
        </w:r>
        <w:r w:rsidRPr="00C32FD4">
          <w:rPr>
            <w:rStyle w:val="Hyperlink"/>
          </w:rPr>
          <w:t xml:space="preserve"> </w:t>
        </w:r>
        <w:r w:rsidR="00115E2D" w:rsidRPr="00C32FD4">
          <w:rPr>
            <w:rStyle w:val="Hyperlink"/>
          </w:rPr>
          <w:t>Drug interactions</w:t>
        </w:r>
      </w:hyperlink>
      <w:r w:rsidRPr="00C32FD4">
        <w:t>).</w:t>
      </w:r>
    </w:p>
    <w:p w14:paraId="3470DA46" w14:textId="1BCB4B37" w:rsidR="00910E4A" w:rsidRPr="00C32FD4" w:rsidRDefault="00910E4A" w:rsidP="00910E4A">
      <w:pPr>
        <w:pStyle w:val="BodyText"/>
      </w:pPr>
      <w:r w:rsidRPr="00C32FD4">
        <w:t xml:space="preserve">The safety of </w:t>
      </w:r>
      <w:r w:rsidR="002D1BE8" w:rsidRPr="00C32FD4">
        <w:t>ILUMYA</w:t>
      </w:r>
      <w:r w:rsidRPr="00C32FD4">
        <w:t xml:space="preserve"> in combination with other immunomodulatory agents or phototherapy has not been evaluated.</w:t>
      </w:r>
    </w:p>
    <w:p w14:paraId="02B373DE" w14:textId="57A1A242" w:rsidR="00910E4A" w:rsidRPr="00C32FD4" w:rsidRDefault="00910E4A" w:rsidP="00910E4A">
      <w:pPr>
        <w:pStyle w:val="Heading2"/>
      </w:pPr>
      <w:r w:rsidRPr="00C32FD4">
        <w:t>4.6 FERTILITY, PREG</w:t>
      </w:r>
      <w:r w:rsidR="002D1BE8" w:rsidRPr="00C32FD4">
        <w:t>N</w:t>
      </w:r>
      <w:r w:rsidRPr="00C32FD4">
        <w:t>ANCY AND LACTATION</w:t>
      </w:r>
    </w:p>
    <w:p w14:paraId="7CEDD2FD" w14:textId="19BF8756" w:rsidR="008E50D4" w:rsidRPr="00C32FD4" w:rsidRDefault="009B76B4" w:rsidP="00910E4A">
      <w:pPr>
        <w:pStyle w:val="Heading3"/>
      </w:pPr>
      <w:r w:rsidRPr="00C32FD4">
        <w:t xml:space="preserve">Effects on </w:t>
      </w:r>
      <w:r w:rsidR="00F11A67" w:rsidRPr="00C32FD4">
        <w:t>F</w:t>
      </w:r>
      <w:r w:rsidRPr="00C32FD4">
        <w:t>ertility</w:t>
      </w:r>
    </w:p>
    <w:p w14:paraId="4AC42CB2" w14:textId="4D852588" w:rsidR="009B76B4" w:rsidRPr="00C32FD4" w:rsidRDefault="009B76B4" w:rsidP="00380805">
      <w:pPr>
        <w:pStyle w:val="BodyText"/>
      </w:pPr>
      <w:r w:rsidRPr="00C32FD4">
        <w:t xml:space="preserve">The effect of </w:t>
      </w:r>
      <w:r w:rsidR="002D1BE8" w:rsidRPr="00C32FD4">
        <w:t>ILUMYA</w:t>
      </w:r>
      <w:r w:rsidRPr="00C32FD4">
        <w:t xml:space="preserve"> on human fertility has not been evaluated. </w:t>
      </w:r>
    </w:p>
    <w:p w14:paraId="31C2ED78" w14:textId="07FDB0D2" w:rsidR="00F611C1" w:rsidRPr="00C32FD4" w:rsidRDefault="00774AD6" w:rsidP="00380805">
      <w:pPr>
        <w:pStyle w:val="BodyText"/>
      </w:pPr>
      <w:r w:rsidRPr="00C32FD4">
        <w:t xml:space="preserve">The effects of </w:t>
      </w:r>
      <w:proofErr w:type="spellStart"/>
      <w:r w:rsidRPr="00C32FD4">
        <w:t>tildrakizumab</w:t>
      </w:r>
      <w:proofErr w:type="spellEnd"/>
      <w:r w:rsidRPr="00C32FD4">
        <w:t xml:space="preserve"> were not directly assessed in dedicated animal fertility studies. However, n</w:t>
      </w:r>
      <w:r w:rsidR="00F611C1" w:rsidRPr="00C32FD4">
        <w:t xml:space="preserve">o effects on fertility parameters such as reproductive organs, menstrual cycle length, and/or hormones were observed in male and female </w:t>
      </w:r>
      <w:proofErr w:type="spellStart"/>
      <w:r w:rsidR="00F611C1" w:rsidRPr="00C32FD4">
        <w:t>cynomolgus</w:t>
      </w:r>
      <w:proofErr w:type="spellEnd"/>
      <w:r w:rsidR="00F611C1" w:rsidRPr="00C32FD4">
        <w:t xml:space="preserve"> monkeys that were administered </w:t>
      </w:r>
      <w:proofErr w:type="spellStart"/>
      <w:r w:rsidR="00F611C1" w:rsidRPr="00C32FD4">
        <w:t>tildrakizumab</w:t>
      </w:r>
      <w:proofErr w:type="spellEnd"/>
      <w:r w:rsidR="00F611C1" w:rsidRPr="00C32FD4">
        <w:t xml:space="preserve"> at up to 100 mg/kg by subcutaneous injections once every 14 days (</w:t>
      </w:r>
      <w:r w:rsidR="000876FC" w:rsidRPr="00C32FD4">
        <w:rPr>
          <w:sz w:val="28"/>
        </w:rPr>
        <w:t>&gt;</w:t>
      </w:r>
      <w:r w:rsidR="00F611C1" w:rsidRPr="00C32FD4">
        <w:t>100 times the human exposure at the recommended dose based on AUC) for 9 months.</w:t>
      </w:r>
    </w:p>
    <w:p w14:paraId="55673BD8" w14:textId="77777777" w:rsidR="009F0D3D" w:rsidRPr="00C32FD4" w:rsidRDefault="009F0D3D" w:rsidP="00910E4A">
      <w:pPr>
        <w:pStyle w:val="Heading3"/>
      </w:pPr>
      <w:r w:rsidRPr="00C32FD4">
        <w:t>Use</w:t>
      </w:r>
      <w:r w:rsidRPr="00C32FD4">
        <w:rPr>
          <w:spacing w:val="-2"/>
        </w:rPr>
        <w:t xml:space="preserve"> </w:t>
      </w:r>
      <w:r w:rsidRPr="00C32FD4">
        <w:t>in</w:t>
      </w:r>
      <w:r w:rsidRPr="00C32FD4">
        <w:rPr>
          <w:spacing w:val="1"/>
        </w:rPr>
        <w:t xml:space="preserve"> </w:t>
      </w:r>
      <w:r w:rsidRPr="00C32FD4">
        <w:t xml:space="preserve">Pregnancy (Category </w:t>
      </w:r>
      <w:r w:rsidR="005A79EA" w:rsidRPr="00C32FD4">
        <w:t>B1</w:t>
      </w:r>
      <w:r w:rsidRPr="00C32FD4">
        <w:t>)</w:t>
      </w:r>
    </w:p>
    <w:p w14:paraId="746FA01D" w14:textId="2A05949C" w:rsidR="00C25A02" w:rsidRPr="00C32FD4" w:rsidRDefault="009B76B4" w:rsidP="00380805">
      <w:pPr>
        <w:pStyle w:val="BodyText"/>
      </w:pPr>
      <w:r w:rsidRPr="00C32FD4">
        <w:t xml:space="preserve">There is limited information </w:t>
      </w:r>
      <w:r w:rsidR="00E320D0" w:rsidRPr="00C32FD4">
        <w:t xml:space="preserve">regarding </w:t>
      </w:r>
      <w:r w:rsidRPr="00C32FD4">
        <w:t xml:space="preserve">the use of </w:t>
      </w:r>
      <w:r w:rsidR="002D1BE8" w:rsidRPr="00C32FD4">
        <w:t>ILUMYA</w:t>
      </w:r>
      <w:r w:rsidRPr="00C32FD4">
        <w:t xml:space="preserve"> in pregnant women. </w:t>
      </w:r>
      <w:r w:rsidR="00C25A02" w:rsidRPr="00C32FD4">
        <w:t xml:space="preserve">As a precautionary measure, it is preferable to avoid the use of </w:t>
      </w:r>
      <w:r w:rsidR="002D1BE8" w:rsidRPr="00C32FD4">
        <w:t>ILUMYA</w:t>
      </w:r>
      <w:r w:rsidR="00C25A02" w:rsidRPr="00C32FD4">
        <w:t xml:space="preserve"> during pregnancy. Women of childbearing potential should use an effective method of contraception during treatment and for at least 17 weeks after treatment.</w:t>
      </w:r>
    </w:p>
    <w:p w14:paraId="348D878C" w14:textId="68F388AB" w:rsidR="00370BF5" w:rsidRPr="00C32FD4" w:rsidRDefault="009B76B4" w:rsidP="00380805">
      <w:pPr>
        <w:pStyle w:val="BodyText"/>
      </w:pPr>
      <w:r w:rsidRPr="00C32FD4">
        <w:t>Animal studies do not indicate direct or indirect harmful effect with respect to pregnancy, embryonic/</w:t>
      </w:r>
      <w:proofErr w:type="spellStart"/>
      <w:r w:rsidRPr="00C32FD4">
        <w:t>fetal</w:t>
      </w:r>
      <w:proofErr w:type="spellEnd"/>
      <w:r w:rsidRPr="00C32FD4">
        <w:t xml:space="preserve"> development, partur</w:t>
      </w:r>
      <w:r w:rsidR="00F611C1" w:rsidRPr="00C32FD4">
        <w:t>ition or post-natal development</w:t>
      </w:r>
      <w:r w:rsidRPr="00C32FD4">
        <w:t xml:space="preserve">. </w:t>
      </w:r>
      <w:r w:rsidR="00F611C1" w:rsidRPr="00C32FD4">
        <w:t xml:space="preserve">In a pre- and postnatal development toxicity study in monkeys </w:t>
      </w:r>
      <w:r w:rsidR="00C25A02" w:rsidRPr="00C32FD4">
        <w:t xml:space="preserve">given </w:t>
      </w:r>
      <w:r w:rsidR="00F611C1" w:rsidRPr="00C32FD4">
        <w:t xml:space="preserve">up to 100 mg/kg </w:t>
      </w:r>
      <w:proofErr w:type="spellStart"/>
      <w:r w:rsidR="005E1B4B" w:rsidRPr="00C32FD4">
        <w:t>tildrakizumab</w:t>
      </w:r>
      <w:proofErr w:type="spellEnd"/>
      <w:r w:rsidR="005E1B4B" w:rsidRPr="00C32FD4">
        <w:t xml:space="preserve"> </w:t>
      </w:r>
      <w:r w:rsidR="00F611C1" w:rsidRPr="00C32FD4">
        <w:t>by subcutaneous injections once every 14 days (</w:t>
      </w:r>
      <w:r w:rsidR="00774AD6" w:rsidRPr="00C32FD4">
        <w:t>&gt;100</w:t>
      </w:r>
      <w:r w:rsidR="00F611C1" w:rsidRPr="00C32FD4">
        <w:t xml:space="preserve"> times the human exposure at the recommended dose)</w:t>
      </w:r>
      <w:r w:rsidR="00C25A02" w:rsidRPr="00C32FD4">
        <w:t>, no related increase in pregnancy loss was observed</w:t>
      </w:r>
      <w:r w:rsidR="00F611C1" w:rsidRPr="00C32FD4">
        <w:t xml:space="preserve">. </w:t>
      </w:r>
    </w:p>
    <w:p w14:paraId="756B9F6B" w14:textId="5A6E98A4" w:rsidR="00C25A02" w:rsidRPr="00C32FD4" w:rsidRDefault="00C25A02" w:rsidP="00380805">
      <w:pPr>
        <w:pStyle w:val="BodyText"/>
      </w:pPr>
      <w:proofErr w:type="spellStart"/>
      <w:r w:rsidRPr="00C32FD4">
        <w:t>Tildrakizumab</w:t>
      </w:r>
      <w:proofErr w:type="spellEnd"/>
      <w:r w:rsidRPr="00C32FD4">
        <w:t xml:space="preserve"> was shown to distribute across the placental barrier. After repeated dosing to pregnant </w:t>
      </w:r>
      <w:proofErr w:type="spellStart"/>
      <w:r w:rsidRPr="00C32FD4">
        <w:t>cynomolgus</w:t>
      </w:r>
      <w:proofErr w:type="spellEnd"/>
      <w:r w:rsidRPr="00C32FD4">
        <w:t xml:space="preserve"> monkeys, serum concentrations were quantifiable in the </w:t>
      </w:r>
      <w:proofErr w:type="spellStart"/>
      <w:r w:rsidRPr="00C32FD4">
        <w:t>fetus</w:t>
      </w:r>
      <w:proofErr w:type="spellEnd"/>
      <w:r w:rsidR="00E320D0" w:rsidRPr="00C32FD4">
        <w:t xml:space="preserve"> however</w:t>
      </w:r>
      <w:r w:rsidRPr="00C32FD4">
        <w:t xml:space="preserve"> the reproduction toxicity studies did not reveal any untoward effects.</w:t>
      </w:r>
      <w:r w:rsidR="00DE0F54" w:rsidRPr="00C32FD4">
        <w:t xml:space="preserve"> No harmful effects were noted in neonates at maternal exposures up to </w:t>
      </w:r>
      <w:r w:rsidR="00787240" w:rsidRPr="00C32FD4">
        <w:t>1</w:t>
      </w:r>
      <w:r w:rsidR="00DE0F54" w:rsidRPr="00C32FD4">
        <w:t xml:space="preserve">9 times the human exposure at the recommended dose. Two neonatal deaths from monkeys administered </w:t>
      </w:r>
      <w:proofErr w:type="spellStart"/>
      <w:r w:rsidR="00DE0F54" w:rsidRPr="00C32FD4">
        <w:t>tildrakizumab</w:t>
      </w:r>
      <w:proofErr w:type="spellEnd"/>
      <w:r w:rsidR="00DE0F54" w:rsidRPr="00C32FD4">
        <w:t xml:space="preserve"> at maternal exposure of </w:t>
      </w:r>
      <w:r w:rsidR="00787240" w:rsidRPr="00C32FD4">
        <w:t>&gt;100</w:t>
      </w:r>
      <w:r w:rsidR="00DE0F54" w:rsidRPr="00C32FD4">
        <w:t xml:space="preserve"> times the human exposure at the recommended dose were attributed to possible viral infection and considered of uncertain relationship to the treatment. The clinical significance of these findings is unknown.</w:t>
      </w:r>
    </w:p>
    <w:p w14:paraId="0B7B7F27" w14:textId="77777777" w:rsidR="009F0D3D" w:rsidRPr="00C32FD4" w:rsidRDefault="009F0D3D" w:rsidP="00910E4A">
      <w:pPr>
        <w:pStyle w:val="Heading3"/>
      </w:pPr>
      <w:r w:rsidRPr="00C32FD4">
        <w:t>Use</w:t>
      </w:r>
      <w:r w:rsidRPr="00C32FD4">
        <w:rPr>
          <w:spacing w:val="-2"/>
        </w:rPr>
        <w:t xml:space="preserve"> </w:t>
      </w:r>
      <w:r w:rsidRPr="00C32FD4">
        <w:t>in</w:t>
      </w:r>
      <w:r w:rsidRPr="00C32FD4">
        <w:rPr>
          <w:spacing w:val="1"/>
        </w:rPr>
        <w:t xml:space="preserve"> </w:t>
      </w:r>
      <w:r w:rsidRPr="00C32FD4">
        <w:t>Lactation</w:t>
      </w:r>
    </w:p>
    <w:p w14:paraId="1BC9AC53" w14:textId="5FE2A09F" w:rsidR="00E75FA0" w:rsidRPr="00C32FD4" w:rsidRDefault="009B76B4" w:rsidP="00380805">
      <w:pPr>
        <w:pStyle w:val="BodyText"/>
      </w:pPr>
      <w:r w:rsidRPr="00C32FD4">
        <w:t xml:space="preserve">It is not known whether </w:t>
      </w:r>
      <w:proofErr w:type="spellStart"/>
      <w:r w:rsidRPr="00C32FD4">
        <w:t>tildrakizumab</w:t>
      </w:r>
      <w:proofErr w:type="spellEnd"/>
      <w:r w:rsidRPr="00C32FD4">
        <w:t xml:space="preserve"> is excreted in human milk. </w:t>
      </w:r>
      <w:r w:rsidR="00787240" w:rsidRPr="00C32FD4">
        <w:t xml:space="preserve">In a pre-/postnatal development study </w:t>
      </w:r>
      <w:proofErr w:type="spellStart"/>
      <w:r w:rsidR="00787240" w:rsidRPr="00C32FD4">
        <w:t>t</w:t>
      </w:r>
      <w:r w:rsidRPr="00C32FD4">
        <w:t>ildrakizumab</w:t>
      </w:r>
      <w:proofErr w:type="spellEnd"/>
      <w:r w:rsidRPr="00C32FD4">
        <w:t xml:space="preserve"> was detected </w:t>
      </w:r>
      <w:r w:rsidR="00787240" w:rsidRPr="00C32FD4">
        <w:t xml:space="preserve">at low levels </w:t>
      </w:r>
      <w:r w:rsidRPr="00C32FD4">
        <w:t xml:space="preserve">in </w:t>
      </w:r>
      <w:r w:rsidR="00F611C1" w:rsidRPr="00C32FD4">
        <w:t>breast milk in monkeys</w:t>
      </w:r>
      <w:r w:rsidR="00787240" w:rsidRPr="00C32FD4">
        <w:t xml:space="preserve"> dosed with </w:t>
      </w:r>
      <w:proofErr w:type="spellStart"/>
      <w:r w:rsidR="00787240" w:rsidRPr="00C32FD4">
        <w:t>tildrakizumab</w:t>
      </w:r>
      <w:proofErr w:type="spellEnd"/>
      <w:r w:rsidR="00787240" w:rsidRPr="00C32FD4">
        <w:t xml:space="preserve"> from gestation day 50 to parturition</w:t>
      </w:r>
      <w:r w:rsidRPr="00C32FD4">
        <w:t xml:space="preserve">. </w:t>
      </w:r>
      <w:r w:rsidR="00E320D0" w:rsidRPr="00C32FD4">
        <w:t>The m</w:t>
      </w:r>
      <w:r w:rsidR="00E75FA0" w:rsidRPr="00C32FD4">
        <w:t xml:space="preserve">ilk/serum ratio was </w:t>
      </w:r>
      <w:r w:rsidR="00E75FA0" w:rsidRPr="00C32FD4">
        <w:rPr>
          <w:rStyle w:val="BodyTextChar"/>
        </w:rPr>
        <w:t>≤</w:t>
      </w:r>
      <w:r w:rsidR="00E75FA0" w:rsidRPr="00C32FD4">
        <w:t>0.002.</w:t>
      </w:r>
      <w:r w:rsidR="00787240" w:rsidRPr="00C32FD4">
        <w:t xml:space="preserve"> In the same study, serum levels of </w:t>
      </w:r>
      <w:proofErr w:type="spellStart"/>
      <w:r w:rsidR="00787240" w:rsidRPr="00C32FD4">
        <w:t>tildrakizumab</w:t>
      </w:r>
      <w:proofErr w:type="spellEnd"/>
      <w:r w:rsidR="00787240" w:rsidRPr="00C32FD4">
        <w:t xml:space="preserve"> in infants up to 91 days old were similar to, or exceed maternal serum levels. </w:t>
      </w:r>
    </w:p>
    <w:p w14:paraId="38B2AAD1" w14:textId="5D0141FF" w:rsidR="009F0D3D" w:rsidRPr="00C32FD4" w:rsidRDefault="009B76B4" w:rsidP="00380805">
      <w:pPr>
        <w:pStyle w:val="BodyText"/>
      </w:pPr>
      <w:r w:rsidRPr="00C32FD4">
        <w:t xml:space="preserve">A decision should be made whether to discontinue breast-feeding or to discontinue </w:t>
      </w:r>
      <w:r w:rsidR="002D1BE8" w:rsidRPr="00C32FD4">
        <w:t>ILUMYA</w:t>
      </w:r>
      <w:r w:rsidRPr="00C32FD4">
        <w:t xml:space="preserve"> taking into account the benefit of breast-feeding for the child and the benefit of therapy for the woman.</w:t>
      </w:r>
    </w:p>
    <w:p w14:paraId="0D4F1454" w14:textId="5E1DF7BF" w:rsidR="009F0D3D" w:rsidRPr="00C32FD4" w:rsidRDefault="00910E4A" w:rsidP="00910E4A">
      <w:pPr>
        <w:pStyle w:val="Heading2"/>
      </w:pPr>
      <w:r w:rsidRPr="00C32FD4">
        <w:lastRenderedPageBreak/>
        <w:t xml:space="preserve">4.7 </w:t>
      </w:r>
      <w:r w:rsidR="00B8402F" w:rsidRPr="00C32FD4">
        <w:t>EFFECTS ON ABILITY TO DRIVE AND USE MACHINES</w:t>
      </w:r>
    </w:p>
    <w:p w14:paraId="2DCB8454" w14:textId="07C4DC4B" w:rsidR="009F0D3D" w:rsidRPr="00C32FD4" w:rsidRDefault="002D1BE8" w:rsidP="00380805">
      <w:pPr>
        <w:pStyle w:val="BodyText"/>
      </w:pPr>
      <w:r w:rsidRPr="00C32FD4">
        <w:t>ILUMYA</w:t>
      </w:r>
      <w:r w:rsidR="009B76B4" w:rsidRPr="00C32FD4">
        <w:t xml:space="preserve"> has no or negligible influence on the ability to drive and use machines.</w:t>
      </w:r>
    </w:p>
    <w:p w14:paraId="7B79705E" w14:textId="6A58A0F0" w:rsidR="009F0D3D" w:rsidRPr="00C32FD4" w:rsidRDefault="00910E4A" w:rsidP="00910E4A">
      <w:pPr>
        <w:pStyle w:val="Heading2"/>
      </w:pPr>
      <w:bookmarkStart w:id="11" w:name="_Ref521938488"/>
      <w:r w:rsidRPr="00C32FD4">
        <w:t xml:space="preserve">4.8 </w:t>
      </w:r>
      <w:r w:rsidR="009F0D3D" w:rsidRPr="00C32FD4">
        <w:t>ADVERSE</w:t>
      </w:r>
      <w:r w:rsidR="009F0D3D" w:rsidRPr="00C32FD4">
        <w:rPr>
          <w:spacing w:val="1"/>
        </w:rPr>
        <w:t xml:space="preserve"> </w:t>
      </w:r>
      <w:r w:rsidR="009F0D3D" w:rsidRPr="00C32FD4">
        <w:t>EFFECTS</w:t>
      </w:r>
      <w:r w:rsidR="00B8402F" w:rsidRPr="00C32FD4">
        <w:t xml:space="preserve"> (UNDESIRABLE EFFECTS)</w:t>
      </w:r>
      <w:bookmarkEnd w:id="11"/>
    </w:p>
    <w:p w14:paraId="7CD8C838" w14:textId="11DF74C2" w:rsidR="009F0D3D" w:rsidRPr="00C32FD4" w:rsidRDefault="009B76B4" w:rsidP="00380805">
      <w:pPr>
        <w:pStyle w:val="BodyText"/>
      </w:pPr>
      <w:r w:rsidRPr="00C32FD4">
        <w:t xml:space="preserve">The most common adverse reactions observed with </w:t>
      </w:r>
      <w:r w:rsidR="002D1BE8" w:rsidRPr="00C32FD4">
        <w:t>ILUMYA</w:t>
      </w:r>
      <w:r w:rsidRPr="00C32FD4">
        <w:t xml:space="preserve"> in the pooled data from one Phase 2 and two Phase 3 studies in psoriasis patients for the placebo controlled period (16 weeks for the Phase 2 study and 12 weeks for the Phase 3 studies) were </w:t>
      </w:r>
      <w:proofErr w:type="spellStart"/>
      <w:r w:rsidRPr="00C32FD4">
        <w:t>nasopharyngitis</w:t>
      </w:r>
      <w:proofErr w:type="spellEnd"/>
      <w:r w:rsidRPr="00C32FD4">
        <w:t>, headache, and site injection pain.</w:t>
      </w:r>
    </w:p>
    <w:p w14:paraId="6A7F12E1" w14:textId="1438D3D3" w:rsidR="009B76B4" w:rsidRPr="00C32FD4" w:rsidRDefault="009B76B4" w:rsidP="00380805">
      <w:pPr>
        <w:pStyle w:val="BodyText"/>
      </w:pPr>
      <w:r w:rsidRPr="00C32FD4">
        <w:t>Most adverse reactions were considered mild and no adverse reaction led to discontinuation of treatment in &gt;1% of patients. For clinical management of specific adverse reactions, see</w:t>
      </w:r>
      <w:r w:rsidR="00B85FDB">
        <w:t xml:space="preserve"> section</w:t>
      </w:r>
      <w:r w:rsidRPr="00C32FD4">
        <w:t xml:space="preserve"> </w:t>
      </w:r>
      <w:r w:rsidR="000E6DE4" w:rsidRPr="00C32FD4">
        <w:rPr>
          <w:rStyle w:val="Hyperlink"/>
        </w:rPr>
        <w:fldChar w:fldCharType="begin"/>
      </w:r>
      <w:r w:rsidR="000E6DE4" w:rsidRPr="00C32FD4">
        <w:rPr>
          <w:rStyle w:val="Hyperlink"/>
        </w:rPr>
        <w:instrText xml:space="preserve"> REF _Ref519172660 \h </w:instrText>
      </w:r>
      <w:r w:rsidR="000E6DE4" w:rsidRPr="00C32FD4">
        <w:rPr>
          <w:rStyle w:val="Hyperlink"/>
        </w:rPr>
      </w:r>
      <w:r w:rsidR="000E6DE4" w:rsidRPr="00C32FD4">
        <w:rPr>
          <w:rStyle w:val="Hyperlink"/>
        </w:rPr>
        <w:fldChar w:fldCharType="separate"/>
      </w:r>
      <w:r w:rsidR="000E6DE4" w:rsidRPr="00C32FD4">
        <w:t>4.4 SPECIAL WARNINGS AND PRECAUTIONS FOR USE</w:t>
      </w:r>
      <w:r w:rsidR="000E6DE4" w:rsidRPr="00C32FD4">
        <w:rPr>
          <w:rStyle w:val="Hyperlink"/>
        </w:rPr>
        <w:fldChar w:fldCharType="end"/>
      </w:r>
      <w:r w:rsidRPr="00C32FD4">
        <w:t>.</w:t>
      </w:r>
    </w:p>
    <w:p w14:paraId="4157E64A" w14:textId="77777777" w:rsidR="009B76B4" w:rsidRPr="00C32FD4" w:rsidRDefault="009B76B4" w:rsidP="00380805">
      <w:pPr>
        <w:pStyle w:val="BodyText"/>
      </w:pPr>
      <w:r w:rsidRPr="00C32FD4">
        <w:t>The frequency of adverse reactions is defined using the following convention: very common (</w:t>
      </w:r>
      <w:r w:rsidR="000E0739" w:rsidRPr="00C32FD4">
        <w:rPr>
          <w:rStyle w:val="BodyTextChar"/>
        </w:rPr>
        <w:t>≥</w:t>
      </w:r>
      <w:r w:rsidRPr="00C32FD4">
        <w:t>1/10); common (</w:t>
      </w:r>
      <w:r w:rsidR="000E0739" w:rsidRPr="00C32FD4">
        <w:rPr>
          <w:rStyle w:val="BodyTextChar"/>
        </w:rPr>
        <w:t>≥</w:t>
      </w:r>
      <w:r w:rsidRPr="00C32FD4">
        <w:t>1/100 to &lt;1/10); uncommon (</w:t>
      </w:r>
      <w:r w:rsidR="000E0739" w:rsidRPr="00C32FD4">
        <w:rPr>
          <w:rStyle w:val="BodyTextChar"/>
        </w:rPr>
        <w:t>≥</w:t>
      </w:r>
      <w:r w:rsidRPr="00C32FD4">
        <w:t>1/1,000 to &lt;1/100); rare (</w:t>
      </w:r>
      <w:r w:rsidR="000E0739" w:rsidRPr="00C32FD4">
        <w:rPr>
          <w:rStyle w:val="BodyTextChar"/>
        </w:rPr>
        <w:t>≥</w:t>
      </w:r>
      <w:r w:rsidRPr="00C32FD4">
        <w:t>1/10,000 to &lt;1/1,000); very rare (&lt;1/10,000); and not known (cannot be estimated from available data).</w:t>
      </w:r>
    </w:p>
    <w:p w14:paraId="47EC57AE" w14:textId="77777777" w:rsidR="00BA23F2" w:rsidRPr="00C32FD4" w:rsidRDefault="00BA23F2" w:rsidP="00BA23F2">
      <w:pPr>
        <w:pStyle w:val="BodyText"/>
      </w:pPr>
      <w:r w:rsidRPr="008A2A53">
        <w:rPr>
          <w:b/>
        </w:rPr>
        <w:fldChar w:fldCharType="begin"/>
      </w:r>
      <w:r w:rsidRPr="008A2A53">
        <w:rPr>
          <w:b/>
        </w:rPr>
        <w:instrText xml:space="preserve"> REF _Ref522526215 \h </w:instrText>
      </w:r>
      <w:r>
        <w:rPr>
          <w:b/>
        </w:rPr>
        <w:instrText xml:space="preserve"> \* MERGEFORMAT </w:instrText>
      </w:r>
      <w:r w:rsidRPr="008A2A53">
        <w:rPr>
          <w:b/>
        </w:rPr>
      </w:r>
      <w:r w:rsidRPr="008A2A53">
        <w:rPr>
          <w:b/>
        </w:rPr>
        <w:fldChar w:fldCharType="separate"/>
      </w:r>
      <w:r w:rsidRPr="008A2A53">
        <w:rPr>
          <w:b/>
        </w:rPr>
        <w:t xml:space="preserve">Table </w:t>
      </w:r>
      <w:r w:rsidRPr="008A2A53">
        <w:rPr>
          <w:b/>
          <w:noProof/>
        </w:rPr>
        <w:t>1</w:t>
      </w:r>
      <w:r w:rsidRPr="008A2A53">
        <w:rPr>
          <w:b/>
        </w:rPr>
        <w:fldChar w:fldCharType="end"/>
      </w:r>
      <w:r>
        <w:t xml:space="preserve"> provides a summary of the adverse reactions that were reported at a frequency of &gt;1% and at a higher rate in the ILUMYA group than in the placebo group.</w:t>
      </w:r>
    </w:p>
    <w:tbl>
      <w:tblPr>
        <w:tblStyle w:val="TableGrid"/>
        <w:tblW w:w="0" w:type="auto"/>
        <w:tblLook w:val="04A0" w:firstRow="1" w:lastRow="0" w:firstColumn="1" w:lastColumn="0" w:noHBand="0" w:noVBand="1"/>
      </w:tblPr>
      <w:tblGrid>
        <w:gridCol w:w="9570"/>
      </w:tblGrid>
      <w:tr w:rsidR="00BA23F2" w:rsidRPr="00C32FD4" w14:paraId="1BFE59FA" w14:textId="77777777" w:rsidTr="00500578">
        <w:trPr>
          <w:cantSplit/>
        </w:trPr>
        <w:tc>
          <w:tcPr>
            <w:tcW w:w="9570" w:type="dxa"/>
            <w:tcMar>
              <w:left w:w="57" w:type="dxa"/>
              <w:right w:w="57" w:type="dxa"/>
            </w:tcMar>
          </w:tcPr>
          <w:p w14:paraId="50EC802F" w14:textId="4B7FFFF5" w:rsidR="00BA23F2" w:rsidRPr="00C32FD4" w:rsidRDefault="00BA23F2" w:rsidP="00500578">
            <w:pPr>
              <w:pStyle w:val="Table-MainTitle"/>
              <w:jc w:val="both"/>
            </w:pPr>
            <w:bookmarkStart w:id="12" w:name="_Ref522526215"/>
            <w:r w:rsidRPr="00C32FD4">
              <w:t xml:space="preserve">Table </w:t>
            </w:r>
            <w:fldSimple w:instr=" SEQ Table \* ARABIC ">
              <w:r w:rsidRPr="00C32FD4">
                <w:rPr>
                  <w:noProof/>
                </w:rPr>
                <w:t>1</w:t>
              </w:r>
            </w:fldSimple>
            <w:bookmarkEnd w:id="12"/>
            <w:r w:rsidRPr="00C32FD4">
              <w:t xml:space="preserve">: </w:t>
            </w:r>
            <w:r w:rsidRPr="00C32FD4">
              <w:tab/>
              <w:t xml:space="preserve">Adverse reactions experienced at an incidence of </w:t>
            </w:r>
            <w:r w:rsidRPr="00C32FD4">
              <w:rPr>
                <w:rStyle w:val="BodyTextChar"/>
                <w:sz w:val="21"/>
              </w:rPr>
              <w:t>≥</w:t>
            </w:r>
            <w:r w:rsidRPr="00C32FD4">
              <w:t xml:space="preserve"> 1% by patients treated with ILUMYA</w:t>
            </w:r>
            <w:r w:rsidR="00BE5BA7">
              <w:t xml:space="preserve"> </w:t>
            </w:r>
            <w:r>
              <w:t>100</w:t>
            </w:r>
            <w:r w:rsidRPr="00C32FD4">
              <w:t> mg during the placebo-controlled phase of the Phase 2 and Phase 3 studies</w:t>
            </w:r>
          </w:p>
        </w:tc>
      </w:tr>
    </w:tbl>
    <w:p w14:paraId="07CE8991" w14:textId="77777777" w:rsidR="00BA23F2" w:rsidRPr="00C32FD4" w:rsidRDefault="00BA23F2" w:rsidP="00BA23F2">
      <w:pPr>
        <w:pStyle w:val="Table-space"/>
        <w:keepNext/>
        <w:keepLines/>
      </w:pPr>
    </w:p>
    <w:tbl>
      <w:tblPr>
        <w:tblStyle w:val="TableGrid"/>
        <w:tblW w:w="0" w:type="auto"/>
        <w:tblLook w:val="04A0" w:firstRow="1" w:lastRow="0" w:firstColumn="1" w:lastColumn="0" w:noHBand="0" w:noVBand="1"/>
      </w:tblPr>
      <w:tblGrid>
        <w:gridCol w:w="2875"/>
        <w:gridCol w:w="2250"/>
        <w:gridCol w:w="1350"/>
        <w:gridCol w:w="1620"/>
        <w:gridCol w:w="1475"/>
      </w:tblGrid>
      <w:tr w:rsidR="00BA23F2" w:rsidRPr="00C32FD4" w14:paraId="4D656C8C" w14:textId="77777777" w:rsidTr="00500578">
        <w:trPr>
          <w:cantSplit/>
        </w:trPr>
        <w:tc>
          <w:tcPr>
            <w:tcW w:w="2875" w:type="dxa"/>
            <w:vMerge w:val="restart"/>
            <w:tcMar>
              <w:left w:w="57" w:type="dxa"/>
              <w:right w:w="57" w:type="dxa"/>
            </w:tcMar>
          </w:tcPr>
          <w:p w14:paraId="19802691" w14:textId="77777777" w:rsidR="00BA23F2" w:rsidRPr="00C32FD4" w:rsidRDefault="00BA23F2" w:rsidP="00500578">
            <w:pPr>
              <w:pStyle w:val="Table-Heading1"/>
              <w:keepNext/>
              <w:keepLines/>
            </w:pPr>
            <w:r w:rsidRPr="00C32FD4">
              <w:t>System organ class</w:t>
            </w:r>
          </w:p>
        </w:tc>
        <w:tc>
          <w:tcPr>
            <w:tcW w:w="2250" w:type="dxa"/>
            <w:vMerge w:val="restart"/>
            <w:tcMar>
              <w:left w:w="57" w:type="dxa"/>
              <w:right w:w="57" w:type="dxa"/>
            </w:tcMar>
          </w:tcPr>
          <w:p w14:paraId="64544691" w14:textId="77777777" w:rsidR="00BA23F2" w:rsidRPr="00C32FD4" w:rsidRDefault="00BA23F2" w:rsidP="00500578">
            <w:pPr>
              <w:pStyle w:val="Table-Heading1"/>
              <w:keepNext/>
              <w:keepLines/>
              <w:jc w:val="center"/>
            </w:pPr>
            <w:r w:rsidRPr="00C32FD4">
              <w:t>Preferred term</w:t>
            </w:r>
          </w:p>
        </w:tc>
        <w:tc>
          <w:tcPr>
            <w:tcW w:w="1350" w:type="dxa"/>
            <w:vMerge w:val="restart"/>
            <w:tcMar>
              <w:left w:w="57" w:type="dxa"/>
              <w:right w:w="57" w:type="dxa"/>
            </w:tcMar>
          </w:tcPr>
          <w:p w14:paraId="102403DE" w14:textId="77777777" w:rsidR="00BA23F2" w:rsidRPr="00C32FD4" w:rsidRDefault="00BA23F2" w:rsidP="00500578">
            <w:pPr>
              <w:pStyle w:val="Table-Heading1"/>
              <w:keepNext/>
              <w:keepLines/>
              <w:jc w:val="center"/>
            </w:pPr>
            <w:r w:rsidRPr="00C32FD4">
              <w:t>Frequency category</w:t>
            </w:r>
          </w:p>
        </w:tc>
        <w:tc>
          <w:tcPr>
            <w:tcW w:w="3095" w:type="dxa"/>
            <w:gridSpan w:val="2"/>
          </w:tcPr>
          <w:p w14:paraId="50B5114C" w14:textId="77777777" w:rsidR="00BA23F2" w:rsidRPr="00C32FD4" w:rsidRDefault="00BA23F2" w:rsidP="00500578">
            <w:pPr>
              <w:pStyle w:val="Table-Heading1"/>
              <w:keepNext/>
              <w:keepLines/>
              <w:jc w:val="center"/>
            </w:pPr>
            <w:r w:rsidRPr="00C32FD4">
              <w:t>Frequency</w:t>
            </w:r>
          </w:p>
        </w:tc>
      </w:tr>
      <w:tr w:rsidR="00BA23F2" w:rsidRPr="00C32FD4" w14:paraId="15792962" w14:textId="77777777" w:rsidTr="00500578">
        <w:trPr>
          <w:cantSplit/>
        </w:trPr>
        <w:tc>
          <w:tcPr>
            <w:tcW w:w="2875" w:type="dxa"/>
            <w:vMerge/>
            <w:tcMar>
              <w:left w:w="57" w:type="dxa"/>
              <w:right w:w="57" w:type="dxa"/>
            </w:tcMar>
          </w:tcPr>
          <w:p w14:paraId="47020BD4" w14:textId="77777777" w:rsidR="00BA23F2" w:rsidRPr="00C32FD4" w:rsidRDefault="00BA23F2" w:rsidP="00500578">
            <w:pPr>
              <w:pStyle w:val="Table-Heading1"/>
              <w:keepNext/>
              <w:keepLines/>
            </w:pPr>
          </w:p>
        </w:tc>
        <w:tc>
          <w:tcPr>
            <w:tcW w:w="2250" w:type="dxa"/>
            <w:vMerge/>
            <w:tcMar>
              <w:left w:w="57" w:type="dxa"/>
              <w:right w:w="57" w:type="dxa"/>
            </w:tcMar>
          </w:tcPr>
          <w:p w14:paraId="348C9D1B" w14:textId="77777777" w:rsidR="00BA23F2" w:rsidRPr="00C32FD4" w:rsidRDefault="00BA23F2" w:rsidP="00500578">
            <w:pPr>
              <w:pStyle w:val="Table-Heading1"/>
              <w:keepNext/>
              <w:keepLines/>
              <w:jc w:val="center"/>
            </w:pPr>
          </w:p>
        </w:tc>
        <w:tc>
          <w:tcPr>
            <w:tcW w:w="1350" w:type="dxa"/>
            <w:vMerge/>
            <w:tcMar>
              <w:left w:w="57" w:type="dxa"/>
              <w:right w:w="57" w:type="dxa"/>
            </w:tcMar>
          </w:tcPr>
          <w:p w14:paraId="1173ED87" w14:textId="77777777" w:rsidR="00BA23F2" w:rsidRPr="00C32FD4" w:rsidRDefault="00BA23F2" w:rsidP="00500578">
            <w:pPr>
              <w:pStyle w:val="Table-Heading1"/>
              <w:keepNext/>
              <w:keepLines/>
              <w:jc w:val="center"/>
            </w:pPr>
          </w:p>
        </w:tc>
        <w:tc>
          <w:tcPr>
            <w:tcW w:w="1620" w:type="dxa"/>
            <w:tcMar>
              <w:left w:w="28" w:type="dxa"/>
              <w:right w:w="28" w:type="dxa"/>
            </w:tcMar>
          </w:tcPr>
          <w:p w14:paraId="276C09EB" w14:textId="77777777" w:rsidR="00BA23F2" w:rsidRPr="00C32FD4" w:rsidRDefault="00BA23F2" w:rsidP="00500578">
            <w:pPr>
              <w:pStyle w:val="Table-Heading1"/>
              <w:keepNext/>
              <w:keepLines/>
              <w:jc w:val="center"/>
            </w:pPr>
            <w:r w:rsidRPr="00C32FD4">
              <w:t xml:space="preserve">ILUMYA </w:t>
            </w:r>
            <w:r>
              <w:t>100 </w:t>
            </w:r>
            <w:r w:rsidRPr="00C32FD4">
              <w:t>mg</w:t>
            </w:r>
          </w:p>
          <w:p w14:paraId="76C546D9" w14:textId="77777777" w:rsidR="00BA23F2" w:rsidRPr="00C32FD4" w:rsidRDefault="00BA23F2" w:rsidP="00500578">
            <w:pPr>
              <w:pStyle w:val="Table-Heading1"/>
              <w:keepNext/>
              <w:keepLines/>
              <w:jc w:val="center"/>
            </w:pPr>
            <w:r w:rsidRPr="00C32FD4">
              <w:t>(N=</w:t>
            </w:r>
            <w:r>
              <w:t>705</w:t>
            </w:r>
            <w:r w:rsidRPr="00C32FD4">
              <w:t>)</w:t>
            </w:r>
          </w:p>
          <w:p w14:paraId="093BE1CE" w14:textId="77777777" w:rsidR="00BA23F2" w:rsidRPr="00C32FD4" w:rsidRDefault="00BA23F2" w:rsidP="00500578">
            <w:pPr>
              <w:pStyle w:val="Table-Heading1"/>
              <w:keepNext/>
              <w:keepLines/>
              <w:jc w:val="center"/>
            </w:pPr>
            <w:r w:rsidRPr="00C32FD4">
              <w:t>n (%)</w:t>
            </w:r>
          </w:p>
        </w:tc>
        <w:tc>
          <w:tcPr>
            <w:tcW w:w="1475" w:type="dxa"/>
            <w:tcMar>
              <w:left w:w="57" w:type="dxa"/>
              <w:right w:w="57" w:type="dxa"/>
            </w:tcMar>
          </w:tcPr>
          <w:p w14:paraId="59524FC3" w14:textId="77777777" w:rsidR="00BA23F2" w:rsidRPr="00C32FD4" w:rsidRDefault="00BA23F2" w:rsidP="00500578">
            <w:pPr>
              <w:pStyle w:val="Table-Heading1"/>
              <w:keepNext/>
              <w:keepLines/>
              <w:jc w:val="center"/>
            </w:pPr>
            <w:r w:rsidRPr="00C32FD4">
              <w:t>Placebo</w:t>
            </w:r>
          </w:p>
          <w:p w14:paraId="45CAC0F5" w14:textId="77777777" w:rsidR="00BA23F2" w:rsidRPr="00C32FD4" w:rsidRDefault="00BA23F2" w:rsidP="00500578">
            <w:pPr>
              <w:pStyle w:val="Table-Heading1"/>
              <w:keepNext/>
              <w:keepLines/>
              <w:jc w:val="center"/>
            </w:pPr>
            <w:r w:rsidRPr="00C32FD4">
              <w:t>(N=355)</w:t>
            </w:r>
          </w:p>
          <w:p w14:paraId="0E595E09" w14:textId="77777777" w:rsidR="00BA23F2" w:rsidRPr="00C32FD4" w:rsidRDefault="00BA23F2" w:rsidP="00500578">
            <w:pPr>
              <w:pStyle w:val="Table-Heading1"/>
              <w:keepNext/>
              <w:keepLines/>
              <w:jc w:val="center"/>
            </w:pPr>
            <w:r w:rsidRPr="00C32FD4">
              <w:t>n (%)</w:t>
            </w:r>
          </w:p>
        </w:tc>
      </w:tr>
      <w:tr w:rsidR="00BA23F2" w:rsidRPr="00C32FD4" w14:paraId="2443C37C" w14:textId="77777777" w:rsidTr="00500578">
        <w:trPr>
          <w:cantSplit/>
        </w:trPr>
        <w:tc>
          <w:tcPr>
            <w:tcW w:w="2875" w:type="dxa"/>
            <w:vMerge w:val="restart"/>
            <w:tcMar>
              <w:left w:w="57" w:type="dxa"/>
              <w:right w:w="57" w:type="dxa"/>
            </w:tcMar>
          </w:tcPr>
          <w:p w14:paraId="64354B39" w14:textId="77777777" w:rsidR="00BA23F2" w:rsidRPr="00C32FD4" w:rsidRDefault="00BA23F2" w:rsidP="00500578">
            <w:pPr>
              <w:pStyle w:val="Table-text"/>
            </w:pPr>
            <w:r>
              <w:t>Gastrointestinal disorders</w:t>
            </w:r>
          </w:p>
        </w:tc>
        <w:tc>
          <w:tcPr>
            <w:tcW w:w="2250" w:type="dxa"/>
            <w:tcMar>
              <w:left w:w="57" w:type="dxa"/>
              <w:right w:w="57" w:type="dxa"/>
            </w:tcMar>
          </w:tcPr>
          <w:p w14:paraId="6B93B381" w14:textId="77777777" w:rsidR="00BA23F2" w:rsidRPr="00C32FD4" w:rsidRDefault="00BA23F2" w:rsidP="00500578">
            <w:pPr>
              <w:pStyle w:val="Table-text"/>
              <w:jc w:val="center"/>
            </w:pPr>
            <w:r>
              <w:t>Diarrhoea</w:t>
            </w:r>
          </w:p>
        </w:tc>
        <w:tc>
          <w:tcPr>
            <w:tcW w:w="1350" w:type="dxa"/>
            <w:tcMar>
              <w:left w:w="57" w:type="dxa"/>
              <w:right w:w="57" w:type="dxa"/>
            </w:tcMar>
          </w:tcPr>
          <w:p w14:paraId="1C5A47FD" w14:textId="77777777" w:rsidR="00BA23F2" w:rsidRPr="00C32FD4" w:rsidRDefault="00BA23F2" w:rsidP="00500578">
            <w:pPr>
              <w:pStyle w:val="Table-text"/>
              <w:jc w:val="center"/>
            </w:pPr>
            <w:r>
              <w:t>Common</w:t>
            </w:r>
          </w:p>
        </w:tc>
        <w:tc>
          <w:tcPr>
            <w:tcW w:w="1620" w:type="dxa"/>
          </w:tcPr>
          <w:p w14:paraId="4E886C95" w14:textId="77777777" w:rsidR="00BA23F2" w:rsidRPr="00C32FD4" w:rsidRDefault="00BA23F2" w:rsidP="00500578">
            <w:pPr>
              <w:pStyle w:val="Table-text"/>
              <w:jc w:val="center"/>
            </w:pPr>
            <w:r>
              <w:t>13 (1.8)</w:t>
            </w:r>
          </w:p>
        </w:tc>
        <w:tc>
          <w:tcPr>
            <w:tcW w:w="1475" w:type="dxa"/>
            <w:tcMar>
              <w:left w:w="57" w:type="dxa"/>
              <w:right w:w="57" w:type="dxa"/>
            </w:tcMar>
          </w:tcPr>
          <w:p w14:paraId="62BA6865" w14:textId="77777777" w:rsidR="00BA23F2" w:rsidRPr="00C32FD4" w:rsidRDefault="00BA23F2" w:rsidP="00500578">
            <w:pPr>
              <w:pStyle w:val="Table-text"/>
              <w:jc w:val="center"/>
            </w:pPr>
            <w:r>
              <w:t>5 (1.4)</w:t>
            </w:r>
          </w:p>
        </w:tc>
      </w:tr>
      <w:tr w:rsidR="00BA23F2" w:rsidRPr="00C32FD4" w14:paraId="05A5375E" w14:textId="77777777" w:rsidTr="00500578">
        <w:trPr>
          <w:cantSplit/>
        </w:trPr>
        <w:tc>
          <w:tcPr>
            <w:tcW w:w="2875" w:type="dxa"/>
            <w:vMerge/>
            <w:tcMar>
              <w:left w:w="57" w:type="dxa"/>
              <w:right w:w="57" w:type="dxa"/>
            </w:tcMar>
          </w:tcPr>
          <w:p w14:paraId="56AF28E3" w14:textId="77777777" w:rsidR="00BA23F2" w:rsidRDefault="00BA23F2" w:rsidP="00500578">
            <w:pPr>
              <w:pStyle w:val="Table-text"/>
            </w:pPr>
          </w:p>
        </w:tc>
        <w:tc>
          <w:tcPr>
            <w:tcW w:w="2250" w:type="dxa"/>
            <w:tcMar>
              <w:left w:w="57" w:type="dxa"/>
              <w:right w:w="57" w:type="dxa"/>
            </w:tcMar>
          </w:tcPr>
          <w:p w14:paraId="18C07930" w14:textId="77777777" w:rsidR="00BA23F2" w:rsidRDefault="00BA23F2" w:rsidP="00500578">
            <w:pPr>
              <w:pStyle w:val="Table-text"/>
              <w:jc w:val="center"/>
            </w:pPr>
            <w:r>
              <w:t>Nausea</w:t>
            </w:r>
          </w:p>
        </w:tc>
        <w:tc>
          <w:tcPr>
            <w:tcW w:w="1350" w:type="dxa"/>
            <w:tcMar>
              <w:left w:w="57" w:type="dxa"/>
              <w:right w:w="57" w:type="dxa"/>
            </w:tcMar>
          </w:tcPr>
          <w:p w14:paraId="2AF5EF6B" w14:textId="77777777" w:rsidR="00BA23F2" w:rsidRDefault="00BA23F2" w:rsidP="00500578">
            <w:pPr>
              <w:pStyle w:val="Table-text"/>
              <w:jc w:val="center"/>
            </w:pPr>
            <w:r>
              <w:t>Common</w:t>
            </w:r>
          </w:p>
        </w:tc>
        <w:tc>
          <w:tcPr>
            <w:tcW w:w="1620" w:type="dxa"/>
          </w:tcPr>
          <w:p w14:paraId="37EEB290" w14:textId="77777777" w:rsidR="00BA23F2" w:rsidRDefault="00BA23F2" w:rsidP="00500578">
            <w:pPr>
              <w:pStyle w:val="Table-text"/>
              <w:jc w:val="center"/>
            </w:pPr>
            <w:r>
              <w:t>7 (1.0)</w:t>
            </w:r>
          </w:p>
        </w:tc>
        <w:tc>
          <w:tcPr>
            <w:tcW w:w="1475" w:type="dxa"/>
            <w:tcMar>
              <w:left w:w="57" w:type="dxa"/>
              <w:right w:w="57" w:type="dxa"/>
            </w:tcMar>
          </w:tcPr>
          <w:p w14:paraId="5B451E38" w14:textId="77777777" w:rsidR="00BA23F2" w:rsidRDefault="00BA23F2" w:rsidP="00500578">
            <w:pPr>
              <w:pStyle w:val="Table-text"/>
              <w:jc w:val="center"/>
            </w:pPr>
            <w:r>
              <w:t>3 (0.8)</w:t>
            </w:r>
          </w:p>
        </w:tc>
      </w:tr>
      <w:tr w:rsidR="00BA23F2" w:rsidRPr="00C32FD4" w14:paraId="3B84E861" w14:textId="77777777" w:rsidTr="00500578">
        <w:trPr>
          <w:cantSplit/>
        </w:trPr>
        <w:tc>
          <w:tcPr>
            <w:tcW w:w="2875" w:type="dxa"/>
            <w:vMerge w:val="restart"/>
            <w:tcMar>
              <w:left w:w="57" w:type="dxa"/>
              <w:right w:w="57" w:type="dxa"/>
            </w:tcMar>
          </w:tcPr>
          <w:p w14:paraId="2E49CFA4" w14:textId="77777777" w:rsidR="00BA23F2" w:rsidRPr="00C32FD4" w:rsidRDefault="00BA23F2" w:rsidP="00500578">
            <w:pPr>
              <w:pStyle w:val="Table-text"/>
            </w:pPr>
            <w:r w:rsidRPr="00C32FD4">
              <w:t>General disorders and administration site conditions</w:t>
            </w:r>
          </w:p>
        </w:tc>
        <w:tc>
          <w:tcPr>
            <w:tcW w:w="2250" w:type="dxa"/>
            <w:tcMar>
              <w:left w:w="57" w:type="dxa"/>
              <w:right w:w="57" w:type="dxa"/>
            </w:tcMar>
          </w:tcPr>
          <w:p w14:paraId="60AF8CC9" w14:textId="77777777" w:rsidR="00BA23F2" w:rsidRPr="00C32FD4" w:rsidRDefault="00BA23F2" w:rsidP="00500578">
            <w:pPr>
              <w:pStyle w:val="Table-text"/>
              <w:jc w:val="center"/>
            </w:pPr>
            <w:r>
              <w:t>Fatigue</w:t>
            </w:r>
          </w:p>
        </w:tc>
        <w:tc>
          <w:tcPr>
            <w:tcW w:w="1350" w:type="dxa"/>
            <w:tcMar>
              <w:left w:w="57" w:type="dxa"/>
              <w:right w:w="57" w:type="dxa"/>
            </w:tcMar>
          </w:tcPr>
          <w:p w14:paraId="49B8DC6D" w14:textId="77777777" w:rsidR="00BA23F2" w:rsidRPr="00C32FD4" w:rsidRDefault="00BA23F2" w:rsidP="00500578">
            <w:pPr>
              <w:pStyle w:val="Table-text"/>
              <w:jc w:val="center"/>
            </w:pPr>
            <w:r>
              <w:t>Common</w:t>
            </w:r>
          </w:p>
        </w:tc>
        <w:tc>
          <w:tcPr>
            <w:tcW w:w="1620" w:type="dxa"/>
          </w:tcPr>
          <w:p w14:paraId="53ED2088" w14:textId="77777777" w:rsidR="00BA23F2" w:rsidRPr="00C32FD4" w:rsidRDefault="00BA23F2" w:rsidP="00500578">
            <w:pPr>
              <w:pStyle w:val="Table-text"/>
              <w:jc w:val="center"/>
            </w:pPr>
            <w:r>
              <w:t>17 (2.4)</w:t>
            </w:r>
          </w:p>
        </w:tc>
        <w:tc>
          <w:tcPr>
            <w:tcW w:w="1475" w:type="dxa"/>
            <w:tcMar>
              <w:left w:w="57" w:type="dxa"/>
              <w:right w:w="57" w:type="dxa"/>
            </w:tcMar>
          </w:tcPr>
          <w:p w14:paraId="4B05E091" w14:textId="77777777" w:rsidR="00BA23F2" w:rsidRPr="00C32FD4" w:rsidRDefault="00BA23F2" w:rsidP="00500578">
            <w:pPr>
              <w:pStyle w:val="Table-text"/>
              <w:jc w:val="center"/>
            </w:pPr>
            <w:r>
              <w:t>6 (1.7)</w:t>
            </w:r>
          </w:p>
        </w:tc>
      </w:tr>
      <w:tr w:rsidR="00BA23F2" w:rsidRPr="00C32FD4" w14:paraId="497F55AC" w14:textId="77777777" w:rsidTr="00500578">
        <w:trPr>
          <w:cantSplit/>
        </w:trPr>
        <w:tc>
          <w:tcPr>
            <w:tcW w:w="2875" w:type="dxa"/>
            <w:vMerge/>
            <w:tcMar>
              <w:left w:w="57" w:type="dxa"/>
              <w:right w:w="57" w:type="dxa"/>
            </w:tcMar>
          </w:tcPr>
          <w:p w14:paraId="74D39293" w14:textId="77777777" w:rsidR="00BA23F2" w:rsidRPr="00C32FD4" w:rsidRDefault="00BA23F2" w:rsidP="00500578">
            <w:pPr>
              <w:pStyle w:val="Table-text"/>
            </w:pPr>
          </w:p>
        </w:tc>
        <w:tc>
          <w:tcPr>
            <w:tcW w:w="2250" w:type="dxa"/>
            <w:tcMar>
              <w:left w:w="57" w:type="dxa"/>
              <w:right w:w="57" w:type="dxa"/>
            </w:tcMar>
          </w:tcPr>
          <w:p w14:paraId="73AAFA39" w14:textId="77777777" w:rsidR="00BA23F2" w:rsidRPr="00C32FD4" w:rsidRDefault="00BA23F2" w:rsidP="00500578">
            <w:pPr>
              <w:pStyle w:val="Table-text"/>
              <w:jc w:val="center"/>
            </w:pPr>
            <w:r w:rsidRPr="00C32FD4">
              <w:t>Injection site pain</w:t>
            </w:r>
          </w:p>
        </w:tc>
        <w:tc>
          <w:tcPr>
            <w:tcW w:w="1350" w:type="dxa"/>
            <w:tcMar>
              <w:left w:w="57" w:type="dxa"/>
              <w:right w:w="57" w:type="dxa"/>
            </w:tcMar>
          </w:tcPr>
          <w:p w14:paraId="014E6169" w14:textId="77777777" w:rsidR="00BA23F2" w:rsidRPr="00C32FD4" w:rsidRDefault="00BA23F2" w:rsidP="00500578">
            <w:pPr>
              <w:pStyle w:val="Table-text"/>
              <w:jc w:val="center"/>
            </w:pPr>
            <w:r w:rsidRPr="00C32FD4">
              <w:t>Common</w:t>
            </w:r>
          </w:p>
        </w:tc>
        <w:tc>
          <w:tcPr>
            <w:tcW w:w="1620" w:type="dxa"/>
          </w:tcPr>
          <w:p w14:paraId="36FBA0A2" w14:textId="77777777" w:rsidR="00BA23F2" w:rsidRPr="00C32FD4" w:rsidRDefault="00BA23F2" w:rsidP="00500578">
            <w:pPr>
              <w:pStyle w:val="Table-text"/>
              <w:jc w:val="center"/>
            </w:pPr>
            <w:r>
              <w:t>10 (1.4)</w:t>
            </w:r>
          </w:p>
        </w:tc>
        <w:tc>
          <w:tcPr>
            <w:tcW w:w="1475" w:type="dxa"/>
            <w:tcMar>
              <w:left w:w="57" w:type="dxa"/>
              <w:right w:w="57" w:type="dxa"/>
            </w:tcMar>
          </w:tcPr>
          <w:p w14:paraId="6E4E3620" w14:textId="77777777" w:rsidR="00BA23F2" w:rsidRPr="00C32FD4" w:rsidRDefault="00BA23F2" w:rsidP="00500578">
            <w:pPr>
              <w:pStyle w:val="Table-text"/>
              <w:jc w:val="center"/>
            </w:pPr>
            <w:r w:rsidRPr="00C32FD4">
              <w:t>3 (0.8)</w:t>
            </w:r>
          </w:p>
        </w:tc>
      </w:tr>
      <w:tr w:rsidR="00BA23F2" w:rsidRPr="00C32FD4" w14:paraId="06633A4B" w14:textId="77777777" w:rsidTr="00500578">
        <w:trPr>
          <w:cantSplit/>
        </w:trPr>
        <w:tc>
          <w:tcPr>
            <w:tcW w:w="2875" w:type="dxa"/>
            <w:vMerge w:val="restart"/>
            <w:tcMar>
              <w:left w:w="57" w:type="dxa"/>
              <w:right w:w="57" w:type="dxa"/>
            </w:tcMar>
          </w:tcPr>
          <w:p w14:paraId="35067EA1" w14:textId="77777777" w:rsidR="00BA23F2" w:rsidRPr="00C32FD4" w:rsidRDefault="00BA23F2" w:rsidP="00500578">
            <w:pPr>
              <w:pStyle w:val="Table-text"/>
            </w:pPr>
            <w:r w:rsidRPr="00C32FD4">
              <w:t>Infections and infestations</w:t>
            </w:r>
          </w:p>
        </w:tc>
        <w:tc>
          <w:tcPr>
            <w:tcW w:w="2250" w:type="dxa"/>
            <w:tcMar>
              <w:left w:w="57" w:type="dxa"/>
              <w:right w:w="57" w:type="dxa"/>
            </w:tcMar>
          </w:tcPr>
          <w:p w14:paraId="5534A37B" w14:textId="77777777" w:rsidR="00BA23F2" w:rsidRPr="00C32FD4" w:rsidRDefault="00BA23F2" w:rsidP="00500578">
            <w:pPr>
              <w:pStyle w:val="Table-text"/>
              <w:jc w:val="center"/>
            </w:pPr>
            <w:proofErr w:type="spellStart"/>
            <w:r w:rsidRPr="00C32FD4">
              <w:t>Nasopharyngitis</w:t>
            </w:r>
            <w:proofErr w:type="spellEnd"/>
          </w:p>
        </w:tc>
        <w:tc>
          <w:tcPr>
            <w:tcW w:w="1350" w:type="dxa"/>
            <w:tcMar>
              <w:left w:w="57" w:type="dxa"/>
              <w:right w:w="57" w:type="dxa"/>
            </w:tcMar>
          </w:tcPr>
          <w:p w14:paraId="5F7079FA" w14:textId="77777777" w:rsidR="00BA23F2" w:rsidRPr="00C32FD4" w:rsidRDefault="00BA23F2" w:rsidP="00500578">
            <w:pPr>
              <w:pStyle w:val="Table-text"/>
              <w:jc w:val="center"/>
            </w:pPr>
            <w:r w:rsidRPr="00C32FD4">
              <w:t>Common</w:t>
            </w:r>
          </w:p>
        </w:tc>
        <w:tc>
          <w:tcPr>
            <w:tcW w:w="1620" w:type="dxa"/>
          </w:tcPr>
          <w:p w14:paraId="790452EB" w14:textId="77777777" w:rsidR="00BA23F2" w:rsidRPr="00C32FD4" w:rsidRDefault="00BA23F2" w:rsidP="00500578">
            <w:pPr>
              <w:pStyle w:val="Table-text"/>
              <w:jc w:val="center"/>
            </w:pPr>
            <w:r>
              <w:t>78 (11.1)</w:t>
            </w:r>
          </w:p>
        </w:tc>
        <w:tc>
          <w:tcPr>
            <w:tcW w:w="1475" w:type="dxa"/>
            <w:tcMar>
              <w:left w:w="57" w:type="dxa"/>
              <w:right w:w="57" w:type="dxa"/>
            </w:tcMar>
          </w:tcPr>
          <w:p w14:paraId="35EDFF2D" w14:textId="77777777" w:rsidR="00BA23F2" w:rsidRPr="00C32FD4" w:rsidRDefault="00BA23F2" w:rsidP="00500578">
            <w:pPr>
              <w:pStyle w:val="Table-text"/>
              <w:jc w:val="center"/>
            </w:pPr>
            <w:r w:rsidRPr="00C32FD4">
              <w:t>29 (8.2)</w:t>
            </w:r>
          </w:p>
        </w:tc>
      </w:tr>
      <w:tr w:rsidR="00BA23F2" w:rsidRPr="00C32FD4" w14:paraId="2691CE3B" w14:textId="77777777" w:rsidTr="00500578">
        <w:trPr>
          <w:cantSplit/>
        </w:trPr>
        <w:tc>
          <w:tcPr>
            <w:tcW w:w="2875" w:type="dxa"/>
            <w:vMerge/>
            <w:tcMar>
              <w:left w:w="57" w:type="dxa"/>
              <w:right w:w="57" w:type="dxa"/>
            </w:tcMar>
          </w:tcPr>
          <w:p w14:paraId="27BFF3AA" w14:textId="77777777" w:rsidR="00BA23F2" w:rsidRPr="00C32FD4" w:rsidRDefault="00BA23F2" w:rsidP="00500578">
            <w:pPr>
              <w:pStyle w:val="Table-text"/>
            </w:pPr>
          </w:p>
        </w:tc>
        <w:tc>
          <w:tcPr>
            <w:tcW w:w="2250" w:type="dxa"/>
            <w:tcMar>
              <w:left w:w="57" w:type="dxa"/>
              <w:right w:w="57" w:type="dxa"/>
            </w:tcMar>
          </w:tcPr>
          <w:p w14:paraId="09F37EE1" w14:textId="77777777" w:rsidR="00BA23F2" w:rsidRPr="00C32FD4" w:rsidRDefault="00BA23F2" w:rsidP="00500578">
            <w:pPr>
              <w:pStyle w:val="Table-text"/>
              <w:jc w:val="center"/>
            </w:pPr>
            <w:r>
              <w:t>Sinusitis</w:t>
            </w:r>
          </w:p>
        </w:tc>
        <w:tc>
          <w:tcPr>
            <w:tcW w:w="1350" w:type="dxa"/>
            <w:tcMar>
              <w:left w:w="57" w:type="dxa"/>
              <w:right w:w="57" w:type="dxa"/>
            </w:tcMar>
          </w:tcPr>
          <w:p w14:paraId="5D57211A" w14:textId="77777777" w:rsidR="00BA23F2" w:rsidRPr="00C32FD4" w:rsidRDefault="00BA23F2" w:rsidP="00500578">
            <w:pPr>
              <w:pStyle w:val="Table-text"/>
              <w:jc w:val="center"/>
            </w:pPr>
            <w:r>
              <w:t>Common</w:t>
            </w:r>
          </w:p>
        </w:tc>
        <w:tc>
          <w:tcPr>
            <w:tcW w:w="1620" w:type="dxa"/>
          </w:tcPr>
          <w:p w14:paraId="729DD874" w14:textId="77777777" w:rsidR="00BA23F2" w:rsidRPr="00C32FD4" w:rsidDel="008A2A53" w:rsidRDefault="00BA23F2" w:rsidP="00500578">
            <w:pPr>
              <w:pStyle w:val="Table-text"/>
              <w:jc w:val="center"/>
            </w:pPr>
            <w:r>
              <w:t>11 (1.6)</w:t>
            </w:r>
          </w:p>
        </w:tc>
        <w:tc>
          <w:tcPr>
            <w:tcW w:w="1475" w:type="dxa"/>
            <w:tcMar>
              <w:left w:w="57" w:type="dxa"/>
              <w:right w:w="57" w:type="dxa"/>
            </w:tcMar>
          </w:tcPr>
          <w:p w14:paraId="2C85DD91" w14:textId="77777777" w:rsidR="00BA23F2" w:rsidRPr="00C32FD4" w:rsidRDefault="00BA23F2" w:rsidP="00500578">
            <w:pPr>
              <w:pStyle w:val="Table-text"/>
              <w:jc w:val="center"/>
            </w:pPr>
            <w:r>
              <w:t>5 (1.4)</w:t>
            </w:r>
          </w:p>
        </w:tc>
      </w:tr>
      <w:tr w:rsidR="00BA23F2" w:rsidRPr="00C32FD4" w:rsidDel="008A2A53" w14:paraId="2517CAA1" w14:textId="77777777" w:rsidTr="00500578">
        <w:trPr>
          <w:cantSplit/>
        </w:trPr>
        <w:tc>
          <w:tcPr>
            <w:tcW w:w="2875" w:type="dxa"/>
            <w:vMerge w:val="restart"/>
            <w:tcMar>
              <w:left w:w="57" w:type="dxa"/>
              <w:right w:w="57" w:type="dxa"/>
            </w:tcMar>
          </w:tcPr>
          <w:p w14:paraId="42A17D02" w14:textId="77777777" w:rsidR="00BA23F2" w:rsidRPr="00C32FD4" w:rsidDel="008A2A53" w:rsidRDefault="00BA23F2" w:rsidP="00500578">
            <w:pPr>
              <w:pStyle w:val="Table-text"/>
            </w:pPr>
            <w:proofErr w:type="spellStart"/>
            <w:r>
              <w:t>Muscoskeletal</w:t>
            </w:r>
            <w:proofErr w:type="spellEnd"/>
            <w:r>
              <w:t xml:space="preserve"> and connective tissue disorders</w:t>
            </w:r>
          </w:p>
        </w:tc>
        <w:tc>
          <w:tcPr>
            <w:tcW w:w="2250" w:type="dxa"/>
            <w:tcMar>
              <w:left w:w="57" w:type="dxa"/>
              <w:right w:w="57" w:type="dxa"/>
            </w:tcMar>
          </w:tcPr>
          <w:p w14:paraId="48458BD2" w14:textId="77777777" w:rsidR="00BA23F2" w:rsidRPr="00C32FD4" w:rsidDel="008A2A53" w:rsidRDefault="00BA23F2" w:rsidP="00500578">
            <w:pPr>
              <w:pStyle w:val="Table-text"/>
              <w:jc w:val="center"/>
            </w:pPr>
            <w:r>
              <w:t>Arthralgia</w:t>
            </w:r>
          </w:p>
        </w:tc>
        <w:tc>
          <w:tcPr>
            <w:tcW w:w="1350" w:type="dxa"/>
            <w:tcMar>
              <w:left w:w="57" w:type="dxa"/>
              <w:right w:w="57" w:type="dxa"/>
            </w:tcMar>
          </w:tcPr>
          <w:p w14:paraId="2F11C5D1" w14:textId="77777777" w:rsidR="00BA23F2" w:rsidRPr="00C32FD4" w:rsidDel="008A2A53" w:rsidRDefault="00BA23F2" w:rsidP="00500578">
            <w:pPr>
              <w:pStyle w:val="Table-text"/>
              <w:jc w:val="center"/>
            </w:pPr>
            <w:r>
              <w:t>Common</w:t>
            </w:r>
          </w:p>
        </w:tc>
        <w:tc>
          <w:tcPr>
            <w:tcW w:w="1620" w:type="dxa"/>
          </w:tcPr>
          <w:p w14:paraId="57DEA430" w14:textId="77777777" w:rsidR="00BA23F2" w:rsidRPr="00C32FD4" w:rsidDel="008A2A53" w:rsidRDefault="00BA23F2" w:rsidP="00500578">
            <w:pPr>
              <w:pStyle w:val="Table-text"/>
              <w:jc w:val="center"/>
            </w:pPr>
            <w:r>
              <w:t>15 (2.1)</w:t>
            </w:r>
          </w:p>
        </w:tc>
        <w:tc>
          <w:tcPr>
            <w:tcW w:w="1475" w:type="dxa"/>
            <w:tcMar>
              <w:left w:w="57" w:type="dxa"/>
              <w:right w:w="57" w:type="dxa"/>
            </w:tcMar>
          </w:tcPr>
          <w:p w14:paraId="134DA74C" w14:textId="77777777" w:rsidR="00BA23F2" w:rsidRPr="00C32FD4" w:rsidDel="008A2A53" w:rsidRDefault="00BA23F2" w:rsidP="00500578">
            <w:pPr>
              <w:pStyle w:val="Table-text"/>
              <w:jc w:val="center"/>
            </w:pPr>
            <w:r>
              <w:t>7 (2.0)</w:t>
            </w:r>
          </w:p>
        </w:tc>
      </w:tr>
      <w:tr w:rsidR="00BA23F2" w:rsidRPr="00C32FD4" w:rsidDel="008A2A53" w14:paraId="45826E01" w14:textId="77777777" w:rsidTr="00500578">
        <w:trPr>
          <w:cantSplit/>
        </w:trPr>
        <w:tc>
          <w:tcPr>
            <w:tcW w:w="2875" w:type="dxa"/>
            <w:vMerge/>
            <w:tcMar>
              <w:left w:w="57" w:type="dxa"/>
              <w:right w:w="57" w:type="dxa"/>
            </w:tcMar>
          </w:tcPr>
          <w:p w14:paraId="1CC548EC" w14:textId="77777777" w:rsidR="00BA23F2" w:rsidRDefault="00BA23F2" w:rsidP="00500578">
            <w:pPr>
              <w:pStyle w:val="Table-text"/>
            </w:pPr>
          </w:p>
        </w:tc>
        <w:tc>
          <w:tcPr>
            <w:tcW w:w="2250" w:type="dxa"/>
            <w:tcMar>
              <w:left w:w="57" w:type="dxa"/>
              <w:right w:w="57" w:type="dxa"/>
            </w:tcMar>
          </w:tcPr>
          <w:p w14:paraId="578B55AF" w14:textId="77777777" w:rsidR="00BA23F2" w:rsidRDefault="00BA23F2" w:rsidP="00500578">
            <w:pPr>
              <w:pStyle w:val="Table-text"/>
              <w:jc w:val="center"/>
            </w:pPr>
            <w:r>
              <w:t>Back pain</w:t>
            </w:r>
          </w:p>
        </w:tc>
        <w:tc>
          <w:tcPr>
            <w:tcW w:w="1350" w:type="dxa"/>
            <w:tcMar>
              <w:left w:w="57" w:type="dxa"/>
              <w:right w:w="57" w:type="dxa"/>
            </w:tcMar>
          </w:tcPr>
          <w:p w14:paraId="1762ED26" w14:textId="77777777" w:rsidR="00BA23F2" w:rsidRDefault="00BA23F2" w:rsidP="00500578">
            <w:pPr>
              <w:pStyle w:val="Table-text"/>
              <w:jc w:val="center"/>
            </w:pPr>
            <w:r>
              <w:t>Common</w:t>
            </w:r>
          </w:p>
        </w:tc>
        <w:tc>
          <w:tcPr>
            <w:tcW w:w="1620" w:type="dxa"/>
          </w:tcPr>
          <w:p w14:paraId="493084B9" w14:textId="77777777" w:rsidR="00BA23F2" w:rsidRDefault="00BA23F2" w:rsidP="00500578">
            <w:pPr>
              <w:pStyle w:val="Table-text"/>
              <w:jc w:val="center"/>
            </w:pPr>
            <w:r>
              <w:t>9 (1.3)</w:t>
            </w:r>
          </w:p>
        </w:tc>
        <w:tc>
          <w:tcPr>
            <w:tcW w:w="1475" w:type="dxa"/>
            <w:tcMar>
              <w:left w:w="57" w:type="dxa"/>
              <w:right w:w="57" w:type="dxa"/>
            </w:tcMar>
          </w:tcPr>
          <w:p w14:paraId="656096B4" w14:textId="77777777" w:rsidR="00BA23F2" w:rsidRDefault="00BA23F2" w:rsidP="00500578">
            <w:pPr>
              <w:pStyle w:val="Table-text"/>
              <w:jc w:val="center"/>
            </w:pPr>
            <w:r>
              <w:t>4 (1.1)</w:t>
            </w:r>
          </w:p>
        </w:tc>
      </w:tr>
      <w:tr w:rsidR="00BA23F2" w:rsidRPr="00C32FD4" w:rsidDel="008A2A53" w14:paraId="2E542252" w14:textId="77777777" w:rsidTr="00500578">
        <w:trPr>
          <w:cantSplit/>
        </w:trPr>
        <w:tc>
          <w:tcPr>
            <w:tcW w:w="2875" w:type="dxa"/>
            <w:vMerge/>
            <w:tcMar>
              <w:left w:w="57" w:type="dxa"/>
              <w:right w:w="57" w:type="dxa"/>
            </w:tcMar>
          </w:tcPr>
          <w:p w14:paraId="37C2E472" w14:textId="77777777" w:rsidR="00BA23F2" w:rsidRDefault="00BA23F2" w:rsidP="00500578">
            <w:pPr>
              <w:pStyle w:val="Table-text"/>
            </w:pPr>
          </w:p>
        </w:tc>
        <w:tc>
          <w:tcPr>
            <w:tcW w:w="2250" w:type="dxa"/>
            <w:tcMar>
              <w:left w:w="57" w:type="dxa"/>
              <w:right w:w="57" w:type="dxa"/>
            </w:tcMar>
          </w:tcPr>
          <w:p w14:paraId="4AC2B936" w14:textId="77777777" w:rsidR="00BA23F2" w:rsidRDefault="00BA23F2" w:rsidP="00500578">
            <w:pPr>
              <w:pStyle w:val="Table-text"/>
              <w:jc w:val="center"/>
            </w:pPr>
            <w:r>
              <w:t>Pain in extremity</w:t>
            </w:r>
          </w:p>
        </w:tc>
        <w:tc>
          <w:tcPr>
            <w:tcW w:w="1350" w:type="dxa"/>
            <w:tcMar>
              <w:left w:w="57" w:type="dxa"/>
              <w:right w:w="57" w:type="dxa"/>
            </w:tcMar>
          </w:tcPr>
          <w:p w14:paraId="2B48379E" w14:textId="77777777" w:rsidR="00BA23F2" w:rsidRDefault="00BA23F2" w:rsidP="00500578">
            <w:pPr>
              <w:pStyle w:val="Table-text"/>
              <w:jc w:val="center"/>
            </w:pPr>
            <w:r>
              <w:t>Common</w:t>
            </w:r>
          </w:p>
        </w:tc>
        <w:tc>
          <w:tcPr>
            <w:tcW w:w="1620" w:type="dxa"/>
          </w:tcPr>
          <w:p w14:paraId="0C8A6A90" w14:textId="77777777" w:rsidR="00BA23F2" w:rsidRDefault="00BA23F2" w:rsidP="00500578">
            <w:pPr>
              <w:pStyle w:val="Table-text"/>
              <w:jc w:val="center"/>
            </w:pPr>
            <w:r>
              <w:t>7 (1.0)</w:t>
            </w:r>
          </w:p>
        </w:tc>
        <w:tc>
          <w:tcPr>
            <w:tcW w:w="1475" w:type="dxa"/>
            <w:tcMar>
              <w:left w:w="57" w:type="dxa"/>
              <w:right w:w="57" w:type="dxa"/>
            </w:tcMar>
          </w:tcPr>
          <w:p w14:paraId="3526D8B3" w14:textId="77777777" w:rsidR="00BA23F2" w:rsidRDefault="00BA23F2" w:rsidP="00500578">
            <w:pPr>
              <w:pStyle w:val="Table-text"/>
              <w:jc w:val="center"/>
            </w:pPr>
            <w:r>
              <w:t>2 (0.6)</w:t>
            </w:r>
          </w:p>
        </w:tc>
      </w:tr>
    </w:tbl>
    <w:p w14:paraId="12FD7E86" w14:textId="13D54FCE" w:rsidR="00A02772" w:rsidRPr="00C32FD4" w:rsidRDefault="00A02772" w:rsidP="00B8402F">
      <w:pPr>
        <w:pStyle w:val="Heading3"/>
      </w:pPr>
      <w:r w:rsidRPr="00C32FD4">
        <w:t>Immunogenicity</w:t>
      </w:r>
    </w:p>
    <w:p w14:paraId="21EB9580" w14:textId="49C39232" w:rsidR="00A02772" w:rsidRPr="00C32FD4" w:rsidRDefault="00A02772" w:rsidP="00380805">
      <w:pPr>
        <w:pStyle w:val="BodyText"/>
      </w:pPr>
      <w:r w:rsidRPr="00C32FD4">
        <w:t xml:space="preserve">In the Phase 2 and Phase 3 psoriasis clinical studies </w:t>
      </w:r>
      <w:r w:rsidR="00F60691">
        <w:t>6.5</w:t>
      </w:r>
      <w:r w:rsidR="00FC39A6">
        <w:t>%</w:t>
      </w:r>
      <w:r w:rsidR="00B469F4">
        <w:t xml:space="preserve"> </w:t>
      </w:r>
      <w:r w:rsidRPr="00C32FD4">
        <w:t xml:space="preserve">of </w:t>
      </w:r>
      <w:r w:rsidR="007363F3">
        <w:t xml:space="preserve">patients treated continuously with </w:t>
      </w:r>
      <w:r w:rsidR="002D1BE8" w:rsidRPr="00C32FD4">
        <w:t>ILUMYA</w:t>
      </w:r>
      <w:r w:rsidR="007363F3">
        <w:t xml:space="preserve"> 100</w:t>
      </w:r>
      <w:r w:rsidR="00B469F4">
        <w:t> </w:t>
      </w:r>
      <w:r w:rsidR="007363F3">
        <w:t>mg</w:t>
      </w:r>
      <w:r w:rsidRPr="00C32FD4">
        <w:t xml:space="preserve"> developed antibodies to </w:t>
      </w:r>
      <w:r w:rsidR="002D1BE8" w:rsidRPr="00C32FD4">
        <w:t>ILUMYA</w:t>
      </w:r>
      <w:r w:rsidRPr="00C32FD4">
        <w:t xml:space="preserve">. </w:t>
      </w:r>
      <w:r w:rsidR="00465C9E">
        <w:t xml:space="preserve">In the subset of these patients with treatment emergent neutralising antibodies, a small decrease in serum </w:t>
      </w:r>
      <w:proofErr w:type="spellStart"/>
      <w:r w:rsidR="00465C9E">
        <w:t>tildrakiz</w:t>
      </w:r>
      <w:r w:rsidR="00596061">
        <w:t>umab</w:t>
      </w:r>
      <w:proofErr w:type="spellEnd"/>
      <w:r w:rsidR="00596061">
        <w:t xml:space="preserve"> concentrations and a corresponding increase in clearance was observed. </w:t>
      </w:r>
      <w:r w:rsidR="007D2301">
        <w:t>T</w:t>
      </w:r>
      <w:r w:rsidR="00596061">
        <w:t xml:space="preserve">hose patients </w:t>
      </w:r>
      <w:r w:rsidR="007D2301">
        <w:t xml:space="preserve">who </w:t>
      </w:r>
      <w:r w:rsidR="00596061">
        <w:t>develop</w:t>
      </w:r>
      <w:r w:rsidR="007D2301">
        <w:t>ed</w:t>
      </w:r>
      <w:r w:rsidR="00596061">
        <w:t xml:space="preserve"> neutralising antibodies</w:t>
      </w:r>
      <w:r w:rsidR="00372119">
        <w:t xml:space="preserve"> reported minor decrease</w:t>
      </w:r>
      <w:r w:rsidR="007D2301">
        <w:t>s</w:t>
      </w:r>
      <w:r w:rsidR="00372119">
        <w:t xml:space="preserve"> in some efficacy parameters</w:t>
      </w:r>
      <w:r w:rsidR="007D2301">
        <w:t>.</w:t>
      </w:r>
      <w:r w:rsidR="00372119">
        <w:t xml:space="preserve"> </w:t>
      </w:r>
      <w:r w:rsidRPr="00C32FD4">
        <w:t xml:space="preserve">No apparent association between the development of antibodies to </w:t>
      </w:r>
      <w:r w:rsidR="002D1BE8" w:rsidRPr="00C32FD4">
        <w:t>ILUMYA</w:t>
      </w:r>
      <w:r w:rsidRPr="00C32FD4">
        <w:t xml:space="preserve"> and the development of treatment emergent adverse events was seen.</w:t>
      </w:r>
    </w:p>
    <w:p w14:paraId="6E873B90" w14:textId="77777777" w:rsidR="00A02772" w:rsidRPr="00C32FD4" w:rsidRDefault="00A02772" w:rsidP="00B8402F">
      <w:pPr>
        <w:pStyle w:val="Heading3"/>
      </w:pPr>
      <w:r w:rsidRPr="00C32FD4">
        <w:t>Hypersensitivity reactions</w:t>
      </w:r>
    </w:p>
    <w:p w14:paraId="5504F640" w14:textId="6ECC6107" w:rsidR="00A02772" w:rsidRDefault="00A02772" w:rsidP="00380805">
      <w:pPr>
        <w:pStyle w:val="BodyText"/>
      </w:pPr>
      <w:r w:rsidRPr="00C32FD4">
        <w:t xml:space="preserve">Non-serious cases of </w:t>
      </w:r>
      <w:proofErr w:type="spellStart"/>
      <w:r w:rsidRPr="00C32FD4">
        <w:t>urticaria</w:t>
      </w:r>
      <w:proofErr w:type="spellEnd"/>
      <w:r w:rsidRPr="00C32FD4">
        <w:t xml:space="preserve"> occurred in </w:t>
      </w:r>
      <w:r w:rsidR="002D1BE8" w:rsidRPr="00C32FD4">
        <w:t>ILUMYA</w:t>
      </w:r>
      <w:r w:rsidR="006357E4" w:rsidRPr="00C32FD4">
        <w:t>-</w:t>
      </w:r>
      <w:r w:rsidRPr="00C32FD4">
        <w:t xml:space="preserve">treated subjects in clinical trials. If a serious hypersensitivity reaction occurs, administration of </w:t>
      </w:r>
      <w:r w:rsidR="002D1BE8" w:rsidRPr="00C32FD4">
        <w:t>ILUMYA</w:t>
      </w:r>
      <w:r w:rsidRPr="00C32FD4">
        <w:t xml:space="preserve"> should be discontinued immediately and </w:t>
      </w:r>
      <w:r w:rsidRPr="00C32FD4">
        <w:lastRenderedPageBreak/>
        <w:t xml:space="preserve">appropriate therapy initiated. See </w:t>
      </w:r>
      <w:hyperlink w:anchor="_Hypersensitivity" w:history="1">
        <w:r w:rsidR="009E2920" w:rsidRPr="00C32FD4">
          <w:rPr>
            <w:rStyle w:val="Hyperlink"/>
          </w:rPr>
          <w:t>section</w:t>
        </w:r>
        <w:r w:rsidR="00B85FDB">
          <w:rPr>
            <w:rStyle w:val="Hyperlink"/>
          </w:rPr>
          <w:t xml:space="preserve"> </w:t>
        </w:r>
        <w:r w:rsidR="000E6DE4" w:rsidRPr="00C32FD4">
          <w:rPr>
            <w:rStyle w:val="Hyperlink"/>
          </w:rPr>
          <w:fldChar w:fldCharType="begin"/>
        </w:r>
        <w:r w:rsidR="000E6DE4" w:rsidRPr="00C32FD4">
          <w:rPr>
            <w:rStyle w:val="Hyperlink"/>
          </w:rPr>
          <w:instrText xml:space="preserve"> REF _Ref519172660 \h </w:instrText>
        </w:r>
        <w:r w:rsidR="000E6DE4" w:rsidRPr="00C32FD4">
          <w:rPr>
            <w:rStyle w:val="Hyperlink"/>
          </w:rPr>
        </w:r>
        <w:r w:rsidR="000E6DE4" w:rsidRPr="00C32FD4">
          <w:rPr>
            <w:rStyle w:val="Hyperlink"/>
          </w:rPr>
          <w:fldChar w:fldCharType="separate"/>
        </w:r>
        <w:r w:rsidR="000E6DE4" w:rsidRPr="00C32FD4">
          <w:t>4.4 SPECIAL WARNINGS AND PRECAUTIONS FOR USE</w:t>
        </w:r>
        <w:r w:rsidR="000E6DE4" w:rsidRPr="00C32FD4">
          <w:rPr>
            <w:rStyle w:val="Hyperlink"/>
          </w:rPr>
          <w:fldChar w:fldCharType="end"/>
        </w:r>
        <w:r w:rsidR="009E2920" w:rsidRPr="00C32FD4">
          <w:rPr>
            <w:rStyle w:val="Hyperlink"/>
            <w:b/>
          </w:rPr>
          <w:t xml:space="preserve"> </w:t>
        </w:r>
        <w:r w:rsidR="00E320D0" w:rsidRPr="00C32FD4">
          <w:rPr>
            <w:rStyle w:val="Hyperlink"/>
            <w:b/>
          </w:rPr>
          <w:t xml:space="preserve">- </w:t>
        </w:r>
        <w:r w:rsidR="00E320D0" w:rsidRPr="00C32FD4">
          <w:rPr>
            <w:rStyle w:val="Hyperlink"/>
          </w:rPr>
          <w:t>Hypersensitivity</w:t>
        </w:r>
      </w:hyperlink>
      <w:r w:rsidRPr="00C32FD4">
        <w:t>.</w:t>
      </w:r>
      <w:r w:rsidR="008048FD" w:rsidRPr="00C32FD4">
        <w:t xml:space="preserve"> </w:t>
      </w:r>
    </w:p>
    <w:p w14:paraId="1FF36DD7" w14:textId="77777777" w:rsidR="005B6D9F" w:rsidRPr="005B6D9F" w:rsidRDefault="005B6D9F" w:rsidP="005B6D9F">
      <w:pPr>
        <w:pStyle w:val="Heading3"/>
      </w:pPr>
      <w:r w:rsidRPr="005B6D9F">
        <w:t>Malignancy</w:t>
      </w:r>
    </w:p>
    <w:p w14:paraId="4D809AC8" w14:textId="1AE6938F" w:rsidR="005B6D9F" w:rsidRPr="005B6D9F" w:rsidRDefault="005B6D9F" w:rsidP="005B6D9F">
      <w:pPr>
        <w:pStyle w:val="BodyText"/>
      </w:pPr>
      <w:r w:rsidRPr="005B6D9F">
        <w:t xml:space="preserve">In the </w:t>
      </w:r>
      <w:r w:rsidR="00D646B1">
        <w:t xml:space="preserve">initial </w:t>
      </w:r>
      <w:r w:rsidRPr="005B6D9F">
        <w:t xml:space="preserve">placebo-controlled period of the </w:t>
      </w:r>
      <w:r w:rsidR="00D646B1">
        <w:t xml:space="preserve">Phase 2 and Phase </w:t>
      </w:r>
      <w:r w:rsidR="002B0CF7">
        <w:t>3</w:t>
      </w:r>
      <w:r w:rsidRPr="005B6D9F">
        <w:t xml:space="preserve"> studies, a non-significant numerical imbalance in malignancy was reported between </w:t>
      </w:r>
      <w:proofErr w:type="spellStart"/>
      <w:r w:rsidRPr="005B6D9F">
        <w:t>tildrakizumab</w:t>
      </w:r>
      <w:proofErr w:type="spellEnd"/>
      <w:r w:rsidRPr="005B6D9F">
        <w:t xml:space="preserve">-treated patients (0.2%) and those receiving placebo (0.0%).  This imbalance was not observed in the controlled-data period (exposure-adjusted incidence rate of 1.2/100 patient years of exposure for </w:t>
      </w:r>
      <w:proofErr w:type="spellStart"/>
      <w:r w:rsidRPr="005B6D9F">
        <w:t>tildrakizumab</w:t>
      </w:r>
      <w:proofErr w:type="spellEnd"/>
      <w:r w:rsidRPr="005B6D9F">
        <w:t xml:space="preserve"> 100 mg, 1.7/100 patient years 200 mg, 2.6/100 patient years with </w:t>
      </w:r>
      <w:proofErr w:type="spellStart"/>
      <w:r w:rsidRPr="005B6D9F">
        <w:t>etanercept</w:t>
      </w:r>
      <w:proofErr w:type="spellEnd"/>
      <w:r w:rsidRPr="005B6D9F">
        <w:t xml:space="preserve">, 0.9/100 patient years with placebo) or in the data collected in the open label extensions to the pivotal studies following up to 5 years of treatment (exposure adjusted rates of 0.7/100 patient with </w:t>
      </w:r>
      <w:proofErr w:type="spellStart"/>
      <w:r w:rsidRPr="005B6D9F">
        <w:t>tildrakizumab</w:t>
      </w:r>
      <w:proofErr w:type="spellEnd"/>
      <w:r w:rsidRPr="005B6D9F">
        <w:t xml:space="preserve"> 100 mg and 0.8/100 patient years with </w:t>
      </w:r>
      <w:proofErr w:type="spellStart"/>
      <w:r w:rsidRPr="005B6D9F">
        <w:t>tildrakizumab</w:t>
      </w:r>
      <w:proofErr w:type="spellEnd"/>
      <w:r w:rsidRPr="005B6D9F">
        <w:t xml:space="preserve"> 200 mg).  The overall rate of malignancies reported with </w:t>
      </w:r>
      <w:proofErr w:type="spellStart"/>
      <w:r w:rsidRPr="005B6D9F">
        <w:t>tildrakizumab</w:t>
      </w:r>
      <w:proofErr w:type="spellEnd"/>
      <w:r w:rsidRPr="005B6D9F">
        <w:t xml:space="preserve"> across all studies was 0.422/100 patient </w:t>
      </w:r>
      <w:proofErr w:type="gramStart"/>
      <w:r w:rsidRPr="005B6D9F">
        <w:t>years</w:t>
      </w:r>
      <w:proofErr w:type="gramEnd"/>
      <w:r w:rsidRPr="005B6D9F">
        <w:t xml:space="preserve"> exposure (excluding non-melanoma skin cancer (NMSC)) and 0.348/100 patient years for non-melanoma skin cancer.  </w:t>
      </w:r>
    </w:p>
    <w:p w14:paraId="3383EDF2" w14:textId="40A85F5E" w:rsidR="000E6DE4" w:rsidRPr="00C32FD4" w:rsidRDefault="000E6DE4" w:rsidP="00D97011">
      <w:pPr>
        <w:pStyle w:val="Heading3"/>
      </w:pPr>
      <w:r w:rsidRPr="00C32FD4">
        <w:t xml:space="preserve">Reporting </w:t>
      </w:r>
      <w:r w:rsidR="00D97011" w:rsidRPr="00C32FD4">
        <w:t>suspected adverse effects</w:t>
      </w:r>
    </w:p>
    <w:p w14:paraId="05B81D48" w14:textId="40333906" w:rsidR="008048FD" w:rsidRPr="00C32FD4" w:rsidRDefault="008048FD" w:rsidP="008048FD">
      <w:pPr>
        <w:pStyle w:val="BodyText"/>
      </w:pPr>
      <w:r w:rsidRPr="00C32FD4">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C32FD4">
          <w:rPr>
            <w:rStyle w:val="Hyperlink"/>
          </w:rPr>
          <w:t>http://www.tga.gov.au/reporting-problems</w:t>
        </w:r>
      </w:hyperlink>
      <w:r w:rsidRPr="00C32FD4">
        <w:t xml:space="preserve">. </w:t>
      </w:r>
    </w:p>
    <w:p w14:paraId="710C974D" w14:textId="700AB6BE" w:rsidR="009F0D3D" w:rsidRPr="00C32FD4" w:rsidRDefault="00B8402F" w:rsidP="000E6DE4">
      <w:pPr>
        <w:pStyle w:val="Heading2"/>
      </w:pPr>
      <w:r w:rsidRPr="00C32FD4">
        <w:t xml:space="preserve">4.9 </w:t>
      </w:r>
      <w:r w:rsidR="009F0D3D" w:rsidRPr="00C32FD4">
        <w:t>OVERDOSE</w:t>
      </w:r>
    </w:p>
    <w:p w14:paraId="0B154A34" w14:textId="77777777" w:rsidR="00201836" w:rsidRPr="00C32FD4" w:rsidRDefault="00E320D0" w:rsidP="00380805">
      <w:pPr>
        <w:pStyle w:val="BodyText"/>
      </w:pPr>
      <w:r w:rsidRPr="00C32FD4">
        <w:t>Intravenous d</w:t>
      </w:r>
      <w:r w:rsidR="00201836" w:rsidRPr="00C32FD4">
        <w:t>oses up to 10 mg/kg have been safely administered in clinical trials.</w:t>
      </w:r>
    </w:p>
    <w:p w14:paraId="1FE42D71" w14:textId="77777777" w:rsidR="008E50D4" w:rsidRPr="00C32FD4" w:rsidRDefault="00201836" w:rsidP="00380805">
      <w:pPr>
        <w:pStyle w:val="BodyText"/>
      </w:pPr>
      <w:r w:rsidRPr="00C32FD4">
        <w:t>In the event of overdose, it is recommended that the patient be monitored for any signs or symptoms of adverse reactions and appropriate symptomatic treatment be instituted immediately.</w:t>
      </w:r>
    </w:p>
    <w:p w14:paraId="6DBE76CC" w14:textId="77777777" w:rsidR="006E4E7B" w:rsidRPr="00C32FD4" w:rsidRDefault="006E4E7B" w:rsidP="00380805">
      <w:pPr>
        <w:pStyle w:val="BodyText"/>
      </w:pPr>
      <w:r w:rsidRPr="00C32FD4">
        <w:t>For information on the management of overdose, contact the Poison Information Centre on 131</w:t>
      </w:r>
      <w:r w:rsidR="0098351F" w:rsidRPr="00C32FD4">
        <w:t xml:space="preserve"> </w:t>
      </w:r>
      <w:r w:rsidRPr="00C32FD4">
        <w:t>126 (Australia).</w:t>
      </w:r>
    </w:p>
    <w:p w14:paraId="13D0A5C8" w14:textId="72E63186" w:rsidR="003A1890" w:rsidRPr="00C32FD4" w:rsidRDefault="00B8402F" w:rsidP="003A1890">
      <w:pPr>
        <w:pStyle w:val="Heading1"/>
      </w:pPr>
      <w:r w:rsidRPr="00C32FD4">
        <w:t xml:space="preserve">5. </w:t>
      </w:r>
      <w:r w:rsidR="003A1890" w:rsidRPr="00C32FD4">
        <w:t>PHARMACOLOG</w:t>
      </w:r>
      <w:r w:rsidRPr="00C32FD4">
        <w:t>ICAL PROPERTIES</w:t>
      </w:r>
    </w:p>
    <w:p w14:paraId="1B68DD98" w14:textId="4B7DDA3E" w:rsidR="00B8402F" w:rsidRPr="00C32FD4" w:rsidRDefault="00B8402F" w:rsidP="00910E4A">
      <w:pPr>
        <w:pStyle w:val="Heading2"/>
        <w:rPr>
          <w:rFonts w:eastAsia="TimesNewRoman"/>
        </w:rPr>
      </w:pPr>
      <w:r w:rsidRPr="00C32FD4">
        <w:rPr>
          <w:rFonts w:eastAsia="TimesNewRoman"/>
        </w:rPr>
        <w:t>5.1 PHARMACODYNAMIC PROPERTIES</w:t>
      </w:r>
    </w:p>
    <w:p w14:paraId="647F322D" w14:textId="77777777" w:rsidR="00F11A67" w:rsidRPr="00C32FD4" w:rsidRDefault="00F11A67" w:rsidP="00F11A67">
      <w:pPr>
        <w:pStyle w:val="BodyText"/>
      </w:pPr>
      <w:r w:rsidRPr="00C32FD4">
        <w:t>The expression of mRNA for IL</w:t>
      </w:r>
      <w:r w:rsidRPr="00C32FD4">
        <w:noBreakHyphen/>
        <w:t xml:space="preserve">23p19 is elevated in psoriatic lesions compared to normal skin. In exploratory studies in patients with psoriasis, inflammatory infiltrates were decreased in </w:t>
      </w:r>
      <w:proofErr w:type="spellStart"/>
      <w:r w:rsidRPr="00C32FD4">
        <w:t>lesional</w:t>
      </w:r>
      <w:proofErr w:type="spellEnd"/>
      <w:r w:rsidRPr="00C32FD4">
        <w:t xml:space="preserve"> tissue biopsies after dosing with </w:t>
      </w:r>
      <w:proofErr w:type="spellStart"/>
      <w:r w:rsidRPr="00C32FD4">
        <w:t>tildrakizumab</w:t>
      </w:r>
      <w:proofErr w:type="spellEnd"/>
      <w:r w:rsidRPr="00C32FD4">
        <w:t>. A decrease in expression of IL</w:t>
      </w:r>
      <w:r w:rsidRPr="00C32FD4">
        <w:noBreakHyphen/>
        <w:t xml:space="preserve">23p19 was observed in </w:t>
      </w:r>
      <w:proofErr w:type="spellStart"/>
      <w:r w:rsidRPr="00C32FD4">
        <w:t>lesional</w:t>
      </w:r>
      <w:proofErr w:type="spellEnd"/>
      <w:r w:rsidRPr="00C32FD4">
        <w:t xml:space="preserve"> skin biopsies measured at baseline and up to two weeks post</w:t>
      </w:r>
      <w:r w:rsidRPr="00C32FD4">
        <w:noBreakHyphen/>
        <w:t xml:space="preserve">treatment. Gene expression patterns of inflammation were normalised following treatment with </w:t>
      </w:r>
      <w:proofErr w:type="spellStart"/>
      <w:r w:rsidRPr="00C32FD4">
        <w:t>tildrakizumab</w:t>
      </w:r>
      <w:proofErr w:type="spellEnd"/>
      <w:r w:rsidRPr="00C32FD4">
        <w:t>.</w:t>
      </w:r>
    </w:p>
    <w:p w14:paraId="467497AA" w14:textId="1F4100D1" w:rsidR="003A1890" w:rsidRPr="00C32FD4" w:rsidRDefault="003A1890" w:rsidP="00B8402F">
      <w:pPr>
        <w:pStyle w:val="Heading3"/>
        <w:rPr>
          <w:rFonts w:eastAsia="TimesNewRoman"/>
        </w:rPr>
      </w:pPr>
      <w:r w:rsidRPr="00C32FD4">
        <w:rPr>
          <w:rFonts w:eastAsia="TimesNewRoman"/>
        </w:rPr>
        <w:t xml:space="preserve">Mechanism of </w:t>
      </w:r>
      <w:r w:rsidR="00F11A67" w:rsidRPr="00C32FD4">
        <w:rPr>
          <w:rFonts w:eastAsia="TimesNewRoman"/>
        </w:rPr>
        <w:t>A</w:t>
      </w:r>
      <w:r w:rsidRPr="00C32FD4">
        <w:rPr>
          <w:rFonts w:eastAsia="TimesNewRoman"/>
        </w:rPr>
        <w:t>ction</w:t>
      </w:r>
    </w:p>
    <w:p w14:paraId="01EB1C78" w14:textId="77777777" w:rsidR="003A1890" w:rsidRPr="00C32FD4" w:rsidRDefault="003A1890" w:rsidP="003A1890">
      <w:pPr>
        <w:pStyle w:val="BodyText"/>
      </w:pPr>
      <w:proofErr w:type="spellStart"/>
      <w:r w:rsidRPr="00C32FD4">
        <w:t>Tildrakizumab</w:t>
      </w:r>
      <w:proofErr w:type="spellEnd"/>
      <w:r w:rsidRPr="00C32FD4">
        <w:t xml:space="preserve"> is a humanized IgG1</w:t>
      </w:r>
      <w:r w:rsidRPr="00C32FD4">
        <w:rPr>
          <w:rStyle w:val="BodyTextChar"/>
        </w:rPr>
        <w:t>/κ monoclonal</w:t>
      </w:r>
      <w:r w:rsidRPr="00C32FD4">
        <w:t xml:space="preserve"> antibody that specifically binds to the p19 protein subunit of the interleukin 23 (IL</w:t>
      </w:r>
      <w:r w:rsidRPr="00C32FD4">
        <w:noBreakHyphen/>
        <w:t>23) cytokine and inhibits its interaction with the IL</w:t>
      </w:r>
      <w:r w:rsidRPr="00C32FD4">
        <w:noBreakHyphen/>
        <w:t>23 receptor.</w:t>
      </w:r>
    </w:p>
    <w:p w14:paraId="7B79FE76" w14:textId="77777777" w:rsidR="003A1890" w:rsidRPr="00C32FD4" w:rsidRDefault="003A1890" w:rsidP="003A1890">
      <w:pPr>
        <w:pStyle w:val="BodyText"/>
      </w:pPr>
      <w:r w:rsidRPr="00C32FD4">
        <w:t>IL</w:t>
      </w:r>
      <w:r w:rsidRPr="00C32FD4">
        <w:noBreakHyphen/>
        <w:t>23 is a naturally occurring cytokine composed of 2 subunits (IL</w:t>
      </w:r>
      <w:r w:rsidRPr="00C32FD4">
        <w:noBreakHyphen/>
        <w:t>23p19 and IL</w:t>
      </w:r>
      <w:r w:rsidRPr="00C32FD4">
        <w:noBreakHyphen/>
        <w:t xml:space="preserve">12/23p40), that is involved in inflammatory and immune responses. </w:t>
      </w:r>
      <w:proofErr w:type="spellStart"/>
      <w:r w:rsidRPr="00C32FD4">
        <w:t>Tildrakizumab</w:t>
      </w:r>
      <w:proofErr w:type="spellEnd"/>
      <w:r w:rsidRPr="00C32FD4">
        <w:t xml:space="preserve"> inhibits the release of </w:t>
      </w:r>
      <w:proofErr w:type="spellStart"/>
      <w:r w:rsidRPr="00C32FD4">
        <w:t>proinflammatory</w:t>
      </w:r>
      <w:proofErr w:type="spellEnd"/>
      <w:r w:rsidRPr="00C32FD4">
        <w:t xml:space="preserve"> cytokines and chemokines. In </w:t>
      </w:r>
      <w:r w:rsidRPr="00C32FD4">
        <w:rPr>
          <w:i/>
        </w:rPr>
        <w:t>in vitro</w:t>
      </w:r>
      <w:r w:rsidRPr="00C32FD4">
        <w:t xml:space="preserve"> models, </w:t>
      </w:r>
      <w:proofErr w:type="spellStart"/>
      <w:r w:rsidRPr="00C32FD4">
        <w:t>tildrakizumab</w:t>
      </w:r>
      <w:proofErr w:type="spellEnd"/>
      <w:r w:rsidRPr="00C32FD4">
        <w:t xml:space="preserve"> was shown to disrupt IL</w:t>
      </w:r>
      <w:r w:rsidRPr="00C32FD4">
        <w:noBreakHyphen/>
        <w:t>23 mediated signalling and cytokine cascades by disrupting the interaction of IL</w:t>
      </w:r>
      <w:r w:rsidRPr="00C32FD4">
        <w:noBreakHyphen/>
        <w:t>23 binding to its specific receptor, IL</w:t>
      </w:r>
      <w:r w:rsidRPr="00C32FD4">
        <w:noBreakHyphen/>
        <w:t>23R without binding to IL</w:t>
      </w:r>
      <w:r w:rsidRPr="00C32FD4">
        <w:noBreakHyphen/>
        <w:t>12 (composed of 2 subunits IL</w:t>
      </w:r>
      <w:r w:rsidRPr="00C32FD4">
        <w:noBreakHyphen/>
        <w:t>12p35 and IL</w:t>
      </w:r>
      <w:r w:rsidRPr="00C32FD4">
        <w:noBreakHyphen/>
        <w:t>12/23p40).</w:t>
      </w:r>
    </w:p>
    <w:p w14:paraId="4213EE60" w14:textId="15BAAD3D" w:rsidR="003A1890" w:rsidRPr="00C32FD4" w:rsidRDefault="00F11A67" w:rsidP="00F11A67">
      <w:pPr>
        <w:pStyle w:val="Heading3"/>
      </w:pPr>
      <w:bookmarkStart w:id="13" w:name="_Ref479156578"/>
      <w:r w:rsidRPr="00C32FD4">
        <w:lastRenderedPageBreak/>
        <w:t>Clinical Trials</w:t>
      </w:r>
    </w:p>
    <w:p w14:paraId="11ACA4A1" w14:textId="77777777" w:rsidR="003A1890" w:rsidRPr="00C32FD4" w:rsidRDefault="003A1890" w:rsidP="003A1890">
      <w:pPr>
        <w:pStyle w:val="BodyText"/>
      </w:pPr>
      <w:r w:rsidRPr="00C32FD4">
        <w:t xml:space="preserve">The </w:t>
      </w:r>
      <w:proofErr w:type="spellStart"/>
      <w:r w:rsidRPr="00C32FD4">
        <w:t>multicenter</w:t>
      </w:r>
      <w:proofErr w:type="spellEnd"/>
      <w:r w:rsidRPr="00C32FD4">
        <w:t xml:space="preserve">, randomized, double-blind, placebo-controlled trials </w:t>
      </w:r>
      <w:proofErr w:type="spellStart"/>
      <w:r w:rsidRPr="00C32FD4" w:rsidDel="00476317">
        <w:t>reSURFACE</w:t>
      </w:r>
      <w:proofErr w:type="spellEnd"/>
      <w:r w:rsidRPr="00C32FD4" w:rsidDel="00476317">
        <w:t xml:space="preserve"> 1 and </w:t>
      </w:r>
      <w:proofErr w:type="spellStart"/>
      <w:r w:rsidRPr="00C32FD4" w:rsidDel="00476317">
        <w:t>reSURFACE</w:t>
      </w:r>
      <w:proofErr w:type="spellEnd"/>
      <w:r w:rsidRPr="00C32FD4" w:rsidDel="00476317">
        <w:t xml:space="preserve"> 2 enrolled a total of 1862 patients 18 years of age and older with plaque psoriasis who had a minimum body surface area involvement of 10%, a Physician Global Assessment (PGA) score of ≥3 in the overall assessment (plaque thickness, erythema, and scaling) of psoriasis on a severity scale of 0 to 5, a Psoriasis Area and Severity Index (PASI) score ≥12, and who were candidates for phototherapy or systemic therapy.</w:t>
      </w:r>
    </w:p>
    <w:p w14:paraId="2431361D" w14:textId="1115CB73" w:rsidR="003A1890" w:rsidRPr="00C32FD4" w:rsidRDefault="003A1890" w:rsidP="003A1890">
      <w:pPr>
        <w:pStyle w:val="BodyText"/>
      </w:pPr>
      <w:r w:rsidRPr="00C32FD4">
        <w:t xml:space="preserve">In these studies, there was an initial </w:t>
      </w:r>
      <w:proofErr w:type="gramStart"/>
      <w:r w:rsidRPr="00C32FD4">
        <w:t>12 week</w:t>
      </w:r>
      <w:proofErr w:type="gramEnd"/>
      <w:r w:rsidRPr="00C32FD4">
        <w:t xml:space="preserve"> placebo controlled period where patients were randomized to </w:t>
      </w:r>
      <w:r w:rsidR="002D1BE8" w:rsidRPr="00C32FD4">
        <w:t>ILUMYA</w:t>
      </w:r>
      <w:r w:rsidRPr="00C32FD4">
        <w:t xml:space="preserve"> (including </w:t>
      </w:r>
      <w:r w:rsidR="006E7F14">
        <w:t>100</w:t>
      </w:r>
      <w:r w:rsidRPr="00C32FD4">
        <w:t xml:space="preserve"> mg and </w:t>
      </w:r>
      <w:r w:rsidR="006E7F14">
        <w:t>200</w:t>
      </w:r>
      <w:r w:rsidRPr="00C32FD4">
        <w:t> mg at 0, 4 and every twelve weeks thereafter [Q12W]) or placebo.  In the active comparator study (</w:t>
      </w:r>
      <w:proofErr w:type="spellStart"/>
      <w:r w:rsidRPr="00C32FD4">
        <w:t>reSURFACE</w:t>
      </w:r>
      <w:proofErr w:type="spellEnd"/>
      <w:r w:rsidRPr="00C32FD4">
        <w:t xml:space="preserve"> 2), patients were also randomized to receive </w:t>
      </w:r>
      <w:proofErr w:type="spellStart"/>
      <w:r w:rsidRPr="00C32FD4">
        <w:t>etanercept</w:t>
      </w:r>
      <w:proofErr w:type="spellEnd"/>
      <w:r w:rsidRPr="00C32FD4">
        <w:t xml:space="preserve"> 50 mg twice weekly for 12 weeks, and weekly thereafter up to 28 weeks.  After the initial </w:t>
      </w:r>
      <w:proofErr w:type="gramStart"/>
      <w:r w:rsidRPr="00C32FD4">
        <w:t>12 week</w:t>
      </w:r>
      <w:proofErr w:type="gramEnd"/>
      <w:r w:rsidRPr="00C32FD4">
        <w:t xml:space="preserve"> treatment period, patients previously receiving placebo were randomized to either 100 mg or 200 mg </w:t>
      </w:r>
      <w:r w:rsidR="002D1BE8" w:rsidRPr="00C32FD4">
        <w:t>ILUMYA</w:t>
      </w:r>
      <w:r w:rsidRPr="00C32FD4">
        <w:t xml:space="preserve"> through week 28.  After week 28, those patients receiving </w:t>
      </w:r>
      <w:r w:rsidR="002D1BE8" w:rsidRPr="00C32FD4">
        <w:t>ILUMYA</w:t>
      </w:r>
      <w:r w:rsidRPr="00C32FD4">
        <w:t xml:space="preserve"> from week 0 were eligible for dosage adjustment based on PASI response.  In </w:t>
      </w:r>
      <w:proofErr w:type="spellStart"/>
      <w:r w:rsidRPr="00C32FD4">
        <w:t>reSURFACE</w:t>
      </w:r>
      <w:proofErr w:type="spellEnd"/>
      <w:r w:rsidRPr="00C32FD4">
        <w:t xml:space="preserve"> 2, non-responding or partial-responding patients receiving </w:t>
      </w:r>
      <w:proofErr w:type="spellStart"/>
      <w:r w:rsidRPr="00C32FD4">
        <w:t>etanercept</w:t>
      </w:r>
      <w:proofErr w:type="spellEnd"/>
      <w:r w:rsidRPr="00C32FD4">
        <w:t xml:space="preserve"> were switched to </w:t>
      </w:r>
      <w:r w:rsidR="002D1BE8" w:rsidRPr="00C32FD4">
        <w:t>ILUMYA</w:t>
      </w:r>
      <w:r w:rsidRPr="00C32FD4">
        <w:t xml:space="preserve"> 200 mg.  The total treatment period was 52 or 64 weeks for the base studies, each study also incorporated an optional long-term extension phase.  </w:t>
      </w:r>
    </w:p>
    <w:p w14:paraId="0EF5CB0F" w14:textId="1F31B300" w:rsidR="003A1890" w:rsidRPr="00C32FD4" w:rsidRDefault="003A1890" w:rsidP="003A1890">
      <w:pPr>
        <w:pStyle w:val="BodyText"/>
      </w:pPr>
      <w:r w:rsidRPr="00C32FD4">
        <w:t xml:space="preserve">Results obtained at Weeks 12, 28 and beyond (up to Week 64 in </w:t>
      </w:r>
      <w:proofErr w:type="spellStart"/>
      <w:r w:rsidRPr="00C32FD4">
        <w:t>reSURFACE</w:t>
      </w:r>
      <w:proofErr w:type="spellEnd"/>
      <w:r w:rsidRPr="00C32FD4">
        <w:t xml:space="preserve"> 1 and up to Week 52 in </w:t>
      </w:r>
      <w:proofErr w:type="spellStart"/>
      <w:r w:rsidRPr="00C32FD4">
        <w:t>reSURFACE</w:t>
      </w:r>
      <w:proofErr w:type="spellEnd"/>
      <w:r w:rsidRPr="00C32FD4">
        <w:t xml:space="preserve"> 2) are presented in </w:t>
      </w:r>
      <w:r w:rsidRPr="00C32FD4">
        <w:fldChar w:fldCharType="begin"/>
      </w:r>
      <w:r w:rsidRPr="00C32FD4">
        <w:instrText xml:space="preserve"> REF _Ref479328327 \h  \* MERGEFORMAT </w:instrText>
      </w:r>
      <w:r w:rsidRPr="00C32FD4">
        <w:fldChar w:fldCharType="separate"/>
      </w:r>
      <w:r w:rsidR="007A20D0" w:rsidRPr="007A20D0">
        <w:rPr>
          <w:b/>
        </w:rPr>
        <w:t>Table 2</w:t>
      </w:r>
      <w:r w:rsidRPr="00C32FD4">
        <w:fldChar w:fldCharType="end"/>
      </w:r>
      <w:r w:rsidRPr="00C32FD4">
        <w:t xml:space="preserve">. </w:t>
      </w:r>
    </w:p>
    <w:p w14:paraId="51C4AA03" w14:textId="77777777" w:rsidR="003A1890" w:rsidRPr="00C32FD4" w:rsidRDefault="003A1890" w:rsidP="003A1890">
      <w:pPr>
        <w:pStyle w:val="BodyText"/>
      </w:pPr>
      <w:r w:rsidRPr="00C32FD4">
        <w:t>Patients in all treatment groups (</w:t>
      </w:r>
      <w:proofErr w:type="spellStart"/>
      <w:r w:rsidRPr="00C32FD4">
        <w:t>reSURFACE</w:t>
      </w:r>
      <w:proofErr w:type="spellEnd"/>
      <w:r w:rsidRPr="00C32FD4">
        <w:t xml:space="preserve"> 1 and re SURFACE 2) had a median baseline PASI score ranging from 17.6 to 18.4. The baseline PGA score was marked or severe in 33.4% of patients. Of all patients enrolled, 35.8% had received prior phototherapy, 41.1% had received prior conventional systemic therapy, 16.7% had received prior biologic therapy for the treatment of psoriasis, and 7.7% had received at least one anti-TNF alpha agent. A total of 15.4% of study patients had a history of psoriatic arthritis. Baseline Dermatology Life Quality Index (DLQI) ranged from 13.2 to 14.8.</w:t>
      </w:r>
    </w:p>
    <w:p w14:paraId="233E51E0" w14:textId="77777777" w:rsidR="003A1890" w:rsidRPr="00C32FD4" w:rsidRDefault="003A1890" w:rsidP="003A1890">
      <w:pPr>
        <w:pStyle w:val="BodyText"/>
      </w:pPr>
      <w:r w:rsidRPr="00C32FD4">
        <w:t xml:space="preserve">Studies </w:t>
      </w:r>
      <w:proofErr w:type="spellStart"/>
      <w:r w:rsidRPr="00C32FD4">
        <w:t>reSURFACE</w:t>
      </w:r>
      <w:proofErr w:type="spellEnd"/>
      <w:r w:rsidRPr="00C32FD4">
        <w:t xml:space="preserve"> 1 and </w:t>
      </w:r>
      <w:proofErr w:type="spellStart"/>
      <w:r w:rsidRPr="00C32FD4">
        <w:t>reSURFACE</w:t>
      </w:r>
      <w:proofErr w:type="spellEnd"/>
      <w:r w:rsidRPr="00C32FD4">
        <w:t xml:space="preserve"> 2 assessed the changes from baseline at Week 12 in the two co-primary endpoints: 1) PASI 75 and 2) PGA of “0” (cleared) or “1” (minimal), with at least a 2-point improvement from baseline. Other evaluated outcomes in </w:t>
      </w:r>
      <w:proofErr w:type="spellStart"/>
      <w:r w:rsidRPr="00C32FD4">
        <w:t>reSURFACE</w:t>
      </w:r>
      <w:proofErr w:type="spellEnd"/>
      <w:r w:rsidRPr="00C32FD4">
        <w:t xml:space="preserve"> 1 and </w:t>
      </w:r>
      <w:proofErr w:type="spellStart"/>
      <w:r w:rsidRPr="00C32FD4">
        <w:t>reSURFACE</w:t>
      </w:r>
      <w:proofErr w:type="spellEnd"/>
      <w:r w:rsidRPr="00C32FD4">
        <w:t xml:space="preserve"> 2 included the proportion of patients who achieved PASI 90 and PASI 100, the proportion of patients with DLQI 0 or 1, and maintenance of efficacy up to 64 weeks.</w:t>
      </w:r>
    </w:p>
    <w:p w14:paraId="7A412227" w14:textId="024398DE" w:rsidR="003A1890" w:rsidRPr="00C32FD4" w:rsidRDefault="003A1890" w:rsidP="003A1890">
      <w:pPr>
        <w:pStyle w:val="BodyText"/>
      </w:pPr>
      <w:r w:rsidRPr="00C32FD4">
        <w:t xml:space="preserve">Examination of age, race, previous treatment with a biologic or traditional systemic therapy did not identify significant differences in PASI 75 response to </w:t>
      </w:r>
      <w:r w:rsidR="002D1BE8" w:rsidRPr="00C32FD4">
        <w:t>ILUMYA</w:t>
      </w:r>
      <w:r w:rsidRPr="00C32FD4">
        <w:t xml:space="preserve"> </w:t>
      </w:r>
      <w:r w:rsidR="00283365">
        <w:t>100</w:t>
      </w:r>
      <w:r w:rsidRPr="00C32FD4">
        <w:t xml:space="preserve"> mg among these subgroups at Week 12.</w:t>
      </w:r>
    </w:p>
    <w:p w14:paraId="2FC82BE4" w14:textId="77777777" w:rsidR="003A1890" w:rsidRPr="00C32FD4" w:rsidRDefault="003A1890" w:rsidP="003A1890">
      <w:pPr>
        <w:pStyle w:val="BodyText"/>
      </w:pPr>
    </w:p>
    <w:tbl>
      <w:tblPr>
        <w:tblStyle w:val="TableGrid"/>
        <w:tblW w:w="10920" w:type="dxa"/>
        <w:jc w:val="center"/>
        <w:tblLook w:val="04A0" w:firstRow="1" w:lastRow="0" w:firstColumn="1" w:lastColumn="0" w:noHBand="0" w:noVBand="1"/>
      </w:tblPr>
      <w:tblGrid>
        <w:gridCol w:w="10920"/>
      </w:tblGrid>
      <w:tr w:rsidR="003A1890" w:rsidRPr="00C32FD4" w14:paraId="544EC4BA" w14:textId="77777777" w:rsidTr="00F11A67">
        <w:trPr>
          <w:jc w:val="center"/>
        </w:trPr>
        <w:tc>
          <w:tcPr>
            <w:tcW w:w="10920" w:type="dxa"/>
            <w:tcMar>
              <w:left w:w="57" w:type="dxa"/>
              <w:right w:w="57" w:type="dxa"/>
            </w:tcMar>
          </w:tcPr>
          <w:p w14:paraId="2D48937C" w14:textId="504795EA" w:rsidR="003A1890" w:rsidRPr="00C32FD4" w:rsidRDefault="003A1890" w:rsidP="007B77B7">
            <w:pPr>
              <w:pStyle w:val="Table-MainTitle"/>
              <w:jc w:val="both"/>
            </w:pPr>
            <w:bookmarkStart w:id="14" w:name="_Ref479328327"/>
            <w:r w:rsidRPr="00C32FD4">
              <w:t xml:space="preserve">Table </w:t>
            </w:r>
            <w:r w:rsidR="00C1200A" w:rsidRPr="00C32FD4">
              <w:rPr>
                <w:noProof/>
              </w:rPr>
              <w:fldChar w:fldCharType="begin"/>
            </w:r>
            <w:r w:rsidR="00C1200A" w:rsidRPr="00C32FD4">
              <w:rPr>
                <w:noProof/>
              </w:rPr>
              <w:instrText xml:space="preserve"> SEQ Table \* ARABIC </w:instrText>
            </w:r>
            <w:r w:rsidR="00C1200A" w:rsidRPr="00C32FD4">
              <w:rPr>
                <w:noProof/>
              </w:rPr>
              <w:fldChar w:fldCharType="separate"/>
            </w:r>
            <w:r w:rsidR="00D742D7" w:rsidRPr="00C32FD4">
              <w:rPr>
                <w:noProof/>
              </w:rPr>
              <w:t>2</w:t>
            </w:r>
            <w:r w:rsidR="00C1200A" w:rsidRPr="00C32FD4">
              <w:rPr>
                <w:noProof/>
              </w:rPr>
              <w:fldChar w:fldCharType="end"/>
            </w:r>
            <w:bookmarkEnd w:id="14"/>
            <w:r w:rsidRPr="00C32FD4">
              <w:t xml:space="preserve">: Summary of Response Rates in Studies </w:t>
            </w:r>
            <w:proofErr w:type="spellStart"/>
            <w:r w:rsidRPr="00C32FD4">
              <w:t>reSURFACE</w:t>
            </w:r>
            <w:proofErr w:type="spellEnd"/>
            <w:r w:rsidRPr="00C32FD4">
              <w:t xml:space="preserve"> 1 and </w:t>
            </w:r>
            <w:proofErr w:type="spellStart"/>
            <w:r w:rsidRPr="00C32FD4">
              <w:t>reSURFACE</w:t>
            </w:r>
            <w:proofErr w:type="spellEnd"/>
            <w:r w:rsidRPr="00C32FD4">
              <w:t xml:space="preserve"> 2</w:t>
            </w:r>
          </w:p>
        </w:tc>
      </w:tr>
    </w:tbl>
    <w:p w14:paraId="6CDDF4C0" w14:textId="77777777" w:rsidR="003A1890" w:rsidRPr="00C32FD4" w:rsidRDefault="003A1890" w:rsidP="007B77B7">
      <w:pPr>
        <w:pStyle w:val="Table-space"/>
        <w:keepNext/>
        <w:keepLines/>
      </w:pPr>
    </w:p>
    <w:tbl>
      <w:tblPr>
        <w:tblStyle w:val="TableGrid"/>
        <w:tblW w:w="10920" w:type="dxa"/>
        <w:jc w:val="center"/>
        <w:tblLayout w:type="fixed"/>
        <w:tblLook w:val="04A0" w:firstRow="1" w:lastRow="0" w:firstColumn="1" w:lastColumn="0" w:noHBand="0" w:noVBand="1"/>
      </w:tblPr>
      <w:tblGrid>
        <w:gridCol w:w="1559"/>
        <w:gridCol w:w="1134"/>
        <w:gridCol w:w="1134"/>
        <w:gridCol w:w="851"/>
        <w:gridCol w:w="963"/>
        <w:gridCol w:w="1148"/>
        <w:gridCol w:w="1149"/>
        <w:gridCol w:w="992"/>
        <w:gridCol w:w="995"/>
        <w:gridCol w:w="995"/>
      </w:tblGrid>
      <w:tr w:rsidR="00C32FD4" w:rsidRPr="00C32FD4" w14:paraId="5EAD780B" w14:textId="77777777" w:rsidTr="00F11A67">
        <w:trPr>
          <w:tblHeader/>
          <w:jc w:val="center"/>
        </w:trPr>
        <w:tc>
          <w:tcPr>
            <w:tcW w:w="1559" w:type="dxa"/>
            <w:tcMar>
              <w:left w:w="57" w:type="dxa"/>
              <w:right w:w="57" w:type="dxa"/>
            </w:tcMar>
          </w:tcPr>
          <w:p w14:paraId="1A035A25" w14:textId="77777777" w:rsidR="003A1890" w:rsidRPr="00C32FD4" w:rsidRDefault="003A1890" w:rsidP="007B77B7">
            <w:pPr>
              <w:pStyle w:val="Table-Heading1"/>
              <w:keepNext/>
              <w:keepLines/>
              <w:spacing w:before="40" w:after="40"/>
              <w:jc w:val="both"/>
              <w:rPr>
                <w:sz w:val="19"/>
                <w:szCs w:val="19"/>
              </w:rPr>
            </w:pPr>
          </w:p>
        </w:tc>
        <w:tc>
          <w:tcPr>
            <w:tcW w:w="4082" w:type="dxa"/>
            <w:gridSpan w:val="4"/>
            <w:tcMar>
              <w:left w:w="0" w:type="dxa"/>
              <w:right w:w="0" w:type="dxa"/>
            </w:tcMar>
          </w:tcPr>
          <w:p w14:paraId="0DA6029B" w14:textId="77777777" w:rsidR="003A1890" w:rsidRPr="00C32FD4" w:rsidRDefault="003A1890" w:rsidP="007B77B7">
            <w:pPr>
              <w:pStyle w:val="Table-Heading1"/>
              <w:keepNext/>
              <w:keepLines/>
              <w:spacing w:before="40" w:after="40"/>
              <w:jc w:val="center"/>
              <w:rPr>
                <w:sz w:val="19"/>
                <w:szCs w:val="19"/>
              </w:rPr>
            </w:pPr>
            <w:r w:rsidRPr="00C32FD4">
              <w:rPr>
                <w:sz w:val="19"/>
                <w:szCs w:val="19"/>
              </w:rPr>
              <w:t>Week 12 (2 doses)</w:t>
            </w:r>
          </w:p>
        </w:tc>
        <w:tc>
          <w:tcPr>
            <w:tcW w:w="3289" w:type="dxa"/>
            <w:gridSpan w:val="3"/>
            <w:tcMar>
              <w:left w:w="0" w:type="dxa"/>
              <w:right w:w="0" w:type="dxa"/>
            </w:tcMar>
          </w:tcPr>
          <w:p w14:paraId="34BE9A86" w14:textId="77777777" w:rsidR="003A1890" w:rsidRPr="00C32FD4" w:rsidRDefault="003A1890" w:rsidP="007B77B7">
            <w:pPr>
              <w:pStyle w:val="Table-Heading1"/>
              <w:keepNext/>
              <w:keepLines/>
              <w:spacing w:before="40" w:after="40"/>
              <w:jc w:val="center"/>
              <w:rPr>
                <w:sz w:val="19"/>
                <w:szCs w:val="19"/>
              </w:rPr>
            </w:pPr>
            <w:r w:rsidRPr="00C32FD4">
              <w:rPr>
                <w:sz w:val="19"/>
                <w:szCs w:val="19"/>
              </w:rPr>
              <w:t>Week 28 (3 doses)</w:t>
            </w:r>
          </w:p>
        </w:tc>
        <w:tc>
          <w:tcPr>
            <w:tcW w:w="1990" w:type="dxa"/>
            <w:gridSpan w:val="2"/>
            <w:tcMar>
              <w:left w:w="0" w:type="dxa"/>
              <w:right w:w="0" w:type="dxa"/>
            </w:tcMar>
          </w:tcPr>
          <w:p w14:paraId="0F3AD296" w14:textId="77777777" w:rsidR="003A1890" w:rsidRPr="00C32FD4" w:rsidRDefault="003A1890" w:rsidP="007B77B7">
            <w:pPr>
              <w:pStyle w:val="Table-Heading1"/>
              <w:keepNext/>
              <w:keepLines/>
              <w:spacing w:before="40" w:after="40"/>
              <w:jc w:val="center"/>
              <w:rPr>
                <w:sz w:val="19"/>
                <w:szCs w:val="19"/>
              </w:rPr>
            </w:pPr>
            <w:r w:rsidRPr="00C32FD4">
              <w:rPr>
                <w:sz w:val="19"/>
                <w:szCs w:val="19"/>
              </w:rPr>
              <w:t xml:space="preserve">Long term response </w:t>
            </w:r>
            <w:r w:rsidRPr="00C32FD4">
              <w:rPr>
                <w:sz w:val="19"/>
                <w:szCs w:val="19"/>
                <w:vertAlign w:val="superscript"/>
              </w:rPr>
              <w:t>a</w:t>
            </w:r>
          </w:p>
        </w:tc>
      </w:tr>
      <w:tr w:rsidR="00C32FD4" w:rsidRPr="00C32FD4" w14:paraId="16A8E66C" w14:textId="77777777" w:rsidTr="00F11A67">
        <w:trPr>
          <w:tblHeader/>
          <w:jc w:val="center"/>
        </w:trPr>
        <w:tc>
          <w:tcPr>
            <w:tcW w:w="1559" w:type="dxa"/>
            <w:tcMar>
              <w:left w:w="57" w:type="dxa"/>
              <w:right w:w="57" w:type="dxa"/>
            </w:tcMar>
          </w:tcPr>
          <w:p w14:paraId="3FE316A3" w14:textId="77777777" w:rsidR="003A1890" w:rsidRPr="00C32FD4" w:rsidRDefault="003A1890" w:rsidP="00F11A67">
            <w:pPr>
              <w:pStyle w:val="Table-Heading1"/>
              <w:keepNext/>
              <w:keepLines/>
              <w:spacing w:before="40" w:after="40"/>
              <w:jc w:val="both"/>
              <w:rPr>
                <w:sz w:val="19"/>
                <w:szCs w:val="19"/>
              </w:rPr>
            </w:pPr>
          </w:p>
        </w:tc>
        <w:tc>
          <w:tcPr>
            <w:tcW w:w="1134" w:type="dxa"/>
            <w:tcMar>
              <w:left w:w="0" w:type="dxa"/>
              <w:right w:w="0" w:type="dxa"/>
            </w:tcMar>
          </w:tcPr>
          <w:p w14:paraId="05E8407D" w14:textId="68F43B74" w:rsidR="003A1890" w:rsidRPr="00C32FD4" w:rsidRDefault="00283365" w:rsidP="00F11A67">
            <w:pPr>
              <w:pStyle w:val="Table-Heading1"/>
              <w:keepNext/>
              <w:keepLines/>
              <w:spacing w:before="40" w:after="40"/>
              <w:jc w:val="center"/>
              <w:rPr>
                <w:sz w:val="19"/>
                <w:szCs w:val="19"/>
              </w:rPr>
            </w:pPr>
            <w:r>
              <w:rPr>
                <w:sz w:val="19"/>
                <w:szCs w:val="19"/>
              </w:rPr>
              <w:t>1</w:t>
            </w:r>
            <w:r w:rsidR="003A1890" w:rsidRPr="00C32FD4">
              <w:rPr>
                <w:sz w:val="19"/>
                <w:szCs w:val="19"/>
              </w:rPr>
              <w:t>00 mg</w:t>
            </w:r>
          </w:p>
        </w:tc>
        <w:tc>
          <w:tcPr>
            <w:tcW w:w="1134" w:type="dxa"/>
            <w:tcMar>
              <w:left w:w="0" w:type="dxa"/>
              <w:right w:w="0" w:type="dxa"/>
            </w:tcMar>
          </w:tcPr>
          <w:p w14:paraId="39FEA3A6" w14:textId="313AEE96" w:rsidR="003A1890" w:rsidRPr="00C32FD4" w:rsidRDefault="00283365" w:rsidP="00F11A67">
            <w:pPr>
              <w:pStyle w:val="Table-Heading1"/>
              <w:keepNext/>
              <w:keepLines/>
              <w:spacing w:before="40" w:after="40"/>
              <w:jc w:val="center"/>
              <w:rPr>
                <w:sz w:val="19"/>
                <w:szCs w:val="19"/>
              </w:rPr>
            </w:pPr>
            <w:r>
              <w:rPr>
                <w:sz w:val="19"/>
                <w:szCs w:val="19"/>
              </w:rPr>
              <w:t>2</w:t>
            </w:r>
            <w:r w:rsidR="003A1890" w:rsidRPr="00C32FD4">
              <w:rPr>
                <w:sz w:val="19"/>
                <w:szCs w:val="19"/>
              </w:rPr>
              <w:t>00 mg</w:t>
            </w:r>
          </w:p>
        </w:tc>
        <w:tc>
          <w:tcPr>
            <w:tcW w:w="851" w:type="dxa"/>
            <w:tcMar>
              <w:left w:w="0" w:type="dxa"/>
              <w:right w:w="0" w:type="dxa"/>
            </w:tcMar>
          </w:tcPr>
          <w:p w14:paraId="78D8DF88" w14:textId="77777777" w:rsidR="003A1890" w:rsidRPr="00C32FD4" w:rsidRDefault="003A1890" w:rsidP="00F11A67">
            <w:pPr>
              <w:pStyle w:val="Table-Heading1"/>
              <w:keepNext/>
              <w:keepLines/>
              <w:spacing w:before="40" w:after="40"/>
              <w:jc w:val="center"/>
              <w:rPr>
                <w:sz w:val="19"/>
                <w:szCs w:val="19"/>
              </w:rPr>
            </w:pPr>
            <w:r w:rsidRPr="00C32FD4">
              <w:rPr>
                <w:sz w:val="19"/>
                <w:szCs w:val="19"/>
              </w:rPr>
              <w:t>Placebo</w:t>
            </w:r>
          </w:p>
        </w:tc>
        <w:tc>
          <w:tcPr>
            <w:tcW w:w="963" w:type="dxa"/>
            <w:tcMar>
              <w:left w:w="0" w:type="dxa"/>
              <w:right w:w="0" w:type="dxa"/>
            </w:tcMar>
          </w:tcPr>
          <w:p w14:paraId="33046882" w14:textId="77777777" w:rsidR="003A1890" w:rsidRPr="00C32FD4" w:rsidRDefault="003A1890" w:rsidP="00F11A67">
            <w:pPr>
              <w:pStyle w:val="Table-Heading1"/>
              <w:keepNext/>
              <w:keepLines/>
              <w:spacing w:before="40" w:after="40"/>
              <w:jc w:val="center"/>
              <w:rPr>
                <w:sz w:val="19"/>
                <w:szCs w:val="19"/>
              </w:rPr>
            </w:pPr>
            <w:proofErr w:type="spellStart"/>
            <w:r w:rsidRPr="00C32FD4">
              <w:rPr>
                <w:sz w:val="19"/>
                <w:szCs w:val="19"/>
              </w:rPr>
              <w:t>Etanercept</w:t>
            </w:r>
            <w:proofErr w:type="spellEnd"/>
          </w:p>
        </w:tc>
        <w:tc>
          <w:tcPr>
            <w:tcW w:w="1148" w:type="dxa"/>
            <w:tcMar>
              <w:left w:w="0" w:type="dxa"/>
              <w:right w:w="0" w:type="dxa"/>
            </w:tcMar>
          </w:tcPr>
          <w:p w14:paraId="4B29FFB1" w14:textId="0D0474DA" w:rsidR="003A1890" w:rsidRPr="00C32FD4" w:rsidRDefault="00283365" w:rsidP="00F11A67">
            <w:pPr>
              <w:pStyle w:val="Table-Heading1"/>
              <w:keepNext/>
              <w:keepLines/>
              <w:spacing w:before="40" w:after="40"/>
              <w:jc w:val="center"/>
              <w:rPr>
                <w:sz w:val="19"/>
                <w:szCs w:val="19"/>
              </w:rPr>
            </w:pPr>
            <w:r>
              <w:rPr>
                <w:sz w:val="19"/>
                <w:szCs w:val="19"/>
              </w:rPr>
              <w:t>1</w:t>
            </w:r>
            <w:r w:rsidR="003A1890" w:rsidRPr="00C32FD4">
              <w:rPr>
                <w:sz w:val="19"/>
                <w:szCs w:val="19"/>
              </w:rPr>
              <w:t>00 mg</w:t>
            </w:r>
          </w:p>
        </w:tc>
        <w:tc>
          <w:tcPr>
            <w:tcW w:w="1149" w:type="dxa"/>
            <w:tcMar>
              <w:left w:w="0" w:type="dxa"/>
              <w:right w:w="0" w:type="dxa"/>
            </w:tcMar>
          </w:tcPr>
          <w:p w14:paraId="2543198C" w14:textId="47E92D6D" w:rsidR="003A1890" w:rsidRPr="00C32FD4" w:rsidRDefault="00283365" w:rsidP="00F11A67">
            <w:pPr>
              <w:pStyle w:val="Table-Heading1"/>
              <w:keepNext/>
              <w:keepLines/>
              <w:spacing w:before="40" w:after="40"/>
              <w:jc w:val="center"/>
              <w:rPr>
                <w:sz w:val="19"/>
                <w:szCs w:val="19"/>
              </w:rPr>
            </w:pPr>
            <w:r>
              <w:rPr>
                <w:sz w:val="19"/>
                <w:szCs w:val="19"/>
              </w:rPr>
              <w:t>2</w:t>
            </w:r>
            <w:r w:rsidR="003A1890" w:rsidRPr="00C32FD4">
              <w:rPr>
                <w:sz w:val="19"/>
                <w:szCs w:val="19"/>
              </w:rPr>
              <w:t>00 mg</w:t>
            </w:r>
          </w:p>
        </w:tc>
        <w:tc>
          <w:tcPr>
            <w:tcW w:w="992" w:type="dxa"/>
            <w:tcMar>
              <w:left w:w="0" w:type="dxa"/>
              <w:right w:w="0" w:type="dxa"/>
            </w:tcMar>
          </w:tcPr>
          <w:p w14:paraId="1A37C716" w14:textId="77777777" w:rsidR="003A1890" w:rsidRPr="00C32FD4" w:rsidRDefault="003A1890" w:rsidP="00F11A67">
            <w:pPr>
              <w:pStyle w:val="Table-Heading1"/>
              <w:keepNext/>
              <w:keepLines/>
              <w:spacing w:before="40" w:after="40"/>
              <w:jc w:val="center"/>
              <w:rPr>
                <w:sz w:val="19"/>
                <w:szCs w:val="19"/>
              </w:rPr>
            </w:pPr>
            <w:proofErr w:type="spellStart"/>
            <w:r w:rsidRPr="00C32FD4">
              <w:rPr>
                <w:sz w:val="19"/>
                <w:szCs w:val="19"/>
              </w:rPr>
              <w:t>Etanercept</w:t>
            </w:r>
            <w:proofErr w:type="spellEnd"/>
          </w:p>
        </w:tc>
        <w:tc>
          <w:tcPr>
            <w:tcW w:w="995" w:type="dxa"/>
            <w:tcMar>
              <w:left w:w="0" w:type="dxa"/>
              <w:right w:w="0" w:type="dxa"/>
            </w:tcMar>
          </w:tcPr>
          <w:p w14:paraId="68DD4572" w14:textId="769D297C" w:rsidR="003A1890" w:rsidRPr="00C32FD4" w:rsidRDefault="00283365" w:rsidP="00F11A67">
            <w:pPr>
              <w:pStyle w:val="Table-Heading1"/>
              <w:keepNext/>
              <w:keepLines/>
              <w:spacing w:before="40" w:after="40"/>
              <w:jc w:val="center"/>
              <w:rPr>
                <w:sz w:val="19"/>
                <w:szCs w:val="19"/>
              </w:rPr>
            </w:pPr>
            <w:r>
              <w:rPr>
                <w:sz w:val="19"/>
                <w:szCs w:val="19"/>
              </w:rPr>
              <w:t>1</w:t>
            </w:r>
            <w:r w:rsidR="003A1890" w:rsidRPr="00C32FD4">
              <w:rPr>
                <w:sz w:val="19"/>
                <w:szCs w:val="19"/>
              </w:rPr>
              <w:t>00 mg</w:t>
            </w:r>
          </w:p>
        </w:tc>
        <w:tc>
          <w:tcPr>
            <w:tcW w:w="995" w:type="dxa"/>
            <w:tcMar>
              <w:left w:w="0" w:type="dxa"/>
              <w:right w:w="0" w:type="dxa"/>
            </w:tcMar>
          </w:tcPr>
          <w:p w14:paraId="0BBE17EF" w14:textId="62669CE1" w:rsidR="003A1890" w:rsidRPr="00C32FD4" w:rsidRDefault="00283365" w:rsidP="00F11A67">
            <w:pPr>
              <w:pStyle w:val="Table-Heading1"/>
              <w:keepNext/>
              <w:keepLines/>
              <w:spacing w:before="40" w:after="40"/>
              <w:jc w:val="center"/>
              <w:rPr>
                <w:sz w:val="19"/>
                <w:szCs w:val="19"/>
              </w:rPr>
            </w:pPr>
            <w:r>
              <w:rPr>
                <w:sz w:val="19"/>
                <w:szCs w:val="19"/>
              </w:rPr>
              <w:t>2</w:t>
            </w:r>
            <w:r w:rsidR="003A1890" w:rsidRPr="00C32FD4">
              <w:rPr>
                <w:sz w:val="19"/>
                <w:szCs w:val="19"/>
              </w:rPr>
              <w:t>00 mg</w:t>
            </w:r>
          </w:p>
        </w:tc>
      </w:tr>
      <w:tr w:rsidR="00C32FD4" w:rsidRPr="00C32FD4" w14:paraId="54DC04F1" w14:textId="77777777" w:rsidTr="00F11A67">
        <w:trPr>
          <w:jc w:val="center"/>
        </w:trPr>
        <w:tc>
          <w:tcPr>
            <w:tcW w:w="10920" w:type="dxa"/>
            <w:gridSpan w:val="10"/>
            <w:tcMar>
              <w:left w:w="28" w:type="dxa"/>
              <w:right w:w="28" w:type="dxa"/>
            </w:tcMar>
            <w:vAlign w:val="center"/>
          </w:tcPr>
          <w:p w14:paraId="689C725B" w14:textId="77777777" w:rsidR="003A1890" w:rsidRPr="00C32FD4" w:rsidRDefault="003A1890" w:rsidP="00F11A67">
            <w:pPr>
              <w:pStyle w:val="Table-Heading1"/>
              <w:spacing w:before="40" w:after="40"/>
              <w:jc w:val="both"/>
              <w:rPr>
                <w:sz w:val="19"/>
                <w:szCs w:val="19"/>
              </w:rPr>
            </w:pPr>
            <w:proofErr w:type="spellStart"/>
            <w:r w:rsidRPr="00C32FD4">
              <w:rPr>
                <w:sz w:val="19"/>
                <w:szCs w:val="19"/>
              </w:rPr>
              <w:t>reSURFACE</w:t>
            </w:r>
            <w:proofErr w:type="spellEnd"/>
            <w:r w:rsidRPr="00C32FD4">
              <w:rPr>
                <w:sz w:val="19"/>
                <w:szCs w:val="19"/>
              </w:rPr>
              <w:t xml:space="preserve"> 1</w:t>
            </w:r>
          </w:p>
        </w:tc>
      </w:tr>
      <w:tr w:rsidR="00305084" w:rsidRPr="00C32FD4" w14:paraId="7DF484D0" w14:textId="77777777" w:rsidTr="00F11A67">
        <w:trPr>
          <w:jc w:val="center"/>
        </w:trPr>
        <w:tc>
          <w:tcPr>
            <w:tcW w:w="1559" w:type="dxa"/>
            <w:tcMar>
              <w:left w:w="28" w:type="dxa"/>
              <w:right w:w="28" w:type="dxa"/>
            </w:tcMar>
          </w:tcPr>
          <w:p w14:paraId="17B6835F" w14:textId="77777777" w:rsidR="00305084" w:rsidRPr="00C32FD4" w:rsidRDefault="00305084" w:rsidP="00305084">
            <w:pPr>
              <w:pStyle w:val="Table-text"/>
              <w:rPr>
                <w:sz w:val="19"/>
                <w:szCs w:val="19"/>
              </w:rPr>
            </w:pPr>
            <w:r w:rsidRPr="00C32FD4">
              <w:rPr>
                <w:sz w:val="19"/>
                <w:szCs w:val="19"/>
              </w:rPr>
              <w:t>Number of patients</w:t>
            </w:r>
          </w:p>
        </w:tc>
        <w:tc>
          <w:tcPr>
            <w:tcW w:w="1134" w:type="dxa"/>
            <w:tcMar>
              <w:left w:w="0" w:type="dxa"/>
              <w:right w:w="0" w:type="dxa"/>
            </w:tcMar>
          </w:tcPr>
          <w:p w14:paraId="4FDA839D" w14:textId="58E85FC3" w:rsidR="00305084" w:rsidRPr="00C32FD4" w:rsidRDefault="00305084" w:rsidP="00305084">
            <w:pPr>
              <w:pStyle w:val="Table-text"/>
              <w:jc w:val="center"/>
              <w:rPr>
                <w:sz w:val="19"/>
                <w:szCs w:val="19"/>
              </w:rPr>
            </w:pPr>
            <w:r w:rsidRPr="00C32FD4">
              <w:rPr>
                <w:sz w:val="19"/>
                <w:szCs w:val="19"/>
              </w:rPr>
              <w:t>309</w:t>
            </w:r>
          </w:p>
        </w:tc>
        <w:tc>
          <w:tcPr>
            <w:tcW w:w="1134" w:type="dxa"/>
            <w:tcMar>
              <w:left w:w="0" w:type="dxa"/>
              <w:right w:w="0" w:type="dxa"/>
            </w:tcMar>
          </w:tcPr>
          <w:p w14:paraId="0CF80F68" w14:textId="22F9C724" w:rsidR="00305084" w:rsidRPr="00C32FD4" w:rsidRDefault="00305084" w:rsidP="00305084">
            <w:pPr>
              <w:pStyle w:val="Table-text"/>
              <w:jc w:val="center"/>
              <w:rPr>
                <w:sz w:val="19"/>
                <w:szCs w:val="19"/>
              </w:rPr>
            </w:pPr>
            <w:r w:rsidRPr="00C32FD4">
              <w:rPr>
                <w:sz w:val="19"/>
                <w:szCs w:val="19"/>
              </w:rPr>
              <w:t>308</w:t>
            </w:r>
          </w:p>
        </w:tc>
        <w:tc>
          <w:tcPr>
            <w:tcW w:w="851" w:type="dxa"/>
            <w:tcMar>
              <w:left w:w="0" w:type="dxa"/>
              <w:right w:w="0" w:type="dxa"/>
            </w:tcMar>
          </w:tcPr>
          <w:p w14:paraId="2373B571" w14:textId="77777777" w:rsidR="00305084" w:rsidRPr="00C32FD4" w:rsidRDefault="00305084" w:rsidP="00305084">
            <w:pPr>
              <w:pStyle w:val="Table-text"/>
              <w:jc w:val="center"/>
              <w:rPr>
                <w:sz w:val="19"/>
                <w:szCs w:val="19"/>
              </w:rPr>
            </w:pPr>
            <w:r w:rsidRPr="00C32FD4">
              <w:rPr>
                <w:sz w:val="19"/>
                <w:szCs w:val="19"/>
              </w:rPr>
              <w:t>154</w:t>
            </w:r>
          </w:p>
        </w:tc>
        <w:tc>
          <w:tcPr>
            <w:tcW w:w="963" w:type="dxa"/>
            <w:tcMar>
              <w:left w:w="0" w:type="dxa"/>
              <w:right w:w="0" w:type="dxa"/>
            </w:tcMar>
          </w:tcPr>
          <w:p w14:paraId="29046D6B" w14:textId="77777777" w:rsidR="00305084" w:rsidRPr="00C32FD4" w:rsidRDefault="00305084" w:rsidP="00305084">
            <w:pPr>
              <w:pStyle w:val="Table-text"/>
              <w:jc w:val="center"/>
              <w:rPr>
                <w:sz w:val="19"/>
                <w:szCs w:val="19"/>
              </w:rPr>
            </w:pPr>
            <w:r w:rsidRPr="00C32FD4">
              <w:rPr>
                <w:sz w:val="19"/>
                <w:szCs w:val="19"/>
              </w:rPr>
              <w:t>-</w:t>
            </w:r>
          </w:p>
        </w:tc>
        <w:tc>
          <w:tcPr>
            <w:tcW w:w="1148" w:type="dxa"/>
            <w:tcMar>
              <w:left w:w="0" w:type="dxa"/>
              <w:right w:w="0" w:type="dxa"/>
            </w:tcMar>
          </w:tcPr>
          <w:p w14:paraId="29E672A5" w14:textId="2F275CC3" w:rsidR="00305084" w:rsidRPr="00C32FD4" w:rsidRDefault="00305084" w:rsidP="00305084">
            <w:pPr>
              <w:pStyle w:val="Table-text"/>
              <w:jc w:val="center"/>
              <w:rPr>
                <w:sz w:val="19"/>
                <w:szCs w:val="19"/>
              </w:rPr>
            </w:pPr>
            <w:r w:rsidRPr="00C32FD4">
              <w:rPr>
                <w:sz w:val="19"/>
                <w:szCs w:val="19"/>
              </w:rPr>
              <w:t>299</w:t>
            </w:r>
          </w:p>
        </w:tc>
        <w:tc>
          <w:tcPr>
            <w:tcW w:w="1149" w:type="dxa"/>
            <w:tcMar>
              <w:left w:w="0" w:type="dxa"/>
              <w:right w:w="0" w:type="dxa"/>
            </w:tcMar>
          </w:tcPr>
          <w:p w14:paraId="08C8F671" w14:textId="6A879EB8" w:rsidR="00305084" w:rsidRPr="00C32FD4" w:rsidRDefault="00305084" w:rsidP="00305084">
            <w:pPr>
              <w:pStyle w:val="Table-text"/>
              <w:jc w:val="center"/>
              <w:rPr>
                <w:sz w:val="19"/>
                <w:szCs w:val="19"/>
              </w:rPr>
            </w:pPr>
            <w:r w:rsidRPr="00C32FD4">
              <w:rPr>
                <w:sz w:val="19"/>
                <w:szCs w:val="19"/>
              </w:rPr>
              <w:t>298</w:t>
            </w:r>
          </w:p>
        </w:tc>
        <w:tc>
          <w:tcPr>
            <w:tcW w:w="992" w:type="dxa"/>
            <w:tcMar>
              <w:left w:w="0" w:type="dxa"/>
              <w:right w:w="0" w:type="dxa"/>
            </w:tcMar>
          </w:tcPr>
          <w:p w14:paraId="20A30001" w14:textId="77777777" w:rsidR="00305084" w:rsidRPr="00C32FD4" w:rsidRDefault="00305084" w:rsidP="00305084">
            <w:pPr>
              <w:pStyle w:val="Table-text"/>
              <w:jc w:val="center"/>
              <w:rPr>
                <w:sz w:val="19"/>
                <w:szCs w:val="19"/>
              </w:rPr>
            </w:pPr>
            <w:r w:rsidRPr="00C32FD4">
              <w:rPr>
                <w:sz w:val="19"/>
                <w:szCs w:val="19"/>
              </w:rPr>
              <w:t>-</w:t>
            </w:r>
          </w:p>
        </w:tc>
        <w:tc>
          <w:tcPr>
            <w:tcW w:w="995" w:type="dxa"/>
            <w:tcMar>
              <w:left w:w="0" w:type="dxa"/>
              <w:right w:w="0" w:type="dxa"/>
            </w:tcMar>
          </w:tcPr>
          <w:p w14:paraId="2843ED9F" w14:textId="19BBB10B" w:rsidR="00305084" w:rsidRPr="00C32FD4" w:rsidRDefault="00305084" w:rsidP="00305084">
            <w:pPr>
              <w:pStyle w:val="Table-text"/>
              <w:jc w:val="center"/>
              <w:rPr>
                <w:sz w:val="19"/>
                <w:szCs w:val="19"/>
              </w:rPr>
            </w:pPr>
            <w:r w:rsidRPr="00C32FD4">
              <w:rPr>
                <w:sz w:val="19"/>
                <w:szCs w:val="19"/>
              </w:rPr>
              <w:t>112</w:t>
            </w:r>
          </w:p>
        </w:tc>
        <w:tc>
          <w:tcPr>
            <w:tcW w:w="995" w:type="dxa"/>
            <w:tcMar>
              <w:left w:w="0" w:type="dxa"/>
              <w:right w:w="0" w:type="dxa"/>
            </w:tcMar>
          </w:tcPr>
          <w:p w14:paraId="50FFBCA2" w14:textId="6F72516A" w:rsidR="00305084" w:rsidRPr="00C32FD4" w:rsidRDefault="00305084" w:rsidP="00305084">
            <w:pPr>
              <w:pStyle w:val="Table-text"/>
              <w:jc w:val="center"/>
              <w:rPr>
                <w:sz w:val="19"/>
                <w:szCs w:val="19"/>
              </w:rPr>
            </w:pPr>
            <w:r w:rsidRPr="00C32FD4">
              <w:rPr>
                <w:sz w:val="19"/>
                <w:szCs w:val="19"/>
              </w:rPr>
              <w:t>114</w:t>
            </w:r>
          </w:p>
        </w:tc>
      </w:tr>
      <w:tr w:rsidR="00305084" w:rsidRPr="00C32FD4" w14:paraId="0EF6BDF1" w14:textId="77777777" w:rsidTr="00F11A67">
        <w:trPr>
          <w:jc w:val="center"/>
        </w:trPr>
        <w:tc>
          <w:tcPr>
            <w:tcW w:w="1559" w:type="dxa"/>
            <w:tcMar>
              <w:left w:w="28" w:type="dxa"/>
              <w:right w:w="28" w:type="dxa"/>
            </w:tcMar>
          </w:tcPr>
          <w:p w14:paraId="28982A55" w14:textId="77777777" w:rsidR="00305084" w:rsidRPr="00C32FD4" w:rsidRDefault="00305084" w:rsidP="00305084">
            <w:pPr>
              <w:pStyle w:val="Table-text"/>
              <w:rPr>
                <w:sz w:val="19"/>
                <w:szCs w:val="19"/>
              </w:rPr>
            </w:pPr>
            <w:r w:rsidRPr="00C32FD4">
              <w:rPr>
                <w:sz w:val="19"/>
                <w:szCs w:val="19"/>
              </w:rPr>
              <w:t>PASI 75</w:t>
            </w:r>
            <w:r w:rsidRPr="00C32FD4">
              <w:rPr>
                <w:sz w:val="19"/>
                <w:szCs w:val="19"/>
                <w:vertAlign w:val="superscript"/>
              </w:rPr>
              <w:t>b</w:t>
            </w:r>
            <w:r w:rsidRPr="00C32FD4">
              <w:rPr>
                <w:sz w:val="19"/>
                <w:szCs w:val="19"/>
              </w:rPr>
              <w:t>, n (%)</w:t>
            </w:r>
          </w:p>
        </w:tc>
        <w:tc>
          <w:tcPr>
            <w:tcW w:w="1134" w:type="dxa"/>
            <w:tcMar>
              <w:left w:w="0" w:type="dxa"/>
              <w:right w:w="0" w:type="dxa"/>
            </w:tcMar>
          </w:tcPr>
          <w:p w14:paraId="709CC1A3" w14:textId="75D94412" w:rsidR="00305084" w:rsidRPr="00C32FD4" w:rsidRDefault="00305084" w:rsidP="00305084">
            <w:pPr>
              <w:widowControl/>
              <w:jc w:val="center"/>
              <w:rPr>
                <w:rFonts w:ascii="MS Shell Dlg 2" w:hAnsi="MS Shell Dlg 2" w:cs="MS Shell Dlg 2"/>
                <w:sz w:val="19"/>
                <w:szCs w:val="19"/>
              </w:rPr>
            </w:pPr>
            <w:r w:rsidRPr="00C32FD4">
              <w:rPr>
                <w:sz w:val="19"/>
                <w:szCs w:val="19"/>
              </w:rPr>
              <w:t>197 (63.8)</w:t>
            </w:r>
            <w:r w:rsidRPr="00C32FD4">
              <w:rPr>
                <w:sz w:val="19"/>
                <w:szCs w:val="19"/>
                <w:vertAlign w:val="superscript"/>
              </w:rPr>
              <w:t xml:space="preserve"> †c</w:t>
            </w:r>
          </w:p>
        </w:tc>
        <w:tc>
          <w:tcPr>
            <w:tcW w:w="1134" w:type="dxa"/>
            <w:tcMar>
              <w:left w:w="0" w:type="dxa"/>
              <w:right w:w="0" w:type="dxa"/>
            </w:tcMar>
          </w:tcPr>
          <w:p w14:paraId="48BD8459" w14:textId="6359625A" w:rsidR="00305084" w:rsidRPr="00C32FD4" w:rsidRDefault="00305084" w:rsidP="00305084">
            <w:pPr>
              <w:pStyle w:val="Table-text"/>
              <w:jc w:val="center"/>
              <w:rPr>
                <w:sz w:val="19"/>
                <w:szCs w:val="19"/>
              </w:rPr>
            </w:pPr>
            <w:r w:rsidRPr="00C32FD4">
              <w:rPr>
                <w:sz w:val="19"/>
                <w:szCs w:val="19"/>
              </w:rPr>
              <w:t xml:space="preserve">192 (62.3) </w:t>
            </w:r>
            <w:r w:rsidRPr="00C32FD4">
              <w:rPr>
                <w:sz w:val="19"/>
                <w:szCs w:val="19"/>
                <w:vertAlign w:val="superscript"/>
              </w:rPr>
              <w:t>†c</w:t>
            </w:r>
          </w:p>
        </w:tc>
        <w:tc>
          <w:tcPr>
            <w:tcW w:w="851" w:type="dxa"/>
            <w:tcMar>
              <w:left w:w="0" w:type="dxa"/>
              <w:right w:w="0" w:type="dxa"/>
            </w:tcMar>
          </w:tcPr>
          <w:p w14:paraId="298B272B" w14:textId="77777777" w:rsidR="00305084" w:rsidRPr="00C32FD4" w:rsidRDefault="00305084" w:rsidP="00305084">
            <w:pPr>
              <w:pStyle w:val="Table-text"/>
              <w:jc w:val="center"/>
              <w:rPr>
                <w:sz w:val="19"/>
                <w:szCs w:val="19"/>
              </w:rPr>
            </w:pPr>
            <w:r w:rsidRPr="00C32FD4">
              <w:rPr>
                <w:sz w:val="19"/>
                <w:szCs w:val="19"/>
              </w:rPr>
              <w:t xml:space="preserve">9 (5.8) </w:t>
            </w:r>
            <w:r w:rsidRPr="00C32FD4">
              <w:rPr>
                <w:sz w:val="19"/>
                <w:szCs w:val="19"/>
                <w:vertAlign w:val="superscript"/>
              </w:rPr>
              <w:t>c</w:t>
            </w:r>
          </w:p>
        </w:tc>
        <w:tc>
          <w:tcPr>
            <w:tcW w:w="963" w:type="dxa"/>
            <w:tcMar>
              <w:left w:w="0" w:type="dxa"/>
              <w:right w:w="0" w:type="dxa"/>
            </w:tcMar>
          </w:tcPr>
          <w:p w14:paraId="5A6A787B" w14:textId="77777777" w:rsidR="00305084" w:rsidRPr="00C32FD4" w:rsidRDefault="00305084" w:rsidP="00305084">
            <w:pPr>
              <w:pStyle w:val="Table-text"/>
              <w:jc w:val="center"/>
              <w:rPr>
                <w:sz w:val="19"/>
                <w:szCs w:val="19"/>
              </w:rPr>
            </w:pPr>
            <w:r w:rsidRPr="00C32FD4">
              <w:rPr>
                <w:sz w:val="19"/>
                <w:szCs w:val="19"/>
              </w:rPr>
              <w:t>-</w:t>
            </w:r>
          </w:p>
        </w:tc>
        <w:tc>
          <w:tcPr>
            <w:tcW w:w="1148" w:type="dxa"/>
            <w:tcMar>
              <w:left w:w="0" w:type="dxa"/>
              <w:right w:w="0" w:type="dxa"/>
            </w:tcMar>
          </w:tcPr>
          <w:p w14:paraId="419CFB0C" w14:textId="6E39EA0C" w:rsidR="00305084" w:rsidRPr="00C32FD4" w:rsidRDefault="00305084" w:rsidP="00305084">
            <w:pPr>
              <w:pStyle w:val="Table-text"/>
              <w:jc w:val="center"/>
              <w:rPr>
                <w:sz w:val="19"/>
                <w:szCs w:val="19"/>
              </w:rPr>
            </w:pPr>
            <w:r w:rsidRPr="00C32FD4">
              <w:rPr>
                <w:sz w:val="19"/>
                <w:szCs w:val="19"/>
              </w:rPr>
              <w:t xml:space="preserve">229 (80.4) </w:t>
            </w:r>
            <w:r w:rsidRPr="00C32FD4">
              <w:rPr>
                <w:sz w:val="19"/>
                <w:szCs w:val="19"/>
                <w:vertAlign w:val="superscript"/>
              </w:rPr>
              <w:t>d</w:t>
            </w:r>
          </w:p>
        </w:tc>
        <w:tc>
          <w:tcPr>
            <w:tcW w:w="1149" w:type="dxa"/>
            <w:tcMar>
              <w:left w:w="0" w:type="dxa"/>
              <w:right w:w="0" w:type="dxa"/>
            </w:tcMar>
          </w:tcPr>
          <w:p w14:paraId="3E57D892" w14:textId="6FE0E291" w:rsidR="00305084" w:rsidRPr="00C32FD4" w:rsidRDefault="00305084" w:rsidP="00305084">
            <w:pPr>
              <w:pStyle w:val="Table-text"/>
              <w:jc w:val="center"/>
              <w:rPr>
                <w:sz w:val="19"/>
                <w:szCs w:val="19"/>
              </w:rPr>
            </w:pPr>
            <w:r w:rsidRPr="00C32FD4">
              <w:rPr>
                <w:sz w:val="19"/>
                <w:szCs w:val="19"/>
              </w:rPr>
              <w:t xml:space="preserve">236 (81.9) </w:t>
            </w:r>
            <w:r w:rsidRPr="00C32FD4">
              <w:rPr>
                <w:sz w:val="19"/>
                <w:szCs w:val="19"/>
                <w:vertAlign w:val="superscript"/>
              </w:rPr>
              <w:t>d</w:t>
            </w:r>
          </w:p>
        </w:tc>
        <w:tc>
          <w:tcPr>
            <w:tcW w:w="992" w:type="dxa"/>
            <w:tcMar>
              <w:left w:w="0" w:type="dxa"/>
              <w:right w:w="0" w:type="dxa"/>
            </w:tcMar>
          </w:tcPr>
          <w:p w14:paraId="4B1C3161" w14:textId="77777777" w:rsidR="00305084" w:rsidRPr="00C32FD4" w:rsidRDefault="00305084" w:rsidP="00305084">
            <w:pPr>
              <w:pStyle w:val="Table-text"/>
              <w:jc w:val="center"/>
              <w:rPr>
                <w:sz w:val="19"/>
                <w:szCs w:val="19"/>
              </w:rPr>
            </w:pPr>
            <w:r w:rsidRPr="00C32FD4">
              <w:rPr>
                <w:sz w:val="19"/>
                <w:szCs w:val="19"/>
              </w:rPr>
              <w:t>-</w:t>
            </w:r>
          </w:p>
        </w:tc>
        <w:tc>
          <w:tcPr>
            <w:tcW w:w="995" w:type="dxa"/>
            <w:tcMar>
              <w:left w:w="0" w:type="dxa"/>
              <w:right w:w="0" w:type="dxa"/>
            </w:tcMar>
          </w:tcPr>
          <w:p w14:paraId="139F3600" w14:textId="68288403" w:rsidR="00305084" w:rsidRPr="00C32FD4" w:rsidRDefault="00305084" w:rsidP="00305084">
            <w:pPr>
              <w:pStyle w:val="Table-text"/>
              <w:jc w:val="center"/>
              <w:rPr>
                <w:sz w:val="19"/>
                <w:szCs w:val="19"/>
              </w:rPr>
            </w:pPr>
            <w:r w:rsidRPr="00C32FD4">
              <w:rPr>
                <w:sz w:val="19"/>
                <w:szCs w:val="19"/>
              </w:rPr>
              <w:t xml:space="preserve">98 (87.5) </w:t>
            </w:r>
            <w:r w:rsidRPr="00C32FD4">
              <w:rPr>
                <w:sz w:val="19"/>
                <w:szCs w:val="19"/>
                <w:vertAlign w:val="superscript"/>
              </w:rPr>
              <w:t>d</w:t>
            </w:r>
          </w:p>
        </w:tc>
        <w:tc>
          <w:tcPr>
            <w:tcW w:w="995" w:type="dxa"/>
            <w:tcMar>
              <w:left w:w="0" w:type="dxa"/>
              <w:right w:w="0" w:type="dxa"/>
            </w:tcMar>
          </w:tcPr>
          <w:p w14:paraId="5DE756B8" w14:textId="0FAA4812" w:rsidR="00305084" w:rsidRPr="00C32FD4" w:rsidRDefault="00305084" w:rsidP="00305084">
            <w:pPr>
              <w:pStyle w:val="Table-text"/>
              <w:jc w:val="center"/>
              <w:rPr>
                <w:sz w:val="19"/>
                <w:szCs w:val="19"/>
              </w:rPr>
            </w:pPr>
            <w:r w:rsidRPr="00C32FD4">
              <w:rPr>
                <w:sz w:val="19"/>
                <w:szCs w:val="19"/>
              </w:rPr>
              <w:t xml:space="preserve">107 (93.9) </w:t>
            </w:r>
            <w:r w:rsidRPr="00C32FD4">
              <w:rPr>
                <w:sz w:val="19"/>
                <w:szCs w:val="19"/>
                <w:vertAlign w:val="superscript"/>
              </w:rPr>
              <w:t>d</w:t>
            </w:r>
          </w:p>
        </w:tc>
      </w:tr>
      <w:tr w:rsidR="00305084" w:rsidRPr="00C32FD4" w14:paraId="190FD093" w14:textId="77777777" w:rsidTr="00F11A67">
        <w:trPr>
          <w:jc w:val="center"/>
        </w:trPr>
        <w:tc>
          <w:tcPr>
            <w:tcW w:w="1559" w:type="dxa"/>
            <w:tcMar>
              <w:left w:w="28" w:type="dxa"/>
              <w:right w:w="28" w:type="dxa"/>
            </w:tcMar>
          </w:tcPr>
          <w:p w14:paraId="2AE18C03" w14:textId="77777777" w:rsidR="00305084" w:rsidRPr="00C32FD4" w:rsidRDefault="00305084" w:rsidP="00305084">
            <w:pPr>
              <w:widowControl/>
              <w:rPr>
                <w:sz w:val="19"/>
                <w:szCs w:val="19"/>
              </w:rPr>
            </w:pPr>
            <w:r w:rsidRPr="00C32FD4">
              <w:rPr>
                <w:sz w:val="19"/>
                <w:szCs w:val="19"/>
              </w:rPr>
              <w:t xml:space="preserve">PGA of “clear” or “minimal” with ≥ 2 grade improvement from Baseline </w:t>
            </w:r>
            <w:r w:rsidRPr="00C32FD4">
              <w:rPr>
                <w:sz w:val="19"/>
                <w:szCs w:val="19"/>
                <w:vertAlign w:val="superscript"/>
              </w:rPr>
              <w:t>b</w:t>
            </w:r>
            <w:r w:rsidRPr="00C32FD4">
              <w:rPr>
                <w:sz w:val="19"/>
                <w:szCs w:val="19"/>
              </w:rPr>
              <w:t>, n (%)</w:t>
            </w:r>
          </w:p>
        </w:tc>
        <w:tc>
          <w:tcPr>
            <w:tcW w:w="1134" w:type="dxa"/>
            <w:tcMar>
              <w:left w:w="0" w:type="dxa"/>
              <w:right w:w="0" w:type="dxa"/>
            </w:tcMar>
          </w:tcPr>
          <w:p w14:paraId="29C5112E" w14:textId="6C1C7AE9" w:rsidR="00305084" w:rsidRPr="00C32FD4" w:rsidRDefault="00305084" w:rsidP="00305084">
            <w:pPr>
              <w:pStyle w:val="Table-text"/>
              <w:jc w:val="center"/>
              <w:rPr>
                <w:sz w:val="19"/>
                <w:szCs w:val="19"/>
              </w:rPr>
            </w:pPr>
            <w:r w:rsidRPr="00C32FD4">
              <w:rPr>
                <w:sz w:val="19"/>
                <w:szCs w:val="19"/>
              </w:rPr>
              <w:t xml:space="preserve">179 (57.9) </w:t>
            </w:r>
            <w:r w:rsidRPr="00C32FD4">
              <w:rPr>
                <w:sz w:val="19"/>
                <w:szCs w:val="19"/>
                <w:vertAlign w:val="superscript"/>
              </w:rPr>
              <w:t>†c</w:t>
            </w:r>
          </w:p>
        </w:tc>
        <w:tc>
          <w:tcPr>
            <w:tcW w:w="1134" w:type="dxa"/>
            <w:tcMar>
              <w:left w:w="0" w:type="dxa"/>
              <w:right w:w="0" w:type="dxa"/>
            </w:tcMar>
          </w:tcPr>
          <w:p w14:paraId="0830CD22" w14:textId="771F1253" w:rsidR="00305084" w:rsidRPr="00C32FD4" w:rsidRDefault="00305084" w:rsidP="00305084">
            <w:pPr>
              <w:pStyle w:val="Table-text"/>
              <w:jc w:val="center"/>
              <w:rPr>
                <w:sz w:val="19"/>
                <w:szCs w:val="19"/>
              </w:rPr>
            </w:pPr>
            <w:r w:rsidRPr="00C32FD4">
              <w:rPr>
                <w:sz w:val="19"/>
                <w:szCs w:val="19"/>
              </w:rPr>
              <w:t xml:space="preserve">182 (59.1) </w:t>
            </w:r>
            <w:r w:rsidRPr="00C32FD4">
              <w:rPr>
                <w:sz w:val="19"/>
                <w:szCs w:val="19"/>
                <w:vertAlign w:val="superscript"/>
              </w:rPr>
              <w:t>†c</w:t>
            </w:r>
          </w:p>
        </w:tc>
        <w:tc>
          <w:tcPr>
            <w:tcW w:w="851" w:type="dxa"/>
            <w:tcMar>
              <w:left w:w="0" w:type="dxa"/>
              <w:right w:w="0" w:type="dxa"/>
            </w:tcMar>
          </w:tcPr>
          <w:p w14:paraId="533A4666" w14:textId="77777777" w:rsidR="00305084" w:rsidRPr="00C32FD4" w:rsidRDefault="00305084" w:rsidP="00305084">
            <w:pPr>
              <w:pStyle w:val="Table-text"/>
              <w:jc w:val="center"/>
              <w:rPr>
                <w:sz w:val="19"/>
                <w:szCs w:val="19"/>
              </w:rPr>
            </w:pPr>
            <w:r w:rsidRPr="00C32FD4">
              <w:rPr>
                <w:sz w:val="19"/>
                <w:szCs w:val="19"/>
              </w:rPr>
              <w:t xml:space="preserve">11 (7.1) </w:t>
            </w:r>
            <w:r w:rsidRPr="00C32FD4">
              <w:rPr>
                <w:sz w:val="19"/>
                <w:szCs w:val="19"/>
                <w:vertAlign w:val="superscript"/>
              </w:rPr>
              <w:t>c</w:t>
            </w:r>
          </w:p>
        </w:tc>
        <w:tc>
          <w:tcPr>
            <w:tcW w:w="963" w:type="dxa"/>
            <w:tcMar>
              <w:left w:w="0" w:type="dxa"/>
              <w:right w:w="0" w:type="dxa"/>
            </w:tcMar>
          </w:tcPr>
          <w:p w14:paraId="7DABA7F8" w14:textId="77777777" w:rsidR="00305084" w:rsidRPr="00C32FD4" w:rsidRDefault="00305084" w:rsidP="00305084">
            <w:pPr>
              <w:pStyle w:val="Table-text"/>
              <w:jc w:val="center"/>
              <w:rPr>
                <w:sz w:val="19"/>
                <w:szCs w:val="19"/>
              </w:rPr>
            </w:pPr>
            <w:r w:rsidRPr="00C32FD4">
              <w:rPr>
                <w:sz w:val="19"/>
                <w:szCs w:val="19"/>
              </w:rPr>
              <w:t>-</w:t>
            </w:r>
          </w:p>
        </w:tc>
        <w:tc>
          <w:tcPr>
            <w:tcW w:w="1148" w:type="dxa"/>
            <w:tcMar>
              <w:left w:w="0" w:type="dxa"/>
              <w:right w:w="0" w:type="dxa"/>
            </w:tcMar>
          </w:tcPr>
          <w:p w14:paraId="3D57CB08" w14:textId="04502423" w:rsidR="00305084" w:rsidRPr="00C32FD4" w:rsidRDefault="00305084" w:rsidP="00305084">
            <w:pPr>
              <w:pStyle w:val="Table-text"/>
              <w:jc w:val="center"/>
              <w:rPr>
                <w:sz w:val="19"/>
                <w:szCs w:val="19"/>
              </w:rPr>
            </w:pPr>
            <w:r w:rsidRPr="00C32FD4">
              <w:rPr>
                <w:sz w:val="19"/>
                <w:szCs w:val="19"/>
              </w:rPr>
              <w:t xml:space="preserve">188 (66.0) </w:t>
            </w:r>
            <w:r w:rsidRPr="00C32FD4">
              <w:rPr>
                <w:sz w:val="19"/>
                <w:szCs w:val="19"/>
                <w:vertAlign w:val="superscript"/>
              </w:rPr>
              <w:t>d</w:t>
            </w:r>
          </w:p>
        </w:tc>
        <w:tc>
          <w:tcPr>
            <w:tcW w:w="1149" w:type="dxa"/>
            <w:tcMar>
              <w:left w:w="0" w:type="dxa"/>
              <w:right w:w="0" w:type="dxa"/>
            </w:tcMar>
          </w:tcPr>
          <w:p w14:paraId="6C14C825" w14:textId="2160B9D5" w:rsidR="00305084" w:rsidRPr="00C32FD4" w:rsidRDefault="00305084" w:rsidP="00305084">
            <w:pPr>
              <w:pStyle w:val="Table-text"/>
              <w:jc w:val="center"/>
              <w:rPr>
                <w:sz w:val="19"/>
                <w:szCs w:val="19"/>
              </w:rPr>
            </w:pPr>
            <w:r w:rsidRPr="00C32FD4">
              <w:rPr>
                <w:sz w:val="19"/>
                <w:szCs w:val="19"/>
              </w:rPr>
              <w:t xml:space="preserve">199 (69.1) </w:t>
            </w:r>
            <w:r w:rsidRPr="00C32FD4">
              <w:rPr>
                <w:sz w:val="19"/>
                <w:szCs w:val="19"/>
                <w:vertAlign w:val="superscript"/>
              </w:rPr>
              <w:t>d</w:t>
            </w:r>
          </w:p>
        </w:tc>
        <w:tc>
          <w:tcPr>
            <w:tcW w:w="992" w:type="dxa"/>
            <w:tcMar>
              <w:left w:w="0" w:type="dxa"/>
              <w:right w:w="0" w:type="dxa"/>
            </w:tcMar>
          </w:tcPr>
          <w:p w14:paraId="744F3643" w14:textId="77777777" w:rsidR="00305084" w:rsidRPr="00C32FD4" w:rsidRDefault="00305084" w:rsidP="00305084">
            <w:pPr>
              <w:pStyle w:val="Table-text"/>
              <w:jc w:val="center"/>
              <w:rPr>
                <w:sz w:val="19"/>
                <w:szCs w:val="19"/>
              </w:rPr>
            </w:pPr>
            <w:r w:rsidRPr="00C32FD4">
              <w:rPr>
                <w:sz w:val="19"/>
                <w:szCs w:val="19"/>
              </w:rPr>
              <w:t>-</w:t>
            </w:r>
          </w:p>
        </w:tc>
        <w:tc>
          <w:tcPr>
            <w:tcW w:w="995" w:type="dxa"/>
            <w:tcMar>
              <w:left w:w="0" w:type="dxa"/>
              <w:right w:w="0" w:type="dxa"/>
            </w:tcMar>
          </w:tcPr>
          <w:p w14:paraId="1DE1AE3D" w14:textId="17CCC266" w:rsidR="00305084" w:rsidRPr="00C32FD4" w:rsidRDefault="00305084" w:rsidP="00305084">
            <w:pPr>
              <w:pStyle w:val="Table-text"/>
              <w:jc w:val="center"/>
              <w:rPr>
                <w:sz w:val="19"/>
                <w:szCs w:val="19"/>
              </w:rPr>
            </w:pPr>
            <w:r w:rsidRPr="00C32FD4">
              <w:rPr>
                <w:sz w:val="19"/>
                <w:szCs w:val="19"/>
              </w:rPr>
              <w:t xml:space="preserve">69 (61.6) </w:t>
            </w:r>
            <w:r w:rsidRPr="00C32FD4">
              <w:rPr>
                <w:sz w:val="19"/>
                <w:szCs w:val="19"/>
                <w:vertAlign w:val="superscript"/>
              </w:rPr>
              <w:t>d</w:t>
            </w:r>
          </w:p>
        </w:tc>
        <w:tc>
          <w:tcPr>
            <w:tcW w:w="995" w:type="dxa"/>
            <w:tcMar>
              <w:left w:w="0" w:type="dxa"/>
              <w:right w:w="0" w:type="dxa"/>
            </w:tcMar>
          </w:tcPr>
          <w:p w14:paraId="75E62469" w14:textId="129B980F" w:rsidR="00305084" w:rsidRPr="00C32FD4" w:rsidRDefault="00305084" w:rsidP="00305084">
            <w:pPr>
              <w:pStyle w:val="Table-text"/>
              <w:jc w:val="center"/>
              <w:rPr>
                <w:sz w:val="19"/>
                <w:szCs w:val="19"/>
              </w:rPr>
            </w:pPr>
            <w:r w:rsidRPr="00C32FD4">
              <w:rPr>
                <w:sz w:val="19"/>
                <w:szCs w:val="19"/>
              </w:rPr>
              <w:t xml:space="preserve">87 (76.3) </w:t>
            </w:r>
            <w:r w:rsidRPr="00C32FD4">
              <w:rPr>
                <w:sz w:val="19"/>
                <w:szCs w:val="19"/>
                <w:vertAlign w:val="superscript"/>
              </w:rPr>
              <w:t>d</w:t>
            </w:r>
          </w:p>
        </w:tc>
      </w:tr>
      <w:tr w:rsidR="00305084" w:rsidRPr="00C32FD4" w14:paraId="07166155" w14:textId="77777777" w:rsidTr="00F11A67">
        <w:trPr>
          <w:jc w:val="center"/>
        </w:trPr>
        <w:tc>
          <w:tcPr>
            <w:tcW w:w="1559" w:type="dxa"/>
            <w:tcMar>
              <w:left w:w="28" w:type="dxa"/>
              <w:right w:w="28" w:type="dxa"/>
            </w:tcMar>
          </w:tcPr>
          <w:p w14:paraId="0EC157C5" w14:textId="77777777" w:rsidR="00305084" w:rsidRPr="00C32FD4" w:rsidRDefault="00305084" w:rsidP="00305084">
            <w:pPr>
              <w:pStyle w:val="Table-text"/>
              <w:rPr>
                <w:sz w:val="19"/>
                <w:szCs w:val="19"/>
              </w:rPr>
            </w:pPr>
            <w:r w:rsidRPr="00C32FD4">
              <w:rPr>
                <w:sz w:val="19"/>
                <w:szCs w:val="19"/>
              </w:rPr>
              <w:t>PASI 90, n (%)</w:t>
            </w:r>
          </w:p>
        </w:tc>
        <w:tc>
          <w:tcPr>
            <w:tcW w:w="1134" w:type="dxa"/>
            <w:tcMar>
              <w:left w:w="0" w:type="dxa"/>
              <w:right w:w="0" w:type="dxa"/>
            </w:tcMar>
          </w:tcPr>
          <w:p w14:paraId="2A50D52B" w14:textId="040A61D3" w:rsidR="00305084" w:rsidRPr="00C32FD4" w:rsidRDefault="00305084" w:rsidP="00305084">
            <w:pPr>
              <w:pStyle w:val="Table-text"/>
              <w:jc w:val="center"/>
              <w:rPr>
                <w:sz w:val="19"/>
                <w:szCs w:val="19"/>
              </w:rPr>
            </w:pPr>
            <w:r w:rsidRPr="00C32FD4">
              <w:rPr>
                <w:sz w:val="19"/>
                <w:szCs w:val="19"/>
              </w:rPr>
              <w:t xml:space="preserve">107 (34.6) </w:t>
            </w:r>
            <w:r w:rsidRPr="00C32FD4">
              <w:rPr>
                <w:sz w:val="19"/>
                <w:szCs w:val="19"/>
                <w:vertAlign w:val="superscript"/>
              </w:rPr>
              <w:t>†c</w:t>
            </w:r>
          </w:p>
        </w:tc>
        <w:tc>
          <w:tcPr>
            <w:tcW w:w="1134" w:type="dxa"/>
            <w:tcMar>
              <w:left w:w="0" w:type="dxa"/>
              <w:right w:w="0" w:type="dxa"/>
            </w:tcMar>
          </w:tcPr>
          <w:p w14:paraId="7A0E99BA" w14:textId="7E0EEF1D" w:rsidR="00305084" w:rsidRPr="00C32FD4" w:rsidRDefault="00305084" w:rsidP="00305084">
            <w:pPr>
              <w:pStyle w:val="Table-text"/>
              <w:jc w:val="center"/>
              <w:rPr>
                <w:sz w:val="19"/>
                <w:szCs w:val="19"/>
              </w:rPr>
            </w:pPr>
            <w:r w:rsidRPr="00C32FD4">
              <w:rPr>
                <w:sz w:val="19"/>
                <w:szCs w:val="19"/>
              </w:rPr>
              <w:t xml:space="preserve">109 (35.4) </w:t>
            </w:r>
            <w:r w:rsidRPr="00C32FD4">
              <w:rPr>
                <w:sz w:val="19"/>
                <w:szCs w:val="19"/>
                <w:vertAlign w:val="superscript"/>
              </w:rPr>
              <w:t>†c</w:t>
            </w:r>
          </w:p>
        </w:tc>
        <w:tc>
          <w:tcPr>
            <w:tcW w:w="851" w:type="dxa"/>
            <w:tcMar>
              <w:left w:w="0" w:type="dxa"/>
              <w:right w:w="0" w:type="dxa"/>
            </w:tcMar>
          </w:tcPr>
          <w:p w14:paraId="1D2C5CDF" w14:textId="77777777" w:rsidR="00305084" w:rsidRPr="00C32FD4" w:rsidRDefault="00305084" w:rsidP="00305084">
            <w:pPr>
              <w:pStyle w:val="Table-text"/>
              <w:jc w:val="center"/>
              <w:rPr>
                <w:sz w:val="19"/>
                <w:szCs w:val="19"/>
              </w:rPr>
            </w:pPr>
            <w:r w:rsidRPr="00C32FD4">
              <w:rPr>
                <w:sz w:val="19"/>
                <w:szCs w:val="19"/>
              </w:rPr>
              <w:t xml:space="preserve">4 (2.6) </w:t>
            </w:r>
            <w:r w:rsidRPr="00C32FD4">
              <w:rPr>
                <w:sz w:val="19"/>
                <w:szCs w:val="19"/>
                <w:vertAlign w:val="superscript"/>
              </w:rPr>
              <w:t>c</w:t>
            </w:r>
          </w:p>
        </w:tc>
        <w:tc>
          <w:tcPr>
            <w:tcW w:w="963" w:type="dxa"/>
            <w:tcMar>
              <w:left w:w="0" w:type="dxa"/>
              <w:right w:w="0" w:type="dxa"/>
            </w:tcMar>
          </w:tcPr>
          <w:p w14:paraId="49F3AADB" w14:textId="77777777" w:rsidR="00305084" w:rsidRPr="00C32FD4" w:rsidRDefault="00305084" w:rsidP="00305084">
            <w:pPr>
              <w:pStyle w:val="Table-text"/>
              <w:jc w:val="center"/>
              <w:rPr>
                <w:sz w:val="19"/>
                <w:szCs w:val="19"/>
              </w:rPr>
            </w:pPr>
            <w:r w:rsidRPr="00C32FD4">
              <w:rPr>
                <w:sz w:val="19"/>
                <w:szCs w:val="19"/>
              </w:rPr>
              <w:t>-</w:t>
            </w:r>
          </w:p>
        </w:tc>
        <w:tc>
          <w:tcPr>
            <w:tcW w:w="1148" w:type="dxa"/>
            <w:tcMar>
              <w:left w:w="0" w:type="dxa"/>
              <w:right w:w="0" w:type="dxa"/>
            </w:tcMar>
          </w:tcPr>
          <w:p w14:paraId="23EE7737" w14:textId="029E07A4" w:rsidR="00305084" w:rsidRPr="00C32FD4" w:rsidRDefault="00305084" w:rsidP="00305084">
            <w:pPr>
              <w:pStyle w:val="Table-text"/>
              <w:jc w:val="center"/>
              <w:rPr>
                <w:sz w:val="19"/>
                <w:szCs w:val="19"/>
              </w:rPr>
            </w:pPr>
            <w:r w:rsidRPr="00C32FD4">
              <w:rPr>
                <w:sz w:val="19"/>
                <w:szCs w:val="19"/>
              </w:rPr>
              <w:t xml:space="preserve">147 (51.6) </w:t>
            </w:r>
            <w:r w:rsidRPr="00C32FD4">
              <w:rPr>
                <w:sz w:val="19"/>
                <w:szCs w:val="19"/>
                <w:vertAlign w:val="superscript"/>
              </w:rPr>
              <w:t>d</w:t>
            </w:r>
          </w:p>
        </w:tc>
        <w:tc>
          <w:tcPr>
            <w:tcW w:w="1149" w:type="dxa"/>
            <w:tcMar>
              <w:left w:w="0" w:type="dxa"/>
              <w:right w:w="0" w:type="dxa"/>
            </w:tcMar>
          </w:tcPr>
          <w:p w14:paraId="0E6042CA" w14:textId="16C5DC40" w:rsidR="00305084" w:rsidRPr="00C32FD4" w:rsidRDefault="00305084" w:rsidP="00305084">
            <w:pPr>
              <w:pStyle w:val="Table-text"/>
              <w:jc w:val="center"/>
              <w:rPr>
                <w:sz w:val="19"/>
                <w:szCs w:val="19"/>
              </w:rPr>
            </w:pPr>
            <w:r w:rsidRPr="00C32FD4">
              <w:rPr>
                <w:sz w:val="19"/>
                <w:szCs w:val="19"/>
              </w:rPr>
              <w:t xml:space="preserve">170 (59.0) </w:t>
            </w:r>
            <w:r w:rsidRPr="00C32FD4">
              <w:rPr>
                <w:sz w:val="19"/>
                <w:szCs w:val="19"/>
                <w:vertAlign w:val="superscript"/>
              </w:rPr>
              <w:t>d</w:t>
            </w:r>
          </w:p>
        </w:tc>
        <w:tc>
          <w:tcPr>
            <w:tcW w:w="992" w:type="dxa"/>
            <w:tcMar>
              <w:left w:w="0" w:type="dxa"/>
              <w:right w:w="0" w:type="dxa"/>
            </w:tcMar>
          </w:tcPr>
          <w:p w14:paraId="1DEEEFA4" w14:textId="77777777" w:rsidR="00305084" w:rsidRPr="00C32FD4" w:rsidRDefault="00305084" w:rsidP="00305084">
            <w:pPr>
              <w:pStyle w:val="Table-text"/>
              <w:jc w:val="center"/>
              <w:rPr>
                <w:sz w:val="19"/>
                <w:szCs w:val="19"/>
              </w:rPr>
            </w:pPr>
            <w:r w:rsidRPr="00C32FD4">
              <w:rPr>
                <w:sz w:val="19"/>
                <w:szCs w:val="19"/>
              </w:rPr>
              <w:t>-</w:t>
            </w:r>
          </w:p>
        </w:tc>
        <w:tc>
          <w:tcPr>
            <w:tcW w:w="995" w:type="dxa"/>
            <w:tcMar>
              <w:left w:w="0" w:type="dxa"/>
              <w:right w:w="0" w:type="dxa"/>
            </w:tcMar>
          </w:tcPr>
          <w:p w14:paraId="726C1927" w14:textId="3838A878" w:rsidR="00305084" w:rsidRPr="00C32FD4" w:rsidRDefault="00305084" w:rsidP="00305084">
            <w:pPr>
              <w:pStyle w:val="Table-text"/>
              <w:jc w:val="center"/>
              <w:rPr>
                <w:sz w:val="19"/>
                <w:szCs w:val="19"/>
              </w:rPr>
            </w:pPr>
            <w:r w:rsidRPr="00C32FD4">
              <w:rPr>
                <w:sz w:val="19"/>
                <w:szCs w:val="19"/>
              </w:rPr>
              <w:t xml:space="preserve">65 (58.0) </w:t>
            </w:r>
            <w:r w:rsidRPr="00C32FD4">
              <w:rPr>
                <w:sz w:val="19"/>
                <w:szCs w:val="19"/>
                <w:vertAlign w:val="superscript"/>
              </w:rPr>
              <w:t>d</w:t>
            </w:r>
          </w:p>
        </w:tc>
        <w:tc>
          <w:tcPr>
            <w:tcW w:w="995" w:type="dxa"/>
            <w:tcMar>
              <w:left w:w="0" w:type="dxa"/>
              <w:right w:w="0" w:type="dxa"/>
            </w:tcMar>
          </w:tcPr>
          <w:p w14:paraId="380DDE4F" w14:textId="76252FCB" w:rsidR="00305084" w:rsidRPr="00C32FD4" w:rsidRDefault="00305084" w:rsidP="00305084">
            <w:pPr>
              <w:pStyle w:val="Table-text"/>
              <w:jc w:val="center"/>
              <w:rPr>
                <w:sz w:val="19"/>
                <w:szCs w:val="19"/>
              </w:rPr>
            </w:pPr>
            <w:r w:rsidRPr="00C32FD4">
              <w:rPr>
                <w:sz w:val="19"/>
                <w:szCs w:val="19"/>
              </w:rPr>
              <w:t xml:space="preserve">85 (74.6) </w:t>
            </w:r>
            <w:r w:rsidRPr="00C32FD4">
              <w:rPr>
                <w:sz w:val="19"/>
                <w:szCs w:val="19"/>
                <w:vertAlign w:val="superscript"/>
              </w:rPr>
              <w:t>d</w:t>
            </w:r>
          </w:p>
        </w:tc>
      </w:tr>
      <w:tr w:rsidR="00305084" w:rsidRPr="00C32FD4" w14:paraId="792623E1" w14:textId="77777777" w:rsidTr="00F11A67">
        <w:trPr>
          <w:jc w:val="center"/>
        </w:trPr>
        <w:tc>
          <w:tcPr>
            <w:tcW w:w="1559" w:type="dxa"/>
            <w:tcMar>
              <w:left w:w="28" w:type="dxa"/>
              <w:right w:w="28" w:type="dxa"/>
            </w:tcMar>
          </w:tcPr>
          <w:p w14:paraId="00A0AB30" w14:textId="77777777" w:rsidR="00305084" w:rsidRPr="00C32FD4" w:rsidRDefault="00305084" w:rsidP="00305084">
            <w:pPr>
              <w:pStyle w:val="Table-text"/>
              <w:rPr>
                <w:sz w:val="19"/>
                <w:szCs w:val="19"/>
              </w:rPr>
            </w:pPr>
            <w:r w:rsidRPr="00C32FD4">
              <w:rPr>
                <w:sz w:val="19"/>
                <w:szCs w:val="19"/>
              </w:rPr>
              <w:t>PASI 100, n (%)</w:t>
            </w:r>
          </w:p>
        </w:tc>
        <w:tc>
          <w:tcPr>
            <w:tcW w:w="1134" w:type="dxa"/>
            <w:tcMar>
              <w:left w:w="0" w:type="dxa"/>
              <w:right w:w="0" w:type="dxa"/>
            </w:tcMar>
          </w:tcPr>
          <w:p w14:paraId="2ED3F17B" w14:textId="447C46C1" w:rsidR="00305084" w:rsidRPr="00C32FD4" w:rsidRDefault="00305084" w:rsidP="00305084">
            <w:pPr>
              <w:pStyle w:val="Table-text"/>
              <w:jc w:val="center"/>
              <w:rPr>
                <w:sz w:val="19"/>
                <w:szCs w:val="19"/>
              </w:rPr>
            </w:pPr>
            <w:r w:rsidRPr="00C32FD4">
              <w:rPr>
                <w:sz w:val="19"/>
                <w:szCs w:val="19"/>
              </w:rPr>
              <w:t xml:space="preserve">43 (13.9) </w:t>
            </w:r>
            <w:r w:rsidRPr="00C32FD4">
              <w:rPr>
                <w:sz w:val="19"/>
                <w:szCs w:val="19"/>
                <w:vertAlign w:val="superscript"/>
              </w:rPr>
              <w:t>†c</w:t>
            </w:r>
          </w:p>
        </w:tc>
        <w:tc>
          <w:tcPr>
            <w:tcW w:w="1134" w:type="dxa"/>
            <w:tcMar>
              <w:left w:w="0" w:type="dxa"/>
              <w:right w:w="0" w:type="dxa"/>
            </w:tcMar>
          </w:tcPr>
          <w:p w14:paraId="13E3D97F" w14:textId="1DF81A35" w:rsidR="00305084" w:rsidRPr="00C32FD4" w:rsidRDefault="00305084" w:rsidP="00305084">
            <w:pPr>
              <w:pStyle w:val="Table-text"/>
              <w:jc w:val="center"/>
              <w:rPr>
                <w:sz w:val="19"/>
                <w:szCs w:val="19"/>
              </w:rPr>
            </w:pPr>
            <w:r w:rsidRPr="00C32FD4">
              <w:rPr>
                <w:sz w:val="19"/>
                <w:szCs w:val="19"/>
              </w:rPr>
              <w:t xml:space="preserve">43 (14.0) </w:t>
            </w:r>
            <w:r w:rsidRPr="00C32FD4">
              <w:rPr>
                <w:sz w:val="19"/>
                <w:szCs w:val="19"/>
                <w:vertAlign w:val="superscript"/>
              </w:rPr>
              <w:t>†c</w:t>
            </w:r>
          </w:p>
        </w:tc>
        <w:tc>
          <w:tcPr>
            <w:tcW w:w="851" w:type="dxa"/>
            <w:tcMar>
              <w:left w:w="0" w:type="dxa"/>
              <w:right w:w="0" w:type="dxa"/>
            </w:tcMar>
          </w:tcPr>
          <w:p w14:paraId="271BAC00" w14:textId="77777777" w:rsidR="00305084" w:rsidRPr="00C32FD4" w:rsidRDefault="00305084" w:rsidP="00305084">
            <w:pPr>
              <w:pStyle w:val="Table-text"/>
              <w:jc w:val="center"/>
              <w:rPr>
                <w:sz w:val="19"/>
                <w:szCs w:val="19"/>
              </w:rPr>
            </w:pPr>
            <w:r w:rsidRPr="00C32FD4">
              <w:rPr>
                <w:sz w:val="19"/>
                <w:szCs w:val="19"/>
              </w:rPr>
              <w:t xml:space="preserve">2 (1.3) </w:t>
            </w:r>
            <w:r w:rsidRPr="00C32FD4">
              <w:rPr>
                <w:sz w:val="19"/>
                <w:szCs w:val="19"/>
                <w:vertAlign w:val="superscript"/>
              </w:rPr>
              <w:t>c</w:t>
            </w:r>
          </w:p>
        </w:tc>
        <w:tc>
          <w:tcPr>
            <w:tcW w:w="963" w:type="dxa"/>
            <w:tcMar>
              <w:left w:w="0" w:type="dxa"/>
              <w:right w:w="0" w:type="dxa"/>
            </w:tcMar>
          </w:tcPr>
          <w:p w14:paraId="6BA24970" w14:textId="77777777" w:rsidR="00305084" w:rsidRPr="00C32FD4" w:rsidRDefault="00305084" w:rsidP="00305084">
            <w:pPr>
              <w:pStyle w:val="Table-text"/>
              <w:jc w:val="center"/>
              <w:rPr>
                <w:sz w:val="19"/>
                <w:szCs w:val="19"/>
              </w:rPr>
            </w:pPr>
            <w:r w:rsidRPr="00C32FD4">
              <w:rPr>
                <w:sz w:val="19"/>
                <w:szCs w:val="19"/>
              </w:rPr>
              <w:t>-</w:t>
            </w:r>
          </w:p>
        </w:tc>
        <w:tc>
          <w:tcPr>
            <w:tcW w:w="1148" w:type="dxa"/>
            <w:tcMar>
              <w:left w:w="0" w:type="dxa"/>
              <w:right w:w="0" w:type="dxa"/>
            </w:tcMar>
          </w:tcPr>
          <w:p w14:paraId="4BE8302E" w14:textId="74C67936" w:rsidR="00305084" w:rsidRPr="00C32FD4" w:rsidRDefault="00305084" w:rsidP="00305084">
            <w:pPr>
              <w:pStyle w:val="Table-text"/>
              <w:jc w:val="center"/>
              <w:rPr>
                <w:sz w:val="19"/>
                <w:szCs w:val="19"/>
              </w:rPr>
            </w:pPr>
            <w:r w:rsidRPr="00C32FD4">
              <w:rPr>
                <w:sz w:val="19"/>
                <w:szCs w:val="19"/>
              </w:rPr>
              <w:t xml:space="preserve">67 (23.5) </w:t>
            </w:r>
            <w:r w:rsidRPr="00C32FD4">
              <w:rPr>
                <w:sz w:val="19"/>
                <w:szCs w:val="19"/>
                <w:vertAlign w:val="superscript"/>
              </w:rPr>
              <w:t>d</w:t>
            </w:r>
          </w:p>
        </w:tc>
        <w:tc>
          <w:tcPr>
            <w:tcW w:w="1149" w:type="dxa"/>
            <w:tcMar>
              <w:left w:w="0" w:type="dxa"/>
              <w:right w:w="0" w:type="dxa"/>
            </w:tcMar>
          </w:tcPr>
          <w:p w14:paraId="258D38E4" w14:textId="3F9F3BBF" w:rsidR="00305084" w:rsidRPr="00C32FD4" w:rsidRDefault="00305084" w:rsidP="00305084">
            <w:pPr>
              <w:pStyle w:val="Table-text"/>
              <w:jc w:val="center"/>
              <w:rPr>
                <w:sz w:val="19"/>
                <w:szCs w:val="19"/>
              </w:rPr>
            </w:pPr>
            <w:r w:rsidRPr="00C32FD4">
              <w:rPr>
                <w:sz w:val="19"/>
                <w:szCs w:val="19"/>
              </w:rPr>
              <w:t xml:space="preserve">91 (31.5) </w:t>
            </w:r>
            <w:r w:rsidRPr="00C32FD4">
              <w:rPr>
                <w:sz w:val="19"/>
                <w:szCs w:val="19"/>
                <w:vertAlign w:val="superscript"/>
              </w:rPr>
              <w:t>d</w:t>
            </w:r>
          </w:p>
        </w:tc>
        <w:tc>
          <w:tcPr>
            <w:tcW w:w="992" w:type="dxa"/>
            <w:tcMar>
              <w:left w:w="0" w:type="dxa"/>
              <w:right w:w="0" w:type="dxa"/>
            </w:tcMar>
          </w:tcPr>
          <w:p w14:paraId="35CC570C" w14:textId="77777777" w:rsidR="00305084" w:rsidRPr="00C32FD4" w:rsidRDefault="00305084" w:rsidP="00305084">
            <w:pPr>
              <w:pStyle w:val="Table-text"/>
              <w:jc w:val="center"/>
              <w:rPr>
                <w:sz w:val="19"/>
                <w:szCs w:val="19"/>
              </w:rPr>
            </w:pPr>
            <w:r w:rsidRPr="00C32FD4">
              <w:rPr>
                <w:sz w:val="19"/>
                <w:szCs w:val="19"/>
              </w:rPr>
              <w:t>-</w:t>
            </w:r>
          </w:p>
        </w:tc>
        <w:tc>
          <w:tcPr>
            <w:tcW w:w="995" w:type="dxa"/>
            <w:tcMar>
              <w:left w:w="0" w:type="dxa"/>
              <w:right w:w="0" w:type="dxa"/>
            </w:tcMar>
          </w:tcPr>
          <w:p w14:paraId="7B34477D" w14:textId="5AEE2BEC" w:rsidR="00305084" w:rsidRPr="00C32FD4" w:rsidRDefault="00305084" w:rsidP="00305084">
            <w:pPr>
              <w:pStyle w:val="Table-text"/>
              <w:jc w:val="center"/>
              <w:rPr>
                <w:sz w:val="19"/>
                <w:szCs w:val="19"/>
              </w:rPr>
            </w:pPr>
            <w:r w:rsidRPr="00C32FD4">
              <w:rPr>
                <w:sz w:val="19"/>
                <w:szCs w:val="19"/>
              </w:rPr>
              <w:t xml:space="preserve">36 (32.1) </w:t>
            </w:r>
            <w:r w:rsidRPr="00C32FD4">
              <w:rPr>
                <w:sz w:val="19"/>
                <w:szCs w:val="19"/>
                <w:vertAlign w:val="superscript"/>
              </w:rPr>
              <w:t>d</w:t>
            </w:r>
          </w:p>
        </w:tc>
        <w:tc>
          <w:tcPr>
            <w:tcW w:w="995" w:type="dxa"/>
            <w:tcMar>
              <w:left w:w="0" w:type="dxa"/>
              <w:right w:w="0" w:type="dxa"/>
            </w:tcMar>
          </w:tcPr>
          <w:p w14:paraId="1FA78857" w14:textId="0BA76F5E" w:rsidR="00305084" w:rsidRPr="00C32FD4" w:rsidRDefault="00305084" w:rsidP="00305084">
            <w:pPr>
              <w:pStyle w:val="Table-text"/>
              <w:jc w:val="center"/>
              <w:rPr>
                <w:sz w:val="19"/>
                <w:szCs w:val="19"/>
              </w:rPr>
            </w:pPr>
            <w:r w:rsidRPr="00C32FD4">
              <w:rPr>
                <w:sz w:val="19"/>
                <w:szCs w:val="19"/>
              </w:rPr>
              <w:t xml:space="preserve">46 (40.4) </w:t>
            </w:r>
            <w:r w:rsidRPr="00C32FD4">
              <w:rPr>
                <w:sz w:val="19"/>
                <w:szCs w:val="19"/>
                <w:vertAlign w:val="superscript"/>
              </w:rPr>
              <w:t>d</w:t>
            </w:r>
          </w:p>
        </w:tc>
      </w:tr>
      <w:tr w:rsidR="00305084" w:rsidRPr="00C32FD4" w14:paraId="14E5F243" w14:textId="77777777" w:rsidTr="00F11A67">
        <w:trPr>
          <w:jc w:val="center"/>
        </w:trPr>
        <w:tc>
          <w:tcPr>
            <w:tcW w:w="1559" w:type="dxa"/>
            <w:tcMar>
              <w:left w:w="28" w:type="dxa"/>
              <w:right w:w="28" w:type="dxa"/>
            </w:tcMar>
          </w:tcPr>
          <w:p w14:paraId="473B6A5F" w14:textId="77777777" w:rsidR="00305084" w:rsidRPr="00C32FD4" w:rsidRDefault="00305084" w:rsidP="00305084">
            <w:pPr>
              <w:pStyle w:val="Table-text"/>
              <w:rPr>
                <w:sz w:val="19"/>
                <w:szCs w:val="19"/>
              </w:rPr>
            </w:pPr>
            <w:r w:rsidRPr="00C32FD4">
              <w:rPr>
                <w:sz w:val="19"/>
                <w:szCs w:val="19"/>
              </w:rPr>
              <w:lastRenderedPageBreak/>
              <w:t>DLQI Score 0 or 1, n (%)</w:t>
            </w:r>
          </w:p>
        </w:tc>
        <w:tc>
          <w:tcPr>
            <w:tcW w:w="1134" w:type="dxa"/>
            <w:tcMar>
              <w:left w:w="0" w:type="dxa"/>
              <w:right w:w="0" w:type="dxa"/>
            </w:tcMar>
          </w:tcPr>
          <w:p w14:paraId="4D6C8D43" w14:textId="6A92582F" w:rsidR="00305084" w:rsidRPr="00C32FD4" w:rsidRDefault="00305084" w:rsidP="00305084">
            <w:pPr>
              <w:pStyle w:val="Table-text"/>
              <w:jc w:val="center"/>
              <w:rPr>
                <w:sz w:val="19"/>
                <w:szCs w:val="19"/>
              </w:rPr>
            </w:pPr>
            <w:r w:rsidRPr="00C32FD4">
              <w:rPr>
                <w:sz w:val="19"/>
                <w:szCs w:val="19"/>
              </w:rPr>
              <w:t>126 (41.5)</w:t>
            </w:r>
            <w:r w:rsidRPr="00C32FD4">
              <w:rPr>
                <w:sz w:val="19"/>
                <w:szCs w:val="19"/>
                <w:vertAlign w:val="superscript"/>
              </w:rPr>
              <w:t xml:space="preserve"> †</w:t>
            </w:r>
          </w:p>
        </w:tc>
        <w:tc>
          <w:tcPr>
            <w:tcW w:w="1134" w:type="dxa"/>
            <w:tcMar>
              <w:left w:w="0" w:type="dxa"/>
              <w:right w:w="0" w:type="dxa"/>
            </w:tcMar>
          </w:tcPr>
          <w:p w14:paraId="58741982" w14:textId="521221AB" w:rsidR="00305084" w:rsidRPr="00C32FD4" w:rsidRDefault="00305084" w:rsidP="00305084">
            <w:pPr>
              <w:pStyle w:val="Table-text"/>
              <w:jc w:val="center"/>
              <w:rPr>
                <w:sz w:val="19"/>
                <w:szCs w:val="19"/>
              </w:rPr>
            </w:pPr>
            <w:r w:rsidRPr="00C32FD4">
              <w:rPr>
                <w:sz w:val="19"/>
                <w:szCs w:val="19"/>
              </w:rPr>
              <w:t xml:space="preserve">132 (44.2) </w:t>
            </w:r>
            <w:r w:rsidRPr="00C32FD4">
              <w:rPr>
                <w:sz w:val="19"/>
                <w:szCs w:val="19"/>
                <w:vertAlign w:val="superscript"/>
              </w:rPr>
              <w:t>†</w:t>
            </w:r>
          </w:p>
        </w:tc>
        <w:tc>
          <w:tcPr>
            <w:tcW w:w="851" w:type="dxa"/>
            <w:tcMar>
              <w:left w:w="0" w:type="dxa"/>
              <w:right w:w="0" w:type="dxa"/>
            </w:tcMar>
          </w:tcPr>
          <w:p w14:paraId="790365B7" w14:textId="77777777" w:rsidR="00305084" w:rsidRPr="00C32FD4" w:rsidRDefault="00305084" w:rsidP="00305084">
            <w:pPr>
              <w:pStyle w:val="Table-text"/>
              <w:jc w:val="center"/>
              <w:rPr>
                <w:sz w:val="19"/>
                <w:szCs w:val="19"/>
              </w:rPr>
            </w:pPr>
            <w:r w:rsidRPr="00C32FD4">
              <w:rPr>
                <w:sz w:val="19"/>
                <w:szCs w:val="19"/>
              </w:rPr>
              <w:t>8 (5.3)</w:t>
            </w:r>
          </w:p>
        </w:tc>
        <w:tc>
          <w:tcPr>
            <w:tcW w:w="963" w:type="dxa"/>
            <w:tcMar>
              <w:left w:w="0" w:type="dxa"/>
              <w:right w:w="0" w:type="dxa"/>
            </w:tcMar>
          </w:tcPr>
          <w:p w14:paraId="1262275A" w14:textId="77777777" w:rsidR="00305084" w:rsidRPr="00C32FD4" w:rsidRDefault="00305084" w:rsidP="00305084">
            <w:pPr>
              <w:pStyle w:val="Table-text"/>
              <w:jc w:val="center"/>
              <w:rPr>
                <w:sz w:val="19"/>
                <w:szCs w:val="19"/>
              </w:rPr>
            </w:pPr>
            <w:r w:rsidRPr="00C32FD4">
              <w:rPr>
                <w:sz w:val="19"/>
                <w:szCs w:val="19"/>
              </w:rPr>
              <w:t>-</w:t>
            </w:r>
          </w:p>
        </w:tc>
        <w:tc>
          <w:tcPr>
            <w:tcW w:w="1148" w:type="dxa"/>
            <w:tcMar>
              <w:left w:w="0" w:type="dxa"/>
              <w:right w:w="0" w:type="dxa"/>
            </w:tcMar>
          </w:tcPr>
          <w:p w14:paraId="5A8C6390" w14:textId="0FBA1D6D" w:rsidR="00305084" w:rsidRPr="00C32FD4" w:rsidRDefault="00305084" w:rsidP="00305084">
            <w:pPr>
              <w:pStyle w:val="Table-text"/>
              <w:jc w:val="center"/>
              <w:rPr>
                <w:sz w:val="19"/>
                <w:szCs w:val="19"/>
              </w:rPr>
            </w:pPr>
            <w:r w:rsidRPr="00C32FD4">
              <w:rPr>
                <w:sz w:val="19"/>
                <w:szCs w:val="19"/>
              </w:rPr>
              <w:t xml:space="preserve">152 (52.4) </w:t>
            </w:r>
            <w:r w:rsidRPr="00C32FD4">
              <w:rPr>
                <w:sz w:val="19"/>
                <w:szCs w:val="19"/>
                <w:vertAlign w:val="superscript"/>
              </w:rPr>
              <w:t>d</w:t>
            </w:r>
          </w:p>
        </w:tc>
        <w:tc>
          <w:tcPr>
            <w:tcW w:w="1149" w:type="dxa"/>
            <w:tcMar>
              <w:left w:w="0" w:type="dxa"/>
              <w:right w:w="0" w:type="dxa"/>
            </w:tcMar>
          </w:tcPr>
          <w:p w14:paraId="56D46A2C" w14:textId="5AC3E693" w:rsidR="00305084" w:rsidRPr="00C32FD4" w:rsidRDefault="00305084" w:rsidP="00305084">
            <w:pPr>
              <w:pStyle w:val="Table-text"/>
              <w:jc w:val="center"/>
              <w:rPr>
                <w:sz w:val="19"/>
                <w:szCs w:val="19"/>
              </w:rPr>
            </w:pPr>
            <w:r w:rsidRPr="00C32FD4">
              <w:rPr>
                <w:sz w:val="19"/>
                <w:szCs w:val="19"/>
              </w:rPr>
              <w:t xml:space="preserve">164 (56.7) </w:t>
            </w:r>
            <w:r w:rsidRPr="00C32FD4">
              <w:rPr>
                <w:sz w:val="19"/>
                <w:szCs w:val="19"/>
                <w:vertAlign w:val="superscript"/>
              </w:rPr>
              <w:t>d</w:t>
            </w:r>
          </w:p>
        </w:tc>
        <w:tc>
          <w:tcPr>
            <w:tcW w:w="992" w:type="dxa"/>
            <w:tcMar>
              <w:left w:w="0" w:type="dxa"/>
              <w:right w:w="0" w:type="dxa"/>
            </w:tcMar>
          </w:tcPr>
          <w:p w14:paraId="2DF9F22D" w14:textId="77777777" w:rsidR="00305084" w:rsidRPr="00C32FD4" w:rsidRDefault="00305084" w:rsidP="00305084">
            <w:pPr>
              <w:pStyle w:val="Table-text"/>
              <w:jc w:val="center"/>
              <w:rPr>
                <w:sz w:val="19"/>
                <w:szCs w:val="19"/>
              </w:rPr>
            </w:pPr>
            <w:r w:rsidRPr="00C32FD4">
              <w:rPr>
                <w:sz w:val="19"/>
                <w:szCs w:val="19"/>
              </w:rPr>
              <w:t>-</w:t>
            </w:r>
          </w:p>
        </w:tc>
        <w:tc>
          <w:tcPr>
            <w:tcW w:w="995" w:type="dxa"/>
            <w:tcMar>
              <w:left w:w="0" w:type="dxa"/>
              <w:right w:w="0" w:type="dxa"/>
            </w:tcMar>
          </w:tcPr>
          <w:p w14:paraId="68CC7A2B" w14:textId="783B6146" w:rsidR="00305084" w:rsidRPr="00C32FD4" w:rsidRDefault="00305084" w:rsidP="00305084">
            <w:pPr>
              <w:pStyle w:val="Table-text"/>
              <w:jc w:val="center"/>
              <w:rPr>
                <w:sz w:val="19"/>
                <w:szCs w:val="19"/>
              </w:rPr>
            </w:pPr>
            <w:r w:rsidRPr="00C32FD4">
              <w:rPr>
                <w:sz w:val="19"/>
                <w:szCs w:val="19"/>
              </w:rPr>
              <w:t xml:space="preserve">59 (52.2) </w:t>
            </w:r>
            <w:r w:rsidRPr="00C32FD4">
              <w:rPr>
                <w:sz w:val="19"/>
                <w:szCs w:val="19"/>
                <w:vertAlign w:val="superscript"/>
              </w:rPr>
              <w:t>d</w:t>
            </w:r>
          </w:p>
        </w:tc>
        <w:tc>
          <w:tcPr>
            <w:tcW w:w="995" w:type="dxa"/>
            <w:tcMar>
              <w:left w:w="0" w:type="dxa"/>
              <w:right w:w="0" w:type="dxa"/>
            </w:tcMar>
          </w:tcPr>
          <w:p w14:paraId="0777AAF3" w14:textId="31681CED" w:rsidR="00305084" w:rsidRPr="00C32FD4" w:rsidRDefault="00305084" w:rsidP="00305084">
            <w:pPr>
              <w:pStyle w:val="Table-text"/>
              <w:jc w:val="center"/>
              <w:rPr>
                <w:sz w:val="19"/>
                <w:szCs w:val="19"/>
              </w:rPr>
            </w:pPr>
            <w:r w:rsidRPr="00C32FD4">
              <w:rPr>
                <w:sz w:val="19"/>
                <w:szCs w:val="19"/>
              </w:rPr>
              <w:t xml:space="preserve">78 (68.4) </w:t>
            </w:r>
            <w:r w:rsidRPr="00C32FD4">
              <w:rPr>
                <w:sz w:val="19"/>
                <w:szCs w:val="19"/>
                <w:vertAlign w:val="superscript"/>
              </w:rPr>
              <w:t>d</w:t>
            </w:r>
          </w:p>
        </w:tc>
      </w:tr>
      <w:tr w:rsidR="00305084" w:rsidRPr="00C32FD4" w14:paraId="1071E368" w14:textId="77777777" w:rsidTr="00F11A67">
        <w:trPr>
          <w:jc w:val="center"/>
        </w:trPr>
        <w:tc>
          <w:tcPr>
            <w:tcW w:w="10920" w:type="dxa"/>
            <w:gridSpan w:val="10"/>
            <w:tcMar>
              <w:left w:w="28" w:type="dxa"/>
              <w:right w:w="28" w:type="dxa"/>
            </w:tcMar>
            <w:vAlign w:val="center"/>
          </w:tcPr>
          <w:p w14:paraId="548BC0D7" w14:textId="77777777" w:rsidR="00305084" w:rsidRPr="00C32FD4" w:rsidRDefault="00305084" w:rsidP="00305084">
            <w:pPr>
              <w:pStyle w:val="Table-Heading1"/>
              <w:keepNext/>
              <w:keepLines/>
              <w:spacing w:before="40" w:after="40"/>
              <w:rPr>
                <w:sz w:val="19"/>
                <w:szCs w:val="19"/>
              </w:rPr>
            </w:pPr>
            <w:proofErr w:type="spellStart"/>
            <w:r w:rsidRPr="00C32FD4">
              <w:rPr>
                <w:sz w:val="19"/>
                <w:szCs w:val="19"/>
              </w:rPr>
              <w:t>reSURFACE</w:t>
            </w:r>
            <w:proofErr w:type="spellEnd"/>
            <w:r w:rsidRPr="00C32FD4">
              <w:rPr>
                <w:sz w:val="19"/>
                <w:szCs w:val="19"/>
              </w:rPr>
              <w:t xml:space="preserve"> 2</w:t>
            </w:r>
          </w:p>
        </w:tc>
      </w:tr>
      <w:tr w:rsidR="00305084" w:rsidRPr="00C32FD4" w14:paraId="67023F6B" w14:textId="77777777" w:rsidTr="00F11A67">
        <w:trPr>
          <w:jc w:val="center"/>
        </w:trPr>
        <w:tc>
          <w:tcPr>
            <w:tcW w:w="1559" w:type="dxa"/>
            <w:tcMar>
              <w:left w:w="28" w:type="dxa"/>
              <w:right w:w="28" w:type="dxa"/>
            </w:tcMar>
          </w:tcPr>
          <w:p w14:paraId="7C2DC473" w14:textId="77777777" w:rsidR="00305084" w:rsidRPr="00C32FD4" w:rsidRDefault="00305084" w:rsidP="00305084">
            <w:pPr>
              <w:pStyle w:val="Table-text"/>
              <w:keepNext/>
              <w:keepLines/>
              <w:rPr>
                <w:sz w:val="19"/>
                <w:szCs w:val="19"/>
              </w:rPr>
            </w:pPr>
            <w:r w:rsidRPr="00C32FD4">
              <w:rPr>
                <w:sz w:val="19"/>
                <w:szCs w:val="19"/>
              </w:rPr>
              <w:t>Number of patients</w:t>
            </w:r>
          </w:p>
        </w:tc>
        <w:tc>
          <w:tcPr>
            <w:tcW w:w="1134" w:type="dxa"/>
            <w:tcMar>
              <w:left w:w="0" w:type="dxa"/>
              <w:right w:w="0" w:type="dxa"/>
            </w:tcMar>
          </w:tcPr>
          <w:p w14:paraId="02D66E69" w14:textId="6F7EB970" w:rsidR="00305084" w:rsidRPr="00C32FD4" w:rsidRDefault="00305084" w:rsidP="00305084">
            <w:pPr>
              <w:pStyle w:val="Table-text"/>
              <w:keepNext/>
              <w:keepLines/>
              <w:jc w:val="center"/>
              <w:rPr>
                <w:sz w:val="19"/>
                <w:szCs w:val="19"/>
              </w:rPr>
            </w:pPr>
            <w:r w:rsidRPr="00C32FD4">
              <w:rPr>
                <w:sz w:val="19"/>
                <w:szCs w:val="19"/>
              </w:rPr>
              <w:t>307</w:t>
            </w:r>
          </w:p>
        </w:tc>
        <w:tc>
          <w:tcPr>
            <w:tcW w:w="1134" w:type="dxa"/>
            <w:tcMar>
              <w:left w:w="0" w:type="dxa"/>
              <w:right w:w="0" w:type="dxa"/>
            </w:tcMar>
          </w:tcPr>
          <w:p w14:paraId="775664B8" w14:textId="6876D469" w:rsidR="00305084" w:rsidRPr="00C32FD4" w:rsidRDefault="00305084" w:rsidP="00305084">
            <w:pPr>
              <w:pStyle w:val="Table-text"/>
              <w:keepNext/>
              <w:keepLines/>
              <w:jc w:val="center"/>
              <w:rPr>
                <w:sz w:val="19"/>
                <w:szCs w:val="19"/>
              </w:rPr>
            </w:pPr>
            <w:r w:rsidRPr="00C32FD4">
              <w:rPr>
                <w:sz w:val="19"/>
                <w:szCs w:val="19"/>
              </w:rPr>
              <w:t>314</w:t>
            </w:r>
          </w:p>
        </w:tc>
        <w:tc>
          <w:tcPr>
            <w:tcW w:w="851" w:type="dxa"/>
            <w:tcMar>
              <w:left w:w="0" w:type="dxa"/>
              <w:right w:w="0" w:type="dxa"/>
            </w:tcMar>
          </w:tcPr>
          <w:p w14:paraId="4862D7FD" w14:textId="77777777" w:rsidR="00305084" w:rsidRPr="00C32FD4" w:rsidRDefault="00305084" w:rsidP="00305084">
            <w:pPr>
              <w:pStyle w:val="Table-text"/>
              <w:keepNext/>
              <w:keepLines/>
              <w:jc w:val="center"/>
              <w:rPr>
                <w:sz w:val="19"/>
                <w:szCs w:val="19"/>
              </w:rPr>
            </w:pPr>
            <w:r w:rsidRPr="00C32FD4">
              <w:rPr>
                <w:sz w:val="19"/>
                <w:szCs w:val="19"/>
              </w:rPr>
              <w:t>156</w:t>
            </w:r>
          </w:p>
        </w:tc>
        <w:tc>
          <w:tcPr>
            <w:tcW w:w="963" w:type="dxa"/>
            <w:tcMar>
              <w:left w:w="0" w:type="dxa"/>
              <w:right w:w="0" w:type="dxa"/>
            </w:tcMar>
          </w:tcPr>
          <w:p w14:paraId="1304DA1B" w14:textId="77777777" w:rsidR="00305084" w:rsidRPr="00C32FD4" w:rsidRDefault="00305084" w:rsidP="00305084">
            <w:pPr>
              <w:pStyle w:val="Table-text"/>
              <w:keepNext/>
              <w:keepLines/>
              <w:jc w:val="center"/>
              <w:rPr>
                <w:sz w:val="19"/>
                <w:szCs w:val="19"/>
              </w:rPr>
            </w:pPr>
            <w:r w:rsidRPr="00C32FD4">
              <w:rPr>
                <w:sz w:val="19"/>
                <w:szCs w:val="19"/>
              </w:rPr>
              <w:t>313</w:t>
            </w:r>
          </w:p>
        </w:tc>
        <w:tc>
          <w:tcPr>
            <w:tcW w:w="1148" w:type="dxa"/>
            <w:tcMar>
              <w:left w:w="0" w:type="dxa"/>
              <w:right w:w="0" w:type="dxa"/>
            </w:tcMar>
          </w:tcPr>
          <w:p w14:paraId="3C300571" w14:textId="30413A46" w:rsidR="00305084" w:rsidRPr="00C32FD4" w:rsidRDefault="00305084" w:rsidP="00305084">
            <w:pPr>
              <w:pStyle w:val="Table-text"/>
              <w:keepNext/>
              <w:keepLines/>
              <w:jc w:val="center"/>
              <w:rPr>
                <w:sz w:val="19"/>
                <w:szCs w:val="19"/>
              </w:rPr>
            </w:pPr>
            <w:r w:rsidRPr="00C32FD4">
              <w:rPr>
                <w:sz w:val="19"/>
                <w:szCs w:val="19"/>
              </w:rPr>
              <w:t>294</w:t>
            </w:r>
          </w:p>
        </w:tc>
        <w:tc>
          <w:tcPr>
            <w:tcW w:w="1149" w:type="dxa"/>
            <w:tcMar>
              <w:left w:w="0" w:type="dxa"/>
              <w:right w:w="0" w:type="dxa"/>
            </w:tcMar>
          </w:tcPr>
          <w:p w14:paraId="194D8C68" w14:textId="40937DF4" w:rsidR="00305084" w:rsidRPr="00C32FD4" w:rsidRDefault="00305084" w:rsidP="00305084">
            <w:pPr>
              <w:pStyle w:val="Table-text"/>
              <w:keepNext/>
              <w:keepLines/>
              <w:jc w:val="center"/>
              <w:rPr>
                <w:sz w:val="19"/>
                <w:szCs w:val="19"/>
              </w:rPr>
            </w:pPr>
            <w:r w:rsidRPr="00C32FD4">
              <w:rPr>
                <w:sz w:val="19"/>
                <w:szCs w:val="19"/>
              </w:rPr>
              <w:t>299</w:t>
            </w:r>
          </w:p>
        </w:tc>
        <w:tc>
          <w:tcPr>
            <w:tcW w:w="992" w:type="dxa"/>
            <w:tcMar>
              <w:left w:w="0" w:type="dxa"/>
              <w:right w:w="0" w:type="dxa"/>
            </w:tcMar>
          </w:tcPr>
          <w:p w14:paraId="4F1028C7" w14:textId="77777777" w:rsidR="00305084" w:rsidRPr="00C32FD4" w:rsidRDefault="00305084" w:rsidP="00305084">
            <w:pPr>
              <w:pStyle w:val="Table-text"/>
              <w:keepNext/>
              <w:keepLines/>
              <w:jc w:val="center"/>
              <w:rPr>
                <w:sz w:val="19"/>
                <w:szCs w:val="19"/>
              </w:rPr>
            </w:pPr>
            <w:r w:rsidRPr="00C32FD4">
              <w:rPr>
                <w:sz w:val="19"/>
                <w:szCs w:val="19"/>
              </w:rPr>
              <w:t>289</w:t>
            </w:r>
          </w:p>
        </w:tc>
        <w:tc>
          <w:tcPr>
            <w:tcW w:w="995" w:type="dxa"/>
            <w:tcMar>
              <w:left w:w="0" w:type="dxa"/>
              <w:right w:w="0" w:type="dxa"/>
            </w:tcMar>
          </w:tcPr>
          <w:p w14:paraId="39F94092" w14:textId="0C22900E" w:rsidR="00305084" w:rsidRPr="00C32FD4" w:rsidRDefault="00305084" w:rsidP="00305084">
            <w:pPr>
              <w:pStyle w:val="Table-text"/>
              <w:keepNext/>
              <w:keepLines/>
              <w:jc w:val="center"/>
              <w:rPr>
                <w:sz w:val="19"/>
                <w:szCs w:val="19"/>
              </w:rPr>
            </w:pPr>
            <w:r w:rsidRPr="00C32FD4">
              <w:rPr>
                <w:sz w:val="19"/>
                <w:szCs w:val="19"/>
              </w:rPr>
              <w:t>204</w:t>
            </w:r>
          </w:p>
        </w:tc>
        <w:tc>
          <w:tcPr>
            <w:tcW w:w="995" w:type="dxa"/>
            <w:tcMar>
              <w:left w:w="0" w:type="dxa"/>
              <w:right w:w="0" w:type="dxa"/>
            </w:tcMar>
          </w:tcPr>
          <w:p w14:paraId="2A2EF88F" w14:textId="0F4D3A8F" w:rsidR="00305084" w:rsidRPr="00C32FD4" w:rsidRDefault="00305084" w:rsidP="00305084">
            <w:pPr>
              <w:pStyle w:val="Table-text"/>
              <w:keepNext/>
              <w:keepLines/>
              <w:jc w:val="center"/>
              <w:rPr>
                <w:sz w:val="19"/>
                <w:szCs w:val="19"/>
              </w:rPr>
            </w:pPr>
            <w:r w:rsidRPr="00C32FD4">
              <w:rPr>
                <w:sz w:val="19"/>
                <w:szCs w:val="19"/>
              </w:rPr>
              <w:t>105</w:t>
            </w:r>
          </w:p>
        </w:tc>
      </w:tr>
      <w:tr w:rsidR="00305084" w:rsidRPr="00C32FD4" w14:paraId="4A80D07C" w14:textId="77777777" w:rsidTr="00F11A67">
        <w:trPr>
          <w:jc w:val="center"/>
        </w:trPr>
        <w:tc>
          <w:tcPr>
            <w:tcW w:w="1559" w:type="dxa"/>
            <w:tcMar>
              <w:left w:w="28" w:type="dxa"/>
              <w:right w:w="28" w:type="dxa"/>
            </w:tcMar>
          </w:tcPr>
          <w:p w14:paraId="5C47D1EC" w14:textId="77777777" w:rsidR="00305084" w:rsidRPr="00C32FD4" w:rsidRDefault="00305084" w:rsidP="00305084">
            <w:pPr>
              <w:pStyle w:val="Table-text"/>
              <w:rPr>
                <w:sz w:val="19"/>
                <w:szCs w:val="19"/>
              </w:rPr>
            </w:pPr>
            <w:r w:rsidRPr="00C32FD4">
              <w:rPr>
                <w:sz w:val="19"/>
                <w:szCs w:val="19"/>
              </w:rPr>
              <w:t>PASI 75</w:t>
            </w:r>
            <w:r w:rsidRPr="00C32FD4">
              <w:rPr>
                <w:sz w:val="19"/>
                <w:szCs w:val="19"/>
                <w:vertAlign w:val="superscript"/>
              </w:rPr>
              <w:t>b</w:t>
            </w:r>
            <w:r w:rsidRPr="00C32FD4">
              <w:rPr>
                <w:sz w:val="19"/>
                <w:szCs w:val="19"/>
              </w:rPr>
              <w:t>, n (%)</w:t>
            </w:r>
          </w:p>
        </w:tc>
        <w:tc>
          <w:tcPr>
            <w:tcW w:w="1134" w:type="dxa"/>
            <w:tcMar>
              <w:left w:w="0" w:type="dxa"/>
              <w:right w:w="0" w:type="dxa"/>
            </w:tcMar>
          </w:tcPr>
          <w:p w14:paraId="4A4D33B5" w14:textId="7C893667" w:rsidR="00305084" w:rsidRPr="00C32FD4" w:rsidRDefault="00305084" w:rsidP="00305084">
            <w:pPr>
              <w:pStyle w:val="Table-text"/>
              <w:jc w:val="center"/>
              <w:rPr>
                <w:sz w:val="19"/>
                <w:szCs w:val="19"/>
              </w:rPr>
            </w:pPr>
            <w:r w:rsidRPr="00C32FD4">
              <w:rPr>
                <w:sz w:val="19"/>
                <w:szCs w:val="19"/>
              </w:rPr>
              <w:t xml:space="preserve">188 (61.2) </w:t>
            </w:r>
            <w:r w:rsidRPr="00C32FD4">
              <w:rPr>
                <w:sz w:val="19"/>
                <w:szCs w:val="19"/>
                <w:vertAlign w:val="superscript"/>
              </w:rPr>
              <w:t>†‡c</w:t>
            </w:r>
          </w:p>
        </w:tc>
        <w:tc>
          <w:tcPr>
            <w:tcW w:w="1134" w:type="dxa"/>
            <w:tcMar>
              <w:left w:w="0" w:type="dxa"/>
              <w:right w:w="0" w:type="dxa"/>
            </w:tcMar>
          </w:tcPr>
          <w:p w14:paraId="0EC592F4" w14:textId="31BFAC58" w:rsidR="00305084" w:rsidRPr="00C32FD4" w:rsidRDefault="00305084" w:rsidP="00305084">
            <w:pPr>
              <w:pStyle w:val="Table-text"/>
              <w:jc w:val="center"/>
              <w:rPr>
                <w:sz w:val="19"/>
                <w:szCs w:val="19"/>
              </w:rPr>
            </w:pPr>
            <w:r w:rsidRPr="00C32FD4">
              <w:rPr>
                <w:sz w:val="19"/>
                <w:szCs w:val="19"/>
              </w:rPr>
              <w:t xml:space="preserve">206 (65.6) </w:t>
            </w:r>
            <w:r w:rsidRPr="00C32FD4">
              <w:rPr>
                <w:sz w:val="19"/>
                <w:szCs w:val="19"/>
                <w:vertAlign w:val="superscript"/>
              </w:rPr>
              <w:t>†‡c</w:t>
            </w:r>
          </w:p>
        </w:tc>
        <w:tc>
          <w:tcPr>
            <w:tcW w:w="851" w:type="dxa"/>
            <w:tcMar>
              <w:left w:w="0" w:type="dxa"/>
              <w:right w:w="0" w:type="dxa"/>
            </w:tcMar>
          </w:tcPr>
          <w:p w14:paraId="4CA35935" w14:textId="77777777" w:rsidR="00305084" w:rsidRPr="00C32FD4" w:rsidRDefault="00305084" w:rsidP="00305084">
            <w:pPr>
              <w:pStyle w:val="Table-text"/>
              <w:jc w:val="center"/>
              <w:rPr>
                <w:sz w:val="19"/>
                <w:szCs w:val="19"/>
              </w:rPr>
            </w:pPr>
            <w:r w:rsidRPr="00C32FD4">
              <w:rPr>
                <w:sz w:val="19"/>
                <w:szCs w:val="19"/>
              </w:rPr>
              <w:t xml:space="preserve">9 (5.8) </w:t>
            </w:r>
            <w:r w:rsidRPr="00C32FD4">
              <w:rPr>
                <w:sz w:val="19"/>
                <w:szCs w:val="19"/>
                <w:vertAlign w:val="superscript"/>
              </w:rPr>
              <w:t>c</w:t>
            </w:r>
          </w:p>
        </w:tc>
        <w:tc>
          <w:tcPr>
            <w:tcW w:w="963" w:type="dxa"/>
            <w:tcMar>
              <w:left w:w="0" w:type="dxa"/>
              <w:right w:w="0" w:type="dxa"/>
            </w:tcMar>
          </w:tcPr>
          <w:p w14:paraId="31A2136E" w14:textId="77777777" w:rsidR="00305084" w:rsidRPr="00C32FD4" w:rsidRDefault="00305084" w:rsidP="00305084">
            <w:pPr>
              <w:pStyle w:val="Table-text"/>
              <w:jc w:val="center"/>
              <w:rPr>
                <w:sz w:val="19"/>
                <w:szCs w:val="19"/>
              </w:rPr>
            </w:pPr>
            <w:r w:rsidRPr="00C32FD4">
              <w:rPr>
                <w:sz w:val="19"/>
                <w:szCs w:val="19"/>
              </w:rPr>
              <w:t xml:space="preserve">151 (48.2) </w:t>
            </w:r>
            <w:r w:rsidRPr="00C32FD4">
              <w:rPr>
                <w:sz w:val="19"/>
                <w:szCs w:val="19"/>
                <w:vertAlign w:val="superscript"/>
              </w:rPr>
              <w:t>c</w:t>
            </w:r>
          </w:p>
        </w:tc>
        <w:tc>
          <w:tcPr>
            <w:tcW w:w="1148" w:type="dxa"/>
            <w:tcMar>
              <w:left w:w="0" w:type="dxa"/>
              <w:right w:w="0" w:type="dxa"/>
            </w:tcMar>
          </w:tcPr>
          <w:p w14:paraId="31D0403F" w14:textId="389BA3B9" w:rsidR="00305084" w:rsidRPr="00C32FD4" w:rsidRDefault="00305084" w:rsidP="00305084">
            <w:pPr>
              <w:pStyle w:val="Table-text"/>
              <w:jc w:val="center"/>
              <w:rPr>
                <w:sz w:val="19"/>
                <w:szCs w:val="19"/>
              </w:rPr>
            </w:pPr>
            <w:r w:rsidRPr="00C32FD4">
              <w:rPr>
                <w:sz w:val="19"/>
                <w:szCs w:val="19"/>
              </w:rPr>
              <w:t xml:space="preserve">216 (73.5) </w:t>
            </w:r>
            <w:r w:rsidRPr="00C32FD4">
              <w:rPr>
                <w:sz w:val="19"/>
                <w:szCs w:val="19"/>
                <w:vertAlign w:val="superscript"/>
              </w:rPr>
              <w:t>‡c</w:t>
            </w:r>
          </w:p>
        </w:tc>
        <w:tc>
          <w:tcPr>
            <w:tcW w:w="1149" w:type="dxa"/>
            <w:tcMar>
              <w:left w:w="0" w:type="dxa"/>
              <w:right w:w="0" w:type="dxa"/>
            </w:tcMar>
          </w:tcPr>
          <w:p w14:paraId="1D3D9033" w14:textId="7553E084" w:rsidR="00305084" w:rsidRPr="00C32FD4" w:rsidRDefault="00305084" w:rsidP="00305084">
            <w:pPr>
              <w:pStyle w:val="Table-text"/>
              <w:jc w:val="center"/>
              <w:rPr>
                <w:sz w:val="19"/>
                <w:szCs w:val="19"/>
              </w:rPr>
            </w:pPr>
            <w:r w:rsidRPr="00C32FD4">
              <w:rPr>
                <w:sz w:val="19"/>
                <w:szCs w:val="19"/>
              </w:rPr>
              <w:t xml:space="preserve">217 (72.6) </w:t>
            </w:r>
            <w:r w:rsidRPr="00C32FD4">
              <w:rPr>
                <w:sz w:val="19"/>
                <w:szCs w:val="19"/>
                <w:vertAlign w:val="superscript"/>
              </w:rPr>
              <w:t>‡c</w:t>
            </w:r>
          </w:p>
        </w:tc>
        <w:tc>
          <w:tcPr>
            <w:tcW w:w="992" w:type="dxa"/>
            <w:tcMar>
              <w:left w:w="0" w:type="dxa"/>
              <w:right w:w="0" w:type="dxa"/>
            </w:tcMar>
          </w:tcPr>
          <w:p w14:paraId="5DD1A9CD" w14:textId="77777777" w:rsidR="00305084" w:rsidRPr="00C32FD4" w:rsidRDefault="00305084" w:rsidP="00305084">
            <w:pPr>
              <w:pStyle w:val="Table-text"/>
              <w:jc w:val="center"/>
              <w:rPr>
                <w:sz w:val="19"/>
                <w:szCs w:val="19"/>
              </w:rPr>
            </w:pPr>
            <w:r w:rsidRPr="00C32FD4">
              <w:rPr>
                <w:sz w:val="19"/>
                <w:szCs w:val="19"/>
              </w:rPr>
              <w:t xml:space="preserve">155 (53.6) </w:t>
            </w:r>
            <w:r w:rsidRPr="00C32FD4">
              <w:rPr>
                <w:sz w:val="19"/>
                <w:szCs w:val="19"/>
                <w:vertAlign w:val="superscript"/>
              </w:rPr>
              <w:t>c</w:t>
            </w:r>
          </w:p>
        </w:tc>
        <w:tc>
          <w:tcPr>
            <w:tcW w:w="995" w:type="dxa"/>
            <w:tcMar>
              <w:left w:w="0" w:type="dxa"/>
              <w:right w:w="0" w:type="dxa"/>
            </w:tcMar>
          </w:tcPr>
          <w:p w14:paraId="4F6BFCEE" w14:textId="1B7A464B" w:rsidR="00305084" w:rsidRPr="00C32FD4" w:rsidRDefault="00305084" w:rsidP="00305084">
            <w:pPr>
              <w:pStyle w:val="Table-text"/>
              <w:jc w:val="center"/>
              <w:rPr>
                <w:sz w:val="19"/>
                <w:szCs w:val="19"/>
              </w:rPr>
            </w:pPr>
            <w:r w:rsidRPr="00C32FD4">
              <w:rPr>
                <w:sz w:val="19"/>
                <w:szCs w:val="19"/>
              </w:rPr>
              <w:t xml:space="preserve">191 (93.6) </w:t>
            </w:r>
            <w:r w:rsidRPr="00C32FD4">
              <w:rPr>
                <w:sz w:val="19"/>
                <w:szCs w:val="19"/>
                <w:vertAlign w:val="superscript"/>
              </w:rPr>
              <w:t>d</w:t>
            </w:r>
          </w:p>
        </w:tc>
        <w:tc>
          <w:tcPr>
            <w:tcW w:w="995" w:type="dxa"/>
            <w:tcMar>
              <w:left w:w="0" w:type="dxa"/>
              <w:right w:w="0" w:type="dxa"/>
            </w:tcMar>
          </w:tcPr>
          <w:p w14:paraId="7CD32008" w14:textId="20CC2CFC" w:rsidR="00305084" w:rsidRPr="00C32FD4" w:rsidRDefault="00305084" w:rsidP="00305084">
            <w:pPr>
              <w:pStyle w:val="Table-text"/>
              <w:jc w:val="center"/>
              <w:rPr>
                <w:sz w:val="19"/>
                <w:szCs w:val="19"/>
              </w:rPr>
            </w:pPr>
            <w:r w:rsidRPr="00C32FD4">
              <w:rPr>
                <w:sz w:val="19"/>
                <w:szCs w:val="19"/>
              </w:rPr>
              <w:t xml:space="preserve">102 (97.1) </w:t>
            </w:r>
            <w:r w:rsidRPr="00C32FD4">
              <w:rPr>
                <w:sz w:val="19"/>
                <w:szCs w:val="19"/>
                <w:vertAlign w:val="superscript"/>
              </w:rPr>
              <w:t>d</w:t>
            </w:r>
          </w:p>
        </w:tc>
      </w:tr>
      <w:tr w:rsidR="00305084" w:rsidRPr="00C32FD4" w14:paraId="5444D162" w14:textId="77777777" w:rsidTr="00F11A67">
        <w:trPr>
          <w:jc w:val="center"/>
        </w:trPr>
        <w:tc>
          <w:tcPr>
            <w:tcW w:w="1559" w:type="dxa"/>
            <w:tcMar>
              <w:left w:w="28" w:type="dxa"/>
              <w:right w:w="28" w:type="dxa"/>
            </w:tcMar>
          </w:tcPr>
          <w:p w14:paraId="4ACB0F5F" w14:textId="77777777" w:rsidR="00305084" w:rsidRPr="00C32FD4" w:rsidRDefault="00305084" w:rsidP="00305084">
            <w:pPr>
              <w:pStyle w:val="Table-text"/>
              <w:rPr>
                <w:sz w:val="19"/>
                <w:szCs w:val="19"/>
              </w:rPr>
            </w:pPr>
            <w:r w:rsidRPr="00C32FD4">
              <w:rPr>
                <w:sz w:val="19"/>
                <w:szCs w:val="19"/>
              </w:rPr>
              <w:t xml:space="preserve">PGA of “clear” or “minimal” with ≥ 2 grade improvement from Baseline </w:t>
            </w:r>
            <w:r w:rsidRPr="00C32FD4">
              <w:rPr>
                <w:sz w:val="19"/>
                <w:szCs w:val="19"/>
                <w:vertAlign w:val="superscript"/>
              </w:rPr>
              <w:t>b</w:t>
            </w:r>
            <w:r w:rsidRPr="00C32FD4">
              <w:rPr>
                <w:sz w:val="19"/>
                <w:szCs w:val="19"/>
              </w:rPr>
              <w:t>, n (%)</w:t>
            </w:r>
          </w:p>
        </w:tc>
        <w:tc>
          <w:tcPr>
            <w:tcW w:w="1134" w:type="dxa"/>
            <w:tcMar>
              <w:left w:w="0" w:type="dxa"/>
              <w:right w:w="0" w:type="dxa"/>
            </w:tcMar>
          </w:tcPr>
          <w:p w14:paraId="6B197FAF" w14:textId="0AB1E857" w:rsidR="00305084" w:rsidRPr="00C32FD4" w:rsidRDefault="00305084" w:rsidP="00305084">
            <w:pPr>
              <w:pStyle w:val="Table-text"/>
              <w:jc w:val="center"/>
              <w:rPr>
                <w:sz w:val="19"/>
                <w:szCs w:val="19"/>
                <w:vertAlign w:val="superscript"/>
              </w:rPr>
            </w:pPr>
            <w:r w:rsidRPr="00C32FD4">
              <w:rPr>
                <w:sz w:val="19"/>
                <w:szCs w:val="19"/>
              </w:rPr>
              <w:t>168</w:t>
            </w:r>
            <w:r w:rsidRPr="00C32FD4">
              <w:rPr>
                <w:sz w:val="19"/>
                <w:szCs w:val="19"/>
                <w:vertAlign w:val="superscript"/>
              </w:rPr>
              <w:t xml:space="preserve"> </w:t>
            </w:r>
            <w:r w:rsidRPr="00C32FD4">
              <w:rPr>
                <w:sz w:val="19"/>
                <w:szCs w:val="19"/>
              </w:rPr>
              <w:t xml:space="preserve">(54.7) </w:t>
            </w:r>
            <w:r w:rsidRPr="00C32FD4">
              <w:rPr>
                <w:sz w:val="19"/>
                <w:szCs w:val="19"/>
                <w:vertAlign w:val="superscript"/>
              </w:rPr>
              <w:t>†c</w:t>
            </w:r>
          </w:p>
        </w:tc>
        <w:tc>
          <w:tcPr>
            <w:tcW w:w="1134" w:type="dxa"/>
            <w:tcMar>
              <w:left w:w="0" w:type="dxa"/>
              <w:right w:w="0" w:type="dxa"/>
            </w:tcMar>
          </w:tcPr>
          <w:p w14:paraId="4C44440D" w14:textId="21436A89" w:rsidR="00305084" w:rsidRPr="00C32FD4" w:rsidRDefault="00305084" w:rsidP="00305084">
            <w:pPr>
              <w:pStyle w:val="Table-text"/>
              <w:jc w:val="center"/>
              <w:rPr>
                <w:sz w:val="19"/>
                <w:szCs w:val="19"/>
                <w:vertAlign w:val="superscript"/>
              </w:rPr>
            </w:pPr>
            <w:r w:rsidRPr="00C32FD4">
              <w:rPr>
                <w:sz w:val="19"/>
                <w:szCs w:val="19"/>
              </w:rPr>
              <w:t>186 (59.2)</w:t>
            </w:r>
            <w:r w:rsidRPr="00C32FD4">
              <w:rPr>
                <w:sz w:val="19"/>
                <w:szCs w:val="19"/>
                <w:vertAlign w:val="superscript"/>
              </w:rPr>
              <w:t xml:space="preserve"> †¥c</w:t>
            </w:r>
          </w:p>
        </w:tc>
        <w:tc>
          <w:tcPr>
            <w:tcW w:w="851" w:type="dxa"/>
            <w:tcMar>
              <w:left w:w="0" w:type="dxa"/>
              <w:right w:w="0" w:type="dxa"/>
            </w:tcMar>
          </w:tcPr>
          <w:p w14:paraId="71F37AB7" w14:textId="77777777" w:rsidR="00305084" w:rsidRPr="00C32FD4" w:rsidRDefault="00305084" w:rsidP="00305084">
            <w:pPr>
              <w:pStyle w:val="Table-text"/>
              <w:jc w:val="center"/>
              <w:rPr>
                <w:sz w:val="19"/>
                <w:szCs w:val="19"/>
              </w:rPr>
            </w:pPr>
            <w:r w:rsidRPr="00C32FD4">
              <w:rPr>
                <w:sz w:val="19"/>
                <w:szCs w:val="19"/>
              </w:rPr>
              <w:t xml:space="preserve">7 (4.5) </w:t>
            </w:r>
            <w:r w:rsidRPr="00C32FD4">
              <w:rPr>
                <w:sz w:val="19"/>
                <w:szCs w:val="19"/>
                <w:vertAlign w:val="superscript"/>
              </w:rPr>
              <w:t>c</w:t>
            </w:r>
          </w:p>
        </w:tc>
        <w:tc>
          <w:tcPr>
            <w:tcW w:w="963" w:type="dxa"/>
            <w:tcMar>
              <w:left w:w="0" w:type="dxa"/>
              <w:right w:w="0" w:type="dxa"/>
            </w:tcMar>
          </w:tcPr>
          <w:p w14:paraId="24B7B013" w14:textId="77777777" w:rsidR="00305084" w:rsidRPr="00C32FD4" w:rsidRDefault="00305084" w:rsidP="00305084">
            <w:pPr>
              <w:pStyle w:val="Table-text"/>
              <w:jc w:val="center"/>
              <w:rPr>
                <w:sz w:val="19"/>
                <w:szCs w:val="19"/>
              </w:rPr>
            </w:pPr>
            <w:r w:rsidRPr="00C32FD4">
              <w:rPr>
                <w:sz w:val="19"/>
                <w:szCs w:val="19"/>
              </w:rPr>
              <w:t xml:space="preserve">149 (47.6) </w:t>
            </w:r>
            <w:r w:rsidRPr="00C32FD4">
              <w:rPr>
                <w:sz w:val="19"/>
                <w:szCs w:val="19"/>
                <w:vertAlign w:val="superscript"/>
              </w:rPr>
              <w:t>c</w:t>
            </w:r>
          </w:p>
        </w:tc>
        <w:tc>
          <w:tcPr>
            <w:tcW w:w="1148" w:type="dxa"/>
            <w:tcMar>
              <w:left w:w="0" w:type="dxa"/>
              <w:right w:w="0" w:type="dxa"/>
            </w:tcMar>
          </w:tcPr>
          <w:p w14:paraId="35EA8A77" w14:textId="7697EF79" w:rsidR="00305084" w:rsidRPr="00C32FD4" w:rsidRDefault="00305084" w:rsidP="00305084">
            <w:pPr>
              <w:pStyle w:val="Table-text"/>
              <w:jc w:val="center"/>
              <w:rPr>
                <w:sz w:val="19"/>
                <w:szCs w:val="19"/>
              </w:rPr>
            </w:pPr>
            <w:r w:rsidRPr="00C32FD4">
              <w:rPr>
                <w:sz w:val="19"/>
                <w:szCs w:val="19"/>
              </w:rPr>
              <w:t xml:space="preserve">190 (64.6) </w:t>
            </w:r>
            <w:r w:rsidRPr="00C32FD4">
              <w:rPr>
                <w:sz w:val="19"/>
                <w:szCs w:val="19"/>
                <w:vertAlign w:val="superscript"/>
              </w:rPr>
              <w:t>‡c</w:t>
            </w:r>
          </w:p>
        </w:tc>
        <w:tc>
          <w:tcPr>
            <w:tcW w:w="1149" w:type="dxa"/>
            <w:tcMar>
              <w:left w:w="0" w:type="dxa"/>
              <w:right w:w="0" w:type="dxa"/>
            </w:tcMar>
          </w:tcPr>
          <w:p w14:paraId="01CECE9A" w14:textId="2DD910DB" w:rsidR="00305084" w:rsidRPr="00C32FD4" w:rsidRDefault="00305084" w:rsidP="00305084">
            <w:pPr>
              <w:pStyle w:val="Table-text"/>
              <w:jc w:val="center"/>
              <w:rPr>
                <w:sz w:val="19"/>
                <w:szCs w:val="19"/>
              </w:rPr>
            </w:pPr>
            <w:r w:rsidRPr="00C32FD4">
              <w:rPr>
                <w:sz w:val="19"/>
                <w:szCs w:val="19"/>
              </w:rPr>
              <w:t xml:space="preserve">207 (69.2) </w:t>
            </w:r>
            <w:r w:rsidRPr="00C32FD4">
              <w:rPr>
                <w:sz w:val="19"/>
                <w:szCs w:val="19"/>
                <w:vertAlign w:val="superscript"/>
              </w:rPr>
              <w:t>‡c</w:t>
            </w:r>
          </w:p>
        </w:tc>
        <w:tc>
          <w:tcPr>
            <w:tcW w:w="992" w:type="dxa"/>
            <w:tcMar>
              <w:left w:w="0" w:type="dxa"/>
              <w:right w:w="0" w:type="dxa"/>
            </w:tcMar>
          </w:tcPr>
          <w:p w14:paraId="75D8957A" w14:textId="77777777" w:rsidR="00305084" w:rsidRPr="00C32FD4" w:rsidRDefault="00305084" w:rsidP="00305084">
            <w:pPr>
              <w:pStyle w:val="Table-text"/>
              <w:jc w:val="center"/>
              <w:rPr>
                <w:sz w:val="19"/>
                <w:szCs w:val="19"/>
              </w:rPr>
            </w:pPr>
            <w:r w:rsidRPr="00C32FD4">
              <w:rPr>
                <w:sz w:val="19"/>
                <w:szCs w:val="19"/>
              </w:rPr>
              <w:t xml:space="preserve">131 (45.3) </w:t>
            </w:r>
            <w:r w:rsidRPr="00C32FD4">
              <w:rPr>
                <w:sz w:val="19"/>
                <w:szCs w:val="19"/>
                <w:vertAlign w:val="superscript"/>
              </w:rPr>
              <w:t>c</w:t>
            </w:r>
          </w:p>
        </w:tc>
        <w:tc>
          <w:tcPr>
            <w:tcW w:w="995" w:type="dxa"/>
            <w:tcMar>
              <w:left w:w="0" w:type="dxa"/>
              <w:right w:w="0" w:type="dxa"/>
            </w:tcMar>
          </w:tcPr>
          <w:p w14:paraId="10EB579F" w14:textId="12521A95" w:rsidR="00305084" w:rsidRPr="00C32FD4" w:rsidRDefault="00305084" w:rsidP="00305084">
            <w:pPr>
              <w:pStyle w:val="Table-text"/>
              <w:jc w:val="center"/>
              <w:rPr>
                <w:sz w:val="19"/>
                <w:szCs w:val="19"/>
              </w:rPr>
            </w:pPr>
            <w:r w:rsidRPr="00C32FD4">
              <w:rPr>
                <w:sz w:val="19"/>
                <w:szCs w:val="19"/>
              </w:rPr>
              <w:t xml:space="preserve">162 (79.4) </w:t>
            </w:r>
            <w:r w:rsidRPr="00C32FD4">
              <w:rPr>
                <w:sz w:val="19"/>
                <w:szCs w:val="19"/>
                <w:vertAlign w:val="superscript"/>
              </w:rPr>
              <w:t>d</w:t>
            </w:r>
          </w:p>
        </w:tc>
        <w:tc>
          <w:tcPr>
            <w:tcW w:w="995" w:type="dxa"/>
            <w:tcMar>
              <w:left w:w="0" w:type="dxa"/>
              <w:right w:w="0" w:type="dxa"/>
            </w:tcMar>
          </w:tcPr>
          <w:p w14:paraId="2F8D2157" w14:textId="53E67964" w:rsidR="00305084" w:rsidRPr="00C32FD4" w:rsidRDefault="00305084" w:rsidP="00305084">
            <w:pPr>
              <w:pStyle w:val="Table-text"/>
              <w:jc w:val="center"/>
              <w:rPr>
                <w:sz w:val="19"/>
                <w:szCs w:val="19"/>
              </w:rPr>
            </w:pPr>
            <w:r w:rsidRPr="00C32FD4">
              <w:rPr>
                <w:sz w:val="19"/>
                <w:szCs w:val="19"/>
              </w:rPr>
              <w:t xml:space="preserve">89 (84.8) </w:t>
            </w:r>
            <w:r w:rsidRPr="00C32FD4">
              <w:rPr>
                <w:sz w:val="19"/>
                <w:szCs w:val="19"/>
                <w:vertAlign w:val="superscript"/>
              </w:rPr>
              <w:t>d</w:t>
            </w:r>
          </w:p>
        </w:tc>
      </w:tr>
      <w:tr w:rsidR="00305084" w:rsidRPr="00C32FD4" w14:paraId="586D2DFA" w14:textId="77777777" w:rsidTr="00F11A67">
        <w:trPr>
          <w:jc w:val="center"/>
        </w:trPr>
        <w:tc>
          <w:tcPr>
            <w:tcW w:w="1559" w:type="dxa"/>
            <w:tcMar>
              <w:left w:w="28" w:type="dxa"/>
              <w:right w:w="28" w:type="dxa"/>
            </w:tcMar>
          </w:tcPr>
          <w:p w14:paraId="6F218114" w14:textId="77777777" w:rsidR="00305084" w:rsidRPr="00C32FD4" w:rsidRDefault="00305084" w:rsidP="00305084">
            <w:pPr>
              <w:pStyle w:val="Table-text"/>
              <w:rPr>
                <w:sz w:val="19"/>
                <w:szCs w:val="19"/>
              </w:rPr>
            </w:pPr>
            <w:r w:rsidRPr="00C32FD4">
              <w:rPr>
                <w:sz w:val="19"/>
                <w:szCs w:val="19"/>
              </w:rPr>
              <w:t>PASI 90, n (%)</w:t>
            </w:r>
          </w:p>
        </w:tc>
        <w:tc>
          <w:tcPr>
            <w:tcW w:w="1134" w:type="dxa"/>
            <w:tcMar>
              <w:left w:w="0" w:type="dxa"/>
              <w:right w:w="0" w:type="dxa"/>
            </w:tcMar>
          </w:tcPr>
          <w:p w14:paraId="7361CC5B" w14:textId="1D5A5230" w:rsidR="00305084" w:rsidRPr="00C32FD4" w:rsidRDefault="00305084" w:rsidP="00305084">
            <w:pPr>
              <w:pStyle w:val="Table-text"/>
              <w:jc w:val="center"/>
              <w:rPr>
                <w:sz w:val="19"/>
                <w:szCs w:val="19"/>
              </w:rPr>
            </w:pPr>
            <w:r w:rsidRPr="00C32FD4">
              <w:rPr>
                <w:sz w:val="19"/>
                <w:szCs w:val="19"/>
              </w:rPr>
              <w:t xml:space="preserve">119 (38.8) </w:t>
            </w:r>
            <w:r w:rsidRPr="00C32FD4">
              <w:rPr>
                <w:sz w:val="19"/>
                <w:szCs w:val="19"/>
                <w:vertAlign w:val="superscript"/>
              </w:rPr>
              <w:t>†‡c</w:t>
            </w:r>
          </w:p>
        </w:tc>
        <w:tc>
          <w:tcPr>
            <w:tcW w:w="1134" w:type="dxa"/>
            <w:tcMar>
              <w:left w:w="0" w:type="dxa"/>
              <w:right w:w="0" w:type="dxa"/>
            </w:tcMar>
          </w:tcPr>
          <w:p w14:paraId="09E9B513" w14:textId="325AD6F2" w:rsidR="00305084" w:rsidRPr="00C32FD4" w:rsidRDefault="00305084" w:rsidP="00305084">
            <w:pPr>
              <w:pStyle w:val="Table-text"/>
              <w:jc w:val="center"/>
              <w:rPr>
                <w:sz w:val="19"/>
                <w:szCs w:val="19"/>
              </w:rPr>
            </w:pPr>
            <w:r w:rsidRPr="00C32FD4">
              <w:rPr>
                <w:sz w:val="19"/>
                <w:szCs w:val="19"/>
              </w:rPr>
              <w:t xml:space="preserve">115 (36.6) </w:t>
            </w:r>
            <w:r w:rsidRPr="00C32FD4">
              <w:rPr>
                <w:sz w:val="19"/>
                <w:szCs w:val="19"/>
                <w:vertAlign w:val="superscript"/>
              </w:rPr>
              <w:t>†‡c</w:t>
            </w:r>
          </w:p>
        </w:tc>
        <w:tc>
          <w:tcPr>
            <w:tcW w:w="851" w:type="dxa"/>
            <w:tcMar>
              <w:left w:w="0" w:type="dxa"/>
              <w:right w:w="0" w:type="dxa"/>
            </w:tcMar>
          </w:tcPr>
          <w:p w14:paraId="65D450AC" w14:textId="77777777" w:rsidR="00305084" w:rsidRPr="00C32FD4" w:rsidRDefault="00305084" w:rsidP="00305084">
            <w:pPr>
              <w:pStyle w:val="Table-text"/>
              <w:jc w:val="center"/>
              <w:rPr>
                <w:sz w:val="19"/>
                <w:szCs w:val="19"/>
              </w:rPr>
            </w:pPr>
            <w:r w:rsidRPr="00C32FD4">
              <w:rPr>
                <w:sz w:val="19"/>
                <w:szCs w:val="19"/>
              </w:rPr>
              <w:t xml:space="preserve">2 (1.3) </w:t>
            </w:r>
            <w:r w:rsidRPr="00C32FD4">
              <w:rPr>
                <w:sz w:val="19"/>
                <w:szCs w:val="19"/>
                <w:vertAlign w:val="superscript"/>
              </w:rPr>
              <w:t>c</w:t>
            </w:r>
          </w:p>
        </w:tc>
        <w:tc>
          <w:tcPr>
            <w:tcW w:w="963" w:type="dxa"/>
            <w:tcMar>
              <w:left w:w="0" w:type="dxa"/>
              <w:right w:w="0" w:type="dxa"/>
            </w:tcMar>
          </w:tcPr>
          <w:p w14:paraId="1D27CE39" w14:textId="77777777" w:rsidR="00305084" w:rsidRPr="00C32FD4" w:rsidRDefault="00305084" w:rsidP="00305084">
            <w:pPr>
              <w:pStyle w:val="Table-text"/>
              <w:jc w:val="center"/>
              <w:rPr>
                <w:sz w:val="19"/>
                <w:szCs w:val="19"/>
              </w:rPr>
            </w:pPr>
            <w:r w:rsidRPr="00C32FD4">
              <w:rPr>
                <w:sz w:val="19"/>
                <w:szCs w:val="19"/>
              </w:rPr>
              <w:t xml:space="preserve">67 (21.4) </w:t>
            </w:r>
            <w:r w:rsidRPr="00C32FD4">
              <w:rPr>
                <w:sz w:val="19"/>
                <w:szCs w:val="19"/>
                <w:vertAlign w:val="superscript"/>
              </w:rPr>
              <w:t>c</w:t>
            </w:r>
          </w:p>
        </w:tc>
        <w:tc>
          <w:tcPr>
            <w:tcW w:w="1148" w:type="dxa"/>
            <w:tcMar>
              <w:left w:w="0" w:type="dxa"/>
              <w:right w:w="0" w:type="dxa"/>
            </w:tcMar>
          </w:tcPr>
          <w:p w14:paraId="1B1F1E3A" w14:textId="2F8AA7DD" w:rsidR="00305084" w:rsidRPr="00C32FD4" w:rsidRDefault="00305084" w:rsidP="00305084">
            <w:pPr>
              <w:pStyle w:val="Table-text"/>
              <w:jc w:val="center"/>
              <w:rPr>
                <w:sz w:val="19"/>
                <w:szCs w:val="19"/>
              </w:rPr>
            </w:pPr>
            <w:r w:rsidRPr="00C32FD4">
              <w:rPr>
                <w:sz w:val="19"/>
                <w:szCs w:val="19"/>
              </w:rPr>
              <w:t xml:space="preserve">161 (55.5) </w:t>
            </w:r>
            <w:r w:rsidRPr="00C32FD4">
              <w:rPr>
                <w:sz w:val="19"/>
                <w:szCs w:val="19"/>
                <w:vertAlign w:val="superscript"/>
              </w:rPr>
              <w:t>‡d</w:t>
            </w:r>
          </w:p>
        </w:tc>
        <w:tc>
          <w:tcPr>
            <w:tcW w:w="1149" w:type="dxa"/>
            <w:tcMar>
              <w:left w:w="0" w:type="dxa"/>
              <w:right w:w="0" w:type="dxa"/>
            </w:tcMar>
          </w:tcPr>
          <w:p w14:paraId="13D74F6B" w14:textId="7B68606C" w:rsidR="00305084" w:rsidRPr="00C32FD4" w:rsidRDefault="00305084" w:rsidP="00305084">
            <w:pPr>
              <w:pStyle w:val="Table-text"/>
              <w:jc w:val="center"/>
              <w:rPr>
                <w:sz w:val="19"/>
                <w:szCs w:val="19"/>
              </w:rPr>
            </w:pPr>
            <w:r w:rsidRPr="00C32FD4">
              <w:rPr>
                <w:sz w:val="19"/>
                <w:szCs w:val="19"/>
              </w:rPr>
              <w:t xml:space="preserve">169 (57.7) </w:t>
            </w:r>
            <w:r w:rsidRPr="00C32FD4">
              <w:rPr>
                <w:sz w:val="19"/>
                <w:szCs w:val="19"/>
                <w:vertAlign w:val="superscript"/>
              </w:rPr>
              <w:t>‡d</w:t>
            </w:r>
          </w:p>
        </w:tc>
        <w:tc>
          <w:tcPr>
            <w:tcW w:w="992" w:type="dxa"/>
            <w:tcMar>
              <w:left w:w="0" w:type="dxa"/>
              <w:right w:w="0" w:type="dxa"/>
            </w:tcMar>
          </w:tcPr>
          <w:p w14:paraId="460E8620" w14:textId="77777777" w:rsidR="00305084" w:rsidRPr="00C32FD4" w:rsidRDefault="00305084" w:rsidP="00305084">
            <w:pPr>
              <w:pStyle w:val="Table-text"/>
              <w:jc w:val="center"/>
              <w:rPr>
                <w:sz w:val="19"/>
                <w:szCs w:val="19"/>
              </w:rPr>
            </w:pPr>
            <w:r w:rsidRPr="00C32FD4">
              <w:rPr>
                <w:sz w:val="19"/>
                <w:szCs w:val="19"/>
              </w:rPr>
              <w:t xml:space="preserve">85 (29.4) </w:t>
            </w:r>
            <w:r w:rsidRPr="00C32FD4">
              <w:rPr>
                <w:sz w:val="19"/>
                <w:szCs w:val="19"/>
                <w:vertAlign w:val="superscript"/>
              </w:rPr>
              <w:t>d</w:t>
            </w:r>
          </w:p>
        </w:tc>
        <w:tc>
          <w:tcPr>
            <w:tcW w:w="995" w:type="dxa"/>
            <w:tcMar>
              <w:left w:w="0" w:type="dxa"/>
              <w:right w:w="0" w:type="dxa"/>
            </w:tcMar>
          </w:tcPr>
          <w:p w14:paraId="363C53B1" w14:textId="0FD21E02" w:rsidR="00305084" w:rsidRPr="00C32FD4" w:rsidRDefault="00305084" w:rsidP="00305084">
            <w:pPr>
              <w:pStyle w:val="Table-text"/>
              <w:jc w:val="center"/>
              <w:rPr>
                <w:sz w:val="19"/>
                <w:szCs w:val="19"/>
              </w:rPr>
            </w:pPr>
            <w:r w:rsidRPr="00C32FD4">
              <w:rPr>
                <w:sz w:val="19"/>
                <w:szCs w:val="19"/>
              </w:rPr>
              <w:t xml:space="preserve">160 (78.4) </w:t>
            </w:r>
            <w:r w:rsidRPr="00C32FD4">
              <w:rPr>
                <w:sz w:val="19"/>
                <w:szCs w:val="19"/>
                <w:vertAlign w:val="superscript"/>
              </w:rPr>
              <w:t>d</w:t>
            </w:r>
          </w:p>
        </w:tc>
        <w:tc>
          <w:tcPr>
            <w:tcW w:w="995" w:type="dxa"/>
            <w:tcMar>
              <w:left w:w="0" w:type="dxa"/>
              <w:right w:w="0" w:type="dxa"/>
            </w:tcMar>
          </w:tcPr>
          <w:p w14:paraId="43636D84" w14:textId="4BCBD3DC" w:rsidR="00305084" w:rsidRPr="00C32FD4" w:rsidRDefault="00305084" w:rsidP="00305084">
            <w:pPr>
              <w:pStyle w:val="Table-text"/>
              <w:jc w:val="center"/>
              <w:rPr>
                <w:sz w:val="19"/>
                <w:szCs w:val="19"/>
              </w:rPr>
            </w:pPr>
            <w:r w:rsidRPr="00C32FD4">
              <w:rPr>
                <w:sz w:val="19"/>
                <w:szCs w:val="19"/>
              </w:rPr>
              <w:t xml:space="preserve">86 (81.9) </w:t>
            </w:r>
            <w:r w:rsidRPr="00C32FD4">
              <w:rPr>
                <w:sz w:val="19"/>
                <w:szCs w:val="19"/>
                <w:vertAlign w:val="superscript"/>
              </w:rPr>
              <w:t>d</w:t>
            </w:r>
          </w:p>
        </w:tc>
      </w:tr>
      <w:tr w:rsidR="00305084" w:rsidRPr="00C32FD4" w14:paraId="7AD46E08" w14:textId="77777777" w:rsidTr="00F11A67">
        <w:trPr>
          <w:jc w:val="center"/>
        </w:trPr>
        <w:tc>
          <w:tcPr>
            <w:tcW w:w="1559" w:type="dxa"/>
            <w:tcMar>
              <w:left w:w="28" w:type="dxa"/>
              <w:right w:w="28" w:type="dxa"/>
            </w:tcMar>
          </w:tcPr>
          <w:p w14:paraId="6F89C588" w14:textId="77777777" w:rsidR="00305084" w:rsidRPr="00C32FD4" w:rsidRDefault="00305084" w:rsidP="00305084">
            <w:pPr>
              <w:pStyle w:val="Table-text"/>
              <w:rPr>
                <w:sz w:val="19"/>
                <w:szCs w:val="19"/>
              </w:rPr>
            </w:pPr>
            <w:r w:rsidRPr="00C32FD4">
              <w:rPr>
                <w:sz w:val="19"/>
                <w:szCs w:val="19"/>
              </w:rPr>
              <w:t>PASI 100, n (%)</w:t>
            </w:r>
          </w:p>
        </w:tc>
        <w:tc>
          <w:tcPr>
            <w:tcW w:w="1134" w:type="dxa"/>
            <w:tcMar>
              <w:left w:w="0" w:type="dxa"/>
              <w:right w:w="0" w:type="dxa"/>
            </w:tcMar>
          </w:tcPr>
          <w:p w14:paraId="136BD9F6" w14:textId="51454FAF" w:rsidR="00305084" w:rsidRPr="00C32FD4" w:rsidRDefault="00305084" w:rsidP="00305084">
            <w:pPr>
              <w:pStyle w:val="Table-text"/>
              <w:jc w:val="center"/>
              <w:rPr>
                <w:sz w:val="19"/>
                <w:szCs w:val="19"/>
              </w:rPr>
            </w:pPr>
            <w:r w:rsidRPr="00C32FD4">
              <w:rPr>
                <w:sz w:val="19"/>
                <w:szCs w:val="19"/>
              </w:rPr>
              <w:t xml:space="preserve">38 (12.4) </w:t>
            </w:r>
            <w:r w:rsidRPr="00C32FD4">
              <w:rPr>
                <w:sz w:val="19"/>
                <w:szCs w:val="19"/>
                <w:vertAlign w:val="superscript"/>
              </w:rPr>
              <w:t>†‡c</w:t>
            </w:r>
          </w:p>
        </w:tc>
        <w:tc>
          <w:tcPr>
            <w:tcW w:w="1134" w:type="dxa"/>
            <w:tcMar>
              <w:left w:w="0" w:type="dxa"/>
              <w:right w:w="0" w:type="dxa"/>
            </w:tcMar>
          </w:tcPr>
          <w:p w14:paraId="2B95670B" w14:textId="61F4DF33" w:rsidR="00305084" w:rsidRPr="00C32FD4" w:rsidRDefault="00305084" w:rsidP="00305084">
            <w:pPr>
              <w:pStyle w:val="Table-text"/>
              <w:jc w:val="center"/>
              <w:rPr>
                <w:sz w:val="19"/>
                <w:szCs w:val="19"/>
              </w:rPr>
            </w:pPr>
            <w:r w:rsidRPr="00C32FD4">
              <w:rPr>
                <w:sz w:val="19"/>
                <w:szCs w:val="19"/>
              </w:rPr>
              <w:t xml:space="preserve">37 (11.8) </w:t>
            </w:r>
            <w:r w:rsidRPr="00C32FD4">
              <w:rPr>
                <w:sz w:val="19"/>
                <w:szCs w:val="19"/>
                <w:vertAlign w:val="superscript"/>
              </w:rPr>
              <w:t>†‡c</w:t>
            </w:r>
          </w:p>
        </w:tc>
        <w:tc>
          <w:tcPr>
            <w:tcW w:w="851" w:type="dxa"/>
            <w:tcMar>
              <w:left w:w="0" w:type="dxa"/>
              <w:right w:w="0" w:type="dxa"/>
            </w:tcMar>
          </w:tcPr>
          <w:p w14:paraId="1D9EDF13" w14:textId="77777777" w:rsidR="00305084" w:rsidRPr="00C32FD4" w:rsidRDefault="00305084" w:rsidP="00305084">
            <w:pPr>
              <w:pStyle w:val="Table-text"/>
              <w:jc w:val="center"/>
              <w:rPr>
                <w:sz w:val="19"/>
                <w:szCs w:val="19"/>
              </w:rPr>
            </w:pPr>
            <w:r w:rsidRPr="00C32FD4">
              <w:rPr>
                <w:sz w:val="19"/>
                <w:szCs w:val="19"/>
              </w:rPr>
              <w:t>0</w:t>
            </w:r>
          </w:p>
        </w:tc>
        <w:tc>
          <w:tcPr>
            <w:tcW w:w="963" w:type="dxa"/>
            <w:tcMar>
              <w:left w:w="0" w:type="dxa"/>
              <w:right w:w="0" w:type="dxa"/>
            </w:tcMar>
          </w:tcPr>
          <w:p w14:paraId="72E099B7" w14:textId="77777777" w:rsidR="00305084" w:rsidRPr="00C32FD4" w:rsidRDefault="00305084" w:rsidP="00305084">
            <w:pPr>
              <w:pStyle w:val="Table-text"/>
              <w:jc w:val="center"/>
              <w:rPr>
                <w:sz w:val="19"/>
                <w:szCs w:val="19"/>
              </w:rPr>
            </w:pPr>
            <w:r w:rsidRPr="00C32FD4">
              <w:rPr>
                <w:sz w:val="19"/>
                <w:szCs w:val="19"/>
              </w:rPr>
              <w:t xml:space="preserve">15 (4.8) </w:t>
            </w:r>
            <w:r w:rsidRPr="00C32FD4">
              <w:rPr>
                <w:sz w:val="19"/>
                <w:szCs w:val="19"/>
                <w:vertAlign w:val="superscript"/>
              </w:rPr>
              <w:t>c</w:t>
            </w:r>
          </w:p>
        </w:tc>
        <w:tc>
          <w:tcPr>
            <w:tcW w:w="1148" w:type="dxa"/>
            <w:tcMar>
              <w:left w:w="0" w:type="dxa"/>
              <w:right w:w="0" w:type="dxa"/>
            </w:tcMar>
          </w:tcPr>
          <w:p w14:paraId="2D75FC11" w14:textId="181BB008" w:rsidR="00305084" w:rsidRPr="00C32FD4" w:rsidRDefault="00305084" w:rsidP="00305084">
            <w:pPr>
              <w:pStyle w:val="Table-text"/>
              <w:jc w:val="center"/>
              <w:rPr>
                <w:sz w:val="19"/>
                <w:szCs w:val="19"/>
              </w:rPr>
            </w:pPr>
            <w:r w:rsidRPr="00C32FD4">
              <w:rPr>
                <w:sz w:val="19"/>
                <w:szCs w:val="19"/>
              </w:rPr>
              <w:t xml:space="preserve">66 (22.8) </w:t>
            </w:r>
            <w:r w:rsidRPr="00C32FD4">
              <w:rPr>
                <w:sz w:val="19"/>
                <w:szCs w:val="19"/>
                <w:vertAlign w:val="superscript"/>
              </w:rPr>
              <w:t>‡d</w:t>
            </w:r>
          </w:p>
        </w:tc>
        <w:tc>
          <w:tcPr>
            <w:tcW w:w="1149" w:type="dxa"/>
            <w:tcMar>
              <w:left w:w="0" w:type="dxa"/>
              <w:right w:w="0" w:type="dxa"/>
            </w:tcMar>
          </w:tcPr>
          <w:p w14:paraId="2253D1F3" w14:textId="6E47F848" w:rsidR="00305084" w:rsidRPr="00C32FD4" w:rsidRDefault="00305084" w:rsidP="00305084">
            <w:pPr>
              <w:pStyle w:val="Table-text"/>
              <w:jc w:val="center"/>
              <w:rPr>
                <w:sz w:val="19"/>
                <w:szCs w:val="19"/>
              </w:rPr>
            </w:pPr>
            <w:r w:rsidRPr="00C32FD4">
              <w:rPr>
                <w:sz w:val="19"/>
                <w:szCs w:val="19"/>
              </w:rPr>
              <w:t xml:space="preserve">79 (27.0) </w:t>
            </w:r>
            <w:r w:rsidRPr="00C32FD4">
              <w:rPr>
                <w:sz w:val="19"/>
                <w:szCs w:val="19"/>
                <w:vertAlign w:val="superscript"/>
              </w:rPr>
              <w:t>‡d</w:t>
            </w:r>
          </w:p>
        </w:tc>
        <w:tc>
          <w:tcPr>
            <w:tcW w:w="992" w:type="dxa"/>
            <w:tcMar>
              <w:left w:w="0" w:type="dxa"/>
              <w:right w:w="0" w:type="dxa"/>
            </w:tcMar>
          </w:tcPr>
          <w:p w14:paraId="04AA0C7B" w14:textId="77777777" w:rsidR="00305084" w:rsidRPr="00C32FD4" w:rsidRDefault="00305084" w:rsidP="00305084">
            <w:pPr>
              <w:pStyle w:val="Table-text"/>
              <w:jc w:val="center"/>
              <w:rPr>
                <w:sz w:val="19"/>
                <w:szCs w:val="19"/>
              </w:rPr>
            </w:pPr>
            <w:r w:rsidRPr="00C32FD4">
              <w:rPr>
                <w:sz w:val="19"/>
                <w:szCs w:val="19"/>
              </w:rPr>
              <w:t xml:space="preserve">31 (10.7) </w:t>
            </w:r>
            <w:r w:rsidRPr="00C32FD4">
              <w:rPr>
                <w:sz w:val="19"/>
                <w:szCs w:val="19"/>
                <w:vertAlign w:val="superscript"/>
              </w:rPr>
              <w:t>d</w:t>
            </w:r>
          </w:p>
        </w:tc>
        <w:tc>
          <w:tcPr>
            <w:tcW w:w="995" w:type="dxa"/>
            <w:tcMar>
              <w:left w:w="0" w:type="dxa"/>
              <w:right w:w="0" w:type="dxa"/>
            </w:tcMar>
          </w:tcPr>
          <w:p w14:paraId="0AAD7CD0" w14:textId="4DE9C829" w:rsidR="00305084" w:rsidRPr="00C32FD4" w:rsidRDefault="00305084" w:rsidP="00305084">
            <w:pPr>
              <w:pStyle w:val="Table-text"/>
              <w:jc w:val="center"/>
              <w:rPr>
                <w:sz w:val="19"/>
                <w:szCs w:val="19"/>
              </w:rPr>
            </w:pPr>
            <w:r w:rsidRPr="00C32FD4">
              <w:rPr>
                <w:sz w:val="19"/>
                <w:szCs w:val="19"/>
              </w:rPr>
              <w:t xml:space="preserve">72 (35.3) </w:t>
            </w:r>
            <w:r w:rsidRPr="00C32FD4">
              <w:rPr>
                <w:sz w:val="19"/>
                <w:szCs w:val="19"/>
                <w:vertAlign w:val="superscript"/>
              </w:rPr>
              <w:t>d</w:t>
            </w:r>
          </w:p>
        </w:tc>
        <w:tc>
          <w:tcPr>
            <w:tcW w:w="995" w:type="dxa"/>
            <w:tcMar>
              <w:left w:w="0" w:type="dxa"/>
              <w:right w:w="0" w:type="dxa"/>
            </w:tcMar>
          </w:tcPr>
          <w:p w14:paraId="3C99FEE5" w14:textId="658B734A" w:rsidR="00305084" w:rsidRPr="00C32FD4" w:rsidRDefault="00305084" w:rsidP="00305084">
            <w:pPr>
              <w:pStyle w:val="Table-text"/>
              <w:jc w:val="center"/>
              <w:rPr>
                <w:sz w:val="19"/>
                <w:szCs w:val="19"/>
              </w:rPr>
            </w:pPr>
            <w:r w:rsidRPr="00C32FD4">
              <w:rPr>
                <w:sz w:val="19"/>
                <w:szCs w:val="19"/>
              </w:rPr>
              <w:t xml:space="preserve">49 (46.7) </w:t>
            </w:r>
            <w:r w:rsidRPr="00C32FD4">
              <w:rPr>
                <w:sz w:val="19"/>
                <w:szCs w:val="19"/>
                <w:vertAlign w:val="superscript"/>
              </w:rPr>
              <w:t>d</w:t>
            </w:r>
          </w:p>
        </w:tc>
      </w:tr>
      <w:tr w:rsidR="00305084" w:rsidRPr="00C32FD4" w14:paraId="4A2B25C4" w14:textId="77777777" w:rsidTr="00F11A67">
        <w:trPr>
          <w:jc w:val="center"/>
        </w:trPr>
        <w:tc>
          <w:tcPr>
            <w:tcW w:w="1559" w:type="dxa"/>
            <w:tcMar>
              <w:left w:w="28" w:type="dxa"/>
              <w:right w:w="28" w:type="dxa"/>
            </w:tcMar>
          </w:tcPr>
          <w:p w14:paraId="428E16C0" w14:textId="77777777" w:rsidR="00305084" w:rsidRPr="00C32FD4" w:rsidRDefault="00305084" w:rsidP="00305084">
            <w:pPr>
              <w:pStyle w:val="Table-text"/>
              <w:rPr>
                <w:sz w:val="19"/>
                <w:szCs w:val="19"/>
              </w:rPr>
            </w:pPr>
            <w:r w:rsidRPr="00C32FD4">
              <w:rPr>
                <w:sz w:val="19"/>
                <w:szCs w:val="19"/>
              </w:rPr>
              <w:t>DLQI Score 0 or 1, n (%)</w:t>
            </w:r>
          </w:p>
        </w:tc>
        <w:tc>
          <w:tcPr>
            <w:tcW w:w="1134" w:type="dxa"/>
            <w:tcMar>
              <w:left w:w="0" w:type="dxa"/>
              <w:right w:w="0" w:type="dxa"/>
            </w:tcMar>
          </w:tcPr>
          <w:p w14:paraId="600BA8AD" w14:textId="307FC673" w:rsidR="00305084" w:rsidRPr="00C32FD4" w:rsidRDefault="00305084" w:rsidP="00305084">
            <w:pPr>
              <w:pStyle w:val="Table-text"/>
              <w:jc w:val="center"/>
              <w:rPr>
                <w:sz w:val="19"/>
                <w:szCs w:val="19"/>
              </w:rPr>
            </w:pPr>
            <w:r w:rsidRPr="00C32FD4">
              <w:rPr>
                <w:sz w:val="19"/>
                <w:szCs w:val="19"/>
              </w:rPr>
              <w:t xml:space="preserve">119 (40.2) </w:t>
            </w:r>
            <w:r w:rsidRPr="00C32FD4">
              <w:rPr>
                <w:sz w:val="19"/>
                <w:szCs w:val="19"/>
                <w:vertAlign w:val="superscript"/>
              </w:rPr>
              <w:t>†</w:t>
            </w:r>
          </w:p>
        </w:tc>
        <w:tc>
          <w:tcPr>
            <w:tcW w:w="1134" w:type="dxa"/>
            <w:tcMar>
              <w:left w:w="0" w:type="dxa"/>
              <w:right w:w="0" w:type="dxa"/>
            </w:tcMar>
          </w:tcPr>
          <w:p w14:paraId="3A52E863" w14:textId="0A2386D7" w:rsidR="00305084" w:rsidRPr="00C32FD4" w:rsidRDefault="00305084" w:rsidP="00305084">
            <w:pPr>
              <w:pStyle w:val="Table-text"/>
              <w:jc w:val="center"/>
              <w:rPr>
                <w:sz w:val="19"/>
                <w:szCs w:val="19"/>
              </w:rPr>
            </w:pPr>
            <w:r w:rsidRPr="00C32FD4">
              <w:rPr>
                <w:sz w:val="19"/>
                <w:szCs w:val="19"/>
              </w:rPr>
              <w:t xml:space="preserve">145 (47.4) </w:t>
            </w:r>
            <w:r w:rsidRPr="00C32FD4">
              <w:rPr>
                <w:sz w:val="19"/>
                <w:szCs w:val="19"/>
                <w:vertAlign w:val="superscript"/>
              </w:rPr>
              <w:t>†¥</w:t>
            </w:r>
          </w:p>
        </w:tc>
        <w:tc>
          <w:tcPr>
            <w:tcW w:w="851" w:type="dxa"/>
            <w:tcMar>
              <w:left w:w="0" w:type="dxa"/>
              <w:right w:w="0" w:type="dxa"/>
            </w:tcMar>
          </w:tcPr>
          <w:p w14:paraId="19A9FB41" w14:textId="77777777" w:rsidR="00305084" w:rsidRPr="00C32FD4" w:rsidRDefault="00305084" w:rsidP="00305084">
            <w:pPr>
              <w:pStyle w:val="Table-text"/>
              <w:jc w:val="center"/>
              <w:rPr>
                <w:sz w:val="19"/>
                <w:szCs w:val="19"/>
              </w:rPr>
            </w:pPr>
            <w:r w:rsidRPr="00C32FD4">
              <w:rPr>
                <w:sz w:val="19"/>
                <w:szCs w:val="19"/>
              </w:rPr>
              <w:t>12 (8.0)</w:t>
            </w:r>
          </w:p>
        </w:tc>
        <w:tc>
          <w:tcPr>
            <w:tcW w:w="963" w:type="dxa"/>
            <w:tcMar>
              <w:left w:w="0" w:type="dxa"/>
              <w:right w:w="0" w:type="dxa"/>
            </w:tcMar>
          </w:tcPr>
          <w:p w14:paraId="2918A58F" w14:textId="77777777" w:rsidR="00305084" w:rsidRPr="00C32FD4" w:rsidRDefault="00305084" w:rsidP="00305084">
            <w:pPr>
              <w:pStyle w:val="Table-text"/>
              <w:jc w:val="center"/>
              <w:rPr>
                <w:sz w:val="19"/>
                <w:szCs w:val="19"/>
              </w:rPr>
            </w:pPr>
            <w:r w:rsidRPr="00C32FD4">
              <w:rPr>
                <w:sz w:val="19"/>
                <w:szCs w:val="19"/>
              </w:rPr>
              <w:t>108 (35.5)</w:t>
            </w:r>
          </w:p>
        </w:tc>
        <w:tc>
          <w:tcPr>
            <w:tcW w:w="1148" w:type="dxa"/>
            <w:tcMar>
              <w:left w:w="0" w:type="dxa"/>
              <w:right w:w="0" w:type="dxa"/>
            </w:tcMar>
          </w:tcPr>
          <w:p w14:paraId="31943A96" w14:textId="3088A1CA" w:rsidR="00305084" w:rsidRPr="00C32FD4" w:rsidRDefault="00305084" w:rsidP="00305084">
            <w:pPr>
              <w:pStyle w:val="Table-text"/>
              <w:jc w:val="center"/>
              <w:rPr>
                <w:sz w:val="19"/>
                <w:szCs w:val="19"/>
              </w:rPr>
            </w:pPr>
            <w:r w:rsidRPr="00C32FD4">
              <w:rPr>
                <w:sz w:val="19"/>
                <w:szCs w:val="19"/>
              </w:rPr>
              <w:t xml:space="preserve">157 (54.1) </w:t>
            </w:r>
            <w:r w:rsidRPr="00C32FD4">
              <w:rPr>
                <w:sz w:val="19"/>
                <w:szCs w:val="19"/>
                <w:vertAlign w:val="superscript"/>
              </w:rPr>
              <w:t>‡d</w:t>
            </w:r>
          </w:p>
        </w:tc>
        <w:tc>
          <w:tcPr>
            <w:tcW w:w="1149" w:type="dxa"/>
            <w:tcMar>
              <w:left w:w="0" w:type="dxa"/>
              <w:right w:w="0" w:type="dxa"/>
            </w:tcMar>
          </w:tcPr>
          <w:p w14:paraId="1E986BF4" w14:textId="5A0CD578" w:rsidR="00305084" w:rsidRPr="00C32FD4" w:rsidRDefault="00305084" w:rsidP="00305084">
            <w:pPr>
              <w:pStyle w:val="Table-text"/>
              <w:jc w:val="center"/>
              <w:rPr>
                <w:sz w:val="19"/>
                <w:szCs w:val="19"/>
              </w:rPr>
            </w:pPr>
            <w:r w:rsidRPr="00C32FD4">
              <w:rPr>
                <w:sz w:val="19"/>
                <w:szCs w:val="19"/>
              </w:rPr>
              <w:t xml:space="preserve">193 (65.0) </w:t>
            </w:r>
            <w:r w:rsidRPr="00C32FD4">
              <w:rPr>
                <w:sz w:val="19"/>
                <w:szCs w:val="19"/>
                <w:vertAlign w:val="superscript"/>
              </w:rPr>
              <w:t>‡d</w:t>
            </w:r>
          </w:p>
        </w:tc>
        <w:tc>
          <w:tcPr>
            <w:tcW w:w="992" w:type="dxa"/>
            <w:tcMar>
              <w:left w:w="0" w:type="dxa"/>
              <w:right w:w="0" w:type="dxa"/>
            </w:tcMar>
          </w:tcPr>
          <w:p w14:paraId="587232DA" w14:textId="77777777" w:rsidR="00305084" w:rsidRPr="00C32FD4" w:rsidRDefault="00305084" w:rsidP="00305084">
            <w:pPr>
              <w:pStyle w:val="Table-text"/>
              <w:jc w:val="center"/>
              <w:rPr>
                <w:sz w:val="19"/>
                <w:szCs w:val="19"/>
              </w:rPr>
            </w:pPr>
            <w:r w:rsidRPr="00C32FD4">
              <w:rPr>
                <w:sz w:val="19"/>
                <w:szCs w:val="19"/>
              </w:rPr>
              <w:t xml:space="preserve">111 (39.4) </w:t>
            </w:r>
            <w:r w:rsidRPr="00C32FD4">
              <w:rPr>
                <w:sz w:val="19"/>
                <w:szCs w:val="19"/>
                <w:vertAlign w:val="superscript"/>
              </w:rPr>
              <w:t>d</w:t>
            </w:r>
          </w:p>
        </w:tc>
        <w:tc>
          <w:tcPr>
            <w:tcW w:w="995" w:type="dxa"/>
            <w:tcMar>
              <w:left w:w="0" w:type="dxa"/>
              <w:right w:w="0" w:type="dxa"/>
            </w:tcMar>
          </w:tcPr>
          <w:p w14:paraId="3015AC6A" w14:textId="425AB08D" w:rsidR="00305084" w:rsidRPr="00C32FD4" w:rsidRDefault="00305084" w:rsidP="00305084">
            <w:pPr>
              <w:pStyle w:val="Table-text"/>
              <w:jc w:val="center"/>
              <w:rPr>
                <w:sz w:val="19"/>
                <w:szCs w:val="19"/>
              </w:rPr>
            </w:pPr>
            <w:r w:rsidRPr="00C32FD4">
              <w:rPr>
                <w:sz w:val="19"/>
                <w:szCs w:val="19"/>
              </w:rPr>
              <w:t xml:space="preserve">141 (68.8) </w:t>
            </w:r>
            <w:r w:rsidRPr="00C32FD4">
              <w:rPr>
                <w:sz w:val="19"/>
                <w:szCs w:val="19"/>
                <w:vertAlign w:val="superscript"/>
              </w:rPr>
              <w:t>d</w:t>
            </w:r>
          </w:p>
        </w:tc>
        <w:tc>
          <w:tcPr>
            <w:tcW w:w="995" w:type="dxa"/>
            <w:tcMar>
              <w:left w:w="0" w:type="dxa"/>
              <w:right w:w="0" w:type="dxa"/>
            </w:tcMar>
          </w:tcPr>
          <w:p w14:paraId="4A842278" w14:textId="31D2CBF4" w:rsidR="00305084" w:rsidRPr="00C32FD4" w:rsidRDefault="00305084" w:rsidP="00305084">
            <w:pPr>
              <w:pStyle w:val="Table-text"/>
              <w:jc w:val="center"/>
              <w:rPr>
                <w:sz w:val="19"/>
                <w:szCs w:val="19"/>
              </w:rPr>
            </w:pPr>
            <w:r w:rsidRPr="00C32FD4">
              <w:rPr>
                <w:sz w:val="19"/>
                <w:szCs w:val="19"/>
              </w:rPr>
              <w:t xml:space="preserve">76 (72.4) </w:t>
            </w:r>
            <w:r w:rsidRPr="00C32FD4">
              <w:rPr>
                <w:sz w:val="19"/>
                <w:szCs w:val="19"/>
                <w:vertAlign w:val="superscript"/>
              </w:rPr>
              <w:t>d</w:t>
            </w:r>
          </w:p>
        </w:tc>
      </w:tr>
      <w:tr w:rsidR="00305084" w:rsidRPr="00C32FD4" w14:paraId="31A14CAF" w14:textId="77777777" w:rsidTr="00F11A67">
        <w:trPr>
          <w:jc w:val="center"/>
        </w:trPr>
        <w:tc>
          <w:tcPr>
            <w:tcW w:w="10920" w:type="dxa"/>
            <w:gridSpan w:val="10"/>
            <w:tcMar>
              <w:left w:w="57" w:type="dxa"/>
              <w:right w:w="57" w:type="dxa"/>
            </w:tcMar>
          </w:tcPr>
          <w:p w14:paraId="7454B7AD" w14:textId="0B64D33A" w:rsidR="00305084" w:rsidRPr="00C32FD4" w:rsidRDefault="00305084" w:rsidP="00305084">
            <w:pPr>
              <w:pStyle w:val="Table-Footertext"/>
              <w:ind w:left="0"/>
              <w:rPr>
                <w:sz w:val="17"/>
                <w:szCs w:val="17"/>
              </w:rPr>
            </w:pPr>
            <w:r w:rsidRPr="00C32FD4">
              <w:rPr>
                <w:sz w:val="17"/>
                <w:szCs w:val="17"/>
                <w:vertAlign w:val="superscript"/>
              </w:rPr>
              <w:t>a</w:t>
            </w:r>
            <w:r w:rsidRPr="00C32FD4">
              <w:rPr>
                <w:sz w:val="17"/>
                <w:szCs w:val="17"/>
              </w:rPr>
              <w:t xml:space="preserve"> Long-term response in patients who were responders (had achieved at least PASI 75) to ILUMYA at Week 28. (64 weeks in </w:t>
            </w:r>
            <w:proofErr w:type="spellStart"/>
            <w:r w:rsidRPr="00C32FD4">
              <w:rPr>
                <w:sz w:val="17"/>
                <w:szCs w:val="17"/>
              </w:rPr>
              <w:t>reSURFACE</w:t>
            </w:r>
            <w:proofErr w:type="spellEnd"/>
            <w:r w:rsidRPr="00C32FD4">
              <w:rPr>
                <w:sz w:val="17"/>
                <w:szCs w:val="17"/>
              </w:rPr>
              <w:t xml:space="preserve"> 1 and 52 weeks in </w:t>
            </w:r>
            <w:proofErr w:type="spellStart"/>
            <w:r w:rsidRPr="00C32FD4">
              <w:rPr>
                <w:sz w:val="17"/>
                <w:szCs w:val="17"/>
              </w:rPr>
              <w:t>reSURFACE</w:t>
            </w:r>
            <w:proofErr w:type="spellEnd"/>
            <w:r w:rsidRPr="00C32FD4">
              <w:rPr>
                <w:sz w:val="17"/>
                <w:szCs w:val="17"/>
              </w:rPr>
              <w:t xml:space="preserve"> 2)</w:t>
            </w:r>
          </w:p>
          <w:p w14:paraId="71176221" w14:textId="77777777" w:rsidR="00305084" w:rsidRPr="00C32FD4" w:rsidRDefault="00305084" w:rsidP="00305084">
            <w:pPr>
              <w:pStyle w:val="Table-Footertext"/>
              <w:ind w:left="0"/>
              <w:rPr>
                <w:sz w:val="17"/>
                <w:szCs w:val="17"/>
              </w:rPr>
            </w:pPr>
            <w:r w:rsidRPr="00C32FD4">
              <w:rPr>
                <w:sz w:val="17"/>
                <w:szCs w:val="17"/>
                <w:vertAlign w:val="superscript"/>
              </w:rPr>
              <w:t>b</w:t>
            </w:r>
            <w:r w:rsidRPr="00C32FD4">
              <w:rPr>
                <w:sz w:val="17"/>
                <w:szCs w:val="17"/>
              </w:rPr>
              <w:t xml:space="preserve"> Co-primary efficacy endpoint at week 12.</w:t>
            </w:r>
          </w:p>
          <w:p w14:paraId="291C769D" w14:textId="77777777" w:rsidR="00305084" w:rsidRPr="00C32FD4" w:rsidRDefault="00305084" w:rsidP="00305084">
            <w:pPr>
              <w:pStyle w:val="Table-Footertext"/>
              <w:ind w:left="0"/>
              <w:rPr>
                <w:sz w:val="17"/>
                <w:szCs w:val="17"/>
              </w:rPr>
            </w:pPr>
            <w:r w:rsidRPr="00C32FD4">
              <w:rPr>
                <w:sz w:val="17"/>
                <w:szCs w:val="17"/>
                <w:vertAlign w:val="superscript"/>
              </w:rPr>
              <w:t>c</w:t>
            </w:r>
            <w:r w:rsidRPr="00C32FD4">
              <w:rPr>
                <w:sz w:val="17"/>
                <w:szCs w:val="17"/>
              </w:rPr>
              <w:t xml:space="preserve"> Non-responder imputation for missing data</w:t>
            </w:r>
          </w:p>
          <w:p w14:paraId="43FF2ACB" w14:textId="77777777" w:rsidR="00305084" w:rsidRPr="00C32FD4" w:rsidRDefault="00305084" w:rsidP="00305084">
            <w:pPr>
              <w:pStyle w:val="Table-Footertext"/>
              <w:ind w:left="0"/>
              <w:rPr>
                <w:sz w:val="17"/>
                <w:szCs w:val="17"/>
              </w:rPr>
            </w:pPr>
            <w:r w:rsidRPr="00C32FD4">
              <w:rPr>
                <w:sz w:val="17"/>
                <w:szCs w:val="17"/>
                <w:vertAlign w:val="superscript"/>
              </w:rPr>
              <w:t>d</w:t>
            </w:r>
            <w:r w:rsidRPr="00C32FD4">
              <w:rPr>
                <w:sz w:val="17"/>
                <w:szCs w:val="17"/>
              </w:rPr>
              <w:t xml:space="preserve"> No imputation for missing data</w:t>
            </w:r>
          </w:p>
          <w:p w14:paraId="2F198BB5" w14:textId="77777777" w:rsidR="00305084" w:rsidRPr="00C32FD4" w:rsidRDefault="00305084" w:rsidP="00305084">
            <w:pPr>
              <w:pStyle w:val="Table-Footertext"/>
              <w:ind w:left="0"/>
              <w:rPr>
                <w:sz w:val="17"/>
                <w:szCs w:val="17"/>
              </w:rPr>
            </w:pPr>
            <w:r w:rsidRPr="00C32FD4">
              <w:rPr>
                <w:sz w:val="17"/>
                <w:szCs w:val="17"/>
              </w:rPr>
              <w:t>n = number of patients in the full analysis set for which data was available, after imputation when applicable.</w:t>
            </w:r>
          </w:p>
          <w:p w14:paraId="0211700E" w14:textId="77777777" w:rsidR="00305084" w:rsidRPr="00C32FD4" w:rsidRDefault="00305084" w:rsidP="00305084">
            <w:pPr>
              <w:pStyle w:val="Table-Footertext"/>
              <w:ind w:left="0"/>
              <w:rPr>
                <w:sz w:val="17"/>
                <w:szCs w:val="17"/>
              </w:rPr>
            </w:pPr>
            <w:r w:rsidRPr="00C32FD4">
              <w:rPr>
                <w:sz w:val="17"/>
                <w:szCs w:val="17"/>
              </w:rPr>
              <w:t>p-values calculated using the Cochran-Mantel-</w:t>
            </w:r>
            <w:proofErr w:type="spellStart"/>
            <w:r w:rsidRPr="00C32FD4">
              <w:rPr>
                <w:sz w:val="17"/>
                <w:szCs w:val="17"/>
              </w:rPr>
              <w:t>Haenszel</w:t>
            </w:r>
            <w:proofErr w:type="spellEnd"/>
            <w:r w:rsidRPr="00C32FD4">
              <w:rPr>
                <w:sz w:val="17"/>
                <w:szCs w:val="17"/>
              </w:rPr>
              <w:t xml:space="preserve"> (CMH) test stratified by body weight (≤90kg, &gt;90kg) and prior exposure to biologic therapy for psoriasis (yes/no).</w:t>
            </w:r>
          </w:p>
          <w:p w14:paraId="72047FA2" w14:textId="77777777" w:rsidR="00305084" w:rsidRPr="00C32FD4" w:rsidRDefault="00305084" w:rsidP="00305084">
            <w:pPr>
              <w:pStyle w:val="Table-Footertext"/>
              <w:ind w:left="0"/>
              <w:rPr>
                <w:sz w:val="17"/>
                <w:szCs w:val="17"/>
              </w:rPr>
            </w:pPr>
            <w:r w:rsidRPr="00C32FD4">
              <w:rPr>
                <w:sz w:val="17"/>
                <w:szCs w:val="17"/>
                <w:vertAlign w:val="superscript"/>
              </w:rPr>
              <w:t>†</w:t>
            </w:r>
            <w:r w:rsidRPr="00C32FD4">
              <w:rPr>
                <w:sz w:val="17"/>
                <w:szCs w:val="17"/>
              </w:rPr>
              <w:t xml:space="preserve"> p≤0.001 versus placebo; </w:t>
            </w:r>
            <w:r w:rsidRPr="00C32FD4">
              <w:rPr>
                <w:sz w:val="17"/>
                <w:szCs w:val="17"/>
                <w:vertAlign w:val="superscript"/>
              </w:rPr>
              <w:t>‡</w:t>
            </w:r>
            <w:r w:rsidRPr="00C32FD4">
              <w:rPr>
                <w:sz w:val="17"/>
                <w:szCs w:val="17"/>
              </w:rPr>
              <w:t xml:space="preserve"> p≤0.001 versus </w:t>
            </w:r>
            <w:proofErr w:type="spellStart"/>
            <w:r w:rsidRPr="00C32FD4">
              <w:rPr>
                <w:sz w:val="17"/>
                <w:szCs w:val="17"/>
              </w:rPr>
              <w:t>etanercept</w:t>
            </w:r>
            <w:proofErr w:type="spellEnd"/>
            <w:r w:rsidRPr="00C32FD4">
              <w:rPr>
                <w:sz w:val="17"/>
                <w:szCs w:val="17"/>
              </w:rPr>
              <w:t xml:space="preserve">; </w:t>
            </w:r>
            <w:r w:rsidRPr="00C32FD4">
              <w:rPr>
                <w:sz w:val="17"/>
                <w:szCs w:val="17"/>
                <w:vertAlign w:val="superscript"/>
              </w:rPr>
              <w:t>¥</w:t>
            </w:r>
            <w:r w:rsidRPr="00C32FD4">
              <w:rPr>
                <w:sz w:val="17"/>
                <w:szCs w:val="17"/>
              </w:rPr>
              <w:t xml:space="preserve"> p≤0.05 versus </w:t>
            </w:r>
            <w:proofErr w:type="spellStart"/>
            <w:r w:rsidRPr="00C32FD4">
              <w:rPr>
                <w:sz w:val="17"/>
                <w:szCs w:val="17"/>
              </w:rPr>
              <w:t>etanercept</w:t>
            </w:r>
            <w:proofErr w:type="spellEnd"/>
            <w:r w:rsidRPr="00C32FD4">
              <w:rPr>
                <w:sz w:val="17"/>
                <w:szCs w:val="17"/>
              </w:rPr>
              <w:t>.</w:t>
            </w:r>
          </w:p>
        </w:tc>
      </w:tr>
    </w:tbl>
    <w:p w14:paraId="1407B676" w14:textId="77777777" w:rsidR="003A1890" w:rsidRPr="00C32FD4" w:rsidRDefault="003A1890" w:rsidP="003A1890">
      <w:pPr>
        <w:pStyle w:val="BodyText"/>
      </w:pPr>
    </w:p>
    <w:p w14:paraId="06EF7B07" w14:textId="77777777" w:rsidR="003A1890" w:rsidRPr="00C32FD4" w:rsidRDefault="003A1890" w:rsidP="00F11A67">
      <w:pPr>
        <w:pStyle w:val="Heading4"/>
        <w:rPr>
          <w:rFonts w:eastAsia="TimesNewRoman"/>
        </w:rPr>
      </w:pPr>
      <w:r w:rsidRPr="00C32FD4">
        <w:rPr>
          <w:rFonts w:eastAsia="TimesNewRoman"/>
        </w:rPr>
        <w:t>Maintenance of Response</w:t>
      </w:r>
    </w:p>
    <w:p w14:paraId="2C4F6AD3" w14:textId="426F77F7" w:rsidR="003A1890" w:rsidRPr="00C32FD4" w:rsidRDefault="003A1890" w:rsidP="003A1890">
      <w:pPr>
        <w:pStyle w:val="BodyText"/>
      </w:pPr>
      <w:r w:rsidRPr="00C32FD4">
        <w:t xml:space="preserve">To evaluate the maintenance and durability of response, patients originally randomized to </w:t>
      </w:r>
      <w:r w:rsidR="002D1BE8" w:rsidRPr="00C32FD4">
        <w:t>ILUMYA</w:t>
      </w:r>
      <w:r w:rsidRPr="00C32FD4">
        <w:t xml:space="preserve"> who were responders at Week 28 (i.e. had achieved PASI 75 response) in </w:t>
      </w:r>
      <w:proofErr w:type="spellStart"/>
      <w:r w:rsidRPr="00C32FD4">
        <w:t>reSURFACE</w:t>
      </w:r>
      <w:proofErr w:type="spellEnd"/>
      <w:r w:rsidRPr="00C32FD4">
        <w:t xml:space="preserve"> 1 were re-randomized to an additional 36 weeks of either maintaining the same dose of </w:t>
      </w:r>
      <w:r w:rsidR="002D1BE8" w:rsidRPr="00C32FD4">
        <w:t>ILUMYA</w:t>
      </w:r>
      <w:r w:rsidRPr="00C32FD4">
        <w:t xml:space="preserve"> Q12W (every twelve weeks) or placebo.</w:t>
      </w:r>
    </w:p>
    <w:p w14:paraId="25B95116" w14:textId="59E02EB5" w:rsidR="00054ECC" w:rsidRPr="00C32FD4" w:rsidRDefault="003A1890" w:rsidP="00054ECC">
      <w:pPr>
        <w:pStyle w:val="BodyText"/>
      </w:pPr>
      <w:r w:rsidRPr="00C32FD4">
        <w:t xml:space="preserve">Of the patients continuing with the same dose of </w:t>
      </w:r>
      <w:r w:rsidR="002D1BE8" w:rsidRPr="00C32FD4">
        <w:t>ILUMYA</w:t>
      </w:r>
      <w:r w:rsidRPr="00C32FD4">
        <w:t xml:space="preserve">, </w:t>
      </w:r>
      <w:r w:rsidR="00305084">
        <w:t>87.5</w:t>
      </w:r>
      <w:r w:rsidRPr="00C32FD4">
        <w:t xml:space="preserve">% of patients treated with </w:t>
      </w:r>
      <w:r w:rsidR="002D1BE8" w:rsidRPr="00C32FD4">
        <w:t>ILUMYA</w:t>
      </w:r>
      <w:r w:rsidRPr="00C32FD4">
        <w:t xml:space="preserve"> </w:t>
      </w:r>
      <w:r w:rsidR="00305084">
        <w:t>100</w:t>
      </w:r>
      <w:r w:rsidR="00043B30">
        <w:t> </w:t>
      </w:r>
      <w:r w:rsidR="00305084">
        <w:t xml:space="preserve">mg </w:t>
      </w:r>
      <w:r w:rsidRPr="00C32FD4">
        <w:t xml:space="preserve">maintained PASI 75 response at week 64. Of the patients re-randomized to receive placebo, 49% of patients originally treated with 100 mg </w:t>
      </w:r>
      <w:proofErr w:type="spellStart"/>
      <w:r w:rsidRPr="00C32FD4">
        <w:t>tildrakizumab</w:t>
      </w:r>
      <w:proofErr w:type="spellEnd"/>
      <w:r w:rsidRPr="00C32FD4">
        <w:t xml:space="preserve"> maintained PASI 75 </w:t>
      </w:r>
      <w:r w:rsidR="00305084">
        <w:t xml:space="preserve">response </w:t>
      </w:r>
      <w:r w:rsidRPr="00C32FD4">
        <w:t>at Week 64.</w:t>
      </w:r>
      <w:r w:rsidR="009A7E9E">
        <w:t xml:space="preserve"> </w:t>
      </w:r>
    </w:p>
    <w:p w14:paraId="2565C78B" w14:textId="77777777" w:rsidR="003A1890" w:rsidRPr="00C32FD4" w:rsidRDefault="003A1890" w:rsidP="00F11A67">
      <w:pPr>
        <w:pStyle w:val="Heading4"/>
        <w:rPr>
          <w:rFonts w:eastAsia="TimesNewRoman"/>
        </w:rPr>
      </w:pPr>
      <w:r w:rsidRPr="00C32FD4">
        <w:rPr>
          <w:rFonts w:eastAsia="TimesNewRoman"/>
        </w:rPr>
        <w:t>Retreatment after Relapse</w:t>
      </w:r>
    </w:p>
    <w:p w14:paraId="4CA4E9F9" w14:textId="0EE192D5" w:rsidR="003A1890" w:rsidRPr="00C32FD4" w:rsidRDefault="003A1890" w:rsidP="003A1890">
      <w:pPr>
        <w:pStyle w:val="BodyText"/>
      </w:pPr>
      <w:r w:rsidRPr="00C32FD4">
        <w:t>In patients re-randomized to placebo</w:t>
      </w:r>
      <w:r w:rsidR="00054ECC">
        <w:t xml:space="preserve"> in </w:t>
      </w:r>
      <w:proofErr w:type="spellStart"/>
      <w:r w:rsidR="00054ECC">
        <w:t>re</w:t>
      </w:r>
      <w:r w:rsidR="009C3F8B">
        <w:t>SURFACE</w:t>
      </w:r>
      <w:proofErr w:type="spellEnd"/>
      <w:r w:rsidR="00054ECC">
        <w:t xml:space="preserve"> 1</w:t>
      </w:r>
      <w:r w:rsidRPr="00C32FD4">
        <w:t xml:space="preserve">, </w:t>
      </w:r>
      <w:r w:rsidR="00054ECC">
        <w:t>54.4</w:t>
      </w:r>
      <w:r w:rsidRPr="00C32FD4">
        <w:t xml:space="preserve">% (who were originally treated with </w:t>
      </w:r>
      <w:r w:rsidR="00054ECC">
        <w:t>100</w:t>
      </w:r>
      <w:r w:rsidRPr="00C32FD4">
        <w:t xml:space="preserve"> mg) experienced relapse (defined as a reduction in maximum PASI response by 50%). These patients were restarted on their original dose of </w:t>
      </w:r>
      <w:r w:rsidR="002D1BE8" w:rsidRPr="00C32FD4">
        <w:t>ILUMYA</w:t>
      </w:r>
      <w:r w:rsidRPr="00C32FD4">
        <w:t xml:space="preserve"> upon relapse.  After a minimum of 12 weeks from re-initiation of therapy, over </w:t>
      </w:r>
      <w:r w:rsidR="00054ECC">
        <w:t>85</w:t>
      </w:r>
      <w:r w:rsidRPr="00C32FD4">
        <w:t>% had regained a PASI 75 response by Week 64.</w:t>
      </w:r>
    </w:p>
    <w:p w14:paraId="363803D0" w14:textId="77777777" w:rsidR="003A1890" w:rsidRPr="00C32FD4" w:rsidRDefault="003A1890" w:rsidP="00F11A67">
      <w:pPr>
        <w:pStyle w:val="Heading4"/>
        <w:rPr>
          <w:rFonts w:eastAsia="TimesNewRoman"/>
        </w:rPr>
      </w:pPr>
      <w:r w:rsidRPr="00C32FD4">
        <w:rPr>
          <w:rFonts w:eastAsia="TimesNewRoman"/>
        </w:rPr>
        <w:t>Quality of Life/Patient-reported Outcomes</w:t>
      </w:r>
    </w:p>
    <w:p w14:paraId="1DF710B7" w14:textId="59FA0394" w:rsidR="003A1890" w:rsidRPr="00C32FD4" w:rsidRDefault="003A1890" w:rsidP="003A1890">
      <w:pPr>
        <w:pStyle w:val="BodyText"/>
      </w:pPr>
      <w:r w:rsidRPr="00C32FD4">
        <w:t xml:space="preserve">At Week 12 and across studies, </w:t>
      </w:r>
      <w:r w:rsidR="002D1BE8" w:rsidRPr="00C32FD4">
        <w:t>ILUMYA</w:t>
      </w:r>
      <w:r w:rsidRPr="00C32FD4">
        <w:t xml:space="preserve"> was associated with statistically significant improvement in Health-related Quality of Life as assessed by the Dermatology Life Quality Index (DLQI). The proportion of patients treated with </w:t>
      </w:r>
      <w:r w:rsidR="002D1BE8" w:rsidRPr="00C32FD4">
        <w:t>ILUMYA</w:t>
      </w:r>
      <w:r w:rsidRPr="00C32FD4">
        <w:t xml:space="preserve"> who achieved DLQI 0 or 1 at W12 was </w:t>
      </w:r>
      <w:r w:rsidR="00891E0A">
        <w:t>41</w:t>
      </w:r>
      <w:r w:rsidRPr="00C32FD4">
        <w:t xml:space="preserve">% and </w:t>
      </w:r>
      <w:r w:rsidR="00891E0A">
        <w:t>40</w:t>
      </w:r>
      <w:r w:rsidRPr="00C32FD4">
        <w:t xml:space="preserve">%, in </w:t>
      </w:r>
      <w:proofErr w:type="spellStart"/>
      <w:r w:rsidRPr="00C32FD4">
        <w:t>reSURFACE</w:t>
      </w:r>
      <w:proofErr w:type="spellEnd"/>
      <w:r w:rsidRPr="00C32FD4">
        <w:t xml:space="preserve"> 1 and 2 respectively. Improvements were maintained over a year with DLQI 0/1 achieved by </w:t>
      </w:r>
      <w:r w:rsidR="00891E0A">
        <w:t>64</w:t>
      </w:r>
      <w:r w:rsidRPr="00C32FD4">
        <w:t xml:space="preserve"> % and </w:t>
      </w:r>
      <w:r w:rsidR="00891E0A">
        <w:t>69</w:t>
      </w:r>
      <w:r w:rsidRPr="00C32FD4">
        <w:t xml:space="preserve">% of patients treated with </w:t>
      </w:r>
      <w:r w:rsidR="00891E0A">
        <w:t>100</w:t>
      </w:r>
      <w:r w:rsidRPr="00C32FD4">
        <w:t xml:space="preserve"> mg in </w:t>
      </w:r>
      <w:proofErr w:type="spellStart"/>
      <w:r w:rsidRPr="00C32FD4">
        <w:t>reSURFACE</w:t>
      </w:r>
      <w:proofErr w:type="spellEnd"/>
      <w:r w:rsidRPr="00C32FD4">
        <w:t xml:space="preserve"> 1 and 2 respectively. At Week 52, </w:t>
      </w:r>
      <w:r w:rsidR="00891E0A">
        <w:t>82</w:t>
      </w:r>
      <w:r w:rsidRPr="00C32FD4">
        <w:t>% (</w:t>
      </w:r>
      <w:proofErr w:type="spellStart"/>
      <w:r w:rsidRPr="00C32FD4">
        <w:t>reSURFACE</w:t>
      </w:r>
      <w:proofErr w:type="spellEnd"/>
      <w:r w:rsidRPr="00C32FD4">
        <w:t xml:space="preserve"> 1) and </w:t>
      </w:r>
      <w:r w:rsidR="00891E0A">
        <w:t>87</w:t>
      </w:r>
      <w:r w:rsidRPr="00C32FD4">
        <w:t>% (</w:t>
      </w:r>
      <w:proofErr w:type="spellStart"/>
      <w:r w:rsidRPr="00C32FD4">
        <w:t>reSURFACE</w:t>
      </w:r>
      <w:proofErr w:type="spellEnd"/>
      <w:r w:rsidRPr="00C32FD4">
        <w:t xml:space="preserve"> 2) of the patients on </w:t>
      </w:r>
      <w:r w:rsidR="002D1BE8" w:rsidRPr="00C32FD4">
        <w:t>ILUMYA</w:t>
      </w:r>
      <w:r w:rsidRPr="00C32FD4">
        <w:t xml:space="preserve"> </w:t>
      </w:r>
      <w:r w:rsidR="00891E0A">
        <w:t>100</w:t>
      </w:r>
      <w:r w:rsidRPr="00C32FD4">
        <w:t xml:space="preserve">mg had a DLQI score &lt; 5 points. </w:t>
      </w:r>
    </w:p>
    <w:p w14:paraId="4DC25DCD" w14:textId="07514ADF" w:rsidR="003A1890" w:rsidRPr="00C32FD4" w:rsidRDefault="003A1890" w:rsidP="003A1890">
      <w:pPr>
        <w:pStyle w:val="BodyText"/>
      </w:pPr>
      <w:r w:rsidRPr="00C32FD4">
        <w:lastRenderedPageBreak/>
        <w:t xml:space="preserve">In </w:t>
      </w:r>
      <w:proofErr w:type="spellStart"/>
      <w:r w:rsidRPr="00C32FD4">
        <w:t>reSURFACE</w:t>
      </w:r>
      <w:proofErr w:type="spellEnd"/>
      <w:r w:rsidRPr="00C32FD4">
        <w:t xml:space="preserve"> 1, the physical and mental component summary scores of the Short Form Health Survey (SF</w:t>
      </w:r>
      <w:r w:rsidR="006F694C" w:rsidRPr="00C32FD4">
        <w:noBreakHyphen/>
      </w:r>
      <w:r w:rsidRPr="00C32FD4">
        <w:t xml:space="preserve">36) were significantly improved in patients treated with </w:t>
      </w:r>
      <w:r w:rsidR="002D1BE8" w:rsidRPr="00C32FD4">
        <w:t>ILUMYA</w:t>
      </w:r>
      <w:r w:rsidRPr="00C32FD4">
        <w:t xml:space="preserve"> compared with placebo.</w:t>
      </w:r>
    </w:p>
    <w:p w14:paraId="2360C0CF" w14:textId="361ADFB8" w:rsidR="003A1890" w:rsidRPr="00C32FD4" w:rsidRDefault="003A1890" w:rsidP="00F11A67">
      <w:pPr>
        <w:pStyle w:val="Heading4"/>
        <w:rPr>
          <w:rFonts w:eastAsia="TimesNewRoman"/>
        </w:rPr>
      </w:pPr>
      <w:r w:rsidRPr="00C32FD4">
        <w:rPr>
          <w:rFonts w:eastAsia="TimesNewRoman"/>
        </w:rPr>
        <w:t>Treatment maintenance in partial responders</w:t>
      </w:r>
    </w:p>
    <w:p w14:paraId="51D17920" w14:textId="62011EC6" w:rsidR="003A1890" w:rsidRPr="00C32FD4" w:rsidRDefault="00891196" w:rsidP="003A1890">
      <w:pPr>
        <w:widowControl/>
        <w:jc w:val="both"/>
        <w:rPr>
          <w:rFonts w:ascii="MS Shell Dlg 2" w:hAnsi="MS Shell Dlg 2" w:cs="MS Shell Dlg 2"/>
          <w:sz w:val="16"/>
          <w:szCs w:val="16"/>
        </w:rPr>
      </w:pPr>
      <w:r>
        <w:t>68.4</w:t>
      </w:r>
      <w:r w:rsidR="003A1890" w:rsidRPr="00C32FD4">
        <w:t>% patients (</w:t>
      </w:r>
      <w:proofErr w:type="spellStart"/>
      <w:r w:rsidR="003A1890" w:rsidRPr="00C32FD4">
        <w:t>reSURFACE</w:t>
      </w:r>
      <w:proofErr w:type="spellEnd"/>
      <w:r w:rsidR="003A1890" w:rsidRPr="00C32FD4">
        <w:t xml:space="preserve"> 2) originally randomized to </w:t>
      </w:r>
      <w:r w:rsidR="002D1BE8" w:rsidRPr="00C32FD4">
        <w:t>ILUMYA</w:t>
      </w:r>
      <w:r w:rsidR="003A1890" w:rsidRPr="00C32FD4">
        <w:t xml:space="preserve"> </w:t>
      </w:r>
      <w:r>
        <w:t>100</w:t>
      </w:r>
      <w:r w:rsidR="003A1890" w:rsidRPr="00C32FD4">
        <w:t xml:space="preserve"> mg who achieved a PASI response of ≥50% but &lt;75% improvement from Baseline at Week 28 (3 doses) and remained on </w:t>
      </w:r>
      <w:r w:rsidR="002D1BE8" w:rsidRPr="00C32FD4">
        <w:t>ILUMYA</w:t>
      </w:r>
      <w:r w:rsidR="003A1890" w:rsidRPr="00C32FD4">
        <w:t xml:space="preserve"> </w:t>
      </w:r>
      <w:r>
        <w:t>100</w:t>
      </w:r>
      <w:r w:rsidR="003A1890" w:rsidRPr="00C32FD4">
        <w:t xml:space="preserve"> mg (n ~ </w:t>
      </w:r>
      <w:r>
        <w:t>20</w:t>
      </w:r>
      <w:r w:rsidR="003A1890" w:rsidRPr="00C32FD4">
        <w:t>), achieved a PASI 75 response at Week 52 (i.e. 3 additional doses).</w:t>
      </w:r>
    </w:p>
    <w:p w14:paraId="6479560C" w14:textId="772F34BD" w:rsidR="003A1890" w:rsidRPr="00C32FD4" w:rsidRDefault="00F11A67" w:rsidP="00910E4A">
      <w:pPr>
        <w:pStyle w:val="Heading2"/>
      </w:pPr>
      <w:bookmarkStart w:id="15" w:name="_Ref519172650"/>
      <w:r w:rsidRPr="00C32FD4">
        <w:t xml:space="preserve">5.2 </w:t>
      </w:r>
      <w:r w:rsidR="00E2037A" w:rsidRPr="00C32FD4">
        <w:t>PHARMACOKINETIC</w:t>
      </w:r>
      <w:bookmarkEnd w:id="13"/>
      <w:r w:rsidR="00E2037A" w:rsidRPr="00C32FD4">
        <w:t xml:space="preserve"> PROPERTIES</w:t>
      </w:r>
      <w:bookmarkEnd w:id="15"/>
    </w:p>
    <w:p w14:paraId="1DE70339" w14:textId="77777777" w:rsidR="003A1890" w:rsidRPr="00C32FD4" w:rsidRDefault="003A1890" w:rsidP="00A27F83">
      <w:pPr>
        <w:pStyle w:val="Heading3"/>
      </w:pPr>
      <w:r w:rsidRPr="00C32FD4">
        <w:t>Absorption</w:t>
      </w:r>
    </w:p>
    <w:p w14:paraId="427354A9" w14:textId="77777777" w:rsidR="003A1890" w:rsidRPr="00C32FD4" w:rsidRDefault="003A1890" w:rsidP="003A1890">
      <w:pPr>
        <w:pStyle w:val="BodyText"/>
      </w:pPr>
      <w:r w:rsidRPr="00C32FD4">
        <w:t xml:space="preserve">The subcutaneous formulation of </w:t>
      </w:r>
      <w:proofErr w:type="spellStart"/>
      <w:r w:rsidRPr="00C32FD4">
        <w:t>tildrakizumab</w:t>
      </w:r>
      <w:proofErr w:type="spellEnd"/>
      <w:r w:rsidRPr="00C32FD4">
        <w:t xml:space="preserve"> was characterized with an absolute bioavailability of 73-90% and slow absorption with time to reach maximum concentration at 6.2 days after injection. Steady-state was achieved by 16 weeks with the clinical regimen of 0, 4, and every 12 weeks thereafter, with 1.1-fold accumulation in exposure between Week-1 and Week-12 independent of dose.</w:t>
      </w:r>
    </w:p>
    <w:p w14:paraId="1D6A3C8B" w14:textId="6A2372F5" w:rsidR="003A1890" w:rsidRPr="00C32FD4" w:rsidRDefault="003A1890" w:rsidP="003A1890">
      <w:pPr>
        <w:widowControl/>
        <w:jc w:val="both"/>
        <w:rPr>
          <w:rFonts w:ascii="MS Shell Dlg 2" w:hAnsi="MS Shell Dlg 2" w:cs="MS Shell Dlg 2"/>
          <w:sz w:val="16"/>
          <w:szCs w:val="16"/>
        </w:rPr>
      </w:pPr>
      <w:r w:rsidRPr="00C32FD4">
        <w:rPr>
          <w:rFonts w:eastAsia="TimesNewRoman"/>
        </w:rPr>
        <w:t xml:space="preserve">At steady state, following administration of </w:t>
      </w:r>
      <w:r w:rsidR="00CC60AA">
        <w:rPr>
          <w:rFonts w:eastAsia="TimesNewRoman"/>
        </w:rPr>
        <w:t>100</w:t>
      </w:r>
      <w:r w:rsidRPr="00C32FD4">
        <w:rPr>
          <w:rFonts w:eastAsia="TimesNewRoman"/>
        </w:rPr>
        <w:t xml:space="preserve"> mg of </w:t>
      </w:r>
      <w:proofErr w:type="spellStart"/>
      <w:r w:rsidRPr="00C32FD4">
        <w:rPr>
          <w:rFonts w:eastAsia="TimesNewRoman"/>
        </w:rPr>
        <w:t>tildrakizumab</w:t>
      </w:r>
      <w:proofErr w:type="spellEnd"/>
      <w:r w:rsidRPr="00C32FD4">
        <w:rPr>
          <w:rFonts w:eastAsia="TimesNewRoman"/>
        </w:rPr>
        <w:t xml:space="preserve"> in subjects with moderate</w:t>
      </w:r>
      <w:r w:rsidRPr="00C32FD4">
        <w:t xml:space="preserve"> </w:t>
      </w:r>
      <w:r w:rsidRPr="00C32FD4">
        <w:rPr>
          <w:rFonts w:eastAsia="TimesNewRoman"/>
        </w:rPr>
        <w:t>to severe psoriasis geometric means (% CV) of AUC</w:t>
      </w:r>
      <w:r w:rsidRPr="00C32FD4">
        <w:rPr>
          <w:rStyle w:val="BodyTextChar"/>
          <w:vertAlign w:val="subscript"/>
        </w:rPr>
        <w:t>0- τ</w:t>
      </w:r>
      <w:r w:rsidRPr="00C32FD4">
        <w:t xml:space="preserve"> </w:t>
      </w:r>
      <w:r w:rsidRPr="00C32FD4">
        <w:rPr>
          <w:rFonts w:eastAsia="TimesNewRoman"/>
        </w:rPr>
        <w:t xml:space="preserve">and </w:t>
      </w:r>
      <w:proofErr w:type="spellStart"/>
      <w:r w:rsidRPr="00C32FD4">
        <w:rPr>
          <w:rFonts w:eastAsia="TimesNewRoman"/>
        </w:rPr>
        <w:t>C</w:t>
      </w:r>
      <w:r w:rsidRPr="00C32FD4">
        <w:rPr>
          <w:rFonts w:eastAsia="TimesNewRoman"/>
          <w:vertAlign w:val="subscript"/>
        </w:rPr>
        <w:t>max</w:t>
      </w:r>
      <w:proofErr w:type="spellEnd"/>
      <w:r w:rsidRPr="00C32FD4">
        <w:rPr>
          <w:rFonts w:eastAsia="TimesNewRoman"/>
        </w:rPr>
        <w:t xml:space="preserve"> values were </w:t>
      </w:r>
      <w:r w:rsidR="00CC60AA">
        <w:rPr>
          <w:rFonts w:eastAsia="TimesNewRoman"/>
        </w:rPr>
        <w:t>305</w:t>
      </w:r>
      <w:r w:rsidRPr="00C32FD4">
        <w:rPr>
          <w:rFonts w:eastAsia="TimesNewRoman"/>
        </w:rPr>
        <w:t xml:space="preserve"> </w:t>
      </w:r>
      <w:proofErr w:type="spellStart"/>
      <w:r w:rsidRPr="00C32FD4">
        <w:rPr>
          <w:rStyle w:val="BodyTextChar"/>
        </w:rPr>
        <w:t>μ</w:t>
      </w:r>
      <w:r w:rsidRPr="00C32FD4">
        <w:rPr>
          <w:rFonts w:eastAsia="TimesNewRoman"/>
        </w:rPr>
        <w:t>g</w:t>
      </w:r>
      <w:proofErr w:type="spellEnd"/>
      <w:r w:rsidRPr="00C32FD4">
        <w:rPr>
          <w:rFonts w:eastAsia="TimesNewRoman"/>
        </w:rPr>
        <w:t>*day/ml</w:t>
      </w:r>
      <w:r w:rsidRPr="00C32FD4">
        <w:t xml:space="preserve"> </w:t>
      </w:r>
      <w:r w:rsidRPr="00C32FD4">
        <w:rPr>
          <w:rFonts w:eastAsia="TimesNewRoman"/>
        </w:rPr>
        <w:t>(</w:t>
      </w:r>
      <w:r w:rsidR="00CC60AA">
        <w:rPr>
          <w:rFonts w:eastAsia="TimesNewRoman"/>
        </w:rPr>
        <w:t>41</w:t>
      </w:r>
      <w:r w:rsidRPr="00C32FD4">
        <w:rPr>
          <w:rFonts w:eastAsia="TimesNewRoman"/>
        </w:rPr>
        <w:t xml:space="preserve">%) and </w:t>
      </w:r>
      <w:r w:rsidR="00CC60AA">
        <w:rPr>
          <w:rFonts w:eastAsia="TimesNewRoman"/>
        </w:rPr>
        <w:t>8.1</w:t>
      </w:r>
      <w:r w:rsidRPr="00C32FD4">
        <w:rPr>
          <w:rFonts w:eastAsia="TimesNewRoman"/>
        </w:rPr>
        <w:t xml:space="preserve"> </w:t>
      </w:r>
      <w:proofErr w:type="spellStart"/>
      <w:r w:rsidRPr="00C32FD4">
        <w:rPr>
          <w:rStyle w:val="BodyTextChar"/>
        </w:rPr>
        <w:t>μ</w:t>
      </w:r>
      <w:r w:rsidRPr="00C32FD4">
        <w:rPr>
          <w:rFonts w:eastAsia="TimesNewRoman"/>
        </w:rPr>
        <w:t>g</w:t>
      </w:r>
      <w:proofErr w:type="spellEnd"/>
      <w:r w:rsidRPr="00C32FD4">
        <w:rPr>
          <w:rFonts w:eastAsia="TimesNewRoman"/>
        </w:rPr>
        <w:t xml:space="preserve"> /ml (</w:t>
      </w:r>
      <w:r w:rsidR="00CC60AA">
        <w:rPr>
          <w:rFonts w:eastAsia="TimesNewRoman"/>
        </w:rPr>
        <w:t>34</w:t>
      </w:r>
      <w:r w:rsidRPr="00C32FD4">
        <w:rPr>
          <w:rFonts w:eastAsia="TimesNewRoman"/>
        </w:rPr>
        <w:t>%), respectively.</w:t>
      </w:r>
      <w:r w:rsidRPr="00C32FD4">
        <w:t xml:space="preserve"> </w:t>
      </w:r>
    </w:p>
    <w:p w14:paraId="3EBCDF7D" w14:textId="77777777" w:rsidR="003A1890" w:rsidRPr="00C32FD4" w:rsidRDefault="003A1890" w:rsidP="003A1890">
      <w:pPr>
        <w:pStyle w:val="BodyText"/>
      </w:pPr>
      <w:proofErr w:type="spellStart"/>
      <w:r w:rsidRPr="00C32FD4">
        <w:t>Tildrakizumab</w:t>
      </w:r>
      <w:proofErr w:type="spellEnd"/>
      <w:r w:rsidRPr="00C32FD4">
        <w:t xml:space="preserve"> pharmacokinetics exhibited low to moderate variability (33-41%).</w:t>
      </w:r>
    </w:p>
    <w:p w14:paraId="362648C1" w14:textId="77777777" w:rsidR="003A1890" w:rsidRPr="00C32FD4" w:rsidRDefault="003A1890" w:rsidP="00A27F83">
      <w:pPr>
        <w:pStyle w:val="Heading3"/>
      </w:pPr>
      <w:r w:rsidRPr="00C32FD4">
        <w:t>Distribution</w:t>
      </w:r>
    </w:p>
    <w:p w14:paraId="75C1F0F2" w14:textId="77777777" w:rsidR="003A1890" w:rsidRPr="00C32FD4" w:rsidRDefault="003A1890" w:rsidP="003A1890">
      <w:pPr>
        <w:pStyle w:val="BodyText"/>
      </w:pPr>
      <w:proofErr w:type="spellStart"/>
      <w:r w:rsidRPr="00C32FD4">
        <w:t>Tildrakizumab</w:t>
      </w:r>
      <w:proofErr w:type="spellEnd"/>
      <w:r w:rsidRPr="00C32FD4">
        <w:t xml:space="preserve"> has limited extravascular distribution with volume of distribution (</w:t>
      </w:r>
      <w:proofErr w:type="spellStart"/>
      <w:r w:rsidRPr="00C32FD4">
        <w:t>Vd</w:t>
      </w:r>
      <w:proofErr w:type="spellEnd"/>
      <w:r w:rsidRPr="00C32FD4">
        <w:t>) values ranging from 76.9 to 106 mL/kg.</w:t>
      </w:r>
    </w:p>
    <w:p w14:paraId="7FD2113A" w14:textId="77777777" w:rsidR="003A1890" w:rsidRPr="00C32FD4" w:rsidRDefault="003A1890" w:rsidP="00A27F83">
      <w:pPr>
        <w:pStyle w:val="Heading3"/>
      </w:pPr>
      <w:r w:rsidRPr="00C32FD4">
        <w:t>Metabolism</w:t>
      </w:r>
    </w:p>
    <w:p w14:paraId="38EBC938" w14:textId="77777777" w:rsidR="003A1890" w:rsidRPr="00C32FD4" w:rsidRDefault="003A1890" w:rsidP="003A1890">
      <w:pPr>
        <w:pStyle w:val="BodyText"/>
      </w:pPr>
      <w:proofErr w:type="spellStart"/>
      <w:r w:rsidRPr="00C32FD4">
        <w:t>Tildrakizumab</w:t>
      </w:r>
      <w:proofErr w:type="spellEnd"/>
      <w:r w:rsidRPr="00C32FD4">
        <w:t xml:space="preserve"> is catabolized into component amino acids by general protein degradation processes. </w:t>
      </w:r>
    </w:p>
    <w:p w14:paraId="48933997" w14:textId="77777777" w:rsidR="003A1890" w:rsidRPr="00C32FD4" w:rsidRDefault="003A1890" w:rsidP="003A1890">
      <w:pPr>
        <w:pStyle w:val="BodyText"/>
      </w:pPr>
      <w:r w:rsidRPr="00C32FD4">
        <w:t>Small-molecule metabolic pathways (e.g., cytochrome P450 enzymes (CYPs), glucuronosyltransferases) do not contribute to its clearance.</w:t>
      </w:r>
    </w:p>
    <w:p w14:paraId="71EA0DC5" w14:textId="77777777" w:rsidR="003A1890" w:rsidRPr="00C32FD4" w:rsidRDefault="003A1890" w:rsidP="00A27F83">
      <w:pPr>
        <w:pStyle w:val="Heading3"/>
      </w:pPr>
      <w:r w:rsidRPr="00C32FD4">
        <w:t>Excretion</w:t>
      </w:r>
    </w:p>
    <w:p w14:paraId="3B1F2991" w14:textId="77777777" w:rsidR="003A1890" w:rsidRPr="00C32FD4" w:rsidRDefault="003A1890" w:rsidP="003A1890">
      <w:pPr>
        <w:pStyle w:val="BodyText"/>
      </w:pPr>
      <w:r w:rsidRPr="00C32FD4">
        <w:t>The geometric mean systemic clearance (CV %) was 0.32 L/day (38%) and the half-life was 23.4 days (23%) in subjects with plaque psoriasis.</w:t>
      </w:r>
    </w:p>
    <w:p w14:paraId="18D8377F" w14:textId="77777777" w:rsidR="003A1890" w:rsidRPr="00C32FD4" w:rsidRDefault="003A1890" w:rsidP="00A27F83">
      <w:pPr>
        <w:pStyle w:val="Heading3"/>
      </w:pPr>
      <w:r w:rsidRPr="00C32FD4">
        <w:t>Dose linearity</w:t>
      </w:r>
    </w:p>
    <w:p w14:paraId="39D5B411" w14:textId="6CFE00AF" w:rsidR="003A1890" w:rsidRPr="00C32FD4" w:rsidRDefault="003A1890" w:rsidP="003A1890">
      <w:pPr>
        <w:pStyle w:val="BodyText"/>
      </w:pPr>
      <w:proofErr w:type="spellStart"/>
      <w:r w:rsidRPr="00C32FD4">
        <w:t>Tildrakizumab</w:t>
      </w:r>
      <w:proofErr w:type="spellEnd"/>
      <w:r w:rsidRPr="00C32FD4">
        <w:t xml:space="preserve"> exhibited dose-proportional pharmacokinetics in subjects with plaque psoriasis over a dose range from 50 mg to </w:t>
      </w:r>
      <w:r w:rsidR="0028451F">
        <w:t>200</w:t>
      </w:r>
      <w:r w:rsidRPr="00C32FD4">
        <w:t xml:space="preserve"> mg</w:t>
      </w:r>
      <w:r w:rsidR="00043B30">
        <w:t>, and in healthy subjects at doses from 50 mg to 400 mg</w:t>
      </w:r>
      <w:r w:rsidRPr="00C32FD4">
        <w:t xml:space="preserve"> following subcutaneous administration, with clearance being independent of dose.</w:t>
      </w:r>
    </w:p>
    <w:p w14:paraId="313BC6DD" w14:textId="77777777" w:rsidR="003A1890" w:rsidRPr="00C32FD4" w:rsidRDefault="003A1890" w:rsidP="00910E4A">
      <w:pPr>
        <w:pStyle w:val="Heading3"/>
      </w:pPr>
      <w:r w:rsidRPr="00C32FD4">
        <w:t>Special populations</w:t>
      </w:r>
    </w:p>
    <w:p w14:paraId="5D48CDC5" w14:textId="77777777" w:rsidR="003A1890" w:rsidRPr="00C32FD4" w:rsidRDefault="003A1890" w:rsidP="00910E4A">
      <w:pPr>
        <w:pStyle w:val="Heading4"/>
      </w:pPr>
      <w:bookmarkStart w:id="16" w:name="_Elderly"/>
      <w:bookmarkStart w:id="17" w:name="_Ref479156606"/>
      <w:bookmarkEnd w:id="16"/>
      <w:r w:rsidRPr="00C32FD4">
        <w:t>Elderly</w:t>
      </w:r>
      <w:bookmarkEnd w:id="17"/>
    </w:p>
    <w:p w14:paraId="4D0AF554" w14:textId="77777777" w:rsidR="003A1890" w:rsidRPr="00C32FD4" w:rsidRDefault="003A1890" w:rsidP="003A1890">
      <w:pPr>
        <w:pStyle w:val="BodyText"/>
      </w:pPr>
      <w:r w:rsidRPr="00C32FD4">
        <w:t xml:space="preserve">Population pharmacokinetic analysis indicated that age did not have a clinically significant influence on the clearance of </w:t>
      </w:r>
      <w:proofErr w:type="spellStart"/>
      <w:r w:rsidRPr="00C32FD4">
        <w:t>tildrakizumab</w:t>
      </w:r>
      <w:proofErr w:type="spellEnd"/>
      <w:r w:rsidRPr="00C32FD4">
        <w:t xml:space="preserve"> in adult subjects with plaque psoriasis. Subjects who are 65 years or older had a similar </w:t>
      </w:r>
      <w:proofErr w:type="spellStart"/>
      <w:r w:rsidRPr="00C32FD4">
        <w:t>tildrakizumab</w:t>
      </w:r>
      <w:proofErr w:type="spellEnd"/>
      <w:r w:rsidRPr="00C32FD4">
        <w:t xml:space="preserve"> clearance as compared to subjects less than 65 years old.</w:t>
      </w:r>
    </w:p>
    <w:p w14:paraId="18E0E854" w14:textId="77777777" w:rsidR="003A1890" w:rsidRPr="00C32FD4" w:rsidRDefault="003A1890" w:rsidP="00910E4A">
      <w:pPr>
        <w:pStyle w:val="Heading4"/>
      </w:pPr>
      <w:r w:rsidRPr="00C32FD4">
        <w:lastRenderedPageBreak/>
        <w:t>Renal and Hepatic impairment</w:t>
      </w:r>
    </w:p>
    <w:p w14:paraId="073DA3E7" w14:textId="77777777" w:rsidR="003A1890" w:rsidRPr="00C32FD4" w:rsidRDefault="003A1890" w:rsidP="003A1890">
      <w:pPr>
        <w:pStyle w:val="BodyText"/>
      </w:pPr>
      <w:r w:rsidRPr="00C32FD4">
        <w:t xml:space="preserve">No formal trial on the effect of hepatic or renal impairment on the pharmacokinetics of </w:t>
      </w:r>
      <w:proofErr w:type="spellStart"/>
      <w:r w:rsidRPr="00C32FD4">
        <w:t>tildrakizumab</w:t>
      </w:r>
      <w:proofErr w:type="spellEnd"/>
      <w:r w:rsidRPr="00C32FD4">
        <w:t xml:space="preserve"> has been conducted.</w:t>
      </w:r>
    </w:p>
    <w:p w14:paraId="50338F2C" w14:textId="59F1FB06" w:rsidR="003A1890" w:rsidRPr="00C32FD4" w:rsidRDefault="003A1890" w:rsidP="00CC6BBC">
      <w:pPr>
        <w:pStyle w:val="Heading3"/>
      </w:pPr>
      <w:bookmarkStart w:id="18" w:name="_Drug_interactions"/>
      <w:bookmarkStart w:id="19" w:name="_Ref479329000"/>
      <w:bookmarkEnd w:id="18"/>
      <w:r w:rsidRPr="00C32FD4">
        <w:t>Drug interactions</w:t>
      </w:r>
      <w:bookmarkEnd w:id="19"/>
    </w:p>
    <w:p w14:paraId="65086605" w14:textId="676D380D" w:rsidR="003A1890" w:rsidRPr="00C32FD4" w:rsidRDefault="003A1890" w:rsidP="003A1890">
      <w:pPr>
        <w:pStyle w:val="BodyText"/>
      </w:pPr>
      <w:r w:rsidRPr="00C32FD4">
        <w:t xml:space="preserve">A clinical pharmacology study, administering 200 mg of </w:t>
      </w:r>
      <w:proofErr w:type="spellStart"/>
      <w:r w:rsidRPr="00C32FD4">
        <w:t>tildrakizumab</w:t>
      </w:r>
      <w:proofErr w:type="spellEnd"/>
      <w:r w:rsidRPr="00C32FD4">
        <w:t xml:space="preserve"> subcutaneously on Day 1 and Day 29 demonstrated that </w:t>
      </w:r>
      <w:proofErr w:type="spellStart"/>
      <w:r w:rsidRPr="00C32FD4">
        <w:t>tildrakizumab</w:t>
      </w:r>
      <w:proofErr w:type="spellEnd"/>
      <w:r w:rsidRPr="00C32FD4">
        <w:t xml:space="preserve"> does not have a clinically relevant effect on the pharmacokinetics of caffeine (CYP1A2 probe substrate), warfarin (CYP2C9 probe substrate), omeprazole (2C19 probe substrate), dextromethorphan (CYP2D6 probe substrate) or midazolam (CYP3A4 probe substrate). (See</w:t>
      </w:r>
      <w:r w:rsidR="00B85FDB">
        <w:t xml:space="preserve"> section</w:t>
      </w:r>
      <w:r w:rsidRPr="00C32FD4">
        <w:t xml:space="preserve"> </w:t>
      </w:r>
      <w:r w:rsidR="00EA0662" w:rsidRPr="00C32FD4">
        <w:rPr>
          <w:rStyle w:val="Hyperlink"/>
        </w:rPr>
        <w:fldChar w:fldCharType="begin"/>
      </w:r>
      <w:r w:rsidR="00EA0662" w:rsidRPr="00C32FD4">
        <w:rPr>
          <w:rStyle w:val="Hyperlink"/>
        </w:rPr>
        <w:instrText xml:space="preserve"> REF _Ref519172758 \h </w:instrText>
      </w:r>
      <w:r w:rsidR="00EA0662" w:rsidRPr="00C32FD4">
        <w:rPr>
          <w:rStyle w:val="Hyperlink"/>
        </w:rPr>
      </w:r>
      <w:r w:rsidR="00EA0662" w:rsidRPr="00C32FD4">
        <w:rPr>
          <w:rStyle w:val="Hyperlink"/>
        </w:rPr>
        <w:fldChar w:fldCharType="separate"/>
      </w:r>
      <w:r w:rsidR="00EA0662" w:rsidRPr="00C32FD4">
        <w:t>4.5 INTERACTIONS WITH OTHER MEDICINES AND OTHER FORMS OF INTERACTIONS</w:t>
      </w:r>
      <w:r w:rsidR="00EA0662" w:rsidRPr="00C32FD4">
        <w:rPr>
          <w:rStyle w:val="Hyperlink"/>
        </w:rPr>
        <w:fldChar w:fldCharType="end"/>
      </w:r>
      <w:r w:rsidRPr="00C32FD4">
        <w:t>)</w:t>
      </w:r>
    </w:p>
    <w:p w14:paraId="54C36587" w14:textId="77777777" w:rsidR="00CC6BBC" w:rsidRPr="00C32FD4" w:rsidRDefault="00CC6BBC" w:rsidP="00910E4A">
      <w:pPr>
        <w:pStyle w:val="Heading2"/>
      </w:pPr>
      <w:r w:rsidRPr="00C32FD4">
        <w:t>5.3 PRECLINICAL SAFETY DATA</w:t>
      </w:r>
    </w:p>
    <w:p w14:paraId="7282776F" w14:textId="16CD15A0" w:rsidR="00910E4A" w:rsidRPr="00C32FD4" w:rsidRDefault="00910E4A" w:rsidP="00CC6BBC">
      <w:pPr>
        <w:pStyle w:val="Heading3"/>
      </w:pPr>
      <w:proofErr w:type="spellStart"/>
      <w:r w:rsidRPr="00C32FD4">
        <w:t>Genotoxicity</w:t>
      </w:r>
      <w:proofErr w:type="spellEnd"/>
    </w:p>
    <w:p w14:paraId="122CC8ED" w14:textId="0DB2246D" w:rsidR="00910E4A" w:rsidRPr="00C32FD4" w:rsidRDefault="002D1BE8" w:rsidP="00910E4A">
      <w:pPr>
        <w:pStyle w:val="BodyText"/>
      </w:pPr>
      <w:r w:rsidRPr="00C32FD4">
        <w:t>ILUMYA</w:t>
      </w:r>
      <w:r w:rsidR="00910E4A" w:rsidRPr="00C32FD4">
        <w:t xml:space="preserve"> has not been evaluated for genotoxic potential.</w:t>
      </w:r>
    </w:p>
    <w:p w14:paraId="2FB066F0" w14:textId="77777777" w:rsidR="00910E4A" w:rsidRPr="00C32FD4" w:rsidRDefault="00910E4A" w:rsidP="00CC6BBC">
      <w:pPr>
        <w:pStyle w:val="Heading3"/>
      </w:pPr>
      <w:r w:rsidRPr="00C32FD4">
        <w:t>Carcinogenicity</w:t>
      </w:r>
    </w:p>
    <w:p w14:paraId="1D69DF7B" w14:textId="77777777" w:rsidR="00910E4A" w:rsidRPr="00C32FD4" w:rsidRDefault="00910E4A" w:rsidP="00910E4A">
      <w:pPr>
        <w:pStyle w:val="BodyText"/>
      </w:pPr>
      <w:r w:rsidRPr="00C32FD4">
        <w:t xml:space="preserve">Animal carcinogenicity studies have not been conducted with </w:t>
      </w:r>
      <w:proofErr w:type="spellStart"/>
      <w:r w:rsidRPr="00C32FD4">
        <w:t>tildrakizumab</w:t>
      </w:r>
      <w:proofErr w:type="spellEnd"/>
      <w:r w:rsidRPr="00C32FD4">
        <w:t>. Studies in mouse tumour models showed that selective inhibition of IL-23p19 does not increase carcinogenic risk.</w:t>
      </w:r>
    </w:p>
    <w:p w14:paraId="42B78504" w14:textId="3EB0D285" w:rsidR="009F0D3D" w:rsidRPr="00C32FD4" w:rsidRDefault="00CC6BBC" w:rsidP="006D6AED">
      <w:pPr>
        <w:pStyle w:val="Heading1"/>
      </w:pPr>
      <w:r w:rsidRPr="00C32FD4">
        <w:t>6. PHARMACEUTICAL PARTICULARS</w:t>
      </w:r>
    </w:p>
    <w:p w14:paraId="4570AD53" w14:textId="580D6B4E" w:rsidR="00380805" w:rsidRPr="00C32FD4" w:rsidRDefault="00380805" w:rsidP="00910E4A">
      <w:pPr>
        <w:pStyle w:val="Heading2"/>
      </w:pPr>
      <w:bookmarkStart w:id="20" w:name="_6.1_List_of"/>
      <w:bookmarkStart w:id="21" w:name="_Ref519172631"/>
      <w:bookmarkEnd w:id="20"/>
      <w:r w:rsidRPr="00C32FD4">
        <w:t xml:space="preserve">6.1 </w:t>
      </w:r>
      <w:r w:rsidR="00666A82">
        <w:t>LIST OF EXCIPIENTS</w:t>
      </w:r>
      <w:bookmarkEnd w:id="21"/>
      <w:r w:rsidRPr="00C32FD4">
        <w:t xml:space="preserve"> </w:t>
      </w:r>
    </w:p>
    <w:p w14:paraId="652410F1" w14:textId="6EAF90AB" w:rsidR="00380805" w:rsidRPr="00C32FD4" w:rsidRDefault="00380805" w:rsidP="00380805">
      <w:pPr>
        <w:pStyle w:val="BodyText"/>
      </w:pPr>
      <w:r w:rsidRPr="00C32FD4">
        <w:t xml:space="preserve">Histidine, histidine hydrochloride monohydrate, </w:t>
      </w:r>
      <w:proofErr w:type="spellStart"/>
      <w:r w:rsidRPr="00C32FD4">
        <w:t>polysorbate</w:t>
      </w:r>
      <w:proofErr w:type="spellEnd"/>
      <w:r w:rsidRPr="00C32FD4">
        <w:t xml:space="preserve"> 80, sucrose and water for injections.</w:t>
      </w:r>
    </w:p>
    <w:p w14:paraId="66805A25" w14:textId="75CF0491" w:rsidR="00380805" w:rsidRPr="00C32FD4" w:rsidRDefault="00CC6BBC" w:rsidP="00CC6BBC">
      <w:pPr>
        <w:pStyle w:val="Heading2"/>
      </w:pPr>
      <w:r w:rsidRPr="00C32FD4">
        <w:t xml:space="preserve">6.2 </w:t>
      </w:r>
      <w:r w:rsidR="00666A82">
        <w:t>INCOMPATIBILITIES</w:t>
      </w:r>
    </w:p>
    <w:p w14:paraId="17D091C8" w14:textId="54908904" w:rsidR="00CC6BBC" w:rsidRPr="00C32FD4" w:rsidRDefault="00D64A30" w:rsidP="00380805">
      <w:pPr>
        <w:pStyle w:val="BodyText"/>
      </w:pPr>
      <w:r w:rsidRPr="00C32FD4">
        <w:t>Not known</w:t>
      </w:r>
    </w:p>
    <w:p w14:paraId="556CF765" w14:textId="7921C675" w:rsidR="00CC6BBC" w:rsidRPr="00C32FD4" w:rsidRDefault="00CC6BBC" w:rsidP="00CC6BBC">
      <w:pPr>
        <w:pStyle w:val="Heading2"/>
      </w:pPr>
      <w:r w:rsidRPr="00C32FD4">
        <w:t xml:space="preserve">6.3 </w:t>
      </w:r>
      <w:r w:rsidR="00666A82">
        <w:t>SHELF LIFE</w:t>
      </w:r>
    </w:p>
    <w:p w14:paraId="014A30C5" w14:textId="77777777" w:rsidR="00CC6BBC" w:rsidRPr="00C32FD4" w:rsidRDefault="00CC6BBC" w:rsidP="00CC6BBC">
      <w:pPr>
        <w:pStyle w:val="BodyText"/>
      </w:pPr>
      <w:r w:rsidRPr="00C32FD4">
        <w:t xml:space="preserve">In Australia, information on the shelf life can be found on the public summary of the Australian Register of Therapeutic Goods (ARTG). The expiry date can be found on the packaging. </w:t>
      </w:r>
    </w:p>
    <w:p w14:paraId="28E874BC" w14:textId="640C3BF0" w:rsidR="00CC6BBC" w:rsidRPr="00C32FD4" w:rsidRDefault="00CC6BBC" w:rsidP="00CC6BBC">
      <w:pPr>
        <w:pStyle w:val="Heading2"/>
      </w:pPr>
      <w:r w:rsidRPr="00C32FD4">
        <w:t xml:space="preserve">6.4 </w:t>
      </w:r>
      <w:r w:rsidR="00666A82">
        <w:t>SPECIAL PREC</w:t>
      </w:r>
      <w:r w:rsidR="00BE5BA7">
        <w:t>A</w:t>
      </w:r>
      <w:r w:rsidR="00666A82">
        <w:t>UTIONS FOR STORAGE</w:t>
      </w:r>
    </w:p>
    <w:p w14:paraId="6945E43F" w14:textId="77777777" w:rsidR="00CC6BBC" w:rsidRPr="00C32FD4" w:rsidRDefault="00CC6BBC" w:rsidP="00CC6BBC">
      <w:pPr>
        <w:pStyle w:val="BodyText"/>
      </w:pPr>
      <w:r w:rsidRPr="00C32FD4">
        <w:t xml:space="preserve">Store at 2°C to 8°C.  Refrigerate.  Do not freeze. </w:t>
      </w:r>
    </w:p>
    <w:p w14:paraId="39522C4A" w14:textId="63E304E7" w:rsidR="00CC6BBC" w:rsidRPr="00C32FD4" w:rsidRDefault="002D1BE8" w:rsidP="00CC6BBC">
      <w:pPr>
        <w:pStyle w:val="BodyText"/>
      </w:pPr>
      <w:r w:rsidRPr="00C32FD4">
        <w:t>ILUMYA</w:t>
      </w:r>
      <w:r w:rsidR="00CC6BBC" w:rsidRPr="00C32FD4">
        <w:t xml:space="preserve"> is stable for up to 30 days at 25°C. </w:t>
      </w:r>
    </w:p>
    <w:p w14:paraId="1DB3DF45" w14:textId="2079DFD6" w:rsidR="00CC6BBC" w:rsidRPr="00C32FD4" w:rsidRDefault="00CC6BBC" w:rsidP="00CC6BBC">
      <w:pPr>
        <w:pStyle w:val="BodyText"/>
      </w:pPr>
      <w:r w:rsidRPr="00C32FD4">
        <w:t>Protect from light. Keep the pre-filled syringe in the outer carton until ready to use. Do not shake.</w:t>
      </w:r>
    </w:p>
    <w:p w14:paraId="704A3E15" w14:textId="00D15498" w:rsidR="00CC6BBC" w:rsidRPr="00C32FD4" w:rsidRDefault="00CC6BBC" w:rsidP="00CC6BBC">
      <w:pPr>
        <w:pStyle w:val="Heading2"/>
      </w:pPr>
      <w:r w:rsidRPr="00C32FD4">
        <w:lastRenderedPageBreak/>
        <w:t xml:space="preserve">6.5 </w:t>
      </w:r>
      <w:r w:rsidR="00666A82">
        <w:t>NATURE AND CONTENTS OF CONTAINER</w:t>
      </w:r>
    </w:p>
    <w:p w14:paraId="1576D0CF" w14:textId="0DF51921" w:rsidR="00CE1463" w:rsidRPr="00C32FD4" w:rsidRDefault="002D1BE8" w:rsidP="00380805">
      <w:pPr>
        <w:pStyle w:val="BodyText"/>
      </w:pPr>
      <w:r w:rsidRPr="00C32FD4">
        <w:t>ILUMYA</w:t>
      </w:r>
      <w:r w:rsidR="000E1C23" w:rsidRPr="00C32FD4">
        <w:t xml:space="preserve"> </w:t>
      </w:r>
      <w:r w:rsidR="00DB57E9" w:rsidRPr="00C32FD4">
        <w:t xml:space="preserve">solution for injection </w:t>
      </w:r>
      <w:r w:rsidR="000E1C23" w:rsidRPr="00C32FD4">
        <w:t xml:space="preserve">is supplied </w:t>
      </w:r>
      <w:r w:rsidR="00043B30">
        <w:t>as a</w:t>
      </w:r>
      <w:r w:rsidR="00983456" w:rsidRPr="00C32FD4">
        <w:t xml:space="preserve"> single-use</w:t>
      </w:r>
      <w:r w:rsidR="00CE1463" w:rsidRPr="00C32FD4">
        <w:t>,</w:t>
      </w:r>
      <w:r w:rsidR="00983456" w:rsidRPr="00C32FD4">
        <w:t xml:space="preserve"> pre-filled </w:t>
      </w:r>
      <w:r w:rsidR="00782903" w:rsidRPr="00C32FD4">
        <w:t xml:space="preserve">syringe </w:t>
      </w:r>
      <w:r w:rsidR="00CE1463" w:rsidRPr="00C32FD4">
        <w:t xml:space="preserve">comprising a clear glass barrel with a stainless-steel needle, latex-free rubber plunger stopper and needle shield. </w:t>
      </w:r>
      <w:r w:rsidR="00043B30">
        <w:t xml:space="preserve">Each </w:t>
      </w:r>
      <w:r w:rsidR="00CE1463" w:rsidRPr="00C32FD4">
        <w:t xml:space="preserve">pre-filled syringe </w:t>
      </w:r>
      <w:r w:rsidR="00043B30">
        <w:t>is</w:t>
      </w:r>
      <w:r w:rsidR="00CE1463" w:rsidRPr="00C32FD4">
        <w:t xml:space="preserve"> assembled with a needle safety device for subcutaneous (</w:t>
      </w:r>
      <w:proofErr w:type="spellStart"/>
      <w:r w:rsidR="00CE1463" w:rsidRPr="00C32FD4">
        <w:t>sc</w:t>
      </w:r>
      <w:proofErr w:type="spellEnd"/>
      <w:r w:rsidR="00CE1463" w:rsidRPr="00C32FD4">
        <w:t>) administration.</w:t>
      </w:r>
    </w:p>
    <w:p w14:paraId="2E00208E" w14:textId="7FD2E350" w:rsidR="00782903" w:rsidRPr="00C32FD4" w:rsidRDefault="0098351F" w:rsidP="00380805">
      <w:pPr>
        <w:pStyle w:val="BodyText"/>
      </w:pPr>
      <w:r w:rsidRPr="00C32FD4">
        <w:t xml:space="preserve">Pack size of </w:t>
      </w:r>
      <w:r w:rsidR="00986B88">
        <w:t xml:space="preserve">1 </w:t>
      </w:r>
      <w:r w:rsidRPr="00C32FD4">
        <w:t>pre-filled syringe.</w:t>
      </w:r>
      <w:r w:rsidR="000E1C23" w:rsidRPr="00C32FD4">
        <w:t xml:space="preserve"> </w:t>
      </w:r>
    </w:p>
    <w:p w14:paraId="39E41E81" w14:textId="102AB25D" w:rsidR="00F611C1" w:rsidRPr="00C32FD4" w:rsidRDefault="00CC6BBC" w:rsidP="00CC6BBC">
      <w:pPr>
        <w:pStyle w:val="Heading2"/>
      </w:pPr>
      <w:r w:rsidRPr="00C32FD4">
        <w:t>6.6 SPECIAL PRECAUTIONS FOR DISPOSAL</w:t>
      </w:r>
    </w:p>
    <w:p w14:paraId="0CF32847" w14:textId="6137E475" w:rsidR="00380805" w:rsidRPr="00C32FD4" w:rsidRDefault="00BA3158" w:rsidP="00380805">
      <w:pPr>
        <w:pStyle w:val="BodyText"/>
      </w:pPr>
      <w:r w:rsidRPr="00C32FD4">
        <w:t>No special requirements for disposal.</w:t>
      </w:r>
    </w:p>
    <w:p w14:paraId="38445105" w14:textId="43E79EAD" w:rsidR="00BA3158" w:rsidRPr="00C32FD4" w:rsidRDefault="00BA3158" w:rsidP="00380805">
      <w:pPr>
        <w:pStyle w:val="BodyText"/>
      </w:pPr>
      <w:r w:rsidRPr="00C32FD4">
        <w:t>In Australia, any unused medicine or waste material should be disposed of by taking to your local pharmacy.</w:t>
      </w:r>
    </w:p>
    <w:p w14:paraId="6C2D2BB4" w14:textId="12CEB4C2" w:rsidR="00CC6BBC" w:rsidRPr="00C32FD4" w:rsidRDefault="00CC6BBC" w:rsidP="00CC6BBC">
      <w:pPr>
        <w:pStyle w:val="Heading2"/>
      </w:pPr>
      <w:r w:rsidRPr="00C32FD4">
        <w:t>6.7 PHYSIOCHEMICAL PROPERTIES</w:t>
      </w:r>
    </w:p>
    <w:p w14:paraId="2B641051" w14:textId="29EFCE22" w:rsidR="00380805" w:rsidRPr="00C32FD4" w:rsidRDefault="002D1BE8" w:rsidP="00380805">
      <w:pPr>
        <w:pStyle w:val="BodyText"/>
      </w:pPr>
      <w:r w:rsidRPr="00C32FD4">
        <w:t>ILUMYA</w:t>
      </w:r>
      <w:r w:rsidR="00380805" w:rsidRPr="00C32FD4">
        <w:t xml:space="preserve"> (</w:t>
      </w:r>
      <w:proofErr w:type="spellStart"/>
      <w:r w:rsidR="00380805" w:rsidRPr="00C32FD4">
        <w:t>tildrakizumab</w:t>
      </w:r>
      <w:proofErr w:type="spellEnd"/>
      <w:r w:rsidR="00380805" w:rsidRPr="00C32FD4">
        <w:t xml:space="preserve">) is a humanised IgG1/k monoclonal antibody produced </w:t>
      </w:r>
      <w:r w:rsidR="00380805" w:rsidRPr="00C32FD4">
        <w:rPr>
          <w:spacing w:val="2"/>
        </w:rPr>
        <w:t>b</w:t>
      </w:r>
      <w:r w:rsidR="00380805" w:rsidRPr="00C32FD4">
        <w:t>y r</w:t>
      </w:r>
      <w:r w:rsidR="00380805" w:rsidRPr="00C32FD4">
        <w:rPr>
          <w:spacing w:val="-2"/>
        </w:rPr>
        <w:t>e</w:t>
      </w:r>
      <w:r w:rsidR="00380805" w:rsidRPr="00C32FD4">
        <w:rPr>
          <w:spacing w:val="-1"/>
        </w:rPr>
        <w:t>c</w:t>
      </w:r>
      <w:r w:rsidR="00380805" w:rsidRPr="00C32FD4">
        <w:t>omb</w:t>
      </w:r>
      <w:r w:rsidR="00380805" w:rsidRPr="00C32FD4">
        <w:rPr>
          <w:spacing w:val="1"/>
        </w:rPr>
        <w:t>i</w:t>
      </w:r>
      <w:r w:rsidR="00380805" w:rsidRPr="00C32FD4">
        <w:t>n</w:t>
      </w:r>
      <w:r w:rsidR="00380805" w:rsidRPr="00C32FD4">
        <w:rPr>
          <w:spacing w:val="-1"/>
        </w:rPr>
        <w:t>a</w:t>
      </w:r>
      <w:r w:rsidR="00380805" w:rsidRPr="00C32FD4">
        <w:t>nt</w:t>
      </w:r>
      <w:r w:rsidR="00380805" w:rsidRPr="00C32FD4">
        <w:rPr>
          <w:spacing w:val="5"/>
        </w:rPr>
        <w:t xml:space="preserve"> </w:t>
      </w:r>
      <w:r w:rsidR="00380805" w:rsidRPr="00C32FD4">
        <w:t>D</w:t>
      </w:r>
      <w:r w:rsidR="00380805" w:rsidRPr="00C32FD4">
        <w:rPr>
          <w:spacing w:val="1"/>
        </w:rPr>
        <w:t>N</w:t>
      </w:r>
      <w:r w:rsidR="00380805" w:rsidRPr="00C32FD4">
        <w:t>A</w:t>
      </w:r>
      <w:r w:rsidR="00380805" w:rsidRPr="00C32FD4">
        <w:rPr>
          <w:spacing w:val="4"/>
        </w:rPr>
        <w:t xml:space="preserve"> </w:t>
      </w:r>
      <w:r w:rsidR="00380805" w:rsidRPr="00C32FD4">
        <w:t>te</w:t>
      </w:r>
      <w:r w:rsidR="00380805" w:rsidRPr="00C32FD4">
        <w:rPr>
          <w:spacing w:val="-1"/>
        </w:rPr>
        <w:t>c</w:t>
      </w:r>
      <w:r w:rsidR="00380805" w:rsidRPr="00C32FD4">
        <w:t>h</w:t>
      </w:r>
      <w:r w:rsidR="00380805" w:rsidRPr="00C32FD4">
        <w:rPr>
          <w:spacing w:val="2"/>
        </w:rPr>
        <w:t>n</w:t>
      </w:r>
      <w:r w:rsidR="00380805" w:rsidRPr="00C32FD4">
        <w:t>olo</w:t>
      </w:r>
      <w:r w:rsidR="00380805" w:rsidRPr="00C32FD4">
        <w:rPr>
          <w:spacing w:val="3"/>
        </w:rPr>
        <w:t>g</w:t>
      </w:r>
      <w:r w:rsidR="00380805" w:rsidRPr="00C32FD4">
        <w:t>y in</w:t>
      </w:r>
      <w:r w:rsidR="00380805" w:rsidRPr="00C32FD4">
        <w:rPr>
          <w:spacing w:val="5"/>
        </w:rPr>
        <w:t xml:space="preserve"> </w:t>
      </w:r>
      <w:r w:rsidR="00380805" w:rsidRPr="00C32FD4">
        <w:t>a</w:t>
      </w:r>
      <w:r w:rsidR="00380805" w:rsidRPr="00C32FD4">
        <w:rPr>
          <w:spacing w:val="4"/>
        </w:rPr>
        <w:t xml:space="preserve"> </w:t>
      </w:r>
      <w:r w:rsidR="00380805" w:rsidRPr="00C32FD4">
        <w:t>Chine</w:t>
      </w:r>
      <w:r w:rsidR="00380805" w:rsidRPr="00C32FD4">
        <w:rPr>
          <w:spacing w:val="2"/>
        </w:rPr>
        <w:t>s</w:t>
      </w:r>
      <w:r w:rsidR="00380805" w:rsidRPr="00C32FD4">
        <w:t>e</w:t>
      </w:r>
      <w:r w:rsidR="00380805" w:rsidRPr="00C32FD4">
        <w:rPr>
          <w:spacing w:val="4"/>
        </w:rPr>
        <w:t xml:space="preserve"> </w:t>
      </w:r>
      <w:r w:rsidR="00380805" w:rsidRPr="00C32FD4">
        <w:t>h</w:t>
      </w:r>
      <w:r w:rsidR="00380805" w:rsidRPr="00C32FD4">
        <w:rPr>
          <w:spacing w:val="-1"/>
        </w:rPr>
        <w:t>a</w:t>
      </w:r>
      <w:r w:rsidR="00380805" w:rsidRPr="00C32FD4">
        <w:rPr>
          <w:spacing w:val="3"/>
        </w:rPr>
        <w:t>m</w:t>
      </w:r>
      <w:r w:rsidR="00380805" w:rsidRPr="00C32FD4">
        <w:t>ster</w:t>
      </w:r>
      <w:r w:rsidR="00380805" w:rsidRPr="00C32FD4">
        <w:rPr>
          <w:spacing w:val="4"/>
        </w:rPr>
        <w:t xml:space="preserve"> </w:t>
      </w:r>
      <w:r w:rsidR="00380805" w:rsidRPr="00C32FD4">
        <w:t>ov</w:t>
      </w:r>
      <w:r w:rsidR="00380805" w:rsidRPr="00C32FD4">
        <w:rPr>
          <w:spacing w:val="-1"/>
        </w:rPr>
        <w:t>a</w:t>
      </w:r>
      <w:r w:rsidR="00380805" w:rsidRPr="00C32FD4">
        <w:rPr>
          <w:spacing w:val="4"/>
        </w:rPr>
        <w:t>r</w:t>
      </w:r>
      <w:r w:rsidR="00380805" w:rsidRPr="00C32FD4">
        <w:t>y</w:t>
      </w:r>
      <w:r w:rsidR="00380805" w:rsidRPr="00C32FD4">
        <w:rPr>
          <w:spacing w:val="2"/>
        </w:rPr>
        <w:t xml:space="preserve"> </w:t>
      </w:r>
      <w:r w:rsidR="00380805" w:rsidRPr="00C32FD4">
        <w:t>(CH</w:t>
      </w:r>
      <w:r w:rsidR="00380805" w:rsidRPr="00C32FD4">
        <w:rPr>
          <w:spacing w:val="-1"/>
        </w:rPr>
        <w:t>O</w:t>
      </w:r>
      <w:r w:rsidR="00380805" w:rsidRPr="00C32FD4">
        <w:t xml:space="preserve">) cells. It is composed of two identical heavy chains of 446 amino acids each and two identical light chains of 214 amino acids each linked by </w:t>
      </w:r>
      <w:proofErr w:type="spellStart"/>
      <w:r w:rsidR="00380805" w:rsidRPr="00C32FD4">
        <w:t>interchain</w:t>
      </w:r>
      <w:proofErr w:type="spellEnd"/>
      <w:r w:rsidR="00380805" w:rsidRPr="00C32FD4">
        <w:t xml:space="preserve"> </w:t>
      </w:r>
      <w:proofErr w:type="spellStart"/>
      <w:r w:rsidR="00380805" w:rsidRPr="00C32FD4">
        <w:t>disulfide</w:t>
      </w:r>
      <w:proofErr w:type="spellEnd"/>
      <w:r w:rsidR="00380805" w:rsidRPr="00C32FD4">
        <w:t xml:space="preserve"> bonds, with an approximate molecular weight of 147.0kDa.</w:t>
      </w:r>
    </w:p>
    <w:p w14:paraId="07C0B668" w14:textId="77777777" w:rsidR="00380805" w:rsidRPr="00C32FD4" w:rsidRDefault="00380805" w:rsidP="00BB54F0">
      <w:pPr>
        <w:pStyle w:val="Heading3"/>
      </w:pPr>
      <w:r w:rsidRPr="00C32FD4">
        <w:t xml:space="preserve">Chemical structure: </w:t>
      </w:r>
    </w:p>
    <w:p w14:paraId="0722781F" w14:textId="77777777" w:rsidR="00380805" w:rsidRPr="00C32FD4" w:rsidRDefault="00380805" w:rsidP="00380805">
      <w:pPr>
        <w:pStyle w:val="BodyText"/>
      </w:pPr>
      <w:r w:rsidRPr="00C32FD4">
        <w:rPr>
          <w:noProof/>
          <w:lang w:eastAsia="en-AU"/>
        </w:rPr>
        <w:drawing>
          <wp:inline distT="0" distB="0" distL="0" distR="0" wp14:anchorId="73FD4D82" wp14:editId="6C5E0197">
            <wp:extent cx="3391920" cy="3150870"/>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70" t="13363" r="65553" b="5122"/>
                    <a:stretch/>
                  </pic:blipFill>
                  <pic:spPr bwMode="auto">
                    <a:xfrm>
                      <a:off x="0" y="0"/>
                      <a:ext cx="3391920" cy="3150870"/>
                    </a:xfrm>
                    <a:prstGeom prst="rect">
                      <a:avLst/>
                    </a:prstGeom>
                    <a:ln>
                      <a:noFill/>
                    </a:ln>
                    <a:extLst>
                      <a:ext uri="{53640926-AAD7-44D8-BBD7-CCE9431645EC}">
                        <a14:shadowObscured xmlns:a14="http://schemas.microsoft.com/office/drawing/2010/main"/>
                      </a:ext>
                    </a:extLst>
                  </pic:spPr>
                </pic:pic>
              </a:graphicData>
            </a:graphic>
          </wp:inline>
        </w:drawing>
      </w:r>
    </w:p>
    <w:p w14:paraId="16346B19" w14:textId="5EC0C36C" w:rsidR="00380805" w:rsidRPr="00C32FD4" w:rsidRDefault="00380805" w:rsidP="00380805">
      <w:pPr>
        <w:pStyle w:val="BodyText"/>
      </w:pPr>
      <w:r w:rsidRPr="00C32FD4">
        <w:rPr>
          <w:rStyle w:val="Heading3Char"/>
        </w:rPr>
        <w:t>CAS Registry No:</w:t>
      </w:r>
      <w:r w:rsidRPr="00C32FD4">
        <w:t xml:space="preserve"> </w:t>
      </w:r>
      <w:r w:rsidR="00BB54F0" w:rsidRPr="00C32FD4">
        <w:tab/>
      </w:r>
      <w:r w:rsidRPr="00C32FD4">
        <w:t>1326244-10-3</w:t>
      </w:r>
    </w:p>
    <w:p w14:paraId="6C296379" w14:textId="13D8A6F8" w:rsidR="00BB54F0" w:rsidRPr="00C32FD4" w:rsidRDefault="00BB54F0" w:rsidP="00BB54F0">
      <w:pPr>
        <w:pStyle w:val="Heading1"/>
      </w:pPr>
      <w:r w:rsidRPr="00C32FD4">
        <w:t xml:space="preserve">7. </w:t>
      </w:r>
      <w:r w:rsidR="00B611B9">
        <w:t>MEDICINE</w:t>
      </w:r>
      <w:r w:rsidR="00B611B9" w:rsidRPr="00C32FD4">
        <w:t xml:space="preserve"> </w:t>
      </w:r>
      <w:r w:rsidRPr="00C32FD4">
        <w:t>SCHEDULE (POISON STANDARD)</w:t>
      </w:r>
    </w:p>
    <w:p w14:paraId="0AD9FA84" w14:textId="77777777" w:rsidR="00BB54F0" w:rsidRPr="00C32FD4" w:rsidRDefault="00BB54F0" w:rsidP="00BB54F0">
      <w:pPr>
        <w:pStyle w:val="BodyText"/>
      </w:pPr>
      <w:r w:rsidRPr="00C32FD4">
        <w:t xml:space="preserve">Schedule 4 - </w:t>
      </w:r>
      <w:r w:rsidRPr="00C32FD4">
        <w:rPr>
          <w:spacing w:val="-1"/>
        </w:rPr>
        <w:t>Prescription</w:t>
      </w:r>
      <w:r w:rsidRPr="00C32FD4">
        <w:t xml:space="preserve"> Only</w:t>
      </w:r>
      <w:r w:rsidRPr="00C32FD4">
        <w:rPr>
          <w:spacing w:val="-5"/>
        </w:rPr>
        <w:t xml:space="preserve"> </w:t>
      </w:r>
      <w:r w:rsidRPr="00C32FD4">
        <w:t>Medicine</w:t>
      </w:r>
    </w:p>
    <w:p w14:paraId="4FE77220" w14:textId="5A1BB1FC" w:rsidR="009F0D3D" w:rsidRPr="00C32FD4" w:rsidRDefault="00BB54F0" w:rsidP="00794B40">
      <w:pPr>
        <w:pStyle w:val="Heading1"/>
        <w:keepLines/>
      </w:pPr>
      <w:r w:rsidRPr="00C32FD4">
        <w:lastRenderedPageBreak/>
        <w:t xml:space="preserve">8. </w:t>
      </w:r>
      <w:r w:rsidR="009F0D3D" w:rsidRPr="00C32FD4">
        <w:t>SPONSOR</w:t>
      </w:r>
    </w:p>
    <w:p w14:paraId="7D1217A1" w14:textId="77777777" w:rsidR="009226D0" w:rsidRPr="00C32FD4" w:rsidRDefault="00987A2B" w:rsidP="00794B40">
      <w:pPr>
        <w:pStyle w:val="BodyText"/>
        <w:keepNext/>
        <w:keepLines/>
        <w:rPr>
          <w:spacing w:val="26"/>
        </w:rPr>
      </w:pPr>
      <w:r w:rsidRPr="00C32FD4">
        <w:t xml:space="preserve">Sun Pharma ANZ </w:t>
      </w:r>
      <w:r w:rsidR="009F0D3D" w:rsidRPr="00C32FD4">
        <w:t xml:space="preserve">Pty </w:t>
      </w:r>
      <w:r w:rsidR="009F0D3D" w:rsidRPr="00C32FD4">
        <w:rPr>
          <w:spacing w:val="-2"/>
        </w:rPr>
        <w:t>Ltd</w:t>
      </w:r>
      <w:r w:rsidR="009F0D3D" w:rsidRPr="00C32FD4">
        <w:rPr>
          <w:spacing w:val="26"/>
        </w:rPr>
        <w:t xml:space="preserve"> </w:t>
      </w:r>
    </w:p>
    <w:p w14:paraId="3A216BCE" w14:textId="4828CA02" w:rsidR="009039E6" w:rsidRPr="00C32FD4" w:rsidRDefault="00FF3F9A" w:rsidP="00794B40">
      <w:pPr>
        <w:pStyle w:val="BodyText"/>
        <w:keepNext/>
        <w:keepLines/>
        <w:rPr>
          <w:spacing w:val="21"/>
        </w:rPr>
      </w:pPr>
      <w:r w:rsidRPr="00C32FD4">
        <w:t>Macquarie Park</w:t>
      </w:r>
      <w:r w:rsidR="009039E6" w:rsidRPr="00C32FD4">
        <w:t xml:space="preserve"> </w:t>
      </w:r>
      <w:r w:rsidR="009F0D3D" w:rsidRPr="00C32FD4">
        <w:t>NSW</w:t>
      </w:r>
      <w:r w:rsidR="009F0D3D" w:rsidRPr="00C32FD4">
        <w:rPr>
          <w:spacing w:val="1"/>
        </w:rPr>
        <w:t xml:space="preserve"> </w:t>
      </w:r>
      <w:r w:rsidR="009F0D3D" w:rsidRPr="00C32FD4">
        <w:t>2113</w:t>
      </w:r>
      <w:r w:rsidR="009F0D3D" w:rsidRPr="00C32FD4">
        <w:rPr>
          <w:spacing w:val="21"/>
        </w:rPr>
        <w:t xml:space="preserve"> </w:t>
      </w:r>
    </w:p>
    <w:p w14:paraId="2F31A277" w14:textId="7609771B" w:rsidR="009F0D3D" w:rsidRDefault="009F0D3D" w:rsidP="00380805">
      <w:pPr>
        <w:pStyle w:val="BodyText"/>
      </w:pPr>
      <w:r w:rsidRPr="00C32FD4">
        <w:t>Australia</w:t>
      </w:r>
      <w:r w:rsidR="00B611B9">
        <w:t xml:space="preserve"> </w:t>
      </w:r>
    </w:p>
    <w:p w14:paraId="642B3733" w14:textId="4892E4A1" w:rsidR="00B611B9" w:rsidRPr="00C32FD4" w:rsidRDefault="00B611B9" w:rsidP="00380805">
      <w:pPr>
        <w:pStyle w:val="BodyText"/>
      </w:pPr>
      <w:r>
        <w:t>Telephone 1 800 726 229</w:t>
      </w:r>
    </w:p>
    <w:p w14:paraId="37C40EC5" w14:textId="7CE63198" w:rsidR="009F0D3D" w:rsidRPr="00C32FD4" w:rsidRDefault="00BB54F0" w:rsidP="006D6AED">
      <w:pPr>
        <w:pStyle w:val="Heading1"/>
      </w:pPr>
      <w:r w:rsidRPr="00C32FD4">
        <w:t xml:space="preserve">9. </w:t>
      </w:r>
      <w:r w:rsidR="009F0D3D" w:rsidRPr="00C32FD4">
        <w:t>DATE OF FIRST</w:t>
      </w:r>
      <w:r w:rsidR="009F0D3D" w:rsidRPr="00C32FD4">
        <w:rPr>
          <w:spacing w:val="1"/>
        </w:rPr>
        <w:t xml:space="preserve"> </w:t>
      </w:r>
      <w:r w:rsidRPr="00C32FD4">
        <w:rPr>
          <w:spacing w:val="1"/>
        </w:rPr>
        <w:t>APPROVAL</w:t>
      </w:r>
    </w:p>
    <w:p w14:paraId="77775E40" w14:textId="22BA99F8" w:rsidR="009F0D3D" w:rsidRPr="00C32FD4" w:rsidRDefault="0092103A" w:rsidP="00380805">
      <w:pPr>
        <w:pStyle w:val="BodyText"/>
      </w:pPr>
      <w:r>
        <w:t>10 September 2018</w:t>
      </w:r>
    </w:p>
    <w:p w14:paraId="59E7B364" w14:textId="3341B37F" w:rsidR="009F0D3D" w:rsidRPr="00C32FD4" w:rsidRDefault="00BB54F0" w:rsidP="006D6AED">
      <w:pPr>
        <w:pStyle w:val="Heading1"/>
      </w:pPr>
      <w:r w:rsidRPr="00C32FD4">
        <w:t xml:space="preserve">10. </w:t>
      </w:r>
      <w:r w:rsidR="009F0D3D" w:rsidRPr="00C32FD4">
        <w:t>DATE OF</w:t>
      </w:r>
      <w:r w:rsidR="009F0D3D" w:rsidRPr="00C32FD4">
        <w:rPr>
          <w:spacing w:val="-3"/>
        </w:rPr>
        <w:t xml:space="preserve"> </w:t>
      </w:r>
      <w:r w:rsidRPr="00C32FD4">
        <w:rPr>
          <w:spacing w:val="-3"/>
        </w:rPr>
        <w:t>REVISION</w:t>
      </w:r>
    </w:p>
    <w:p w14:paraId="145F29F9" w14:textId="77777777" w:rsidR="00BB54F0" w:rsidRPr="00C32FD4" w:rsidRDefault="00BB54F0" w:rsidP="00BB54F0">
      <w:pPr>
        <w:pStyle w:val="BodyText1"/>
      </w:pPr>
    </w:p>
    <w:p w14:paraId="21D9F6B9" w14:textId="77777777" w:rsidR="00BB54F0" w:rsidRPr="00C32FD4" w:rsidRDefault="00BB54F0" w:rsidP="00BB54F0">
      <w:pPr>
        <w:pStyle w:val="Heading3"/>
      </w:pPr>
      <w:r w:rsidRPr="00C32FD4">
        <w:t>Summary table of changes</w:t>
      </w:r>
    </w:p>
    <w:tbl>
      <w:tblPr>
        <w:tblStyle w:val="TableGrid"/>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7644"/>
      </w:tblGrid>
      <w:tr w:rsidR="00C32FD4" w:rsidRPr="00C32FD4" w14:paraId="4D402594" w14:textId="77777777" w:rsidTr="00774AD6">
        <w:tc>
          <w:tcPr>
            <w:tcW w:w="1413" w:type="dxa"/>
            <w:tcBorders>
              <w:top w:val="single" w:sz="12" w:space="0" w:color="auto"/>
              <w:bottom w:val="double" w:sz="4" w:space="0" w:color="auto"/>
            </w:tcBorders>
            <w:tcMar>
              <w:top w:w="28" w:type="dxa"/>
              <w:bottom w:w="28" w:type="dxa"/>
            </w:tcMar>
          </w:tcPr>
          <w:p w14:paraId="41DAD2B3" w14:textId="77777777" w:rsidR="00BB54F0" w:rsidRPr="00C32FD4" w:rsidRDefault="00BB54F0" w:rsidP="00774AD6">
            <w:pPr>
              <w:pStyle w:val="Table-Heading1"/>
            </w:pPr>
            <w:r w:rsidRPr="00C32FD4">
              <w:t>Section changed</w:t>
            </w:r>
          </w:p>
        </w:tc>
        <w:tc>
          <w:tcPr>
            <w:tcW w:w="7644" w:type="dxa"/>
            <w:tcBorders>
              <w:top w:val="single" w:sz="12" w:space="0" w:color="auto"/>
              <w:bottom w:val="double" w:sz="4" w:space="0" w:color="auto"/>
            </w:tcBorders>
            <w:tcMar>
              <w:top w:w="28" w:type="dxa"/>
              <w:bottom w:w="28" w:type="dxa"/>
            </w:tcMar>
          </w:tcPr>
          <w:p w14:paraId="02D1FF6A" w14:textId="77777777" w:rsidR="00BB54F0" w:rsidRPr="00C32FD4" w:rsidRDefault="00BB54F0" w:rsidP="00774AD6">
            <w:pPr>
              <w:pStyle w:val="Table-Heading1"/>
            </w:pPr>
            <w:r w:rsidRPr="00C32FD4">
              <w:t>Summary of new information</w:t>
            </w:r>
          </w:p>
        </w:tc>
      </w:tr>
      <w:tr w:rsidR="00C32FD4" w:rsidRPr="00C32FD4" w14:paraId="79E48C4D" w14:textId="77777777" w:rsidTr="00774AD6">
        <w:tc>
          <w:tcPr>
            <w:tcW w:w="1413" w:type="dxa"/>
            <w:tcBorders>
              <w:top w:val="double" w:sz="4" w:space="0" w:color="auto"/>
              <w:bottom w:val="single" w:sz="4" w:space="0" w:color="auto"/>
            </w:tcBorders>
            <w:tcMar>
              <w:top w:w="28" w:type="dxa"/>
              <w:bottom w:w="28" w:type="dxa"/>
            </w:tcMar>
          </w:tcPr>
          <w:p w14:paraId="30EE6EB8" w14:textId="77777777" w:rsidR="00BB54F0" w:rsidRPr="00C32FD4" w:rsidRDefault="00BB54F0" w:rsidP="00774AD6">
            <w:pPr>
              <w:pStyle w:val="Table-text"/>
              <w:ind w:left="22"/>
              <w:jc w:val="center"/>
            </w:pPr>
            <w:r w:rsidRPr="00C32FD4">
              <w:t>All</w:t>
            </w:r>
          </w:p>
        </w:tc>
        <w:tc>
          <w:tcPr>
            <w:tcW w:w="7644" w:type="dxa"/>
            <w:tcBorders>
              <w:top w:val="double" w:sz="4" w:space="0" w:color="auto"/>
              <w:bottom w:val="single" w:sz="4" w:space="0" w:color="auto"/>
            </w:tcBorders>
            <w:tcMar>
              <w:top w:w="28" w:type="dxa"/>
              <w:bottom w:w="28" w:type="dxa"/>
            </w:tcMar>
          </w:tcPr>
          <w:p w14:paraId="461A4C0E" w14:textId="5FDA8903" w:rsidR="00BB54F0" w:rsidRPr="00C32FD4" w:rsidRDefault="00043B30" w:rsidP="00BB54F0">
            <w:pPr>
              <w:pStyle w:val="Table-text"/>
              <w:numPr>
                <w:ilvl w:val="0"/>
                <w:numId w:val="14"/>
              </w:numPr>
              <w:ind w:left="315" w:hanging="284"/>
            </w:pPr>
            <w:r>
              <w:t>New</w:t>
            </w:r>
          </w:p>
        </w:tc>
      </w:tr>
      <w:tr w:rsidR="00BB54F0" w:rsidRPr="00C32FD4" w14:paraId="3D381701" w14:textId="77777777" w:rsidTr="00774AD6">
        <w:tc>
          <w:tcPr>
            <w:tcW w:w="1413" w:type="dxa"/>
            <w:tcBorders>
              <w:top w:val="single" w:sz="4" w:space="0" w:color="auto"/>
            </w:tcBorders>
            <w:tcMar>
              <w:top w:w="28" w:type="dxa"/>
              <w:bottom w:w="28" w:type="dxa"/>
            </w:tcMar>
          </w:tcPr>
          <w:p w14:paraId="4FE7504C" w14:textId="77777777" w:rsidR="00BB54F0" w:rsidRPr="00C32FD4" w:rsidRDefault="00BB54F0" w:rsidP="00774AD6">
            <w:pPr>
              <w:pStyle w:val="Table-text"/>
              <w:ind w:left="22"/>
              <w:jc w:val="center"/>
            </w:pPr>
          </w:p>
        </w:tc>
        <w:tc>
          <w:tcPr>
            <w:tcW w:w="7644" w:type="dxa"/>
            <w:tcBorders>
              <w:top w:val="single" w:sz="4" w:space="0" w:color="auto"/>
            </w:tcBorders>
            <w:tcMar>
              <w:top w:w="28" w:type="dxa"/>
              <w:bottom w:w="28" w:type="dxa"/>
            </w:tcMar>
          </w:tcPr>
          <w:p w14:paraId="780043DB" w14:textId="77777777" w:rsidR="00BB54F0" w:rsidRPr="00C32FD4" w:rsidRDefault="00BB54F0" w:rsidP="00BB54F0">
            <w:pPr>
              <w:pStyle w:val="Table-text"/>
            </w:pPr>
          </w:p>
        </w:tc>
      </w:tr>
    </w:tbl>
    <w:p w14:paraId="43A15A39" w14:textId="77777777" w:rsidR="00BB54F0" w:rsidRPr="00C32FD4" w:rsidRDefault="00BB54F0" w:rsidP="00BB54F0">
      <w:pPr>
        <w:pStyle w:val="Table-space"/>
      </w:pPr>
    </w:p>
    <w:sectPr w:rsidR="00BB54F0" w:rsidRPr="00C32FD4" w:rsidSect="00163A7C">
      <w:headerReference w:type="default" r:id="rId11"/>
      <w:footerReference w:type="default" r:id="rId12"/>
      <w:pgSz w:w="12240" w:h="15840"/>
      <w:pgMar w:top="1560" w:right="1320" w:bottom="1180" w:left="1340" w:header="850" w:footer="9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DFAD8" w14:textId="77777777" w:rsidR="00BB2DAC" w:rsidRDefault="00BB2DAC">
      <w:r>
        <w:separator/>
      </w:r>
    </w:p>
  </w:endnote>
  <w:endnote w:type="continuationSeparator" w:id="0">
    <w:p w14:paraId="34244719" w14:textId="77777777" w:rsidR="00BB2DAC" w:rsidRDefault="00BB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9" w:csb1="00000000"/>
  </w:font>
  <w:font w:name="MS Shell Dlg 2">
    <w:altName w:val="Sylfae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F789" w14:textId="77777777" w:rsidR="00BB2DAC" w:rsidRPr="0083364C" w:rsidRDefault="00BB2DAC" w:rsidP="00910E4A">
    <w:pPr>
      <w:pStyle w:val="BodyText"/>
      <w:pBdr>
        <w:top w:val="single" w:sz="4" w:space="1" w:color="auto"/>
      </w:pBdr>
      <w:rPr>
        <w:sz w:val="12"/>
      </w:rPr>
    </w:pPr>
    <w:r>
      <w:rPr>
        <w:noProof/>
        <w:lang w:eastAsia="en-AU"/>
      </w:rPr>
      <mc:AlternateContent>
        <mc:Choice Requires="wps">
          <w:drawing>
            <wp:anchor distT="0" distB="0" distL="114300" distR="114300" simplePos="0" relativeHeight="251657728" behindDoc="1" locked="0" layoutInCell="0" allowOverlap="1" wp14:anchorId="13EE0FFD" wp14:editId="2EE81376">
              <wp:simplePos x="0" y="0"/>
              <wp:positionH relativeFrom="page">
                <wp:posOffset>5617210</wp:posOffset>
              </wp:positionH>
              <wp:positionV relativeFrom="page">
                <wp:posOffset>9400540</wp:posOffset>
              </wp:positionV>
              <wp:extent cx="1256030" cy="215900"/>
              <wp:effectExtent l="0" t="0" r="12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5256" w14:textId="5CCFF95A" w:rsidR="00BB2DAC" w:rsidRDefault="00BB2DAC" w:rsidP="00380805">
                          <w:pPr>
                            <w:pStyle w:val="BodyText"/>
                          </w:pPr>
                          <w:r>
                            <w:rPr>
                              <w:spacing w:val="-1"/>
                            </w:rPr>
                            <w:t>version</w:t>
                          </w:r>
                          <w:r>
                            <w:t xml:space="preserve"> 1: page  </w:t>
                          </w:r>
                          <w:r>
                            <w:fldChar w:fldCharType="begin"/>
                          </w:r>
                          <w:r>
                            <w:instrText xml:space="preserve"> PAGE  \* Arabic  \* MERGEFORMAT </w:instrText>
                          </w:r>
                          <w:r>
                            <w:fldChar w:fldCharType="separate"/>
                          </w:r>
                          <w:r w:rsidR="008560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E0FFD" id="_x0000_t202" coordsize="21600,21600" o:spt="202" path="m,l,21600r21600,l21600,xe">
              <v:stroke joinstyle="miter"/>
              <v:path gradientshapeok="t" o:connecttype="rect"/>
            </v:shapetype>
            <v:shape id="Text Box 2" o:spid="_x0000_s1027" type="#_x0000_t202" style="position:absolute;left:0;text-align:left;margin-left:442.3pt;margin-top:740.2pt;width:98.9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RPrg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sdfpOp+D00IGbGWDbetpMdXcvy+8aCblqiNjSW6Vk31BSAbvQ3vRfXB1x&#10;tAXZ9J9kBWHIzkgHNNSqtYBQDATo0KWnY2csldKGjGbz4BKOSjiLwlkSuNb5JJ1ud0qbD1S2yBoZ&#10;VtB5h07299pYNiSdXGwwIQvGues+F2cb4DjuQGy4as8sC9fM5yRI1ov1IvbiaL724iDPvdtiFXvz&#10;Irya5Zf5apWHv2zcME4bVlVU2DCTsML4zxp3kPgoiaO0tOSssnCWklbbzYortCcg7MJ9ruZwcnLz&#10;z2m4IkAur1IKozi4ixKvmC+uvLiIZ15yFSy8IEzuknkQJ3FenKd0zwT995RQn+FkFs1GMZ1Iv8ot&#10;cN/b3EjaMgOjg7M2w4ujE0mtBNeicq01hPHRflEKS/9UCmj31GgnWKvRUa1m2AyAYlW8kdUTSFdJ&#10;UBaIEOYdGI1UPzHqYXZkWP/YEUUx4h8FyN8OmslQk7GZDCJKuJphg9Forsw4kHadYtsGkMcHJuQt&#10;PJGaOfWeWBweFswDl8RhdtmB8/LfeZ0m7PI3AAAA//8DAFBLAwQUAAYACAAAACEAkFOAjOEAAAAO&#10;AQAADwAAAGRycy9kb3ducmV2LnhtbEyPwU7DMBBE70j9B2srcaN2KxOZEKeqEJyQEGk4cHQSN4ka&#10;r0PstuHv2Z7obVbzNDuTbWc3sLOdQu9Rw3olgFmsfdNjq+GrfHtQwEI02JjBo9XwawNs88VdZtLG&#10;X7Cw531sGYVgSI2GLsYx5TzUnXUmrPxokbyDn5yJdE4tbyZzoXA38I0QCXemR/rQmdG+dLY+7k9O&#10;w+4bi9f+56P6LA5FX5ZPAt+To9b3y3n3DCzaOf7DcK1P1SGnTpU/YRPYoEEpmRBKhlRCArsiQm1I&#10;VaQe11ICzzN+OyP/AwAA//8DAFBLAQItABQABgAIAAAAIQC2gziS/gAAAOEBAAATAAAAAAAAAAAA&#10;AAAAAAAAAABbQ29udGVudF9UeXBlc10ueG1sUEsBAi0AFAAGAAgAAAAhADj9If/WAAAAlAEAAAsA&#10;AAAAAAAAAAAAAAAALwEAAF9yZWxzLy5yZWxzUEsBAi0AFAAGAAgAAAAhAAdmFE+uAgAAqQUAAA4A&#10;AAAAAAAAAAAAAAAALgIAAGRycy9lMm9Eb2MueG1sUEsBAi0AFAAGAAgAAAAhAJBTgIzhAAAADgEA&#10;AA8AAAAAAAAAAAAAAAAACAUAAGRycy9kb3ducmV2LnhtbFBLBQYAAAAABAAEAPMAAAAWBgAAAAA=&#10;" o:allowincell="f" filled="f" stroked="f">
              <v:textbox inset="0,0,0,0">
                <w:txbxContent>
                  <w:p w14:paraId="183F5256" w14:textId="5CCFF95A" w:rsidR="00BB2DAC" w:rsidRDefault="00BB2DAC" w:rsidP="00380805">
                    <w:pPr>
                      <w:pStyle w:val="BodyText"/>
                    </w:pPr>
                    <w:r>
                      <w:rPr>
                        <w:spacing w:val="-1"/>
                      </w:rPr>
                      <w:t>version</w:t>
                    </w:r>
                    <w:r>
                      <w:t xml:space="preserve"> 1: page  </w:t>
                    </w:r>
                    <w:r>
                      <w:fldChar w:fldCharType="begin"/>
                    </w:r>
                    <w:r>
                      <w:instrText xml:space="preserve"> PAGE  \* Arabic  \* MERGEFORMAT </w:instrText>
                    </w:r>
                    <w:r>
                      <w:fldChar w:fldCharType="separate"/>
                    </w:r>
                    <w:r w:rsidR="0085608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335B9" w14:textId="77777777" w:rsidR="00BB2DAC" w:rsidRDefault="00BB2DAC">
      <w:r>
        <w:separator/>
      </w:r>
    </w:p>
  </w:footnote>
  <w:footnote w:type="continuationSeparator" w:id="0">
    <w:p w14:paraId="6EF90CA6" w14:textId="77777777" w:rsidR="00BB2DAC" w:rsidRDefault="00BB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850BA4" w:rsidRPr="00850BA4" w14:paraId="7EB61485" w14:textId="77777777" w:rsidTr="00812BFF">
      <w:tc>
        <w:tcPr>
          <w:tcW w:w="8720" w:type="dxa"/>
          <w:shd w:val="clear" w:color="auto" w:fill="E4F2E0"/>
        </w:tcPr>
        <w:p w14:paraId="4A9985FD" w14:textId="72F31FF0" w:rsidR="00850BA4" w:rsidRPr="00850BA4" w:rsidRDefault="00850BA4" w:rsidP="00850BA4">
          <w:pPr>
            <w:widowControl/>
            <w:autoSpaceDE/>
            <w:autoSpaceDN/>
            <w:adjustRightInd/>
            <w:spacing w:before="40" w:after="40" w:line="240" w:lineRule="atLeast"/>
            <w:rPr>
              <w:rFonts w:ascii="Cambria" w:hAnsi="Cambria"/>
              <w:b/>
              <w:sz w:val="20"/>
              <w:szCs w:val="20"/>
            </w:rPr>
          </w:pPr>
          <w:r w:rsidRPr="00850BA4">
            <w:rPr>
              <w:rFonts w:ascii="Cambria" w:hAnsi="Cambria"/>
              <w:b/>
              <w:sz w:val="20"/>
              <w:szCs w:val="20"/>
            </w:rPr>
            <w:t xml:space="preserve">Attachment 1: Product information for </w:t>
          </w:r>
          <w:proofErr w:type="spellStart"/>
          <w:r w:rsidRPr="00850BA4">
            <w:rPr>
              <w:rFonts w:ascii="Cambria" w:hAnsi="Cambria"/>
              <w:b/>
              <w:sz w:val="20"/>
              <w:szCs w:val="20"/>
            </w:rPr>
            <w:t>AusPAR</w:t>
          </w:r>
          <w:proofErr w:type="spellEnd"/>
          <w:r w:rsidRPr="00850BA4">
            <w:rPr>
              <w:rFonts w:ascii="Cambria" w:hAnsi="Cambria"/>
              <w:b/>
              <w:sz w:val="20"/>
              <w:szCs w:val="20"/>
            </w:rPr>
            <w:t xml:space="preserve"> </w:t>
          </w:r>
          <w:proofErr w:type="spellStart"/>
          <w:r w:rsidRPr="00850BA4">
            <w:rPr>
              <w:rFonts w:ascii="Cambria" w:hAnsi="Cambria"/>
              <w:b/>
              <w:sz w:val="20"/>
              <w:szCs w:val="20"/>
            </w:rPr>
            <w:t>Ilumya</w:t>
          </w:r>
          <w:proofErr w:type="spellEnd"/>
          <w:r w:rsidRPr="00850BA4">
            <w:rPr>
              <w:rFonts w:ascii="Cambria" w:hAnsi="Cambria"/>
              <w:b/>
              <w:sz w:val="20"/>
              <w:szCs w:val="20"/>
            </w:rPr>
            <w:t xml:space="preserve"> </w:t>
          </w:r>
          <w:proofErr w:type="spellStart"/>
          <w:r w:rsidRPr="00850BA4">
            <w:rPr>
              <w:rFonts w:ascii="Cambria" w:hAnsi="Cambria"/>
              <w:b/>
              <w:sz w:val="20"/>
              <w:szCs w:val="20"/>
            </w:rPr>
            <w:t>tildrakizumab</w:t>
          </w:r>
          <w:proofErr w:type="spellEnd"/>
          <w:r w:rsidRPr="00850BA4">
            <w:rPr>
              <w:rFonts w:ascii="Cambria" w:hAnsi="Cambria"/>
              <w:b/>
              <w:sz w:val="20"/>
              <w:szCs w:val="20"/>
            </w:rPr>
            <w:t xml:space="preserve"> Sun Pharma</w:t>
          </w:r>
          <w:r>
            <w:rPr>
              <w:rFonts w:ascii="Cambria" w:hAnsi="Cambria"/>
              <w:b/>
              <w:sz w:val="20"/>
              <w:szCs w:val="20"/>
            </w:rPr>
            <w:t xml:space="preserve"> ANZ Pty Ltd PM-2017-02274-1-1 final</w:t>
          </w:r>
          <w:r w:rsidRPr="00850BA4">
            <w:rPr>
              <w:rFonts w:ascii="Cambria" w:hAnsi="Cambria"/>
              <w:b/>
              <w:sz w:val="20"/>
              <w:szCs w:val="20"/>
            </w:rPr>
            <w:t xml:space="preserve"> 24 September 2019. This Product Information was approved at the time this </w:t>
          </w:r>
          <w:proofErr w:type="spellStart"/>
          <w:r w:rsidRPr="00850BA4">
            <w:rPr>
              <w:rFonts w:ascii="Cambria" w:hAnsi="Cambria"/>
              <w:b/>
              <w:sz w:val="20"/>
              <w:szCs w:val="20"/>
            </w:rPr>
            <w:t>AusPAR</w:t>
          </w:r>
          <w:proofErr w:type="spellEnd"/>
          <w:r w:rsidRPr="00850BA4">
            <w:rPr>
              <w:rFonts w:ascii="Cambria" w:hAnsi="Cambria"/>
              <w:b/>
              <w:sz w:val="20"/>
              <w:szCs w:val="20"/>
            </w:rPr>
            <w:t xml:space="preserve"> was published.</w:t>
          </w:r>
        </w:p>
      </w:tc>
    </w:tr>
  </w:tbl>
  <w:p w14:paraId="60EDD446" w14:textId="77777777" w:rsidR="00BB2DAC" w:rsidRDefault="00BB2DAC" w:rsidP="00163A7C">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0A92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E8D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815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925F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941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FE03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101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BE0A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6D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DE9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820" w:hanging="360"/>
      </w:pPr>
      <w:rPr>
        <w:rFonts w:ascii="Symbol" w:hAnsi="Symbol"/>
        <w:b w:val="0"/>
        <w:sz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1" w15:restartNumberingAfterBreak="0">
    <w:nsid w:val="00000403"/>
    <w:multiLevelType w:val="multilevel"/>
    <w:tmpl w:val="00000886"/>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2" w15:restartNumberingAfterBreak="0">
    <w:nsid w:val="0CD463EE"/>
    <w:multiLevelType w:val="hybridMultilevel"/>
    <w:tmpl w:val="11EE1BB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1339AE"/>
    <w:multiLevelType w:val="hybridMultilevel"/>
    <w:tmpl w:val="0A04B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4D1C71"/>
    <w:multiLevelType w:val="multilevel"/>
    <w:tmpl w:val="AE6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934CB"/>
    <w:multiLevelType w:val="hybridMultilevel"/>
    <w:tmpl w:val="AAC870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8"/>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removePersonalInformation/>
  <w:removeDateAndTime/>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A4"/>
    <w:rsid w:val="00003BD7"/>
    <w:rsid w:val="00004493"/>
    <w:rsid w:val="00017545"/>
    <w:rsid w:val="000175FD"/>
    <w:rsid w:val="00023636"/>
    <w:rsid w:val="00032672"/>
    <w:rsid w:val="00034E30"/>
    <w:rsid w:val="00035ED6"/>
    <w:rsid w:val="00043B30"/>
    <w:rsid w:val="00044B27"/>
    <w:rsid w:val="00046DF5"/>
    <w:rsid w:val="00054C84"/>
    <w:rsid w:val="00054ECC"/>
    <w:rsid w:val="00063372"/>
    <w:rsid w:val="00067FC4"/>
    <w:rsid w:val="00073561"/>
    <w:rsid w:val="00074BB6"/>
    <w:rsid w:val="000800CC"/>
    <w:rsid w:val="0008477C"/>
    <w:rsid w:val="000876FC"/>
    <w:rsid w:val="00091AD5"/>
    <w:rsid w:val="00094AA2"/>
    <w:rsid w:val="00097D29"/>
    <w:rsid w:val="000A141E"/>
    <w:rsid w:val="000A6B16"/>
    <w:rsid w:val="000B721C"/>
    <w:rsid w:val="000C4C38"/>
    <w:rsid w:val="000C5AFA"/>
    <w:rsid w:val="000C5D45"/>
    <w:rsid w:val="000C5E33"/>
    <w:rsid w:val="000C7807"/>
    <w:rsid w:val="000E0739"/>
    <w:rsid w:val="000E1C23"/>
    <w:rsid w:val="000E2646"/>
    <w:rsid w:val="000E34AD"/>
    <w:rsid w:val="000E6DE4"/>
    <w:rsid w:val="000F1D84"/>
    <w:rsid w:val="00102AEA"/>
    <w:rsid w:val="001077A4"/>
    <w:rsid w:val="00115E2D"/>
    <w:rsid w:val="001169CA"/>
    <w:rsid w:val="0012101A"/>
    <w:rsid w:val="0012718B"/>
    <w:rsid w:val="0013304B"/>
    <w:rsid w:val="00143B1D"/>
    <w:rsid w:val="00146445"/>
    <w:rsid w:val="00146570"/>
    <w:rsid w:val="00147D74"/>
    <w:rsid w:val="001552DD"/>
    <w:rsid w:val="00162035"/>
    <w:rsid w:val="00163A7C"/>
    <w:rsid w:val="00171D76"/>
    <w:rsid w:val="0017448C"/>
    <w:rsid w:val="00175F89"/>
    <w:rsid w:val="001838D0"/>
    <w:rsid w:val="001859D7"/>
    <w:rsid w:val="001922B5"/>
    <w:rsid w:val="00193E7D"/>
    <w:rsid w:val="001941AD"/>
    <w:rsid w:val="00197A5E"/>
    <w:rsid w:val="001A3887"/>
    <w:rsid w:val="001A5306"/>
    <w:rsid w:val="001B4691"/>
    <w:rsid w:val="001C00E8"/>
    <w:rsid w:val="001C3D46"/>
    <w:rsid w:val="001D5690"/>
    <w:rsid w:val="001D6848"/>
    <w:rsid w:val="001D6A0C"/>
    <w:rsid w:val="001E4F48"/>
    <w:rsid w:val="001E5E76"/>
    <w:rsid w:val="001F192B"/>
    <w:rsid w:val="001F1CEA"/>
    <w:rsid w:val="001F2C53"/>
    <w:rsid w:val="00201836"/>
    <w:rsid w:val="00201DDF"/>
    <w:rsid w:val="00205747"/>
    <w:rsid w:val="00211BC6"/>
    <w:rsid w:val="00214A60"/>
    <w:rsid w:val="00221E9C"/>
    <w:rsid w:val="0022313C"/>
    <w:rsid w:val="00231173"/>
    <w:rsid w:val="00234A06"/>
    <w:rsid w:val="00235958"/>
    <w:rsid w:val="00235F78"/>
    <w:rsid w:val="0024498E"/>
    <w:rsid w:val="00251AFA"/>
    <w:rsid w:val="002614CB"/>
    <w:rsid w:val="0026220F"/>
    <w:rsid w:val="002679E6"/>
    <w:rsid w:val="00271259"/>
    <w:rsid w:val="00271646"/>
    <w:rsid w:val="00271BCB"/>
    <w:rsid w:val="00283365"/>
    <w:rsid w:val="002833E0"/>
    <w:rsid w:val="0028451F"/>
    <w:rsid w:val="002873BC"/>
    <w:rsid w:val="0029438F"/>
    <w:rsid w:val="0029484D"/>
    <w:rsid w:val="00297925"/>
    <w:rsid w:val="002A32D9"/>
    <w:rsid w:val="002A7CFA"/>
    <w:rsid w:val="002B0CF7"/>
    <w:rsid w:val="002C06B2"/>
    <w:rsid w:val="002C25BB"/>
    <w:rsid w:val="002D1BE8"/>
    <w:rsid w:val="002D2202"/>
    <w:rsid w:val="002E06E3"/>
    <w:rsid w:val="002E3228"/>
    <w:rsid w:val="00305084"/>
    <w:rsid w:val="003073A0"/>
    <w:rsid w:val="0030793B"/>
    <w:rsid w:val="00310256"/>
    <w:rsid w:val="00325B28"/>
    <w:rsid w:val="003267D8"/>
    <w:rsid w:val="00332FA1"/>
    <w:rsid w:val="00342E70"/>
    <w:rsid w:val="00344479"/>
    <w:rsid w:val="003449B3"/>
    <w:rsid w:val="00344DA7"/>
    <w:rsid w:val="003478CB"/>
    <w:rsid w:val="00347991"/>
    <w:rsid w:val="0036170F"/>
    <w:rsid w:val="00370BF5"/>
    <w:rsid w:val="00372119"/>
    <w:rsid w:val="00372C10"/>
    <w:rsid w:val="0037396A"/>
    <w:rsid w:val="00373DFA"/>
    <w:rsid w:val="00380805"/>
    <w:rsid w:val="003815FA"/>
    <w:rsid w:val="00381813"/>
    <w:rsid w:val="00382188"/>
    <w:rsid w:val="003859C7"/>
    <w:rsid w:val="00385A7A"/>
    <w:rsid w:val="00390AE8"/>
    <w:rsid w:val="00390E7E"/>
    <w:rsid w:val="003964E9"/>
    <w:rsid w:val="003A1890"/>
    <w:rsid w:val="003B786B"/>
    <w:rsid w:val="003D4195"/>
    <w:rsid w:val="003D79E4"/>
    <w:rsid w:val="003E4168"/>
    <w:rsid w:val="003E7162"/>
    <w:rsid w:val="003F05B3"/>
    <w:rsid w:val="003F2438"/>
    <w:rsid w:val="00401F12"/>
    <w:rsid w:val="00404348"/>
    <w:rsid w:val="004107B8"/>
    <w:rsid w:val="0041485B"/>
    <w:rsid w:val="00421D81"/>
    <w:rsid w:val="00424F14"/>
    <w:rsid w:val="00430900"/>
    <w:rsid w:val="004319C8"/>
    <w:rsid w:val="0043399A"/>
    <w:rsid w:val="00442251"/>
    <w:rsid w:val="00446D28"/>
    <w:rsid w:val="00451F01"/>
    <w:rsid w:val="004529EE"/>
    <w:rsid w:val="00453FBA"/>
    <w:rsid w:val="00463F1D"/>
    <w:rsid w:val="00465C9E"/>
    <w:rsid w:val="004714BD"/>
    <w:rsid w:val="00476317"/>
    <w:rsid w:val="00482EA5"/>
    <w:rsid w:val="004877A5"/>
    <w:rsid w:val="00491480"/>
    <w:rsid w:val="00494EED"/>
    <w:rsid w:val="004958DF"/>
    <w:rsid w:val="004A5E4B"/>
    <w:rsid w:val="004B2DD8"/>
    <w:rsid w:val="004B5DA6"/>
    <w:rsid w:val="004B5E6B"/>
    <w:rsid w:val="004C32ED"/>
    <w:rsid w:val="004C6435"/>
    <w:rsid w:val="004D2AC3"/>
    <w:rsid w:val="004D2ED4"/>
    <w:rsid w:val="004D3BAF"/>
    <w:rsid w:val="004E3B6F"/>
    <w:rsid w:val="004E44C9"/>
    <w:rsid w:val="004E7EA2"/>
    <w:rsid w:val="004F08CE"/>
    <w:rsid w:val="004F09A1"/>
    <w:rsid w:val="004F33FB"/>
    <w:rsid w:val="00500578"/>
    <w:rsid w:val="0050095F"/>
    <w:rsid w:val="00506012"/>
    <w:rsid w:val="00511EB7"/>
    <w:rsid w:val="00520F4E"/>
    <w:rsid w:val="00525A6B"/>
    <w:rsid w:val="005274AB"/>
    <w:rsid w:val="00535D25"/>
    <w:rsid w:val="00554383"/>
    <w:rsid w:val="0056107B"/>
    <w:rsid w:val="005655FC"/>
    <w:rsid w:val="0056682A"/>
    <w:rsid w:val="00570012"/>
    <w:rsid w:val="00572ECD"/>
    <w:rsid w:val="00573846"/>
    <w:rsid w:val="00576854"/>
    <w:rsid w:val="00583F4D"/>
    <w:rsid w:val="005865A4"/>
    <w:rsid w:val="0059227C"/>
    <w:rsid w:val="00596061"/>
    <w:rsid w:val="0059709C"/>
    <w:rsid w:val="005A3028"/>
    <w:rsid w:val="005A464C"/>
    <w:rsid w:val="005A79EA"/>
    <w:rsid w:val="005B6D9F"/>
    <w:rsid w:val="005C0BF3"/>
    <w:rsid w:val="005C37E3"/>
    <w:rsid w:val="005C4358"/>
    <w:rsid w:val="005D15CA"/>
    <w:rsid w:val="005D290F"/>
    <w:rsid w:val="005E1B4B"/>
    <w:rsid w:val="005F05FB"/>
    <w:rsid w:val="005F6E3B"/>
    <w:rsid w:val="00607818"/>
    <w:rsid w:val="00621C04"/>
    <w:rsid w:val="00622F3B"/>
    <w:rsid w:val="00634B3D"/>
    <w:rsid w:val="006357E4"/>
    <w:rsid w:val="00635F1E"/>
    <w:rsid w:val="0063732C"/>
    <w:rsid w:val="00642237"/>
    <w:rsid w:val="006438D3"/>
    <w:rsid w:val="00654382"/>
    <w:rsid w:val="00656A4A"/>
    <w:rsid w:val="00663153"/>
    <w:rsid w:val="00663927"/>
    <w:rsid w:val="00664AE5"/>
    <w:rsid w:val="00666A82"/>
    <w:rsid w:val="00672737"/>
    <w:rsid w:val="00674F07"/>
    <w:rsid w:val="006836CA"/>
    <w:rsid w:val="0068561E"/>
    <w:rsid w:val="00695690"/>
    <w:rsid w:val="006A1453"/>
    <w:rsid w:val="006A1C80"/>
    <w:rsid w:val="006A2F6A"/>
    <w:rsid w:val="006A4F7C"/>
    <w:rsid w:val="006A7AA0"/>
    <w:rsid w:val="006B5411"/>
    <w:rsid w:val="006B5907"/>
    <w:rsid w:val="006C3AA2"/>
    <w:rsid w:val="006C6A9A"/>
    <w:rsid w:val="006C74C0"/>
    <w:rsid w:val="006D04F2"/>
    <w:rsid w:val="006D3317"/>
    <w:rsid w:val="006D44FD"/>
    <w:rsid w:val="006D6AED"/>
    <w:rsid w:val="006E0E30"/>
    <w:rsid w:val="006E2B53"/>
    <w:rsid w:val="006E4E7B"/>
    <w:rsid w:val="006E55AE"/>
    <w:rsid w:val="006E57AA"/>
    <w:rsid w:val="006E7F14"/>
    <w:rsid w:val="006F216E"/>
    <w:rsid w:val="006F3BEC"/>
    <w:rsid w:val="006F694C"/>
    <w:rsid w:val="00702B9E"/>
    <w:rsid w:val="00713156"/>
    <w:rsid w:val="00726BD5"/>
    <w:rsid w:val="0073353D"/>
    <w:rsid w:val="007363F3"/>
    <w:rsid w:val="00737CA9"/>
    <w:rsid w:val="00751EA6"/>
    <w:rsid w:val="00761E65"/>
    <w:rsid w:val="0076469B"/>
    <w:rsid w:val="00767FB0"/>
    <w:rsid w:val="00767FBF"/>
    <w:rsid w:val="00774AD6"/>
    <w:rsid w:val="00775A30"/>
    <w:rsid w:val="00776C64"/>
    <w:rsid w:val="00777565"/>
    <w:rsid w:val="00782903"/>
    <w:rsid w:val="00785504"/>
    <w:rsid w:val="00786872"/>
    <w:rsid w:val="00787240"/>
    <w:rsid w:val="0079040E"/>
    <w:rsid w:val="0079172D"/>
    <w:rsid w:val="00794B40"/>
    <w:rsid w:val="007965E6"/>
    <w:rsid w:val="00797228"/>
    <w:rsid w:val="00797571"/>
    <w:rsid w:val="007A0CAC"/>
    <w:rsid w:val="007A20D0"/>
    <w:rsid w:val="007A2BD9"/>
    <w:rsid w:val="007A5D35"/>
    <w:rsid w:val="007B1080"/>
    <w:rsid w:val="007B24B0"/>
    <w:rsid w:val="007B4295"/>
    <w:rsid w:val="007B7449"/>
    <w:rsid w:val="007B77B7"/>
    <w:rsid w:val="007C010E"/>
    <w:rsid w:val="007C0E00"/>
    <w:rsid w:val="007C280F"/>
    <w:rsid w:val="007C2FFE"/>
    <w:rsid w:val="007C38C5"/>
    <w:rsid w:val="007C52FE"/>
    <w:rsid w:val="007D0217"/>
    <w:rsid w:val="007D0369"/>
    <w:rsid w:val="007D227E"/>
    <w:rsid w:val="007D2301"/>
    <w:rsid w:val="007D2AD2"/>
    <w:rsid w:val="007D3D8A"/>
    <w:rsid w:val="007D53AE"/>
    <w:rsid w:val="007F39E0"/>
    <w:rsid w:val="008001ED"/>
    <w:rsid w:val="00803555"/>
    <w:rsid w:val="008048FD"/>
    <w:rsid w:val="00804D90"/>
    <w:rsid w:val="008149A3"/>
    <w:rsid w:val="0081527C"/>
    <w:rsid w:val="00822BF8"/>
    <w:rsid w:val="00827B59"/>
    <w:rsid w:val="00832442"/>
    <w:rsid w:val="0083364C"/>
    <w:rsid w:val="008423CB"/>
    <w:rsid w:val="0084578C"/>
    <w:rsid w:val="00846998"/>
    <w:rsid w:val="00850BA4"/>
    <w:rsid w:val="00851239"/>
    <w:rsid w:val="00855E6A"/>
    <w:rsid w:val="0085608C"/>
    <w:rsid w:val="0086233B"/>
    <w:rsid w:val="0086245B"/>
    <w:rsid w:val="008671D6"/>
    <w:rsid w:val="00867EE8"/>
    <w:rsid w:val="008704B6"/>
    <w:rsid w:val="0087435E"/>
    <w:rsid w:val="00875B4F"/>
    <w:rsid w:val="00877A5E"/>
    <w:rsid w:val="00881793"/>
    <w:rsid w:val="00882CF5"/>
    <w:rsid w:val="00891196"/>
    <w:rsid w:val="00891E0A"/>
    <w:rsid w:val="00894D0F"/>
    <w:rsid w:val="008A2A53"/>
    <w:rsid w:val="008B1F97"/>
    <w:rsid w:val="008B275A"/>
    <w:rsid w:val="008B3476"/>
    <w:rsid w:val="008B7996"/>
    <w:rsid w:val="008B7B7F"/>
    <w:rsid w:val="008C17AD"/>
    <w:rsid w:val="008C493D"/>
    <w:rsid w:val="008D4605"/>
    <w:rsid w:val="008E3404"/>
    <w:rsid w:val="008E50D4"/>
    <w:rsid w:val="008F348A"/>
    <w:rsid w:val="008F3AB9"/>
    <w:rsid w:val="009002BF"/>
    <w:rsid w:val="0090136C"/>
    <w:rsid w:val="00901450"/>
    <w:rsid w:val="00902C7B"/>
    <w:rsid w:val="009039E6"/>
    <w:rsid w:val="00910933"/>
    <w:rsid w:val="00910E4A"/>
    <w:rsid w:val="00911B8C"/>
    <w:rsid w:val="009168B2"/>
    <w:rsid w:val="0092103A"/>
    <w:rsid w:val="00921F2E"/>
    <w:rsid w:val="009226D0"/>
    <w:rsid w:val="00926F3F"/>
    <w:rsid w:val="00930FCF"/>
    <w:rsid w:val="00932CF1"/>
    <w:rsid w:val="00933A32"/>
    <w:rsid w:val="00936F2A"/>
    <w:rsid w:val="009401BF"/>
    <w:rsid w:val="00940D15"/>
    <w:rsid w:val="00943AFA"/>
    <w:rsid w:val="00945A87"/>
    <w:rsid w:val="00951E5B"/>
    <w:rsid w:val="00953D2F"/>
    <w:rsid w:val="00963EBC"/>
    <w:rsid w:val="0096604D"/>
    <w:rsid w:val="009703E8"/>
    <w:rsid w:val="00972FDF"/>
    <w:rsid w:val="00975387"/>
    <w:rsid w:val="00976EE8"/>
    <w:rsid w:val="0097786E"/>
    <w:rsid w:val="00983456"/>
    <w:rsid w:val="0098351F"/>
    <w:rsid w:val="00983ABB"/>
    <w:rsid w:val="009840DF"/>
    <w:rsid w:val="00985909"/>
    <w:rsid w:val="00986B88"/>
    <w:rsid w:val="00987A2B"/>
    <w:rsid w:val="0099133A"/>
    <w:rsid w:val="00991898"/>
    <w:rsid w:val="009952BF"/>
    <w:rsid w:val="009A387E"/>
    <w:rsid w:val="009A7E9E"/>
    <w:rsid w:val="009B4E5C"/>
    <w:rsid w:val="009B76B4"/>
    <w:rsid w:val="009C33BB"/>
    <w:rsid w:val="009C3F8B"/>
    <w:rsid w:val="009D1296"/>
    <w:rsid w:val="009E2920"/>
    <w:rsid w:val="009F0D3D"/>
    <w:rsid w:val="00A00253"/>
    <w:rsid w:val="00A01210"/>
    <w:rsid w:val="00A02772"/>
    <w:rsid w:val="00A05E30"/>
    <w:rsid w:val="00A11176"/>
    <w:rsid w:val="00A122C0"/>
    <w:rsid w:val="00A12897"/>
    <w:rsid w:val="00A16508"/>
    <w:rsid w:val="00A174C5"/>
    <w:rsid w:val="00A1780E"/>
    <w:rsid w:val="00A200F3"/>
    <w:rsid w:val="00A21FEC"/>
    <w:rsid w:val="00A22C3F"/>
    <w:rsid w:val="00A27AA5"/>
    <w:rsid w:val="00A27F83"/>
    <w:rsid w:val="00A36453"/>
    <w:rsid w:val="00A41983"/>
    <w:rsid w:val="00A46522"/>
    <w:rsid w:val="00A533D7"/>
    <w:rsid w:val="00A53869"/>
    <w:rsid w:val="00A5437C"/>
    <w:rsid w:val="00A55DC1"/>
    <w:rsid w:val="00A61091"/>
    <w:rsid w:val="00A61D99"/>
    <w:rsid w:val="00A76CF6"/>
    <w:rsid w:val="00A773D5"/>
    <w:rsid w:val="00A80C0B"/>
    <w:rsid w:val="00A81D8D"/>
    <w:rsid w:val="00A83C09"/>
    <w:rsid w:val="00A8591C"/>
    <w:rsid w:val="00A87484"/>
    <w:rsid w:val="00A908CD"/>
    <w:rsid w:val="00A9293F"/>
    <w:rsid w:val="00A95EB3"/>
    <w:rsid w:val="00A96C08"/>
    <w:rsid w:val="00AA485D"/>
    <w:rsid w:val="00AA6114"/>
    <w:rsid w:val="00AB320D"/>
    <w:rsid w:val="00AB6126"/>
    <w:rsid w:val="00AC2353"/>
    <w:rsid w:val="00AC49DD"/>
    <w:rsid w:val="00AD1439"/>
    <w:rsid w:val="00AD79E5"/>
    <w:rsid w:val="00AE2059"/>
    <w:rsid w:val="00AF0B4D"/>
    <w:rsid w:val="00AF101E"/>
    <w:rsid w:val="00AF1A71"/>
    <w:rsid w:val="00AF2085"/>
    <w:rsid w:val="00AF425C"/>
    <w:rsid w:val="00AF7348"/>
    <w:rsid w:val="00B01985"/>
    <w:rsid w:val="00B10247"/>
    <w:rsid w:val="00B21C2E"/>
    <w:rsid w:val="00B2795F"/>
    <w:rsid w:val="00B34F2A"/>
    <w:rsid w:val="00B36D10"/>
    <w:rsid w:val="00B44CC1"/>
    <w:rsid w:val="00B469F4"/>
    <w:rsid w:val="00B51F27"/>
    <w:rsid w:val="00B565B2"/>
    <w:rsid w:val="00B60964"/>
    <w:rsid w:val="00B611B9"/>
    <w:rsid w:val="00B61927"/>
    <w:rsid w:val="00B62C65"/>
    <w:rsid w:val="00B6349A"/>
    <w:rsid w:val="00B63AFE"/>
    <w:rsid w:val="00B66E1D"/>
    <w:rsid w:val="00B67B54"/>
    <w:rsid w:val="00B74987"/>
    <w:rsid w:val="00B77C79"/>
    <w:rsid w:val="00B80A2B"/>
    <w:rsid w:val="00B82B84"/>
    <w:rsid w:val="00B8402F"/>
    <w:rsid w:val="00B85FDB"/>
    <w:rsid w:val="00B90AAF"/>
    <w:rsid w:val="00B90D52"/>
    <w:rsid w:val="00B93A05"/>
    <w:rsid w:val="00B94D7B"/>
    <w:rsid w:val="00B958E2"/>
    <w:rsid w:val="00BA122E"/>
    <w:rsid w:val="00BA23F2"/>
    <w:rsid w:val="00BA3158"/>
    <w:rsid w:val="00BA52C0"/>
    <w:rsid w:val="00BB2DAC"/>
    <w:rsid w:val="00BB2E65"/>
    <w:rsid w:val="00BB3A6B"/>
    <w:rsid w:val="00BB54F0"/>
    <w:rsid w:val="00BB7288"/>
    <w:rsid w:val="00BB7FCE"/>
    <w:rsid w:val="00BC5F61"/>
    <w:rsid w:val="00BD2D89"/>
    <w:rsid w:val="00BD7AFD"/>
    <w:rsid w:val="00BE5BA7"/>
    <w:rsid w:val="00BF65BB"/>
    <w:rsid w:val="00C00436"/>
    <w:rsid w:val="00C00512"/>
    <w:rsid w:val="00C0165B"/>
    <w:rsid w:val="00C042C8"/>
    <w:rsid w:val="00C104A0"/>
    <w:rsid w:val="00C1200A"/>
    <w:rsid w:val="00C12499"/>
    <w:rsid w:val="00C128F3"/>
    <w:rsid w:val="00C13700"/>
    <w:rsid w:val="00C1526C"/>
    <w:rsid w:val="00C16818"/>
    <w:rsid w:val="00C23659"/>
    <w:rsid w:val="00C25A02"/>
    <w:rsid w:val="00C32FD4"/>
    <w:rsid w:val="00C352C3"/>
    <w:rsid w:val="00C41F16"/>
    <w:rsid w:val="00C42E87"/>
    <w:rsid w:val="00C4352C"/>
    <w:rsid w:val="00C56C83"/>
    <w:rsid w:val="00C713EE"/>
    <w:rsid w:val="00C76B48"/>
    <w:rsid w:val="00C77DD5"/>
    <w:rsid w:val="00C83369"/>
    <w:rsid w:val="00CA1DEA"/>
    <w:rsid w:val="00CA2049"/>
    <w:rsid w:val="00CA76B4"/>
    <w:rsid w:val="00CB05E9"/>
    <w:rsid w:val="00CB5E1A"/>
    <w:rsid w:val="00CB5F8F"/>
    <w:rsid w:val="00CC13CE"/>
    <w:rsid w:val="00CC4446"/>
    <w:rsid w:val="00CC471A"/>
    <w:rsid w:val="00CC60AA"/>
    <w:rsid w:val="00CC6BBC"/>
    <w:rsid w:val="00CD00E8"/>
    <w:rsid w:val="00CD088C"/>
    <w:rsid w:val="00CD32C1"/>
    <w:rsid w:val="00CE1463"/>
    <w:rsid w:val="00CF36CE"/>
    <w:rsid w:val="00D02D8F"/>
    <w:rsid w:val="00D0420F"/>
    <w:rsid w:val="00D0492A"/>
    <w:rsid w:val="00D10C6E"/>
    <w:rsid w:val="00D312C0"/>
    <w:rsid w:val="00D3417D"/>
    <w:rsid w:val="00D34BCE"/>
    <w:rsid w:val="00D43DBB"/>
    <w:rsid w:val="00D50531"/>
    <w:rsid w:val="00D526DB"/>
    <w:rsid w:val="00D56A3A"/>
    <w:rsid w:val="00D56FA2"/>
    <w:rsid w:val="00D6168A"/>
    <w:rsid w:val="00D646B1"/>
    <w:rsid w:val="00D64A30"/>
    <w:rsid w:val="00D668BB"/>
    <w:rsid w:val="00D67326"/>
    <w:rsid w:val="00D742D7"/>
    <w:rsid w:val="00D74E2D"/>
    <w:rsid w:val="00D80F95"/>
    <w:rsid w:val="00D81C7B"/>
    <w:rsid w:val="00D848A9"/>
    <w:rsid w:val="00D86902"/>
    <w:rsid w:val="00D90D20"/>
    <w:rsid w:val="00D91B53"/>
    <w:rsid w:val="00D94CD6"/>
    <w:rsid w:val="00D97011"/>
    <w:rsid w:val="00DA14A1"/>
    <w:rsid w:val="00DA6461"/>
    <w:rsid w:val="00DA7CC0"/>
    <w:rsid w:val="00DB1D19"/>
    <w:rsid w:val="00DB57C9"/>
    <w:rsid w:val="00DB57E9"/>
    <w:rsid w:val="00DB6FB0"/>
    <w:rsid w:val="00DC2517"/>
    <w:rsid w:val="00DC3F81"/>
    <w:rsid w:val="00DC4DC0"/>
    <w:rsid w:val="00DD4529"/>
    <w:rsid w:val="00DD4A1F"/>
    <w:rsid w:val="00DE00EF"/>
    <w:rsid w:val="00DE0F54"/>
    <w:rsid w:val="00DE476E"/>
    <w:rsid w:val="00DE6718"/>
    <w:rsid w:val="00DF5044"/>
    <w:rsid w:val="00E03B9C"/>
    <w:rsid w:val="00E2037A"/>
    <w:rsid w:val="00E20747"/>
    <w:rsid w:val="00E21F71"/>
    <w:rsid w:val="00E225ED"/>
    <w:rsid w:val="00E26B31"/>
    <w:rsid w:val="00E320D0"/>
    <w:rsid w:val="00E33B69"/>
    <w:rsid w:val="00E35A6D"/>
    <w:rsid w:val="00E369E4"/>
    <w:rsid w:val="00E40122"/>
    <w:rsid w:val="00E409F9"/>
    <w:rsid w:val="00E40C3E"/>
    <w:rsid w:val="00E41CC8"/>
    <w:rsid w:val="00E422D9"/>
    <w:rsid w:val="00E4513C"/>
    <w:rsid w:val="00E46E83"/>
    <w:rsid w:val="00E46EAC"/>
    <w:rsid w:val="00E63EE3"/>
    <w:rsid w:val="00E720DE"/>
    <w:rsid w:val="00E75FA0"/>
    <w:rsid w:val="00E80FF1"/>
    <w:rsid w:val="00E8234E"/>
    <w:rsid w:val="00E823EE"/>
    <w:rsid w:val="00E844F5"/>
    <w:rsid w:val="00E91ADE"/>
    <w:rsid w:val="00E95C0F"/>
    <w:rsid w:val="00EA0662"/>
    <w:rsid w:val="00EA3696"/>
    <w:rsid w:val="00EA5732"/>
    <w:rsid w:val="00EA7153"/>
    <w:rsid w:val="00EB35B1"/>
    <w:rsid w:val="00EB6C6E"/>
    <w:rsid w:val="00EC375A"/>
    <w:rsid w:val="00EC7FB6"/>
    <w:rsid w:val="00ED4239"/>
    <w:rsid w:val="00ED4D8D"/>
    <w:rsid w:val="00EE1C46"/>
    <w:rsid w:val="00EF3000"/>
    <w:rsid w:val="00EF7A26"/>
    <w:rsid w:val="00F02ECE"/>
    <w:rsid w:val="00F10B1B"/>
    <w:rsid w:val="00F10C40"/>
    <w:rsid w:val="00F1163C"/>
    <w:rsid w:val="00F11A67"/>
    <w:rsid w:val="00F11D28"/>
    <w:rsid w:val="00F22658"/>
    <w:rsid w:val="00F22E5D"/>
    <w:rsid w:val="00F279B4"/>
    <w:rsid w:val="00F30252"/>
    <w:rsid w:val="00F30425"/>
    <w:rsid w:val="00F468EE"/>
    <w:rsid w:val="00F53964"/>
    <w:rsid w:val="00F55670"/>
    <w:rsid w:val="00F570F0"/>
    <w:rsid w:val="00F60691"/>
    <w:rsid w:val="00F611C1"/>
    <w:rsid w:val="00F62B2F"/>
    <w:rsid w:val="00F63C68"/>
    <w:rsid w:val="00F651F0"/>
    <w:rsid w:val="00F65E81"/>
    <w:rsid w:val="00F76522"/>
    <w:rsid w:val="00F80B38"/>
    <w:rsid w:val="00F81595"/>
    <w:rsid w:val="00F82B6F"/>
    <w:rsid w:val="00F83D41"/>
    <w:rsid w:val="00F903AB"/>
    <w:rsid w:val="00F90B36"/>
    <w:rsid w:val="00FA4029"/>
    <w:rsid w:val="00FA6977"/>
    <w:rsid w:val="00FC39A6"/>
    <w:rsid w:val="00FC4816"/>
    <w:rsid w:val="00FC4B80"/>
    <w:rsid w:val="00FD13DF"/>
    <w:rsid w:val="00FD25C9"/>
    <w:rsid w:val="00FE0C89"/>
    <w:rsid w:val="00FE3831"/>
    <w:rsid w:val="00FE59C7"/>
    <w:rsid w:val="00FE7C8E"/>
    <w:rsid w:val="00FF204D"/>
    <w:rsid w:val="00FF35AB"/>
    <w:rsid w:val="00FF3F9A"/>
    <w:rsid w:val="00FF5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C29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24B0"/>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qFormat/>
    <w:rsid w:val="006D6AED"/>
    <w:pPr>
      <w:keepNext/>
      <w:widowControl/>
      <w:autoSpaceDE/>
      <w:autoSpaceDN/>
      <w:adjustRightInd/>
      <w:spacing w:before="360" w:after="120"/>
      <w:outlineLvl w:val="0"/>
    </w:pPr>
    <w:rPr>
      <w:b/>
      <w:caps/>
      <w:kern w:val="28"/>
      <w:sz w:val="28"/>
      <w:szCs w:val="20"/>
      <w:u w:val="single"/>
      <w:lang w:eastAsia="en-US"/>
    </w:rPr>
  </w:style>
  <w:style w:type="paragraph" w:styleId="Heading2">
    <w:name w:val="heading 2"/>
    <w:basedOn w:val="Heading1"/>
    <w:next w:val="Normal"/>
    <w:link w:val="Heading2Char"/>
    <w:qFormat/>
    <w:rsid w:val="00910E4A"/>
    <w:pPr>
      <w:ind w:left="426" w:hanging="426"/>
      <w:outlineLvl w:val="1"/>
    </w:pPr>
  </w:style>
  <w:style w:type="paragraph" w:styleId="Heading3">
    <w:name w:val="heading 3"/>
    <w:basedOn w:val="BodyText"/>
    <w:next w:val="Normal"/>
    <w:link w:val="Heading3Char"/>
    <w:unhideWhenUsed/>
    <w:qFormat/>
    <w:rsid w:val="00910E4A"/>
    <w:pPr>
      <w:keepNext/>
      <w:keepLines/>
      <w:spacing w:before="200"/>
      <w:ind w:left="426" w:hanging="426"/>
      <w:jc w:val="left"/>
      <w:outlineLvl w:val="2"/>
    </w:pPr>
    <w:rPr>
      <w:rFonts w:eastAsia="Times New Roman"/>
      <w:b/>
      <w:sz w:val="24"/>
      <w:u w:val="single"/>
    </w:rPr>
  </w:style>
  <w:style w:type="paragraph" w:styleId="Heading4">
    <w:name w:val="heading 4"/>
    <w:basedOn w:val="Heading3"/>
    <w:next w:val="Normal"/>
    <w:link w:val="Heading4Char"/>
    <w:uiPriority w:val="9"/>
    <w:unhideWhenUsed/>
    <w:qFormat/>
    <w:rsid w:val="00910E4A"/>
    <w:pPr>
      <w:outlineLvl w:val="3"/>
    </w:pPr>
    <w:rPr>
      <w:i/>
      <w:u w:val="none"/>
    </w:rPr>
  </w:style>
  <w:style w:type="paragraph" w:styleId="Heading5">
    <w:name w:val="heading 5"/>
    <w:basedOn w:val="Heading4"/>
    <w:next w:val="Normal"/>
    <w:link w:val="Heading5Char"/>
    <w:uiPriority w:val="9"/>
    <w:unhideWhenUsed/>
    <w:qFormat/>
    <w:rsid w:val="00910E4A"/>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D6AED"/>
    <w:rPr>
      <w:rFonts w:ascii="Times New Roman" w:hAnsi="Times New Roman" w:cs="Times New Roman"/>
      <w:b/>
      <w:caps/>
      <w:kern w:val="28"/>
      <w:sz w:val="28"/>
      <w:u w:val="single"/>
      <w:lang w:eastAsia="en-US"/>
    </w:rPr>
  </w:style>
  <w:style w:type="character" w:customStyle="1" w:styleId="Heading2Char">
    <w:name w:val="Heading 2 Char"/>
    <w:basedOn w:val="DefaultParagraphFont"/>
    <w:link w:val="Heading2"/>
    <w:locked/>
    <w:rsid w:val="00910E4A"/>
    <w:rPr>
      <w:rFonts w:ascii="Times New Roman" w:hAnsi="Times New Roman" w:cs="Times New Roman"/>
      <w:b/>
      <w:caps/>
      <w:kern w:val="28"/>
      <w:sz w:val="28"/>
      <w:u w:val="single"/>
      <w:lang w:eastAsia="en-US"/>
    </w:rPr>
  </w:style>
  <w:style w:type="paragraph" w:styleId="BodyText">
    <w:name w:val="Body Text"/>
    <w:basedOn w:val="BodyText1"/>
    <w:link w:val="BodyTextChar"/>
    <w:uiPriority w:val="1"/>
    <w:qFormat/>
    <w:rsid w:val="00380805"/>
    <w:rPr>
      <w:rFonts w:ascii="Times New Roman" w:hAnsi="Times New Roman"/>
    </w:rPr>
  </w:style>
  <w:style w:type="character" w:customStyle="1" w:styleId="BodyTextChar">
    <w:name w:val="Body Text Char"/>
    <w:basedOn w:val="DefaultParagraphFont"/>
    <w:link w:val="BodyText"/>
    <w:uiPriority w:val="1"/>
    <w:locked/>
    <w:rsid w:val="00380805"/>
    <w:rPr>
      <w:rFonts w:ascii="Times New Roman" w:eastAsiaTheme="minorHAnsi" w:hAnsi="Times New Roman" w:cs="Times New Roman"/>
      <w:sz w:val="22"/>
      <w:lang w:eastAsia="en-US"/>
    </w:rPr>
  </w:style>
  <w:style w:type="paragraph" w:styleId="ListParagraph">
    <w:name w:val="List Paragraph"/>
    <w:basedOn w:val="Normal"/>
    <w:uiPriority w:val="1"/>
    <w:qFormat/>
    <w:rsid w:val="00BB7288"/>
  </w:style>
  <w:style w:type="paragraph" w:customStyle="1" w:styleId="TableParagraph">
    <w:name w:val="Table Paragraph"/>
    <w:basedOn w:val="Normal"/>
    <w:uiPriority w:val="1"/>
    <w:qFormat/>
    <w:rsid w:val="00BB7288"/>
  </w:style>
  <w:style w:type="paragraph" w:styleId="BalloonText">
    <w:name w:val="Balloon Text"/>
    <w:basedOn w:val="Normal"/>
    <w:link w:val="BalloonTextChar"/>
    <w:uiPriority w:val="99"/>
    <w:semiHidden/>
    <w:unhideWhenUsed/>
    <w:rsid w:val="009F0D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D3D"/>
    <w:rPr>
      <w:rFonts w:ascii="Tahoma" w:hAnsi="Tahoma"/>
      <w:sz w:val="16"/>
    </w:rPr>
  </w:style>
  <w:style w:type="paragraph" w:styleId="Header">
    <w:name w:val="header"/>
    <w:basedOn w:val="Normal"/>
    <w:link w:val="HeaderChar"/>
    <w:uiPriority w:val="99"/>
    <w:unhideWhenUsed/>
    <w:rsid w:val="000B721C"/>
    <w:pPr>
      <w:tabs>
        <w:tab w:val="center" w:pos="4513"/>
        <w:tab w:val="right" w:pos="9026"/>
      </w:tabs>
    </w:pPr>
  </w:style>
  <w:style w:type="character" w:customStyle="1" w:styleId="HeaderChar">
    <w:name w:val="Header Char"/>
    <w:basedOn w:val="DefaultParagraphFont"/>
    <w:link w:val="Header"/>
    <w:uiPriority w:val="99"/>
    <w:locked/>
    <w:rsid w:val="000B721C"/>
    <w:rPr>
      <w:rFonts w:ascii="Times New Roman" w:hAnsi="Times New Roman"/>
      <w:sz w:val="24"/>
    </w:rPr>
  </w:style>
  <w:style w:type="paragraph" w:styleId="Footer">
    <w:name w:val="footer"/>
    <w:basedOn w:val="Normal"/>
    <w:link w:val="FooterChar"/>
    <w:uiPriority w:val="99"/>
    <w:unhideWhenUsed/>
    <w:rsid w:val="004D2ED4"/>
    <w:pPr>
      <w:widowControl/>
      <w:pBdr>
        <w:top w:val="single" w:sz="4" w:space="1" w:color="auto"/>
      </w:pBdr>
      <w:tabs>
        <w:tab w:val="left" w:pos="0"/>
        <w:tab w:val="center" w:pos="4536"/>
        <w:tab w:val="right" w:pos="9072"/>
      </w:tabs>
      <w:autoSpaceDE/>
      <w:autoSpaceDN/>
      <w:adjustRightInd/>
    </w:pPr>
    <w:rPr>
      <w:rFonts w:ascii="Arial" w:eastAsiaTheme="minorHAnsi" w:hAnsi="Arial"/>
      <w:sz w:val="18"/>
      <w:szCs w:val="20"/>
      <w:lang w:eastAsia="en-US"/>
    </w:rPr>
  </w:style>
  <w:style w:type="character" w:customStyle="1" w:styleId="FooterChar">
    <w:name w:val="Footer Char"/>
    <w:basedOn w:val="DefaultParagraphFont"/>
    <w:link w:val="Footer"/>
    <w:uiPriority w:val="99"/>
    <w:locked/>
    <w:rsid w:val="004D2ED4"/>
    <w:rPr>
      <w:rFonts w:ascii="Arial" w:eastAsiaTheme="minorHAnsi" w:hAnsi="Arial" w:cs="Times New Roman"/>
      <w:sz w:val="18"/>
      <w:lang w:eastAsia="en-US"/>
    </w:rPr>
  </w:style>
  <w:style w:type="character" w:styleId="CommentReference">
    <w:name w:val="annotation reference"/>
    <w:basedOn w:val="DefaultParagraphFont"/>
    <w:uiPriority w:val="99"/>
    <w:rsid w:val="007A5D35"/>
    <w:rPr>
      <w:sz w:val="16"/>
    </w:rPr>
  </w:style>
  <w:style w:type="paragraph" w:styleId="CommentText">
    <w:name w:val="annotation text"/>
    <w:basedOn w:val="Normal"/>
    <w:link w:val="CommentTextChar"/>
    <w:rsid w:val="00DA14A1"/>
    <w:rPr>
      <w:sz w:val="22"/>
      <w:szCs w:val="20"/>
    </w:rPr>
  </w:style>
  <w:style w:type="character" w:customStyle="1" w:styleId="CommentTextChar">
    <w:name w:val="Comment Text Char"/>
    <w:basedOn w:val="DefaultParagraphFont"/>
    <w:link w:val="CommentText"/>
    <w:locked/>
    <w:rsid w:val="00DA14A1"/>
    <w:rPr>
      <w:rFonts w:ascii="Times New Roman" w:hAnsi="Times New Roman" w:cs="Times New Roman"/>
      <w:sz w:val="22"/>
    </w:rPr>
  </w:style>
  <w:style w:type="paragraph" w:styleId="CommentSubject">
    <w:name w:val="annotation subject"/>
    <w:basedOn w:val="CommentText"/>
    <w:next w:val="CommentText"/>
    <w:link w:val="CommentSubjectChar"/>
    <w:uiPriority w:val="99"/>
    <w:rsid w:val="007A5D35"/>
    <w:rPr>
      <w:b/>
      <w:bCs/>
    </w:rPr>
  </w:style>
  <w:style w:type="character" w:customStyle="1" w:styleId="CommentSubjectChar">
    <w:name w:val="Comment Subject Char"/>
    <w:basedOn w:val="CommentTextChar"/>
    <w:link w:val="CommentSubject"/>
    <w:uiPriority w:val="99"/>
    <w:locked/>
    <w:rsid w:val="007A5D35"/>
    <w:rPr>
      <w:rFonts w:ascii="Times New Roman" w:hAnsi="Times New Roman" w:cs="Times New Roman"/>
      <w:b/>
      <w:sz w:val="20"/>
    </w:rPr>
  </w:style>
  <w:style w:type="paragraph" w:styleId="FootnoteText">
    <w:name w:val="footnote text"/>
    <w:basedOn w:val="Normal"/>
    <w:link w:val="FootnoteTextChar"/>
    <w:uiPriority w:val="99"/>
    <w:rsid w:val="00CC4446"/>
    <w:rPr>
      <w:sz w:val="20"/>
      <w:szCs w:val="20"/>
    </w:rPr>
  </w:style>
  <w:style w:type="character" w:customStyle="1" w:styleId="FootnoteTextChar">
    <w:name w:val="Footnote Text Char"/>
    <w:basedOn w:val="DefaultParagraphFont"/>
    <w:link w:val="FootnoteText"/>
    <w:uiPriority w:val="99"/>
    <w:locked/>
    <w:rsid w:val="00CC4446"/>
    <w:rPr>
      <w:rFonts w:ascii="Times New Roman" w:hAnsi="Times New Roman"/>
      <w:sz w:val="20"/>
    </w:rPr>
  </w:style>
  <w:style w:type="character" w:styleId="FootnoteReference">
    <w:name w:val="footnote reference"/>
    <w:basedOn w:val="DefaultParagraphFont"/>
    <w:uiPriority w:val="99"/>
    <w:rsid w:val="00CC4446"/>
    <w:rPr>
      <w:vertAlign w:val="superscript"/>
    </w:rPr>
  </w:style>
  <w:style w:type="character" w:styleId="Hyperlink">
    <w:name w:val="Hyperlink"/>
    <w:basedOn w:val="DefaultParagraphFont"/>
    <w:uiPriority w:val="99"/>
    <w:rsid w:val="00C32FD4"/>
    <w:rPr>
      <w:color w:val="auto"/>
      <w:u w:val="none"/>
    </w:rPr>
  </w:style>
  <w:style w:type="paragraph" w:styleId="Revision">
    <w:name w:val="Revision"/>
    <w:hidden/>
    <w:uiPriority w:val="99"/>
    <w:semiHidden/>
    <w:rsid w:val="006D3317"/>
    <w:rPr>
      <w:rFonts w:ascii="Times New Roman" w:hAnsi="Times New Roman" w:cs="Times New Roman"/>
      <w:sz w:val="24"/>
      <w:szCs w:val="24"/>
    </w:rPr>
  </w:style>
  <w:style w:type="character" w:customStyle="1" w:styleId="Heading3Char">
    <w:name w:val="Heading 3 Char"/>
    <w:basedOn w:val="DefaultParagraphFont"/>
    <w:link w:val="Heading3"/>
    <w:rsid w:val="00910E4A"/>
    <w:rPr>
      <w:rFonts w:ascii="Times New Roman" w:hAnsi="Times New Roman" w:cs="Times New Roman"/>
      <w:b/>
      <w:sz w:val="24"/>
      <w:u w:val="single"/>
      <w:lang w:eastAsia="en-US"/>
    </w:rPr>
  </w:style>
  <w:style w:type="table" w:styleId="TableGrid">
    <w:name w:val="Table Grid"/>
    <w:basedOn w:val="TableNormal"/>
    <w:uiPriority w:val="39"/>
    <w:rsid w:val="00C1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312C0"/>
    <w:pPr>
      <w:spacing w:after="200"/>
    </w:pPr>
    <w:rPr>
      <w:i/>
      <w:iCs/>
      <w:color w:val="1F497D" w:themeColor="text2"/>
      <w:sz w:val="18"/>
      <w:szCs w:val="18"/>
    </w:rPr>
  </w:style>
  <w:style w:type="paragraph" w:customStyle="1" w:styleId="Table-MainTitle">
    <w:name w:val="Table - Main Title"/>
    <w:basedOn w:val="Normal"/>
    <w:next w:val="TableofAuthorities"/>
    <w:autoRedefine/>
    <w:qFormat/>
    <w:rsid w:val="00054ECC"/>
    <w:pPr>
      <w:keepNext/>
      <w:keepLines/>
      <w:widowControl/>
      <w:tabs>
        <w:tab w:val="left" w:pos="649"/>
      </w:tabs>
      <w:autoSpaceDE/>
      <w:autoSpaceDN/>
      <w:adjustRightInd/>
      <w:spacing w:before="60" w:after="60"/>
      <w:ind w:left="907" w:hanging="907"/>
    </w:pPr>
    <w:rPr>
      <w:rFonts w:eastAsiaTheme="minorHAnsi"/>
      <w:b/>
      <w:sz w:val="21"/>
      <w:szCs w:val="20"/>
      <w:lang w:eastAsia="en-US"/>
    </w:rPr>
  </w:style>
  <w:style w:type="paragraph" w:styleId="TableofAuthorities">
    <w:name w:val="table of authorities"/>
    <w:basedOn w:val="Normal"/>
    <w:next w:val="Normal"/>
    <w:uiPriority w:val="99"/>
    <w:rsid w:val="00D312C0"/>
    <w:pPr>
      <w:ind w:left="240" w:hanging="240"/>
    </w:pPr>
  </w:style>
  <w:style w:type="paragraph" w:customStyle="1" w:styleId="Table-Heading1">
    <w:name w:val="Table - Heading 1"/>
    <w:basedOn w:val="Normal"/>
    <w:qFormat/>
    <w:rsid w:val="00933A32"/>
    <w:pPr>
      <w:widowControl/>
      <w:autoSpaceDE/>
      <w:autoSpaceDN/>
      <w:adjustRightInd/>
      <w:spacing w:before="60"/>
    </w:pPr>
    <w:rPr>
      <w:rFonts w:eastAsiaTheme="minorHAnsi" w:cs="Arial"/>
      <w:b/>
      <w:sz w:val="20"/>
      <w:szCs w:val="22"/>
      <w:lang w:eastAsia="en-US"/>
    </w:rPr>
  </w:style>
  <w:style w:type="paragraph" w:customStyle="1" w:styleId="Table-text">
    <w:name w:val="Table - text"/>
    <w:basedOn w:val="Normal"/>
    <w:qFormat/>
    <w:rsid w:val="004B5E6B"/>
    <w:pPr>
      <w:widowControl/>
      <w:autoSpaceDE/>
      <w:autoSpaceDN/>
      <w:adjustRightInd/>
    </w:pPr>
    <w:rPr>
      <w:rFonts w:eastAsiaTheme="minorHAnsi" w:cs="Arial"/>
      <w:sz w:val="22"/>
      <w:szCs w:val="22"/>
      <w:lang w:eastAsia="en-US"/>
    </w:rPr>
  </w:style>
  <w:style w:type="character" w:customStyle="1" w:styleId="Heading4Char">
    <w:name w:val="Heading 4 Char"/>
    <w:basedOn w:val="DefaultParagraphFont"/>
    <w:link w:val="Heading4"/>
    <w:uiPriority w:val="9"/>
    <w:rsid w:val="00910E4A"/>
    <w:rPr>
      <w:rFonts w:ascii="Times New Roman" w:hAnsi="Times New Roman" w:cs="Times New Roman"/>
      <w:b/>
      <w:i/>
      <w:sz w:val="24"/>
      <w:lang w:eastAsia="en-US"/>
    </w:rPr>
  </w:style>
  <w:style w:type="paragraph" w:styleId="Subtitle">
    <w:name w:val="Subtitle"/>
    <w:basedOn w:val="BodyText"/>
    <w:next w:val="Normal"/>
    <w:link w:val="SubtitleChar"/>
    <w:uiPriority w:val="11"/>
    <w:qFormat/>
    <w:rsid w:val="006D6AED"/>
    <w:pPr>
      <w:widowControl w:val="0"/>
      <w:spacing w:before="0" w:after="0"/>
      <w:ind w:left="567" w:hanging="567"/>
      <w:contextualSpacing/>
      <w:jc w:val="left"/>
    </w:pPr>
    <w:rPr>
      <w:rFonts w:eastAsia="Calibri"/>
      <w:b/>
      <w:sz w:val="52"/>
    </w:rPr>
  </w:style>
  <w:style w:type="character" w:customStyle="1" w:styleId="SubtitleChar">
    <w:name w:val="Subtitle Char"/>
    <w:basedOn w:val="DefaultParagraphFont"/>
    <w:link w:val="Subtitle"/>
    <w:uiPriority w:val="11"/>
    <w:rsid w:val="006D6AED"/>
    <w:rPr>
      <w:rFonts w:ascii="Times New Roman" w:eastAsia="Calibri" w:hAnsi="Times New Roman" w:cs="Times New Roman"/>
      <w:b/>
      <w:sz w:val="52"/>
      <w:lang w:eastAsia="en-US"/>
    </w:rPr>
  </w:style>
  <w:style w:type="paragraph" w:styleId="Title">
    <w:name w:val="Title"/>
    <w:basedOn w:val="BodyText"/>
    <w:next w:val="Normal"/>
    <w:link w:val="TitleChar"/>
    <w:uiPriority w:val="10"/>
    <w:qFormat/>
    <w:rsid w:val="006D6AED"/>
    <w:pPr>
      <w:widowControl w:val="0"/>
      <w:tabs>
        <w:tab w:val="left" w:pos="-720"/>
      </w:tabs>
      <w:suppressAutoHyphens/>
      <w:spacing w:after="240"/>
      <w:jc w:val="left"/>
    </w:pPr>
    <w:rPr>
      <w:rFonts w:eastAsia="Times New Roman"/>
      <w:b/>
      <w:smallCaps/>
      <w:sz w:val="36"/>
      <w:szCs w:val="36"/>
      <w:lang w:val="en-US"/>
    </w:rPr>
  </w:style>
  <w:style w:type="character" w:customStyle="1" w:styleId="TitleChar">
    <w:name w:val="Title Char"/>
    <w:basedOn w:val="DefaultParagraphFont"/>
    <w:link w:val="Title"/>
    <w:uiPriority w:val="10"/>
    <w:rsid w:val="006D6AED"/>
    <w:rPr>
      <w:rFonts w:ascii="Times New Roman" w:hAnsi="Times New Roman" w:cs="Times New Roman"/>
      <w:b/>
      <w:smallCaps/>
      <w:sz w:val="36"/>
      <w:szCs w:val="36"/>
      <w:lang w:val="en-US" w:eastAsia="en-US"/>
    </w:rPr>
  </w:style>
  <w:style w:type="paragraph" w:customStyle="1" w:styleId="Table-Footertext">
    <w:name w:val="Table - Footer text"/>
    <w:basedOn w:val="Normal"/>
    <w:qFormat/>
    <w:rsid w:val="00767FBF"/>
    <w:pPr>
      <w:widowControl/>
      <w:autoSpaceDE/>
      <w:autoSpaceDN/>
      <w:adjustRightInd/>
      <w:spacing w:before="40" w:after="40"/>
      <w:ind w:left="426"/>
      <w:jc w:val="both"/>
    </w:pPr>
    <w:rPr>
      <w:rFonts w:eastAsiaTheme="minorHAnsi"/>
      <w:sz w:val="18"/>
      <w:szCs w:val="20"/>
      <w:lang w:eastAsia="en-US"/>
    </w:rPr>
  </w:style>
  <w:style w:type="paragraph" w:customStyle="1" w:styleId="BodyText1">
    <w:name w:val="Body Text1"/>
    <w:basedOn w:val="Normal"/>
    <w:qFormat/>
    <w:rsid w:val="00380805"/>
    <w:pPr>
      <w:widowControl/>
      <w:autoSpaceDE/>
      <w:autoSpaceDN/>
      <w:adjustRightInd/>
      <w:spacing w:before="60" w:after="120"/>
      <w:jc w:val="both"/>
    </w:pPr>
    <w:rPr>
      <w:rFonts w:ascii="Arial" w:eastAsiaTheme="minorHAnsi" w:hAnsi="Arial"/>
      <w:sz w:val="22"/>
      <w:szCs w:val="20"/>
      <w:lang w:eastAsia="en-US"/>
    </w:rPr>
  </w:style>
  <w:style w:type="paragraph" w:customStyle="1" w:styleId="Subtitle2">
    <w:name w:val="Subtitle 2"/>
    <w:basedOn w:val="Title"/>
    <w:uiPriority w:val="1"/>
    <w:qFormat/>
    <w:rsid w:val="003A1890"/>
    <w:pPr>
      <w:spacing w:after="200"/>
    </w:pPr>
    <w:rPr>
      <w:smallCaps w:val="0"/>
    </w:rPr>
  </w:style>
  <w:style w:type="paragraph" w:customStyle="1" w:styleId="Subtitle-activeingredient">
    <w:name w:val="Subtitle- active ingredient"/>
    <w:basedOn w:val="Normal"/>
    <w:qFormat/>
    <w:rsid w:val="006D6AED"/>
    <w:pPr>
      <w:keepLines/>
      <w:tabs>
        <w:tab w:val="left" w:pos="-720"/>
      </w:tabs>
      <w:suppressAutoHyphens/>
      <w:autoSpaceDE/>
      <w:autoSpaceDN/>
      <w:adjustRightInd/>
      <w:spacing w:before="60" w:after="240"/>
    </w:pPr>
    <w:rPr>
      <w:i/>
      <w:sz w:val="28"/>
      <w:szCs w:val="20"/>
      <w:lang w:val="en-US" w:eastAsia="en-US"/>
    </w:rPr>
  </w:style>
  <w:style w:type="character" w:customStyle="1" w:styleId="Heading5Char">
    <w:name w:val="Heading 5 Char"/>
    <w:basedOn w:val="DefaultParagraphFont"/>
    <w:link w:val="Heading5"/>
    <w:uiPriority w:val="9"/>
    <w:rsid w:val="00910E4A"/>
    <w:rPr>
      <w:rFonts w:ascii="Times New Roman" w:hAnsi="Times New Roman" w:cs="Times New Roman"/>
      <w:b/>
      <w:i/>
      <w:sz w:val="24"/>
      <w:lang w:eastAsia="en-US"/>
    </w:rPr>
  </w:style>
  <w:style w:type="paragraph" w:customStyle="1" w:styleId="Table-space">
    <w:name w:val="Table - space"/>
    <w:basedOn w:val="Normal"/>
    <w:qFormat/>
    <w:rsid w:val="00B8402F"/>
    <w:pPr>
      <w:widowControl/>
      <w:autoSpaceDE/>
      <w:autoSpaceDN/>
      <w:adjustRightInd/>
    </w:pPr>
    <w:rPr>
      <w:rFonts w:ascii="Arial" w:hAnsi="Arial"/>
      <w:sz w:val="2"/>
      <w:szCs w:val="2"/>
      <w:lang w:eastAsia="en-US"/>
    </w:rPr>
  </w:style>
  <w:style w:type="character" w:customStyle="1" w:styleId="UnresolvedMention">
    <w:name w:val="Unresolved Mention"/>
    <w:basedOn w:val="DefaultParagraphFont"/>
    <w:uiPriority w:val="99"/>
    <w:semiHidden/>
    <w:unhideWhenUsed/>
    <w:rsid w:val="008048FD"/>
    <w:rPr>
      <w:color w:val="808080"/>
      <w:shd w:val="clear" w:color="auto" w:fill="E6E6E6"/>
    </w:rPr>
  </w:style>
  <w:style w:type="character" w:styleId="Emphasis">
    <w:name w:val="Emphasis"/>
    <w:basedOn w:val="DefaultParagraphFont"/>
    <w:uiPriority w:val="20"/>
    <w:qFormat/>
    <w:rsid w:val="00DA14A1"/>
    <w:rPr>
      <w:i/>
      <w:iCs/>
    </w:rPr>
  </w:style>
  <w:style w:type="paragraph" w:customStyle="1" w:styleId="Default">
    <w:name w:val="Default"/>
    <w:rsid w:val="00E80FF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850BA4"/>
    <w:rPr>
      <w:rFonts w:ascii="Cambria" w:eastAsia="Cambria" w:hAnsi="Cambria" w:cs="Times New Roman"/>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1331">
      <w:bodyDiv w:val="1"/>
      <w:marLeft w:val="0"/>
      <w:marRight w:val="0"/>
      <w:marTop w:val="0"/>
      <w:marBottom w:val="0"/>
      <w:divBdr>
        <w:top w:val="none" w:sz="0" w:space="0" w:color="auto"/>
        <w:left w:val="none" w:sz="0" w:space="0" w:color="auto"/>
        <w:bottom w:val="none" w:sz="0" w:space="0" w:color="auto"/>
        <w:right w:val="none" w:sz="0" w:space="0" w:color="auto"/>
      </w:divBdr>
    </w:div>
    <w:div w:id="301541393">
      <w:bodyDiv w:val="1"/>
      <w:marLeft w:val="0"/>
      <w:marRight w:val="0"/>
      <w:marTop w:val="0"/>
      <w:marBottom w:val="0"/>
      <w:divBdr>
        <w:top w:val="none" w:sz="0" w:space="0" w:color="auto"/>
        <w:left w:val="none" w:sz="0" w:space="0" w:color="auto"/>
        <w:bottom w:val="none" w:sz="0" w:space="0" w:color="auto"/>
        <w:right w:val="none" w:sz="0" w:space="0" w:color="auto"/>
      </w:divBdr>
    </w:div>
    <w:div w:id="429738504">
      <w:bodyDiv w:val="1"/>
      <w:marLeft w:val="0"/>
      <w:marRight w:val="0"/>
      <w:marTop w:val="0"/>
      <w:marBottom w:val="0"/>
      <w:divBdr>
        <w:top w:val="none" w:sz="0" w:space="0" w:color="auto"/>
        <w:left w:val="none" w:sz="0" w:space="0" w:color="auto"/>
        <w:bottom w:val="none" w:sz="0" w:space="0" w:color="auto"/>
        <w:right w:val="none" w:sz="0" w:space="0" w:color="auto"/>
      </w:divBdr>
    </w:div>
    <w:div w:id="803428349">
      <w:bodyDiv w:val="1"/>
      <w:marLeft w:val="0"/>
      <w:marRight w:val="0"/>
      <w:marTop w:val="0"/>
      <w:marBottom w:val="0"/>
      <w:divBdr>
        <w:top w:val="none" w:sz="0" w:space="0" w:color="auto"/>
        <w:left w:val="none" w:sz="0" w:space="0" w:color="auto"/>
        <w:bottom w:val="none" w:sz="0" w:space="0" w:color="auto"/>
        <w:right w:val="none" w:sz="0" w:space="0" w:color="auto"/>
      </w:divBdr>
    </w:div>
    <w:div w:id="1021854605">
      <w:bodyDiv w:val="1"/>
      <w:marLeft w:val="0"/>
      <w:marRight w:val="0"/>
      <w:marTop w:val="0"/>
      <w:marBottom w:val="0"/>
      <w:divBdr>
        <w:top w:val="none" w:sz="0" w:space="0" w:color="auto"/>
        <w:left w:val="none" w:sz="0" w:space="0" w:color="auto"/>
        <w:bottom w:val="none" w:sz="0" w:space="0" w:color="auto"/>
        <w:right w:val="none" w:sz="0" w:space="0" w:color="auto"/>
      </w:divBdr>
    </w:div>
    <w:div w:id="1212696692">
      <w:bodyDiv w:val="1"/>
      <w:marLeft w:val="0"/>
      <w:marRight w:val="0"/>
      <w:marTop w:val="0"/>
      <w:marBottom w:val="0"/>
      <w:divBdr>
        <w:top w:val="none" w:sz="0" w:space="0" w:color="auto"/>
        <w:left w:val="none" w:sz="0" w:space="0" w:color="auto"/>
        <w:bottom w:val="none" w:sz="0" w:space="0" w:color="auto"/>
        <w:right w:val="none" w:sz="0" w:space="0" w:color="auto"/>
      </w:divBdr>
    </w:div>
    <w:div w:id="15033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E018-75E1-41CE-80A2-7D19ABF1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4121</Words>
  <Characters>23328</Characters>
  <Application>Microsoft Office Word</Application>
  <DocSecurity>0</DocSecurity>
  <Lines>583</Lines>
  <Paragraphs>442</Paragraphs>
  <ScaleCrop>false</ScaleCrop>
  <HeadingPairs>
    <vt:vector size="2" baseType="variant">
      <vt:variant>
        <vt:lpstr>Title</vt:lpstr>
      </vt:variant>
      <vt:variant>
        <vt:i4>1</vt:i4>
      </vt:variant>
    </vt:vector>
  </HeadingPairs>
  <TitlesOfParts>
    <vt:vector size="1" baseType="lpstr">
      <vt:lpstr>Attachment: Product Information: Tildrakizumab</vt:lpstr>
    </vt:vector>
  </TitlesOfParts>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Tildrakizumab</dc:title>
  <dc:subject>Prescription medicines</dc:subject>
  <dc:creator/>
  <cp:keywords>AusPARs</cp:keywords>
  <cp:lastModifiedBy/>
  <dcterms:created xsi:type="dcterms:W3CDTF">2019-09-25T04:30:00Z</dcterms:created>
  <dcterms:modified xsi:type="dcterms:W3CDTF">2019-10-03T02:32:00Z</dcterms:modified>
</cp:coreProperties>
</file>