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5F00A0" w:rsidP="00426FF2">
            <w:pPr>
              <w:rPr>
                <w:rFonts w:ascii="Arial" w:hAnsi="Arial" w:cs="Arial"/>
                <w:b/>
                <w:color w:val="002C47"/>
                <w:sz w:val="36"/>
                <w:szCs w:val="36"/>
              </w:rPr>
            </w:pPr>
            <w:r>
              <w:rPr>
                <w:rFonts w:ascii="Arial" w:hAnsi="Arial" w:cs="Arial"/>
                <w:b/>
                <w:color w:val="002C47"/>
                <w:sz w:val="36"/>
                <w:szCs w:val="36"/>
              </w:rPr>
              <w:t xml:space="preserve">June </w:t>
            </w:r>
            <w:r w:rsidR="00426FF2">
              <w:rPr>
                <w:rFonts w:ascii="Arial" w:hAnsi="Arial" w:cs="Arial"/>
                <w:b/>
                <w:color w:val="002C47"/>
                <w:sz w:val="36"/>
                <w:szCs w:val="36"/>
              </w:rPr>
              <w:t>2014</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A964D1" w:rsidRDefault="0032583B" w:rsidP="00A964D1">
            <w:pPr>
              <w:pStyle w:val="Title"/>
              <w:rPr>
                <w:color w:val="FFFFFF" w:themeColor="background1"/>
              </w:rPr>
            </w:pPr>
            <w:r w:rsidRPr="00A964D1">
              <w:rPr>
                <w:color w:val="FFFFFF" w:themeColor="background1"/>
              </w:rPr>
              <w:t xml:space="preserve">Australian Public Assessment Report for </w:t>
            </w:r>
            <w:r w:rsidR="00B63770" w:rsidRPr="00B63770">
              <w:rPr>
                <w:color w:val="FFFFFF" w:themeColor="background1"/>
              </w:rPr>
              <w:t>Thyroxine Sodium</w:t>
            </w:r>
          </w:p>
        </w:tc>
      </w:tr>
      <w:tr w:rsidR="0032583B" w:rsidRPr="00B64760" w:rsidTr="0032583B">
        <w:tc>
          <w:tcPr>
            <w:tcW w:w="9079" w:type="dxa"/>
          </w:tcPr>
          <w:p w:rsidR="0032583B" w:rsidRPr="008E7846" w:rsidRDefault="0032583B" w:rsidP="0032583B">
            <w:pPr>
              <w:pStyle w:val="Subtitle"/>
              <w:rPr>
                <w:color w:val="FFFFFF" w:themeColor="background1"/>
              </w:rPr>
            </w:pPr>
            <w:r w:rsidRPr="008E7846">
              <w:rPr>
                <w:color w:val="FFFFFF" w:themeColor="background1"/>
              </w:rPr>
              <w:t xml:space="preserve">Proprietary Product Name: </w:t>
            </w:r>
            <w:proofErr w:type="spellStart"/>
            <w:r w:rsidR="00B63770" w:rsidRPr="00B63770">
              <w:rPr>
                <w:color w:val="FFFFFF" w:themeColor="background1"/>
              </w:rPr>
              <w:t>Eltroxin</w:t>
            </w:r>
            <w:proofErr w:type="spellEnd"/>
            <w:r w:rsidR="00B63770" w:rsidRPr="00B63770">
              <w:rPr>
                <w:color w:val="FFFFFF" w:themeColor="background1"/>
              </w:rPr>
              <w:t>, A</w:t>
            </w:r>
            <w:r w:rsidR="00503CBF">
              <w:rPr>
                <w:color w:val="FFFFFF" w:themeColor="background1"/>
              </w:rPr>
              <w:t xml:space="preserve">spen </w:t>
            </w:r>
            <w:proofErr w:type="spellStart"/>
            <w:r w:rsidR="00503CBF">
              <w:rPr>
                <w:color w:val="FFFFFF" w:themeColor="background1"/>
              </w:rPr>
              <w:t>Thyroxine</w:t>
            </w:r>
            <w:proofErr w:type="spellEnd"/>
            <w:r w:rsidR="00503CBF">
              <w:rPr>
                <w:color w:val="FFFFFF" w:themeColor="background1"/>
              </w:rPr>
              <w:t xml:space="preserve">, </w:t>
            </w:r>
            <w:proofErr w:type="spellStart"/>
            <w:r w:rsidR="00503CBF">
              <w:rPr>
                <w:color w:val="FFFFFF" w:themeColor="background1"/>
              </w:rPr>
              <w:t>Thyroxine</w:t>
            </w:r>
            <w:proofErr w:type="spellEnd"/>
            <w:r w:rsidR="00503CBF">
              <w:rPr>
                <w:color w:val="FFFFFF" w:themeColor="background1"/>
              </w:rPr>
              <w:t xml:space="preserve"> Aspen</w:t>
            </w:r>
          </w:p>
        </w:tc>
      </w:tr>
      <w:tr w:rsidR="0032583B" w:rsidRPr="00B64760" w:rsidTr="0032583B">
        <w:trPr>
          <w:trHeight w:val="486"/>
        </w:trPr>
        <w:tc>
          <w:tcPr>
            <w:tcW w:w="9079" w:type="dxa"/>
          </w:tcPr>
          <w:p w:rsidR="0032583B" w:rsidRPr="008E7846" w:rsidRDefault="0032583B" w:rsidP="00503CBF">
            <w:pPr>
              <w:pStyle w:val="Subtitle"/>
              <w:rPr>
                <w:color w:val="FFFFFF" w:themeColor="background1"/>
              </w:rPr>
            </w:pPr>
            <w:r w:rsidRPr="008E7846">
              <w:rPr>
                <w:color w:val="FFFFFF" w:themeColor="background1"/>
              </w:rPr>
              <w:t xml:space="preserve">Sponsor: </w:t>
            </w:r>
            <w:r w:rsidR="00503CBF">
              <w:rPr>
                <w:color w:val="FFFFFF" w:themeColor="background1"/>
              </w:rPr>
              <w:t xml:space="preserve">Aspen </w:t>
            </w:r>
            <w:proofErr w:type="spellStart"/>
            <w:r w:rsidR="00503CBF">
              <w:rPr>
                <w:color w:val="FFFFFF" w:themeColor="background1"/>
              </w:rPr>
              <w:t>Pharma</w:t>
            </w:r>
            <w:proofErr w:type="spellEnd"/>
            <w:r w:rsidR="00503CBF">
              <w:rPr>
                <w:color w:val="FFFFFF" w:themeColor="background1"/>
              </w:rPr>
              <w:t xml:space="preserve"> Pty Ltd</w:t>
            </w:r>
          </w:p>
        </w:tc>
      </w:tr>
    </w:tbl>
    <w:p w:rsidR="008E7846" w:rsidRPr="0085156D" w:rsidRDefault="008E7846" w:rsidP="0085156D">
      <w:r w:rsidRPr="0085156D">
        <w:br w:type="page"/>
      </w:r>
    </w:p>
    <w:p w:rsidR="008E7846" w:rsidRPr="001F6CBA" w:rsidRDefault="008E7846" w:rsidP="008E7846">
      <w:pPr>
        <w:pStyle w:val="NonTOCHeading2"/>
      </w:pPr>
      <w:r w:rsidRPr="001F6CBA">
        <w:lastRenderedPageBreak/>
        <w:t>About the Therapeutic Goods Administration (TGA)</w:t>
      </w:r>
    </w:p>
    <w:p w:rsidR="008E7846" w:rsidRDefault="008E7846" w:rsidP="00A310F1">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A310F1">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A310F1">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A310F1">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A310F1">
      <w:pPr>
        <w:pStyle w:val="ListBullet"/>
        <w:numPr>
          <w:ilvl w:val="0"/>
          <w:numId w:val="1"/>
        </w:numPr>
        <w:ind w:left="357" w:hanging="357"/>
      </w:pPr>
      <w:r>
        <w:t>To report a problem with a medicine or medical device, please see the information on the TGA website</w:t>
      </w:r>
      <w:r w:rsidR="00112F56">
        <w:t xml:space="preserve"> &lt;</w:t>
      </w:r>
      <w:hyperlink r:id="rId9" w:history="1">
        <w:r w:rsidR="00EC7A85" w:rsidRPr="003A5406">
          <w:rPr>
            <w:rStyle w:val="Hyperlink"/>
          </w:rPr>
          <w:t>http://www.tga.gov.au</w:t>
        </w:r>
      </w:hyperlink>
      <w:r w:rsidR="00112F56">
        <w:t>&gt;</w:t>
      </w:r>
      <w:r>
        <w:t>.</w:t>
      </w:r>
    </w:p>
    <w:p w:rsidR="008E7846" w:rsidRDefault="008E7846" w:rsidP="008E7846">
      <w:pPr>
        <w:pStyle w:val="NonTOCHeading2"/>
      </w:pPr>
      <w:r>
        <w:t>About AusPARs</w:t>
      </w:r>
    </w:p>
    <w:p w:rsidR="008E7846" w:rsidRDefault="008E7846" w:rsidP="00A310F1">
      <w:pPr>
        <w:pStyle w:val="ListBullet"/>
        <w:numPr>
          <w:ilvl w:val="0"/>
          <w:numId w:val="1"/>
        </w:numPr>
        <w:ind w:left="357" w:hanging="357"/>
      </w:pPr>
      <w:r>
        <w:t xml:space="preserve">An Australian Public Assessment Record (AusPAR) provides information about the evaluation of a prescription medicine and the considerations that led the TGA to approve or not approve a prescription medicine submission. </w:t>
      </w:r>
    </w:p>
    <w:p w:rsidR="008E7846" w:rsidRDefault="008E7846" w:rsidP="00A310F1">
      <w:pPr>
        <w:pStyle w:val="ListBullet"/>
        <w:numPr>
          <w:ilvl w:val="0"/>
          <w:numId w:val="1"/>
        </w:numPr>
        <w:ind w:left="357" w:hanging="357"/>
      </w:pPr>
      <w:r>
        <w:t>AusPARs are prepared and published by the TGA.</w:t>
      </w:r>
    </w:p>
    <w:p w:rsidR="008E7846" w:rsidRDefault="008E7846" w:rsidP="00A310F1">
      <w:pPr>
        <w:pStyle w:val="ListBullet"/>
        <w:numPr>
          <w:ilvl w:val="0"/>
          <w:numId w:val="1"/>
        </w:numPr>
        <w:ind w:left="357" w:hanging="357"/>
      </w:pPr>
      <w:r>
        <w:t>An AusPAR is prepared for submissions that relate to new chemical entities, generic medicines, major variations, and extensions of indications.</w:t>
      </w:r>
    </w:p>
    <w:p w:rsidR="008E7846" w:rsidRDefault="008E7846" w:rsidP="00A310F1">
      <w:pPr>
        <w:pStyle w:val="ListBullet"/>
        <w:numPr>
          <w:ilvl w:val="0"/>
          <w:numId w:val="1"/>
        </w:numPr>
        <w:ind w:left="357" w:hanging="357"/>
      </w:pPr>
      <w:r>
        <w:t>An AusPAR is a static document, in that it will provide information that relates to a submission at a particular point in time.</w:t>
      </w:r>
    </w:p>
    <w:p w:rsidR="00B452CE" w:rsidRDefault="008E7846" w:rsidP="00A310F1">
      <w:pPr>
        <w:pStyle w:val="ListBullet"/>
        <w:numPr>
          <w:ilvl w:val="0"/>
          <w:numId w:val="1"/>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D7195D">
        <w:rPr>
          <w:rFonts w:cs="Arial"/>
          <w:lang w:val="en-GB"/>
        </w:rPr>
        <w:t>4</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7E6B8D"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92595938" w:history="1">
            <w:r w:rsidR="007E6B8D" w:rsidRPr="005D13FC">
              <w:rPr>
                <w:rStyle w:val="Hyperlink"/>
                <w:noProof/>
              </w:rPr>
              <w:t>List of commonly used abbreviations</w:t>
            </w:r>
            <w:r w:rsidR="007E6B8D">
              <w:rPr>
                <w:noProof/>
                <w:webHidden/>
              </w:rPr>
              <w:tab/>
            </w:r>
            <w:r w:rsidR="007E6B8D">
              <w:rPr>
                <w:noProof/>
                <w:webHidden/>
              </w:rPr>
              <w:fldChar w:fldCharType="begin"/>
            </w:r>
            <w:r w:rsidR="007E6B8D">
              <w:rPr>
                <w:noProof/>
                <w:webHidden/>
              </w:rPr>
              <w:instrText xml:space="preserve"> PAGEREF _Toc392595938 \h </w:instrText>
            </w:r>
            <w:r w:rsidR="007E6B8D">
              <w:rPr>
                <w:noProof/>
                <w:webHidden/>
              </w:rPr>
            </w:r>
            <w:r w:rsidR="007E6B8D">
              <w:rPr>
                <w:noProof/>
                <w:webHidden/>
              </w:rPr>
              <w:fldChar w:fldCharType="separate"/>
            </w:r>
            <w:r w:rsidR="007E6B8D">
              <w:rPr>
                <w:noProof/>
                <w:webHidden/>
              </w:rPr>
              <w:t>5</w:t>
            </w:r>
            <w:r w:rsidR="007E6B8D">
              <w:rPr>
                <w:noProof/>
                <w:webHidden/>
              </w:rPr>
              <w:fldChar w:fldCharType="end"/>
            </w:r>
          </w:hyperlink>
        </w:p>
        <w:p w:rsidR="007E6B8D" w:rsidRDefault="007E6B8D">
          <w:pPr>
            <w:pStyle w:val="TOC2"/>
            <w:rPr>
              <w:rFonts w:asciiTheme="minorHAnsi" w:eastAsiaTheme="minorEastAsia" w:hAnsiTheme="minorHAnsi" w:cstheme="minorBidi"/>
              <w:b w:val="0"/>
              <w:noProof/>
              <w:sz w:val="22"/>
              <w:lang w:eastAsia="en-AU"/>
            </w:rPr>
          </w:pPr>
          <w:hyperlink w:anchor="_Toc392595939" w:history="1">
            <w:r w:rsidRPr="005D13FC">
              <w:rPr>
                <w:rStyle w:val="Hyperlink"/>
                <w:noProof/>
              </w:rPr>
              <w:t>I. Introduction to product submission</w:t>
            </w:r>
            <w:r>
              <w:rPr>
                <w:noProof/>
                <w:webHidden/>
              </w:rPr>
              <w:tab/>
            </w:r>
            <w:r>
              <w:rPr>
                <w:noProof/>
                <w:webHidden/>
              </w:rPr>
              <w:fldChar w:fldCharType="begin"/>
            </w:r>
            <w:r>
              <w:rPr>
                <w:noProof/>
                <w:webHidden/>
              </w:rPr>
              <w:instrText xml:space="preserve"> PAGEREF _Toc392595939 \h </w:instrText>
            </w:r>
            <w:r>
              <w:rPr>
                <w:noProof/>
                <w:webHidden/>
              </w:rPr>
            </w:r>
            <w:r>
              <w:rPr>
                <w:noProof/>
                <w:webHidden/>
              </w:rPr>
              <w:fldChar w:fldCharType="separate"/>
            </w:r>
            <w:r>
              <w:rPr>
                <w:noProof/>
                <w:webHidden/>
              </w:rPr>
              <w:t>6</w:t>
            </w:r>
            <w:r>
              <w:rPr>
                <w:noProof/>
                <w:webHidden/>
              </w:rPr>
              <w:fldChar w:fldCharType="end"/>
            </w:r>
          </w:hyperlink>
        </w:p>
        <w:p w:rsidR="007E6B8D" w:rsidRDefault="007E6B8D">
          <w:pPr>
            <w:pStyle w:val="TOC3"/>
            <w:rPr>
              <w:rFonts w:asciiTheme="minorHAnsi" w:eastAsiaTheme="minorEastAsia" w:hAnsiTheme="minorHAnsi" w:cstheme="minorBidi"/>
              <w:noProof/>
              <w:lang w:eastAsia="en-AU"/>
            </w:rPr>
          </w:pPr>
          <w:hyperlink w:anchor="_Toc392595940" w:history="1">
            <w:r w:rsidRPr="005D13FC">
              <w:rPr>
                <w:rStyle w:val="Hyperlink"/>
                <w:noProof/>
                <w:lang w:eastAsia="en-AU"/>
              </w:rPr>
              <w:t>Submission details</w:t>
            </w:r>
            <w:r>
              <w:rPr>
                <w:noProof/>
                <w:webHidden/>
              </w:rPr>
              <w:tab/>
            </w:r>
            <w:r>
              <w:rPr>
                <w:noProof/>
                <w:webHidden/>
              </w:rPr>
              <w:fldChar w:fldCharType="begin"/>
            </w:r>
            <w:r>
              <w:rPr>
                <w:noProof/>
                <w:webHidden/>
              </w:rPr>
              <w:instrText xml:space="preserve"> PAGEREF _Toc392595940 \h </w:instrText>
            </w:r>
            <w:r>
              <w:rPr>
                <w:noProof/>
                <w:webHidden/>
              </w:rPr>
            </w:r>
            <w:r>
              <w:rPr>
                <w:noProof/>
                <w:webHidden/>
              </w:rPr>
              <w:fldChar w:fldCharType="separate"/>
            </w:r>
            <w:r>
              <w:rPr>
                <w:noProof/>
                <w:webHidden/>
              </w:rPr>
              <w:t>6</w:t>
            </w:r>
            <w:r>
              <w:rPr>
                <w:noProof/>
                <w:webHidden/>
              </w:rPr>
              <w:fldChar w:fldCharType="end"/>
            </w:r>
          </w:hyperlink>
        </w:p>
        <w:p w:rsidR="007E6B8D" w:rsidRDefault="007E6B8D">
          <w:pPr>
            <w:pStyle w:val="TOC3"/>
            <w:rPr>
              <w:rFonts w:asciiTheme="minorHAnsi" w:eastAsiaTheme="minorEastAsia" w:hAnsiTheme="minorHAnsi" w:cstheme="minorBidi"/>
              <w:noProof/>
              <w:lang w:eastAsia="en-AU"/>
            </w:rPr>
          </w:pPr>
          <w:hyperlink w:anchor="_Toc392595941" w:history="1">
            <w:r w:rsidRPr="005D13FC">
              <w:rPr>
                <w:rStyle w:val="Hyperlink"/>
                <w:noProof/>
              </w:rPr>
              <w:t>Product background</w:t>
            </w:r>
            <w:r>
              <w:rPr>
                <w:noProof/>
                <w:webHidden/>
              </w:rPr>
              <w:tab/>
            </w:r>
            <w:r>
              <w:rPr>
                <w:noProof/>
                <w:webHidden/>
              </w:rPr>
              <w:fldChar w:fldCharType="begin"/>
            </w:r>
            <w:r>
              <w:rPr>
                <w:noProof/>
                <w:webHidden/>
              </w:rPr>
              <w:instrText xml:space="preserve"> PAGEREF _Toc392595941 \h </w:instrText>
            </w:r>
            <w:r>
              <w:rPr>
                <w:noProof/>
                <w:webHidden/>
              </w:rPr>
            </w:r>
            <w:r>
              <w:rPr>
                <w:noProof/>
                <w:webHidden/>
              </w:rPr>
              <w:fldChar w:fldCharType="separate"/>
            </w:r>
            <w:r>
              <w:rPr>
                <w:noProof/>
                <w:webHidden/>
              </w:rPr>
              <w:t>6</w:t>
            </w:r>
            <w:r>
              <w:rPr>
                <w:noProof/>
                <w:webHidden/>
              </w:rPr>
              <w:fldChar w:fldCharType="end"/>
            </w:r>
          </w:hyperlink>
        </w:p>
        <w:p w:rsidR="007E6B8D" w:rsidRDefault="007E6B8D">
          <w:pPr>
            <w:pStyle w:val="TOC3"/>
            <w:rPr>
              <w:rFonts w:asciiTheme="minorHAnsi" w:eastAsiaTheme="minorEastAsia" w:hAnsiTheme="minorHAnsi" w:cstheme="minorBidi"/>
              <w:noProof/>
              <w:lang w:eastAsia="en-AU"/>
            </w:rPr>
          </w:pPr>
          <w:hyperlink w:anchor="_Toc392595942" w:history="1">
            <w:r w:rsidRPr="005D13FC">
              <w:rPr>
                <w:rStyle w:val="Hyperlink"/>
                <w:noProof/>
              </w:rPr>
              <w:t>Regulatory status</w:t>
            </w:r>
            <w:r>
              <w:rPr>
                <w:noProof/>
                <w:webHidden/>
              </w:rPr>
              <w:tab/>
            </w:r>
            <w:r>
              <w:rPr>
                <w:noProof/>
                <w:webHidden/>
              </w:rPr>
              <w:fldChar w:fldCharType="begin"/>
            </w:r>
            <w:r>
              <w:rPr>
                <w:noProof/>
                <w:webHidden/>
              </w:rPr>
              <w:instrText xml:space="preserve"> PAGEREF _Toc392595942 \h </w:instrText>
            </w:r>
            <w:r>
              <w:rPr>
                <w:noProof/>
                <w:webHidden/>
              </w:rPr>
            </w:r>
            <w:r>
              <w:rPr>
                <w:noProof/>
                <w:webHidden/>
              </w:rPr>
              <w:fldChar w:fldCharType="separate"/>
            </w:r>
            <w:r>
              <w:rPr>
                <w:noProof/>
                <w:webHidden/>
              </w:rPr>
              <w:t>7</w:t>
            </w:r>
            <w:r>
              <w:rPr>
                <w:noProof/>
                <w:webHidden/>
              </w:rPr>
              <w:fldChar w:fldCharType="end"/>
            </w:r>
          </w:hyperlink>
        </w:p>
        <w:p w:rsidR="007E6B8D" w:rsidRDefault="007E6B8D">
          <w:pPr>
            <w:pStyle w:val="TOC3"/>
            <w:rPr>
              <w:rFonts w:asciiTheme="minorHAnsi" w:eastAsiaTheme="minorEastAsia" w:hAnsiTheme="minorHAnsi" w:cstheme="minorBidi"/>
              <w:noProof/>
              <w:lang w:eastAsia="en-AU"/>
            </w:rPr>
          </w:pPr>
          <w:hyperlink w:anchor="_Toc392595943" w:history="1">
            <w:r w:rsidRPr="005D13FC">
              <w:rPr>
                <w:rStyle w:val="Hyperlink"/>
                <w:noProof/>
              </w:rPr>
              <w:t>Product Information</w:t>
            </w:r>
            <w:r>
              <w:rPr>
                <w:noProof/>
                <w:webHidden/>
              </w:rPr>
              <w:tab/>
            </w:r>
            <w:r>
              <w:rPr>
                <w:noProof/>
                <w:webHidden/>
              </w:rPr>
              <w:fldChar w:fldCharType="begin"/>
            </w:r>
            <w:r>
              <w:rPr>
                <w:noProof/>
                <w:webHidden/>
              </w:rPr>
              <w:instrText xml:space="preserve"> PAGEREF _Toc392595943 \h </w:instrText>
            </w:r>
            <w:r>
              <w:rPr>
                <w:noProof/>
                <w:webHidden/>
              </w:rPr>
            </w:r>
            <w:r>
              <w:rPr>
                <w:noProof/>
                <w:webHidden/>
              </w:rPr>
              <w:fldChar w:fldCharType="separate"/>
            </w:r>
            <w:r>
              <w:rPr>
                <w:noProof/>
                <w:webHidden/>
              </w:rPr>
              <w:t>8</w:t>
            </w:r>
            <w:r>
              <w:rPr>
                <w:noProof/>
                <w:webHidden/>
              </w:rPr>
              <w:fldChar w:fldCharType="end"/>
            </w:r>
          </w:hyperlink>
        </w:p>
        <w:p w:rsidR="007E6B8D" w:rsidRDefault="007E6B8D">
          <w:pPr>
            <w:pStyle w:val="TOC2"/>
            <w:rPr>
              <w:rFonts w:asciiTheme="minorHAnsi" w:eastAsiaTheme="minorEastAsia" w:hAnsiTheme="minorHAnsi" w:cstheme="minorBidi"/>
              <w:b w:val="0"/>
              <w:noProof/>
              <w:sz w:val="22"/>
              <w:lang w:eastAsia="en-AU"/>
            </w:rPr>
          </w:pPr>
          <w:hyperlink w:anchor="_Toc392595944" w:history="1">
            <w:r w:rsidRPr="005D13FC">
              <w:rPr>
                <w:rStyle w:val="Hyperlink"/>
                <w:noProof/>
              </w:rPr>
              <w:t>II. Quality findings</w:t>
            </w:r>
            <w:r>
              <w:rPr>
                <w:noProof/>
                <w:webHidden/>
              </w:rPr>
              <w:tab/>
            </w:r>
            <w:r>
              <w:rPr>
                <w:noProof/>
                <w:webHidden/>
              </w:rPr>
              <w:fldChar w:fldCharType="begin"/>
            </w:r>
            <w:r>
              <w:rPr>
                <w:noProof/>
                <w:webHidden/>
              </w:rPr>
              <w:instrText xml:space="preserve"> PAGEREF _Toc392595944 \h </w:instrText>
            </w:r>
            <w:r>
              <w:rPr>
                <w:noProof/>
                <w:webHidden/>
              </w:rPr>
            </w:r>
            <w:r>
              <w:rPr>
                <w:noProof/>
                <w:webHidden/>
              </w:rPr>
              <w:fldChar w:fldCharType="separate"/>
            </w:r>
            <w:r>
              <w:rPr>
                <w:noProof/>
                <w:webHidden/>
              </w:rPr>
              <w:t>8</w:t>
            </w:r>
            <w:r>
              <w:rPr>
                <w:noProof/>
                <w:webHidden/>
              </w:rPr>
              <w:fldChar w:fldCharType="end"/>
            </w:r>
          </w:hyperlink>
        </w:p>
        <w:p w:rsidR="007E6B8D" w:rsidRDefault="007E6B8D">
          <w:pPr>
            <w:pStyle w:val="TOC3"/>
            <w:rPr>
              <w:rFonts w:asciiTheme="minorHAnsi" w:eastAsiaTheme="minorEastAsia" w:hAnsiTheme="minorHAnsi" w:cstheme="minorBidi"/>
              <w:noProof/>
              <w:lang w:eastAsia="en-AU"/>
            </w:rPr>
          </w:pPr>
          <w:hyperlink w:anchor="_Toc392595945" w:history="1">
            <w:r w:rsidRPr="005D13FC">
              <w:rPr>
                <w:rStyle w:val="Hyperlink"/>
                <w:noProof/>
              </w:rPr>
              <w:t>Introduction</w:t>
            </w:r>
            <w:r>
              <w:rPr>
                <w:noProof/>
                <w:webHidden/>
              </w:rPr>
              <w:tab/>
            </w:r>
            <w:r>
              <w:rPr>
                <w:noProof/>
                <w:webHidden/>
              </w:rPr>
              <w:fldChar w:fldCharType="begin"/>
            </w:r>
            <w:r>
              <w:rPr>
                <w:noProof/>
                <w:webHidden/>
              </w:rPr>
              <w:instrText xml:space="preserve"> PAGEREF _Toc392595945 \h </w:instrText>
            </w:r>
            <w:r>
              <w:rPr>
                <w:noProof/>
                <w:webHidden/>
              </w:rPr>
            </w:r>
            <w:r>
              <w:rPr>
                <w:noProof/>
                <w:webHidden/>
              </w:rPr>
              <w:fldChar w:fldCharType="separate"/>
            </w:r>
            <w:r>
              <w:rPr>
                <w:noProof/>
                <w:webHidden/>
              </w:rPr>
              <w:t>8</w:t>
            </w:r>
            <w:r>
              <w:rPr>
                <w:noProof/>
                <w:webHidden/>
              </w:rPr>
              <w:fldChar w:fldCharType="end"/>
            </w:r>
          </w:hyperlink>
        </w:p>
        <w:p w:rsidR="007E6B8D" w:rsidRDefault="007E6B8D">
          <w:pPr>
            <w:pStyle w:val="TOC3"/>
            <w:rPr>
              <w:rFonts w:asciiTheme="minorHAnsi" w:eastAsiaTheme="minorEastAsia" w:hAnsiTheme="minorHAnsi" w:cstheme="minorBidi"/>
              <w:noProof/>
              <w:lang w:eastAsia="en-AU"/>
            </w:rPr>
          </w:pPr>
          <w:hyperlink w:anchor="_Toc392595946" w:history="1">
            <w:r w:rsidRPr="005D13FC">
              <w:rPr>
                <w:rStyle w:val="Hyperlink"/>
                <w:noProof/>
              </w:rPr>
              <w:t>Drug substance (active ingredient)</w:t>
            </w:r>
            <w:r>
              <w:rPr>
                <w:noProof/>
                <w:webHidden/>
              </w:rPr>
              <w:tab/>
            </w:r>
            <w:r>
              <w:rPr>
                <w:noProof/>
                <w:webHidden/>
              </w:rPr>
              <w:fldChar w:fldCharType="begin"/>
            </w:r>
            <w:r>
              <w:rPr>
                <w:noProof/>
                <w:webHidden/>
              </w:rPr>
              <w:instrText xml:space="preserve"> PAGEREF _Toc392595946 \h </w:instrText>
            </w:r>
            <w:r>
              <w:rPr>
                <w:noProof/>
                <w:webHidden/>
              </w:rPr>
            </w:r>
            <w:r>
              <w:rPr>
                <w:noProof/>
                <w:webHidden/>
              </w:rPr>
              <w:fldChar w:fldCharType="separate"/>
            </w:r>
            <w:r>
              <w:rPr>
                <w:noProof/>
                <w:webHidden/>
              </w:rPr>
              <w:t>8</w:t>
            </w:r>
            <w:r>
              <w:rPr>
                <w:noProof/>
                <w:webHidden/>
              </w:rPr>
              <w:fldChar w:fldCharType="end"/>
            </w:r>
          </w:hyperlink>
        </w:p>
        <w:p w:rsidR="007E6B8D" w:rsidRDefault="007E6B8D">
          <w:pPr>
            <w:pStyle w:val="TOC3"/>
            <w:rPr>
              <w:rFonts w:asciiTheme="minorHAnsi" w:eastAsiaTheme="minorEastAsia" w:hAnsiTheme="minorHAnsi" w:cstheme="minorBidi"/>
              <w:noProof/>
              <w:lang w:eastAsia="en-AU"/>
            </w:rPr>
          </w:pPr>
          <w:hyperlink w:anchor="_Toc392595947" w:history="1">
            <w:r w:rsidRPr="005D13FC">
              <w:rPr>
                <w:rStyle w:val="Hyperlink"/>
                <w:noProof/>
              </w:rPr>
              <w:t>Drug product</w:t>
            </w:r>
            <w:r>
              <w:rPr>
                <w:noProof/>
                <w:webHidden/>
              </w:rPr>
              <w:tab/>
            </w:r>
            <w:r>
              <w:rPr>
                <w:noProof/>
                <w:webHidden/>
              </w:rPr>
              <w:fldChar w:fldCharType="begin"/>
            </w:r>
            <w:r>
              <w:rPr>
                <w:noProof/>
                <w:webHidden/>
              </w:rPr>
              <w:instrText xml:space="preserve"> PAGEREF _Toc392595947 \h </w:instrText>
            </w:r>
            <w:r>
              <w:rPr>
                <w:noProof/>
                <w:webHidden/>
              </w:rPr>
            </w:r>
            <w:r>
              <w:rPr>
                <w:noProof/>
                <w:webHidden/>
              </w:rPr>
              <w:fldChar w:fldCharType="separate"/>
            </w:r>
            <w:r>
              <w:rPr>
                <w:noProof/>
                <w:webHidden/>
              </w:rPr>
              <w:t>9</w:t>
            </w:r>
            <w:r>
              <w:rPr>
                <w:noProof/>
                <w:webHidden/>
              </w:rPr>
              <w:fldChar w:fldCharType="end"/>
            </w:r>
          </w:hyperlink>
        </w:p>
        <w:p w:rsidR="007E6B8D" w:rsidRDefault="007E6B8D">
          <w:pPr>
            <w:pStyle w:val="TOC3"/>
            <w:rPr>
              <w:rFonts w:asciiTheme="minorHAnsi" w:eastAsiaTheme="minorEastAsia" w:hAnsiTheme="minorHAnsi" w:cstheme="minorBidi"/>
              <w:noProof/>
              <w:lang w:eastAsia="en-AU"/>
            </w:rPr>
          </w:pPr>
          <w:hyperlink w:anchor="_Toc392595948" w:history="1">
            <w:r w:rsidRPr="005D13FC">
              <w:rPr>
                <w:rStyle w:val="Hyperlink"/>
                <w:noProof/>
              </w:rPr>
              <w:t>Biopharmaceutics</w:t>
            </w:r>
            <w:r>
              <w:rPr>
                <w:noProof/>
                <w:webHidden/>
              </w:rPr>
              <w:tab/>
            </w:r>
            <w:r>
              <w:rPr>
                <w:noProof/>
                <w:webHidden/>
              </w:rPr>
              <w:fldChar w:fldCharType="begin"/>
            </w:r>
            <w:r>
              <w:rPr>
                <w:noProof/>
                <w:webHidden/>
              </w:rPr>
              <w:instrText xml:space="preserve"> PAGEREF _Toc392595948 \h </w:instrText>
            </w:r>
            <w:r>
              <w:rPr>
                <w:noProof/>
                <w:webHidden/>
              </w:rPr>
            </w:r>
            <w:r>
              <w:rPr>
                <w:noProof/>
                <w:webHidden/>
              </w:rPr>
              <w:fldChar w:fldCharType="separate"/>
            </w:r>
            <w:r>
              <w:rPr>
                <w:noProof/>
                <w:webHidden/>
              </w:rPr>
              <w:t>10</w:t>
            </w:r>
            <w:r>
              <w:rPr>
                <w:noProof/>
                <w:webHidden/>
              </w:rPr>
              <w:fldChar w:fldCharType="end"/>
            </w:r>
          </w:hyperlink>
        </w:p>
        <w:p w:rsidR="007E6B8D" w:rsidRDefault="007E6B8D">
          <w:pPr>
            <w:pStyle w:val="TOC3"/>
            <w:rPr>
              <w:rFonts w:asciiTheme="minorHAnsi" w:eastAsiaTheme="minorEastAsia" w:hAnsiTheme="minorHAnsi" w:cstheme="minorBidi"/>
              <w:noProof/>
              <w:lang w:eastAsia="en-AU"/>
            </w:rPr>
          </w:pPr>
          <w:hyperlink w:anchor="_Toc392595949" w:history="1">
            <w:r w:rsidRPr="005D13FC">
              <w:rPr>
                <w:rStyle w:val="Hyperlink"/>
                <w:noProof/>
              </w:rPr>
              <w:t>Advisory committee considerations</w:t>
            </w:r>
            <w:r>
              <w:rPr>
                <w:noProof/>
                <w:webHidden/>
              </w:rPr>
              <w:tab/>
            </w:r>
            <w:r>
              <w:rPr>
                <w:noProof/>
                <w:webHidden/>
              </w:rPr>
              <w:fldChar w:fldCharType="begin"/>
            </w:r>
            <w:r>
              <w:rPr>
                <w:noProof/>
                <w:webHidden/>
              </w:rPr>
              <w:instrText xml:space="preserve"> PAGEREF _Toc392595949 \h </w:instrText>
            </w:r>
            <w:r>
              <w:rPr>
                <w:noProof/>
                <w:webHidden/>
              </w:rPr>
            </w:r>
            <w:r>
              <w:rPr>
                <w:noProof/>
                <w:webHidden/>
              </w:rPr>
              <w:fldChar w:fldCharType="separate"/>
            </w:r>
            <w:r>
              <w:rPr>
                <w:noProof/>
                <w:webHidden/>
              </w:rPr>
              <w:t>11</w:t>
            </w:r>
            <w:r>
              <w:rPr>
                <w:noProof/>
                <w:webHidden/>
              </w:rPr>
              <w:fldChar w:fldCharType="end"/>
            </w:r>
          </w:hyperlink>
        </w:p>
        <w:p w:rsidR="007E6B8D" w:rsidRDefault="007E6B8D">
          <w:pPr>
            <w:pStyle w:val="TOC3"/>
            <w:rPr>
              <w:rFonts w:asciiTheme="minorHAnsi" w:eastAsiaTheme="minorEastAsia" w:hAnsiTheme="minorHAnsi" w:cstheme="minorBidi"/>
              <w:noProof/>
              <w:lang w:eastAsia="en-AU"/>
            </w:rPr>
          </w:pPr>
          <w:hyperlink w:anchor="_Toc392595950" w:history="1">
            <w:r w:rsidRPr="005D13FC">
              <w:rPr>
                <w:rStyle w:val="Hyperlink"/>
                <w:noProof/>
              </w:rPr>
              <w:t>Quality summary and conclusions</w:t>
            </w:r>
            <w:r>
              <w:rPr>
                <w:noProof/>
                <w:webHidden/>
              </w:rPr>
              <w:tab/>
            </w:r>
            <w:r>
              <w:rPr>
                <w:noProof/>
                <w:webHidden/>
              </w:rPr>
              <w:fldChar w:fldCharType="begin"/>
            </w:r>
            <w:r>
              <w:rPr>
                <w:noProof/>
                <w:webHidden/>
              </w:rPr>
              <w:instrText xml:space="preserve"> PAGEREF _Toc392595950 \h </w:instrText>
            </w:r>
            <w:r>
              <w:rPr>
                <w:noProof/>
                <w:webHidden/>
              </w:rPr>
            </w:r>
            <w:r>
              <w:rPr>
                <w:noProof/>
                <w:webHidden/>
              </w:rPr>
              <w:fldChar w:fldCharType="separate"/>
            </w:r>
            <w:r>
              <w:rPr>
                <w:noProof/>
                <w:webHidden/>
              </w:rPr>
              <w:t>11</w:t>
            </w:r>
            <w:r>
              <w:rPr>
                <w:noProof/>
                <w:webHidden/>
              </w:rPr>
              <w:fldChar w:fldCharType="end"/>
            </w:r>
          </w:hyperlink>
        </w:p>
        <w:p w:rsidR="007E6B8D" w:rsidRDefault="007E6B8D">
          <w:pPr>
            <w:pStyle w:val="TOC2"/>
            <w:rPr>
              <w:rFonts w:asciiTheme="minorHAnsi" w:eastAsiaTheme="minorEastAsia" w:hAnsiTheme="minorHAnsi" w:cstheme="minorBidi"/>
              <w:b w:val="0"/>
              <w:noProof/>
              <w:sz w:val="22"/>
              <w:lang w:eastAsia="en-AU"/>
            </w:rPr>
          </w:pPr>
          <w:hyperlink w:anchor="_Toc392595951" w:history="1">
            <w:r w:rsidRPr="005D13FC">
              <w:rPr>
                <w:rStyle w:val="Hyperlink"/>
                <w:noProof/>
              </w:rPr>
              <w:t>III. Nonclinical findings</w:t>
            </w:r>
            <w:r>
              <w:rPr>
                <w:noProof/>
                <w:webHidden/>
              </w:rPr>
              <w:tab/>
            </w:r>
            <w:r>
              <w:rPr>
                <w:noProof/>
                <w:webHidden/>
              </w:rPr>
              <w:fldChar w:fldCharType="begin"/>
            </w:r>
            <w:r>
              <w:rPr>
                <w:noProof/>
                <w:webHidden/>
              </w:rPr>
              <w:instrText xml:space="preserve"> PAGEREF _Toc392595951 \h </w:instrText>
            </w:r>
            <w:r>
              <w:rPr>
                <w:noProof/>
                <w:webHidden/>
              </w:rPr>
            </w:r>
            <w:r>
              <w:rPr>
                <w:noProof/>
                <w:webHidden/>
              </w:rPr>
              <w:fldChar w:fldCharType="separate"/>
            </w:r>
            <w:r>
              <w:rPr>
                <w:noProof/>
                <w:webHidden/>
              </w:rPr>
              <w:t>12</w:t>
            </w:r>
            <w:r>
              <w:rPr>
                <w:noProof/>
                <w:webHidden/>
              </w:rPr>
              <w:fldChar w:fldCharType="end"/>
            </w:r>
          </w:hyperlink>
        </w:p>
        <w:p w:rsidR="007E6B8D" w:rsidRDefault="007E6B8D">
          <w:pPr>
            <w:pStyle w:val="TOC2"/>
            <w:rPr>
              <w:rFonts w:asciiTheme="minorHAnsi" w:eastAsiaTheme="minorEastAsia" w:hAnsiTheme="minorHAnsi" w:cstheme="minorBidi"/>
              <w:b w:val="0"/>
              <w:noProof/>
              <w:sz w:val="22"/>
              <w:lang w:eastAsia="en-AU"/>
            </w:rPr>
          </w:pPr>
          <w:hyperlink w:anchor="_Toc392595952" w:history="1">
            <w:r w:rsidRPr="005D13FC">
              <w:rPr>
                <w:rStyle w:val="Hyperlink"/>
                <w:noProof/>
              </w:rPr>
              <w:t>IV. Clinical findings</w:t>
            </w:r>
            <w:r>
              <w:rPr>
                <w:noProof/>
                <w:webHidden/>
              </w:rPr>
              <w:tab/>
            </w:r>
            <w:r>
              <w:rPr>
                <w:noProof/>
                <w:webHidden/>
              </w:rPr>
              <w:fldChar w:fldCharType="begin"/>
            </w:r>
            <w:r>
              <w:rPr>
                <w:noProof/>
                <w:webHidden/>
              </w:rPr>
              <w:instrText xml:space="preserve"> PAGEREF _Toc392595952 \h </w:instrText>
            </w:r>
            <w:r>
              <w:rPr>
                <w:noProof/>
                <w:webHidden/>
              </w:rPr>
            </w:r>
            <w:r>
              <w:rPr>
                <w:noProof/>
                <w:webHidden/>
              </w:rPr>
              <w:fldChar w:fldCharType="separate"/>
            </w:r>
            <w:r>
              <w:rPr>
                <w:noProof/>
                <w:webHidden/>
              </w:rPr>
              <w:t>12</w:t>
            </w:r>
            <w:r>
              <w:rPr>
                <w:noProof/>
                <w:webHidden/>
              </w:rPr>
              <w:fldChar w:fldCharType="end"/>
            </w:r>
          </w:hyperlink>
        </w:p>
        <w:p w:rsidR="007E6B8D" w:rsidRDefault="007E6B8D">
          <w:pPr>
            <w:pStyle w:val="TOC3"/>
            <w:rPr>
              <w:rFonts w:asciiTheme="minorHAnsi" w:eastAsiaTheme="minorEastAsia" w:hAnsiTheme="minorHAnsi" w:cstheme="minorBidi"/>
              <w:noProof/>
              <w:lang w:eastAsia="en-AU"/>
            </w:rPr>
          </w:pPr>
          <w:hyperlink w:anchor="_Toc392595953" w:history="1">
            <w:r w:rsidRPr="005D13FC">
              <w:rPr>
                <w:rStyle w:val="Hyperlink"/>
                <w:noProof/>
              </w:rPr>
              <w:t>Introduction</w:t>
            </w:r>
            <w:r>
              <w:rPr>
                <w:noProof/>
                <w:webHidden/>
              </w:rPr>
              <w:tab/>
            </w:r>
            <w:r>
              <w:rPr>
                <w:noProof/>
                <w:webHidden/>
              </w:rPr>
              <w:fldChar w:fldCharType="begin"/>
            </w:r>
            <w:r>
              <w:rPr>
                <w:noProof/>
                <w:webHidden/>
              </w:rPr>
              <w:instrText xml:space="preserve"> PAGEREF _Toc392595953 \h </w:instrText>
            </w:r>
            <w:r>
              <w:rPr>
                <w:noProof/>
                <w:webHidden/>
              </w:rPr>
            </w:r>
            <w:r>
              <w:rPr>
                <w:noProof/>
                <w:webHidden/>
              </w:rPr>
              <w:fldChar w:fldCharType="separate"/>
            </w:r>
            <w:r>
              <w:rPr>
                <w:noProof/>
                <w:webHidden/>
              </w:rPr>
              <w:t>12</w:t>
            </w:r>
            <w:r>
              <w:rPr>
                <w:noProof/>
                <w:webHidden/>
              </w:rPr>
              <w:fldChar w:fldCharType="end"/>
            </w:r>
          </w:hyperlink>
        </w:p>
        <w:p w:rsidR="007E6B8D" w:rsidRDefault="007E6B8D">
          <w:pPr>
            <w:pStyle w:val="TOC3"/>
            <w:rPr>
              <w:rFonts w:asciiTheme="minorHAnsi" w:eastAsiaTheme="minorEastAsia" w:hAnsiTheme="minorHAnsi" w:cstheme="minorBidi"/>
              <w:noProof/>
              <w:lang w:eastAsia="en-AU"/>
            </w:rPr>
          </w:pPr>
          <w:hyperlink w:anchor="_Toc392595954" w:history="1">
            <w:r w:rsidRPr="005D13FC">
              <w:rPr>
                <w:rStyle w:val="Hyperlink"/>
                <w:noProof/>
              </w:rPr>
              <w:t>Pharmacokinetics</w:t>
            </w:r>
            <w:r>
              <w:rPr>
                <w:noProof/>
                <w:webHidden/>
              </w:rPr>
              <w:tab/>
            </w:r>
            <w:r>
              <w:rPr>
                <w:noProof/>
                <w:webHidden/>
              </w:rPr>
              <w:fldChar w:fldCharType="begin"/>
            </w:r>
            <w:r>
              <w:rPr>
                <w:noProof/>
                <w:webHidden/>
              </w:rPr>
              <w:instrText xml:space="preserve"> PAGEREF _Toc392595954 \h </w:instrText>
            </w:r>
            <w:r>
              <w:rPr>
                <w:noProof/>
                <w:webHidden/>
              </w:rPr>
            </w:r>
            <w:r>
              <w:rPr>
                <w:noProof/>
                <w:webHidden/>
              </w:rPr>
              <w:fldChar w:fldCharType="separate"/>
            </w:r>
            <w:r>
              <w:rPr>
                <w:noProof/>
                <w:webHidden/>
              </w:rPr>
              <w:t>12</w:t>
            </w:r>
            <w:r>
              <w:rPr>
                <w:noProof/>
                <w:webHidden/>
              </w:rPr>
              <w:fldChar w:fldCharType="end"/>
            </w:r>
          </w:hyperlink>
        </w:p>
        <w:p w:rsidR="007E6B8D" w:rsidRDefault="007E6B8D">
          <w:pPr>
            <w:pStyle w:val="TOC3"/>
            <w:rPr>
              <w:rFonts w:asciiTheme="minorHAnsi" w:eastAsiaTheme="minorEastAsia" w:hAnsiTheme="minorHAnsi" w:cstheme="minorBidi"/>
              <w:noProof/>
              <w:lang w:eastAsia="en-AU"/>
            </w:rPr>
          </w:pPr>
          <w:hyperlink w:anchor="_Toc392595955" w:history="1">
            <w:r w:rsidRPr="005D13FC">
              <w:rPr>
                <w:rStyle w:val="Hyperlink"/>
                <w:noProof/>
              </w:rPr>
              <w:t>Pharmacodynamics</w:t>
            </w:r>
            <w:r>
              <w:rPr>
                <w:noProof/>
                <w:webHidden/>
              </w:rPr>
              <w:tab/>
            </w:r>
            <w:r>
              <w:rPr>
                <w:noProof/>
                <w:webHidden/>
              </w:rPr>
              <w:fldChar w:fldCharType="begin"/>
            </w:r>
            <w:r>
              <w:rPr>
                <w:noProof/>
                <w:webHidden/>
              </w:rPr>
              <w:instrText xml:space="preserve"> PAGEREF _Toc392595955 \h </w:instrText>
            </w:r>
            <w:r>
              <w:rPr>
                <w:noProof/>
                <w:webHidden/>
              </w:rPr>
            </w:r>
            <w:r>
              <w:rPr>
                <w:noProof/>
                <w:webHidden/>
              </w:rPr>
              <w:fldChar w:fldCharType="separate"/>
            </w:r>
            <w:r>
              <w:rPr>
                <w:noProof/>
                <w:webHidden/>
              </w:rPr>
              <w:t>14</w:t>
            </w:r>
            <w:r>
              <w:rPr>
                <w:noProof/>
                <w:webHidden/>
              </w:rPr>
              <w:fldChar w:fldCharType="end"/>
            </w:r>
          </w:hyperlink>
        </w:p>
        <w:p w:rsidR="007E6B8D" w:rsidRDefault="007E6B8D">
          <w:pPr>
            <w:pStyle w:val="TOC3"/>
            <w:rPr>
              <w:rFonts w:asciiTheme="minorHAnsi" w:eastAsiaTheme="minorEastAsia" w:hAnsiTheme="minorHAnsi" w:cstheme="minorBidi"/>
              <w:noProof/>
              <w:lang w:eastAsia="en-AU"/>
            </w:rPr>
          </w:pPr>
          <w:hyperlink w:anchor="_Toc392595956" w:history="1">
            <w:r w:rsidRPr="005D13FC">
              <w:rPr>
                <w:rStyle w:val="Hyperlink"/>
                <w:noProof/>
              </w:rPr>
              <w:t>Dosage selection for the pivotal studies</w:t>
            </w:r>
            <w:r>
              <w:rPr>
                <w:noProof/>
                <w:webHidden/>
              </w:rPr>
              <w:tab/>
            </w:r>
            <w:r>
              <w:rPr>
                <w:noProof/>
                <w:webHidden/>
              </w:rPr>
              <w:fldChar w:fldCharType="begin"/>
            </w:r>
            <w:r>
              <w:rPr>
                <w:noProof/>
                <w:webHidden/>
              </w:rPr>
              <w:instrText xml:space="preserve"> PAGEREF _Toc392595956 \h </w:instrText>
            </w:r>
            <w:r>
              <w:rPr>
                <w:noProof/>
                <w:webHidden/>
              </w:rPr>
            </w:r>
            <w:r>
              <w:rPr>
                <w:noProof/>
                <w:webHidden/>
              </w:rPr>
              <w:fldChar w:fldCharType="separate"/>
            </w:r>
            <w:r>
              <w:rPr>
                <w:noProof/>
                <w:webHidden/>
              </w:rPr>
              <w:t>14</w:t>
            </w:r>
            <w:r>
              <w:rPr>
                <w:noProof/>
                <w:webHidden/>
              </w:rPr>
              <w:fldChar w:fldCharType="end"/>
            </w:r>
          </w:hyperlink>
        </w:p>
        <w:p w:rsidR="007E6B8D" w:rsidRDefault="007E6B8D">
          <w:pPr>
            <w:pStyle w:val="TOC3"/>
            <w:rPr>
              <w:rFonts w:asciiTheme="minorHAnsi" w:eastAsiaTheme="minorEastAsia" w:hAnsiTheme="minorHAnsi" w:cstheme="minorBidi"/>
              <w:noProof/>
              <w:lang w:eastAsia="en-AU"/>
            </w:rPr>
          </w:pPr>
          <w:hyperlink w:anchor="_Toc392595957" w:history="1">
            <w:r w:rsidRPr="005D13FC">
              <w:rPr>
                <w:rStyle w:val="Hyperlink"/>
                <w:noProof/>
              </w:rPr>
              <w:t>Efficacy</w:t>
            </w:r>
            <w:r>
              <w:rPr>
                <w:noProof/>
                <w:webHidden/>
              </w:rPr>
              <w:tab/>
            </w:r>
            <w:r>
              <w:rPr>
                <w:noProof/>
                <w:webHidden/>
              </w:rPr>
              <w:fldChar w:fldCharType="begin"/>
            </w:r>
            <w:r>
              <w:rPr>
                <w:noProof/>
                <w:webHidden/>
              </w:rPr>
              <w:instrText xml:space="preserve"> PAGEREF _Toc392595957 \h </w:instrText>
            </w:r>
            <w:r>
              <w:rPr>
                <w:noProof/>
                <w:webHidden/>
              </w:rPr>
            </w:r>
            <w:r>
              <w:rPr>
                <w:noProof/>
                <w:webHidden/>
              </w:rPr>
              <w:fldChar w:fldCharType="separate"/>
            </w:r>
            <w:r>
              <w:rPr>
                <w:noProof/>
                <w:webHidden/>
              </w:rPr>
              <w:t>14</w:t>
            </w:r>
            <w:r>
              <w:rPr>
                <w:noProof/>
                <w:webHidden/>
              </w:rPr>
              <w:fldChar w:fldCharType="end"/>
            </w:r>
          </w:hyperlink>
        </w:p>
        <w:p w:rsidR="007E6B8D" w:rsidRDefault="007E6B8D">
          <w:pPr>
            <w:pStyle w:val="TOC3"/>
            <w:rPr>
              <w:rFonts w:asciiTheme="minorHAnsi" w:eastAsiaTheme="minorEastAsia" w:hAnsiTheme="minorHAnsi" w:cstheme="minorBidi"/>
              <w:noProof/>
              <w:lang w:eastAsia="en-AU"/>
            </w:rPr>
          </w:pPr>
          <w:hyperlink w:anchor="_Toc392595958" w:history="1">
            <w:r w:rsidRPr="005D13FC">
              <w:rPr>
                <w:rStyle w:val="Hyperlink"/>
                <w:noProof/>
              </w:rPr>
              <w:t>Safety</w:t>
            </w:r>
            <w:r>
              <w:rPr>
                <w:noProof/>
                <w:webHidden/>
              </w:rPr>
              <w:tab/>
            </w:r>
            <w:r>
              <w:rPr>
                <w:noProof/>
                <w:webHidden/>
              </w:rPr>
              <w:fldChar w:fldCharType="begin"/>
            </w:r>
            <w:r>
              <w:rPr>
                <w:noProof/>
                <w:webHidden/>
              </w:rPr>
              <w:instrText xml:space="preserve"> PAGEREF _Toc392595958 \h </w:instrText>
            </w:r>
            <w:r>
              <w:rPr>
                <w:noProof/>
                <w:webHidden/>
              </w:rPr>
            </w:r>
            <w:r>
              <w:rPr>
                <w:noProof/>
                <w:webHidden/>
              </w:rPr>
              <w:fldChar w:fldCharType="separate"/>
            </w:r>
            <w:r>
              <w:rPr>
                <w:noProof/>
                <w:webHidden/>
              </w:rPr>
              <w:t>14</w:t>
            </w:r>
            <w:r>
              <w:rPr>
                <w:noProof/>
                <w:webHidden/>
              </w:rPr>
              <w:fldChar w:fldCharType="end"/>
            </w:r>
          </w:hyperlink>
        </w:p>
        <w:p w:rsidR="007E6B8D" w:rsidRDefault="007E6B8D">
          <w:pPr>
            <w:pStyle w:val="TOC3"/>
            <w:rPr>
              <w:rFonts w:asciiTheme="minorHAnsi" w:eastAsiaTheme="minorEastAsia" w:hAnsiTheme="minorHAnsi" w:cstheme="minorBidi"/>
              <w:noProof/>
              <w:lang w:eastAsia="en-AU"/>
            </w:rPr>
          </w:pPr>
          <w:hyperlink w:anchor="_Toc392595959" w:history="1">
            <w:r w:rsidRPr="005D13FC">
              <w:rPr>
                <w:rStyle w:val="Hyperlink"/>
                <w:noProof/>
              </w:rPr>
              <w:t>First round benefit-risk assessment</w:t>
            </w:r>
            <w:r>
              <w:rPr>
                <w:noProof/>
                <w:webHidden/>
              </w:rPr>
              <w:tab/>
            </w:r>
            <w:r>
              <w:rPr>
                <w:noProof/>
                <w:webHidden/>
              </w:rPr>
              <w:fldChar w:fldCharType="begin"/>
            </w:r>
            <w:r>
              <w:rPr>
                <w:noProof/>
                <w:webHidden/>
              </w:rPr>
              <w:instrText xml:space="preserve"> PAGEREF _Toc392595959 \h </w:instrText>
            </w:r>
            <w:r>
              <w:rPr>
                <w:noProof/>
                <w:webHidden/>
              </w:rPr>
            </w:r>
            <w:r>
              <w:rPr>
                <w:noProof/>
                <w:webHidden/>
              </w:rPr>
              <w:fldChar w:fldCharType="separate"/>
            </w:r>
            <w:r>
              <w:rPr>
                <w:noProof/>
                <w:webHidden/>
              </w:rPr>
              <w:t>16</w:t>
            </w:r>
            <w:r>
              <w:rPr>
                <w:noProof/>
                <w:webHidden/>
              </w:rPr>
              <w:fldChar w:fldCharType="end"/>
            </w:r>
          </w:hyperlink>
        </w:p>
        <w:p w:rsidR="007E6B8D" w:rsidRDefault="007E6B8D">
          <w:pPr>
            <w:pStyle w:val="TOC3"/>
            <w:rPr>
              <w:rFonts w:asciiTheme="minorHAnsi" w:eastAsiaTheme="minorEastAsia" w:hAnsiTheme="minorHAnsi" w:cstheme="minorBidi"/>
              <w:noProof/>
              <w:lang w:eastAsia="en-AU"/>
            </w:rPr>
          </w:pPr>
          <w:hyperlink w:anchor="_Toc392595960" w:history="1">
            <w:r w:rsidRPr="005D13FC">
              <w:rPr>
                <w:rStyle w:val="Hyperlink"/>
                <w:noProof/>
              </w:rPr>
              <w:t>First round recommendation regarding authorisation</w:t>
            </w:r>
            <w:r>
              <w:rPr>
                <w:noProof/>
                <w:webHidden/>
              </w:rPr>
              <w:tab/>
            </w:r>
            <w:r>
              <w:rPr>
                <w:noProof/>
                <w:webHidden/>
              </w:rPr>
              <w:fldChar w:fldCharType="begin"/>
            </w:r>
            <w:r>
              <w:rPr>
                <w:noProof/>
                <w:webHidden/>
              </w:rPr>
              <w:instrText xml:space="preserve"> PAGEREF _Toc392595960 \h </w:instrText>
            </w:r>
            <w:r>
              <w:rPr>
                <w:noProof/>
                <w:webHidden/>
              </w:rPr>
            </w:r>
            <w:r>
              <w:rPr>
                <w:noProof/>
                <w:webHidden/>
              </w:rPr>
              <w:fldChar w:fldCharType="separate"/>
            </w:r>
            <w:r>
              <w:rPr>
                <w:noProof/>
                <w:webHidden/>
              </w:rPr>
              <w:t>16</w:t>
            </w:r>
            <w:r>
              <w:rPr>
                <w:noProof/>
                <w:webHidden/>
              </w:rPr>
              <w:fldChar w:fldCharType="end"/>
            </w:r>
          </w:hyperlink>
        </w:p>
        <w:p w:rsidR="007E6B8D" w:rsidRDefault="007E6B8D">
          <w:pPr>
            <w:pStyle w:val="TOC3"/>
            <w:rPr>
              <w:rFonts w:asciiTheme="minorHAnsi" w:eastAsiaTheme="minorEastAsia" w:hAnsiTheme="minorHAnsi" w:cstheme="minorBidi"/>
              <w:noProof/>
              <w:lang w:eastAsia="en-AU"/>
            </w:rPr>
          </w:pPr>
          <w:hyperlink w:anchor="_Toc392595961" w:history="1">
            <w:r w:rsidRPr="005D13FC">
              <w:rPr>
                <w:rStyle w:val="Hyperlink"/>
                <w:noProof/>
              </w:rPr>
              <w:t>Clinical questions</w:t>
            </w:r>
            <w:r>
              <w:rPr>
                <w:noProof/>
                <w:webHidden/>
              </w:rPr>
              <w:tab/>
            </w:r>
            <w:r>
              <w:rPr>
                <w:noProof/>
                <w:webHidden/>
              </w:rPr>
              <w:fldChar w:fldCharType="begin"/>
            </w:r>
            <w:r>
              <w:rPr>
                <w:noProof/>
                <w:webHidden/>
              </w:rPr>
              <w:instrText xml:space="preserve"> PAGEREF _Toc392595961 \h </w:instrText>
            </w:r>
            <w:r>
              <w:rPr>
                <w:noProof/>
                <w:webHidden/>
              </w:rPr>
            </w:r>
            <w:r>
              <w:rPr>
                <w:noProof/>
                <w:webHidden/>
              </w:rPr>
              <w:fldChar w:fldCharType="separate"/>
            </w:r>
            <w:r>
              <w:rPr>
                <w:noProof/>
                <w:webHidden/>
              </w:rPr>
              <w:t>16</w:t>
            </w:r>
            <w:r>
              <w:rPr>
                <w:noProof/>
                <w:webHidden/>
              </w:rPr>
              <w:fldChar w:fldCharType="end"/>
            </w:r>
          </w:hyperlink>
        </w:p>
        <w:p w:rsidR="007E6B8D" w:rsidRDefault="007E6B8D">
          <w:pPr>
            <w:pStyle w:val="TOC3"/>
            <w:rPr>
              <w:rFonts w:asciiTheme="minorHAnsi" w:eastAsiaTheme="minorEastAsia" w:hAnsiTheme="minorHAnsi" w:cstheme="minorBidi"/>
              <w:noProof/>
              <w:lang w:eastAsia="en-AU"/>
            </w:rPr>
          </w:pPr>
          <w:hyperlink w:anchor="_Toc392595962" w:history="1">
            <w:r w:rsidRPr="005D13FC">
              <w:rPr>
                <w:rStyle w:val="Hyperlink"/>
                <w:noProof/>
              </w:rPr>
              <w:t>Second round evaluation of clinical data submitted in response to questions</w:t>
            </w:r>
            <w:r>
              <w:rPr>
                <w:noProof/>
                <w:webHidden/>
              </w:rPr>
              <w:tab/>
            </w:r>
            <w:r>
              <w:rPr>
                <w:noProof/>
                <w:webHidden/>
              </w:rPr>
              <w:fldChar w:fldCharType="begin"/>
            </w:r>
            <w:r>
              <w:rPr>
                <w:noProof/>
                <w:webHidden/>
              </w:rPr>
              <w:instrText xml:space="preserve"> PAGEREF _Toc392595962 \h </w:instrText>
            </w:r>
            <w:r>
              <w:rPr>
                <w:noProof/>
                <w:webHidden/>
              </w:rPr>
            </w:r>
            <w:r>
              <w:rPr>
                <w:noProof/>
                <w:webHidden/>
              </w:rPr>
              <w:fldChar w:fldCharType="separate"/>
            </w:r>
            <w:r>
              <w:rPr>
                <w:noProof/>
                <w:webHidden/>
              </w:rPr>
              <w:t>17</w:t>
            </w:r>
            <w:r>
              <w:rPr>
                <w:noProof/>
                <w:webHidden/>
              </w:rPr>
              <w:fldChar w:fldCharType="end"/>
            </w:r>
          </w:hyperlink>
        </w:p>
        <w:p w:rsidR="007E6B8D" w:rsidRDefault="007E6B8D">
          <w:pPr>
            <w:pStyle w:val="TOC2"/>
            <w:rPr>
              <w:rFonts w:asciiTheme="minorHAnsi" w:eastAsiaTheme="minorEastAsia" w:hAnsiTheme="minorHAnsi" w:cstheme="minorBidi"/>
              <w:b w:val="0"/>
              <w:noProof/>
              <w:sz w:val="22"/>
              <w:lang w:eastAsia="en-AU"/>
            </w:rPr>
          </w:pPr>
          <w:hyperlink w:anchor="_Toc392595963" w:history="1">
            <w:r w:rsidRPr="005D13FC">
              <w:rPr>
                <w:rStyle w:val="Hyperlink"/>
                <w:noProof/>
              </w:rPr>
              <w:t>V. Pharmacovigilance findings</w:t>
            </w:r>
            <w:r>
              <w:rPr>
                <w:noProof/>
                <w:webHidden/>
              </w:rPr>
              <w:tab/>
            </w:r>
            <w:r>
              <w:rPr>
                <w:noProof/>
                <w:webHidden/>
              </w:rPr>
              <w:fldChar w:fldCharType="begin"/>
            </w:r>
            <w:r>
              <w:rPr>
                <w:noProof/>
                <w:webHidden/>
              </w:rPr>
              <w:instrText xml:space="preserve"> PAGEREF _Toc392595963 \h </w:instrText>
            </w:r>
            <w:r>
              <w:rPr>
                <w:noProof/>
                <w:webHidden/>
              </w:rPr>
            </w:r>
            <w:r>
              <w:rPr>
                <w:noProof/>
                <w:webHidden/>
              </w:rPr>
              <w:fldChar w:fldCharType="separate"/>
            </w:r>
            <w:r>
              <w:rPr>
                <w:noProof/>
                <w:webHidden/>
              </w:rPr>
              <w:t>21</w:t>
            </w:r>
            <w:r>
              <w:rPr>
                <w:noProof/>
                <w:webHidden/>
              </w:rPr>
              <w:fldChar w:fldCharType="end"/>
            </w:r>
          </w:hyperlink>
        </w:p>
        <w:p w:rsidR="007E6B8D" w:rsidRDefault="007E6B8D">
          <w:pPr>
            <w:pStyle w:val="TOC3"/>
            <w:rPr>
              <w:rFonts w:asciiTheme="minorHAnsi" w:eastAsiaTheme="minorEastAsia" w:hAnsiTheme="minorHAnsi" w:cstheme="minorBidi"/>
              <w:noProof/>
              <w:lang w:eastAsia="en-AU"/>
            </w:rPr>
          </w:pPr>
          <w:hyperlink w:anchor="_Toc392595964" w:history="1">
            <w:r w:rsidRPr="005D13FC">
              <w:rPr>
                <w:rStyle w:val="Hyperlink"/>
                <w:noProof/>
                <w:lang w:eastAsia="en-AU"/>
              </w:rPr>
              <w:t>Risk management plan</w:t>
            </w:r>
            <w:r>
              <w:rPr>
                <w:noProof/>
                <w:webHidden/>
              </w:rPr>
              <w:tab/>
            </w:r>
            <w:r>
              <w:rPr>
                <w:noProof/>
                <w:webHidden/>
              </w:rPr>
              <w:fldChar w:fldCharType="begin"/>
            </w:r>
            <w:r>
              <w:rPr>
                <w:noProof/>
                <w:webHidden/>
              </w:rPr>
              <w:instrText xml:space="preserve"> PAGEREF _Toc392595964 \h </w:instrText>
            </w:r>
            <w:r>
              <w:rPr>
                <w:noProof/>
                <w:webHidden/>
              </w:rPr>
            </w:r>
            <w:r>
              <w:rPr>
                <w:noProof/>
                <w:webHidden/>
              </w:rPr>
              <w:fldChar w:fldCharType="separate"/>
            </w:r>
            <w:r>
              <w:rPr>
                <w:noProof/>
                <w:webHidden/>
              </w:rPr>
              <w:t>21</w:t>
            </w:r>
            <w:r>
              <w:rPr>
                <w:noProof/>
                <w:webHidden/>
              </w:rPr>
              <w:fldChar w:fldCharType="end"/>
            </w:r>
          </w:hyperlink>
        </w:p>
        <w:p w:rsidR="007E6B8D" w:rsidRDefault="007E6B8D">
          <w:pPr>
            <w:pStyle w:val="TOC2"/>
            <w:rPr>
              <w:rFonts w:asciiTheme="minorHAnsi" w:eastAsiaTheme="minorEastAsia" w:hAnsiTheme="minorHAnsi" w:cstheme="minorBidi"/>
              <w:b w:val="0"/>
              <w:noProof/>
              <w:sz w:val="22"/>
              <w:lang w:eastAsia="en-AU"/>
            </w:rPr>
          </w:pPr>
          <w:hyperlink w:anchor="_Toc392595965" w:history="1">
            <w:r w:rsidRPr="005D13FC">
              <w:rPr>
                <w:rStyle w:val="Hyperlink"/>
                <w:noProof/>
              </w:rPr>
              <w:t>VI. Overall conclusion and risk/benefit assessment</w:t>
            </w:r>
            <w:r>
              <w:rPr>
                <w:noProof/>
                <w:webHidden/>
              </w:rPr>
              <w:tab/>
            </w:r>
            <w:r>
              <w:rPr>
                <w:noProof/>
                <w:webHidden/>
              </w:rPr>
              <w:fldChar w:fldCharType="begin"/>
            </w:r>
            <w:r>
              <w:rPr>
                <w:noProof/>
                <w:webHidden/>
              </w:rPr>
              <w:instrText xml:space="preserve"> PAGEREF _Toc392595965 \h </w:instrText>
            </w:r>
            <w:r>
              <w:rPr>
                <w:noProof/>
                <w:webHidden/>
              </w:rPr>
            </w:r>
            <w:r>
              <w:rPr>
                <w:noProof/>
                <w:webHidden/>
              </w:rPr>
              <w:fldChar w:fldCharType="separate"/>
            </w:r>
            <w:r>
              <w:rPr>
                <w:noProof/>
                <w:webHidden/>
              </w:rPr>
              <w:t>25</w:t>
            </w:r>
            <w:r>
              <w:rPr>
                <w:noProof/>
                <w:webHidden/>
              </w:rPr>
              <w:fldChar w:fldCharType="end"/>
            </w:r>
          </w:hyperlink>
        </w:p>
        <w:p w:rsidR="007E6B8D" w:rsidRDefault="007E6B8D">
          <w:pPr>
            <w:pStyle w:val="TOC3"/>
            <w:rPr>
              <w:rFonts w:asciiTheme="minorHAnsi" w:eastAsiaTheme="minorEastAsia" w:hAnsiTheme="minorHAnsi" w:cstheme="minorBidi"/>
              <w:noProof/>
              <w:lang w:eastAsia="en-AU"/>
            </w:rPr>
          </w:pPr>
          <w:hyperlink w:anchor="_Toc392595966" w:history="1">
            <w:r w:rsidRPr="005D13FC">
              <w:rPr>
                <w:rStyle w:val="Hyperlink"/>
                <w:noProof/>
              </w:rPr>
              <w:t>Consideration of the strengths proposed</w:t>
            </w:r>
            <w:r>
              <w:rPr>
                <w:noProof/>
                <w:webHidden/>
              </w:rPr>
              <w:tab/>
            </w:r>
            <w:r>
              <w:rPr>
                <w:noProof/>
                <w:webHidden/>
              </w:rPr>
              <w:fldChar w:fldCharType="begin"/>
            </w:r>
            <w:r>
              <w:rPr>
                <w:noProof/>
                <w:webHidden/>
              </w:rPr>
              <w:instrText xml:space="preserve"> PAGEREF _Toc392595966 \h </w:instrText>
            </w:r>
            <w:r>
              <w:rPr>
                <w:noProof/>
                <w:webHidden/>
              </w:rPr>
            </w:r>
            <w:r>
              <w:rPr>
                <w:noProof/>
                <w:webHidden/>
              </w:rPr>
              <w:fldChar w:fldCharType="separate"/>
            </w:r>
            <w:r>
              <w:rPr>
                <w:noProof/>
                <w:webHidden/>
              </w:rPr>
              <w:t>25</w:t>
            </w:r>
            <w:r>
              <w:rPr>
                <w:noProof/>
                <w:webHidden/>
              </w:rPr>
              <w:fldChar w:fldCharType="end"/>
            </w:r>
          </w:hyperlink>
        </w:p>
        <w:p w:rsidR="007E6B8D" w:rsidRDefault="007E6B8D">
          <w:pPr>
            <w:pStyle w:val="TOC3"/>
            <w:rPr>
              <w:rFonts w:asciiTheme="minorHAnsi" w:eastAsiaTheme="minorEastAsia" w:hAnsiTheme="minorHAnsi" w:cstheme="minorBidi"/>
              <w:noProof/>
              <w:lang w:eastAsia="en-AU"/>
            </w:rPr>
          </w:pPr>
          <w:hyperlink w:anchor="_Toc392595967" w:history="1">
            <w:r w:rsidRPr="005D13FC">
              <w:rPr>
                <w:rStyle w:val="Hyperlink"/>
                <w:noProof/>
              </w:rPr>
              <w:t>Quality</w:t>
            </w:r>
            <w:r>
              <w:rPr>
                <w:noProof/>
                <w:webHidden/>
              </w:rPr>
              <w:tab/>
            </w:r>
            <w:r>
              <w:rPr>
                <w:noProof/>
                <w:webHidden/>
              </w:rPr>
              <w:fldChar w:fldCharType="begin"/>
            </w:r>
            <w:r>
              <w:rPr>
                <w:noProof/>
                <w:webHidden/>
              </w:rPr>
              <w:instrText xml:space="preserve"> PAGEREF _Toc392595967 \h </w:instrText>
            </w:r>
            <w:r>
              <w:rPr>
                <w:noProof/>
                <w:webHidden/>
              </w:rPr>
            </w:r>
            <w:r>
              <w:rPr>
                <w:noProof/>
                <w:webHidden/>
              </w:rPr>
              <w:fldChar w:fldCharType="separate"/>
            </w:r>
            <w:r>
              <w:rPr>
                <w:noProof/>
                <w:webHidden/>
              </w:rPr>
              <w:t>29</w:t>
            </w:r>
            <w:r>
              <w:rPr>
                <w:noProof/>
                <w:webHidden/>
              </w:rPr>
              <w:fldChar w:fldCharType="end"/>
            </w:r>
          </w:hyperlink>
        </w:p>
        <w:p w:rsidR="007E6B8D" w:rsidRDefault="007E6B8D">
          <w:pPr>
            <w:pStyle w:val="TOC3"/>
            <w:rPr>
              <w:rFonts w:asciiTheme="minorHAnsi" w:eastAsiaTheme="minorEastAsia" w:hAnsiTheme="minorHAnsi" w:cstheme="minorBidi"/>
              <w:noProof/>
              <w:lang w:eastAsia="en-AU"/>
            </w:rPr>
          </w:pPr>
          <w:hyperlink w:anchor="_Toc392595968" w:history="1">
            <w:r w:rsidRPr="005D13FC">
              <w:rPr>
                <w:rStyle w:val="Hyperlink"/>
                <w:noProof/>
              </w:rPr>
              <w:t>Nonclinical</w:t>
            </w:r>
            <w:r>
              <w:rPr>
                <w:noProof/>
                <w:webHidden/>
              </w:rPr>
              <w:tab/>
            </w:r>
            <w:r>
              <w:rPr>
                <w:noProof/>
                <w:webHidden/>
              </w:rPr>
              <w:fldChar w:fldCharType="begin"/>
            </w:r>
            <w:r>
              <w:rPr>
                <w:noProof/>
                <w:webHidden/>
              </w:rPr>
              <w:instrText xml:space="preserve"> PAGEREF _Toc392595968 \h </w:instrText>
            </w:r>
            <w:r>
              <w:rPr>
                <w:noProof/>
                <w:webHidden/>
              </w:rPr>
            </w:r>
            <w:r>
              <w:rPr>
                <w:noProof/>
                <w:webHidden/>
              </w:rPr>
              <w:fldChar w:fldCharType="separate"/>
            </w:r>
            <w:r>
              <w:rPr>
                <w:noProof/>
                <w:webHidden/>
              </w:rPr>
              <w:t>29</w:t>
            </w:r>
            <w:r>
              <w:rPr>
                <w:noProof/>
                <w:webHidden/>
              </w:rPr>
              <w:fldChar w:fldCharType="end"/>
            </w:r>
          </w:hyperlink>
        </w:p>
        <w:p w:rsidR="007E6B8D" w:rsidRDefault="007E6B8D">
          <w:pPr>
            <w:pStyle w:val="TOC3"/>
            <w:rPr>
              <w:rFonts w:asciiTheme="minorHAnsi" w:eastAsiaTheme="minorEastAsia" w:hAnsiTheme="minorHAnsi" w:cstheme="minorBidi"/>
              <w:noProof/>
              <w:lang w:eastAsia="en-AU"/>
            </w:rPr>
          </w:pPr>
          <w:hyperlink w:anchor="_Toc392595969" w:history="1">
            <w:r w:rsidRPr="005D13FC">
              <w:rPr>
                <w:rStyle w:val="Hyperlink"/>
                <w:noProof/>
              </w:rPr>
              <w:t>Clinical</w:t>
            </w:r>
            <w:r>
              <w:rPr>
                <w:noProof/>
                <w:webHidden/>
              </w:rPr>
              <w:tab/>
            </w:r>
            <w:r>
              <w:rPr>
                <w:noProof/>
                <w:webHidden/>
              </w:rPr>
              <w:fldChar w:fldCharType="begin"/>
            </w:r>
            <w:r>
              <w:rPr>
                <w:noProof/>
                <w:webHidden/>
              </w:rPr>
              <w:instrText xml:space="preserve"> PAGEREF _Toc392595969 \h </w:instrText>
            </w:r>
            <w:r>
              <w:rPr>
                <w:noProof/>
                <w:webHidden/>
              </w:rPr>
            </w:r>
            <w:r>
              <w:rPr>
                <w:noProof/>
                <w:webHidden/>
              </w:rPr>
              <w:fldChar w:fldCharType="separate"/>
            </w:r>
            <w:r>
              <w:rPr>
                <w:noProof/>
                <w:webHidden/>
              </w:rPr>
              <w:t>29</w:t>
            </w:r>
            <w:r>
              <w:rPr>
                <w:noProof/>
                <w:webHidden/>
              </w:rPr>
              <w:fldChar w:fldCharType="end"/>
            </w:r>
          </w:hyperlink>
        </w:p>
        <w:p w:rsidR="007E6B8D" w:rsidRDefault="007E6B8D">
          <w:pPr>
            <w:pStyle w:val="TOC3"/>
            <w:rPr>
              <w:rFonts w:asciiTheme="minorHAnsi" w:eastAsiaTheme="minorEastAsia" w:hAnsiTheme="minorHAnsi" w:cstheme="minorBidi"/>
              <w:noProof/>
              <w:lang w:eastAsia="en-AU"/>
            </w:rPr>
          </w:pPr>
          <w:hyperlink w:anchor="_Toc392595970" w:history="1">
            <w:r w:rsidRPr="005D13FC">
              <w:rPr>
                <w:rStyle w:val="Hyperlink"/>
                <w:noProof/>
                <w:lang w:eastAsia="en-AU"/>
              </w:rPr>
              <w:t xml:space="preserve">Risk </w:t>
            </w:r>
            <w:r w:rsidRPr="005D13FC">
              <w:rPr>
                <w:rStyle w:val="Hyperlink"/>
                <w:noProof/>
              </w:rPr>
              <w:t>management</w:t>
            </w:r>
            <w:r w:rsidRPr="005D13FC">
              <w:rPr>
                <w:rStyle w:val="Hyperlink"/>
                <w:noProof/>
                <w:lang w:eastAsia="en-AU"/>
              </w:rPr>
              <w:t xml:space="preserve"> plan</w:t>
            </w:r>
            <w:r>
              <w:rPr>
                <w:noProof/>
                <w:webHidden/>
              </w:rPr>
              <w:tab/>
            </w:r>
            <w:r>
              <w:rPr>
                <w:noProof/>
                <w:webHidden/>
              </w:rPr>
              <w:fldChar w:fldCharType="begin"/>
            </w:r>
            <w:r>
              <w:rPr>
                <w:noProof/>
                <w:webHidden/>
              </w:rPr>
              <w:instrText xml:space="preserve"> PAGEREF _Toc392595970 \h </w:instrText>
            </w:r>
            <w:r>
              <w:rPr>
                <w:noProof/>
                <w:webHidden/>
              </w:rPr>
            </w:r>
            <w:r>
              <w:rPr>
                <w:noProof/>
                <w:webHidden/>
              </w:rPr>
              <w:fldChar w:fldCharType="separate"/>
            </w:r>
            <w:r>
              <w:rPr>
                <w:noProof/>
                <w:webHidden/>
              </w:rPr>
              <w:t>31</w:t>
            </w:r>
            <w:r>
              <w:rPr>
                <w:noProof/>
                <w:webHidden/>
              </w:rPr>
              <w:fldChar w:fldCharType="end"/>
            </w:r>
          </w:hyperlink>
        </w:p>
        <w:p w:rsidR="007E6B8D" w:rsidRDefault="007E6B8D">
          <w:pPr>
            <w:pStyle w:val="TOC3"/>
            <w:rPr>
              <w:rFonts w:asciiTheme="minorHAnsi" w:eastAsiaTheme="minorEastAsia" w:hAnsiTheme="minorHAnsi" w:cstheme="minorBidi"/>
              <w:noProof/>
              <w:lang w:eastAsia="en-AU"/>
            </w:rPr>
          </w:pPr>
          <w:hyperlink w:anchor="_Toc392595971" w:history="1">
            <w:r w:rsidRPr="005D13FC">
              <w:rPr>
                <w:rStyle w:val="Hyperlink"/>
                <w:noProof/>
              </w:rPr>
              <w:t>Risk-benefit analysis</w:t>
            </w:r>
            <w:r>
              <w:rPr>
                <w:noProof/>
                <w:webHidden/>
              </w:rPr>
              <w:tab/>
            </w:r>
            <w:r>
              <w:rPr>
                <w:noProof/>
                <w:webHidden/>
              </w:rPr>
              <w:fldChar w:fldCharType="begin"/>
            </w:r>
            <w:r>
              <w:rPr>
                <w:noProof/>
                <w:webHidden/>
              </w:rPr>
              <w:instrText xml:space="preserve"> PAGEREF _Toc392595971 \h </w:instrText>
            </w:r>
            <w:r>
              <w:rPr>
                <w:noProof/>
                <w:webHidden/>
              </w:rPr>
            </w:r>
            <w:r>
              <w:rPr>
                <w:noProof/>
                <w:webHidden/>
              </w:rPr>
              <w:fldChar w:fldCharType="separate"/>
            </w:r>
            <w:r>
              <w:rPr>
                <w:noProof/>
                <w:webHidden/>
              </w:rPr>
              <w:t>31</w:t>
            </w:r>
            <w:r>
              <w:rPr>
                <w:noProof/>
                <w:webHidden/>
              </w:rPr>
              <w:fldChar w:fldCharType="end"/>
            </w:r>
          </w:hyperlink>
        </w:p>
        <w:p w:rsidR="007E6B8D" w:rsidRDefault="007E6B8D">
          <w:pPr>
            <w:pStyle w:val="TOC3"/>
            <w:rPr>
              <w:rFonts w:asciiTheme="minorHAnsi" w:eastAsiaTheme="minorEastAsia" w:hAnsiTheme="minorHAnsi" w:cstheme="minorBidi"/>
              <w:noProof/>
              <w:lang w:eastAsia="en-AU"/>
            </w:rPr>
          </w:pPr>
          <w:hyperlink w:anchor="_Toc392595972" w:history="1">
            <w:r w:rsidRPr="005D13FC">
              <w:rPr>
                <w:rStyle w:val="Hyperlink"/>
                <w:noProof/>
              </w:rPr>
              <w:t>Outcome</w:t>
            </w:r>
            <w:r>
              <w:rPr>
                <w:noProof/>
                <w:webHidden/>
              </w:rPr>
              <w:tab/>
            </w:r>
            <w:r>
              <w:rPr>
                <w:noProof/>
                <w:webHidden/>
              </w:rPr>
              <w:fldChar w:fldCharType="begin"/>
            </w:r>
            <w:r>
              <w:rPr>
                <w:noProof/>
                <w:webHidden/>
              </w:rPr>
              <w:instrText xml:space="preserve"> PAGEREF _Toc392595972 \h </w:instrText>
            </w:r>
            <w:r>
              <w:rPr>
                <w:noProof/>
                <w:webHidden/>
              </w:rPr>
            </w:r>
            <w:r>
              <w:rPr>
                <w:noProof/>
                <w:webHidden/>
              </w:rPr>
              <w:fldChar w:fldCharType="separate"/>
            </w:r>
            <w:r>
              <w:rPr>
                <w:noProof/>
                <w:webHidden/>
              </w:rPr>
              <w:t>39</w:t>
            </w:r>
            <w:r>
              <w:rPr>
                <w:noProof/>
                <w:webHidden/>
              </w:rPr>
              <w:fldChar w:fldCharType="end"/>
            </w:r>
          </w:hyperlink>
        </w:p>
        <w:p w:rsidR="007E6B8D" w:rsidRDefault="007E6B8D">
          <w:pPr>
            <w:pStyle w:val="TOC2"/>
            <w:rPr>
              <w:rFonts w:asciiTheme="minorHAnsi" w:eastAsiaTheme="minorEastAsia" w:hAnsiTheme="minorHAnsi" w:cstheme="minorBidi"/>
              <w:b w:val="0"/>
              <w:noProof/>
              <w:sz w:val="22"/>
              <w:lang w:eastAsia="en-AU"/>
            </w:rPr>
          </w:pPr>
          <w:hyperlink w:anchor="_Toc392595973" w:history="1">
            <w:r w:rsidRPr="005D13FC">
              <w:rPr>
                <w:rStyle w:val="Hyperlink"/>
                <w:noProof/>
              </w:rPr>
              <w:t>Attachment 1. Product Information</w:t>
            </w:r>
            <w:r>
              <w:rPr>
                <w:noProof/>
                <w:webHidden/>
              </w:rPr>
              <w:tab/>
            </w:r>
            <w:r>
              <w:rPr>
                <w:noProof/>
                <w:webHidden/>
              </w:rPr>
              <w:fldChar w:fldCharType="begin"/>
            </w:r>
            <w:r>
              <w:rPr>
                <w:noProof/>
                <w:webHidden/>
              </w:rPr>
              <w:instrText xml:space="preserve"> PAGEREF _Toc392595973 \h </w:instrText>
            </w:r>
            <w:r>
              <w:rPr>
                <w:noProof/>
                <w:webHidden/>
              </w:rPr>
            </w:r>
            <w:r>
              <w:rPr>
                <w:noProof/>
                <w:webHidden/>
              </w:rPr>
              <w:fldChar w:fldCharType="separate"/>
            </w:r>
            <w:r>
              <w:rPr>
                <w:noProof/>
                <w:webHidden/>
              </w:rPr>
              <w:t>40</w:t>
            </w:r>
            <w:r>
              <w:rPr>
                <w:noProof/>
                <w:webHidden/>
              </w:rPr>
              <w:fldChar w:fldCharType="end"/>
            </w:r>
          </w:hyperlink>
        </w:p>
        <w:p w:rsidR="003A7F6C" w:rsidRPr="00B811C6" w:rsidRDefault="007E6B8D" w:rsidP="00B811C6">
          <w:pPr>
            <w:pStyle w:val="TOC2"/>
          </w:pPr>
          <w:hyperlink w:anchor="_Toc392595974" w:history="1">
            <w:r w:rsidRPr="005D13FC">
              <w:rPr>
                <w:rStyle w:val="Hyperlink"/>
                <w:noProof/>
                <w:lang w:eastAsia="en-AU"/>
              </w:rPr>
              <w:t>Attachment 2. Extract from the Clinical Evaluation Report</w:t>
            </w:r>
            <w:r>
              <w:rPr>
                <w:noProof/>
                <w:webHidden/>
              </w:rPr>
              <w:tab/>
            </w:r>
            <w:r>
              <w:rPr>
                <w:noProof/>
                <w:webHidden/>
              </w:rPr>
              <w:fldChar w:fldCharType="begin"/>
            </w:r>
            <w:r>
              <w:rPr>
                <w:noProof/>
                <w:webHidden/>
              </w:rPr>
              <w:instrText xml:space="preserve"> PAGEREF _Toc392595974 \h </w:instrText>
            </w:r>
            <w:r>
              <w:rPr>
                <w:noProof/>
                <w:webHidden/>
              </w:rPr>
            </w:r>
            <w:r>
              <w:rPr>
                <w:noProof/>
                <w:webHidden/>
              </w:rPr>
              <w:fldChar w:fldCharType="separate"/>
            </w:r>
            <w:r>
              <w:rPr>
                <w:noProof/>
                <w:webHidden/>
              </w:rPr>
              <w:t>40</w:t>
            </w:r>
            <w:r>
              <w:rPr>
                <w:noProof/>
                <w:webHidden/>
              </w:rPr>
              <w:fldChar w:fldCharType="end"/>
            </w:r>
          </w:hyperlink>
          <w:r w:rsidR="00DB6124">
            <w:fldChar w:fldCharType="end"/>
          </w:r>
        </w:p>
      </w:sdtContent>
    </w:sdt>
    <w:bookmarkStart w:id="2" w:name="_Toc314842482" w:displacedByCustomXml="prev"/>
    <w:p w:rsidR="00FD119B" w:rsidRDefault="00FD119B">
      <w:pPr>
        <w:spacing w:before="0" w:after="200" w:line="0" w:lineRule="auto"/>
      </w:pPr>
      <w:r>
        <w:br w:type="page"/>
      </w:r>
    </w:p>
    <w:p w:rsidR="00FD119B" w:rsidRPr="00FD119B" w:rsidRDefault="00FD119B" w:rsidP="00503CBF">
      <w:pPr>
        <w:pStyle w:val="Heading2"/>
      </w:pPr>
      <w:bookmarkStart w:id="3" w:name="_Toc351716269"/>
      <w:bookmarkStart w:id="4" w:name="_Toc351718881"/>
      <w:bookmarkStart w:id="5" w:name="_Toc355338616"/>
      <w:bookmarkStart w:id="6" w:name="_Toc356306144"/>
      <w:bookmarkStart w:id="7" w:name="_Toc392595938"/>
      <w:r w:rsidRPr="00FD119B">
        <w:lastRenderedPageBreak/>
        <w:t xml:space="preserve">List </w:t>
      </w:r>
      <w:r w:rsidRPr="00503CBF">
        <w:t>of</w:t>
      </w:r>
      <w:r w:rsidRPr="00FD119B">
        <w:t xml:space="preserve"> common</w:t>
      </w:r>
      <w:r w:rsidR="00C864BE">
        <w:t>ly</w:t>
      </w:r>
      <w:r w:rsidRPr="00FD119B">
        <w:t xml:space="preserve"> </w:t>
      </w:r>
      <w:r w:rsidR="00C864BE">
        <w:t xml:space="preserve">used </w:t>
      </w:r>
      <w:r w:rsidRPr="00FD119B">
        <w:t>abbreviations</w:t>
      </w:r>
      <w:bookmarkStart w:id="8" w:name="_GoBack"/>
      <w:bookmarkEnd w:id="3"/>
      <w:bookmarkEnd w:id="4"/>
      <w:bookmarkEnd w:id="5"/>
      <w:bookmarkEnd w:id="6"/>
      <w:bookmarkEnd w:id="7"/>
      <w:bookmarkEnd w:id="8"/>
    </w:p>
    <w:tbl>
      <w:tblPr>
        <w:tblStyle w:val="TableTGAblue"/>
        <w:tblW w:w="0" w:type="auto"/>
        <w:tblLook w:val="04A0" w:firstRow="1" w:lastRow="0" w:firstColumn="1" w:lastColumn="0" w:noHBand="0" w:noVBand="1"/>
      </w:tblPr>
      <w:tblGrid>
        <w:gridCol w:w="1890"/>
        <w:gridCol w:w="6830"/>
      </w:tblGrid>
      <w:tr w:rsidR="00FD119B" w:rsidRPr="00FD119B" w:rsidTr="00FD119B">
        <w:trPr>
          <w:cnfStyle w:val="100000000000" w:firstRow="1" w:lastRow="0" w:firstColumn="0" w:lastColumn="0" w:oddVBand="0" w:evenVBand="0" w:oddHBand="0" w:evenHBand="0" w:firstRowFirstColumn="0" w:firstRowLastColumn="0" w:lastRowFirstColumn="0" w:lastRowLastColumn="0"/>
        </w:trPr>
        <w:tc>
          <w:tcPr>
            <w:tcW w:w="1809" w:type="dxa"/>
          </w:tcPr>
          <w:p w:rsidR="00FD119B" w:rsidRPr="00FD119B" w:rsidRDefault="00FD119B" w:rsidP="00503CBF">
            <w:pPr>
              <w:rPr>
                <w:lang w:eastAsia="en-US"/>
              </w:rPr>
            </w:pPr>
            <w:r w:rsidRPr="00FD119B">
              <w:rPr>
                <w:lang w:eastAsia="en-US"/>
              </w:rPr>
              <w:t>Abbreviation</w:t>
            </w:r>
          </w:p>
        </w:tc>
        <w:tc>
          <w:tcPr>
            <w:tcW w:w="6911" w:type="dxa"/>
          </w:tcPr>
          <w:p w:rsidR="00FD119B" w:rsidRPr="00FD119B" w:rsidRDefault="00FD119B" w:rsidP="00503CBF">
            <w:pPr>
              <w:rPr>
                <w:lang w:eastAsia="en-US"/>
              </w:rPr>
            </w:pPr>
            <w:r w:rsidRPr="00FD119B">
              <w:rPr>
                <w:lang w:eastAsia="en-US"/>
              </w:rPr>
              <w:t>Meaning</w:t>
            </w:r>
          </w:p>
        </w:tc>
      </w:tr>
      <w:tr w:rsidR="00C864BE" w:rsidRPr="00FD119B" w:rsidTr="00FD119B">
        <w:tc>
          <w:tcPr>
            <w:tcW w:w="1809" w:type="dxa"/>
          </w:tcPr>
          <w:p w:rsidR="00C864BE" w:rsidRPr="00C864BE" w:rsidRDefault="00C864BE" w:rsidP="00503CBF">
            <w:r w:rsidRPr="00C864BE">
              <w:t>CI</w:t>
            </w:r>
          </w:p>
        </w:tc>
        <w:tc>
          <w:tcPr>
            <w:tcW w:w="6911" w:type="dxa"/>
          </w:tcPr>
          <w:p w:rsidR="00C864BE" w:rsidRPr="00C864BE" w:rsidRDefault="00C864BE" w:rsidP="00503CBF">
            <w:r w:rsidRPr="00C864BE">
              <w:t>Confidence interval</w:t>
            </w:r>
          </w:p>
        </w:tc>
      </w:tr>
      <w:tr w:rsidR="00C864BE" w:rsidRPr="00FD119B" w:rsidTr="00FD119B">
        <w:tc>
          <w:tcPr>
            <w:tcW w:w="1809" w:type="dxa"/>
          </w:tcPr>
          <w:p w:rsidR="00C864BE" w:rsidRPr="00C864BE" w:rsidRDefault="00377374" w:rsidP="00503CBF">
            <w:r>
              <w:t>C</w:t>
            </w:r>
            <w:r w:rsidRPr="00155E1E">
              <w:rPr>
                <w:vertAlign w:val="subscript"/>
              </w:rPr>
              <w:t>max</w:t>
            </w:r>
          </w:p>
        </w:tc>
        <w:tc>
          <w:tcPr>
            <w:tcW w:w="6911" w:type="dxa"/>
          </w:tcPr>
          <w:p w:rsidR="00C864BE" w:rsidRPr="00C864BE" w:rsidRDefault="00377374" w:rsidP="00503CBF">
            <w:r>
              <w:t>Peak plasma drug concentration</w:t>
            </w:r>
          </w:p>
        </w:tc>
      </w:tr>
      <w:tr w:rsidR="00C864BE" w:rsidRPr="00FD119B" w:rsidTr="00FD119B">
        <w:tc>
          <w:tcPr>
            <w:tcW w:w="1809" w:type="dxa"/>
          </w:tcPr>
          <w:p w:rsidR="00C864BE" w:rsidRPr="00C864BE" w:rsidRDefault="00377374" w:rsidP="00503CBF">
            <w:r>
              <w:t>AUC</w:t>
            </w:r>
          </w:p>
        </w:tc>
        <w:tc>
          <w:tcPr>
            <w:tcW w:w="6911" w:type="dxa"/>
          </w:tcPr>
          <w:p w:rsidR="00C864BE" w:rsidRPr="00C864BE" w:rsidRDefault="00377374" w:rsidP="00503CBF">
            <w:r>
              <w:t>Area under the plasma concentration time curve</w:t>
            </w:r>
          </w:p>
        </w:tc>
      </w:tr>
      <w:tr w:rsidR="00C864BE" w:rsidRPr="00FD119B" w:rsidTr="00FD119B">
        <w:tc>
          <w:tcPr>
            <w:tcW w:w="1809" w:type="dxa"/>
          </w:tcPr>
          <w:p w:rsidR="00C864BE" w:rsidRPr="00C864BE" w:rsidRDefault="00C864BE" w:rsidP="00503CBF">
            <w:r w:rsidRPr="00C864BE">
              <w:t>PI</w:t>
            </w:r>
          </w:p>
        </w:tc>
        <w:tc>
          <w:tcPr>
            <w:tcW w:w="6911" w:type="dxa"/>
          </w:tcPr>
          <w:p w:rsidR="00C864BE" w:rsidRPr="00C864BE" w:rsidRDefault="00C864BE" w:rsidP="00503CBF">
            <w:r w:rsidRPr="00C864BE">
              <w:t>Product information</w:t>
            </w:r>
          </w:p>
        </w:tc>
      </w:tr>
      <w:tr w:rsidR="00C864BE" w:rsidRPr="00FD119B" w:rsidTr="00FD119B">
        <w:tc>
          <w:tcPr>
            <w:tcW w:w="1809" w:type="dxa"/>
          </w:tcPr>
          <w:p w:rsidR="00C864BE" w:rsidRPr="00C864BE" w:rsidRDefault="00C864BE" w:rsidP="00503CBF">
            <w:r w:rsidRPr="00C864BE">
              <w:t>PK</w:t>
            </w:r>
          </w:p>
        </w:tc>
        <w:tc>
          <w:tcPr>
            <w:tcW w:w="6911" w:type="dxa"/>
          </w:tcPr>
          <w:p w:rsidR="00C864BE" w:rsidRPr="00C864BE" w:rsidRDefault="00C864BE" w:rsidP="00503CBF">
            <w:r w:rsidRPr="00C864BE">
              <w:t>Pharmacokinetic</w:t>
            </w:r>
            <w:r w:rsidR="00155E1E">
              <w:t>s</w:t>
            </w:r>
          </w:p>
        </w:tc>
      </w:tr>
      <w:tr w:rsidR="00155E1E" w:rsidRPr="00FD119B" w:rsidTr="00FD119B">
        <w:tc>
          <w:tcPr>
            <w:tcW w:w="1809" w:type="dxa"/>
          </w:tcPr>
          <w:p w:rsidR="00155E1E" w:rsidRPr="00C864BE" w:rsidRDefault="00155E1E" w:rsidP="00503CBF">
            <w:r>
              <w:t>T3</w:t>
            </w:r>
          </w:p>
        </w:tc>
        <w:tc>
          <w:tcPr>
            <w:tcW w:w="6911" w:type="dxa"/>
          </w:tcPr>
          <w:p w:rsidR="00155E1E" w:rsidRPr="00C864BE" w:rsidRDefault="00155E1E" w:rsidP="00503CBF">
            <w:r w:rsidRPr="00155E1E">
              <w:t>Tri</w:t>
            </w:r>
            <w:r>
              <w:t>-</w:t>
            </w:r>
            <w:proofErr w:type="spellStart"/>
            <w:r w:rsidRPr="00155E1E">
              <w:t>iodothyronine</w:t>
            </w:r>
            <w:proofErr w:type="spellEnd"/>
          </w:p>
        </w:tc>
      </w:tr>
      <w:tr w:rsidR="00155E1E" w:rsidRPr="00FD119B" w:rsidTr="00FD119B">
        <w:tc>
          <w:tcPr>
            <w:tcW w:w="1809" w:type="dxa"/>
          </w:tcPr>
          <w:p w:rsidR="00155E1E" w:rsidRPr="00C864BE" w:rsidRDefault="00155E1E" w:rsidP="00503CBF">
            <w:r>
              <w:t>T4</w:t>
            </w:r>
          </w:p>
        </w:tc>
        <w:tc>
          <w:tcPr>
            <w:tcW w:w="6911" w:type="dxa"/>
          </w:tcPr>
          <w:p w:rsidR="00155E1E" w:rsidRPr="00C864BE" w:rsidRDefault="00155E1E" w:rsidP="00503CBF">
            <w:r>
              <w:t>T</w:t>
            </w:r>
            <w:r w:rsidRPr="00155E1E">
              <w:t>hyroxine</w:t>
            </w:r>
          </w:p>
        </w:tc>
      </w:tr>
      <w:tr w:rsidR="00155E1E" w:rsidRPr="00FD119B" w:rsidTr="00FD119B">
        <w:tc>
          <w:tcPr>
            <w:tcW w:w="1809" w:type="dxa"/>
          </w:tcPr>
          <w:p w:rsidR="00155E1E" w:rsidRPr="00C864BE" w:rsidRDefault="00155E1E" w:rsidP="00503CBF">
            <w:r>
              <w:t>TT4</w:t>
            </w:r>
          </w:p>
        </w:tc>
        <w:tc>
          <w:tcPr>
            <w:tcW w:w="6911" w:type="dxa"/>
          </w:tcPr>
          <w:p w:rsidR="00155E1E" w:rsidRPr="00C864BE" w:rsidRDefault="00155E1E" w:rsidP="00503CBF">
            <w:r>
              <w:t>Total thyroxine</w:t>
            </w:r>
          </w:p>
        </w:tc>
      </w:tr>
    </w:tbl>
    <w:p w:rsidR="00FD119B" w:rsidRPr="00FD119B" w:rsidRDefault="00FD119B" w:rsidP="00FD119B">
      <w:pPr>
        <w:spacing w:before="0" w:after="200" w:line="0" w:lineRule="auto"/>
        <w:rPr>
          <w:b/>
          <w:i/>
          <w:sz w:val="24"/>
          <w:szCs w:val="24"/>
        </w:rPr>
      </w:pPr>
      <w:r w:rsidRPr="00FD119B">
        <w:rPr>
          <w:b/>
          <w:i/>
          <w:sz w:val="24"/>
          <w:szCs w:val="24"/>
        </w:rPr>
        <w:br w:type="page"/>
      </w:r>
    </w:p>
    <w:p w:rsidR="008E7846" w:rsidRDefault="00F53C07" w:rsidP="00503CBF">
      <w:pPr>
        <w:pStyle w:val="Heading2"/>
      </w:pPr>
      <w:bookmarkStart w:id="9" w:name="_Toc392595939"/>
      <w:r>
        <w:lastRenderedPageBreak/>
        <w:t>I.</w:t>
      </w:r>
      <w:r w:rsidR="008E7846">
        <w:t xml:space="preserve"> Introduction to product submission</w:t>
      </w:r>
      <w:bookmarkEnd w:id="2"/>
      <w:bookmarkEnd w:id="0"/>
      <w:bookmarkEnd w:id="9"/>
    </w:p>
    <w:p w:rsidR="008E7846" w:rsidRPr="00503CBF" w:rsidRDefault="008E7846" w:rsidP="00503CBF">
      <w:pPr>
        <w:pStyle w:val="Heading3"/>
      </w:pPr>
      <w:bookmarkStart w:id="10" w:name="_Toc247691502"/>
      <w:bookmarkStart w:id="11" w:name="_Toc314842483"/>
      <w:bookmarkStart w:id="12" w:name="_Toc392595940"/>
      <w:r>
        <w:rPr>
          <w:lang w:eastAsia="en-AU"/>
        </w:rPr>
        <w:t>Submission details</w:t>
      </w:r>
      <w:bookmarkEnd w:id="10"/>
      <w:bookmarkEnd w:id="11"/>
      <w:bookmarkEnd w:id="12"/>
    </w:p>
    <w:tbl>
      <w:tblPr>
        <w:tblW w:w="9497" w:type="dxa"/>
        <w:tblInd w:w="108" w:type="dxa"/>
        <w:tblLook w:val="01E0" w:firstRow="1" w:lastRow="1" w:firstColumn="1" w:lastColumn="1" w:noHBand="0" w:noVBand="0"/>
      </w:tblPr>
      <w:tblGrid>
        <w:gridCol w:w="2907"/>
        <w:gridCol w:w="6307"/>
        <w:gridCol w:w="283"/>
      </w:tblGrid>
      <w:tr w:rsidR="008E7846" w:rsidRPr="003D1E62" w:rsidTr="00503CBF">
        <w:trPr>
          <w:trHeight w:hRule="exact" w:val="454"/>
        </w:trPr>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590" w:type="dxa"/>
            <w:gridSpan w:val="2"/>
          </w:tcPr>
          <w:p w:rsidR="008E7846" w:rsidRPr="003D1E62" w:rsidRDefault="00426FF2" w:rsidP="001B5C90">
            <w:r>
              <w:t>New generic and new strength</w:t>
            </w:r>
          </w:p>
        </w:tc>
      </w:tr>
      <w:tr w:rsidR="008E7846" w:rsidRPr="003D1E62" w:rsidTr="00503CBF">
        <w:trPr>
          <w:trHeight w:hRule="exact" w:val="454"/>
        </w:trPr>
        <w:tc>
          <w:tcPr>
            <w:tcW w:w="2907" w:type="dxa"/>
          </w:tcPr>
          <w:p w:rsidR="008E7846" w:rsidRPr="003D1E62" w:rsidRDefault="008E7846" w:rsidP="003D1E62">
            <w:r w:rsidRPr="003D1E62">
              <w:rPr>
                <w:i/>
              </w:rPr>
              <w:t>Decision</w:t>
            </w:r>
            <w:r w:rsidRPr="003D1E62">
              <w:t>:</w:t>
            </w:r>
          </w:p>
        </w:tc>
        <w:tc>
          <w:tcPr>
            <w:tcW w:w="6590" w:type="dxa"/>
            <w:gridSpan w:val="2"/>
          </w:tcPr>
          <w:p w:rsidR="008E7846" w:rsidRPr="003D1E62" w:rsidRDefault="00503CBF" w:rsidP="003C0B9D">
            <w:r>
              <w:t>Approved</w:t>
            </w:r>
          </w:p>
        </w:tc>
      </w:tr>
      <w:tr w:rsidR="008E7846" w:rsidRPr="003D1E62" w:rsidTr="00503CBF">
        <w:trPr>
          <w:trHeight w:hRule="exact" w:val="454"/>
        </w:trPr>
        <w:tc>
          <w:tcPr>
            <w:tcW w:w="2907" w:type="dxa"/>
          </w:tcPr>
          <w:p w:rsidR="008E7846" w:rsidRPr="003D1E62" w:rsidRDefault="008E7846" w:rsidP="001B5C90">
            <w:pPr>
              <w:rPr>
                <w:i/>
              </w:rPr>
            </w:pPr>
            <w:r w:rsidRPr="003D1E62">
              <w:rPr>
                <w:i/>
              </w:rPr>
              <w:t xml:space="preserve">Date of </w:t>
            </w:r>
            <w:r w:rsidR="001B5C90">
              <w:rPr>
                <w:i/>
              </w:rPr>
              <w:t>d</w:t>
            </w:r>
            <w:r w:rsidRPr="003D1E62">
              <w:rPr>
                <w:i/>
              </w:rPr>
              <w:t>ecision:</w:t>
            </w:r>
          </w:p>
        </w:tc>
        <w:tc>
          <w:tcPr>
            <w:tcW w:w="6590" w:type="dxa"/>
            <w:gridSpan w:val="2"/>
          </w:tcPr>
          <w:p w:rsidR="008E7846" w:rsidRPr="003D1E62" w:rsidRDefault="003C0B9D" w:rsidP="001B5C90">
            <w:r>
              <w:t>9 May 2014</w:t>
            </w:r>
          </w:p>
        </w:tc>
      </w:tr>
      <w:tr w:rsidR="008E7846" w:rsidRPr="00487162" w:rsidTr="00503CBF">
        <w:trPr>
          <w:gridAfter w:val="1"/>
          <w:wAfter w:w="283" w:type="dxa"/>
        </w:trPr>
        <w:tc>
          <w:tcPr>
            <w:tcW w:w="2907" w:type="dxa"/>
          </w:tcPr>
          <w:p w:rsidR="008E7846" w:rsidRPr="00487162" w:rsidRDefault="001B5C90" w:rsidP="00503CBF">
            <w:pPr>
              <w:rPr>
                <w:i/>
              </w:rPr>
            </w:pPr>
            <w:r>
              <w:rPr>
                <w:i/>
              </w:rPr>
              <w:t>Active ingredient:</w:t>
            </w:r>
          </w:p>
        </w:tc>
        <w:tc>
          <w:tcPr>
            <w:tcW w:w="6307" w:type="dxa"/>
          </w:tcPr>
          <w:p w:rsidR="008E7846" w:rsidRPr="00487162" w:rsidRDefault="00426FF2" w:rsidP="00E45619">
            <w:r w:rsidRPr="00426FF2">
              <w:t>Thyroxine Sodium</w:t>
            </w:r>
          </w:p>
        </w:tc>
      </w:tr>
      <w:tr w:rsidR="008E7846" w:rsidRPr="00487162" w:rsidTr="00503CBF">
        <w:trPr>
          <w:gridAfter w:val="1"/>
          <w:wAfter w:w="283" w:type="dxa"/>
        </w:trPr>
        <w:tc>
          <w:tcPr>
            <w:tcW w:w="2907" w:type="dxa"/>
          </w:tcPr>
          <w:p w:rsidR="008E7846" w:rsidRPr="00487162" w:rsidRDefault="008E7846" w:rsidP="00503CBF">
            <w:pPr>
              <w:rPr>
                <w:i/>
              </w:rPr>
            </w:pPr>
            <w:r w:rsidRPr="00487162">
              <w:rPr>
                <w:i/>
              </w:rPr>
              <w:t>Product</w:t>
            </w:r>
            <w:r w:rsidR="001B5C90">
              <w:rPr>
                <w:i/>
              </w:rPr>
              <w:t xml:space="preserve"> names:</w:t>
            </w:r>
          </w:p>
        </w:tc>
        <w:tc>
          <w:tcPr>
            <w:tcW w:w="6307" w:type="dxa"/>
          </w:tcPr>
          <w:p w:rsidR="008E7846" w:rsidRPr="00487162" w:rsidRDefault="00426FF2" w:rsidP="00E45619">
            <w:proofErr w:type="spellStart"/>
            <w:r w:rsidRPr="00426FF2">
              <w:t>Eltroxin</w:t>
            </w:r>
            <w:proofErr w:type="spellEnd"/>
            <w:r w:rsidRPr="00426FF2">
              <w:t xml:space="preserve">, Aspen </w:t>
            </w:r>
            <w:proofErr w:type="spellStart"/>
            <w:r w:rsidRPr="00426FF2">
              <w:t>Thyroxine</w:t>
            </w:r>
            <w:proofErr w:type="spellEnd"/>
            <w:r w:rsidRPr="00426FF2">
              <w:t xml:space="preserve">, </w:t>
            </w:r>
            <w:proofErr w:type="spellStart"/>
            <w:r w:rsidRPr="00426FF2">
              <w:t>Thyroxine</w:t>
            </w:r>
            <w:proofErr w:type="spellEnd"/>
            <w:r w:rsidRPr="00426FF2">
              <w:t xml:space="preserve"> Aspen</w:t>
            </w:r>
          </w:p>
        </w:tc>
      </w:tr>
      <w:tr w:rsidR="008E7846" w:rsidRPr="00487162" w:rsidTr="00503CBF">
        <w:trPr>
          <w:gridAfter w:val="1"/>
          <w:wAfter w:w="283" w:type="dxa"/>
        </w:trPr>
        <w:tc>
          <w:tcPr>
            <w:tcW w:w="2907" w:type="dxa"/>
          </w:tcPr>
          <w:p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rsidR="003C0B9D" w:rsidRPr="00487162" w:rsidRDefault="00377374" w:rsidP="00503CBF">
            <w:r w:rsidRPr="00377374">
              <w:t xml:space="preserve">Aspen </w:t>
            </w:r>
            <w:proofErr w:type="spellStart"/>
            <w:r w:rsidRPr="00377374">
              <w:t>Pharma</w:t>
            </w:r>
            <w:proofErr w:type="spellEnd"/>
            <w:r w:rsidRPr="00377374">
              <w:t xml:space="preserve"> Pty Ltd</w:t>
            </w:r>
            <w:r w:rsidR="00503CBF">
              <w:br/>
            </w:r>
            <w:r w:rsidR="003C0B9D" w:rsidRPr="003C0B9D">
              <w:t xml:space="preserve">34-36 </w:t>
            </w:r>
            <w:proofErr w:type="spellStart"/>
            <w:r w:rsidR="003C0B9D" w:rsidRPr="003C0B9D">
              <w:t>Chandos</w:t>
            </w:r>
            <w:proofErr w:type="spellEnd"/>
            <w:r w:rsidR="00503CBF">
              <w:t xml:space="preserve"> St</w:t>
            </w:r>
            <w:r w:rsidR="00503CBF">
              <w:br/>
            </w:r>
            <w:proofErr w:type="spellStart"/>
            <w:r w:rsidR="003C0B9D" w:rsidRPr="003C0B9D">
              <w:t>St</w:t>
            </w:r>
            <w:proofErr w:type="spellEnd"/>
            <w:r w:rsidR="003C0B9D" w:rsidRPr="003C0B9D">
              <w:t xml:space="preserve"> Leonards NSW 2065</w:t>
            </w:r>
          </w:p>
        </w:tc>
      </w:tr>
      <w:tr w:rsidR="008E7846" w:rsidRPr="00487162" w:rsidTr="00503CBF">
        <w:trPr>
          <w:gridAfter w:val="1"/>
          <w:wAfter w:w="283" w:type="dxa"/>
        </w:trPr>
        <w:tc>
          <w:tcPr>
            <w:tcW w:w="2907" w:type="dxa"/>
          </w:tcPr>
          <w:p w:rsidR="008E7846" w:rsidRPr="00487162" w:rsidRDefault="001B5C90" w:rsidP="00503CBF">
            <w:pPr>
              <w:rPr>
                <w:i/>
              </w:rPr>
            </w:pPr>
            <w:r>
              <w:rPr>
                <w:i/>
              </w:rPr>
              <w:t>Dose form:</w:t>
            </w:r>
          </w:p>
        </w:tc>
        <w:tc>
          <w:tcPr>
            <w:tcW w:w="6307" w:type="dxa"/>
          </w:tcPr>
          <w:p w:rsidR="008E7846" w:rsidRPr="00487162" w:rsidRDefault="00426FF2" w:rsidP="00E45619">
            <w:r>
              <w:t>Tablets</w:t>
            </w:r>
          </w:p>
        </w:tc>
      </w:tr>
      <w:tr w:rsidR="008E7846" w:rsidRPr="00487162" w:rsidTr="00503CBF">
        <w:trPr>
          <w:gridAfter w:val="1"/>
          <w:wAfter w:w="283" w:type="dxa"/>
        </w:trPr>
        <w:tc>
          <w:tcPr>
            <w:tcW w:w="2907" w:type="dxa"/>
          </w:tcPr>
          <w:p w:rsidR="008E7846" w:rsidRPr="00487162" w:rsidRDefault="008E7846" w:rsidP="00503CBF">
            <w:pPr>
              <w:rPr>
                <w:i/>
              </w:rPr>
            </w:pPr>
            <w:r w:rsidRPr="00487162">
              <w:rPr>
                <w:i/>
              </w:rPr>
              <w:t>Strengths</w:t>
            </w:r>
            <w:r w:rsidR="00503CBF">
              <w:rPr>
                <w:i/>
              </w:rPr>
              <w:t>:</w:t>
            </w:r>
          </w:p>
        </w:tc>
        <w:tc>
          <w:tcPr>
            <w:tcW w:w="6307" w:type="dxa"/>
          </w:tcPr>
          <w:p w:rsidR="008E7846" w:rsidRPr="00487162" w:rsidRDefault="00426FF2" w:rsidP="00190709">
            <w:r w:rsidRPr="00426FF2">
              <w:t>25, 50, 75, 88, 100, 11</w:t>
            </w:r>
            <w:r w:rsidR="00190709">
              <w:t>2</w:t>
            </w:r>
            <w:r w:rsidRPr="00426FF2">
              <w:t xml:space="preserve">, 125, 137, 150, 175 and </w:t>
            </w:r>
            <w:r>
              <w:t>200 µ</w:t>
            </w:r>
            <w:r w:rsidRPr="00426FF2">
              <w:t>g</w:t>
            </w:r>
          </w:p>
        </w:tc>
      </w:tr>
      <w:tr w:rsidR="008E7846" w:rsidRPr="00487162" w:rsidTr="00503CBF">
        <w:trPr>
          <w:gridAfter w:val="1"/>
          <w:wAfter w:w="283" w:type="dxa"/>
        </w:trPr>
        <w:tc>
          <w:tcPr>
            <w:tcW w:w="2907" w:type="dxa"/>
          </w:tcPr>
          <w:p w:rsidR="008E7846" w:rsidRPr="00487162" w:rsidRDefault="008E7846" w:rsidP="00503CBF">
            <w:pPr>
              <w:rPr>
                <w:i/>
              </w:rPr>
            </w:pPr>
            <w:r w:rsidRPr="00487162">
              <w:rPr>
                <w:i/>
              </w:rPr>
              <w:t>Container:</w:t>
            </w:r>
          </w:p>
        </w:tc>
        <w:tc>
          <w:tcPr>
            <w:tcW w:w="6307" w:type="dxa"/>
          </w:tcPr>
          <w:p w:rsidR="008E7846" w:rsidRPr="00487162" w:rsidRDefault="00426FF2" w:rsidP="00426FF2">
            <w:r>
              <w:t>Plastic Bottles</w:t>
            </w:r>
          </w:p>
        </w:tc>
      </w:tr>
      <w:tr w:rsidR="008E7846" w:rsidRPr="00487162" w:rsidTr="00503CBF">
        <w:trPr>
          <w:gridAfter w:val="1"/>
          <w:wAfter w:w="283" w:type="dxa"/>
        </w:trPr>
        <w:tc>
          <w:tcPr>
            <w:tcW w:w="2907" w:type="dxa"/>
          </w:tcPr>
          <w:p w:rsidR="008E7846" w:rsidRPr="00487162" w:rsidRDefault="008E7846" w:rsidP="00503CBF">
            <w:pPr>
              <w:rPr>
                <w:i/>
              </w:rPr>
            </w:pPr>
            <w:r w:rsidRPr="00487162">
              <w:rPr>
                <w:i/>
              </w:rPr>
              <w:t>Pack size:</w:t>
            </w:r>
          </w:p>
        </w:tc>
        <w:tc>
          <w:tcPr>
            <w:tcW w:w="6307" w:type="dxa"/>
          </w:tcPr>
          <w:p w:rsidR="008E7846" w:rsidRPr="00487162" w:rsidRDefault="00426FF2" w:rsidP="00E45619">
            <w:r>
              <w:t>200’s</w:t>
            </w:r>
          </w:p>
        </w:tc>
      </w:tr>
      <w:tr w:rsidR="008E7846" w:rsidRPr="00487162" w:rsidTr="00503CBF">
        <w:trPr>
          <w:gridAfter w:val="1"/>
          <w:wAfter w:w="283" w:type="dxa"/>
        </w:trPr>
        <w:tc>
          <w:tcPr>
            <w:tcW w:w="2907" w:type="dxa"/>
          </w:tcPr>
          <w:p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rsidR="003C0B9D" w:rsidRPr="003C0B9D" w:rsidRDefault="003C0B9D" w:rsidP="003C0B9D">
            <w:pPr>
              <w:rPr>
                <w:i/>
              </w:rPr>
            </w:pPr>
            <w:proofErr w:type="spellStart"/>
            <w:r w:rsidRPr="003C0B9D">
              <w:rPr>
                <w:i/>
              </w:rPr>
              <w:t>Eltroxin</w:t>
            </w:r>
            <w:proofErr w:type="spellEnd"/>
            <w:r w:rsidRPr="003C0B9D">
              <w:rPr>
                <w:i/>
              </w:rPr>
              <w:t xml:space="preserve"> is indicated for the management of demonstrated thyroid hormone deficiency.</w:t>
            </w:r>
          </w:p>
          <w:p w:rsidR="008E7846" w:rsidRPr="00487162" w:rsidRDefault="003C0B9D" w:rsidP="003C0B9D">
            <w:pPr>
              <w:rPr>
                <w:rFonts w:eastAsia="MS Mincho"/>
                <w:lang w:eastAsia="ja-JP"/>
              </w:rPr>
            </w:pPr>
            <w:proofErr w:type="spellStart"/>
            <w:r w:rsidRPr="003C0B9D">
              <w:rPr>
                <w:i/>
              </w:rPr>
              <w:t>Eltroxin</w:t>
            </w:r>
            <w:proofErr w:type="spellEnd"/>
            <w:r w:rsidRPr="003C0B9D">
              <w:rPr>
                <w:i/>
              </w:rPr>
              <w:t xml:space="preserve"> is als</w:t>
            </w:r>
            <w:r w:rsidR="00FC4619">
              <w:rPr>
                <w:i/>
              </w:rPr>
              <w:t xml:space="preserve">o used to suppress </w:t>
            </w:r>
            <w:proofErr w:type="spellStart"/>
            <w:r w:rsidR="00FC4619">
              <w:rPr>
                <w:i/>
              </w:rPr>
              <w:t>thyrotropin</w:t>
            </w:r>
            <w:proofErr w:type="spellEnd"/>
            <w:r w:rsidR="00FC4619">
              <w:rPr>
                <w:i/>
              </w:rPr>
              <w:t xml:space="preserve"> (</w:t>
            </w:r>
            <w:r w:rsidRPr="003C0B9D">
              <w:rPr>
                <w:i/>
              </w:rPr>
              <w:t>TSH) for the management of TSH-responsive tumours of the thyroid</w:t>
            </w:r>
            <w:r>
              <w:t>.</w:t>
            </w:r>
          </w:p>
        </w:tc>
      </w:tr>
      <w:tr w:rsidR="008E7846" w:rsidRPr="00487162" w:rsidTr="00503CBF">
        <w:trPr>
          <w:gridAfter w:val="1"/>
          <w:wAfter w:w="283" w:type="dxa"/>
        </w:trPr>
        <w:tc>
          <w:tcPr>
            <w:tcW w:w="2907" w:type="dxa"/>
          </w:tcPr>
          <w:p w:rsidR="008E7846" w:rsidRPr="00487162" w:rsidRDefault="008E7846" w:rsidP="00503CBF">
            <w:pPr>
              <w:rPr>
                <w:i/>
              </w:rPr>
            </w:pPr>
            <w:r w:rsidRPr="00487162">
              <w:rPr>
                <w:i/>
              </w:rPr>
              <w:t>Route of administration:</w:t>
            </w:r>
          </w:p>
        </w:tc>
        <w:tc>
          <w:tcPr>
            <w:tcW w:w="6307" w:type="dxa"/>
          </w:tcPr>
          <w:p w:rsidR="008E7846" w:rsidRPr="00487162" w:rsidRDefault="00426FF2" w:rsidP="00E45619">
            <w:r>
              <w:t>Oral (PO)</w:t>
            </w:r>
          </w:p>
        </w:tc>
      </w:tr>
      <w:tr w:rsidR="008E7846" w:rsidRPr="00487162" w:rsidTr="00503CBF">
        <w:trPr>
          <w:gridAfter w:val="1"/>
          <w:wAfter w:w="283" w:type="dxa"/>
        </w:trPr>
        <w:tc>
          <w:tcPr>
            <w:tcW w:w="2907" w:type="dxa"/>
          </w:tcPr>
          <w:p w:rsidR="008E7846" w:rsidRPr="00487162" w:rsidRDefault="008E7846" w:rsidP="00E45619">
            <w:pPr>
              <w:rPr>
                <w:i/>
              </w:rPr>
            </w:pPr>
            <w:r w:rsidRPr="00487162">
              <w:rPr>
                <w:i/>
              </w:rPr>
              <w:t>Dosage:</w:t>
            </w:r>
          </w:p>
        </w:tc>
        <w:tc>
          <w:tcPr>
            <w:tcW w:w="6307" w:type="dxa"/>
          </w:tcPr>
          <w:p w:rsidR="008E7846" w:rsidRPr="00487162" w:rsidRDefault="00426FF2" w:rsidP="00426FF2">
            <w:r w:rsidRPr="00426FF2">
              <w:t xml:space="preserve">The dose is individualised on the basis of clinical response: initial doses are </w:t>
            </w:r>
            <w:proofErr w:type="gramStart"/>
            <w:r w:rsidRPr="00426FF2">
              <w:t xml:space="preserve">50 to 100 </w:t>
            </w:r>
            <w:r>
              <w:t>µ</w:t>
            </w:r>
            <w:r w:rsidRPr="00426FF2">
              <w:t>g/day</w:t>
            </w:r>
            <w:proofErr w:type="gramEnd"/>
            <w:r w:rsidRPr="00426FF2">
              <w:t>; the usual maintenance dose is 100</w:t>
            </w:r>
            <w:r w:rsidR="00190709">
              <w:t xml:space="preserve"> to</w:t>
            </w:r>
            <w:r w:rsidRPr="00426FF2">
              <w:t xml:space="preserve"> 150 </w:t>
            </w:r>
            <w:r>
              <w:t>µ</w:t>
            </w:r>
            <w:r w:rsidRPr="00426FF2">
              <w:t>g/day; and the maximum dose is not specified.</w:t>
            </w:r>
          </w:p>
        </w:tc>
      </w:tr>
      <w:tr w:rsidR="008E7846" w:rsidRPr="00487162" w:rsidTr="00503CBF">
        <w:trPr>
          <w:gridAfter w:val="1"/>
          <w:wAfter w:w="283" w:type="dxa"/>
        </w:trPr>
        <w:tc>
          <w:tcPr>
            <w:tcW w:w="2907" w:type="dxa"/>
          </w:tcPr>
          <w:p w:rsidR="008E7846" w:rsidRPr="00487162" w:rsidRDefault="008E7846" w:rsidP="00503CBF">
            <w:pPr>
              <w:rPr>
                <w:i/>
              </w:rPr>
            </w:pPr>
            <w:r w:rsidRPr="00487162">
              <w:rPr>
                <w:i/>
              </w:rPr>
              <w:t xml:space="preserve">ARTG </w:t>
            </w:r>
            <w:r w:rsidR="001B5C90">
              <w:rPr>
                <w:i/>
              </w:rPr>
              <w:t>n</w:t>
            </w:r>
            <w:r w:rsidRPr="00487162">
              <w:rPr>
                <w:i/>
              </w:rPr>
              <w:t>umbers</w:t>
            </w:r>
            <w:r w:rsidR="001B5C90">
              <w:rPr>
                <w:i/>
              </w:rPr>
              <w:t>:</w:t>
            </w:r>
          </w:p>
        </w:tc>
        <w:tc>
          <w:tcPr>
            <w:tcW w:w="6307" w:type="dxa"/>
          </w:tcPr>
          <w:p w:rsidR="008E7846" w:rsidRPr="00487162" w:rsidRDefault="00D44412" w:rsidP="00E45619">
            <w:r>
              <w:t>206944, 206946, 206950, 206954, 206958, 206960, 206961, 206963, 206966, 206967, 206974</w:t>
            </w:r>
          </w:p>
        </w:tc>
      </w:tr>
    </w:tbl>
    <w:p w:rsidR="008E7846" w:rsidRPr="00C2185B" w:rsidRDefault="008E7846" w:rsidP="00C2185B">
      <w:pPr>
        <w:pStyle w:val="Heading3"/>
      </w:pPr>
      <w:bookmarkStart w:id="13" w:name="_Toc247691503"/>
      <w:bookmarkStart w:id="14" w:name="_Toc314842484"/>
      <w:bookmarkStart w:id="15" w:name="_Toc392595941"/>
      <w:r>
        <w:t>Product background</w:t>
      </w:r>
      <w:bookmarkEnd w:id="13"/>
      <w:bookmarkEnd w:id="14"/>
      <w:bookmarkEnd w:id="15"/>
    </w:p>
    <w:p w:rsidR="007934FA" w:rsidRDefault="00940A89" w:rsidP="00C2185B">
      <w:r w:rsidRPr="00940A89">
        <w:t xml:space="preserve">This </w:t>
      </w:r>
      <w:proofErr w:type="spellStart"/>
      <w:r w:rsidRPr="00940A89">
        <w:t>AusPAR</w:t>
      </w:r>
      <w:proofErr w:type="spellEnd"/>
      <w:r w:rsidRPr="00940A89">
        <w:t xml:space="preserve"> describes the application by the sponsor</w:t>
      </w:r>
      <w:r w:rsidR="007934FA">
        <w:t>, Aspen</w:t>
      </w:r>
      <w:r w:rsidRPr="00940A89">
        <w:t xml:space="preserve"> </w:t>
      </w:r>
      <w:r w:rsidR="007934FA">
        <w:t>Pharma Pty Ltd</w:t>
      </w:r>
      <w:r w:rsidR="00E06144">
        <w:t>,</w:t>
      </w:r>
      <w:r w:rsidR="007934FA">
        <w:t xml:space="preserve"> </w:t>
      </w:r>
      <w:r w:rsidRPr="00940A89">
        <w:t xml:space="preserve">to register </w:t>
      </w:r>
      <w:r w:rsidR="007934FA">
        <w:t>a generic version of a</w:t>
      </w:r>
      <w:r w:rsidR="00E06144">
        <w:t>n already</w:t>
      </w:r>
      <w:r w:rsidR="007934FA">
        <w:t xml:space="preserve"> </w:t>
      </w:r>
      <w:r w:rsidR="00E06144">
        <w:t xml:space="preserve">in Australia </w:t>
      </w:r>
      <w:r w:rsidR="007934FA">
        <w:t xml:space="preserve">marketed product </w:t>
      </w:r>
      <w:proofErr w:type="spellStart"/>
      <w:r w:rsidR="007934FA">
        <w:t>Oroxine</w:t>
      </w:r>
      <w:proofErr w:type="spellEnd"/>
      <w:r w:rsidR="00E06144">
        <w:t>/</w:t>
      </w:r>
      <w:proofErr w:type="spellStart"/>
      <w:r w:rsidR="00F31733">
        <w:t>Eutroxsig</w:t>
      </w:r>
      <w:proofErr w:type="spellEnd"/>
      <w:r w:rsidR="007934FA" w:rsidRPr="007934FA">
        <w:t xml:space="preserve"> </w:t>
      </w:r>
      <w:r w:rsidR="007934FA">
        <w:t>(</w:t>
      </w:r>
      <w:proofErr w:type="spellStart"/>
      <w:r w:rsidR="007934FA">
        <w:t>thyroxine</w:t>
      </w:r>
      <w:proofErr w:type="spellEnd"/>
      <w:r w:rsidR="007934FA">
        <w:t xml:space="preserve"> sodium)</w:t>
      </w:r>
      <w:r w:rsidR="007934FA" w:rsidRPr="002A39EB">
        <w:t>.</w:t>
      </w:r>
      <w:r w:rsidR="007934FA">
        <w:t xml:space="preserve"> Aspen is also the sponsor of </w:t>
      </w:r>
      <w:proofErr w:type="spellStart"/>
      <w:r w:rsidR="007934FA">
        <w:t>Oroxine</w:t>
      </w:r>
      <w:proofErr w:type="spellEnd"/>
      <w:r w:rsidR="00E06144">
        <w:t>/</w:t>
      </w:r>
      <w:proofErr w:type="spellStart"/>
      <w:r w:rsidR="00F31733">
        <w:t>Eutroxsig</w:t>
      </w:r>
      <w:proofErr w:type="spellEnd"/>
      <w:r w:rsidR="007934FA">
        <w:t>.</w:t>
      </w:r>
    </w:p>
    <w:p w:rsidR="008E7846" w:rsidRDefault="007934FA" w:rsidP="00C2185B">
      <w:r>
        <w:t xml:space="preserve">The sponsor has proposed the following indication for </w:t>
      </w:r>
      <w:proofErr w:type="spellStart"/>
      <w:r>
        <w:t>Eltroxin</w:t>
      </w:r>
      <w:proofErr w:type="spellEnd"/>
      <w:r>
        <w:t xml:space="preserve"> (</w:t>
      </w:r>
      <w:r w:rsidRPr="00426FF2">
        <w:t xml:space="preserve">Aspen </w:t>
      </w:r>
      <w:proofErr w:type="spellStart"/>
      <w:r w:rsidRPr="00426FF2">
        <w:t>Thyroxine</w:t>
      </w:r>
      <w:proofErr w:type="spellEnd"/>
      <w:r>
        <w:t>;</w:t>
      </w:r>
      <w:r w:rsidRPr="00426FF2">
        <w:t xml:space="preserve"> </w:t>
      </w:r>
      <w:proofErr w:type="spellStart"/>
      <w:r w:rsidRPr="00426FF2">
        <w:t>Thyroxine</w:t>
      </w:r>
      <w:proofErr w:type="spellEnd"/>
      <w:r w:rsidRPr="00426FF2">
        <w:t xml:space="preserve"> Aspen</w:t>
      </w:r>
      <w:r>
        <w:t>):</w:t>
      </w:r>
    </w:p>
    <w:p w:rsidR="00A310F1" w:rsidRPr="007934FA" w:rsidRDefault="00A310F1" w:rsidP="00C2185B">
      <w:pPr>
        <w:pStyle w:val="ListBullet"/>
      </w:pPr>
      <w:r w:rsidRPr="007934FA">
        <w:t>management of demonstrated thyroid hormone deficiency</w:t>
      </w:r>
    </w:p>
    <w:p w:rsidR="00A310F1" w:rsidRPr="007934FA" w:rsidRDefault="00A310F1" w:rsidP="00C2185B">
      <w:pPr>
        <w:pStyle w:val="ListBullet"/>
      </w:pPr>
      <w:r w:rsidRPr="007934FA">
        <w:t xml:space="preserve">suppression of </w:t>
      </w:r>
      <w:proofErr w:type="spellStart"/>
      <w:r w:rsidRPr="007934FA">
        <w:t>thyrotropin</w:t>
      </w:r>
      <w:proofErr w:type="spellEnd"/>
      <w:r w:rsidRPr="007934FA">
        <w:t xml:space="preserve"> (TSH) for the management of TSH-responsive tumours of the thyroid</w:t>
      </w:r>
    </w:p>
    <w:p w:rsidR="00A310F1" w:rsidRPr="007934FA" w:rsidRDefault="00A310F1" w:rsidP="00C2185B">
      <w:pPr>
        <w:pStyle w:val="ListBullet"/>
      </w:pPr>
      <w:r w:rsidRPr="007934FA">
        <w:t>management of thyroiditis such as Hashimoto’s disease</w:t>
      </w:r>
    </w:p>
    <w:p w:rsidR="00E06144" w:rsidRDefault="00E06144" w:rsidP="00C2185B">
      <w:bookmarkStart w:id="16" w:name="_Toc314842485"/>
      <w:bookmarkStart w:id="17" w:name="_Toc247691504"/>
      <w:r>
        <w:lastRenderedPageBreak/>
        <w:t>Thyroxine is an essential medicine for the treatment of hypothyroidism and is widely prescribed. In the US, the leading brand of thyroxine is the third most widely prescribed pharmaceutical product.</w:t>
      </w:r>
    </w:p>
    <w:p w:rsidR="00E06144" w:rsidRDefault="00E06144" w:rsidP="00C2185B">
      <w:r>
        <w:t xml:space="preserve">It has been formulated into tablets to treat thyroid disease for more than 50 years. It is known to be difficult to manufacture; it can be sensitive to seemingly minor changes in processing; and it can be prone to instability. Historically, these known problems have led to concerns about variations in effectiveness and </w:t>
      </w:r>
      <w:r w:rsidRPr="00CE52DA">
        <w:t xml:space="preserve">stability; within and across branded products, even before the introduction of generics. A recent </w:t>
      </w:r>
      <w:r w:rsidR="00CE52DA" w:rsidRPr="00CE52DA">
        <w:t xml:space="preserve">Medicines and Healthcare Products Regulatory Agency (MHRA) </w:t>
      </w:r>
      <w:r w:rsidRPr="00CE52DA">
        <w:t>report [2013] noted the problem of formulation-related variability, where differences in not active ingredients (excipients) in different tablet products can cause changes in dissolution, bioavailability, and</w:t>
      </w:r>
      <w:r w:rsidR="00C2185B">
        <w:t xml:space="preserve"> therapeutic response.</w:t>
      </w:r>
    </w:p>
    <w:p w:rsidR="00E06144" w:rsidRDefault="00E06144" w:rsidP="00C2185B">
      <w:proofErr w:type="spellStart"/>
      <w:r>
        <w:t>Eltroxin</w:t>
      </w:r>
      <w:proofErr w:type="spellEnd"/>
      <w:r>
        <w:t xml:space="preserve"> is the first generic thyroxine tablet to be submitted for registration in Australia. This is unusual; in most other similar countries there are </w:t>
      </w:r>
      <w:r w:rsidR="00DF3025">
        <w:t>more than one</w:t>
      </w:r>
      <w:r>
        <w:t xml:space="preserve"> thyroxine formulations on the market. Aspen Pharma Pty Ltd has proposed </w:t>
      </w:r>
      <w:r w:rsidRPr="00475E7C">
        <w:t xml:space="preserve">the same </w:t>
      </w:r>
      <w:r>
        <w:t xml:space="preserve">indication for </w:t>
      </w:r>
      <w:proofErr w:type="spellStart"/>
      <w:r>
        <w:t>Eltroxin</w:t>
      </w:r>
      <w:proofErr w:type="spellEnd"/>
      <w:r>
        <w:t xml:space="preserve"> </w:t>
      </w:r>
      <w:r w:rsidR="00C2185B">
        <w:t>as for the registered products.</w:t>
      </w:r>
    </w:p>
    <w:p w:rsidR="00426FF2" w:rsidRDefault="00426FF2" w:rsidP="00C2185B">
      <w:r w:rsidRPr="00902686">
        <w:t xml:space="preserve">Aspen Pharma Pty Ltd </w:t>
      </w:r>
      <w:r w:rsidR="007934FA">
        <w:t>proposes to</w:t>
      </w:r>
      <w:r w:rsidRPr="00902686">
        <w:t xml:space="preserve"> register eleven (11) strengths of table</w:t>
      </w:r>
      <w:r>
        <w:t>t</w:t>
      </w:r>
      <w:r w:rsidRPr="00902686">
        <w:t>s containing 25</w:t>
      </w:r>
      <w:r w:rsidRPr="00902686">
        <w:rPr>
          <w:rFonts w:ascii="Symbol" w:hAnsi="Symbol"/>
        </w:rPr>
        <w:t></w:t>
      </w:r>
      <w:r w:rsidRPr="00902686">
        <w:rPr>
          <w:rFonts w:ascii="Symbol" w:hAnsi="Symbol"/>
        </w:rPr>
        <w:t></w:t>
      </w:r>
      <w:r w:rsidRPr="00902686">
        <w:t>g, 50</w:t>
      </w:r>
      <w:r w:rsidRPr="00902686">
        <w:rPr>
          <w:rFonts w:ascii="Symbol" w:hAnsi="Symbol"/>
        </w:rPr>
        <w:t></w:t>
      </w:r>
      <w:r w:rsidRPr="00902686">
        <w:rPr>
          <w:rFonts w:ascii="Symbol" w:hAnsi="Symbol"/>
        </w:rPr>
        <w:t></w:t>
      </w:r>
      <w:r w:rsidRPr="00902686">
        <w:t>g, 75</w:t>
      </w:r>
      <w:r w:rsidRPr="00902686">
        <w:rPr>
          <w:rFonts w:ascii="Symbol" w:hAnsi="Symbol"/>
        </w:rPr>
        <w:t></w:t>
      </w:r>
      <w:r w:rsidRPr="00902686">
        <w:rPr>
          <w:rFonts w:ascii="Symbol" w:hAnsi="Symbol"/>
        </w:rPr>
        <w:t></w:t>
      </w:r>
      <w:r w:rsidRPr="00902686">
        <w:t>g, 88</w:t>
      </w:r>
      <w:r w:rsidRPr="00902686">
        <w:rPr>
          <w:rFonts w:ascii="Symbol" w:hAnsi="Symbol"/>
        </w:rPr>
        <w:t></w:t>
      </w:r>
      <w:r w:rsidRPr="00902686">
        <w:rPr>
          <w:rFonts w:ascii="Symbol" w:hAnsi="Symbol"/>
        </w:rPr>
        <w:t></w:t>
      </w:r>
      <w:r w:rsidRPr="00902686">
        <w:t>g, 100</w:t>
      </w:r>
      <w:r w:rsidRPr="00902686">
        <w:rPr>
          <w:rFonts w:ascii="Symbol" w:hAnsi="Symbol"/>
        </w:rPr>
        <w:t></w:t>
      </w:r>
      <w:r w:rsidRPr="00902686">
        <w:rPr>
          <w:rFonts w:ascii="Symbol" w:hAnsi="Symbol"/>
        </w:rPr>
        <w:t></w:t>
      </w:r>
      <w:r w:rsidRPr="00902686">
        <w:t>g, 11</w:t>
      </w:r>
      <w:r w:rsidR="00190709">
        <w:t>2</w:t>
      </w:r>
      <w:r w:rsidRPr="00902686">
        <w:rPr>
          <w:rFonts w:ascii="Symbol" w:hAnsi="Symbol"/>
        </w:rPr>
        <w:t></w:t>
      </w:r>
      <w:r w:rsidRPr="00902686">
        <w:rPr>
          <w:rFonts w:ascii="Symbol" w:hAnsi="Symbol"/>
        </w:rPr>
        <w:t></w:t>
      </w:r>
      <w:r w:rsidRPr="00902686">
        <w:t>g, 125</w:t>
      </w:r>
      <w:r w:rsidRPr="00902686">
        <w:rPr>
          <w:rFonts w:ascii="Symbol" w:hAnsi="Symbol"/>
        </w:rPr>
        <w:t></w:t>
      </w:r>
      <w:r w:rsidRPr="00902686">
        <w:rPr>
          <w:rFonts w:ascii="Symbol" w:hAnsi="Symbol"/>
        </w:rPr>
        <w:t></w:t>
      </w:r>
      <w:r w:rsidRPr="00902686">
        <w:t>g, 137</w:t>
      </w:r>
      <w:r w:rsidRPr="00902686">
        <w:rPr>
          <w:rFonts w:ascii="Symbol" w:hAnsi="Symbol"/>
        </w:rPr>
        <w:t></w:t>
      </w:r>
      <w:r w:rsidRPr="00902686">
        <w:rPr>
          <w:rFonts w:ascii="Symbol" w:hAnsi="Symbol"/>
        </w:rPr>
        <w:t></w:t>
      </w:r>
      <w:r w:rsidRPr="00902686">
        <w:t>g, 150</w:t>
      </w:r>
      <w:r w:rsidRPr="00902686">
        <w:rPr>
          <w:rFonts w:ascii="Symbol" w:hAnsi="Symbol"/>
        </w:rPr>
        <w:t></w:t>
      </w:r>
      <w:r w:rsidRPr="00902686">
        <w:rPr>
          <w:rFonts w:ascii="Symbol" w:hAnsi="Symbol"/>
        </w:rPr>
        <w:t></w:t>
      </w:r>
      <w:r w:rsidRPr="00902686">
        <w:t xml:space="preserve">g, 175 </w:t>
      </w:r>
      <w:r w:rsidRPr="00902686">
        <w:rPr>
          <w:rFonts w:ascii="Symbol" w:hAnsi="Symbol"/>
        </w:rPr>
        <w:t></w:t>
      </w:r>
      <w:r w:rsidRPr="00902686">
        <w:t xml:space="preserve">g or 200 </w:t>
      </w:r>
      <w:r w:rsidRPr="00902686">
        <w:rPr>
          <w:rFonts w:ascii="Symbol" w:hAnsi="Symbol"/>
        </w:rPr>
        <w:t></w:t>
      </w:r>
      <w:r w:rsidRPr="00902686">
        <w:t xml:space="preserve">g of thyroxine sodium. </w:t>
      </w:r>
      <w:r>
        <w:t xml:space="preserve">Currently there are four strengths of thyroxine sodium tablets registered in Australia: </w:t>
      </w:r>
      <w:r w:rsidRPr="00902686">
        <w:t>50</w:t>
      </w:r>
      <w:r w:rsidRPr="00902686">
        <w:rPr>
          <w:rFonts w:ascii="Symbol" w:hAnsi="Symbol"/>
        </w:rPr>
        <w:t></w:t>
      </w:r>
      <w:r w:rsidRPr="00902686">
        <w:rPr>
          <w:rFonts w:ascii="Symbol" w:hAnsi="Symbol"/>
        </w:rPr>
        <w:t></w:t>
      </w:r>
      <w:r w:rsidRPr="00902686">
        <w:t>g, 75</w:t>
      </w:r>
      <w:r w:rsidRPr="00902686">
        <w:rPr>
          <w:rFonts w:ascii="Symbol" w:hAnsi="Symbol"/>
        </w:rPr>
        <w:t></w:t>
      </w:r>
      <w:r w:rsidRPr="00902686">
        <w:rPr>
          <w:rFonts w:ascii="Symbol" w:hAnsi="Symbol"/>
        </w:rPr>
        <w:t></w:t>
      </w:r>
      <w:r w:rsidRPr="00902686">
        <w:t>g, 100</w:t>
      </w:r>
      <w:r w:rsidRPr="00902686">
        <w:rPr>
          <w:rFonts w:ascii="Symbol" w:hAnsi="Symbol"/>
        </w:rPr>
        <w:t></w:t>
      </w:r>
      <w:r w:rsidRPr="00902686">
        <w:rPr>
          <w:rFonts w:ascii="Symbol" w:hAnsi="Symbol"/>
        </w:rPr>
        <w:t></w:t>
      </w:r>
      <w:r>
        <w:t>g and</w:t>
      </w:r>
      <w:r w:rsidRPr="00902686">
        <w:t xml:space="preserve"> 200 </w:t>
      </w:r>
      <w:r w:rsidRPr="00902686">
        <w:rPr>
          <w:rFonts w:ascii="Symbol" w:hAnsi="Symbol"/>
        </w:rPr>
        <w:t></w:t>
      </w:r>
      <w:r w:rsidRPr="00902686">
        <w:t>g</w:t>
      </w:r>
      <w:r>
        <w:t xml:space="preserve"> tablets.</w:t>
      </w:r>
      <w:r w:rsidR="007934FA">
        <w:t xml:space="preserve"> (</w:t>
      </w:r>
      <w:proofErr w:type="gramStart"/>
      <w:r w:rsidR="007934FA">
        <w:t>registered</w:t>
      </w:r>
      <w:proofErr w:type="gramEnd"/>
      <w:r w:rsidR="007934FA">
        <w:t xml:space="preserve"> as </w:t>
      </w:r>
      <w:proofErr w:type="spellStart"/>
      <w:r>
        <w:t>Oroxine</w:t>
      </w:r>
      <w:proofErr w:type="spellEnd"/>
      <w:r w:rsidR="007934FA">
        <w:t xml:space="preserve"> and </w:t>
      </w:r>
      <w:proofErr w:type="spellStart"/>
      <w:r w:rsidR="00F31733">
        <w:t>Eutroxsig</w:t>
      </w:r>
      <w:proofErr w:type="spellEnd"/>
      <w:r w:rsidR="007934FA">
        <w:t>)</w:t>
      </w:r>
      <w:r>
        <w:t>. The proposed products are therefore generic products of the registered strengths with seven (7) additional strengths in order to give a more accurate control of the dose.</w:t>
      </w:r>
    </w:p>
    <w:p w:rsidR="00A73286" w:rsidRPr="00475E7C" w:rsidRDefault="00E06144" w:rsidP="00C2185B">
      <w:proofErr w:type="spellStart"/>
      <w:r>
        <w:t>Oroxine</w:t>
      </w:r>
      <w:proofErr w:type="spellEnd"/>
      <w:r>
        <w:t>/</w:t>
      </w:r>
      <w:proofErr w:type="spellStart"/>
      <w:r w:rsidR="00F31733">
        <w:t>Eutroxsig</w:t>
      </w:r>
      <w:proofErr w:type="spellEnd"/>
      <w:r>
        <w:t xml:space="preserve"> requires refrig</w:t>
      </w:r>
      <w:r w:rsidR="00A73286">
        <w:t xml:space="preserve">eration whereas </w:t>
      </w:r>
      <w:proofErr w:type="spellStart"/>
      <w:r>
        <w:t>Eltroxin</w:t>
      </w:r>
      <w:proofErr w:type="spellEnd"/>
      <w:r>
        <w:t xml:space="preserve"> </w:t>
      </w:r>
      <w:r w:rsidR="00A73286">
        <w:t>does not</w:t>
      </w:r>
      <w:r w:rsidR="00C2185B">
        <w:t>.</w:t>
      </w:r>
    </w:p>
    <w:p w:rsidR="008E7846" w:rsidRPr="00C2185B" w:rsidRDefault="00386150" w:rsidP="00C2185B">
      <w:pPr>
        <w:pStyle w:val="Heading3"/>
      </w:pPr>
      <w:bookmarkStart w:id="18" w:name="_Toc392595942"/>
      <w:r>
        <w:t>Regulatory s</w:t>
      </w:r>
      <w:r w:rsidR="008E7846">
        <w:t>tatus</w:t>
      </w:r>
      <w:bookmarkEnd w:id="16"/>
      <w:bookmarkEnd w:id="17"/>
      <w:bookmarkEnd w:id="18"/>
    </w:p>
    <w:p w:rsidR="00416DF8" w:rsidRDefault="00416DF8" w:rsidP="00C2185B">
      <w:bookmarkStart w:id="19" w:name="_Toc247691505"/>
      <w:bookmarkStart w:id="20" w:name="_Toc314842486"/>
      <w:proofErr w:type="spellStart"/>
      <w:r>
        <w:t>Oroxine</w:t>
      </w:r>
      <w:proofErr w:type="spellEnd"/>
      <w:r>
        <w:t xml:space="preserve"> has been registered in Australia since </w:t>
      </w:r>
      <w:r w:rsidR="00733C41">
        <w:t>2006</w:t>
      </w:r>
      <w:r w:rsidR="00C2185B">
        <w:t>.</w:t>
      </w:r>
    </w:p>
    <w:p w:rsidR="00E06144" w:rsidRDefault="00E06144" w:rsidP="00C2185B">
      <w:r>
        <w:t xml:space="preserve">The following is a summary of the current overseas regulatory status </w:t>
      </w:r>
      <w:r w:rsidR="00733C41">
        <w:t>for</w:t>
      </w:r>
      <w:r>
        <w:t xml:space="preserve"> this product</w:t>
      </w:r>
      <w:r w:rsidR="00416DF8">
        <w:t>:</w:t>
      </w:r>
    </w:p>
    <w:p w:rsidR="00053EC0" w:rsidRPr="00C2185B" w:rsidRDefault="00053EC0" w:rsidP="00C2185B">
      <w:pPr>
        <w:pStyle w:val="Heading4"/>
      </w:pPr>
      <w:r>
        <w:t>New Zealand</w:t>
      </w:r>
    </w:p>
    <w:p w:rsidR="00053EC0" w:rsidRDefault="00053EC0" w:rsidP="00C2185B">
      <w:r>
        <w:t xml:space="preserve">A similar product is approved and marketed in New Zealand. The current formulation of the product was approved in November 2006 and is available in 50 and 100 µg strength tablets only. The formulation of the 50 µg tablet is the same as the product proposed for registration in Australia but the formulation of the 100 µg tablet differs in </w:t>
      </w:r>
      <w:r w:rsidR="00C2185B">
        <w:t>the quantity of the excipients.</w:t>
      </w:r>
    </w:p>
    <w:p w:rsidR="00053EC0" w:rsidRPr="00C2185B" w:rsidRDefault="00053EC0" w:rsidP="00C2185B">
      <w:pPr>
        <w:pStyle w:val="Heading4"/>
      </w:pPr>
      <w:r>
        <w:t>Canada</w:t>
      </w:r>
    </w:p>
    <w:p w:rsidR="00053EC0" w:rsidRPr="0075704A" w:rsidRDefault="00053EC0" w:rsidP="00C2185B">
      <w:r w:rsidRPr="0075704A">
        <w:t>A product containing the same active ingredient is approved and marketed in Canada but the formulation of the product is different.</w:t>
      </w:r>
    </w:p>
    <w:p w:rsidR="00C864BE" w:rsidRPr="00C2185B" w:rsidRDefault="00C864BE" w:rsidP="00C2185B">
      <w:pPr>
        <w:pStyle w:val="Heading4"/>
      </w:pPr>
      <w:r>
        <w:t>EU</w:t>
      </w:r>
    </w:p>
    <w:p w:rsidR="00C864BE" w:rsidRPr="00C2185B" w:rsidRDefault="00C2185B" w:rsidP="00C2185B">
      <w:pPr>
        <w:pStyle w:val="Heading5"/>
      </w:pPr>
      <w:r>
        <w:t>Decentralised procedure</w:t>
      </w:r>
    </w:p>
    <w:p w:rsidR="00C864BE" w:rsidRDefault="00C864BE" w:rsidP="00C2185B">
      <w:pPr>
        <w:pStyle w:val="ListBullet"/>
      </w:pPr>
      <w:r>
        <w:t xml:space="preserve">A similar application </w:t>
      </w:r>
      <w:r w:rsidRPr="00C2185B">
        <w:t>was</w:t>
      </w:r>
      <w:r>
        <w:t xml:space="preserve"> submitted via the Decentralised Procedure on 18 July 2012 (strengths: 25, 50, 75, 88, 100, 112, 125, 137, 175 </w:t>
      </w:r>
      <w:r w:rsidR="00E06144">
        <w:t>and</w:t>
      </w:r>
      <w:r>
        <w:t xml:space="preserve"> 200μg).</w:t>
      </w:r>
    </w:p>
    <w:p w:rsidR="00C864BE" w:rsidRDefault="00C864BE" w:rsidP="00C2185B">
      <w:pPr>
        <w:pStyle w:val="ListBullet"/>
      </w:pPr>
      <w:r>
        <w:t xml:space="preserve">The Reference </w:t>
      </w:r>
      <w:r w:rsidRPr="00C2185B">
        <w:t>Member</w:t>
      </w:r>
      <w:r>
        <w:t xml:space="preserve"> State (RMS) is the Netherlands.</w:t>
      </w:r>
    </w:p>
    <w:p w:rsidR="00C864BE" w:rsidRDefault="00C864BE" w:rsidP="00C2185B">
      <w:pPr>
        <w:pStyle w:val="ListBullet"/>
      </w:pPr>
      <w:r>
        <w:t xml:space="preserve">Concerned Member </w:t>
      </w:r>
      <w:r w:rsidRPr="00C2185B">
        <w:t>States</w:t>
      </w:r>
      <w:r>
        <w:t xml:space="preserve"> (CMS) are: Sweden, Ireland, Germany, Belgium, Spain, Luxembourg, France, Italy, Norway, Finland and Denmark.</w:t>
      </w:r>
    </w:p>
    <w:p w:rsidR="00C864BE" w:rsidRPr="00C2185B" w:rsidRDefault="00C864BE" w:rsidP="00C2185B">
      <w:pPr>
        <w:pStyle w:val="Heading4"/>
      </w:pPr>
      <w:r>
        <w:lastRenderedPageBreak/>
        <w:t>US</w:t>
      </w:r>
    </w:p>
    <w:p w:rsidR="00C864BE" w:rsidRDefault="00C864BE" w:rsidP="00C2185B">
      <w:pPr>
        <w:pStyle w:val="ListBullet"/>
      </w:pPr>
      <w:r>
        <w:t xml:space="preserve">A similar </w:t>
      </w:r>
      <w:r w:rsidRPr="00C2185B">
        <w:t>application</w:t>
      </w:r>
      <w:r>
        <w:t xml:space="preserve"> has been submitted on 16 March 2012 (strengths: 25, 50, 75, 88, 100, 112, 125, 137, 175, 200 </w:t>
      </w:r>
      <w:r w:rsidR="00E06144">
        <w:t>and</w:t>
      </w:r>
      <w:r>
        <w:t xml:space="preserve"> 300μg).</w:t>
      </w:r>
    </w:p>
    <w:p w:rsidR="00C864BE" w:rsidRDefault="00C864BE" w:rsidP="00C2185B">
      <w:pPr>
        <w:pStyle w:val="ListBullet"/>
      </w:pPr>
      <w:r>
        <w:t xml:space="preserve">Current </w:t>
      </w:r>
      <w:r w:rsidRPr="00C2185B">
        <w:t>status</w:t>
      </w:r>
      <w:r>
        <w:t xml:space="preserve"> of submission: Received the assessment conducted by the Office of Generic Drugs (OGD) Division of Bioequivalence II (DBII) on the dissolution testing portion of </w:t>
      </w:r>
      <w:r w:rsidR="00C14A83">
        <w:t>the</w:t>
      </w:r>
      <w:r>
        <w:t xml:space="preserve"> submission. Aspen is in the process of preparing a response to </w:t>
      </w:r>
      <w:r w:rsidR="00053EC0">
        <w:t>a</w:t>
      </w:r>
      <w:r>
        <w:t xml:space="preserve"> deficiency letter.</w:t>
      </w:r>
    </w:p>
    <w:p w:rsidR="00C864BE" w:rsidRDefault="00C864BE" w:rsidP="00C2185B">
      <w:pPr>
        <w:pStyle w:val="ListBullet"/>
      </w:pPr>
      <w:r>
        <w:t xml:space="preserve">Also </w:t>
      </w:r>
      <w:r w:rsidRPr="00C2185B">
        <w:t>received</w:t>
      </w:r>
      <w:r>
        <w:t xml:space="preserve"> </w:t>
      </w:r>
      <w:r w:rsidR="00C14A83">
        <w:t xml:space="preserve">a </w:t>
      </w:r>
      <w:r>
        <w:t xml:space="preserve">query on </w:t>
      </w:r>
      <w:r w:rsidR="00C14A83">
        <w:t xml:space="preserve">the proposed product </w:t>
      </w:r>
      <w:r>
        <w:t xml:space="preserve">name and Aspen are in process of compiling </w:t>
      </w:r>
      <w:r w:rsidR="00C14A83">
        <w:t xml:space="preserve">a </w:t>
      </w:r>
      <w:r>
        <w:t>response.</w:t>
      </w:r>
    </w:p>
    <w:p w:rsidR="008E7846" w:rsidRDefault="008E7846" w:rsidP="00C2185B">
      <w:pPr>
        <w:pStyle w:val="Heading3"/>
      </w:pPr>
      <w:bookmarkStart w:id="21" w:name="_Toc392595943"/>
      <w:r>
        <w:t xml:space="preserve">Product </w:t>
      </w:r>
      <w:r w:rsidRPr="00C2185B">
        <w:t>Information</w:t>
      </w:r>
      <w:bookmarkEnd w:id="19"/>
      <w:bookmarkEnd w:id="20"/>
      <w:bookmarkEnd w:id="21"/>
    </w:p>
    <w:p w:rsidR="00940A89" w:rsidRDefault="00940A89" w:rsidP="00C2185B">
      <w:pPr>
        <w:rPr>
          <w:b/>
          <w:bCs/>
        </w:rPr>
      </w:pPr>
      <w:bookmarkStart w:id="22" w:name="_Toc247691506"/>
      <w:bookmarkStart w:id="23" w:name="_Toc314842487"/>
      <w:r w:rsidRPr="00940A89">
        <w:t>The approved Product Information (PI) current at the time this AusPAR was prepared can be found as Attachment 1. For the most recent Product Information please refer to the TGA website at &lt;</w:t>
      </w:r>
      <w:hyperlink r:id="rId14" w:history="1">
        <w:r w:rsidRPr="00940A89">
          <w:rPr>
            <w:rStyle w:val="Hyperlink"/>
          </w:rPr>
          <w:t>http://www.tga.gov.au/hp/information-medicines-pi.htm</w:t>
        </w:r>
      </w:hyperlink>
      <w:r w:rsidRPr="00940A89">
        <w:t>&gt;.</w:t>
      </w:r>
    </w:p>
    <w:p w:rsidR="008E7846" w:rsidRPr="00C2185B" w:rsidRDefault="008E7846" w:rsidP="00C2185B">
      <w:pPr>
        <w:pStyle w:val="Heading2"/>
      </w:pPr>
      <w:bookmarkStart w:id="24" w:name="_Toc392595944"/>
      <w:r>
        <w:t>II. Quality</w:t>
      </w:r>
      <w:bookmarkEnd w:id="1"/>
      <w:r>
        <w:t xml:space="preserve"> findings</w:t>
      </w:r>
      <w:bookmarkEnd w:id="22"/>
      <w:bookmarkEnd w:id="23"/>
      <w:bookmarkEnd w:id="24"/>
    </w:p>
    <w:p w:rsidR="00426FF2" w:rsidRPr="00C2185B" w:rsidRDefault="00940A89" w:rsidP="00C2185B">
      <w:pPr>
        <w:pStyle w:val="Heading3"/>
      </w:pPr>
      <w:bookmarkStart w:id="25" w:name="_Toc247691507"/>
      <w:bookmarkStart w:id="26" w:name="_Toc314842488"/>
      <w:bookmarkStart w:id="27" w:name="_Toc392595945"/>
      <w:r w:rsidRPr="00940A89">
        <w:t>Introduction</w:t>
      </w:r>
      <w:bookmarkEnd w:id="27"/>
    </w:p>
    <w:p w:rsidR="00426FF2" w:rsidRPr="004C78B2" w:rsidRDefault="00426FF2" w:rsidP="00C2185B">
      <w:r w:rsidRPr="004C78B2">
        <w:t>The proposed products are a different formulation to the registered tablets</w:t>
      </w:r>
      <w:r w:rsidR="00416DF8">
        <w:t>. They</w:t>
      </w:r>
      <w:r w:rsidRPr="004C78B2">
        <w:t xml:space="preserve"> are also manufactured by a different method of manufacture: </w:t>
      </w:r>
      <w:r w:rsidR="001411A2">
        <w:t xml:space="preserve"> direct compression</w:t>
      </w:r>
      <w:r w:rsidRPr="004C78B2">
        <w:t xml:space="preserve"> versus wet granulation.</w:t>
      </w:r>
      <w:r w:rsidR="0075704A">
        <w:t xml:space="preserve"> </w:t>
      </w:r>
      <w:r w:rsidRPr="004C78B2">
        <w:t xml:space="preserve">These changes were made to increase the stability of the tablets but a consequence of this is that the extent and </w:t>
      </w:r>
      <w:r>
        <w:t>r</w:t>
      </w:r>
      <w:r w:rsidRPr="004C78B2">
        <w:t>ate of dissolution of the proposed tablets</w:t>
      </w:r>
      <w:r>
        <w:t xml:space="preserve"> are</w:t>
      </w:r>
      <w:r w:rsidRPr="004C78B2">
        <w:t xml:space="preserve"> less than th</w:t>
      </w:r>
      <w:r w:rsidR="00C2185B">
        <w:t>ose of the registered tablets.</w:t>
      </w:r>
    </w:p>
    <w:p w:rsidR="00426FF2" w:rsidRPr="00475E7C" w:rsidRDefault="00426FF2" w:rsidP="00C2185B">
      <w:r w:rsidRPr="00475E7C">
        <w:t xml:space="preserve">There are </w:t>
      </w:r>
      <w:r w:rsidR="00416DF8">
        <w:t>British Pharmacopeia (</w:t>
      </w:r>
      <w:r w:rsidRPr="00475E7C">
        <w:t>BP</w:t>
      </w:r>
      <w:r w:rsidR="00416DF8">
        <w:t>)</w:t>
      </w:r>
      <w:r w:rsidRPr="00475E7C">
        <w:t xml:space="preserve">, </w:t>
      </w:r>
      <w:r w:rsidR="00416DF8">
        <w:t>European Pharmacopeia (</w:t>
      </w:r>
      <w:r w:rsidRPr="00475E7C">
        <w:t>EP</w:t>
      </w:r>
      <w:r w:rsidR="00416DF8">
        <w:t>)</w:t>
      </w:r>
      <w:r w:rsidRPr="00475E7C">
        <w:t xml:space="preserve"> and </w:t>
      </w:r>
      <w:r w:rsidR="00416DF8">
        <w:t>US Pharmacopeia (</w:t>
      </w:r>
      <w:r w:rsidRPr="00475E7C">
        <w:t>USP</w:t>
      </w:r>
      <w:r w:rsidR="00416DF8">
        <w:t>)</w:t>
      </w:r>
      <w:r w:rsidRPr="00475E7C">
        <w:t xml:space="preserve"> monographs for the drug substance</w:t>
      </w:r>
      <w:r w:rsidRPr="00475E7C">
        <w:rPr>
          <w:i/>
        </w:rPr>
        <w:t xml:space="preserve"> </w:t>
      </w:r>
      <w:r w:rsidRPr="00475E7C">
        <w:t xml:space="preserve">and BP and USP monographs for the tablets. </w:t>
      </w:r>
      <w:r w:rsidR="00416DF8">
        <w:rPr>
          <w:rStyle w:val="FootnoteReference"/>
        </w:rPr>
        <w:footnoteReference w:id="1"/>
      </w:r>
    </w:p>
    <w:p w:rsidR="008E7846" w:rsidRPr="00B23503" w:rsidRDefault="008E7846" w:rsidP="00B23503">
      <w:pPr>
        <w:pStyle w:val="Heading3"/>
      </w:pPr>
      <w:bookmarkStart w:id="28" w:name="_Toc392595946"/>
      <w:r w:rsidRPr="008751DC">
        <w:t xml:space="preserve">Drug </w:t>
      </w:r>
      <w:r>
        <w:t>s</w:t>
      </w:r>
      <w:r w:rsidRPr="008751DC">
        <w:t>ubstance</w:t>
      </w:r>
      <w:r>
        <w:t xml:space="preserve"> (active ingredient)</w:t>
      </w:r>
      <w:bookmarkEnd w:id="25"/>
      <w:bookmarkEnd w:id="26"/>
      <w:bookmarkEnd w:id="28"/>
    </w:p>
    <w:p w:rsidR="00426FF2" w:rsidRDefault="00426FF2" w:rsidP="00B23503">
      <w:bookmarkStart w:id="29" w:name="_Toc247691508"/>
      <w:bookmarkStart w:id="30" w:name="_Toc314842490"/>
      <w:proofErr w:type="spellStart"/>
      <w:r w:rsidRPr="00F91F1F">
        <w:t>Thyroxine</w:t>
      </w:r>
      <w:proofErr w:type="spellEnd"/>
      <w:r w:rsidRPr="00F91F1F">
        <w:t xml:space="preserve"> is a naturally occurring thyroid hormone. This product is formulated with the sodium salt and the form of the sodium</w:t>
      </w:r>
      <w:r w:rsidR="00B23503">
        <w:t xml:space="preserve"> salt used is the </w:t>
      </w:r>
      <w:proofErr w:type="spellStart"/>
      <w:r w:rsidR="00B23503">
        <w:t>pentahydrate</w:t>
      </w:r>
      <w:proofErr w:type="spellEnd"/>
      <w:r w:rsidR="00B23503">
        <w:t>.</w:t>
      </w:r>
    </w:p>
    <w:p w:rsidR="00416DF8" w:rsidRPr="00B23503" w:rsidRDefault="00416DF8" w:rsidP="00B23503">
      <w:pPr>
        <w:pStyle w:val="FigureTitle"/>
      </w:pPr>
      <w:proofErr w:type="gramStart"/>
      <w:r>
        <w:t>Figure 1.</w:t>
      </w:r>
      <w:proofErr w:type="gramEnd"/>
      <w:r>
        <w:t xml:space="preserve"> Chemical structure of </w:t>
      </w:r>
      <w:proofErr w:type="spellStart"/>
      <w:r>
        <w:t>thyroxine</w:t>
      </w:r>
      <w:proofErr w:type="spellEnd"/>
      <w:r>
        <w:t xml:space="preserve"> sodium</w:t>
      </w:r>
    </w:p>
    <w:p w:rsidR="00426FF2" w:rsidRDefault="00426FF2" w:rsidP="00B23503">
      <w:r>
        <w:rPr>
          <w:noProof/>
          <w:lang w:eastAsia="en-AU"/>
        </w:rPr>
        <w:drawing>
          <wp:inline distT="0" distB="0" distL="0" distR="0" wp14:anchorId="68835C97" wp14:editId="1283EF64">
            <wp:extent cx="2647950" cy="895350"/>
            <wp:effectExtent l="0" t="0" r="0" b="0"/>
            <wp:docPr id="2" name="Picture 2" descr="Figure 1. Chemical structure of thyroxine so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harmacopoeia.co.uk/bp2014/bp_images/bp2014_v2_06_medicinal_and_pharmaceutical_substances_11/large/levothyroxinesodium_1_2014_76_cs.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47950" cy="895350"/>
                    </a:xfrm>
                    <a:prstGeom prst="rect">
                      <a:avLst/>
                    </a:prstGeom>
                    <a:noFill/>
                    <a:ln>
                      <a:noFill/>
                    </a:ln>
                  </pic:spPr>
                </pic:pic>
              </a:graphicData>
            </a:graphic>
          </wp:inline>
        </w:drawing>
      </w:r>
    </w:p>
    <w:p w:rsidR="00426FF2" w:rsidRPr="00B23503" w:rsidRDefault="00426FF2" w:rsidP="00B23503">
      <w:pPr>
        <w:pStyle w:val="FigureDescription"/>
      </w:pPr>
      <w:r w:rsidRPr="00416DF8">
        <w:rPr>
          <w:rStyle w:val="molecularformula"/>
          <w:rFonts w:cs="Arial"/>
          <w:sz w:val="20"/>
          <w:szCs w:val="20"/>
        </w:rPr>
        <w:t>Sodium (2S)-2amino-3-[4-(4-hydroxy-3</w:t>
      </w:r>
      <w:proofErr w:type="gramStart"/>
      <w:r w:rsidRPr="00416DF8">
        <w:rPr>
          <w:rStyle w:val="molecularformula"/>
          <w:rFonts w:cs="Arial"/>
          <w:sz w:val="20"/>
          <w:szCs w:val="20"/>
        </w:rPr>
        <w:t>,5</w:t>
      </w:r>
      <w:proofErr w:type="gramEnd"/>
      <w:r w:rsidRPr="00416DF8">
        <w:rPr>
          <w:rStyle w:val="molecularformula"/>
          <w:rFonts w:cs="Arial"/>
          <w:sz w:val="20"/>
          <w:szCs w:val="20"/>
        </w:rPr>
        <w:t xml:space="preserve">-diiodophenoxy)-3,5-diiodophenyl]propanoate </w:t>
      </w:r>
      <w:proofErr w:type="spellStart"/>
      <w:r w:rsidRPr="00416DF8">
        <w:rPr>
          <w:rStyle w:val="molecularformula"/>
          <w:rFonts w:cs="Arial"/>
          <w:sz w:val="20"/>
          <w:szCs w:val="20"/>
        </w:rPr>
        <w:t>pentahydrate</w:t>
      </w:r>
      <w:proofErr w:type="spellEnd"/>
      <w:r w:rsidR="00416DF8">
        <w:rPr>
          <w:rStyle w:val="molecularformula"/>
          <w:rFonts w:cs="Arial"/>
          <w:sz w:val="20"/>
          <w:szCs w:val="20"/>
        </w:rPr>
        <w:t xml:space="preserve">. </w:t>
      </w:r>
      <w:r w:rsidRPr="00416DF8">
        <w:rPr>
          <w:rStyle w:val="molecularformula"/>
          <w:rFonts w:cs="Arial"/>
          <w:sz w:val="20"/>
          <w:szCs w:val="20"/>
        </w:rPr>
        <w:t>C</w:t>
      </w:r>
      <w:r w:rsidRPr="00416DF8">
        <w:rPr>
          <w:rStyle w:val="molecularformula"/>
          <w:rFonts w:cs="Arial"/>
          <w:sz w:val="20"/>
          <w:szCs w:val="20"/>
          <w:vertAlign w:val="subscript"/>
        </w:rPr>
        <w:t>15</w:t>
      </w:r>
      <w:r w:rsidRPr="00416DF8">
        <w:rPr>
          <w:rStyle w:val="molecularformula"/>
          <w:rFonts w:cs="Arial"/>
          <w:sz w:val="20"/>
          <w:szCs w:val="20"/>
        </w:rPr>
        <w:t>H</w:t>
      </w:r>
      <w:r w:rsidRPr="00416DF8">
        <w:rPr>
          <w:rStyle w:val="molecularformula"/>
          <w:rFonts w:cs="Arial"/>
          <w:sz w:val="20"/>
          <w:szCs w:val="20"/>
          <w:vertAlign w:val="subscript"/>
        </w:rPr>
        <w:t>10</w:t>
      </w:r>
      <w:r w:rsidRPr="00416DF8">
        <w:rPr>
          <w:rStyle w:val="molecularformula"/>
          <w:rFonts w:cs="Arial"/>
          <w:sz w:val="20"/>
          <w:szCs w:val="20"/>
        </w:rPr>
        <w:t>I</w:t>
      </w:r>
      <w:r w:rsidRPr="00416DF8">
        <w:rPr>
          <w:rStyle w:val="molecularformula"/>
          <w:rFonts w:cs="Arial"/>
          <w:sz w:val="20"/>
          <w:szCs w:val="20"/>
          <w:vertAlign w:val="subscript"/>
        </w:rPr>
        <w:t>4</w:t>
      </w:r>
      <w:r w:rsidRPr="00416DF8">
        <w:rPr>
          <w:rStyle w:val="molecularformula"/>
          <w:rFonts w:cs="Arial"/>
          <w:sz w:val="20"/>
          <w:szCs w:val="20"/>
        </w:rPr>
        <w:t>NNaO</w:t>
      </w:r>
      <w:r w:rsidRPr="00416DF8">
        <w:rPr>
          <w:rStyle w:val="molecularformula"/>
          <w:rFonts w:cs="Arial"/>
          <w:sz w:val="20"/>
          <w:szCs w:val="20"/>
          <w:vertAlign w:val="subscript"/>
        </w:rPr>
        <w:t>4</w:t>
      </w:r>
      <w:proofErr w:type="gramStart"/>
      <w:r w:rsidRPr="00416DF8">
        <w:rPr>
          <w:rStyle w:val="molecularformula"/>
          <w:rFonts w:cs="Arial"/>
          <w:sz w:val="20"/>
          <w:szCs w:val="20"/>
        </w:rPr>
        <w:t>,xH</w:t>
      </w:r>
      <w:r w:rsidRPr="00416DF8">
        <w:rPr>
          <w:rStyle w:val="molecularformula"/>
          <w:rFonts w:cs="Arial"/>
          <w:sz w:val="20"/>
          <w:szCs w:val="20"/>
          <w:vertAlign w:val="subscript"/>
        </w:rPr>
        <w:t>2</w:t>
      </w:r>
      <w:r w:rsidRPr="00416DF8">
        <w:rPr>
          <w:rStyle w:val="molecularformula"/>
          <w:rFonts w:cs="Arial"/>
          <w:sz w:val="20"/>
          <w:szCs w:val="20"/>
        </w:rPr>
        <w:t>O</w:t>
      </w:r>
      <w:proofErr w:type="gramEnd"/>
      <w:r w:rsidRPr="00416DF8">
        <w:rPr>
          <w:rStyle w:val="molecularformula"/>
          <w:rFonts w:cs="Arial"/>
          <w:sz w:val="20"/>
          <w:szCs w:val="20"/>
        </w:rPr>
        <w:t xml:space="preserve"> with x = 5</w:t>
      </w:r>
      <w:r w:rsidR="00416DF8" w:rsidRPr="00416DF8">
        <w:rPr>
          <w:rStyle w:val="molecularformula"/>
          <w:rFonts w:cs="Arial"/>
          <w:sz w:val="20"/>
          <w:szCs w:val="20"/>
        </w:rPr>
        <w:t>;</w:t>
      </w:r>
      <w:r w:rsidRPr="00416DF8">
        <w:rPr>
          <w:rStyle w:val="molecularformula"/>
          <w:rFonts w:cs="Arial"/>
          <w:sz w:val="20"/>
          <w:szCs w:val="20"/>
        </w:rPr>
        <w:t xml:space="preserve"> molecular mass = 888.91</w:t>
      </w:r>
      <w:r w:rsidR="00416DF8">
        <w:rPr>
          <w:rStyle w:val="molecularformula"/>
          <w:rFonts w:cs="Arial"/>
          <w:sz w:val="20"/>
          <w:szCs w:val="20"/>
        </w:rPr>
        <w:t xml:space="preserve">, </w:t>
      </w:r>
      <w:r w:rsidRPr="00416DF8">
        <w:rPr>
          <w:rStyle w:val="molecularformula"/>
          <w:rFonts w:cs="Arial"/>
          <w:sz w:val="20"/>
          <w:szCs w:val="20"/>
        </w:rPr>
        <w:t xml:space="preserve">CAS number </w:t>
      </w:r>
      <w:r w:rsidRPr="00416DF8">
        <w:rPr>
          <w:rStyle w:val="italic"/>
          <w:rFonts w:cs="Arial"/>
          <w:sz w:val="20"/>
          <w:szCs w:val="20"/>
        </w:rPr>
        <w:t>25416-65-3</w:t>
      </w:r>
    </w:p>
    <w:p w:rsidR="00426FF2" w:rsidRPr="00B23503" w:rsidRDefault="00A13F6C" w:rsidP="00B23503">
      <w:pPr>
        <w:pStyle w:val="FigureDescription"/>
      </w:pPr>
      <w:r>
        <w:rPr>
          <w:rStyle w:val="italic"/>
          <w:rFonts w:cs="Arial"/>
          <w:sz w:val="20"/>
          <w:szCs w:val="20"/>
        </w:rPr>
        <w:t>A</w:t>
      </w:r>
      <w:r w:rsidR="00426FF2" w:rsidRPr="00416DF8">
        <w:rPr>
          <w:rStyle w:val="italic"/>
          <w:rFonts w:cs="Arial"/>
          <w:sz w:val="20"/>
          <w:szCs w:val="20"/>
        </w:rPr>
        <w:t>nhydrous material:</w:t>
      </w:r>
      <w:r w:rsidR="00416DF8" w:rsidRPr="00416DF8">
        <w:rPr>
          <w:rStyle w:val="italic"/>
          <w:rFonts w:cs="Arial"/>
          <w:sz w:val="20"/>
          <w:szCs w:val="20"/>
        </w:rPr>
        <w:t xml:space="preserve"> </w:t>
      </w:r>
      <w:proofErr w:type="gramStart"/>
      <w:r w:rsidR="00426FF2" w:rsidRPr="00416DF8">
        <w:rPr>
          <w:rStyle w:val="molecularformula"/>
          <w:rFonts w:cs="Arial"/>
          <w:sz w:val="20"/>
          <w:szCs w:val="20"/>
        </w:rPr>
        <w:t>C</w:t>
      </w:r>
      <w:r w:rsidR="00426FF2" w:rsidRPr="00416DF8">
        <w:rPr>
          <w:rStyle w:val="molecularformula"/>
          <w:rFonts w:cs="Arial"/>
          <w:sz w:val="20"/>
          <w:szCs w:val="20"/>
          <w:vertAlign w:val="subscript"/>
        </w:rPr>
        <w:t>15</w:t>
      </w:r>
      <w:r w:rsidR="00426FF2" w:rsidRPr="00416DF8">
        <w:rPr>
          <w:rStyle w:val="molecularformula"/>
          <w:rFonts w:cs="Arial"/>
          <w:sz w:val="20"/>
          <w:szCs w:val="20"/>
        </w:rPr>
        <w:t>H</w:t>
      </w:r>
      <w:r w:rsidR="00426FF2" w:rsidRPr="00416DF8">
        <w:rPr>
          <w:rStyle w:val="molecularformula"/>
          <w:rFonts w:cs="Arial"/>
          <w:sz w:val="20"/>
          <w:szCs w:val="20"/>
          <w:vertAlign w:val="subscript"/>
        </w:rPr>
        <w:t>10</w:t>
      </w:r>
      <w:r w:rsidR="00426FF2" w:rsidRPr="00416DF8">
        <w:rPr>
          <w:rStyle w:val="molecularformula"/>
          <w:rFonts w:cs="Arial"/>
          <w:sz w:val="20"/>
          <w:szCs w:val="20"/>
        </w:rPr>
        <w:t>I</w:t>
      </w:r>
      <w:r w:rsidR="00426FF2" w:rsidRPr="00416DF8">
        <w:rPr>
          <w:rStyle w:val="molecularformula"/>
          <w:rFonts w:cs="Arial"/>
          <w:sz w:val="20"/>
          <w:szCs w:val="20"/>
          <w:vertAlign w:val="subscript"/>
        </w:rPr>
        <w:t>4</w:t>
      </w:r>
      <w:r w:rsidR="00426FF2" w:rsidRPr="00416DF8">
        <w:rPr>
          <w:rStyle w:val="molecularformula"/>
          <w:rFonts w:cs="Arial"/>
          <w:sz w:val="20"/>
          <w:szCs w:val="20"/>
        </w:rPr>
        <w:t>NNaO</w:t>
      </w:r>
      <w:r w:rsidR="00426FF2" w:rsidRPr="00416DF8">
        <w:rPr>
          <w:rStyle w:val="molecularformula"/>
          <w:rFonts w:cs="Arial"/>
          <w:sz w:val="20"/>
          <w:szCs w:val="20"/>
          <w:vertAlign w:val="subscript"/>
        </w:rPr>
        <w:t>4</w:t>
      </w:r>
      <w:r w:rsidR="00416DF8" w:rsidRPr="00416DF8">
        <w:rPr>
          <w:rStyle w:val="molecularformula"/>
          <w:rFonts w:cs="Arial"/>
          <w:sz w:val="20"/>
          <w:szCs w:val="20"/>
        </w:rPr>
        <w:t xml:space="preserve">  </w:t>
      </w:r>
      <w:r w:rsidR="00426FF2" w:rsidRPr="00416DF8">
        <w:rPr>
          <w:rStyle w:val="molecularformula"/>
          <w:rFonts w:cs="Arial"/>
          <w:sz w:val="20"/>
          <w:szCs w:val="20"/>
        </w:rPr>
        <w:t>molecular</w:t>
      </w:r>
      <w:proofErr w:type="gramEnd"/>
      <w:r w:rsidR="00426FF2" w:rsidRPr="00416DF8">
        <w:rPr>
          <w:rStyle w:val="molecularformula"/>
          <w:rFonts w:cs="Arial"/>
          <w:sz w:val="20"/>
          <w:szCs w:val="20"/>
        </w:rPr>
        <w:t xml:space="preserve"> mass = 798.85</w:t>
      </w:r>
      <w:r w:rsidR="00416DF8">
        <w:rPr>
          <w:rStyle w:val="molecularformula"/>
          <w:rFonts w:cs="Arial"/>
          <w:sz w:val="20"/>
          <w:szCs w:val="20"/>
        </w:rPr>
        <w:t xml:space="preserve">; </w:t>
      </w:r>
      <w:r w:rsidR="00426FF2" w:rsidRPr="00416DF8">
        <w:rPr>
          <w:rStyle w:val="molecularformula"/>
          <w:rFonts w:cs="Arial"/>
          <w:sz w:val="20"/>
          <w:szCs w:val="20"/>
        </w:rPr>
        <w:t>CAS number 55-03-8</w:t>
      </w:r>
    </w:p>
    <w:p w:rsidR="00426FF2" w:rsidRPr="00F91F1F" w:rsidRDefault="00426FF2" w:rsidP="00B23503">
      <w:r w:rsidRPr="00F91F1F">
        <w:t>The material is manufactured by chemical synthesis and is a single enantiomer. It is a white or slightly brownish-yellow, slightly hygroscopic, crystalline powder. It is very slightly soluble in water, slightly soluble in ethanol but dissolves in dilute alkali solutions.</w:t>
      </w:r>
    </w:p>
    <w:p w:rsidR="00426FF2" w:rsidRDefault="00426FF2" w:rsidP="00B23503">
      <w:r>
        <w:lastRenderedPageBreak/>
        <w:t xml:space="preserve">The material is manufactured to meet the BP/EP monograph for Levothyroxine Sodium. </w:t>
      </w:r>
      <w:r w:rsidR="00416DF8">
        <w:t>T</w:t>
      </w:r>
      <w:r>
        <w:t xml:space="preserve">he related substances are </w:t>
      </w:r>
      <w:r w:rsidR="00416DF8">
        <w:t>also c</w:t>
      </w:r>
      <w:r>
        <w:t>ontro</w:t>
      </w:r>
      <w:r w:rsidR="00B23503">
        <w:t>lled as per the BP/EP monograph.</w:t>
      </w:r>
    </w:p>
    <w:p w:rsidR="008E7846" w:rsidRDefault="008E7846" w:rsidP="00B23503">
      <w:pPr>
        <w:pStyle w:val="Heading3"/>
      </w:pPr>
      <w:bookmarkStart w:id="31" w:name="_Toc392595947"/>
      <w:r w:rsidRPr="008751DC">
        <w:t xml:space="preserve">Drug </w:t>
      </w:r>
      <w:r>
        <w:t>p</w:t>
      </w:r>
      <w:r w:rsidRPr="008751DC">
        <w:t>roduct</w:t>
      </w:r>
      <w:bookmarkEnd w:id="29"/>
      <w:bookmarkEnd w:id="30"/>
      <w:bookmarkEnd w:id="31"/>
    </w:p>
    <w:p w:rsidR="00426FF2" w:rsidRPr="00B5097A" w:rsidRDefault="00426FF2" w:rsidP="00B23503">
      <w:pPr>
        <w:rPr>
          <w:color w:val="FF0000"/>
          <w:sz w:val="2"/>
          <w:szCs w:val="8"/>
        </w:rPr>
      </w:pPr>
      <w:r w:rsidRPr="002411FD">
        <w:t xml:space="preserve">The proposed products were developed to be generics of the registered tablets but to have a number of additional strengths to allow for accurate dosing. They </w:t>
      </w:r>
      <w:r>
        <w:t xml:space="preserve">were also reformulated (as mentioned in the introduction) to give </w:t>
      </w:r>
      <w:r w:rsidRPr="002411FD">
        <w:t xml:space="preserve">a more stable </w:t>
      </w:r>
      <w:r w:rsidRPr="00741052">
        <w:t>product tha</w:t>
      </w:r>
      <w:r>
        <w:t>n</w:t>
      </w:r>
      <w:r w:rsidR="00B23503">
        <w:t xml:space="preserve"> the registered tablets.</w:t>
      </w:r>
    </w:p>
    <w:p w:rsidR="00426FF2" w:rsidRPr="00416DF8" w:rsidRDefault="00426FF2" w:rsidP="00B23503">
      <w:r w:rsidRPr="00B5097A">
        <w:t xml:space="preserve">The </w:t>
      </w:r>
      <w:r>
        <w:t xml:space="preserve">different strengths of the </w:t>
      </w:r>
      <w:r w:rsidRPr="00B5097A">
        <w:t xml:space="preserve">proposed tablets are all </w:t>
      </w:r>
      <w:r>
        <w:t xml:space="preserve">the same </w:t>
      </w:r>
      <w:r w:rsidRPr="00B5097A">
        <w:t>mass, with the (small) differences in the</w:t>
      </w:r>
      <w:r>
        <w:t xml:space="preserve"> masses of the drug substance</w:t>
      </w:r>
      <w:r w:rsidRPr="00B5097A">
        <w:t xml:space="preserve"> being compensated for with differences in the amounts</w:t>
      </w:r>
      <w:r>
        <w:t xml:space="preserve"> of microcrystalline cellulose added</w:t>
      </w:r>
      <w:r w:rsidRPr="00B5097A">
        <w:t xml:space="preserve">. </w:t>
      </w:r>
      <w:r>
        <w:t xml:space="preserve">They are also the same colour (white), but are distinguished by their markings (embossing) and different coloured labelling. </w:t>
      </w:r>
      <w:r w:rsidR="00416DF8" w:rsidRPr="00416DF8">
        <w:t>T</w:t>
      </w:r>
      <w:r w:rsidRPr="00416DF8">
        <w:t>he registered products are all direct scales.</w:t>
      </w:r>
    </w:p>
    <w:p w:rsidR="00B23503" w:rsidRDefault="00426FF2" w:rsidP="00B23503">
      <w:r w:rsidRPr="00AA27EA">
        <w:t>As mentioned in the introduction, the change in formulation and method of manufacture has led to a lower dissolution compared to the registered products. This is seen ac</w:t>
      </w:r>
      <w:r w:rsidR="00416DF8">
        <w:t>ross the physiological pH range</w:t>
      </w:r>
      <w:r w:rsidR="00B23503">
        <w:t>.</w:t>
      </w:r>
    </w:p>
    <w:p w:rsidR="00426FF2" w:rsidRPr="00840545" w:rsidRDefault="00426FF2" w:rsidP="00B23503">
      <w:r w:rsidRPr="00831326">
        <w:t>In relation to the proposed dissolution test method, this is not considered acceptable as it is not sufficiently discriminative.</w:t>
      </w:r>
    </w:p>
    <w:p w:rsidR="00426FF2" w:rsidRPr="00416DF8" w:rsidRDefault="00426FF2" w:rsidP="00B23503">
      <w:r w:rsidRPr="00840545">
        <w:t xml:space="preserve">The method is based on Dissolution Tests 1-3 in the USP monograph for Levothyroxine Sodium Tablets. </w:t>
      </w:r>
      <w:r w:rsidRPr="00416DF8">
        <w:t>This is also the dissolution method of the current tablets.</w:t>
      </w:r>
    </w:p>
    <w:p w:rsidR="00426FF2" w:rsidRPr="00840545" w:rsidRDefault="00426FF2" w:rsidP="00B23503">
      <w:r w:rsidRPr="00840545">
        <w:t xml:space="preserve">More recently, the BP monograph </w:t>
      </w:r>
      <w:r>
        <w:t xml:space="preserve">for Levothyroxine Tablets </w:t>
      </w:r>
      <w:r w:rsidRPr="00840545">
        <w:t>has been updated</w:t>
      </w:r>
      <w:r w:rsidR="00416DF8">
        <w:t>.</w:t>
      </w:r>
    </w:p>
    <w:p w:rsidR="00426FF2" w:rsidRPr="009A60A2" w:rsidRDefault="00416DF8" w:rsidP="00B23503">
      <w:r>
        <w:t>I</w:t>
      </w:r>
      <w:r w:rsidR="00426FF2" w:rsidRPr="009A60A2">
        <w:t xml:space="preserve">t </w:t>
      </w:r>
      <w:r>
        <w:t>is</w:t>
      </w:r>
      <w:r w:rsidR="00426FF2" w:rsidRPr="009A60A2">
        <w:t xml:space="preserve"> </w:t>
      </w:r>
      <w:r w:rsidR="00426FF2">
        <w:t xml:space="preserve">clear that the presence of </w:t>
      </w:r>
      <w:r w:rsidR="002B25ED" w:rsidRPr="002B25ED">
        <w:t xml:space="preserve">sodium lauryl sulfate </w:t>
      </w:r>
      <w:r w:rsidR="002B25ED">
        <w:t>(</w:t>
      </w:r>
      <w:r w:rsidR="00426FF2">
        <w:t>SLS</w:t>
      </w:r>
      <w:r w:rsidR="002B25ED">
        <w:t>)</w:t>
      </w:r>
      <w:r w:rsidR="00426FF2">
        <w:t xml:space="preserve"> wa</w:t>
      </w:r>
      <w:r w:rsidR="00426FF2" w:rsidRPr="009A60A2">
        <w:t xml:space="preserve">s required to give a reasonable dissolution profile, and it was accepted that the BP method </w:t>
      </w:r>
      <w:r w:rsidR="00426FF2">
        <w:t xml:space="preserve">(without SLS) </w:t>
      </w:r>
      <w:r w:rsidR="00426FF2" w:rsidRPr="009A60A2">
        <w:t>was unsuitable for routine quality control.</w:t>
      </w:r>
    </w:p>
    <w:p w:rsidR="00426FF2" w:rsidRPr="009A60A2" w:rsidRDefault="00426FF2" w:rsidP="00B23503">
      <w:r w:rsidRPr="009A60A2">
        <w:t xml:space="preserve">The proposed method is similar to the USP dissolution method. </w:t>
      </w:r>
      <w:r w:rsidRPr="00831326">
        <w:t>Data comparing the USP dissolution method and the proposed dissolution method indicates that the USP dissolution method will be more discriminative and be able to ensure a consistent manufacturing process and that the dissolution of the tablets does not slow on storage.</w:t>
      </w:r>
    </w:p>
    <w:p w:rsidR="00426FF2" w:rsidRPr="00ED1BB1" w:rsidRDefault="00426FF2" w:rsidP="00B23503">
      <w:r w:rsidRPr="00ED1BB1">
        <w:t xml:space="preserve">The proposed finished product specifications </w:t>
      </w:r>
      <w:r>
        <w:t>include</w:t>
      </w:r>
      <w:r w:rsidRPr="00ED1BB1">
        <w:t xml:space="preserve"> appropriate parameters and the following should be noted.</w:t>
      </w:r>
    </w:p>
    <w:p w:rsidR="00426FF2" w:rsidRPr="00ED1BB1" w:rsidRDefault="00426FF2" w:rsidP="00B23503">
      <w:r w:rsidRPr="00ED1BB1">
        <w:t>There a</w:t>
      </w:r>
      <w:r w:rsidR="00B23503">
        <w:t>re acceptable limits for assay.</w:t>
      </w:r>
    </w:p>
    <w:p w:rsidR="00426FF2" w:rsidRPr="00ED1BB1" w:rsidRDefault="00426FF2" w:rsidP="00B23503">
      <w:r w:rsidRPr="00ED1BB1">
        <w:t xml:space="preserve">There are acceptable limits for individual </w:t>
      </w:r>
      <w:r w:rsidR="002B25ED">
        <w:t>impurities.</w:t>
      </w:r>
    </w:p>
    <w:p w:rsidR="00426FF2" w:rsidRDefault="00426FF2" w:rsidP="00426FF2">
      <w:r>
        <w:t>There is a s</w:t>
      </w:r>
      <w:r w:rsidRPr="00ED1BB1">
        <w:t>uitable limit for total impurities</w:t>
      </w:r>
      <w:r>
        <w:t>.</w:t>
      </w:r>
    </w:p>
    <w:p w:rsidR="00426FF2" w:rsidRDefault="00426FF2" w:rsidP="00B23503">
      <w:r>
        <w:t>There is a s</w:t>
      </w:r>
      <w:r w:rsidR="002B25ED">
        <w:t>uitable limit for water content</w:t>
      </w:r>
      <w:r>
        <w:t>.</w:t>
      </w:r>
    </w:p>
    <w:p w:rsidR="00426FF2" w:rsidRPr="002B25ED" w:rsidRDefault="00426FF2" w:rsidP="00426FF2">
      <w:r>
        <w:t xml:space="preserve">There is a suitable limit for dissolution. This limit is based on the results of the batch of tablets used in bioequivalence study ARL/11/201. The limit is tighter than that in USP Dissolution Test 1 but not as tight as that in USP Dissolution Test </w:t>
      </w:r>
      <w:r w:rsidRPr="007F3885">
        <w:t>3.</w:t>
      </w:r>
      <w:r>
        <w:t xml:space="preserve"> </w:t>
      </w:r>
      <w:r w:rsidRPr="00831326">
        <w:t>Note that the limit must be used with the USP dissolution method rather than the proposed dissolution method, see above.</w:t>
      </w:r>
    </w:p>
    <w:p w:rsidR="00426FF2" w:rsidRPr="002B25ED" w:rsidRDefault="00426FF2" w:rsidP="00B23503">
      <w:r>
        <w:t xml:space="preserve">There are also limits for hardness, but these are probably not acceptable </w:t>
      </w:r>
      <w:r w:rsidR="002B25ED">
        <w:t>as tablets with higher hardness</w:t>
      </w:r>
      <w:r>
        <w:t xml:space="preserve"> will not pass the dissolution limit using the </w:t>
      </w:r>
      <w:r w:rsidRPr="00831326">
        <w:t>USP dissolution method</w:t>
      </w:r>
      <w:r>
        <w:t xml:space="preserve">. </w:t>
      </w:r>
      <w:r w:rsidRPr="002B25ED">
        <w:t>Note the batch used in bioequivalence study ARL/11/201 had a hardness of 31 N.</w:t>
      </w:r>
    </w:p>
    <w:p w:rsidR="00426FF2" w:rsidRPr="00D85A27" w:rsidRDefault="00426FF2" w:rsidP="00B23503">
      <w:r w:rsidRPr="00D85A27">
        <w:t xml:space="preserve">The 25 </w:t>
      </w:r>
      <w:r w:rsidRPr="00D85A27">
        <w:rPr>
          <w:rFonts w:ascii="Symbol" w:hAnsi="Symbol"/>
        </w:rPr>
        <w:t></w:t>
      </w:r>
      <w:r>
        <w:t xml:space="preserve">g </w:t>
      </w:r>
      <w:r w:rsidRPr="00D85A27">
        <w:t>tablet is scored</w:t>
      </w:r>
      <w:r>
        <w:t xml:space="preserve"> with a break-line and uniformity of content and dissolution </w:t>
      </w:r>
      <w:r w:rsidRPr="00D85A27">
        <w:t>data w</w:t>
      </w:r>
      <w:r>
        <w:t>ere</w:t>
      </w:r>
      <w:r w:rsidRPr="00D85A27">
        <w:t xml:space="preserve"> </w:t>
      </w:r>
      <w:r>
        <w:t>provid</w:t>
      </w:r>
      <w:r w:rsidRPr="00D85A27">
        <w:t>ed to demonstrate that they break in an acceptable manner</w:t>
      </w:r>
      <w:r>
        <w:t xml:space="preserve"> and this does not significantly affect the dissolution rate</w:t>
      </w:r>
      <w:r w:rsidR="00B23503">
        <w:t>.</w:t>
      </w:r>
    </w:p>
    <w:p w:rsidR="00426FF2" w:rsidRPr="002B25ED" w:rsidRDefault="00426FF2" w:rsidP="00B23503">
      <w:r w:rsidRPr="00D85A27">
        <w:lastRenderedPageBreak/>
        <w:t>Stability data were generated under accelerated and long-term conditions on batches packaged in the proposed container closure system (which includes a child-resistant closure</w:t>
      </w:r>
      <w:r>
        <w:t>)</w:t>
      </w:r>
      <w:r w:rsidRPr="00D85A27">
        <w:t>. This would support a shelf life of 2 years when stored below 25º</w:t>
      </w:r>
      <w:r>
        <w:t xml:space="preserve">C with the condition protect from light. The tablets are more stable than the registered products and this is thought to be due to the fact that the levothyroxine sodium remains as the </w:t>
      </w:r>
      <w:proofErr w:type="spellStart"/>
      <w:r>
        <w:t>pentahydrate</w:t>
      </w:r>
      <w:proofErr w:type="spellEnd"/>
      <w:r>
        <w:t xml:space="preserve"> in these tablets as they were manufactured by </w:t>
      </w:r>
      <w:r w:rsidR="00C14A83">
        <w:t xml:space="preserve">direct compression </w:t>
      </w:r>
      <w:r>
        <w:t xml:space="preserve">with no drying step. </w:t>
      </w:r>
      <w:r w:rsidRPr="002B25ED">
        <w:t>A drying step would be necessary to remove excess granulating fluid when the method of manufacture is wet granulation.</w:t>
      </w:r>
    </w:p>
    <w:p w:rsidR="00940A89" w:rsidRPr="00940A89" w:rsidRDefault="00426FF2" w:rsidP="00426FF2">
      <w:r w:rsidRPr="00D85A27">
        <w:t>The proposed carton and bottle labels and PIs are acceptable from PCS perspective.</w:t>
      </w:r>
    </w:p>
    <w:p w:rsidR="008E7846" w:rsidRPr="00B23503" w:rsidRDefault="008E7846" w:rsidP="00B23503">
      <w:pPr>
        <w:pStyle w:val="Heading3"/>
      </w:pPr>
      <w:bookmarkStart w:id="32" w:name="_Toc314842491"/>
      <w:bookmarkStart w:id="33" w:name="_Toc392595948"/>
      <w:proofErr w:type="spellStart"/>
      <w:r>
        <w:t>Biopharmaceutics</w:t>
      </w:r>
      <w:bookmarkEnd w:id="32"/>
      <w:bookmarkEnd w:id="33"/>
      <w:proofErr w:type="spellEnd"/>
    </w:p>
    <w:p w:rsidR="00426FF2" w:rsidRDefault="00426FF2" w:rsidP="003662CD">
      <w:bookmarkStart w:id="34" w:name="_Toc314842492"/>
      <w:r w:rsidRPr="00AA563D">
        <w:t xml:space="preserve">The submission included a bioequivalence study comparing the proposed 200 </w:t>
      </w:r>
      <w:r w:rsidRPr="000F7C71">
        <w:rPr>
          <w:rFonts w:ascii="Symbol" w:hAnsi="Symbol"/>
        </w:rPr>
        <w:t></w:t>
      </w:r>
      <w:r w:rsidRPr="00AA563D">
        <w:t xml:space="preserve">g tablets to the registered 200 </w:t>
      </w:r>
      <w:r w:rsidRPr="00AA563D">
        <w:rPr>
          <w:rFonts w:ascii="Symbol" w:hAnsi="Symbol"/>
        </w:rPr>
        <w:t></w:t>
      </w:r>
      <w:r w:rsidRPr="00AA563D">
        <w:t>g tablets (</w:t>
      </w:r>
      <w:r w:rsidR="002B25ED">
        <w:t>S</w:t>
      </w:r>
      <w:r w:rsidRPr="00AA563D">
        <w:t xml:space="preserve">tudy ARL/11/201) and a study comparing the bioavailability of the proposed 50 </w:t>
      </w:r>
      <w:r w:rsidRPr="00AA563D">
        <w:rPr>
          <w:rFonts w:ascii="Symbol" w:hAnsi="Symbol"/>
        </w:rPr>
        <w:t></w:t>
      </w:r>
      <w:r w:rsidRPr="00AA563D">
        <w:t>g, 100</w:t>
      </w:r>
      <w:r w:rsidRPr="00AA563D">
        <w:rPr>
          <w:rFonts w:ascii="Symbol" w:hAnsi="Symbol"/>
        </w:rPr>
        <w:t></w:t>
      </w:r>
      <w:r w:rsidRPr="00AA563D">
        <w:rPr>
          <w:rFonts w:ascii="Symbol" w:hAnsi="Symbol"/>
        </w:rPr>
        <w:t></w:t>
      </w:r>
      <w:r w:rsidRPr="00AA563D">
        <w:t xml:space="preserve">g and 200 </w:t>
      </w:r>
      <w:r w:rsidRPr="00AA563D">
        <w:rPr>
          <w:rFonts w:ascii="Symbol" w:hAnsi="Symbol"/>
        </w:rPr>
        <w:t></w:t>
      </w:r>
      <w:r w:rsidRPr="00AA563D">
        <w:t>g tablets all at the same dose (ARL/11/196). This approach is specified in a US FDA Guidance on Levothyroxine So</w:t>
      </w:r>
      <w:r w:rsidR="003662CD">
        <w:t>dium Tablets.</w:t>
      </w:r>
    </w:p>
    <w:p w:rsidR="00426FF2" w:rsidRPr="0056780E" w:rsidRDefault="00426FF2" w:rsidP="003662CD">
      <w:r w:rsidRPr="0056780E">
        <w:t xml:space="preserve">Thyroxine (T4) </w:t>
      </w:r>
      <w:r>
        <w:t xml:space="preserve">is </w:t>
      </w:r>
      <w:r w:rsidRPr="0056780E">
        <w:t>extensively protein bound. It is metabolised by de</w:t>
      </w:r>
      <w:r w:rsidR="00A13F6C">
        <w:t xml:space="preserve"> </w:t>
      </w:r>
      <w:proofErr w:type="spellStart"/>
      <w:r w:rsidRPr="0056780E">
        <w:t>iodinisation</w:t>
      </w:r>
      <w:proofErr w:type="spellEnd"/>
      <w:r w:rsidRPr="0056780E">
        <w:t xml:space="preserve"> first to inactive tri-</w:t>
      </w:r>
      <w:proofErr w:type="spellStart"/>
      <w:r w:rsidRPr="0056780E">
        <w:t>iodothyroninie</w:t>
      </w:r>
      <w:proofErr w:type="spellEnd"/>
      <w:r w:rsidRPr="0056780E">
        <w:t xml:space="preserve"> (T3) and then to further inactive species with less iodine. There is s</w:t>
      </w:r>
      <w:r>
        <w:t xml:space="preserve">ome enterohepatic recycling of </w:t>
      </w:r>
      <w:r w:rsidRPr="0056780E">
        <w:t>T3 back to T4.</w:t>
      </w:r>
    </w:p>
    <w:p w:rsidR="00426FF2" w:rsidRPr="0056780E" w:rsidRDefault="00426FF2" w:rsidP="003662CD">
      <w:r w:rsidRPr="0056780E">
        <w:t>The bioanalytical test method used in the two studies was the same</w:t>
      </w:r>
      <w:r>
        <w:t xml:space="preserve"> and was based on </w:t>
      </w:r>
      <w:proofErr w:type="spellStart"/>
      <w:r>
        <w:t>chemiluminescence</w:t>
      </w:r>
      <w:proofErr w:type="spellEnd"/>
      <w:r>
        <w:t xml:space="preserve">. The method was appropriately validated and </w:t>
      </w:r>
      <w:r w:rsidRPr="0056780E">
        <w:t>can quantify free T4, total (Bound + free) T4, free T3 and total (Bound + free) T3.</w:t>
      </w:r>
    </w:p>
    <w:p w:rsidR="00426FF2" w:rsidRPr="003662CD" w:rsidRDefault="003662CD" w:rsidP="003662CD">
      <w:pPr>
        <w:pStyle w:val="Heading4"/>
      </w:pPr>
      <w:r>
        <w:t>Study ARL/11/201</w:t>
      </w:r>
    </w:p>
    <w:p w:rsidR="00426FF2" w:rsidRDefault="00426FF2" w:rsidP="003662CD">
      <w:r w:rsidRPr="00191D03">
        <w:t xml:space="preserve">This study compared the test and reference products at a dose of 600 </w:t>
      </w:r>
      <w:r w:rsidR="002B25ED">
        <w:rPr>
          <w:rFonts w:ascii="Times New Roman" w:hAnsi="Times New Roman"/>
        </w:rPr>
        <w:t>µ</w:t>
      </w:r>
      <w:r w:rsidRPr="00191D03">
        <w:t xml:space="preserve">g (3 x 200 </w:t>
      </w:r>
      <w:r w:rsidR="002B25ED">
        <w:rPr>
          <w:rFonts w:ascii="Times New Roman" w:hAnsi="Times New Roman"/>
        </w:rPr>
        <w:t>µ</w:t>
      </w:r>
      <w:r w:rsidR="003662CD">
        <w:t>g tablets).</w:t>
      </w:r>
    </w:p>
    <w:p w:rsidR="00426FF2" w:rsidRDefault="00426FF2" w:rsidP="003662CD">
      <w:r>
        <w:t>T</w:t>
      </w:r>
      <w:r w:rsidRPr="00191D03">
        <w:t>hyroxine is endogenous</w:t>
      </w:r>
      <w:r>
        <w:t xml:space="preserve"> and data before and after a</w:t>
      </w:r>
      <w:r w:rsidRPr="00191D03">
        <w:t xml:space="preserve"> baseline correction was </w:t>
      </w:r>
      <w:r>
        <w:t>provid</w:t>
      </w:r>
      <w:r w:rsidRPr="00191D03">
        <w:t>ed</w:t>
      </w:r>
      <w:r>
        <w:t>. However in accordance with the US FDA Guidance, bioequivalence was assessed on the non-baseline-corrected resul</w:t>
      </w:r>
      <w:r w:rsidR="003662CD">
        <w:t>ts for total (bound + free) T4.</w:t>
      </w:r>
    </w:p>
    <w:p w:rsidR="00426FF2" w:rsidRDefault="002B25ED" w:rsidP="003662CD">
      <w:r>
        <w:t>T</w:t>
      </w:r>
      <w:r w:rsidR="00426FF2">
        <w:t>he point estimates and 90% confidence intervals for uncorrected total (bound + free) T4 are given directly below.</w:t>
      </w:r>
    </w:p>
    <w:p w:rsidR="002B25ED" w:rsidRPr="003662CD" w:rsidRDefault="002B25ED" w:rsidP="003662CD">
      <w:pPr>
        <w:pStyle w:val="TableTitle"/>
      </w:pPr>
      <w:proofErr w:type="gramStart"/>
      <w:r>
        <w:t>Table 1.</w:t>
      </w:r>
      <w:proofErr w:type="gramEnd"/>
      <w:r>
        <w:t xml:space="preserve"> Geometric means and 90% confidence interval of baseline uncorrected total (</w:t>
      </w:r>
      <w:proofErr w:type="spellStart"/>
      <w:r>
        <w:t>free+unbound</w:t>
      </w:r>
      <w:proofErr w:type="spellEnd"/>
      <w:r>
        <w:t>) T4 (n=31).</w:t>
      </w:r>
    </w:p>
    <w:p w:rsidR="00426FF2" w:rsidRDefault="00426FF2" w:rsidP="003662CD">
      <w:r>
        <w:rPr>
          <w:noProof/>
          <w:lang w:eastAsia="en-AU"/>
        </w:rPr>
        <w:drawing>
          <wp:inline distT="0" distB="0" distL="0" distR="0" wp14:anchorId="5823A408" wp14:editId="6A58B74C">
            <wp:extent cx="5149326" cy="1062893"/>
            <wp:effectExtent l="0" t="0" r="0" b="0"/>
            <wp:docPr id="14" name="Picture 14" descr="Table 1. Geometric means and 90% confidence interval of baseline uncorrected total (free+unbound) T4 (n=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16">
                      <a:extLst>
                        <a:ext uri="{28A0092B-C50C-407E-A947-70E740481C1C}">
                          <a14:useLocalDpi xmlns:a14="http://schemas.microsoft.com/office/drawing/2010/main" val="0"/>
                        </a:ext>
                      </a:extLst>
                    </a:blip>
                    <a:srcRect l="2947" t="31097"/>
                    <a:stretch/>
                  </pic:blipFill>
                  <pic:spPr bwMode="auto">
                    <a:xfrm>
                      <a:off x="0" y="0"/>
                      <a:ext cx="5152238" cy="1063494"/>
                    </a:xfrm>
                    <a:prstGeom prst="rect">
                      <a:avLst/>
                    </a:prstGeom>
                    <a:noFill/>
                    <a:ln>
                      <a:noFill/>
                    </a:ln>
                    <a:extLst>
                      <a:ext uri="{53640926-AAD7-44D8-BBD7-CCE9431645EC}">
                        <a14:shadowObscured xmlns:a14="http://schemas.microsoft.com/office/drawing/2010/main"/>
                      </a:ext>
                    </a:extLst>
                  </pic:spPr>
                </pic:pic>
              </a:graphicData>
            </a:graphic>
          </wp:inline>
        </w:drawing>
      </w:r>
    </w:p>
    <w:p w:rsidR="00426FF2" w:rsidRDefault="00426FF2" w:rsidP="003662CD">
      <w:r>
        <w:t>It can be seen from the above point estimates that the test product has a lower bioavailability than the reference product (11% lower). Statistically this is confirmed in that if wider confidence intervals were calculated they would cross the lower limit of 80.00% before the upper end reached 1. This lower bioavailability is most likely a direct result of the lower extent and rate of dissolution of the test product (see above). There is doubt as to whether the usual limits of 80.00</w:t>
      </w:r>
      <w:r w:rsidR="002B25ED">
        <w:t xml:space="preserve"> to </w:t>
      </w:r>
      <w:r>
        <w:t>125.00% for the 90% confidence intervals should apply to this produc</w:t>
      </w:r>
      <w:r w:rsidR="003662CD">
        <w:t>t but this is a clinical issue.</w:t>
      </w:r>
    </w:p>
    <w:p w:rsidR="00426FF2" w:rsidRPr="003662CD" w:rsidRDefault="003662CD" w:rsidP="003662CD">
      <w:pPr>
        <w:pStyle w:val="Heading4"/>
      </w:pPr>
      <w:r>
        <w:lastRenderedPageBreak/>
        <w:t>Study ARL/11/196</w:t>
      </w:r>
    </w:p>
    <w:p w:rsidR="00426FF2" w:rsidRPr="00733C41" w:rsidRDefault="00426FF2" w:rsidP="003662CD">
      <w:r w:rsidRPr="00757BB1">
        <w:t xml:space="preserve">This study compared three strengths of the test products at a dose of 600 </w:t>
      </w:r>
      <w:r w:rsidR="002B25ED">
        <w:rPr>
          <w:rFonts w:ascii="Times New Roman" w:hAnsi="Times New Roman"/>
        </w:rPr>
        <w:t>µ</w:t>
      </w:r>
      <w:r w:rsidRPr="00757BB1">
        <w:t>g (12 x 50</w:t>
      </w:r>
      <w:r w:rsidR="002B25ED">
        <w:t xml:space="preserve"> </w:t>
      </w:r>
      <w:r w:rsidR="002B25ED">
        <w:rPr>
          <w:rFonts w:ascii="Times New Roman" w:hAnsi="Times New Roman"/>
        </w:rPr>
        <w:t>µ</w:t>
      </w:r>
      <w:r w:rsidRPr="00757BB1">
        <w:t xml:space="preserve">g tablets, 6 x 100 </w:t>
      </w:r>
      <w:r w:rsidR="002B25ED">
        <w:rPr>
          <w:rFonts w:ascii="Times New Roman" w:hAnsi="Times New Roman"/>
        </w:rPr>
        <w:t>µ</w:t>
      </w:r>
      <w:r w:rsidRPr="00757BB1">
        <w:t xml:space="preserve">g tablets and 3 x 200 </w:t>
      </w:r>
      <w:r w:rsidR="002B25ED">
        <w:rPr>
          <w:rFonts w:ascii="Times New Roman" w:hAnsi="Times New Roman"/>
        </w:rPr>
        <w:t>µ</w:t>
      </w:r>
      <w:r w:rsidRPr="00757BB1">
        <w:t xml:space="preserve">g </w:t>
      </w:r>
      <w:r w:rsidRPr="00733C41">
        <w:t>t</w:t>
      </w:r>
      <w:r w:rsidR="003662CD">
        <w:t>ablets).</w:t>
      </w:r>
    </w:p>
    <w:p w:rsidR="00426FF2" w:rsidRPr="00913EA5" w:rsidRDefault="00426FF2" w:rsidP="003662CD">
      <w:r w:rsidRPr="00913EA5">
        <w:t>As for study ARL/11/201, the results for total (bound + free) T4, total (bound + free) T3, free T4 and free T3, were provided for both before and after a baseline correction. However in accordance with the US FDA Guidance, dose proportionality was assessed on the non-baseline-corrected resul</w:t>
      </w:r>
      <w:r w:rsidR="003662CD">
        <w:t>ts for total (bound + free) T4.</w:t>
      </w:r>
    </w:p>
    <w:p w:rsidR="00426FF2" w:rsidRDefault="00426FF2" w:rsidP="00426FF2">
      <w:r w:rsidRPr="00913EA5">
        <w:t>The point estimates and 90% confidence intervals for uncorrected total (bound + free) T4 are given directly below.</w:t>
      </w:r>
    </w:p>
    <w:p w:rsidR="002B25ED" w:rsidRPr="003662CD" w:rsidRDefault="002B25ED" w:rsidP="003662CD">
      <w:pPr>
        <w:pStyle w:val="TableTitle"/>
      </w:pPr>
      <w:proofErr w:type="gramStart"/>
      <w:r>
        <w:t>Table 2.</w:t>
      </w:r>
      <w:proofErr w:type="gramEnd"/>
      <w:r>
        <w:t xml:space="preserve"> Geometric means and 90% confidence interval of baseline uncorrected total (</w:t>
      </w:r>
      <w:proofErr w:type="spellStart"/>
      <w:r>
        <w:t>free+unbound</w:t>
      </w:r>
      <w:proofErr w:type="spellEnd"/>
      <w:r>
        <w:t>) T4 (n=67).</w:t>
      </w:r>
    </w:p>
    <w:p w:rsidR="00426FF2" w:rsidRPr="00733C41" w:rsidRDefault="00426FF2" w:rsidP="003662CD">
      <w:r>
        <w:rPr>
          <w:noProof/>
          <w:lang w:eastAsia="en-AU"/>
        </w:rPr>
        <w:drawing>
          <wp:inline distT="0" distB="0" distL="0" distR="0" wp14:anchorId="687CCA21" wp14:editId="166346EE">
            <wp:extent cx="4067175" cy="1695450"/>
            <wp:effectExtent l="0" t="0" r="0" b="0"/>
            <wp:docPr id="12" name="Picture 12" descr="Table 2. Geometric means and 90% confidence interval of baseline uncorrected total (free+unbound) T4 (n=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67175" cy="1695450"/>
                    </a:xfrm>
                    <a:prstGeom prst="rect">
                      <a:avLst/>
                    </a:prstGeom>
                    <a:noFill/>
                    <a:ln>
                      <a:noFill/>
                    </a:ln>
                  </pic:spPr>
                </pic:pic>
              </a:graphicData>
            </a:graphic>
          </wp:inline>
        </w:drawing>
      </w:r>
    </w:p>
    <w:p w:rsidR="00426FF2" w:rsidRPr="00913EA5" w:rsidRDefault="00426FF2" w:rsidP="003662CD">
      <w:r w:rsidRPr="00913EA5">
        <w:t xml:space="preserve">The point estimates of the three strengths are close to unity and the 90% confidence intervals are </w:t>
      </w:r>
      <w:r>
        <w:t xml:space="preserve">well </w:t>
      </w:r>
      <w:r w:rsidRPr="00913EA5">
        <w:t>within 80.00</w:t>
      </w:r>
      <w:r w:rsidR="002B25ED">
        <w:t xml:space="preserve"> to </w:t>
      </w:r>
      <w:r w:rsidRPr="00913EA5">
        <w:t>125.00</w:t>
      </w:r>
      <w:r>
        <w:t xml:space="preserve"> and in fact within 90.00-111.11%</w:t>
      </w:r>
      <w:r w:rsidRPr="00913EA5">
        <w:t>. It can therefore be concluded that the different strengths give ri</w:t>
      </w:r>
      <w:r w:rsidR="003662CD">
        <w:t>se to the same bioavailability.</w:t>
      </w:r>
    </w:p>
    <w:p w:rsidR="00426FF2" w:rsidRPr="00757BB1" w:rsidRDefault="00426FF2" w:rsidP="003662CD">
      <w:pPr>
        <w:pStyle w:val="Heading4"/>
      </w:pPr>
      <w:r>
        <w:t xml:space="preserve">Justification for </w:t>
      </w:r>
      <w:r w:rsidR="003662CD">
        <w:t>n</w:t>
      </w:r>
      <w:r>
        <w:t xml:space="preserve">ot </w:t>
      </w:r>
      <w:r w:rsidR="003662CD">
        <w:t>p</w:t>
      </w:r>
      <w:r>
        <w:t xml:space="preserve">roviding </w:t>
      </w:r>
      <w:r w:rsidR="003662CD">
        <w:t>b</w:t>
      </w:r>
      <w:r>
        <w:t xml:space="preserve">ioequivalence </w:t>
      </w:r>
      <w:r w:rsidR="003662CD">
        <w:t>d</w:t>
      </w:r>
      <w:r>
        <w:t xml:space="preserve">ata </w:t>
      </w:r>
      <w:r w:rsidR="003662CD">
        <w:t>o</w:t>
      </w:r>
      <w:r>
        <w:t xml:space="preserve">n </w:t>
      </w:r>
      <w:r w:rsidR="003662CD">
        <w:t>a</w:t>
      </w:r>
      <w:r>
        <w:t xml:space="preserve">ll </w:t>
      </w:r>
      <w:r w:rsidR="003662CD">
        <w:t>s</w:t>
      </w:r>
      <w:r>
        <w:t xml:space="preserve">trengths of the </w:t>
      </w:r>
      <w:r w:rsidR="003662CD">
        <w:t>p</w:t>
      </w:r>
      <w:r w:rsidRPr="003662CD">
        <w:t>roposed</w:t>
      </w:r>
      <w:r>
        <w:t xml:space="preserve"> </w:t>
      </w:r>
      <w:r w:rsidR="003662CD">
        <w:t>tablets</w:t>
      </w:r>
    </w:p>
    <w:p w:rsidR="00426FF2" w:rsidRDefault="00426FF2" w:rsidP="003662CD">
      <w:r>
        <w:t>The sponsor provided such a justification. This was acceptable from a pharmaceutical chemistry perspective based on comparative dissolution profiles for all the strengths. The clinical a</w:t>
      </w:r>
      <w:r w:rsidR="003662CD">
        <w:t>spects were not evaluated here.</w:t>
      </w:r>
    </w:p>
    <w:p w:rsidR="008E7846" w:rsidRPr="003662CD" w:rsidRDefault="008E7846" w:rsidP="003662CD">
      <w:pPr>
        <w:pStyle w:val="Heading3"/>
      </w:pPr>
      <w:bookmarkStart w:id="35" w:name="_Toc392595949"/>
      <w:r>
        <w:t>Advisory committee considerations</w:t>
      </w:r>
      <w:bookmarkEnd w:id="34"/>
      <w:bookmarkEnd w:id="35"/>
    </w:p>
    <w:p w:rsidR="00426FF2" w:rsidRPr="00475E7C" w:rsidRDefault="00426FF2" w:rsidP="003662CD">
      <w:bookmarkStart w:id="36" w:name="_Toc247691509"/>
      <w:bookmarkStart w:id="37" w:name="_Toc314842493"/>
      <w:r w:rsidRPr="00475E7C">
        <w:t xml:space="preserve">The advice of </w:t>
      </w:r>
      <w:r w:rsidR="002B25ED">
        <w:t>TGA’s Pharmaceutical Subcommittee (</w:t>
      </w:r>
      <w:r w:rsidRPr="00475E7C">
        <w:t>PSC</w:t>
      </w:r>
      <w:r w:rsidR="002B25ED">
        <w:t>)</w:t>
      </w:r>
      <w:r w:rsidRPr="00475E7C">
        <w:t xml:space="preserve"> </w:t>
      </w:r>
      <w:r w:rsidR="00FD1865">
        <w:t xml:space="preserve">of the Advisory Committee on Prescription Medicines (ACPM) </w:t>
      </w:r>
      <w:r w:rsidRPr="00475E7C">
        <w:t>was not requested.</w:t>
      </w:r>
    </w:p>
    <w:p w:rsidR="008E7846" w:rsidRPr="003662CD" w:rsidRDefault="008E7846" w:rsidP="003662CD">
      <w:pPr>
        <w:pStyle w:val="Heading3"/>
      </w:pPr>
      <w:bookmarkStart w:id="38" w:name="_Toc392595950"/>
      <w:r>
        <w:t>Quality s</w:t>
      </w:r>
      <w:r w:rsidRPr="008751DC">
        <w:t>ummary</w:t>
      </w:r>
      <w:r>
        <w:t xml:space="preserve"> and conclusions</w:t>
      </w:r>
      <w:bookmarkEnd w:id="36"/>
      <w:bookmarkEnd w:id="37"/>
      <w:bookmarkEnd w:id="38"/>
    </w:p>
    <w:p w:rsidR="00426FF2" w:rsidRPr="00F56C8C" w:rsidRDefault="00426FF2" w:rsidP="003662CD">
      <w:r w:rsidRPr="00F56C8C">
        <w:t>Product registration is not recommended from a chem</w:t>
      </w:r>
      <w:r w:rsidR="003662CD">
        <w:t>istry and quality perspective.</w:t>
      </w:r>
    </w:p>
    <w:p w:rsidR="00426FF2" w:rsidRPr="00F56C8C" w:rsidRDefault="00426FF2" w:rsidP="003662CD">
      <w:r w:rsidRPr="00F56C8C">
        <w:t xml:space="preserve">The proposed tablets are manufactured in a manner which leads to lower dissolution relative to the Australian innovator.  Therefore it is important to have a discriminative dissolution test method </w:t>
      </w:r>
      <w:r>
        <w:t>and associated limit. The</w:t>
      </w:r>
      <w:r w:rsidRPr="00F56C8C">
        <w:t xml:space="preserve"> </w:t>
      </w:r>
      <w:r w:rsidR="00FD1865">
        <w:t>sponsor</w:t>
      </w:r>
      <w:r w:rsidRPr="00F56C8C">
        <w:t xml:space="preserve"> has shown that the </w:t>
      </w:r>
      <w:r>
        <w:t xml:space="preserve">method of </w:t>
      </w:r>
      <w:r w:rsidRPr="00F56C8C">
        <w:t xml:space="preserve">USP </w:t>
      </w:r>
      <w:r>
        <w:t>Dissolution Test 1</w:t>
      </w:r>
      <w:r>
        <w:noBreakHyphen/>
        <w:t>3 is</w:t>
      </w:r>
      <w:r w:rsidRPr="00F56C8C">
        <w:t xml:space="preserve"> suitable.  </w:t>
      </w:r>
      <w:r>
        <w:t xml:space="preserve">The </w:t>
      </w:r>
      <w:r w:rsidRPr="00F56C8C">
        <w:t xml:space="preserve">dissolution method being proposed does not appear to discriminate between products that may not be bioequivalent based on </w:t>
      </w:r>
      <w:r w:rsidR="00FD1865">
        <w:t xml:space="preserve">their dissolution profiles. </w:t>
      </w:r>
      <w:r w:rsidRPr="00F56C8C">
        <w:t>This reflects a need to re-examine other aspects of the product development and product specification (</w:t>
      </w:r>
      <w:r w:rsidR="00FD1865">
        <w:t>that is,</w:t>
      </w:r>
      <w:r w:rsidRPr="00F56C8C">
        <w:t xml:space="preserve"> tablet hardness) that may affect the dissolution profile of the product.</w:t>
      </w:r>
    </w:p>
    <w:p w:rsidR="008E7846" w:rsidRDefault="00426FF2" w:rsidP="003662CD">
      <w:r w:rsidRPr="00F56C8C">
        <w:t>Furthermore, the proposed product</w:t>
      </w:r>
      <w:r>
        <w:t>s</w:t>
      </w:r>
      <w:r w:rsidRPr="00F56C8C">
        <w:t xml:space="preserve"> ha</w:t>
      </w:r>
      <w:r>
        <w:t>ve</w:t>
      </w:r>
      <w:r w:rsidRPr="00F56C8C">
        <w:t xml:space="preserve"> lower bioavailability </w:t>
      </w:r>
      <w:r>
        <w:t xml:space="preserve">(11% lower) </w:t>
      </w:r>
      <w:r w:rsidRPr="00F56C8C">
        <w:t xml:space="preserve">compared to the Australian innovator product. </w:t>
      </w:r>
      <w:r w:rsidRPr="00831326">
        <w:t>Therefore if the 90% confidence interval of 80.00</w:t>
      </w:r>
      <w:r w:rsidR="00FD1865" w:rsidRPr="00831326">
        <w:t xml:space="preserve"> to </w:t>
      </w:r>
      <w:r w:rsidRPr="00831326">
        <w:lastRenderedPageBreak/>
        <w:t>125.00 is not acceptable for this product</w:t>
      </w:r>
      <w:r w:rsidR="00FD1865" w:rsidRPr="00831326">
        <w:t xml:space="preserve"> and</w:t>
      </w:r>
      <w:r w:rsidRPr="00831326">
        <w:t xml:space="preserve"> the product cannot be considered a generic version of the registered </w:t>
      </w:r>
      <w:proofErr w:type="spellStart"/>
      <w:r w:rsidRPr="00831326">
        <w:t>Oroxine</w:t>
      </w:r>
      <w:proofErr w:type="spellEnd"/>
      <w:r w:rsidRPr="00831326">
        <w:t>/</w:t>
      </w:r>
      <w:proofErr w:type="spellStart"/>
      <w:r w:rsidR="00F31733" w:rsidRPr="00831326">
        <w:t>Eutroxsig</w:t>
      </w:r>
      <w:proofErr w:type="spellEnd"/>
      <w:r w:rsidRPr="00831326">
        <w:t xml:space="preserve"> tablets</w:t>
      </w:r>
      <w:r w:rsidR="00FD1865" w:rsidRPr="00831326">
        <w:t>.</w:t>
      </w:r>
      <w:r w:rsidR="00FD1865">
        <w:t xml:space="preserve"> Re</w:t>
      </w:r>
      <w:r w:rsidRPr="00F56C8C">
        <w:t>gistration is not recommended unless there are compelling clinical reasons for its approval.</w:t>
      </w:r>
    </w:p>
    <w:p w:rsidR="008E7846" w:rsidRDefault="008E7846" w:rsidP="003662CD">
      <w:pPr>
        <w:pStyle w:val="Heading2"/>
      </w:pPr>
      <w:bookmarkStart w:id="39" w:name="_Toc196046439"/>
      <w:bookmarkStart w:id="40" w:name="_Toc247691510"/>
      <w:bookmarkStart w:id="41" w:name="_Toc314842494"/>
      <w:bookmarkStart w:id="42" w:name="_Toc392595951"/>
      <w:r>
        <w:t>III. Nonclinical</w:t>
      </w:r>
      <w:bookmarkEnd w:id="39"/>
      <w:r>
        <w:t xml:space="preserve"> </w:t>
      </w:r>
      <w:r w:rsidRPr="003662CD">
        <w:t>findings</w:t>
      </w:r>
      <w:bookmarkEnd w:id="40"/>
      <w:bookmarkEnd w:id="41"/>
      <w:bookmarkEnd w:id="42"/>
    </w:p>
    <w:p w:rsidR="00940A89" w:rsidRDefault="00940A89" w:rsidP="003662CD">
      <w:bookmarkStart w:id="43" w:name="_Toc247691511"/>
      <w:bookmarkStart w:id="44" w:name="_Toc314842495"/>
      <w:r>
        <w:t>There was no requirement for a nonclinical evaluation in a submission of this type.</w:t>
      </w:r>
    </w:p>
    <w:p w:rsidR="008E7846" w:rsidRPr="003662CD" w:rsidRDefault="008E7846" w:rsidP="003662CD">
      <w:pPr>
        <w:pStyle w:val="Heading2"/>
      </w:pPr>
      <w:bookmarkStart w:id="45" w:name="_Toc196046462"/>
      <w:bookmarkStart w:id="46" w:name="_Toc247691516"/>
      <w:bookmarkStart w:id="47" w:name="_Toc314842500"/>
      <w:bookmarkStart w:id="48" w:name="_Toc163441353"/>
      <w:bookmarkStart w:id="49" w:name="_Toc163441348"/>
      <w:bookmarkStart w:id="50" w:name="_Toc392595952"/>
      <w:bookmarkEnd w:id="43"/>
      <w:bookmarkEnd w:id="44"/>
      <w:r>
        <w:t xml:space="preserve">IV. </w:t>
      </w:r>
      <w:r w:rsidRPr="00254787">
        <w:t>Clinical</w:t>
      </w:r>
      <w:bookmarkEnd w:id="45"/>
      <w:r>
        <w:t xml:space="preserve"> </w:t>
      </w:r>
      <w:r w:rsidR="003A7F6C">
        <w:t>f</w:t>
      </w:r>
      <w:r>
        <w:t>indings</w:t>
      </w:r>
      <w:bookmarkEnd w:id="46"/>
      <w:bookmarkEnd w:id="47"/>
      <w:bookmarkEnd w:id="50"/>
    </w:p>
    <w:p w:rsidR="00C80137" w:rsidRDefault="00C80137" w:rsidP="003662CD">
      <w:bookmarkStart w:id="51"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rsidR="008E7846" w:rsidRPr="003662CD" w:rsidRDefault="008E7846" w:rsidP="003662CD">
      <w:pPr>
        <w:pStyle w:val="Heading3"/>
      </w:pPr>
      <w:bookmarkStart w:id="52" w:name="_Toc247691517"/>
      <w:bookmarkStart w:id="53" w:name="_Toc314842501"/>
      <w:bookmarkStart w:id="54" w:name="_Toc392595953"/>
      <w:r w:rsidRPr="00254787">
        <w:t>Introduction</w:t>
      </w:r>
      <w:bookmarkEnd w:id="51"/>
      <w:bookmarkEnd w:id="52"/>
      <w:bookmarkEnd w:id="53"/>
      <w:bookmarkEnd w:id="54"/>
    </w:p>
    <w:p w:rsidR="00605AD4" w:rsidRPr="003662CD" w:rsidRDefault="00605AD4" w:rsidP="003662CD">
      <w:pPr>
        <w:pStyle w:val="Heading4"/>
      </w:pPr>
      <w:bookmarkStart w:id="55" w:name="_Toc196046464"/>
      <w:bookmarkStart w:id="56" w:name="_Toc247691518"/>
      <w:bookmarkStart w:id="57" w:name="_Toc314842502"/>
      <w:r w:rsidRPr="00605AD4">
        <w:t xml:space="preserve">Clinical </w:t>
      </w:r>
      <w:r w:rsidR="003662CD">
        <w:t>r</w:t>
      </w:r>
      <w:r w:rsidRPr="00605AD4">
        <w:t>ationale</w:t>
      </w:r>
    </w:p>
    <w:p w:rsidR="00FD1865" w:rsidRDefault="003662CD" w:rsidP="003662CD">
      <w:r>
        <w:t>The sponsor stated:</w:t>
      </w:r>
    </w:p>
    <w:p w:rsidR="00C864BE" w:rsidRPr="003662CD" w:rsidRDefault="00FD1865" w:rsidP="003662CD">
      <w:pPr>
        <w:rPr>
          <w:i/>
        </w:rPr>
      </w:pPr>
      <w:r w:rsidRPr="003662CD">
        <w:rPr>
          <w:i/>
        </w:rPr>
        <w:t>"The aim of this development was to extend an existing drug product comprising two strengths of levothyroxine sodium tablets, namely 50 µg and 100 µg, which are currently commercialised in multiple territories worldwide, to cover a range of 11 strengths. The new range includes 25 µg, 50 µg, 75 µg, 88 µg, 100 µg, 112 µg, 125 µg, 137 µg, 150 mg, 175 µg and 200 µg tablet strengths."</w:t>
      </w:r>
    </w:p>
    <w:p w:rsidR="00605AD4" w:rsidRDefault="00605AD4" w:rsidP="003662CD">
      <w:pPr>
        <w:pStyle w:val="Heading4"/>
      </w:pPr>
      <w:r w:rsidRPr="00605AD4">
        <w:t xml:space="preserve">Contents of the clinical </w:t>
      </w:r>
      <w:r w:rsidRPr="003662CD">
        <w:t>dossier</w:t>
      </w:r>
    </w:p>
    <w:p w:rsidR="00FD1865" w:rsidRDefault="00FD1865" w:rsidP="003662CD">
      <w:r>
        <w:t>The submission contained the following clinical information:</w:t>
      </w:r>
    </w:p>
    <w:p w:rsidR="00FD1865" w:rsidRDefault="00FD1865" w:rsidP="003662CD">
      <w:pPr>
        <w:pStyle w:val="ListBullet"/>
      </w:pPr>
      <w:r>
        <w:t xml:space="preserve">2 clinical pharmacology </w:t>
      </w:r>
      <w:r w:rsidRPr="003662CD">
        <w:t>studies</w:t>
      </w:r>
      <w:r>
        <w:t>, including 2 that provided pharmacokinetic data</w:t>
      </w:r>
      <w:r w:rsidR="009D37CA">
        <w:t>. There were no studies</w:t>
      </w:r>
      <w:r>
        <w:t xml:space="preserve"> provided pharmacodynamic data.</w:t>
      </w:r>
    </w:p>
    <w:p w:rsidR="00FD1865" w:rsidRPr="006A08A1" w:rsidRDefault="00FD1865" w:rsidP="003662CD">
      <w:pPr>
        <w:pStyle w:val="ListBullet"/>
      </w:pPr>
      <w:r>
        <w:t xml:space="preserve">0 population </w:t>
      </w:r>
      <w:r w:rsidRPr="003662CD">
        <w:t>pharmacokinetic</w:t>
      </w:r>
      <w:r>
        <w:t xml:space="preserve"> analyses.</w:t>
      </w:r>
    </w:p>
    <w:p w:rsidR="00FD1865" w:rsidRPr="006A08A1" w:rsidRDefault="00FD1865" w:rsidP="00FD1865">
      <w:pPr>
        <w:pStyle w:val="ListBullet"/>
      </w:pPr>
      <w:r>
        <w:t xml:space="preserve">0 other </w:t>
      </w:r>
      <w:r w:rsidRPr="006A08A1">
        <w:t>efficacy/safety studies.</w:t>
      </w:r>
    </w:p>
    <w:p w:rsidR="00605AD4" w:rsidRPr="003662CD" w:rsidRDefault="00605AD4" w:rsidP="003662CD">
      <w:pPr>
        <w:pStyle w:val="Heading4"/>
      </w:pPr>
      <w:r w:rsidRPr="00605AD4">
        <w:t>Paediatric data</w:t>
      </w:r>
    </w:p>
    <w:p w:rsidR="00C864BE" w:rsidRDefault="00C864BE" w:rsidP="003662CD">
      <w:r>
        <w:t>The submission did not include paediatric data.</w:t>
      </w:r>
    </w:p>
    <w:p w:rsidR="00605AD4" w:rsidRPr="003662CD" w:rsidRDefault="00605AD4" w:rsidP="003662CD">
      <w:pPr>
        <w:pStyle w:val="Heading4"/>
      </w:pPr>
      <w:r w:rsidRPr="00605AD4">
        <w:t>Good clinical practice</w:t>
      </w:r>
      <w:r w:rsidR="00C864BE">
        <w:t xml:space="preserve"> (GCP)</w:t>
      </w:r>
    </w:p>
    <w:p w:rsidR="00C864BE" w:rsidRDefault="00C864BE" w:rsidP="003662CD">
      <w:r>
        <w:t>Compliance with the principles of GCP was asserted for both clinical studies included in the dossier.</w:t>
      </w:r>
    </w:p>
    <w:p w:rsidR="008E7846" w:rsidRPr="003662CD" w:rsidRDefault="008E7846" w:rsidP="003662CD">
      <w:pPr>
        <w:pStyle w:val="Heading3"/>
      </w:pPr>
      <w:bookmarkStart w:id="58" w:name="_Toc392595954"/>
      <w:r w:rsidRPr="00254787">
        <w:t>Pharmacokinetics</w:t>
      </w:r>
      <w:bookmarkEnd w:id="48"/>
      <w:bookmarkEnd w:id="55"/>
      <w:bookmarkEnd w:id="56"/>
      <w:bookmarkEnd w:id="57"/>
      <w:bookmarkEnd w:id="58"/>
    </w:p>
    <w:p w:rsidR="00605AD4" w:rsidRDefault="00605AD4" w:rsidP="003662CD">
      <w:pPr>
        <w:pStyle w:val="Heading4"/>
      </w:pPr>
      <w:r>
        <w:t xml:space="preserve">Studies providing </w:t>
      </w:r>
      <w:r w:rsidRPr="003662CD">
        <w:t>pharmacokinetic</w:t>
      </w:r>
      <w:r w:rsidR="003662CD">
        <w:t xml:space="preserve"> data</w:t>
      </w:r>
    </w:p>
    <w:p w:rsidR="00FD1865" w:rsidRDefault="00FD1865" w:rsidP="003662CD">
      <w:r>
        <w:t xml:space="preserve">Table </w:t>
      </w:r>
      <w:r w:rsidR="000F4A2C">
        <w:t>3</w:t>
      </w:r>
      <w:r>
        <w:t xml:space="preserve"> shows the studies relating to each pharmacokinetic topic and the location of each study summary.</w:t>
      </w:r>
    </w:p>
    <w:p w:rsidR="00FD1865" w:rsidRPr="003662CD" w:rsidRDefault="00FD1865" w:rsidP="003662CD">
      <w:pPr>
        <w:pStyle w:val="TableTitle"/>
      </w:pPr>
      <w:bookmarkStart w:id="59" w:name="_Ref272426277"/>
      <w:bookmarkStart w:id="60" w:name="_Toc361767693"/>
      <w:proofErr w:type="gramStart"/>
      <w:r>
        <w:lastRenderedPageBreak/>
        <w:t>Table</w:t>
      </w:r>
      <w:bookmarkEnd w:id="59"/>
      <w:r w:rsidR="000F4A2C">
        <w:t xml:space="preserve"> 3</w:t>
      </w:r>
      <w:r>
        <w:t>.</w:t>
      </w:r>
      <w:proofErr w:type="gramEnd"/>
      <w:r>
        <w:t xml:space="preserve"> </w:t>
      </w:r>
      <w:proofErr w:type="gramStart"/>
      <w:r>
        <w:t>Submitted pharmacokinetic studies.</w:t>
      </w:r>
      <w:bookmarkEnd w:id="60"/>
      <w:proofErr w:type="gramEnd"/>
    </w:p>
    <w:tbl>
      <w:tblPr>
        <w:tblStyle w:val="TableTGAblue"/>
        <w:tblW w:w="8188" w:type="dxa"/>
        <w:tblLayout w:type="fixed"/>
        <w:tblLook w:val="04A0" w:firstRow="1" w:lastRow="0" w:firstColumn="1" w:lastColumn="0" w:noHBand="0" w:noVBand="1"/>
      </w:tblPr>
      <w:tblGrid>
        <w:gridCol w:w="2235"/>
        <w:gridCol w:w="3118"/>
        <w:gridCol w:w="2126"/>
        <w:gridCol w:w="709"/>
      </w:tblGrid>
      <w:tr w:rsidR="00FD1865" w:rsidTr="00CE52DA">
        <w:trPr>
          <w:cnfStyle w:val="100000000000" w:firstRow="1" w:lastRow="0" w:firstColumn="0" w:lastColumn="0" w:oddVBand="0" w:evenVBand="0" w:oddHBand="0" w:evenHBand="0" w:firstRowFirstColumn="0" w:firstRowLastColumn="0" w:lastRowFirstColumn="0" w:lastRowLastColumn="0"/>
        </w:trPr>
        <w:tc>
          <w:tcPr>
            <w:tcW w:w="2235" w:type="dxa"/>
          </w:tcPr>
          <w:p w:rsidR="00FD1865" w:rsidRPr="008625DD" w:rsidRDefault="00FD1865" w:rsidP="003662CD">
            <w:pPr>
              <w:ind w:left="0" w:right="34"/>
              <w:rPr>
                <w:b w:val="0"/>
              </w:rPr>
            </w:pPr>
            <w:r w:rsidRPr="008625DD">
              <w:t>PK topic</w:t>
            </w:r>
          </w:p>
        </w:tc>
        <w:tc>
          <w:tcPr>
            <w:tcW w:w="3118" w:type="dxa"/>
          </w:tcPr>
          <w:p w:rsidR="00FD1865" w:rsidRPr="008625DD" w:rsidRDefault="00FD1865" w:rsidP="003662CD">
            <w:pPr>
              <w:ind w:left="33" w:right="34"/>
              <w:rPr>
                <w:b w:val="0"/>
              </w:rPr>
            </w:pPr>
            <w:r w:rsidRPr="008625DD">
              <w:t>Subtopic</w:t>
            </w:r>
          </w:p>
        </w:tc>
        <w:tc>
          <w:tcPr>
            <w:tcW w:w="2126" w:type="dxa"/>
          </w:tcPr>
          <w:p w:rsidR="00FD1865" w:rsidRPr="008625DD" w:rsidRDefault="00FD1865" w:rsidP="003662CD">
            <w:pPr>
              <w:ind w:left="34" w:right="33"/>
              <w:rPr>
                <w:b w:val="0"/>
              </w:rPr>
            </w:pPr>
            <w:r w:rsidRPr="008625DD">
              <w:t>Study ID</w:t>
            </w:r>
          </w:p>
        </w:tc>
        <w:tc>
          <w:tcPr>
            <w:tcW w:w="709" w:type="dxa"/>
          </w:tcPr>
          <w:p w:rsidR="00FD1865" w:rsidRPr="008625DD" w:rsidRDefault="00FD1865" w:rsidP="003662CD">
            <w:pPr>
              <w:ind w:left="34" w:right="34"/>
              <w:rPr>
                <w:b w:val="0"/>
              </w:rPr>
            </w:pPr>
            <w:r w:rsidRPr="008625DD">
              <w:t>*</w:t>
            </w:r>
          </w:p>
        </w:tc>
      </w:tr>
      <w:tr w:rsidR="00FD1865" w:rsidTr="00CE52DA">
        <w:tc>
          <w:tcPr>
            <w:tcW w:w="2235" w:type="dxa"/>
            <w:vMerge w:val="restart"/>
          </w:tcPr>
          <w:p w:rsidR="00FD1865" w:rsidRPr="008625DD" w:rsidRDefault="00FD1865" w:rsidP="003662CD">
            <w:pPr>
              <w:ind w:left="0" w:right="34"/>
            </w:pPr>
            <w:r w:rsidRPr="008625DD">
              <w:t>PK in healthy adults</w:t>
            </w:r>
          </w:p>
        </w:tc>
        <w:tc>
          <w:tcPr>
            <w:tcW w:w="3118" w:type="dxa"/>
          </w:tcPr>
          <w:p w:rsidR="00FD1865" w:rsidRPr="000800CC" w:rsidRDefault="00FD1865" w:rsidP="003662CD">
            <w:pPr>
              <w:ind w:left="33" w:right="34"/>
            </w:pPr>
            <w:r w:rsidRPr="000800CC">
              <w:t>General PK</w:t>
            </w:r>
            <w:r w:rsidRPr="000800CC">
              <w:tab/>
              <w:t>- Single dose</w:t>
            </w:r>
          </w:p>
        </w:tc>
        <w:tc>
          <w:tcPr>
            <w:tcW w:w="2126" w:type="dxa"/>
          </w:tcPr>
          <w:p w:rsidR="00FD1865" w:rsidRPr="000800CC" w:rsidRDefault="00FD1865" w:rsidP="003662CD">
            <w:pPr>
              <w:ind w:left="34" w:right="33"/>
            </w:pPr>
            <w:r w:rsidRPr="00BB38E8">
              <w:t>ARL/11/201</w:t>
            </w:r>
          </w:p>
        </w:tc>
        <w:tc>
          <w:tcPr>
            <w:tcW w:w="709" w:type="dxa"/>
          </w:tcPr>
          <w:p w:rsidR="00FD1865" w:rsidRPr="000800CC" w:rsidRDefault="00FD1865" w:rsidP="003662CD">
            <w:pPr>
              <w:ind w:left="34" w:right="34"/>
            </w:pPr>
          </w:p>
        </w:tc>
      </w:tr>
      <w:tr w:rsidR="00FD1865" w:rsidTr="00CE52DA">
        <w:tc>
          <w:tcPr>
            <w:tcW w:w="2235" w:type="dxa"/>
            <w:vMerge/>
          </w:tcPr>
          <w:p w:rsidR="00FD1865" w:rsidRPr="000800CC" w:rsidRDefault="00FD1865" w:rsidP="003662CD">
            <w:pPr>
              <w:ind w:left="0" w:right="34"/>
            </w:pPr>
          </w:p>
        </w:tc>
        <w:tc>
          <w:tcPr>
            <w:tcW w:w="3118" w:type="dxa"/>
          </w:tcPr>
          <w:p w:rsidR="00FD1865" w:rsidRPr="000800CC" w:rsidRDefault="00FD1865" w:rsidP="003662CD">
            <w:pPr>
              <w:ind w:left="33" w:right="34"/>
            </w:pPr>
          </w:p>
        </w:tc>
        <w:tc>
          <w:tcPr>
            <w:tcW w:w="2126" w:type="dxa"/>
          </w:tcPr>
          <w:p w:rsidR="00FD1865" w:rsidRPr="000800CC" w:rsidRDefault="00FD1865" w:rsidP="003662CD">
            <w:pPr>
              <w:ind w:left="34" w:right="33"/>
            </w:pPr>
            <w:r>
              <w:t>ARL/11/196</w:t>
            </w:r>
          </w:p>
        </w:tc>
        <w:tc>
          <w:tcPr>
            <w:tcW w:w="709" w:type="dxa"/>
          </w:tcPr>
          <w:p w:rsidR="00FD1865" w:rsidRPr="000800CC" w:rsidRDefault="00FD1865" w:rsidP="003662CD">
            <w:pPr>
              <w:ind w:left="34" w:right="34"/>
            </w:pPr>
            <w:r>
              <w:t>*</w:t>
            </w:r>
          </w:p>
        </w:tc>
      </w:tr>
      <w:tr w:rsidR="00FD1865" w:rsidTr="00CE52DA">
        <w:tc>
          <w:tcPr>
            <w:tcW w:w="2235" w:type="dxa"/>
            <w:vMerge/>
          </w:tcPr>
          <w:p w:rsidR="00FD1865" w:rsidRPr="000800CC" w:rsidRDefault="00FD1865" w:rsidP="003662CD">
            <w:pPr>
              <w:ind w:left="0" w:right="34"/>
            </w:pPr>
          </w:p>
        </w:tc>
        <w:tc>
          <w:tcPr>
            <w:tcW w:w="3118" w:type="dxa"/>
          </w:tcPr>
          <w:p w:rsidR="00FD1865" w:rsidRPr="000800CC" w:rsidRDefault="003662CD" w:rsidP="003662CD">
            <w:pPr>
              <w:ind w:left="1451" w:right="34" w:hanging="1418"/>
            </w:pPr>
            <w:r>
              <w:tab/>
            </w:r>
            <w:r w:rsidR="00FD1865" w:rsidRPr="000800CC">
              <w:t>- Multi-dose</w:t>
            </w:r>
          </w:p>
        </w:tc>
        <w:tc>
          <w:tcPr>
            <w:tcW w:w="2126" w:type="dxa"/>
          </w:tcPr>
          <w:p w:rsidR="00FD1865" w:rsidRPr="000800CC" w:rsidRDefault="00FD1865" w:rsidP="003662CD">
            <w:pPr>
              <w:ind w:left="34" w:right="33"/>
            </w:pPr>
            <w:r>
              <w:t>No studies</w:t>
            </w:r>
          </w:p>
        </w:tc>
        <w:tc>
          <w:tcPr>
            <w:tcW w:w="709" w:type="dxa"/>
          </w:tcPr>
          <w:p w:rsidR="00FD1865" w:rsidRPr="000800CC" w:rsidRDefault="00FD1865" w:rsidP="003662CD">
            <w:pPr>
              <w:ind w:left="34" w:right="34"/>
            </w:pPr>
          </w:p>
        </w:tc>
      </w:tr>
      <w:tr w:rsidR="00FD1865" w:rsidTr="00CE52DA">
        <w:tc>
          <w:tcPr>
            <w:tcW w:w="2235" w:type="dxa"/>
            <w:vMerge/>
          </w:tcPr>
          <w:p w:rsidR="00FD1865" w:rsidRPr="000800CC" w:rsidRDefault="00FD1865" w:rsidP="003662CD">
            <w:pPr>
              <w:ind w:left="0" w:right="34"/>
            </w:pPr>
          </w:p>
        </w:tc>
        <w:tc>
          <w:tcPr>
            <w:tcW w:w="3118" w:type="dxa"/>
          </w:tcPr>
          <w:p w:rsidR="00FD1865" w:rsidRPr="000800CC" w:rsidRDefault="00FD1865" w:rsidP="003662CD">
            <w:pPr>
              <w:ind w:left="33" w:right="34"/>
            </w:pPr>
            <w:r w:rsidRPr="000800CC">
              <w:t>Bioequivalence† - Single dose</w:t>
            </w:r>
          </w:p>
        </w:tc>
        <w:tc>
          <w:tcPr>
            <w:tcW w:w="2126" w:type="dxa"/>
          </w:tcPr>
          <w:p w:rsidR="00FD1865" w:rsidRPr="000800CC" w:rsidRDefault="00FD1865" w:rsidP="003662CD">
            <w:pPr>
              <w:ind w:left="34" w:right="33"/>
            </w:pPr>
            <w:r w:rsidRPr="00BB38E8">
              <w:t>ARL/11/201</w:t>
            </w:r>
          </w:p>
        </w:tc>
        <w:tc>
          <w:tcPr>
            <w:tcW w:w="709" w:type="dxa"/>
          </w:tcPr>
          <w:p w:rsidR="00FD1865" w:rsidRPr="000800CC" w:rsidRDefault="00FD1865" w:rsidP="003662CD">
            <w:pPr>
              <w:ind w:left="34" w:right="34"/>
            </w:pPr>
            <w:r>
              <w:t>*</w:t>
            </w:r>
          </w:p>
        </w:tc>
      </w:tr>
      <w:tr w:rsidR="00FD1865" w:rsidTr="00CE52DA">
        <w:tc>
          <w:tcPr>
            <w:tcW w:w="2235" w:type="dxa"/>
            <w:vMerge/>
          </w:tcPr>
          <w:p w:rsidR="00FD1865" w:rsidRPr="000800CC" w:rsidRDefault="00FD1865" w:rsidP="003662CD">
            <w:pPr>
              <w:ind w:left="0" w:right="34"/>
            </w:pPr>
          </w:p>
        </w:tc>
        <w:tc>
          <w:tcPr>
            <w:tcW w:w="3118" w:type="dxa"/>
          </w:tcPr>
          <w:p w:rsidR="00FD1865" w:rsidRPr="000800CC" w:rsidRDefault="003662CD" w:rsidP="003662CD">
            <w:pPr>
              <w:ind w:left="1451" w:right="34" w:hanging="1418"/>
            </w:pPr>
            <w:r>
              <w:tab/>
            </w:r>
            <w:r w:rsidR="00FD1865" w:rsidRPr="000800CC">
              <w:t>- Multi-dose</w:t>
            </w:r>
          </w:p>
        </w:tc>
        <w:tc>
          <w:tcPr>
            <w:tcW w:w="2126" w:type="dxa"/>
          </w:tcPr>
          <w:p w:rsidR="00FD1865" w:rsidRPr="000800CC" w:rsidRDefault="00FD1865" w:rsidP="003662CD">
            <w:pPr>
              <w:ind w:left="34" w:right="33"/>
            </w:pPr>
            <w:r>
              <w:t>No studies</w:t>
            </w:r>
          </w:p>
        </w:tc>
        <w:tc>
          <w:tcPr>
            <w:tcW w:w="709" w:type="dxa"/>
          </w:tcPr>
          <w:p w:rsidR="00FD1865" w:rsidRPr="000800CC" w:rsidRDefault="00FD1865" w:rsidP="003662CD">
            <w:pPr>
              <w:ind w:left="34" w:right="34"/>
            </w:pPr>
          </w:p>
        </w:tc>
      </w:tr>
      <w:tr w:rsidR="00FD1865" w:rsidTr="00CE52DA">
        <w:tc>
          <w:tcPr>
            <w:tcW w:w="2235" w:type="dxa"/>
            <w:vMerge/>
          </w:tcPr>
          <w:p w:rsidR="00FD1865" w:rsidRPr="000800CC" w:rsidRDefault="00FD1865" w:rsidP="003662CD">
            <w:pPr>
              <w:ind w:left="0" w:right="34"/>
            </w:pPr>
          </w:p>
        </w:tc>
        <w:tc>
          <w:tcPr>
            <w:tcW w:w="3118" w:type="dxa"/>
          </w:tcPr>
          <w:p w:rsidR="00FD1865" w:rsidRPr="000800CC" w:rsidRDefault="00FD1865" w:rsidP="003662CD">
            <w:pPr>
              <w:ind w:left="33" w:right="34"/>
            </w:pPr>
            <w:r w:rsidRPr="000800CC">
              <w:t>Food effect</w:t>
            </w:r>
          </w:p>
        </w:tc>
        <w:tc>
          <w:tcPr>
            <w:tcW w:w="2126" w:type="dxa"/>
          </w:tcPr>
          <w:p w:rsidR="00FD1865" w:rsidRPr="000800CC" w:rsidRDefault="00FD1865" w:rsidP="003662CD">
            <w:pPr>
              <w:ind w:left="34" w:right="33"/>
            </w:pPr>
            <w:r>
              <w:t>No studies</w:t>
            </w:r>
          </w:p>
        </w:tc>
        <w:tc>
          <w:tcPr>
            <w:tcW w:w="709" w:type="dxa"/>
          </w:tcPr>
          <w:p w:rsidR="00FD1865" w:rsidRPr="000800CC" w:rsidRDefault="00FD1865" w:rsidP="003662CD">
            <w:pPr>
              <w:ind w:left="34" w:right="34"/>
            </w:pPr>
          </w:p>
        </w:tc>
      </w:tr>
      <w:tr w:rsidR="00FD1865" w:rsidTr="00CE52DA">
        <w:tc>
          <w:tcPr>
            <w:tcW w:w="2235" w:type="dxa"/>
            <w:vMerge w:val="restart"/>
          </w:tcPr>
          <w:p w:rsidR="00FD1865" w:rsidRPr="008625DD" w:rsidRDefault="00FD1865" w:rsidP="003662CD">
            <w:pPr>
              <w:ind w:left="0" w:right="34"/>
            </w:pPr>
            <w:r w:rsidRPr="008625DD">
              <w:t>PK in special populations</w:t>
            </w:r>
          </w:p>
        </w:tc>
        <w:tc>
          <w:tcPr>
            <w:tcW w:w="3118" w:type="dxa"/>
          </w:tcPr>
          <w:p w:rsidR="00FD1865" w:rsidRPr="000800CC" w:rsidRDefault="00FD1865" w:rsidP="003662CD">
            <w:pPr>
              <w:ind w:left="33" w:right="34"/>
            </w:pPr>
            <w:r w:rsidRPr="000800CC">
              <w:t>Target population § Single dose</w:t>
            </w:r>
          </w:p>
        </w:tc>
        <w:tc>
          <w:tcPr>
            <w:tcW w:w="2126" w:type="dxa"/>
            <w:vMerge w:val="restart"/>
          </w:tcPr>
          <w:p w:rsidR="00FD1865" w:rsidRPr="000800CC" w:rsidRDefault="00FD1865" w:rsidP="003662CD">
            <w:pPr>
              <w:ind w:left="34" w:right="33"/>
            </w:pPr>
            <w:r>
              <w:t>No studies</w:t>
            </w:r>
          </w:p>
        </w:tc>
        <w:tc>
          <w:tcPr>
            <w:tcW w:w="709" w:type="dxa"/>
          </w:tcPr>
          <w:p w:rsidR="00FD1865" w:rsidRPr="000800CC" w:rsidRDefault="00FD1865" w:rsidP="003662CD">
            <w:pPr>
              <w:ind w:left="34" w:right="34"/>
            </w:pPr>
          </w:p>
        </w:tc>
      </w:tr>
      <w:tr w:rsidR="00FD1865" w:rsidTr="00CE52DA">
        <w:tc>
          <w:tcPr>
            <w:tcW w:w="2235" w:type="dxa"/>
            <w:vMerge/>
          </w:tcPr>
          <w:p w:rsidR="00FD1865" w:rsidRPr="000800CC" w:rsidRDefault="00FD1865" w:rsidP="003662CD">
            <w:pPr>
              <w:ind w:left="0" w:right="34"/>
            </w:pPr>
          </w:p>
        </w:tc>
        <w:tc>
          <w:tcPr>
            <w:tcW w:w="3118" w:type="dxa"/>
          </w:tcPr>
          <w:p w:rsidR="00FD1865" w:rsidRPr="000800CC" w:rsidRDefault="00FD1865" w:rsidP="003662CD">
            <w:pPr>
              <w:ind w:left="1451" w:right="34" w:hanging="1418"/>
            </w:pPr>
            <w:r w:rsidRPr="000800CC">
              <w:tab/>
              <w:t>- Multi-dose</w:t>
            </w:r>
          </w:p>
        </w:tc>
        <w:tc>
          <w:tcPr>
            <w:tcW w:w="2126" w:type="dxa"/>
            <w:vMerge/>
          </w:tcPr>
          <w:p w:rsidR="00FD1865" w:rsidRPr="000800CC" w:rsidRDefault="00FD1865" w:rsidP="003662CD">
            <w:pPr>
              <w:ind w:left="34" w:right="33"/>
            </w:pPr>
          </w:p>
        </w:tc>
        <w:tc>
          <w:tcPr>
            <w:tcW w:w="709" w:type="dxa"/>
            <w:vMerge w:val="restart"/>
          </w:tcPr>
          <w:p w:rsidR="00FD1865" w:rsidRPr="000800CC" w:rsidRDefault="00FD1865" w:rsidP="003662CD">
            <w:pPr>
              <w:ind w:left="34" w:right="34"/>
            </w:pPr>
          </w:p>
        </w:tc>
      </w:tr>
      <w:tr w:rsidR="00FD1865" w:rsidTr="00CE52DA">
        <w:tc>
          <w:tcPr>
            <w:tcW w:w="2235" w:type="dxa"/>
            <w:vMerge/>
          </w:tcPr>
          <w:p w:rsidR="00FD1865" w:rsidRPr="000800CC" w:rsidRDefault="00FD1865" w:rsidP="003662CD">
            <w:pPr>
              <w:ind w:left="0" w:right="34"/>
            </w:pPr>
          </w:p>
        </w:tc>
        <w:tc>
          <w:tcPr>
            <w:tcW w:w="3118" w:type="dxa"/>
          </w:tcPr>
          <w:p w:rsidR="00FD1865" w:rsidRPr="000800CC" w:rsidRDefault="00FD1865" w:rsidP="003662CD">
            <w:pPr>
              <w:ind w:left="33" w:right="34"/>
            </w:pPr>
            <w:r w:rsidRPr="000800CC">
              <w:t>Hepatic impairment</w:t>
            </w:r>
          </w:p>
        </w:tc>
        <w:tc>
          <w:tcPr>
            <w:tcW w:w="2126" w:type="dxa"/>
            <w:vMerge/>
          </w:tcPr>
          <w:p w:rsidR="00FD1865" w:rsidRPr="000800CC" w:rsidRDefault="00FD1865" w:rsidP="003662CD">
            <w:pPr>
              <w:ind w:left="34" w:right="33"/>
            </w:pPr>
          </w:p>
        </w:tc>
        <w:tc>
          <w:tcPr>
            <w:tcW w:w="709" w:type="dxa"/>
            <w:vMerge/>
          </w:tcPr>
          <w:p w:rsidR="00FD1865" w:rsidRPr="000800CC" w:rsidRDefault="00FD1865" w:rsidP="003662CD">
            <w:pPr>
              <w:ind w:left="34" w:right="34"/>
            </w:pPr>
          </w:p>
        </w:tc>
      </w:tr>
      <w:tr w:rsidR="00FD1865" w:rsidTr="00CE52DA">
        <w:tc>
          <w:tcPr>
            <w:tcW w:w="2235" w:type="dxa"/>
            <w:vMerge/>
          </w:tcPr>
          <w:p w:rsidR="00FD1865" w:rsidRPr="000800CC" w:rsidRDefault="00FD1865" w:rsidP="003662CD">
            <w:pPr>
              <w:ind w:left="0" w:right="34"/>
            </w:pPr>
          </w:p>
        </w:tc>
        <w:tc>
          <w:tcPr>
            <w:tcW w:w="3118" w:type="dxa"/>
          </w:tcPr>
          <w:p w:rsidR="00FD1865" w:rsidRPr="000800CC" w:rsidRDefault="00FD1865" w:rsidP="003662CD">
            <w:pPr>
              <w:ind w:left="33" w:right="34"/>
            </w:pPr>
            <w:r w:rsidRPr="000800CC">
              <w:t>Renal impairment</w:t>
            </w:r>
          </w:p>
        </w:tc>
        <w:tc>
          <w:tcPr>
            <w:tcW w:w="2126" w:type="dxa"/>
            <w:vMerge/>
          </w:tcPr>
          <w:p w:rsidR="00FD1865" w:rsidRPr="000800CC" w:rsidRDefault="00FD1865" w:rsidP="003662CD">
            <w:pPr>
              <w:ind w:left="34" w:right="33"/>
            </w:pPr>
          </w:p>
        </w:tc>
        <w:tc>
          <w:tcPr>
            <w:tcW w:w="709" w:type="dxa"/>
            <w:vMerge/>
          </w:tcPr>
          <w:p w:rsidR="00FD1865" w:rsidRPr="000800CC" w:rsidRDefault="00FD1865" w:rsidP="003662CD">
            <w:pPr>
              <w:ind w:left="34" w:right="34"/>
            </w:pPr>
          </w:p>
        </w:tc>
      </w:tr>
      <w:tr w:rsidR="00FD1865" w:rsidTr="00CE52DA">
        <w:tc>
          <w:tcPr>
            <w:tcW w:w="2235" w:type="dxa"/>
            <w:vMerge/>
          </w:tcPr>
          <w:p w:rsidR="00FD1865" w:rsidRPr="000800CC" w:rsidRDefault="00FD1865" w:rsidP="003662CD">
            <w:pPr>
              <w:ind w:left="0" w:right="34"/>
            </w:pPr>
          </w:p>
        </w:tc>
        <w:tc>
          <w:tcPr>
            <w:tcW w:w="3118" w:type="dxa"/>
          </w:tcPr>
          <w:p w:rsidR="00FD1865" w:rsidRPr="000800CC" w:rsidRDefault="00FD1865" w:rsidP="003662CD">
            <w:pPr>
              <w:ind w:left="33" w:right="34"/>
            </w:pPr>
            <w:r>
              <w:t>Neonates/infants/children/adolescents</w:t>
            </w:r>
          </w:p>
        </w:tc>
        <w:tc>
          <w:tcPr>
            <w:tcW w:w="2126" w:type="dxa"/>
            <w:vMerge/>
          </w:tcPr>
          <w:p w:rsidR="00FD1865" w:rsidRPr="000800CC" w:rsidRDefault="00FD1865" w:rsidP="003662CD">
            <w:pPr>
              <w:ind w:left="34" w:right="33"/>
            </w:pPr>
          </w:p>
        </w:tc>
        <w:tc>
          <w:tcPr>
            <w:tcW w:w="709" w:type="dxa"/>
            <w:vMerge/>
          </w:tcPr>
          <w:p w:rsidR="00FD1865" w:rsidRPr="000800CC" w:rsidRDefault="00FD1865" w:rsidP="003662CD">
            <w:pPr>
              <w:ind w:left="34" w:right="34"/>
            </w:pPr>
          </w:p>
        </w:tc>
      </w:tr>
      <w:tr w:rsidR="00FD1865" w:rsidTr="00CE52DA">
        <w:tc>
          <w:tcPr>
            <w:tcW w:w="2235" w:type="dxa"/>
            <w:vMerge/>
          </w:tcPr>
          <w:p w:rsidR="00FD1865" w:rsidRPr="000800CC" w:rsidRDefault="00FD1865" w:rsidP="003662CD">
            <w:pPr>
              <w:ind w:left="0" w:right="34"/>
            </w:pPr>
          </w:p>
        </w:tc>
        <w:tc>
          <w:tcPr>
            <w:tcW w:w="3118" w:type="dxa"/>
          </w:tcPr>
          <w:p w:rsidR="00FD1865" w:rsidRPr="000800CC" w:rsidRDefault="00FD1865" w:rsidP="003662CD">
            <w:pPr>
              <w:ind w:left="33" w:right="34"/>
            </w:pPr>
            <w:r w:rsidRPr="000800CC">
              <w:t>Elderly</w:t>
            </w:r>
          </w:p>
        </w:tc>
        <w:tc>
          <w:tcPr>
            <w:tcW w:w="2126" w:type="dxa"/>
            <w:vMerge/>
          </w:tcPr>
          <w:p w:rsidR="00FD1865" w:rsidRPr="000800CC" w:rsidRDefault="00FD1865" w:rsidP="003662CD">
            <w:pPr>
              <w:ind w:left="34" w:right="33"/>
            </w:pPr>
          </w:p>
        </w:tc>
        <w:tc>
          <w:tcPr>
            <w:tcW w:w="709" w:type="dxa"/>
            <w:vMerge/>
          </w:tcPr>
          <w:p w:rsidR="00FD1865" w:rsidRPr="000800CC" w:rsidRDefault="00FD1865" w:rsidP="003662CD">
            <w:pPr>
              <w:ind w:left="34" w:right="34"/>
            </w:pPr>
          </w:p>
        </w:tc>
      </w:tr>
      <w:tr w:rsidR="00FD1865" w:rsidTr="00CE52DA">
        <w:tc>
          <w:tcPr>
            <w:tcW w:w="2235" w:type="dxa"/>
            <w:vMerge w:val="restart"/>
          </w:tcPr>
          <w:p w:rsidR="00FD1865" w:rsidRPr="008625DD" w:rsidRDefault="00FD1865" w:rsidP="003662CD">
            <w:pPr>
              <w:ind w:left="0" w:right="34"/>
            </w:pPr>
            <w:r w:rsidRPr="008625DD">
              <w:t>Genetic/gender-related PK</w:t>
            </w:r>
          </w:p>
        </w:tc>
        <w:tc>
          <w:tcPr>
            <w:tcW w:w="3118" w:type="dxa"/>
          </w:tcPr>
          <w:p w:rsidR="00FD1865" w:rsidRPr="000800CC" w:rsidRDefault="00FD1865" w:rsidP="003662CD">
            <w:pPr>
              <w:ind w:left="33" w:right="34"/>
            </w:pPr>
            <w:r w:rsidRPr="000800CC">
              <w:t>Males vs. females</w:t>
            </w:r>
          </w:p>
        </w:tc>
        <w:tc>
          <w:tcPr>
            <w:tcW w:w="2126" w:type="dxa"/>
            <w:vMerge w:val="restart"/>
          </w:tcPr>
          <w:p w:rsidR="00FD1865" w:rsidRPr="000800CC" w:rsidRDefault="00FD1865" w:rsidP="003662CD">
            <w:pPr>
              <w:ind w:left="34" w:right="33"/>
            </w:pPr>
            <w:r>
              <w:t>No studies</w:t>
            </w:r>
          </w:p>
        </w:tc>
        <w:tc>
          <w:tcPr>
            <w:tcW w:w="709" w:type="dxa"/>
            <w:vMerge w:val="restart"/>
          </w:tcPr>
          <w:p w:rsidR="00FD1865" w:rsidRPr="000800CC" w:rsidRDefault="00FD1865" w:rsidP="003662CD">
            <w:pPr>
              <w:ind w:left="34" w:right="34"/>
            </w:pPr>
          </w:p>
        </w:tc>
      </w:tr>
      <w:tr w:rsidR="00FD1865" w:rsidTr="00CE52DA">
        <w:tc>
          <w:tcPr>
            <w:tcW w:w="2235" w:type="dxa"/>
            <w:vMerge/>
          </w:tcPr>
          <w:p w:rsidR="00FD1865" w:rsidRPr="000800CC" w:rsidRDefault="00FD1865" w:rsidP="003662CD">
            <w:pPr>
              <w:ind w:left="0" w:right="34"/>
            </w:pPr>
          </w:p>
        </w:tc>
        <w:tc>
          <w:tcPr>
            <w:tcW w:w="3118" w:type="dxa"/>
          </w:tcPr>
          <w:p w:rsidR="00FD1865" w:rsidRPr="000800CC" w:rsidRDefault="00FD1865" w:rsidP="003662CD">
            <w:pPr>
              <w:ind w:left="33" w:right="34"/>
            </w:pPr>
          </w:p>
        </w:tc>
        <w:tc>
          <w:tcPr>
            <w:tcW w:w="2126" w:type="dxa"/>
            <w:vMerge/>
          </w:tcPr>
          <w:p w:rsidR="00FD1865" w:rsidRPr="000800CC" w:rsidRDefault="00FD1865" w:rsidP="003662CD">
            <w:pPr>
              <w:ind w:left="34" w:right="33"/>
            </w:pPr>
          </w:p>
        </w:tc>
        <w:tc>
          <w:tcPr>
            <w:tcW w:w="709" w:type="dxa"/>
            <w:vMerge/>
          </w:tcPr>
          <w:p w:rsidR="00FD1865" w:rsidRPr="000800CC" w:rsidRDefault="00FD1865" w:rsidP="003662CD">
            <w:pPr>
              <w:ind w:left="34" w:right="34"/>
            </w:pPr>
          </w:p>
        </w:tc>
      </w:tr>
      <w:tr w:rsidR="00FD1865" w:rsidTr="00CE52DA">
        <w:tc>
          <w:tcPr>
            <w:tcW w:w="2235" w:type="dxa"/>
          </w:tcPr>
          <w:p w:rsidR="00FD1865" w:rsidRPr="008625DD" w:rsidRDefault="00FD1865" w:rsidP="003662CD">
            <w:pPr>
              <w:ind w:left="0" w:right="34"/>
            </w:pPr>
            <w:r w:rsidRPr="008625DD">
              <w:t>PK interactions</w:t>
            </w:r>
          </w:p>
        </w:tc>
        <w:tc>
          <w:tcPr>
            <w:tcW w:w="3118" w:type="dxa"/>
          </w:tcPr>
          <w:p w:rsidR="00FD1865" w:rsidRPr="000800CC" w:rsidRDefault="00FD1865" w:rsidP="003662CD">
            <w:pPr>
              <w:ind w:left="33" w:right="34"/>
            </w:pPr>
          </w:p>
        </w:tc>
        <w:tc>
          <w:tcPr>
            <w:tcW w:w="2126" w:type="dxa"/>
          </w:tcPr>
          <w:p w:rsidR="00FD1865" w:rsidRPr="000800CC" w:rsidRDefault="00FD1865" w:rsidP="003662CD">
            <w:pPr>
              <w:ind w:left="34" w:right="33"/>
            </w:pPr>
            <w:r>
              <w:t>No studies</w:t>
            </w:r>
          </w:p>
        </w:tc>
        <w:tc>
          <w:tcPr>
            <w:tcW w:w="709" w:type="dxa"/>
          </w:tcPr>
          <w:p w:rsidR="00FD1865" w:rsidRPr="000800CC" w:rsidRDefault="00FD1865" w:rsidP="003662CD">
            <w:pPr>
              <w:ind w:left="34" w:right="34"/>
            </w:pPr>
          </w:p>
        </w:tc>
      </w:tr>
      <w:tr w:rsidR="00FD1865" w:rsidTr="00CE52DA">
        <w:tc>
          <w:tcPr>
            <w:tcW w:w="2235" w:type="dxa"/>
            <w:vMerge w:val="restart"/>
          </w:tcPr>
          <w:p w:rsidR="00FD1865" w:rsidRPr="008625DD" w:rsidRDefault="00FD1865" w:rsidP="003662CD">
            <w:pPr>
              <w:ind w:left="0" w:right="34"/>
            </w:pPr>
            <w:r w:rsidRPr="008625DD">
              <w:t>Population PK analyses</w:t>
            </w:r>
          </w:p>
        </w:tc>
        <w:tc>
          <w:tcPr>
            <w:tcW w:w="3118" w:type="dxa"/>
          </w:tcPr>
          <w:p w:rsidR="00FD1865" w:rsidRPr="000800CC" w:rsidRDefault="00FD1865" w:rsidP="003662CD">
            <w:pPr>
              <w:ind w:left="33" w:right="34"/>
            </w:pPr>
            <w:r w:rsidRPr="000800CC">
              <w:t>Healthy subjects</w:t>
            </w:r>
          </w:p>
        </w:tc>
        <w:tc>
          <w:tcPr>
            <w:tcW w:w="2126" w:type="dxa"/>
            <w:vMerge w:val="restart"/>
          </w:tcPr>
          <w:p w:rsidR="00FD1865" w:rsidRPr="000800CC" w:rsidRDefault="00FD1865" w:rsidP="003662CD">
            <w:pPr>
              <w:ind w:left="34" w:right="33"/>
            </w:pPr>
            <w:r>
              <w:t>No studies</w:t>
            </w:r>
          </w:p>
        </w:tc>
        <w:tc>
          <w:tcPr>
            <w:tcW w:w="709" w:type="dxa"/>
            <w:vMerge w:val="restart"/>
          </w:tcPr>
          <w:p w:rsidR="00FD1865" w:rsidRPr="000800CC" w:rsidRDefault="00FD1865" w:rsidP="003662CD">
            <w:pPr>
              <w:ind w:left="34" w:right="34"/>
            </w:pPr>
          </w:p>
        </w:tc>
      </w:tr>
      <w:tr w:rsidR="00FD1865" w:rsidTr="00CE52DA">
        <w:tc>
          <w:tcPr>
            <w:tcW w:w="2235" w:type="dxa"/>
            <w:vMerge/>
          </w:tcPr>
          <w:p w:rsidR="00FD1865" w:rsidRPr="000800CC" w:rsidRDefault="00FD1865" w:rsidP="003662CD">
            <w:pPr>
              <w:ind w:left="0" w:right="34"/>
            </w:pPr>
          </w:p>
        </w:tc>
        <w:tc>
          <w:tcPr>
            <w:tcW w:w="3118" w:type="dxa"/>
          </w:tcPr>
          <w:p w:rsidR="00FD1865" w:rsidRPr="000800CC" w:rsidRDefault="00FD1865" w:rsidP="003662CD">
            <w:pPr>
              <w:ind w:left="33" w:right="34"/>
            </w:pPr>
            <w:r w:rsidRPr="000800CC">
              <w:t>Target population</w:t>
            </w:r>
          </w:p>
        </w:tc>
        <w:tc>
          <w:tcPr>
            <w:tcW w:w="2126" w:type="dxa"/>
            <w:vMerge/>
          </w:tcPr>
          <w:p w:rsidR="00FD1865" w:rsidRPr="000800CC" w:rsidRDefault="00FD1865" w:rsidP="003662CD">
            <w:pPr>
              <w:ind w:left="34" w:right="33"/>
            </w:pPr>
          </w:p>
        </w:tc>
        <w:tc>
          <w:tcPr>
            <w:tcW w:w="709" w:type="dxa"/>
            <w:vMerge/>
          </w:tcPr>
          <w:p w:rsidR="00FD1865" w:rsidRPr="000800CC" w:rsidRDefault="00FD1865" w:rsidP="003662CD">
            <w:pPr>
              <w:ind w:left="34" w:right="34"/>
            </w:pPr>
          </w:p>
        </w:tc>
      </w:tr>
      <w:tr w:rsidR="00FD1865" w:rsidTr="00CE52DA">
        <w:tc>
          <w:tcPr>
            <w:tcW w:w="2235" w:type="dxa"/>
            <w:vMerge/>
          </w:tcPr>
          <w:p w:rsidR="00FD1865" w:rsidRPr="000800CC" w:rsidRDefault="00FD1865" w:rsidP="003662CD">
            <w:pPr>
              <w:ind w:left="0" w:right="34"/>
            </w:pPr>
          </w:p>
        </w:tc>
        <w:tc>
          <w:tcPr>
            <w:tcW w:w="3118" w:type="dxa"/>
          </w:tcPr>
          <w:p w:rsidR="00FD1865" w:rsidRPr="000800CC" w:rsidRDefault="00FD1865" w:rsidP="003662CD">
            <w:pPr>
              <w:ind w:left="33" w:right="34"/>
            </w:pPr>
            <w:r w:rsidRPr="000800CC">
              <w:t>Other</w:t>
            </w:r>
          </w:p>
        </w:tc>
        <w:tc>
          <w:tcPr>
            <w:tcW w:w="2126" w:type="dxa"/>
            <w:vMerge/>
          </w:tcPr>
          <w:p w:rsidR="00FD1865" w:rsidRPr="000800CC" w:rsidRDefault="00FD1865" w:rsidP="003662CD">
            <w:pPr>
              <w:ind w:left="34" w:right="33"/>
            </w:pPr>
          </w:p>
        </w:tc>
        <w:tc>
          <w:tcPr>
            <w:tcW w:w="709" w:type="dxa"/>
            <w:vMerge/>
          </w:tcPr>
          <w:p w:rsidR="00FD1865" w:rsidRPr="000800CC" w:rsidRDefault="00FD1865" w:rsidP="003662CD">
            <w:pPr>
              <w:ind w:left="34" w:right="34"/>
            </w:pPr>
          </w:p>
        </w:tc>
      </w:tr>
    </w:tbl>
    <w:p w:rsidR="00FD1865" w:rsidRDefault="00FD1865" w:rsidP="003662CD">
      <w:pPr>
        <w:pStyle w:val="TableDescription"/>
      </w:pPr>
      <w:r>
        <w:t xml:space="preserve">* Indicates the primary aim of the study. </w:t>
      </w:r>
      <w:r w:rsidRPr="00AF6927">
        <w:t>†</w:t>
      </w:r>
      <w:r>
        <w:t xml:space="preserve"> Bioequivalence of different formulations. </w:t>
      </w:r>
      <w:r w:rsidRPr="00BF3808">
        <w:t>§</w:t>
      </w:r>
      <w:r>
        <w:t xml:space="preserve"> Subjects who would be eligible to receive the drug if approved for the proposed indication.</w:t>
      </w:r>
    </w:p>
    <w:p w:rsidR="00FD1865" w:rsidRDefault="00FD1865" w:rsidP="003662CD">
      <w:r>
        <w:fldChar w:fldCharType="begin"/>
      </w:r>
      <w:r>
        <w:instrText xml:space="preserve"> REF _Ref271031346 \h </w:instrText>
      </w:r>
      <w:r>
        <w:fldChar w:fldCharType="separate"/>
      </w:r>
      <w:r w:rsidR="000842E1">
        <w:t>Table</w:t>
      </w:r>
      <w:r>
        <w:fldChar w:fldCharType="end"/>
      </w:r>
      <w:r w:rsidR="000F4A2C">
        <w:t>4</w:t>
      </w:r>
      <w:r>
        <w:t xml:space="preserve"> lists pharmacokinetic results that were excluded from considera</w:t>
      </w:r>
      <w:r w:rsidR="003662CD">
        <w:t>tion due to study deficiencies.</w:t>
      </w:r>
    </w:p>
    <w:p w:rsidR="00FD1865" w:rsidRDefault="00FD1865" w:rsidP="003662CD">
      <w:pPr>
        <w:pStyle w:val="TableTitle"/>
      </w:pPr>
      <w:bookmarkStart w:id="61" w:name="_Ref271031346"/>
      <w:bookmarkStart w:id="62" w:name="_Toc361767694"/>
      <w:proofErr w:type="gramStart"/>
      <w:r>
        <w:t>Table</w:t>
      </w:r>
      <w:bookmarkEnd w:id="61"/>
      <w:r w:rsidR="000F4A2C">
        <w:t xml:space="preserve"> 4</w:t>
      </w:r>
      <w:r>
        <w:t>.</w:t>
      </w:r>
      <w:proofErr w:type="gramEnd"/>
      <w:r>
        <w:t xml:space="preserve"> Pharmacokinetic results excluded from consideration.</w:t>
      </w:r>
      <w:bookmarkEnd w:id="62"/>
    </w:p>
    <w:tbl>
      <w:tblPr>
        <w:tblStyle w:val="TableTGAblue"/>
        <w:tblW w:w="7905" w:type="dxa"/>
        <w:tblLayout w:type="fixed"/>
        <w:tblLook w:val="04A0" w:firstRow="1" w:lastRow="0" w:firstColumn="1" w:lastColumn="0" w:noHBand="0" w:noVBand="1"/>
      </w:tblPr>
      <w:tblGrid>
        <w:gridCol w:w="1809"/>
        <w:gridCol w:w="3261"/>
        <w:gridCol w:w="2835"/>
      </w:tblGrid>
      <w:tr w:rsidR="00FD1865" w:rsidTr="00FD1865">
        <w:trPr>
          <w:cnfStyle w:val="100000000000" w:firstRow="1" w:lastRow="0" w:firstColumn="0" w:lastColumn="0" w:oddVBand="0" w:evenVBand="0" w:oddHBand="0" w:evenHBand="0" w:firstRowFirstColumn="0" w:firstRowLastColumn="0" w:lastRowFirstColumn="0" w:lastRowLastColumn="0"/>
        </w:trPr>
        <w:tc>
          <w:tcPr>
            <w:tcW w:w="1809" w:type="dxa"/>
          </w:tcPr>
          <w:p w:rsidR="00FD1865" w:rsidRPr="000800CC" w:rsidRDefault="00FD1865" w:rsidP="003662CD">
            <w:pPr>
              <w:ind w:left="0"/>
              <w:rPr>
                <w:b w:val="0"/>
              </w:rPr>
            </w:pPr>
            <w:r w:rsidRPr="000800CC">
              <w:t>Study ID</w:t>
            </w:r>
          </w:p>
        </w:tc>
        <w:tc>
          <w:tcPr>
            <w:tcW w:w="3261" w:type="dxa"/>
          </w:tcPr>
          <w:p w:rsidR="00FD1865" w:rsidRPr="000800CC" w:rsidRDefault="00FD1865" w:rsidP="003662CD">
            <w:pPr>
              <w:ind w:left="34"/>
              <w:rPr>
                <w:b w:val="0"/>
              </w:rPr>
            </w:pPr>
            <w:r>
              <w:t>Subtopic(s)</w:t>
            </w:r>
          </w:p>
        </w:tc>
        <w:tc>
          <w:tcPr>
            <w:tcW w:w="2835" w:type="dxa"/>
          </w:tcPr>
          <w:p w:rsidR="00FD1865" w:rsidRPr="000800CC" w:rsidRDefault="00FD1865" w:rsidP="003662CD">
            <w:pPr>
              <w:ind w:left="33"/>
              <w:rPr>
                <w:b w:val="0"/>
              </w:rPr>
            </w:pPr>
            <w:r>
              <w:t>PK results excluded</w:t>
            </w:r>
          </w:p>
        </w:tc>
      </w:tr>
      <w:tr w:rsidR="00FD1865" w:rsidTr="00FD1865">
        <w:tc>
          <w:tcPr>
            <w:tcW w:w="1809" w:type="dxa"/>
          </w:tcPr>
          <w:p w:rsidR="00FD1865" w:rsidRPr="000800CC" w:rsidRDefault="00FD1865" w:rsidP="003662CD">
            <w:pPr>
              <w:ind w:left="0"/>
            </w:pPr>
            <w:r w:rsidRPr="00BB38E8">
              <w:t>ARL/11/201</w:t>
            </w:r>
          </w:p>
        </w:tc>
        <w:tc>
          <w:tcPr>
            <w:tcW w:w="3261" w:type="dxa"/>
          </w:tcPr>
          <w:p w:rsidR="00FD1865" w:rsidRPr="000800CC" w:rsidRDefault="00FD1865" w:rsidP="003662CD">
            <w:pPr>
              <w:ind w:left="34"/>
            </w:pPr>
            <w:r>
              <w:t>Bioequivalence</w:t>
            </w:r>
          </w:p>
        </w:tc>
        <w:tc>
          <w:tcPr>
            <w:tcW w:w="2835" w:type="dxa"/>
          </w:tcPr>
          <w:p w:rsidR="00FD1865" w:rsidRPr="000800CC" w:rsidRDefault="00FD1865" w:rsidP="003662CD">
            <w:pPr>
              <w:ind w:left="33"/>
            </w:pPr>
            <w:r>
              <w:t>All</w:t>
            </w:r>
          </w:p>
        </w:tc>
      </w:tr>
      <w:tr w:rsidR="00FD1865" w:rsidTr="00FD1865">
        <w:tc>
          <w:tcPr>
            <w:tcW w:w="1809" w:type="dxa"/>
          </w:tcPr>
          <w:p w:rsidR="00FD1865" w:rsidRPr="000800CC" w:rsidRDefault="00FD1865" w:rsidP="003662CD">
            <w:pPr>
              <w:ind w:left="0"/>
            </w:pPr>
            <w:r w:rsidRPr="008069AF">
              <w:t>ARL/11/196</w:t>
            </w:r>
          </w:p>
        </w:tc>
        <w:tc>
          <w:tcPr>
            <w:tcW w:w="3261" w:type="dxa"/>
          </w:tcPr>
          <w:p w:rsidR="00FD1865" w:rsidRPr="000800CC" w:rsidRDefault="00FD1865" w:rsidP="003662CD">
            <w:pPr>
              <w:ind w:left="34"/>
            </w:pPr>
            <w:r>
              <w:t>General PK</w:t>
            </w:r>
          </w:p>
        </w:tc>
        <w:tc>
          <w:tcPr>
            <w:tcW w:w="2835" w:type="dxa"/>
          </w:tcPr>
          <w:p w:rsidR="00FD1865" w:rsidRPr="000800CC" w:rsidRDefault="00FD1865" w:rsidP="003662CD">
            <w:pPr>
              <w:ind w:left="33"/>
            </w:pPr>
            <w:r>
              <w:t>All</w:t>
            </w:r>
          </w:p>
        </w:tc>
      </w:tr>
    </w:tbl>
    <w:p w:rsidR="00605AD4" w:rsidRDefault="00605AD4" w:rsidP="003662CD">
      <w:pPr>
        <w:pStyle w:val="Heading4"/>
      </w:pPr>
      <w:r>
        <w:lastRenderedPageBreak/>
        <w:t xml:space="preserve">Evaluator’s conclusions on </w:t>
      </w:r>
      <w:r w:rsidRPr="003662CD">
        <w:t>pharmacokinetics</w:t>
      </w:r>
    </w:p>
    <w:p w:rsidR="00FD1865" w:rsidRPr="00831326" w:rsidRDefault="00FD1865" w:rsidP="003662CD">
      <w:r>
        <w:t xml:space="preserve">In relation to the single bioequivalence study submitted (no. ARL/11/201), </w:t>
      </w:r>
      <w:r w:rsidRPr="00831326">
        <w:t>adequate justification was not submitted for</w:t>
      </w:r>
      <w:r w:rsidR="00A13F6C" w:rsidRPr="00831326">
        <w:t>;</w:t>
      </w:r>
    </w:p>
    <w:p w:rsidR="00FD1865" w:rsidRPr="00831326" w:rsidRDefault="00FD1865" w:rsidP="003662CD">
      <w:pPr>
        <w:pStyle w:val="ListBullet"/>
      </w:pPr>
      <w:r w:rsidRPr="00831326">
        <w:t>studying only the 200 µg strength tablet, or</w:t>
      </w:r>
    </w:p>
    <w:p w:rsidR="00FD1865" w:rsidRPr="00831326" w:rsidRDefault="00FD1865" w:rsidP="003662CD">
      <w:pPr>
        <w:pStyle w:val="ListBullet"/>
      </w:pPr>
      <w:proofErr w:type="gramStart"/>
      <w:r w:rsidRPr="00831326">
        <w:t>the</w:t>
      </w:r>
      <w:proofErr w:type="gramEnd"/>
      <w:r w:rsidRPr="00831326">
        <w:t xml:space="preserve"> dosage (600 µg) used in the study of the 200 µg strength tablet.</w:t>
      </w:r>
    </w:p>
    <w:p w:rsidR="00FD1865" w:rsidRDefault="00FD1865" w:rsidP="003662CD">
      <w:r w:rsidRPr="00831326">
        <w:t>The stated objective of the other study submitted (no. ARL/11/196) appears inconsistent with the study design and the precise contribution which the sponsor believes this study makes to the present application is not clear.</w:t>
      </w:r>
    </w:p>
    <w:p w:rsidR="008E7846" w:rsidRPr="003662CD" w:rsidRDefault="008E7846" w:rsidP="003662CD">
      <w:pPr>
        <w:pStyle w:val="Heading3"/>
      </w:pPr>
      <w:bookmarkStart w:id="63" w:name="_Toc196046481"/>
      <w:bookmarkStart w:id="64" w:name="_Toc247691520"/>
      <w:bookmarkStart w:id="65" w:name="_Toc314842503"/>
      <w:bookmarkStart w:id="66" w:name="_Toc392595955"/>
      <w:r w:rsidRPr="00254787">
        <w:t>Pharmacodynamics</w:t>
      </w:r>
      <w:bookmarkEnd w:id="49"/>
      <w:bookmarkEnd w:id="63"/>
      <w:bookmarkEnd w:id="64"/>
      <w:bookmarkEnd w:id="65"/>
      <w:bookmarkEnd w:id="66"/>
    </w:p>
    <w:p w:rsidR="00C864BE" w:rsidRDefault="00C864BE" w:rsidP="003662CD">
      <w:r>
        <w:t xml:space="preserve">No pharmacodynamics studies </w:t>
      </w:r>
      <w:r w:rsidR="00FD1865">
        <w:t xml:space="preserve">were </w:t>
      </w:r>
      <w:r>
        <w:t>submitted.</w:t>
      </w:r>
    </w:p>
    <w:p w:rsidR="008E7846" w:rsidRDefault="00605AD4" w:rsidP="003662CD">
      <w:pPr>
        <w:pStyle w:val="Heading3"/>
      </w:pPr>
      <w:bookmarkStart w:id="67" w:name="_Toc392595956"/>
      <w:r>
        <w:t xml:space="preserve">Dosage selection </w:t>
      </w:r>
      <w:r w:rsidRPr="003662CD">
        <w:t>for</w:t>
      </w:r>
      <w:r>
        <w:t xml:space="preserve"> the pivotal studies</w:t>
      </w:r>
      <w:bookmarkEnd w:id="67"/>
    </w:p>
    <w:p w:rsidR="00C864BE" w:rsidRPr="00C864BE" w:rsidRDefault="00FD1865" w:rsidP="003662CD">
      <w:r w:rsidRPr="00FD1865">
        <w:t xml:space="preserve">See </w:t>
      </w:r>
      <w:r w:rsidRPr="003662CD">
        <w:rPr>
          <w:i/>
        </w:rPr>
        <w:t>Summary of Pharmacokinetics</w:t>
      </w:r>
      <w:r w:rsidRPr="00FD1865">
        <w:t xml:space="preserve"> above.</w:t>
      </w:r>
    </w:p>
    <w:p w:rsidR="008E7846" w:rsidRPr="003662CD" w:rsidRDefault="008E7846" w:rsidP="003662CD">
      <w:pPr>
        <w:pStyle w:val="Heading3"/>
      </w:pPr>
      <w:bookmarkStart w:id="68" w:name="_Toc163441372"/>
      <w:bookmarkStart w:id="69" w:name="_Toc196046485"/>
      <w:bookmarkStart w:id="70" w:name="_Toc247691521"/>
      <w:bookmarkStart w:id="71" w:name="_Toc314842504"/>
      <w:bookmarkStart w:id="72" w:name="_Toc392595957"/>
      <w:r w:rsidRPr="00AE10FF">
        <w:t>Efficacy</w:t>
      </w:r>
      <w:bookmarkEnd w:id="68"/>
      <w:bookmarkEnd w:id="69"/>
      <w:bookmarkEnd w:id="70"/>
      <w:bookmarkEnd w:id="71"/>
      <w:bookmarkEnd w:id="72"/>
    </w:p>
    <w:p w:rsidR="00C864BE" w:rsidRPr="00AE10FF" w:rsidRDefault="00C864BE" w:rsidP="003662CD">
      <w:bookmarkStart w:id="73" w:name="_Toc163441378"/>
      <w:bookmarkStart w:id="74" w:name="_Toc196046495"/>
      <w:bookmarkStart w:id="75" w:name="_Toc247691522"/>
      <w:bookmarkStart w:id="76" w:name="_Toc314842505"/>
      <w:r w:rsidRPr="00AE10FF">
        <w:t xml:space="preserve">No </w:t>
      </w:r>
      <w:r w:rsidR="00AE10FF" w:rsidRPr="00AE10FF">
        <w:t xml:space="preserve">pivotal </w:t>
      </w:r>
      <w:r w:rsidRPr="00AE10FF">
        <w:t xml:space="preserve">efficacy studies </w:t>
      </w:r>
      <w:r w:rsidR="00FD1865" w:rsidRPr="00AE10FF">
        <w:t xml:space="preserve">were </w:t>
      </w:r>
      <w:r w:rsidRPr="00AE10FF">
        <w:t>submitted.</w:t>
      </w:r>
      <w:r w:rsidR="00AE10FF">
        <w:rPr>
          <w:rStyle w:val="FootnoteReference"/>
        </w:rPr>
        <w:footnoteReference w:id="2"/>
      </w:r>
    </w:p>
    <w:p w:rsidR="008E7846" w:rsidRPr="003662CD" w:rsidRDefault="008E7846" w:rsidP="003662CD">
      <w:pPr>
        <w:pStyle w:val="Heading3"/>
      </w:pPr>
      <w:bookmarkStart w:id="77" w:name="_Toc392595958"/>
      <w:r w:rsidRPr="002E238E">
        <w:t>Safety</w:t>
      </w:r>
      <w:bookmarkEnd w:id="73"/>
      <w:bookmarkEnd w:id="74"/>
      <w:bookmarkEnd w:id="75"/>
      <w:bookmarkEnd w:id="76"/>
      <w:bookmarkEnd w:id="77"/>
    </w:p>
    <w:p w:rsidR="00FD1865" w:rsidRDefault="00FD1865" w:rsidP="003662CD">
      <w:bookmarkStart w:id="78" w:name="_Ref268776745"/>
      <w:bookmarkStart w:id="79" w:name="_Toc247691524"/>
      <w:bookmarkStart w:id="80" w:name="_Toc314842508"/>
      <w:bookmarkStart w:id="81" w:name="_Toc196046504"/>
      <w:bookmarkStart w:id="82" w:name="_Toc163441390"/>
      <w:r>
        <w:t>The following studies provided evaluable safety data:</w:t>
      </w:r>
    </w:p>
    <w:p w:rsidR="00FD1865" w:rsidRPr="00CE52DA" w:rsidRDefault="00FD1865" w:rsidP="003662CD">
      <w:pPr>
        <w:pStyle w:val="Heading4"/>
      </w:pPr>
      <w:r w:rsidRPr="00027276">
        <w:t xml:space="preserve">Pivotal </w:t>
      </w:r>
      <w:r w:rsidRPr="003662CD">
        <w:t>efficacy</w:t>
      </w:r>
      <w:r w:rsidRPr="00027276">
        <w:t xml:space="preserve"> studies</w:t>
      </w:r>
      <w:bookmarkEnd w:id="78"/>
    </w:p>
    <w:p w:rsidR="00FD1865" w:rsidRDefault="00FD1865" w:rsidP="003662CD">
      <w:r>
        <w:t>No studies.</w:t>
      </w:r>
    </w:p>
    <w:p w:rsidR="00FD1865" w:rsidRPr="00CE52DA" w:rsidRDefault="00FD1865" w:rsidP="003662CD">
      <w:pPr>
        <w:pStyle w:val="Heading4"/>
      </w:pPr>
      <w:r w:rsidRPr="00027276">
        <w:t xml:space="preserve">Pivotal </w:t>
      </w:r>
      <w:r w:rsidRPr="003662CD">
        <w:t>studies</w:t>
      </w:r>
      <w:r w:rsidRPr="00027276">
        <w:t xml:space="preserve"> that assessed </w:t>
      </w:r>
      <w:r>
        <w:t>safety as a primary outcome</w:t>
      </w:r>
    </w:p>
    <w:p w:rsidR="00FD1865" w:rsidRDefault="00FD1865" w:rsidP="003662CD">
      <w:r>
        <w:t>No studies.</w:t>
      </w:r>
    </w:p>
    <w:p w:rsidR="00FD1865" w:rsidRPr="00CE52DA" w:rsidRDefault="00FD1865" w:rsidP="003662CD">
      <w:pPr>
        <w:pStyle w:val="Heading4"/>
      </w:pPr>
      <w:r>
        <w:t>Dose-</w:t>
      </w:r>
      <w:r w:rsidRPr="003662CD">
        <w:t>response</w:t>
      </w:r>
      <w:r>
        <w:t xml:space="preserve"> and non-pivotal efficacy studies</w:t>
      </w:r>
    </w:p>
    <w:p w:rsidR="00FD1865" w:rsidRDefault="00FD1865" w:rsidP="003662CD">
      <w:r>
        <w:t>No studies.</w:t>
      </w:r>
    </w:p>
    <w:p w:rsidR="00FD1865" w:rsidRPr="00CE52DA" w:rsidRDefault="00FD1865" w:rsidP="003662CD">
      <w:pPr>
        <w:pStyle w:val="Heading4"/>
      </w:pPr>
      <w:r>
        <w:t xml:space="preserve">Other </w:t>
      </w:r>
      <w:r w:rsidRPr="003662CD">
        <w:t>studies</w:t>
      </w:r>
      <w:r>
        <w:t xml:space="preserve"> evaluable for safety</w:t>
      </w:r>
    </w:p>
    <w:p w:rsidR="00FD1865" w:rsidRPr="00CE52DA" w:rsidRDefault="00FD1865" w:rsidP="003662CD">
      <w:pPr>
        <w:pStyle w:val="Heading5"/>
      </w:pPr>
      <w:r w:rsidRPr="00872461">
        <w:t>Clinical pharmacology studies</w:t>
      </w:r>
    </w:p>
    <w:p w:rsidR="00FD1865" w:rsidRDefault="00A13F6C" w:rsidP="003662CD">
      <w:proofErr w:type="gramStart"/>
      <w:r>
        <w:t>Studies</w:t>
      </w:r>
      <w:r w:rsidR="00FD1865">
        <w:t xml:space="preserve"> ARL/11/201 and ARL/11/196.</w:t>
      </w:r>
      <w:proofErr w:type="gramEnd"/>
    </w:p>
    <w:p w:rsidR="00FD1865" w:rsidRPr="00CE52DA" w:rsidRDefault="00FD1865" w:rsidP="003662CD">
      <w:pPr>
        <w:pStyle w:val="Heading4"/>
      </w:pPr>
      <w:bookmarkStart w:id="83" w:name="_Ref269204367"/>
      <w:bookmarkStart w:id="84" w:name="_Ref271195835"/>
      <w:bookmarkStart w:id="85" w:name="_Ref271195841"/>
      <w:bookmarkStart w:id="86" w:name="_Toc272414660"/>
      <w:bookmarkStart w:id="87" w:name="_Toc290846285"/>
      <w:bookmarkStart w:id="88" w:name="_Toc361767645"/>
      <w:r>
        <w:t xml:space="preserve">Pivotal </w:t>
      </w:r>
      <w:r w:rsidRPr="003662CD">
        <w:t>studies</w:t>
      </w:r>
      <w:r>
        <w:t xml:space="preserve"> </w:t>
      </w:r>
      <w:r w:rsidRPr="00027276">
        <w:t xml:space="preserve">that assessed </w:t>
      </w:r>
      <w:r>
        <w:t>safety as a primary outcome</w:t>
      </w:r>
      <w:bookmarkEnd w:id="83"/>
      <w:bookmarkEnd w:id="84"/>
      <w:bookmarkEnd w:id="85"/>
      <w:bookmarkEnd w:id="86"/>
      <w:bookmarkEnd w:id="87"/>
      <w:bookmarkEnd w:id="88"/>
    </w:p>
    <w:p w:rsidR="00FD1865" w:rsidRDefault="00FD1865" w:rsidP="003662CD">
      <w:r>
        <w:t xml:space="preserve">No </w:t>
      </w:r>
      <w:r w:rsidR="00A13F6C">
        <w:t xml:space="preserve">pivotal safety </w:t>
      </w:r>
      <w:r>
        <w:t>studies</w:t>
      </w:r>
      <w:r w:rsidR="00CE52DA">
        <w:t xml:space="preserve"> were submitted</w:t>
      </w:r>
      <w:r>
        <w:t>.</w:t>
      </w:r>
    </w:p>
    <w:p w:rsidR="00605AD4" w:rsidRPr="003662CD" w:rsidRDefault="00605AD4" w:rsidP="003662CD">
      <w:pPr>
        <w:pStyle w:val="Heading4"/>
      </w:pPr>
      <w:r w:rsidRPr="00605AD4">
        <w:lastRenderedPageBreak/>
        <w:t>Patient exposure</w:t>
      </w:r>
    </w:p>
    <w:p w:rsidR="00FD1865" w:rsidRDefault="00FD1865" w:rsidP="003662CD">
      <w:pPr>
        <w:pStyle w:val="TableTitle"/>
      </w:pPr>
      <w:bookmarkStart w:id="89" w:name="_Toc361767695"/>
      <w:proofErr w:type="gramStart"/>
      <w:r>
        <w:t>Table</w:t>
      </w:r>
      <w:r w:rsidR="000F4A2C">
        <w:t xml:space="preserve"> 5</w:t>
      </w:r>
      <w:r>
        <w:t>.</w:t>
      </w:r>
      <w:proofErr w:type="gramEnd"/>
      <w:r>
        <w:t xml:space="preserve"> </w:t>
      </w:r>
      <w:proofErr w:type="gramStart"/>
      <w:r w:rsidRPr="003662CD">
        <w:t>Exposure</w:t>
      </w:r>
      <w:r>
        <w:t xml:space="preserve"> to </w:t>
      </w:r>
      <w:proofErr w:type="spellStart"/>
      <w:r>
        <w:t>Eltroxin</w:t>
      </w:r>
      <w:proofErr w:type="spellEnd"/>
      <w:r>
        <w:t xml:space="preserve"> and comparators in clinical studies.</w:t>
      </w:r>
      <w:bookmarkEnd w:id="89"/>
      <w:proofErr w:type="gramEnd"/>
    </w:p>
    <w:tbl>
      <w:tblPr>
        <w:tblStyle w:val="TableTGAblue"/>
        <w:tblW w:w="8613" w:type="dxa"/>
        <w:tblLayout w:type="fixed"/>
        <w:tblLook w:val="04A0" w:firstRow="1" w:lastRow="0" w:firstColumn="1" w:lastColumn="0" w:noHBand="0" w:noVBand="1"/>
      </w:tblPr>
      <w:tblGrid>
        <w:gridCol w:w="1809"/>
        <w:gridCol w:w="1276"/>
        <w:gridCol w:w="1276"/>
        <w:gridCol w:w="1276"/>
        <w:gridCol w:w="1701"/>
        <w:gridCol w:w="1275"/>
      </w:tblGrid>
      <w:tr w:rsidR="009D37CA" w:rsidTr="006D0F22">
        <w:trPr>
          <w:cnfStyle w:val="100000000000" w:firstRow="1" w:lastRow="0" w:firstColumn="0" w:lastColumn="0" w:oddVBand="0" w:evenVBand="0" w:oddHBand="0" w:evenHBand="0" w:firstRowFirstColumn="0" w:firstRowLastColumn="0" w:lastRowFirstColumn="0" w:lastRowLastColumn="0"/>
        </w:trPr>
        <w:tc>
          <w:tcPr>
            <w:tcW w:w="1809" w:type="dxa"/>
            <w:vMerge w:val="restart"/>
            <w:shd w:val="clear" w:color="auto" w:fill="0070C0"/>
          </w:tcPr>
          <w:p w:rsidR="00FD1865" w:rsidRPr="00DD6A00" w:rsidRDefault="00FD1865" w:rsidP="003662CD">
            <w:pPr>
              <w:ind w:left="0" w:right="0"/>
            </w:pPr>
            <w:r w:rsidRPr="00DD6A00">
              <w:t>Study type/</w:t>
            </w:r>
          </w:p>
          <w:p w:rsidR="00FD1865" w:rsidRPr="00DD6A00" w:rsidRDefault="00FD1865" w:rsidP="003662CD">
            <w:pPr>
              <w:ind w:left="0" w:right="0"/>
            </w:pPr>
            <w:r w:rsidRPr="00DD6A00">
              <w:t>Indication</w:t>
            </w:r>
          </w:p>
        </w:tc>
        <w:tc>
          <w:tcPr>
            <w:tcW w:w="3828" w:type="dxa"/>
            <w:gridSpan w:val="3"/>
            <w:shd w:val="clear" w:color="auto" w:fill="0070C0"/>
          </w:tcPr>
          <w:p w:rsidR="00FD1865" w:rsidRPr="00DD6A00" w:rsidRDefault="00FD1865" w:rsidP="006D0F22">
            <w:pPr>
              <w:ind w:left="34" w:right="34"/>
            </w:pPr>
            <w:r w:rsidRPr="00DD6A00">
              <w:t>Controlled studies</w:t>
            </w:r>
          </w:p>
        </w:tc>
        <w:tc>
          <w:tcPr>
            <w:tcW w:w="1701" w:type="dxa"/>
            <w:shd w:val="clear" w:color="auto" w:fill="0070C0"/>
          </w:tcPr>
          <w:p w:rsidR="00FD1865" w:rsidRPr="00DD6A00" w:rsidRDefault="00FD1865" w:rsidP="003662CD">
            <w:pPr>
              <w:ind w:left="34" w:right="34"/>
            </w:pPr>
            <w:proofErr w:type="spellStart"/>
            <w:r w:rsidRPr="00DD6A00">
              <w:t>Uncontrolled</w:t>
            </w:r>
            <w:r w:rsidRPr="00DD6A00">
              <w:rPr>
                <w:vertAlign w:val="superscript"/>
              </w:rPr>
              <w:t>†</w:t>
            </w:r>
            <w:r w:rsidRPr="00DD6A00">
              <w:t>studies</w:t>
            </w:r>
            <w:proofErr w:type="spellEnd"/>
          </w:p>
        </w:tc>
        <w:tc>
          <w:tcPr>
            <w:tcW w:w="1275" w:type="dxa"/>
            <w:vMerge w:val="restart"/>
            <w:shd w:val="clear" w:color="auto" w:fill="0070C0"/>
          </w:tcPr>
          <w:p w:rsidR="00FD1865" w:rsidRPr="00DD6A00" w:rsidRDefault="00FD1865" w:rsidP="003662CD">
            <w:pPr>
              <w:ind w:left="34" w:right="34"/>
            </w:pPr>
            <w:r w:rsidRPr="00DD6A00">
              <w:t>Total</w:t>
            </w:r>
          </w:p>
          <w:p w:rsidR="00FD1865" w:rsidRPr="00DD6A00" w:rsidRDefault="00FD1865" w:rsidP="003662CD">
            <w:pPr>
              <w:ind w:left="34" w:right="34"/>
            </w:pPr>
            <w:proofErr w:type="spellStart"/>
            <w:r w:rsidRPr="00DD6A00">
              <w:t>Eltroxin</w:t>
            </w:r>
            <w:proofErr w:type="spellEnd"/>
          </w:p>
        </w:tc>
      </w:tr>
      <w:tr w:rsidR="009D37CA" w:rsidTr="006D0F22">
        <w:trPr>
          <w:cnfStyle w:val="100000000000" w:firstRow="1" w:lastRow="0" w:firstColumn="0" w:lastColumn="0" w:oddVBand="0" w:evenVBand="0" w:oddHBand="0" w:evenHBand="0" w:firstRowFirstColumn="0" w:firstRowLastColumn="0" w:lastRowFirstColumn="0" w:lastRowLastColumn="0"/>
        </w:trPr>
        <w:tc>
          <w:tcPr>
            <w:tcW w:w="1809" w:type="dxa"/>
            <w:vMerge/>
            <w:shd w:val="clear" w:color="auto" w:fill="0070C0"/>
          </w:tcPr>
          <w:p w:rsidR="00FD1865" w:rsidRPr="00DD6A00" w:rsidRDefault="00FD1865" w:rsidP="003662CD">
            <w:pPr>
              <w:ind w:left="0" w:right="0"/>
              <w:rPr>
                <w:b w:val="0"/>
              </w:rPr>
            </w:pPr>
          </w:p>
        </w:tc>
        <w:tc>
          <w:tcPr>
            <w:tcW w:w="1276" w:type="dxa"/>
            <w:shd w:val="clear" w:color="auto" w:fill="0070C0"/>
          </w:tcPr>
          <w:p w:rsidR="00FD1865" w:rsidRPr="00DD6A00" w:rsidRDefault="00FD1865" w:rsidP="006D0F22">
            <w:pPr>
              <w:ind w:left="34" w:right="34"/>
            </w:pPr>
            <w:proofErr w:type="spellStart"/>
            <w:r w:rsidRPr="00DD6A00">
              <w:t>Eltroxin</w:t>
            </w:r>
            <w:proofErr w:type="spellEnd"/>
          </w:p>
        </w:tc>
        <w:tc>
          <w:tcPr>
            <w:tcW w:w="1276" w:type="dxa"/>
            <w:shd w:val="clear" w:color="auto" w:fill="0070C0"/>
          </w:tcPr>
          <w:p w:rsidR="00FD1865" w:rsidRPr="00DD6A00" w:rsidRDefault="00FD1865" w:rsidP="006D0F22">
            <w:pPr>
              <w:ind w:left="34" w:right="34"/>
            </w:pPr>
            <w:r w:rsidRPr="00DD6A00">
              <w:t>Placebo</w:t>
            </w:r>
          </w:p>
        </w:tc>
        <w:tc>
          <w:tcPr>
            <w:tcW w:w="1276" w:type="dxa"/>
            <w:shd w:val="clear" w:color="auto" w:fill="0070C0"/>
          </w:tcPr>
          <w:p w:rsidR="00FD1865" w:rsidRPr="00DD6A00" w:rsidRDefault="00FD1865" w:rsidP="006D0F22">
            <w:pPr>
              <w:ind w:left="34" w:right="34"/>
            </w:pPr>
            <w:proofErr w:type="spellStart"/>
            <w:r w:rsidRPr="00DD6A00">
              <w:t>Oroxine</w:t>
            </w:r>
            <w:proofErr w:type="spellEnd"/>
          </w:p>
        </w:tc>
        <w:tc>
          <w:tcPr>
            <w:tcW w:w="1701" w:type="dxa"/>
            <w:shd w:val="clear" w:color="auto" w:fill="0070C0"/>
          </w:tcPr>
          <w:p w:rsidR="00FD1865" w:rsidRPr="00DD6A00" w:rsidRDefault="00FD1865" w:rsidP="006D0F22">
            <w:pPr>
              <w:ind w:left="33" w:right="34"/>
            </w:pPr>
            <w:proofErr w:type="spellStart"/>
            <w:r w:rsidRPr="00DD6A00">
              <w:t>Eltroxin</w:t>
            </w:r>
            <w:proofErr w:type="spellEnd"/>
          </w:p>
        </w:tc>
        <w:tc>
          <w:tcPr>
            <w:tcW w:w="1275" w:type="dxa"/>
            <w:vMerge/>
            <w:shd w:val="clear" w:color="auto" w:fill="0070C0"/>
          </w:tcPr>
          <w:p w:rsidR="00FD1865" w:rsidRPr="00DD6A00" w:rsidRDefault="00FD1865" w:rsidP="003662CD">
            <w:pPr>
              <w:ind w:left="34" w:right="34"/>
              <w:rPr>
                <w:b w:val="0"/>
              </w:rPr>
            </w:pPr>
          </w:p>
        </w:tc>
      </w:tr>
      <w:tr w:rsidR="009D37CA" w:rsidTr="009D37CA">
        <w:tc>
          <w:tcPr>
            <w:tcW w:w="1809" w:type="dxa"/>
          </w:tcPr>
          <w:p w:rsidR="00FD1865" w:rsidRPr="00DD6A00" w:rsidRDefault="00FD1865" w:rsidP="003662CD">
            <w:pPr>
              <w:ind w:left="0" w:right="0"/>
            </w:pPr>
            <w:r w:rsidRPr="00DD6A00">
              <w:t>Clinical pharmacology</w:t>
            </w:r>
          </w:p>
        </w:tc>
        <w:tc>
          <w:tcPr>
            <w:tcW w:w="1276" w:type="dxa"/>
          </w:tcPr>
          <w:p w:rsidR="00FD1865" w:rsidRPr="00DD6A00" w:rsidRDefault="00FD1865" w:rsidP="006D0F22">
            <w:pPr>
              <w:ind w:left="34" w:right="34"/>
            </w:pPr>
            <w:r w:rsidRPr="00DD6A00">
              <w:t>32</w:t>
            </w:r>
          </w:p>
        </w:tc>
        <w:tc>
          <w:tcPr>
            <w:tcW w:w="1276" w:type="dxa"/>
          </w:tcPr>
          <w:p w:rsidR="00FD1865" w:rsidRPr="00DD6A00" w:rsidRDefault="00FD1865" w:rsidP="006D0F22">
            <w:pPr>
              <w:ind w:left="34" w:right="34"/>
            </w:pPr>
            <w:r w:rsidRPr="00DD6A00">
              <w:t>0</w:t>
            </w:r>
          </w:p>
        </w:tc>
        <w:tc>
          <w:tcPr>
            <w:tcW w:w="1276" w:type="dxa"/>
          </w:tcPr>
          <w:p w:rsidR="00FD1865" w:rsidRPr="00DD6A00" w:rsidRDefault="00FD1865" w:rsidP="006D0F22">
            <w:pPr>
              <w:ind w:left="34" w:right="34"/>
            </w:pPr>
            <w:r w:rsidRPr="00DD6A00">
              <w:t>31</w:t>
            </w:r>
          </w:p>
        </w:tc>
        <w:tc>
          <w:tcPr>
            <w:tcW w:w="1701" w:type="dxa"/>
          </w:tcPr>
          <w:p w:rsidR="00FD1865" w:rsidRPr="00DD6A00" w:rsidRDefault="00FD1865" w:rsidP="003662CD">
            <w:pPr>
              <w:ind w:left="34" w:right="34"/>
            </w:pPr>
            <w:r w:rsidRPr="00DD6A00">
              <w:t>75</w:t>
            </w:r>
          </w:p>
        </w:tc>
        <w:tc>
          <w:tcPr>
            <w:tcW w:w="1275" w:type="dxa"/>
          </w:tcPr>
          <w:p w:rsidR="00FD1865" w:rsidRPr="00DD6A00" w:rsidRDefault="00FD1865" w:rsidP="003662CD">
            <w:pPr>
              <w:ind w:left="34" w:right="34"/>
            </w:pPr>
            <w:r w:rsidRPr="00DD6A00">
              <w:t>107</w:t>
            </w:r>
          </w:p>
        </w:tc>
      </w:tr>
      <w:tr w:rsidR="009D37CA" w:rsidTr="009D37CA">
        <w:tc>
          <w:tcPr>
            <w:tcW w:w="1809" w:type="dxa"/>
          </w:tcPr>
          <w:p w:rsidR="00FD1865" w:rsidRPr="00DD6A00" w:rsidRDefault="00FD1865" w:rsidP="003662CD">
            <w:pPr>
              <w:ind w:left="0" w:right="0"/>
            </w:pPr>
            <w:r w:rsidRPr="00DD6A00">
              <w:t>Indication 1</w:t>
            </w:r>
          </w:p>
        </w:tc>
        <w:tc>
          <w:tcPr>
            <w:tcW w:w="1276" w:type="dxa"/>
          </w:tcPr>
          <w:p w:rsidR="00FD1865" w:rsidRPr="00DD6A00" w:rsidRDefault="00FD1865" w:rsidP="006D0F22">
            <w:pPr>
              <w:ind w:left="34" w:right="34"/>
            </w:pPr>
          </w:p>
        </w:tc>
        <w:tc>
          <w:tcPr>
            <w:tcW w:w="1276" w:type="dxa"/>
          </w:tcPr>
          <w:p w:rsidR="00FD1865" w:rsidRPr="00DD6A00" w:rsidRDefault="00FD1865" w:rsidP="006D0F22">
            <w:pPr>
              <w:ind w:left="34" w:right="34"/>
            </w:pPr>
          </w:p>
        </w:tc>
        <w:tc>
          <w:tcPr>
            <w:tcW w:w="1276" w:type="dxa"/>
          </w:tcPr>
          <w:p w:rsidR="00FD1865" w:rsidRPr="00DD6A00" w:rsidRDefault="00FD1865" w:rsidP="006D0F22">
            <w:pPr>
              <w:ind w:left="34" w:right="34"/>
            </w:pPr>
          </w:p>
        </w:tc>
        <w:tc>
          <w:tcPr>
            <w:tcW w:w="1701" w:type="dxa"/>
          </w:tcPr>
          <w:p w:rsidR="00FD1865" w:rsidRPr="00DD6A00" w:rsidRDefault="00FD1865" w:rsidP="003662CD">
            <w:pPr>
              <w:ind w:left="34" w:right="34"/>
            </w:pPr>
          </w:p>
        </w:tc>
        <w:tc>
          <w:tcPr>
            <w:tcW w:w="1275" w:type="dxa"/>
          </w:tcPr>
          <w:p w:rsidR="00FD1865" w:rsidRPr="00DD6A00" w:rsidRDefault="00FD1865" w:rsidP="003662CD">
            <w:pPr>
              <w:ind w:left="34" w:right="34"/>
            </w:pPr>
          </w:p>
        </w:tc>
      </w:tr>
      <w:tr w:rsidR="009D37CA" w:rsidTr="009D37CA">
        <w:tc>
          <w:tcPr>
            <w:tcW w:w="1809" w:type="dxa"/>
          </w:tcPr>
          <w:p w:rsidR="00FD1865" w:rsidRPr="00DD6A00" w:rsidRDefault="00FD1865" w:rsidP="003662CD">
            <w:pPr>
              <w:ind w:left="0" w:right="0"/>
            </w:pPr>
            <w:r w:rsidRPr="00DD6A00">
              <w:tab/>
              <w:t>Pivotal</w:t>
            </w:r>
          </w:p>
        </w:tc>
        <w:tc>
          <w:tcPr>
            <w:tcW w:w="1276" w:type="dxa"/>
          </w:tcPr>
          <w:p w:rsidR="00FD1865" w:rsidRPr="00DD6A00" w:rsidRDefault="00FD1865" w:rsidP="006D0F22">
            <w:pPr>
              <w:ind w:left="34" w:right="34"/>
            </w:pPr>
          </w:p>
        </w:tc>
        <w:tc>
          <w:tcPr>
            <w:tcW w:w="1276" w:type="dxa"/>
          </w:tcPr>
          <w:p w:rsidR="00FD1865" w:rsidRPr="00DD6A00" w:rsidRDefault="00FD1865" w:rsidP="006D0F22">
            <w:pPr>
              <w:ind w:left="34" w:right="34"/>
            </w:pPr>
          </w:p>
        </w:tc>
        <w:tc>
          <w:tcPr>
            <w:tcW w:w="1276" w:type="dxa"/>
          </w:tcPr>
          <w:p w:rsidR="00FD1865" w:rsidRPr="00DD6A00" w:rsidRDefault="00FD1865" w:rsidP="006D0F22">
            <w:pPr>
              <w:ind w:left="34" w:right="34"/>
            </w:pPr>
          </w:p>
        </w:tc>
        <w:tc>
          <w:tcPr>
            <w:tcW w:w="1701" w:type="dxa"/>
          </w:tcPr>
          <w:p w:rsidR="00FD1865" w:rsidRPr="00DD6A00" w:rsidRDefault="00FD1865" w:rsidP="003662CD">
            <w:pPr>
              <w:ind w:left="34" w:right="34"/>
            </w:pPr>
          </w:p>
        </w:tc>
        <w:tc>
          <w:tcPr>
            <w:tcW w:w="1275" w:type="dxa"/>
          </w:tcPr>
          <w:p w:rsidR="00FD1865" w:rsidRPr="00DD6A00" w:rsidRDefault="00FD1865" w:rsidP="003662CD">
            <w:pPr>
              <w:ind w:left="34" w:right="34"/>
            </w:pPr>
          </w:p>
        </w:tc>
      </w:tr>
      <w:tr w:rsidR="009D37CA" w:rsidTr="009D37CA">
        <w:tc>
          <w:tcPr>
            <w:tcW w:w="1809" w:type="dxa"/>
          </w:tcPr>
          <w:p w:rsidR="00FD1865" w:rsidRPr="00DD6A00" w:rsidRDefault="00FD1865" w:rsidP="003662CD">
            <w:pPr>
              <w:ind w:left="0" w:right="0"/>
            </w:pPr>
            <w:r w:rsidRPr="00DD6A00">
              <w:tab/>
              <w:t>Other</w:t>
            </w:r>
          </w:p>
        </w:tc>
        <w:tc>
          <w:tcPr>
            <w:tcW w:w="1276" w:type="dxa"/>
          </w:tcPr>
          <w:p w:rsidR="00FD1865" w:rsidRPr="00DD6A00" w:rsidRDefault="00FD1865" w:rsidP="006D0F22">
            <w:pPr>
              <w:ind w:left="34" w:right="34"/>
            </w:pPr>
          </w:p>
        </w:tc>
        <w:tc>
          <w:tcPr>
            <w:tcW w:w="1276" w:type="dxa"/>
          </w:tcPr>
          <w:p w:rsidR="00FD1865" w:rsidRPr="00DD6A00" w:rsidRDefault="00FD1865" w:rsidP="006D0F22">
            <w:pPr>
              <w:ind w:left="34" w:right="34"/>
            </w:pPr>
          </w:p>
        </w:tc>
        <w:tc>
          <w:tcPr>
            <w:tcW w:w="1276" w:type="dxa"/>
          </w:tcPr>
          <w:p w:rsidR="00FD1865" w:rsidRPr="00DD6A00" w:rsidRDefault="00FD1865" w:rsidP="006D0F22">
            <w:pPr>
              <w:ind w:left="34" w:right="34"/>
            </w:pPr>
          </w:p>
        </w:tc>
        <w:tc>
          <w:tcPr>
            <w:tcW w:w="1701" w:type="dxa"/>
          </w:tcPr>
          <w:p w:rsidR="00FD1865" w:rsidRPr="00DD6A00" w:rsidRDefault="00FD1865" w:rsidP="003662CD">
            <w:pPr>
              <w:ind w:left="34" w:right="34"/>
            </w:pPr>
          </w:p>
        </w:tc>
        <w:tc>
          <w:tcPr>
            <w:tcW w:w="1275" w:type="dxa"/>
          </w:tcPr>
          <w:p w:rsidR="00FD1865" w:rsidRPr="00DD6A00" w:rsidRDefault="00FD1865" w:rsidP="003662CD">
            <w:pPr>
              <w:ind w:left="34" w:right="34"/>
            </w:pPr>
          </w:p>
        </w:tc>
      </w:tr>
      <w:tr w:rsidR="009D37CA" w:rsidTr="009D37CA">
        <w:tc>
          <w:tcPr>
            <w:tcW w:w="1809" w:type="dxa"/>
          </w:tcPr>
          <w:p w:rsidR="00FD1865" w:rsidRPr="00DD6A00" w:rsidRDefault="00FD1865" w:rsidP="003662CD">
            <w:pPr>
              <w:ind w:left="0" w:right="0"/>
            </w:pPr>
            <w:r w:rsidRPr="00DD6A00">
              <w:t>Subtotal Indication 1</w:t>
            </w:r>
          </w:p>
        </w:tc>
        <w:tc>
          <w:tcPr>
            <w:tcW w:w="1276" w:type="dxa"/>
          </w:tcPr>
          <w:p w:rsidR="00FD1865" w:rsidRPr="00DD6A00" w:rsidRDefault="00FD1865" w:rsidP="006D0F22">
            <w:pPr>
              <w:ind w:left="34" w:right="34"/>
            </w:pPr>
            <w:r w:rsidRPr="00DD6A00">
              <w:t>0</w:t>
            </w:r>
          </w:p>
        </w:tc>
        <w:tc>
          <w:tcPr>
            <w:tcW w:w="1276" w:type="dxa"/>
          </w:tcPr>
          <w:p w:rsidR="00FD1865" w:rsidRPr="00DD6A00" w:rsidRDefault="00FD1865" w:rsidP="006D0F22">
            <w:pPr>
              <w:ind w:left="34" w:right="34"/>
            </w:pPr>
            <w:r w:rsidRPr="00DD6A00">
              <w:t>0</w:t>
            </w:r>
          </w:p>
        </w:tc>
        <w:tc>
          <w:tcPr>
            <w:tcW w:w="1276" w:type="dxa"/>
          </w:tcPr>
          <w:p w:rsidR="00FD1865" w:rsidRPr="00DD6A00" w:rsidRDefault="00FD1865" w:rsidP="006D0F22">
            <w:pPr>
              <w:ind w:left="34" w:right="34"/>
            </w:pPr>
            <w:r w:rsidRPr="00DD6A00">
              <w:t>0</w:t>
            </w:r>
          </w:p>
        </w:tc>
        <w:tc>
          <w:tcPr>
            <w:tcW w:w="1701" w:type="dxa"/>
          </w:tcPr>
          <w:p w:rsidR="00FD1865" w:rsidRPr="00DD6A00" w:rsidRDefault="00FD1865" w:rsidP="003662CD">
            <w:pPr>
              <w:ind w:left="34" w:right="34"/>
            </w:pPr>
            <w:r w:rsidRPr="00DD6A00">
              <w:t>0</w:t>
            </w:r>
          </w:p>
        </w:tc>
        <w:tc>
          <w:tcPr>
            <w:tcW w:w="1275" w:type="dxa"/>
          </w:tcPr>
          <w:p w:rsidR="00FD1865" w:rsidRPr="00DD6A00" w:rsidRDefault="00FD1865" w:rsidP="003662CD">
            <w:pPr>
              <w:ind w:left="34" w:right="34"/>
            </w:pPr>
            <w:r w:rsidRPr="00DD6A00">
              <w:t>0</w:t>
            </w:r>
          </w:p>
        </w:tc>
      </w:tr>
      <w:tr w:rsidR="009D37CA" w:rsidTr="009D37CA">
        <w:tc>
          <w:tcPr>
            <w:tcW w:w="1809" w:type="dxa"/>
          </w:tcPr>
          <w:p w:rsidR="00FD1865" w:rsidRPr="00DD6A00" w:rsidRDefault="00FD1865" w:rsidP="003662CD">
            <w:pPr>
              <w:ind w:left="0" w:right="0"/>
            </w:pPr>
            <w:r w:rsidRPr="00DD6A00">
              <w:t>TOTAL</w:t>
            </w:r>
          </w:p>
        </w:tc>
        <w:tc>
          <w:tcPr>
            <w:tcW w:w="1276" w:type="dxa"/>
          </w:tcPr>
          <w:p w:rsidR="00FD1865" w:rsidRPr="00DD6A00" w:rsidRDefault="00FD1865" w:rsidP="006D0F22">
            <w:pPr>
              <w:ind w:left="34" w:right="34"/>
            </w:pPr>
            <w:r w:rsidRPr="00DD6A00">
              <w:t>32</w:t>
            </w:r>
          </w:p>
        </w:tc>
        <w:tc>
          <w:tcPr>
            <w:tcW w:w="1276" w:type="dxa"/>
          </w:tcPr>
          <w:p w:rsidR="00FD1865" w:rsidRPr="00DD6A00" w:rsidRDefault="00FD1865" w:rsidP="006D0F22">
            <w:pPr>
              <w:ind w:left="34" w:right="34"/>
            </w:pPr>
            <w:r w:rsidRPr="00DD6A00">
              <w:t>0</w:t>
            </w:r>
          </w:p>
        </w:tc>
        <w:tc>
          <w:tcPr>
            <w:tcW w:w="1276" w:type="dxa"/>
          </w:tcPr>
          <w:p w:rsidR="00FD1865" w:rsidRPr="00DD6A00" w:rsidRDefault="00FD1865" w:rsidP="006D0F22">
            <w:pPr>
              <w:ind w:left="34" w:right="34"/>
            </w:pPr>
            <w:r w:rsidRPr="00DD6A00">
              <w:t>31</w:t>
            </w:r>
          </w:p>
        </w:tc>
        <w:tc>
          <w:tcPr>
            <w:tcW w:w="1701" w:type="dxa"/>
          </w:tcPr>
          <w:p w:rsidR="00FD1865" w:rsidRPr="00DD6A00" w:rsidRDefault="00FD1865" w:rsidP="003662CD">
            <w:pPr>
              <w:ind w:left="34" w:right="34"/>
            </w:pPr>
            <w:r w:rsidRPr="00DD6A00">
              <w:t>75</w:t>
            </w:r>
          </w:p>
        </w:tc>
        <w:tc>
          <w:tcPr>
            <w:tcW w:w="1275" w:type="dxa"/>
          </w:tcPr>
          <w:p w:rsidR="00FD1865" w:rsidRPr="00DD6A00" w:rsidRDefault="00FD1865" w:rsidP="003662CD">
            <w:pPr>
              <w:ind w:left="34" w:right="34"/>
            </w:pPr>
            <w:r w:rsidRPr="00DD6A00">
              <w:t>107</w:t>
            </w:r>
          </w:p>
        </w:tc>
      </w:tr>
    </w:tbl>
    <w:p w:rsidR="00FD1865" w:rsidRPr="00DD6A00" w:rsidRDefault="00FD1865" w:rsidP="003678A0">
      <w:pPr>
        <w:pStyle w:val="TableDescription"/>
      </w:pPr>
      <w:r w:rsidRPr="00DD6A00">
        <w:rPr>
          <w:vertAlign w:val="superscript"/>
        </w:rPr>
        <w:t>†</w:t>
      </w:r>
      <w:r w:rsidRPr="00DD6A00">
        <w:t xml:space="preserve"> Study ARL/11/196: controlled only by treatment with other strengths of the test product, given at the same dosage (600 </w:t>
      </w:r>
      <w:r>
        <w:t>µ</w:t>
      </w:r>
      <w:bookmarkStart w:id="90" w:name="_Ref272765193"/>
      <w:bookmarkStart w:id="91" w:name="_Toc269112508"/>
      <w:bookmarkStart w:id="92" w:name="_Toc361767696"/>
      <w:r w:rsidR="003678A0">
        <w:t>g).</w:t>
      </w:r>
    </w:p>
    <w:p w:rsidR="00FD1865" w:rsidRDefault="00FD1865" w:rsidP="003678A0">
      <w:pPr>
        <w:pStyle w:val="TableTitle"/>
      </w:pPr>
      <w:proofErr w:type="gramStart"/>
      <w:r>
        <w:t>Table</w:t>
      </w:r>
      <w:bookmarkEnd w:id="90"/>
      <w:r w:rsidR="000F4A2C">
        <w:t xml:space="preserve"> 6</w:t>
      </w:r>
      <w:r>
        <w:t>.</w:t>
      </w:r>
      <w:proofErr w:type="gramEnd"/>
      <w:r>
        <w:t xml:space="preserve"> </w:t>
      </w:r>
      <w:proofErr w:type="gramStart"/>
      <w:r>
        <w:t xml:space="preserve">Exposure to </w:t>
      </w:r>
      <w:proofErr w:type="spellStart"/>
      <w:r>
        <w:t>Eltroxin</w:t>
      </w:r>
      <w:proofErr w:type="spellEnd"/>
      <w:r>
        <w:t xml:space="preserve"> in clinical studies according to dose and duration.</w:t>
      </w:r>
      <w:bookmarkEnd w:id="91"/>
      <w:bookmarkEnd w:id="92"/>
      <w:proofErr w:type="gramEnd"/>
    </w:p>
    <w:tbl>
      <w:tblPr>
        <w:tblStyle w:val="TableTGAblue"/>
        <w:tblW w:w="8613" w:type="dxa"/>
        <w:tblLayout w:type="fixed"/>
        <w:tblLook w:val="04A0" w:firstRow="1" w:lastRow="0" w:firstColumn="1" w:lastColumn="0" w:noHBand="0" w:noVBand="1"/>
      </w:tblPr>
      <w:tblGrid>
        <w:gridCol w:w="1526"/>
        <w:gridCol w:w="850"/>
        <w:gridCol w:w="851"/>
        <w:gridCol w:w="850"/>
        <w:gridCol w:w="993"/>
        <w:gridCol w:w="850"/>
        <w:gridCol w:w="851"/>
        <w:gridCol w:w="850"/>
        <w:gridCol w:w="992"/>
      </w:tblGrid>
      <w:tr w:rsidR="009D37CA" w:rsidTr="006D0F22">
        <w:trPr>
          <w:cnfStyle w:val="100000000000" w:firstRow="1" w:lastRow="0" w:firstColumn="0" w:lastColumn="0" w:oddVBand="0" w:evenVBand="0" w:oddHBand="0" w:evenHBand="0" w:firstRowFirstColumn="0" w:firstRowLastColumn="0" w:lastRowFirstColumn="0" w:lastRowLastColumn="0"/>
        </w:trPr>
        <w:tc>
          <w:tcPr>
            <w:tcW w:w="1526" w:type="dxa"/>
            <w:vMerge w:val="restart"/>
            <w:shd w:val="clear" w:color="auto" w:fill="0070B5" w:themeFill="accent1" w:themeFillTint="BF"/>
          </w:tcPr>
          <w:p w:rsidR="00FD1865" w:rsidRPr="009D37CA" w:rsidRDefault="00FD1865" w:rsidP="003678A0">
            <w:pPr>
              <w:ind w:left="0" w:right="34"/>
            </w:pPr>
            <w:r w:rsidRPr="009D37CA">
              <w:t>Study type/</w:t>
            </w:r>
          </w:p>
          <w:p w:rsidR="00FD1865" w:rsidRPr="009D37CA" w:rsidRDefault="00FD1865" w:rsidP="003678A0">
            <w:pPr>
              <w:ind w:left="0" w:right="34"/>
            </w:pPr>
            <w:r w:rsidRPr="009D37CA">
              <w:t>Indication</w:t>
            </w:r>
          </w:p>
        </w:tc>
        <w:tc>
          <w:tcPr>
            <w:tcW w:w="3544" w:type="dxa"/>
            <w:gridSpan w:val="4"/>
            <w:shd w:val="clear" w:color="auto" w:fill="0070B5" w:themeFill="accent1" w:themeFillTint="BF"/>
          </w:tcPr>
          <w:p w:rsidR="00FD1865" w:rsidRPr="009D37CA" w:rsidRDefault="00FD1865" w:rsidP="003678A0">
            <w:pPr>
              <w:ind w:left="34" w:right="33"/>
            </w:pPr>
            <w:r w:rsidRPr="009D37CA">
              <w:t>Proposed dose range</w:t>
            </w:r>
          </w:p>
        </w:tc>
        <w:tc>
          <w:tcPr>
            <w:tcW w:w="3543" w:type="dxa"/>
            <w:gridSpan w:val="4"/>
            <w:shd w:val="clear" w:color="auto" w:fill="0070B5" w:themeFill="accent1" w:themeFillTint="BF"/>
          </w:tcPr>
          <w:p w:rsidR="00FD1865" w:rsidRPr="009D37CA" w:rsidRDefault="00FD1865" w:rsidP="003678A0">
            <w:pPr>
              <w:ind w:left="34" w:right="0"/>
            </w:pPr>
            <w:r w:rsidRPr="009D37CA">
              <w:t>Proposed maximum dose</w:t>
            </w:r>
          </w:p>
        </w:tc>
      </w:tr>
      <w:tr w:rsidR="009D37CA" w:rsidTr="006D0F22">
        <w:trPr>
          <w:cnfStyle w:val="100000000000" w:firstRow="1" w:lastRow="0" w:firstColumn="0" w:lastColumn="0" w:oddVBand="0" w:evenVBand="0" w:oddHBand="0" w:evenHBand="0" w:firstRowFirstColumn="0" w:firstRowLastColumn="0" w:lastRowFirstColumn="0" w:lastRowLastColumn="0"/>
        </w:trPr>
        <w:tc>
          <w:tcPr>
            <w:tcW w:w="1526" w:type="dxa"/>
            <w:vMerge/>
            <w:shd w:val="clear" w:color="auto" w:fill="0070B5" w:themeFill="accent1" w:themeFillTint="BF"/>
          </w:tcPr>
          <w:p w:rsidR="00FD1865" w:rsidRPr="009D37CA" w:rsidRDefault="00FD1865" w:rsidP="003678A0">
            <w:pPr>
              <w:ind w:left="0" w:right="34"/>
            </w:pPr>
          </w:p>
        </w:tc>
        <w:tc>
          <w:tcPr>
            <w:tcW w:w="850" w:type="dxa"/>
            <w:shd w:val="clear" w:color="auto" w:fill="0070B5" w:themeFill="accent1" w:themeFillTint="BF"/>
          </w:tcPr>
          <w:p w:rsidR="00FD1865" w:rsidRPr="009D37CA" w:rsidRDefault="00FD1865" w:rsidP="003678A0">
            <w:pPr>
              <w:ind w:left="34" w:right="33"/>
            </w:pPr>
            <w:r w:rsidRPr="009D37CA">
              <w:t>≥ 3</w:t>
            </w:r>
          </w:p>
          <w:p w:rsidR="00FD1865" w:rsidRPr="009D37CA" w:rsidRDefault="00FD1865" w:rsidP="003678A0">
            <w:pPr>
              <w:ind w:left="34" w:right="33"/>
            </w:pPr>
            <w:proofErr w:type="spellStart"/>
            <w:r w:rsidRPr="009D37CA">
              <w:t>mo</w:t>
            </w:r>
            <w:proofErr w:type="spellEnd"/>
          </w:p>
        </w:tc>
        <w:tc>
          <w:tcPr>
            <w:tcW w:w="851" w:type="dxa"/>
            <w:shd w:val="clear" w:color="auto" w:fill="0070B5" w:themeFill="accent1" w:themeFillTint="BF"/>
          </w:tcPr>
          <w:p w:rsidR="00FD1865" w:rsidRPr="009D37CA" w:rsidRDefault="00FD1865" w:rsidP="003678A0">
            <w:pPr>
              <w:ind w:left="34" w:right="33"/>
            </w:pPr>
            <w:r w:rsidRPr="009D37CA">
              <w:t>≥6</w:t>
            </w:r>
          </w:p>
          <w:p w:rsidR="00FD1865" w:rsidRPr="009D37CA" w:rsidRDefault="00FD1865" w:rsidP="003678A0">
            <w:pPr>
              <w:ind w:left="34" w:right="33"/>
            </w:pPr>
            <w:proofErr w:type="spellStart"/>
            <w:r w:rsidRPr="009D37CA">
              <w:t>mo</w:t>
            </w:r>
            <w:proofErr w:type="spellEnd"/>
          </w:p>
        </w:tc>
        <w:tc>
          <w:tcPr>
            <w:tcW w:w="850" w:type="dxa"/>
            <w:shd w:val="clear" w:color="auto" w:fill="0070B5" w:themeFill="accent1" w:themeFillTint="BF"/>
          </w:tcPr>
          <w:p w:rsidR="00FD1865" w:rsidRPr="009D37CA" w:rsidRDefault="00FD1865" w:rsidP="003678A0">
            <w:pPr>
              <w:ind w:left="34" w:right="33"/>
            </w:pPr>
            <w:r w:rsidRPr="009D37CA">
              <w:t>≥12</w:t>
            </w:r>
          </w:p>
          <w:p w:rsidR="00FD1865" w:rsidRPr="009D37CA" w:rsidRDefault="003678A0" w:rsidP="003678A0">
            <w:pPr>
              <w:ind w:left="34" w:right="33"/>
            </w:pPr>
            <w:proofErr w:type="spellStart"/>
            <w:r>
              <w:t>mo</w:t>
            </w:r>
            <w:proofErr w:type="spellEnd"/>
          </w:p>
        </w:tc>
        <w:tc>
          <w:tcPr>
            <w:tcW w:w="993" w:type="dxa"/>
            <w:shd w:val="clear" w:color="auto" w:fill="0070B5" w:themeFill="accent1" w:themeFillTint="BF"/>
          </w:tcPr>
          <w:p w:rsidR="00FD1865" w:rsidRPr="009D37CA" w:rsidRDefault="00FD1865" w:rsidP="003678A0">
            <w:pPr>
              <w:ind w:left="34" w:right="33"/>
            </w:pPr>
            <w:r w:rsidRPr="009D37CA">
              <w:t>Any</w:t>
            </w:r>
          </w:p>
          <w:p w:rsidR="00FD1865" w:rsidRPr="009D37CA" w:rsidRDefault="00FD1865" w:rsidP="003678A0">
            <w:pPr>
              <w:ind w:left="34" w:right="33"/>
            </w:pPr>
            <w:proofErr w:type="spellStart"/>
            <w:r w:rsidRPr="009D37CA">
              <w:t>dur’n</w:t>
            </w:r>
            <w:proofErr w:type="spellEnd"/>
          </w:p>
        </w:tc>
        <w:tc>
          <w:tcPr>
            <w:tcW w:w="850" w:type="dxa"/>
            <w:shd w:val="clear" w:color="auto" w:fill="0070B5" w:themeFill="accent1" w:themeFillTint="BF"/>
          </w:tcPr>
          <w:p w:rsidR="00FD1865" w:rsidRPr="009D37CA" w:rsidRDefault="00FD1865" w:rsidP="003678A0">
            <w:pPr>
              <w:ind w:left="34" w:right="0"/>
            </w:pPr>
            <w:r w:rsidRPr="009D37CA">
              <w:t>≥ 3</w:t>
            </w:r>
          </w:p>
          <w:p w:rsidR="00FD1865" w:rsidRPr="009D37CA" w:rsidRDefault="00FD1865" w:rsidP="003678A0">
            <w:pPr>
              <w:ind w:left="34" w:right="0"/>
            </w:pPr>
            <w:proofErr w:type="spellStart"/>
            <w:r w:rsidRPr="009D37CA">
              <w:t>mo</w:t>
            </w:r>
            <w:proofErr w:type="spellEnd"/>
          </w:p>
        </w:tc>
        <w:tc>
          <w:tcPr>
            <w:tcW w:w="851" w:type="dxa"/>
            <w:shd w:val="clear" w:color="auto" w:fill="0070B5" w:themeFill="accent1" w:themeFillTint="BF"/>
          </w:tcPr>
          <w:p w:rsidR="00FD1865" w:rsidRPr="009D37CA" w:rsidRDefault="00FD1865" w:rsidP="003678A0">
            <w:pPr>
              <w:ind w:left="34" w:right="0"/>
            </w:pPr>
            <w:r w:rsidRPr="009D37CA">
              <w:t>≥ 6</w:t>
            </w:r>
          </w:p>
          <w:p w:rsidR="00FD1865" w:rsidRPr="009D37CA" w:rsidRDefault="00FD1865" w:rsidP="003678A0">
            <w:pPr>
              <w:ind w:left="34" w:right="0"/>
            </w:pPr>
            <w:proofErr w:type="spellStart"/>
            <w:r w:rsidRPr="009D37CA">
              <w:t>mo</w:t>
            </w:r>
            <w:proofErr w:type="spellEnd"/>
          </w:p>
        </w:tc>
        <w:tc>
          <w:tcPr>
            <w:tcW w:w="850" w:type="dxa"/>
            <w:shd w:val="clear" w:color="auto" w:fill="0070B5" w:themeFill="accent1" w:themeFillTint="BF"/>
          </w:tcPr>
          <w:p w:rsidR="00FD1865" w:rsidRPr="009D37CA" w:rsidRDefault="00FD1865" w:rsidP="003678A0">
            <w:pPr>
              <w:ind w:left="34" w:right="0"/>
            </w:pPr>
            <w:r w:rsidRPr="009D37CA">
              <w:t>≥12</w:t>
            </w:r>
          </w:p>
          <w:p w:rsidR="00FD1865" w:rsidRPr="009D37CA" w:rsidRDefault="00FD1865" w:rsidP="003678A0">
            <w:pPr>
              <w:ind w:left="34" w:right="0"/>
            </w:pPr>
            <w:proofErr w:type="spellStart"/>
            <w:r w:rsidRPr="009D37CA">
              <w:t>mo</w:t>
            </w:r>
            <w:proofErr w:type="spellEnd"/>
          </w:p>
        </w:tc>
        <w:tc>
          <w:tcPr>
            <w:tcW w:w="992" w:type="dxa"/>
            <w:shd w:val="clear" w:color="auto" w:fill="0070B5" w:themeFill="accent1" w:themeFillTint="BF"/>
          </w:tcPr>
          <w:p w:rsidR="00FD1865" w:rsidRPr="009D37CA" w:rsidRDefault="00FD1865" w:rsidP="003678A0">
            <w:pPr>
              <w:ind w:left="34" w:right="0"/>
            </w:pPr>
            <w:r w:rsidRPr="009D37CA">
              <w:t>Any</w:t>
            </w:r>
          </w:p>
          <w:p w:rsidR="00FD1865" w:rsidRPr="009D37CA" w:rsidRDefault="00FD1865" w:rsidP="003678A0">
            <w:pPr>
              <w:ind w:left="34" w:right="0"/>
            </w:pPr>
            <w:proofErr w:type="spellStart"/>
            <w:r w:rsidRPr="009D37CA">
              <w:t>dur’n</w:t>
            </w:r>
            <w:proofErr w:type="spellEnd"/>
          </w:p>
        </w:tc>
      </w:tr>
      <w:tr w:rsidR="009D37CA" w:rsidTr="009D37CA">
        <w:tc>
          <w:tcPr>
            <w:tcW w:w="1526" w:type="dxa"/>
          </w:tcPr>
          <w:p w:rsidR="00FD1865" w:rsidRPr="009D37CA" w:rsidRDefault="00FD1865" w:rsidP="003678A0">
            <w:pPr>
              <w:ind w:left="0" w:right="34"/>
            </w:pPr>
            <w:r w:rsidRPr="009D37CA">
              <w:t>Clinical pharmacology</w:t>
            </w:r>
          </w:p>
        </w:tc>
        <w:tc>
          <w:tcPr>
            <w:tcW w:w="850" w:type="dxa"/>
          </w:tcPr>
          <w:p w:rsidR="00FD1865" w:rsidRPr="009D37CA" w:rsidRDefault="00FD1865" w:rsidP="003678A0">
            <w:pPr>
              <w:ind w:left="34" w:right="33"/>
            </w:pPr>
            <w:r w:rsidRPr="009D37CA">
              <w:t>0</w:t>
            </w:r>
          </w:p>
        </w:tc>
        <w:tc>
          <w:tcPr>
            <w:tcW w:w="851" w:type="dxa"/>
          </w:tcPr>
          <w:p w:rsidR="00FD1865" w:rsidRPr="009D37CA" w:rsidRDefault="00FD1865" w:rsidP="003678A0">
            <w:pPr>
              <w:ind w:left="34" w:right="33"/>
            </w:pPr>
            <w:r w:rsidRPr="009D37CA">
              <w:t>0</w:t>
            </w:r>
          </w:p>
        </w:tc>
        <w:tc>
          <w:tcPr>
            <w:tcW w:w="850" w:type="dxa"/>
          </w:tcPr>
          <w:p w:rsidR="00FD1865" w:rsidRPr="009D37CA" w:rsidRDefault="00FD1865" w:rsidP="003678A0">
            <w:pPr>
              <w:ind w:left="34" w:right="33"/>
            </w:pPr>
            <w:r w:rsidRPr="009D37CA">
              <w:t>0</w:t>
            </w:r>
          </w:p>
        </w:tc>
        <w:tc>
          <w:tcPr>
            <w:tcW w:w="993" w:type="dxa"/>
          </w:tcPr>
          <w:p w:rsidR="00FD1865" w:rsidRPr="009D37CA" w:rsidRDefault="00FD1865" w:rsidP="003678A0">
            <w:pPr>
              <w:ind w:left="34" w:right="33"/>
            </w:pPr>
            <w:r w:rsidRPr="009D37CA">
              <w:t>0</w:t>
            </w:r>
          </w:p>
        </w:tc>
        <w:tc>
          <w:tcPr>
            <w:tcW w:w="850" w:type="dxa"/>
          </w:tcPr>
          <w:p w:rsidR="00FD1865" w:rsidRPr="009D37CA" w:rsidRDefault="00FD1865" w:rsidP="003678A0">
            <w:pPr>
              <w:ind w:left="34" w:right="0"/>
            </w:pPr>
            <w:r w:rsidRPr="009D37CA">
              <w:t>0</w:t>
            </w:r>
          </w:p>
        </w:tc>
        <w:tc>
          <w:tcPr>
            <w:tcW w:w="851" w:type="dxa"/>
          </w:tcPr>
          <w:p w:rsidR="00FD1865" w:rsidRPr="009D37CA" w:rsidRDefault="00FD1865" w:rsidP="003678A0">
            <w:pPr>
              <w:ind w:left="34" w:right="0"/>
            </w:pPr>
            <w:r w:rsidRPr="009D37CA">
              <w:t>0</w:t>
            </w:r>
          </w:p>
        </w:tc>
        <w:tc>
          <w:tcPr>
            <w:tcW w:w="850" w:type="dxa"/>
          </w:tcPr>
          <w:p w:rsidR="00FD1865" w:rsidRPr="009D37CA" w:rsidRDefault="00FD1865" w:rsidP="003678A0">
            <w:pPr>
              <w:ind w:left="34" w:right="0"/>
            </w:pPr>
            <w:r w:rsidRPr="009D37CA">
              <w:t>0</w:t>
            </w:r>
          </w:p>
        </w:tc>
        <w:tc>
          <w:tcPr>
            <w:tcW w:w="992" w:type="dxa"/>
          </w:tcPr>
          <w:p w:rsidR="00FD1865" w:rsidRPr="009D37CA" w:rsidRDefault="00FD1865" w:rsidP="003678A0">
            <w:pPr>
              <w:ind w:left="34" w:right="0"/>
            </w:pPr>
            <w:r w:rsidRPr="009D37CA">
              <w:t>0</w:t>
            </w:r>
          </w:p>
        </w:tc>
      </w:tr>
      <w:tr w:rsidR="009D37CA" w:rsidTr="009D37CA">
        <w:tc>
          <w:tcPr>
            <w:tcW w:w="1526" w:type="dxa"/>
          </w:tcPr>
          <w:p w:rsidR="00FD1865" w:rsidRPr="009D37CA" w:rsidRDefault="00FD1865" w:rsidP="003678A0">
            <w:pPr>
              <w:ind w:left="0" w:right="34"/>
            </w:pPr>
            <w:r w:rsidRPr="009D37CA">
              <w:t>Indication 1</w:t>
            </w:r>
          </w:p>
        </w:tc>
        <w:tc>
          <w:tcPr>
            <w:tcW w:w="850" w:type="dxa"/>
          </w:tcPr>
          <w:p w:rsidR="00FD1865" w:rsidRPr="009D37CA" w:rsidRDefault="00FD1865" w:rsidP="003678A0">
            <w:pPr>
              <w:ind w:left="34" w:right="33"/>
            </w:pPr>
          </w:p>
        </w:tc>
        <w:tc>
          <w:tcPr>
            <w:tcW w:w="851" w:type="dxa"/>
          </w:tcPr>
          <w:p w:rsidR="00FD1865" w:rsidRPr="009D37CA" w:rsidRDefault="00FD1865" w:rsidP="003678A0">
            <w:pPr>
              <w:ind w:left="34" w:right="33"/>
            </w:pPr>
          </w:p>
        </w:tc>
        <w:tc>
          <w:tcPr>
            <w:tcW w:w="850" w:type="dxa"/>
          </w:tcPr>
          <w:p w:rsidR="00FD1865" w:rsidRPr="009D37CA" w:rsidRDefault="00FD1865" w:rsidP="003678A0">
            <w:pPr>
              <w:ind w:left="34" w:right="33"/>
            </w:pPr>
          </w:p>
        </w:tc>
        <w:tc>
          <w:tcPr>
            <w:tcW w:w="993" w:type="dxa"/>
          </w:tcPr>
          <w:p w:rsidR="00FD1865" w:rsidRPr="009D37CA" w:rsidRDefault="00FD1865" w:rsidP="003678A0">
            <w:pPr>
              <w:ind w:left="34" w:right="33"/>
            </w:pPr>
          </w:p>
        </w:tc>
        <w:tc>
          <w:tcPr>
            <w:tcW w:w="850" w:type="dxa"/>
          </w:tcPr>
          <w:p w:rsidR="00FD1865" w:rsidRPr="009D37CA" w:rsidRDefault="00FD1865" w:rsidP="003678A0">
            <w:pPr>
              <w:ind w:left="34" w:right="0"/>
            </w:pPr>
          </w:p>
        </w:tc>
        <w:tc>
          <w:tcPr>
            <w:tcW w:w="851" w:type="dxa"/>
          </w:tcPr>
          <w:p w:rsidR="00FD1865" w:rsidRPr="009D37CA" w:rsidRDefault="00FD1865" w:rsidP="003678A0">
            <w:pPr>
              <w:ind w:left="34" w:right="0"/>
            </w:pPr>
          </w:p>
        </w:tc>
        <w:tc>
          <w:tcPr>
            <w:tcW w:w="850" w:type="dxa"/>
          </w:tcPr>
          <w:p w:rsidR="00FD1865" w:rsidRPr="009D37CA" w:rsidRDefault="00FD1865" w:rsidP="003678A0">
            <w:pPr>
              <w:ind w:left="34" w:right="0"/>
            </w:pPr>
          </w:p>
        </w:tc>
        <w:tc>
          <w:tcPr>
            <w:tcW w:w="992" w:type="dxa"/>
          </w:tcPr>
          <w:p w:rsidR="00FD1865" w:rsidRPr="009D37CA" w:rsidRDefault="00FD1865" w:rsidP="003678A0">
            <w:pPr>
              <w:ind w:left="34" w:right="0"/>
            </w:pPr>
          </w:p>
        </w:tc>
      </w:tr>
      <w:tr w:rsidR="009D37CA" w:rsidTr="009D37CA">
        <w:tc>
          <w:tcPr>
            <w:tcW w:w="1526" w:type="dxa"/>
          </w:tcPr>
          <w:p w:rsidR="00FD1865" w:rsidRPr="009D37CA" w:rsidRDefault="00FD1865" w:rsidP="003678A0">
            <w:pPr>
              <w:ind w:left="142" w:right="34" w:hanging="142"/>
            </w:pPr>
            <w:r w:rsidRPr="009D37CA">
              <w:tab/>
              <w:t>Placebo-controlled</w:t>
            </w:r>
          </w:p>
        </w:tc>
        <w:tc>
          <w:tcPr>
            <w:tcW w:w="850" w:type="dxa"/>
          </w:tcPr>
          <w:p w:rsidR="00FD1865" w:rsidRPr="009D37CA" w:rsidRDefault="00FD1865" w:rsidP="003678A0">
            <w:pPr>
              <w:ind w:left="34" w:right="33"/>
            </w:pPr>
          </w:p>
        </w:tc>
        <w:tc>
          <w:tcPr>
            <w:tcW w:w="851" w:type="dxa"/>
          </w:tcPr>
          <w:p w:rsidR="00FD1865" w:rsidRPr="009D37CA" w:rsidRDefault="00FD1865" w:rsidP="003678A0">
            <w:pPr>
              <w:ind w:left="34" w:right="33"/>
            </w:pPr>
          </w:p>
        </w:tc>
        <w:tc>
          <w:tcPr>
            <w:tcW w:w="850" w:type="dxa"/>
          </w:tcPr>
          <w:p w:rsidR="00FD1865" w:rsidRPr="009D37CA" w:rsidRDefault="00FD1865" w:rsidP="003678A0">
            <w:pPr>
              <w:ind w:left="34" w:right="33"/>
            </w:pPr>
          </w:p>
        </w:tc>
        <w:tc>
          <w:tcPr>
            <w:tcW w:w="993" w:type="dxa"/>
          </w:tcPr>
          <w:p w:rsidR="00FD1865" w:rsidRPr="009D37CA" w:rsidRDefault="00FD1865" w:rsidP="003678A0">
            <w:pPr>
              <w:ind w:left="34" w:right="33"/>
            </w:pPr>
          </w:p>
        </w:tc>
        <w:tc>
          <w:tcPr>
            <w:tcW w:w="850" w:type="dxa"/>
          </w:tcPr>
          <w:p w:rsidR="00FD1865" w:rsidRPr="009D37CA" w:rsidRDefault="00FD1865" w:rsidP="003678A0">
            <w:pPr>
              <w:ind w:left="34" w:right="0"/>
            </w:pPr>
          </w:p>
        </w:tc>
        <w:tc>
          <w:tcPr>
            <w:tcW w:w="851" w:type="dxa"/>
          </w:tcPr>
          <w:p w:rsidR="00FD1865" w:rsidRPr="009D37CA" w:rsidRDefault="00FD1865" w:rsidP="003678A0">
            <w:pPr>
              <w:ind w:left="34" w:right="0"/>
            </w:pPr>
          </w:p>
        </w:tc>
        <w:tc>
          <w:tcPr>
            <w:tcW w:w="850" w:type="dxa"/>
          </w:tcPr>
          <w:p w:rsidR="00FD1865" w:rsidRPr="009D37CA" w:rsidRDefault="00FD1865" w:rsidP="003678A0">
            <w:pPr>
              <w:ind w:left="34" w:right="0"/>
            </w:pPr>
          </w:p>
        </w:tc>
        <w:tc>
          <w:tcPr>
            <w:tcW w:w="992" w:type="dxa"/>
          </w:tcPr>
          <w:p w:rsidR="00FD1865" w:rsidRPr="009D37CA" w:rsidRDefault="00FD1865" w:rsidP="003678A0">
            <w:pPr>
              <w:ind w:left="34" w:right="0"/>
            </w:pPr>
          </w:p>
        </w:tc>
      </w:tr>
      <w:tr w:rsidR="009D37CA" w:rsidTr="009D37CA">
        <w:tc>
          <w:tcPr>
            <w:tcW w:w="1526" w:type="dxa"/>
          </w:tcPr>
          <w:p w:rsidR="00FD1865" w:rsidRPr="009D37CA" w:rsidRDefault="00FD1865" w:rsidP="003678A0">
            <w:pPr>
              <w:ind w:left="142" w:right="34" w:hanging="142"/>
            </w:pPr>
            <w:r w:rsidRPr="009D37CA">
              <w:tab/>
              <w:t>Active-controlled</w:t>
            </w:r>
          </w:p>
        </w:tc>
        <w:tc>
          <w:tcPr>
            <w:tcW w:w="850" w:type="dxa"/>
          </w:tcPr>
          <w:p w:rsidR="00FD1865" w:rsidRPr="009D37CA" w:rsidRDefault="00FD1865" w:rsidP="003678A0">
            <w:pPr>
              <w:ind w:left="34" w:right="33"/>
            </w:pPr>
          </w:p>
        </w:tc>
        <w:tc>
          <w:tcPr>
            <w:tcW w:w="851" w:type="dxa"/>
          </w:tcPr>
          <w:p w:rsidR="00FD1865" w:rsidRPr="009D37CA" w:rsidRDefault="00FD1865" w:rsidP="003678A0">
            <w:pPr>
              <w:ind w:left="34" w:right="33"/>
            </w:pPr>
          </w:p>
        </w:tc>
        <w:tc>
          <w:tcPr>
            <w:tcW w:w="850" w:type="dxa"/>
          </w:tcPr>
          <w:p w:rsidR="00FD1865" w:rsidRPr="009D37CA" w:rsidRDefault="00FD1865" w:rsidP="003678A0">
            <w:pPr>
              <w:ind w:left="34" w:right="33"/>
            </w:pPr>
          </w:p>
        </w:tc>
        <w:tc>
          <w:tcPr>
            <w:tcW w:w="993" w:type="dxa"/>
          </w:tcPr>
          <w:p w:rsidR="00FD1865" w:rsidRPr="009D37CA" w:rsidRDefault="00FD1865" w:rsidP="003678A0">
            <w:pPr>
              <w:ind w:left="34" w:right="33"/>
            </w:pPr>
          </w:p>
        </w:tc>
        <w:tc>
          <w:tcPr>
            <w:tcW w:w="850" w:type="dxa"/>
          </w:tcPr>
          <w:p w:rsidR="00FD1865" w:rsidRPr="009D37CA" w:rsidRDefault="00FD1865" w:rsidP="003678A0">
            <w:pPr>
              <w:ind w:left="34" w:right="0"/>
            </w:pPr>
          </w:p>
        </w:tc>
        <w:tc>
          <w:tcPr>
            <w:tcW w:w="851" w:type="dxa"/>
          </w:tcPr>
          <w:p w:rsidR="00FD1865" w:rsidRPr="009D37CA" w:rsidRDefault="00FD1865" w:rsidP="003678A0">
            <w:pPr>
              <w:ind w:left="34" w:right="0"/>
            </w:pPr>
          </w:p>
        </w:tc>
        <w:tc>
          <w:tcPr>
            <w:tcW w:w="850" w:type="dxa"/>
          </w:tcPr>
          <w:p w:rsidR="00FD1865" w:rsidRPr="009D37CA" w:rsidRDefault="00FD1865" w:rsidP="003678A0">
            <w:pPr>
              <w:ind w:left="34" w:right="0"/>
            </w:pPr>
          </w:p>
        </w:tc>
        <w:tc>
          <w:tcPr>
            <w:tcW w:w="992" w:type="dxa"/>
          </w:tcPr>
          <w:p w:rsidR="00FD1865" w:rsidRPr="009D37CA" w:rsidRDefault="00FD1865" w:rsidP="003678A0">
            <w:pPr>
              <w:ind w:left="34" w:right="0"/>
            </w:pPr>
          </w:p>
        </w:tc>
      </w:tr>
      <w:tr w:rsidR="009D37CA" w:rsidTr="009D37CA">
        <w:tc>
          <w:tcPr>
            <w:tcW w:w="1526" w:type="dxa"/>
          </w:tcPr>
          <w:p w:rsidR="00FD1865" w:rsidRPr="009D37CA" w:rsidRDefault="00FD1865" w:rsidP="003678A0">
            <w:pPr>
              <w:ind w:left="142" w:right="34" w:hanging="142"/>
            </w:pPr>
            <w:r w:rsidRPr="009D37CA">
              <w:tab/>
              <w:t>Uncontrolled</w:t>
            </w:r>
          </w:p>
        </w:tc>
        <w:tc>
          <w:tcPr>
            <w:tcW w:w="850" w:type="dxa"/>
          </w:tcPr>
          <w:p w:rsidR="00FD1865" w:rsidRPr="009D37CA" w:rsidRDefault="00FD1865" w:rsidP="003678A0">
            <w:pPr>
              <w:ind w:left="34" w:right="33"/>
            </w:pPr>
          </w:p>
        </w:tc>
        <w:tc>
          <w:tcPr>
            <w:tcW w:w="851" w:type="dxa"/>
          </w:tcPr>
          <w:p w:rsidR="00FD1865" w:rsidRPr="009D37CA" w:rsidRDefault="00FD1865" w:rsidP="003678A0">
            <w:pPr>
              <w:ind w:left="34" w:right="33"/>
            </w:pPr>
          </w:p>
        </w:tc>
        <w:tc>
          <w:tcPr>
            <w:tcW w:w="850" w:type="dxa"/>
          </w:tcPr>
          <w:p w:rsidR="00FD1865" w:rsidRPr="009D37CA" w:rsidRDefault="00FD1865" w:rsidP="003678A0">
            <w:pPr>
              <w:ind w:left="34" w:right="33"/>
            </w:pPr>
          </w:p>
        </w:tc>
        <w:tc>
          <w:tcPr>
            <w:tcW w:w="993" w:type="dxa"/>
          </w:tcPr>
          <w:p w:rsidR="00FD1865" w:rsidRPr="009D37CA" w:rsidRDefault="00FD1865" w:rsidP="003678A0">
            <w:pPr>
              <w:ind w:left="34" w:right="33"/>
            </w:pPr>
          </w:p>
        </w:tc>
        <w:tc>
          <w:tcPr>
            <w:tcW w:w="850" w:type="dxa"/>
          </w:tcPr>
          <w:p w:rsidR="00FD1865" w:rsidRPr="009D37CA" w:rsidRDefault="00FD1865" w:rsidP="003678A0">
            <w:pPr>
              <w:ind w:left="34" w:right="0"/>
            </w:pPr>
          </w:p>
        </w:tc>
        <w:tc>
          <w:tcPr>
            <w:tcW w:w="851" w:type="dxa"/>
          </w:tcPr>
          <w:p w:rsidR="00FD1865" w:rsidRPr="009D37CA" w:rsidRDefault="00FD1865" w:rsidP="003678A0">
            <w:pPr>
              <w:ind w:left="34" w:right="0"/>
            </w:pPr>
          </w:p>
        </w:tc>
        <w:tc>
          <w:tcPr>
            <w:tcW w:w="850" w:type="dxa"/>
          </w:tcPr>
          <w:p w:rsidR="00FD1865" w:rsidRPr="009D37CA" w:rsidRDefault="00FD1865" w:rsidP="003678A0">
            <w:pPr>
              <w:ind w:left="34" w:right="0"/>
            </w:pPr>
          </w:p>
        </w:tc>
        <w:tc>
          <w:tcPr>
            <w:tcW w:w="992" w:type="dxa"/>
          </w:tcPr>
          <w:p w:rsidR="00FD1865" w:rsidRPr="009D37CA" w:rsidRDefault="00FD1865" w:rsidP="003678A0">
            <w:pPr>
              <w:ind w:left="34" w:right="0"/>
            </w:pPr>
          </w:p>
        </w:tc>
      </w:tr>
      <w:tr w:rsidR="009D37CA" w:rsidTr="009D37CA">
        <w:tc>
          <w:tcPr>
            <w:tcW w:w="1526" w:type="dxa"/>
          </w:tcPr>
          <w:p w:rsidR="00FD1865" w:rsidRPr="009D37CA" w:rsidRDefault="00FD1865" w:rsidP="003678A0">
            <w:pPr>
              <w:ind w:left="142" w:right="34" w:hanging="142"/>
            </w:pPr>
            <w:r w:rsidRPr="009D37CA">
              <w:tab/>
              <w:t>Subtotal Indication 1</w:t>
            </w:r>
          </w:p>
        </w:tc>
        <w:tc>
          <w:tcPr>
            <w:tcW w:w="850" w:type="dxa"/>
          </w:tcPr>
          <w:p w:rsidR="00FD1865" w:rsidRPr="009D37CA" w:rsidRDefault="00FD1865" w:rsidP="003678A0">
            <w:pPr>
              <w:ind w:left="34" w:right="33"/>
            </w:pPr>
            <w:r w:rsidRPr="009D37CA">
              <w:t>0</w:t>
            </w:r>
          </w:p>
        </w:tc>
        <w:tc>
          <w:tcPr>
            <w:tcW w:w="851" w:type="dxa"/>
          </w:tcPr>
          <w:p w:rsidR="00FD1865" w:rsidRPr="009D37CA" w:rsidRDefault="00FD1865" w:rsidP="003678A0">
            <w:pPr>
              <w:ind w:left="34" w:right="33"/>
            </w:pPr>
            <w:r w:rsidRPr="009D37CA">
              <w:t>0</w:t>
            </w:r>
          </w:p>
        </w:tc>
        <w:tc>
          <w:tcPr>
            <w:tcW w:w="850" w:type="dxa"/>
          </w:tcPr>
          <w:p w:rsidR="00FD1865" w:rsidRPr="009D37CA" w:rsidRDefault="00FD1865" w:rsidP="003678A0">
            <w:pPr>
              <w:ind w:left="34" w:right="33"/>
            </w:pPr>
            <w:r w:rsidRPr="009D37CA">
              <w:t>0</w:t>
            </w:r>
          </w:p>
        </w:tc>
        <w:tc>
          <w:tcPr>
            <w:tcW w:w="993" w:type="dxa"/>
          </w:tcPr>
          <w:p w:rsidR="00FD1865" w:rsidRPr="009D37CA" w:rsidRDefault="00FD1865" w:rsidP="003678A0">
            <w:pPr>
              <w:ind w:left="34" w:right="33"/>
            </w:pPr>
            <w:r w:rsidRPr="009D37CA">
              <w:t>0</w:t>
            </w:r>
          </w:p>
        </w:tc>
        <w:tc>
          <w:tcPr>
            <w:tcW w:w="850" w:type="dxa"/>
          </w:tcPr>
          <w:p w:rsidR="00FD1865" w:rsidRPr="009D37CA" w:rsidRDefault="00FD1865" w:rsidP="003678A0">
            <w:pPr>
              <w:ind w:left="34" w:right="0"/>
            </w:pPr>
            <w:r w:rsidRPr="009D37CA">
              <w:t>0</w:t>
            </w:r>
          </w:p>
        </w:tc>
        <w:tc>
          <w:tcPr>
            <w:tcW w:w="851" w:type="dxa"/>
          </w:tcPr>
          <w:p w:rsidR="00FD1865" w:rsidRPr="009D37CA" w:rsidRDefault="00FD1865" w:rsidP="003678A0">
            <w:pPr>
              <w:ind w:left="34" w:right="0"/>
            </w:pPr>
            <w:r w:rsidRPr="009D37CA">
              <w:t>0</w:t>
            </w:r>
          </w:p>
        </w:tc>
        <w:tc>
          <w:tcPr>
            <w:tcW w:w="850" w:type="dxa"/>
          </w:tcPr>
          <w:p w:rsidR="00FD1865" w:rsidRPr="009D37CA" w:rsidRDefault="00FD1865" w:rsidP="003678A0">
            <w:pPr>
              <w:ind w:left="34" w:right="0"/>
            </w:pPr>
            <w:r w:rsidRPr="009D37CA">
              <w:t>0</w:t>
            </w:r>
          </w:p>
        </w:tc>
        <w:tc>
          <w:tcPr>
            <w:tcW w:w="992" w:type="dxa"/>
          </w:tcPr>
          <w:p w:rsidR="00FD1865" w:rsidRPr="009D37CA" w:rsidRDefault="00FD1865" w:rsidP="003678A0">
            <w:pPr>
              <w:ind w:left="34" w:right="0"/>
            </w:pPr>
            <w:r w:rsidRPr="009D37CA">
              <w:t>0</w:t>
            </w:r>
          </w:p>
        </w:tc>
      </w:tr>
      <w:tr w:rsidR="009D37CA" w:rsidTr="009D37CA">
        <w:tc>
          <w:tcPr>
            <w:tcW w:w="1526" w:type="dxa"/>
          </w:tcPr>
          <w:p w:rsidR="00FD1865" w:rsidRPr="009D37CA" w:rsidRDefault="00FD1865" w:rsidP="003678A0">
            <w:pPr>
              <w:ind w:left="0" w:right="34"/>
            </w:pPr>
            <w:r w:rsidRPr="009D37CA">
              <w:t>TOTAL</w:t>
            </w:r>
          </w:p>
        </w:tc>
        <w:tc>
          <w:tcPr>
            <w:tcW w:w="850" w:type="dxa"/>
          </w:tcPr>
          <w:p w:rsidR="00FD1865" w:rsidRPr="009D37CA" w:rsidRDefault="00FD1865" w:rsidP="003678A0">
            <w:pPr>
              <w:ind w:left="34" w:right="33"/>
            </w:pPr>
            <w:r w:rsidRPr="009D37CA">
              <w:t>0</w:t>
            </w:r>
          </w:p>
        </w:tc>
        <w:tc>
          <w:tcPr>
            <w:tcW w:w="851" w:type="dxa"/>
          </w:tcPr>
          <w:p w:rsidR="00FD1865" w:rsidRPr="009D37CA" w:rsidRDefault="00FD1865" w:rsidP="003678A0">
            <w:pPr>
              <w:ind w:left="34" w:right="33"/>
            </w:pPr>
            <w:r w:rsidRPr="009D37CA">
              <w:t>0</w:t>
            </w:r>
          </w:p>
        </w:tc>
        <w:tc>
          <w:tcPr>
            <w:tcW w:w="850" w:type="dxa"/>
          </w:tcPr>
          <w:p w:rsidR="00FD1865" w:rsidRPr="009D37CA" w:rsidRDefault="00FD1865" w:rsidP="003678A0">
            <w:pPr>
              <w:ind w:left="34" w:right="33"/>
            </w:pPr>
            <w:r w:rsidRPr="009D37CA">
              <w:t>0</w:t>
            </w:r>
          </w:p>
        </w:tc>
        <w:tc>
          <w:tcPr>
            <w:tcW w:w="993" w:type="dxa"/>
          </w:tcPr>
          <w:p w:rsidR="00FD1865" w:rsidRPr="009D37CA" w:rsidRDefault="00FD1865" w:rsidP="003678A0">
            <w:pPr>
              <w:ind w:left="34" w:right="33"/>
            </w:pPr>
            <w:r w:rsidRPr="009D37CA">
              <w:t>0</w:t>
            </w:r>
          </w:p>
        </w:tc>
        <w:tc>
          <w:tcPr>
            <w:tcW w:w="850" w:type="dxa"/>
          </w:tcPr>
          <w:p w:rsidR="00FD1865" w:rsidRPr="009D37CA" w:rsidRDefault="00FD1865" w:rsidP="003678A0">
            <w:pPr>
              <w:ind w:left="34" w:right="0"/>
            </w:pPr>
            <w:r w:rsidRPr="009D37CA">
              <w:t>0</w:t>
            </w:r>
          </w:p>
        </w:tc>
        <w:tc>
          <w:tcPr>
            <w:tcW w:w="851" w:type="dxa"/>
          </w:tcPr>
          <w:p w:rsidR="00FD1865" w:rsidRPr="009D37CA" w:rsidRDefault="00FD1865" w:rsidP="003678A0">
            <w:pPr>
              <w:ind w:left="34" w:right="0"/>
            </w:pPr>
            <w:r w:rsidRPr="009D37CA">
              <w:t>0</w:t>
            </w:r>
          </w:p>
        </w:tc>
        <w:tc>
          <w:tcPr>
            <w:tcW w:w="850" w:type="dxa"/>
          </w:tcPr>
          <w:p w:rsidR="00FD1865" w:rsidRPr="009D37CA" w:rsidRDefault="00FD1865" w:rsidP="003678A0">
            <w:pPr>
              <w:ind w:left="34" w:right="0"/>
            </w:pPr>
            <w:r w:rsidRPr="009D37CA">
              <w:t>0</w:t>
            </w:r>
          </w:p>
        </w:tc>
        <w:tc>
          <w:tcPr>
            <w:tcW w:w="992" w:type="dxa"/>
          </w:tcPr>
          <w:p w:rsidR="00FD1865" w:rsidRPr="009D37CA" w:rsidRDefault="00FD1865" w:rsidP="003678A0">
            <w:pPr>
              <w:ind w:left="34" w:right="0"/>
            </w:pPr>
            <w:r w:rsidRPr="009D37CA">
              <w:t>0</w:t>
            </w:r>
          </w:p>
        </w:tc>
      </w:tr>
    </w:tbl>
    <w:p w:rsidR="00605AD4" w:rsidRDefault="00605AD4" w:rsidP="003678A0">
      <w:pPr>
        <w:pStyle w:val="Heading4"/>
      </w:pPr>
      <w:proofErr w:type="spellStart"/>
      <w:r w:rsidRPr="00605AD4">
        <w:lastRenderedPageBreak/>
        <w:t>Postmarketing</w:t>
      </w:r>
      <w:proofErr w:type="spellEnd"/>
      <w:r w:rsidRPr="00605AD4">
        <w:t xml:space="preserve"> </w:t>
      </w:r>
      <w:r w:rsidRPr="003678A0">
        <w:t>data</w:t>
      </w:r>
    </w:p>
    <w:p w:rsidR="00C864BE" w:rsidRPr="00C864BE" w:rsidRDefault="00C864BE" w:rsidP="003678A0">
      <w:r>
        <w:t xml:space="preserve">No data </w:t>
      </w:r>
      <w:r w:rsidR="00FD1865">
        <w:t xml:space="preserve">were </w:t>
      </w:r>
      <w:r>
        <w:t>submitted.</w:t>
      </w:r>
    </w:p>
    <w:p w:rsidR="00605AD4" w:rsidRPr="00605AD4" w:rsidRDefault="00605AD4" w:rsidP="003678A0">
      <w:pPr>
        <w:pStyle w:val="Heading4"/>
      </w:pPr>
      <w:r w:rsidRPr="00605AD4">
        <w:t xml:space="preserve">Evaluator’s </w:t>
      </w:r>
      <w:r w:rsidRPr="003678A0">
        <w:t>conclusions</w:t>
      </w:r>
      <w:r w:rsidRPr="00605AD4">
        <w:t xml:space="preserve"> on safety</w:t>
      </w:r>
    </w:p>
    <w:p w:rsidR="00FD1865" w:rsidRDefault="00FD1865" w:rsidP="003678A0">
      <w:r>
        <w:t xml:space="preserve">In the absence of valid bioequivalence data, </w:t>
      </w:r>
      <w:r w:rsidRPr="00831326">
        <w:t>all the products now proposed for registration carry risks of dose error if they are used as substitutes for products currently on the market.</w:t>
      </w:r>
    </w:p>
    <w:p w:rsidR="00FD1865" w:rsidRDefault="00FD1865" w:rsidP="003678A0">
      <w:pPr>
        <w:pStyle w:val="Heading5"/>
      </w:pPr>
      <w:bookmarkStart w:id="93" w:name="_Toc361767665"/>
      <w:r>
        <w:t xml:space="preserve">The pre-study </w:t>
      </w:r>
      <w:r w:rsidRPr="003678A0">
        <w:t>laboratory</w:t>
      </w:r>
      <w:r>
        <w:t xml:space="preserve"> monitoring data in </w:t>
      </w:r>
      <w:r w:rsidR="003678A0">
        <w:t>s</w:t>
      </w:r>
      <w:r>
        <w:t>tudy ARL/11/196</w:t>
      </w:r>
      <w:bookmarkEnd w:id="93"/>
    </w:p>
    <w:p w:rsidR="00FD1865" w:rsidRDefault="00FD1865" w:rsidP="003678A0">
      <w:r>
        <w:t xml:space="preserve">These deserve mention. Perusal of the listing of laboratory measurements performed at screening shows that a high proportion of subjects appeared to be unhealthy. Of subjects 1-20 (all of whom were male), 9 had Hb below the reference range, and of these, 3 had MCV below the reference range. Of subjects 1-20, 10 had eosinophil % above the reference range (15.2% in the worst case). </w:t>
      </w:r>
      <w:r w:rsidRPr="00831326">
        <w:t>Enrolment of these subjects would appear to be quite unsatisfactory from good clinical practice and clinical trial regulation point of</w:t>
      </w:r>
      <w:r>
        <w:t xml:space="preserve"> view given that the </w:t>
      </w:r>
      <w:r w:rsidRPr="00BE7159">
        <w:rPr>
          <w:i/>
        </w:rPr>
        <w:t>Protocol</w:t>
      </w:r>
      <w:r>
        <w:t xml:space="preserve"> (at section 1.5) stipulated enrolment </w:t>
      </w:r>
      <w:r w:rsidRPr="00A13F6C">
        <w:t>of "normal</w:t>
      </w:r>
      <w:r w:rsidR="003678A0">
        <w:t>, healthy ... subjects".</w:t>
      </w:r>
    </w:p>
    <w:p w:rsidR="00605AD4" w:rsidRPr="00605AD4" w:rsidRDefault="00FD1865" w:rsidP="003678A0">
      <w:r>
        <w:t>In addition, it is not clear how the laboratory abnormalities observed at screening in</w:t>
      </w:r>
      <w:r w:rsidR="00A13F6C">
        <w:t xml:space="preserve"> </w:t>
      </w:r>
      <w:r>
        <w:t xml:space="preserve">Hb and MCV below reference range and eosinophils 15.2% came to be classified as </w:t>
      </w:r>
      <w:r w:rsidRPr="00BE7159">
        <w:rPr>
          <w:i/>
        </w:rPr>
        <w:t>Not Clinically Significant</w:t>
      </w:r>
      <w:r>
        <w:t>.</w:t>
      </w:r>
    </w:p>
    <w:p w:rsidR="00605AD4" w:rsidRPr="003678A0" w:rsidRDefault="00605AD4" w:rsidP="003678A0">
      <w:pPr>
        <w:pStyle w:val="Heading3"/>
        <w:rPr>
          <w:rFonts w:eastAsia="Cambria"/>
        </w:rPr>
      </w:pPr>
      <w:bookmarkStart w:id="94" w:name="_Toc392595959"/>
      <w:r w:rsidRPr="00605AD4">
        <w:rPr>
          <w:rFonts w:eastAsia="Cambria"/>
        </w:rPr>
        <w:t xml:space="preserve">First </w:t>
      </w:r>
      <w:r w:rsidR="001D4E2F">
        <w:rPr>
          <w:rFonts w:eastAsia="Cambria"/>
        </w:rPr>
        <w:t>r</w:t>
      </w:r>
      <w:r w:rsidRPr="00605AD4">
        <w:rPr>
          <w:rFonts w:eastAsia="Cambria"/>
        </w:rPr>
        <w:t xml:space="preserve">ound </w:t>
      </w:r>
      <w:r w:rsidR="001D4E2F">
        <w:rPr>
          <w:rFonts w:eastAsia="Cambria"/>
        </w:rPr>
        <w:t>b</w:t>
      </w:r>
      <w:r w:rsidRPr="00605AD4">
        <w:rPr>
          <w:rFonts w:eastAsia="Cambria"/>
        </w:rPr>
        <w:t>enefit-</w:t>
      </w:r>
      <w:r w:rsidR="001D4E2F">
        <w:rPr>
          <w:rFonts w:eastAsia="Cambria"/>
        </w:rPr>
        <w:t>r</w:t>
      </w:r>
      <w:r w:rsidRPr="00605AD4">
        <w:rPr>
          <w:rFonts w:eastAsia="Cambria"/>
        </w:rPr>
        <w:t xml:space="preserve">isk </w:t>
      </w:r>
      <w:r w:rsidR="001D4E2F">
        <w:rPr>
          <w:rFonts w:eastAsia="Cambria"/>
        </w:rPr>
        <w:t>a</w:t>
      </w:r>
      <w:r w:rsidRPr="00605AD4">
        <w:rPr>
          <w:rFonts w:eastAsia="Cambria"/>
        </w:rPr>
        <w:t>ssessment</w:t>
      </w:r>
      <w:bookmarkEnd w:id="94"/>
    </w:p>
    <w:p w:rsidR="00605AD4" w:rsidRDefault="00605AD4" w:rsidP="001D4E2F">
      <w:pPr>
        <w:pStyle w:val="Heading4"/>
      </w:pPr>
      <w:r w:rsidRPr="00605AD4">
        <w:t>First round assessment of benefits</w:t>
      </w:r>
    </w:p>
    <w:p w:rsidR="00C864BE" w:rsidRDefault="00FD1865" w:rsidP="001D4E2F">
      <w:r w:rsidRPr="00FD1865">
        <w:t>The proposed scored 25 µg strength fills a small unmet need. The proposed strengths 88, 112 and 137 µg offer no practical benefit beyond other proposed strengths. The additional convenience offered by the proposed 175 µg strength would be minor.</w:t>
      </w:r>
    </w:p>
    <w:p w:rsidR="00605AD4" w:rsidRDefault="00605AD4" w:rsidP="001D4E2F">
      <w:pPr>
        <w:pStyle w:val="Heading4"/>
      </w:pPr>
      <w:r w:rsidRPr="00605AD4">
        <w:t>First round assessment of risks</w:t>
      </w:r>
    </w:p>
    <w:p w:rsidR="00FD1865" w:rsidRDefault="00FD1865" w:rsidP="001D4E2F">
      <w:r>
        <w:t>All the proposed products carry the risk of dose error.</w:t>
      </w:r>
    </w:p>
    <w:p w:rsidR="00FD1865" w:rsidRDefault="00FD1865" w:rsidP="001D4E2F">
      <w:r>
        <w:t>The proposed strengths 88, 112, 137 and 175 µg would add confusion to the range of available dosages.</w:t>
      </w:r>
    </w:p>
    <w:p w:rsidR="00605AD4" w:rsidRPr="00605AD4" w:rsidRDefault="00605AD4" w:rsidP="001D4E2F">
      <w:pPr>
        <w:pStyle w:val="Heading4"/>
      </w:pPr>
      <w:r w:rsidRPr="00605AD4">
        <w:t>First round assessment of benefit-risk balance</w:t>
      </w:r>
    </w:p>
    <w:p w:rsidR="00605AD4" w:rsidRPr="00605AD4" w:rsidRDefault="00C864BE" w:rsidP="001D4E2F">
      <w:r w:rsidRPr="00C864BE">
        <w:t xml:space="preserve">The </w:t>
      </w:r>
      <w:r w:rsidRPr="00831326">
        <w:t>benefit-risk balance of all the products which are subjects of this application, given the proposed usage, is unfavourable</w:t>
      </w:r>
      <w:r w:rsidR="001D4E2F">
        <w:t>.</w:t>
      </w:r>
    </w:p>
    <w:p w:rsidR="00605AD4" w:rsidRPr="00605AD4" w:rsidRDefault="00605AD4" w:rsidP="001D4E2F">
      <w:pPr>
        <w:pStyle w:val="Heading3"/>
        <w:rPr>
          <w:rFonts w:eastAsia="Cambria"/>
        </w:rPr>
      </w:pPr>
      <w:bookmarkStart w:id="95" w:name="_Toc392595960"/>
      <w:r w:rsidRPr="00605AD4">
        <w:rPr>
          <w:rFonts w:eastAsia="Cambria"/>
        </w:rPr>
        <w:t xml:space="preserve">First </w:t>
      </w:r>
      <w:r w:rsidR="001D4E2F">
        <w:rPr>
          <w:rFonts w:eastAsia="Cambria"/>
        </w:rPr>
        <w:t>r</w:t>
      </w:r>
      <w:r w:rsidRPr="00605AD4">
        <w:rPr>
          <w:rFonts w:eastAsia="Cambria"/>
        </w:rPr>
        <w:t xml:space="preserve">ound </w:t>
      </w:r>
      <w:r w:rsidR="001D4E2F">
        <w:rPr>
          <w:rFonts w:eastAsia="Cambria"/>
        </w:rPr>
        <w:t>r</w:t>
      </w:r>
      <w:r w:rsidRPr="00605AD4">
        <w:rPr>
          <w:rFonts w:eastAsia="Cambria"/>
        </w:rPr>
        <w:t xml:space="preserve">ecommendation </w:t>
      </w:r>
      <w:r w:rsidR="001D4E2F">
        <w:rPr>
          <w:rFonts w:eastAsia="Cambria"/>
        </w:rPr>
        <w:t>r</w:t>
      </w:r>
      <w:r w:rsidRPr="00605AD4">
        <w:rPr>
          <w:rFonts w:eastAsia="Cambria"/>
        </w:rPr>
        <w:t xml:space="preserve">egarding </w:t>
      </w:r>
      <w:r w:rsidR="001D4E2F">
        <w:rPr>
          <w:rFonts w:eastAsia="Cambria"/>
        </w:rPr>
        <w:t>a</w:t>
      </w:r>
      <w:r w:rsidRPr="00605AD4">
        <w:rPr>
          <w:rFonts w:eastAsia="Cambria"/>
        </w:rPr>
        <w:t>uthorisation</w:t>
      </w:r>
      <w:bookmarkEnd w:id="95"/>
    </w:p>
    <w:p w:rsidR="00605AD4" w:rsidRPr="00605AD4" w:rsidRDefault="00C864BE" w:rsidP="001D4E2F">
      <w:r w:rsidRPr="00831326">
        <w:t>Approval of the proposed products should be refused.</w:t>
      </w:r>
    </w:p>
    <w:p w:rsidR="00605AD4" w:rsidRPr="001D4E2F" w:rsidRDefault="00605AD4" w:rsidP="001D4E2F">
      <w:pPr>
        <w:pStyle w:val="Heading3"/>
        <w:rPr>
          <w:rFonts w:eastAsia="Cambria"/>
        </w:rPr>
      </w:pPr>
      <w:bookmarkStart w:id="96" w:name="_Toc392595961"/>
      <w:r w:rsidRPr="00AE10FF">
        <w:rPr>
          <w:rFonts w:eastAsia="Cambria"/>
        </w:rPr>
        <w:t xml:space="preserve">Clinical </w:t>
      </w:r>
      <w:r w:rsidR="001D4E2F">
        <w:rPr>
          <w:rFonts w:eastAsia="Cambria"/>
        </w:rPr>
        <w:t>q</w:t>
      </w:r>
      <w:r w:rsidRPr="00AE10FF">
        <w:rPr>
          <w:rFonts w:eastAsia="Cambria"/>
        </w:rPr>
        <w:t>uestions</w:t>
      </w:r>
      <w:bookmarkEnd w:id="96"/>
    </w:p>
    <w:p w:rsidR="00AE10FF" w:rsidRPr="00AE10FF" w:rsidRDefault="00AE10FF" w:rsidP="006D0F22">
      <w:pPr>
        <w:pStyle w:val="Numberbullet0"/>
      </w:pPr>
      <w:r w:rsidRPr="00AE10FF">
        <w:t xml:space="preserve">Could the </w:t>
      </w:r>
      <w:r w:rsidRPr="006D0F22">
        <w:t>sponsor</w:t>
      </w:r>
      <w:r w:rsidRPr="00AE10FF">
        <w:t xml:space="preserve"> comment on whether the pharmacokinetics of </w:t>
      </w:r>
      <w:proofErr w:type="spellStart"/>
      <w:r w:rsidRPr="00AE10FF">
        <w:t>Eltroxin</w:t>
      </w:r>
      <w:proofErr w:type="spellEnd"/>
      <w:r w:rsidRPr="00AE10FF">
        <w:t xml:space="preserve"> are linear with reference to the selection of 600</w:t>
      </w:r>
      <w:r w:rsidR="00084BB0">
        <w:t xml:space="preserve"> µ</w:t>
      </w:r>
      <w:r w:rsidRPr="00AE10FF">
        <w:t xml:space="preserve">g dose selected for the bioavailability study (ARL/11/201)? </w:t>
      </w:r>
      <w:r w:rsidR="00084BB0">
        <w:t>S</w:t>
      </w:r>
      <w:r w:rsidRPr="00AE10FF">
        <w:t>ee EMA Guideline on the Investigation of Bioequivalence. CPMP/EWP/QWP/1401/98 Rev.1/Corr. P12</w:t>
      </w:r>
      <w:r w:rsidR="00084BB0">
        <w:t>.</w:t>
      </w:r>
    </w:p>
    <w:p w:rsidR="00AE10FF" w:rsidRPr="00AE10FF" w:rsidRDefault="00AE10FF" w:rsidP="006D0F22">
      <w:pPr>
        <w:pStyle w:val="Numberbullet0"/>
      </w:pPr>
      <w:r w:rsidRPr="00AE10FF">
        <w:lastRenderedPageBreak/>
        <w:t xml:space="preserve">Please comment on the clinical </w:t>
      </w:r>
      <w:r w:rsidRPr="006D0F22">
        <w:t>significance</w:t>
      </w:r>
      <w:r w:rsidRPr="00AE10FF">
        <w:t xml:space="preserve"> of 90% CIs for AUC</w:t>
      </w:r>
      <w:r w:rsidRPr="00AE10FF">
        <w:rPr>
          <w:vertAlign w:val="subscript"/>
        </w:rPr>
        <w:t>0-t</w:t>
      </w:r>
      <w:r w:rsidRPr="00AE10FF">
        <w:t xml:space="preserve"> and C</w:t>
      </w:r>
      <w:r w:rsidRPr="00AE10FF">
        <w:rPr>
          <w:vertAlign w:val="subscript"/>
        </w:rPr>
        <w:t>max</w:t>
      </w:r>
      <w:r w:rsidRPr="00AE10FF">
        <w:t xml:space="preserve"> being completely on the lower side of 100% in AR/11/201; that is, AUC</w:t>
      </w:r>
      <w:r w:rsidRPr="00AE10FF">
        <w:rPr>
          <w:vertAlign w:val="subscript"/>
        </w:rPr>
        <w:t>0-t</w:t>
      </w:r>
      <w:r w:rsidRPr="00AE10FF">
        <w:t>: 89.1 (84.7, 93.7); C</w:t>
      </w:r>
      <w:r w:rsidRPr="00AE10FF">
        <w:rPr>
          <w:vertAlign w:val="subscript"/>
        </w:rPr>
        <w:t>max</w:t>
      </w:r>
      <w:r w:rsidRPr="00AE10FF">
        <w:t>: 86.2 (82.1, 90.6).</w:t>
      </w:r>
    </w:p>
    <w:p w:rsidR="00AE10FF" w:rsidRPr="00AE10FF" w:rsidRDefault="00AE10FF" w:rsidP="006D0F22">
      <w:pPr>
        <w:pStyle w:val="Numberbullet0"/>
      </w:pPr>
      <w:r w:rsidRPr="00AE10FF">
        <w:t xml:space="preserve">Could the sponsor confirm that </w:t>
      </w:r>
      <w:r w:rsidRPr="006D0F22">
        <w:t>the</w:t>
      </w:r>
      <w:r w:rsidRPr="00AE10FF">
        <w:t xml:space="preserve"> 25</w:t>
      </w:r>
      <w:r>
        <w:t xml:space="preserve"> µ</w:t>
      </w:r>
      <w:r w:rsidRPr="00AE10FF">
        <w:t>g tablet is scored and can be broken equally in two</w:t>
      </w:r>
      <w:r w:rsidR="00084BB0">
        <w:t>?</w:t>
      </w:r>
    </w:p>
    <w:p w:rsidR="00AE10FF" w:rsidRPr="00AE10FF" w:rsidRDefault="00AE10FF" w:rsidP="006D0F22">
      <w:pPr>
        <w:pStyle w:val="Numberbullet0"/>
      </w:pPr>
      <w:r w:rsidRPr="00AE10FF">
        <w:t xml:space="preserve">Could the sponsor outline the </w:t>
      </w:r>
      <w:r w:rsidRPr="006D0F22">
        <w:t>clinical</w:t>
      </w:r>
      <w:r w:rsidRPr="00AE10FF">
        <w:t xml:space="preserve"> importance of the additional strengths compared to the innovator</w:t>
      </w:r>
      <w:r w:rsidR="00677F02">
        <w:t xml:space="preserve"> </w:t>
      </w:r>
      <w:proofErr w:type="gramStart"/>
      <w:r w:rsidR="00677F02">
        <w:t>product</w:t>
      </w:r>
      <w:r w:rsidRPr="00AE10FF">
        <w:t>.</w:t>
      </w:r>
      <w:proofErr w:type="gramEnd"/>
    </w:p>
    <w:p w:rsidR="00605AD4" w:rsidRPr="00605AD4" w:rsidRDefault="00605AD4" w:rsidP="006D0F22">
      <w:pPr>
        <w:pStyle w:val="Heading3"/>
        <w:rPr>
          <w:rFonts w:eastAsia="Cambria"/>
        </w:rPr>
      </w:pPr>
      <w:bookmarkStart w:id="97" w:name="_Toc392595962"/>
      <w:r w:rsidRPr="00605AD4">
        <w:rPr>
          <w:rFonts w:eastAsia="Cambria"/>
        </w:rPr>
        <w:t xml:space="preserve">Second </w:t>
      </w:r>
      <w:r w:rsidR="006D0F22">
        <w:rPr>
          <w:rFonts w:eastAsia="Cambria"/>
        </w:rPr>
        <w:t>r</w:t>
      </w:r>
      <w:r w:rsidRPr="00605AD4">
        <w:rPr>
          <w:rFonts w:eastAsia="Cambria"/>
        </w:rPr>
        <w:t xml:space="preserve">ound </w:t>
      </w:r>
      <w:r w:rsidR="006D0F22">
        <w:rPr>
          <w:rFonts w:eastAsia="Cambria"/>
        </w:rPr>
        <w:t>e</w:t>
      </w:r>
      <w:r w:rsidRPr="006D0F22">
        <w:rPr>
          <w:rFonts w:eastAsia="Cambria"/>
        </w:rPr>
        <w:t>valuation</w:t>
      </w:r>
      <w:r w:rsidRPr="00605AD4">
        <w:rPr>
          <w:rFonts w:eastAsia="Cambria"/>
        </w:rPr>
        <w:t xml:space="preserve"> of clinical data submitted in response to questions</w:t>
      </w:r>
      <w:bookmarkEnd w:id="97"/>
    </w:p>
    <w:p w:rsidR="003958EF" w:rsidRPr="00774F88" w:rsidRDefault="00084BB0" w:rsidP="006D0F22">
      <w:pPr>
        <w:pStyle w:val="Heading4"/>
      </w:pPr>
      <w:bookmarkStart w:id="98" w:name="_Toc387742525"/>
      <w:r>
        <w:t>B</w:t>
      </w:r>
      <w:r w:rsidR="003958EF" w:rsidRPr="00774F88">
        <w:t xml:space="preserve">ackground of </w:t>
      </w:r>
      <w:r w:rsidR="003958EF" w:rsidRPr="006D0F22">
        <w:t>relevance</w:t>
      </w:r>
      <w:r w:rsidR="003958EF" w:rsidRPr="00774F88">
        <w:t xml:space="preserve"> to the evaluation of</w:t>
      </w:r>
      <w:r>
        <w:t xml:space="preserve"> the sponsor’s </w:t>
      </w:r>
      <w:r w:rsidR="003958EF" w:rsidRPr="00774F88">
        <w:t>responses</w:t>
      </w:r>
      <w:bookmarkEnd w:id="98"/>
    </w:p>
    <w:p w:rsidR="003958EF" w:rsidRPr="00774F88" w:rsidRDefault="003958EF" w:rsidP="006D0F22">
      <w:r w:rsidRPr="00774F88">
        <w:t xml:space="preserve">One difference between </w:t>
      </w:r>
      <w:proofErr w:type="spellStart"/>
      <w:r w:rsidRPr="00774F88">
        <w:t>Eltroxin</w:t>
      </w:r>
      <w:proofErr w:type="spellEnd"/>
      <w:r w:rsidRPr="00774F88">
        <w:t xml:space="preserve"> and the reference product (</w:t>
      </w:r>
      <w:proofErr w:type="spellStart"/>
      <w:r w:rsidRPr="00774F88">
        <w:t>Oroxine</w:t>
      </w:r>
      <w:proofErr w:type="spellEnd"/>
      <w:r w:rsidRPr="00774F88">
        <w:t>/</w:t>
      </w:r>
      <w:proofErr w:type="spellStart"/>
      <w:r w:rsidR="00F31733">
        <w:t>Eutroxsig</w:t>
      </w:r>
      <w:proofErr w:type="spellEnd"/>
      <w:r w:rsidRPr="00774F88">
        <w:t xml:space="preserve">) is that </w:t>
      </w:r>
      <w:proofErr w:type="spellStart"/>
      <w:r w:rsidRPr="00774F88">
        <w:t>Eltroxin</w:t>
      </w:r>
      <w:proofErr w:type="spellEnd"/>
      <w:r w:rsidRPr="00774F88">
        <w:t xml:space="preserve"> does not need to be refrigerated (although it should be stored below 25</w:t>
      </w:r>
      <w:r w:rsidRPr="00774F88">
        <w:rPr>
          <w:vertAlign w:val="superscript"/>
        </w:rPr>
        <w:t>o</w:t>
      </w:r>
      <w:r w:rsidR="006D0F22">
        <w:t>C).</w:t>
      </w:r>
    </w:p>
    <w:p w:rsidR="003958EF" w:rsidRPr="00774F88" w:rsidRDefault="003958EF" w:rsidP="006D0F22">
      <w:r w:rsidRPr="00774F88">
        <w:t>Levothyroxine has been formulated into tablets to treat thyroid disease for more than 50 years. It is known to be difficult to manufacture; it can be sensitive to seemingly minor changes in processing; and it can be prone to instability once formulated. Historically, these known problems (and clinical reports of variations in effectiveness) have led to concerns about variations in effectiveness and stability; within and across branded products, even befor</w:t>
      </w:r>
      <w:r w:rsidR="006D0F22">
        <w:t>e the introduction of generics.</w:t>
      </w:r>
    </w:p>
    <w:p w:rsidR="003958EF" w:rsidRPr="00774F88" w:rsidRDefault="003958EF" w:rsidP="006D0F22">
      <w:r w:rsidRPr="00774F88">
        <w:t xml:space="preserve">Individual patients typically have their dose of thyroxine titrated according to </w:t>
      </w:r>
      <w:r w:rsidRPr="00502A89">
        <w:t xml:space="preserve">thyroid stimulating hormone </w:t>
      </w:r>
      <w:r>
        <w:t>(</w:t>
      </w:r>
      <w:r w:rsidRPr="00774F88">
        <w:t>TSH</w:t>
      </w:r>
      <w:r>
        <w:t>)</w:t>
      </w:r>
      <w:r w:rsidRPr="00774F88">
        <w:t xml:space="preserve"> levels.</w:t>
      </w:r>
    </w:p>
    <w:p w:rsidR="003958EF" w:rsidRPr="00774F88" w:rsidRDefault="003958EF" w:rsidP="006D0F22">
      <w:proofErr w:type="spellStart"/>
      <w:r w:rsidRPr="00774F88">
        <w:t>Eltroxin</w:t>
      </w:r>
      <w:proofErr w:type="spellEnd"/>
      <w:r w:rsidRPr="00774F88">
        <w:t xml:space="preserve"> is the first generic thyroxine tablet to be submitted for registration in Australia; however, thyroxine is a well-established drug and the concept of a generic in these circumstances is not straight forward. For example, several levothyroxine products were on the market in the US and Europe before 1982 and these products were and are used interchangeably without the support of bioequivalence data required by today’s regulatory standards.</w:t>
      </w:r>
    </w:p>
    <w:p w:rsidR="003958EF" w:rsidRPr="00774F88" w:rsidRDefault="003958EF" w:rsidP="006D0F22">
      <w:r w:rsidRPr="00774F88">
        <w:t>Between 2000-2005 the FDA developed standards for satisfactorily establishing bioequivalence of a generic (</w:t>
      </w:r>
      <w:proofErr w:type="spellStart"/>
      <w:r w:rsidRPr="00774F88">
        <w:t>levo</w:t>
      </w:r>
      <w:proofErr w:type="spellEnd"/>
      <w:proofErr w:type="gramStart"/>
      <w:r w:rsidRPr="00774F88">
        <w:t>)</w:t>
      </w:r>
      <w:proofErr w:type="spellStart"/>
      <w:r w:rsidRPr="00774F88">
        <w:t>thyroxine</w:t>
      </w:r>
      <w:proofErr w:type="spellEnd"/>
      <w:proofErr w:type="gramEnd"/>
      <w:r w:rsidRPr="00774F88">
        <w:t xml:space="preserve"> to a reference product:</w:t>
      </w:r>
    </w:p>
    <w:p w:rsidR="003958EF" w:rsidRPr="00774F88" w:rsidRDefault="003958EF" w:rsidP="006D0F22">
      <w:pPr>
        <w:pStyle w:val="ListBullet"/>
      </w:pPr>
      <w:r w:rsidRPr="00774F88">
        <w:t xml:space="preserve">Assays of total </w:t>
      </w:r>
      <w:proofErr w:type="spellStart"/>
      <w:r w:rsidRPr="006D0F22">
        <w:t>thyroxine</w:t>
      </w:r>
      <w:proofErr w:type="spellEnd"/>
      <w:r w:rsidRPr="00774F88">
        <w:t xml:space="preserve"> in tablets</w:t>
      </w:r>
    </w:p>
    <w:p w:rsidR="003958EF" w:rsidRPr="00774F88" w:rsidRDefault="003958EF" w:rsidP="006D0F22">
      <w:pPr>
        <w:pStyle w:val="ListBullet"/>
      </w:pPr>
      <w:r w:rsidRPr="00774F88">
        <w:t xml:space="preserve">Studies of the </w:t>
      </w:r>
      <w:r w:rsidRPr="006D0F22">
        <w:t>speed</w:t>
      </w:r>
      <w:r w:rsidRPr="00774F88">
        <w:t xml:space="preserve"> of dissolution</w:t>
      </w:r>
    </w:p>
    <w:p w:rsidR="003958EF" w:rsidRPr="00774F88" w:rsidRDefault="003958EF" w:rsidP="006D0F22">
      <w:pPr>
        <w:pStyle w:val="ListBullet"/>
      </w:pPr>
      <w:r w:rsidRPr="00774F88">
        <w:t xml:space="preserve">Bioequivalence </w:t>
      </w:r>
      <w:r w:rsidRPr="006D0F22">
        <w:t>studies</w:t>
      </w:r>
      <w:r w:rsidRPr="00774F88">
        <w:t xml:space="preserve"> using a supra-therapeutic dose of 60</w:t>
      </w:r>
      <w:r w:rsidR="00A838AC">
        <w:t>0 µg</w:t>
      </w:r>
    </w:p>
    <w:p w:rsidR="003958EF" w:rsidRPr="00774F88" w:rsidRDefault="003958EF" w:rsidP="006D0F22">
      <w:r w:rsidRPr="00774F88">
        <w:t>There has been continuing discussion in the medical literature about the methods used in the bioequivalence studies:</w:t>
      </w:r>
    </w:p>
    <w:p w:rsidR="003958EF" w:rsidRPr="00774F88" w:rsidRDefault="003958EF" w:rsidP="006D0F22">
      <w:pPr>
        <w:pStyle w:val="ListBullet"/>
      </w:pPr>
      <w:proofErr w:type="gramStart"/>
      <w:r w:rsidRPr="00774F88">
        <w:t>whether</w:t>
      </w:r>
      <w:proofErr w:type="gramEnd"/>
      <w:r w:rsidRPr="00774F88">
        <w:t xml:space="preserve"> </w:t>
      </w:r>
      <w:proofErr w:type="spellStart"/>
      <w:r w:rsidRPr="006D0F22">
        <w:t>thyroxine</w:t>
      </w:r>
      <w:proofErr w:type="spellEnd"/>
      <w:r w:rsidRPr="00774F88">
        <w:t xml:space="preserve"> is a narrow therapeutic index drug and consequently whether the acceptance limits for the 90% CI for the ratio of AUC (and C</w:t>
      </w:r>
      <w:r w:rsidRPr="00774F88">
        <w:rPr>
          <w:vertAlign w:val="subscript"/>
        </w:rPr>
        <w:t>max</w:t>
      </w:r>
      <w:r w:rsidRPr="00774F88">
        <w:t>) should be 90%</w:t>
      </w:r>
      <w:r w:rsidR="00AE10FF">
        <w:t xml:space="preserve"> to </w:t>
      </w:r>
      <w:r w:rsidRPr="00774F88">
        <w:t>111% or 80%</w:t>
      </w:r>
      <w:r w:rsidR="00AE10FF">
        <w:t xml:space="preserve"> to </w:t>
      </w:r>
      <w:r w:rsidR="006D0F22">
        <w:t>125%.</w:t>
      </w:r>
    </w:p>
    <w:p w:rsidR="003958EF" w:rsidRPr="00774F88" w:rsidRDefault="003958EF" w:rsidP="006D0F22">
      <w:pPr>
        <w:pStyle w:val="ListBullet"/>
      </w:pPr>
      <w:proofErr w:type="gramStart"/>
      <w:r w:rsidRPr="00774F88">
        <w:t>whether</w:t>
      </w:r>
      <w:proofErr w:type="gramEnd"/>
      <w:r w:rsidRPr="00774F88">
        <w:t xml:space="preserve"> the total </w:t>
      </w:r>
      <w:proofErr w:type="spellStart"/>
      <w:r w:rsidRPr="006D0F22">
        <w:t>thyroxine</w:t>
      </w:r>
      <w:proofErr w:type="spellEnd"/>
      <w:r w:rsidRPr="00774F88">
        <w:t xml:space="preserve"> levels in bioequivalence studies should be baseline corrected (some but not all FDA documentation recommends this).</w:t>
      </w:r>
    </w:p>
    <w:p w:rsidR="003958EF" w:rsidRPr="00774F88" w:rsidRDefault="003958EF" w:rsidP="006D0F22">
      <w:r w:rsidRPr="00774F88">
        <w:t>Several generic thyroxine products have gained marketing approval in the United States; however, the Endocrine Society, The American Association of Clinical Endocrinologists and the American Thyroid Association have raised continuing concerns about the bioequivalence studies. They advise that patients should avoid changing the brand of levothyroxine and if the brand is changed, TSH levels should be checked within 6 weeks.</w:t>
      </w:r>
    </w:p>
    <w:p w:rsidR="003958EF" w:rsidRPr="00774F88" w:rsidRDefault="003958EF" w:rsidP="006D0F22">
      <w:r w:rsidRPr="00774F88">
        <w:t xml:space="preserve">In Europe, the Commission on Human Medicines </w:t>
      </w:r>
      <w:r>
        <w:t xml:space="preserve">(CHM) </w:t>
      </w:r>
      <w:r w:rsidRPr="00774F88">
        <w:t xml:space="preserve">made the following recommendation: </w:t>
      </w:r>
      <w:r w:rsidRPr="006D0F22">
        <w:rPr>
          <w:i/>
        </w:rPr>
        <w:t xml:space="preserve">“Acknowledging standard prescribing practice and that this drug product </w:t>
      </w:r>
      <w:r w:rsidRPr="006D0F22">
        <w:rPr>
          <w:i/>
        </w:rPr>
        <w:lastRenderedPageBreak/>
        <w:t>has been prescribed on a generic basis for many years, brand or named supplier prescribing is not considered necessary at this stage, but should be kept under review.”</w:t>
      </w:r>
      <w:r w:rsidRPr="00774F88">
        <w:t xml:space="preserve"> This is in line with the view of the FDA.</w:t>
      </w:r>
    </w:p>
    <w:p w:rsidR="003958EF" w:rsidRPr="00774F88" w:rsidRDefault="003958EF" w:rsidP="006D0F22">
      <w:r w:rsidRPr="00774F88">
        <w:t xml:space="preserve">CHM also made the following recommendation: </w:t>
      </w:r>
      <w:r w:rsidRPr="006D0F22">
        <w:rPr>
          <w:i/>
        </w:rPr>
        <w:t>“Whilst recognising the difficulties in establishing bioequivalence for levothyroxine as an endogenous substance, the CHM consider that bioequivalence studies in line with the FDA guidelines are of value in providing reassurance of bioequivalence.”</w:t>
      </w:r>
    </w:p>
    <w:p w:rsidR="003958EF" w:rsidRPr="00774F88" w:rsidRDefault="003958EF" w:rsidP="006D0F22">
      <w:r w:rsidRPr="00774F88">
        <w:t xml:space="preserve">In the United Kingdom (in the 5 years to 2012), the </w:t>
      </w:r>
      <w:r>
        <w:t>Medicines and Healthcare Products Regulatory Agency (</w:t>
      </w:r>
      <w:r w:rsidRPr="00774F88">
        <w:t>MHRA</w:t>
      </w:r>
      <w:r>
        <w:t>)</w:t>
      </w:r>
      <w:r w:rsidRPr="00774F88">
        <w:t xml:space="preserve"> advised of an increase in the number of spontaneous reports of inconsistencies in effectiveness of different makes of levothyroxine products; and between differe</w:t>
      </w:r>
      <w:r w:rsidR="006D0F22">
        <w:t>nt batches of the same product.</w:t>
      </w:r>
    </w:p>
    <w:p w:rsidR="003958EF" w:rsidRPr="00774F88" w:rsidRDefault="003958EF" w:rsidP="006D0F22">
      <w:r w:rsidRPr="00774F88">
        <w:t xml:space="preserve">In 2007, the </w:t>
      </w:r>
      <w:r w:rsidRPr="000D7617">
        <w:t xml:space="preserve">British Pharmacopoeia </w:t>
      </w:r>
      <w:r>
        <w:t>(</w:t>
      </w:r>
      <w:r w:rsidRPr="00774F88">
        <w:t>BP</w:t>
      </w:r>
      <w:r>
        <w:t>)</w:t>
      </w:r>
      <w:r w:rsidRPr="00774F88">
        <w:t xml:space="preserve"> Commission tightened the control limits for assay within the BP Monograph for Levothyroxine tablets to 90% to 105% over shelf life. These more stringent controls were intended to balance the need to allow some degradation of thyroxine during shelf-life with tighter assay limits to reduce potential variability between products and batches. In a similar move in 2007, the FDA tightened potency specificat</w:t>
      </w:r>
      <w:r w:rsidR="006D0F22">
        <w:t>ions from 90%-110% to 95%-105%.</w:t>
      </w:r>
    </w:p>
    <w:p w:rsidR="003958EF" w:rsidRPr="006D0F22" w:rsidRDefault="003958EF" w:rsidP="006D0F22">
      <w:pPr>
        <w:pStyle w:val="Heading4"/>
      </w:pPr>
      <w:bookmarkStart w:id="99" w:name="_Toc387742526"/>
      <w:r w:rsidRPr="00774F88">
        <w:t>Summary of clinical evaluation</w:t>
      </w:r>
      <w:bookmarkEnd w:id="99"/>
    </w:p>
    <w:p w:rsidR="003958EF" w:rsidRPr="00774F88" w:rsidRDefault="003958EF" w:rsidP="006D0F22">
      <w:pPr>
        <w:rPr>
          <w:lang w:eastAsia="en-AU"/>
        </w:rPr>
      </w:pPr>
      <w:r w:rsidRPr="00831326">
        <w:rPr>
          <w:lang w:eastAsia="en-AU"/>
        </w:rPr>
        <w:t>All of the sponsor’s responses are accepted, except</w:t>
      </w:r>
      <w:r w:rsidR="00A13F6C" w:rsidRPr="00831326">
        <w:rPr>
          <w:lang w:eastAsia="en-AU"/>
        </w:rPr>
        <w:t xml:space="preserve"> the sp</w:t>
      </w:r>
      <w:r w:rsidR="00A13F6C">
        <w:rPr>
          <w:lang w:eastAsia="en-AU"/>
        </w:rPr>
        <w:t>onsor was asked to</w:t>
      </w:r>
      <w:r w:rsidRPr="00774F88">
        <w:rPr>
          <w:lang w:eastAsia="en-AU"/>
        </w:rPr>
        <w:t>:</w:t>
      </w:r>
    </w:p>
    <w:p w:rsidR="003958EF" w:rsidRPr="00774F88" w:rsidRDefault="003958EF" w:rsidP="006D0F22">
      <w:pPr>
        <w:pStyle w:val="ListBullet"/>
      </w:pPr>
      <w:proofErr w:type="gramStart"/>
      <w:r w:rsidRPr="00774F88">
        <w:t>provide</w:t>
      </w:r>
      <w:proofErr w:type="gramEnd"/>
      <w:r w:rsidRPr="00774F88">
        <w:t xml:space="preserve"> baseline corrected results for the ratio of </w:t>
      </w:r>
      <w:proofErr w:type="spellStart"/>
      <w:r w:rsidRPr="00774F88">
        <w:t>Eltroxin</w:t>
      </w:r>
      <w:proofErr w:type="spellEnd"/>
      <w:r w:rsidRPr="00774F88">
        <w:t xml:space="preserve"> to the </w:t>
      </w:r>
      <w:r w:rsidRPr="006D0F22">
        <w:t>reference</w:t>
      </w:r>
      <w:r w:rsidRPr="00774F88">
        <w:t xml:space="preserve"> product for AUC</w:t>
      </w:r>
      <w:r w:rsidRPr="00774F88">
        <w:rPr>
          <w:vertAlign w:val="subscript"/>
        </w:rPr>
        <w:t>0-48hrs</w:t>
      </w:r>
      <w:r w:rsidRPr="00774F88">
        <w:t xml:space="preserve"> and </w:t>
      </w:r>
      <w:proofErr w:type="spellStart"/>
      <w:r w:rsidRPr="00774F88">
        <w:t>C</w:t>
      </w:r>
      <w:r w:rsidRPr="00774F88">
        <w:rPr>
          <w:vertAlign w:val="subscript"/>
        </w:rPr>
        <w:t>max</w:t>
      </w:r>
      <w:proofErr w:type="spellEnd"/>
      <w:r w:rsidR="006D0F22">
        <w:t>.</w:t>
      </w:r>
    </w:p>
    <w:p w:rsidR="003958EF" w:rsidRPr="00774F88" w:rsidRDefault="003958EF" w:rsidP="006D0F22">
      <w:pPr>
        <w:pStyle w:val="ListBullet"/>
      </w:pPr>
      <w:proofErr w:type="gramStart"/>
      <w:r w:rsidRPr="00774F88">
        <w:t>comment</w:t>
      </w:r>
      <w:proofErr w:type="gramEnd"/>
      <w:r w:rsidRPr="00774F88">
        <w:t xml:space="preserve"> on whether thyroxine is a narrow therapeutic index drug.</w:t>
      </w:r>
    </w:p>
    <w:p w:rsidR="003958EF" w:rsidRPr="00774F88" w:rsidRDefault="003958EF" w:rsidP="006D0F22">
      <w:r w:rsidRPr="00774F88">
        <w:t>The regulatory decisions, at this preliminary stage and pending further advice, are around:</w:t>
      </w:r>
    </w:p>
    <w:p w:rsidR="003958EF" w:rsidRPr="00774F88" w:rsidRDefault="00A13F6C" w:rsidP="006D0F22">
      <w:pPr>
        <w:pStyle w:val="ListBullet"/>
      </w:pPr>
      <w:proofErr w:type="gramStart"/>
      <w:r>
        <w:t>w</w:t>
      </w:r>
      <w:r w:rsidR="003958EF" w:rsidRPr="00774F88">
        <w:t>hether</w:t>
      </w:r>
      <w:proofErr w:type="gramEnd"/>
      <w:r w:rsidR="003958EF" w:rsidRPr="00774F88">
        <w:t xml:space="preserve"> </w:t>
      </w:r>
      <w:proofErr w:type="spellStart"/>
      <w:r w:rsidR="003958EF" w:rsidRPr="00774F88">
        <w:t>Eltroxin</w:t>
      </w:r>
      <w:proofErr w:type="spellEnd"/>
      <w:r w:rsidR="003958EF" w:rsidRPr="00774F88">
        <w:t xml:space="preserve"> is bioequivalent and therefore interchangeable at the same dose with the reference product </w:t>
      </w:r>
      <w:r w:rsidR="003958EF" w:rsidRPr="00774F88">
        <w:rPr>
          <w:color w:val="000000"/>
        </w:rPr>
        <w:t>(</w:t>
      </w:r>
      <w:proofErr w:type="spellStart"/>
      <w:r w:rsidR="003958EF" w:rsidRPr="00774F88">
        <w:rPr>
          <w:color w:val="000000"/>
        </w:rPr>
        <w:t>Oroxine</w:t>
      </w:r>
      <w:proofErr w:type="spellEnd"/>
      <w:r w:rsidR="003958EF" w:rsidRPr="00774F88">
        <w:rPr>
          <w:color w:val="000000"/>
        </w:rPr>
        <w:t>/</w:t>
      </w:r>
      <w:proofErr w:type="spellStart"/>
      <w:r w:rsidR="00F31733">
        <w:rPr>
          <w:color w:val="000000"/>
        </w:rPr>
        <w:t>Eutroxsig</w:t>
      </w:r>
      <w:proofErr w:type="spellEnd"/>
      <w:r w:rsidR="003958EF" w:rsidRPr="00774F88">
        <w:rPr>
          <w:color w:val="000000"/>
        </w:rPr>
        <w:t>)</w:t>
      </w:r>
      <w:r w:rsidR="003958EF" w:rsidRPr="00774F88">
        <w:t>.</w:t>
      </w:r>
    </w:p>
    <w:p w:rsidR="003958EF" w:rsidRPr="00774F88" w:rsidRDefault="00A13F6C" w:rsidP="006D0F22">
      <w:pPr>
        <w:pStyle w:val="ListBullet"/>
      </w:pPr>
      <w:proofErr w:type="gramStart"/>
      <w:r>
        <w:t>i</w:t>
      </w:r>
      <w:r w:rsidR="003958EF" w:rsidRPr="00774F88">
        <w:t>f</w:t>
      </w:r>
      <w:proofErr w:type="gramEnd"/>
      <w:r w:rsidR="003958EF" w:rsidRPr="00774F88">
        <w:t xml:space="preserve"> </w:t>
      </w:r>
      <w:proofErr w:type="spellStart"/>
      <w:r w:rsidR="003958EF" w:rsidRPr="00774F88">
        <w:t>Eltroxin</w:t>
      </w:r>
      <w:proofErr w:type="spellEnd"/>
      <w:r w:rsidR="003958EF" w:rsidRPr="00774F88">
        <w:t xml:space="preserve"> is not considered bioequivalent to </w:t>
      </w:r>
      <w:proofErr w:type="spellStart"/>
      <w:r w:rsidR="003958EF" w:rsidRPr="00774F88">
        <w:t>Oroxine</w:t>
      </w:r>
      <w:proofErr w:type="spellEnd"/>
      <w:r w:rsidR="003958EF" w:rsidRPr="00774F88">
        <w:t>/</w:t>
      </w:r>
      <w:proofErr w:type="spellStart"/>
      <w:r w:rsidR="00F31733">
        <w:t>Eutroxsig</w:t>
      </w:r>
      <w:proofErr w:type="spellEnd"/>
      <w:r w:rsidR="003958EF" w:rsidRPr="00774F88">
        <w:t xml:space="preserve"> (</w:t>
      </w:r>
      <w:r w:rsidR="003958EF" w:rsidRPr="006D0F22">
        <w:t>and</w:t>
      </w:r>
      <w:r w:rsidR="003958EF" w:rsidRPr="00774F88">
        <w:t xml:space="preserve"> therefore not interchangeable at the same dose), whether the safety and efficacy of </w:t>
      </w:r>
      <w:proofErr w:type="spellStart"/>
      <w:r w:rsidR="003958EF" w:rsidRPr="00774F88">
        <w:t>Eltroxin</w:t>
      </w:r>
      <w:proofErr w:type="spellEnd"/>
      <w:r w:rsidR="003958EF" w:rsidRPr="00774F88">
        <w:t xml:space="preserve"> can be satisfactorily established via the submitted data. If this is the case, then the PIs for all three products would need to reflect the fact that </w:t>
      </w:r>
      <w:proofErr w:type="spellStart"/>
      <w:r w:rsidR="003958EF" w:rsidRPr="00774F88">
        <w:t>Eltroxin</w:t>
      </w:r>
      <w:proofErr w:type="spellEnd"/>
      <w:r w:rsidR="003958EF" w:rsidRPr="00774F88">
        <w:t xml:space="preserve"> is not interchangeable at the same dose with </w:t>
      </w:r>
      <w:proofErr w:type="spellStart"/>
      <w:r w:rsidR="003958EF" w:rsidRPr="00774F88">
        <w:t>Oroxine</w:t>
      </w:r>
      <w:proofErr w:type="spellEnd"/>
      <w:r w:rsidR="003958EF" w:rsidRPr="00774F88">
        <w:t>/</w:t>
      </w:r>
      <w:proofErr w:type="spellStart"/>
      <w:r w:rsidR="00F31733">
        <w:t>Eutroxsig</w:t>
      </w:r>
      <w:proofErr w:type="spellEnd"/>
      <w:r w:rsidR="003958EF" w:rsidRPr="00774F88">
        <w:t xml:space="preserve"> and patients would need to be re-titrated if they change products.</w:t>
      </w:r>
    </w:p>
    <w:p w:rsidR="003958EF" w:rsidRPr="00774F88" w:rsidRDefault="003958EF" w:rsidP="006D0F22">
      <w:r w:rsidRPr="00774F88">
        <w:t xml:space="preserve">Point-by-point evaluation of the sponsor’s responses to the </w:t>
      </w:r>
      <w:r w:rsidR="00A13F6C">
        <w:t>First Round c</w:t>
      </w:r>
      <w:r w:rsidRPr="00774F88">
        <w:t xml:space="preserve">linical </w:t>
      </w:r>
      <w:r w:rsidR="00A13F6C">
        <w:t>e</w:t>
      </w:r>
      <w:r w:rsidRPr="00774F88">
        <w:t xml:space="preserve">valuation </w:t>
      </w:r>
      <w:r w:rsidR="00A13F6C">
        <w:t>r</w:t>
      </w:r>
      <w:r w:rsidRPr="00774F88">
        <w:t>eport and the questions are given below.</w:t>
      </w:r>
    </w:p>
    <w:p w:rsidR="003958EF" w:rsidRPr="006D0F22" w:rsidRDefault="003958EF" w:rsidP="006D0F22">
      <w:pPr>
        <w:pStyle w:val="Heading5"/>
      </w:pPr>
      <w:r w:rsidRPr="00774F88">
        <w:t>Observation</w:t>
      </w:r>
      <w:r>
        <w:t xml:space="preserve"> </w:t>
      </w:r>
      <w:r w:rsidRPr="00774F88">
        <w:t>1</w:t>
      </w:r>
    </w:p>
    <w:p w:rsidR="003958EF" w:rsidRPr="006D0F22" w:rsidRDefault="003958EF" w:rsidP="006D0F22">
      <w:pPr>
        <w:pStyle w:val="Heading6"/>
      </w:pPr>
      <w:r w:rsidRPr="00774F88">
        <w:t>600</w:t>
      </w:r>
      <w:r>
        <w:t xml:space="preserve"> µ</w:t>
      </w:r>
      <w:r w:rsidRPr="00774F88">
        <w:t>g dose for bioequivalence study</w:t>
      </w:r>
    </w:p>
    <w:p w:rsidR="003958EF" w:rsidRPr="00774F88" w:rsidRDefault="003958EF" w:rsidP="006D0F22">
      <w:r w:rsidRPr="00774F88">
        <w:t xml:space="preserve">The </w:t>
      </w:r>
      <w:r w:rsidR="006D0F22">
        <w:t>sponsor’s response is accepted.</w:t>
      </w:r>
    </w:p>
    <w:p w:rsidR="003958EF" w:rsidRPr="00774F88" w:rsidRDefault="003958EF" w:rsidP="006D0F22">
      <w:pPr>
        <w:pStyle w:val="ListBullet"/>
      </w:pPr>
      <w:r w:rsidRPr="00774F88">
        <w:t>The EMA guideline (CPMP/EWP/QWP/1401/98 Rev.1/Corr, 2010) on bioequivalence supports the use of supra-therapeutic doses; provided that the dose is well tolerated. This allows the additional concentrations over baseline (provided by the treatment) to be reliably determined.</w:t>
      </w:r>
    </w:p>
    <w:p w:rsidR="003958EF" w:rsidRPr="00774F88" w:rsidRDefault="003958EF" w:rsidP="006D0F22">
      <w:pPr>
        <w:pStyle w:val="ListBullet"/>
      </w:pPr>
      <w:r w:rsidRPr="00774F88">
        <w:t>The FDA Guidance for Industry on in</w:t>
      </w:r>
      <w:r>
        <w:t xml:space="preserve"> </w:t>
      </w:r>
      <w:r w:rsidRPr="00774F88">
        <w:t>vivo PK and bioavailability studies and in</w:t>
      </w:r>
      <w:r>
        <w:t xml:space="preserve"> </w:t>
      </w:r>
      <w:r w:rsidRPr="00774F88">
        <w:t>vitro dissolution testing for levothyroxine sodium tablets (2000), recommends a 600</w:t>
      </w:r>
      <w:r>
        <w:t xml:space="preserve"> µ</w:t>
      </w:r>
      <w:r w:rsidRPr="00774F88">
        <w:t>g dose “</w:t>
      </w:r>
      <w:r w:rsidRPr="000D7617">
        <w:rPr>
          <w:i/>
        </w:rPr>
        <w:t>to detect T4 levels above baseline levels</w:t>
      </w:r>
      <w:r w:rsidRPr="00774F88">
        <w:t>”.</w:t>
      </w:r>
    </w:p>
    <w:p w:rsidR="003958EF" w:rsidRPr="00774F88" w:rsidRDefault="003958EF" w:rsidP="006D0F22">
      <w:pPr>
        <w:pStyle w:val="ListBullet"/>
      </w:pPr>
      <w:r w:rsidRPr="00774F88">
        <w:t xml:space="preserve">The transcript of the Joint </w:t>
      </w:r>
      <w:r w:rsidRPr="006D0F22">
        <w:t>Public</w:t>
      </w:r>
      <w:r w:rsidRPr="00774F88">
        <w:t xml:space="preserve"> Meeting on Equivalence of Levothyroxine Sodium Products (co-sponsored by FDA, American Thyroid Association, The Endocrine </w:t>
      </w:r>
      <w:r w:rsidRPr="00774F88">
        <w:lastRenderedPageBreak/>
        <w:t>Society, American Association of Clinical Endocrinologists) (2005) recommends the 600</w:t>
      </w:r>
      <w:r>
        <w:t xml:space="preserve"> µ</w:t>
      </w:r>
      <w:r w:rsidRPr="00774F88">
        <w:t>g dose for 2 reasons:</w:t>
      </w:r>
    </w:p>
    <w:p w:rsidR="003958EF" w:rsidRPr="003958EF" w:rsidRDefault="003958EF" w:rsidP="006D0F22">
      <w:pPr>
        <w:pStyle w:val="ListBullet2"/>
      </w:pPr>
      <w:r w:rsidRPr="003958EF">
        <w:t>It is a multiple of the highest strength tablet (300 µg in the US)</w:t>
      </w:r>
    </w:p>
    <w:p w:rsidR="003958EF" w:rsidRPr="003958EF" w:rsidRDefault="003958EF" w:rsidP="006D0F22">
      <w:pPr>
        <w:pStyle w:val="ListBullet2"/>
      </w:pPr>
      <w:r w:rsidRPr="003958EF">
        <w:t xml:space="preserve">It will give a strong enough </w:t>
      </w:r>
      <w:r w:rsidRPr="006D0F22">
        <w:t>signal</w:t>
      </w:r>
      <w:r w:rsidRPr="003958EF">
        <w:t xml:space="preserve"> above the background, or noise, of endogenous levels.</w:t>
      </w:r>
    </w:p>
    <w:p w:rsidR="003958EF" w:rsidRPr="006D0F22" w:rsidRDefault="003958EF" w:rsidP="006D0F22">
      <w:pPr>
        <w:pStyle w:val="Heading5"/>
      </w:pPr>
      <w:r w:rsidRPr="00774F88">
        <w:t>Observation</w:t>
      </w:r>
      <w:r>
        <w:t xml:space="preserve"> </w:t>
      </w:r>
      <w:r w:rsidRPr="00774F88">
        <w:t>2</w:t>
      </w:r>
    </w:p>
    <w:p w:rsidR="003958EF" w:rsidRPr="006D0F22" w:rsidRDefault="006D0F22" w:rsidP="006D0F22">
      <w:pPr>
        <w:pStyle w:val="Heading6"/>
      </w:pPr>
      <w:r>
        <w:t>Dose form proportionality</w:t>
      </w:r>
    </w:p>
    <w:p w:rsidR="003958EF" w:rsidRPr="00774F88" w:rsidRDefault="003958EF" w:rsidP="006D0F22">
      <w:r w:rsidRPr="00774F88">
        <w:t>The sponsor’s response is accepted.</w:t>
      </w:r>
    </w:p>
    <w:p w:rsidR="003958EF" w:rsidRPr="006D0F22" w:rsidRDefault="003958EF" w:rsidP="006D0F22">
      <w:pPr>
        <w:pStyle w:val="Heading5"/>
      </w:pPr>
      <w:r>
        <w:t xml:space="preserve">Observation </w:t>
      </w:r>
      <w:r w:rsidRPr="00774F88">
        <w:t>3</w:t>
      </w:r>
    </w:p>
    <w:p w:rsidR="003958EF" w:rsidRPr="00774F88" w:rsidRDefault="003958EF" w:rsidP="006D0F22">
      <w:pPr>
        <w:pStyle w:val="Heading6"/>
      </w:pPr>
      <w:r w:rsidRPr="00774F88">
        <w:t>3x 200</w:t>
      </w:r>
      <w:r>
        <w:t xml:space="preserve"> µ</w:t>
      </w:r>
      <w:r w:rsidRPr="00774F88">
        <w:t>g tablets=600</w:t>
      </w:r>
      <w:r>
        <w:t xml:space="preserve"> µ</w:t>
      </w:r>
      <w:r w:rsidR="006D0F22">
        <w:t>g dose for bioequivalence study</w:t>
      </w:r>
    </w:p>
    <w:p w:rsidR="003958EF" w:rsidRPr="00774F88" w:rsidRDefault="003958EF" w:rsidP="006D0F22">
      <w:r w:rsidRPr="00774F88">
        <w:t>The sponsor’s response is accepted as for Observation</w:t>
      </w:r>
      <w:r>
        <w:t xml:space="preserve"> </w:t>
      </w:r>
      <w:r w:rsidRPr="00774F88">
        <w:t>1.</w:t>
      </w:r>
    </w:p>
    <w:p w:rsidR="003958EF" w:rsidRPr="006D0F22" w:rsidRDefault="003958EF" w:rsidP="006D0F22">
      <w:pPr>
        <w:pStyle w:val="Heading5"/>
      </w:pPr>
      <w:r w:rsidRPr="00774F88">
        <w:t>Observation</w:t>
      </w:r>
      <w:r>
        <w:t xml:space="preserve"> </w:t>
      </w:r>
      <w:r w:rsidRPr="00774F88">
        <w:t>4</w:t>
      </w:r>
    </w:p>
    <w:p w:rsidR="003958EF" w:rsidRPr="006D0F22" w:rsidRDefault="003958EF" w:rsidP="006D0F22">
      <w:pPr>
        <w:pStyle w:val="Heading6"/>
      </w:pPr>
      <w:r w:rsidRPr="00774F88">
        <w:t>Adverse events</w:t>
      </w:r>
    </w:p>
    <w:p w:rsidR="003958EF" w:rsidRPr="00774F88" w:rsidRDefault="003958EF" w:rsidP="006D0F22">
      <w:r w:rsidRPr="00774F88">
        <w:t>The sponsor’s response is accepted.</w:t>
      </w:r>
    </w:p>
    <w:p w:rsidR="003958EF" w:rsidRPr="006D0F22" w:rsidRDefault="003958EF" w:rsidP="006D0F22">
      <w:pPr>
        <w:pStyle w:val="Heading5"/>
      </w:pPr>
      <w:r>
        <w:t xml:space="preserve">Observation </w:t>
      </w:r>
      <w:r w:rsidRPr="00774F88">
        <w:t>5</w:t>
      </w:r>
    </w:p>
    <w:p w:rsidR="003958EF" w:rsidRPr="006D0F22" w:rsidRDefault="003958EF" w:rsidP="006D0F22">
      <w:pPr>
        <w:pStyle w:val="Heading6"/>
      </w:pPr>
      <w:r w:rsidRPr="00774F88">
        <w:t>Adverse events; withdrawals</w:t>
      </w:r>
    </w:p>
    <w:p w:rsidR="003958EF" w:rsidRPr="00774F88" w:rsidRDefault="003958EF" w:rsidP="006D0F22">
      <w:r w:rsidRPr="00774F88">
        <w:t>The sponsor’s response is accepted.</w:t>
      </w:r>
    </w:p>
    <w:p w:rsidR="003958EF" w:rsidRPr="006D0F22" w:rsidRDefault="003958EF" w:rsidP="006D0F22">
      <w:pPr>
        <w:pStyle w:val="Heading5"/>
      </w:pPr>
      <w:r w:rsidRPr="00774F88">
        <w:t>Observation</w:t>
      </w:r>
      <w:r>
        <w:t xml:space="preserve"> </w:t>
      </w:r>
      <w:r w:rsidRPr="00774F88">
        <w:t>6</w:t>
      </w:r>
    </w:p>
    <w:p w:rsidR="003958EF" w:rsidRPr="00774F88" w:rsidRDefault="003958EF" w:rsidP="006D0F22">
      <w:pPr>
        <w:pStyle w:val="Heading6"/>
      </w:pPr>
      <w:r w:rsidRPr="00774F88">
        <w:t xml:space="preserve">Unhealthy study participants, based on laboratory </w:t>
      </w:r>
      <w:r w:rsidRPr="006D0F22">
        <w:t>values</w:t>
      </w:r>
      <w:r w:rsidR="006D0F22">
        <w:t xml:space="preserve"> (e.g., for Hb)</w:t>
      </w:r>
    </w:p>
    <w:p w:rsidR="003958EF" w:rsidRPr="00774F88" w:rsidRDefault="003958EF" w:rsidP="006D0F22">
      <w:r w:rsidRPr="00774F88">
        <w:t>The sponsor’s response is accepted.</w:t>
      </w:r>
    </w:p>
    <w:p w:rsidR="003958EF" w:rsidRPr="006D0F22" w:rsidRDefault="003958EF" w:rsidP="006D0F22">
      <w:pPr>
        <w:pStyle w:val="Heading5"/>
      </w:pPr>
      <w:r w:rsidRPr="00774F88">
        <w:t>Observation</w:t>
      </w:r>
      <w:r>
        <w:t xml:space="preserve"> </w:t>
      </w:r>
      <w:r w:rsidRPr="00774F88">
        <w:t>7</w:t>
      </w:r>
    </w:p>
    <w:p w:rsidR="003958EF" w:rsidRPr="006D0F22" w:rsidRDefault="003958EF" w:rsidP="006D0F22">
      <w:pPr>
        <w:pStyle w:val="Heading6"/>
      </w:pPr>
      <w:r w:rsidRPr="00774F88">
        <w:t>Lack of ad</w:t>
      </w:r>
      <w:r w:rsidR="006D0F22">
        <w:t>justment for baseline T4 levels</w:t>
      </w:r>
    </w:p>
    <w:p w:rsidR="003958EF" w:rsidRPr="00774F88" w:rsidRDefault="003958EF" w:rsidP="006D0F22">
      <w:r w:rsidRPr="00831326">
        <w:t>This remains uncertain</w:t>
      </w:r>
      <w:r w:rsidRPr="00774F88">
        <w:t>.</w:t>
      </w:r>
    </w:p>
    <w:p w:rsidR="003958EF" w:rsidRPr="00774F88" w:rsidRDefault="003958EF" w:rsidP="006D0F22">
      <w:r w:rsidRPr="00774F88">
        <w:t xml:space="preserve">It is true that the FDA Guidance (2000) states that </w:t>
      </w:r>
      <w:r w:rsidRPr="006D0F22">
        <w:rPr>
          <w:i/>
        </w:rPr>
        <w:t>“plasma/serum profiles and pharmacokinetic measures should be presented without adjustment of baseline levels”.</w:t>
      </w:r>
    </w:p>
    <w:p w:rsidR="003958EF" w:rsidRPr="00774F88" w:rsidRDefault="006D0F22" w:rsidP="006D0F22">
      <w:r>
        <w:t>However,</w:t>
      </w:r>
    </w:p>
    <w:p w:rsidR="003958EF" w:rsidRPr="00AE10FF" w:rsidRDefault="003958EF" w:rsidP="006D0F22">
      <w:pPr>
        <w:pStyle w:val="ListBullet"/>
      </w:pPr>
      <w:proofErr w:type="gramStart"/>
      <w:r w:rsidRPr="00774F88">
        <w:t>the</w:t>
      </w:r>
      <w:proofErr w:type="gramEnd"/>
      <w:r w:rsidRPr="00774F88">
        <w:t xml:space="preserve"> </w:t>
      </w:r>
      <w:r w:rsidRPr="006D0F22">
        <w:t>MHRA</w:t>
      </w:r>
      <w:r w:rsidRPr="00774F88">
        <w:t xml:space="preserve"> report (2013) states: </w:t>
      </w:r>
      <w:r w:rsidRPr="006D0F22">
        <w:rPr>
          <w:i/>
        </w:rPr>
        <w:t>“Whether or not correction for baseline levels should be employed in these studies is still being debated.”</w:t>
      </w:r>
    </w:p>
    <w:p w:rsidR="00CE52DA" w:rsidRPr="00AE10FF" w:rsidRDefault="003958EF" w:rsidP="006D0F22">
      <w:pPr>
        <w:pStyle w:val="ListBullet"/>
        <w:rPr>
          <w:spacing w:val="-3"/>
        </w:rPr>
      </w:pPr>
      <w:r w:rsidRPr="00AE10FF">
        <w:t>th</w:t>
      </w:r>
      <w:r w:rsidR="006D0F22">
        <w:t>e FDA transcript (2005) states:</w:t>
      </w:r>
    </w:p>
    <w:p w:rsidR="003958EF" w:rsidRPr="006D0F22" w:rsidRDefault="003958EF" w:rsidP="006D0F22">
      <w:pPr>
        <w:pStyle w:val="ListBullet"/>
        <w:numPr>
          <w:ilvl w:val="0"/>
          <w:numId w:val="0"/>
        </w:numPr>
        <w:ind w:left="360"/>
        <w:rPr>
          <w:i/>
        </w:rPr>
      </w:pPr>
      <w:r w:rsidRPr="006D0F22">
        <w:rPr>
          <w:i/>
        </w:rPr>
        <w:t>“And before performing the bioequivalence statistics, the baseline is subtracted from the AUC, and as I mentioned earlier, this is required of all the applicants.  And for levothyroxine, the baseline actually makes a fairly high contribution to the plasma concentration profile. So a good chunk of the AUC, the non-corrected AUC, is being subtracted. And this really provides an extra level of assurance that the two products are bioequivalent, because this is a very conservative approach. In other words, it can be easier for two products that are not bioequivalent to pass without baseline correction, whereas if two products are not bioequivalent, there's a much higher likelihood that this is going to be detected with the baseline correction.”</w:t>
      </w:r>
    </w:p>
    <w:p w:rsidR="003958EF" w:rsidRPr="00774F88" w:rsidRDefault="003958EF" w:rsidP="006D0F22">
      <w:pPr>
        <w:pStyle w:val="ListBullet"/>
      </w:pPr>
      <w:r w:rsidRPr="00774F88">
        <w:rPr>
          <w:spacing w:val="-3"/>
        </w:rPr>
        <w:t xml:space="preserve">The EMA </w:t>
      </w:r>
      <w:r w:rsidRPr="006D0F22">
        <w:t>Guideline</w:t>
      </w:r>
      <w:r w:rsidRPr="00774F88">
        <w:rPr>
          <w:spacing w:val="-3"/>
        </w:rPr>
        <w:t xml:space="preserve"> on bioequivalence states: </w:t>
      </w:r>
      <w:r w:rsidRPr="006D0F22">
        <w:rPr>
          <w:i/>
          <w:spacing w:val="-3"/>
        </w:rPr>
        <w:t>“</w:t>
      </w:r>
      <w:r w:rsidRPr="006D0F22">
        <w:rPr>
          <w:i/>
        </w:rPr>
        <w:t>If the substance being studied is endogenous, the calculation of pharmacokinetic parameters should be performed using baseline correction so that the calculated pharmacokinetic parameters refer to the additional concentrations provided by the treatment.”</w:t>
      </w:r>
    </w:p>
    <w:p w:rsidR="003958EF" w:rsidRPr="00774F88" w:rsidRDefault="003958EF" w:rsidP="006D0F22">
      <w:r w:rsidRPr="00774F88">
        <w:lastRenderedPageBreak/>
        <w:t>The sponsor is asked to provide a comparison between the product they are proposing for registration and the reference product, for AUC</w:t>
      </w:r>
      <w:r w:rsidRPr="00774F88">
        <w:rPr>
          <w:vertAlign w:val="subscript"/>
        </w:rPr>
        <w:t>0-48</w:t>
      </w:r>
      <w:r w:rsidRPr="00774F88">
        <w:t xml:space="preserve"> and C</w:t>
      </w:r>
      <w:r w:rsidRPr="00774F88">
        <w:rPr>
          <w:vertAlign w:val="subscript"/>
        </w:rPr>
        <w:t>max</w:t>
      </w:r>
      <w:r w:rsidRPr="00774F88">
        <w:t xml:space="preserve">, adjusted for baseline values; with 90% CIs. (The method of baseline </w:t>
      </w:r>
      <w:r w:rsidR="006D0F22">
        <w:t>adjustment should be reported.)</w:t>
      </w:r>
    </w:p>
    <w:p w:rsidR="003958EF" w:rsidRPr="006D0F22" w:rsidRDefault="003958EF" w:rsidP="006D0F22">
      <w:pPr>
        <w:pStyle w:val="Heading5"/>
      </w:pPr>
      <w:r w:rsidRPr="00774F88">
        <w:t>Observation</w:t>
      </w:r>
      <w:r>
        <w:t xml:space="preserve"> </w:t>
      </w:r>
      <w:r w:rsidRPr="00774F88">
        <w:t>8</w:t>
      </w:r>
    </w:p>
    <w:p w:rsidR="003958EF" w:rsidRPr="006D0F22" w:rsidRDefault="003958EF" w:rsidP="006D0F22">
      <w:pPr>
        <w:pStyle w:val="Heading6"/>
      </w:pPr>
      <w:r w:rsidRPr="00774F88">
        <w:t xml:space="preserve">Omitted data for </w:t>
      </w:r>
      <w:r w:rsidR="00733C41">
        <w:t xml:space="preserve">eight </w:t>
      </w:r>
      <w:r w:rsidR="006D0F22">
        <w:t>subjects</w:t>
      </w:r>
    </w:p>
    <w:p w:rsidR="003958EF" w:rsidRPr="00774F88" w:rsidRDefault="003958EF" w:rsidP="006D0F22">
      <w:r w:rsidRPr="00774F88">
        <w:t>Sponsor’s response is accepted.</w:t>
      </w:r>
    </w:p>
    <w:p w:rsidR="003958EF" w:rsidRPr="006D0F22" w:rsidRDefault="003958EF" w:rsidP="006D0F22">
      <w:pPr>
        <w:pStyle w:val="Heading5"/>
      </w:pPr>
      <w:r w:rsidRPr="00774F88">
        <w:t>Query</w:t>
      </w:r>
      <w:r>
        <w:t xml:space="preserve"> </w:t>
      </w:r>
      <w:r w:rsidRPr="00774F88">
        <w:t>16</w:t>
      </w:r>
    </w:p>
    <w:p w:rsidR="003958EF" w:rsidRPr="006D0F22" w:rsidRDefault="003958EF" w:rsidP="006D0F22">
      <w:pPr>
        <w:pStyle w:val="Heading6"/>
      </w:pPr>
      <w:r w:rsidRPr="00774F88">
        <w:t>Linear pharmacokinetics</w:t>
      </w:r>
    </w:p>
    <w:p w:rsidR="003958EF" w:rsidRPr="00774F88" w:rsidRDefault="003958EF" w:rsidP="003958EF">
      <w:r w:rsidRPr="00774F88">
        <w:t>It is accepted that dose linearity studies have not been conducted with actual therapeutic strengths because of the difficulties associated with measuring the contribution of exogenous thyroxine.</w:t>
      </w:r>
    </w:p>
    <w:p w:rsidR="003958EF" w:rsidRPr="006D0F22" w:rsidRDefault="003958EF" w:rsidP="006D0F22">
      <w:pPr>
        <w:pStyle w:val="Heading5"/>
      </w:pPr>
      <w:r w:rsidRPr="00774F88">
        <w:t>Query</w:t>
      </w:r>
      <w:r>
        <w:t xml:space="preserve"> </w:t>
      </w:r>
      <w:r w:rsidRPr="00774F88">
        <w:t>17</w:t>
      </w:r>
    </w:p>
    <w:p w:rsidR="003958EF" w:rsidRPr="00774F88" w:rsidRDefault="003958EF" w:rsidP="006D0F22">
      <w:pPr>
        <w:pStyle w:val="Heading6"/>
      </w:pPr>
      <w:r w:rsidRPr="00774F88">
        <w:t>90% CI for AUC and C</w:t>
      </w:r>
      <w:r w:rsidRPr="00774F88">
        <w:rPr>
          <w:vertAlign w:val="subscript"/>
        </w:rPr>
        <w:t>max</w:t>
      </w:r>
      <w:r w:rsidRPr="00774F88">
        <w:t xml:space="preserve"> are </w:t>
      </w:r>
      <w:r w:rsidRPr="006D0F22">
        <w:t>completely</w:t>
      </w:r>
      <w:r w:rsidRPr="00774F88">
        <w:t xml:space="preserve"> on the lower side of 100%: AUC: 89% (85%, 94%); C</w:t>
      </w:r>
      <w:r w:rsidRPr="00774F88">
        <w:rPr>
          <w:vertAlign w:val="subscript"/>
        </w:rPr>
        <w:t>max</w:t>
      </w:r>
      <w:r w:rsidR="006D0F22">
        <w:t>: 86% (82%, 91%)</w:t>
      </w:r>
    </w:p>
    <w:p w:rsidR="003958EF" w:rsidRPr="00774F88" w:rsidRDefault="003958EF" w:rsidP="006D0F22">
      <w:r w:rsidRPr="00774F88">
        <w:t>It is accepted that this meets the criterion for bioequivalence if thyroxine is not considered a narrow therapeutic index drug (see below).</w:t>
      </w:r>
    </w:p>
    <w:p w:rsidR="003958EF" w:rsidRPr="003958EF" w:rsidRDefault="003958EF" w:rsidP="006D0F22">
      <w:pPr>
        <w:pStyle w:val="Heading5"/>
      </w:pPr>
      <w:r w:rsidRPr="00774F88">
        <w:t xml:space="preserve">Is </w:t>
      </w:r>
      <w:proofErr w:type="spellStart"/>
      <w:r w:rsidRPr="00774F88">
        <w:t>thyroxine</w:t>
      </w:r>
      <w:proofErr w:type="spellEnd"/>
      <w:r w:rsidRPr="00774F88">
        <w:t xml:space="preserve"> a </w:t>
      </w:r>
      <w:r w:rsidRPr="006D0F22">
        <w:t>narrow</w:t>
      </w:r>
      <w:r w:rsidRPr="00774F88">
        <w:t xml:space="preserve"> therapeutic index drug?</w:t>
      </w:r>
    </w:p>
    <w:p w:rsidR="003958EF" w:rsidRPr="00774F88" w:rsidRDefault="003958EF" w:rsidP="006D0F22">
      <w:r w:rsidRPr="00831326">
        <w:t>The sponsor is invited to comment on this issue.</w:t>
      </w:r>
    </w:p>
    <w:p w:rsidR="003958EF" w:rsidRPr="00774F88" w:rsidRDefault="003958EF" w:rsidP="006D0F22">
      <w:r w:rsidRPr="00774F88">
        <w:t xml:space="preserve">Some experts consider that thyroxine is a narrow therapeutic </w:t>
      </w:r>
      <w:r w:rsidRPr="00CE52DA">
        <w:t>index drug.</w:t>
      </w:r>
      <w:bookmarkStart w:id="100" w:name="_Ref387753377"/>
      <w:r w:rsidR="00CE52DA" w:rsidRPr="00CE52DA">
        <w:rPr>
          <w:rStyle w:val="FootnoteReference"/>
        </w:rPr>
        <w:footnoteReference w:id="3"/>
      </w:r>
      <w:bookmarkEnd w:id="100"/>
      <w:r w:rsidRPr="00CE52DA">
        <w:t xml:space="preserve"> Examples of subsets of patients for whom differences in bioavailability could have important clinical</w:t>
      </w:r>
      <w:r w:rsidRPr="00774F88">
        <w:t xml:space="preserve"> implications include:</w:t>
      </w:r>
    </w:p>
    <w:p w:rsidR="003958EF" w:rsidRPr="00774F88" w:rsidRDefault="003958EF" w:rsidP="006D0F22">
      <w:pPr>
        <w:pStyle w:val="ListBullet"/>
      </w:pPr>
      <w:r w:rsidRPr="00774F88">
        <w:t xml:space="preserve">Patients with a </w:t>
      </w:r>
      <w:r w:rsidRPr="006D0F22">
        <w:t>previous</w:t>
      </w:r>
      <w:r w:rsidRPr="00774F88">
        <w:t xml:space="preserve"> history of thyroid cancer. Low levels of T4 could lead to an unexpected increase in TSH and recurrence of thyroid cancer</w:t>
      </w:r>
    </w:p>
    <w:p w:rsidR="003958EF" w:rsidRPr="00774F88" w:rsidRDefault="003958EF" w:rsidP="006D0F22">
      <w:pPr>
        <w:pStyle w:val="ListBullet"/>
      </w:pPr>
      <w:r w:rsidRPr="00774F88">
        <w:t xml:space="preserve">Young patients </w:t>
      </w:r>
      <w:r w:rsidRPr="006D0F22">
        <w:t>with</w:t>
      </w:r>
      <w:r w:rsidRPr="00774F88">
        <w:t xml:space="preserve"> congenital thyroid disease. Low levels could lead to suboptimal growth and brain development.</w:t>
      </w:r>
    </w:p>
    <w:p w:rsidR="003958EF" w:rsidRPr="00774F88" w:rsidRDefault="003958EF" w:rsidP="006D0F22">
      <w:pPr>
        <w:pStyle w:val="ListBullet"/>
      </w:pPr>
      <w:r w:rsidRPr="00774F88">
        <w:t>Pregnant women. Low levels could lead to harm to their babies.</w:t>
      </w:r>
    </w:p>
    <w:p w:rsidR="003958EF" w:rsidRPr="00774F88" w:rsidRDefault="003958EF" w:rsidP="006D0F22">
      <w:pPr>
        <w:pStyle w:val="ListBullet"/>
      </w:pPr>
      <w:r w:rsidRPr="00774F88">
        <w:t>Patients with co-</w:t>
      </w:r>
      <w:r w:rsidRPr="006D0F22">
        <w:t>existing</w:t>
      </w:r>
      <w:r w:rsidRPr="00774F88">
        <w:t xml:space="preserve"> cardiac disease. High levels could lead to atrial fibrillation and other </w:t>
      </w:r>
      <w:r w:rsidR="006D0F22">
        <w:t>arrhythmias.</w:t>
      </w:r>
    </w:p>
    <w:p w:rsidR="003958EF" w:rsidRPr="00774F88" w:rsidRDefault="003958EF" w:rsidP="006D0F22">
      <w:pPr>
        <w:pStyle w:val="ListBullet"/>
      </w:pPr>
      <w:r w:rsidRPr="00774F88">
        <w:t xml:space="preserve">Elderly women. There </w:t>
      </w:r>
      <w:r w:rsidRPr="006D0F22">
        <w:t>is</w:t>
      </w:r>
      <w:r w:rsidRPr="00774F88">
        <w:t xml:space="preserve"> suggestive evidence that, over long periods, high levels can cause or aggravate osteoporosis.</w:t>
      </w:r>
    </w:p>
    <w:p w:rsidR="003958EF" w:rsidRPr="00774F88" w:rsidRDefault="003958EF" w:rsidP="006D0F22">
      <w:r w:rsidRPr="00774F88">
        <w:t>For narrow therapeutic index drugs, the acceptance interval for AUC is usually tightened to 90% to 111%.</w:t>
      </w:r>
    </w:p>
    <w:p w:rsidR="003958EF" w:rsidRPr="00774F88" w:rsidRDefault="003958EF" w:rsidP="006D0F22">
      <w:r w:rsidRPr="00774F88">
        <w:t xml:space="preserve">The 2010 EMA Guideline on bioequivalence states: </w:t>
      </w:r>
      <w:r w:rsidRPr="006D0F22">
        <w:rPr>
          <w:i/>
        </w:rPr>
        <w:t>“It is not possible to define a set of criteria to categorise drugs as narrow therapeutic index drugs (NTIDs) and it must be decided case by case if an active substance is an NTID based on clinical considerations.”</w:t>
      </w:r>
    </w:p>
    <w:p w:rsidR="003958EF" w:rsidRPr="00774F88" w:rsidRDefault="003958EF" w:rsidP="006D0F22">
      <w:r w:rsidRPr="00774F88">
        <w:t>The 2013 MHRA report states:</w:t>
      </w:r>
    </w:p>
    <w:p w:rsidR="003958EF" w:rsidRPr="00774F88" w:rsidRDefault="003958EF" w:rsidP="006D0F22">
      <w:pPr>
        <w:pStyle w:val="ListBullet"/>
      </w:pPr>
      <w:r w:rsidRPr="00774F88">
        <w:t xml:space="preserve">There is no agreed European definition of narrow therapeutic index drugs (as </w:t>
      </w:r>
      <w:r w:rsidRPr="006D0F22">
        <w:t>above</w:t>
      </w:r>
      <w:r w:rsidRPr="00774F88">
        <w:t>)</w:t>
      </w:r>
    </w:p>
    <w:p w:rsidR="003958EF" w:rsidRPr="00774F88" w:rsidRDefault="003958EF" w:rsidP="006D0F22">
      <w:pPr>
        <w:pStyle w:val="ListBullet"/>
      </w:pPr>
      <w:r w:rsidRPr="00774F88">
        <w:t>It refers to the FDA definition:</w:t>
      </w:r>
    </w:p>
    <w:p w:rsidR="003958EF" w:rsidRPr="003958EF" w:rsidRDefault="003958EF" w:rsidP="006D0F22">
      <w:pPr>
        <w:pStyle w:val="ListBullet2"/>
      </w:pPr>
      <w:r w:rsidRPr="003958EF">
        <w:t xml:space="preserve">&lt;2-fold difference between minimum toxic and minimum effective </w:t>
      </w:r>
      <w:r w:rsidRPr="006D0F22">
        <w:t>concentrations</w:t>
      </w:r>
      <w:r w:rsidRPr="003958EF">
        <w:t xml:space="preserve"> in blood, or;</w:t>
      </w:r>
    </w:p>
    <w:p w:rsidR="003958EF" w:rsidRPr="00774F88" w:rsidRDefault="003958EF" w:rsidP="00914B8A">
      <w:pPr>
        <w:pStyle w:val="ListBullet2"/>
      </w:pPr>
      <w:proofErr w:type="gramStart"/>
      <w:r w:rsidRPr="003958EF">
        <w:lastRenderedPageBreak/>
        <w:t>safe</w:t>
      </w:r>
      <w:proofErr w:type="gramEnd"/>
      <w:r w:rsidRPr="003958EF">
        <w:t xml:space="preserve"> and effective use requires careful titration</w:t>
      </w:r>
      <w:r w:rsidRPr="00774F88">
        <w:t xml:space="preserve"> and patient monitoring.</w:t>
      </w:r>
    </w:p>
    <w:p w:rsidR="003958EF" w:rsidRPr="00774F88" w:rsidRDefault="003958EF" w:rsidP="00914B8A">
      <w:r w:rsidRPr="00774F88">
        <w:t xml:space="preserve">It concludes that (p8): </w:t>
      </w:r>
      <w:r w:rsidRPr="00914B8A">
        <w:rPr>
          <w:i/>
        </w:rPr>
        <w:t>“Therefore, although levothyroxine does not meet the criteria for being a narrow therapeutic index drug, there are strong indications that small changes in the delivered dose of levothyroxine, should they persist over long term treatment, could have significant clinical consequences.”</w:t>
      </w:r>
    </w:p>
    <w:p w:rsidR="00605AD4" w:rsidRPr="00605AD4" w:rsidRDefault="003958EF" w:rsidP="00914B8A">
      <w:r w:rsidRPr="00774F88">
        <w:t>The 2000 FDA Guidance for Industry and the 2005 transcript of the Joint Public Meeting on Equivalence of Levothyroxine Sodium Products, refer to an acceptance interval of 80% to 125%.</w:t>
      </w:r>
    </w:p>
    <w:p w:rsidR="008E7846" w:rsidRPr="00E41208" w:rsidRDefault="008E7846" w:rsidP="00914B8A">
      <w:pPr>
        <w:pStyle w:val="Heading2"/>
      </w:pPr>
      <w:bookmarkStart w:id="101" w:name="_Toc392595963"/>
      <w:r w:rsidRPr="00E41208">
        <w:t xml:space="preserve">V. </w:t>
      </w:r>
      <w:proofErr w:type="spellStart"/>
      <w:r w:rsidRPr="00E41208">
        <w:t>Pharmacovigilance</w:t>
      </w:r>
      <w:proofErr w:type="spellEnd"/>
      <w:r w:rsidRPr="00E41208">
        <w:t xml:space="preserve"> </w:t>
      </w:r>
      <w:r w:rsidRPr="00914B8A">
        <w:t>findings</w:t>
      </w:r>
      <w:bookmarkEnd w:id="79"/>
      <w:bookmarkEnd w:id="80"/>
      <w:bookmarkEnd w:id="101"/>
    </w:p>
    <w:p w:rsidR="008E7846" w:rsidRPr="00914B8A" w:rsidRDefault="00386150" w:rsidP="00914B8A">
      <w:pPr>
        <w:pStyle w:val="Heading3"/>
      </w:pPr>
      <w:bookmarkStart w:id="102" w:name="_Toc247691526"/>
      <w:bookmarkStart w:id="103" w:name="_Toc314842509"/>
      <w:bookmarkStart w:id="104" w:name="_Toc392595964"/>
      <w:r>
        <w:rPr>
          <w:lang w:eastAsia="en-AU"/>
        </w:rPr>
        <w:t>Risk m</w:t>
      </w:r>
      <w:r w:rsidR="008E7846">
        <w:rPr>
          <w:lang w:eastAsia="en-AU"/>
        </w:rPr>
        <w:t xml:space="preserve">anagement </w:t>
      </w:r>
      <w:r>
        <w:rPr>
          <w:lang w:eastAsia="en-AU"/>
        </w:rPr>
        <w:t>p</w:t>
      </w:r>
      <w:r w:rsidR="008E7846">
        <w:rPr>
          <w:lang w:eastAsia="en-AU"/>
        </w:rPr>
        <w:t>lan</w:t>
      </w:r>
      <w:bookmarkEnd w:id="102"/>
      <w:bookmarkEnd w:id="103"/>
      <w:bookmarkEnd w:id="104"/>
    </w:p>
    <w:p w:rsidR="008E7846" w:rsidRDefault="008E7846" w:rsidP="00914B8A">
      <w:pPr>
        <w:rPr>
          <w:lang w:eastAsia="en-AU"/>
        </w:rPr>
      </w:pPr>
      <w:r>
        <w:rPr>
          <w:lang w:eastAsia="en-AU"/>
        </w:rPr>
        <w:t>The sponsor submitted a Risk Management Plan</w:t>
      </w:r>
      <w:r w:rsidR="006F25B8">
        <w:rPr>
          <w:lang w:eastAsia="en-AU"/>
        </w:rPr>
        <w:t xml:space="preserve"> </w:t>
      </w:r>
      <w:r w:rsidR="00930ACE">
        <w:t>version 1, data lock point 12 October 2012</w:t>
      </w:r>
      <w:r w:rsidR="00930ACE" w:rsidRPr="009360C4">
        <w:t>) with Australian Specific Annex (version</w:t>
      </w:r>
      <w:r w:rsidR="00930ACE">
        <w:t xml:space="preserve"> 0.1</w:t>
      </w:r>
      <w:r w:rsidR="00930ACE" w:rsidRPr="009360C4">
        <w:t>, date</w:t>
      </w:r>
      <w:r w:rsidR="00930ACE">
        <w:t xml:space="preserve">d 11 March 2013) </w:t>
      </w:r>
      <w:r>
        <w:rPr>
          <w:lang w:eastAsia="en-AU"/>
        </w:rPr>
        <w:t>which was reviewed by the TGA’s Office of Product Review (OPR).</w:t>
      </w:r>
    </w:p>
    <w:p w:rsidR="008E7846" w:rsidRPr="00914B8A" w:rsidRDefault="003A7F6C" w:rsidP="00914B8A">
      <w:pPr>
        <w:pStyle w:val="Heading4"/>
      </w:pPr>
      <w:r>
        <w:rPr>
          <w:lang w:eastAsia="en-AU"/>
        </w:rPr>
        <w:t>Safety s</w:t>
      </w:r>
      <w:r w:rsidR="008E7846">
        <w:rPr>
          <w:lang w:eastAsia="en-AU"/>
        </w:rPr>
        <w:t>pecification</w:t>
      </w:r>
    </w:p>
    <w:p w:rsidR="008E7846" w:rsidRDefault="008E7846" w:rsidP="00914B8A">
      <w:pPr>
        <w:rPr>
          <w:lang w:eastAsia="en-AU"/>
        </w:rPr>
      </w:pPr>
      <w:r>
        <w:rPr>
          <w:lang w:eastAsia="en-AU"/>
        </w:rPr>
        <w:t>The</w:t>
      </w:r>
      <w:r w:rsidR="006F25B8">
        <w:rPr>
          <w:lang w:eastAsia="en-AU"/>
        </w:rPr>
        <w:t xml:space="preserve"> sponsor provided a summary of o</w:t>
      </w:r>
      <w:r>
        <w:rPr>
          <w:lang w:eastAsia="en-AU"/>
        </w:rPr>
        <w:t xml:space="preserve">ngoing safety </w:t>
      </w:r>
      <w:r w:rsidR="006F25B8">
        <w:rPr>
          <w:lang w:eastAsia="en-AU"/>
        </w:rPr>
        <w:t>c</w:t>
      </w:r>
      <w:r>
        <w:rPr>
          <w:lang w:eastAsia="en-AU"/>
        </w:rPr>
        <w:t>on</w:t>
      </w:r>
      <w:r w:rsidR="003958EF">
        <w:rPr>
          <w:lang w:eastAsia="en-AU"/>
        </w:rPr>
        <w:t xml:space="preserve">cerns which are shown at Table </w:t>
      </w:r>
      <w:r w:rsidR="000F4A2C">
        <w:rPr>
          <w:lang w:eastAsia="en-AU"/>
        </w:rPr>
        <w:t>7</w:t>
      </w:r>
      <w:r>
        <w:rPr>
          <w:lang w:eastAsia="en-AU"/>
        </w:rPr>
        <w:t>.</w:t>
      </w:r>
    </w:p>
    <w:p w:rsidR="00B63770" w:rsidRDefault="00B63770" w:rsidP="00914B8A">
      <w:r>
        <w:t>Subject to the evaluation of the clinical aspects of the SS by the OMA, the summary of the Ongoing Safety Concerns as specified by the sponsor is as follows:</w:t>
      </w:r>
    </w:p>
    <w:p w:rsidR="003958EF" w:rsidRDefault="003958EF" w:rsidP="00914B8A">
      <w:pPr>
        <w:pStyle w:val="TableTitle"/>
      </w:pPr>
      <w:proofErr w:type="gramStart"/>
      <w:r>
        <w:t xml:space="preserve">Table </w:t>
      </w:r>
      <w:r w:rsidR="000F4A2C">
        <w:t>7</w:t>
      </w:r>
      <w:r>
        <w:t>.</w:t>
      </w:r>
      <w:proofErr w:type="gramEnd"/>
      <w:r>
        <w:t xml:space="preserve"> Summary of ongoing safety concerns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485"/>
      </w:tblGrid>
      <w:tr w:rsidR="00B63770" w:rsidTr="00914B8A">
        <w:trPr>
          <w:tblHeader/>
        </w:trPr>
        <w:tc>
          <w:tcPr>
            <w:tcW w:w="2127" w:type="dxa"/>
            <w:shd w:val="clear" w:color="auto" w:fill="0070C0"/>
          </w:tcPr>
          <w:p w:rsidR="00B63770" w:rsidRPr="00914B8A" w:rsidRDefault="00B63770" w:rsidP="00914B8A">
            <w:pPr>
              <w:rPr>
                <w:b/>
              </w:rPr>
            </w:pPr>
            <w:r w:rsidRPr="00914B8A">
              <w:rPr>
                <w:b/>
                <w:color w:val="FFFFFF" w:themeColor="background1"/>
              </w:rPr>
              <w:t>Important Identified Risks</w:t>
            </w:r>
          </w:p>
        </w:tc>
        <w:tc>
          <w:tcPr>
            <w:tcW w:w="6485" w:type="dxa"/>
          </w:tcPr>
          <w:p w:rsidR="00B63770" w:rsidRPr="00CE52DA" w:rsidRDefault="00914B8A" w:rsidP="00914B8A">
            <w:pPr>
              <w:rPr>
                <w:rFonts w:asciiTheme="minorHAnsi" w:hAnsiTheme="minorHAnsi"/>
              </w:rPr>
            </w:pPr>
            <w:proofErr w:type="spellStart"/>
            <w:r>
              <w:rPr>
                <w:rFonts w:asciiTheme="minorHAnsi" w:hAnsiTheme="minorHAnsi"/>
              </w:rPr>
              <w:t>Cardiotoxicity</w:t>
            </w:r>
            <w:proofErr w:type="spellEnd"/>
            <w:r>
              <w:rPr>
                <w:rFonts w:asciiTheme="minorHAnsi" w:hAnsiTheme="minorHAnsi"/>
              </w:rPr>
              <w:t>,</w:t>
            </w:r>
          </w:p>
          <w:p w:rsidR="00B63770" w:rsidRPr="00CE52DA" w:rsidRDefault="00B63770" w:rsidP="00914B8A">
            <w:pPr>
              <w:rPr>
                <w:rFonts w:asciiTheme="minorHAnsi" w:hAnsiTheme="minorHAnsi" w:cs="Arial"/>
              </w:rPr>
            </w:pPr>
            <w:r w:rsidRPr="00CE52DA">
              <w:rPr>
                <w:rFonts w:asciiTheme="minorHAnsi" w:hAnsiTheme="minorHAnsi" w:cs="Arial"/>
              </w:rPr>
              <w:t>Treatment imbalance leading to hyp</w:t>
            </w:r>
            <w:r w:rsidR="00914B8A">
              <w:rPr>
                <w:rFonts w:asciiTheme="minorHAnsi" w:hAnsiTheme="minorHAnsi" w:cs="Arial"/>
              </w:rPr>
              <w:t>othyroidism and hyperthyroidism</w:t>
            </w:r>
          </w:p>
          <w:p w:rsidR="00B63770" w:rsidRPr="00CE52DA" w:rsidRDefault="00B63770" w:rsidP="00914B8A">
            <w:pPr>
              <w:rPr>
                <w:rFonts w:asciiTheme="minorHAnsi" w:hAnsiTheme="minorHAnsi"/>
              </w:rPr>
            </w:pPr>
            <w:r w:rsidRPr="00CE52DA">
              <w:rPr>
                <w:rFonts w:asciiTheme="minorHAnsi" w:hAnsiTheme="minorHAnsi"/>
              </w:rPr>
              <w:t>Fracture linked to hyperthyroidism</w:t>
            </w:r>
          </w:p>
          <w:p w:rsidR="00B63770" w:rsidRPr="00CE52DA" w:rsidRDefault="00B63770" w:rsidP="00914B8A">
            <w:pPr>
              <w:rPr>
                <w:rFonts w:asciiTheme="minorHAnsi" w:hAnsiTheme="minorHAnsi"/>
              </w:rPr>
            </w:pPr>
            <w:r w:rsidRPr="00CE52DA">
              <w:rPr>
                <w:rFonts w:asciiTheme="minorHAnsi" w:hAnsiTheme="minorHAnsi"/>
              </w:rPr>
              <w:t>Adrenal crisis</w:t>
            </w:r>
          </w:p>
          <w:p w:rsidR="00B63770" w:rsidRPr="00CE52DA" w:rsidRDefault="00B63770" w:rsidP="00914B8A">
            <w:pPr>
              <w:rPr>
                <w:rFonts w:asciiTheme="minorHAnsi" w:hAnsiTheme="minorHAnsi"/>
              </w:rPr>
            </w:pPr>
            <w:r w:rsidRPr="00CE52DA">
              <w:rPr>
                <w:rFonts w:asciiTheme="minorHAnsi" w:hAnsiTheme="minorHAnsi"/>
              </w:rPr>
              <w:t>Hyperglycaemia in diabetic patients</w:t>
            </w:r>
          </w:p>
          <w:p w:rsidR="00B63770" w:rsidRPr="00CE52DA" w:rsidRDefault="00B63770" w:rsidP="00914B8A">
            <w:r w:rsidRPr="00CE52DA">
              <w:rPr>
                <w:rFonts w:asciiTheme="minorHAnsi" w:hAnsiTheme="minorHAnsi"/>
              </w:rPr>
              <w:t>Drug interactions</w:t>
            </w:r>
          </w:p>
        </w:tc>
      </w:tr>
    </w:tbl>
    <w:p w:rsidR="00B63770" w:rsidRDefault="00B63770" w:rsidP="00914B8A">
      <w:r>
        <w:t xml:space="preserve">‘Drug abuse in weight </w:t>
      </w:r>
      <w:proofErr w:type="gramStart"/>
      <w:r>
        <w:t>loss’</w:t>
      </w:r>
      <w:proofErr w:type="gramEnd"/>
      <w:r>
        <w:t xml:space="preserve"> has been listed as an identified safety risk in the pharmacovigilance and risk minimisation plan in the proposed RMP. The sponsor should include this risk in the</w:t>
      </w:r>
      <w:r w:rsidR="00914B8A">
        <w:t xml:space="preserve"> ‘Summary of Safety Concerns’.</w:t>
      </w:r>
    </w:p>
    <w:p w:rsidR="008E7846" w:rsidRPr="00914B8A" w:rsidRDefault="008E7846" w:rsidP="00914B8A">
      <w:pPr>
        <w:pStyle w:val="Heading4"/>
      </w:pPr>
      <w:proofErr w:type="spellStart"/>
      <w:r>
        <w:rPr>
          <w:lang w:eastAsia="en-AU"/>
        </w:rPr>
        <w:t>Pharmacovigilance</w:t>
      </w:r>
      <w:proofErr w:type="spellEnd"/>
      <w:r>
        <w:rPr>
          <w:lang w:eastAsia="en-AU"/>
        </w:rPr>
        <w:t xml:space="preserve"> </w:t>
      </w:r>
      <w:r w:rsidR="003A7F6C">
        <w:rPr>
          <w:lang w:eastAsia="en-AU"/>
        </w:rPr>
        <w:t>p</w:t>
      </w:r>
      <w:r>
        <w:rPr>
          <w:lang w:eastAsia="en-AU"/>
        </w:rPr>
        <w:t>lan</w:t>
      </w:r>
    </w:p>
    <w:p w:rsidR="00B63770" w:rsidRDefault="003958EF" w:rsidP="00914B8A">
      <w:r>
        <w:t xml:space="preserve">The sponsor has proposed routine pharmacovigilance for all important identified risks. In addition, a specific </w:t>
      </w:r>
      <w:r w:rsidR="00930ACE">
        <w:t>Adverse Drug Reaction (</w:t>
      </w:r>
      <w:r>
        <w:t>ADR</w:t>
      </w:r>
      <w:r w:rsidR="00930ACE">
        <w:t>)</w:t>
      </w:r>
      <w:r>
        <w:t xml:space="preserve"> Form is proposed for Cardiotoxicity and Treatment imbalance leading </w:t>
      </w:r>
      <w:r w:rsidRPr="003958EF">
        <w:t>to hypothyroidism and hyperthyroidism</w:t>
      </w:r>
      <w:r w:rsidR="00930ACE" w:rsidRPr="00930ACE">
        <w:rPr>
          <w:i/>
        </w:rPr>
        <w:t xml:space="preserve"> </w:t>
      </w:r>
      <w:r w:rsidR="00930ACE" w:rsidRPr="0055028D">
        <w:rPr>
          <w:i/>
        </w:rPr>
        <w:t xml:space="preserve">in order to gather more accurate information on patient status, change of dosage, change of brand, latest hormonal levels, </w:t>
      </w:r>
      <w:proofErr w:type="gramStart"/>
      <w:r w:rsidR="00930ACE" w:rsidRPr="0055028D">
        <w:rPr>
          <w:i/>
        </w:rPr>
        <w:t>new</w:t>
      </w:r>
      <w:proofErr w:type="gramEnd"/>
      <w:r w:rsidR="00930ACE" w:rsidRPr="0055028D">
        <w:rPr>
          <w:i/>
        </w:rPr>
        <w:t xml:space="preserve"> concomitant drugs</w:t>
      </w:r>
      <w:r w:rsidR="00930ACE">
        <w:rPr>
          <w:i/>
        </w:rPr>
        <w:t xml:space="preserve">’. </w:t>
      </w:r>
      <w:r w:rsidR="00930ACE" w:rsidRPr="00930ACE">
        <w:t>T</w:t>
      </w:r>
      <w:r w:rsidR="00930ACE">
        <w:t>he sponsor should provide a sample of such form to the TGA for evaluation.</w:t>
      </w:r>
    </w:p>
    <w:p w:rsidR="00B63770" w:rsidRPr="0055028D" w:rsidRDefault="00B63770" w:rsidP="00914B8A">
      <w:r>
        <w:t xml:space="preserve">The sponsor </w:t>
      </w:r>
      <w:r w:rsidR="00930ACE">
        <w:t xml:space="preserve">justification for their </w:t>
      </w:r>
      <w:r>
        <w:t>propos</w:t>
      </w:r>
      <w:r w:rsidR="00930ACE">
        <w:t>al of</w:t>
      </w:r>
      <w:r>
        <w:t xml:space="preserve"> routine pharmacovigilance activities for all safety risks based on the well understood safety profile of levothyroxine</w:t>
      </w:r>
      <w:r w:rsidR="00930ACE">
        <w:t xml:space="preserve"> was considered</w:t>
      </w:r>
      <w:r w:rsidR="00914B8A">
        <w:t xml:space="preserve"> acceptable.</w:t>
      </w:r>
    </w:p>
    <w:p w:rsidR="008E7846" w:rsidRDefault="008E7846" w:rsidP="00A323E2">
      <w:pPr>
        <w:pStyle w:val="Heading4"/>
        <w:rPr>
          <w:lang w:eastAsia="en-AU"/>
        </w:rPr>
      </w:pPr>
      <w:r>
        <w:rPr>
          <w:lang w:eastAsia="en-AU"/>
        </w:rPr>
        <w:lastRenderedPageBreak/>
        <w:t xml:space="preserve">Risk </w:t>
      </w:r>
      <w:r w:rsidR="003A7F6C" w:rsidRPr="00A323E2">
        <w:t>m</w:t>
      </w:r>
      <w:r w:rsidRPr="00A323E2">
        <w:t>inimisation</w:t>
      </w:r>
      <w:r>
        <w:rPr>
          <w:lang w:eastAsia="en-AU"/>
        </w:rPr>
        <w:t xml:space="preserve"> </w:t>
      </w:r>
      <w:r w:rsidR="003A7F6C">
        <w:rPr>
          <w:lang w:eastAsia="en-AU"/>
        </w:rPr>
        <w:t>a</w:t>
      </w:r>
      <w:r>
        <w:rPr>
          <w:lang w:eastAsia="en-AU"/>
        </w:rPr>
        <w:t>ctivities</w:t>
      </w:r>
    </w:p>
    <w:p w:rsidR="00B63770" w:rsidRDefault="00B63770" w:rsidP="00A323E2">
      <w:bookmarkStart w:id="105" w:name="_Toc247691527"/>
      <w:r>
        <w:t>The sponsor proposes routine and additional risk minimisation activities (d</w:t>
      </w:r>
      <w:r w:rsidRPr="00B63770">
        <w:t>evelopment and distribution of educational materials to Consumers and Healthcare Professionals prepared in accordance with Medicines Australia Code of Conduct Guidelines</w:t>
      </w:r>
      <w:r>
        <w:t>) for a</w:t>
      </w:r>
      <w:r w:rsidR="00A323E2">
        <w:t>ll the ongoing safety concerns.</w:t>
      </w:r>
    </w:p>
    <w:p w:rsidR="00B63770" w:rsidRPr="00FD524B" w:rsidRDefault="00B63770" w:rsidP="00A323E2">
      <w:r>
        <w:t>The sponsor’s evaluation of the need fo</w:t>
      </w:r>
      <w:r w:rsidR="00930ACE">
        <w:t>r risk minimisation activities wa</w:t>
      </w:r>
      <w:r>
        <w:t xml:space="preserve">s </w:t>
      </w:r>
      <w:r w:rsidR="00930ACE">
        <w:t xml:space="preserve">considered to be </w:t>
      </w:r>
      <w:r w:rsidR="00A323E2">
        <w:t>satisfactory.</w:t>
      </w:r>
    </w:p>
    <w:p w:rsidR="006F25B8" w:rsidRDefault="006F25B8" w:rsidP="00A323E2">
      <w:pPr>
        <w:pStyle w:val="Heading4"/>
        <w:rPr>
          <w:lang w:eastAsia="en-AU"/>
        </w:rPr>
      </w:pPr>
      <w:r w:rsidRPr="00A323E2">
        <w:t>Reconciliation</w:t>
      </w:r>
      <w:r w:rsidRPr="006F25B8">
        <w:rPr>
          <w:lang w:eastAsia="en-AU"/>
        </w:rPr>
        <w:t xml:space="preserve"> of is</w:t>
      </w:r>
      <w:r w:rsidR="00A323E2">
        <w:rPr>
          <w:lang w:eastAsia="en-AU"/>
        </w:rPr>
        <w:t>sues outlined in the RMP report</w:t>
      </w:r>
    </w:p>
    <w:p w:rsidR="006F25B8" w:rsidRDefault="006F25B8" w:rsidP="00A323E2">
      <w:pPr>
        <w:rPr>
          <w:lang w:eastAsia="en-AU"/>
        </w:rPr>
      </w:pPr>
      <w:r>
        <w:rPr>
          <w:lang w:eastAsia="en-AU"/>
        </w:rPr>
        <w:t xml:space="preserve">Table </w:t>
      </w:r>
      <w:r w:rsidR="000F4A2C">
        <w:rPr>
          <w:lang w:eastAsia="en-AU"/>
        </w:rPr>
        <w:t>8</w:t>
      </w:r>
      <w:r>
        <w:rPr>
          <w:lang w:eastAsia="en-AU"/>
        </w:rPr>
        <w:t xml:space="preserve"> summarises the OPR’s first round evaluation of the RMP, the sponsor’s responses to issues raised by the OPR and the OPR’s evaluat</w:t>
      </w:r>
      <w:r w:rsidR="00B63770">
        <w:rPr>
          <w:lang w:eastAsia="en-AU"/>
        </w:rPr>
        <w:t>ion of the sponsor’s responses.</w:t>
      </w:r>
    </w:p>
    <w:p w:rsidR="00B63770" w:rsidRPr="00617276" w:rsidRDefault="00930ACE" w:rsidP="00A323E2">
      <w:pPr>
        <w:pStyle w:val="TableTitle"/>
      </w:pPr>
      <w:proofErr w:type="gramStart"/>
      <w:r>
        <w:t xml:space="preserve">Table </w:t>
      </w:r>
      <w:r w:rsidR="000F4A2C">
        <w:t>8</w:t>
      </w:r>
      <w:r>
        <w:t>.</w:t>
      </w:r>
      <w:proofErr w:type="gramEnd"/>
      <w:r w:rsidR="00B63770" w:rsidRPr="00617276">
        <w:t xml:space="preserve"> Reconciliation of issues outlined in the RMP </w:t>
      </w:r>
      <w:r w:rsidR="00B63770" w:rsidRPr="00A323E2">
        <w:t>report</w:t>
      </w:r>
    </w:p>
    <w:tbl>
      <w:tblPr>
        <w:tblStyle w:val="TableTGAblue"/>
        <w:tblW w:w="5000" w:type="pct"/>
        <w:jc w:val="center"/>
        <w:tblLayout w:type="fixed"/>
        <w:tblLook w:val="04A0" w:firstRow="1" w:lastRow="0" w:firstColumn="1" w:lastColumn="0" w:noHBand="0" w:noVBand="1"/>
      </w:tblPr>
      <w:tblGrid>
        <w:gridCol w:w="3114"/>
        <w:gridCol w:w="3703"/>
        <w:gridCol w:w="1903"/>
      </w:tblGrid>
      <w:tr w:rsidR="00B63770" w:rsidRPr="00617276" w:rsidTr="00A323E2">
        <w:trPr>
          <w:cnfStyle w:val="100000000000" w:firstRow="1" w:lastRow="0" w:firstColumn="0" w:lastColumn="0" w:oddVBand="0" w:evenVBand="0" w:oddHBand="0" w:evenHBand="0" w:firstRowFirstColumn="0" w:firstRowLastColumn="0" w:lastRowFirstColumn="0" w:lastRowLastColumn="0"/>
          <w:jc w:val="center"/>
        </w:trPr>
        <w:tc>
          <w:tcPr>
            <w:tcW w:w="1786" w:type="pct"/>
            <w:noWrap/>
          </w:tcPr>
          <w:p w:rsidR="00B63770" w:rsidRPr="00617276" w:rsidRDefault="00B63770" w:rsidP="00A323E2">
            <w:r w:rsidRPr="00617276">
              <w:t>Recommendation in RMP evaluation report</w:t>
            </w:r>
          </w:p>
        </w:tc>
        <w:tc>
          <w:tcPr>
            <w:tcW w:w="2123" w:type="pct"/>
            <w:noWrap/>
          </w:tcPr>
          <w:p w:rsidR="00B63770" w:rsidRPr="00617276" w:rsidRDefault="00B63770" w:rsidP="00A323E2">
            <w:pPr>
              <w:rPr>
                <w:i/>
              </w:rPr>
            </w:pPr>
            <w:r w:rsidRPr="00617276">
              <w:rPr>
                <w:i/>
              </w:rPr>
              <w:t>Sponsor’s response</w:t>
            </w:r>
          </w:p>
        </w:tc>
        <w:tc>
          <w:tcPr>
            <w:tcW w:w="1092" w:type="pct"/>
            <w:noWrap/>
          </w:tcPr>
          <w:p w:rsidR="00B63770" w:rsidRPr="00617276" w:rsidRDefault="00B63770" w:rsidP="00A323E2">
            <w:r w:rsidRPr="00617276">
              <w:t>OPR evaluator’s comment</w:t>
            </w:r>
          </w:p>
        </w:tc>
      </w:tr>
      <w:tr w:rsidR="00B63770" w:rsidRPr="00617276" w:rsidTr="00A323E2">
        <w:trPr>
          <w:jc w:val="center"/>
        </w:trPr>
        <w:tc>
          <w:tcPr>
            <w:tcW w:w="178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B63770" w:rsidRPr="00617276" w:rsidRDefault="00B63770" w:rsidP="00A323E2">
            <w:r w:rsidRPr="00617276">
              <w:t xml:space="preserve">‘Drug abuse in weight </w:t>
            </w:r>
            <w:proofErr w:type="gramStart"/>
            <w:r w:rsidRPr="00617276">
              <w:t>loss’</w:t>
            </w:r>
            <w:proofErr w:type="gramEnd"/>
            <w:r w:rsidRPr="00617276">
              <w:t xml:space="preserve"> has been listed as an identified safety risk in the pharmacovigilance and risk minimisation plan in the proposed RMP. The sponsor should include this risk in the</w:t>
            </w:r>
            <w:r w:rsidR="00A323E2">
              <w:t xml:space="preserve"> ‘Summary of Safety Concerns’.</w:t>
            </w:r>
          </w:p>
        </w:tc>
        <w:tc>
          <w:tcPr>
            <w:tcW w:w="2123"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B63770" w:rsidRPr="00617276" w:rsidRDefault="00B63770" w:rsidP="00A323E2">
            <w:pPr>
              <w:rPr>
                <w:i/>
                <w:highlight w:val="yellow"/>
              </w:rPr>
            </w:pPr>
            <w:r w:rsidRPr="00617276">
              <w:rPr>
                <w:i/>
              </w:rPr>
              <w:t xml:space="preserve">RMP has been updated regarding ‘Drug abuse in weight </w:t>
            </w:r>
            <w:proofErr w:type="gramStart"/>
            <w:r w:rsidRPr="00617276">
              <w:rPr>
                <w:i/>
              </w:rPr>
              <w:t>loss’</w:t>
            </w:r>
            <w:proofErr w:type="gramEnd"/>
            <w:r w:rsidRPr="00617276">
              <w:rPr>
                <w:i/>
              </w:rPr>
              <w:t>. Based on estimated patient exposure of approximately 224 million patient-years for the 100 microgram daily dose and 148 million patient-years for the 150 microgram daily dose for the 50-year post-authorisation period, and the potential for drug abuse with levothyroxine is considered to be low. Hence all reference to drug abuse in weight loss</w:t>
            </w:r>
            <w:r w:rsidR="00A323E2">
              <w:rPr>
                <w:i/>
              </w:rPr>
              <w:t xml:space="preserve"> has been removed from the RMP.</w:t>
            </w:r>
          </w:p>
        </w:tc>
        <w:tc>
          <w:tcPr>
            <w:tcW w:w="109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B63770" w:rsidRPr="00617276" w:rsidRDefault="00930ACE" w:rsidP="00A323E2">
            <w:r>
              <w:t>The sponsor’s response wa</w:t>
            </w:r>
            <w:r w:rsidR="00B63770" w:rsidRPr="00617276">
              <w:t xml:space="preserve">s </w:t>
            </w:r>
            <w:r>
              <w:t xml:space="preserve">considered to be </w:t>
            </w:r>
            <w:r w:rsidR="00A323E2">
              <w:t>acceptable.</w:t>
            </w:r>
          </w:p>
        </w:tc>
      </w:tr>
      <w:tr w:rsidR="00B63770" w:rsidRPr="00617276" w:rsidTr="00A323E2">
        <w:trPr>
          <w:jc w:val="center"/>
        </w:trPr>
        <w:tc>
          <w:tcPr>
            <w:tcW w:w="178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B63770" w:rsidRPr="00617276" w:rsidRDefault="00B63770" w:rsidP="00A323E2">
            <w:r w:rsidRPr="00617276">
              <w:t>The sponsor proposes a specific adverse reaction form for the identified risks ‘</w:t>
            </w:r>
            <w:r w:rsidRPr="00930ACE">
              <w:rPr>
                <w:i/>
              </w:rPr>
              <w:t>in order to gather more accurate information on patient status, change of dosage, change of brand, latest hormonal levels, new concomitant drugs</w:t>
            </w:r>
            <w:r w:rsidRPr="00617276">
              <w:t xml:space="preserve">’, the sponsor should provide a sample of such </w:t>
            </w:r>
            <w:r w:rsidR="00A323E2">
              <w:t>form to the TGA for evaluation.</w:t>
            </w:r>
          </w:p>
        </w:tc>
        <w:tc>
          <w:tcPr>
            <w:tcW w:w="2123"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B63770" w:rsidRPr="00617276" w:rsidRDefault="00B63770" w:rsidP="00A323E2">
            <w:pPr>
              <w:rPr>
                <w:i/>
              </w:rPr>
            </w:pPr>
            <w:r w:rsidRPr="00617276">
              <w:rPr>
                <w:i/>
              </w:rPr>
              <w:t xml:space="preserve">The following 2 ICSR Follow-Up Questionnaires had been agreed and </w:t>
            </w:r>
            <w:r w:rsidR="00930ACE">
              <w:rPr>
                <w:i/>
              </w:rPr>
              <w:t>were submitted to the TGA</w:t>
            </w:r>
            <w:r w:rsidR="00A323E2">
              <w:rPr>
                <w:i/>
              </w:rPr>
              <w:t>.</w:t>
            </w:r>
          </w:p>
          <w:p w:rsidR="00B63770" w:rsidRPr="00617276" w:rsidRDefault="00A323E2" w:rsidP="00A323E2">
            <w:pPr>
              <w:rPr>
                <w:i/>
              </w:rPr>
            </w:pPr>
            <w:r>
              <w:rPr>
                <w:i/>
              </w:rPr>
              <w:t>Cardiac Adverse Events</w:t>
            </w:r>
          </w:p>
          <w:p w:rsidR="00B63770" w:rsidRPr="00617276" w:rsidRDefault="00B63770" w:rsidP="00A323E2">
            <w:pPr>
              <w:rPr>
                <w:i/>
              </w:rPr>
            </w:pPr>
            <w:r w:rsidRPr="00617276">
              <w:rPr>
                <w:i/>
              </w:rPr>
              <w:t xml:space="preserve">Potential Hypo- or Hyper – </w:t>
            </w:r>
            <w:proofErr w:type="spellStart"/>
            <w:r w:rsidRPr="00617276">
              <w:rPr>
                <w:i/>
              </w:rPr>
              <w:t>Thy</w:t>
            </w:r>
            <w:r w:rsidR="00A323E2">
              <w:rPr>
                <w:i/>
              </w:rPr>
              <w:t>roidism</w:t>
            </w:r>
            <w:proofErr w:type="spellEnd"/>
            <w:r w:rsidR="00A323E2">
              <w:rPr>
                <w:i/>
              </w:rPr>
              <w:t xml:space="preserve"> or Treatment Imbalance.</w:t>
            </w:r>
          </w:p>
        </w:tc>
        <w:tc>
          <w:tcPr>
            <w:tcW w:w="109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B63770" w:rsidRPr="00617276" w:rsidRDefault="00B63770" w:rsidP="00A323E2">
            <w:r w:rsidRPr="00617276">
              <w:t xml:space="preserve">The sponsor’s response </w:t>
            </w:r>
            <w:r w:rsidR="00930ACE">
              <w:t>wa</w:t>
            </w:r>
            <w:r w:rsidR="00930ACE" w:rsidRPr="00617276">
              <w:t xml:space="preserve">s </w:t>
            </w:r>
            <w:r w:rsidR="00930ACE">
              <w:t xml:space="preserve">considered to be </w:t>
            </w:r>
            <w:r w:rsidR="00930ACE" w:rsidRPr="00617276">
              <w:t>acceptable</w:t>
            </w:r>
            <w:r w:rsidR="00A323E2">
              <w:t>.</w:t>
            </w:r>
          </w:p>
        </w:tc>
      </w:tr>
      <w:tr w:rsidR="00B63770" w:rsidRPr="00617276" w:rsidTr="00A323E2">
        <w:trPr>
          <w:jc w:val="center"/>
        </w:trPr>
        <w:tc>
          <w:tcPr>
            <w:tcW w:w="178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B63770" w:rsidRPr="00617276" w:rsidRDefault="00B63770" w:rsidP="00A323E2">
            <w:r w:rsidRPr="00617276">
              <w:t xml:space="preserve">The evaluator agrees that the introduction of more </w:t>
            </w:r>
            <w:proofErr w:type="gramStart"/>
            <w:r w:rsidRPr="00617276">
              <w:t>strengths</w:t>
            </w:r>
            <w:proofErr w:type="gramEnd"/>
            <w:r w:rsidRPr="00617276">
              <w:t xml:space="preserve"> will help minimise the potential for some medication errors as the sponsor has stated. However, eleven different </w:t>
            </w:r>
            <w:r w:rsidRPr="00617276">
              <w:lastRenderedPageBreak/>
              <w:t>strengths are likely to become a potential for medication errors especially during dispensing and administration of the product. The sponsor should provide justification as to how the proposed risk minimisation activities can help avoid confusion and potential medication errors caused by the introduction of seven more strengths.</w:t>
            </w:r>
          </w:p>
        </w:tc>
        <w:tc>
          <w:tcPr>
            <w:tcW w:w="2123"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B63770" w:rsidRPr="00617276" w:rsidRDefault="00B63770" w:rsidP="00A323E2">
            <w:pPr>
              <w:rPr>
                <w:i/>
              </w:rPr>
            </w:pPr>
            <w:r w:rsidRPr="00617276">
              <w:rPr>
                <w:i/>
              </w:rPr>
              <w:lastRenderedPageBreak/>
              <w:t xml:space="preserve">The risk of medication errors can be reduced by packaging with the judicious use of different colours to distinguish different strengths on the carton pack and inclusion of unique embossing </w:t>
            </w:r>
            <w:proofErr w:type="gramStart"/>
            <w:r w:rsidRPr="00617276">
              <w:rPr>
                <w:i/>
              </w:rPr>
              <w:t>on each an</w:t>
            </w:r>
            <w:r w:rsidR="00A323E2">
              <w:rPr>
                <w:i/>
              </w:rPr>
              <w:t xml:space="preserve">d </w:t>
            </w:r>
            <w:r w:rsidR="00A323E2">
              <w:rPr>
                <w:i/>
              </w:rPr>
              <w:lastRenderedPageBreak/>
              <w:t>every strength</w:t>
            </w:r>
            <w:proofErr w:type="gramEnd"/>
            <w:r w:rsidR="00A323E2">
              <w:rPr>
                <w:i/>
              </w:rPr>
              <w:t xml:space="preserve"> of the tablet.</w:t>
            </w:r>
          </w:p>
          <w:p w:rsidR="00B63770" w:rsidRPr="00617276" w:rsidRDefault="00B63770" w:rsidP="00A323E2">
            <w:pPr>
              <w:rPr>
                <w:i/>
              </w:rPr>
            </w:pPr>
            <w:r w:rsidRPr="00617276">
              <w:rPr>
                <w:i/>
              </w:rPr>
              <w:t>To prevent potential medication errors that may occur due to the availability of a wide range of levothyroxine sodium strengths in the m</w:t>
            </w:r>
            <w:r w:rsidR="00A323E2">
              <w:rPr>
                <w:i/>
              </w:rPr>
              <w:t>arket, Aspen has taken due care</w:t>
            </w:r>
          </w:p>
          <w:p w:rsidR="00B63770" w:rsidRPr="00617276" w:rsidRDefault="00B63770" w:rsidP="00A323E2">
            <w:pPr>
              <w:rPr>
                <w:i/>
              </w:rPr>
            </w:pPr>
            <w:r w:rsidRPr="00617276">
              <w:rPr>
                <w:i/>
              </w:rPr>
              <w:t>In artwork by customi</w:t>
            </w:r>
            <w:r w:rsidR="00930ACE">
              <w:rPr>
                <w:i/>
              </w:rPr>
              <w:t>s</w:t>
            </w:r>
            <w:r w:rsidRPr="00617276">
              <w:rPr>
                <w:i/>
              </w:rPr>
              <w:t>ing a particular colour to t</w:t>
            </w:r>
            <w:r w:rsidR="00A323E2">
              <w:rPr>
                <w:i/>
              </w:rPr>
              <w:t>he carton against each strength</w:t>
            </w:r>
          </w:p>
          <w:p w:rsidR="00B63770" w:rsidRPr="00617276" w:rsidRDefault="00B63770" w:rsidP="00A323E2">
            <w:pPr>
              <w:rPr>
                <w:i/>
              </w:rPr>
            </w:pPr>
            <w:r w:rsidRPr="00617276">
              <w:rPr>
                <w:i/>
              </w:rPr>
              <w:t>Each tablet is embossed with its relevant strength on o</w:t>
            </w:r>
            <w:r w:rsidR="00A323E2">
              <w:rPr>
                <w:i/>
              </w:rPr>
              <w:t>ne side (see attached artwork).</w:t>
            </w:r>
          </w:p>
          <w:p w:rsidR="00B63770" w:rsidRPr="00A323E2" w:rsidRDefault="00B63770" w:rsidP="00A323E2">
            <w:pPr>
              <w:rPr>
                <w:i/>
              </w:rPr>
            </w:pPr>
            <w:r w:rsidRPr="00A323E2">
              <w:rPr>
                <w:i/>
              </w:rPr>
              <w:t>This is clearly stated in the product information (SPC &amp; PIL)</w:t>
            </w:r>
          </w:p>
          <w:p w:rsidR="00B63770" w:rsidRPr="00617276" w:rsidRDefault="00B63770" w:rsidP="00A323E2">
            <w:pPr>
              <w:rPr>
                <w:i/>
              </w:rPr>
            </w:pPr>
            <w:r w:rsidRPr="00617276">
              <w:rPr>
                <w:i/>
              </w:rPr>
              <w:t>Thus, different tablet strengths are distinguishable at a level sufficient to avoid mistakes between the different strengths by the patien</w:t>
            </w:r>
            <w:r w:rsidR="00A323E2">
              <w:rPr>
                <w:i/>
              </w:rPr>
              <w:t>t and health-care professional.</w:t>
            </w:r>
          </w:p>
          <w:p w:rsidR="00B63770" w:rsidRPr="00617276" w:rsidRDefault="00B63770" w:rsidP="00A323E2">
            <w:pPr>
              <w:rPr>
                <w:i/>
              </w:rPr>
            </w:pPr>
            <w:r w:rsidRPr="00617276">
              <w:rPr>
                <w:i/>
              </w:rPr>
              <w:t xml:space="preserve">With regard to the analysis of the identified risks with any levothyroxine product, the creation of a website answers all the objectives above. The use of all new channels of communication is recommended, due to their relevance to the public and </w:t>
            </w:r>
            <w:r w:rsidR="00930ACE">
              <w:rPr>
                <w:i/>
              </w:rPr>
              <w:t>Health care Professionals (</w:t>
            </w:r>
            <w:r w:rsidRPr="00617276">
              <w:rPr>
                <w:i/>
              </w:rPr>
              <w:t>HCPs</w:t>
            </w:r>
            <w:r w:rsidR="00930ACE">
              <w:rPr>
                <w:i/>
              </w:rPr>
              <w:t>)</w:t>
            </w:r>
            <w:r w:rsidRPr="00617276">
              <w:rPr>
                <w:i/>
              </w:rPr>
              <w:t xml:space="preserve"> </w:t>
            </w:r>
            <w:r w:rsidR="00A323E2">
              <w:rPr>
                <w:i/>
              </w:rPr>
              <w:t>for easy access to information.</w:t>
            </w:r>
          </w:p>
          <w:p w:rsidR="00B63770" w:rsidRPr="00617276" w:rsidRDefault="00B63770" w:rsidP="00A323E2">
            <w:pPr>
              <w:rPr>
                <w:i/>
              </w:rPr>
            </w:pPr>
            <w:r w:rsidRPr="00617276">
              <w:rPr>
                <w:i/>
              </w:rPr>
              <w:t>Risk communication will be focused on treatment imbalance, which is encompassing almost all other risks, and will describe the risks factors and the populations at risk. Risk communication will be performed through a dedicated website, with two discrete sections: one for healthcare professionals and the other for patients. In both sections, a quiz with multiple answers will evaluate the u</w:t>
            </w:r>
            <w:r w:rsidR="00A323E2">
              <w:rPr>
                <w:i/>
              </w:rPr>
              <w:t>nderstanding of the reader.</w:t>
            </w:r>
          </w:p>
          <w:p w:rsidR="00B63770" w:rsidRPr="00617276" w:rsidRDefault="00B63770" w:rsidP="00A323E2">
            <w:pPr>
              <w:rPr>
                <w:i/>
              </w:rPr>
            </w:pPr>
            <w:r w:rsidRPr="00617276">
              <w:rPr>
                <w:i/>
              </w:rPr>
              <w:t xml:space="preserve">Risk communication will be </w:t>
            </w:r>
            <w:r w:rsidRPr="00617276">
              <w:rPr>
                <w:i/>
              </w:rPr>
              <w:lastRenderedPageBreak/>
              <w:t>performed through a dedicated website, with two discrete sections: one for healthcare professionals and the other for patients. In both sections, a quiz with multiple answers will evaluate the underst</w:t>
            </w:r>
            <w:r w:rsidR="00A323E2">
              <w:rPr>
                <w:i/>
              </w:rPr>
              <w:t>anding of the reader.</w:t>
            </w:r>
          </w:p>
          <w:p w:rsidR="00B63770" w:rsidRPr="00617276" w:rsidRDefault="00B63770" w:rsidP="00A323E2">
            <w:pPr>
              <w:rPr>
                <w:rFonts w:cs="Arial"/>
                <w:i/>
                <w:color w:val="auto"/>
              </w:rPr>
            </w:pPr>
            <w:r w:rsidRPr="00617276">
              <w:rPr>
                <w:rFonts w:cs="Arial"/>
                <w:i/>
                <w:color w:val="auto"/>
              </w:rPr>
              <w:t>The effectiveness of the website as a risk minimization measure will be assessed via the two quizzes, and website traffic metrics. Ann</w:t>
            </w:r>
            <w:r w:rsidR="00A323E2">
              <w:rPr>
                <w:rFonts w:cs="Arial"/>
                <w:i/>
                <w:color w:val="auto"/>
              </w:rPr>
              <w:t>ual analysis will be performed.</w:t>
            </w:r>
          </w:p>
          <w:p w:rsidR="00B63770" w:rsidRPr="00617276" w:rsidRDefault="00B63770" w:rsidP="00A323E2">
            <w:pPr>
              <w:rPr>
                <w:i/>
              </w:rPr>
            </w:pPr>
            <w:r w:rsidRPr="00617276">
              <w:rPr>
                <w:i/>
              </w:rPr>
              <w:t>Training will be provided to relevant personnel in Aspen affiliates and partners to make them aware of the website as a risk minimisation tool, to ensure it is used correctly and to remind them of the correct indications for use of levothyroxine.</w:t>
            </w:r>
          </w:p>
        </w:tc>
        <w:tc>
          <w:tcPr>
            <w:tcW w:w="109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B63770" w:rsidRPr="00617276" w:rsidRDefault="00B63770" w:rsidP="00A323E2">
            <w:r w:rsidRPr="00617276">
              <w:lastRenderedPageBreak/>
              <w:t xml:space="preserve">The sponsor’s response </w:t>
            </w:r>
            <w:r w:rsidR="00930ACE">
              <w:t>wa</w:t>
            </w:r>
            <w:r w:rsidR="00930ACE" w:rsidRPr="00617276">
              <w:t xml:space="preserve">s </w:t>
            </w:r>
            <w:r w:rsidR="00930ACE">
              <w:t xml:space="preserve">considered to be </w:t>
            </w:r>
            <w:r w:rsidR="00930ACE" w:rsidRPr="00617276">
              <w:t>acceptable</w:t>
            </w:r>
            <w:r w:rsidR="00A323E2">
              <w:t>.</w:t>
            </w:r>
          </w:p>
        </w:tc>
      </w:tr>
      <w:tr w:rsidR="00B63770" w:rsidRPr="00617276" w:rsidTr="00A323E2">
        <w:trPr>
          <w:jc w:val="center"/>
        </w:trPr>
        <w:tc>
          <w:tcPr>
            <w:tcW w:w="178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B63770" w:rsidRPr="00617276" w:rsidRDefault="00B63770" w:rsidP="00A323E2">
            <w:r w:rsidRPr="00617276">
              <w:lastRenderedPageBreak/>
              <w:t>It is recommended that the sponsor provides the educational materi</w:t>
            </w:r>
            <w:r w:rsidR="00A323E2">
              <w:t>als to the TGA prior to supply.</w:t>
            </w:r>
          </w:p>
        </w:tc>
        <w:tc>
          <w:tcPr>
            <w:tcW w:w="2123"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B63770" w:rsidRPr="00617276" w:rsidRDefault="00B63770" w:rsidP="00A323E2">
            <w:pPr>
              <w:rPr>
                <w:i/>
              </w:rPr>
            </w:pPr>
            <w:r w:rsidRPr="00617276">
              <w:rPr>
                <w:i/>
              </w:rPr>
              <w:t>Aspen agree that all the necessary educational/ training materials will be provide</w:t>
            </w:r>
            <w:r w:rsidR="00A323E2">
              <w:rPr>
                <w:i/>
              </w:rPr>
              <w:t>d to TGA prior to distribution.</w:t>
            </w:r>
          </w:p>
        </w:tc>
        <w:tc>
          <w:tcPr>
            <w:tcW w:w="109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B63770" w:rsidRPr="00617276" w:rsidRDefault="00B63770" w:rsidP="00A323E2">
            <w:r w:rsidRPr="00617276">
              <w:t xml:space="preserve">The sponsor’s response </w:t>
            </w:r>
            <w:r w:rsidR="00930ACE">
              <w:t>wa</w:t>
            </w:r>
            <w:r w:rsidR="00930ACE" w:rsidRPr="00617276">
              <w:t xml:space="preserve">s </w:t>
            </w:r>
            <w:r w:rsidR="00930ACE">
              <w:t xml:space="preserve">considered to be </w:t>
            </w:r>
            <w:r w:rsidR="00930ACE" w:rsidRPr="00617276">
              <w:t>acceptable</w:t>
            </w:r>
            <w:r w:rsidR="00A323E2">
              <w:t>.</w:t>
            </w:r>
          </w:p>
        </w:tc>
      </w:tr>
    </w:tbl>
    <w:p w:rsidR="00930ACE" w:rsidRPr="006A5618" w:rsidRDefault="008E7846" w:rsidP="006A5618">
      <w:pPr>
        <w:pStyle w:val="Heading4"/>
      </w:pPr>
      <w:r>
        <w:rPr>
          <w:lang w:eastAsia="en-AU"/>
        </w:rPr>
        <w:t xml:space="preserve">Summary of </w:t>
      </w:r>
      <w:r w:rsidR="003A7F6C">
        <w:rPr>
          <w:lang w:eastAsia="en-AU"/>
        </w:rPr>
        <w:t>r</w:t>
      </w:r>
      <w:r>
        <w:rPr>
          <w:lang w:eastAsia="en-AU"/>
        </w:rPr>
        <w:t>ecommendations</w:t>
      </w:r>
      <w:bookmarkStart w:id="106" w:name="_Toc314842510"/>
    </w:p>
    <w:p w:rsidR="00B63770" w:rsidRDefault="00B63770" w:rsidP="006A5618">
      <w:pPr>
        <w:rPr>
          <w:b/>
          <w:bCs/>
          <w:lang w:eastAsia="en-AU"/>
        </w:rPr>
      </w:pPr>
      <w:r>
        <w:rPr>
          <w:lang w:eastAsia="en-AU"/>
        </w:rPr>
        <w:t>It wa</w:t>
      </w:r>
      <w:r w:rsidRPr="00B63770">
        <w:rPr>
          <w:lang w:eastAsia="en-AU"/>
        </w:rPr>
        <w:t xml:space="preserve">s considered that the sponsor’s response to the TGA has adequately addressed all of the issues identified in the </w:t>
      </w:r>
      <w:r w:rsidR="00930ACE">
        <w:rPr>
          <w:lang w:eastAsia="en-AU"/>
        </w:rPr>
        <w:t xml:space="preserve">First </w:t>
      </w:r>
      <w:r w:rsidRPr="00B63770">
        <w:rPr>
          <w:lang w:eastAsia="en-AU"/>
        </w:rPr>
        <w:t xml:space="preserve">Round RMP evaluation report. Outstanding issues are </w:t>
      </w:r>
      <w:r>
        <w:rPr>
          <w:lang w:eastAsia="en-AU"/>
        </w:rPr>
        <w:t>detailed below</w:t>
      </w:r>
      <w:r w:rsidR="006A5618">
        <w:rPr>
          <w:lang w:eastAsia="en-AU"/>
        </w:rPr>
        <w:t>.</w:t>
      </w:r>
    </w:p>
    <w:p w:rsidR="00B63770" w:rsidRPr="00107999" w:rsidRDefault="00B63770" w:rsidP="006A5618">
      <w:pPr>
        <w:pStyle w:val="Heading5"/>
      </w:pPr>
      <w:r w:rsidRPr="00107999">
        <w:t xml:space="preserve">Outstanding </w:t>
      </w:r>
      <w:r w:rsidRPr="006A5618">
        <w:t>issues</w:t>
      </w:r>
    </w:p>
    <w:p w:rsidR="00B63770" w:rsidRPr="00107999" w:rsidRDefault="00B63770" w:rsidP="006A5618">
      <w:pPr>
        <w:pStyle w:val="Heading6"/>
      </w:pPr>
      <w:r w:rsidRPr="00107999">
        <w:t xml:space="preserve">Issues in </w:t>
      </w:r>
      <w:r w:rsidRPr="006A5618">
        <w:t>relation</w:t>
      </w:r>
      <w:r w:rsidR="006A5618">
        <w:t xml:space="preserve"> to the RMP</w:t>
      </w:r>
    </w:p>
    <w:p w:rsidR="00B63770" w:rsidRPr="00107999" w:rsidRDefault="00B63770" w:rsidP="006A5618">
      <w:r>
        <w:t xml:space="preserve">Refer to </w:t>
      </w:r>
      <w:r w:rsidRPr="006A5618">
        <w:rPr>
          <w:i/>
        </w:rPr>
        <w:t>‘Comments on the safety specification of the RMP’</w:t>
      </w:r>
      <w:r w:rsidR="00930ACE">
        <w:t xml:space="preserve"> below.</w:t>
      </w:r>
    </w:p>
    <w:p w:rsidR="00B63770" w:rsidRPr="00107999" w:rsidRDefault="00B63770" w:rsidP="006A5618">
      <w:pPr>
        <w:pStyle w:val="Heading6"/>
      </w:pPr>
      <w:r w:rsidRPr="00107999">
        <w:t xml:space="preserve">Advice from the </w:t>
      </w:r>
      <w:r w:rsidRPr="00107999">
        <w:rPr>
          <w:rStyle w:val="st1"/>
          <w:rFonts w:asciiTheme="minorHAnsi" w:hAnsiTheme="minorHAnsi" w:cstheme="majorHAnsi"/>
          <w:color w:val="000000"/>
        </w:rPr>
        <w:t>Advisory Committee on the Safety of Medicines</w:t>
      </w:r>
      <w:r w:rsidRPr="00107999">
        <w:rPr>
          <w:rStyle w:val="st1"/>
          <w:rFonts w:asciiTheme="minorHAnsi" w:hAnsiTheme="minorHAnsi" w:cstheme="majorHAnsi"/>
          <w:color w:val="222222"/>
        </w:rPr>
        <w:t xml:space="preserve"> (</w:t>
      </w:r>
      <w:r w:rsidRPr="006A5618">
        <w:rPr>
          <w:rStyle w:val="st1"/>
        </w:rPr>
        <w:t>ACSOM</w:t>
      </w:r>
      <w:r w:rsidRPr="00107999">
        <w:rPr>
          <w:rStyle w:val="st1"/>
          <w:rFonts w:asciiTheme="minorHAnsi" w:hAnsiTheme="minorHAnsi" w:cstheme="majorHAnsi"/>
          <w:color w:val="222222"/>
        </w:rPr>
        <w:t>)</w:t>
      </w:r>
    </w:p>
    <w:p w:rsidR="00B63770" w:rsidRPr="00107999" w:rsidRDefault="00B63770" w:rsidP="006A5618">
      <w:r w:rsidRPr="005D7165">
        <w:t>ACSOM advice was not sought for this submission.</w:t>
      </w:r>
    </w:p>
    <w:p w:rsidR="00B63770" w:rsidRPr="006A5618" w:rsidRDefault="00B63770" w:rsidP="00AD2299">
      <w:pPr>
        <w:pStyle w:val="Heading5"/>
      </w:pPr>
      <w:r w:rsidRPr="00107999">
        <w:t>Comments on the safety specification of the RMP</w:t>
      </w:r>
    </w:p>
    <w:p w:rsidR="00B63770" w:rsidRPr="00AD2299" w:rsidRDefault="00B63770" w:rsidP="00AD2299">
      <w:pPr>
        <w:pStyle w:val="Heading6"/>
      </w:pPr>
      <w:r w:rsidRPr="00107999">
        <w:t xml:space="preserve">Clinical </w:t>
      </w:r>
      <w:r w:rsidR="00AD2299">
        <w:t>e</w:t>
      </w:r>
      <w:r w:rsidRPr="00107999">
        <w:t xml:space="preserve">valuation </w:t>
      </w:r>
      <w:r w:rsidR="00AD2299">
        <w:t>report</w:t>
      </w:r>
    </w:p>
    <w:p w:rsidR="00B63770" w:rsidRDefault="00B63770" w:rsidP="00AD2299">
      <w:r>
        <w:t xml:space="preserve">No comment was made on the safety specification of the RMP in </w:t>
      </w:r>
      <w:r w:rsidR="00930ACE">
        <w:t xml:space="preserve">Second </w:t>
      </w:r>
      <w:r>
        <w:t>Round Clinical Evaluation report. However, the clinical evaluator raised the issues of bioequival</w:t>
      </w:r>
      <w:r w:rsidR="00930ACE">
        <w:t>ence</w:t>
      </w:r>
      <w:r>
        <w:t xml:space="preserve"> among different levothyroxine products and whether thyroxine should be considered as a drug of narrow therapeutic index. The clinical evaluat</w:t>
      </w:r>
      <w:r w:rsidR="00AD2299">
        <w:t>or states:</w:t>
      </w:r>
    </w:p>
    <w:p w:rsidR="00B63770" w:rsidRPr="00AD2299" w:rsidRDefault="00B63770" w:rsidP="00AD2299">
      <w:pPr>
        <w:ind w:left="360"/>
        <w:rPr>
          <w:i/>
        </w:rPr>
      </w:pPr>
      <w:r w:rsidRPr="00AD2299">
        <w:rPr>
          <w:i/>
        </w:rPr>
        <w:t>‘Examples of subsets of patients for whom differences in bioavailability could have important clinical implications include:</w:t>
      </w:r>
    </w:p>
    <w:p w:rsidR="00B63770" w:rsidRPr="00AD2299" w:rsidRDefault="00B63770" w:rsidP="00AD2299">
      <w:pPr>
        <w:pStyle w:val="ListBullet"/>
        <w:rPr>
          <w:i/>
        </w:rPr>
      </w:pPr>
      <w:r w:rsidRPr="00AD2299">
        <w:rPr>
          <w:i/>
        </w:rPr>
        <w:lastRenderedPageBreak/>
        <w:t>Patients with a previous history of thyroid cancer. Low levels of T4 could lead to an unexpected increase in TSH and recurrence of thyroid cancer</w:t>
      </w:r>
    </w:p>
    <w:p w:rsidR="00B63770" w:rsidRPr="00AD2299" w:rsidRDefault="00B63770" w:rsidP="00AD2299">
      <w:pPr>
        <w:pStyle w:val="ListBullet"/>
        <w:rPr>
          <w:i/>
        </w:rPr>
      </w:pPr>
      <w:r w:rsidRPr="00AD2299">
        <w:rPr>
          <w:i/>
        </w:rPr>
        <w:t>Young patients with congenital thyroid disease. Low levels could lead to suboptimal growth and brain development.</w:t>
      </w:r>
    </w:p>
    <w:p w:rsidR="00B63770" w:rsidRPr="00AD2299" w:rsidRDefault="00B63770" w:rsidP="00AD2299">
      <w:pPr>
        <w:pStyle w:val="ListBullet"/>
        <w:rPr>
          <w:i/>
        </w:rPr>
      </w:pPr>
      <w:r w:rsidRPr="00AD2299">
        <w:rPr>
          <w:i/>
        </w:rPr>
        <w:t>Pregnant women. Low levels could lead to harm to their babies.</w:t>
      </w:r>
    </w:p>
    <w:p w:rsidR="00B63770" w:rsidRPr="00AD2299" w:rsidRDefault="00B63770" w:rsidP="00AD2299">
      <w:pPr>
        <w:pStyle w:val="ListBullet"/>
        <w:rPr>
          <w:i/>
        </w:rPr>
      </w:pPr>
      <w:r w:rsidRPr="00AD2299">
        <w:rPr>
          <w:i/>
        </w:rPr>
        <w:t>Patients with co-existing cardiac disease. High levels could lead to atrial fibr</w:t>
      </w:r>
      <w:r w:rsidR="00AD2299" w:rsidRPr="00AD2299">
        <w:rPr>
          <w:i/>
        </w:rPr>
        <w:t>illation and other arrhythmias.</w:t>
      </w:r>
    </w:p>
    <w:p w:rsidR="00B63770" w:rsidRPr="00AD2299" w:rsidRDefault="00B63770" w:rsidP="00AD2299">
      <w:pPr>
        <w:pStyle w:val="ListBullet"/>
        <w:rPr>
          <w:i/>
        </w:rPr>
      </w:pPr>
      <w:r w:rsidRPr="00AD2299">
        <w:rPr>
          <w:i/>
        </w:rPr>
        <w:t>Elderly women. There is suggestive evidence that, over long periods, high levels can cause or aggravate osteoporosis.’</w:t>
      </w:r>
    </w:p>
    <w:p w:rsidR="00B63770" w:rsidRDefault="00B63770" w:rsidP="00AD2299">
      <w:r>
        <w:t xml:space="preserve">The </w:t>
      </w:r>
      <w:r w:rsidR="00930ACE">
        <w:t xml:space="preserve">OPR </w:t>
      </w:r>
      <w:r>
        <w:t>evaluator supports the comments and concerns raised in the clinical evaluation report. There is a risk of patients responding differently when switching products. The consequence can be serious especially in special patient groups mentioned above. Therefore, this risk should not be ignored. It is recommended that ‘</w:t>
      </w:r>
      <w:r w:rsidRPr="00930ACE">
        <w:rPr>
          <w:i/>
        </w:rPr>
        <w:t>change in clinical response when switching brands</w:t>
      </w:r>
      <w:r>
        <w:t>’ be added as an ‘important potential risk’ in</w:t>
      </w:r>
      <w:r w:rsidR="00AD2299">
        <w:t xml:space="preserve"> the Australian-specific Annex.</w:t>
      </w:r>
    </w:p>
    <w:p w:rsidR="00B63770" w:rsidRPr="00693791" w:rsidRDefault="00B63770" w:rsidP="00AD2299">
      <w:pPr>
        <w:pStyle w:val="Heading5"/>
      </w:pPr>
      <w:r w:rsidRPr="00693791">
        <w:t xml:space="preserve">Suggested wording for </w:t>
      </w:r>
      <w:r w:rsidRPr="00AD2299">
        <w:t>conditions</w:t>
      </w:r>
      <w:r w:rsidR="00AD2299">
        <w:t xml:space="preserve"> of registration</w:t>
      </w:r>
    </w:p>
    <w:p w:rsidR="00B63770" w:rsidRPr="00AD2299" w:rsidRDefault="00B63770" w:rsidP="00AD2299">
      <w:pPr>
        <w:pStyle w:val="Heading6"/>
      </w:pPr>
      <w:r w:rsidRPr="00107999">
        <w:t>RMP</w:t>
      </w:r>
    </w:p>
    <w:p w:rsidR="00B63770" w:rsidRPr="00B63770" w:rsidRDefault="00B63770" w:rsidP="00AD2299">
      <w:pPr>
        <w:rPr>
          <w:lang w:eastAsia="en-AU"/>
        </w:rPr>
      </w:pPr>
      <w:r w:rsidRPr="009360C4">
        <w:t xml:space="preserve">Implement RMP </w:t>
      </w:r>
      <w:r>
        <w:t>(version 1, data lock point 12 October 2012</w:t>
      </w:r>
      <w:r w:rsidRPr="009360C4">
        <w:t>) with Australian Specific Annex (version</w:t>
      </w:r>
      <w:r>
        <w:t xml:space="preserve"> 0.1</w:t>
      </w:r>
      <w:r w:rsidRPr="009360C4">
        <w:t>, date</w:t>
      </w:r>
      <w:r>
        <w:t>d 11 March 2013), to be revised to the satisfaction of the TGA, must be implemented</w:t>
      </w:r>
      <w:r w:rsidRPr="009360C4">
        <w:t>.</w:t>
      </w:r>
    </w:p>
    <w:p w:rsidR="008E7846" w:rsidRPr="00792A32" w:rsidRDefault="008E7846" w:rsidP="00ED5502">
      <w:pPr>
        <w:pStyle w:val="Heading2"/>
      </w:pPr>
      <w:bookmarkStart w:id="107" w:name="_Toc392595965"/>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81"/>
      <w:bookmarkEnd w:id="105"/>
      <w:bookmarkEnd w:id="106"/>
      <w:bookmarkEnd w:id="107"/>
    </w:p>
    <w:p w:rsidR="008E7846" w:rsidRDefault="008E7846" w:rsidP="00ED5502">
      <w:bookmarkStart w:id="108" w:name="_Toc247691528"/>
      <w:r>
        <w:t xml:space="preserve">The submission was summarised in the following </w:t>
      </w:r>
      <w:r w:rsidRPr="00EF5C48">
        <w:t xml:space="preserve">Delegate’s </w:t>
      </w:r>
      <w:r>
        <w:t>overview</w:t>
      </w:r>
      <w:r w:rsidRPr="00EF5C48">
        <w:t xml:space="preserve"> and recommendation</w:t>
      </w:r>
      <w:r>
        <w:t>s:</w:t>
      </w:r>
    </w:p>
    <w:p w:rsidR="00E06144" w:rsidRPr="00ED5502" w:rsidRDefault="00E06144" w:rsidP="00ED5502">
      <w:pPr>
        <w:pStyle w:val="Heading3"/>
      </w:pPr>
      <w:bookmarkStart w:id="109" w:name="_Ref357345991"/>
      <w:bookmarkStart w:id="110" w:name="_Toc361767619"/>
      <w:bookmarkStart w:id="111" w:name="_Toc392595966"/>
      <w:r>
        <w:t>Consideration of the strengths proposed</w:t>
      </w:r>
      <w:bookmarkEnd w:id="109"/>
      <w:bookmarkEnd w:id="110"/>
      <w:bookmarkEnd w:id="111"/>
    </w:p>
    <w:p w:rsidR="00E06144" w:rsidRDefault="00E06144" w:rsidP="00ED5502">
      <w:r>
        <w:t xml:space="preserve">Taking into account the doses which can be achieved by halving a scored tablet, the available doses </w:t>
      </w:r>
      <w:r w:rsidR="00CE52DA">
        <w:t>≤</w:t>
      </w:r>
      <w:r>
        <w:t xml:space="preserve"> 200 </w:t>
      </w:r>
      <w:r w:rsidR="00CE52DA">
        <w:t>µ</w:t>
      </w:r>
      <w:r>
        <w:t xml:space="preserve">g using either 2 whole, or </w:t>
      </w:r>
      <w:r w:rsidR="00CE52DA">
        <w:t>≤</w:t>
      </w:r>
      <w:r>
        <w:t xml:space="preserve"> 1 whole and/or </w:t>
      </w:r>
      <w:r w:rsidR="00CE52DA">
        <w:t>≤</w:t>
      </w:r>
      <w:r>
        <w:t xml:space="preserve"> 1 half of currently registered tablets are: 25, 50, 37.5, 75, 87.5, 100, 112.5, 125, 137.5, 150, 175 and 200 </w:t>
      </w:r>
      <w:r w:rsidR="00CE52DA">
        <w:t>µ</w:t>
      </w:r>
      <w:r>
        <w:t xml:space="preserve">g. Thus (apart from doses comprising half a 25 </w:t>
      </w:r>
      <w:r w:rsidR="00CE52DA">
        <w:t>µ</w:t>
      </w:r>
      <w:r>
        <w:t xml:space="preserve">g tablet plus another tablet, or combinations of generic with another product) the sponsor is proposing to make available the following additional dose options: 12.5, 88, 112 and 137 </w:t>
      </w:r>
      <w:r w:rsidR="00CE52DA">
        <w:t>µ</w:t>
      </w:r>
      <w:r w:rsidR="00ED5502">
        <w:t>g.</w:t>
      </w:r>
    </w:p>
    <w:p w:rsidR="00E06144" w:rsidRDefault="00E06144" w:rsidP="00ED5502">
      <w:r>
        <w:t xml:space="preserve">The Delegate thought the possibility of achieving doses of 87.5, 112.5 and 137.5 </w:t>
      </w:r>
      <w:r w:rsidR="00CE52DA">
        <w:t>µ</w:t>
      </w:r>
      <w:r>
        <w:t>g is a quirk of the combinatorial possibilities, and doubt</w:t>
      </w:r>
      <w:r w:rsidR="00CE52DA">
        <w:t>ed</w:t>
      </w:r>
      <w:r>
        <w:t xml:space="preserve"> the clinical need for any such dose. Besides, if the need did arise for such fine adjustment of dosage (say, from 75 to 87.5 </w:t>
      </w:r>
      <w:r w:rsidR="00CE52DA">
        <w:t>µ</w:t>
      </w:r>
      <w:r>
        <w:t xml:space="preserve">g, from 100 or 125 to 112.5 µg, or from 125 to 112.5 or 137.5 </w:t>
      </w:r>
      <w:r w:rsidR="00CE52DA">
        <w:t>µ</w:t>
      </w:r>
      <w:r>
        <w:t xml:space="preserve">g), the generic could not be regarded as equivalent to the market leader over such a small change. An additional objection to the proposed 88, 112 and 137 </w:t>
      </w:r>
      <w:r w:rsidR="00CE52DA">
        <w:t>µ</w:t>
      </w:r>
      <w:r>
        <w:t xml:space="preserve">g strengths is that they would add to the market 3 strengths formally but trivially different from doses (87.5, 112.5 and 137.5 </w:t>
      </w:r>
      <w:r w:rsidR="00CE52DA">
        <w:t>µ</w:t>
      </w:r>
      <w:r>
        <w:t>g) which are already achievable with marketed products.</w:t>
      </w:r>
    </w:p>
    <w:p w:rsidR="00E06144" w:rsidRDefault="00E06144" w:rsidP="00ED5502">
      <w:r>
        <w:t xml:space="preserve">The fact that a 200 </w:t>
      </w:r>
      <w:r w:rsidR="00CE52DA">
        <w:t>µ</w:t>
      </w:r>
      <w:r>
        <w:t xml:space="preserve">g tablet has been approved implies approval of dosage to at least that level and in any case this range is well known in clinical practice. The </w:t>
      </w:r>
      <w:proofErr w:type="spellStart"/>
      <w:r>
        <w:t>Oroxine</w:t>
      </w:r>
      <w:proofErr w:type="spellEnd"/>
      <w:r>
        <w:t xml:space="preserve"> PI envisages doses as low as 12.5 </w:t>
      </w:r>
      <w:r w:rsidR="00CE52DA">
        <w:t>µ</w:t>
      </w:r>
      <w:r>
        <w:t xml:space="preserve">g so the addition to the market of a scored 25 </w:t>
      </w:r>
      <w:r w:rsidR="00CE52DA">
        <w:t>µ</w:t>
      </w:r>
      <w:r>
        <w:t xml:space="preserve">g tablet is desirable. Also, doses of 125 and 150 </w:t>
      </w:r>
      <w:r w:rsidR="00CE52DA">
        <w:t>µ</w:t>
      </w:r>
      <w:r>
        <w:t>g, not uncommonly used in clinical practice, currently require the use of tablet fragments and the Delegate had no objection in principle to the introduction of these tablet strengths for convenience.</w:t>
      </w:r>
    </w:p>
    <w:p w:rsidR="00E06144" w:rsidRPr="00AE10FF" w:rsidRDefault="00E06144" w:rsidP="00ED5502">
      <w:r>
        <w:lastRenderedPageBreak/>
        <w:t xml:space="preserve">This leaves for consideration the proposed 175 µg strength. This dose may be occasionally used in clinical practice but approval of a generic tablet of this strength would be subject </w:t>
      </w:r>
      <w:r w:rsidRPr="00AE10FF">
        <w:t xml:space="preserve">to the objection described in the sentence commencing "Besides", </w:t>
      </w:r>
      <w:r w:rsidR="00B7751E" w:rsidRPr="00AE10FF">
        <w:t>two</w:t>
      </w:r>
      <w:r w:rsidRPr="00AE10FF">
        <w:t xml:space="preserve"> paragraphs above.</w:t>
      </w:r>
    </w:p>
    <w:p w:rsidR="00E06144" w:rsidRPr="00ED5502" w:rsidRDefault="00E06144" w:rsidP="00ED5502">
      <w:pPr>
        <w:pStyle w:val="Heading4"/>
      </w:pPr>
      <w:r w:rsidRPr="00AE10FF">
        <w:t>Bioequivalence</w:t>
      </w:r>
    </w:p>
    <w:p w:rsidR="00A310F1" w:rsidRDefault="00A310F1" w:rsidP="00ED5502">
      <w:pPr>
        <w:rPr>
          <w:rFonts w:eastAsia="Times New Roman"/>
          <w:color w:val="000000"/>
          <w:szCs w:val="24"/>
        </w:rPr>
      </w:pPr>
      <w:r w:rsidRPr="00AE10FF">
        <w:t>Establishing the bioequivalence</w:t>
      </w:r>
      <w:r>
        <w:t xml:space="preserve"> of different thyroxine formulations is not straight forward. Some expert clinical groups (</w:t>
      </w:r>
      <w:r w:rsidR="00B7751E">
        <w:t>such as</w:t>
      </w:r>
      <w:r>
        <w:t xml:space="preserve"> American Association of Clinical Endocrinologists, The Endocrine Society) recommend brand prescribing of thyroxine and t</w:t>
      </w:r>
      <w:r>
        <w:rPr>
          <w:rFonts w:eastAsia="Times New Roman"/>
          <w:color w:val="000000"/>
          <w:szCs w:val="24"/>
        </w:rPr>
        <w:t>here has been continuing discussion in the medical literature, over more than 25 years, about the methods used to establish bioequivalence. The two main methodological issues are</w:t>
      </w:r>
      <w:r w:rsidR="00733C41">
        <w:rPr>
          <w:rFonts w:eastAsia="Times New Roman"/>
          <w:color w:val="000000"/>
          <w:szCs w:val="24"/>
        </w:rPr>
        <w:t xml:space="preserve"> whether</w:t>
      </w:r>
      <w:r>
        <w:rPr>
          <w:rFonts w:eastAsia="Times New Roman"/>
          <w:color w:val="000000"/>
          <w:szCs w:val="24"/>
        </w:rPr>
        <w:t>:</w:t>
      </w:r>
    </w:p>
    <w:p w:rsidR="00A310F1" w:rsidRDefault="00A310F1" w:rsidP="00ED5502">
      <w:pPr>
        <w:pStyle w:val="ListBullet"/>
      </w:pPr>
      <w:proofErr w:type="gramStart"/>
      <w:r>
        <w:t>thyroxine</w:t>
      </w:r>
      <w:proofErr w:type="gramEnd"/>
      <w:r>
        <w:t xml:space="preserve"> is a narrow therapeutic index drug and consequently whether the acceptance limits for the 90% CI for the ratio of AUC (and C</w:t>
      </w:r>
      <w:r>
        <w:rPr>
          <w:vertAlign w:val="subscript"/>
        </w:rPr>
        <w:t>max</w:t>
      </w:r>
      <w:r>
        <w:t>) should be 90%</w:t>
      </w:r>
      <w:r w:rsidR="00B7751E">
        <w:t xml:space="preserve"> to </w:t>
      </w:r>
      <w:r>
        <w:t>111% or 80%</w:t>
      </w:r>
      <w:r w:rsidR="00B7751E">
        <w:t xml:space="preserve"> to </w:t>
      </w:r>
      <w:r w:rsidR="00ED5502">
        <w:t>125%.</w:t>
      </w:r>
    </w:p>
    <w:p w:rsidR="00A310F1" w:rsidRPr="008E4A91" w:rsidRDefault="00A310F1" w:rsidP="00ED5502">
      <w:pPr>
        <w:pStyle w:val="ListBullet"/>
      </w:pPr>
      <w:proofErr w:type="gramStart"/>
      <w:r>
        <w:t>the</w:t>
      </w:r>
      <w:proofErr w:type="gramEnd"/>
      <w:r>
        <w:t xml:space="preserve"> total thyroxine </w:t>
      </w:r>
      <w:r w:rsidRPr="00ED5502">
        <w:t>levels</w:t>
      </w:r>
      <w:r>
        <w:t xml:space="preserve"> in bioequivalence studies should be baseline corrected (some but not all FDA documentation recommends this).</w:t>
      </w:r>
    </w:p>
    <w:p w:rsidR="00A310F1" w:rsidRDefault="00A310F1" w:rsidP="00ED5502">
      <w:pPr>
        <w:rPr>
          <w:lang w:eastAsia="en-AU"/>
        </w:rPr>
      </w:pPr>
      <w:r>
        <w:rPr>
          <w:lang w:eastAsia="en-AU"/>
        </w:rPr>
        <w:t>These two issues are discussed below:</w:t>
      </w:r>
    </w:p>
    <w:p w:rsidR="00A310F1" w:rsidRDefault="00A310F1" w:rsidP="00ED5502">
      <w:pPr>
        <w:pStyle w:val="Heading5"/>
        <w:rPr>
          <w:lang w:eastAsia="en-AU"/>
        </w:rPr>
      </w:pPr>
      <w:r w:rsidRPr="00733C41">
        <w:rPr>
          <w:lang w:eastAsia="en-AU"/>
        </w:rPr>
        <w:t xml:space="preserve">Is </w:t>
      </w:r>
      <w:proofErr w:type="spellStart"/>
      <w:r w:rsidRPr="00733C41">
        <w:rPr>
          <w:lang w:eastAsia="en-AU"/>
        </w:rPr>
        <w:t>thyroxine</w:t>
      </w:r>
      <w:proofErr w:type="spellEnd"/>
      <w:r w:rsidRPr="00733C41">
        <w:rPr>
          <w:lang w:eastAsia="en-AU"/>
        </w:rPr>
        <w:t xml:space="preserve"> a narrow </w:t>
      </w:r>
      <w:r w:rsidRPr="00ED5502">
        <w:t>therapeutic</w:t>
      </w:r>
      <w:r w:rsidRPr="00733C41">
        <w:rPr>
          <w:lang w:eastAsia="en-AU"/>
        </w:rPr>
        <w:t xml:space="preserve"> index (NTI) drug</w:t>
      </w:r>
      <w:r w:rsidRPr="00C25B2A">
        <w:rPr>
          <w:lang w:eastAsia="en-AU"/>
        </w:rPr>
        <w:t>?</w:t>
      </w:r>
    </w:p>
    <w:p w:rsidR="00A310F1" w:rsidRDefault="00A310F1" w:rsidP="00ED5502">
      <w:pPr>
        <w:rPr>
          <w:lang w:eastAsia="en-AU"/>
        </w:rPr>
      </w:pPr>
      <w:r>
        <w:rPr>
          <w:lang w:eastAsia="en-AU"/>
        </w:rPr>
        <w:t>The therapeutic index (or therapeutic ratio) is a comparison of the amount of a drug that causes the therapeutic effect with the amount that causes adverse reactions. Narrow therapeutic index drugs are drugs with small differences betwe</w:t>
      </w:r>
      <w:r w:rsidR="00ED5502">
        <w:rPr>
          <w:lang w:eastAsia="en-AU"/>
        </w:rPr>
        <w:t>en therapeutic and toxic doses.</w:t>
      </w:r>
    </w:p>
    <w:p w:rsidR="00A310F1" w:rsidRDefault="00A310F1" w:rsidP="00ED5502">
      <w:r>
        <w:t>Some experts consider that thyroxine is a narrow therapeutic index drug</w:t>
      </w:r>
      <w:r w:rsidR="00B7751E" w:rsidRPr="00B7751E">
        <w:rPr>
          <w:vertAlign w:val="superscript"/>
        </w:rPr>
        <w:fldChar w:fldCharType="begin"/>
      </w:r>
      <w:r w:rsidR="00B7751E" w:rsidRPr="00B7751E">
        <w:rPr>
          <w:vertAlign w:val="superscript"/>
        </w:rPr>
        <w:instrText xml:space="preserve"> NOTEREF _Ref387753377 \h </w:instrText>
      </w:r>
      <w:r w:rsidR="00B7751E">
        <w:rPr>
          <w:vertAlign w:val="superscript"/>
        </w:rPr>
        <w:instrText xml:space="preserve"> \* MERGEFORMAT </w:instrText>
      </w:r>
      <w:r w:rsidR="00B7751E" w:rsidRPr="00B7751E">
        <w:rPr>
          <w:vertAlign w:val="superscript"/>
        </w:rPr>
      </w:r>
      <w:r w:rsidR="00B7751E" w:rsidRPr="00B7751E">
        <w:rPr>
          <w:vertAlign w:val="superscript"/>
        </w:rPr>
        <w:fldChar w:fldCharType="separate"/>
      </w:r>
      <w:r w:rsidR="000842E1">
        <w:rPr>
          <w:vertAlign w:val="superscript"/>
        </w:rPr>
        <w:t>3</w:t>
      </w:r>
      <w:r w:rsidR="00B7751E" w:rsidRPr="00B7751E">
        <w:rPr>
          <w:vertAlign w:val="superscript"/>
        </w:rPr>
        <w:fldChar w:fldCharType="end"/>
      </w:r>
      <w:r>
        <w:t>; at least for some subsets of patients. Examples of subsets of patients for whom there is a relatively narrow window for dosing and for whom differences in bioavailability across different brands of thyroxine could have important clinical implications include:</w:t>
      </w:r>
    </w:p>
    <w:p w:rsidR="00A310F1" w:rsidRDefault="00A310F1" w:rsidP="00ED5502">
      <w:pPr>
        <w:pStyle w:val="ListBullet"/>
      </w:pPr>
      <w:r w:rsidRPr="00ED5502">
        <w:t>Patients</w:t>
      </w:r>
      <w:r>
        <w:t xml:space="preserve"> with a previous history of thyroid cancer. Low levels of T4 could lead to an unexpected increase in TSH and recurrence of thyroid cancer</w:t>
      </w:r>
    </w:p>
    <w:p w:rsidR="00A310F1" w:rsidRDefault="00A310F1" w:rsidP="00ED5502">
      <w:pPr>
        <w:pStyle w:val="ListBullet"/>
      </w:pPr>
      <w:r w:rsidRPr="00ED5502">
        <w:t>Young</w:t>
      </w:r>
      <w:r>
        <w:t xml:space="preserve"> patients with congenital thyroid disease. Low levels could lead to suboptimal growth and brain development.</w:t>
      </w:r>
    </w:p>
    <w:p w:rsidR="00A310F1" w:rsidRDefault="00A310F1" w:rsidP="00ED5502">
      <w:pPr>
        <w:pStyle w:val="ListBullet"/>
      </w:pPr>
      <w:r w:rsidRPr="00ED5502">
        <w:t>Pregnant</w:t>
      </w:r>
      <w:r>
        <w:t xml:space="preserve"> women. Low levels could lead to harm to their babies.</w:t>
      </w:r>
    </w:p>
    <w:p w:rsidR="00A310F1" w:rsidRDefault="00A310F1" w:rsidP="00ED5502">
      <w:pPr>
        <w:pStyle w:val="ListBullet"/>
      </w:pPr>
      <w:r w:rsidRPr="00ED5502">
        <w:t>Patients</w:t>
      </w:r>
      <w:r>
        <w:t xml:space="preserve"> with co-existing cardiac disease. High levels could lead to atrial fibr</w:t>
      </w:r>
      <w:r w:rsidR="00ED5502">
        <w:t>illation and other arrhythmias.</w:t>
      </w:r>
    </w:p>
    <w:p w:rsidR="00A310F1" w:rsidRDefault="00A310F1" w:rsidP="00ED5502">
      <w:pPr>
        <w:pStyle w:val="ListBullet"/>
      </w:pPr>
      <w:r>
        <w:t xml:space="preserve">Elderly women. There </w:t>
      </w:r>
      <w:r w:rsidRPr="00ED5502">
        <w:t>is</w:t>
      </w:r>
      <w:r>
        <w:t xml:space="preserve"> suggestive evidence that, over long periods, high levels can cause or aggravate osteoporosis.</w:t>
      </w:r>
    </w:p>
    <w:p w:rsidR="00A310F1" w:rsidRDefault="00A310F1" w:rsidP="00ED5502">
      <w:r>
        <w:t>For narrow therapeutic index drugs, the acceptance interval for AUC is usually tightened to 90% to 111%.</w:t>
      </w:r>
    </w:p>
    <w:p w:rsidR="00A310F1" w:rsidRDefault="00A310F1" w:rsidP="00ED5502">
      <w:r>
        <w:t xml:space="preserve">The 2010 EMA Guideline on bioequivalence states: </w:t>
      </w:r>
      <w:r w:rsidRPr="00ED5502">
        <w:rPr>
          <w:i/>
        </w:rPr>
        <w:t>It is not possible to define a set of criteria to categorise drugs as narrow therapeutic index drugs (NTIDs) and it must be decided case by case if an active substance is an NTID based on clinical considerations.</w:t>
      </w:r>
    </w:p>
    <w:p w:rsidR="00A310F1" w:rsidRDefault="00A310F1" w:rsidP="00ED5502">
      <w:r>
        <w:t>The 2013 MHRA report on thyroxine states:</w:t>
      </w:r>
    </w:p>
    <w:p w:rsidR="00A310F1" w:rsidRPr="00ED5502" w:rsidRDefault="00A310F1" w:rsidP="00ED5502">
      <w:pPr>
        <w:rPr>
          <w:i/>
        </w:rPr>
      </w:pPr>
      <w:r w:rsidRPr="00ED5502">
        <w:rPr>
          <w:i/>
        </w:rPr>
        <w:t>There is no agreed European definition of narrow therapeutic index drugs (as above)</w:t>
      </w:r>
      <w:r w:rsidR="00B7751E" w:rsidRPr="00ED5502">
        <w:rPr>
          <w:i/>
        </w:rPr>
        <w:t>.</w:t>
      </w:r>
    </w:p>
    <w:p w:rsidR="00A310F1" w:rsidRDefault="00A310F1" w:rsidP="00ED5502">
      <w:r>
        <w:t>It refers to the FDA definition:</w:t>
      </w:r>
    </w:p>
    <w:p w:rsidR="00A310F1" w:rsidRDefault="00B7751E" w:rsidP="00ED5502">
      <w:pPr>
        <w:pStyle w:val="ListBullet"/>
      </w:pPr>
      <w:r>
        <w:t xml:space="preserve">&lt;2 </w:t>
      </w:r>
      <w:r w:rsidR="00A310F1">
        <w:t xml:space="preserve">fold difference between minimum toxic and minimum effective </w:t>
      </w:r>
      <w:r w:rsidR="00A310F1" w:rsidRPr="00ED5502">
        <w:t>concentrations</w:t>
      </w:r>
      <w:r w:rsidR="00A310F1">
        <w:t xml:space="preserve"> in blood, and</w:t>
      </w:r>
    </w:p>
    <w:p w:rsidR="00A310F1" w:rsidRDefault="00A310F1" w:rsidP="00ED5502">
      <w:pPr>
        <w:pStyle w:val="ListBullet"/>
      </w:pPr>
      <w:proofErr w:type="gramStart"/>
      <w:r>
        <w:lastRenderedPageBreak/>
        <w:t>safe</w:t>
      </w:r>
      <w:proofErr w:type="gramEnd"/>
      <w:r>
        <w:t xml:space="preserve"> and effective use requires careful titration and patient monitoring.</w:t>
      </w:r>
    </w:p>
    <w:p w:rsidR="00A310F1" w:rsidRDefault="00B7751E" w:rsidP="00ED5502">
      <w:r>
        <w:t>It concludes that</w:t>
      </w:r>
      <w:r w:rsidR="00A310F1">
        <w:t xml:space="preserve">: </w:t>
      </w:r>
      <w:r w:rsidR="00A310F1" w:rsidRPr="00ED5502">
        <w:rPr>
          <w:i/>
        </w:rPr>
        <w:t>“Therefore, although levothyroxine does not meet the criteria for being a narrow therapeutic index drug, there are strong indications that small changes in the delivered dose of levothyroxine, should they persist over long-term treatment, could have significant clinical consequences.”</w:t>
      </w:r>
    </w:p>
    <w:p w:rsidR="00A310F1" w:rsidRDefault="00A310F1" w:rsidP="00ED5502">
      <w:r>
        <w:t>The 2000 FDA Guidance for Industry and the 2005 transcript of the Joint Public Meeting on Equivalence of Levothyroxine Sodium Products, refer to an acceptance interval of 80% to 125%.</w:t>
      </w:r>
      <w:r w:rsidR="00B7751E">
        <w:t xml:space="preserve"> The acceptance interval of 80% to </w:t>
      </w:r>
      <w:r>
        <w:t>125% (rather than 90%</w:t>
      </w:r>
      <w:r w:rsidR="00B7751E">
        <w:t xml:space="preserve"> to </w:t>
      </w:r>
      <w:r>
        <w:t>111%) implies that the FDA does not consider (</w:t>
      </w:r>
      <w:proofErr w:type="spellStart"/>
      <w:r>
        <w:t>levo</w:t>
      </w:r>
      <w:proofErr w:type="spellEnd"/>
      <w:proofErr w:type="gramStart"/>
      <w:r>
        <w:t>)</w:t>
      </w:r>
      <w:proofErr w:type="spellStart"/>
      <w:r>
        <w:t>thyroxine</w:t>
      </w:r>
      <w:proofErr w:type="spellEnd"/>
      <w:proofErr w:type="gramEnd"/>
      <w:r>
        <w:t xml:space="preserve"> a narrow therapeutic index drug.</w:t>
      </w:r>
    </w:p>
    <w:p w:rsidR="00A310F1" w:rsidRDefault="00A310F1" w:rsidP="00ED5502">
      <w:pPr>
        <w:rPr>
          <w:lang w:eastAsia="en-AU"/>
        </w:rPr>
      </w:pPr>
      <w:r>
        <w:rPr>
          <w:lang w:eastAsia="en-AU"/>
        </w:rPr>
        <w:t>Acute toxicity is a key characteristic of NTI drugs in practice. This does not typically occur with thyroxine in the short term; also thyroxine has a long half-life. Therefore, thyroxine is not a typical NTI drug. Nevertheless, small changes in the dose of thyroxine, should they persist over long term treatment, could have significant clinical consequences; especially for certain s</w:t>
      </w:r>
      <w:r w:rsidR="00ED5502">
        <w:rPr>
          <w:lang w:eastAsia="en-AU"/>
        </w:rPr>
        <w:t>ubsets of patients (see above).</w:t>
      </w:r>
    </w:p>
    <w:p w:rsidR="00A310F1" w:rsidRDefault="00A310F1" w:rsidP="00ED5502">
      <w:pPr>
        <w:rPr>
          <w:lang w:eastAsia="en-AU"/>
        </w:rPr>
      </w:pPr>
      <w:r w:rsidRPr="00831326">
        <w:rPr>
          <w:lang w:eastAsia="en-AU"/>
        </w:rPr>
        <w:t xml:space="preserve">In short, there is no consistent or coherent guidance in the literature or among regulatory agencies as to whether </w:t>
      </w:r>
      <w:proofErr w:type="spellStart"/>
      <w:r w:rsidRPr="00831326">
        <w:rPr>
          <w:lang w:eastAsia="en-AU"/>
        </w:rPr>
        <w:t>thryroxine</w:t>
      </w:r>
      <w:proofErr w:type="spellEnd"/>
      <w:r w:rsidRPr="00831326">
        <w:rPr>
          <w:lang w:eastAsia="en-AU"/>
        </w:rPr>
        <w:t xml:space="preserve"> is a narrow therapeutic index drug and whether the 90% acceptance interval should be 80%</w:t>
      </w:r>
      <w:r w:rsidR="00B7751E" w:rsidRPr="00831326">
        <w:rPr>
          <w:lang w:eastAsia="en-AU"/>
        </w:rPr>
        <w:t xml:space="preserve"> to </w:t>
      </w:r>
      <w:r w:rsidRPr="00831326">
        <w:rPr>
          <w:lang w:eastAsia="en-AU"/>
        </w:rPr>
        <w:t>125% or 90%</w:t>
      </w:r>
      <w:r w:rsidR="00B7751E" w:rsidRPr="00831326">
        <w:rPr>
          <w:lang w:eastAsia="en-AU"/>
        </w:rPr>
        <w:t xml:space="preserve"> to </w:t>
      </w:r>
      <w:r w:rsidRPr="00831326">
        <w:rPr>
          <w:lang w:eastAsia="en-AU"/>
        </w:rPr>
        <w:t>111%.</w:t>
      </w:r>
    </w:p>
    <w:p w:rsidR="00A310F1" w:rsidRPr="00733C41" w:rsidRDefault="00A310F1" w:rsidP="00ED5502">
      <w:pPr>
        <w:pStyle w:val="Heading5"/>
      </w:pPr>
      <w:r w:rsidRPr="00733C41">
        <w:t xml:space="preserve">Should total </w:t>
      </w:r>
      <w:proofErr w:type="spellStart"/>
      <w:r w:rsidRPr="00733C41">
        <w:t>thyroxine</w:t>
      </w:r>
      <w:proofErr w:type="spellEnd"/>
      <w:r w:rsidRPr="00733C41">
        <w:t xml:space="preserve"> levels in </w:t>
      </w:r>
      <w:r w:rsidRPr="00ED5502">
        <w:t>bioequivalence</w:t>
      </w:r>
      <w:r w:rsidRPr="00733C41">
        <w:t xml:space="preserve"> studies be baseline corrected?</w:t>
      </w:r>
    </w:p>
    <w:p w:rsidR="00A310F1" w:rsidRDefault="00A310F1" w:rsidP="00ED5502">
      <w:r>
        <w:t xml:space="preserve">The FDA Guidance on levothyroxine (2000) states that </w:t>
      </w:r>
      <w:r w:rsidRPr="00ED5502">
        <w:rPr>
          <w:i/>
        </w:rPr>
        <w:t>“plasma/serum profiles and pharmacokinetic measures should be presented without adjustment of baseline levels”.</w:t>
      </w:r>
    </w:p>
    <w:p w:rsidR="00A310F1" w:rsidRDefault="00ED5502" w:rsidP="00ED5502">
      <w:r>
        <w:t>However,</w:t>
      </w:r>
    </w:p>
    <w:p w:rsidR="00A310F1" w:rsidRDefault="00A310F1" w:rsidP="00397301">
      <w:pPr>
        <w:pStyle w:val="ListBullet"/>
      </w:pPr>
      <w:proofErr w:type="gramStart"/>
      <w:r>
        <w:t>the</w:t>
      </w:r>
      <w:proofErr w:type="gramEnd"/>
      <w:r>
        <w:t xml:space="preserve"> </w:t>
      </w:r>
      <w:r w:rsidRPr="00397301">
        <w:t>MHRA</w:t>
      </w:r>
      <w:r>
        <w:t xml:space="preserve"> report (2013) states: </w:t>
      </w:r>
      <w:r w:rsidRPr="00397301">
        <w:rPr>
          <w:i/>
        </w:rPr>
        <w:t>“Whether or not correction for baseline levels should be employed in these studies is still being debated.”</w:t>
      </w:r>
    </w:p>
    <w:p w:rsidR="00A310F1" w:rsidRPr="00C25B2A" w:rsidRDefault="00A310F1" w:rsidP="00397301">
      <w:pPr>
        <w:pStyle w:val="ListBullet"/>
      </w:pPr>
      <w:proofErr w:type="gramStart"/>
      <w:r>
        <w:t>the</w:t>
      </w:r>
      <w:proofErr w:type="gramEnd"/>
      <w:r>
        <w:t xml:space="preserve"> FDA </w:t>
      </w:r>
      <w:r w:rsidRPr="00397301">
        <w:t>transcript</w:t>
      </w:r>
      <w:r>
        <w:t xml:space="preserve"> (2005) states: </w:t>
      </w:r>
      <w:r w:rsidRPr="00397301">
        <w:rPr>
          <w:i/>
        </w:rPr>
        <w:t>“And before performing the bioequivalence statistics, the baseline is subtracted from the AUC, and as I mentioned earlier, this is required of all the applicants.  And for levothyroxine, the baseline actually makes a fairly high contribution to the plasma concentration profile.  So a good chunk of the AUC, the non-corrected AUC, is being subtracted.  And this really provides an extra level of assurance that the two products are bioequivalent, because this is a very conservative approach.  In other words, it can be easier for two products that are not bioequivalent to pass without baseline correction, whereas if two products are not bioequivalent, there's a much higher likelihood that this is going to be detected with the baseline correction.”</w:t>
      </w:r>
    </w:p>
    <w:p w:rsidR="00A310F1" w:rsidRDefault="00A310F1" w:rsidP="00397301">
      <w:pPr>
        <w:pStyle w:val="ListBullet"/>
      </w:pPr>
      <w:r w:rsidRPr="00B15FB0">
        <w:rPr>
          <w:spacing w:val="-3"/>
        </w:rPr>
        <w:t xml:space="preserve">The EMA Guideline on </w:t>
      </w:r>
      <w:r w:rsidRPr="00397301">
        <w:t>bioequivalence</w:t>
      </w:r>
      <w:r w:rsidRPr="00B15FB0">
        <w:rPr>
          <w:spacing w:val="-3"/>
        </w:rPr>
        <w:t xml:space="preserve"> states: </w:t>
      </w:r>
      <w:r w:rsidRPr="00397301">
        <w:rPr>
          <w:i/>
          <w:spacing w:val="-3"/>
        </w:rPr>
        <w:t>“</w:t>
      </w:r>
      <w:r w:rsidRPr="00397301">
        <w:rPr>
          <w:i/>
        </w:rPr>
        <w:t>If the substance being studied is endogenous, the calculation of pharmacokinetic parameters should be performed using baseline correction so that the calculated pharmacokinetic parameters refer to the additional concentrations provided by the treatment.”</w:t>
      </w:r>
    </w:p>
    <w:p w:rsidR="00A310F1" w:rsidRDefault="00A310F1" w:rsidP="00397301">
      <w:r>
        <w:t>An additional consideration is that the FDA guideline recommends that bioequivalence studies are done in healthy volunteers using a supra-therapeutic dose of 600</w:t>
      </w:r>
      <w:r w:rsidR="00B7751E">
        <w:t xml:space="preserve"> µ</w:t>
      </w:r>
      <w:r>
        <w:t xml:space="preserve">g. This is meant to overcome the potential problems of background endogenous interference; however, not all experts agree that use of a supra-therapeutic dose (as done in Study ARL/11/201 in this current submission) avoids the need for baseline correction; and some FDA documentation states that it does not (see </w:t>
      </w:r>
      <w:r w:rsidR="00B7751E">
        <w:t>second</w:t>
      </w:r>
      <w:r>
        <w:t xml:space="preserve"> dot point immediately above).</w:t>
      </w:r>
    </w:p>
    <w:p w:rsidR="00A310F1" w:rsidRDefault="00A310F1" w:rsidP="00397301">
      <w:r>
        <w:t xml:space="preserve">Background interference from endogenous thyroxine could be overcome by recruitment of patients deficient in endogenous thyroxine; however, this is usually not practical or ethical. Also, heterogeneity in the extent of the deficiency means that the patients recruited are less well defined and the study less well controlled than a study among </w:t>
      </w:r>
      <w:r>
        <w:lastRenderedPageBreak/>
        <w:t>healthy volunteers. A bioequivalence study of patients already on replacement therapy would be complicated by variable baseline control.</w:t>
      </w:r>
    </w:p>
    <w:p w:rsidR="00A310F1" w:rsidRPr="00C25B2A" w:rsidRDefault="00A310F1" w:rsidP="00397301">
      <w:r>
        <w:t>TSH has been proposed as an alternative biochemical marker in bioequivalence studies of thyroxine. However, variability of TSH, as a secondary effect is high (</w:t>
      </w:r>
      <w:r w:rsidR="00B7751E">
        <w:t>co variance (</w:t>
      </w:r>
      <w:r>
        <w:t>CV</w:t>
      </w:r>
      <w:r w:rsidR="00B7751E">
        <w:t>)</w:t>
      </w:r>
      <w:r>
        <w:t xml:space="preserve"> </w:t>
      </w:r>
      <w:r w:rsidR="00B7751E">
        <w:t>approximately 200%)</w:t>
      </w:r>
      <w:bookmarkStart w:id="112" w:name="_Ref387753761"/>
      <w:r w:rsidR="00B7751E">
        <w:rPr>
          <w:rStyle w:val="FootnoteReference"/>
        </w:rPr>
        <w:footnoteReference w:id="4"/>
      </w:r>
      <w:bookmarkEnd w:id="112"/>
      <w:r w:rsidR="00B7751E">
        <w:t xml:space="preserve"> </w:t>
      </w:r>
      <w:r>
        <w:t>and use of TSH in bioequivalence studies is not considered feasible.</w:t>
      </w:r>
    </w:p>
    <w:p w:rsidR="00A310F1" w:rsidRDefault="00A310F1" w:rsidP="00397301">
      <w:pPr>
        <w:rPr>
          <w:lang w:eastAsia="en-AU"/>
        </w:rPr>
      </w:pPr>
      <w:r w:rsidRPr="00831326">
        <w:rPr>
          <w:lang w:eastAsia="en-AU"/>
        </w:rPr>
        <w:t>In short, the current standard for bioequivalence studies of thyroxine is to give supra-therapeutic doses (600</w:t>
      </w:r>
      <w:r w:rsidR="00B7751E" w:rsidRPr="00831326">
        <w:rPr>
          <w:lang w:eastAsia="en-AU"/>
        </w:rPr>
        <w:t xml:space="preserve"> µ</w:t>
      </w:r>
      <w:r w:rsidRPr="00831326">
        <w:rPr>
          <w:lang w:eastAsia="en-AU"/>
        </w:rPr>
        <w:t xml:space="preserve">g) to healthy volunteers. There is no consistent or coherent guidance in the literature or among regulatory agencies as to whether </w:t>
      </w:r>
      <w:r w:rsidR="009D37CA" w:rsidRPr="00831326">
        <w:rPr>
          <w:lang w:eastAsia="en-AU"/>
        </w:rPr>
        <w:t>thyroxine</w:t>
      </w:r>
      <w:r w:rsidRPr="00831326">
        <w:rPr>
          <w:lang w:eastAsia="en-AU"/>
        </w:rPr>
        <w:t xml:space="preserve"> levels should be baseline corrected, regardless of whether a supra-</w:t>
      </w:r>
      <w:r w:rsidR="009D37CA" w:rsidRPr="00831326">
        <w:rPr>
          <w:lang w:eastAsia="en-AU"/>
        </w:rPr>
        <w:t>therapeutic</w:t>
      </w:r>
      <w:r w:rsidRPr="00831326">
        <w:rPr>
          <w:lang w:eastAsia="en-AU"/>
        </w:rPr>
        <w:t xml:space="preserve"> dose is used.</w:t>
      </w:r>
    </w:p>
    <w:p w:rsidR="00A310F1" w:rsidRPr="00964CAE" w:rsidRDefault="00A310F1" w:rsidP="00397301">
      <w:pPr>
        <w:pStyle w:val="Heading5"/>
      </w:pPr>
      <w:r w:rsidRPr="00964CAE">
        <w:t xml:space="preserve">MHRA 2013 </w:t>
      </w:r>
      <w:r w:rsidR="00397301">
        <w:t>r</w:t>
      </w:r>
      <w:r w:rsidRPr="00964CAE">
        <w:t xml:space="preserve">eport: </w:t>
      </w:r>
      <w:r w:rsidRPr="00397301">
        <w:t>Levothyroxine</w:t>
      </w:r>
      <w:r w:rsidRPr="00964CAE">
        <w:t xml:space="preserve"> </w:t>
      </w:r>
      <w:r w:rsidR="00397301">
        <w:t>t</w:t>
      </w:r>
      <w:r w:rsidRPr="00964CAE">
        <w:t xml:space="preserve">ablet </w:t>
      </w:r>
      <w:r w:rsidR="00397301">
        <w:t>p</w:t>
      </w:r>
      <w:r w:rsidRPr="00964CAE">
        <w:t xml:space="preserve">roducts: A </w:t>
      </w:r>
      <w:r w:rsidR="00397301">
        <w:t>r</w:t>
      </w:r>
      <w:r w:rsidRPr="00964CAE">
        <w:t xml:space="preserve">eview of </w:t>
      </w:r>
      <w:r w:rsidR="00397301">
        <w:t>c</w:t>
      </w:r>
      <w:r w:rsidRPr="00964CAE">
        <w:t xml:space="preserve">linical and </w:t>
      </w:r>
      <w:r w:rsidR="00397301">
        <w:t>q</w:t>
      </w:r>
      <w:r w:rsidRPr="00964CAE">
        <w:t xml:space="preserve">uality </w:t>
      </w:r>
      <w:r w:rsidR="00397301">
        <w:t>c</w:t>
      </w:r>
      <w:r w:rsidRPr="00964CAE">
        <w:t>onsiderations</w:t>
      </w:r>
    </w:p>
    <w:p w:rsidR="00A310F1" w:rsidRDefault="00A310F1" w:rsidP="00397301">
      <w:pPr>
        <w:rPr>
          <w:lang w:eastAsia="en-AU"/>
        </w:rPr>
      </w:pPr>
      <w:r>
        <w:rPr>
          <w:lang w:eastAsia="en-AU"/>
        </w:rPr>
        <w:t>M</w:t>
      </w:r>
      <w:r w:rsidR="00B7751E">
        <w:rPr>
          <w:lang w:eastAsia="en-AU"/>
        </w:rPr>
        <w:t>HRA published a report in 2013</w:t>
      </w:r>
      <w:r w:rsidR="00B7751E" w:rsidRPr="00B7751E">
        <w:rPr>
          <w:vertAlign w:val="superscript"/>
          <w:lang w:eastAsia="en-AU"/>
        </w:rPr>
        <w:fldChar w:fldCharType="begin"/>
      </w:r>
      <w:r w:rsidR="00B7751E" w:rsidRPr="00B7751E">
        <w:rPr>
          <w:vertAlign w:val="superscript"/>
          <w:lang w:eastAsia="en-AU"/>
        </w:rPr>
        <w:instrText xml:space="preserve"> NOTEREF _Ref387753761 \h </w:instrText>
      </w:r>
      <w:r w:rsidR="00B7751E">
        <w:rPr>
          <w:vertAlign w:val="superscript"/>
          <w:lang w:eastAsia="en-AU"/>
        </w:rPr>
        <w:instrText xml:space="preserve"> \* MERGEFORMAT </w:instrText>
      </w:r>
      <w:r w:rsidR="00B7751E" w:rsidRPr="00B7751E">
        <w:rPr>
          <w:vertAlign w:val="superscript"/>
          <w:lang w:eastAsia="en-AU"/>
        </w:rPr>
      </w:r>
      <w:r w:rsidR="00B7751E" w:rsidRPr="00B7751E">
        <w:rPr>
          <w:vertAlign w:val="superscript"/>
          <w:lang w:eastAsia="en-AU"/>
        </w:rPr>
        <w:fldChar w:fldCharType="separate"/>
      </w:r>
      <w:r w:rsidR="000842E1">
        <w:rPr>
          <w:vertAlign w:val="superscript"/>
          <w:lang w:eastAsia="en-AU"/>
        </w:rPr>
        <w:t>4</w:t>
      </w:r>
      <w:r w:rsidR="00B7751E" w:rsidRPr="00B7751E">
        <w:rPr>
          <w:vertAlign w:val="superscript"/>
          <w:lang w:eastAsia="en-AU"/>
        </w:rPr>
        <w:fldChar w:fldCharType="end"/>
      </w:r>
      <w:r>
        <w:rPr>
          <w:lang w:eastAsia="en-AU"/>
        </w:rPr>
        <w:t xml:space="preserve"> following persistent concerns from healthcare professionals and patient organisations as to whether all tablet formulations of thyroxine in the United Kingdom were of equivalent effectiveness. These concerns were mirrored by an increasing number of Adverse Drug Reaction (ADR) reports; mainly describing a lack of efficacy; interchangeability issues; and non</w:t>
      </w:r>
      <w:r w:rsidR="00A838AC">
        <w:rPr>
          <w:lang w:eastAsia="en-AU"/>
        </w:rPr>
        <w:t>-</w:t>
      </w:r>
      <w:r>
        <w:rPr>
          <w:lang w:eastAsia="en-AU"/>
        </w:rPr>
        <w:t>specific symptoms such as fatigue, alopecia and pain. The MHRA report was careful to point out that number of ADR reports remained extremely low compared with the numbe</w:t>
      </w:r>
      <w:r w:rsidR="00397301">
        <w:rPr>
          <w:lang w:eastAsia="en-AU"/>
        </w:rPr>
        <w:t xml:space="preserve">r of patients taking </w:t>
      </w:r>
      <w:proofErr w:type="spellStart"/>
      <w:r w:rsidR="00397301">
        <w:rPr>
          <w:lang w:eastAsia="en-AU"/>
        </w:rPr>
        <w:t>thyroxine</w:t>
      </w:r>
      <w:proofErr w:type="spellEnd"/>
      <w:r w:rsidR="00397301">
        <w:rPr>
          <w:lang w:eastAsia="en-AU"/>
        </w:rPr>
        <w:t>.</w:t>
      </w:r>
    </w:p>
    <w:p w:rsidR="00A310F1" w:rsidRDefault="00A310F1" w:rsidP="00397301">
      <w:r>
        <w:t>Selected relevant conclusions from the report are:</w:t>
      </w:r>
    </w:p>
    <w:p w:rsidR="00A310F1" w:rsidRDefault="00A310F1" w:rsidP="00397301">
      <w:pPr>
        <w:pStyle w:val="ListBullet"/>
      </w:pPr>
      <w:r>
        <w:t xml:space="preserve">Whilst recognising the difficulties in establishing bioequivalence </w:t>
      </w:r>
      <w:r w:rsidRPr="00397301">
        <w:t>for</w:t>
      </w:r>
      <w:r>
        <w:t xml:space="preserve"> levothyroxine as an endogenous substance, bioequivalence studies in line with the FDA guidelines are of value in providing some reassurance of bioequivalence. (FDA guidelines recommend use of a supra-therapeutic dose of 600</w:t>
      </w:r>
      <w:r w:rsidR="00A838AC">
        <w:t xml:space="preserve"> µ</w:t>
      </w:r>
      <w:r>
        <w:t>g and an acceptance interval of 80%</w:t>
      </w:r>
      <w:r w:rsidR="00A838AC">
        <w:t xml:space="preserve"> to </w:t>
      </w:r>
      <w:proofErr w:type="gramStart"/>
      <w:r>
        <w:t>125%</w:t>
      </w:r>
      <w:proofErr w:type="gramEnd"/>
      <w:r>
        <w:t>.)</w:t>
      </w:r>
    </w:p>
    <w:p w:rsidR="00A310F1" w:rsidRDefault="00A310F1" w:rsidP="00397301">
      <w:pPr>
        <w:pStyle w:val="ListBullet"/>
      </w:pPr>
      <w:r>
        <w:t xml:space="preserve">Levothyroxine sodium has atypical solution properties and an </w:t>
      </w:r>
      <w:r w:rsidRPr="00397301">
        <w:t>extremely</w:t>
      </w:r>
      <w:r>
        <w:t xml:space="preserve"> slow intrinsic dissolution rate.</w:t>
      </w:r>
    </w:p>
    <w:p w:rsidR="00A310F1" w:rsidRPr="00491F88" w:rsidRDefault="00A310F1" w:rsidP="00397301">
      <w:pPr>
        <w:pStyle w:val="ListBullet"/>
      </w:pPr>
      <w:r>
        <w:t xml:space="preserve">The in vivo absorption of levothyroxine products is dissolution </w:t>
      </w:r>
      <w:r w:rsidRPr="00397301">
        <w:t>rate</w:t>
      </w:r>
      <w:r>
        <w:t xml:space="preserve"> limited.</w:t>
      </w:r>
    </w:p>
    <w:p w:rsidR="00A310F1" w:rsidRDefault="00A310F1" w:rsidP="00397301">
      <w:pPr>
        <w:pStyle w:val="ListBullet"/>
      </w:pPr>
      <w:r>
        <w:t xml:space="preserve">Formulation and manufacturing changes should be supported by </w:t>
      </w:r>
      <w:r w:rsidRPr="00397301">
        <w:t>bioequivalence</w:t>
      </w:r>
      <w:r>
        <w:t xml:space="preserve"> studies.</w:t>
      </w:r>
    </w:p>
    <w:p w:rsidR="00A310F1" w:rsidRPr="008944A4" w:rsidRDefault="00A310F1" w:rsidP="008944A4">
      <w:pPr>
        <w:pStyle w:val="Heading5"/>
      </w:pPr>
      <w:r>
        <w:rPr>
          <w:lang w:eastAsia="en-AU"/>
        </w:rPr>
        <w:t xml:space="preserve">Experience with new </w:t>
      </w:r>
      <w:proofErr w:type="spellStart"/>
      <w:r w:rsidR="001C6628">
        <w:rPr>
          <w:lang w:eastAsia="en-AU"/>
        </w:rPr>
        <w:t>Eltroxin</w:t>
      </w:r>
      <w:proofErr w:type="spellEnd"/>
      <w:r>
        <w:rPr>
          <w:lang w:eastAsia="en-AU"/>
        </w:rPr>
        <w:t xml:space="preserve"> formulation in New Zealand</w:t>
      </w:r>
    </w:p>
    <w:p w:rsidR="00A310F1" w:rsidRDefault="00A310F1" w:rsidP="008944A4">
      <w:pPr>
        <w:rPr>
          <w:lang w:eastAsia="en-AU"/>
        </w:rPr>
      </w:pPr>
      <w:r>
        <w:rPr>
          <w:lang w:eastAsia="en-AU"/>
        </w:rPr>
        <w:t xml:space="preserve">In New Zealand, a new formulation of </w:t>
      </w:r>
      <w:proofErr w:type="spellStart"/>
      <w:r w:rsidR="00A838AC">
        <w:rPr>
          <w:lang w:eastAsia="en-AU"/>
        </w:rPr>
        <w:t>Eltroxin</w:t>
      </w:r>
      <w:proofErr w:type="spellEnd"/>
      <w:r w:rsidR="00A838AC">
        <w:rPr>
          <w:lang w:eastAsia="en-AU"/>
        </w:rPr>
        <w:t xml:space="preserve"> </w:t>
      </w:r>
      <w:r>
        <w:rPr>
          <w:lang w:eastAsia="en-AU"/>
        </w:rPr>
        <w:t>was launched in 2007. This was for 50</w:t>
      </w:r>
      <w:r w:rsidR="00A838AC">
        <w:rPr>
          <w:lang w:eastAsia="en-AU"/>
        </w:rPr>
        <w:t xml:space="preserve"> µ</w:t>
      </w:r>
      <w:r>
        <w:rPr>
          <w:lang w:eastAsia="en-AU"/>
        </w:rPr>
        <w:t>g and 100</w:t>
      </w:r>
      <w:r w:rsidR="00A838AC">
        <w:rPr>
          <w:lang w:eastAsia="en-AU"/>
        </w:rPr>
        <w:t xml:space="preserve"> µ</w:t>
      </w:r>
      <w:r>
        <w:rPr>
          <w:lang w:eastAsia="en-AU"/>
        </w:rPr>
        <w:t>g tablets. The 50</w:t>
      </w:r>
      <w:r w:rsidR="00A838AC">
        <w:rPr>
          <w:lang w:eastAsia="en-AU"/>
        </w:rPr>
        <w:t xml:space="preserve"> µ</w:t>
      </w:r>
      <w:r>
        <w:rPr>
          <w:lang w:eastAsia="en-AU"/>
        </w:rPr>
        <w:t>g tablet is the same formulation as the tablet proposed for registration in the current submission to the TGA but the 100</w:t>
      </w:r>
      <w:r w:rsidR="00A838AC">
        <w:rPr>
          <w:lang w:eastAsia="en-AU"/>
        </w:rPr>
        <w:t xml:space="preserve"> µ</w:t>
      </w:r>
      <w:r>
        <w:rPr>
          <w:lang w:eastAsia="en-AU"/>
        </w:rPr>
        <w:t xml:space="preserve">g tablet differs in the quantity of excipients. In New Zealand, ADR reports started being received by Medsafe soon after launch: 39 between October 2007 and May 2008; and following media attention, 1309 between June 2008 and October 2008. There was also a (unsuccessful) petition submitted to the New Zealand House of Representatives requesting that Medsafe re-introduce the old version of </w:t>
      </w:r>
      <w:proofErr w:type="spellStart"/>
      <w:r w:rsidR="00A838AC">
        <w:rPr>
          <w:lang w:eastAsia="en-AU"/>
        </w:rPr>
        <w:t>Eltroxin</w:t>
      </w:r>
      <w:proofErr w:type="spellEnd"/>
      <w:r w:rsidR="00A838AC">
        <w:rPr>
          <w:lang w:eastAsia="en-AU"/>
        </w:rPr>
        <w:t xml:space="preserve"> </w:t>
      </w:r>
      <w:r>
        <w:rPr>
          <w:lang w:eastAsia="en-AU"/>
        </w:rPr>
        <w:t xml:space="preserve">and that </w:t>
      </w:r>
      <w:proofErr w:type="spellStart"/>
      <w:r>
        <w:rPr>
          <w:lang w:eastAsia="en-AU"/>
        </w:rPr>
        <w:t>Pharmac</w:t>
      </w:r>
      <w:proofErr w:type="spellEnd"/>
      <w:r>
        <w:rPr>
          <w:lang w:eastAsia="en-AU"/>
        </w:rPr>
        <w:t xml:space="preserve"> subsidise the old version.</w:t>
      </w:r>
    </w:p>
    <w:p w:rsidR="00A310F1" w:rsidRDefault="00A310F1" w:rsidP="008944A4">
      <w:r>
        <w:t>A MHRA review of Medsafe procedures noted that the largest number of ADR reports w</w:t>
      </w:r>
      <w:r w:rsidR="00A838AC">
        <w:t>as</w:t>
      </w:r>
      <w:r>
        <w:t xml:space="preserve"> received in September 2008, probably i</w:t>
      </w:r>
      <w:r w:rsidR="00A838AC">
        <w:t>n response to pressure groups.</w:t>
      </w:r>
      <w:r w:rsidR="00A838AC">
        <w:rPr>
          <w:rStyle w:val="FootnoteReference"/>
        </w:rPr>
        <w:footnoteReference w:id="5"/>
      </w:r>
      <w:r w:rsidR="00A838AC">
        <w:t xml:space="preserve"> </w:t>
      </w:r>
      <w:r>
        <w:t>Also, a tick-box form was developed for patients on the internet, which might have increased the number of ADR reports. Specific symptoms reported included, alopecia (42), arthralgia (108), confusion (114), depression (151), headache (485), hypertension (45), lethargy (210), memory loss (84), palpitations (126), myalgia (190)</w:t>
      </w:r>
      <w:r w:rsidR="000842E1">
        <w:t xml:space="preserve"> </w:t>
      </w:r>
      <w:r w:rsidR="00677F02">
        <w:t>and</w:t>
      </w:r>
      <w:r>
        <w:t xml:space="preserve"> weight loss (205).</w:t>
      </w:r>
    </w:p>
    <w:p w:rsidR="00A310F1" w:rsidRDefault="00A310F1" w:rsidP="008944A4">
      <w:r>
        <w:lastRenderedPageBreak/>
        <w:t xml:space="preserve">Of the serious ADR reports, 5 of the 8 resulting in hospitalisation described symptoms that could be attributed to a </w:t>
      </w:r>
      <w:proofErr w:type="spellStart"/>
      <w:r>
        <w:t>thyrotoxic</w:t>
      </w:r>
      <w:proofErr w:type="spellEnd"/>
      <w:r>
        <w:t xml:space="preserve"> state. Excess levels of thyroxine were probably related to patients taking a mixture of the old and new formulations, patients frequently switching between formulations, and self</w:t>
      </w:r>
      <w:r w:rsidR="00A838AC">
        <w:t>-</w:t>
      </w:r>
      <w:r>
        <w:t>adjustment of dose.</w:t>
      </w:r>
    </w:p>
    <w:p w:rsidR="00A310F1" w:rsidRDefault="00A310F1" w:rsidP="00A838AC">
      <w:r>
        <w:t xml:space="preserve">In October 2008, two alternative brands of thyroxine were approved in New Zealand: </w:t>
      </w:r>
      <w:proofErr w:type="spellStart"/>
      <w:r>
        <w:t>Goldshield</w:t>
      </w:r>
      <w:proofErr w:type="spellEnd"/>
      <w:r>
        <w:t xml:space="preserve"> Levothyroxine and </w:t>
      </w:r>
      <w:proofErr w:type="spellStart"/>
      <w:r>
        <w:t>Synthroid</w:t>
      </w:r>
      <w:proofErr w:type="spellEnd"/>
      <w:r>
        <w:t xml:space="preserve"> (Abbott).</w:t>
      </w:r>
    </w:p>
    <w:p w:rsidR="008E7846" w:rsidRPr="008944A4" w:rsidRDefault="00A838AC" w:rsidP="008944A4">
      <w:pPr>
        <w:pStyle w:val="Heading3"/>
      </w:pPr>
      <w:bookmarkStart w:id="113" w:name="_Toc314842511"/>
      <w:bookmarkStart w:id="114" w:name="_Toc392595967"/>
      <w:r>
        <w:t>Q</w:t>
      </w:r>
      <w:r w:rsidR="008E7846">
        <w:t>uality</w:t>
      </w:r>
      <w:bookmarkEnd w:id="108"/>
      <w:bookmarkEnd w:id="113"/>
      <w:bookmarkEnd w:id="114"/>
    </w:p>
    <w:p w:rsidR="00A310F1" w:rsidRDefault="00A310F1" w:rsidP="008944A4">
      <w:r w:rsidRPr="00831326">
        <w:t xml:space="preserve">The pharmaceutical chemistry evaluator did not recommend registration because </w:t>
      </w:r>
      <w:proofErr w:type="spellStart"/>
      <w:r w:rsidR="00A838AC" w:rsidRPr="00831326">
        <w:t>Eltroxin</w:t>
      </w:r>
      <w:proofErr w:type="spellEnd"/>
      <w:r w:rsidR="00A838AC" w:rsidRPr="00831326">
        <w:t xml:space="preserve"> </w:t>
      </w:r>
      <w:r w:rsidRPr="00831326">
        <w:t xml:space="preserve">is less bioavailable than </w:t>
      </w:r>
      <w:proofErr w:type="spellStart"/>
      <w:r w:rsidR="00A838AC" w:rsidRPr="00831326">
        <w:t>Oroxine</w:t>
      </w:r>
      <w:proofErr w:type="spellEnd"/>
      <w:r w:rsidR="00A838AC" w:rsidRPr="00831326">
        <w:t>/</w:t>
      </w:r>
      <w:proofErr w:type="spellStart"/>
      <w:r w:rsidR="00A838AC" w:rsidRPr="00831326">
        <w:t>Eutroxsig</w:t>
      </w:r>
      <w:proofErr w:type="spellEnd"/>
      <w:r w:rsidR="00A838AC" w:rsidRPr="00831326">
        <w:t xml:space="preserve"> </w:t>
      </w:r>
      <w:r w:rsidRPr="00831326">
        <w:t xml:space="preserve">and therefore cannot be considered a generic of </w:t>
      </w:r>
      <w:proofErr w:type="spellStart"/>
      <w:r w:rsidR="00A838AC" w:rsidRPr="00831326">
        <w:t>Oroxine</w:t>
      </w:r>
      <w:proofErr w:type="spellEnd"/>
      <w:r w:rsidR="00A838AC" w:rsidRPr="00831326">
        <w:t>/</w:t>
      </w:r>
      <w:proofErr w:type="spellStart"/>
      <w:r w:rsidR="00A838AC" w:rsidRPr="00831326">
        <w:t>Eutroxsig</w:t>
      </w:r>
      <w:proofErr w:type="spellEnd"/>
      <w:r w:rsidRPr="00831326">
        <w:t>.</w:t>
      </w:r>
    </w:p>
    <w:p w:rsidR="00A310F1" w:rsidRDefault="00A838AC" w:rsidP="00A310F1">
      <w:r>
        <w:t>T</w:t>
      </w:r>
      <w:r w:rsidR="00A310F1">
        <w:t xml:space="preserve">he </w:t>
      </w:r>
      <w:r>
        <w:t xml:space="preserve">quality </w:t>
      </w:r>
      <w:r w:rsidR="00A310F1">
        <w:t xml:space="preserve">evaluator points out that the proposed tablets are a different formulation to the registered tablets and are manufactured by a different method: </w:t>
      </w:r>
      <w:r w:rsidR="008A2ADB">
        <w:t xml:space="preserve">direct compression </w:t>
      </w:r>
      <w:r w:rsidR="00A310F1">
        <w:t>versus wet granulation. These changes were made to increase the stability of the tablets (no need for refrigeration). However, a consequence of the new formulation is that the extent and rate of dissolution is less than for the registered reference product (</w:t>
      </w:r>
      <w:proofErr w:type="spellStart"/>
      <w:r>
        <w:t>Oroxine</w:t>
      </w:r>
      <w:proofErr w:type="spellEnd"/>
      <w:r>
        <w:t>/</w:t>
      </w:r>
      <w:proofErr w:type="spellStart"/>
      <w:r>
        <w:t>Eutroxsig</w:t>
      </w:r>
      <w:proofErr w:type="spellEnd"/>
      <w:r>
        <w:t>)</w:t>
      </w:r>
      <w:r w:rsidR="00A310F1">
        <w:t xml:space="preserve">. The </w:t>
      </w:r>
      <w:r>
        <w:t>quality</w:t>
      </w:r>
      <w:r w:rsidR="00A310F1">
        <w:t xml:space="preserve"> evaluator also had concerns about the pr</w:t>
      </w:r>
      <w:r w:rsidR="008944A4">
        <w:t>oposed dissolution test method.</w:t>
      </w:r>
    </w:p>
    <w:p w:rsidR="00A310F1" w:rsidRDefault="00A310F1" w:rsidP="008944A4">
      <w:r>
        <w:t>Study ARL/11/201 compared 600</w:t>
      </w:r>
      <w:r w:rsidR="00A838AC">
        <w:t xml:space="preserve"> µ</w:t>
      </w:r>
      <w:r>
        <w:t>g (3x 200</w:t>
      </w:r>
      <w:r w:rsidR="00A838AC">
        <w:t xml:space="preserve"> µ</w:t>
      </w:r>
      <w:r>
        <w:t xml:space="preserve">g tablets) of </w:t>
      </w:r>
      <w:proofErr w:type="spellStart"/>
      <w:r w:rsidR="00A838AC">
        <w:t>Eltroxin</w:t>
      </w:r>
      <w:proofErr w:type="spellEnd"/>
      <w:r w:rsidR="00A838AC">
        <w:t xml:space="preserve"> </w:t>
      </w:r>
      <w:r>
        <w:t>versus 600</w:t>
      </w:r>
      <w:r w:rsidR="00A838AC">
        <w:t xml:space="preserve"> µ</w:t>
      </w:r>
      <w:r>
        <w:t>g (3x 20</w:t>
      </w:r>
      <w:r w:rsidR="00A838AC">
        <w:t>0 µg</w:t>
      </w:r>
      <w:r>
        <w:t xml:space="preserve"> tablets) of the registered reference product. For uncorrected total T4, the results for the ratio for </w:t>
      </w:r>
      <w:proofErr w:type="spellStart"/>
      <w:r w:rsidR="00A838AC">
        <w:t>Eltroxin</w:t>
      </w:r>
      <w:proofErr w:type="spellEnd"/>
      <w:r>
        <w:t>/reference were: AUC</w:t>
      </w:r>
      <w:r w:rsidRPr="00A838AC">
        <w:rPr>
          <w:vertAlign w:val="subscript"/>
        </w:rPr>
        <w:t>0-t</w:t>
      </w:r>
      <w:r>
        <w:t>=89.1% (90% CI: 84.7%, 93.7%); C</w:t>
      </w:r>
      <w:r w:rsidRPr="00A838AC">
        <w:rPr>
          <w:vertAlign w:val="subscript"/>
        </w:rPr>
        <w:t>max</w:t>
      </w:r>
      <w:r>
        <w:t>=86.2% (82.1%, 90.6%). The 90% CI meet standard bioequivalence criteria (80%</w:t>
      </w:r>
      <w:r w:rsidR="00A838AC">
        <w:t xml:space="preserve"> to </w:t>
      </w:r>
      <w:r>
        <w:t xml:space="preserve">125%) but there are questions about whether thyroxine is a narrow therapeutic index drug and whether baseline correction should be used (see </w:t>
      </w:r>
      <w:r w:rsidRPr="00A838AC">
        <w:rPr>
          <w:i/>
        </w:rPr>
        <w:t>Background</w:t>
      </w:r>
      <w:r>
        <w:t xml:space="preserve"> [above] and </w:t>
      </w:r>
      <w:r w:rsidRPr="00A838AC">
        <w:rPr>
          <w:i/>
        </w:rPr>
        <w:t>Clinical Evaluation</w:t>
      </w:r>
      <w:r>
        <w:t xml:space="preserve"> [below]).</w:t>
      </w:r>
    </w:p>
    <w:p w:rsidR="00E45619" w:rsidRDefault="00A310F1" w:rsidP="008944A4">
      <w:r w:rsidRPr="00831326">
        <w:t xml:space="preserve">The </w:t>
      </w:r>
      <w:r w:rsidR="00A838AC" w:rsidRPr="00831326">
        <w:t>quality</w:t>
      </w:r>
      <w:r w:rsidRPr="00831326">
        <w:t xml:space="preserve"> evaluator concluded that </w:t>
      </w:r>
      <w:proofErr w:type="spellStart"/>
      <w:r w:rsidR="00A838AC" w:rsidRPr="00831326">
        <w:t>Eltroxin</w:t>
      </w:r>
      <w:proofErr w:type="spellEnd"/>
      <w:r w:rsidR="00A838AC" w:rsidRPr="00831326">
        <w:t xml:space="preserve"> </w:t>
      </w:r>
      <w:r w:rsidRPr="00831326">
        <w:t>had lower bioavailability than the registered reference product and that this is most likely the result of the different formulation and the lower extent and rate of dissolution. That is, the different formulation increases stability (</w:t>
      </w:r>
      <w:proofErr w:type="spellStart"/>
      <w:r w:rsidR="00A838AC" w:rsidRPr="00831326">
        <w:t>Eltroxin</w:t>
      </w:r>
      <w:proofErr w:type="spellEnd"/>
      <w:r w:rsidR="00A838AC" w:rsidRPr="00831326">
        <w:t xml:space="preserve"> </w:t>
      </w:r>
      <w:r w:rsidRPr="00831326">
        <w:t>does not require refrigeration), but the trade-off is that it is less bioavailable.</w:t>
      </w:r>
    </w:p>
    <w:p w:rsidR="008E7846" w:rsidRPr="008944A4" w:rsidRDefault="008E7846" w:rsidP="008944A4">
      <w:pPr>
        <w:pStyle w:val="Heading3"/>
      </w:pPr>
      <w:bookmarkStart w:id="115" w:name="_Toc314842512"/>
      <w:bookmarkStart w:id="116" w:name="_Toc392595968"/>
      <w:r>
        <w:t>Nonclinical</w:t>
      </w:r>
      <w:bookmarkEnd w:id="115"/>
      <w:bookmarkEnd w:id="116"/>
    </w:p>
    <w:p w:rsidR="008E7846" w:rsidRDefault="008E7846" w:rsidP="008944A4">
      <w:r>
        <w:t>There was no requirement for a nonclinical evaluation in a submission of this type.</w:t>
      </w:r>
    </w:p>
    <w:p w:rsidR="008E7846" w:rsidRPr="008944A4" w:rsidRDefault="008E7846" w:rsidP="008944A4">
      <w:pPr>
        <w:pStyle w:val="Heading3"/>
      </w:pPr>
      <w:bookmarkStart w:id="117" w:name="_Toc247691530"/>
      <w:bookmarkStart w:id="118" w:name="_Toc314842513"/>
      <w:bookmarkStart w:id="119" w:name="_Toc392595969"/>
      <w:r>
        <w:t>Clinical</w:t>
      </w:r>
      <w:bookmarkEnd w:id="117"/>
      <w:bookmarkEnd w:id="118"/>
      <w:bookmarkEnd w:id="119"/>
    </w:p>
    <w:p w:rsidR="00A310F1" w:rsidRDefault="00A310F1" w:rsidP="008944A4">
      <w:bookmarkStart w:id="120" w:name="_Toc314842514"/>
      <w:r w:rsidRPr="00831326">
        <w:t>The clinical evaluator recommended that approval be refused because all the strengths proposed for registration carry the risk of dose error if they are used interchangeably on a same-dose basis with the product currently marketed in Australia.</w:t>
      </w:r>
    </w:p>
    <w:p w:rsidR="00A310F1" w:rsidRPr="008944A4" w:rsidRDefault="00A310F1" w:rsidP="008944A4">
      <w:pPr>
        <w:pStyle w:val="Heading4"/>
      </w:pPr>
      <w:r w:rsidRPr="00AE10FF">
        <w:t>Efficacy</w:t>
      </w:r>
    </w:p>
    <w:p w:rsidR="00A310F1" w:rsidRPr="00AE10FF" w:rsidRDefault="00A310F1" w:rsidP="008944A4">
      <w:r w:rsidRPr="00AE10FF">
        <w:t>Two clinical studies were submitted:</w:t>
      </w:r>
    </w:p>
    <w:p w:rsidR="00A310F1" w:rsidRPr="00AE10FF" w:rsidRDefault="00A310F1" w:rsidP="008944A4">
      <w:pPr>
        <w:pStyle w:val="ListBullet"/>
      </w:pPr>
      <w:r w:rsidRPr="00AE10FF">
        <w:t>ARL/11/196: intended to assess dose proportionality for the 5</w:t>
      </w:r>
      <w:r w:rsidR="00A838AC" w:rsidRPr="00AE10FF">
        <w:t>0 µg</w:t>
      </w:r>
      <w:r w:rsidRPr="00AE10FF">
        <w:t>, 10</w:t>
      </w:r>
      <w:r w:rsidR="00A838AC" w:rsidRPr="00AE10FF">
        <w:t>0 µg</w:t>
      </w:r>
      <w:r w:rsidRPr="00AE10FF">
        <w:t xml:space="preserve"> and 20</w:t>
      </w:r>
      <w:r w:rsidR="00A838AC" w:rsidRPr="00AE10FF">
        <w:t>0 µg</w:t>
      </w:r>
      <w:r w:rsidRPr="00AE10FF">
        <w:t xml:space="preserve"> </w:t>
      </w:r>
      <w:proofErr w:type="spellStart"/>
      <w:r w:rsidR="001C6628" w:rsidRPr="00AE10FF">
        <w:t>Eltroxin</w:t>
      </w:r>
      <w:proofErr w:type="spellEnd"/>
      <w:r w:rsidRPr="00AE10FF">
        <w:t xml:space="preserve"> tablets</w:t>
      </w:r>
    </w:p>
    <w:p w:rsidR="00A310F1" w:rsidRPr="00AE10FF" w:rsidRDefault="00A310F1" w:rsidP="008944A4">
      <w:pPr>
        <w:pStyle w:val="ListBullet"/>
      </w:pPr>
      <w:r w:rsidRPr="00AE10FF">
        <w:t xml:space="preserve">ARL/11/201: intended to assess bioequivalence between </w:t>
      </w:r>
      <w:proofErr w:type="spellStart"/>
      <w:r w:rsidR="001C6628" w:rsidRPr="00AE10FF">
        <w:t>Eltroxin</w:t>
      </w:r>
      <w:proofErr w:type="spellEnd"/>
      <w:r w:rsidRPr="00AE10FF">
        <w:t xml:space="preserve"> and the reference registered product, </w:t>
      </w:r>
      <w:proofErr w:type="spellStart"/>
      <w:r w:rsidR="001C6628" w:rsidRPr="00AE10FF">
        <w:t>Oroxine</w:t>
      </w:r>
      <w:proofErr w:type="spellEnd"/>
    </w:p>
    <w:p w:rsidR="00A310F1" w:rsidRPr="008944A4" w:rsidRDefault="00A310F1" w:rsidP="008944A4">
      <w:pPr>
        <w:pStyle w:val="Heading5"/>
      </w:pPr>
      <w:r w:rsidRPr="00964CAE">
        <w:lastRenderedPageBreak/>
        <w:t>ARL/11/196</w:t>
      </w:r>
    </w:p>
    <w:p w:rsidR="00A838AC" w:rsidRPr="00A838AC" w:rsidRDefault="00A838AC" w:rsidP="005462BD">
      <w:pPr>
        <w:pStyle w:val="TableTitle"/>
      </w:pPr>
      <w:proofErr w:type="gramStart"/>
      <w:r>
        <w:t xml:space="preserve">Table </w:t>
      </w:r>
      <w:r w:rsidR="000F4A2C">
        <w:t>9</w:t>
      </w:r>
      <w:r>
        <w:t>.</w:t>
      </w:r>
      <w:proofErr w:type="gramEnd"/>
      <w:r>
        <w:t xml:space="preserve"> Summary of Study ARL/11/196</w:t>
      </w:r>
    </w:p>
    <w:tbl>
      <w:tblPr>
        <w:tblStyle w:val="TableTGAblue"/>
        <w:tblW w:w="0" w:type="auto"/>
        <w:tblLook w:val="0480" w:firstRow="0" w:lastRow="0" w:firstColumn="1" w:lastColumn="0" w:noHBand="0" w:noVBand="1"/>
      </w:tblPr>
      <w:tblGrid>
        <w:gridCol w:w="1626"/>
        <w:gridCol w:w="4961"/>
      </w:tblGrid>
      <w:tr w:rsidR="00A310F1" w:rsidTr="005462BD">
        <w:tc>
          <w:tcPr>
            <w:tcW w:w="1276" w:type="dxa"/>
            <w:shd w:val="clear" w:color="auto" w:fill="0070B5" w:themeFill="accent1" w:themeFillTint="BF"/>
          </w:tcPr>
          <w:p w:rsidR="00A310F1" w:rsidRPr="005462BD" w:rsidRDefault="00A310F1" w:rsidP="005462BD">
            <w:pPr>
              <w:ind w:left="0"/>
              <w:rPr>
                <w:b/>
                <w:color w:val="FFFFFF" w:themeColor="background1"/>
              </w:rPr>
            </w:pPr>
            <w:r w:rsidRPr="005462BD">
              <w:rPr>
                <w:b/>
                <w:color w:val="FFFFFF" w:themeColor="background1"/>
              </w:rPr>
              <w:t>Participants</w:t>
            </w:r>
          </w:p>
        </w:tc>
        <w:tc>
          <w:tcPr>
            <w:tcW w:w="4961" w:type="dxa"/>
          </w:tcPr>
          <w:p w:rsidR="00A310F1" w:rsidRPr="00A838AC" w:rsidRDefault="005462BD" w:rsidP="005462BD">
            <w:pPr>
              <w:ind w:left="75"/>
            </w:pPr>
            <w:r>
              <w:t>67 healthy adults</w:t>
            </w:r>
          </w:p>
        </w:tc>
      </w:tr>
      <w:tr w:rsidR="00A310F1" w:rsidTr="005462BD">
        <w:tc>
          <w:tcPr>
            <w:tcW w:w="1276" w:type="dxa"/>
            <w:shd w:val="clear" w:color="auto" w:fill="0070B5" w:themeFill="accent1" w:themeFillTint="BF"/>
          </w:tcPr>
          <w:p w:rsidR="00A310F1" w:rsidRPr="005462BD" w:rsidRDefault="00A310F1" w:rsidP="005462BD">
            <w:pPr>
              <w:ind w:left="0"/>
              <w:rPr>
                <w:b/>
                <w:color w:val="FFFFFF" w:themeColor="background1"/>
              </w:rPr>
            </w:pPr>
            <w:r w:rsidRPr="005462BD">
              <w:rPr>
                <w:b/>
                <w:color w:val="FFFFFF" w:themeColor="background1"/>
              </w:rPr>
              <w:t>Site</w:t>
            </w:r>
          </w:p>
        </w:tc>
        <w:tc>
          <w:tcPr>
            <w:tcW w:w="4961" w:type="dxa"/>
          </w:tcPr>
          <w:p w:rsidR="00A310F1" w:rsidRPr="00A838AC" w:rsidRDefault="00A310F1" w:rsidP="005462BD">
            <w:pPr>
              <w:ind w:left="75"/>
            </w:pPr>
            <w:r w:rsidRPr="00A838AC">
              <w:t>Single centre in India (Aug-Dec 2011)</w:t>
            </w:r>
          </w:p>
        </w:tc>
      </w:tr>
      <w:tr w:rsidR="00A310F1" w:rsidTr="005462BD">
        <w:tc>
          <w:tcPr>
            <w:tcW w:w="1276" w:type="dxa"/>
            <w:shd w:val="clear" w:color="auto" w:fill="0070B5" w:themeFill="accent1" w:themeFillTint="BF"/>
          </w:tcPr>
          <w:p w:rsidR="00A310F1" w:rsidRPr="005462BD" w:rsidRDefault="00A310F1" w:rsidP="005462BD">
            <w:pPr>
              <w:ind w:left="0"/>
              <w:rPr>
                <w:b/>
                <w:color w:val="FFFFFF" w:themeColor="background1"/>
              </w:rPr>
            </w:pPr>
            <w:r w:rsidRPr="005462BD">
              <w:rPr>
                <w:b/>
                <w:color w:val="FFFFFF" w:themeColor="background1"/>
              </w:rPr>
              <w:t>Comparison</w:t>
            </w:r>
          </w:p>
        </w:tc>
        <w:tc>
          <w:tcPr>
            <w:tcW w:w="4961" w:type="dxa"/>
          </w:tcPr>
          <w:p w:rsidR="00A310F1" w:rsidRPr="00A838AC" w:rsidRDefault="00A310F1" w:rsidP="005462BD">
            <w:pPr>
              <w:ind w:left="75"/>
            </w:pPr>
            <w:r w:rsidRPr="00A838AC">
              <w:t>12x5</w:t>
            </w:r>
            <w:r w:rsidR="00A838AC" w:rsidRPr="00A838AC">
              <w:t>0 µg</w:t>
            </w:r>
            <w:r w:rsidRPr="00A838AC">
              <w:t xml:space="preserve"> versus 6x10</w:t>
            </w:r>
            <w:r w:rsidR="00A838AC" w:rsidRPr="00A838AC">
              <w:t>0 µg</w:t>
            </w:r>
            <w:r w:rsidRPr="00A838AC">
              <w:t xml:space="preserve"> versus 3x20</w:t>
            </w:r>
            <w:r w:rsidR="00A838AC" w:rsidRPr="00A838AC">
              <w:t>0 µg</w:t>
            </w:r>
          </w:p>
        </w:tc>
      </w:tr>
      <w:tr w:rsidR="00A310F1" w:rsidTr="005462BD">
        <w:tc>
          <w:tcPr>
            <w:tcW w:w="1276" w:type="dxa"/>
            <w:shd w:val="clear" w:color="auto" w:fill="0070B5" w:themeFill="accent1" w:themeFillTint="BF"/>
          </w:tcPr>
          <w:p w:rsidR="00A310F1" w:rsidRPr="005462BD" w:rsidRDefault="00A310F1" w:rsidP="005462BD">
            <w:pPr>
              <w:ind w:left="0"/>
              <w:rPr>
                <w:b/>
                <w:color w:val="FFFFFF" w:themeColor="background1"/>
              </w:rPr>
            </w:pPr>
            <w:r w:rsidRPr="005462BD">
              <w:rPr>
                <w:b/>
                <w:color w:val="FFFFFF" w:themeColor="background1"/>
              </w:rPr>
              <w:t>Design</w:t>
            </w:r>
          </w:p>
        </w:tc>
        <w:tc>
          <w:tcPr>
            <w:tcW w:w="4961" w:type="dxa"/>
          </w:tcPr>
          <w:p w:rsidR="00A310F1" w:rsidRPr="00A838AC" w:rsidRDefault="00A310F1" w:rsidP="005462BD">
            <w:pPr>
              <w:ind w:left="75"/>
            </w:pPr>
            <w:r w:rsidRPr="00A838AC">
              <w:t>Single dose, fasting, 3-period, 3-treatment, cross-over</w:t>
            </w:r>
          </w:p>
        </w:tc>
      </w:tr>
    </w:tbl>
    <w:p w:rsidR="00A838AC" w:rsidRPr="004B05C7" w:rsidRDefault="00A838AC" w:rsidP="004B05C7">
      <w:pPr>
        <w:pStyle w:val="TableTitle"/>
      </w:pPr>
      <w:proofErr w:type="gramStart"/>
      <w:r>
        <w:rPr>
          <w:lang w:eastAsia="en-AU"/>
        </w:rPr>
        <w:t xml:space="preserve">Table </w:t>
      </w:r>
      <w:r w:rsidR="000F4A2C">
        <w:rPr>
          <w:lang w:eastAsia="en-AU"/>
        </w:rPr>
        <w:t>10</w:t>
      </w:r>
      <w:r>
        <w:rPr>
          <w:lang w:eastAsia="en-AU"/>
        </w:rPr>
        <w:t>.</w:t>
      </w:r>
      <w:proofErr w:type="gramEnd"/>
      <w:r>
        <w:rPr>
          <w:lang w:eastAsia="en-AU"/>
        </w:rPr>
        <w:t xml:space="preserve"> Geometric mean and 90% confidence interval of baseline uncorrected total (</w:t>
      </w:r>
      <w:proofErr w:type="spellStart"/>
      <w:r>
        <w:rPr>
          <w:lang w:eastAsia="en-AU"/>
        </w:rPr>
        <w:t>bound+free</w:t>
      </w:r>
      <w:proofErr w:type="spellEnd"/>
      <w:r>
        <w:rPr>
          <w:lang w:eastAsia="en-AU"/>
        </w:rPr>
        <w:t>) T4 (n=67</w:t>
      </w:r>
    </w:p>
    <w:p w:rsidR="00A310F1" w:rsidRPr="00964CAE" w:rsidRDefault="00A310F1" w:rsidP="004B05C7">
      <w:pPr>
        <w:rPr>
          <w:lang w:eastAsia="en-AU"/>
        </w:rPr>
      </w:pPr>
      <w:r>
        <w:rPr>
          <w:noProof/>
          <w:lang w:eastAsia="en-AU"/>
        </w:rPr>
        <w:drawing>
          <wp:inline distT="0" distB="0" distL="0" distR="0" wp14:anchorId="0E5D5001" wp14:editId="2CD2F96E">
            <wp:extent cx="5041664" cy="2158969"/>
            <wp:effectExtent l="0" t="0" r="6985" b="0"/>
            <wp:docPr id="19" name="Picture 4" descr="Table 9. Geometric mean and 90% confidence interval of baseline uncorrected total (bound+free) T4 (n=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7" cstate="print">
                      <a:grayscl/>
                    </a:blip>
                    <a:srcRect l="2411"/>
                    <a:stretch/>
                  </pic:blipFill>
                  <pic:spPr bwMode="auto">
                    <a:xfrm>
                      <a:off x="0" y="0"/>
                      <a:ext cx="5041664" cy="2158969"/>
                    </a:xfrm>
                    <a:prstGeom prst="rect">
                      <a:avLst/>
                    </a:prstGeom>
                    <a:noFill/>
                    <a:ln>
                      <a:noFill/>
                    </a:ln>
                    <a:extLst>
                      <a:ext uri="{53640926-AAD7-44D8-BBD7-CCE9431645EC}">
                        <a14:shadowObscured xmlns:a14="http://schemas.microsoft.com/office/drawing/2010/main"/>
                      </a:ext>
                    </a:extLst>
                  </pic:spPr>
                </pic:pic>
              </a:graphicData>
            </a:graphic>
          </wp:inline>
        </w:drawing>
      </w:r>
    </w:p>
    <w:p w:rsidR="00A310F1" w:rsidRDefault="00A310F1" w:rsidP="00212A86">
      <w:r>
        <w:t>Corrected T4 results were not reported.</w:t>
      </w:r>
    </w:p>
    <w:p w:rsidR="00A310F1" w:rsidRPr="00212A86" w:rsidRDefault="00A310F1" w:rsidP="00212A86">
      <w:pPr>
        <w:pStyle w:val="Heading5"/>
      </w:pPr>
      <w:r>
        <w:t>ARL/11/201</w:t>
      </w:r>
    </w:p>
    <w:p w:rsidR="00A838AC" w:rsidRPr="00A838AC" w:rsidRDefault="00A838AC" w:rsidP="00212A86">
      <w:pPr>
        <w:pStyle w:val="TableTitle"/>
      </w:pPr>
      <w:proofErr w:type="gramStart"/>
      <w:r>
        <w:t xml:space="preserve">Table </w:t>
      </w:r>
      <w:r w:rsidR="000F4A2C">
        <w:t>11</w:t>
      </w:r>
      <w:r>
        <w:t>.</w:t>
      </w:r>
      <w:proofErr w:type="gramEnd"/>
      <w:r>
        <w:t xml:space="preserve"> Summary of Study ARL/11/201</w:t>
      </w:r>
    </w:p>
    <w:tbl>
      <w:tblPr>
        <w:tblStyle w:val="TableTGAblue"/>
        <w:tblW w:w="0" w:type="auto"/>
        <w:tblLook w:val="0480" w:firstRow="0" w:lastRow="0" w:firstColumn="1" w:lastColumn="0" w:noHBand="0" w:noVBand="1"/>
      </w:tblPr>
      <w:tblGrid>
        <w:gridCol w:w="1701"/>
        <w:gridCol w:w="4820"/>
      </w:tblGrid>
      <w:tr w:rsidR="00A310F1" w:rsidTr="00E5741B">
        <w:trPr>
          <w:tblHeader/>
        </w:trPr>
        <w:tc>
          <w:tcPr>
            <w:tcW w:w="1701" w:type="dxa"/>
            <w:shd w:val="clear" w:color="auto" w:fill="0070B5" w:themeFill="accent1" w:themeFillTint="BF"/>
          </w:tcPr>
          <w:p w:rsidR="00A310F1" w:rsidRPr="00E5741B" w:rsidRDefault="00A310F1" w:rsidP="00E5741B">
            <w:pPr>
              <w:ind w:left="0"/>
              <w:rPr>
                <w:b/>
                <w:color w:val="FFFFFF" w:themeColor="background1"/>
              </w:rPr>
            </w:pPr>
            <w:r w:rsidRPr="00E5741B">
              <w:rPr>
                <w:b/>
                <w:color w:val="FFFFFF" w:themeColor="background1"/>
              </w:rPr>
              <w:t>Participants</w:t>
            </w:r>
          </w:p>
        </w:tc>
        <w:tc>
          <w:tcPr>
            <w:tcW w:w="4820" w:type="dxa"/>
          </w:tcPr>
          <w:p w:rsidR="00A310F1" w:rsidRPr="00A838AC" w:rsidRDefault="00E5741B" w:rsidP="00E5741B">
            <w:pPr>
              <w:ind w:left="0"/>
            </w:pPr>
            <w:r>
              <w:t>31 healthy adults</w:t>
            </w:r>
          </w:p>
        </w:tc>
      </w:tr>
      <w:tr w:rsidR="00A310F1" w:rsidTr="00E5741B">
        <w:trPr>
          <w:tblHeader/>
        </w:trPr>
        <w:tc>
          <w:tcPr>
            <w:tcW w:w="1701" w:type="dxa"/>
            <w:shd w:val="clear" w:color="auto" w:fill="0070B5" w:themeFill="accent1" w:themeFillTint="BF"/>
          </w:tcPr>
          <w:p w:rsidR="00A310F1" w:rsidRPr="00E5741B" w:rsidRDefault="00A310F1" w:rsidP="00E5741B">
            <w:pPr>
              <w:ind w:left="0"/>
              <w:rPr>
                <w:b/>
                <w:color w:val="FFFFFF" w:themeColor="background1"/>
              </w:rPr>
            </w:pPr>
            <w:r w:rsidRPr="00E5741B">
              <w:rPr>
                <w:b/>
                <w:color w:val="FFFFFF" w:themeColor="background1"/>
              </w:rPr>
              <w:t>Site</w:t>
            </w:r>
          </w:p>
        </w:tc>
        <w:tc>
          <w:tcPr>
            <w:tcW w:w="4820" w:type="dxa"/>
          </w:tcPr>
          <w:p w:rsidR="00A310F1" w:rsidRPr="00A838AC" w:rsidRDefault="00A310F1" w:rsidP="00E5741B">
            <w:pPr>
              <w:ind w:left="0"/>
            </w:pPr>
            <w:r w:rsidRPr="00A838AC">
              <w:t>Single centre in India (Sep-Nov 2011)</w:t>
            </w:r>
          </w:p>
        </w:tc>
      </w:tr>
      <w:tr w:rsidR="00A310F1" w:rsidTr="00E5741B">
        <w:trPr>
          <w:tblHeader/>
        </w:trPr>
        <w:tc>
          <w:tcPr>
            <w:tcW w:w="1701" w:type="dxa"/>
            <w:shd w:val="clear" w:color="auto" w:fill="0070B5" w:themeFill="accent1" w:themeFillTint="BF"/>
          </w:tcPr>
          <w:p w:rsidR="00A310F1" w:rsidRPr="00E5741B" w:rsidRDefault="00A310F1" w:rsidP="00E5741B">
            <w:pPr>
              <w:ind w:left="0"/>
              <w:rPr>
                <w:b/>
                <w:color w:val="FFFFFF" w:themeColor="background1"/>
              </w:rPr>
            </w:pPr>
            <w:r w:rsidRPr="00E5741B">
              <w:rPr>
                <w:b/>
                <w:color w:val="FFFFFF" w:themeColor="background1"/>
              </w:rPr>
              <w:t>Comparison</w:t>
            </w:r>
          </w:p>
        </w:tc>
        <w:tc>
          <w:tcPr>
            <w:tcW w:w="4820" w:type="dxa"/>
          </w:tcPr>
          <w:p w:rsidR="00A310F1" w:rsidRPr="00A838AC" w:rsidRDefault="00A310F1" w:rsidP="00E5741B">
            <w:pPr>
              <w:ind w:left="0"/>
            </w:pPr>
            <w:r w:rsidRPr="00A838AC">
              <w:t>3x20</w:t>
            </w:r>
            <w:r w:rsidR="00A838AC" w:rsidRPr="00A838AC">
              <w:t>0 µg</w:t>
            </w:r>
            <w:r w:rsidRPr="00A838AC">
              <w:t xml:space="preserve"> </w:t>
            </w:r>
            <w:proofErr w:type="spellStart"/>
            <w:r w:rsidR="001C6628" w:rsidRPr="00A838AC">
              <w:t>Eltroxin</w:t>
            </w:r>
            <w:proofErr w:type="spellEnd"/>
            <w:r w:rsidR="001C6628" w:rsidRPr="00A838AC">
              <w:t xml:space="preserve"> </w:t>
            </w:r>
            <w:r w:rsidRPr="00A838AC">
              <w:t>versus 3x20</w:t>
            </w:r>
            <w:r w:rsidR="00A838AC" w:rsidRPr="00A838AC">
              <w:t>0 µg</w:t>
            </w:r>
            <w:r w:rsidRPr="00A838AC">
              <w:t xml:space="preserve"> </w:t>
            </w:r>
            <w:proofErr w:type="spellStart"/>
            <w:r w:rsidR="001C6628" w:rsidRPr="00A838AC">
              <w:t>Oroxine</w:t>
            </w:r>
            <w:proofErr w:type="spellEnd"/>
          </w:p>
        </w:tc>
      </w:tr>
      <w:tr w:rsidR="00A310F1" w:rsidTr="00E5741B">
        <w:trPr>
          <w:tblHeader/>
        </w:trPr>
        <w:tc>
          <w:tcPr>
            <w:tcW w:w="1701" w:type="dxa"/>
            <w:shd w:val="clear" w:color="auto" w:fill="0070B5" w:themeFill="accent1" w:themeFillTint="BF"/>
          </w:tcPr>
          <w:p w:rsidR="00A310F1" w:rsidRPr="00E5741B" w:rsidRDefault="00A310F1" w:rsidP="00E5741B">
            <w:pPr>
              <w:ind w:left="0"/>
              <w:rPr>
                <w:b/>
                <w:color w:val="FFFFFF" w:themeColor="background1"/>
              </w:rPr>
            </w:pPr>
            <w:r w:rsidRPr="00E5741B">
              <w:rPr>
                <w:b/>
                <w:color w:val="FFFFFF" w:themeColor="background1"/>
              </w:rPr>
              <w:t>Design</w:t>
            </w:r>
          </w:p>
        </w:tc>
        <w:tc>
          <w:tcPr>
            <w:tcW w:w="4820" w:type="dxa"/>
          </w:tcPr>
          <w:p w:rsidR="00A310F1" w:rsidRPr="00A838AC" w:rsidRDefault="00A310F1" w:rsidP="00E5741B">
            <w:pPr>
              <w:ind w:left="0"/>
            </w:pPr>
            <w:r w:rsidRPr="00A838AC">
              <w:t>Single dose, fasting, 2-period, 2-treatment, cross-over</w:t>
            </w:r>
          </w:p>
        </w:tc>
      </w:tr>
    </w:tbl>
    <w:p w:rsidR="00A310F1" w:rsidRDefault="00A310F1" w:rsidP="00E5741B">
      <w:r>
        <w:t xml:space="preserve">As reported under </w:t>
      </w:r>
      <w:r w:rsidR="000F69AA" w:rsidRPr="000F69AA">
        <w:rPr>
          <w:i/>
        </w:rPr>
        <w:t>Quality</w:t>
      </w:r>
      <w:r w:rsidR="000F69AA">
        <w:t xml:space="preserve"> above:</w:t>
      </w:r>
      <w:r>
        <w:t xml:space="preserve"> The uncorrected total T4 results for the ratio for </w:t>
      </w:r>
      <w:proofErr w:type="spellStart"/>
      <w:r w:rsidR="000F69AA">
        <w:t>Eltroxin</w:t>
      </w:r>
      <w:proofErr w:type="spellEnd"/>
      <w:r w:rsidR="00E5741B">
        <w:t>/reference were:</w:t>
      </w:r>
    </w:p>
    <w:p w:rsidR="00A310F1" w:rsidRPr="00964CAE" w:rsidRDefault="00A310F1" w:rsidP="00E5741B">
      <w:r>
        <w:t>AUC</w:t>
      </w:r>
      <w:r>
        <w:rPr>
          <w:vertAlign w:val="subscript"/>
        </w:rPr>
        <w:t>0-t</w:t>
      </w:r>
      <w:r>
        <w:t>=89.1% (90% CI: 84.7%, 93.7%); C</w:t>
      </w:r>
      <w:r>
        <w:rPr>
          <w:vertAlign w:val="subscript"/>
        </w:rPr>
        <w:t>max</w:t>
      </w:r>
      <w:r>
        <w:t>=86.2% (82.1%, 90.6%).</w:t>
      </w:r>
    </w:p>
    <w:p w:rsidR="00A310F1" w:rsidRDefault="00A310F1" w:rsidP="00E5741B">
      <w:r>
        <w:t xml:space="preserve">The corrected total T4 results for the ratio for </w:t>
      </w:r>
      <w:proofErr w:type="spellStart"/>
      <w:r w:rsidR="000F69AA">
        <w:t>Eltroxin</w:t>
      </w:r>
      <w:proofErr w:type="spellEnd"/>
      <w:r w:rsidR="00E5741B">
        <w:t>/reference were:</w:t>
      </w:r>
    </w:p>
    <w:p w:rsidR="00A310F1" w:rsidRPr="00964CAE" w:rsidRDefault="00A310F1" w:rsidP="00E5741B">
      <w:r>
        <w:t>AUC</w:t>
      </w:r>
      <w:r>
        <w:rPr>
          <w:vertAlign w:val="subscript"/>
        </w:rPr>
        <w:t>0-t</w:t>
      </w:r>
      <w:r>
        <w:t>=74.0% (90% CI: 68.8%, 79.6%); C</w:t>
      </w:r>
      <w:r>
        <w:rPr>
          <w:vertAlign w:val="subscript"/>
        </w:rPr>
        <w:t>max</w:t>
      </w:r>
      <w:r>
        <w:t>=74.1% (68.3%, 80.4%).</w:t>
      </w:r>
    </w:p>
    <w:p w:rsidR="00A310F1" w:rsidRPr="00217ED9" w:rsidRDefault="00A310F1" w:rsidP="00217ED9">
      <w:pPr>
        <w:pStyle w:val="Heading4"/>
      </w:pPr>
      <w:r>
        <w:t>Safety</w:t>
      </w:r>
    </w:p>
    <w:p w:rsidR="00A310F1" w:rsidRDefault="00A310F1" w:rsidP="00217ED9">
      <w:r>
        <w:t xml:space="preserve">No specific data were submitted. The safety profile of thyroxine is well known. The key safety issue for this submission is whether </w:t>
      </w:r>
      <w:proofErr w:type="spellStart"/>
      <w:r w:rsidR="000F69AA">
        <w:t>Eltroxin</w:t>
      </w:r>
      <w:proofErr w:type="spellEnd"/>
      <w:r w:rsidR="000F69AA">
        <w:t xml:space="preserve"> </w:t>
      </w:r>
      <w:r>
        <w:t xml:space="preserve">is interchangeable on a same-dose basis with </w:t>
      </w:r>
      <w:proofErr w:type="spellStart"/>
      <w:r w:rsidR="000F69AA">
        <w:t>Oroxine</w:t>
      </w:r>
      <w:proofErr w:type="spellEnd"/>
      <w:r w:rsidR="000F69AA">
        <w:t>/</w:t>
      </w:r>
      <w:proofErr w:type="spellStart"/>
      <w:r w:rsidR="000F69AA">
        <w:t>Eutroxsig</w:t>
      </w:r>
      <w:proofErr w:type="spellEnd"/>
      <w:r>
        <w:t>.</w:t>
      </w:r>
    </w:p>
    <w:p w:rsidR="007B6132" w:rsidRPr="001C6628" w:rsidRDefault="001C6628" w:rsidP="00217ED9">
      <w:pPr>
        <w:pStyle w:val="Heading4"/>
      </w:pPr>
      <w:r w:rsidRPr="001C6628">
        <w:lastRenderedPageBreak/>
        <w:t xml:space="preserve">First </w:t>
      </w:r>
      <w:r w:rsidR="00217ED9">
        <w:t>r</w:t>
      </w:r>
      <w:r w:rsidRPr="00217ED9">
        <w:t>ound</w:t>
      </w:r>
      <w:r w:rsidRPr="001C6628">
        <w:t xml:space="preserve"> </w:t>
      </w:r>
      <w:r w:rsidR="00217ED9">
        <w:t>c</w:t>
      </w:r>
      <w:r w:rsidR="007B6132" w:rsidRPr="001C6628">
        <w:t>linical evaluator’s recommendation</w:t>
      </w:r>
    </w:p>
    <w:p w:rsidR="001C6628" w:rsidRPr="00831326" w:rsidRDefault="001C6628" w:rsidP="00217ED9">
      <w:r w:rsidRPr="00831326">
        <w:t>The First Round clinical evaluator proposed that approval of the products should be refused.</w:t>
      </w:r>
    </w:p>
    <w:p w:rsidR="008E7846" w:rsidRDefault="00386150" w:rsidP="00217ED9">
      <w:pPr>
        <w:pStyle w:val="Heading3"/>
        <w:rPr>
          <w:lang w:eastAsia="en-AU"/>
        </w:rPr>
      </w:pPr>
      <w:bookmarkStart w:id="121" w:name="_Toc392595970"/>
      <w:r w:rsidRPr="00B96A88">
        <w:rPr>
          <w:lang w:eastAsia="en-AU"/>
        </w:rPr>
        <w:t xml:space="preserve">Risk </w:t>
      </w:r>
      <w:r w:rsidRPr="00217ED9">
        <w:t>m</w:t>
      </w:r>
      <w:r w:rsidR="008E7846" w:rsidRPr="00217ED9">
        <w:t>anagement</w:t>
      </w:r>
      <w:r w:rsidR="008E7846">
        <w:rPr>
          <w:lang w:eastAsia="en-AU"/>
        </w:rPr>
        <w:t xml:space="preserve"> </w:t>
      </w:r>
      <w:r>
        <w:rPr>
          <w:lang w:eastAsia="en-AU"/>
        </w:rPr>
        <w:t>p</w:t>
      </w:r>
      <w:r w:rsidR="008E7846">
        <w:rPr>
          <w:lang w:eastAsia="en-AU"/>
        </w:rPr>
        <w:t>lan</w:t>
      </w:r>
      <w:bookmarkEnd w:id="120"/>
      <w:bookmarkEnd w:id="121"/>
    </w:p>
    <w:p w:rsidR="008E7846" w:rsidRDefault="00A310F1" w:rsidP="00217ED9">
      <w:r w:rsidRPr="00A310F1">
        <w:t>European RMP (version 1, data lock point 12 October 2012) with Australian Specific Annex (version 0.1, dated 11 March 2013), to be revised to the satisfaction of the TGA, must be implemented.</w:t>
      </w:r>
    </w:p>
    <w:p w:rsidR="008E7846" w:rsidRDefault="00AA0ED0" w:rsidP="00217ED9">
      <w:pPr>
        <w:pStyle w:val="Heading3"/>
      </w:pPr>
      <w:bookmarkStart w:id="122" w:name="_Toc247691531"/>
      <w:bookmarkStart w:id="123" w:name="_Toc314842515"/>
      <w:bookmarkStart w:id="124" w:name="_Toc196046505"/>
      <w:bookmarkStart w:id="125" w:name="_Toc196046949"/>
      <w:bookmarkStart w:id="126" w:name="_Toc392595971"/>
      <w:r>
        <w:t>Risk-benefit a</w:t>
      </w:r>
      <w:r w:rsidR="008E7846">
        <w:t>nalysis</w:t>
      </w:r>
      <w:bookmarkEnd w:id="122"/>
      <w:bookmarkEnd w:id="123"/>
      <w:bookmarkEnd w:id="126"/>
    </w:p>
    <w:p w:rsidR="00D23139" w:rsidRDefault="00D23139" w:rsidP="00217ED9">
      <w:pPr>
        <w:pStyle w:val="Heading4"/>
      </w:pPr>
      <w:r w:rsidRPr="00D23139">
        <w:t xml:space="preserve">Delegate’s </w:t>
      </w:r>
      <w:r w:rsidRPr="00217ED9">
        <w:t>considerations</w:t>
      </w:r>
    </w:p>
    <w:p w:rsidR="00A310F1" w:rsidRDefault="00A310F1" w:rsidP="00217ED9">
      <w:r>
        <w:t>In most overseas countries at least 3 different brands of thyroxine are available</w:t>
      </w:r>
      <w:r w:rsidR="001C6628">
        <w:t>. In Australia</w:t>
      </w:r>
      <w:r>
        <w:t xml:space="preserve"> however only one formulation of thyroxine tablet is available</w:t>
      </w:r>
      <w:r w:rsidR="001C6628">
        <w:t xml:space="preserve"> and </w:t>
      </w:r>
      <w:r>
        <w:t>it is marketed under two different names (</w:t>
      </w:r>
      <w:proofErr w:type="spellStart"/>
      <w:r w:rsidR="000F69AA">
        <w:t>Oxorine</w:t>
      </w:r>
      <w:proofErr w:type="spellEnd"/>
      <w:r w:rsidR="000F69AA">
        <w:t>/</w:t>
      </w:r>
      <w:proofErr w:type="spellStart"/>
      <w:r w:rsidR="00F31733">
        <w:t>Eutroxsig</w:t>
      </w:r>
      <w:proofErr w:type="spellEnd"/>
      <w:r>
        <w:t xml:space="preserve">). The sponsor of the currently marketed thyroxine formulation in Australia (Aspen) has now applied to register a new </w:t>
      </w:r>
      <w:proofErr w:type="spellStart"/>
      <w:r>
        <w:t>thyroxine</w:t>
      </w:r>
      <w:proofErr w:type="spellEnd"/>
      <w:r>
        <w:t xml:space="preserve"> formulation (</w:t>
      </w:r>
      <w:proofErr w:type="spellStart"/>
      <w:r w:rsidR="000F69AA">
        <w:t>Eltroxin</w:t>
      </w:r>
      <w:proofErr w:type="spellEnd"/>
      <w:r>
        <w:t>). The advantage of the new formulation is that it does not require refrigeration. The disadvantage of the new formulation is that it has a different dissolution profile and is less bioavailable than the formulation c</w:t>
      </w:r>
      <w:r w:rsidR="00217ED9">
        <w:t>urrently marketed in Australia.</w:t>
      </w:r>
    </w:p>
    <w:p w:rsidR="00A310F1" w:rsidRDefault="00A310F1" w:rsidP="00217ED9">
      <w:r>
        <w:t xml:space="preserve">Establishing the bioequivalence and interchangeability of two thyroxine tablets is not straight </w:t>
      </w:r>
      <w:r w:rsidRPr="00084BB0">
        <w:t>forward</w:t>
      </w:r>
      <w:r w:rsidR="00084BB0" w:rsidRPr="00084BB0">
        <w:t>.</w:t>
      </w:r>
      <w:r w:rsidR="00A13F6C" w:rsidRPr="00084BB0">
        <w:rPr>
          <w:vertAlign w:val="superscript"/>
        </w:rPr>
        <w:fldChar w:fldCharType="begin"/>
      </w:r>
      <w:r w:rsidR="00A13F6C" w:rsidRPr="00084BB0">
        <w:rPr>
          <w:vertAlign w:val="superscript"/>
        </w:rPr>
        <w:instrText xml:space="preserve"> NOTEREF _Ref387753761 \h  \* MERGEFORMAT </w:instrText>
      </w:r>
      <w:r w:rsidR="00A13F6C" w:rsidRPr="00084BB0">
        <w:rPr>
          <w:vertAlign w:val="superscript"/>
        </w:rPr>
      </w:r>
      <w:r w:rsidR="00A13F6C" w:rsidRPr="00084BB0">
        <w:rPr>
          <w:vertAlign w:val="superscript"/>
        </w:rPr>
        <w:fldChar w:fldCharType="separate"/>
      </w:r>
      <w:r w:rsidR="000842E1">
        <w:rPr>
          <w:vertAlign w:val="superscript"/>
        </w:rPr>
        <w:t>4</w:t>
      </w:r>
      <w:r w:rsidR="00A13F6C" w:rsidRPr="00084BB0">
        <w:rPr>
          <w:vertAlign w:val="superscript"/>
        </w:rPr>
        <w:fldChar w:fldCharType="end"/>
      </w:r>
      <w:proofErr w:type="gramStart"/>
      <w:r w:rsidR="00084BB0" w:rsidRPr="00084BB0">
        <w:rPr>
          <w:vertAlign w:val="superscript"/>
        </w:rPr>
        <w:t>,</w:t>
      </w:r>
      <w:r w:rsidRPr="00084BB0">
        <w:t>.</w:t>
      </w:r>
      <w:proofErr w:type="gramEnd"/>
      <w:r w:rsidR="00084BB0" w:rsidRPr="00084BB0">
        <w:rPr>
          <w:rStyle w:val="FootnoteReference"/>
        </w:rPr>
        <w:footnoteReference w:id="6"/>
      </w:r>
      <w:r w:rsidR="00084BB0" w:rsidRPr="00084BB0">
        <w:t xml:space="preserve"> </w:t>
      </w:r>
      <w:r w:rsidR="00084BB0" w:rsidRPr="00084BB0">
        <w:rPr>
          <w:rStyle w:val="FootnoteReference"/>
        </w:rPr>
        <w:footnoteReference w:id="7"/>
      </w:r>
      <w:r w:rsidRPr="00084BB0">
        <w:t xml:space="preserve"> A recent MHRA report (2013) reviewed the relevant literature but could not make any conclusions</w:t>
      </w:r>
      <w:r>
        <w:t xml:space="preserve"> about whether </w:t>
      </w:r>
      <w:proofErr w:type="spellStart"/>
      <w:r>
        <w:t>thyroxine</w:t>
      </w:r>
      <w:proofErr w:type="spellEnd"/>
      <w:r>
        <w:t xml:space="preserve"> was a narrow therapeutic index drug or whether T4 levels should be baseline adjusted.</w:t>
      </w:r>
    </w:p>
    <w:p w:rsidR="00A310F1" w:rsidRDefault="00A310F1" w:rsidP="00217ED9">
      <w:r>
        <w:t xml:space="preserve">If, we make the strong assumption that thyroxine is not a narrow therapeutic index drug and that T4 levels do not need to be baseline adjusted, then </w:t>
      </w:r>
      <w:proofErr w:type="spellStart"/>
      <w:r w:rsidR="001C6628">
        <w:t>Eltroxin</w:t>
      </w:r>
      <w:proofErr w:type="spellEnd"/>
      <w:r>
        <w:t xml:space="preserve"> meets the acceptance intervals for bioequivalence to </w:t>
      </w:r>
      <w:proofErr w:type="spellStart"/>
      <w:r w:rsidR="001C6628">
        <w:t>Oroxine</w:t>
      </w:r>
      <w:proofErr w:type="spellEnd"/>
      <w:r>
        <w:t>/</w:t>
      </w:r>
      <w:proofErr w:type="spellStart"/>
      <w:r w:rsidR="00F31733">
        <w:t>Eutroxsig</w:t>
      </w:r>
      <w:proofErr w:type="spellEnd"/>
      <w:r>
        <w:t xml:space="preserve"> (AUC</w:t>
      </w:r>
      <w:r w:rsidRPr="001C6628">
        <w:rPr>
          <w:vertAlign w:val="subscript"/>
        </w:rPr>
        <w:t>0-t</w:t>
      </w:r>
      <w:r>
        <w:t xml:space="preserve">=89.1% [90% CI: 84.7%, 93.7%]) . However, the 90%CI is all on the low side of 100%, indicating that </w:t>
      </w:r>
      <w:proofErr w:type="spellStart"/>
      <w:r w:rsidR="001C6628">
        <w:t>Eltroxin</w:t>
      </w:r>
      <w:proofErr w:type="spellEnd"/>
      <w:r>
        <w:t xml:space="preserve"> is less bioavailable than </w:t>
      </w:r>
      <w:proofErr w:type="spellStart"/>
      <w:r w:rsidR="001C6628">
        <w:t>Oroxine</w:t>
      </w:r>
      <w:proofErr w:type="spellEnd"/>
      <w:r>
        <w:t>/</w:t>
      </w:r>
      <w:proofErr w:type="spellStart"/>
      <w:r w:rsidR="00F31733">
        <w:t>Eutroxsig</w:t>
      </w:r>
      <w:proofErr w:type="spellEnd"/>
      <w:r>
        <w:t xml:space="preserve">. This is consistent with the dissolution profile. That is, even using the weakest criteria for bioequivalence (based on the two strong assumptions listed above), the submitted data do not support the conclusion that </w:t>
      </w:r>
      <w:proofErr w:type="spellStart"/>
      <w:r w:rsidR="001C6628">
        <w:t>Eltroxin</w:t>
      </w:r>
      <w:proofErr w:type="spellEnd"/>
      <w:r>
        <w:t xml:space="preserve"> is interchangeable on a same-dose basis with </w:t>
      </w:r>
      <w:proofErr w:type="spellStart"/>
      <w:r w:rsidR="001C6628">
        <w:t>Oroxine</w:t>
      </w:r>
      <w:proofErr w:type="spellEnd"/>
      <w:r>
        <w:t>/</w:t>
      </w:r>
      <w:proofErr w:type="spellStart"/>
      <w:r w:rsidR="00F31733">
        <w:t>Eutroxsig</w:t>
      </w:r>
      <w:proofErr w:type="spellEnd"/>
      <w:r>
        <w:t>.</w:t>
      </w:r>
    </w:p>
    <w:p w:rsidR="00A310F1" w:rsidRDefault="00A310F1" w:rsidP="00A310F1">
      <w:r>
        <w:t>If we were to require that the T4 levels should be baseline adjusted (as some clinical pharmacologists and endocrinologists would), then the acceptance interval for bioequivalence is not met (AUC</w:t>
      </w:r>
      <w:r w:rsidRPr="001C6628">
        <w:rPr>
          <w:vertAlign w:val="subscript"/>
        </w:rPr>
        <w:t>0-t</w:t>
      </w:r>
      <w:r w:rsidR="00217ED9">
        <w:t>=74.0% [90% CI: 68.8%, 79.6%]).</w:t>
      </w:r>
    </w:p>
    <w:p w:rsidR="00A310F1" w:rsidRDefault="00A310F1" w:rsidP="00217ED9">
      <w:r>
        <w:t xml:space="preserve">If we consider that thyroxine is a narrow therapeutic index drug (which is the view of some clinical pharmacologists and endocrinologists), then </w:t>
      </w:r>
      <w:proofErr w:type="spellStart"/>
      <w:r w:rsidR="001C6628">
        <w:t>Eltroxin</w:t>
      </w:r>
      <w:proofErr w:type="spellEnd"/>
      <w:r>
        <w:t xml:space="preserve"> does not meet the criteria for bioequivalence to </w:t>
      </w:r>
      <w:proofErr w:type="spellStart"/>
      <w:r w:rsidR="001C6628">
        <w:t>Oroxine</w:t>
      </w:r>
      <w:proofErr w:type="spellEnd"/>
      <w:r>
        <w:t>/</w:t>
      </w:r>
      <w:proofErr w:type="spellStart"/>
      <w:r w:rsidR="00F31733">
        <w:t>Eutroxsig</w:t>
      </w:r>
      <w:proofErr w:type="spellEnd"/>
      <w:r>
        <w:t xml:space="preserve"> (low boundary of the 90% CI for the (not baseline adjusted) ratio of AUC (84.7%) is lower than the low boundary of the acceptance interval for narrow</w:t>
      </w:r>
      <w:r w:rsidR="00217ED9">
        <w:t xml:space="preserve"> therapeutic index drugs (90%).</w:t>
      </w:r>
    </w:p>
    <w:p w:rsidR="00A310F1" w:rsidRDefault="00A310F1" w:rsidP="00217ED9">
      <w:r>
        <w:t xml:space="preserve">An additional factor is the experience in New Zealand when the formulation of (old) </w:t>
      </w:r>
      <w:proofErr w:type="spellStart"/>
      <w:r w:rsidR="001C6628">
        <w:t>Eltroxin</w:t>
      </w:r>
      <w:proofErr w:type="spellEnd"/>
      <w:r>
        <w:t xml:space="preserve"> was changed to the formulation of </w:t>
      </w:r>
      <w:proofErr w:type="spellStart"/>
      <w:r w:rsidR="001C6628">
        <w:t>Eltroxin</w:t>
      </w:r>
      <w:proofErr w:type="spellEnd"/>
      <w:r>
        <w:t xml:space="preserve"> proposed for registration in Australia. A sudden increase in ADRs </w:t>
      </w:r>
      <w:r w:rsidR="00F31733">
        <w:t xml:space="preserve">reported </w:t>
      </w:r>
      <w:r>
        <w:t>coincid</w:t>
      </w:r>
      <w:r w:rsidR="00F31733">
        <w:t>ed</w:t>
      </w:r>
      <w:r>
        <w:t xml:space="preserve"> with the launch of the new formulation.</w:t>
      </w:r>
    </w:p>
    <w:p w:rsidR="001C6628" w:rsidRDefault="00A310F1" w:rsidP="00217ED9">
      <w:r>
        <w:lastRenderedPageBreak/>
        <w:t xml:space="preserve">In short, </w:t>
      </w:r>
      <w:r w:rsidR="001C6628">
        <w:t>the Delegate’s</w:t>
      </w:r>
      <w:r>
        <w:t xml:space="preserve"> preliminary view, at this point in time and pending ACPM advice, is </w:t>
      </w:r>
      <w:r w:rsidRPr="00831326">
        <w:t xml:space="preserve">that </w:t>
      </w:r>
      <w:proofErr w:type="spellStart"/>
      <w:r w:rsidR="001C6628" w:rsidRPr="00831326">
        <w:t>Eltroxin</w:t>
      </w:r>
      <w:proofErr w:type="spellEnd"/>
      <w:r w:rsidRPr="00831326">
        <w:t xml:space="preserve"> is not interchangeable on a same</w:t>
      </w:r>
      <w:r w:rsidR="001C6628" w:rsidRPr="00831326">
        <w:t xml:space="preserve"> </w:t>
      </w:r>
      <w:r w:rsidRPr="00831326">
        <w:t xml:space="preserve">dose basis with </w:t>
      </w:r>
      <w:proofErr w:type="spellStart"/>
      <w:r w:rsidR="001C6628" w:rsidRPr="00831326">
        <w:t>Oroxine</w:t>
      </w:r>
      <w:proofErr w:type="spellEnd"/>
      <w:r w:rsidRPr="00831326">
        <w:t>/</w:t>
      </w:r>
      <w:proofErr w:type="spellStart"/>
      <w:r w:rsidR="00F31733" w:rsidRPr="00831326">
        <w:t>Eutroxsig</w:t>
      </w:r>
      <w:proofErr w:type="spellEnd"/>
      <w:r w:rsidRPr="00831326">
        <w:t xml:space="preserve">. That is, it cannot </w:t>
      </w:r>
      <w:r w:rsidR="00733C41" w:rsidRPr="00831326">
        <w:t xml:space="preserve">be </w:t>
      </w:r>
      <w:r w:rsidRPr="00831326">
        <w:t xml:space="preserve">considered a generic of </w:t>
      </w:r>
      <w:proofErr w:type="spellStart"/>
      <w:r w:rsidR="001C6628" w:rsidRPr="00831326">
        <w:t>Oroxine</w:t>
      </w:r>
      <w:proofErr w:type="spellEnd"/>
      <w:r w:rsidRPr="00831326">
        <w:t>/</w:t>
      </w:r>
      <w:proofErr w:type="spellStart"/>
      <w:r w:rsidR="00F31733" w:rsidRPr="00831326">
        <w:t>Eutroxsig</w:t>
      </w:r>
      <w:proofErr w:type="spellEnd"/>
      <w:r w:rsidRPr="00831326">
        <w:t xml:space="preserve">. The data submitted in the application show that the (“new”) formulation of </w:t>
      </w:r>
      <w:proofErr w:type="spellStart"/>
      <w:r w:rsidR="001C6628" w:rsidRPr="00831326">
        <w:t>Eltroxin</w:t>
      </w:r>
      <w:proofErr w:type="spellEnd"/>
      <w:r w:rsidRPr="00831326">
        <w:t xml:space="preserve"> means that the thyroxine</w:t>
      </w:r>
      <w:r>
        <w:t xml:space="preserve"> contained in the tablets is less bioavailable than the </w:t>
      </w:r>
      <w:proofErr w:type="spellStart"/>
      <w:r>
        <w:t>thyroxine</w:t>
      </w:r>
      <w:proofErr w:type="spellEnd"/>
      <w:r>
        <w:t xml:space="preserve"> in </w:t>
      </w:r>
      <w:proofErr w:type="spellStart"/>
      <w:r w:rsidR="001C6628">
        <w:t>Oroxine</w:t>
      </w:r>
      <w:proofErr w:type="spellEnd"/>
      <w:r>
        <w:t>/</w:t>
      </w:r>
      <w:proofErr w:type="spellStart"/>
      <w:r w:rsidR="00F31733">
        <w:t>Eutroxsig</w:t>
      </w:r>
      <w:proofErr w:type="spellEnd"/>
      <w:r>
        <w:t>.</w:t>
      </w:r>
    </w:p>
    <w:p w:rsidR="001C6628" w:rsidRPr="00217ED9" w:rsidRDefault="00D84C6F" w:rsidP="00217ED9">
      <w:pPr>
        <w:pStyle w:val="Heading4"/>
      </w:pPr>
      <w:r>
        <w:t xml:space="preserve">Delegate’s </w:t>
      </w:r>
      <w:r w:rsidR="00217ED9">
        <w:t>s</w:t>
      </w:r>
      <w:r w:rsidR="001C6628" w:rsidRPr="00C80339">
        <w:t xml:space="preserve">ummary of </w:t>
      </w:r>
      <w:r w:rsidR="00217ED9">
        <w:t>i</w:t>
      </w:r>
      <w:r w:rsidR="001C6628" w:rsidRPr="00C80339">
        <w:t>ssues</w:t>
      </w:r>
    </w:p>
    <w:p w:rsidR="001C6628" w:rsidRDefault="001C6628" w:rsidP="00217ED9">
      <w:proofErr w:type="spellStart"/>
      <w:r>
        <w:t>Eltroxin</w:t>
      </w:r>
      <w:proofErr w:type="spellEnd"/>
      <w:r>
        <w:t xml:space="preserve"> has a different formulation from the reference registered product (</w:t>
      </w:r>
      <w:proofErr w:type="spellStart"/>
      <w:r>
        <w:t>Oroxine</w:t>
      </w:r>
      <w:proofErr w:type="spellEnd"/>
      <w:r>
        <w:t>/</w:t>
      </w:r>
      <w:proofErr w:type="spellStart"/>
      <w:r w:rsidR="00F31733">
        <w:t>Eutroxsig</w:t>
      </w:r>
      <w:proofErr w:type="spellEnd"/>
      <w:r>
        <w:t>), which means that it does not require refrigeration; however, the trade-off is that it has a different dissolution profile and is less bioavailable.</w:t>
      </w:r>
    </w:p>
    <w:p w:rsidR="001C6628" w:rsidRDefault="001C6628" w:rsidP="00217ED9">
      <w:r>
        <w:t xml:space="preserve">Based on the data provided by the sponsor in the submission both the quality evaluator and the clinical evaluator concluded that </w:t>
      </w:r>
      <w:proofErr w:type="spellStart"/>
      <w:r>
        <w:t>Eltroxin</w:t>
      </w:r>
      <w:proofErr w:type="spellEnd"/>
      <w:r>
        <w:t xml:space="preserve"> is not interchangeable, on a same-dose basis, with </w:t>
      </w:r>
      <w:proofErr w:type="spellStart"/>
      <w:r>
        <w:t>Oroxine</w:t>
      </w:r>
      <w:proofErr w:type="spellEnd"/>
      <w:r>
        <w:t>/</w:t>
      </w:r>
      <w:proofErr w:type="spellStart"/>
      <w:r w:rsidR="00F31733">
        <w:t>Eutroxsig</w:t>
      </w:r>
      <w:proofErr w:type="spellEnd"/>
      <w:r>
        <w:t>.</w:t>
      </w:r>
    </w:p>
    <w:p w:rsidR="001C6628" w:rsidRDefault="00D84C6F" w:rsidP="00217ED9">
      <w:pPr>
        <w:pStyle w:val="Heading4"/>
      </w:pPr>
      <w:r>
        <w:t xml:space="preserve">Delegate’s </w:t>
      </w:r>
      <w:r w:rsidR="00217ED9">
        <w:t>p</w:t>
      </w:r>
      <w:r w:rsidR="00D23139" w:rsidRPr="00D23139">
        <w:t xml:space="preserve">roposed </w:t>
      </w:r>
      <w:r w:rsidR="00D23139" w:rsidRPr="00217ED9">
        <w:t>action</w:t>
      </w:r>
    </w:p>
    <w:p w:rsidR="00A310F1" w:rsidRDefault="001C6628" w:rsidP="00217ED9">
      <w:r>
        <w:t>The Delegate was</w:t>
      </w:r>
      <w:r w:rsidRPr="00C80339">
        <w:t xml:space="preserve"> not in a position to say, at this time, that </w:t>
      </w:r>
      <w:proofErr w:type="spellStart"/>
      <w:r>
        <w:t>Eltroxin</w:t>
      </w:r>
      <w:proofErr w:type="spellEnd"/>
      <w:r>
        <w:t xml:space="preserve"> </w:t>
      </w:r>
      <w:r w:rsidRPr="00C80339">
        <w:t xml:space="preserve">should be approved </w:t>
      </w:r>
      <w:r>
        <w:t xml:space="preserve">as interchangeable on a same-dose basis with </w:t>
      </w:r>
      <w:proofErr w:type="spellStart"/>
      <w:r>
        <w:t>Oroxine</w:t>
      </w:r>
      <w:proofErr w:type="spellEnd"/>
      <w:r>
        <w:t>/</w:t>
      </w:r>
      <w:proofErr w:type="spellStart"/>
      <w:r w:rsidR="00F31733">
        <w:t>Eutroxsig</w:t>
      </w:r>
      <w:proofErr w:type="spellEnd"/>
      <w:r w:rsidR="00217ED9">
        <w:t>.</w:t>
      </w:r>
    </w:p>
    <w:p w:rsidR="00A310F1" w:rsidRPr="00A310F1" w:rsidRDefault="00A310F1" w:rsidP="00217ED9">
      <w:r w:rsidRPr="00831326">
        <w:t xml:space="preserve">At this point in time and pending ACPM advice, </w:t>
      </w:r>
      <w:r w:rsidR="001C6628" w:rsidRPr="00831326">
        <w:t>the Delegate’s</w:t>
      </w:r>
      <w:r w:rsidR="00D84C6F" w:rsidRPr="00831326">
        <w:t xml:space="preserve"> preliminary assessment wa</w:t>
      </w:r>
      <w:r w:rsidRPr="00831326">
        <w:t xml:space="preserve">s that registration </w:t>
      </w:r>
      <w:proofErr w:type="spellStart"/>
      <w:r w:rsidR="001C6628" w:rsidRPr="00831326">
        <w:t>Eltroxin</w:t>
      </w:r>
      <w:proofErr w:type="spellEnd"/>
      <w:r w:rsidRPr="00831326">
        <w:t xml:space="preserve"> might be allowed without it being interchangeable, on a same-dose basis, with </w:t>
      </w:r>
      <w:proofErr w:type="spellStart"/>
      <w:r w:rsidR="001C6628" w:rsidRPr="00831326">
        <w:t>Oroxine</w:t>
      </w:r>
      <w:proofErr w:type="spellEnd"/>
      <w:r w:rsidRPr="00831326">
        <w:t>/</w:t>
      </w:r>
      <w:proofErr w:type="spellStart"/>
      <w:r w:rsidR="00F31733" w:rsidRPr="00831326">
        <w:t>Eutroxsig</w:t>
      </w:r>
      <w:proofErr w:type="spellEnd"/>
      <w:r w:rsidRPr="00831326">
        <w:t>. That is,</w:t>
      </w:r>
      <w:r>
        <w:t xml:space="preserve"> it might be considered equivalent, with dose adjustment. However, given documented problems with formulation changes of thyroxine in other countries, </w:t>
      </w:r>
      <w:r w:rsidR="001C6628">
        <w:t>the Delegate was</w:t>
      </w:r>
      <w:r>
        <w:t xml:space="preserve"> concerned that introduction of </w:t>
      </w:r>
      <w:proofErr w:type="spellStart"/>
      <w:r w:rsidR="001C6628">
        <w:t>Eltroxin</w:t>
      </w:r>
      <w:proofErr w:type="spellEnd"/>
      <w:r>
        <w:t xml:space="preserve"> onto the Australian market could mean that current patients, who switch to </w:t>
      </w:r>
      <w:proofErr w:type="spellStart"/>
      <w:r w:rsidR="001C6628">
        <w:t>Eltroxin</w:t>
      </w:r>
      <w:proofErr w:type="spellEnd"/>
      <w:r w:rsidR="001C6628">
        <w:t xml:space="preserve">, could be under </w:t>
      </w:r>
      <w:r>
        <w:t>dosed or over</w:t>
      </w:r>
      <w:r w:rsidR="001C6628">
        <w:t xml:space="preserve"> </w:t>
      </w:r>
      <w:r>
        <w:t xml:space="preserve">dosed; this would need to be carefully managed and monitored. </w:t>
      </w:r>
      <w:r w:rsidR="001C6628">
        <w:t xml:space="preserve">The Delegate was </w:t>
      </w:r>
      <w:r>
        <w:t xml:space="preserve">also concerned about the possible removal of the current </w:t>
      </w:r>
      <w:proofErr w:type="spellStart"/>
      <w:r>
        <w:t>thyroxine</w:t>
      </w:r>
      <w:proofErr w:type="spellEnd"/>
      <w:r>
        <w:t xml:space="preserve"> product (</w:t>
      </w:r>
      <w:proofErr w:type="spellStart"/>
      <w:r w:rsidR="001C6628">
        <w:t>Oroxine</w:t>
      </w:r>
      <w:proofErr w:type="spellEnd"/>
      <w:r>
        <w:t>/</w:t>
      </w:r>
      <w:proofErr w:type="spellStart"/>
      <w:r w:rsidR="00F31733">
        <w:t>Eutroxsig</w:t>
      </w:r>
      <w:proofErr w:type="spellEnd"/>
      <w:r>
        <w:t xml:space="preserve">) from the Australian market and how current patients (stable on </w:t>
      </w:r>
      <w:proofErr w:type="spellStart"/>
      <w:r w:rsidR="001C6628">
        <w:t>Oroxine</w:t>
      </w:r>
      <w:proofErr w:type="spellEnd"/>
      <w:r>
        <w:t>/</w:t>
      </w:r>
      <w:proofErr w:type="spellStart"/>
      <w:r w:rsidR="00F31733">
        <w:t>Eutroxsig</w:t>
      </w:r>
      <w:proofErr w:type="spellEnd"/>
      <w:r>
        <w:t xml:space="preserve">) would transition to </w:t>
      </w:r>
      <w:proofErr w:type="spellStart"/>
      <w:r w:rsidR="001C6628">
        <w:t>Eltroxin</w:t>
      </w:r>
      <w:proofErr w:type="spellEnd"/>
      <w:r>
        <w:t>.</w:t>
      </w:r>
    </w:p>
    <w:p w:rsidR="00A310F1" w:rsidRPr="002D0748" w:rsidRDefault="00A310F1" w:rsidP="00217ED9">
      <w:pPr>
        <w:pStyle w:val="Heading5"/>
      </w:pPr>
      <w:r w:rsidRPr="002D0748">
        <w:t xml:space="preserve">Conditions of </w:t>
      </w:r>
      <w:r w:rsidRPr="00217ED9">
        <w:t>registration</w:t>
      </w:r>
    </w:p>
    <w:p w:rsidR="00A310F1" w:rsidRDefault="00A310F1" w:rsidP="00D246DA">
      <w:r>
        <w:t>Implement the European</w:t>
      </w:r>
      <w:r w:rsidRPr="009360C4">
        <w:t xml:space="preserve"> RMP </w:t>
      </w:r>
      <w:r>
        <w:t>(version 1, data lock point 12 October 2012</w:t>
      </w:r>
      <w:r w:rsidRPr="009360C4">
        <w:t>) with Australian Specific Annex (version</w:t>
      </w:r>
      <w:r>
        <w:t xml:space="preserve"> 0.1</w:t>
      </w:r>
      <w:r w:rsidRPr="009360C4">
        <w:t>, date</w:t>
      </w:r>
      <w:r>
        <w:t>d 11 March 2013) and any revisions requested by the TGA.</w:t>
      </w:r>
    </w:p>
    <w:p w:rsidR="00A310F1" w:rsidRPr="00A310F1" w:rsidRDefault="00A310F1" w:rsidP="00D246DA">
      <w:r w:rsidRPr="00831326">
        <w:t>Revise the dissolution method so as to ensure the dissolution method is sufficiently discriminative. Revise the manufacturing process to the satisfaction of the TGA, so as to ensure that the tablet hardness throughout the shelf life will be such as to ensure compliance with the proposed dissolution limits (</w:t>
      </w:r>
      <w:r w:rsidRPr="00831326">
        <w:rPr>
          <w:i/>
          <w:iCs/>
        </w:rPr>
        <w:t>using the discriminative dissolution method required</w:t>
      </w:r>
      <w:r w:rsidRPr="00831326">
        <w:t>). Together these steps will ensure the bioequivalence of future batches of tablets to the batch tested against the innovator.</w:t>
      </w:r>
    </w:p>
    <w:p w:rsidR="00D23139" w:rsidRDefault="00D84C6F" w:rsidP="00D246DA">
      <w:pPr>
        <w:pStyle w:val="Heading4"/>
      </w:pPr>
      <w:r>
        <w:t xml:space="preserve">Delegate’s </w:t>
      </w:r>
      <w:r w:rsidR="00D246DA" w:rsidRPr="00D246DA">
        <w:t>r</w:t>
      </w:r>
      <w:r w:rsidR="00D23139" w:rsidRPr="00D246DA">
        <w:t>equest</w:t>
      </w:r>
      <w:r w:rsidR="00D23139" w:rsidRPr="00D23139">
        <w:t xml:space="preserve"> for ACPM advice</w:t>
      </w:r>
    </w:p>
    <w:p w:rsidR="00A310F1" w:rsidRPr="00733C41" w:rsidRDefault="00A310F1" w:rsidP="003714E2">
      <w:pPr>
        <w:pStyle w:val="Numberbullet0"/>
        <w:numPr>
          <w:ilvl w:val="0"/>
          <w:numId w:val="10"/>
        </w:numPr>
        <w:ind w:left="357" w:hanging="357"/>
      </w:pPr>
      <w:r w:rsidRPr="00733C41">
        <w:t xml:space="preserve">Does the ACPM consider that the sponsor has submitted sufficient evidence to establish that </w:t>
      </w:r>
      <w:proofErr w:type="spellStart"/>
      <w:r w:rsidR="001C6628" w:rsidRPr="00733C41">
        <w:t>Eltroxin</w:t>
      </w:r>
      <w:proofErr w:type="spellEnd"/>
      <w:r w:rsidRPr="00733C41">
        <w:t xml:space="preserve"> is a generic of </w:t>
      </w:r>
      <w:proofErr w:type="spellStart"/>
      <w:r w:rsidR="001C6628" w:rsidRPr="00733C41">
        <w:t>Oroxine</w:t>
      </w:r>
      <w:proofErr w:type="spellEnd"/>
      <w:r w:rsidRPr="00733C41">
        <w:t>/</w:t>
      </w:r>
      <w:proofErr w:type="spellStart"/>
      <w:r w:rsidR="00F31733" w:rsidRPr="00733C41">
        <w:t>Eutroxsig</w:t>
      </w:r>
      <w:proofErr w:type="spellEnd"/>
      <w:r w:rsidRPr="00733C41">
        <w:t xml:space="preserve"> and could be used interchangeably, on a same-dose basis, with </w:t>
      </w:r>
      <w:proofErr w:type="spellStart"/>
      <w:r w:rsidR="001C6628" w:rsidRPr="00733C41">
        <w:t>Oroxine</w:t>
      </w:r>
      <w:proofErr w:type="spellEnd"/>
      <w:r w:rsidRPr="00733C41">
        <w:t>/</w:t>
      </w:r>
      <w:proofErr w:type="spellStart"/>
      <w:r w:rsidR="00F31733" w:rsidRPr="00733C41">
        <w:t>Eutroxsig</w:t>
      </w:r>
      <w:proofErr w:type="spellEnd"/>
      <w:r w:rsidRPr="00733C41">
        <w:t>?</w:t>
      </w:r>
    </w:p>
    <w:p w:rsidR="00A310F1" w:rsidRPr="00733C41" w:rsidRDefault="00A310F1" w:rsidP="00D246DA">
      <w:pPr>
        <w:pStyle w:val="Numberbullet0"/>
      </w:pPr>
      <w:r w:rsidRPr="00733C41">
        <w:t xml:space="preserve">If </w:t>
      </w:r>
      <w:proofErr w:type="spellStart"/>
      <w:r w:rsidR="001C6628" w:rsidRPr="00733C41">
        <w:t>Eltroxin</w:t>
      </w:r>
      <w:proofErr w:type="spellEnd"/>
      <w:r w:rsidRPr="00733C41">
        <w:t xml:space="preserve"> i</w:t>
      </w:r>
      <w:r w:rsidR="00D84C6F" w:rsidRPr="00733C41">
        <w:t xml:space="preserve">s not interchangeable on a same </w:t>
      </w:r>
      <w:r w:rsidRPr="00733C41">
        <w:t xml:space="preserve">dose basis with </w:t>
      </w:r>
      <w:proofErr w:type="spellStart"/>
      <w:r w:rsidR="001C6628" w:rsidRPr="00733C41">
        <w:t>Oroxine</w:t>
      </w:r>
      <w:proofErr w:type="spellEnd"/>
      <w:r w:rsidRPr="00733C41">
        <w:t>/</w:t>
      </w:r>
      <w:proofErr w:type="spellStart"/>
      <w:r w:rsidR="00F31733" w:rsidRPr="00733C41">
        <w:t>Eutroxsig</w:t>
      </w:r>
      <w:proofErr w:type="spellEnd"/>
      <w:r w:rsidRPr="00733C41">
        <w:t xml:space="preserve">, does the ACPM consider the sponsor has submitted sufficient evidence such that </w:t>
      </w:r>
      <w:proofErr w:type="spellStart"/>
      <w:r w:rsidR="001C6628" w:rsidRPr="00733C41">
        <w:t>Eltroxin</w:t>
      </w:r>
      <w:proofErr w:type="spellEnd"/>
      <w:r w:rsidRPr="00733C41">
        <w:t xml:space="preserve"> could be registered as being equivalent to </w:t>
      </w:r>
      <w:proofErr w:type="spellStart"/>
      <w:r w:rsidR="001C6628" w:rsidRPr="00733C41">
        <w:t>Oroxine</w:t>
      </w:r>
      <w:proofErr w:type="spellEnd"/>
      <w:r w:rsidRPr="00733C41">
        <w:t>/</w:t>
      </w:r>
      <w:proofErr w:type="spellStart"/>
      <w:r w:rsidR="00F31733" w:rsidRPr="00733C41">
        <w:t>Eutroxsig</w:t>
      </w:r>
      <w:proofErr w:type="spellEnd"/>
      <w:r w:rsidR="00D246DA">
        <w:t>, with dose adjustment?</w:t>
      </w:r>
    </w:p>
    <w:p w:rsidR="00A310F1" w:rsidRPr="00733C41" w:rsidRDefault="00A310F1" w:rsidP="00D246DA">
      <w:pPr>
        <w:pStyle w:val="Numberbullet0"/>
      </w:pPr>
      <w:r w:rsidRPr="00733C41">
        <w:t xml:space="preserve">Given the documented problems in New Zealand, what information should the PI/CMI contain? Is a Dear HealthCare Provider letter needed? If so, what information should it </w:t>
      </w:r>
      <w:r w:rsidRPr="00733C41">
        <w:lastRenderedPageBreak/>
        <w:t>contain? Are any other activities required (</w:t>
      </w:r>
      <w:r w:rsidR="00D84C6F" w:rsidRPr="00733C41">
        <w:t>for example,</w:t>
      </w:r>
      <w:r w:rsidRPr="00733C41">
        <w:t xml:space="preserve"> information on the TGA website, interaction with professional organisation/colleges)?</w:t>
      </w:r>
    </w:p>
    <w:p w:rsidR="00A310F1" w:rsidRPr="00733C41" w:rsidRDefault="00A310F1" w:rsidP="00D246DA">
      <w:pPr>
        <w:pStyle w:val="Numberbullet0"/>
      </w:pPr>
      <w:r w:rsidRPr="00733C41">
        <w:t>The ACPM is requested to provide expert clinical advice on whether any clinical aspects of PI need refreshing.</w:t>
      </w:r>
    </w:p>
    <w:p w:rsidR="00A310F1" w:rsidRPr="00733C41" w:rsidRDefault="00A310F1" w:rsidP="00D246DA">
      <w:pPr>
        <w:pStyle w:val="Numberbullet0"/>
      </w:pPr>
      <w:r w:rsidRPr="00733C41">
        <w:t>On a separate, but related matter, the sponsor has advised the TGA of plans to withdraw the currently marketed formulation (</w:t>
      </w:r>
      <w:proofErr w:type="spellStart"/>
      <w:r w:rsidR="001C6628" w:rsidRPr="00733C41">
        <w:t>Oroxine</w:t>
      </w:r>
      <w:proofErr w:type="spellEnd"/>
      <w:r w:rsidRPr="00733C41">
        <w:t>/</w:t>
      </w:r>
      <w:proofErr w:type="spellStart"/>
      <w:r w:rsidR="00F31733" w:rsidRPr="00733C41">
        <w:t>Eutroxsig</w:t>
      </w:r>
      <w:proofErr w:type="spellEnd"/>
      <w:r w:rsidRPr="00733C41">
        <w:t>). The ACPM is asked to provide advice on any problems that this might cause for prescribers and patients; and how these might be avoided. Is a Dear HealthCare Provider letter needed? If so, what information should it contain? Are any other activities required (</w:t>
      </w:r>
      <w:r w:rsidR="00D84C6F" w:rsidRPr="00733C41">
        <w:t>for example,</w:t>
      </w:r>
      <w:r w:rsidRPr="00733C41">
        <w:t xml:space="preserve"> information on the TGA website, interaction with professional organisation/colleges)?</w:t>
      </w:r>
    </w:p>
    <w:p w:rsidR="00A310F1" w:rsidRPr="00733C41" w:rsidRDefault="00A310F1" w:rsidP="00D246DA">
      <w:pPr>
        <w:pStyle w:val="Numberbullet0"/>
      </w:pPr>
      <w:r w:rsidRPr="00733C41">
        <w:t>Does the ACPM have any advice on the evidential standards for registration of thyroxine products; in particular whether thyroxine should be considered a narrow therapeutic index drug and whether T4 levels should be baseline corrected?</w:t>
      </w:r>
    </w:p>
    <w:p w:rsidR="00D84C6F" w:rsidRDefault="00D84C6F" w:rsidP="008A6926">
      <w:pPr>
        <w:pStyle w:val="Heading4"/>
      </w:pPr>
      <w:r>
        <w:t xml:space="preserve">Delegate’s </w:t>
      </w:r>
      <w:r w:rsidR="008A6926">
        <w:t>q</w:t>
      </w:r>
      <w:r w:rsidR="00A310F1">
        <w:t xml:space="preserve">uestions </w:t>
      </w:r>
      <w:r w:rsidR="00A310F1" w:rsidRPr="008A6926">
        <w:t>for</w:t>
      </w:r>
      <w:r w:rsidR="00A310F1">
        <w:t xml:space="preserve"> sponsor</w:t>
      </w:r>
    </w:p>
    <w:p w:rsidR="00A310F1" w:rsidRDefault="00A310F1" w:rsidP="008A6926">
      <w:pPr>
        <w:pStyle w:val="ListBullet"/>
      </w:pPr>
      <w:r>
        <w:t>Does the sponsor</w:t>
      </w:r>
      <w:r w:rsidRPr="00933210">
        <w:t xml:space="preserve"> have any update on the regulatory status of </w:t>
      </w:r>
      <w:proofErr w:type="spellStart"/>
      <w:r w:rsidR="001C6628">
        <w:t>Eltroxin</w:t>
      </w:r>
      <w:proofErr w:type="spellEnd"/>
      <w:r w:rsidRPr="00933210">
        <w:t xml:space="preserve"> in EU, US, South Af</w:t>
      </w:r>
      <w:r>
        <w:t>rica</w:t>
      </w:r>
      <w:r w:rsidR="00733C41">
        <w:t xml:space="preserve"> and</w:t>
      </w:r>
      <w:r w:rsidRPr="00933210">
        <w:t xml:space="preserve"> Brazil?</w:t>
      </w:r>
    </w:p>
    <w:p w:rsidR="00A310F1" w:rsidRPr="00933210" w:rsidRDefault="00A310F1" w:rsidP="008A6926">
      <w:pPr>
        <w:pStyle w:val="ListBullet"/>
      </w:pPr>
      <w:r>
        <w:t xml:space="preserve">Has the </w:t>
      </w:r>
      <w:r w:rsidRPr="008A6926">
        <w:t>sponsor</w:t>
      </w:r>
      <w:r>
        <w:t xml:space="preserve"> had any discussions/meetings with the EMA or FDA about the current formulation of </w:t>
      </w:r>
      <w:proofErr w:type="spellStart"/>
      <w:r w:rsidR="001C6628">
        <w:t>Eltroxin</w:t>
      </w:r>
      <w:proofErr w:type="spellEnd"/>
      <w:r>
        <w:t>; and if so, what was the outcome?</w:t>
      </w:r>
    </w:p>
    <w:p w:rsidR="00A310F1" w:rsidRDefault="00A310F1" w:rsidP="008A6926">
      <w:pPr>
        <w:pStyle w:val="ListBullet"/>
      </w:pPr>
      <w:r>
        <w:t xml:space="preserve">Could the sponsor provide a Dear HealthCare Provider letter, for editing by the TGA and consideration by the ACPM, that explains to prescribers the dose adjustment required for </w:t>
      </w:r>
      <w:proofErr w:type="spellStart"/>
      <w:r w:rsidR="001C6628">
        <w:t>Eltroxin</w:t>
      </w:r>
      <w:proofErr w:type="spellEnd"/>
      <w:r>
        <w:t xml:space="preserve"> versus </w:t>
      </w:r>
      <w:proofErr w:type="spellStart"/>
      <w:r w:rsidR="001C6628">
        <w:t>Oroxine</w:t>
      </w:r>
      <w:proofErr w:type="spellEnd"/>
      <w:r>
        <w:t>/</w:t>
      </w:r>
      <w:proofErr w:type="spellStart"/>
      <w:r w:rsidR="00F31733">
        <w:t>Eutroxsig</w:t>
      </w:r>
      <w:proofErr w:type="spellEnd"/>
      <w:r>
        <w:t>?</w:t>
      </w:r>
    </w:p>
    <w:p w:rsidR="00D84C6F" w:rsidRDefault="00A310F1" w:rsidP="008A6926">
      <w:pPr>
        <w:pStyle w:val="ListBullet"/>
      </w:pPr>
      <w:r>
        <w:t xml:space="preserve">Does the sponsor have any details on the timeline for withdrawal of </w:t>
      </w:r>
      <w:proofErr w:type="spellStart"/>
      <w:r w:rsidR="001C6628">
        <w:t>Oroxine</w:t>
      </w:r>
      <w:proofErr w:type="spellEnd"/>
      <w:r>
        <w:t>/</w:t>
      </w:r>
      <w:proofErr w:type="spellStart"/>
      <w:r w:rsidR="00F31733">
        <w:t>Eutroxsig</w:t>
      </w:r>
      <w:proofErr w:type="spellEnd"/>
      <w:r>
        <w:t xml:space="preserve"> from the Australian market?</w:t>
      </w:r>
    </w:p>
    <w:p w:rsidR="00A310F1" w:rsidRPr="00A310F1" w:rsidRDefault="00A310F1" w:rsidP="008A6926">
      <w:pPr>
        <w:pStyle w:val="ListBullet"/>
      </w:pPr>
      <w:r>
        <w:t xml:space="preserve">Could the sponsor provide a Dear HealthCare Provider letter, for editing by the TGA and consideration by the ACPM, that explains to doctors of patients currently taking </w:t>
      </w:r>
      <w:proofErr w:type="spellStart"/>
      <w:r w:rsidR="001C6628">
        <w:t>Oroxine</w:t>
      </w:r>
      <w:proofErr w:type="spellEnd"/>
      <w:r>
        <w:t>/</w:t>
      </w:r>
      <w:proofErr w:type="spellStart"/>
      <w:r w:rsidR="00F31733">
        <w:t>Eutroxsig</w:t>
      </w:r>
      <w:proofErr w:type="spellEnd"/>
      <w:r>
        <w:t xml:space="preserve">, how to manage the switch to </w:t>
      </w:r>
      <w:proofErr w:type="spellStart"/>
      <w:r w:rsidR="001C6628">
        <w:t>Eltroxin</w:t>
      </w:r>
      <w:proofErr w:type="spellEnd"/>
      <w:r>
        <w:t xml:space="preserve">? (should </w:t>
      </w:r>
      <w:proofErr w:type="spellStart"/>
      <w:r w:rsidR="001C6628">
        <w:t>Oroxine</w:t>
      </w:r>
      <w:proofErr w:type="spellEnd"/>
      <w:r>
        <w:t>/</w:t>
      </w:r>
      <w:proofErr w:type="spellStart"/>
      <w:r w:rsidR="00F31733">
        <w:t>Eutroxsig</w:t>
      </w:r>
      <w:proofErr w:type="spellEnd"/>
      <w:r>
        <w:t xml:space="preserve"> be withdrawn)</w:t>
      </w:r>
    </w:p>
    <w:p w:rsidR="00D23139" w:rsidRPr="008A6926" w:rsidRDefault="008A6926" w:rsidP="008A6926">
      <w:pPr>
        <w:pStyle w:val="Heading4"/>
      </w:pPr>
      <w:r>
        <w:t>Response from sponsor</w:t>
      </w:r>
    </w:p>
    <w:p w:rsidR="00C864BE" w:rsidRDefault="00D84C6F" w:rsidP="008A6926">
      <w:pPr>
        <w:pStyle w:val="Heading5"/>
      </w:pPr>
      <w:r>
        <w:t>Quality</w:t>
      </w:r>
      <w:r w:rsidR="00C864BE">
        <w:t xml:space="preserve"> </w:t>
      </w:r>
      <w:r w:rsidR="00C864BE" w:rsidRPr="008A6926">
        <w:t>evaluation</w:t>
      </w:r>
    </w:p>
    <w:p w:rsidR="00C864BE" w:rsidRPr="008A6926" w:rsidRDefault="00C864BE" w:rsidP="008A6926">
      <w:pPr>
        <w:pStyle w:val="Heading6"/>
      </w:pPr>
      <w:r w:rsidRPr="008A6926">
        <w:rPr>
          <w:rStyle w:val="Heading6Char"/>
          <w:rFonts w:eastAsia="Cambria"/>
          <w:bCs/>
          <w:i/>
        </w:rPr>
        <w:t>Conditions for registration</w:t>
      </w:r>
      <w:r w:rsidRPr="008A6926">
        <w:t>:</w:t>
      </w:r>
    </w:p>
    <w:p w:rsidR="00C864BE" w:rsidRPr="008A6926" w:rsidRDefault="00C864BE" w:rsidP="008A6926">
      <w:pPr>
        <w:rPr>
          <w:i/>
        </w:rPr>
      </w:pPr>
      <w:r w:rsidRPr="008A6926">
        <w:rPr>
          <w:i/>
        </w:rPr>
        <w:t xml:space="preserve">“Revise the dissolution method </w:t>
      </w:r>
      <w:r w:rsidR="00D84C6F" w:rsidRPr="008A6926">
        <w:rPr>
          <w:i/>
        </w:rPr>
        <w:t>[information redacted]</w:t>
      </w:r>
      <w:r w:rsidRPr="008A6926">
        <w:rPr>
          <w:i/>
        </w:rPr>
        <w:t xml:space="preserve"> so as to ensure that the dissolution method is sufficiently discriminative. Revise the manufacturing process to the satisfaction of the TGA, so as to ensure that the tablet hardness throughout the shelf life will be such as to ensure compliance with the proposed dissolution limits (using the discriminative dissolution method required). Together these steps will ensure the bioequivalence of future batches of tablets to the batch tested against the innovator.”</w:t>
      </w:r>
    </w:p>
    <w:p w:rsidR="00C864BE" w:rsidRDefault="00C864BE" w:rsidP="008A6926">
      <w:r>
        <w:t xml:space="preserve">Email from </w:t>
      </w:r>
      <w:r w:rsidR="00B52B8D">
        <w:t>TGA</w:t>
      </w:r>
      <w:r>
        <w:t xml:space="preserve"> to Aspen Australia.</w:t>
      </w:r>
    </w:p>
    <w:p w:rsidR="00C864BE" w:rsidRPr="008A6926" w:rsidRDefault="00C864BE" w:rsidP="008A6926">
      <w:pPr>
        <w:rPr>
          <w:i/>
        </w:rPr>
      </w:pPr>
      <w:r w:rsidRPr="008A6926">
        <w:rPr>
          <w:i/>
        </w:rPr>
        <w:t xml:space="preserve">“Therefore unless you have bio-data to show that the hardness does not influence the bioavailability, you should use the dissolution method </w:t>
      </w:r>
      <w:r w:rsidR="00D84C6F" w:rsidRPr="008A6926">
        <w:rPr>
          <w:i/>
        </w:rPr>
        <w:t>[information redacted]</w:t>
      </w:r>
      <w:r w:rsidRPr="008A6926">
        <w:rPr>
          <w:i/>
        </w:rPr>
        <w:t xml:space="preserve"> and review your manufacturing process to ensure the tablet hardness will not be at an unacceptable level on manufacture or rise to an unacceptable level during storage. </w:t>
      </w:r>
      <w:proofErr w:type="gramStart"/>
      <w:r w:rsidRPr="008A6926">
        <w:rPr>
          <w:i/>
        </w:rPr>
        <w:t xml:space="preserve">An unacceptable level for hardness being one where the dissolution will not </w:t>
      </w:r>
      <w:r w:rsidR="00D84C6F" w:rsidRPr="008A6926">
        <w:rPr>
          <w:i/>
        </w:rPr>
        <w:t>[information redacted]</w:t>
      </w:r>
      <w:r w:rsidRPr="008A6926">
        <w:rPr>
          <w:i/>
        </w:rPr>
        <w:t>.</w:t>
      </w:r>
      <w:proofErr w:type="gramEnd"/>
    </w:p>
    <w:p w:rsidR="00C864BE" w:rsidRPr="008A6926" w:rsidRDefault="00C864BE" w:rsidP="008A6926">
      <w:pPr>
        <w:rPr>
          <w:i/>
        </w:rPr>
      </w:pPr>
      <w:r w:rsidRPr="008A6926">
        <w:rPr>
          <w:i/>
        </w:rPr>
        <w:t xml:space="preserve">Alternatively, you could retain the </w:t>
      </w:r>
      <w:r w:rsidR="00D84C6F" w:rsidRPr="008A6926">
        <w:rPr>
          <w:i/>
        </w:rPr>
        <w:t>[information redacted]</w:t>
      </w:r>
      <w:r w:rsidRPr="008A6926">
        <w:rPr>
          <w:i/>
        </w:rPr>
        <w:t xml:space="preserve"> method if the limit was at an earlier time </w:t>
      </w:r>
      <w:r w:rsidR="00D84C6F" w:rsidRPr="008A6926">
        <w:rPr>
          <w:i/>
        </w:rPr>
        <w:t>[information redacted]</w:t>
      </w:r>
      <w:r w:rsidRPr="008A6926">
        <w:rPr>
          <w:i/>
        </w:rPr>
        <w:t xml:space="preserve"> or if you added an additional dissolution limit </w:t>
      </w:r>
      <w:r w:rsidR="00D84C6F" w:rsidRPr="008A6926">
        <w:rPr>
          <w:i/>
        </w:rPr>
        <w:lastRenderedPageBreak/>
        <w:t>[information redacted]</w:t>
      </w:r>
      <w:r w:rsidRPr="008A6926">
        <w:rPr>
          <w:i/>
        </w:rPr>
        <w:t xml:space="preserve">. Both of these actions will have the effect of increasing the discriminative power of the test so that it is equivalent to NLT </w:t>
      </w:r>
      <w:r w:rsidR="00FE6A31" w:rsidRPr="008A6926">
        <w:rPr>
          <w:i/>
        </w:rPr>
        <w:t>[information redacted]</w:t>
      </w:r>
      <w:r w:rsidRPr="008A6926">
        <w:rPr>
          <w:i/>
        </w:rPr>
        <w:t>.”</w:t>
      </w:r>
    </w:p>
    <w:p w:rsidR="00C864BE" w:rsidRDefault="00C864BE" w:rsidP="008A6926">
      <w:r>
        <w:t>In order to increase the discriminative power of the dissolution test, the sponsor agrees with the evaluator’s proposal to retain the paddle speed and set the dissolution limit at an earlier time point. This is in addition to the earlier proposal of increasing the Q value for release and on stability.</w:t>
      </w:r>
    </w:p>
    <w:p w:rsidR="00C864BE" w:rsidRDefault="00C864BE" w:rsidP="008A6926">
      <w:r>
        <w:t>Stability data from the current studies on the 25 μg strength batches were assessed in order to provide assurance that the product range can meet this revised limit at the earlier time point. Samples of the 25 μg strength batches (packed in 200’s) stored at 30°C/65% RH were evaluated following 24 months storage (end of shelf-life). The remaining strengths were not evaluated since the trials were well beyond the 24 month shelf-life (approaching 36 months storage).</w:t>
      </w:r>
    </w:p>
    <w:p w:rsidR="00C864BE" w:rsidRDefault="00C864BE" w:rsidP="008A6926">
      <w:r>
        <w:t xml:space="preserve">In order to ensure that the tablet hardness throughout the shelf life will be such as to ensure compliance with </w:t>
      </w:r>
      <w:r w:rsidR="00A13F6C">
        <w:t>the proposed dissolution limits</w:t>
      </w:r>
      <w:r>
        <w:t>, the sponsor proposes to revise the hardness specification for the product range.</w:t>
      </w:r>
    </w:p>
    <w:p w:rsidR="00C864BE" w:rsidRDefault="00C864BE" w:rsidP="008A6926">
      <w:r>
        <w:t xml:space="preserve">Dissolution data has been generated on a batch of </w:t>
      </w:r>
      <w:proofErr w:type="spellStart"/>
      <w:r>
        <w:t>Eltroxin</w:t>
      </w:r>
      <w:proofErr w:type="spellEnd"/>
      <w:r>
        <w:t xml:space="preserve"> 50 </w:t>
      </w:r>
      <w:proofErr w:type="spellStart"/>
      <w:r>
        <w:t>μg</w:t>
      </w:r>
      <w:proofErr w:type="spellEnd"/>
      <w:r>
        <w:t>, to assess the effect of the lower hardness on the release of the product at the earlier time points and to confirm that the friability of the tablet is not adversely affected.</w:t>
      </w:r>
    </w:p>
    <w:p w:rsidR="00C864BE" w:rsidRDefault="00C864BE" w:rsidP="008A6926">
      <w:r>
        <w:t>The release profiles of the tablets</w:t>
      </w:r>
      <w:r w:rsidR="00FE6A31">
        <w:t xml:space="preserve"> </w:t>
      </w:r>
      <w:r>
        <w:t xml:space="preserve">compare favourably with the </w:t>
      </w:r>
      <w:proofErr w:type="spellStart"/>
      <w:r>
        <w:t>Oroxine</w:t>
      </w:r>
      <w:proofErr w:type="spellEnd"/>
      <w:r>
        <w:t xml:space="preserve"> reference products.</w:t>
      </w:r>
      <w:r w:rsidR="00FE6A31">
        <w:t xml:space="preserve"> Dissolution tests</w:t>
      </w:r>
      <w:r>
        <w:t xml:space="preserve"> confirm</w:t>
      </w:r>
      <w:r w:rsidR="00FE6A31">
        <w:t>ed</w:t>
      </w:r>
      <w:r>
        <w:t xml:space="preserve"> the evaluator’s observation that dissolution slows with increase of hardness of tablets.</w:t>
      </w:r>
    </w:p>
    <w:p w:rsidR="00C864BE" w:rsidRDefault="00FE6A31" w:rsidP="008A6926">
      <w:r>
        <w:t>T</w:t>
      </w:r>
      <w:r w:rsidR="00C864BE">
        <w:t>he tablets are suitably robust and the friability specification is still met at the lower hardness range.</w:t>
      </w:r>
    </w:p>
    <w:p w:rsidR="00C864BE" w:rsidRDefault="00C864BE" w:rsidP="008A6926">
      <w:r>
        <w:t xml:space="preserve">The sponsor is confident that by revising the manufacturing process which leads to adjusting the hardness </w:t>
      </w:r>
      <w:proofErr w:type="gramStart"/>
      <w:r>
        <w:t>limits,</w:t>
      </w:r>
      <w:proofErr w:type="gramEnd"/>
      <w:r>
        <w:t xml:space="preserve"> and by increasing the discriminator</w:t>
      </w:r>
      <w:r w:rsidR="00A13F6C">
        <w:t>y power of the dissolution test</w:t>
      </w:r>
      <w:r>
        <w:t xml:space="preserve">, the product is capable of meeting the tighter controls required by the TGA in order to ensure bioequivalence of future batches of </w:t>
      </w:r>
      <w:proofErr w:type="spellStart"/>
      <w:r>
        <w:t>Eltroxin</w:t>
      </w:r>
      <w:proofErr w:type="spellEnd"/>
      <w:r>
        <w:t xml:space="preserve"> tablets to the innovator.</w:t>
      </w:r>
    </w:p>
    <w:p w:rsidR="00C864BE" w:rsidRPr="008A6926" w:rsidRDefault="00C864BE" w:rsidP="008A6926">
      <w:pPr>
        <w:pStyle w:val="Heading5"/>
      </w:pPr>
      <w:r>
        <w:t>RMP evaluation</w:t>
      </w:r>
    </w:p>
    <w:p w:rsidR="00C864BE" w:rsidRDefault="00C864BE" w:rsidP="008A6926">
      <w:r>
        <w:t>It is recommended that ‘change in clinical response when switching brands’ be added as an ‘important potential risk’ in the Australian-specific annex.</w:t>
      </w:r>
    </w:p>
    <w:p w:rsidR="00C864BE" w:rsidRDefault="00FE6A31" w:rsidP="008A6926">
      <w:r>
        <w:t>The sponsor</w:t>
      </w:r>
      <w:r w:rsidR="00C864BE">
        <w:t xml:space="preserve"> believe</w:t>
      </w:r>
      <w:r>
        <w:t>s</w:t>
      </w:r>
      <w:r w:rsidR="00C864BE">
        <w:t xml:space="preserve"> that the existing identified risk of ‘Treatment imbalance leading to hyperthyroidism and hypothyroidism’ in the EU</w:t>
      </w:r>
      <w:r>
        <w:t xml:space="preserve"> </w:t>
      </w:r>
      <w:r w:rsidR="00C864BE">
        <w:t>RMP, already considers the ‘change in clinical response when switching brands’.</w:t>
      </w:r>
    </w:p>
    <w:p w:rsidR="00C864BE" w:rsidRDefault="00C864BE" w:rsidP="008A6926">
      <w:r>
        <w:t>The identified risk of ‘Treatment imbalance leading to hyperthyroidism and hypothyroidism’ considers the following risk factors:</w:t>
      </w:r>
    </w:p>
    <w:p w:rsidR="00C864BE" w:rsidRDefault="00C864BE" w:rsidP="008A6926">
      <w:pPr>
        <w:pStyle w:val="ListBullet"/>
      </w:pPr>
      <w:r>
        <w:t xml:space="preserve">Change from </w:t>
      </w:r>
      <w:r w:rsidRPr="008A6926">
        <w:t>previous</w:t>
      </w:r>
      <w:r>
        <w:t xml:space="preserve"> to new formulation</w:t>
      </w:r>
    </w:p>
    <w:p w:rsidR="00C864BE" w:rsidRDefault="00C864BE" w:rsidP="008A6926">
      <w:pPr>
        <w:pStyle w:val="ListBullet"/>
      </w:pPr>
      <w:r>
        <w:t xml:space="preserve">Change of product </w:t>
      </w:r>
      <w:r w:rsidRPr="008A6926">
        <w:t>from</w:t>
      </w:r>
      <w:r>
        <w:t xml:space="preserve"> one brand to another brand</w:t>
      </w:r>
    </w:p>
    <w:p w:rsidR="00C864BE" w:rsidRDefault="00C864BE" w:rsidP="008A6926">
      <w:pPr>
        <w:pStyle w:val="ListBullet"/>
      </w:pPr>
      <w:r>
        <w:t>Drug Interactions</w:t>
      </w:r>
    </w:p>
    <w:p w:rsidR="00C864BE" w:rsidRDefault="00C864BE" w:rsidP="008A6926">
      <w:r>
        <w:t>The identified risk of ‘Treatment imbalance leading to hyperthyroidism and hypothyroidism’ considers the following risk groups where imbalance can have a severe impact on their condition:</w:t>
      </w:r>
    </w:p>
    <w:p w:rsidR="00C864BE" w:rsidRDefault="00C864BE" w:rsidP="003714E2">
      <w:pPr>
        <w:pStyle w:val="Numberbullet0"/>
        <w:numPr>
          <w:ilvl w:val="0"/>
          <w:numId w:val="11"/>
        </w:numPr>
        <w:ind w:left="357" w:hanging="357"/>
      </w:pPr>
      <w:r>
        <w:t xml:space="preserve">Paediatric patients should be monitored closely to avoid under treatment or over treatment. Under treatment may have deleterious effects on intellectual development and linear </w:t>
      </w:r>
      <w:proofErr w:type="gramStart"/>
      <w:r>
        <w:t>growth.</w:t>
      </w:r>
      <w:proofErr w:type="gramEnd"/>
      <w:r>
        <w:t xml:space="preserve"> Overtreatment has been associated with </w:t>
      </w:r>
      <w:proofErr w:type="spellStart"/>
      <w:r>
        <w:t>craniosynostosis</w:t>
      </w:r>
      <w:proofErr w:type="spellEnd"/>
      <w:r>
        <w:t xml:space="preserve"> in infants, </w:t>
      </w:r>
      <w:r w:rsidRPr="008A6926">
        <w:t>and</w:t>
      </w:r>
      <w:r>
        <w:t xml:space="preserve"> may adversely affect the tempo of brain maturation and accelerate the bone age with resultant premature closure of the epiphyses and compromised adult stature.</w:t>
      </w:r>
    </w:p>
    <w:p w:rsidR="00C864BE" w:rsidRDefault="00C864BE" w:rsidP="008A6926">
      <w:pPr>
        <w:pStyle w:val="Numberbullet0"/>
      </w:pPr>
      <w:r w:rsidRPr="008A6926">
        <w:lastRenderedPageBreak/>
        <w:t>Pregnancy</w:t>
      </w:r>
      <w:r>
        <w:t>: Hypothyroidism during pregnancy has been associated with impaired cognitive development and increased fetal mortality. During pregnancy, maternal thyroid hormone requirements increase. Although it is known that women with hypothyroidism should increase their levothyroxine dose during pregnancy, biochemical hypothyroidism occurs in many.</w:t>
      </w:r>
    </w:p>
    <w:p w:rsidR="00C864BE" w:rsidRDefault="00C864BE" w:rsidP="008A6926">
      <w:pPr>
        <w:pStyle w:val="Numberbullet0"/>
      </w:pPr>
      <w:r>
        <w:t xml:space="preserve">Elderly </w:t>
      </w:r>
      <w:r w:rsidRPr="008A6926">
        <w:t>people</w:t>
      </w:r>
      <w:r>
        <w:t xml:space="preserve"> : for cardiac toxicity and risk of fracture</w:t>
      </w:r>
    </w:p>
    <w:p w:rsidR="00C864BE" w:rsidRDefault="00C864BE" w:rsidP="008A6926">
      <w:pPr>
        <w:pStyle w:val="Numberbullet0"/>
      </w:pPr>
      <w:r>
        <w:t xml:space="preserve">Patients with medical history of cardiac disorders : Increased thyroxine levels could lead to atrial fibrillation and other </w:t>
      </w:r>
      <w:proofErr w:type="spellStart"/>
      <w:r>
        <w:t>arrythmias</w:t>
      </w:r>
      <w:proofErr w:type="spellEnd"/>
    </w:p>
    <w:p w:rsidR="00C864BE" w:rsidRDefault="00C864BE" w:rsidP="008A6926">
      <w:pPr>
        <w:pStyle w:val="Numberbullet0"/>
      </w:pPr>
      <w:r>
        <w:t>Patients with diabetes mellitus or insipidus</w:t>
      </w:r>
    </w:p>
    <w:p w:rsidR="00C864BE" w:rsidRDefault="00C864BE" w:rsidP="008A6926">
      <w:pPr>
        <w:pStyle w:val="Numberbullet0"/>
      </w:pPr>
      <w:r>
        <w:t>Patients with nontoxic diffuse goitre or nodular thyroid disease</w:t>
      </w:r>
    </w:p>
    <w:p w:rsidR="00C864BE" w:rsidRDefault="00C864BE" w:rsidP="008A6926">
      <w:pPr>
        <w:pStyle w:val="Numberbullet0"/>
      </w:pPr>
      <w:r>
        <w:t>Patients with a previous history of thyroid cancer. Low levels of levothyroxine could lead to an unexpected increase in TSH and recurrence of thyroid cancer.</w:t>
      </w:r>
    </w:p>
    <w:p w:rsidR="00C864BE" w:rsidRDefault="00C864BE" w:rsidP="008A6926">
      <w:r>
        <w:t xml:space="preserve">The following updates have been made to the EU RMP since that submitted with </w:t>
      </w:r>
      <w:r w:rsidR="00FE6A31">
        <w:t>the sponsor’s response to the TGA</w:t>
      </w:r>
      <w:r>
        <w:t>:</w:t>
      </w:r>
    </w:p>
    <w:p w:rsidR="00C864BE" w:rsidRDefault="00C864BE" w:rsidP="008A6926">
      <w:pPr>
        <w:pStyle w:val="ListBullet"/>
      </w:pPr>
      <w:r>
        <w:t xml:space="preserve">point 4 </w:t>
      </w:r>
      <w:r w:rsidRPr="008A6926">
        <w:t>has</w:t>
      </w:r>
      <w:r>
        <w:t xml:space="preserve"> been re-worded from simply ‘cardiac patients’, and</w:t>
      </w:r>
    </w:p>
    <w:p w:rsidR="00C864BE" w:rsidRDefault="00C864BE" w:rsidP="008A6926">
      <w:pPr>
        <w:pStyle w:val="ListBullet"/>
      </w:pPr>
      <w:proofErr w:type="gramStart"/>
      <w:r>
        <w:t>point</w:t>
      </w:r>
      <w:proofErr w:type="gramEnd"/>
      <w:r>
        <w:t xml:space="preserve"> 7 </w:t>
      </w:r>
      <w:r w:rsidRPr="008A6926">
        <w:t>has</w:t>
      </w:r>
      <w:r>
        <w:t xml:space="preserve"> been added.</w:t>
      </w:r>
    </w:p>
    <w:p w:rsidR="00C864BE" w:rsidRDefault="00C864BE" w:rsidP="008A6926">
      <w:pPr>
        <w:pStyle w:val="Heading5"/>
      </w:pPr>
      <w:r>
        <w:t xml:space="preserve">Clinical </w:t>
      </w:r>
      <w:r w:rsidR="008A6926">
        <w:t>e</w:t>
      </w:r>
      <w:r w:rsidRPr="008A6926">
        <w:t>valuation</w:t>
      </w:r>
    </w:p>
    <w:p w:rsidR="00C864BE" w:rsidRDefault="00C864BE" w:rsidP="008A6926">
      <w:pPr>
        <w:pStyle w:val="Heading6"/>
      </w:pPr>
      <w:r>
        <w:t xml:space="preserve">Lack of </w:t>
      </w:r>
      <w:r w:rsidRPr="008A6926">
        <w:t>adjustment</w:t>
      </w:r>
      <w:r w:rsidR="008A6926">
        <w:t xml:space="preserve"> for baseline T4 levels</w:t>
      </w:r>
    </w:p>
    <w:p w:rsidR="00C864BE" w:rsidRDefault="00C864BE" w:rsidP="003714E2">
      <w:r>
        <w:t>The sponsor is asked to provide a comparison between the product they are proposing for registration and the reference product, for AUC</w:t>
      </w:r>
      <w:r w:rsidRPr="00FE6A31">
        <w:rPr>
          <w:vertAlign w:val="subscript"/>
        </w:rPr>
        <w:t>0-48</w:t>
      </w:r>
      <w:r>
        <w:t xml:space="preserve"> and C</w:t>
      </w:r>
      <w:r w:rsidRPr="00FE6A31">
        <w:rPr>
          <w:vertAlign w:val="subscript"/>
        </w:rPr>
        <w:t>max</w:t>
      </w:r>
      <w:r>
        <w:t>, adjusted for baseline values; with 90% CIs. (The method of baseline adjustment should be reported).</w:t>
      </w:r>
    </w:p>
    <w:p w:rsidR="00C864BE" w:rsidRDefault="00C864BE" w:rsidP="003714E2">
      <w:r>
        <w:t>Aspen acknowledges the comments from the MHRA report (2013), the FDA transcript (2005) and the EMA guideline on bioequivalence. The EMA guideline on investigation of bioequivalence, also states that “</w:t>
      </w:r>
      <w:r w:rsidRPr="00E94CA6">
        <w:rPr>
          <w:i/>
        </w:rPr>
        <w:t>In rare cases where substantial increases over baseline endogenous levels are seen, baseline correction may not be needed</w:t>
      </w:r>
      <w:r>
        <w:t>”.</w:t>
      </w:r>
    </w:p>
    <w:p w:rsidR="00C864BE" w:rsidRDefault="00C864BE" w:rsidP="003714E2">
      <w:r>
        <w:t>Levothyroxine is considered as a separate class of endogenous substance and needs to be considered as a special case due to the following scientific facts.</w:t>
      </w:r>
    </w:p>
    <w:p w:rsidR="00C864BE" w:rsidRDefault="003714E2" w:rsidP="003714E2">
      <w:pPr>
        <w:ind w:left="851" w:hanging="851"/>
      </w:pPr>
      <w:r>
        <w:t>Fact A:</w:t>
      </w:r>
      <w:r>
        <w:tab/>
      </w:r>
      <w:r w:rsidR="00C864BE">
        <w:t>Levothyroxine has a half-life of approximately 6 to 9 days in healthy individuals.</w:t>
      </w:r>
    </w:p>
    <w:p w:rsidR="00C864BE" w:rsidRDefault="003714E2" w:rsidP="003714E2">
      <w:pPr>
        <w:ind w:left="851" w:hanging="851"/>
      </w:pPr>
      <w:r>
        <w:t>Fact B:</w:t>
      </w:r>
      <w:r>
        <w:tab/>
      </w:r>
      <w:r w:rsidR="00C864BE">
        <w:t>Since levothyroxine has a long half-life, T4 levels remain fairly static and are not greatly affected by circadian rhythm.</w:t>
      </w:r>
    </w:p>
    <w:p w:rsidR="00C864BE" w:rsidRDefault="003714E2" w:rsidP="003714E2">
      <w:pPr>
        <w:ind w:left="851" w:hanging="851"/>
      </w:pPr>
      <w:r>
        <w:t>Fact C:</w:t>
      </w:r>
      <w:r>
        <w:tab/>
      </w:r>
      <w:r w:rsidR="00C864BE">
        <w:t>When a hyper physiologic dose of levothyroxine sodium is given to a healthy subject, as in the case of the BA/BE studies in this submission and because of the extreme sensitivity of the thyroid hormone regulatory system to subtle changes in T4 levels, endogenous T4 production and secretion approaches zero within 1 hour. Subsequently, as exogenous T4 levels begin to approach normal physiologic values, endogenous production and secretion resumes. These facts suggest that baseline-uncorrected data would more accurately represent the endogenous environment and in view of this, baseline correction is not appropriate for establishing bioequivalence, irrespective of whether there is an increase or decrease in the endogenous levels over baseline levels. Hence, baseline</w:t>
      </w:r>
      <w:r w:rsidR="00E94CA6">
        <w:t xml:space="preserve"> </w:t>
      </w:r>
      <w:r w:rsidR="00C864BE">
        <w:t>uncorrected data is considered a more reliable measure for establishing bioequivalence for levothyroxine.</w:t>
      </w:r>
    </w:p>
    <w:p w:rsidR="00C864BE" w:rsidRDefault="00C864BE" w:rsidP="003714E2">
      <w:r>
        <w:t>As per the FDA guidance and protocol, a 90% Confidence Interval needs to be established for C</w:t>
      </w:r>
      <w:r w:rsidRPr="00E94CA6">
        <w:rPr>
          <w:vertAlign w:val="subscript"/>
        </w:rPr>
        <w:t>max</w:t>
      </w:r>
      <w:r>
        <w:t xml:space="preserve"> and AUC</w:t>
      </w:r>
      <w:r w:rsidRPr="00E94CA6">
        <w:rPr>
          <w:vertAlign w:val="subscript"/>
        </w:rPr>
        <w:t>0-t</w:t>
      </w:r>
      <w:r>
        <w:t xml:space="preserve"> for uncorrected </w:t>
      </w:r>
      <w:r w:rsidR="00E94CA6">
        <w:t>total T4 (</w:t>
      </w:r>
      <w:r>
        <w:t>TT4</w:t>
      </w:r>
      <w:r w:rsidR="00E94CA6">
        <w:t>)</w:t>
      </w:r>
      <w:r>
        <w:t>, and this data was presented in the bioequivalence study report.</w:t>
      </w:r>
    </w:p>
    <w:p w:rsidR="00C864BE" w:rsidRDefault="00C864BE" w:rsidP="003714E2">
      <w:r>
        <w:lastRenderedPageBreak/>
        <w:t>However, as per the request from the evaluator, the 90% CI for corrected TT4 has been presented for AUC</w:t>
      </w:r>
      <w:r w:rsidRPr="00E94CA6">
        <w:rPr>
          <w:vertAlign w:val="subscript"/>
        </w:rPr>
        <w:t>0-48</w:t>
      </w:r>
      <w:r>
        <w:t>, AUC</w:t>
      </w:r>
      <w:r w:rsidRPr="00E94CA6">
        <w:rPr>
          <w:vertAlign w:val="subscript"/>
        </w:rPr>
        <w:t>0-t</w:t>
      </w:r>
      <w:r>
        <w:t xml:space="preserve"> and C</w:t>
      </w:r>
      <w:r w:rsidRPr="00E94CA6">
        <w:rPr>
          <w:vertAlign w:val="subscript"/>
        </w:rPr>
        <w:t>max</w:t>
      </w:r>
      <w:r>
        <w:t xml:space="preserve"> using the baseline corrected method described in section a) below. The data is presented in the table in section b) below.</w:t>
      </w:r>
    </w:p>
    <w:p w:rsidR="00C864BE" w:rsidRPr="005E15CF" w:rsidRDefault="00C864BE" w:rsidP="003714E2">
      <w:r w:rsidRPr="005E15CF">
        <w:t>a) Method used to report the baseline adjustment:</w:t>
      </w:r>
    </w:p>
    <w:p w:rsidR="00C864BE" w:rsidRDefault="00C864BE" w:rsidP="003714E2">
      <w:r>
        <w:t>The predefined procedure as per protocol was followed for baseline corrections.</w:t>
      </w:r>
    </w:p>
    <w:p w:rsidR="00C864BE" w:rsidRDefault="00C864BE" w:rsidP="003714E2">
      <w:r>
        <w:t>Baseline concentrations were determined from blood samples collected at -0.50, -0.25, 0.00 hours predose for each dosing period. The baseline concentrations are period specific. The average of the above mentioned three values was calculated for each subject and was taken as the baseline value for that subject.</w:t>
      </w:r>
    </w:p>
    <w:p w:rsidR="00C864BE" w:rsidRDefault="00C864BE" w:rsidP="003714E2">
      <w:r>
        <w:t xml:space="preserve">The corrected serum concentrations were obtained after subtracting the baseline values from the observed serum Total (bound + free) T3 and T4, free T3 and T4 values at all post dose time points for each subject. If a negative serum concentration value resulted after baseline correction, this was set to 0, prior to calculating the baseline-corrected AUC. In the case of a 0 value occurring between two measurable concentrations, this was treated as a ‘missing value’ (as per the </w:t>
      </w:r>
      <w:r w:rsidR="005E15CF">
        <w:t>Standard operating Procedure (</w:t>
      </w:r>
      <w:r>
        <w:t>SOP</w:t>
      </w:r>
      <w:r w:rsidR="005E15CF">
        <w:t>)</w:t>
      </w:r>
      <w:r>
        <w:t xml:space="preserve">) for pharmacokinetic and statistical analysis and calculation of the statistical analysis </w:t>
      </w:r>
      <w:proofErr w:type="gramStart"/>
      <w:r>
        <w:t>proceeded</w:t>
      </w:r>
      <w:proofErr w:type="gramEnd"/>
      <w:r>
        <w:t xml:space="preserve"> as per protocol requirements.</w:t>
      </w:r>
    </w:p>
    <w:p w:rsidR="00C864BE" w:rsidRPr="005E15CF" w:rsidRDefault="00C864BE" w:rsidP="003714E2">
      <w:pPr>
        <w:rPr>
          <w:vertAlign w:val="subscript"/>
        </w:rPr>
      </w:pPr>
      <w:r w:rsidRPr="005E15CF">
        <w:t>b) 90% CI for baseline corrected TT4 for AUC</w:t>
      </w:r>
      <w:r w:rsidRPr="005E15CF">
        <w:rPr>
          <w:vertAlign w:val="subscript"/>
        </w:rPr>
        <w:t>0-48</w:t>
      </w:r>
      <w:r w:rsidRPr="005E15CF">
        <w:t>, AUC 0-t and C</w:t>
      </w:r>
      <w:r w:rsidRPr="005E15CF">
        <w:rPr>
          <w:vertAlign w:val="subscript"/>
        </w:rPr>
        <w:t>max</w:t>
      </w:r>
    </w:p>
    <w:p w:rsidR="005E15CF" w:rsidRPr="005E15CF" w:rsidRDefault="005E15CF" w:rsidP="003714E2">
      <w:pPr>
        <w:pStyle w:val="TableTitle"/>
      </w:pPr>
      <w:proofErr w:type="gramStart"/>
      <w:r w:rsidRPr="005E15CF">
        <w:t>Table</w:t>
      </w:r>
      <w:r w:rsidRPr="000F4A2C">
        <w:t xml:space="preserve"> </w:t>
      </w:r>
      <w:r w:rsidR="000F4A2C" w:rsidRPr="003714E2">
        <w:t>12</w:t>
      </w:r>
      <w:r>
        <w:t>.</w:t>
      </w:r>
      <w:proofErr w:type="gramEnd"/>
      <w:r>
        <w:t xml:space="preserve"> ARL/11/201-BE results for corrected TT4</w:t>
      </w:r>
    </w:p>
    <w:p w:rsidR="00A73286" w:rsidRDefault="00A73286" w:rsidP="003714E2">
      <w:r>
        <w:rPr>
          <w:noProof/>
          <w:lang w:eastAsia="en-AU"/>
        </w:rPr>
        <w:drawing>
          <wp:inline distT="0" distB="0" distL="0" distR="0" wp14:anchorId="34B7AAE2" wp14:editId="0523633E">
            <wp:extent cx="5308600" cy="639591"/>
            <wp:effectExtent l="0" t="0" r="6350" b="8255"/>
            <wp:docPr id="17" name="Picture 17" descr="Table 9. ARL/11/201-BE results for corrected TT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l="2315" r="1592" b="7696"/>
                    <a:stretch/>
                  </pic:blipFill>
                  <pic:spPr bwMode="auto">
                    <a:xfrm>
                      <a:off x="0" y="0"/>
                      <a:ext cx="5333219" cy="642557"/>
                    </a:xfrm>
                    <a:prstGeom prst="rect">
                      <a:avLst/>
                    </a:prstGeom>
                    <a:ln>
                      <a:noFill/>
                    </a:ln>
                    <a:extLst>
                      <a:ext uri="{53640926-AAD7-44D8-BBD7-CCE9431645EC}">
                        <a14:shadowObscured xmlns:a14="http://schemas.microsoft.com/office/drawing/2010/main"/>
                      </a:ext>
                    </a:extLst>
                  </pic:spPr>
                </pic:pic>
              </a:graphicData>
            </a:graphic>
          </wp:inline>
        </w:drawing>
      </w:r>
    </w:p>
    <w:p w:rsidR="00A73286" w:rsidRDefault="00A73286" w:rsidP="003714E2">
      <w:r>
        <w:t>Note: There is a slight difference in AUC</w:t>
      </w:r>
      <w:r w:rsidRPr="005E15CF">
        <w:rPr>
          <w:vertAlign w:val="subscript"/>
        </w:rPr>
        <w:t>0-t</w:t>
      </w:r>
      <w:r>
        <w:t xml:space="preserve"> and AUC</w:t>
      </w:r>
      <w:r w:rsidRPr="005E15CF">
        <w:rPr>
          <w:vertAlign w:val="subscript"/>
        </w:rPr>
        <w:t>0-48</w:t>
      </w:r>
      <w:r>
        <w:t xml:space="preserve"> values, due to a missing sample (48 h sampling point) for one subject.</w:t>
      </w:r>
    </w:p>
    <w:p w:rsidR="00A73286" w:rsidRDefault="00A73286" w:rsidP="003714E2">
      <w:r>
        <w:t>90% CI for AUC and C</w:t>
      </w:r>
      <w:r w:rsidRPr="005E15CF">
        <w:rPr>
          <w:vertAlign w:val="subscript"/>
        </w:rPr>
        <w:t>max</w:t>
      </w:r>
      <w:r>
        <w:t xml:space="preserve"> are completely on the lower side of 100%: AUC: 89% (85%, 94%); </w:t>
      </w:r>
      <w:proofErr w:type="gramStart"/>
      <w:r>
        <w:t>C</w:t>
      </w:r>
      <w:r w:rsidRPr="005E15CF">
        <w:rPr>
          <w:vertAlign w:val="subscript"/>
        </w:rPr>
        <w:t>max</w:t>
      </w:r>
      <w:r>
        <w:t xml:space="preserve"> :</w:t>
      </w:r>
      <w:proofErr w:type="gramEnd"/>
      <w:r>
        <w:t xml:space="preserve"> 86% (82%, 91%). It is accepted that this meets the criterion for bioequivalence if thyroxine is not considered a narrow therapeutic index drug.</w:t>
      </w:r>
    </w:p>
    <w:p w:rsidR="00A73286" w:rsidRPr="003714E2" w:rsidRDefault="00A73286" w:rsidP="003714E2">
      <w:pPr>
        <w:rPr>
          <w:i/>
        </w:rPr>
      </w:pPr>
      <w:r w:rsidRPr="003714E2">
        <w:rPr>
          <w:i/>
        </w:rPr>
        <w:t>Is thyroxine a narrow thera</w:t>
      </w:r>
      <w:r w:rsidR="005E15CF" w:rsidRPr="003714E2">
        <w:rPr>
          <w:i/>
        </w:rPr>
        <w:t>peutic index drug? The sponsor wa</w:t>
      </w:r>
      <w:r w:rsidRPr="003714E2">
        <w:rPr>
          <w:i/>
        </w:rPr>
        <w:t>s invited to comment on this issue.</w:t>
      </w:r>
    </w:p>
    <w:p w:rsidR="00A73286" w:rsidRDefault="00A73286" w:rsidP="003714E2">
      <w:r>
        <w:t xml:space="preserve">There have been varied views on whether or not levothyroxine is a narrow therapeutic index drug and this is being debated by various clinical endocrinologists. Since there is no specific definition for </w:t>
      </w:r>
      <w:r w:rsidR="005E15CF">
        <w:t>Narrow Therapeutic Index (</w:t>
      </w:r>
      <w:r>
        <w:t>NTI</w:t>
      </w:r>
      <w:r w:rsidR="005E15CF">
        <w:t>)</w:t>
      </w:r>
      <w:r>
        <w:t xml:space="preserve"> drugs in the TGA and EMA guidelines, </w:t>
      </w:r>
      <w:r w:rsidR="005E15CF">
        <w:t>the sponsor</w:t>
      </w:r>
      <w:r>
        <w:t xml:space="preserve"> conclude</w:t>
      </w:r>
      <w:r w:rsidR="005E15CF">
        <w:t>s</w:t>
      </w:r>
      <w:r>
        <w:t xml:space="preserve"> that Levothyroxine is not an NTI drug, considering the following facts:</w:t>
      </w:r>
    </w:p>
    <w:p w:rsidR="00A73286" w:rsidRPr="005E15CF" w:rsidRDefault="00A73286" w:rsidP="003714E2">
      <w:pPr>
        <w:pStyle w:val="Numberbullet0"/>
        <w:numPr>
          <w:ilvl w:val="0"/>
          <w:numId w:val="12"/>
        </w:numPr>
        <w:ind w:left="357" w:hanging="357"/>
      </w:pPr>
      <w:r w:rsidRPr="003714E2">
        <w:t>The</w:t>
      </w:r>
      <w:r w:rsidRPr="005E15CF">
        <w:t xml:space="preserve"> difference between minimum toxic and minimum effective concentrations of levothyroxine is more than two fold.</w:t>
      </w:r>
    </w:p>
    <w:p w:rsidR="00A73286" w:rsidRPr="005E15CF" w:rsidRDefault="00A73286" w:rsidP="003714E2">
      <w:pPr>
        <w:pStyle w:val="Numberbullet0"/>
      </w:pPr>
      <w:r w:rsidRPr="003714E2">
        <w:t>Acute</w:t>
      </w:r>
      <w:r w:rsidRPr="005E15CF">
        <w:t xml:space="preserve"> toxicity and a possible need for therapeutic dose monitoring are usually key characteristics of NTI drugs in practice. However, studies have been conducted using a supratherapeutic dose of 600 </w:t>
      </w:r>
      <w:r w:rsidR="005E15CF">
        <w:t>µ</w:t>
      </w:r>
      <w:r w:rsidRPr="005E15CF">
        <w:t xml:space="preserve">g (three times the patient’s daily dose) under direct observation, where in there were no serious safety issues. Even in this current study (ARL/11/201), the dose of 600 </w:t>
      </w:r>
      <w:r w:rsidR="005E15CF">
        <w:t>µ</w:t>
      </w:r>
      <w:r w:rsidRPr="005E15CF">
        <w:t>g was well</w:t>
      </w:r>
      <w:r w:rsidR="005E15CF">
        <w:t xml:space="preserve"> </w:t>
      </w:r>
      <w:r w:rsidRPr="005E15CF">
        <w:t>tolerated and there were no safety issues encountered.</w:t>
      </w:r>
    </w:p>
    <w:p w:rsidR="00A73286" w:rsidRDefault="00A73286" w:rsidP="003714E2">
      <w:r>
        <w:t>Therefore, acute toxicity with well over thrice the daily requirement of levothyroxine did not pose safety risks, at least over the short term. In this sense, levothyroxine does not fall into the NTI category.</w:t>
      </w:r>
    </w:p>
    <w:p w:rsidR="00A73286" w:rsidRDefault="00A73286" w:rsidP="003714E2">
      <w:pPr>
        <w:pStyle w:val="Heading5"/>
      </w:pPr>
      <w:r>
        <w:lastRenderedPageBreak/>
        <w:t xml:space="preserve">Delegate’s </w:t>
      </w:r>
      <w:r w:rsidR="003714E2" w:rsidRPr="003714E2">
        <w:t>o</w:t>
      </w:r>
      <w:r w:rsidRPr="003714E2">
        <w:t>verview</w:t>
      </w:r>
      <w:r>
        <w:t xml:space="preserve"> - Questions for the sponsor</w:t>
      </w:r>
    </w:p>
    <w:p w:rsidR="00A73286" w:rsidRPr="003714E2" w:rsidRDefault="00A73286" w:rsidP="003714E2">
      <w:pPr>
        <w:rPr>
          <w:i/>
        </w:rPr>
      </w:pPr>
      <w:r w:rsidRPr="003714E2">
        <w:rPr>
          <w:i/>
        </w:rPr>
        <w:t xml:space="preserve">Does the Sponsor have any update on the regulatory status of </w:t>
      </w:r>
      <w:proofErr w:type="spellStart"/>
      <w:r w:rsidR="001C6628" w:rsidRPr="003714E2">
        <w:rPr>
          <w:i/>
        </w:rPr>
        <w:t>Eltroxin</w:t>
      </w:r>
      <w:proofErr w:type="spellEnd"/>
      <w:r w:rsidRPr="003714E2">
        <w:rPr>
          <w:i/>
        </w:rPr>
        <w:t xml:space="preserve"> in the EU, US, South Africa and Brazil? Updated information is provided under section A3b-International regulatory history.</w:t>
      </w:r>
    </w:p>
    <w:p w:rsidR="00A73286" w:rsidRPr="003714E2" w:rsidRDefault="00A73286" w:rsidP="003714E2">
      <w:pPr>
        <w:rPr>
          <w:i/>
        </w:rPr>
      </w:pPr>
      <w:r w:rsidRPr="003714E2">
        <w:rPr>
          <w:i/>
        </w:rPr>
        <w:t xml:space="preserve">Has the sponsor had any discussions/meetings with the EMA or FDA about the current formulation of </w:t>
      </w:r>
      <w:proofErr w:type="spellStart"/>
      <w:r w:rsidR="001C6628" w:rsidRPr="003714E2">
        <w:rPr>
          <w:i/>
        </w:rPr>
        <w:t>Eltroxin</w:t>
      </w:r>
      <w:proofErr w:type="spellEnd"/>
      <w:r w:rsidRPr="003714E2">
        <w:rPr>
          <w:i/>
        </w:rPr>
        <w:t>; and if so, what was the outcome? There have been no discussions/meetings between with the EMA or FDA.</w:t>
      </w:r>
    </w:p>
    <w:p w:rsidR="00A73286" w:rsidRDefault="00A73286" w:rsidP="003714E2">
      <w:r>
        <w:t>As a result of the ongoing evaluation in the EU we have received the Day 120 draft assessment report from the Reference Member State (The Netherlands) on 10 Jan 2014. Although this application is still in progress the assessment report contains the following:</w:t>
      </w:r>
    </w:p>
    <w:p w:rsidR="00A73286" w:rsidRDefault="00A73286" w:rsidP="003714E2">
      <w:pPr>
        <w:pStyle w:val="ListBullet"/>
      </w:pPr>
      <w:r>
        <w:t xml:space="preserve">Based on the review of the data on quality, safety and efficacy, the RMS considers that the application </w:t>
      </w:r>
      <w:r w:rsidRPr="003714E2">
        <w:t>for</w:t>
      </w:r>
      <w:r>
        <w:t xml:space="preserve"> </w:t>
      </w:r>
      <w:proofErr w:type="spellStart"/>
      <w:r>
        <w:t>Levothyroxin</w:t>
      </w:r>
      <w:proofErr w:type="spellEnd"/>
      <w:r>
        <w:t xml:space="preserve"> Vale could be approvable provided that satisfactory responses are given to the preliminary list of questions.</w:t>
      </w:r>
    </w:p>
    <w:p w:rsidR="00A73286" w:rsidRDefault="00A73286" w:rsidP="003714E2">
      <w:pPr>
        <w:pStyle w:val="ListBullet"/>
      </w:pPr>
      <w:r>
        <w:t xml:space="preserve">Section V </w:t>
      </w:r>
      <w:r w:rsidRPr="003714E2">
        <w:t>includes</w:t>
      </w:r>
      <w:r>
        <w:t xml:space="preserve"> five questions. One question relates to the tightening of the dissolution specification. The dissolution methodology has been accepted.</w:t>
      </w:r>
    </w:p>
    <w:p w:rsidR="00A73286" w:rsidRDefault="00A73286" w:rsidP="003714E2">
      <w:pPr>
        <w:pStyle w:val="ListBullet"/>
      </w:pPr>
      <w:r>
        <w:t xml:space="preserve">The RMS has </w:t>
      </w:r>
      <w:r w:rsidRPr="003714E2">
        <w:t>accepted</w:t>
      </w:r>
      <w:r>
        <w:t xml:space="preserve"> the bioequivalence study results and the biowaiver requests for the lower strengths.</w:t>
      </w:r>
    </w:p>
    <w:p w:rsidR="00A73286" w:rsidRDefault="00A73286" w:rsidP="003714E2">
      <w:r>
        <w:t xml:space="preserve">As a result of the ongoing evaluation in the US </w:t>
      </w:r>
      <w:r w:rsidR="005E15CF">
        <w:t>the sponsor</w:t>
      </w:r>
      <w:r>
        <w:t xml:space="preserve"> ha</w:t>
      </w:r>
      <w:r w:rsidR="005E15CF">
        <w:t>s</w:t>
      </w:r>
      <w:r>
        <w:t xml:space="preserve"> received the assessment on the dissolution testing portion of our submission. Aspen is in the process of generating the additional dissolution data requested and preparing a response to this deficiency letter.</w:t>
      </w:r>
    </w:p>
    <w:p w:rsidR="00A73286" w:rsidRDefault="00A73286" w:rsidP="003714E2">
      <w:r w:rsidRPr="00831326">
        <w:t xml:space="preserve">It is Aspen’s intention to approach the USP and request inclusion of our dissolution method in the pharmacopoeia. Contact has been made with the USP and the process will be initiated once the </w:t>
      </w:r>
      <w:r w:rsidR="005E15CF" w:rsidRPr="00831326">
        <w:t>FDA</w:t>
      </w:r>
      <w:r w:rsidRPr="00831326">
        <w:t xml:space="preserve"> has accepted our dissolution method.</w:t>
      </w:r>
    </w:p>
    <w:p w:rsidR="00A73286" w:rsidRPr="003714E2" w:rsidRDefault="00A73286" w:rsidP="003714E2">
      <w:pPr>
        <w:rPr>
          <w:i/>
        </w:rPr>
      </w:pPr>
      <w:r w:rsidRPr="003714E2">
        <w:rPr>
          <w:i/>
        </w:rPr>
        <w:t xml:space="preserve">Could the sponsor provide a Dear Healthcare Provider letter, for editing by the TGA and consideration by the ACPM, that explains to prescribers the dose adjustment required for </w:t>
      </w:r>
      <w:proofErr w:type="spellStart"/>
      <w:r w:rsidR="001C6628" w:rsidRPr="003714E2">
        <w:rPr>
          <w:i/>
        </w:rPr>
        <w:t>Eltroxin</w:t>
      </w:r>
      <w:proofErr w:type="spellEnd"/>
      <w:r w:rsidRPr="003714E2">
        <w:rPr>
          <w:i/>
        </w:rPr>
        <w:t xml:space="preserve"> versus </w:t>
      </w:r>
      <w:proofErr w:type="spellStart"/>
      <w:r w:rsidR="001C6628" w:rsidRPr="003714E2">
        <w:rPr>
          <w:i/>
        </w:rPr>
        <w:t>Oroxine</w:t>
      </w:r>
      <w:proofErr w:type="spellEnd"/>
      <w:r w:rsidRPr="003714E2">
        <w:rPr>
          <w:i/>
        </w:rPr>
        <w:t>/</w:t>
      </w:r>
      <w:proofErr w:type="spellStart"/>
      <w:r w:rsidR="00F31733" w:rsidRPr="003714E2">
        <w:rPr>
          <w:i/>
        </w:rPr>
        <w:t>Eutroxsig</w:t>
      </w:r>
      <w:proofErr w:type="spellEnd"/>
      <w:r w:rsidR="003714E2">
        <w:rPr>
          <w:i/>
        </w:rPr>
        <w:t>?</w:t>
      </w:r>
    </w:p>
    <w:p w:rsidR="00A73286" w:rsidRDefault="00A73286" w:rsidP="003714E2">
      <w:r>
        <w:t xml:space="preserve">A draft Dear HealthCare Provider letter </w:t>
      </w:r>
      <w:r w:rsidR="005E15CF">
        <w:t>was included in the sponsor’s response.</w:t>
      </w:r>
    </w:p>
    <w:p w:rsidR="00A73286" w:rsidRPr="003714E2" w:rsidRDefault="00A73286" w:rsidP="003714E2">
      <w:pPr>
        <w:rPr>
          <w:i/>
        </w:rPr>
      </w:pPr>
      <w:r w:rsidRPr="003714E2">
        <w:rPr>
          <w:i/>
        </w:rPr>
        <w:t xml:space="preserve">Does the sponsor have any details on the timeline for withdrawal of </w:t>
      </w:r>
      <w:proofErr w:type="spellStart"/>
      <w:r w:rsidR="001C6628" w:rsidRPr="003714E2">
        <w:rPr>
          <w:i/>
        </w:rPr>
        <w:t>Oroxine</w:t>
      </w:r>
      <w:proofErr w:type="spellEnd"/>
      <w:r w:rsidR="005E15CF" w:rsidRPr="003714E2">
        <w:rPr>
          <w:i/>
        </w:rPr>
        <w:t>/</w:t>
      </w:r>
      <w:proofErr w:type="spellStart"/>
      <w:r w:rsidR="00F31733" w:rsidRPr="003714E2">
        <w:rPr>
          <w:i/>
        </w:rPr>
        <w:t>Eutroxsig</w:t>
      </w:r>
      <w:proofErr w:type="spellEnd"/>
      <w:r w:rsidR="005E15CF" w:rsidRPr="003714E2">
        <w:rPr>
          <w:i/>
        </w:rPr>
        <w:t xml:space="preserve"> </w:t>
      </w:r>
      <w:r w:rsidR="003714E2">
        <w:rPr>
          <w:i/>
        </w:rPr>
        <w:t>from the market?</w:t>
      </w:r>
    </w:p>
    <w:p w:rsidR="00A73286" w:rsidRDefault="00A73286" w:rsidP="003714E2">
      <w:r>
        <w:t xml:space="preserve">In order to cooperate with the TGA, Aspen is prepared to keep </w:t>
      </w:r>
      <w:proofErr w:type="spellStart"/>
      <w:r w:rsidR="001C6628">
        <w:t>Oroxine</w:t>
      </w:r>
      <w:proofErr w:type="spellEnd"/>
      <w:r w:rsidR="005E15CF">
        <w:t>/</w:t>
      </w:r>
      <w:proofErr w:type="spellStart"/>
      <w:r w:rsidR="00F31733">
        <w:t>Eutroxsig</w:t>
      </w:r>
      <w:proofErr w:type="spellEnd"/>
      <w:r w:rsidR="005E15CF">
        <w:t xml:space="preserve"> </w:t>
      </w:r>
      <w:r>
        <w:t>on the Australian market.</w:t>
      </w:r>
    </w:p>
    <w:p w:rsidR="00A73286" w:rsidRPr="003714E2" w:rsidRDefault="00A73286" w:rsidP="003714E2">
      <w:pPr>
        <w:rPr>
          <w:i/>
        </w:rPr>
      </w:pPr>
      <w:r w:rsidRPr="003714E2">
        <w:rPr>
          <w:i/>
        </w:rPr>
        <w:t xml:space="preserve">Could the sponsor provide a Dear HealthCare Provider letter, for editing by the TGA and consideration by the ACPM, that explains to doctors of patients currently taking </w:t>
      </w:r>
      <w:proofErr w:type="spellStart"/>
      <w:r w:rsidR="001C6628" w:rsidRPr="003714E2">
        <w:rPr>
          <w:i/>
        </w:rPr>
        <w:t>Oroxine</w:t>
      </w:r>
      <w:proofErr w:type="spellEnd"/>
      <w:r w:rsidRPr="003714E2">
        <w:rPr>
          <w:i/>
        </w:rPr>
        <w:t>/</w:t>
      </w:r>
      <w:proofErr w:type="spellStart"/>
      <w:r w:rsidR="00F31733" w:rsidRPr="003714E2">
        <w:rPr>
          <w:i/>
        </w:rPr>
        <w:t>Eutroxsig</w:t>
      </w:r>
      <w:proofErr w:type="spellEnd"/>
      <w:r w:rsidRPr="003714E2">
        <w:rPr>
          <w:i/>
        </w:rPr>
        <w:t xml:space="preserve">, how to manage the switch to </w:t>
      </w:r>
      <w:proofErr w:type="spellStart"/>
      <w:r w:rsidR="001C6628" w:rsidRPr="003714E2">
        <w:rPr>
          <w:i/>
        </w:rPr>
        <w:t>Eltroxin</w:t>
      </w:r>
      <w:proofErr w:type="spellEnd"/>
      <w:r w:rsidRPr="003714E2">
        <w:rPr>
          <w:i/>
        </w:rPr>
        <w:t>? (</w:t>
      </w:r>
      <w:proofErr w:type="gramStart"/>
      <w:r w:rsidRPr="003714E2">
        <w:rPr>
          <w:i/>
        </w:rPr>
        <w:t>should</w:t>
      </w:r>
      <w:proofErr w:type="gramEnd"/>
      <w:r w:rsidRPr="003714E2">
        <w:rPr>
          <w:i/>
        </w:rPr>
        <w:t xml:space="preserve"> </w:t>
      </w:r>
      <w:proofErr w:type="spellStart"/>
      <w:r w:rsidR="001C6628" w:rsidRPr="003714E2">
        <w:rPr>
          <w:i/>
        </w:rPr>
        <w:t>Oroxine</w:t>
      </w:r>
      <w:proofErr w:type="spellEnd"/>
      <w:r w:rsidRPr="003714E2">
        <w:rPr>
          <w:i/>
        </w:rPr>
        <w:t>/</w:t>
      </w:r>
      <w:proofErr w:type="spellStart"/>
      <w:r w:rsidR="00F31733" w:rsidRPr="003714E2">
        <w:rPr>
          <w:i/>
        </w:rPr>
        <w:t>Eutroxsig</w:t>
      </w:r>
      <w:proofErr w:type="spellEnd"/>
      <w:r w:rsidR="005E15CF" w:rsidRPr="003714E2">
        <w:rPr>
          <w:i/>
        </w:rPr>
        <w:t xml:space="preserve"> </w:t>
      </w:r>
      <w:r w:rsidR="003714E2">
        <w:rPr>
          <w:i/>
        </w:rPr>
        <w:t>be withdrawn).</w:t>
      </w:r>
    </w:p>
    <w:p w:rsidR="00A73286" w:rsidRPr="00C864BE" w:rsidRDefault="00A73286" w:rsidP="003714E2">
      <w:r>
        <w:t xml:space="preserve">Aspen agrees to maintain </w:t>
      </w:r>
      <w:proofErr w:type="spellStart"/>
      <w:r w:rsidR="001C6628">
        <w:t>Oroxine</w:t>
      </w:r>
      <w:proofErr w:type="spellEnd"/>
      <w:r>
        <w:t>/</w:t>
      </w:r>
      <w:proofErr w:type="spellStart"/>
      <w:r w:rsidR="00F31733">
        <w:t>Eutroxsig</w:t>
      </w:r>
      <w:proofErr w:type="spellEnd"/>
      <w:r w:rsidR="005E15CF">
        <w:t xml:space="preserve"> </w:t>
      </w:r>
      <w:r>
        <w:t>on the Australian market.</w:t>
      </w:r>
    </w:p>
    <w:p w:rsidR="008E7846" w:rsidRDefault="008E7846" w:rsidP="003714E2">
      <w:pPr>
        <w:pStyle w:val="Heading4"/>
      </w:pPr>
      <w:r>
        <w:t xml:space="preserve">Advisory </w:t>
      </w:r>
      <w:r w:rsidR="003714E2">
        <w:t>c</w:t>
      </w:r>
      <w:r w:rsidRPr="003714E2">
        <w:t>ommittee</w:t>
      </w:r>
      <w:r>
        <w:t xml:space="preserve"> </w:t>
      </w:r>
      <w:r w:rsidR="003714E2" w:rsidRPr="003714E2">
        <w:t>c</w:t>
      </w:r>
      <w:r w:rsidRPr="003714E2">
        <w:t>onsiderations</w:t>
      </w:r>
    </w:p>
    <w:p w:rsidR="008E7846" w:rsidRDefault="00D23139" w:rsidP="003714E2">
      <w:r w:rsidRPr="00D23139">
        <w:t>The Advisory Committee on Prescription Medicines (ACPM), having considered the evaluations and the Delegate’s overview, as well as the sponsor’s response to these documents, advised the following:</w:t>
      </w:r>
    </w:p>
    <w:p w:rsidR="00A44642" w:rsidRPr="0020333E" w:rsidRDefault="00A44642" w:rsidP="003714E2">
      <w:r w:rsidRPr="0020333E">
        <w:t>The submission seeks to register a new generic medicine and a major variation (strength) for a currently registered product.</w:t>
      </w:r>
    </w:p>
    <w:p w:rsidR="00A44642" w:rsidRPr="000B51BB" w:rsidRDefault="00A44642" w:rsidP="003714E2">
      <w:pPr>
        <w:rPr>
          <w:lang w:eastAsia="en-AU"/>
        </w:rPr>
      </w:pPr>
      <w:r w:rsidRPr="000B51BB">
        <w:rPr>
          <w:lang w:eastAsia="en-AU"/>
        </w:rPr>
        <w:t>The ACPM resolved to recommend to the TGA delegate of t</w:t>
      </w:r>
      <w:r w:rsidR="003714E2">
        <w:rPr>
          <w:lang w:eastAsia="en-AU"/>
        </w:rPr>
        <w:t>he Minister and Secretary that:</w:t>
      </w:r>
    </w:p>
    <w:p w:rsidR="00A44642" w:rsidRPr="003714E2" w:rsidRDefault="00A44642" w:rsidP="003714E2">
      <w:r w:rsidRPr="00831326">
        <w:rPr>
          <w:rFonts w:cs="Calibri"/>
          <w:color w:val="000000"/>
          <w:lang w:eastAsia="ja-JP"/>
        </w:rPr>
        <w:lastRenderedPageBreak/>
        <w:t xml:space="preserve">The ACPM, taking into account the submitted evidence of efficacy, safety and quality, agreed with the delegate and considered </w:t>
      </w:r>
      <w:proofErr w:type="spellStart"/>
      <w:r w:rsidR="00FC4619" w:rsidRPr="00831326">
        <w:rPr>
          <w:lang w:eastAsia="ja-JP"/>
        </w:rPr>
        <w:t>Eltroxin</w:t>
      </w:r>
      <w:proofErr w:type="spellEnd"/>
      <w:r w:rsidR="00FC4619" w:rsidRPr="00831326">
        <w:rPr>
          <w:lang w:eastAsia="ja-JP"/>
        </w:rPr>
        <w:t xml:space="preserve"> / Aspen </w:t>
      </w:r>
      <w:proofErr w:type="spellStart"/>
      <w:r w:rsidR="00FC4619" w:rsidRPr="00831326">
        <w:rPr>
          <w:lang w:eastAsia="ja-JP"/>
        </w:rPr>
        <w:t>Thyroxine</w:t>
      </w:r>
      <w:proofErr w:type="spellEnd"/>
      <w:r w:rsidR="00FC4619" w:rsidRPr="00831326">
        <w:rPr>
          <w:lang w:eastAsia="ja-JP"/>
        </w:rPr>
        <w:t xml:space="preserve"> / Thyroxine Aspen</w:t>
      </w:r>
      <w:r w:rsidRPr="00831326">
        <w:rPr>
          <w:lang w:eastAsia="ja-JP"/>
        </w:rPr>
        <w:t xml:space="preserve"> tablet containing 25 µg, 50 µg, 75 µg, 88 µg, 100 µg, 112 µg, 125 µg, 137 µg, 150 µg, 175 µg </w:t>
      </w:r>
      <w:r w:rsidR="00FC4619" w:rsidRPr="00831326">
        <w:rPr>
          <w:lang w:eastAsia="ja-JP"/>
        </w:rPr>
        <w:t>and</w:t>
      </w:r>
      <w:r w:rsidRPr="00831326">
        <w:rPr>
          <w:lang w:eastAsia="ja-JP"/>
        </w:rPr>
        <w:t xml:space="preserve"> 200 µg of levothyroxine sodium</w:t>
      </w:r>
      <w:r w:rsidRPr="00831326">
        <w:rPr>
          <w:b/>
          <w:lang w:eastAsia="ja-JP"/>
        </w:rPr>
        <w:t xml:space="preserve"> </w:t>
      </w:r>
      <w:r w:rsidRPr="00831326">
        <w:rPr>
          <w:rFonts w:cs="Calibri"/>
          <w:color w:val="000000"/>
          <w:lang w:eastAsia="ja-JP"/>
        </w:rPr>
        <w:t xml:space="preserve">to have an overall positive benefit–risk profile </w:t>
      </w:r>
      <w:r w:rsidRPr="00831326">
        <w:rPr>
          <w:rFonts w:cs="Calibri"/>
          <w:lang w:eastAsia="ja-JP"/>
        </w:rPr>
        <w:t>for the amended indication</w:t>
      </w:r>
      <w:r w:rsidRPr="003714E2">
        <w:t>;</w:t>
      </w:r>
    </w:p>
    <w:p w:rsidR="00A44642" w:rsidRPr="003714E2" w:rsidRDefault="00FC4619" w:rsidP="003714E2">
      <w:pPr>
        <w:ind w:left="357"/>
        <w:rPr>
          <w:rFonts w:cs="Calibri"/>
          <w:i/>
          <w:color w:val="000000"/>
          <w:lang w:eastAsia="ja-JP"/>
        </w:rPr>
      </w:pPr>
      <w:proofErr w:type="spellStart"/>
      <w:r w:rsidRPr="003714E2">
        <w:rPr>
          <w:i/>
          <w:lang w:eastAsia="ja-JP"/>
        </w:rPr>
        <w:t>Eltroxin</w:t>
      </w:r>
      <w:proofErr w:type="spellEnd"/>
      <w:r w:rsidRPr="003714E2">
        <w:rPr>
          <w:i/>
          <w:lang w:eastAsia="ja-JP"/>
        </w:rPr>
        <w:t xml:space="preserve"> </w:t>
      </w:r>
      <w:r w:rsidR="003714E2">
        <w:rPr>
          <w:i/>
          <w:lang w:eastAsia="ja-JP"/>
        </w:rPr>
        <w:t>is indicated for</w:t>
      </w:r>
    </w:p>
    <w:p w:rsidR="00A44642" w:rsidRPr="003714E2" w:rsidRDefault="00A44642" w:rsidP="003714E2">
      <w:pPr>
        <w:pStyle w:val="ListBullet"/>
        <w:rPr>
          <w:i/>
          <w:lang w:eastAsia="ja-JP"/>
        </w:rPr>
      </w:pPr>
      <w:r w:rsidRPr="003714E2">
        <w:rPr>
          <w:i/>
          <w:lang w:eastAsia="ja-JP"/>
        </w:rPr>
        <w:t>management of demonstrated thyroid hormone deficiency</w:t>
      </w:r>
    </w:p>
    <w:p w:rsidR="00A44642" w:rsidRPr="003714E2" w:rsidRDefault="00A44642" w:rsidP="003714E2">
      <w:pPr>
        <w:pStyle w:val="ListBullet"/>
        <w:rPr>
          <w:i/>
          <w:lang w:eastAsia="ja-JP"/>
        </w:rPr>
      </w:pPr>
      <w:r w:rsidRPr="003714E2">
        <w:rPr>
          <w:i/>
          <w:lang w:eastAsia="ja-JP"/>
        </w:rPr>
        <w:t xml:space="preserve">suppression of </w:t>
      </w:r>
      <w:proofErr w:type="spellStart"/>
      <w:r w:rsidRPr="003714E2">
        <w:rPr>
          <w:i/>
          <w:lang w:eastAsia="ja-JP"/>
        </w:rPr>
        <w:t>thyrotropin</w:t>
      </w:r>
      <w:proofErr w:type="spellEnd"/>
      <w:r w:rsidRPr="003714E2">
        <w:rPr>
          <w:i/>
          <w:lang w:eastAsia="ja-JP"/>
        </w:rPr>
        <w:t xml:space="preserve"> (TSH) for the management of TSH-responsive tumours of the thyroid</w:t>
      </w:r>
    </w:p>
    <w:p w:rsidR="00A44642" w:rsidRPr="00E047AD" w:rsidRDefault="00A44642" w:rsidP="003714E2">
      <w:pPr>
        <w:rPr>
          <w:lang w:eastAsia="ja-JP"/>
        </w:rPr>
      </w:pPr>
      <w:r w:rsidRPr="0077713B">
        <w:rPr>
          <w:lang w:eastAsia="ja-JP"/>
        </w:rPr>
        <w:t>The ACPM advised that ‘</w:t>
      </w:r>
      <w:proofErr w:type="spellStart"/>
      <w:r w:rsidR="00FC4619" w:rsidRPr="0077713B">
        <w:rPr>
          <w:lang w:eastAsia="ja-JP"/>
        </w:rPr>
        <w:t>Eltroxin</w:t>
      </w:r>
      <w:proofErr w:type="spellEnd"/>
      <w:r w:rsidR="00FC4619" w:rsidRPr="0077713B">
        <w:rPr>
          <w:lang w:eastAsia="ja-JP"/>
        </w:rPr>
        <w:t xml:space="preserve"> </w:t>
      </w:r>
      <w:r w:rsidRPr="0077713B">
        <w:rPr>
          <w:lang w:eastAsia="ja-JP"/>
        </w:rPr>
        <w:t xml:space="preserve">has also been used in the management of thyroiditis such as Hashimoto’s disease’ is redundant; it may have been necessary prior to the development of TSH assays. The indication </w:t>
      </w:r>
      <w:r w:rsidRPr="0077713B">
        <w:rPr>
          <w:i/>
          <w:lang w:eastAsia="ja-JP"/>
        </w:rPr>
        <w:t>'demonstrated thyroid hormone deficiency'</w:t>
      </w:r>
      <w:r w:rsidRPr="0077713B">
        <w:rPr>
          <w:lang w:eastAsia="ja-JP"/>
        </w:rPr>
        <w:t xml:space="preserve"> includes raised TSH in mild (primary) thyroid failure as well as overt clinical and biochemical hypothyroidism, and the various degrees of secondary hypothyroidism.</w:t>
      </w:r>
    </w:p>
    <w:p w:rsidR="00A44642" w:rsidRPr="000B51BB" w:rsidRDefault="00A44642" w:rsidP="00A158A3">
      <w:pPr>
        <w:pStyle w:val="Heading5"/>
        <w:rPr>
          <w:rFonts w:eastAsia="MS Mincho"/>
          <w:lang w:eastAsia="ja-JP"/>
        </w:rPr>
      </w:pPr>
      <w:r w:rsidRPr="000B51BB">
        <w:rPr>
          <w:rFonts w:eastAsia="MS Mincho"/>
          <w:lang w:eastAsia="ja-JP"/>
        </w:rPr>
        <w:t>Prop</w:t>
      </w:r>
      <w:r w:rsidR="00FC4619">
        <w:rPr>
          <w:rFonts w:eastAsia="MS Mincho"/>
          <w:lang w:eastAsia="ja-JP"/>
        </w:rPr>
        <w:t xml:space="preserve">osed </w:t>
      </w:r>
      <w:r w:rsidR="00FC4619" w:rsidRPr="00A158A3">
        <w:rPr>
          <w:rFonts w:eastAsia="MS Mincho"/>
        </w:rPr>
        <w:t>conditions</w:t>
      </w:r>
      <w:r w:rsidR="00FC4619">
        <w:rPr>
          <w:rFonts w:eastAsia="MS Mincho"/>
          <w:lang w:eastAsia="ja-JP"/>
        </w:rPr>
        <w:t xml:space="preserve"> of registration</w:t>
      </w:r>
    </w:p>
    <w:p w:rsidR="00A44642" w:rsidRPr="000B51BB" w:rsidRDefault="00A44642" w:rsidP="00A158A3">
      <w:pPr>
        <w:rPr>
          <w:rFonts w:eastAsia="MS Mincho" w:cs="Calibri"/>
          <w:color w:val="000000"/>
          <w:lang w:eastAsia="ja-JP"/>
        </w:rPr>
      </w:pPr>
      <w:r w:rsidRPr="0020333E">
        <w:rPr>
          <w:rFonts w:cs="Calibri"/>
          <w:color w:val="000000" w:themeColor="text1"/>
        </w:rPr>
        <w:t>T</w:t>
      </w:r>
      <w:r w:rsidRPr="0020333E">
        <w:t xml:space="preserve">he ACPM agreed with the </w:t>
      </w:r>
      <w:r w:rsidR="00FC4619">
        <w:t>D</w:t>
      </w:r>
      <w:r w:rsidRPr="0020333E">
        <w:t>elegate on the proposed conditions of registration and specifically advised on the inclusion of the following:</w:t>
      </w:r>
    </w:p>
    <w:p w:rsidR="00A44642" w:rsidRPr="000B51BB" w:rsidRDefault="00A44642" w:rsidP="00A158A3">
      <w:pPr>
        <w:pStyle w:val="ListBullet"/>
        <w:rPr>
          <w:rFonts w:cs="Arial"/>
          <w:bCs/>
          <w:iCs/>
          <w:lang w:eastAsia="ja-JP"/>
        </w:rPr>
      </w:pPr>
      <w:r w:rsidRPr="000B51BB">
        <w:rPr>
          <w:lang w:eastAsia="ja-JP"/>
        </w:rPr>
        <w:t xml:space="preserve">Subject to </w:t>
      </w:r>
      <w:r w:rsidRPr="00A158A3">
        <w:t>satisfactory</w:t>
      </w:r>
      <w:r w:rsidRPr="000B51BB">
        <w:rPr>
          <w:lang w:eastAsia="ja-JP"/>
        </w:rPr>
        <w:t xml:space="preserve"> implementation of the Risk Management Plan most recently negotiated by the TGA</w:t>
      </w:r>
      <w:r w:rsidRPr="000B51BB">
        <w:rPr>
          <w:rFonts w:cs="Arial"/>
          <w:bCs/>
          <w:iCs/>
          <w:lang w:eastAsia="ja-JP"/>
        </w:rPr>
        <w:t>.</w:t>
      </w:r>
    </w:p>
    <w:p w:rsidR="00A44642" w:rsidRPr="000B51BB" w:rsidRDefault="00A44642" w:rsidP="00A158A3">
      <w:pPr>
        <w:pStyle w:val="ListBullet"/>
        <w:rPr>
          <w:lang w:eastAsia="ja-JP"/>
        </w:rPr>
      </w:pPr>
      <w:r w:rsidRPr="000B51BB">
        <w:rPr>
          <w:lang w:eastAsia="ja-JP"/>
        </w:rPr>
        <w:t xml:space="preserve">Negotiation </w:t>
      </w:r>
      <w:r w:rsidRPr="00A158A3">
        <w:t>of</w:t>
      </w:r>
      <w:r w:rsidRPr="000B51BB">
        <w:rPr>
          <w:lang w:eastAsia="ja-JP"/>
        </w:rPr>
        <w:t xml:space="preserve"> Product Information and Consumer Medicines Information to the satisfaction of the TGA</w:t>
      </w:r>
      <w:r w:rsidR="00A158A3">
        <w:rPr>
          <w:lang w:eastAsia="ja-JP"/>
        </w:rPr>
        <w:t>.</w:t>
      </w:r>
    </w:p>
    <w:p w:rsidR="00A44642" w:rsidRPr="000B51BB" w:rsidRDefault="00A44642" w:rsidP="00A158A3">
      <w:pPr>
        <w:pStyle w:val="Heading5"/>
        <w:rPr>
          <w:rFonts w:eastAsia="MS Mincho"/>
          <w:u w:val="single"/>
          <w:lang w:eastAsia="ja-JP"/>
        </w:rPr>
      </w:pPr>
      <w:r w:rsidRPr="000B51BB">
        <w:rPr>
          <w:rFonts w:eastAsia="MS Mincho"/>
          <w:lang w:eastAsia="ja-JP"/>
        </w:rPr>
        <w:t xml:space="preserve">Proposed Product </w:t>
      </w:r>
      <w:r w:rsidRPr="00A158A3">
        <w:rPr>
          <w:rFonts w:eastAsia="MS Mincho"/>
        </w:rPr>
        <w:t>Information</w:t>
      </w:r>
      <w:r w:rsidRPr="000B51BB">
        <w:rPr>
          <w:rFonts w:eastAsia="MS Mincho"/>
          <w:lang w:eastAsia="ja-JP"/>
        </w:rPr>
        <w:t xml:space="preserve"> (PI)/Consumer Medicine Information (CMI) amendments</w:t>
      </w:r>
    </w:p>
    <w:p w:rsidR="00A44642" w:rsidRDefault="00A44642" w:rsidP="00A158A3">
      <w:pPr>
        <w:rPr>
          <w:lang w:eastAsia="ja-JP"/>
        </w:rPr>
      </w:pPr>
      <w:r w:rsidRPr="000B51BB">
        <w:rPr>
          <w:lang w:eastAsia="ja-JP"/>
        </w:rPr>
        <w:t xml:space="preserve">The ACPM agreed with the delegate to the proposed amendments to the Product Information (PI) and Consumer Medicine Information (CMI) and specifically advised on </w:t>
      </w:r>
      <w:r w:rsidR="00FC4619">
        <w:rPr>
          <w:lang w:eastAsia="ja-JP"/>
        </w:rPr>
        <w:t xml:space="preserve">some </w:t>
      </w:r>
      <w:r w:rsidRPr="000B51BB">
        <w:rPr>
          <w:lang w:eastAsia="ja-JP"/>
        </w:rPr>
        <w:t>inclusion</w:t>
      </w:r>
      <w:r w:rsidR="00FC4619">
        <w:rPr>
          <w:lang w:eastAsia="ja-JP"/>
        </w:rPr>
        <w:t>s for the PI, the details of these are however are b</w:t>
      </w:r>
      <w:r w:rsidR="00A158A3">
        <w:rPr>
          <w:lang w:eastAsia="ja-JP"/>
        </w:rPr>
        <w:t xml:space="preserve">eyond the scope of this </w:t>
      </w:r>
      <w:proofErr w:type="spellStart"/>
      <w:r w:rsidR="00A158A3">
        <w:rPr>
          <w:lang w:eastAsia="ja-JP"/>
        </w:rPr>
        <w:t>AusPAR</w:t>
      </w:r>
      <w:proofErr w:type="spellEnd"/>
      <w:r w:rsidR="00A158A3">
        <w:rPr>
          <w:lang w:eastAsia="ja-JP"/>
        </w:rPr>
        <w:t>.</w:t>
      </w:r>
    </w:p>
    <w:p w:rsidR="00A44642" w:rsidRPr="000B51BB" w:rsidRDefault="00FC4619" w:rsidP="00A158A3">
      <w:pPr>
        <w:pStyle w:val="Heading5"/>
        <w:rPr>
          <w:rFonts w:eastAsia="MS Mincho"/>
          <w:highlight w:val="yellow"/>
          <w:lang w:eastAsia="ja-JP"/>
        </w:rPr>
      </w:pPr>
      <w:r>
        <w:rPr>
          <w:rFonts w:eastAsia="MS Mincho"/>
          <w:lang w:eastAsia="ja-JP"/>
        </w:rPr>
        <w:t xml:space="preserve">Specific </w:t>
      </w:r>
      <w:r w:rsidR="00A158A3">
        <w:rPr>
          <w:rFonts w:eastAsia="MS Mincho"/>
          <w:lang w:eastAsia="ja-JP"/>
        </w:rPr>
        <w:t>a</w:t>
      </w:r>
      <w:r>
        <w:rPr>
          <w:rFonts w:eastAsia="MS Mincho"/>
          <w:lang w:eastAsia="ja-JP"/>
        </w:rPr>
        <w:t>dvice</w:t>
      </w:r>
    </w:p>
    <w:p w:rsidR="00A44642" w:rsidRPr="00A158A3" w:rsidRDefault="00A44642" w:rsidP="00A158A3">
      <w:pPr>
        <w:pStyle w:val="Numberbullet0"/>
        <w:numPr>
          <w:ilvl w:val="0"/>
          <w:numId w:val="15"/>
        </w:numPr>
        <w:ind w:left="357" w:hanging="357"/>
        <w:rPr>
          <w:i/>
        </w:rPr>
      </w:pPr>
      <w:r w:rsidRPr="00A158A3">
        <w:rPr>
          <w:i/>
        </w:rPr>
        <w:t xml:space="preserve">Does the ACPM consider that the sponsor has submitted sufficient evidence to establish that </w:t>
      </w:r>
      <w:proofErr w:type="spellStart"/>
      <w:r w:rsidR="00FC4619" w:rsidRPr="00A158A3">
        <w:rPr>
          <w:i/>
        </w:rPr>
        <w:t>Eltroxin</w:t>
      </w:r>
      <w:proofErr w:type="spellEnd"/>
      <w:r w:rsidR="00FC4619" w:rsidRPr="00A158A3">
        <w:rPr>
          <w:i/>
        </w:rPr>
        <w:t xml:space="preserve"> </w:t>
      </w:r>
      <w:r w:rsidRPr="00A158A3">
        <w:rPr>
          <w:i/>
        </w:rPr>
        <w:t xml:space="preserve">is a generic of </w:t>
      </w:r>
      <w:proofErr w:type="spellStart"/>
      <w:r w:rsidR="00FC4619" w:rsidRPr="00A158A3">
        <w:rPr>
          <w:i/>
        </w:rPr>
        <w:t>Oroxine</w:t>
      </w:r>
      <w:proofErr w:type="spellEnd"/>
      <w:r w:rsidR="00FC4619" w:rsidRPr="00A158A3">
        <w:rPr>
          <w:i/>
        </w:rPr>
        <w:t>/</w:t>
      </w:r>
      <w:proofErr w:type="spellStart"/>
      <w:r w:rsidR="00FC4619" w:rsidRPr="00A158A3">
        <w:rPr>
          <w:i/>
        </w:rPr>
        <w:t>Eutroxsig</w:t>
      </w:r>
      <w:proofErr w:type="spellEnd"/>
      <w:r w:rsidR="00FC4619" w:rsidRPr="00A158A3">
        <w:rPr>
          <w:i/>
        </w:rPr>
        <w:t xml:space="preserve"> </w:t>
      </w:r>
      <w:r w:rsidRPr="00A158A3">
        <w:rPr>
          <w:i/>
        </w:rPr>
        <w:t xml:space="preserve">and could be used interchangeably, on a same-dose basis, with </w:t>
      </w:r>
      <w:proofErr w:type="spellStart"/>
      <w:r w:rsidR="00FC4619" w:rsidRPr="00A158A3">
        <w:rPr>
          <w:i/>
        </w:rPr>
        <w:t>Oroxine</w:t>
      </w:r>
      <w:proofErr w:type="spellEnd"/>
      <w:r w:rsidR="00FC4619" w:rsidRPr="00A158A3">
        <w:rPr>
          <w:i/>
        </w:rPr>
        <w:t>/</w:t>
      </w:r>
      <w:proofErr w:type="spellStart"/>
      <w:r w:rsidR="00FC4619" w:rsidRPr="00A158A3">
        <w:rPr>
          <w:i/>
        </w:rPr>
        <w:t>Eutroxsig</w:t>
      </w:r>
      <w:proofErr w:type="spellEnd"/>
      <w:r w:rsidRPr="00A158A3">
        <w:rPr>
          <w:i/>
        </w:rPr>
        <w:t>?</w:t>
      </w:r>
    </w:p>
    <w:p w:rsidR="00A44642" w:rsidRDefault="00A44642" w:rsidP="00A158A3">
      <w:pPr>
        <w:rPr>
          <w:lang w:eastAsia="ja-JP"/>
        </w:rPr>
      </w:pPr>
      <w:r w:rsidRPr="000B51BB">
        <w:rPr>
          <w:lang w:eastAsia="ja-JP"/>
        </w:rPr>
        <w:t xml:space="preserve">The ACPM </w:t>
      </w:r>
      <w:r>
        <w:rPr>
          <w:lang w:eastAsia="ja-JP"/>
        </w:rPr>
        <w:t>advised</w:t>
      </w:r>
      <w:r w:rsidRPr="000B51BB">
        <w:rPr>
          <w:lang w:eastAsia="ja-JP"/>
        </w:rPr>
        <w:t xml:space="preserve"> that</w:t>
      </w:r>
      <w:r>
        <w:rPr>
          <w:lang w:eastAsia="ja-JP"/>
        </w:rPr>
        <w:t>,</w:t>
      </w:r>
      <w:r w:rsidRPr="000B51BB">
        <w:rPr>
          <w:lang w:eastAsia="ja-JP"/>
        </w:rPr>
        <w:t xml:space="preserve"> </w:t>
      </w:r>
      <w:r w:rsidR="00A158A3">
        <w:rPr>
          <w:lang w:eastAsia="ja-JP"/>
        </w:rPr>
        <w:t>from the evidence submitted,</w:t>
      </w:r>
    </w:p>
    <w:p w:rsidR="00A44642" w:rsidRPr="0079129E" w:rsidRDefault="00FC4619" w:rsidP="00A158A3">
      <w:pPr>
        <w:pStyle w:val="ListBullet"/>
        <w:rPr>
          <w:lang w:eastAsia="ja-JP"/>
        </w:rPr>
      </w:pPr>
      <w:proofErr w:type="spellStart"/>
      <w:r w:rsidRPr="000B51BB">
        <w:rPr>
          <w:lang w:eastAsia="ja-JP"/>
        </w:rPr>
        <w:t>Eltroxin</w:t>
      </w:r>
      <w:proofErr w:type="spellEnd"/>
      <w:r w:rsidRPr="000B51BB">
        <w:rPr>
          <w:lang w:eastAsia="ja-JP"/>
        </w:rPr>
        <w:t xml:space="preserve"> </w:t>
      </w:r>
      <w:r w:rsidR="00A44642" w:rsidRPr="000B51BB">
        <w:rPr>
          <w:lang w:eastAsia="ja-JP"/>
        </w:rPr>
        <w:t xml:space="preserve">is not </w:t>
      </w:r>
      <w:r w:rsidR="00A44642" w:rsidRPr="0079129E">
        <w:rPr>
          <w:lang w:eastAsia="ja-JP"/>
        </w:rPr>
        <w:t xml:space="preserve">bioequivalent to </w:t>
      </w:r>
      <w:r w:rsidR="00A44642">
        <w:rPr>
          <w:lang w:eastAsia="ja-JP"/>
        </w:rPr>
        <w:t xml:space="preserve">the currently available products, </w:t>
      </w:r>
      <w:proofErr w:type="spellStart"/>
      <w:r w:rsidRPr="0079129E">
        <w:rPr>
          <w:lang w:eastAsia="ja-JP"/>
        </w:rPr>
        <w:t>Oroxine</w:t>
      </w:r>
      <w:proofErr w:type="spellEnd"/>
      <w:r>
        <w:rPr>
          <w:lang w:eastAsia="ja-JP"/>
        </w:rPr>
        <w:t xml:space="preserve"> / </w:t>
      </w:r>
      <w:proofErr w:type="spellStart"/>
      <w:r>
        <w:rPr>
          <w:lang w:eastAsia="ja-JP"/>
        </w:rPr>
        <w:t>Eutroxsig</w:t>
      </w:r>
      <w:proofErr w:type="spellEnd"/>
    </w:p>
    <w:p w:rsidR="00A44642" w:rsidRDefault="00A44642" w:rsidP="00A158A3">
      <w:pPr>
        <w:pStyle w:val="ListBullet"/>
        <w:rPr>
          <w:lang w:eastAsia="ja-JP"/>
        </w:rPr>
      </w:pPr>
      <w:r>
        <w:rPr>
          <w:lang w:eastAsia="ja-JP"/>
        </w:rPr>
        <w:t xml:space="preserve">is therefore not </w:t>
      </w:r>
      <w:r w:rsidRPr="0079129E">
        <w:rPr>
          <w:lang w:eastAsia="ja-JP"/>
        </w:rPr>
        <w:t>interchangeable dose</w:t>
      </w:r>
      <w:r w:rsidR="00733C41">
        <w:rPr>
          <w:lang w:eastAsia="ja-JP"/>
        </w:rPr>
        <w:t xml:space="preserve"> </w:t>
      </w:r>
      <w:r w:rsidRPr="0079129E">
        <w:rPr>
          <w:lang w:eastAsia="ja-JP"/>
        </w:rPr>
        <w:t>for</w:t>
      </w:r>
      <w:r w:rsidR="00733C41">
        <w:rPr>
          <w:lang w:eastAsia="ja-JP"/>
        </w:rPr>
        <w:t xml:space="preserve"> </w:t>
      </w:r>
      <w:r w:rsidRPr="0079129E">
        <w:rPr>
          <w:lang w:eastAsia="ja-JP"/>
        </w:rPr>
        <w:t xml:space="preserve">dose with </w:t>
      </w:r>
      <w:proofErr w:type="spellStart"/>
      <w:r w:rsidR="00FC4619" w:rsidRPr="0079129E">
        <w:rPr>
          <w:lang w:eastAsia="ja-JP"/>
        </w:rPr>
        <w:t>Oroxine</w:t>
      </w:r>
      <w:proofErr w:type="spellEnd"/>
      <w:r w:rsidR="00FC4619">
        <w:rPr>
          <w:lang w:eastAsia="ja-JP"/>
        </w:rPr>
        <w:t xml:space="preserve"> </w:t>
      </w:r>
      <w:r w:rsidR="00FC4619" w:rsidRPr="0079129E">
        <w:rPr>
          <w:lang w:eastAsia="ja-JP"/>
        </w:rPr>
        <w:t>/</w:t>
      </w:r>
      <w:r w:rsidR="00FC4619">
        <w:rPr>
          <w:lang w:eastAsia="ja-JP"/>
        </w:rPr>
        <w:t xml:space="preserve"> </w:t>
      </w:r>
      <w:proofErr w:type="spellStart"/>
      <w:r w:rsidR="00FC4619">
        <w:rPr>
          <w:lang w:eastAsia="ja-JP"/>
        </w:rPr>
        <w:t>Eutroxsig</w:t>
      </w:r>
      <w:proofErr w:type="spellEnd"/>
    </w:p>
    <w:p w:rsidR="00A44642" w:rsidRPr="0079129E" w:rsidRDefault="00A44642" w:rsidP="00A158A3">
      <w:pPr>
        <w:pStyle w:val="ListBullet"/>
        <w:rPr>
          <w:lang w:eastAsia="ja-JP"/>
        </w:rPr>
      </w:pPr>
      <w:proofErr w:type="gramStart"/>
      <w:r>
        <w:rPr>
          <w:lang w:eastAsia="ja-JP"/>
        </w:rPr>
        <w:t>is</w:t>
      </w:r>
      <w:proofErr w:type="gramEnd"/>
      <w:r>
        <w:rPr>
          <w:lang w:eastAsia="ja-JP"/>
        </w:rPr>
        <w:t xml:space="preserve"> </w:t>
      </w:r>
      <w:r w:rsidRPr="0079129E">
        <w:rPr>
          <w:lang w:eastAsia="ja-JP"/>
        </w:rPr>
        <w:t xml:space="preserve">not a generic equivalent of </w:t>
      </w:r>
      <w:proofErr w:type="spellStart"/>
      <w:r w:rsidR="00FC4619" w:rsidRPr="0079129E">
        <w:rPr>
          <w:lang w:eastAsia="ja-JP"/>
        </w:rPr>
        <w:t>Oroxine</w:t>
      </w:r>
      <w:proofErr w:type="spellEnd"/>
      <w:r w:rsidR="00FC4619" w:rsidRPr="0079129E">
        <w:rPr>
          <w:lang w:eastAsia="ja-JP"/>
        </w:rPr>
        <w:t>/</w:t>
      </w:r>
      <w:proofErr w:type="spellStart"/>
      <w:r w:rsidR="00FC4619" w:rsidRPr="0079129E">
        <w:rPr>
          <w:lang w:eastAsia="ja-JP"/>
        </w:rPr>
        <w:t>Eutroxsig</w:t>
      </w:r>
      <w:proofErr w:type="spellEnd"/>
      <w:r w:rsidRPr="0079129E">
        <w:rPr>
          <w:lang w:eastAsia="ja-JP"/>
        </w:rPr>
        <w:t>.</w:t>
      </w:r>
    </w:p>
    <w:p w:rsidR="00A44642" w:rsidRPr="00A158A3" w:rsidRDefault="00A44642" w:rsidP="00A158A3">
      <w:pPr>
        <w:pStyle w:val="Numberbullet0"/>
        <w:rPr>
          <w:i/>
          <w:lang w:eastAsia="ja-JP"/>
        </w:rPr>
      </w:pPr>
      <w:r w:rsidRPr="00A158A3">
        <w:rPr>
          <w:i/>
          <w:lang w:eastAsia="ja-JP"/>
        </w:rPr>
        <w:t xml:space="preserve">If </w:t>
      </w:r>
      <w:proofErr w:type="spellStart"/>
      <w:r w:rsidR="00FC4619" w:rsidRPr="00A158A3">
        <w:rPr>
          <w:i/>
          <w:lang w:eastAsia="ja-JP"/>
        </w:rPr>
        <w:t>Eltroxin</w:t>
      </w:r>
      <w:proofErr w:type="spellEnd"/>
      <w:r w:rsidR="00FC4619" w:rsidRPr="00A158A3">
        <w:rPr>
          <w:i/>
          <w:lang w:eastAsia="ja-JP"/>
        </w:rPr>
        <w:t xml:space="preserve"> </w:t>
      </w:r>
      <w:r w:rsidRPr="00A158A3">
        <w:rPr>
          <w:i/>
          <w:lang w:eastAsia="ja-JP"/>
        </w:rPr>
        <w:t xml:space="preserve">is not interchangeable on a same-dose basis with </w:t>
      </w:r>
      <w:proofErr w:type="spellStart"/>
      <w:r w:rsidR="00FC4619" w:rsidRPr="00A158A3">
        <w:rPr>
          <w:i/>
          <w:lang w:eastAsia="ja-JP"/>
        </w:rPr>
        <w:t>Oroxine</w:t>
      </w:r>
      <w:proofErr w:type="spellEnd"/>
      <w:r w:rsidR="00FC4619" w:rsidRPr="00A158A3">
        <w:rPr>
          <w:i/>
          <w:lang w:eastAsia="ja-JP"/>
        </w:rPr>
        <w:t>/</w:t>
      </w:r>
      <w:proofErr w:type="spellStart"/>
      <w:r w:rsidR="00FC4619" w:rsidRPr="00A158A3">
        <w:rPr>
          <w:i/>
          <w:lang w:eastAsia="ja-JP"/>
        </w:rPr>
        <w:t>Eutroxsig</w:t>
      </w:r>
      <w:proofErr w:type="spellEnd"/>
      <w:r w:rsidRPr="00A158A3">
        <w:rPr>
          <w:i/>
          <w:lang w:eastAsia="ja-JP"/>
        </w:rPr>
        <w:t xml:space="preserve">, does the ACPM consider the sponsor has submitted sufficient evidence such that </w:t>
      </w:r>
      <w:proofErr w:type="spellStart"/>
      <w:r w:rsidR="00FC4619" w:rsidRPr="00A158A3">
        <w:rPr>
          <w:i/>
          <w:lang w:eastAsia="ja-JP"/>
        </w:rPr>
        <w:t>Eltroxin</w:t>
      </w:r>
      <w:proofErr w:type="spellEnd"/>
      <w:r w:rsidR="00FC4619" w:rsidRPr="00A158A3">
        <w:rPr>
          <w:i/>
          <w:lang w:eastAsia="ja-JP"/>
        </w:rPr>
        <w:t xml:space="preserve"> </w:t>
      </w:r>
      <w:r w:rsidRPr="00A158A3">
        <w:rPr>
          <w:i/>
          <w:lang w:eastAsia="ja-JP"/>
        </w:rPr>
        <w:t xml:space="preserve">could be registered as being equivalent to </w:t>
      </w:r>
      <w:proofErr w:type="spellStart"/>
      <w:r w:rsidR="00FC4619" w:rsidRPr="00A158A3">
        <w:rPr>
          <w:i/>
          <w:lang w:eastAsia="ja-JP"/>
        </w:rPr>
        <w:t>Oroxine</w:t>
      </w:r>
      <w:proofErr w:type="spellEnd"/>
      <w:r w:rsidR="00FC4619" w:rsidRPr="00A158A3">
        <w:rPr>
          <w:i/>
          <w:lang w:eastAsia="ja-JP"/>
        </w:rPr>
        <w:t>/</w:t>
      </w:r>
      <w:proofErr w:type="spellStart"/>
      <w:r w:rsidR="00FC4619" w:rsidRPr="00A158A3">
        <w:rPr>
          <w:i/>
          <w:lang w:eastAsia="ja-JP"/>
        </w:rPr>
        <w:t>Eutroxsig</w:t>
      </w:r>
      <w:proofErr w:type="spellEnd"/>
      <w:r w:rsidRPr="00A158A3">
        <w:rPr>
          <w:i/>
          <w:lang w:eastAsia="ja-JP"/>
        </w:rPr>
        <w:t xml:space="preserve">, with dose adjustment? </w:t>
      </w:r>
    </w:p>
    <w:p w:rsidR="00A44642" w:rsidRPr="000B51BB" w:rsidRDefault="00A44642" w:rsidP="00A44642">
      <w:pPr>
        <w:adjustRightInd w:val="0"/>
        <w:snapToGrid w:val="0"/>
        <w:spacing w:before="0" w:after="240"/>
        <w:rPr>
          <w:rFonts w:eastAsia="MS Mincho"/>
          <w:bCs/>
          <w:iCs/>
          <w:lang w:eastAsia="ja-JP"/>
        </w:rPr>
      </w:pPr>
      <w:r w:rsidRPr="00831326">
        <w:rPr>
          <w:rFonts w:eastAsia="MS Mincho"/>
          <w:bCs/>
          <w:iCs/>
          <w:lang w:eastAsia="ja-JP"/>
        </w:rPr>
        <w:t xml:space="preserve">The ACPM was of the view that </w:t>
      </w:r>
      <w:proofErr w:type="spellStart"/>
      <w:r w:rsidR="00FC4619" w:rsidRPr="00831326">
        <w:rPr>
          <w:rFonts w:eastAsia="MS Mincho"/>
          <w:bCs/>
          <w:iCs/>
          <w:lang w:eastAsia="ja-JP"/>
        </w:rPr>
        <w:t>Eltroxin</w:t>
      </w:r>
      <w:proofErr w:type="spellEnd"/>
      <w:r w:rsidR="00FC4619" w:rsidRPr="00831326">
        <w:rPr>
          <w:rFonts w:eastAsia="MS Mincho"/>
          <w:bCs/>
          <w:iCs/>
          <w:lang w:eastAsia="ja-JP"/>
        </w:rPr>
        <w:t xml:space="preserve"> </w:t>
      </w:r>
      <w:r w:rsidRPr="00831326">
        <w:rPr>
          <w:rFonts w:eastAsia="MS Mincho"/>
          <w:bCs/>
          <w:iCs/>
          <w:lang w:eastAsia="ja-JP"/>
        </w:rPr>
        <w:t xml:space="preserve">could be registered as being an alternative to </w:t>
      </w:r>
      <w:proofErr w:type="spellStart"/>
      <w:r w:rsidR="00FC4619" w:rsidRPr="00831326">
        <w:rPr>
          <w:rFonts w:eastAsia="MS Mincho"/>
          <w:bCs/>
          <w:iCs/>
          <w:lang w:eastAsia="ja-JP"/>
        </w:rPr>
        <w:t>Oroxine</w:t>
      </w:r>
      <w:proofErr w:type="spellEnd"/>
      <w:r w:rsidR="00FC4619" w:rsidRPr="00831326">
        <w:rPr>
          <w:rFonts w:eastAsia="MS Mincho"/>
          <w:bCs/>
          <w:iCs/>
          <w:lang w:eastAsia="ja-JP"/>
        </w:rPr>
        <w:t>/</w:t>
      </w:r>
      <w:proofErr w:type="spellStart"/>
      <w:r w:rsidR="00FC4619" w:rsidRPr="00831326">
        <w:rPr>
          <w:rFonts w:eastAsia="MS Mincho"/>
          <w:bCs/>
          <w:iCs/>
          <w:lang w:eastAsia="ja-JP"/>
        </w:rPr>
        <w:t>Eutroxsig</w:t>
      </w:r>
      <w:proofErr w:type="spellEnd"/>
      <w:r w:rsidRPr="00831326">
        <w:rPr>
          <w:rFonts w:eastAsia="MS Mincho"/>
          <w:bCs/>
          <w:iCs/>
          <w:lang w:eastAsia="ja-JP"/>
        </w:rPr>
        <w:t xml:space="preserve">. The evidence provided demonstrated </w:t>
      </w:r>
      <w:proofErr w:type="spellStart"/>
      <w:r w:rsidR="00FC4619" w:rsidRPr="00831326">
        <w:rPr>
          <w:rFonts w:eastAsia="MS Mincho"/>
          <w:bCs/>
          <w:iCs/>
          <w:lang w:eastAsia="ja-JP"/>
        </w:rPr>
        <w:t>Eltroxine</w:t>
      </w:r>
      <w:proofErr w:type="spellEnd"/>
      <w:r w:rsidR="00FC4619" w:rsidRPr="00831326">
        <w:rPr>
          <w:rFonts w:eastAsia="MS Mincho"/>
          <w:bCs/>
          <w:iCs/>
          <w:lang w:eastAsia="ja-JP"/>
        </w:rPr>
        <w:t xml:space="preserve"> </w:t>
      </w:r>
      <w:r w:rsidRPr="00831326">
        <w:rPr>
          <w:rFonts w:eastAsia="MS Mincho"/>
          <w:bCs/>
          <w:iCs/>
          <w:lang w:eastAsia="ja-JP"/>
        </w:rPr>
        <w:t xml:space="preserve">has a positive </w:t>
      </w:r>
      <w:proofErr w:type="spellStart"/>
      <w:r w:rsidRPr="00831326">
        <w:rPr>
          <w:rFonts w:eastAsia="MS Mincho"/>
          <w:bCs/>
          <w:iCs/>
          <w:lang w:eastAsia="ja-JP"/>
        </w:rPr>
        <w:t>benefit</w:t>
      </w:r>
      <w:proofErr w:type="gramStart"/>
      <w:r w:rsidRPr="00831326">
        <w:rPr>
          <w:rFonts w:eastAsia="MS Mincho"/>
          <w:bCs/>
          <w:iCs/>
          <w:lang w:eastAsia="ja-JP"/>
        </w:rPr>
        <w:t>:risk</w:t>
      </w:r>
      <w:proofErr w:type="spellEnd"/>
      <w:proofErr w:type="gramEnd"/>
      <w:r w:rsidRPr="00831326">
        <w:rPr>
          <w:rFonts w:eastAsia="MS Mincho"/>
          <w:bCs/>
          <w:iCs/>
          <w:lang w:eastAsia="ja-JP"/>
        </w:rPr>
        <w:t xml:space="preserve"> profile for the requested indications (as modified) but that the dose required would need titrating.</w:t>
      </w:r>
    </w:p>
    <w:p w:rsidR="00A44642" w:rsidRPr="00A158A3" w:rsidRDefault="00A44642" w:rsidP="00A158A3">
      <w:pPr>
        <w:pStyle w:val="Numberbullet0"/>
        <w:rPr>
          <w:i/>
          <w:lang w:eastAsia="ja-JP"/>
        </w:rPr>
      </w:pPr>
      <w:r w:rsidRPr="00A158A3">
        <w:rPr>
          <w:i/>
          <w:lang w:eastAsia="ja-JP"/>
        </w:rPr>
        <w:t xml:space="preserve">Given the documented problems in New Zealand, what information should the PI/CMI contain? Is a Dear HealthCare Provider letter needed? If so, what information should it </w:t>
      </w:r>
      <w:r w:rsidRPr="00A158A3">
        <w:rPr>
          <w:i/>
          <w:lang w:eastAsia="ja-JP"/>
        </w:rPr>
        <w:lastRenderedPageBreak/>
        <w:t>contain? Are any other activities required (</w:t>
      </w:r>
      <w:r w:rsidR="00FC4619" w:rsidRPr="00A158A3">
        <w:rPr>
          <w:i/>
          <w:lang w:eastAsia="ja-JP"/>
        </w:rPr>
        <w:t>for example,</w:t>
      </w:r>
      <w:r w:rsidRPr="00A158A3">
        <w:rPr>
          <w:i/>
          <w:lang w:eastAsia="ja-JP"/>
        </w:rPr>
        <w:t xml:space="preserve"> information on the TGA website, interaction with professional organisation/colleges)?</w:t>
      </w:r>
    </w:p>
    <w:p w:rsidR="00A44642" w:rsidRPr="000B51BB" w:rsidRDefault="00A44642" w:rsidP="00A158A3">
      <w:pPr>
        <w:rPr>
          <w:lang w:eastAsia="ja-JP"/>
        </w:rPr>
      </w:pPr>
      <w:r w:rsidRPr="000B51BB">
        <w:rPr>
          <w:lang w:eastAsia="ja-JP"/>
        </w:rPr>
        <w:t xml:space="preserve">The ACPM recommended that a </w:t>
      </w:r>
      <w:r>
        <w:rPr>
          <w:lang w:eastAsia="ja-JP"/>
        </w:rPr>
        <w:t>“</w:t>
      </w:r>
      <w:r w:rsidRPr="000B51BB">
        <w:rPr>
          <w:lang w:eastAsia="ja-JP"/>
        </w:rPr>
        <w:t>Dear HealthCare Provider Letter</w:t>
      </w:r>
      <w:r>
        <w:rPr>
          <w:lang w:eastAsia="ja-JP"/>
        </w:rPr>
        <w:t>”</w:t>
      </w:r>
      <w:r w:rsidRPr="000B51BB">
        <w:rPr>
          <w:lang w:eastAsia="ja-JP"/>
        </w:rPr>
        <w:t xml:space="preserve"> is required and the letter should reference the bioavailability data which suggest that slightly higher doses may be required than the currently registered product. The ACPM noted that the proposed letter declares switching from one product to another should be avoided unless necessary and that when switching, thyroid function tests should be obtained. The ACPM noted the New Zealand experience and recommended that the specific advice in the Dear HealthCare provider letter should also be included in the PI, particularly the reference to avoid switching, the bioavailability data and the need for careful monitoring. The PI/CMI should contain information that </w:t>
      </w:r>
      <w:proofErr w:type="spellStart"/>
      <w:r w:rsidR="00FC4619" w:rsidRPr="000B51BB">
        <w:rPr>
          <w:lang w:eastAsia="ja-JP"/>
        </w:rPr>
        <w:t>Eltroxin</w:t>
      </w:r>
      <w:proofErr w:type="spellEnd"/>
      <w:r w:rsidR="00FC4619" w:rsidRPr="000B51BB">
        <w:rPr>
          <w:lang w:eastAsia="ja-JP"/>
        </w:rPr>
        <w:t xml:space="preserve"> </w:t>
      </w:r>
      <w:r w:rsidRPr="000B51BB">
        <w:rPr>
          <w:lang w:eastAsia="ja-JP"/>
        </w:rPr>
        <w:t xml:space="preserve">is not interchangeable with the currently marketed product </w:t>
      </w:r>
      <w:proofErr w:type="spellStart"/>
      <w:r w:rsidR="00FC4619" w:rsidRPr="000B51BB">
        <w:rPr>
          <w:lang w:eastAsia="ja-JP"/>
        </w:rPr>
        <w:t>Oroxine</w:t>
      </w:r>
      <w:proofErr w:type="spellEnd"/>
      <w:r w:rsidR="00FC4619" w:rsidRPr="000B51BB">
        <w:rPr>
          <w:lang w:eastAsia="ja-JP"/>
        </w:rPr>
        <w:t>/</w:t>
      </w:r>
      <w:proofErr w:type="spellStart"/>
      <w:r w:rsidR="00FC4619" w:rsidRPr="000B51BB">
        <w:rPr>
          <w:lang w:eastAsia="ja-JP"/>
        </w:rPr>
        <w:t>Eutroxsig</w:t>
      </w:r>
      <w:proofErr w:type="spellEnd"/>
      <w:r w:rsidR="00FC4619" w:rsidRPr="000B51BB">
        <w:rPr>
          <w:lang w:eastAsia="ja-JP"/>
        </w:rPr>
        <w:t xml:space="preserve"> </w:t>
      </w:r>
      <w:r w:rsidRPr="000B51BB">
        <w:rPr>
          <w:lang w:eastAsia="ja-JP"/>
        </w:rPr>
        <w:t xml:space="preserve">and that </w:t>
      </w:r>
      <w:proofErr w:type="spellStart"/>
      <w:r w:rsidRPr="000B51BB">
        <w:rPr>
          <w:lang w:eastAsia="ja-JP"/>
        </w:rPr>
        <w:t>restabilisation</w:t>
      </w:r>
      <w:proofErr w:type="spellEnd"/>
      <w:r w:rsidRPr="000B51BB">
        <w:rPr>
          <w:lang w:eastAsia="ja-JP"/>
        </w:rPr>
        <w:t xml:space="preserve"> is required.</w:t>
      </w:r>
    </w:p>
    <w:p w:rsidR="00A44642" w:rsidRPr="00A158A3" w:rsidRDefault="00A44642" w:rsidP="00A158A3">
      <w:pPr>
        <w:pStyle w:val="Numberbullet0"/>
        <w:rPr>
          <w:i/>
          <w:lang w:eastAsia="ja-JP"/>
        </w:rPr>
      </w:pPr>
      <w:r w:rsidRPr="00A158A3">
        <w:rPr>
          <w:i/>
          <w:lang w:eastAsia="ja-JP"/>
        </w:rPr>
        <w:t>The ACPM is requested to provide expert clinical advice on whether any clinical aspects of PI need refreshing.</w:t>
      </w:r>
    </w:p>
    <w:p w:rsidR="00A44642" w:rsidRDefault="00A44642" w:rsidP="00892CA8">
      <w:pPr>
        <w:pStyle w:val="ListBullet"/>
        <w:rPr>
          <w:lang w:eastAsia="ja-JP"/>
        </w:rPr>
      </w:pPr>
      <w:r w:rsidRPr="00CE3E50">
        <w:rPr>
          <w:lang w:eastAsia="ja-JP"/>
        </w:rPr>
        <w:t xml:space="preserve">The </w:t>
      </w:r>
      <w:r w:rsidRPr="00892CA8">
        <w:t>ACPM</w:t>
      </w:r>
      <w:r w:rsidRPr="00CE3E50">
        <w:rPr>
          <w:lang w:eastAsia="ja-JP"/>
        </w:rPr>
        <w:t xml:space="preserve"> recommended the revisions as stated above.</w:t>
      </w:r>
    </w:p>
    <w:p w:rsidR="00A44642" w:rsidRPr="00CE3E50" w:rsidRDefault="00A44642" w:rsidP="00892CA8">
      <w:pPr>
        <w:pStyle w:val="ListBullet"/>
        <w:rPr>
          <w:lang w:eastAsia="ja-JP"/>
        </w:rPr>
      </w:pPr>
      <w:r>
        <w:rPr>
          <w:lang w:eastAsia="ja-JP"/>
        </w:rPr>
        <w:t>The CMI should also be refreshed to reflect</w:t>
      </w:r>
      <w:r w:rsidR="00892CA8">
        <w:rPr>
          <w:lang w:eastAsia="ja-JP"/>
        </w:rPr>
        <w:t xml:space="preserve"> the new information in the PI.</w:t>
      </w:r>
    </w:p>
    <w:p w:rsidR="00A44642" w:rsidRPr="000F449D" w:rsidRDefault="00A44642" w:rsidP="00892CA8">
      <w:pPr>
        <w:pStyle w:val="ListBullet"/>
      </w:pPr>
      <w:r w:rsidRPr="000F449D">
        <w:t>For therapeutic guidelines recommendations: In adult patients under 60 years, in the absence of ischaemic heart disease, commence with:</w:t>
      </w:r>
    </w:p>
    <w:p w:rsidR="00A44642" w:rsidRPr="00CE3E50" w:rsidRDefault="00A44642" w:rsidP="00892CA8">
      <w:pPr>
        <w:pStyle w:val="ListBullet2"/>
      </w:pPr>
      <w:proofErr w:type="gramStart"/>
      <w:r w:rsidRPr="00CE3E50">
        <w:t>thyroxine</w:t>
      </w:r>
      <w:proofErr w:type="gramEnd"/>
      <w:r w:rsidRPr="00CE3E50">
        <w:t xml:space="preserve"> 50 to 100 </w:t>
      </w:r>
      <w:r w:rsidR="00FC4619">
        <w:t>µ</w:t>
      </w:r>
      <w:r w:rsidRPr="00CE3E50">
        <w:t xml:space="preserve">g orally, daily, increasing the daily dose by 25 to 50 </w:t>
      </w:r>
      <w:r w:rsidR="00FC4619">
        <w:t>µ</w:t>
      </w:r>
      <w:r w:rsidRPr="00CE3E50">
        <w:t xml:space="preserve">g according to response at not less than 4-weekly intervals, up to 100 to 200 </w:t>
      </w:r>
      <w:r w:rsidR="00FC4619">
        <w:t>µg</w:t>
      </w:r>
      <w:r w:rsidRPr="00CE3E50">
        <w:t xml:space="preserve"> daily.</w:t>
      </w:r>
    </w:p>
    <w:p w:rsidR="00A44642" w:rsidRPr="00892CA8" w:rsidRDefault="00A44642" w:rsidP="00892CA8">
      <w:pPr>
        <w:pStyle w:val="Numberbullet0"/>
        <w:rPr>
          <w:i/>
          <w:lang w:eastAsia="ja-JP"/>
        </w:rPr>
      </w:pPr>
      <w:r w:rsidRPr="00892CA8">
        <w:rPr>
          <w:i/>
          <w:lang w:eastAsia="ja-JP"/>
        </w:rPr>
        <w:t>On a separate, but related matter, the sponsor has advised the TGA of plans to withdraw the currently marketed formulation (</w:t>
      </w:r>
      <w:proofErr w:type="spellStart"/>
      <w:r w:rsidR="00FC4619" w:rsidRPr="00892CA8">
        <w:rPr>
          <w:i/>
          <w:lang w:eastAsia="ja-JP"/>
        </w:rPr>
        <w:t>Oroxine</w:t>
      </w:r>
      <w:proofErr w:type="spellEnd"/>
      <w:r w:rsidR="00FC4619" w:rsidRPr="00892CA8">
        <w:rPr>
          <w:i/>
          <w:lang w:eastAsia="ja-JP"/>
        </w:rPr>
        <w:t>/</w:t>
      </w:r>
      <w:proofErr w:type="spellStart"/>
      <w:r w:rsidR="00F31733" w:rsidRPr="00892CA8">
        <w:rPr>
          <w:i/>
          <w:lang w:eastAsia="ja-JP"/>
        </w:rPr>
        <w:t>Eutroxsig</w:t>
      </w:r>
      <w:proofErr w:type="spellEnd"/>
      <w:r w:rsidRPr="00892CA8">
        <w:rPr>
          <w:i/>
          <w:lang w:eastAsia="ja-JP"/>
        </w:rPr>
        <w:t>). The ACPM is asked to provide advice on any problems that this might cause for prescribers and patients; and how these might be avoided. Is a Dear HealthCare Provider letter needed? If so, what information should it contain? Are any other activities required (</w:t>
      </w:r>
      <w:r w:rsidR="00FC4619" w:rsidRPr="00892CA8">
        <w:rPr>
          <w:i/>
          <w:lang w:eastAsia="ja-JP"/>
        </w:rPr>
        <w:t>for example,</w:t>
      </w:r>
      <w:r w:rsidRPr="00892CA8">
        <w:rPr>
          <w:i/>
          <w:lang w:eastAsia="ja-JP"/>
        </w:rPr>
        <w:t xml:space="preserve"> information on the TGA website, interaction with professional organisation/colleges)?</w:t>
      </w:r>
    </w:p>
    <w:p w:rsidR="00A44642" w:rsidRPr="000B51BB" w:rsidRDefault="00A44642" w:rsidP="00892CA8">
      <w:pPr>
        <w:rPr>
          <w:rFonts w:eastAsia="MS Mincho"/>
          <w:bCs/>
          <w:iCs/>
          <w:lang w:eastAsia="ja-JP"/>
        </w:rPr>
      </w:pPr>
      <w:r w:rsidRPr="000B51BB">
        <w:t xml:space="preserve">The ACPM noted that the sponsor declared in the pre-ACPM response that it is prepared to keep </w:t>
      </w:r>
      <w:proofErr w:type="spellStart"/>
      <w:r w:rsidR="00FC4619" w:rsidRPr="000B51BB">
        <w:rPr>
          <w:lang w:eastAsia="en-AU"/>
        </w:rPr>
        <w:t>Oroxine</w:t>
      </w:r>
      <w:proofErr w:type="spellEnd"/>
      <w:r w:rsidR="00FC4619" w:rsidRPr="000B51BB">
        <w:rPr>
          <w:lang w:eastAsia="en-AU"/>
        </w:rPr>
        <w:t>/</w:t>
      </w:r>
      <w:proofErr w:type="spellStart"/>
      <w:r w:rsidR="00FC4619" w:rsidRPr="000B51BB">
        <w:rPr>
          <w:lang w:eastAsia="en-AU"/>
        </w:rPr>
        <w:t>Eutroxsig</w:t>
      </w:r>
      <w:proofErr w:type="spellEnd"/>
      <w:r w:rsidR="00FC4619" w:rsidRPr="000B51BB">
        <w:t xml:space="preserve"> </w:t>
      </w:r>
      <w:r w:rsidRPr="000B51BB">
        <w:t>on the market.</w:t>
      </w:r>
      <w:r>
        <w:t xml:space="preserve"> This was approved by the ACPM, especially in light of the need to re-titrate many patients and increase monitoring in the short term.</w:t>
      </w:r>
    </w:p>
    <w:p w:rsidR="00A44642" w:rsidRPr="00892CA8" w:rsidRDefault="00A44642" w:rsidP="00892CA8">
      <w:pPr>
        <w:pStyle w:val="Numberbullet0"/>
        <w:rPr>
          <w:i/>
          <w:lang w:eastAsia="ja-JP"/>
        </w:rPr>
      </w:pPr>
      <w:r w:rsidRPr="00892CA8">
        <w:rPr>
          <w:i/>
          <w:lang w:eastAsia="ja-JP"/>
        </w:rPr>
        <w:t>Does the ACPM have any advice on the evidential standards for registration of thyroxine products; in particular whether thyroxine should be considered a narrow therapeutic index drug and whether T4 levels should be baseline corrected?</w:t>
      </w:r>
    </w:p>
    <w:p w:rsidR="00A44642" w:rsidRPr="000B51BB" w:rsidRDefault="00A44642" w:rsidP="00892CA8">
      <w:pPr>
        <w:rPr>
          <w:lang w:eastAsia="ja-JP"/>
        </w:rPr>
      </w:pPr>
      <w:r w:rsidRPr="000B51BB">
        <w:rPr>
          <w:lang w:eastAsia="ja-JP"/>
        </w:rPr>
        <w:t>The ACPM recommended that th</w:t>
      </w:r>
      <w:r>
        <w:rPr>
          <w:lang w:eastAsia="ja-JP"/>
        </w:rPr>
        <w:t>y</w:t>
      </w:r>
      <w:r w:rsidRPr="000B51BB">
        <w:rPr>
          <w:lang w:eastAsia="ja-JP"/>
        </w:rPr>
        <w:t>roxine should be considered an atypical narrow therapeutic index drug and that T4 Levels should be baseline corrected.</w:t>
      </w:r>
    </w:p>
    <w:p w:rsidR="00A44642" w:rsidRPr="00A322B3" w:rsidRDefault="00A44642" w:rsidP="00892CA8">
      <w:r w:rsidRPr="000B51BB">
        <w:rPr>
          <w:lang w:eastAsia="ja-JP"/>
        </w:rPr>
        <w:t>The ACPM advised that the implementation by the sponsor of the recommendations outlined above to the satisfaction of the TGA, in addition to the evidence of efficacy and safety provided would support the safe and effective use of these products.</w:t>
      </w:r>
    </w:p>
    <w:p w:rsidR="008E7846" w:rsidRPr="00892CA8" w:rsidRDefault="008E7846" w:rsidP="00892CA8">
      <w:pPr>
        <w:pStyle w:val="Heading3"/>
      </w:pPr>
      <w:bookmarkStart w:id="127" w:name="_Toc247691532"/>
      <w:bookmarkStart w:id="128" w:name="_Toc314842516"/>
      <w:bookmarkStart w:id="129" w:name="_Toc392595972"/>
      <w:bookmarkEnd w:id="82"/>
      <w:bookmarkEnd w:id="124"/>
      <w:bookmarkEnd w:id="125"/>
      <w:r>
        <w:t>Outcome</w:t>
      </w:r>
      <w:bookmarkEnd w:id="127"/>
      <w:bookmarkEnd w:id="128"/>
      <w:bookmarkEnd w:id="129"/>
    </w:p>
    <w:p w:rsidR="00D23139" w:rsidRPr="00D23139" w:rsidRDefault="00D23139" w:rsidP="00892CA8">
      <w:bookmarkStart w:id="130" w:name="_Toc247691533"/>
      <w:bookmarkStart w:id="131" w:name="_Toc314842517"/>
      <w:r w:rsidRPr="00831326">
        <w:t xml:space="preserve">Based on a review of quality, safety and efficacy, TGA approved the registration of </w:t>
      </w:r>
      <w:proofErr w:type="spellStart"/>
      <w:r w:rsidR="003C0B9D" w:rsidRPr="00831326">
        <w:t>Eltroxin</w:t>
      </w:r>
      <w:proofErr w:type="spellEnd"/>
      <w:r w:rsidR="003C0B9D" w:rsidRPr="00831326">
        <w:t xml:space="preserve">, Aspen </w:t>
      </w:r>
      <w:proofErr w:type="spellStart"/>
      <w:r w:rsidR="003C0B9D" w:rsidRPr="00831326">
        <w:t>thyroxine</w:t>
      </w:r>
      <w:proofErr w:type="spellEnd"/>
      <w:r w:rsidR="003C0B9D" w:rsidRPr="00831326">
        <w:t xml:space="preserve"> and Thyroxine Aspen</w:t>
      </w:r>
      <w:r w:rsidR="00FC4619" w:rsidRPr="00831326">
        <w:t xml:space="preserve"> tablets, </w:t>
      </w:r>
      <w:r w:rsidR="003C0B9D" w:rsidRPr="00831326">
        <w:t>containing levothyroxine sodium; 25, 50, 75, 88, 100, 112, 125, 137, 150, 175 and 200 µg</w:t>
      </w:r>
      <w:r w:rsidR="00FC4619" w:rsidRPr="00831326">
        <w:t>,</w:t>
      </w:r>
      <w:r w:rsidR="003C0B9D" w:rsidRPr="00831326">
        <w:t xml:space="preserve"> for oral administration</w:t>
      </w:r>
      <w:r w:rsidRPr="00831326">
        <w:t>, indicated for:</w:t>
      </w:r>
    </w:p>
    <w:p w:rsidR="003C0B9D" w:rsidRPr="00892CA8" w:rsidRDefault="003C0B9D" w:rsidP="00892CA8">
      <w:pPr>
        <w:ind w:left="720"/>
        <w:rPr>
          <w:i/>
        </w:rPr>
      </w:pPr>
      <w:proofErr w:type="spellStart"/>
      <w:r w:rsidRPr="00892CA8">
        <w:rPr>
          <w:i/>
        </w:rPr>
        <w:t>Eltroxin</w:t>
      </w:r>
      <w:proofErr w:type="spellEnd"/>
      <w:r w:rsidRPr="00892CA8">
        <w:rPr>
          <w:i/>
        </w:rPr>
        <w:t xml:space="preserve"> is indicated for the management of demonstrated thyroid hormone deficiency.</w:t>
      </w:r>
    </w:p>
    <w:p w:rsidR="00D23139" w:rsidRPr="00892CA8" w:rsidRDefault="003C0B9D" w:rsidP="00892CA8">
      <w:pPr>
        <w:ind w:left="720"/>
        <w:rPr>
          <w:i/>
        </w:rPr>
      </w:pPr>
      <w:proofErr w:type="spellStart"/>
      <w:r w:rsidRPr="00892CA8">
        <w:rPr>
          <w:i/>
        </w:rPr>
        <w:t>Eltroxin</w:t>
      </w:r>
      <w:proofErr w:type="spellEnd"/>
      <w:r w:rsidRPr="00892CA8">
        <w:rPr>
          <w:i/>
        </w:rPr>
        <w:t xml:space="preserve"> is also used to </w:t>
      </w:r>
      <w:r w:rsidR="00FC4619" w:rsidRPr="00892CA8">
        <w:rPr>
          <w:i/>
        </w:rPr>
        <w:t xml:space="preserve">suppress </w:t>
      </w:r>
      <w:proofErr w:type="spellStart"/>
      <w:r w:rsidR="00FC4619" w:rsidRPr="00892CA8">
        <w:rPr>
          <w:i/>
        </w:rPr>
        <w:t>thyrotropin</w:t>
      </w:r>
      <w:proofErr w:type="spellEnd"/>
      <w:r w:rsidR="00FC4619" w:rsidRPr="00892CA8">
        <w:rPr>
          <w:i/>
        </w:rPr>
        <w:t xml:space="preserve"> (</w:t>
      </w:r>
      <w:r w:rsidRPr="00892CA8">
        <w:rPr>
          <w:i/>
        </w:rPr>
        <w:t>TSH) for the management of TSH-responsive tumours of the thyroid.</w:t>
      </w:r>
    </w:p>
    <w:p w:rsidR="00D23139" w:rsidRDefault="00D23139" w:rsidP="00892CA8">
      <w:pPr>
        <w:pStyle w:val="Heading4"/>
      </w:pPr>
      <w:r w:rsidRPr="00D23139">
        <w:lastRenderedPageBreak/>
        <w:t xml:space="preserve">Specific </w:t>
      </w:r>
      <w:r w:rsidRPr="00892CA8">
        <w:t>conditions</w:t>
      </w:r>
      <w:r w:rsidRPr="00D23139">
        <w:t xml:space="preserve"> of registration applying to these goods</w:t>
      </w:r>
    </w:p>
    <w:p w:rsidR="003C0B9D" w:rsidRDefault="003C0B9D" w:rsidP="00892CA8">
      <w:pPr>
        <w:pStyle w:val="Numberbullet0"/>
        <w:numPr>
          <w:ilvl w:val="0"/>
          <w:numId w:val="8"/>
        </w:numPr>
      </w:pPr>
      <w:r>
        <w:t xml:space="preserve">The </w:t>
      </w:r>
      <w:r w:rsidRPr="00892CA8">
        <w:t>Levothyroxine</w:t>
      </w:r>
      <w:r>
        <w:t xml:space="preserve"> Sodium EU Risk Management Plan (RMP) </w:t>
      </w:r>
      <w:proofErr w:type="spellStart"/>
      <w:r>
        <w:t>verson</w:t>
      </w:r>
      <w:proofErr w:type="spellEnd"/>
      <w:r>
        <w:t xml:space="preserve"> I (data lock point 12 October 2012) with Australian Specific Annex (</w:t>
      </w:r>
      <w:proofErr w:type="spellStart"/>
      <w:r>
        <w:t>versin</w:t>
      </w:r>
      <w:proofErr w:type="spellEnd"/>
      <w:r>
        <w:t xml:space="preserve"> 0.1, dated 11 March 2013)</w:t>
      </w:r>
      <w:r w:rsidR="007934FA">
        <w:t xml:space="preserve"> </w:t>
      </w:r>
      <w:r>
        <w:t xml:space="preserve">and any subsequent revisions, as agreed with the TGA w </w:t>
      </w:r>
      <w:proofErr w:type="gramStart"/>
      <w:r>
        <w:t>" be</w:t>
      </w:r>
      <w:proofErr w:type="gramEnd"/>
      <w:r>
        <w:t xml:space="preserve"> implemented in Australi</w:t>
      </w:r>
      <w:r w:rsidR="007934FA">
        <w:t>a. An obligatory component of Risk Management Plans is Routine Pharmacovigilance. Routine Pharmacovigilance includes the submission of Periodic Safety Update Reports (PSURs). Reports are to be provided annually until the period covered by such reports is no less than three years from the date of this approval letter. No fewer than three annual reports are required.</w:t>
      </w:r>
    </w:p>
    <w:p w:rsidR="007934FA" w:rsidRPr="003C0B9D" w:rsidRDefault="007934FA" w:rsidP="00892CA8">
      <w:pPr>
        <w:pStyle w:val="Numberbullet0"/>
        <w:numPr>
          <w:ilvl w:val="0"/>
          <w:numId w:val="8"/>
        </w:numPr>
      </w:pPr>
      <w:r>
        <w:t xml:space="preserve">A Dear Healthcare Provider' (DHCP) letter (with wording as approved by TGA) is to be </w:t>
      </w:r>
      <w:r w:rsidRPr="00892CA8">
        <w:t>distributed</w:t>
      </w:r>
      <w:r>
        <w:t xml:space="preserve"> at the time of launch of the products.</w:t>
      </w:r>
    </w:p>
    <w:p w:rsidR="008E7846" w:rsidRDefault="008E7846" w:rsidP="00892CA8">
      <w:pPr>
        <w:pStyle w:val="Heading2"/>
      </w:pPr>
      <w:bookmarkStart w:id="132" w:name="_Toc392595973"/>
      <w:proofErr w:type="gramStart"/>
      <w:r w:rsidRPr="00892CA8">
        <w:t>Attachment</w:t>
      </w:r>
      <w:r>
        <w:t xml:space="preserve"> 1.</w:t>
      </w:r>
      <w:proofErr w:type="gramEnd"/>
      <w:r w:rsidR="007E6B8D">
        <w:t xml:space="preserve"> </w:t>
      </w:r>
      <w:r>
        <w:t xml:space="preserve">Product </w:t>
      </w:r>
      <w:r w:rsidR="00AA0ED0">
        <w:t>I</w:t>
      </w:r>
      <w:r>
        <w:t>nformation</w:t>
      </w:r>
      <w:bookmarkEnd w:id="130"/>
      <w:bookmarkEnd w:id="131"/>
      <w:bookmarkEnd w:id="132"/>
    </w:p>
    <w:p w:rsidR="00C80137" w:rsidRDefault="002B3624" w:rsidP="007E6B8D">
      <w:pPr>
        <w:rPr>
          <w:color w:val="000000"/>
          <w:lang w:eastAsia="en-AU"/>
        </w:rPr>
      </w:pPr>
      <w:r w:rsidRPr="002B3624">
        <w:t xml:space="preserve">The Product Information approved for main </w:t>
      </w:r>
      <w:proofErr w:type="spellStart"/>
      <w:r w:rsidR="003C0B9D">
        <w:t>Eltroxin</w:t>
      </w:r>
      <w:proofErr w:type="spellEnd"/>
      <w:r w:rsidRPr="002B3624">
        <w:t xml:space="preserve"> at the time this AusPAR was published is at Attachment 1. For the most recent Product </w:t>
      </w:r>
      <w:r w:rsidRPr="003C0B9D">
        <w:t>Information please refer to the TGA website at &lt;</w:t>
      </w:r>
      <w:hyperlink r:id="rId19" w:history="1">
        <w:r w:rsidRPr="003C0B9D">
          <w:rPr>
            <w:rStyle w:val="Hyperlink"/>
          </w:rPr>
          <w:t>http://www.tga.gov.au/hp/information-medicines-pi.htm</w:t>
        </w:r>
      </w:hyperlink>
      <w:r w:rsidRPr="003C0B9D">
        <w:t>&gt;. The PI</w:t>
      </w:r>
      <w:r w:rsidR="000842E1">
        <w:t>s</w:t>
      </w:r>
      <w:r w:rsidRPr="003C0B9D">
        <w:t xml:space="preserve"> for </w:t>
      </w:r>
      <w:r w:rsidR="003C0B9D" w:rsidRPr="003C0B9D">
        <w:t>Aspen Thyroxine and Thyroxine Aspen</w:t>
      </w:r>
      <w:r w:rsidRPr="003C0B9D">
        <w:t xml:space="preserve"> </w:t>
      </w:r>
      <w:r w:rsidR="000842E1">
        <w:t>are</w:t>
      </w:r>
      <w:r w:rsidRPr="003C0B9D">
        <w:t xml:space="preserve"> identical except for the product name.</w:t>
      </w:r>
    </w:p>
    <w:p w:rsidR="00C80137" w:rsidRDefault="00C80137" w:rsidP="007E6B8D">
      <w:pPr>
        <w:pStyle w:val="Heading2"/>
        <w:rPr>
          <w:lang w:eastAsia="en-AU"/>
        </w:rPr>
      </w:pPr>
      <w:bookmarkStart w:id="133" w:name="_Toc392595974"/>
      <w:proofErr w:type="gramStart"/>
      <w:r>
        <w:rPr>
          <w:lang w:eastAsia="en-AU"/>
        </w:rPr>
        <w:t>Attachment 2.</w:t>
      </w:r>
      <w:proofErr w:type="gramEnd"/>
      <w:r>
        <w:rPr>
          <w:lang w:eastAsia="en-AU"/>
        </w:rPr>
        <w:t xml:space="preserve"> Extract from the Clinical Evaluation Report</w:t>
      </w:r>
      <w:bookmarkEnd w:id="133"/>
    </w:p>
    <w:p w:rsidR="00291957" w:rsidRDefault="00291957" w:rsidP="00291957">
      <w:pPr>
        <w:rPr>
          <w:lang w:eastAsia="ja-JP"/>
        </w:rPr>
      </w:pPr>
    </w:p>
    <w:p w:rsidR="00C80137" w:rsidRPr="001D043B" w:rsidRDefault="00C80137" w:rsidP="003A7F6C">
      <w:pPr>
        <w:pStyle w:val="TableTitle"/>
        <w:sectPr w:rsidR="00C80137" w:rsidRPr="001D043B" w:rsidSect="00B452CE">
          <w:headerReference w:type="even" r:id="rId20"/>
          <w:headerReference w:type="default" r:id="rId21"/>
          <w:headerReference w:type="first" r:id="rId22"/>
          <w:footerReference w:type="first" r:id="rId23"/>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B63770">
        <w:trPr>
          <w:trHeight w:hRule="exact" w:val="704"/>
        </w:trPr>
        <w:tc>
          <w:tcPr>
            <w:tcW w:w="9175" w:type="dxa"/>
          </w:tcPr>
          <w:p w:rsidR="001C32CD" w:rsidRPr="00487162" w:rsidRDefault="001C32CD" w:rsidP="00B63770">
            <w:pPr>
              <w:pStyle w:val="TGASignoff"/>
            </w:pPr>
            <w:r w:rsidRPr="00487162">
              <w:lastRenderedPageBreak/>
              <w:t>Therapeutic Goods Administration</w:t>
            </w:r>
          </w:p>
        </w:tc>
      </w:tr>
      <w:tr w:rsidR="001C32CD" w:rsidRPr="004C239D" w:rsidTr="00B63770">
        <w:trPr>
          <w:trHeight w:val="1221"/>
        </w:trPr>
        <w:tc>
          <w:tcPr>
            <w:tcW w:w="9175" w:type="dxa"/>
            <w:tcMar>
              <w:top w:w="28" w:type="dxa"/>
            </w:tcMar>
          </w:tcPr>
          <w:p w:rsidR="001C32CD" w:rsidRPr="00487162" w:rsidRDefault="001C32CD" w:rsidP="00B63770">
            <w:pPr>
              <w:pStyle w:val="Address"/>
            </w:pPr>
            <w:r w:rsidRPr="00487162">
              <w:t>PO Box 100 Woden ACT 2606 Australia</w:t>
            </w:r>
          </w:p>
          <w:p w:rsidR="001C32CD" w:rsidRPr="00487162" w:rsidRDefault="001C32CD" w:rsidP="00B63770">
            <w:pPr>
              <w:pStyle w:val="Address"/>
            </w:pPr>
            <w:r w:rsidRPr="00487162">
              <w:t xml:space="preserve">Email: </w:t>
            </w:r>
            <w:hyperlink r:id="rId24" w:history="1">
              <w:r w:rsidRPr="004C239D">
                <w:rPr>
                  <w:rStyle w:val="Hyperlink"/>
                </w:rPr>
                <w:t>info@tga.gov.au</w:t>
              </w:r>
            </w:hyperlink>
            <w:r w:rsidRPr="00487162">
              <w:t xml:space="preserve">  Phone: 1800 020 653  Fax: 02 6232 8605</w:t>
            </w:r>
          </w:p>
          <w:p w:rsidR="001C32CD" w:rsidRPr="004C239D" w:rsidRDefault="006A5618" w:rsidP="00B63770">
            <w:pPr>
              <w:pStyle w:val="Address"/>
              <w:spacing w:line="260" w:lineRule="atLeast"/>
              <w:rPr>
                <w:b/>
                <w:color w:val="0000FF"/>
                <w:u w:val="single"/>
              </w:rPr>
            </w:pPr>
            <w:hyperlink r:id="rId25" w:history="1">
              <w:r w:rsidR="001C32CD" w:rsidRPr="00607888">
                <w:rPr>
                  <w:rStyle w:val="Hyperlink"/>
                  <w:b/>
                </w:rPr>
                <w:t>http://www.tga.gov.au</w:t>
              </w:r>
            </w:hyperlink>
          </w:p>
        </w:tc>
      </w:tr>
    </w:tbl>
    <w:p w:rsidR="00774E1D" w:rsidRPr="008A5E0B" w:rsidRDefault="00774E1D" w:rsidP="004C239D"/>
    <w:sectPr w:rsidR="00774E1D" w:rsidRPr="008A5E0B" w:rsidSect="001C32CD">
      <w:headerReference w:type="even" r:id="rId26"/>
      <w:headerReference w:type="default" r:id="rId27"/>
      <w:footerReference w:type="default" r:id="rId28"/>
      <w:headerReference w:type="first" r:id="rId29"/>
      <w:footerReference w:type="first" r:id="rId30"/>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618" w:rsidRDefault="006A5618" w:rsidP="00C40A36">
      <w:pPr>
        <w:spacing w:after="0"/>
      </w:pPr>
      <w:r>
        <w:separator/>
      </w:r>
    </w:p>
  </w:endnote>
  <w:endnote w:type="continuationSeparator" w:id="0">
    <w:p w:rsidR="006A5618" w:rsidRDefault="006A5618"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6A5618" w:rsidRPr="00487162" w:rsidTr="00DB750B">
      <w:trPr>
        <w:trHeight w:val="269"/>
      </w:trPr>
      <w:tc>
        <w:tcPr>
          <w:tcW w:w="7371" w:type="dxa"/>
          <w:tcMar>
            <w:top w:w="142" w:type="dxa"/>
            <w:bottom w:w="0" w:type="dxa"/>
          </w:tcMar>
        </w:tcPr>
        <w:p w:rsidR="006A5618" w:rsidRPr="00487162" w:rsidRDefault="006A5618" w:rsidP="00503CBF">
          <w:pPr>
            <w:pStyle w:val="Footer"/>
          </w:pPr>
          <w:proofErr w:type="spellStart"/>
          <w:r w:rsidRPr="00487162">
            <w:t>AusPAR</w:t>
          </w:r>
          <w:proofErr w:type="spellEnd"/>
          <w:r w:rsidRPr="00487162">
            <w:t xml:space="preserve"> </w:t>
          </w:r>
          <w:proofErr w:type="spellStart"/>
          <w:r w:rsidRPr="00426FF2">
            <w:t>Eltroxin</w:t>
          </w:r>
          <w:proofErr w:type="spellEnd"/>
          <w:r w:rsidRPr="00426FF2">
            <w:t xml:space="preserve">, Aspen </w:t>
          </w:r>
          <w:proofErr w:type="spellStart"/>
          <w:r w:rsidRPr="00426FF2">
            <w:t>Thyroxine</w:t>
          </w:r>
          <w:proofErr w:type="spellEnd"/>
          <w:r w:rsidRPr="00426FF2">
            <w:t xml:space="preserve">, </w:t>
          </w:r>
          <w:proofErr w:type="spellStart"/>
          <w:r w:rsidRPr="00426FF2">
            <w:t>Thyroxine</w:t>
          </w:r>
          <w:proofErr w:type="spellEnd"/>
          <w:r w:rsidRPr="00426FF2">
            <w:t xml:space="preserve"> Aspen </w:t>
          </w:r>
          <w:proofErr w:type="spellStart"/>
          <w:r w:rsidRPr="00426FF2">
            <w:t>Thyroxine</w:t>
          </w:r>
          <w:proofErr w:type="spellEnd"/>
          <w:r w:rsidRPr="00426FF2">
            <w:t xml:space="preserve"> Sodium </w:t>
          </w:r>
          <w:r>
            <w:t xml:space="preserve">Aspen </w:t>
          </w:r>
          <w:proofErr w:type="spellStart"/>
          <w:r>
            <w:t>Pharma</w:t>
          </w:r>
          <w:proofErr w:type="spellEnd"/>
          <w:r>
            <w:t xml:space="preserve"> Pty Ltd</w:t>
          </w:r>
          <w:r>
            <w:br/>
          </w:r>
          <w:r w:rsidRPr="00487162">
            <w:t>PM-20</w:t>
          </w:r>
          <w:r>
            <w:t>12</w:t>
          </w:r>
          <w:r w:rsidRPr="00487162">
            <w:t>-</w:t>
          </w:r>
          <w:r>
            <w:t>04477-1-5 Final 12 June 2014</w:t>
          </w:r>
        </w:p>
      </w:tc>
      <w:tc>
        <w:tcPr>
          <w:tcW w:w="1490" w:type="dxa"/>
          <w:tcMar>
            <w:top w:w="142" w:type="dxa"/>
            <w:bottom w:w="0" w:type="dxa"/>
          </w:tcMar>
        </w:tcPr>
        <w:p w:rsidR="006A5618" w:rsidRPr="00487162" w:rsidRDefault="006A5618" w:rsidP="00DB750B">
          <w:pPr>
            <w:pStyle w:val="Footer"/>
            <w:jc w:val="right"/>
          </w:pPr>
          <w:r w:rsidRPr="00487162">
            <w:t xml:space="preserve">Page </w:t>
          </w:r>
          <w:r>
            <w:fldChar w:fldCharType="begin"/>
          </w:r>
          <w:r>
            <w:instrText xml:space="preserve"> PAGE  \* Arabic </w:instrText>
          </w:r>
          <w:r>
            <w:fldChar w:fldCharType="separate"/>
          </w:r>
          <w:r w:rsidR="00E75050">
            <w:rPr>
              <w:noProof/>
            </w:rPr>
            <w:t>2</w:t>
          </w:r>
          <w:r>
            <w:fldChar w:fldCharType="end"/>
          </w:r>
          <w:r w:rsidRPr="00487162">
            <w:t xml:space="preserve"> of </w:t>
          </w:r>
          <w:r>
            <w:fldChar w:fldCharType="begin"/>
          </w:r>
          <w:r>
            <w:instrText xml:space="preserve"> NUMPAGES  \* Arabic </w:instrText>
          </w:r>
          <w:r>
            <w:fldChar w:fldCharType="separate"/>
          </w:r>
          <w:r w:rsidR="00E75050">
            <w:rPr>
              <w:noProof/>
            </w:rPr>
            <w:t>41</w:t>
          </w:r>
          <w:r>
            <w:rPr>
              <w:noProof/>
            </w:rPr>
            <w:fldChar w:fldCharType="end"/>
          </w:r>
        </w:p>
      </w:tc>
    </w:tr>
  </w:tbl>
  <w:p w:rsidR="006A5618" w:rsidRDefault="006A5618"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6A5618" w:rsidRPr="00487162" w:rsidTr="00E45619">
      <w:trPr>
        <w:trHeight w:val="269"/>
      </w:trPr>
      <w:tc>
        <w:tcPr>
          <w:tcW w:w="4519" w:type="dxa"/>
          <w:tcBorders>
            <w:top w:val="single" w:sz="4" w:space="0" w:color="auto"/>
          </w:tcBorders>
          <w:tcMar>
            <w:top w:w="142" w:type="dxa"/>
            <w:bottom w:w="0" w:type="dxa"/>
          </w:tcMar>
        </w:tcPr>
        <w:p w:rsidR="006A5618" w:rsidRPr="00487162" w:rsidRDefault="006A5618" w:rsidP="00FE1DEE">
          <w:pPr>
            <w:pStyle w:val="Footer"/>
          </w:pPr>
          <w:r w:rsidRPr="00487162">
            <w:t>Document title, Part #, Section # - Section title</w:t>
          </w:r>
        </w:p>
        <w:p w:rsidR="006A5618" w:rsidRPr="00487162" w:rsidRDefault="006A5618" w:rsidP="00FE1DEE">
          <w:pPr>
            <w:pStyle w:val="Footer"/>
          </w:pPr>
          <w:r w:rsidRPr="00487162">
            <w:t>V1.0 October 2010</w:t>
          </w:r>
        </w:p>
      </w:tc>
      <w:tc>
        <w:tcPr>
          <w:tcW w:w="4342" w:type="dxa"/>
          <w:tcBorders>
            <w:top w:val="single" w:sz="4" w:space="0" w:color="auto"/>
          </w:tcBorders>
          <w:tcMar>
            <w:top w:w="142" w:type="dxa"/>
            <w:bottom w:w="0" w:type="dxa"/>
          </w:tcMar>
        </w:tcPr>
        <w:p w:rsidR="006A5618" w:rsidRPr="00487162" w:rsidRDefault="006A5618"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fldChar w:fldCharType="begin"/>
          </w:r>
          <w:r>
            <w:instrText xml:space="preserve"> NUMPAGES  </w:instrText>
          </w:r>
          <w:r>
            <w:fldChar w:fldCharType="separate"/>
          </w:r>
          <w:r>
            <w:rPr>
              <w:noProof/>
            </w:rPr>
            <w:t>1</w:t>
          </w:r>
          <w:r>
            <w:rPr>
              <w:noProof/>
            </w:rPr>
            <w:fldChar w:fldCharType="end"/>
          </w:r>
        </w:p>
      </w:tc>
    </w:tr>
  </w:tbl>
  <w:p w:rsidR="006A5618" w:rsidRDefault="006A56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618" w:rsidRPr="001C32CD" w:rsidRDefault="006A5618"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6A5618" w:rsidTr="0010601F">
      <w:trPr>
        <w:trHeight w:val="108"/>
      </w:trPr>
      <w:tc>
        <w:tcPr>
          <w:tcW w:w="8875" w:type="dxa"/>
          <w:gridSpan w:val="2"/>
          <w:tcBorders>
            <w:bottom w:val="single" w:sz="4" w:space="0" w:color="auto"/>
          </w:tcBorders>
          <w:tcMar>
            <w:right w:w="284" w:type="dxa"/>
          </w:tcMar>
        </w:tcPr>
        <w:p w:rsidR="006A5618" w:rsidRDefault="006A5618" w:rsidP="006E08B3">
          <w:pPr>
            <w:pStyle w:val="Heading3"/>
          </w:pPr>
          <w:r>
            <w:t>Copyright</w:t>
          </w:r>
        </w:p>
        <w:p w:rsidR="006A5618" w:rsidRDefault="006A5618" w:rsidP="006E08B3">
          <w:r>
            <w:rPr>
              <w:rFonts w:cs="Arial"/>
            </w:rPr>
            <w:t>©</w:t>
          </w:r>
          <w:r>
            <w:t xml:space="preserve"> Commonwealth of Australia [add year]</w:t>
          </w:r>
        </w:p>
        <w:p w:rsidR="006A5618" w:rsidRDefault="006A5618" w:rsidP="006E08B3"/>
        <w:p w:rsidR="006A5618" w:rsidRDefault="006A5618"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6A5618" w:rsidRDefault="006A5618" w:rsidP="006E08B3"/>
        <w:p w:rsidR="006A5618" w:rsidRDefault="006A5618" w:rsidP="006E08B3">
          <w:pPr>
            <w:pStyle w:val="Heading3"/>
          </w:pPr>
          <w:r>
            <w:t>Confidentiality</w:t>
          </w:r>
        </w:p>
        <w:p w:rsidR="006A5618" w:rsidRDefault="006A5618"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6A5618" w:rsidRDefault="006A5618" w:rsidP="006E08B3"/>
        <w:p w:rsidR="006A5618" w:rsidRDefault="006A5618" w:rsidP="006E08B3">
          <w:r>
            <w:t>For submission made by individuals, all personal details, other than your name, will be removed from your submission before it is published on the TGA’s Internet site.</w:t>
          </w:r>
        </w:p>
        <w:p w:rsidR="006A5618" w:rsidRDefault="006A5618" w:rsidP="006E08B3"/>
        <w:p w:rsidR="006A5618" w:rsidRDefault="006A5618" w:rsidP="006E08B3">
          <w:r>
            <w:t>In addition, a list of parties making submissions will be published. If you do not wish to be identified with your submission you must specifically request this in the space provided ib the submission coversheet.</w:t>
          </w:r>
        </w:p>
      </w:tc>
    </w:tr>
    <w:tr w:rsidR="006A5618" w:rsidTr="0010601F">
      <w:trPr>
        <w:trHeight w:val="417"/>
      </w:trPr>
      <w:tc>
        <w:tcPr>
          <w:tcW w:w="4519" w:type="dxa"/>
          <w:tcBorders>
            <w:top w:val="single" w:sz="4" w:space="0" w:color="auto"/>
          </w:tcBorders>
          <w:tcMar>
            <w:top w:w="142" w:type="dxa"/>
            <w:bottom w:w="0" w:type="dxa"/>
          </w:tcMar>
        </w:tcPr>
        <w:p w:rsidR="006A5618" w:rsidRDefault="006A5618" w:rsidP="006E08B3">
          <w:r>
            <w:t>Document title, Part #, Section # - Section title</w:t>
          </w:r>
        </w:p>
        <w:p w:rsidR="006A5618" w:rsidRDefault="006A5618" w:rsidP="006E08B3">
          <w:r>
            <w:t>V1.0 October 2010</w:t>
          </w:r>
        </w:p>
      </w:tc>
      <w:tc>
        <w:tcPr>
          <w:tcW w:w="4356" w:type="dxa"/>
          <w:tcBorders>
            <w:top w:val="single" w:sz="4" w:space="0" w:color="auto"/>
          </w:tcBorders>
          <w:tcMar>
            <w:top w:w="142" w:type="dxa"/>
            <w:bottom w:w="0" w:type="dxa"/>
          </w:tcMar>
        </w:tcPr>
        <w:p w:rsidR="006A5618" w:rsidRDefault="006A5618"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fldChar w:fldCharType="begin"/>
          </w:r>
          <w:r>
            <w:instrText xml:space="preserve"> NUMPAGES  \* Arabic </w:instrText>
          </w:r>
          <w:r>
            <w:fldChar w:fldCharType="separate"/>
          </w:r>
          <w:r>
            <w:rPr>
              <w:noProof/>
            </w:rPr>
            <w:t>1</w:t>
          </w:r>
          <w:r>
            <w:rPr>
              <w:noProof/>
            </w:rPr>
            <w:fldChar w:fldCharType="end"/>
          </w:r>
          <w:r>
            <w:t xml:space="preserve">  </w:t>
          </w:r>
        </w:p>
      </w:tc>
    </w:tr>
  </w:tbl>
  <w:p w:rsidR="006A5618" w:rsidRDefault="006A561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618" w:rsidRDefault="006A5618" w:rsidP="00C40A36">
      <w:pPr>
        <w:spacing w:after="0"/>
      </w:pPr>
      <w:r>
        <w:separator/>
      </w:r>
    </w:p>
  </w:footnote>
  <w:footnote w:type="continuationSeparator" w:id="0">
    <w:p w:rsidR="006A5618" w:rsidRDefault="006A5618" w:rsidP="00C40A36">
      <w:pPr>
        <w:spacing w:after="0"/>
      </w:pPr>
      <w:r>
        <w:continuationSeparator/>
      </w:r>
    </w:p>
  </w:footnote>
  <w:footnote w:id="1">
    <w:p w:rsidR="006A5618" w:rsidRDefault="006A5618" w:rsidP="00B23503">
      <w:pPr>
        <w:pStyle w:val="FootnoteText"/>
      </w:pPr>
      <w:r>
        <w:rPr>
          <w:rStyle w:val="FootnoteReference"/>
        </w:rPr>
        <w:footnoteRef/>
      </w:r>
      <w:r>
        <w:t xml:space="preserve"> </w:t>
      </w:r>
      <w:r w:rsidRPr="00416DF8">
        <w:t xml:space="preserve">Note that although the </w:t>
      </w:r>
      <w:r w:rsidRPr="00B23503">
        <w:t>Australian</w:t>
      </w:r>
      <w:r w:rsidRPr="00416DF8">
        <w:t xml:space="preserve"> Approved Name (AAN) for the drug substance is Thyroxine Sodium, the rest of the world refers to the drug substance as Levothyroxine Sodium. The monographs are therefore titled Levothyroxine Sodium (BP, EP, </w:t>
      </w:r>
      <w:proofErr w:type="gramStart"/>
      <w:r w:rsidRPr="00416DF8">
        <w:t>USP</w:t>
      </w:r>
      <w:proofErr w:type="gramEnd"/>
      <w:r w:rsidRPr="00416DF8">
        <w:t>), Levothyroxine Tablets (BP) and Levot</w:t>
      </w:r>
      <w:r>
        <w:t>hyroxine Sodium Tablets (USP).</w:t>
      </w:r>
    </w:p>
  </w:footnote>
  <w:footnote w:id="2">
    <w:p w:rsidR="006A5618" w:rsidRDefault="006A5618" w:rsidP="003662CD">
      <w:pPr>
        <w:pStyle w:val="FootnoteText"/>
      </w:pPr>
      <w:r>
        <w:rPr>
          <w:rStyle w:val="FootnoteReference"/>
        </w:rPr>
        <w:footnoteRef/>
      </w:r>
      <w:r>
        <w:t xml:space="preserve"> Two PK studies were submitted ARL/11/196: </w:t>
      </w:r>
      <w:r w:rsidRPr="003662CD">
        <w:t>intended</w:t>
      </w:r>
      <w:r>
        <w:t xml:space="preserve"> to assess dose proportionality for the 50 µg, 100 µg and 200 µg </w:t>
      </w:r>
      <w:proofErr w:type="spellStart"/>
      <w:r>
        <w:t>Eltroxin</w:t>
      </w:r>
      <w:proofErr w:type="spellEnd"/>
      <w:r>
        <w:t xml:space="preserve"> tablets and ARL/11/201: intended to assess bioequivalence between </w:t>
      </w:r>
      <w:proofErr w:type="spellStart"/>
      <w:r>
        <w:t>Eltroxin</w:t>
      </w:r>
      <w:proofErr w:type="spellEnd"/>
      <w:r>
        <w:t xml:space="preserve"> and the reference registered product, </w:t>
      </w:r>
      <w:proofErr w:type="spellStart"/>
      <w:r>
        <w:t>Oroxine</w:t>
      </w:r>
      <w:proofErr w:type="spellEnd"/>
    </w:p>
  </w:footnote>
  <w:footnote w:id="3">
    <w:p w:rsidR="006A5618" w:rsidRDefault="006A5618" w:rsidP="006D0F22">
      <w:pPr>
        <w:pStyle w:val="FootnoteText"/>
      </w:pPr>
      <w:r>
        <w:rPr>
          <w:rStyle w:val="FootnoteReference"/>
        </w:rPr>
        <w:footnoteRef/>
      </w:r>
      <w:r>
        <w:t xml:space="preserve"> </w:t>
      </w:r>
      <w:r w:rsidRPr="00CE52DA">
        <w:t>2013 MHRA report</w:t>
      </w:r>
      <w:r>
        <w:t xml:space="preserve"> and</w:t>
      </w:r>
      <w:r w:rsidRPr="00CE52DA">
        <w:t xml:space="preserve"> 2005 FDA </w:t>
      </w:r>
      <w:r w:rsidRPr="006D0F22">
        <w:t>transcript</w:t>
      </w:r>
    </w:p>
  </w:footnote>
  <w:footnote w:id="4">
    <w:p w:rsidR="006A5618" w:rsidRDefault="006A5618" w:rsidP="008944A4">
      <w:pPr>
        <w:pStyle w:val="FootnoteText"/>
      </w:pPr>
      <w:r>
        <w:rPr>
          <w:rStyle w:val="FootnoteReference"/>
        </w:rPr>
        <w:footnoteRef/>
      </w:r>
      <w:r>
        <w:t xml:space="preserve"> </w:t>
      </w:r>
      <w:proofErr w:type="gramStart"/>
      <w:r w:rsidRPr="00B7751E">
        <w:t>MHRA.</w:t>
      </w:r>
      <w:proofErr w:type="gramEnd"/>
      <w:r w:rsidRPr="00B7751E">
        <w:t xml:space="preserve"> Levothyroxine Tablet Products: A </w:t>
      </w:r>
      <w:r w:rsidRPr="008944A4">
        <w:t>Review</w:t>
      </w:r>
      <w:r w:rsidRPr="00B7751E">
        <w:t xml:space="preserve"> of Clinical and Quality Considerations. MHRA, 2013</w:t>
      </w:r>
    </w:p>
  </w:footnote>
  <w:footnote w:id="5">
    <w:p w:rsidR="006A5618" w:rsidRDefault="006A5618">
      <w:pPr>
        <w:pStyle w:val="FootnoteText"/>
      </w:pPr>
      <w:r>
        <w:rPr>
          <w:rStyle w:val="FootnoteReference"/>
        </w:rPr>
        <w:footnoteRef/>
      </w:r>
      <w:r>
        <w:t xml:space="preserve"> </w:t>
      </w:r>
      <w:r w:rsidRPr="00A838AC">
        <w:t>MHRA, Expert Review of Medsafe’s pre-licensing assessment and pharmacovigilance activities for a new formulation of ELTROXIN 50 µg and 100 µg tablets. MHRA, 2009, p18</w:t>
      </w:r>
    </w:p>
  </w:footnote>
  <w:footnote w:id="6">
    <w:p w:rsidR="006A5618" w:rsidRDefault="006A5618" w:rsidP="00084BB0">
      <w:pPr>
        <w:pStyle w:val="FootnoteText"/>
      </w:pPr>
      <w:r>
        <w:rPr>
          <w:rStyle w:val="FootnoteReference"/>
        </w:rPr>
        <w:footnoteRef/>
      </w:r>
      <w:r>
        <w:t xml:space="preserve"> Dong BJ, Hauck WW, </w:t>
      </w:r>
      <w:proofErr w:type="spellStart"/>
      <w:r>
        <w:t>Gambertoglio</w:t>
      </w:r>
      <w:proofErr w:type="spellEnd"/>
      <w:r>
        <w:t xml:space="preserve"> JG, Gee L, White JR, </w:t>
      </w:r>
      <w:proofErr w:type="spellStart"/>
      <w:r>
        <w:t>Bubp</w:t>
      </w:r>
      <w:proofErr w:type="spellEnd"/>
      <w:r>
        <w:t xml:space="preserve"> JL, Greenspan FS Bioequivalence of generic and brand-name levothyroxine products in the treatment of hypothyroidism. </w:t>
      </w:r>
      <w:proofErr w:type="gramStart"/>
      <w:r w:rsidRPr="00084BB0">
        <w:t>JAMA.</w:t>
      </w:r>
      <w:proofErr w:type="gramEnd"/>
      <w:r w:rsidRPr="00084BB0">
        <w:t xml:space="preserve"> 1997 Apr 16</w:t>
      </w:r>
      <w:proofErr w:type="gramStart"/>
      <w:r w:rsidRPr="00084BB0">
        <w:t>;277</w:t>
      </w:r>
      <w:proofErr w:type="gramEnd"/>
      <w:r w:rsidRPr="00084BB0">
        <w:t>(15):1205-13.</w:t>
      </w:r>
    </w:p>
  </w:footnote>
  <w:footnote w:id="7">
    <w:p w:rsidR="006A5618" w:rsidRDefault="006A5618" w:rsidP="00217ED9">
      <w:pPr>
        <w:pStyle w:val="FootnoteText"/>
      </w:pPr>
      <w:r>
        <w:rPr>
          <w:rStyle w:val="FootnoteReference"/>
        </w:rPr>
        <w:footnoteRef/>
      </w:r>
      <w:r>
        <w:t xml:space="preserve"> </w:t>
      </w:r>
      <w:proofErr w:type="spellStart"/>
      <w:r>
        <w:t>Colucci</w:t>
      </w:r>
      <w:proofErr w:type="spellEnd"/>
      <w:r>
        <w:t xml:space="preserve"> P, Seng Yue C, </w:t>
      </w:r>
      <w:proofErr w:type="spellStart"/>
      <w:r>
        <w:t>Ducharme</w:t>
      </w:r>
      <w:proofErr w:type="spellEnd"/>
      <w:r>
        <w:t xml:space="preserve"> M, </w:t>
      </w:r>
      <w:proofErr w:type="spellStart"/>
      <w:r>
        <w:t>Benvenga</w:t>
      </w:r>
      <w:proofErr w:type="spellEnd"/>
      <w:r>
        <w:t xml:space="preserve"> S. </w:t>
      </w:r>
      <w:proofErr w:type="gramStart"/>
      <w:r>
        <w:t>A Review of the Pharmacokinetics of Levothyroxine for the Treatment of Hypothyroidism.</w:t>
      </w:r>
      <w:proofErr w:type="gramEnd"/>
      <w:r>
        <w:t xml:space="preserve"> European Endocrinology, 2013;9(1):40-47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618" w:rsidRDefault="006A5618"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618" w:rsidRDefault="006A5618">
    <w:pPr>
      <w:rPr>
        <w:noProof/>
        <w:lang w:eastAsia="en-AU"/>
      </w:rPr>
    </w:pPr>
    <w:r w:rsidRPr="00347824">
      <w:rPr>
        <w:noProof/>
        <w:lang w:eastAsia="en-AU"/>
      </w:rPr>
      <w:drawing>
        <wp:anchor distT="0" distB="0" distL="114300" distR="114300" simplePos="0" relativeHeight="251659264" behindDoc="1" locked="0" layoutInCell="1" allowOverlap="1" wp14:anchorId="37C4E5A5" wp14:editId="17AACBAD">
          <wp:simplePos x="0" y="0"/>
          <wp:positionH relativeFrom="column">
            <wp:posOffset>-1081709</wp:posOffset>
          </wp:positionH>
          <wp:positionV relativeFrom="paragraph">
            <wp:posOffset>-585470</wp:posOffset>
          </wp:positionV>
          <wp:extent cx="7572375" cy="10706100"/>
          <wp:effectExtent l="0" t="0" r="9525" b="0"/>
          <wp:wrapNone/>
          <wp:docPr id="4"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72375" cy="10706100"/>
                  </a:xfrm>
                  <a:prstGeom prst="rect">
                    <a:avLst/>
                  </a:prstGeom>
                </pic:spPr>
              </pic:pic>
            </a:graphicData>
          </a:graphic>
        </wp:anchor>
      </w:drawing>
    </w:r>
  </w:p>
  <w:p w:rsidR="006A5618" w:rsidRDefault="006A5618" w:rsidP="00593AD1">
    <w:pPr>
      <w:pStyle w:val="HeaderNoLine"/>
    </w:pPr>
    <w:r>
      <w:rPr>
        <w:noProof/>
        <w:lang w:eastAsia="en-AU"/>
      </w:rPr>
      <w:drawing>
        <wp:inline distT="0" distB="0" distL="0" distR="0">
          <wp:extent cx="5398770" cy="7634605"/>
          <wp:effectExtent l="0" t="0" r="0" b="4445"/>
          <wp:docPr id="1" name="Picture 1"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8770" cy="763460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618" w:rsidRDefault="006A561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618" w:rsidRDefault="006A5618">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618" w:rsidRDefault="006A5618">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618" w:rsidRDefault="006A561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618" w:rsidRDefault="006A5618"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618" w:rsidRDefault="006A5618" w:rsidP="006E08B3">
    <w:r>
      <w:t>Therapeutic Goods Administration</w:t>
    </w:r>
  </w:p>
  <w:p w:rsidR="006A5618" w:rsidRDefault="006A5618"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46A8B1C"/>
    <w:lvl w:ilvl="0">
      <w:start w:val="1"/>
      <w:numFmt w:val="decimal"/>
      <w:lvlText w:val="%1."/>
      <w:lvlJc w:val="left"/>
      <w:pPr>
        <w:tabs>
          <w:tab w:val="num" w:pos="1492"/>
        </w:tabs>
        <w:ind w:left="1492" w:hanging="360"/>
      </w:pPr>
    </w:lvl>
  </w:abstractNum>
  <w:abstractNum w:abstractNumId="1">
    <w:nsid w:val="FFFFFF7D"/>
    <w:multiLevelType w:val="singleLevel"/>
    <w:tmpl w:val="E00E2D3E"/>
    <w:lvl w:ilvl="0">
      <w:start w:val="1"/>
      <w:numFmt w:val="decimal"/>
      <w:lvlText w:val="%1."/>
      <w:lvlJc w:val="left"/>
      <w:pPr>
        <w:tabs>
          <w:tab w:val="num" w:pos="1209"/>
        </w:tabs>
        <w:ind w:left="1209" w:hanging="360"/>
      </w:pPr>
    </w:lvl>
  </w:abstractNum>
  <w:abstractNum w:abstractNumId="2">
    <w:nsid w:val="FFFFFF7E"/>
    <w:multiLevelType w:val="singleLevel"/>
    <w:tmpl w:val="28689AD2"/>
    <w:lvl w:ilvl="0">
      <w:start w:val="1"/>
      <w:numFmt w:val="decimal"/>
      <w:lvlText w:val="%1."/>
      <w:lvlJc w:val="left"/>
      <w:pPr>
        <w:tabs>
          <w:tab w:val="num" w:pos="926"/>
        </w:tabs>
        <w:ind w:left="926" w:hanging="360"/>
      </w:pPr>
    </w:lvl>
  </w:abstractNum>
  <w:abstractNum w:abstractNumId="3">
    <w:nsid w:val="FFFFFF7F"/>
    <w:multiLevelType w:val="singleLevel"/>
    <w:tmpl w:val="4E0A5638"/>
    <w:lvl w:ilvl="0">
      <w:start w:val="1"/>
      <w:numFmt w:val="decimal"/>
      <w:lvlText w:val="%1."/>
      <w:lvlJc w:val="left"/>
      <w:pPr>
        <w:tabs>
          <w:tab w:val="num" w:pos="643"/>
        </w:tabs>
        <w:ind w:left="643" w:hanging="360"/>
      </w:pPr>
    </w:lvl>
  </w:abstractNum>
  <w:abstractNum w:abstractNumId="4">
    <w:nsid w:val="FFFFFF80"/>
    <w:multiLevelType w:val="singleLevel"/>
    <w:tmpl w:val="0004E25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68C902A"/>
    <w:lvl w:ilvl="0">
      <w:start w:val="1"/>
      <w:numFmt w:val="bullet"/>
      <w:lvlText w:val=""/>
      <w:lvlJc w:val="left"/>
      <w:pPr>
        <w:tabs>
          <w:tab w:val="num" w:pos="1209"/>
        </w:tabs>
        <w:ind w:left="1209" w:hanging="360"/>
      </w:pPr>
      <w:rPr>
        <w:rFonts w:ascii="Symbol" w:hAnsi="Symbol" w:hint="default"/>
      </w:rPr>
    </w:lvl>
  </w:abstractNum>
  <w:abstractNum w:abstractNumId="6">
    <w:nsid w:val="FFFFFF88"/>
    <w:multiLevelType w:val="singleLevel"/>
    <w:tmpl w:val="4760C370"/>
    <w:lvl w:ilvl="0">
      <w:start w:val="1"/>
      <w:numFmt w:val="decimal"/>
      <w:lvlText w:val="%1."/>
      <w:lvlJc w:val="left"/>
      <w:pPr>
        <w:tabs>
          <w:tab w:val="num" w:pos="360"/>
        </w:tabs>
        <w:ind w:left="360" w:hanging="360"/>
      </w:pPr>
    </w:lvl>
  </w:abstractNum>
  <w:abstractNum w:abstractNumId="7">
    <w:nsid w:val="10053F11"/>
    <w:multiLevelType w:val="multilevel"/>
    <w:tmpl w:val="2730BB82"/>
    <w:styleLink w:val="NumberBullet"/>
    <w:lvl w:ilvl="0">
      <w:start w:val="1"/>
      <w:numFmt w:val="decimal"/>
      <w:lvlText w:val="%1."/>
      <w:lvlJc w:val="left"/>
      <w:pPr>
        <w:ind w:left="425" w:hanging="425"/>
      </w:pPr>
      <w:rPr>
        <w:rFonts w:ascii="Cambria" w:hAnsi="Cambria" w:hint="default"/>
      </w:rPr>
    </w:lvl>
    <w:lvl w:ilvl="1">
      <w:start w:val="1"/>
      <w:numFmt w:val="decimal"/>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nsid w:val="3066740A"/>
    <w:multiLevelType w:val="hybridMultilevel"/>
    <w:tmpl w:val="4AC4A154"/>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0">
    <w:nsid w:val="35000EB2"/>
    <w:multiLevelType w:val="hybridMultilevel"/>
    <w:tmpl w:val="F52EA796"/>
    <w:lvl w:ilvl="0" w:tplc="E714B15E">
      <w:start w:val="1"/>
      <w:numFmt w:val="decimal"/>
      <w:pStyle w:val="Numberbullet0"/>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2">
    <w:nsid w:val="6D214E8B"/>
    <w:multiLevelType w:val="hybridMultilevel"/>
    <w:tmpl w:val="4426C4F8"/>
    <w:lvl w:ilvl="0" w:tplc="D910F5CC">
      <w:start w:val="1"/>
      <w:numFmt w:val="bullet"/>
      <w:pStyle w:val="TableBullet"/>
      <w:lvlText w:val="•"/>
      <w:lvlJc w:val="left"/>
      <w:pPr>
        <w:tabs>
          <w:tab w:val="num" w:pos="85"/>
        </w:tabs>
        <w:ind w:left="113" w:hanging="113"/>
      </w:pPr>
      <w:rPr>
        <w:rFonts w:ascii="Times New Roman" w:hAnsi="Times New Roman" w:cs="Times New Roman"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8"/>
  </w:num>
  <w:num w:numId="4">
    <w:abstractNumId w:val="7"/>
  </w:num>
  <w:num w:numId="5">
    <w:abstractNumId w:val="9"/>
  </w:num>
  <w:num w:numId="6">
    <w:abstractNumId w:val="11"/>
  </w:num>
  <w:num w:numId="7">
    <w:abstractNumId w:val="1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4"/>
  </w:num>
  <w:num w:numId="14">
    <w:abstractNumId w:val="5"/>
  </w:num>
  <w:num w:numId="15">
    <w:abstractNumId w:val="10"/>
    <w:lvlOverride w:ilvl="0">
      <w:startOverride w:val="1"/>
    </w:lvlOverride>
  </w:num>
  <w:num w:numId="16">
    <w:abstractNumId w:val="6"/>
  </w:num>
  <w:num w:numId="17">
    <w:abstractNumId w:val="3"/>
  </w:num>
  <w:num w:numId="18">
    <w:abstractNumId w:val="2"/>
  </w:num>
  <w:num w:numId="19">
    <w:abstractNumId w:val="1"/>
  </w:num>
  <w:num w:numId="20">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770"/>
    <w:rsid w:val="00002031"/>
    <w:rsid w:val="00004734"/>
    <w:rsid w:val="00006B22"/>
    <w:rsid w:val="0001276A"/>
    <w:rsid w:val="000246AE"/>
    <w:rsid w:val="00025C67"/>
    <w:rsid w:val="00044772"/>
    <w:rsid w:val="00045EF3"/>
    <w:rsid w:val="00053EC0"/>
    <w:rsid w:val="0005559E"/>
    <w:rsid w:val="000604D6"/>
    <w:rsid w:val="00063037"/>
    <w:rsid w:val="000734D8"/>
    <w:rsid w:val="00077775"/>
    <w:rsid w:val="000842E1"/>
    <w:rsid w:val="00084BB0"/>
    <w:rsid w:val="00090471"/>
    <w:rsid w:val="00096AA7"/>
    <w:rsid w:val="000A3AED"/>
    <w:rsid w:val="000B3532"/>
    <w:rsid w:val="000B3A75"/>
    <w:rsid w:val="000C690F"/>
    <w:rsid w:val="000D1295"/>
    <w:rsid w:val="000D391B"/>
    <w:rsid w:val="000D3D6D"/>
    <w:rsid w:val="000D4FC7"/>
    <w:rsid w:val="000F4869"/>
    <w:rsid w:val="000F4A2C"/>
    <w:rsid w:val="000F5B42"/>
    <w:rsid w:val="000F69AA"/>
    <w:rsid w:val="000F6E6F"/>
    <w:rsid w:val="0010601F"/>
    <w:rsid w:val="0010788A"/>
    <w:rsid w:val="00107A31"/>
    <w:rsid w:val="00110EA5"/>
    <w:rsid w:val="00112F56"/>
    <w:rsid w:val="00125318"/>
    <w:rsid w:val="001305A2"/>
    <w:rsid w:val="00133238"/>
    <w:rsid w:val="001411A2"/>
    <w:rsid w:val="0014197B"/>
    <w:rsid w:val="001447CD"/>
    <w:rsid w:val="001516B1"/>
    <w:rsid w:val="00154EBB"/>
    <w:rsid w:val="00155E1E"/>
    <w:rsid w:val="00156316"/>
    <w:rsid w:val="00162D14"/>
    <w:rsid w:val="00165389"/>
    <w:rsid w:val="0017693F"/>
    <w:rsid w:val="0018110E"/>
    <w:rsid w:val="00181684"/>
    <w:rsid w:val="001843C6"/>
    <w:rsid w:val="001850E0"/>
    <w:rsid w:val="00190709"/>
    <w:rsid w:val="001A2158"/>
    <w:rsid w:val="001A525F"/>
    <w:rsid w:val="001B09F9"/>
    <w:rsid w:val="001B5C90"/>
    <w:rsid w:val="001B6448"/>
    <w:rsid w:val="001C32CD"/>
    <w:rsid w:val="001C6628"/>
    <w:rsid w:val="001D104F"/>
    <w:rsid w:val="001D2984"/>
    <w:rsid w:val="001D4E2F"/>
    <w:rsid w:val="001E07CF"/>
    <w:rsid w:val="001E59F1"/>
    <w:rsid w:val="001F49EB"/>
    <w:rsid w:val="001F6CBA"/>
    <w:rsid w:val="00201D4E"/>
    <w:rsid w:val="002076C9"/>
    <w:rsid w:val="00212A86"/>
    <w:rsid w:val="00217ED9"/>
    <w:rsid w:val="00220B8A"/>
    <w:rsid w:val="002257F3"/>
    <w:rsid w:val="00233456"/>
    <w:rsid w:val="002339A5"/>
    <w:rsid w:val="00257848"/>
    <w:rsid w:val="002613E2"/>
    <w:rsid w:val="0027084A"/>
    <w:rsid w:val="00286434"/>
    <w:rsid w:val="00286C59"/>
    <w:rsid w:val="00291957"/>
    <w:rsid w:val="002942D1"/>
    <w:rsid w:val="0029501A"/>
    <w:rsid w:val="002B1638"/>
    <w:rsid w:val="002B25ED"/>
    <w:rsid w:val="002B3624"/>
    <w:rsid w:val="002E40B3"/>
    <w:rsid w:val="002E4C9A"/>
    <w:rsid w:val="002F11F8"/>
    <w:rsid w:val="002F3F56"/>
    <w:rsid w:val="002F44B5"/>
    <w:rsid w:val="00311AC0"/>
    <w:rsid w:val="0032583B"/>
    <w:rsid w:val="00327883"/>
    <w:rsid w:val="00335504"/>
    <w:rsid w:val="003404EE"/>
    <w:rsid w:val="00347824"/>
    <w:rsid w:val="00350567"/>
    <w:rsid w:val="003521E8"/>
    <w:rsid w:val="00361C1D"/>
    <w:rsid w:val="003662CD"/>
    <w:rsid w:val="003678A0"/>
    <w:rsid w:val="003714E2"/>
    <w:rsid w:val="003728F3"/>
    <w:rsid w:val="0037496E"/>
    <w:rsid w:val="00377374"/>
    <w:rsid w:val="00386150"/>
    <w:rsid w:val="003874CE"/>
    <w:rsid w:val="00390900"/>
    <w:rsid w:val="003958EF"/>
    <w:rsid w:val="00397301"/>
    <w:rsid w:val="003A7F6C"/>
    <w:rsid w:val="003B4D60"/>
    <w:rsid w:val="003B7E39"/>
    <w:rsid w:val="003C0B9D"/>
    <w:rsid w:val="003C58DC"/>
    <w:rsid w:val="003D1E62"/>
    <w:rsid w:val="003E2486"/>
    <w:rsid w:val="003E3208"/>
    <w:rsid w:val="003F0B04"/>
    <w:rsid w:val="0040134E"/>
    <w:rsid w:val="00416DF8"/>
    <w:rsid w:val="00426C79"/>
    <w:rsid w:val="00426FF2"/>
    <w:rsid w:val="004334C7"/>
    <w:rsid w:val="00440A2D"/>
    <w:rsid w:val="004564A7"/>
    <w:rsid w:val="004617BF"/>
    <w:rsid w:val="00463658"/>
    <w:rsid w:val="004722CC"/>
    <w:rsid w:val="004936E4"/>
    <w:rsid w:val="00494E60"/>
    <w:rsid w:val="00497487"/>
    <w:rsid w:val="004B05C7"/>
    <w:rsid w:val="004B7B76"/>
    <w:rsid w:val="004C239D"/>
    <w:rsid w:val="004C2DCA"/>
    <w:rsid w:val="004F0C4A"/>
    <w:rsid w:val="004F0F38"/>
    <w:rsid w:val="00501921"/>
    <w:rsid w:val="00503CBF"/>
    <w:rsid w:val="00530354"/>
    <w:rsid w:val="0053625B"/>
    <w:rsid w:val="005434C6"/>
    <w:rsid w:val="00543B39"/>
    <w:rsid w:val="00546154"/>
    <w:rsid w:val="005462BD"/>
    <w:rsid w:val="00550096"/>
    <w:rsid w:val="00555280"/>
    <w:rsid w:val="00557FF9"/>
    <w:rsid w:val="00576378"/>
    <w:rsid w:val="00577130"/>
    <w:rsid w:val="00577945"/>
    <w:rsid w:val="00577E38"/>
    <w:rsid w:val="00585322"/>
    <w:rsid w:val="005857C6"/>
    <w:rsid w:val="00592F6E"/>
    <w:rsid w:val="00593AD1"/>
    <w:rsid w:val="005A68B6"/>
    <w:rsid w:val="005C5570"/>
    <w:rsid w:val="005C79A4"/>
    <w:rsid w:val="005D5442"/>
    <w:rsid w:val="005E15CF"/>
    <w:rsid w:val="005F00A0"/>
    <w:rsid w:val="00603F32"/>
    <w:rsid w:val="00605AD4"/>
    <w:rsid w:val="00625A6E"/>
    <w:rsid w:val="00632398"/>
    <w:rsid w:val="00640FC3"/>
    <w:rsid w:val="00642020"/>
    <w:rsid w:val="0065337B"/>
    <w:rsid w:val="0065419D"/>
    <w:rsid w:val="006604D8"/>
    <w:rsid w:val="00664A5B"/>
    <w:rsid w:val="006763D2"/>
    <w:rsid w:val="00677F02"/>
    <w:rsid w:val="00680C08"/>
    <w:rsid w:val="006931B1"/>
    <w:rsid w:val="006A15C0"/>
    <w:rsid w:val="006A5618"/>
    <w:rsid w:val="006C3E2A"/>
    <w:rsid w:val="006C642F"/>
    <w:rsid w:val="006D03E5"/>
    <w:rsid w:val="006D0F22"/>
    <w:rsid w:val="006D5D3E"/>
    <w:rsid w:val="006E08B3"/>
    <w:rsid w:val="006F17AC"/>
    <w:rsid w:val="006F25B8"/>
    <w:rsid w:val="006F572E"/>
    <w:rsid w:val="007046D6"/>
    <w:rsid w:val="00705DB0"/>
    <w:rsid w:val="00722B57"/>
    <w:rsid w:val="00730F8A"/>
    <w:rsid w:val="00733C41"/>
    <w:rsid w:val="0074253D"/>
    <w:rsid w:val="0074429B"/>
    <w:rsid w:val="0075704A"/>
    <w:rsid w:val="007615BC"/>
    <w:rsid w:val="00762F05"/>
    <w:rsid w:val="007652FF"/>
    <w:rsid w:val="00770EF1"/>
    <w:rsid w:val="00773EF7"/>
    <w:rsid w:val="00774E1D"/>
    <w:rsid w:val="0077675A"/>
    <w:rsid w:val="00780355"/>
    <w:rsid w:val="007819FD"/>
    <w:rsid w:val="00785721"/>
    <w:rsid w:val="007934FA"/>
    <w:rsid w:val="00793A59"/>
    <w:rsid w:val="007B6132"/>
    <w:rsid w:val="007B6E9F"/>
    <w:rsid w:val="007C1216"/>
    <w:rsid w:val="007C1AF7"/>
    <w:rsid w:val="007D0F51"/>
    <w:rsid w:val="007E6B8D"/>
    <w:rsid w:val="007F21CC"/>
    <w:rsid w:val="007F3885"/>
    <w:rsid w:val="00805D27"/>
    <w:rsid w:val="00821776"/>
    <w:rsid w:val="00831326"/>
    <w:rsid w:val="008321F5"/>
    <w:rsid w:val="00832369"/>
    <w:rsid w:val="00834660"/>
    <w:rsid w:val="00836BC2"/>
    <w:rsid w:val="00842458"/>
    <w:rsid w:val="0085156D"/>
    <w:rsid w:val="0085641B"/>
    <w:rsid w:val="00857136"/>
    <w:rsid w:val="00885B11"/>
    <w:rsid w:val="00886D15"/>
    <w:rsid w:val="00887DD8"/>
    <w:rsid w:val="00892CA8"/>
    <w:rsid w:val="008944A4"/>
    <w:rsid w:val="00896018"/>
    <w:rsid w:val="008960DD"/>
    <w:rsid w:val="0089635C"/>
    <w:rsid w:val="008A2ADB"/>
    <w:rsid w:val="008A2B9D"/>
    <w:rsid w:val="008A3D9F"/>
    <w:rsid w:val="008A5E0B"/>
    <w:rsid w:val="008A6926"/>
    <w:rsid w:val="008A6D59"/>
    <w:rsid w:val="008B4B03"/>
    <w:rsid w:val="008B596F"/>
    <w:rsid w:val="008C159F"/>
    <w:rsid w:val="008C1623"/>
    <w:rsid w:val="008C1850"/>
    <w:rsid w:val="008C51A9"/>
    <w:rsid w:val="008E7846"/>
    <w:rsid w:val="008F1CCC"/>
    <w:rsid w:val="008F2967"/>
    <w:rsid w:val="008F6943"/>
    <w:rsid w:val="00902A21"/>
    <w:rsid w:val="00914B8A"/>
    <w:rsid w:val="00920330"/>
    <w:rsid w:val="009219D7"/>
    <w:rsid w:val="00922D53"/>
    <w:rsid w:val="00923B70"/>
    <w:rsid w:val="00924482"/>
    <w:rsid w:val="00930237"/>
    <w:rsid w:val="00930ACE"/>
    <w:rsid w:val="00940A89"/>
    <w:rsid w:val="00946EA5"/>
    <w:rsid w:val="00963C08"/>
    <w:rsid w:val="0098585A"/>
    <w:rsid w:val="009A4CED"/>
    <w:rsid w:val="009A690D"/>
    <w:rsid w:val="009B1D12"/>
    <w:rsid w:val="009B416B"/>
    <w:rsid w:val="009C4BD5"/>
    <w:rsid w:val="009D37CA"/>
    <w:rsid w:val="009D7B77"/>
    <w:rsid w:val="009E0BB0"/>
    <w:rsid w:val="009E3FBB"/>
    <w:rsid w:val="00A102E4"/>
    <w:rsid w:val="00A11875"/>
    <w:rsid w:val="00A12C42"/>
    <w:rsid w:val="00A13F6C"/>
    <w:rsid w:val="00A14DF7"/>
    <w:rsid w:val="00A158A3"/>
    <w:rsid w:val="00A310F1"/>
    <w:rsid w:val="00A323E2"/>
    <w:rsid w:val="00A3246D"/>
    <w:rsid w:val="00A36FA7"/>
    <w:rsid w:val="00A44642"/>
    <w:rsid w:val="00A44DDB"/>
    <w:rsid w:val="00A475B7"/>
    <w:rsid w:val="00A47AF7"/>
    <w:rsid w:val="00A47C3E"/>
    <w:rsid w:val="00A50226"/>
    <w:rsid w:val="00A60BAD"/>
    <w:rsid w:val="00A73286"/>
    <w:rsid w:val="00A838AC"/>
    <w:rsid w:val="00A84E36"/>
    <w:rsid w:val="00A964D1"/>
    <w:rsid w:val="00AA0ED0"/>
    <w:rsid w:val="00AA4A0E"/>
    <w:rsid w:val="00AC2B40"/>
    <w:rsid w:val="00AC2BB2"/>
    <w:rsid w:val="00AC2C3C"/>
    <w:rsid w:val="00AC512D"/>
    <w:rsid w:val="00AD0083"/>
    <w:rsid w:val="00AD2299"/>
    <w:rsid w:val="00AD3935"/>
    <w:rsid w:val="00AE10FF"/>
    <w:rsid w:val="00AE65EB"/>
    <w:rsid w:val="00AE67A7"/>
    <w:rsid w:val="00AF1D94"/>
    <w:rsid w:val="00AF60C5"/>
    <w:rsid w:val="00B009C6"/>
    <w:rsid w:val="00B01548"/>
    <w:rsid w:val="00B21D29"/>
    <w:rsid w:val="00B23503"/>
    <w:rsid w:val="00B25034"/>
    <w:rsid w:val="00B33588"/>
    <w:rsid w:val="00B33863"/>
    <w:rsid w:val="00B37D17"/>
    <w:rsid w:val="00B4175E"/>
    <w:rsid w:val="00B452CE"/>
    <w:rsid w:val="00B52B8D"/>
    <w:rsid w:val="00B54C25"/>
    <w:rsid w:val="00B63770"/>
    <w:rsid w:val="00B76B91"/>
    <w:rsid w:val="00B7751E"/>
    <w:rsid w:val="00B77EB1"/>
    <w:rsid w:val="00B811C6"/>
    <w:rsid w:val="00B855B0"/>
    <w:rsid w:val="00B92E08"/>
    <w:rsid w:val="00B96A88"/>
    <w:rsid w:val="00BC622A"/>
    <w:rsid w:val="00BE0A78"/>
    <w:rsid w:val="00BE79F0"/>
    <w:rsid w:val="00BF046D"/>
    <w:rsid w:val="00BF1190"/>
    <w:rsid w:val="00BF5D04"/>
    <w:rsid w:val="00C1164D"/>
    <w:rsid w:val="00C13DA7"/>
    <w:rsid w:val="00C14A83"/>
    <w:rsid w:val="00C16861"/>
    <w:rsid w:val="00C2185B"/>
    <w:rsid w:val="00C23E68"/>
    <w:rsid w:val="00C404A6"/>
    <w:rsid w:val="00C40A36"/>
    <w:rsid w:val="00C44419"/>
    <w:rsid w:val="00C45E7B"/>
    <w:rsid w:val="00C471B1"/>
    <w:rsid w:val="00C6316B"/>
    <w:rsid w:val="00C634A9"/>
    <w:rsid w:val="00C64586"/>
    <w:rsid w:val="00C70D53"/>
    <w:rsid w:val="00C73D0B"/>
    <w:rsid w:val="00C772FF"/>
    <w:rsid w:val="00C80137"/>
    <w:rsid w:val="00C801AF"/>
    <w:rsid w:val="00C80256"/>
    <w:rsid w:val="00C864BE"/>
    <w:rsid w:val="00C9747E"/>
    <w:rsid w:val="00CB6BC0"/>
    <w:rsid w:val="00CC1B7C"/>
    <w:rsid w:val="00CC727F"/>
    <w:rsid w:val="00CE52DA"/>
    <w:rsid w:val="00CF15C3"/>
    <w:rsid w:val="00CF2B6F"/>
    <w:rsid w:val="00CF58B6"/>
    <w:rsid w:val="00D017ED"/>
    <w:rsid w:val="00D040D3"/>
    <w:rsid w:val="00D04C65"/>
    <w:rsid w:val="00D201D2"/>
    <w:rsid w:val="00D224FE"/>
    <w:rsid w:val="00D23139"/>
    <w:rsid w:val="00D246DA"/>
    <w:rsid w:val="00D425BB"/>
    <w:rsid w:val="00D44412"/>
    <w:rsid w:val="00D6493E"/>
    <w:rsid w:val="00D7195D"/>
    <w:rsid w:val="00D7301E"/>
    <w:rsid w:val="00D83AE1"/>
    <w:rsid w:val="00D84C6F"/>
    <w:rsid w:val="00D855D4"/>
    <w:rsid w:val="00D93466"/>
    <w:rsid w:val="00DA1124"/>
    <w:rsid w:val="00DB6124"/>
    <w:rsid w:val="00DB750B"/>
    <w:rsid w:val="00DB75B7"/>
    <w:rsid w:val="00DC6E02"/>
    <w:rsid w:val="00DE02AE"/>
    <w:rsid w:val="00DF1D7F"/>
    <w:rsid w:val="00DF3025"/>
    <w:rsid w:val="00DF4BE4"/>
    <w:rsid w:val="00E02FB4"/>
    <w:rsid w:val="00E06144"/>
    <w:rsid w:val="00E20571"/>
    <w:rsid w:val="00E235F7"/>
    <w:rsid w:val="00E23659"/>
    <w:rsid w:val="00E239D4"/>
    <w:rsid w:val="00E26130"/>
    <w:rsid w:val="00E40B22"/>
    <w:rsid w:val="00E45619"/>
    <w:rsid w:val="00E4588F"/>
    <w:rsid w:val="00E46DA3"/>
    <w:rsid w:val="00E51BB1"/>
    <w:rsid w:val="00E5741B"/>
    <w:rsid w:val="00E624A5"/>
    <w:rsid w:val="00E7344E"/>
    <w:rsid w:val="00E75050"/>
    <w:rsid w:val="00E94CA6"/>
    <w:rsid w:val="00EB0798"/>
    <w:rsid w:val="00EB2C7E"/>
    <w:rsid w:val="00EB40AD"/>
    <w:rsid w:val="00EB586E"/>
    <w:rsid w:val="00EB5FC8"/>
    <w:rsid w:val="00EC7A85"/>
    <w:rsid w:val="00ED3CAD"/>
    <w:rsid w:val="00ED5502"/>
    <w:rsid w:val="00ED5A41"/>
    <w:rsid w:val="00EE1DE8"/>
    <w:rsid w:val="00F033EC"/>
    <w:rsid w:val="00F04F68"/>
    <w:rsid w:val="00F12670"/>
    <w:rsid w:val="00F14B27"/>
    <w:rsid w:val="00F3148D"/>
    <w:rsid w:val="00F31733"/>
    <w:rsid w:val="00F325C5"/>
    <w:rsid w:val="00F32FE0"/>
    <w:rsid w:val="00F35298"/>
    <w:rsid w:val="00F47333"/>
    <w:rsid w:val="00F47E37"/>
    <w:rsid w:val="00F53C07"/>
    <w:rsid w:val="00F54B65"/>
    <w:rsid w:val="00F640B6"/>
    <w:rsid w:val="00F80E40"/>
    <w:rsid w:val="00F848D9"/>
    <w:rsid w:val="00FA5B82"/>
    <w:rsid w:val="00FA639E"/>
    <w:rsid w:val="00FC25E4"/>
    <w:rsid w:val="00FC4619"/>
    <w:rsid w:val="00FC4EF7"/>
    <w:rsid w:val="00FD0824"/>
    <w:rsid w:val="00FD119B"/>
    <w:rsid w:val="00FD1865"/>
    <w:rsid w:val="00FE1DEE"/>
    <w:rsid w:val="00FE6A31"/>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0" w:unhideWhenUsed="0" w:qFormat="1"/>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B23503"/>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AD0083"/>
    <w:pPr>
      <w:keepNext/>
      <w:spacing w:after="60" w:line="180" w:lineRule="atLeast"/>
      <w:outlineLvl w:val="6"/>
    </w:pPr>
    <w:rPr>
      <w:rFonts w:eastAsia="Times New Roman"/>
      <w:bCs/>
      <w:sz w:val="18"/>
      <w:szCs w:val="24"/>
    </w:rPr>
  </w:style>
  <w:style w:type="paragraph" w:styleId="Heading8">
    <w:name w:val="heading 8"/>
    <w:basedOn w:val="Normal"/>
    <w:next w:val="Normal"/>
    <w:link w:val="Heading8Char"/>
    <w:uiPriority w:val="9"/>
    <w:semiHidden/>
    <w:unhideWhenUsed/>
    <w:qFormat/>
    <w:rsid w:val="00C864B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864B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B23503"/>
    <w:pPr>
      <w:spacing w:before="0" w:after="0" w:line="240" w:lineRule="auto"/>
    </w:pPr>
    <w:rPr>
      <w:sz w:val="19"/>
    </w:rPr>
  </w:style>
  <w:style w:type="paragraph" w:customStyle="1" w:styleId="FigureTitle">
    <w:name w:val="Figure Title"/>
    <w:basedOn w:val="Normal"/>
    <w:rsid w:val="00B23503"/>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D246DA"/>
    <w:pPr>
      <w:numPr>
        <w:numId w:val="9"/>
      </w:numPr>
      <w:ind w:left="357" w:hanging="357"/>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3662CD"/>
    <w:pPr>
      <w:keepNext/>
    </w:pPr>
    <w:rPr>
      <w:b/>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Instructionaltext">
    <w:name w:val="Instructional text"/>
    <w:basedOn w:val="Normal"/>
    <w:link w:val="InstructionaltextChar"/>
    <w:uiPriority w:val="1"/>
    <w:qFormat/>
    <w:rsid w:val="00A44DDB"/>
    <w:rPr>
      <w:i/>
      <w:color w:val="22ABFF" w:themeColor="accent1" w:themeTint="80"/>
      <w:szCs w:val="24"/>
    </w:rPr>
  </w:style>
  <w:style w:type="character" w:customStyle="1" w:styleId="InstructionaltextChar">
    <w:name w:val="Instructional text Char"/>
    <w:basedOn w:val="DefaultParagraphFont"/>
    <w:link w:val="Instructionaltext"/>
    <w:uiPriority w:val="1"/>
    <w:rsid w:val="00AD3935"/>
    <w:rPr>
      <w:rFonts w:ascii="Cambria" w:eastAsia="Cambria" w:hAnsi="Cambria" w:cs="Times New Roman"/>
      <w:i/>
      <w:color w:val="22ABFF" w:themeColor="accent1" w:themeTint="80"/>
      <w:szCs w:val="24"/>
    </w:rPr>
  </w:style>
  <w:style w:type="paragraph" w:styleId="ListParagraph">
    <w:name w:val="List Paragraph"/>
    <w:basedOn w:val="Normal"/>
    <w:uiPriority w:val="34"/>
    <w:qFormat/>
    <w:rsid w:val="00B63770"/>
    <w:pPr>
      <w:adjustRightInd w:val="0"/>
      <w:snapToGrid w:val="0"/>
      <w:spacing w:before="180" w:after="180"/>
      <w:ind w:left="720"/>
      <w:contextualSpacing/>
    </w:pPr>
    <w:rPr>
      <w:rFonts w:ascii="Arial" w:hAnsi="Arial" w:cs="Arial"/>
    </w:rPr>
  </w:style>
  <w:style w:type="paragraph" w:customStyle="1" w:styleId="Default">
    <w:name w:val="Default"/>
    <w:rsid w:val="00B63770"/>
    <w:pPr>
      <w:autoSpaceDE w:val="0"/>
      <w:autoSpaceDN w:val="0"/>
      <w:adjustRightInd w:val="0"/>
      <w:spacing w:after="0" w:line="240" w:lineRule="auto"/>
    </w:pPr>
    <w:rPr>
      <w:rFonts w:ascii="Times New Roman" w:eastAsia="MS Mincho" w:hAnsi="Times New Roman" w:cs="Times New Roman"/>
      <w:color w:val="000000"/>
      <w:sz w:val="24"/>
      <w:szCs w:val="24"/>
      <w:lang w:eastAsia="en-AU"/>
    </w:rPr>
  </w:style>
  <w:style w:type="character" w:customStyle="1" w:styleId="st1">
    <w:name w:val="st1"/>
    <w:basedOn w:val="DefaultParagraphFont"/>
    <w:rsid w:val="00B63770"/>
  </w:style>
  <w:style w:type="character" w:customStyle="1" w:styleId="molecularformula">
    <w:name w:val="molecular_formula"/>
    <w:basedOn w:val="DefaultParagraphFont"/>
    <w:rsid w:val="00426FF2"/>
  </w:style>
  <w:style w:type="paragraph" w:styleId="NormalWeb">
    <w:name w:val="Normal (Web)"/>
    <w:basedOn w:val="Normal"/>
    <w:uiPriority w:val="99"/>
    <w:unhideWhenUsed/>
    <w:rsid w:val="00426FF2"/>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italic">
    <w:name w:val="italic"/>
    <w:basedOn w:val="DefaultParagraphFont"/>
    <w:rsid w:val="00426FF2"/>
    <w:rPr>
      <w:i/>
      <w:iCs/>
    </w:rPr>
  </w:style>
  <w:style w:type="paragraph" w:customStyle="1" w:styleId="A-Head3">
    <w:name w:val="A-Head 3"/>
    <w:basedOn w:val="Normal"/>
    <w:link w:val="A-Head3Char"/>
    <w:rsid w:val="00426FF2"/>
    <w:pPr>
      <w:widowControl w:val="0"/>
      <w:tabs>
        <w:tab w:val="left" w:pos="851"/>
      </w:tabs>
      <w:spacing w:after="60" w:line="240" w:lineRule="auto"/>
      <w:ind w:left="1418" w:right="-108" w:hanging="1418"/>
    </w:pPr>
    <w:rPr>
      <w:rFonts w:ascii="Arial" w:eastAsia="Times New Roman" w:hAnsi="Arial"/>
      <w:b/>
      <w:sz w:val="28"/>
      <w:szCs w:val="20"/>
    </w:rPr>
  </w:style>
  <w:style w:type="character" w:customStyle="1" w:styleId="A-Head3Char">
    <w:name w:val="A-Head 3 Char"/>
    <w:basedOn w:val="DefaultParagraphFont"/>
    <w:link w:val="A-Head3"/>
    <w:rsid w:val="00426FF2"/>
    <w:rPr>
      <w:rFonts w:ascii="Arial" w:eastAsia="Times New Roman" w:hAnsi="Arial" w:cs="Times New Roman"/>
      <w:b/>
      <w:sz w:val="28"/>
      <w:szCs w:val="20"/>
    </w:rPr>
  </w:style>
  <w:style w:type="paragraph" w:customStyle="1" w:styleId="Abbreviations">
    <w:name w:val="Abbreviations"/>
    <w:basedOn w:val="Normal"/>
    <w:rsid w:val="00C864BE"/>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Cs w:val="24"/>
      <w:lang w:eastAsia="en-AU"/>
    </w:rPr>
  </w:style>
  <w:style w:type="paragraph" w:customStyle="1" w:styleId="Bullet1">
    <w:name w:val="Bullet 1"/>
    <w:basedOn w:val="Normal"/>
    <w:rsid w:val="00C864BE"/>
    <w:pPr>
      <w:numPr>
        <w:numId w:val="5"/>
      </w:numPr>
      <w:spacing w:after="0" w:line="240" w:lineRule="auto"/>
    </w:pPr>
    <w:rPr>
      <w:rFonts w:eastAsia="Times New Roman"/>
      <w:kern w:val="24"/>
      <w:szCs w:val="24"/>
      <w:lang w:eastAsia="en-AU"/>
    </w:rPr>
  </w:style>
  <w:style w:type="paragraph" w:customStyle="1" w:styleId="Bullet2">
    <w:name w:val="Bullet 2"/>
    <w:basedOn w:val="Bullet1"/>
    <w:rsid w:val="00C864BE"/>
    <w:pPr>
      <w:numPr>
        <w:numId w:val="6"/>
      </w:numPr>
    </w:pPr>
  </w:style>
  <w:style w:type="character" w:customStyle="1" w:styleId="Heading8Char">
    <w:name w:val="Heading 8 Char"/>
    <w:basedOn w:val="DefaultParagraphFont"/>
    <w:link w:val="Heading8"/>
    <w:uiPriority w:val="9"/>
    <w:semiHidden/>
    <w:rsid w:val="00C864B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864BE"/>
    <w:rPr>
      <w:rFonts w:asciiTheme="majorHAnsi" w:eastAsiaTheme="majorEastAsia" w:hAnsiTheme="majorHAnsi" w:cstheme="majorBidi"/>
      <w:i/>
      <w:iCs/>
      <w:color w:val="404040" w:themeColor="text1" w:themeTint="BF"/>
      <w:sz w:val="20"/>
      <w:szCs w:val="20"/>
    </w:rPr>
  </w:style>
  <w:style w:type="paragraph" w:customStyle="1" w:styleId="TableBullet">
    <w:name w:val="Table Bullet"/>
    <w:basedOn w:val="Normal"/>
    <w:rsid w:val="00C864BE"/>
    <w:pPr>
      <w:numPr>
        <w:numId w:val="7"/>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4"/>
      <w:lang w:eastAsia="en-AU"/>
    </w:rPr>
  </w:style>
  <w:style w:type="paragraph" w:customStyle="1" w:styleId="mine">
    <w:name w:val="mine"/>
    <w:basedOn w:val="Normal"/>
    <w:next w:val="Normal"/>
    <w:qFormat/>
    <w:rsid w:val="00A310F1"/>
    <w:pPr>
      <w:widowControl w:val="0"/>
      <w:adjustRightInd w:val="0"/>
      <w:snapToGrid w:val="0"/>
      <w:spacing w:before="0" w:after="0" w:line="240" w:lineRule="auto"/>
      <w:contextualSpacing/>
    </w:pPr>
    <w:rPr>
      <w:rFonts w:ascii="Times New Roman" w:eastAsia="MS Mincho" w:hAnsi="Times New Roman"/>
      <w:sz w:val="24"/>
      <w:szCs w:val="21"/>
      <w:lang w:eastAsia="en-AU"/>
    </w:rPr>
  </w:style>
  <w:style w:type="paragraph" w:customStyle="1" w:styleId="table">
    <w:name w:val="table"/>
    <w:basedOn w:val="Normal"/>
    <w:qFormat/>
    <w:rsid w:val="00A310F1"/>
    <w:pPr>
      <w:adjustRightInd w:val="0"/>
      <w:snapToGrid w:val="0"/>
      <w:spacing w:before="0" w:after="0" w:line="240" w:lineRule="auto"/>
    </w:pPr>
    <w:rPr>
      <w:rFonts w:ascii="Times New Roman" w:eastAsia="MS Mincho" w:hAnsi="Times New Roman"/>
      <w:sz w:val="16"/>
      <w:szCs w:val="20"/>
      <w:lang w:eastAsia="ja-JP"/>
    </w:rPr>
  </w:style>
  <w:style w:type="paragraph" w:styleId="Revision">
    <w:name w:val="Revision"/>
    <w:hidden/>
    <w:uiPriority w:val="99"/>
    <w:semiHidden/>
    <w:rsid w:val="005F00A0"/>
    <w:pPr>
      <w:spacing w:after="0" w:line="240" w:lineRule="auto"/>
    </w:pPr>
    <w:rPr>
      <w:rFonts w:ascii="Cambria" w:eastAsia="Cambria" w:hAnsi="Cambria" w:cs="Times New Roman"/>
    </w:rPr>
  </w:style>
  <w:style w:type="character" w:styleId="CommentReference">
    <w:name w:val="annotation reference"/>
    <w:basedOn w:val="DefaultParagraphFont"/>
    <w:uiPriority w:val="99"/>
    <w:semiHidden/>
    <w:unhideWhenUsed/>
    <w:rsid w:val="00DF3025"/>
    <w:rPr>
      <w:sz w:val="16"/>
      <w:szCs w:val="16"/>
    </w:rPr>
  </w:style>
  <w:style w:type="paragraph" w:styleId="CommentText">
    <w:name w:val="annotation text"/>
    <w:basedOn w:val="Normal"/>
    <w:link w:val="CommentTextChar"/>
    <w:uiPriority w:val="99"/>
    <w:semiHidden/>
    <w:unhideWhenUsed/>
    <w:rsid w:val="00DF3025"/>
    <w:pPr>
      <w:spacing w:line="240" w:lineRule="auto"/>
    </w:pPr>
    <w:rPr>
      <w:sz w:val="20"/>
      <w:szCs w:val="20"/>
    </w:rPr>
  </w:style>
  <w:style w:type="character" w:customStyle="1" w:styleId="CommentTextChar">
    <w:name w:val="Comment Text Char"/>
    <w:basedOn w:val="DefaultParagraphFont"/>
    <w:link w:val="CommentText"/>
    <w:uiPriority w:val="99"/>
    <w:semiHidden/>
    <w:rsid w:val="00DF3025"/>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DF3025"/>
    <w:rPr>
      <w:b/>
      <w:bCs/>
    </w:rPr>
  </w:style>
  <w:style w:type="character" w:customStyle="1" w:styleId="CommentSubjectChar">
    <w:name w:val="Comment Subject Char"/>
    <w:basedOn w:val="CommentTextChar"/>
    <w:link w:val="CommentSubject"/>
    <w:uiPriority w:val="99"/>
    <w:semiHidden/>
    <w:rsid w:val="00DF3025"/>
    <w:rPr>
      <w:rFonts w:ascii="Cambria" w:eastAsia="Cambria" w:hAnsi="Cambri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0" w:unhideWhenUsed="0" w:qFormat="1"/>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B23503"/>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AD0083"/>
    <w:pPr>
      <w:keepNext/>
      <w:spacing w:after="60" w:line="180" w:lineRule="atLeast"/>
      <w:outlineLvl w:val="6"/>
    </w:pPr>
    <w:rPr>
      <w:rFonts w:eastAsia="Times New Roman"/>
      <w:bCs/>
      <w:sz w:val="18"/>
      <w:szCs w:val="24"/>
    </w:rPr>
  </w:style>
  <w:style w:type="paragraph" w:styleId="Heading8">
    <w:name w:val="heading 8"/>
    <w:basedOn w:val="Normal"/>
    <w:next w:val="Normal"/>
    <w:link w:val="Heading8Char"/>
    <w:uiPriority w:val="9"/>
    <w:semiHidden/>
    <w:unhideWhenUsed/>
    <w:qFormat/>
    <w:rsid w:val="00C864B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864B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B23503"/>
    <w:pPr>
      <w:spacing w:before="0" w:after="0" w:line="240" w:lineRule="auto"/>
    </w:pPr>
    <w:rPr>
      <w:sz w:val="19"/>
    </w:rPr>
  </w:style>
  <w:style w:type="paragraph" w:customStyle="1" w:styleId="FigureTitle">
    <w:name w:val="Figure Title"/>
    <w:basedOn w:val="Normal"/>
    <w:rsid w:val="00B23503"/>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D246DA"/>
    <w:pPr>
      <w:numPr>
        <w:numId w:val="9"/>
      </w:numPr>
      <w:ind w:left="357" w:hanging="357"/>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3662CD"/>
    <w:pPr>
      <w:keepNext/>
    </w:pPr>
    <w:rPr>
      <w:b/>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Instructionaltext">
    <w:name w:val="Instructional text"/>
    <w:basedOn w:val="Normal"/>
    <w:link w:val="InstructionaltextChar"/>
    <w:uiPriority w:val="1"/>
    <w:qFormat/>
    <w:rsid w:val="00A44DDB"/>
    <w:rPr>
      <w:i/>
      <w:color w:val="22ABFF" w:themeColor="accent1" w:themeTint="80"/>
      <w:szCs w:val="24"/>
    </w:rPr>
  </w:style>
  <w:style w:type="character" w:customStyle="1" w:styleId="InstructionaltextChar">
    <w:name w:val="Instructional text Char"/>
    <w:basedOn w:val="DefaultParagraphFont"/>
    <w:link w:val="Instructionaltext"/>
    <w:uiPriority w:val="1"/>
    <w:rsid w:val="00AD3935"/>
    <w:rPr>
      <w:rFonts w:ascii="Cambria" w:eastAsia="Cambria" w:hAnsi="Cambria" w:cs="Times New Roman"/>
      <w:i/>
      <w:color w:val="22ABFF" w:themeColor="accent1" w:themeTint="80"/>
      <w:szCs w:val="24"/>
    </w:rPr>
  </w:style>
  <w:style w:type="paragraph" w:styleId="ListParagraph">
    <w:name w:val="List Paragraph"/>
    <w:basedOn w:val="Normal"/>
    <w:uiPriority w:val="34"/>
    <w:qFormat/>
    <w:rsid w:val="00B63770"/>
    <w:pPr>
      <w:adjustRightInd w:val="0"/>
      <w:snapToGrid w:val="0"/>
      <w:spacing w:before="180" w:after="180"/>
      <w:ind w:left="720"/>
      <w:contextualSpacing/>
    </w:pPr>
    <w:rPr>
      <w:rFonts w:ascii="Arial" w:hAnsi="Arial" w:cs="Arial"/>
    </w:rPr>
  </w:style>
  <w:style w:type="paragraph" w:customStyle="1" w:styleId="Default">
    <w:name w:val="Default"/>
    <w:rsid w:val="00B63770"/>
    <w:pPr>
      <w:autoSpaceDE w:val="0"/>
      <w:autoSpaceDN w:val="0"/>
      <w:adjustRightInd w:val="0"/>
      <w:spacing w:after="0" w:line="240" w:lineRule="auto"/>
    </w:pPr>
    <w:rPr>
      <w:rFonts w:ascii="Times New Roman" w:eastAsia="MS Mincho" w:hAnsi="Times New Roman" w:cs="Times New Roman"/>
      <w:color w:val="000000"/>
      <w:sz w:val="24"/>
      <w:szCs w:val="24"/>
      <w:lang w:eastAsia="en-AU"/>
    </w:rPr>
  </w:style>
  <w:style w:type="character" w:customStyle="1" w:styleId="st1">
    <w:name w:val="st1"/>
    <w:basedOn w:val="DefaultParagraphFont"/>
    <w:rsid w:val="00B63770"/>
  </w:style>
  <w:style w:type="character" w:customStyle="1" w:styleId="molecularformula">
    <w:name w:val="molecular_formula"/>
    <w:basedOn w:val="DefaultParagraphFont"/>
    <w:rsid w:val="00426FF2"/>
  </w:style>
  <w:style w:type="paragraph" w:styleId="NormalWeb">
    <w:name w:val="Normal (Web)"/>
    <w:basedOn w:val="Normal"/>
    <w:uiPriority w:val="99"/>
    <w:unhideWhenUsed/>
    <w:rsid w:val="00426FF2"/>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italic">
    <w:name w:val="italic"/>
    <w:basedOn w:val="DefaultParagraphFont"/>
    <w:rsid w:val="00426FF2"/>
    <w:rPr>
      <w:i/>
      <w:iCs/>
    </w:rPr>
  </w:style>
  <w:style w:type="paragraph" w:customStyle="1" w:styleId="A-Head3">
    <w:name w:val="A-Head 3"/>
    <w:basedOn w:val="Normal"/>
    <w:link w:val="A-Head3Char"/>
    <w:rsid w:val="00426FF2"/>
    <w:pPr>
      <w:widowControl w:val="0"/>
      <w:tabs>
        <w:tab w:val="left" w:pos="851"/>
      </w:tabs>
      <w:spacing w:after="60" w:line="240" w:lineRule="auto"/>
      <w:ind w:left="1418" w:right="-108" w:hanging="1418"/>
    </w:pPr>
    <w:rPr>
      <w:rFonts w:ascii="Arial" w:eastAsia="Times New Roman" w:hAnsi="Arial"/>
      <w:b/>
      <w:sz w:val="28"/>
      <w:szCs w:val="20"/>
    </w:rPr>
  </w:style>
  <w:style w:type="character" w:customStyle="1" w:styleId="A-Head3Char">
    <w:name w:val="A-Head 3 Char"/>
    <w:basedOn w:val="DefaultParagraphFont"/>
    <w:link w:val="A-Head3"/>
    <w:rsid w:val="00426FF2"/>
    <w:rPr>
      <w:rFonts w:ascii="Arial" w:eastAsia="Times New Roman" w:hAnsi="Arial" w:cs="Times New Roman"/>
      <w:b/>
      <w:sz w:val="28"/>
      <w:szCs w:val="20"/>
    </w:rPr>
  </w:style>
  <w:style w:type="paragraph" w:customStyle="1" w:styleId="Abbreviations">
    <w:name w:val="Abbreviations"/>
    <w:basedOn w:val="Normal"/>
    <w:rsid w:val="00C864BE"/>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Cs w:val="24"/>
      <w:lang w:eastAsia="en-AU"/>
    </w:rPr>
  </w:style>
  <w:style w:type="paragraph" w:customStyle="1" w:styleId="Bullet1">
    <w:name w:val="Bullet 1"/>
    <w:basedOn w:val="Normal"/>
    <w:rsid w:val="00C864BE"/>
    <w:pPr>
      <w:numPr>
        <w:numId w:val="5"/>
      </w:numPr>
      <w:spacing w:after="0" w:line="240" w:lineRule="auto"/>
    </w:pPr>
    <w:rPr>
      <w:rFonts w:eastAsia="Times New Roman"/>
      <w:kern w:val="24"/>
      <w:szCs w:val="24"/>
      <w:lang w:eastAsia="en-AU"/>
    </w:rPr>
  </w:style>
  <w:style w:type="paragraph" w:customStyle="1" w:styleId="Bullet2">
    <w:name w:val="Bullet 2"/>
    <w:basedOn w:val="Bullet1"/>
    <w:rsid w:val="00C864BE"/>
    <w:pPr>
      <w:numPr>
        <w:numId w:val="6"/>
      </w:numPr>
    </w:pPr>
  </w:style>
  <w:style w:type="character" w:customStyle="1" w:styleId="Heading8Char">
    <w:name w:val="Heading 8 Char"/>
    <w:basedOn w:val="DefaultParagraphFont"/>
    <w:link w:val="Heading8"/>
    <w:uiPriority w:val="9"/>
    <w:semiHidden/>
    <w:rsid w:val="00C864B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864BE"/>
    <w:rPr>
      <w:rFonts w:asciiTheme="majorHAnsi" w:eastAsiaTheme="majorEastAsia" w:hAnsiTheme="majorHAnsi" w:cstheme="majorBidi"/>
      <w:i/>
      <w:iCs/>
      <w:color w:val="404040" w:themeColor="text1" w:themeTint="BF"/>
      <w:sz w:val="20"/>
      <w:szCs w:val="20"/>
    </w:rPr>
  </w:style>
  <w:style w:type="paragraph" w:customStyle="1" w:styleId="TableBullet">
    <w:name w:val="Table Bullet"/>
    <w:basedOn w:val="Normal"/>
    <w:rsid w:val="00C864BE"/>
    <w:pPr>
      <w:numPr>
        <w:numId w:val="7"/>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4"/>
      <w:lang w:eastAsia="en-AU"/>
    </w:rPr>
  </w:style>
  <w:style w:type="paragraph" w:customStyle="1" w:styleId="mine">
    <w:name w:val="mine"/>
    <w:basedOn w:val="Normal"/>
    <w:next w:val="Normal"/>
    <w:qFormat/>
    <w:rsid w:val="00A310F1"/>
    <w:pPr>
      <w:widowControl w:val="0"/>
      <w:adjustRightInd w:val="0"/>
      <w:snapToGrid w:val="0"/>
      <w:spacing w:before="0" w:after="0" w:line="240" w:lineRule="auto"/>
      <w:contextualSpacing/>
    </w:pPr>
    <w:rPr>
      <w:rFonts w:ascii="Times New Roman" w:eastAsia="MS Mincho" w:hAnsi="Times New Roman"/>
      <w:sz w:val="24"/>
      <w:szCs w:val="21"/>
      <w:lang w:eastAsia="en-AU"/>
    </w:rPr>
  </w:style>
  <w:style w:type="paragraph" w:customStyle="1" w:styleId="table">
    <w:name w:val="table"/>
    <w:basedOn w:val="Normal"/>
    <w:qFormat/>
    <w:rsid w:val="00A310F1"/>
    <w:pPr>
      <w:adjustRightInd w:val="0"/>
      <w:snapToGrid w:val="0"/>
      <w:spacing w:before="0" w:after="0" w:line="240" w:lineRule="auto"/>
    </w:pPr>
    <w:rPr>
      <w:rFonts w:ascii="Times New Roman" w:eastAsia="MS Mincho" w:hAnsi="Times New Roman"/>
      <w:sz w:val="16"/>
      <w:szCs w:val="20"/>
      <w:lang w:eastAsia="ja-JP"/>
    </w:rPr>
  </w:style>
  <w:style w:type="paragraph" w:styleId="Revision">
    <w:name w:val="Revision"/>
    <w:hidden/>
    <w:uiPriority w:val="99"/>
    <w:semiHidden/>
    <w:rsid w:val="005F00A0"/>
    <w:pPr>
      <w:spacing w:after="0" w:line="240" w:lineRule="auto"/>
    </w:pPr>
    <w:rPr>
      <w:rFonts w:ascii="Cambria" w:eastAsia="Cambria" w:hAnsi="Cambria" w:cs="Times New Roman"/>
    </w:rPr>
  </w:style>
  <w:style w:type="character" w:styleId="CommentReference">
    <w:name w:val="annotation reference"/>
    <w:basedOn w:val="DefaultParagraphFont"/>
    <w:uiPriority w:val="99"/>
    <w:semiHidden/>
    <w:unhideWhenUsed/>
    <w:rsid w:val="00DF3025"/>
    <w:rPr>
      <w:sz w:val="16"/>
      <w:szCs w:val="16"/>
    </w:rPr>
  </w:style>
  <w:style w:type="paragraph" w:styleId="CommentText">
    <w:name w:val="annotation text"/>
    <w:basedOn w:val="Normal"/>
    <w:link w:val="CommentTextChar"/>
    <w:uiPriority w:val="99"/>
    <w:semiHidden/>
    <w:unhideWhenUsed/>
    <w:rsid w:val="00DF3025"/>
    <w:pPr>
      <w:spacing w:line="240" w:lineRule="auto"/>
    </w:pPr>
    <w:rPr>
      <w:sz w:val="20"/>
      <w:szCs w:val="20"/>
    </w:rPr>
  </w:style>
  <w:style w:type="character" w:customStyle="1" w:styleId="CommentTextChar">
    <w:name w:val="Comment Text Char"/>
    <w:basedOn w:val="DefaultParagraphFont"/>
    <w:link w:val="CommentText"/>
    <w:uiPriority w:val="99"/>
    <w:semiHidden/>
    <w:rsid w:val="00DF3025"/>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DF3025"/>
    <w:rPr>
      <w:b/>
      <w:bCs/>
    </w:rPr>
  </w:style>
  <w:style w:type="character" w:customStyle="1" w:styleId="CommentSubjectChar">
    <w:name w:val="Comment Subject Char"/>
    <w:basedOn w:val="CommentTextChar"/>
    <w:link w:val="CommentSubject"/>
    <w:uiPriority w:val="99"/>
    <w:semiHidden/>
    <w:rsid w:val="00DF3025"/>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00215">
      <w:bodyDiv w:val="1"/>
      <w:marLeft w:val="0"/>
      <w:marRight w:val="0"/>
      <w:marTop w:val="0"/>
      <w:marBottom w:val="0"/>
      <w:divBdr>
        <w:top w:val="none" w:sz="0" w:space="0" w:color="auto"/>
        <w:left w:val="none" w:sz="0" w:space="0" w:color="auto"/>
        <w:bottom w:val="none" w:sz="0" w:space="0" w:color="auto"/>
        <w:right w:val="none" w:sz="0" w:space="0" w:color="auto"/>
      </w:divBdr>
      <w:divsChild>
        <w:div w:id="61756409">
          <w:marLeft w:val="0"/>
          <w:marRight w:val="0"/>
          <w:marTop w:val="100"/>
          <w:marBottom w:val="100"/>
          <w:divBdr>
            <w:top w:val="none" w:sz="0" w:space="0" w:color="auto"/>
            <w:left w:val="none" w:sz="0" w:space="0" w:color="auto"/>
            <w:bottom w:val="none" w:sz="0" w:space="0" w:color="auto"/>
            <w:right w:val="none" w:sz="0" w:space="0" w:color="auto"/>
          </w:divBdr>
          <w:divsChild>
            <w:div w:id="1055815678">
              <w:marLeft w:val="0"/>
              <w:marRight w:val="0"/>
              <w:marTop w:val="0"/>
              <w:marBottom w:val="0"/>
              <w:divBdr>
                <w:top w:val="none" w:sz="0" w:space="0" w:color="auto"/>
                <w:left w:val="none" w:sz="0" w:space="0" w:color="auto"/>
                <w:bottom w:val="none" w:sz="0" w:space="0" w:color="auto"/>
                <w:right w:val="none" w:sz="0" w:space="0" w:color="auto"/>
              </w:divBdr>
              <w:divsChild>
                <w:div w:id="729614692">
                  <w:marLeft w:val="0"/>
                  <w:marRight w:val="0"/>
                  <w:marTop w:val="0"/>
                  <w:marBottom w:val="0"/>
                  <w:divBdr>
                    <w:top w:val="none" w:sz="0" w:space="0" w:color="auto"/>
                    <w:left w:val="none" w:sz="0" w:space="0" w:color="auto"/>
                    <w:bottom w:val="none" w:sz="0" w:space="0" w:color="auto"/>
                    <w:right w:val="none" w:sz="0" w:space="0" w:color="auto"/>
                  </w:divBdr>
                  <w:divsChild>
                    <w:div w:id="1326283058">
                      <w:marLeft w:val="-330"/>
                      <w:marRight w:val="0"/>
                      <w:marTop w:val="0"/>
                      <w:marBottom w:val="0"/>
                      <w:divBdr>
                        <w:top w:val="none" w:sz="0" w:space="0" w:color="auto"/>
                        <w:left w:val="none" w:sz="0" w:space="0" w:color="auto"/>
                        <w:bottom w:val="none" w:sz="0" w:space="0" w:color="auto"/>
                        <w:right w:val="none" w:sz="0" w:space="0" w:color="auto"/>
                      </w:divBdr>
                      <w:divsChild>
                        <w:div w:id="1250189884">
                          <w:marLeft w:val="0"/>
                          <w:marRight w:val="0"/>
                          <w:marTop w:val="0"/>
                          <w:marBottom w:val="0"/>
                          <w:divBdr>
                            <w:top w:val="none" w:sz="0" w:space="0" w:color="auto"/>
                            <w:left w:val="none" w:sz="0" w:space="0" w:color="auto"/>
                            <w:bottom w:val="none" w:sz="0" w:space="0" w:color="auto"/>
                            <w:right w:val="none" w:sz="0" w:space="0" w:color="auto"/>
                          </w:divBdr>
                          <w:divsChild>
                            <w:div w:id="969896223">
                              <w:marLeft w:val="0"/>
                              <w:marRight w:val="0"/>
                              <w:marTop w:val="0"/>
                              <w:marBottom w:val="0"/>
                              <w:divBdr>
                                <w:top w:val="none" w:sz="0" w:space="0" w:color="auto"/>
                                <w:left w:val="none" w:sz="0" w:space="0" w:color="auto"/>
                                <w:bottom w:val="none" w:sz="0" w:space="0" w:color="auto"/>
                                <w:right w:val="none" w:sz="0" w:space="0" w:color="auto"/>
                              </w:divBdr>
                              <w:divsChild>
                                <w:div w:id="537359410">
                                  <w:marLeft w:val="-330"/>
                                  <w:marRight w:val="0"/>
                                  <w:marTop w:val="0"/>
                                  <w:marBottom w:val="0"/>
                                  <w:divBdr>
                                    <w:top w:val="none" w:sz="0" w:space="0" w:color="auto"/>
                                    <w:left w:val="none" w:sz="0" w:space="0" w:color="auto"/>
                                    <w:bottom w:val="none" w:sz="0" w:space="0" w:color="auto"/>
                                    <w:right w:val="none" w:sz="0" w:space="0" w:color="auto"/>
                                  </w:divBdr>
                                  <w:divsChild>
                                    <w:div w:id="159388821">
                                      <w:marLeft w:val="0"/>
                                      <w:marRight w:val="0"/>
                                      <w:marTop w:val="0"/>
                                      <w:marBottom w:val="0"/>
                                      <w:divBdr>
                                        <w:top w:val="none" w:sz="0" w:space="0" w:color="auto"/>
                                        <w:left w:val="none" w:sz="0" w:space="0" w:color="auto"/>
                                        <w:bottom w:val="none" w:sz="0" w:space="0" w:color="auto"/>
                                        <w:right w:val="none" w:sz="0" w:space="0" w:color="auto"/>
                                      </w:divBdr>
                                      <w:divsChild>
                                        <w:div w:id="1544172437">
                                          <w:marLeft w:val="0"/>
                                          <w:marRight w:val="0"/>
                                          <w:marTop w:val="0"/>
                                          <w:marBottom w:val="0"/>
                                          <w:divBdr>
                                            <w:top w:val="none" w:sz="0" w:space="0" w:color="auto"/>
                                            <w:left w:val="none" w:sz="0" w:space="0" w:color="auto"/>
                                            <w:bottom w:val="none" w:sz="0" w:space="0" w:color="auto"/>
                                            <w:right w:val="none" w:sz="0" w:space="0" w:color="auto"/>
                                          </w:divBdr>
                                        </w:div>
                                        <w:div w:id="538779116">
                                          <w:marLeft w:val="0"/>
                                          <w:marRight w:val="0"/>
                                          <w:marTop w:val="0"/>
                                          <w:marBottom w:val="0"/>
                                          <w:divBdr>
                                            <w:top w:val="none" w:sz="0" w:space="0" w:color="auto"/>
                                            <w:left w:val="none" w:sz="0" w:space="0" w:color="auto"/>
                                            <w:bottom w:val="none" w:sz="0" w:space="0" w:color="auto"/>
                                            <w:right w:val="none" w:sz="0" w:space="0" w:color="auto"/>
                                          </w:divBdr>
                                          <w:divsChild>
                                            <w:div w:id="1577933367">
                                              <w:marLeft w:val="0"/>
                                              <w:marRight w:val="0"/>
                                              <w:marTop w:val="0"/>
                                              <w:marBottom w:val="0"/>
                                              <w:divBdr>
                                                <w:top w:val="none" w:sz="0" w:space="0" w:color="auto"/>
                                                <w:left w:val="none" w:sz="0" w:space="0" w:color="auto"/>
                                                <w:bottom w:val="none" w:sz="0" w:space="0" w:color="auto"/>
                                                <w:right w:val="none" w:sz="0" w:space="0" w:color="auto"/>
                                              </w:divBdr>
                                              <w:divsChild>
                                                <w:div w:id="64113411">
                                                  <w:marLeft w:val="0"/>
                                                  <w:marRight w:val="0"/>
                                                  <w:marTop w:val="0"/>
                                                  <w:marBottom w:val="0"/>
                                                  <w:divBdr>
                                                    <w:top w:val="none" w:sz="0" w:space="0" w:color="auto"/>
                                                    <w:left w:val="none" w:sz="0" w:space="0" w:color="auto"/>
                                                    <w:bottom w:val="none" w:sz="0" w:space="0" w:color="auto"/>
                                                    <w:right w:val="none" w:sz="0" w:space="0" w:color="auto"/>
                                                  </w:divBdr>
                                                  <w:divsChild>
                                                    <w:div w:id="1789621112">
                                                      <w:marLeft w:val="0"/>
                                                      <w:marRight w:val="0"/>
                                                      <w:marTop w:val="0"/>
                                                      <w:marBottom w:val="0"/>
                                                      <w:divBdr>
                                                        <w:top w:val="none" w:sz="0" w:space="0" w:color="auto"/>
                                                        <w:left w:val="none" w:sz="0" w:space="0" w:color="auto"/>
                                                        <w:bottom w:val="none" w:sz="0" w:space="0" w:color="auto"/>
                                                        <w:right w:val="none" w:sz="0" w:space="0" w:color="auto"/>
                                                      </w:divBdr>
                                                    </w:div>
                                                    <w:div w:id="200744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7772792">
      <w:bodyDiv w:val="1"/>
      <w:marLeft w:val="0"/>
      <w:marRight w:val="0"/>
      <w:marTop w:val="0"/>
      <w:marBottom w:val="0"/>
      <w:divBdr>
        <w:top w:val="none" w:sz="0" w:space="0" w:color="auto"/>
        <w:left w:val="none" w:sz="0" w:space="0" w:color="auto"/>
        <w:bottom w:val="none" w:sz="0" w:space="0" w:color="auto"/>
        <w:right w:val="none" w:sz="0" w:space="0" w:color="auto"/>
      </w:divBdr>
      <w:divsChild>
        <w:div w:id="18047205">
          <w:marLeft w:val="0"/>
          <w:marRight w:val="1"/>
          <w:marTop w:val="0"/>
          <w:marBottom w:val="0"/>
          <w:divBdr>
            <w:top w:val="none" w:sz="0" w:space="0" w:color="auto"/>
            <w:left w:val="none" w:sz="0" w:space="0" w:color="auto"/>
            <w:bottom w:val="none" w:sz="0" w:space="0" w:color="auto"/>
            <w:right w:val="none" w:sz="0" w:space="0" w:color="auto"/>
          </w:divBdr>
          <w:divsChild>
            <w:div w:id="580915832">
              <w:marLeft w:val="0"/>
              <w:marRight w:val="0"/>
              <w:marTop w:val="0"/>
              <w:marBottom w:val="0"/>
              <w:divBdr>
                <w:top w:val="none" w:sz="0" w:space="0" w:color="auto"/>
                <w:left w:val="none" w:sz="0" w:space="0" w:color="auto"/>
                <w:bottom w:val="none" w:sz="0" w:space="0" w:color="auto"/>
                <w:right w:val="none" w:sz="0" w:space="0" w:color="auto"/>
              </w:divBdr>
              <w:divsChild>
                <w:div w:id="928779402">
                  <w:marLeft w:val="0"/>
                  <w:marRight w:val="1"/>
                  <w:marTop w:val="0"/>
                  <w:marBottom w:val="0"/>
                  <w:divBdr>
                    <w:top w:val="none" w:sz="0" w:space="0" w:color="auto"/>
                    <w:left w:val="none" w:sz="0" w:space="0" w:color="auto"/>
                    <w:bottom w:val="none" w:sz="0" w:space="0" w:color="auto"/>
                    <w:right w:val="none" w:sz="0" w:space="0" w:color="auto"/>
                  </w:divBdr>
                  <w:divsChild>
                    <w:div w:id="771971486">
                      <w:marLeft w:val="0"/>
                      <w:marRight w:val="0"/>
                      <w:marTop w:val="0"/>
                      <w:marBottom w:val="0"/>
                      <w:divBdr>
                        <w:top w:val="none" w:sz="0" w:space="0" w:color="auto"/>
                        <w:left w:val="none" w:sz="0" w:space="0" w:color="auto"/>
                        <w:bottom w:val="none" w:sz="0" w:space="0" w:color="auto"/>
                        <w:right w:val="none" w:sz="0" w:space="0" w:color="auto"/>
                      </w:divBdr>
                      <w:divsChild>
                        <w:div w:id="50813719">
                          <w:marLeft w:val="0"/>
                          <w:marRight w:val="0"/>
                          <w:marTop w:val="0"/>
                          <w:marBottom w:val="0"/>
                          <w:divBdr>
                            <w:top w:val="none" w:sz="0" w:space="0" w:color="auto"/>
                            <w:left w:val="none" w:sz="0" w:space="0" w:color="auto"/>
                            <w:bottom w:val="none" w:sz="0" w:space="0" w:color="auto"/>
                            <w:right w:val="none" w:sz="0" w:space="0" w:color="auto"/>
                          </w:divBdr>
                          <w:divsChild>
                            <w:div w:id="1955794615">
                              <w:marLeft w:val="0"/>
                              <w:marRight w:val="0"/>
                              <w:marTop w:val="120"/>
                              <w:marBottom w:val="360"/>
                              <w:divBdr>
                                <w:top w:val="none" w:sz="0" w:space="0" w:color="auto"/>
                                <w:left w:val="none" w:sz="0" w:space="0" w:color="auto"/>
                                <w:bottom w:val="none" w:sz="0" w:space="0" w:color="auto"/>
                                <w:right w:val="none" w:sz="0" w:space="0" w:color="auto"/>
                              </w:divBdr>
                              <w:divsChild>
                                <w:div w:id="9283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6.pn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emf"/><Relationship Id="rId25" Type="http://schemas.openxmlformats.org/officeDocument/2006/relationships/hyperlink" Target="http://www.tga.gov.au" TargetMode="Externa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eader" Target="head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ailto:info@tga.gov.au"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oter" Target="footer2.xml"/><Relationship Id="rId28" Type="http://schemas.openxmlformats.org/officeDocument/2006/relationships/footer" Target="footer3.xml"/><Relationship Id="rId10" Type="http://schemas.openxmlformats.org/officeDocument/2006/relationships/hyperlink" Target="mailto:tga.copyright@tga.gov.au" TargetMode="External"/><Relationship Id="rId19" Type="http://schemas.openxmlformats.org/officeDocument/2006/relationships/hyperlink" Target="http://www.tga.gov.au/hp/information-medicines-pi.htm"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ga.gov.au" TargetMode="External"/><Relationship Id="rId14" Type="http://schemas.openxmlformats.org/officeDocument/2006/relationships/hyperlink" Target="http://www.tga.gov.au/hp/information-medicines-pi.htm" TargetMode="Externa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4.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nn\AppData\Local\Hewlett-Packard\HP%20TRIM\TEMP\HPTRIM.3212\R12%20926607%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45F5C-06AD-4BE7-B933-7E04E3CF2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template.DOTX</Template>
  <TotalTime>88</TotalTime>
  <Pages>41</Pages>
  <Words>14032</Words>
  <Characters>79988</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Australian public assessment for...</vt:lpstr>
    </vt:vector>
  </TitlesOfParts>
  <Company>Department of Health Therapeutic Goods Administration</Company>
  <LinksUpToDate>false</LinksUpToDate>
  <CharactersWithSpaces>93833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for Thyroxine Sodium</dc:title>
  <dc:subject>prescription medicine regulation</dc:subject>
  <dc:creator>Therapeutic Goods Administration</dc:creator>
  <cp:keywords>auspar, prescription, medicine, assessment, regulation, australia, thyroxine, sodium, eltroxin, aspen, pharma</cp:keywords>
  <cp:lastModifiedBy>dixonj</cp:lastModifiedBy>
  <cp:revision>22</cp:revision>
  <cp:lastPrinted>2010-12-20T22:59:00Z</cp:lastPrinted>
  <dcterms:created xsi:type="dcterms:W3CDTF">2014-06-11T23:33:00Z</dcterms:created>
  <dcterms:modified xsi:type="dcterms:W3CDTF">2014-07-08T05:17:00Z</dcterms:modified>
  <cp:category>external publication</cp:category>
</cp:coreProperties>
</file>