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334" w:rsidRDefault="00176334">
      <w:pPr>
        <w:tabs>
          <w:tab w:val="center" w:pos="4536"/>
          <w:tab w:val="center" w:pos="9072"/>
        </w:tabs>
        <w:jc w:val="center"/>
        <w:outlineLvl w:val="0"/>
        <w:rPr>
          <w:b/>
          <w:sz w:val="36"/>
        </w:rPr>
      </w:pPr>
      <w:r>
        <w:rPr>
          <w:b/>
          <w:sz w:val="36"/>
        </w:rPr>
        <w:t>PR</w:t>
      </w:r>
      <w:bookmarkStart w:id="0" w:name="_GoBack"/>
      <w:bookmarkEnd w:id="0"/>
      <w:r>
        <w:rPr>
          <w:b/>
          <w:sz w:val="36"/>
        </w:rPr>
        <w:t>ODUCT INFORMATION</w:t>
      </w:r>
    </w:p>
    <w:p w:rsidR="004D4DBF" w:rsidRDefault="004D4DBF">
      <w:pPr>
        <w:tabs>
          <w:tab w:val="center" w:pos="4536"/>
          <w:tab w:val="center" w:pos="9072"/>
        </w:tabs>
        <w:jc w:val="center"/>
        <w:outlineLvl w:val="0"/>
        <w:rPr>
          <w:b/>
          <w:sz w:val="36"/>
        </w:rPr>
      </w:pPr>
    </w:p>
    <w:p w:rsidR="004D4DBF" w:rsidRDefault="000F30CF">
      <w:pPr>
        <w:tabs>
          <w:tab w:val="center" w:pos="4536"/>
          <w:tab w:val="center" w:pos="9072"/>
        </w:tabs>
        <w:jc w:val="center"/>
        <w:outlineLvl w:val="0"/>
        <w:rPr>
          <w:b/>
          <w:sz w:val="36"/>
        </w:rPr>
      </w:pPr>
      <w:r>
        <w:rPr>
          <w:b/>
          <w:sz w:val="36"/>
        </w:rPr>
        <w:t>ELTROXIN</w:t>
      </w:r>
    </w:p>
    <w:p w:rsidR="00955C79" w:rsidRDefault="00955C79">
      <w:pPr>
        <w:tabs>
          <w:tab w:val="center" w:pos="4536"/>
          <w:tab w:val="center" w:pos="9072"/>
        </w:tabs>
        <w:jc w:val="center"/>
        <w:outlineLvl w:val="0"/>
        <w:rPr>
          <w:b/>
          <w:sz w:val="36"/>
        </w:rPr>
      </w:pPr>
    </w:p>
    <w:p w:rsidR="00BF0D0C" w:rsidRDefault="00593BA7">
      <w:pPr>
        <w:tabs>
          <w:tab w:val="center" w:pos="4536"/>
          <w:tab w:val="center" w:pos="9072"/>
        </w:tabs>
        <w:jc w:val="center"/>
        <w:outlineLvl w:val="0"/>
        <w:rPr>
          <w:b/>
          <w:sz w:val="36"/>
        </w:rPr>
      </w:pPr>
      <w:r>
        <w:rPr>
          <w:noProof/>
        </w:rPr>
        <mc:AlternateContent>
          <mc:Choice Requires="wps">
            <w:drawing>
              <wp:anchor distT="0" distB="0" distL="114300" distR="114300" simplePos="0" relativeHeight="251657728" behindDoc="0" locked="0" layoutInCell="1" allowOverlap="1">
                <wp:simplePos x="0" y="0"/>
                <wp:positionH relativeFrom="column">
                  <wp:posOffset>-129540</wp:posOffset>
                </wp:positionH>
                <wp:positionV relativeFrom="paragraph">
                  <wp:posOffset>138430</wp:posOffset>
                </wp:positionV>
                <wp:extent cx="5760720" cy="156019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560195"/>
                        </a:xfrm>
                        <a:prstGeom prst="rect">
                          <a:avLst/>
                        </a:prstGeom>
                        <a:solidFill>
                          <a:srgbClr val="FFFFFF"/>
                        </a:solidFill>
                        <a:ln w="9525">
                          <a:solidFill>
                            <a:srgbClr val="000000"/>
                          </a:solidFill>
                          <a:miter lim="800000"/>
                          <a:headEnd/>
                          <a:tailEnd/>
                        </a:ln>
                      </wps:spPr>
                      <wps:txbx>
                        <w:txbxContent>
                          <w:p w:rsidR="00515049" w:rsidRPr="00137618" w:rsidRDefault="00515049" w:rsidP="00AF35E2">
                            <w:pPr>
                              <w:tabs>
                                <w:tab w:val="center" w:pos="4536"/>
                                <w:tab w:val="center" w:pos="9072"/>
                              </w:tabs>
                              <w:jc w:val="both"/>
                              <w:outlineLvl w:val="0"/>
                              <w:rPr>
                                <w:szCs w:val="24"/>
                              </w:rPr>
                            </w:pPr>
                            <w:r w:rsidRPr="00137618">
                              <w:rPr>
                                <w:szCs w:val="24"/>
                              </w:rPr>
                              <w:t xml:space="preserve">ELTROXIN </w:t>
                            </w:r>
                            <w:r>
                              <w:rPr>
                                <w:szCs w:val="24"/>
                              </w:rPr>
                              <w:t>is not bioequivalent</w:t>
                            </w:r>
                            <w:r w:rsidRPr="00137618">
                              <w:rPr>
                                <w:szCs w:val="24"/>
                              </w:rPr>
                              <w:t xml:space="preserve"> on a same-dose basis with EUTRO</w:t>
                            </w:r>
                            <w:r>
                              <w:rPr>
                                <w:szCs w:val="24"/>
                              </w:rPr>
                              <w:t>X</w:t>
                            </w:r>
                            <w:r w:rsidRPr="00137618">
                              <w:rPr>
                                <w:szCs w:val="24"/>
                              </w:rPr>
                              <w:t>SIG/OROXINE. If a decision is made to switch a patient from EUTRO</w:t>
                            </w:r>
                            <w:r w:rsidR="00BB21C7">
                              <w:rPr>
                                <w:szCs w:val="24"/>
                              </w:rPr>
                              <w:t>X</w:t>
                            </w:r>
                            <w:r w:rsidRPr="00137618">
                              <w:rPr>
                                <w:szCs w:val="24"/>
                              </w:rPr>
                              <w:t xml:space="preserve">SIG/OROXINE to ELTROXIN, then </w:t>
                            </w:r>
                            <w:r>
                              <w:rPr>
                                <w:szCs w:val="24"/>
                              </w:rPr>
                              <w:t>prescribers</w:t>
                            </w:r>
                            <w:r w:rsidRPr="00137618">
                              <w:rPr>
                                <w:szCs w:val="24"/>
                              </w:rPr>
                              <w:t xml:space="preserve"> should </w:t>
                            </w:r>
                            <w:r>
                              <w:rPr>
                                <w:szCs w:val="24"/>
                              </w:rPr>
                              <w:t>have</w:t>
                            </w:r>
                            <w:r w:rsidRPr="00137618">
                              <w:rPr>
                                <w:szCs w:val="24"/>
                              </w:rPr>
                              <w:t xml:space="preserve"> a plan for monitoring TSH. Prescribers should be aware that dose adjustment may be required. </w:t>
                            </w:r>
                          </w:p>
                          <w:p w:rsidR="00515049" w:rsidRPr="00137618" w:rsidRDefault="00515049">
                            <w:pPr>
                              <w:rPr>
                                <w:szCs w:val="24"/>
                              </w:rPr>
                            </w:pPr>
                          </w:p>
                          <w:p w:rsidR="00515049" w:rsidRDefault="00515049" w:rsidP="00FD636B">
                            <w:pPr>
                              <w:autoSpaceDE w:val="0"/>
                              <w:autoSpaceDN w:val="0"/>
                              <w:adjustRightInd w:val="0"/>
                            </w:pPr>
                            <w:r w:rsidRPr="00137618">
                              <w:rPr>
                                <w:szCs w:val="24"/>
                              </w:rPr>
                              <w:t>Prescribers should tell their patients not to interchange ELTROXIN and</w:t>
                            </w:r>
                            <w:r>
                              <w:t xml:space="preserve"> EUTROXSIG/OROXINE unless a decision has been made to switch products, and there is a plan for monitoring TSH levels and review of dose.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2pt;margin-top:10.9pt;width:453.6pt;height:122.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UDgKQIAAFEEAAAOAAAAZHJzL2Uyb0RvYy54bWysVNtu2zAMfR+wfxD0vviCOG2MOEWXLsOA&#10;7gK0+wBFlm1hsqhJSuzu60fJbpbdXob5QZBE6vDwkPTmZuwVOQnrJOiKZouUEqE51FK3Ff38uH91&#10;TYnzTNdMgRYVfRKO3mxfvtgMphQ5dKBqYQmCaFcOpqKd96ZMEsc70TO3ACM0GhuwPfN4tG1SWzYg&#10;eq+SPE1XyQC2Nha4cA5v7yYj3Ub8phHcf2waJzxRFUVuPq42roewJtsNK1vLTCf5TIP9A4ueSY1B&#10;z1B3zDNytPI3qF5yCw4av+DQJ9A0kouYA2aTpb9k89AxI2IuKI4zZ5nc/4PlH06fLJF1RXNKNOux&#10;RI9i9OQ1jCQP6gzGlej0YNDNj3iNVY6ZOnMP/IsjGnYd0624tRaGTrAa2WXhZXLxdMJxAeQwvIca&#10;w7Cjhwg0NrYP0qEYBNGxSk/nygQqHC+Lq1V6laOJoy0rVmm2LmIMVj4/N9b5twJ6EjYVtVj6CM9O&#10;984HOqx8dgnRHChZ76VS8WDbw05ZcmLYJvv4zeg/uSlNhoqui7yYFPgrRBq/P0H00mO/K9lX9Prs&#10;xMqg2xtdx270TKppj5SVnoUM2k0q+vEwzoU5QP2EklqY+hrnEDcd2G+UDNjTFXVfj8wKStQ7jWVZ&#10;Z8tlGIJ4WBZRUHtpOVxamOYIVVFPybTd+WlwjsbKtsNIUyNouMVSNjKKHGo+sZp5Y99G7ecZC4Nx&#10;eY5eP/4E2+8AAAD//wMAUEsDBBQABgAIAAAAIQBlC0Ey4AAAAAoBAAAPAAAAZHJzL2Rvd25yZXYu&#10;eG1sTI9BT8MwDIXvSPyHyEhc0JaujK6UphNCAsENxjSuWeO1FY1Tkqwr/x5zgpvt9/T8vXI92V6M&#10;6EPnSMFinoBAqp3pqFGwfX+c5SBC1GR07wgVfGOAdXV+VurCuBO94biJjeAQCoVW0MY4FFKGukWr&#10;w9wNSKwdnLc68uobabw+cbjtZZokmbS6I/7Q6gEfWqw/N0erIF8+jx/h5fp1V2eH/jZercanL6/U&#10;5cV0fwci4hT/zPCLz+hQMdPeHckE0SuYpcmSrQrSBVdgQ55nPOz5kK1uQFal/F+h+gEAAP//AwBQ&#10;SwECLQAUAAYACAAAACEAtoM4kv4AAADhAQAAEwAAAAAAAAAAAAAAAAAAAAAAW0NvbnRlbnRfVHlw&#10;ZXNdLnhtbFBLAQItABQABgAIAAAAIQA4/SH/1gAAAJQBAAALAAAAAAAAAAAAAAAAAC8BAABfcmVs&#10;cy8ucmVsc1BLAQItABQABgAIAAAAIQDAWUDgKQIAAFEEAAAOAAAAAAAAAAAAAAAAAC4CAABkcnMv&#10;ZTJvRG9jLnhtbFBLAQItABQABgAIAAAAIQBlC0Ey4AAAAAoBAAAPAAAAAAAAAAAAAAAAAIMEAABk&#10;cnMvZG93bnJldi54bWxQSwUGAAAAAAQABADzAAAAkAUAAAAA&#10;">
                <v:textbox>
                  <w:txbxContent>
                    <w:p w:rsidR="00515049" w:rsidRPr="00137618" w:rsidRDefault="00515049" w:rsidP="00AF35E2">
                      <w:pPr>
                        <w:tabs>
                          <w:tab w:val="center" w:pos="4536"/>
                          <w:tab w:val="center" w:pos="9072"/>
                        </w:tabs>
                        <w:jc w:val="both"/>
                        <w:outlineLvl w:val="0"/>
                        <w:rPr>
                          <w:szCs w:val="24"/>
                        </w:rPr>
                      </w:pPr>
                      <w:r w:rsidRPr="00137618">
                        <w:rPr>
                          <w:szCs w:val="24"/>
                        </w:rPr>
                        <w:t xml:space="preserve">ELTROXIN </w:t>
                      </w:r>
                      <w:r>
                        <w:rPr>
                          <w:szCs w:val="24"/>
                        </w:rPr>
                        <w:t>is not bioequivalent</w:t>
                      </w:r>
                      <w:r w:rsidRPr="00137618">
                        <w:rPr>
                          <w:szCs w:val="24"/>
                        </w:rPr>
                        <w:t xml:space="preserve"> on a same-dose basis with EUTRO</w:t>
                      </w:r>
                      <w:r>
                        <w:rPr>
                          <w:szCs w:val="24"/>
                        </w:rPr>
                        <w:t>X</w:t>
                      </w:r>
                      <w:r w:rsidRPr="00137618">
                        <w:rPr>
                          <w:szCs w:val="24"/>
                        </w:rPr>
                        <w:t>SIG/OROXINE. If a decision is made to switch a patient from EUTRO</w:t>
                      </w:r>
                      <w:r w:rsidR="00BB21C7">
                        <w:rPr>
                          <w:szCs w:val="24"/>
                        </w:rPr>
                        <w:t>X</w:t>
                      </w:r>
                      <w:r w:rsidRPr="00137618">
                        <w:rPr>
                          <w:szCs w:val="24"/>
                        </w:rPr>
                        <w:t xml:space="preserve">SIG/OROXINE to ELTROXIN, then </w:t>
                      </w:r>
                      <w:r>
                        <w:rPr>
                          <w:szCs w:val="24"/>
                        </w:rPr>
                        <w:t>prescribers</w:t>
                      </w:r>
                      <w:r w:rsidRPr="00137618">
                        <w:rPr>
                          <w:szCs w:val="24"/>
                        </w:rPr>
                        <w:t xml:space="preserve"> should </w:t>
                      </w:r>
                      <w:r>
                        <w:rPr>
                          <w:szCs w:val="24"/>
                        </w:rPr>
                        <w:t>have</w:t>
                      </w:r>
                      <w:r w:rsidRPr="00137618">
                        <w:rPr>
                          <w:szCs w:val="24"/>
                        </w:rPr>
                        <w:t xml:space="preserve"> a plan for monitoring TSH. Prescribers should be aware that dose adjustment may be required. </w:t>
                      </w:r>
                    </w:p>
                    <w:p w:rsidR="00515049" w:rsidRPr="00137618" w:rsidRDefault="00515049">
                      <w:pPr>
                        <w:rPr>
                          <w:szCs w:val="24"/>
                        </w:rPr>
                      </w:pPr>
                    </w:p>
                    <w:p w:rsidR="00515049" w:rsidRDefault="00515049" w:rsidP="00FD636B">
                      <w:pPr>
                        <w:autoSpaceDE w:val="0"/>
                        <w:autoSpaceDN w:val="0"/>
                        <w:adjustRightInd w:val="0"/>
                      </w:pPr>
                      <w:r w:rsidRPr="00137618">
                        <w:rPr>
                          <w:szCs w:val="24"/>
                        </w:rPr>
                        <w:t>Prescribers should tell their patients not to interchange ELTROXIN and</w:t>
                      </w:r>
                      <w:r>
                        <w:t xml:space="preserve"> EUTROXSIG/OROXINE unless a decision has been made to switch products, and there is a plan for monitoring TSH levels and review of dose.</w:t>
                      </w:r>
                    </w:p>
                  </w:txbxContent>
                </v:textbox>
              </v:shape>
            </w:pict>
          </mc:Fallback>
        </mc:AlternateContent>
      </w:r>
    </w:p>
    <w:p w:rsidR="00BF0D0C" w:rsidRDefault="00BF0D0C">
      <w:pPr>
        <w:tabs>
          <w:tab w:val="center" w:pos="4536"/>
          <w:tab w:val="center" w:pos="9072"/>
        </w:tabs>
        <w:jc w:val="center"/>
        <w:outlineLvl w:val="0"/>
        <w:rPr>
          <w:b/>
          <w:sz w:val="36"/>
        </w:rPr>
      </w:pPr>
    </w:p>
    <w:p w:rsidR="00176334" w:rsidRDefault="00176334">
      <w:pPr>
        <w:tabs>
          <w:tab w:val="center" w:pos="4536"/>
          <w:tab w:val="center" w:pos="9072"/>
        </w:tabs>
        <w:jc w:val="both"/>
        <w:rPr>
          <w:b/>
        </w:rPr>
      </w:pPr>
    </w:p>
    <w:p w:rsidR="004D4DBF" w:rsidRDefault="004D4DBF">
      <w:pPr>
        <w:tabs>
          <w:tab w:val="center" w:pos="4536"/>
          <w:tab w:val="center" w:pos="9072"/>
        </w:tabs>
        <w:jc w:val="both"/>
        <w:rPr>
          <w:b/>
        </w:rPr>
      </w:pPr>
    </w:p>
    <w:p w:rsidR="00BF0D0C" w:rsidRDefault="00BF0D0C">
      <w:pPr>
        <w:pStyle w:val="Heading1"/>
        <w:rPr>
          <w:sz w:val="28"/>
          <w:u w:val="none"/>
        </w:rPr>
      </w:pPr>
    </w:p>
    <w:p w:rsidR="00BF0D0C" w:rsidRDefault="00BF0D0C">
      <w:pPr>
        <w:pStyle w:val="Heading1"/>
        <w:rPr>
          <w:sz w:val="28"/>
          <w:u w:val="none"/>
        </w:rPr>
      </w:pPr>
    </w:p>
    <w:p w:rsidR="00103075" w:rsidRDefault="00103075">
      <w:pPr>
        <w:pStyle w:val="Heading1"/>
        <w:rPr>
          <w:sz w:val="28"/>
          <w:u w:val="none"/>
        </w:rPr>
      </w:pPr>
    </w:p>
    <w:p w:rsidR="00103075" w:rsidRDefault="00103075">
      <w:pPr>
        <w:pStyle w:val="Heading1"/>
        <w:rPr>
          <w:sz w:val="28"/>
          <w:u w:val="none"/>
        </w:rPr>
      </w:pPr>
    </w:p>
    <w:p w:rsidR="00137618" w:rsidRDefault="00137618">
      <w:pPr>
        <w:pStyle w:val="Heading1"/>
        <w:rPr>
          <w:sz w:val="28"/>
          <w:u w:val="none"/>
        </w:rPr>
      </w:pPr>
    </w:p>
    <w:p w:rsidR="00955C79" w:rsidRPr="00343569" w:rsidRDefault="00955C79" w:rsidP="00343569">
      <w:pPr>
        <w:rPr>
          <w:sz w:val="28"/>
          <w:szCs w:val="28"/>
        </w:rPr>
      </w:pPr>
    </w:p>
    <w:p w:rsidR="00176334" w:rsidRPr="004D4DBF" w:rsidRDefault="00176334">
      <w:pPr>
        <w:pStyle w:val="Heading1"/>
        <w:rPr>
          <w:sz w:val="28"/>
          <w:u w:val="none"/>
        </w:rPr>
      </w:pPr>
      <w:r w:rsidRPr="004D4DBF">
        <w:rPr>
          <w:sz w:val="28"/>
          <w:u w:val="none"/>
        </w:rPr>
        <w:t>NAME OF DRUG</w:t>
      </w:r>
    </w:p>
    <w:p w:rsidR="00176334" w:rsidRDefault="00176334">
      <w:pPr>
        <w:tabs>
          <w:tab w:val="center" w:pos="4536"/>
          <w:tab w:val="center" w:pos="9072"/>
        </w:tabs>
        <w:jc w:val="both"/>
        <w:outlineLvl w:val="0"/>
        <w:rPr>
          <w:b/>
        </w:rPr>
      </w:pPr>
    </w:p>
    <w:p w:rsidR="00176334" w:rsidRDefault="000F30CF">
      <w:pPr>
        <w:tabs>
          <w:tab w:val="center" w:pos="4536"/>
          <w:tab w:val="center" w:pos="9072"/>
        </w:tabs>
        <w:jc w:val="both"/>
        <w:outlineLvl w:val="0"/>
      </w:pPr>
      <w:r>
        <w:rPr>
          <w:b/>
          <w:caps/>
        </w:rPr>
        <w:t>ELTROXIN</w:t>
      </w:r>
      <w:r w:rsidR="00176334">
        <w:rPr>
          <w:b/>
        </w:rPr>
        <w:t xml:space="preserve"> tablets</w:t>
      </w:r>
      <w:r w:rsidR="00176334">
        <w:t xml:space="preserve"> contain </w:t>
      </w:r>
      <w:r w:rsidRPr="000F30CF">
        <w:rPr>
          <w:b/>
        </w:rPr>
        <w:t xml:space="preserve">levothyroxine </w:t>
      </w:r>
      <w:r w:rsidR="00176334">
        <w:rPr>
          <w:b/>
        </w:rPr>
        <w:t xml:space="preserve">sodium </w:t>
      </w:r>
      <w:r>
        <w:rPr>
          <w:b/>
        </w:rPr>
        <w:t xml:space="preserve">25 </w:t>
      </w:r>
      <w:r>
        <w:rPr>
          <w:b/>
        </w:rPr>
        <w:sym w:font="Symbol" w:char="F06D"/>
      </w:r>
      <w:r>
        <w:rPr>
          <w:b/>
        </w:rPr>
        <w:t xml:space="preserve">g, </w:t>
      </w:r>
      <w:r w:rsidR="00176334">
        <w:rPr>
          <w:b/>
        </w:rPr>
        <w:t xml:space="preserve">50 </w:t>
      </w:r>
      <w:r w:rsidR="00176334">
        <w:rPr>
          <w:b/>
        </w:rPr>
        <w:sym w:font="Symbol" w:char="F06D"/>
      </w:r>
      <w:r w:rsidR="00176334">
        <w:rPr>
          <w:b/>
        </w:rPr>
        <w:t xml:space="preserve">g, </w:t>
      </w:r>
      <w:r>
        <w:rPr>
          <w:b/>
        </w:rPr>
        <w:t xml:space="preserve">75 </w:t>
      </w:r>
      <w:r>
        <w:rPr>
          <w:b/>
        </w:rPr>
        <w:sym w:font="Symbol" w:char="F06D"/>
      </w:r>
      <w:r>
        <w:rPr>
          <w:b/>
        </w:rPr>
        <w:t xml:space="preserve">g, </w:t>
      </w:r>
      <w:r w:rsidR="0030409D">
        <w:rPr>
          <w:b/>
        </w:rPr>
        <w:t xml:space="preserve">88 </w:t>
      </w:r>
      <w:r w:rsidR="0030409D">
        <w:rPr>
          <w:b/>
        </w:rPr>
        <w:sym w:font="Symbol" w:char="F06D"/>
      </w:r>
      <w:r w:rsidR="0030409D">
        <w:rPr>
          <w:b/>
        </w:rPr>
        <w:t xml:space="preserve">g, </w:t>
      </w:r>
      <w:r w:rsidR="00176334">
        <w:rPr>
          <w:b/>
        </w:rPr>
        <w:t xml:space="preserve">100 </w:t>
      </w:r>
      <w:r w:rsidR="00176334">
        <w:rPr>
          <w:b/>
        </w:rPr>
        <w:sym w:font="Symbol" w:char="F06D"/>
      </w:r>
      <w:r w:rsidR="00176334">
        <w:rPr>
          <w:b/>
        </w:rPr>
        <w:t>g</w:t>
      </w:r>
      <w:r w:rsidR="00D9669C">
        <w:rPr>
          <w:b/>
        </w:rPr>
        <w:t>,</w:t>
      </w:r>
      <w:r w:rsidR="0030409D">
        <w:rPr>
          <w:b/>
        </w:rPr>
        <w:t xml:space="preserve"> 112 </w:t>
      </w:r>
      <w:r w:rsidR="0030409D">
        <w:rPr>
          <w:b/>
        </w:rPr>
        <w:sym w:font="Symbol" w:char="F06D"/>
      </w:r>
      <w:r w:rsidR="0030409D">
        <w:rPr>
          <w:b/>
        </w:rPr>
        <w:t xml:space="preserve">g, 125 </w:t>
      </w:r>
      <w:r w:rsidR="0030409D">
        <w:rPr>
          <w:b/>
        </w:rPr>
        <w:sym w:font="Symbol" w:char="F06D"/>
      </w:r>
      <w:r w:rsidR="0030409D">
        <w:rPr>
          <w:b/>
        </w:rPr>
        <w:t>g</w:t>
      </w:r>
      <w:r w:rsidR="00CE0585">
        <w:rPr>
          <w:b/>
        </w:rPr>
        <w:t xml:space="preserve">, 137 </w:t>
      </w:r>
      <w:r w:rsidR="00CE0585">
        <w:rPr>
          <w:b/>
        </w:rPr>
        <w:sym w:font="Symbol" w:char="F06D"/>
      </w:r>
      <w:r w:rsidR="00CE0585">
        <w:rPr>
          <w:b/>
        </w:rPr>
        <w:t xml:space="preserve">g, 150 </w:t>
      </w:r>
      <w:r w:rsidR="00CE0585">
        <w:rPr>
          <w:b/>
        </w:rPr>
        <w:sym w:font="Symbol" w:char="F06D"/>
      </w:r>
      <w:r w:rsidR="00CE0585">
        <w:rPr>
          <w:b/>
        </w:rPr>
        <w:t xml:space="preserve">g, 175 </w:t>
      </w:r>
      <w:r w:rsidR="00CE0585">
        <w:rPr>
          <w:b/>
        </w:rPr>
        <w:sym w:font="Symbol" w:char="F06D"/>
      </w:r>
      <w:r w:rsidR="00CE0585">
        <w:rPr>
          <w:b/>
        </w:rPr>
        <w:t>g</w:t>
      </w:r>
      <w:r w:rsidR="00D9669C">
        <w:rPr>
          <w:b/>
        </w:rPr>
        <w:t xml:space="preserve"> </w:t>
      </w:r>
      <w:r w:rsidR="00176334">
        <w:rPr>
          <w:b/>
        </w:rPr>
        <w:t xml:space="preserve">or 200 </w:t>
      </w:r>
      <w:r w:rsidR="00176334">
        <w:rPr>
          <w:b/>
        </w:rPr>
        <w:sym w:font="Symbol" w:char="F06D"/>
      </w:r>
      <w:r w:rsidR="00176334">
        <w:rPr>
          <w:b/>
        </w:rPr>
        <w:t>g.</w:t>
      </w:r>
    </w:p>
    <w:p w:rsidR="00176334" w:rsidRDefault="00176334">
      <w:pPr>
        <w:tabs>
          <w:tab w:val="center" w:pos="4536"/>
          <w:tab w:val="center" w:pos="9072"/>
        </w:tabs>
        <w:jc w:val="both"/>
        <w:rPr>
          <w:sz w:val="28"/>
        </w:rPr>
      </w:pPr>
    </w:p>
    <w:p w:rsidR="00176334" w:rsidRDefault="0030409D">
      <w:pPr>
        <w:pStyle w:val="BodyText"/>
        <w:tabs>
          <w:tab w:val="left" w:pos="7513"/>
        </w:tabs>
      </w:pPr>
      <w:r>
        <w:t xml:space="preserve">Levothyroxine </w:t>
      </w:r>
      <w:r w:rsidR="00176334">
        <w:t xml:space="preserve">sodium also known as </w:t>
      </w:r>
      <w:proofErr w:type="spellStart"/>
      <w:r>
        <w:t>thyroxine</w:t>
      </w:r>
      <w:proofErr w:type="spellEnd"/>
      <w:r>
        <w:t xml:space="preserve"> </w:t>
      </w:r>
      <w:r w:rsidR="00176334">
        <w:t xml:space="preserve">sodium, is a monosodium salt of the </w:t>
      </w:r>
      <w:proofErr w:type="spellStart"/>
      <w:r w:rsidR="00176334">
        <w:rPr>
          <w:i/>
        </w:rPr>
        <w:t>levo</w:t>
      </w:r>
      <w:proofErr w:type="spellEnd"/>
      <w:r w:rsidR="00176334">
        <w:t xml:space="preserve"> isomer of </w:t>
      </w:r>
      <w:proofErr w:type="spellStart"/>
      <w:r w:rsidR="00176334">
        <w:t>thyroxine</w:t>
      </w:r>
      <w:proofErr w:type="spellEnd"/>
      <w:r w:rsidR="00176334">
        <w:t xml:space="preserve">, the principal secretion of the thyroid gland. </w:t>
      </w:r>
      <w:proofErr w:type="spellStart"/>
      <w:r w:rsidR="00176334">
        <w:t>Thyroxine</w:t>
      </w:r>
      <w:proofErr w:type="spellEnd"/>
      <w:r w:rsidR="00176334">
        <w:t xml:space="preserve"> sodium (CAS-55-03-8) has the following chemical structure: </w:t>
      </w:r>
    </w:p>
    <w:p w:rsidR="00176334" w:rsidRDefault="00176334">
      <w:pPr>
        <w:tabs>
          <w:tab w:val="center" w:pos="4536"/>
          <w:tab w:val="center" w:pos="9072"/>
        </w:tabs>
        <w:jc w:val="both"/>
        <w:rPr>
          <w:sz w:val="28"/>
        </w:rPr>
      </w:pPr>
    </w:p>
    <w:p w:rsidR="00176334" w:rsidRDefault="00593BA7">
      <w:pPr>
        <w:tabs>
          <w:tab w:val="center" w:pos="4536"/>
          <w:tab w:val="center" w:pos="9072"/>
        </w:tabs>
        <w:jc w:val="center"/>
        <w:rPr>
          <w:sz w:val="28"/>
        </w:rPr>
      </w:pPr>
      <w:r>
        <w:rPr>
          <w:noProof/>
          <w:sz w:val="28"/>
        </w:rPr>
        <w:drawing>
          <wp:inline distT="0" distB="0" distL="0" distR="0">
            <wp:extent cx="2908300" cy="1075055"/>
            <wp:effectExtent l="0" t="0" r="6350" b="0"/>
            <wp:docPr id="1" name="Picture 1" descr="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08300" cy="1075055"/>
                    </a:xfrm>
                    <a:prstGeom prst="rect">
                      <a:avLst/>
                    </a:prstGeom>
                    <a:noFill/>
                    <a:ln>
                      <a:noFill/>
                    </a:ln>
                  </pic:spPr>
                </pic:pic>
              </a:graphicData>
            </a:graphic>
          </wp:inline>
        </w:drawing>
      </w:r>
    </w:p>
    <w:p w:rsidR="00176334" w:rsidRDefault="00176334">
      <w:pPr>
        <w:pStyle w:val="Heading2"/>
        <w:rPr>
          <w:b w:val="0"/>
          <w:sz w:val="24"/>
          <w:u w:val="none"/>
        </w:rPr>
      </w:pPr>
    </w:p>
    <w:p w:rsidR="00176334" w:rsidRDefault="00176334">
      <w:pPr>
        <w:pStyle w:val="Heading2"/>
        <w:rPr>
          <w:b w:val="0"/>
          <w:sz w:val="24"/>
          <w:u w:val="none"/>
        </w:rPr>
      </w:pPr>
      <w:r>
        <w:rPr>
          <w:b w:val="0"/>
          <w:sz w:val="24"/>
          <w:u w:val="none"/>
        </w:rPr>
        <w:t>It has the molecular formula C</w:t>
      </w:r>
      <w:r>
        <w:rPr>
          <w:b w:val="0"/>
          <w:sz w:val="24"/>
          <w:u w:val="none"/>
          <w:vertAlign w:val="subscript"/>
        </w:rPr>
        <w:t>15</w:t>
      </w:r>
      <w:r>
        <w:rPr>
          <w:b w:val="0"/>
          <w:sz w:val="24"/>
          <w:u w:val="none"/>
        </w:rPr>
        <w:t>H</w:t>
      </w:r>
      <w:r>
        <w:rPr>
          <w:b w:val="0"/>
          <w:sz w:val="24"/>
          <w:u w:val="none"/>
          <w:vertAlign w:val="subscript"/>
        </w:rPr>
        <w:t>10</w:t>
      </w:r>
      <w:r>
        <w:rPr>
          <w:b w:val="0"/>
          <w:sz w:val="24"/>
          <w:u w:val="none"/>
        </w:rPr>
        <w:t>I</w:t>
      </w:r>
      <w:r>
        <w:rPr>
          <w:b w:val="0"/>
          <w:sz w:val="24"/>
          <w:u w:val="none"/>
          <w:vertAlign w:val="subscript"/>
        </w:rPr>
        <w:t>4</w:t>
      </w:r>
      <w:r>
        <w:rPr>
          <w:b w:val="0"/>
          <w:sz w:val="24"/>
          <w:u w:val="none"/>
        </w:rPr>
        <w:t>NNaO</w:t>
      </w:r>
      <w:r>
        <w:rPr>
          <w:b w:val="0"/>
          <w:sz w:val="24"/>
          <w:u w:val="none"/>
          <w:vertAlign w:val="subscript"/>
        </w:rPr>
        <w:t>4</w:t>
      </w:r>
      <w:r>
        <w:rPr>
          <w:b w:val="0"/>
          <w:sz w:val="24"/>
          <w:u w:val="none"/>
        </w:rPr>
        <w:t xml:space="preserve"> and a molecular weight of 798.86.</w:t>
      </w:r>
    </w:p>
    <w:p w:rsidR="00176334" w:rsidRPr="00343569" w:rsidRDefault="00176334">
      <w:pPr>
        <w:pStyle w:val="Heading2"/>
        <w:rPr>
          <w:szCs w:val="28"/>
        </w:rPr>
      </w:pPr>
    </w:p>
    <w:p w:rsidR="004D4DBF" w:rsidRPr="00343569" w:rsidRDefault="004D4DBF" w:rsidP="004D4DBF">
      <w:pPr>
        <w:rPr>
          <w:sz w:val="28"/>
          <w:szCs w:val="28"/>
        </w:rPr>
      </w:pPr>
    </w:p>
    <w:p w:rsidR="00176334" w:rsidRPr="004D4DBF" w:rsidRDefault="00176334">
      <w:pPr>
        <w:pStyle w:val="Heading2"/>
        <w:rPr>
          <w:u w:val="none"/>
        </w:rPr>
      </w:pPr>
      <w:r w:rsidRPr="004D4DBF">
        <w:rPr>
          <w:u w:val="none"/>
        </w:rPr>
        <w:t>DESCRIPTION</w:t>
      </w:r>
    </w:p>
    <w:p w:rsidR="00176334" w:rsidRDefault="00176334">
      <w:pPr>
        <w:pStyle w:val="BodyText"/>
      </w:pPr>
    </w:p>
    <w:p w:rsidR="00176334" w:rsidRDefault="00176334">
      <w:pPr>
        <w:pStyle w:val="BodyText"/>
      </w:pPr>
      <w:proofErr w:type="spellStart"/>
      <w:r>
        <w:t>Thyroxine</w:t>
      </w:r>
      <w:proofErr w:type="spellEnd"/>
      <w:r>
        <w:t xml:space="preserve"> sodium is almost white to pale brownish-yellow, odourless, tasteless, hygroscopic, amorphous or crystalline powder. On exposure to light, it may acquire a slight pink colour. It is very slightly soluble in water and </w:t>
      </w:r>
      <w:proofErr w:type="gramStart"/>
      <w:r>
        <w:t>alcohol,</w:t>
      </w:r>
      <w:proofErr w:type="gramEnd"/>
      <w:r>
        <w:t xml:space="preserve"> however </w:t>
      </w:r>
      <w:r w:rsidR="00515049">
        <w:t xml:space="preserve">it </w:t>
      </w:r>
      <w:r>
        <w:t xml:space="preserve">is insoluble in acetone, chloroform and ether. It dissolves in aqueous solutions of alkali hydroxides and in hot solutions of alkali carbonates. </w:t>
      </w:r>
    </w:p>
    <w:p w:rsidR="00176334" w:rsidRDefault="00176334">
      <w:pPr>
        <w:tabs>
          <w:tab w:val="center" w:pos="4536"/>
          <w:tab w:val="center" w:pos="9072"/>
        </w:tabs>
        <w:jc w:val="both"/>
        <w:outlineLvl w:val="0"/>
      </w:pPr>
    </w:p>
    <w:p w:rsidR="00176334" w:rsidRDefault="00176334">
      <w:pPr>
        <w:tabs>
          <w:tab w:val="center" w:pos="4536"/>
          <w:tab w:val="center" w:pos="9072"/>
        </w:tabs>
        <w:jc w:val="both"/>
        <w:outlineLvl w:val="0"/>
        <w:rPr>
          <w:b/>
          <w:i/>
        </w:rPr>
      </w:pPr>
      <w:r>
        <w:rPr>
          <w:b/>
          <w:i/>
        </w:rPr>
        <w:t>Excipients:</w:t>
      </w:r>
    </w:p>
    <w:p w:rsidR="00176334" w:rsidRDefault="000F30CF">
      <w:pPr>
        <w:tabs>
          <w:tab w:val="center" w:pos="4536"/>
          <w:tab w:val="center" w:pos="9072"/>
        </w:tabs>
        <w:jc w:val="both"/>
        <w:outlineLvl w:val="0"/>
      </w:pPr>
      <w:r w:rsidRPr="00A043E3">
        <w:t>ELTROXIN</w:t>
      </w:r>
      <w:r w:rsidR="00271F88">
        <w:t xml:space="preserve"> tablets contain the following excipients: </w:t>
      </w:r>
      <w:r w:rsidR="00A043E3">
        <w:t>c</w:t>
      </w:r>
      <w:r w:rsidR="00A043E3" w:rsidRPr="00A043E3">
        <w:t xml:space="preserve">ellulose </w:t>
      </w:r>
      <w:r w:rsidR="00A043E3">
        <w:t>–</w:t>
      </w:r>
      <w:r w:rsidR="00A043E3" w:rsidRPr="00A043E3">
        <w:t xml:space="preserve"> microcrystalline</w:t>
      </w:r>
      <w:r w:rsidR="00A043E3">
        <w:t>, s</w:t>
      </w:r>
      <w:r w:rsidR="00A043E3" w:rsidRPr="00A043E3">
        <w:t xml:space="preserve">tarch - </w:t>
      </w:r>
      <w:proofErr w:type="spellStart"/>
      <w:r w:rsidR="00A043E3" w:rsidRPr="00A043E3">
        <w:t>pregelatinised</w:t>
      </w:r>
      <w:proofErr w:type="spellEnd"/>
      <w:r w:rsidR="00A043E3" w:rsidRPr="00A043E3">
        <w:t xml:space="preserve"> maize</w:t>
      </w:r>
      <w:r w:rsidR="00A043E3">
        <w:t xml:space="preserve">, </w:t>
      </w:r>
      <w:r w:rsidR="00515049">
        <w:t>t</w:t>
      </w:r>
      <w:r w:rsidR="00515049" w:rsidRPr="00A043E3">
        <w:t xml:space="preserve">alc </w:t>
      </w:r>
      <w:r w:rsidR="00A043E3" w:rsidRPr="00A043E3">
        <w:t xml:space="preserve">– purified, </w:t>
      </w:r>
      <w:r w:rsidR="0050790B">
        <w:t xml:space="preserve">colloidal anhydrous silica </w:t>
      </w:r>
      <w:r w:rsidR="00271F88">
        <w:t>and magnesium stearate.</w:t>
      </w:r>
    </w:p>
    <w:p w:rsidR="00176334" w:rsidRPr="00343569" w:rsidRDefault="00176334">
      <w:pPr>
        <w:tabs>
          <w:tab w:val="center" w:pos="4536"/>
          <w:tab w:val="center" w:pos="9072"/>
        </w:tabs>
        <w:jc w:val="both"/>
        <w:outlineLvl w:val="0"/>
        <w:rPr>
          <w:b/>
          <w:sz w:val="28"/>
          <w:szCs w:val="28"/>
        </w:rPr>
      </w:pPr>
    </w:p>
    <w:p w:rsidR="004D4DBF" w:rsidRPr="00343569" w:rsidRDefault="004D4DBF">
      <w:pPr>
        <w:tabs>
          <w:tab w:val="center" w:pos="4536"/>
          <w:tab w:val="center" w:pos="9072"/>
        </w:tabs>
        <w:jc w:val="both"/>
        <w:outlineLvl w:val="0"/>
        <w:rPr>
          <w:b/>
          <w:sz w:val="28"/>
          <w:szCs w:val="28"/>
        </w:rPr>
      </w:pPr>
    </w:p>
    <w:p w:rsidR="00176334" w:rsidRPr="004D4DBF" w:rsidRDefault="00176334">
      <w:pPr>
        <w:pStyle w:val="Heading2"/>
        <w:rPr>
          <w:u w:val="none"/>
        </w:rPr>
      </w:pPr>
      <w:r w:rsidRPr="004D4DBF">
        <w:rPr>
          <w:u w:val="none"/>
        </w:rPr>
        <w:t>PHARMACOLOGY</w:t>
      </w:r>
    </w:p>
    <w:p w:rsidR="00176334" w:rsidRDefault="00176334">
      <w:pPr>
        <w:tabs>
          <w:tab w:val="center" w:pos="4536"/>
          <w:tab w:val="center" w:pos="9072"/>
        </w:tabs>
        <w:jc w:val="both"/>
        <w:outlineLvl w:val="0"/>
        <w:rPr>
          <w:b/>
          <w:sz w:val="28"/>
        </w:rPr>
      </w:pPr>
    </w:p>
    <w:p w:rsidR="00176334" w:rsidRDefault="00176334">
      <w:pPr>
        <w:tabs>
          <w:tab w:val="center" w:pos="4536"/>
          <w:tab w:val="center" w:pos="9072"/>
        </w:tabs>
        <w:jc w:val="both"/>
        <w:outlineLvl w:val="0"/>
        <w:rPr>
          <w:b/>
        </w:rPr>
      </w:pPr>
      <w:r>
        <w:rPr>
          <w:b/>
        </w:rPr>
        <w:t>Actions:</w:t>
      </w:r>
    </w:p>
    <w:p w:rsidR="009342C6" w:rsidRDefault="009342C6">
      <w:pPr>
        <w:tabs>
          <w:tab w:val="center" w:pos="4536"/>
          <w:tab w:val="center" w:pos="9072"/>
        </w:tabs>
        <w:jc w:val="both"/>
        <w:outlineLvl w:val="0"/>
        <w:rPr>
          <w:b/>
        </w:rPr>
      </w:pPr>
    </w:p>
    <w:p w:rsidR="00176334" w:rsidRDefault="000F30CF">
      <w:pPr>
        <w:tabs>
          <w:tab w:val="center" w:pos="4536"/>
          <w:tab w:val="center" w:pos="9072"/>
        </w:tabs>
        <w:jc w:val="both"/>
        <w:outlineLvl w:val="0"/>
      </w:pPr>
      <w:r>
        <w:rPr>
          <w:b/>
          <w:caps/>
        </w:rPr>
        <w:t>ELTROXIN</w:t>
      </w:r>
      <w:r w:rsidR="00176334">
        <w:t xml:space="preserve"> is used as thyroid replacement therapy for the treatment of hypothyroidism. The principal pharmacological effect of thyroid hormones is to increase the metabolic rate of body tissues. Thyroid hormones are also involved in the regulation of cell growth and differentiation. </w:t>
      </w:r>
      <w:proofErr w:type="spellStart"/>
      <w:r w:rsidR="00176334">
        <w:t>Thyroxine</w:t>
      </w:r>
      <w:proofErr w:type="spellEnd"/>
      <w:r w:rsidR="00176334">
        <w:t xml:space="preserve"> is the major component of normal secretions of the thyroid gland; therefore it is the essential determinant of normal thyroid function. </w:t>
      </w:r>
    </w:p>
    <w:p w:rsidR="00176334" w:rsidRDefault="00176334">
      <w:pPr>
        <w:tabs>
          <w:tab w:val="center" w:pos="4536"/>
          <w:tab w:val="center" w:pos="9072"/>
        </w:tabs>
        <w:jc w:val="both"/>
        <w:outlineLvl w:val="0"/>
      </w:pPr>
    </w:p>
    <w:p w:rsidR="00176334" w:rsidRDefault="00176334">
      <w:pPr>
        <w:tabs>
          <w:tab w:val="center" w:pos="4536"/>
          <w:tab w:val="center" w:pos="9072"/>
        </w:tabs>
        <w:jc w:val="both"/>
        <w:outlineLvl w:val="0"/>
        <w:rPr>
          <w:b/>
        </w:rPr>
      </w:pPr>
      <w:r>
        <w:rPr>
          <w:b/>
        </w:rPr>
        <w:t>Pharmacokinetics:</w:t>
      </w:r>
    </w:p>
    <w:p w:rsidR="00176334" w:rsidRDefault="00176334">
      <w:pPr>
        <w:tabs>
          <w:tab w:val="center" w:pos="4536"/>
          <w:tab w:val="center" w:pos="9072"/>
        </w:tabs>
        <w:jc w:val="both"/>
        <w:outlineLvl w:val="0"/>
        <w:rPr>
          <w:b/>
        </w:rPr>
      </w:pPr>
    </w:p>
    <w:p w:rsidR="00176334" w:rsidRDefault="00176334">
      <w:pPr>
        <w:pStyle w:val="Heading1"/>
      </w:pPr>
      <w:r>
        <w:t>Absorption</w:t>
      </w:r>
    </w:p>
    <w:p w:rsidR="00176334" w:rsidRDefault="00176334">
      <w:pPr>
        <w:tabs>
          <w:tab w:val="center" w:pos="4536"/>
          <w:tab w:val="center" w:pos="9072"/>
        </w:tabs>
        <w:jc w:val="both"/>
        <w:outlineLvl w:val="0"/>
      </w:pPr>
      <w:proofErr w:type="spellStart"/>
      <w:r>
        <w:t>Thyroxine</w:t>
      </w:r>
      <w:proofErr w:type="spellEnd"/>
      <w:r>
        <w:t xml:space="preserve"> sodium is variably but adequately absorbed from the gastrointestinal tract following oral administration. Approximately 50 to 75% of </w:t>
      </w:r>
      <w:proofErr w:type="spellStart"/>
      <w:r>
        <w:t>thyroxine</w:t>
      </w:r>
      <w:proofErr w:type="spellEnd"/>
      <w:r>
        <w:t xml:space="preserve"> sodium </w:t>
      </w:r>
      <w:r w:rsidR="00271F88">
        <w:t>is</w:t>
      </w:r>
      <w:r>
        <w:t xml:space="preserve"> absorbed. Studies in humans indicate that </w:t>
      </w:r>
      <w:proofErr w:type="spellStart"/>
      <w:r>
        <w:t>thyroxine</w:t>
      </w:r>
      <w:proofErr w:type="spellEnd"/>
      <w:r>
        <w:t xml:space="preserve"> sodium is absorbed from the jejunum and ileum, and in the duodenum. Fasting will only increase the extent of absorption, whereas malabsorption will only cause a decrease in absorption. Following the initiation of therapy, </w:t>
      </w:r>
      <w:proofErr w:type="spellStart"/>
      <w:r>
        <w:t>thyroxine</w:t>
      </w:r>
      <w:proofErr w:type="spellEnd"/>
      <w:r>
        <w:t xml:space="preserve"> sodium has a slow onset of action as the peak therapeutic effect occurs between 3 to 4 weeks. It also has a long duration of action occurring between 1 to 3 weeks, even following the discontinuance of the drug.</w:t>
      </w:r>
    </w:p>
    <w:p w:rsidR="00176334" w:rsidRDefault="00176334">
      <w:pPr>
        <w:tabs>
          <w:tab w:val="center" w:pos="4536"/>
          <w:tab w:val="center" w:pos="9072"/>
        </w:tabs>
        <w:jc w:val="both"/>
        <w:outlineLvl w:val="0"/>
      </w:pPr>
      <w:r>
        <w:t xml:space="preserve"> </w:t>
      </w:r>
    </w:p>
    <w:p w:rsidR="00176334" w:rsidRDefault="00176334">
      <w:pPr>
        <w:pStyle w:val="Heading1"/>
      </w:pPr>
      <w:r>
        <w:t>Distribution</w:t>
      </w:r>
    </w:p>
    <w:p w:rsidR="00176334" w:rsidRDefault="00176334">
      <w:pPr>
        <w:tabs>
          <w:tab w:val="center" w:pos="4536"/>
          <w:tab w:val="center" w:pos="9072"/>
        </w:tabs>
        <w:jc w:val="both"/>
        <w:outlineLvl w:val="0"/>
      </w:pPr>
      <w:proofErr w:type="spellStart"/>
      <w:r>
        <w:t>Thyroxine</w:t>
      </w:r>
      <w:proofErr w:type="spellEnd"/>
      <w:r>
        <w:t xml:space="preserve"> sodium apparently undergoes </w:t>
      </w:r>
      <w:proofErr w:type="spellStart"/>
      <w:r>
        <w:t>enterohepatic</w:t>
      </w:r>
      <w:proofErr w:type="spellEnd"/>
      <w:r>
        <w:t xml:space="preserve"> circulation. </w:t>
      </w:r>
      <w:proofErr w:type="gramStart"/>
      <w:r>
        <w:t xml:space="preserve">Once inside the circulation, </w:t>
      </w:r>
      <w:proofErr w:type="spellStart"/>
      <w:r>
        <w:t>thyroxine</w:t>
      </w:r>
      <w:proofErr w:type="spellEnd"/>
      <w:r>
        <w:t xml:space="preserve"> is extensively protein bound, principally to </w:t>
      </w:r>
      <w:proofErr w:type="spellStart"/>
      <w:r>
        <w:t>thyroxine</w:t>
      </w:r>
      <w:proofErr w:type="spellEnd"/>
      <w:r>
        <w:t xml:space="preserve">-binding globulin (TBG) and also to a lesser extent to </w:t>
      </w:r>
      <w:proofErr w:type="spellStart"/>
      <w:r>
        <w:t>thyroxine</w:t>
      </w:r>
      <w:proofErr w:type="spellEnd"/>
      <w:r>
        <w:t>-binding pre-albumin (TBPA) or to albumin.</w:t>
      </w:r>
      <w:proofErr w:type="gramEnd"/>
      <w:r>
        <w:t xml:space="preserve"> </w:t>
      </w:r>
      <w:proofErr w:type="spellStart"/>
      <w:r>
        <w:t>Thyroxine</w:t>
      </w:r>
      <w:proofErr w:type="spellEnd"/>
      <w:r>
        <w:t xml:space="preserve"> is distributed into most body tissues and fluids with the highest concentration occurring in the liver and kidneys. A minimal amount of </w:t>
      </w:r>
      <w:proofErr w:type="spellStart"/>
      <w:r>
        <w:t>thyroxine</w:t>
      </w:r>
      <w:proofErr w:type="spellEnd"/>
      <w:r>
        <w:t xml:space="preserve"> is distributed into breast milk.</w:t>
      </w:r>
    </w:p>
    <w:p w:rsidR="00176334" w:rsidRDefault="00176334">
      <w:pPr>
        <w:tabs>
          <w:tab w:val="center" w:pos="4536"/>
          <w:tab w:val="center" w:pos="9072"/>
        </w:tabs>
        <w:jc w:val="both"/>
        <w:outlineLvl w:val="0"/>
      </w:pPr>
    </w:p>
    <w:p w:rsidR="00176334" w:rsidRDefault="00176334">
      <w:pPr>
        <w:pStyle w:val="Heading1"/>
      </w:pPr>
      <w:r>
        <w:t>Elimination</w:t>
      </w:r>
    </w:p>
    <w:p w:rsidR="00176334" w:rsidRDefault="00176334">
      <w:pPr>
        <w:tabs>
          <w:tab w:val="center" w:pos="4536"/>
          <w:tab w:val="center" w:pos="9072"/>
        </w:tabs>
        <w:jc w:val="both"/>
        <w:outlineLvl w:val="0"/>
      </w:pPr>
      <w:proofErr w:type="spellStart"/>
      <w:r>
        <w:t>Thyroxine</w:t>
      </w:r>
      <w:proofErr w:type="spellEnd"/>
      <w:r>
        <w:t xml:space="preserve"> sodium has a plasma half-life in </w:t>
      </w:r>
      <w:proofErr w:type="spellStart"/>
      <w:r>
        <w:t>euthyrodism</w:t>
      </w:r>
      <w:proofErr w:type="spellEnd"/>
      <w:r>
        <w:t xml:space="preserve"> of about 6 to 7 days. In hypothyroidism, the </w:t>
      </w:r>
      <w:proofErr w:type="spellStart"/>
      <w:r>
        <w:t>half life</w:t>
      </w:r>
      <w:proofErr w:type="spellEnd"/>
      <w:r>
        <w:t xml:space="preserve"> is prolonged between 9 to 10 days. However, the half-life is reduced between 3 to 4 days in hyperthyroidism. </w:t>
      </w:r>
      <w:proofErr w:type="spellStart"/>
      <w:r>
        <w:t>Thyroxine</w:t>
      </w:r>
      <w:proofErr w:type="spellEnd"/>
      <w:r>
        <w:t xml:space="preserve"> is primarily metabolised in the liver and in the kidney to tri-</w:t>
      </w:r>
      <w:proofErr w:type="spellStart"/>
      <w:r>
        <w:t>idothyronine</w:t>
      </w:r>
      <w:proofErr w:type="spellEnd"/>
      <w:r>
        <w:t xml:space="preserve">. Approximately 40% of </w:t>
      </w:r>
      <w:proofErr w:type="spellStart"/>
      <w:r>
        <w:t>thyroxine</w:t>
      </w:r>
      <w:proofErr w:type="spellEnd"/>
      <w:r>
        <w:t xml:space="preserve"> sodium is metabolised to the inactive reverse tri-</w:t>
      </w:r>
      <w:proofErr w:type="spellStart"/>
      <w:r>
        <w:t>idothyronine</w:t>
      </w:r>
      <w:proofErr w:type="spellEnd"/>
      <w:r>
        <w:t xml:space="preserve">, which both undergo further </w:t>
      </w:r>
      <w:proofErr w:type="spellStart"/>
      <w:r>
        <w:t>deiodination</w:t>
      </w:r>
      <w:proofErr w:type="spellEnd"/>
      <w:r>
        <w:t xml:space="preserve"> to inactive metabolites. About 85% of the </w:t>
      </w:r>
      <w:proofErr w:type="spellStart"/>
      <w:r>
        <w:t>thyroxine</w:t>
      </w:r>
      <w:proofErr w:type="spellEnd"/>
      <w:r>
        <w:t xml:space="preserve"> sodium metabolised daily is </w:t>
      </w:r>
      <w:proofErr w:type="spellStart"/>
      <w:r>
        <w:t>deiodinated</w:t>
      </w:r>
      <w:proofErr w:type="spellEnd"/>
      <w:r>
        <w:t xml:space="preserve">. </w:t>
      </w:r>
      <w:proofErr w:type="spellStart"/>
      <w:r>
        <w:t>Thyroxine</w:t>
      </w:r>
      <w:proofErr w:type="spellEnd"/>
      <w:r>
        <w:t xml:space="preserve"> is reported to undergo </w:t>
      </w:r>
      <w:proofErr w:type="spellStart"/>
      <w:r>
        <w:t>enterohepatic</w:t>
      </w:r>
      <w:proofErr w:type="spellEnd"/>
      <w:r>
        <w:t xml:space="preserve"> recycling and is excreted in faeces.</w:t>
      </w:r>
    </w:p>
    <w:p w:rsidR="00176334" w:rsidRDefault="00176334">
      <w:pPr>
        <w:tabs>
          <w:tab w:val="center" w:pos="4536"/>
          <w:tab w:val="center" w:pos="9072"/>
        </w:tabs>
        <w:jc w:val="both"/>
      </w:pPr>
    </w:p>
    <w:p w:rsidR="004D4DBF" w:rsidRDefault="00432275">
      <w:pPr>
        <w:tabs>
          <w:tab w:val="center" w:pos="4536"/>
          <w:tab w:val="center" w:pos="9072"/>
        </w:tabs>
        <w:jc w:val="both"/>
        <w:rPr>
          <w:b/>
          <w:u w:val="single"/>
        </w:rPr>
      </w:pPr>
      <w:r>
        <w:rPr>
          <w:b/>
          <w:u w:val="single"/>
        </w:rPr>
        <w:t>Comparison to reference registered products (EUTROXSIG/OROXINE)</w:t>
      </w:r>
    </w:p>
    <w:p w:rsidR="00432275" w:rsidRDefault="00432275" w:rsidP="00432275">
      <w:pPr>
        <w:pStyle w:val="mine"/>
      </w:pPr>
    </w:p>
    <w:p w:rsidR="00515049" w:rsidRPr="00515049" w:rsidRDefault="00515049" w:rsidP="00515049">
      <w:r w:rsidRPr="00913C0D">
        <w:t xml:space="preserve">A single dose, 2-period, 2-treatment, crossover study compared the T4 levels of 31 healthy, fasting adults after a supra-therapeutic dose of </w:t>
      </w:r>
      <w:proofErr w:type="spellStart"/>
      <w:r w:rsidRPr="00913C0D">
        <w:t>Eltroxin</w:t>
      </w:r>
      <w:proofErr w:type="spellEnd"/>
      <w:r w:rsidRPr="00913C0D">
        <w:t xml:space="preserve"> (600</w:t>
      </w:r>
      <w:r w:rsidR="00BB21C7">
        <w:t xml:space="preserve"> µg</w:t>
      </w:r>
      <w:r w:rsidRPr="00913C0D">
        <w:t xml:space="preserve">) versus the same dose of </w:t>
      </w:r>
      <w:proofErr w:type="spellStart"/>
      <w:r w:rsidRPr="00913C0D">
        <w:t>Oroxine</w:t>
      </w:r>
      <w:proofErr w:type="spellEnd"/>
      <w:r w:rsidRPr="00913C0D">
        <w:t xml:space="preserve"> (600</w:t>
      </w:r>
      <w:r w:rsidR="00BB21C7">
        <w:t xml:space="preserve"> µg</w:t>
      </w:r>
      <w:r w:rsidRPr="00913C0D">
        <w:t xml:space="preserve">). For uncorrected total T4, the results for the ratio of </w:t>
      </w:r>
      <w:proofErr w:type="spellStart"/>
      <w:r w:rsidRPr="00913C0D">
        <w:t>Eltroxin</w:t>
      </w:r>
      <w:proofErr w:type="spellEnd"/>
      <w:r w:rsidRPr="00913C0D">
        <w:t>/</w:t>
      </w:r>
      <w:proofErr w:type="spellStart"/>
      <w:r w:rsidRPr="00913C0D">
        <w:t>Oroxine</w:t>
      </w:r>
      <w:proofErr w:type="spellEnd"/>
      <w:r w:rsidRPr="00913C0D">
        <w:t xml:space="preserve"> were AUC0-t=89.1% (90% CI: 84.7%, 93.7%); </w:t>
      </w:r>
      <w:proofErr w:type="spellStart"/>
      <w:r w:rsidRPr="00913C0D">
        <w:t>Cmax</w:t>
      </w:r>
      <w:proofErr w:type="spellEnd"/>
      <w:r w:rsidRPr="00913C0D">
        <w:t>=</w:t>
      </w:r>
      <w:proofErr w:type="gramStart"/>
      <w:r w:rsidRPr="00913C0D">
        <w:t>86.2%</w:t>
      </w:r>
      <w:proofErr w:type="gramEnd"/>
      <w:r w:rsidRPr="00913C0D">
        <w:t xml:space="preserve">(82.1%, 90.6%). This suggests that </w:t>
      </w:r>
      <w:proofErr w:type="spellStart"/>
      <w:r w:rsidRPr="00913C0D">
        <w:t>Eltroxin</w:t>
      </w:r>
      <w:proofErr w:type="spellEnd"/>
      <w:r w:rsidRPr="00913C0D">
        <w:t xml:space="preserve"> may be less bioavailable than </w:t>
      </w:r>
      <w:proofErr w:type="spellStart"/>
      <w:r w:rsidRPr="00913C0D">
        <w:t>Oroxine</w:t>
      </w:r>
      <w:proofErr w:type="spellEnd"/>
      <w:r w:rsidRPr="00913C0D">
        <w:t>.</w:t>
      </w:r>
    </w:p>
    <w:p w:rsidR="00432275" w:rsidRPr="00343569" w:rsidRDefault="00432275">
      <w:pPr>
        <w:tabs>
          <w:tab w:val="center" w:pos="4536"/>
          <w:tab w:val="center" w:pos="9072"/>
        </w:tabs>
        <w:jc w:val="both"/>
        <w:rPr>
          <w:sz w:val="28"/>
          <w:szCs w:val="28"/>
        </w:rPr>
      </w:pPr>
    </w:p>
    <w:p w:rsidR="00432275" w:rsidRPr="00343569" w:rsidRDefault="00432275">
      <w:pPr>
        <w:tabs>
          <w:tab w:val="center" w:pos="4536"/>
          <w:tab w:val="center" w:pos="9072"/>
        </w:tabs>
        <w:jc w:val="both"/>
        <w:rPr>
          <w:sz w:val="28"/>
          <w:szCs w:val="28"/>
        </w:rPr>
      </w:pPr>
    </w:p>
    <w:p w:rsidR="00955C79" w:rsidRDefault="00955C79">
      <w:pPr>
        <w:pStyle w:val="Heading2"/>
        <w:rPr>
          <w:u w:val="none"/>
        </w:rPr>
      </w:pPr>
    </w:p>
    <w:p w:rsidR="00955C79" w:rsidRDefault="00955C79">
      <w:pPr>
        <w:pStyle w:val="Heading2"/>
        <w:rPr>
          <w:u w:val="none"/>
        </w:rPr>
      </w:pPr>
    </w:p>
    <w:p w:rsidR="00955C79" w:rsidRPr="00343569" w:rsidRDefault="00955C79" w:rsidP="00343569"/>
    <w:p w:rsidR="00955C79" w:rsidRPr="00343569" w:rsidRDefault="00955C79" w:rsidP="00343569"/>
    <w:p w:rsidR="00176334" w:rsidRPr="004D4DBF" w:rsidRDefault="00176334">
      <w:pPr>
        <w:pStyle w:val="Heading2"/>
        <w:rPr>
          <w:u w:val="none"/>
        </w:rPr>
      </w:pPr>
      <w:r w:rsidRPr="004D4DBF">
        <w:rPr>
          <w:u w:val="none"/>
        </w:rPr>
        <w:t>INDICATIONS</w:t>
      </w:r>
    </w:p>
    <w:p w:rsidR="00176334" w:rsidRDefault="00176334">
      <w:pPr>
        <w:tabs>
          <w:tab w:val="center" w:pos="4536"/>
          <w:tab w:val="center" w:pos="9072"/>
        </w:tabs>
        <w:jc w:val="both"/>
        <w:rPr>
          <w:sz w:val="28"/>
        </w:rPr>
      </w:pPr>
    </w:p>
    <w:p w:rsidR="00176334" w:rsidRDefault="000F30CF">
      <w:pPr>
        <w:tabs>
          <w:tab w:val="center" w:pos="4536"/>
          <w:tab w:val="center" w:pos="9072"/>
        </w:tabs>
        <w:jc w:val="both"/>
        <w:outlineLvl w:val="0"/>
      </w:pPr>
      <w:r>
        <w:rPr>
          <w:b/>
          <w:caps/>
        </w:rPr>
        <w:t>ELTROXIN</w:t>
      </w:r>
      <w:r w:rsidR="00176334">
        <w:t xml:space="preserve"> is indicated for the management of demonstrated thyroid hormone deficiency.</w:t>
      </w:r>
    </w:p>
    <w:p w:rsidR="00176334" w:rsidRDefault="00176334">
      <w:pPr>
        <w:tabs>
          <w:tab w:val="center" w:pos="4536"/>
          <w:tab w:val="center" w:pos="9072"/>
        </w:tabs>
        <w:jc w:val="both"/>
      </w:pPr>
    </w:p>
    <w:p w:rsidR="00176334" w:rsidRDefault="000F30CF">
      <w:pPr>
        <w:tabs>
          <w:tab w:val="center" w:pos="4536"/>
          <w:tab w:val="center" w:pos="9072"/>
        </w:tabs>
        <w:jc w:val="both"/>
      </w:pPr>
      <w:r>
        <w:rPr>
          <w:b/>
          <w:caps/>
        </w:rPr>
        <w:t>ELTROXIN</w:t>
      </w:r>
      <w:r w:rsidR="00176334">
        <w:t xml:space="preserve"> is also used to suppress </w:t>
      </w:r>
      <w:proofErr w:type="spellStart"/>
      <w:r w:rsidR="00176334">
        <w:t>thyrotropin</w:t>
      </w:r>
      <w:proofErr w:type="spellEnd"/>
      <w:r w:rsidR="00176334">
        <w:t xml:space="preserve"> (TSH) for the management of TSH-responsive tumours of the thyroid.</w:t>
      </w:r>
    </w:p>
    <w:p w:rsidR="00176334" w:rsidRPr="00343569" w:rsidRDefault="00176334">
      <w:pPr>
        <w:tabs>
          <w:tab w:val="center" w:pos="4536"/>
          <w:tab w:val="center" w:pos="9072"/>
        </w:tabs>
        <w:jc w:val="both"/>
        <w:outlineLvl w:val="0"/>
        <w:rPr>
          <w:sz w:val="28"/>
          <w:szCs w:val="28"/>
        </w:rPr>
      </w:pPr>
    </w:p>
    <w:p w:rsidR="004D4DBF" w:rsidRPr="00343569" w:rsidRDefault="004D4DBF">
      <w:pPr>
        <w:tabs>
          <w:tab w:val="center" w:pos="4536"/>
          <w:tab w:val="center" w:pos="9072"/>
        </w:tabs>
        <w:jc w:val="both"/>
        <w:rPr>
          <w:sz w:val="28"/>
          <w:szCs w:val="28"/>
        </w:rPr>
      </w:pPr>
    </w:p>
    <w:p w:rsidR="00176334" w:rsidRPr="004D4DBF" w:rsidRDefault="00176334">
      <w:pPr>
        <w:pStyle w:val="Heading2"/>
        <w:rPr>
          <w:u w:val="none"/>
        </w:rPr>
      </w:pPr>
      <w:r w:rsidRPr="004D4DBF">
        <w:rPr>
          <w:u w:val="none"/>
        </w:rPr>
        <w:t>CONTRAINDICATIONS</w:t>
      </w:r>
    </w:p>
    <w:p w:rsidR="00176334" w:rsidRPr="009342C6" w:rsidRDefault="00176334">
      <w:pPr>
        <w:tabs>
          <w:tab w:val="center" w:pos="4536"/>
          <w:tab w:val="center" w:pos="9072"/>
        </w:tabs>
        <w:jc w:val="both"/>
        <w:rPr>
          <w:szCs w:val="24"/>
        </w:rPr>
      </w:pPr>
    </w:p>
    <w:p w:rsidR="00176334" w:rsidRDefault="00176334">
      <w:pPr>
        <w:tabs>
          <w:tab w:val="center" w:pos="4536"/>
          <w:tab w:val="center" w:pos="9072"/>
        </w:tabs>
        <w:jc w:val="both"/>
        <w:outlineLvl w:val="0"/>
      </w:pPr>
      <w:r>
        <w:t xml:space="preserve">Known hypersensitivity to </w:t>
      </w:r>
      <w:proofErr w:type="spellStart"/>
      <w:r>
        <w:t>thyroxine</w:t>
      </w:r>
      <w:proofErr w:type="spellEnd"/>
      <w:r>
        <w:t xml:space="preserve">, which has been described rarely, is a contraindication. </w:t>
      </w:r>
    </w:p>
    <w:p w:rsidR="00176334" w:rsidRDefault="00176334">
      <w:pPr>
        <w:tabs>
          <w:tab w:val="center" w:pos="4536"/>
          <w:tab w:val="center" w:pos="9072"/>
        </w:tabs>
        <w:jc w:val="both"/>
        <w:outlineLvl w:val="0"/>
      </w:pPr>
    </w:p>
    <w:p w:rsidR="00176334" w:rsidRDefault="000F30CF">
      <w:pPr>
        <w:tabs>
          <w:tab w:val="center" w:pos="4536"/>
          <w:tab w:val="center" w:pos="9072"/>
        </w:tabs>
        <w:jc w:val="both"/>
        <w:outlineLvl w:val="0"/>
      </w:pPr>
      <w:r>
        <w:rPr>
          <w:b/>
          <w:caps/>
        </w:rPr>
        <w:t>ELTROXIN</w:t>
      </w:r>
      <w:r w:rsidR="00176334">
        <w:t xml:space="preserve"> is contraindicated in the following conditions:</w:t>
      </w:r>
    </w:p>
    <w:p w:rsidR="00176334" w:rsidRDefault="00176334">
      <w:pPr>
        <w:tabs>
          <w:tab w:val="center" w:pos="4536"/>
          <w:tab w:val="center" w:pos="9072"/>
        </w:tabs>
        <w:jc w:val="both"/>
        <w:outlineLvl w:val="0"/>
      </w:pPr>
      <w:r>
        <w:t>-Untreated hyperthyroidism</w:t>
      </w:r>
    </w:p>
    <w:p w:rsidR="00176334" w:rsidRDefault="00176334">
      <w:pPr>
        <w:tabs>
          <w:tab w:val="center" w:pos="4536"/>
          <w:tab w:val="center" w:pos="9072"/>
        </w:tabs>
        <w:jc w:val="both"/>
        <w:outlineLvl w:val="0"/>
      </w:pPr>
      <w:r>
        <w:t xml:space="preserve">-Uncorrected </w:t>
      </w:r>
      <w:r w:rsidR="00432275">
        <w:t xml:space="preserve">primary or secondary </w:t>
      </w:r>
      <w:r>
        <w:t>adrenal insufficiency</w:t>
      </w:r>
    </w:p>
    <w:p w:rsidR="00176334" w:rsidRDefault="00176334">
      <w:pPr>
        <w:tabs>
          <w:tab w:val="center" w:pos="4536"/>
          <w:tab w:val="center" w:pos="9072"/>
        </w:tabs>
        <w:jc w:val="both"/>
        <w:outlineLvl w:val="0"/>
      </w:pPr>
      <w:r>
        <w:t>-Thyrotoxicosis</w:t>
      </w:r>
    </w:p>
    <w:p w:rsidR="00176334" w:rsidRDefault="00176334">
      <w:pPr>
        <w:tabs>
          <w:tab w:val="center" w:pos="4536"/>
          <w:tab w:val="center" w:pos="9072"/>
        </w:tabs>
        <w:jc w:val="both"/>
        <w:outlineLvl w:val="0"/>
      </w:pPr>
      <w:r>
        <w:t>-Acute myocardial infarction uncomplicated by hypothyroidism</w:t>
      </w:r>
    </w:p>
    <w:p w:rsidR="00176334" w:rsidRPr="00343569" w:rsidRDefault="00176334">
      <w:pPr>
        <w:tabs>
          <w:tab w:val="center" w:pos="4536"/>
          <w:tab w:val="center" w:pos="9072"/>
        </w:tabs>
        <w:jc w:val="both"/>
        <w:rPr>
          <w:sz w:val="28"/>
          <w:szCs w:val="28"/>
        </w:rPr>
      </w:pPr>
    </w:p>
    <w:p w:rsidR="009B4297" w:rsidRPr="00343569" w:rsidRDefault="009B4297">
      <w:pPr>
        <w:tabs>
          <w:tab w:val="center" w:pos="4536"/>
          <w:tab w:val="center" w:pos="9072"/>
        </w:tabs>
        <w:jc w:val="both"/>
        <w:rPr>
          <w:sz w:val="28"/>
          <w:szCs w:val="28"/>
        </w:rPr>
      </w:pPr>
    </w:p>
    <w:p w:rsidR="00176334" w:rsidRPr="004D4DBF" w:rsidRDefault="00176334">
      <w:pPr>
        <w:tabs>
          <w:tab w:val="center" w:pos="4536"/>
          <w:tab w:val="center" w:pos="9072"/>
        </w:tabs>
        <w:jc w:val="both"/>
        <w:outlineLvl w:val="0"/>
        <w:rPr>
          <w:b/>
          <w:sz w:val="28"/>
        </w:rPr>
      </w:pPr>
      <w:r w:rsidRPr="004D4DBF">
        <w:rPr>
          <w:b/>
          <w:sz w:val="28"/>
        </w:rPr>
        <w:t>PRECAUTIONS</w:t>
      </w:r>
    </w:p>
    <w:p w:rsidR="00176334" w:rsidRPr="00343569" w:rsidRDefault="00176334">
      <w:pPr>
        <w:tabs>
          <w:tab w:val="center" w:pos="4536"/>
          <w:tab w:val="center" w:pos="9072"/>
        </w:tabs>
        <w:jc w:val="both"/>
        <w:outlineLvl w:val="0"/>
        <w:rPr>
          <w:szCs w:val="24"/>
        </w:rPr>
      </w:pPr>
    </w:p>
    <w:p w:rsidR="00432275" w:rsidRPr="00343569" w:rsidRDefault="00432275">
      <w:pPr>
        <w:tabs>
          <w:tab w:val="center" w:pos="4536"/>
          <w:tab w:val="center" w:pos="9072"/>
        </w:tabs>
        <w:jc w:val="both"/>
        <w:outlineLvl w:val="0"/>
        <w:rPr>
          <w:szCs w:val="24"/>
        </w:rPr>
      </w:pPr>
      <w:r w:rsidRPr="00343569">
        <w:rPr>
          <w:szCs w:val="24"/>
        </w:rPr>
        <w:t xml:space="preserve">Do not interchange ELTROXIN and EUTROXSIG/OROXINE. </w:t>
      </w:r>
      <w:r w:rsidR="00503061" w:rsidRPr="00343569">
        <w:rPr>
          <w:szCs w:val="24"/>
        </w:rPr>
        <w:t>If a decision is made to switch from EUTROXSIG/OROXINE to ELTROXINE, then prescribers should be aware that dose adjustment may be required</w:t>
      </w:r>
      <w:r w:rsidR="004F6CEB" w:rsidRPr="00343569">
        <w:rPr>
          <w:szCs w:val="24"/>
        </w:rPr>
        <w:t>; TSH should be monitored</w:t>
      </w:r>
      <w:r w:rsidR="00503061" w:rsidRPr="00343569">
        <w:rPr>
          <w:szCs w:val="24"/>
        </w:rPr>
        <w:t>.</w:t>
      </w:r>
    </w:p>
    <w:p w:rsidR="00103075" w:rsidRPr="00343569" w:rsidRDefault="00103075">
      <w:pPr>
        <w:tabs>
          <w:tab w:val="center" w:pos="4536"/>
          <w:tab w:val="center" w:pos="9072"/>
        </w:tabs>
        <w:jc w:val="both"/>
        <w:outlineLvl w:val="0"/>
        <w:rPr>
          <w:szCs w:val="24"/>
        </w:rPr>
      </w:pPr>
    </w:p>
    <w:p w:rsidR="00176334" w:rsidRDefault="00176334">
      <w:pPr>
        <w:tabs>
          <w:tab w:val="center" w:pos="4536"/>
          <w:tab w:val="center" w:pos="9072"/>
        </w:tabs>
        <w:jc w:val="both"/>
        <w:outlineLvl w:val="0"/>
        <w:rPr>
          <w:b/>
        </w:rPr>
      </w:pPr>
      <w:r>
        <w:rPr>
          <w:b/>
        </w:rPr>
        <w:t>Initiation of therapy:</w:t>
      </w:r>
    </w:p>
    <w:p w:rsidR="00176334" w:rsidRDefault="00176334" w:rsidP="001E2DAA">
      <w:pPr>
        <w:tabs>
          <w:tab w:val="center" w:pos="4536"/>
          <w:tab w:val="center" w:pos="9072"/>
        </w:tabs>
      </w:pPr>
      <w:r>
        <w:t xml:space="preserve">In </w:t>
      </w:r>
      <w:r w:rsidR="00907EC2" w:rsidRPr="00D57755">
        <w:t>the elderly or patients with ischaemic heart disease</w:t>
      </w:r>
      <w:r w:rsidR="00D14AC7" w:rsidRPr="00D57755">
        <w:t xml:space="preserve">, </w:t>
      </w:r>
      <w:r w:rsidR="000F30CF">
        <w:rPr>
          <w:b/>
        </w:rPr>
        <w:t>ELTROXIN</w:t>
      </w:r>
      <w:r w:rsidR="00EB2E6D" w:rsidRPr="00EB2E6D">
        <w:rPr>
          <w:b/>
        </w:rPr>
        <w:t xml:space="preserve"> </w:t>
      </w:r>
      <w:r w:rsidR="00EB2E6D">
        <w:t>should not be init</w:t>
      </w:r>
      <w:r w:rsidR="00531113">
        <w:t>i</w:t>
      </w:r>
      <w:r w:rsidR="00EB2E6D">
        <w:t>ated at more than 50</w:t>
      </w:r>
      <w:r w:rsidR="00EB2E6D" w:rsidRPr="00EB2E6D">
        <w:t xml:space="preserve"> </w:t>
      </w:r>
      <w:r w:rsidR="00EB2E6D" w:rsidRPr="00D57755">
        <w:t>µ</w:t>
      </w:r>
      <w:proofErr w:type="gramStart"/>
      <w:r w:rsidR="00EB2E6D" w:rsidRPr="00D57755">
        <w:t>g/day</w:t>
      </w:r>
      <w:r w:rsidR="00EB2E6D">
        <w:t>,</w:t>
      </w:r>
      <w:proofErr w:type="gramEnd"/>
      <w:r w:rsidR="00EB2E6D">
        <w:t xml:space="preserve"> </w:t>
      </w:r>
      <w:r w:rsidR="00907EC2">
        <w:t xml:space="preserve">and </w:t>
      </w:r>
      <w:r w:rsidR="001E2DAA">
        <w:t xml:space="preserve">dose then be </w:t>
      </w:r>
      <w:r w:rsidR="00907EC2">
        <w:t>gradually incr</w:t>
      </w:r>
      <w:r w:rsidR="0027680E">
        <w:t>eased</w:t>
      </w:r>
      <w:r w:rsidR="001E2DAA">
        <w:t>. (</w:t>
      </w:r>
      <w:proofErr w:type="gramStart"/>
      <w:r w:rsidR="001E2DAA">
        <w:t>see</w:t>
      </w:r>
      <w:proofErr w:type="gramEnd"/>
      <w:r w:rsidR="001E2DAA">
        <w:t xml:space="preserve"> DOSAGE &amp; </w:t>
      </w:r>
      <w:r w:rsidR="00EB2E6D">
        <w:t xml:space="preserve">ADMINISTRATION). </w:t>
      </w:r>
      <w:r w:rsidR="00907EC2">
        <w:t xml:space="preserve"> </w:t>
      </w:r>
    </w:p>
    <w:p w:rsidR="00176334" w:rsidRDefault="00176334">
      <w:pPr>
        <w:tabs>
          <w:tab w:val="center" w:pos="4536"/>
          <w:tab w:val="center" w:pos="9072"/>
        </w:tabs>
        <w:jc w:val="both"/>
        <w:outlineLvl w:val="0"/>
      </w:pPr>
    </w:p>
    <w:p w:rsidR="00176334" w:rsidRDefault="00176334">
      <w:pPr>
        <w:tabs>
          <w:tab w:val="center" w:pos="4536"/>
          <w:tab w:val="center" w:pos="9072"/>
        </w:tabs>
        <w:jc w:val="both"/>
        <w:outlineLvl w:val="0"/>
        <w:rPr>
          <w:b/>
        </w:rPr>
      </w:pPr>
      <w:r>
        <w:rPr>
          <w:b/>
        </w:rPr>
        <w:t>Presence of cardiac disorder:</w:t>
      </w:r>
    </w:p>
    <w:p w:rsidR="00176334" w:rsidRDefault="00176334">
      <w:pPr>
        <w:tabs>
          <w:tab w:val="center" w:pos="4536"/>
          <w:tab w:val="center" w:pos="9072"/>
        </w:tabs>
        <w:jc w:val="both"/>
        <w:outlineLvl w:val="0"/>
      </w:pPr>
      <w:r>
        <w:t xml:space="preserve">Extreme caution is required in patients with a cardiovascular disorder. In the event of cardiovascular effects, the dosage of </w:t>
      </w:r>
      <w:r w:rsidR="000F30CF">
        <w:rPr>
          <w:b/>
          <w:caps/>
        </w:rPr>
        <w:t>ELTROXIN</w:t>
      </w:r>
      <w:r>
        <w:t xml:space="preserve"> should be lowered. Even smaller initial dosage </w:t>
      </w:r>
      <w:proofErr w:type="gramStart"/>
      <w:r>
        <w:t>(</w:t>
      </w:r>
      <w:proofErr w:type="spellStart"/>
      <w:r>
        <w:t>eg</w:t>
      </w:r>
      <w:proofErr w:type="spellEnd"/>
      <w:r>
        <w:t xml:space="preserve"> 12.5 to 25 µg/day)</w:t>
      </w:r>
      <w:proofErr w:type="gramEnd"/>
      <w:r>
        <w:t xml:space="preserve"> should be used with increments of not more than 25 µg/day at not less than two week intervals. If this routine is not tolerated because of angina, increments should be further reduced with prolongation of the intervals between changes. The use of a ß blocker may help to control angina. </w:t>
      </w:r>
    </w:p>
    <w:p w:rsidR="00176334" w:rsidRDefault="00176334">
      <w:pPr>
        <w:tabs>
          <w:tab w:val="center" w:pos="4536"/>
          <w:tab w:val="center" w:pos="9072"/>
        </w:tabs>
        <w:jc w:val="both"/>
      </w:pPr>
    </w:p>
    <w:p w:rsidR="00176334" w:rsidRDefault="00176334">
      <w:pPr>
        <w:tabs>
          <w:tab w:val="center" w:pos="4536"/>
          <w:tab w:val="center" w:pos="9072"/>
        </w:tabs>
        <w:jc w:val="both"/>
        <w:outlineLvl w:val="0"/>
        <w:rPr>
          <w:b/>
        </w:rPr>
      </w:pPr>
      <w:r>
        <w:rPr>
          <w:b/>
        </w:rPr>
        <w:t>Cortisone deficiency:</w:t>
      </w:r>
    </w:p>
    <w:p w:rsidR="00176334" w:rsidRDefault="00176334">
      <w:pPr>
        <w:tabs>
          <w:tab w:val="center" w:pos="4536"/>
          <w:tab w:val="center" w:pos="9072"/>
        </w:tabs>
        <w:jc w:val="both"/>
        <w:outlineLvl w:val="0"/>
      </w:pPr>
      <w:r>
        <w:t xml:space="preserve">Corticosteroid replacement therapy </w:t>
      </w:r>
      <w:r>
        <w:rPr>
          <w:b/>
        </w:rPr>
        <w:t>must</w:t>
      </w:r>
      <w:r>
        <w:t xml:space="preserve"> precede initiation of </w:t>
      </w:r>
      <w:r w:rsidR="000F30CF">
        <w:rPr>
          <w:b/>
          <w:caps/>
        </w:rPr>
        <w:t>ELTROXIN</w:t>
      </w:r>
      <w:r>
        <w:t xml:space="preserve"> therapy to avoid </w:t>
      </w:r>
      <w:proofErr w:type="spellStart"/>
      <w:r>
        <w:t>Addisonian</w:t>
      </w:r>
      <w:proofErr w:type="spellEnd"/>
      <w:r>
        <w:t xml:space="preserve"> crisis in such conditions as hypopituitarism and adrenal insufficiency.</w:t>
      </w:r>
    </w:p>
    <w:p w:rsidR="00B35626" w:rsidRDefault="00B35626">
      <w:pPr>
        <w:tabs>
          <w:tab w:val="center" w:pos="4536"/>
          <w:tab w:val="center" w:pos="9072"/>
        </w:tabs>
        <w:jc w:val="both"/>
        <w:outlineLvl w:val="0"/>
      </w:pPr>
    </w:p>
    <w:p w:rsidR="00B35626" w:rsidRDefault="00B35626">
      <w:pPr>
        <w:tabs>
          <w:tab w:val="center" w:pos="4536"/>
          <w:tab w:val="center" w:pos="9072"/>
        </w:tabs>
        <w:jc w:val="both"/>
        <w:outlineLvl w:val="0"/>
      </w:pPr>
      <w:r>
        <w:rPr>
          <w:b/>
        </w:rPr>
        <w:t>Effects on bone mineral density:</w:t>
      </w:r>
    </w:p>
    <w:p w:rsidR="00B35626" w:rsidRPr="00B35626" w:rsidRDefault="00B35626">
      <w:pPr>
        <w:tabs>
          <w:tab w:val="center" w:pos="4536"/>
          <w:tab w:val="center" w:pos="9072"/>
        </w:tabs>
        <w:jc w:val="both"/>
        <w:outlineLvl w:val="0"/>
      </w:pPr>
      <w:r>
        <w:lastRenderedPageBreak/>
        <w:t xml:space="preserve">In women, long-term levothyroxine sodium therapy has been associated with increased bone </w:t>
      </w:r>
      <w:proofErr w:type="spellStart"/>
      <w:r>
        <w:t>resorption</w:t>
      </w:r>
      <w:proofErr w:type="spellEnd"/>
      <w:r>
        <w:t xml:space="preserve">, thereby decreasing bone mineral density, especially in post-menopausal women on greater than replacement doses or in women who are receiving suppressive doses of levothyroxine sodium. The increased bone </w:t>
      </w:r>
      <w:proofErr w:type="spellStart"/>
      <w:r>
        <w:t>resorption</w:t>
      </w:r>
      <w:proofErr w:type="spellEnd"/>
      <w:r>
        <w:t xml:space="preserve"> </w:t>
      </w:r>
      <w:r w:rsidR="00336DDE">
        <w:t>may be associated with increased</w:t>
      </w:r>
      <w:r>
        <w:t xml:space="preserve"> serum levels and urinary excretion of calcium and </w:t>
      </w:r>
      <w:r w:rsidR="00336DDE">
        <w:t>phosphorus, elevations</w:t>
      </w:r>
      <w:r>
        <w:t xml:space="preserve"> in bone alkaline phosphate and suppressed serum parathyroid hormone levels. Therefore, it is recommended that patients receiving levothyroxine sodium be given the minimum dose necessary to achieve and desired clinical and biochemical response.</w:t>
      </w:r>
    </w:p>
    <w:p w:rsidR="00176334" w:rsidRDefault="00176334">
      <w:pPr>
        <w:tabs>
          <w:tab w:val="center" w:pos="4536"/>
          <w:tab w:val="center" w:pos="9072"/>
        </w:tabs>
        <w:jc w:val="both"/>
        <w:outlineLvl w:val="0"/>
      </w:pPr>
    </w:p>
    <w:p w:rsidR="00176334" w:rsidRDefault="00176334">
      <w:pPr>
        <w:tabs>
          <w:tab w:val="center" w:pos="4536"/>
          <w:tab w:val="center" w:pos="9072"/>
        </w:tabs>
        <w:jc w:val="both"/>
        <w:outlineLvl w:val="0"/>
        <w:rPr>
          <w:b/>
        </w:rPr>
      </w:pPr>
      <w:r>
        <w:rPr>
          <w:b/>
        </w:rPr>
        <w:t>Diabetes:</w:t>
      </w:r>
    </w:p>
    <w:p w:rsidR="00176334" w:rsidRDefault="00176334">
      <w:pPr>
        <w:tabs>
          <w:tab w:val="center" w:pos="4536"/>
          <w:tab w:val="center" w:pos="9072"/>
        </w:tabs>
        <w:jc w:val="both"/>
        <w:outlineLvl w:val="0"/>
      </w:pPr>
      <w:r>
        <w:t xml:space="preserve">Caution is also required when </w:t>
      </w:r>
      <w:r w:rsidR="000F30CF">
        <w:rPr>
          <w:b/>
          <w:caps/>
        </w:rPr>
        <w:t>ELTROXIN</w:t>
      </w:r>
      <w:r>
        <w:t xml:space="preserve"> is given to </w:t>
      </w:r>
      <w:r w:rsidR="00432275">
        <w:t xml:space="preserve">hypothyroid </w:t>
      </w:r>
      <w:r>
        <w:t xml:space="preserve">patients with diabetes mellitus or diabetes insipidus, as it may cause the required dosage of insulin and oral </w:t>
      </w:r>
      <w:proofErr w:type="spellStart"/>
      <w:r>
        <w:t>antidiabetic</w:t>
      </w:r>
      <w:proofErr w:type="spellEnd"/>
      <w:r>
        <w:t xml:space="preserve"> agents to be increased. Careful monitoring of diabetic control is recommended, especially when </w:t>
      </w:r>
      <w:r w:rsidR="000F30CF">
        <w:rPr>
          <w:b/>
          <w:caps/>
        </w:rPr>
        <w:t>ELTROXIN</w:t>
      </w:r>
      <w:r>
        <w:t xml:space="preserve"> therapy is initiated, changed or discontinued. Adjustments in the dosage of these agents should only be made accordingly if necessary.</w:t>
      </w:r>
    </w:p>
    <w:p w:rsidR="00176334" w:rsidRDefault="00176334">
      <w:pPr>
        <w:tabs>
          <w:tab w:val="center" w:pos="4536"/>
          <w:tab w:val="center" w:pos="9072"/>
        </w:tabs>
        <w:jc w:val="both"/>
        <w:outlineLvl w:val="0"/>
        <w:rPr>
          <w:b/>
        </w:rPr>
      </w:pPr>
    </w:p>
    <w:p w:rsidR="00176334" w:rsidRDefault="00176334">
      <w:pPr>
        <w:tabs>
          <w:tab w:val="center" w:pos="4536"/>
          <w:tab w:val="center" w:pos="9072"/>
        </w:tabs>
        <w:jc w:val="both"/>
        <w:outlineLvl w:val="0"/>
        <w:rPr>
          <w:b/>
        </w:rPr>
      </w:pPr>
      <w:r>
        <w:rPr>
          <w:b/>
        </w:rPr>
        <w:t>Renal Disorder:</w:t>
      </w:r>
    </w:p>
    <w:p w:rsidR="00176334" w:rsidRDefault="00176334">
      <w:pPr>
        <w:tabs>
          <w:tab w:val="center" w:pos="4536"/>
          <w:tab w:val="center" w:pos="9072"/>
        </w:tabs>
        <w:jc w:val="both"/>
      </w:pPr>
      <w:r>
        <w:t xml:space="preserve">There is no evidence that </w:t>
      </w:r>
      <w:r w:rsidR="000F30CF">
        <w:rPr>
          <w:b/>
          <w:caps/>
        </w:rPr>
        <w:t>ELTROXIN</w:t>
      </w:r>
      <w:r>
        <w:t xml:space="preserve"> dosage should be modified in the presence of renal failure. However, thyroid function tests may be influenced and need careful interpretation.</w:t>
      </w:r>
    </w:p>
    <w:p w:rsidR="001A5679" w:rsidRDefault="001A5679">
      <w:pPr>
        <w:tabs>
          <w:tab w:val="center" w:pos="4536"/>
          <w:tab w:val="center" w:pos="9072"/>
        </w:tabs>
        <w:jc w:val="both"/>
      </w:pPr>
    </w:p>
    <w:p w:rsidR="00176334" w:rsidRDefault="00176334">
      <w:pPr>
        <w:tabs>
          <w:tab w:val="center" w:pos="4536"/>
          <w:tab w:val="center" w:pos="9072"/>
        </w:tabs>
        <w:jc w:val="both"/>
        <w:outlineLvl w:val="0"/>
        <w:rPr>
          <w:b/>
        </w:rPr>
      </w:pPr>
      <w:r>
        <w:rPr>
          <w:b/>
        </w:rPr>
        <w:t>Liver disorders:</w:t>
      </w:r>
    </w:p>
    <w:p w:rsidR="00176334" w:rsidRDefault="00176334">
      <w:pPr>
        <w:tabs>
          <w:tab w:val="center" w:pos="4536"/>
          <w:tab w:val="center" w:pos="9072"/>
        </w:tabs>
        <w:jc w:val="both"/>
      </w:pPr>
      <w:r>
        <w:t xml:space="preserve">In spite of the major involvement of the liver in </w:t>
      </w:r>
      <w:r w:rsidR="000F30CF">
        <w:rPr>
          <w:b/>
          <w:caps/>
        </w:rPr>
        <w:t>ELTROXIN</w:t>
      </w:r>
      <w:r>
        <w:t xml:space="preserve"> metabolism, there is no evidence that dosage should be modified in the presence of cirrhosis. However, thyroid function tests may be influenced and need careful interpretation.</w:t>
      </w:r>
    </w:p>
    <w:p w:rsidR="00176334" w:rsidRDefault="00176334">
      <w:pPr>
        <w:tabs>
          <w:tab w:val="center" w:pos="4536"/>
          <w:tab w:val="center" w:pos="9072"/>
        </w:tabs>
        <w:jc w:val="both"/>
        <w:outlineLvl w:val="0"/>
        <w:rPr>
          <w:b/>
        </w:rPr>
      </w:pPr>
    </w:p>
    <w:p w:rsidR="00176334" w:rsidRDefault="00176334">
      <w:pPr>
        <w:tabs>
          <w:tab w:val="center" w:pos="4536"/>
          <w:tab w:val="center" w:pos="9072"/>
        </w:tabs>
        <w:jc w:val="both"/>
        <w:outlineLvl w:val="0"/>
      </w:pPr>
      <w:r>
        <w:rPr>
          <w:b/>
        </w:rPr>
        <w:t>Hyperthyroidism:</w:t>
      </w:r>
    </w:p>
    <w:p w:rsidR="00176334" w:rsidRDefault="00176334">
      <w:pPr>
        <w:tabs>
          <w:tab w:val="center" w:pos="4536"/>
          <w:tab w:val="center" w:pos="9072"/>
        </w:tabs>
        <w:jc w:val="both"/>
        <w:outlineLvl w:val="0"/>
      </w:pPr>
      <w:r>
        <w:t xml:space="preserve">Lower doses of </w:t>
      </w:r>
      <w:r w:rsidR="000F30CF">
        <w:rPr>
          <w:b/>
          <w:caps/>
        </w:rPr>
        <w:t>ELTROXIN</w:t>
      </w:r>
      <w:r>
        <w:t xml:space="preserve"> may be required in patients with a history of </w:t>
      </w:r>
      <w:proofErr w:type="gramStart"/>
      <w:r>
        <w:t>hyperthyroidism,</w:t>
      </w:r>
      <w:proofErr w:type="gramEnd"/>
      <w:r>
        <w:t xml:space="preserve"> as such patients may have residual autonomous thyroid function.</w:t>
      </w:r>
    </w:p>
    <w:p w:rsidR="00176334" w:rsidRDefault="00176334">
      <w:pPr>
        <w:tabs>
          <w:tab w:val="center" w:pos="4536"/>
          <w:tab w:val="center" w:pos="9072"/>
        </w:tabs>
        <w:jc w:val="both"/>
        <w:outlineLvl w:val="0"/>
      </w:pPr>
    </w:p>
    <w:p w:rsidR="00176334" w:rsidRDefault="00176334">
      <w:pPr>
        <w:tabs>
          <w:tab w:val="center" w:pos="4536"/>
          <w:tab w:val="center" w:pos="9072"/>
        </w:tabs>
        <w:jc w:val="both"/>
        <w:outlineLvl w:val="0"/>
        <w:rPr>
          <w:b/>
        </w:rPr>
      </w:pPr>
      <w:r>
        <w:rPr>
          <w:b/>
        </w:rPr>
        <w:t>Thyrotoxicosis:</w:t>
      </w:r>
    </w:p>
    <w:p w:rsidR="00176334" w:rsidRDefault="00176334">
      <w:pPr>
        <w:pStyle w:val="BodyText"/>
        <w:outlineLvl w:val="0"/>
      </w:pPr>
      <w:r>
        <w:t xml:space="preserve">Patients who have thyrotoxicosis who are being treated with anti-thyroid </w:t>
      </w:r>
      <w:proofErr w:type="gramStart"/>
      <w:r>
        <w:t>medication,</w:t>
      </w:r>
      <w:proofErr w:type="gramEnd"/>
      <w:r>
        <w:t xml:space="preserve"> may have increased sensitivity to </w:t>
      </w:r>
      <w:r w:rsidR="000F30CF">
        <w:rPr>
          <w:b/>
          <w:caps/>
        </w:rPr>
        <w:t>ELTROXIN</w:t>
      </w:r>
      <w:r>
        <w:t xml:space="preserve">. </w:t>
      </w:r>
    </w:p>
    <w:p w:rsidR="00176334" w:rsidRDefault="00176334">
      <w:pPr>
        <w:tabs>
          <w:tab w:val="center" w:pos="4536"/>
          <w:tab w:val="center" w:pos="9072"/>
        </w:tabs>
        <w:jc w:val="both"/>
        <w:outlineLvl w:val="0"/>
      </w:pPr>
    </w:p>
    <w:p w:rsidR="00176334" w:rsidRDefault="00176334">
      <w:pPr>
        <w:tabs>
          <w:tab w:val="center" w:pos="4536"/>
          <w:tab w:val="center" w:pos="9072"/>
        </w:tabs>
        <w:jc w:val="both"/>
        <w:outlineLvl w:val="0"/>
        <w:rPr>
          <w:b/>
        </w:rPr>
      </w:pPr>
      <w:r>
        <w:rPr>
          <w:b/>
        </w:rPr>
        <w:t xml:space="preserve">Long-standing Hypothyroidism and </w:t>
      </w:r>
      <w:proofErr w:type="spellStart"/>
      <w:r>
        <w:rPr>
          <w:b/>
        </w:rPr>
        <w:t>Myxodema</w:t>
      </w:r>
      <w:proofErr w:type="spellEnd"/>
      <w:r>
        <w:rPr>
          <w:b/>
        </w:rPr>
        <w:t>:</w:t>
      </w:r>
    </w:p>
    <w:p w:rsidR="00176334" w:rsidRDefault="00176334">
      <w:pPr>
        <w:pStyle w:val="BodyText"/>
        <w:outlineLvl w:val="0"/>
      </w:pPr>
      <w:r>
        <w:t xml:space="preserve">Caution is also required for patients with long-standing hypothyroidism or </w:t>
      </w:r>
      <w:proofErr w:type="spellStart"/>
      <w:r>
        <w:t>myxodema</w:t>
      </w:r>
      <w:proofErr w:type="spellEnd"/>
      <w:r>
        <w:t>, as they are more sensitive to thyroid hormones.</w:t>
      </w:r>
    </w:p>
    <w:p w:rsidR="00176334" w:rsidRDefault="00176334">
      <w:pPr>
        <w:tabs>
          <w:tab w:val="center" w:pos="4536"/>
          <w:tab w:val="center" w:pos="9072"/>
        </w:tabs>
        <w:jc w:val="both"/>
      </w:pPr>
    </w:p>
    <w:p w:rsidR="00176334" w:rsidRDefault="00176334">
      <w:pPr>
        <w:tabs>
          <w:tab w:val="center" w:pos="4536"/>
          <w:tab w:val="center" w:pos="9072"/>
        </w:tabs>
        <w:jc w:val="both"/>
      </w:pPr>
      <w:r>
        <w:rPr>
          <w:b/>
        </w:rPr>
        <w:t>Carcinogenicity, Mutagenicity and Impairment to Fertility:</w:t>
      </w:r>
    </w:p>
    <w:p w:rsidR="00176334" w:rsidRDefault="00176334">
      <w:pPr>
        <w:tabs>
          <w:tab w:val="center" w:pos="4536"/>
          <w:tab w:val="center" w:pos="9072"/>
        </w:tabs>
        <w:jc w:val="both"/>
      </w:pPr>
      <w:r>
        <w:t xml:space="preserve">Animal studies to determine the carcinogenic or mutagenic potential of thyroid agents have not been established. However, there is epidemiological evidence against the use of thyroid supplements enhancing the risk of breast cancer. There is no information available on the possible effects of </w:t>
      </w:r>
      <w:proofErr w:type="spellStart"/>
      <w:r>
        <w:t>thyroxine</w:t>
      </w:r>
      <w:proofErr w:type="spellEnd"/>
      <w:r>
        <w:t xml:space="preserve"> on human fertility.</w:t>
      </w:r>
    </w:p>
    <w:p w:rsidR="00176334" w:rsidRDefault="00176334">
      <w:pPr>
        <w:tabs>
          <w:tab w:val="center" w:pos="4536"/>
          <w:tab w:val="center" w:pos="9072"/>
        </w:tabs>
        <w:jc w:val="both"/>
      </w:pPr>
    </w:p>
    <w:p w:rsidR="00176334" w:rsidRDefault="00176334" w:rsidP="007061DB">
      <w:pPr>
        <w:jc w:val="both"/>
        <w:rPr>
          <w:rFonts w:ascii="Arial" w:hAnsi="Arial"/>
          <w:snapToGrid w:val="0"/>
          <w:color w:val="000000"/>
          <w:lang w:val="en-US" w:eastAsia="en-US"/>
        </w:rPr>
      </w:pPr>
      <w:r>
        <w:rPr>
          <w:b/>
        </w:rPr>
        <w:t xml:space="preserve">Use in Pregnancy (Category A): </w:t>
      </w:r>
    </w:p>
    <w:p w:rsidR="00176334" w:rsidRDefault="001E2DAA" w:rsidP="007061DB">
      <w:pPr>
        <w:jc w:val="both"/>
        <w:rPr>
          <w:snapToGrid w:val="0"/>
          <w:color w:val="000000"/>
          <w:lang w:val="en-US" w:eastAsia="en-US"/>
        </w:rPr>
      </w:pPr>
      <w:r w:rsidRPr="00CC2940">
        <w:rPr>
          <w:szCs w:val="24"/>
        </w:rPr>
        <w:t>If overt hypothyroidism is diagnosed during pregnancy,</w:t>
      </w:r>
      <w:r>
        <w:rPr>
          <w:szCs w:val="24"/>
        </w:rPr>
        <w:t xml:space="preserve"> </w:t>
      </w:r>
      <w:r w:rsidRPr="00CC2940">
        <w:rPr>
          <w:szCs w:val="24"/>
        </w:rPr>
        <w:t>thyroid function test</w:t>
      </w:r>
      <w:r w:rsidR="00531113">
        <w:rPr>
          <w:szCs w:val="24"/>
        </w:rPr>
        <w:t xml:space="preserve"> result</w:t>
      </w:r>
      <w:r w:rsidRPr="00CC2940">
        <w:rPr>
          <w:szCs w:val="24"/>
        </w:rPr>
        <w:t>s should be normali</w:t>
      </w:r>
      <w:r>
        <w:rPr>
          <w:szCs w:val="24"/>
        </w:rPr>
        <w:t>s</w:t>
      </w:r>
      <w:r w:rsidRPr="00CC2940">
        <w:rPr>
          <w:szCs w:val="24"/>
        </w:rPr>
        <w:t>ed as rapidly</w:t>
      </w:r>
      <w:r>
        <w:rPr>
          <w:szCs w:val="24"/>
        </w:rPr>
        <w:t xml:space="preserve"> as possible. In newly-</w:t>
      </w:r>
      <w:r w:rsidRPr="00013D1E">
        <w:rPr>
          <w:szCs w:val="24"/>
        </w:rPr>
        <w:t>diagnosed hypothyroidism in pregnancy,</w:t>
      </w:r>
      <w:r w:rsidRPr="00DD67A7">
        <w:rPr>
          <w:szCs w:val="24"/>
        </w:rPr>
        <w:t xml:space="preserve"> </w:t>
      </w:r>
      <w:proofErr w:type="spellStart"/>
      <w:r>
        <w:rPr>
          <w:szCs w:val="24"/>
        </w:rPr>
        <w:t>thyroxine</w:t>
      </w:r>
      <w:proofErr w:type="spellEnd"/>
      <w:r w:rsidRPr="00CC2940">
        <w:rPr>
          <w:szCs w:val="24"/>
        </w:rPr>
        <w:t xml:space="preserve"> dosage should be titrated rapidly</w:t>
      </w:r>
      <w:r>
        <w:rPr>
          <w:szCs w:val="24"/>
        </w:rPr>
        <w:t xml:space="preserve">, for example 1.5–2.0 µg/kg/day may be required for initial replacement. </w:t>
      </w:r>
      <w:r w:rsidRPr="00CC2940">
        <w:rPr>
          <w:szCs w:val="24"/>
        </w:rPr>
        <w:t>If hypothyroidism has been diagnosed before pregnancy</w:t>
      </w:r>
      <w:r>
        <w:rPr>
          <w:szCs w:val="24"/>
        </w:rPr>
        <w:t xml:space="preserve">, </w:t>
      </w:r>
      <w:proofErr w:type="spellStart"/>
      <w:r>
        <w:rPr>
          <w:snapToGrid w:val="0"/>
          <w:color w:val="000000"/>
          <w:lang w:val="en-US" w:eastAsia="en-US"/>
        </w:rPr>
        <w:t>t</w:t>
      </w:r>
      <w:r w:rsidR="00C246A8">
        <w:rPr>
          <w:snapToGrid w:val="0"/>
          <w:color w:val="000000"/>
          <w:lang w:val="en-US" w:eastAsia="en-US"/>
        </w:rPr>
        <w:t>hyroxine</w:t>
      </w:r>
      <w:proofErr w:type="spellEnd"/>
      <w:r w:rsidR="00C246A8">
        <w:rPr>
          <w:snapToGrid w:val="0"/>
          <w:color w:val="000000"/>
          <w:lang w:val="en-US" w:eastAsia="en-US"/>
        </w:rPr>
        <w:t xml:space="preserve"> therapy should be </w:t>
      </w:r>
      <w:proofErr w:type="spellStart"/>
      <w:r w:rsidR="00C246A8">
        <w:rPr>
          <w:snapToGrid w:val="0"/>
          <w:color w:val="000000"/>
          <w:lang w:val="en-US" w:eastAsia="en-US"/>
        </w:rPr>
        <w:t>optimised</w:t>
      </w:r>
      <w:proofErr w:type="spellEnd"/>
      <w:r w:rsidR="00C246A8">
        <w:rPr>
          <w:snapToGrid w:val="0"/>
          <w:color w:val="000000"/>
          <w:lang w:val="en-US" w:eastAsia="en-US"/>
        </w:rPr>
        <w:t xml:space="preserve"> before conception and monitored during pregnancy by measurement of serum TSH and </w:t>
      </w:r>
      <w:proofErr w:type="spellStart"/>
      <w:r w:rsidR="00C246A8">
        <w:rPr>
          <w:snapToGrid w:val="0"/>
          <w:color w:val="000000"/>
          <w:lang w:val="en-US" w:eastAsia="en-US"/>
        </w:rPr>
        <w:t>thyroxine</w:t>
      </w:r>
      <w:proofErr w:type="spellEnd"/>
      <w:r w:rsidR="00C246A8">
        <w:rPr>
          <w:snapToGrid w:val="0"/>
          <w:color w:val="000000"/>
          <w:lang w:val="en-US" w:eastAsia="en-US"/>
        </w:rPr>
        <w:t xml:space="preserve"> levels.</w:t>
      </w:r>
      <w:r w:rsidRPr="001E2DAA">
        <w:rPr>
          <w:szCs w:val="24"/>
        </w:rPr>
        <w:t xml:space="preserve"> </w:t>
      </w:r>
      <w:r>
        <w:rPr>
          <w:szCs w:val="24"/>
        </w:rPr>
        <w:t xml:space="preserve">The </w:t>
      </w:r>
      <w:proofErr w:type="spellStart"/>
      <w:r>
        <w:rPr>
          <w:szCs w:val="24"/>
        </w:rPr>
        <w:t>thyroxine</w:t>
      </w:r>
      <w:proofErr w:type="spellEnd"/>
      <w:r w:rsidRPr="00CC2940">
        <w:rPr>
          <w:szCs w:val="24"/>
        </w:rPr>
        <w:t xml:space="preserve"> dose </w:t>
      </w:r>
      <w:r>
        <w:rPr>
          <w:szCs w:val="24"/>
        </w:rPr>
        <w:t>commonly</w:t>
      </w:r>
      <w:r w:rsidRPr="00CC2940">
        <w:rPr>
          <w:szCs w:val="24"/>
        </w:rPr>
        <w:t xml:space="preserve"> needs </w:t>
      </w:r>
      <w:r>
        <w:rPr>
          <w:szCs w:val="24"/>
        </w:rPr>
        <w:t xml:space="preserve">incremental </w:t>
      </w:r>
      <w:r>
        <w:rPr>
          <w:szCs w:val="24"/>
        </w:rPr>
        <w:lastRenderedPageBreak/>
        <w:t>adjustments</w:t>
      </w:r>
      <w:r w:rsidRPr="00CC2940">
        <w:rPr>
          <w:szCs w:val="24"/>
        </w:rPr>
        <w:t xml:space="preserve"> by 4–6 w</w:t>
      </w:r>
      <w:r>
        <w:rPr>
          <w:szCs w:val="24"/>
        </w:rPr>
        <w:t>ee</w:t>
      </w:r>
      <w:r w:rsidRPr="00CC2940">
        <w:rPr>
          <w:szCs w:val="24"/>
        </w:rPr>
        <w:t>k</w:t>
      </w:r>
      <w:r>
        <w:rPr>
          <w:szCs w:val="24"/>
        </w:rPr>
        <w:t>s</w:t>
      </w:r>
      <w:r w:rsidRPr="00CC2940">
        <w:rPr>
          <w:szCs w:val="24"/>
        </w:rPr>
        <w:t xml:space="preserve"> </w:t>
      </w:r>
      <w:r>
        <w:rPr>
          <w:szCs w:val="24"/>
        </w:rPr>
        <w:t xml:space="preserve">of </w:t>
      </w:r>
      <w:r w:rsidRPr="00CC2940">
        <w:rPr>
          <w:szCs w:val="24"/>
        </w:rPr>
        <w:t xml:space="preserve">gestation and may require a </w:t>
      </w:r>
      <w:r>
        <w:rPr>
          <w:szCs w:val="24"/>
        </w:rPr>
        <w:t>25-4</w:t>
      </w:r>
      <w:r w:rsidRPr="00CC2940">
        <w:rPr>
          <w:szCs w:val="24"/>
        </w:rPr>
        <w:t xml:space="preserve">0% increase in dosage. </w:t>
      </w:r>
      <w:r w:rsidR="00C079FB" w:rsidRPr="00D57755">
        <w:rPr>
          <w:snapToGrid w:val="0"/>
          <w:lang w:val="en-US" w:eastAsia="en-US"/>
        </w:rPr>
        <w:t xml:space="preserve"> It is recommended that </w:t>
      </w:r>
      <w:r w:rsidR="00C246A8">
        <w:rPr>
          <w:snapToGrid w:val="0"/>
          <w:lang w:val="en-US" w:eastAsia="en-US"/>
        </w:rPr>
        <w:t xml:space="preserve">those levels should be </w:t>
      </w:r>
      <w:r w:rsidR="00C079FB" w:rsidRPr="00D57755">
        <w:rPr>
          <w:snapToGrid w:val="0"/>
          <w:lang w:val="en-US" w:eastAsia="en-US"/>
        </w:rPr>
        <w:t xml:space="preserve">re-evaluated every 3 to 4 weeks during the first </w:t>
      </w:r>
      <w:r w:rsidR="00C246A8">
        <w:rPr>
          <w:snapToGrid w:val="0"/>
          <w:lang w:val="en-US" w:eastAsia="en-US"/>
        </w:rPr>
        <w:t>and second trimesters</w:t>
      </w:r>
      <w:r w:rsidR="00C079FB" w:rsidRPr="00D57755">
        <w:rPr>
          <w:snapToGrid w:val="0"/>
          <w:lang w:val="en-US" w:eastAsia="en-US"/>
        </w:rPr>
        <w:t xml:space="preserve">, with </w:t>
      </w:r>
      <w:proofErr w:type="spellStart"/>
      <w:r w:rsidR="00C079FB" w:rsidRPr="00D57755">
        <w:rPr>
          <w:snapToGrid w:val="0"/>
          <w:lang w:val="en-US" w:eastAsia="en-US"/>
        </w:rPr>
        <w:t>thyroxine</w:t>
      </w:r>
      <w:proofErr w:type="spellEnd"/>
      <w:r w:rsidR="00C079FB" w:rsidRPr="00D57755">
        <w:rPr>
          <w:snapToGrid w:val="0"/>
          <w:lang w:val="en-US" w:eastAsia="en-US"/>
        </w:rPr>
        <w:t xml:space="preserve"> dosage changes as appropriate. </w:t>
      </w:r>
      <w:r w:rsidR="00176334" w:rsidRPr="00D57755">
        <w:rPr>
          <w:snapToGrid w:val="0"/>
          <w:lang w:val="en-US" w:eastAsia="en-US"/>
        </w:rPr>
        <w:t>The requirement is likely to decrease post-partum</w:t>
      </w:r>
      <w:r w:rsidR="00176334">
        <w:rPr>
          <w:snapToGrid w:val="0"/>
          <w:color w:val="000000"/>
          <w:lang w:val="en-US" w:eastAsia="en-US"/>
        </w:rPr>
        <w:t>.</w:t>
      </w:r>
    </w:p>
    <w:p w:rsidR="00176334" w:rsidRDefault="00176334">
      <w:pPr>
        <w:tabs>
          <w:tab w:val="center" w:pos="4536"/>
          <w:tab w:val="center" w:pos="9072"/>
        </w:tabs>
        <w:jc w:val="both"/>
      </w:pPr>
    </w:p>
    <w:p w:rsidR="00176334" w:rsidRDefault="00176334">
      <w:pPr>
        <w:tabs>
          <w:tab w:val="center" w:pos="4536"/>
          <w:tab w:val="center" w:pos="9072"/>
        </w:tabs>
        <w:jc w:val="both"/>
      </w:pPr>
      <w:r>
        <w:t>Monitoring of TSH concentrations can give guidance. TBG increases during pregnancy and therefore total T</w:t>
      </w:r>
      <w:r>
        <w:rPr>
          <w:vertAlign w:val="subscript"/>
        </w:rPr>
        <w:t>4</w:t>
      </w:r>
      <w:r>
        <w:t xml:space="preserve"> and T</w:t>
      </w:r>
      <w:r>
        <w:rPr>
          <w:vertAlign w:val="subscript"/>
        </w:rPr>
        <w:t>3</w:t>
      </w:r>
      <w:r>
        <w:t xml:space="preserve"> may appear to be elevated. Measurement of free T</w:t>
      </w:r>
      <w:r>
        <w:rPr>
          <w:vertAlign w:val="subscript"/>
        </w:rPr>
        <w:t>4</w:t>
      </w:r>
      <w:r>
        <w:t xml:space="preserve"> and T</w:t>
      </w:r>
      <w:r>
        <w:rPr>
          <w:vertAlign w:val="subscript"/>
        </w:rPr>
        <w:t>3</w:t>
      </w:r>
      <w:r>
        <w:t xml:space="preserve"> may be more appropriate. There is contradictory evidence concerning the passage of T</w:t>
      </w:r>
      <w:r>
        <w:rPr>
          <w:vertAlign w:val="subscript"/>
        </w:rPr>
        <w:t>4</w:t>
      </w:r>
      <w:r>
        <w:t xml:space="preserve"> and T</w:t>
      </w:r>
      <w:r>
        <w:rPr>
          <w:vertAlign w:val="subscript"/>
        </w:rPr>
        <w:t>3</w:t>
      </w:r>
      <w:r>
        <w:t xml:space="preserve"> across the placenta but it is unlikely that the </w:t>
      </w:r>
      <w:proofErr w:type="spellStart"/>
      <w:r>
        <w:t>fetus</w:t>
      </w:r>
      <w:proofErr w:type="spellEnd"/>
      <w:r>
        <w:t xml:space="preserve"> is at risk. Clinical experience does not indicate any adverse effects on the </w:t>
      </w:r>
      <w:proofErr w:type="spellStart"/>
      <w:r>
        <w:t>fetus</w:t>
      </w:r>
      <w:proofErr w:type="spellEnd"/>
      <w:r>
        <w:t xml:space="preserve"> when </w:t>
      </w:r>
      <w:proofErr w:type="spellStart"/>
      <w:r w:rsidR="001E2DAA">
        <w:t>thyroxine</w:t>
      </w:r>
      <w:proofErr w:type="spellEnd"/>
      <w:r w:rsidR="001E2DAA">
        <w:t xml:space="preserve"> is</w:t>
      </w:r>
      <w:r>
        <w:t xml:space="preserve"> administered during pregnancy.</w:t>
      </w:r>
    </w:p>
    <w:p w:rsidR="00176334" w:rsidRDefault="00176334">
      <w:pPr>
        <w:tabs>
          <w:tab w:val="center" w:pos="4536"/>
          <w:tab w:val="center" w:pos="9072"/>
        </w:tabs>
        <w:jc w:val="both"/>
      </w:pPr>
    </w:p>
    <w:p w:rsidR="00176334" w:rsidRDefault="00176334">
      <w:pPr>
        <w:tabs>
          <w:tab w:val="center" w:pos="4536"/>
          <w:tab w:val="center" w:pos="9072"/>
        </w:tabs>
        <w:jc w:val="both"/>
      </w:pPr>
      <w:r>
        <w:t>Australian categorisation definition of:</w:t>
      </w:r>
    </w:p>
    <w:p w:rsidR="00176334" w:rsidRDefault="00176334">
      <w:pPr>
        <w:tabs>
          <w:tab w:val="center" w:pos="4536"/>
          <w:tab w:val="center" w:pos="9072"/>
        </w:tabs>
        <w:jc w:val="both"/>
      </w:pPr>
      <w:r>
        <w:rPr>
          <w:b/>
        </w:rPr>
        <w:t xml:space="preserve">Category A: </w:t>
      </w:r>
      <w:r>
        <w:t xml:space="preserve">Drugs which have been taken by a large number of pregnant women and women of childbearing age without any proven increase in the frequency of malformations or other direct or indirect harmful effects on the </w:t>
      </w:r>
      <w:proofErr w:type="spellStart"/>
      <w:r>
        <w:t>fetus</w:t>
      </w:r>
      <w:proofErr w:type="spellEnd"/>
      <w:r>
        <w:t xml:space="preserve"> having been observed.</w:t>
      </w:r>
    </w:p>
    <w:p w:rsidR="00176334" w:rsidRDefault="00176334">
      <w:pPr>
        <w:tabs>
          <w:tab w:val="center" w:pos="4536"/>
          <w:tab w:val="center" w:pos="9072"/>
        </w:tabs>
        <w:jc w:val="both"/>
      </w:pPr>
    </w:p>
    <w:p w:rsidR="00176334" w:rsidRDefault="00176334">
      <w:pPr>
        <w:tabs>
          <w:tab w:val="center" w:pos="4536"/>
          <w:tab w:val="center" w:pos="9072"/>
        </w:tabs>
        <w:jc w:val="both"/>
      </w:pPr>
      <w:r>
        <w:rPr>
          <w:b/>
        </w:rPr>
        <w:t>Use in Lactation:</w:t>
      </w:r>
      <w:r>
        <w:t xml:space="preserve"> </w:t>
      </w:r>
      <w:r w:rsidR="00432275">
        <w:t xml:space="preserve">Women who are breast feeding should continue to take ELTROXIN. In </w:t>
      </w:r>
      <w:proofErr w:type="spellStart"/>
      <w:r w:rsidR="00432275">
        <w:t>euthyroid</w:t>
      </w:r>
      <w:proofErr w:type="spellEnd"/>
      <w:r w:rsidR="00432275">
        <w:t xml:space="preserve"> women, breast milk contains negli</w:t>
      </w:r>
      <w:r w:rsidR="0056550B">
        <w:t>gi</w:t>
      </w:r>
      <w:r w:rsidR="00432275">
        <w:t>ble amounts of thyroid hormone.</w:t>
      </w:r>
    </w:p>
    <w:p w:rsidR="00176334" w:rsidRDefault="00176334">
      <w:pPr>
        <w:tabs>
          <w:tab w:val="center" w:pos="4536"/>
          <w:tab w:val="center" w:pos="9072"/>
        </w:tabs>
        <w:jc w:val="both"/>
        <w:outlineLvl w:val="0"/>
      </w:pPr>
    </w:p>
    <w:p w:rsidR="00176334" w:rsidRDefault="00176334">
      <w:pPr>
        <w:tabs>
          <w:tab w:val="center" w:pos="4536"/>
          <w:tab w:val="center" w:pos="9072"/>
        </w:tabs>
        <w:jc w:val="both"/>
        <w:outlineLvl w:val="0"/>
      </w:pPr>
      <w:r>
        <w:rPr>
          <w:b/>
        </w:rPr>
        <w:t xml:space="preserve">The Use in Children: </w:t>
      </w:r>
      <w:r>
        <w:t>Studies performed have not yet demonstrated paediatric-specific problems that would limit the usefulness of thyroid hormones in children. However, neonates should be carefully observed for evidence of altered thyroid functions. This caution is required, as the infant pituitary gland is relatively insensitive to negative feedback effects of thyroid hormones. The parents of children who are receiving the thyroid agent need to be aware that partial loss of hair may occur during the first few months of therapy. However this effect is usually transient and subsequent regrowth usually occurs.</w:t>
      </w:r>
    </w:p>
    <w:p w:rsidR="00176334" w:rsidRDefault="00176334">
      <w:pPr>
        <w:tabs>
          <w:tab w:val="center" w:pos="4536"/>
          <w:tab w:val="center" w:pos="9072"/>
        </w:tabs>
        <w:jc w:val="both"/>
        <w:rPr>
          <w:b/>
        </w:rPr>
      </w:pPr>
    </w:p>
    <w:p w:rsidR="00176334" w:rsidRDefault="00176334">
      <w:pPr>
        <w:tabs>
          <w:tab w:val="center" w:pos="4536"/>
          <w:tab w:val="center" w:pos="9072"/>
        </w:tabs>
        <w:jc w:val="both"/>
      </w:pPr>
      <w:r>
        <w:rPr>
          <w:b/>
        </w:rPr>
        <w:t>Use in the Elderly:</w:t>
      </w:r>
      <w:r>
        <w:t xml:space="preserve"> </w:t>
      </w:r>
    </w:p>
    <w:p w:rsidR="00176334" w:rsidRDefault="00176334">
      <w:pPr>
        <w:tabs>
          <w:tab w:val="center" w:pos="4536"/>
          <w:tab w:val="center" w:pos="9072"/>
        </w:tabs>
        <w:jc w:val="both"/>
      </w:pPr>
      <w:r>
        <w:t xml:space="preserve">These patients may be more sensitive to the effects of thyroid hormones. </w:t>
      </w:r>
      <w:r w:rsidR="000F30CF">
        <w:rPr>
          <w:b/>
          <w:caps/>
        </w:rPr>
        <w:t>ELTROXIN</w:t>
      </w:r>
      <w:r>
        <w:t xml:space="preserve"> should be gradually introduced in the elderly and in those with long-standing hypothyroidism, so that any sudden increases in metabolic demands may be avoided. Individualisation of dosage is recommended and caution is required, as occult cardiac disease may be present.</w:t>
      </w:r>
    </w:p>
    <w:p w:rsidR="00176334" w:rsidRPr="00343569" w:rsidRDefault="00176334">
      <w:pPr>
        <w:tabs>
          <w:tab w:val="center" w:pos="4536"/>
          <w:tab w:val="center" w:pos="9072"/>
        </w:tabs>
        <w:jc w:val="both"/>
        <w:outlineLvl w:val="0"/>
        <w:rPr>
          <w:sz w:val="28"/>
          <w:szCs w:val="28"/>
        </w:rPr>
      </w:pPr>
    </w:p>
    <w:p w:rsidR="004D4DBF" w:rsidRPr="00343569" w:rsidRDefault="004D4DBF">
      <w:pPr>
        <w:tabs>
          <w:tab w:val="center" w:pos="4536"/>
          <w:tab w:val="center" w:pos="9072"/>
        </w:tabs>
        <w:jc w:val="both"/>
        <w:outlineLvl w:val="0"/>
        <w:rPr>
          <w:sz w:val="28"/>
          <w:szCs w:val="28"/>
        </w:rPr>
      </w:pPr>
    </w:p>
    <w:p w:rsidR="00176334" w:rsidRPr="004D4DBF" w:rsidRDefault="00176334">
      <w:pPr>
        <w:pStyle w:val="Heading2"/>
        <w:rPr>
          <w:u w:val="none"/>
        </w:rPr>
      </w:pPr>
      <w:r w:rsidRPr="004D4DBF">
        <w:rPr>
          <w:u w:val="none"/>
        </w:rPr>
        <w:t>DRUG INTERACTIONS</w:t>
      </w:r>
    </w:p>
    <w:p w:rsidR="00176334" w:rsidRPr="00343569" w:rsidRDefault="00176334">
      <w:pPr>
        <w:tabs>
          <w:tab w:val="center" w:pos="4536"/>
          <w:tab w:val="center" w:pos="9072"/>
        </w:tabs>
        <w:jc w:val="both"/>
        <w:rPr>
          <w:szCs w:val="24"/>
        </w:rPr>
      </w:pPr>
    </w:p>
    <w:p w:rsidR="00176334" w:rsidRDefault="00176334">
      <w:pPr>
        <w:keepNext/>
        <w:tabs>
          <w:tab w:val="center" w:pos="4536"/>
          <w:tab w:val="center" w:pos="9072"/>
        </w:tabs>
        <w:jc w:val="both"/>
      </w:pPr>
      <w:proofErr w:type="gramStart"/>
      <w:r>
        <w:rPr>
          <w:b/>
        </w:rPr>
        <w:t xml:space="preserve">Oral anticoagulants, </w:t>
      </w:r>
      <w:proofErr w:type="spellStart"/>
      <w:r>
        <w:rPr>
          <w:b/>
        </w:rPr>
        <w:t>coumarin</w:t>
      </w:r>
      <w:proofErr w:type="spellEnd"/>
      <w:r>
        <w:rPr>
          <w:b/>
        </w:rPr>
        <w:t xml:space="preserve"> or </w:t>
      </w:r>
      <w:proofErr w:type="spellStart"/>
      <w:r>
        <w:rPr>
          <w:b/>
        </w:rPr>
        <w:t>indandione</w:t>
      </w:r>
      <w:proofErr w:type="spellEnd"/>
      <w:r>
        <w:rPr>
          <w:b/>
        </w:rPr>
        <w:t xml:space="preserve"> derivative</w:t>
      </w:r>
      <w:r>
        <w:t xml:space="preserve"> </w:t>
      </w:r>
      <w:proofErr w:type="spellStart"/>
      <w:r>
        <w:rPr>
          <w:i/>
        </w:rPr>
        <w:t>eg</w:t>
      </w:r>
      <w:proofErr w:type="spellEnd"/>
      <w:r>
        <w:rPr>
          <w:i/>
        </w:rPr>
        <w:t>.</w:t>
      </w:r>
      <w:proofErr w:type="gramEnd"/>
      <w:r>
        <w:rPr>
          <w:i/>
        </w:rPr>
        <w:t xml:space="preserve"> </w:t>
      </w:r>
      <w:proofErr w:type="gramStart"/>
      <w:r>
        <w:rPr>
          <w:i/>
        </w:rPr>
        <w:t>warfarin</w:t>
      </w:r>
      <w:proofErr w:type="gramEnd"/>
      <w:r>
        <w:t xml:space="preserve">: </w:t>
      </w:r>
    </w:p>
    <w:p w:rsidR="00176334" w:rsidRDefault="00176334">
      <w:pPr>
        <w:tabs>
          <w:tab w:val="center" w:pos="4536"/>
          <w:tab w:val="center" w:pos="9072"/>
        </w:tabs>
        <w:jc w:val="both"/>
      </w:pPr>
      <w:r>
        <w:t xml:space="preserve">Depending on the thyroid status of the patient, concurrent use of oral anticoagulants with </w:t>
      </w:r>
      <w:r w:rsidR="000F30CF">
        <w:rPr>
          <w:b/>
          <w:caps/>
        </w:rPr>
        <w:t>ELTROXIN</w:t>
      </w:r>
      <w:r>
        <w:t xml:space="preserve"> will increase the therapeutic effects of oral anticoagulants. Therefore, an increase in the dosage of </w:t>
      </w:r>
      <w:r w:rsidR="000F30CF">
        <w:rPr>
          <w:b/>
          <w:caps/>
        </w:rPr>
        <w:t>ELTROXIN</w:t>
      </w:r>
      <w:r>
        <w:t xml:space="preserve"> may necessitate a decrease in the oral anticoagulant dosage.  Adjustment of oral anticoagulant dosage is recommended on the basis of prothrombin time. Patients should be observed closely for adverse effects.</w:t>
      </w:r>
    </w:p>
    <w:p w:rsidR="00176334" w:rsidRDefault="00176334">
      <w:pPr>
        <w:tabs>
          <w:tab w:val="center" w:pos="4536"/>
          <w:tab w:val="center" w:pos="9072"/>
        </w:tabs>
        <w:jc w:val="both"/>
      </w:pPr>
    </w:p>
    <w:p w:rsidR="00176334" w:rsidRDefault="00176334">
      <w:pPr>
        <w:keepNext/>
        <w:tabs>
          <w:tab w:val="center" w:pos="4536"/>
          <w:tab w:val="center" w:pos="9072"/>
        </w:tabs>
        <w:jc w:val="both"/>
      </w:pPr>
      <w:proofErr w:type="gramStart"/>
      <w:r>
        <w:rPr>
          <w:b/>
        </w:rPr>
        <w:t xml:space="preserve">SSRIs </w:t>
      </w:r>
      <w:proofErr w:type="spellStart"/>
      <w:r>
        <w:rPr>
          <w:i/>
        </w:rPr>
        <w:t>eg</w:t>
      </w:r>
      <w:proofErr w:type="spellEnd"/>
      <w:r>
        <w:rPr>
          <w:i/>
        </w:rPr>
        <w:t>.</w:t>
      </w:r>
      <w:proofErr w:type="gramEnd"/>
      <w:r>
        <w:rPr>
          <w:i/>
        </w:rPr>
        <w:t xml:space="preserve"> </w:t>
      </w:r>
      <w:proofErr w:type="gramStart"/>
      <w:r>
        <w:rPr>
          <w:i/>
        </w:rPr>
        <w:t>sertraline</w:t>
      </w:r>
      <w:proofErr w:type="gramEnd"/>
      <w:r>
        <w:t>:</w:t>
      </w:r>
    </w:p>
    <w:p w:rsidR="00176334" w:rsidRDefault="00176334">
      <w:pPr>
        <w:tabs>
          <w:tab w:val="center" w:pos="4536"/>
          <w:tab w:val="center" w:pos="9072"/>
        </w:tabs>
        <w:jc w:val="both"/>
      </w:pPr>
      <w:r>
        <w:t xml:space="preserve">The effects of </w:t>
      </w:r>
      <w:r w:rsidR="000F30CF">
        <w:rPr>
          <w:b/>
        </w:rPr>
        <w:t>ELTROXIN</w:t>
      </w:r>
      <w:r>
        <w:t xml:space="preserve"> in hypothyroid patients may be decreased by concomitant use of sertraline, therefore resulting in an increase in </w:t>
      </w:r>
      <w:r w:rsidR="000F30CF">
        <w:rPr>
          <w:b/>
          <w:caps/>
        </w:rPr>
        <w:t>ELTROXIN</w:t>
      </w:r>
      <w:r>
        <w:t xml:space="preserve"> requirements.</w:t>
      </w:r>
    </w:p>
    <w:p w:rsidR="00176334" w:rsidRDefault="00176334">
      <w:pPr>
        <w:tabs>
          <w:tab w:val="center" w:pos="4536"/>
          <w:tab w:val="center" w:pos="9072"/>
        </w:tabs>
        <w:jc w:val="both"/>
      </w:pPr>
    </w:p>
    <w:p w:rsidR="00176334" w:rsidRDefault="00176334">
      <w:pPr>
        <w:keepNext/>
        <w:tabs>
          <w:tab w:val="center" w:pos="4536"/>
          <w:tab w:val="center" w:pos="9072"/>
        </w:tabs>
        <w:jc w:val="both"/>
      </w:pPr>
      <w:proofErr w:type="gramStart"/>
      <w:r>
        <w:rPr>
          <w:b/>
        </w:rPr>
        <w:lastRenderedPageBreak/>
        <w:t xml:space="preserve">Insulin and </w:t>
      </w:r>
      <w:proofErr w:type="spellStart"/>
      <w:r>
        <w:rPr>
          <w:b/>
        </w:rPr>
        <w:t>Antidiabetic</w:t>
      </w:r>
      <w:proofErr w:type="spellEnd"/>
      <w:r>
        <w:rPr>
          <w:b/>
        </w:rPr>
        <w:t xml:space="preserve"> agents</w:t>
      </w:r>
      <w:r>
        <w:rPr>
          <w:b/>
          <w:i/>
        </w:rPr>
        <w:t xml:space="preserve"> </w:t>
      </w:r>
      <w:proofErr w:type="spellStart"/>
      <w:r>
        <w:rPr>
          <w:i/>
        </w:rPr>
        <w:t>eg</w:t>
      </w:r>
      <w:proofErr w:type="spellEnd"/>
      <w:r>
        <w:rPr>
          <w:i/>
        </w:rPr>
        <w:t>.</w:t>
      </w:r>
      <w:proofErr w:type="gramEnd"/>
      <w:r>
        <w:rPr>
          <w:b/>
          <w:i/>
        </w:rPr>
        <w:t xml:space="preserve"> </w:t>
      </w:r>
      <w:proofErr w:type="gramStart"/>
      <w:r>
        <w:rPr>
          <w:i/>
        </w:rPr>
        <w:t>sulfonylurea</w:t>
      </w:r>
      <w:proofErr w:type="gramEnd"/>
      <w:r>
        <w:t xml:space="preserve">: </w:t>
      </w:r>
    </w:p>
    <w:p w:rsidR="00176334" w:rsidRDefault="000F30CF">
      <w:pPr>
        <w:tabs>
          <w:tab w:val="center" w:pos="4536"/>
          <w:tab w:val="center" w:pos="9072"/>
        </w:tabs>
        <w:jc w:val="both"/>
      </w:pPr>
      <w:r>
        <w:rPr>
          <w:b/>
          <w:caps/>
        </w:rPr>
        <w:t>ELTROXIN</w:t>
      </w:r>
      <w:r w:rsidR="00176334">
        <w:t xml:space="preserve"> may increase the required dosage of insulin and other oral </w:t>
      </w:r>
      <w:proofErr w:type="spellStart"/>
      <w:r w:rsidR="00176334">
        <w:t>antidiabetic</w:t>
      </w:r>
      <w:proofErr w:type="spellEnd"/>
      <w:r w:rsidR="00176334">
        <w:t xml:space="preserve"> drugs. Therefore, careful monitoring of diabetic control is recommended. </w:t>
      </w:r>
    </w:p>
    <w:p w:rsidR="00176334" w:rsidRDefault="00176334">
      <w:pPr>
        <w:tabs>
          <w:tab w:val="center" w:pos="4536"/>
          <w:tab w:val="center" w:pos="9072"/>
        </w:tabs>
        <w:jc w:val="both"/>
        <w:rPr>
          <w:b/>
        </w:rPr>
      </w:pPr>
    </w:p>
    <w:p w:rsidR="00176334" w:rsidRDefault="00176334">
      <w:pPr>
        <w:keepNext/>
        <w:tabs>
          <w:tab w:val="center" w:pos="4536"/>
          <w:tab w:val="center" w:pos="9072"/>
        </w:tabs>
        <w:jc w:val="both"/>
      </w:pPr>
      <w:proofErr w:type="gramStart"/>
      <w:r>
        <w:rPr>
          <w:b/>
        </w:rPr>
        <w:t>Beta-adrenergic blocking agents</w:t>
      </w:r>
      <w:r>
        <w:rPr>
          <w:b/>
          <w:i/>
        </w:rPr>
        <w:t xml:space="preserve"> </w:t>
      </w:r>
      <w:proofErr w:type="spellStart"/>
      <w:r>
        <w:rPr>
          <w:i/>
        </w:rPr>
        <w:t>eg</w:t>
      </w:r>
      <w:proofErr w:type="spellEnd"/>
      <w:r>
        <w:rPr>
          <w:i/>
        </w:rPr>
        <w:t>.</w:t>
      </w:r>
      <w:proofErr w:type="gramEnd"/>
      <w:r>
        <w:rPr>
          <w:i/>
        </w:rPr>
        <w:t xml:space="preserve"> </w:t>
      </w:r>
      <w:proofErr w:type="gramStart"/>
      <w:r>
        <w:rPr>
          <w:i/>
        </w:rPr>
        <w:t>propranolol</w:t>
      </w:r>
      <w:proofErr w:type="gramEnd"/>
      <w:r>
        <w:t>:</w:t>
      </w:r>
    </w:p>
    <w:p w:rsidR="00176334" w:rsidRDefault="00176334">
      <w:pPr>
        <w:tabs>
          <w:tab w:val="center" w:pos="4536"/>
          <w:tab w:val="center" w:pos="9072"/>
        </w:tabs>
        <w:jc w:val="both"/>
      </w:pPr>
      <w:r>
        <w:t xml:space="preserve">These agents may decrease the peripheral conversion of </w:t>
      </w:r>
      <w:proofErr w:type="spellStart"/>
      <w:r>
        <w:t>thyroxine</w:t>
      </w:r>
      <w:proofErr w:type="spellEnd"/>
      <w:r>
        <w:t xml:space="preserve"> to </w:t>
      </w:r>
      <w:proofErr w:type="spellStart"/>
      <w:r>
        <w:t>triiodothyronine</w:t>
      </w:r>
      <w:proofErr w:type="spellEnd"/>
      <w:r>
        <w:t>.</w:t>
      </w:r>
    </w:p>
    <w:p w:rsidR="00176334" w:rsidRDefault="00176334">
      <w:pPr>
        <w:tabs>
          <w:tab w:val="center" w:pos="4536"/>
          <w:tab w:val="center" w:pos="9072"/>
        </w:tabs>
        <w:jc w:val="both"/>
        <w:rPr>
          <w:b/>
        </w:rPr>
      </w:pPr>
    </w:p>
    <w:p w:rsidR="00176334" w:rsidRDefault="00176334">
      <w:pPr>
        <w:keepNext/>
        <w:tabs>
          <w:tab w:val="center" w:pos="4536"/>
          <w:tab w:val="center" w:pos="9072"/>
        </w:tabs>
        <w:jc w:val="both"/>
      </w:pPr>
      <w:r>
        <w:rPr>
          <w:b/>
        </w:rPr>
        <w:t>Ion-exchange resins</w:t>
      </w:r>
      <w:r>
        <w:rPr>
          <w:b/>
          <w:i/>
        </w:rPr>
        <w:t xml:space="preserve"> </w:t>
      </w:r>
      <w:proofErr w:type="spellStart"/>
      <w:r>
        <w:rPr>
          <w:i/>
        </w:rPr>
        <w:t>eg</w:t>
      </w:r>
      <w:proofErr w:type="spellEnd"/>
      <w:r>
        <w:rPr>
          <w:i/>
        </w:rPr>
        <w:t xml:space="preserve">. </w:t>
      </w:r>
      <w:proofErr w:type="spellStart"/>
      <w:proofErr w:type="gramStart"/>
      <w:r>
        <w:rPr>
          <w:i/>
        </w:rPr>
        <w:t>cholestyramine</w:t>
      </w:r>
      <w:proofErr w:type="spellEnd"/>
      <w:proofErr w:type="gramEnd"/>
      <w:r>
        <w:rPr>
          <w:i/>
        </w:rPr>
        <w:t xml:space="preserve">, sodium polystyrene sulphonate or </w:t>
      </w:r>
      <w:proofErr w:type="spellStart"/>
      <w:r>
        <w:rPr>
          <w:i/>
        </w:rPr>
        <w:t>colestipol</w:t>
      </w:r>
      <w:proofErr w:type="spellEnd"/>
      <w:r>
        <w:rPr>
          <w:i/>
        </w:rPr>
        <w:t>:</w:t>
      </w:r>
    </w:p>
    <w:p w:rsidR="00176334" w:rsidRDefault="00176334">
      <w:pPr>
        <w:pStyle w:val="BodyText"/>
      </w:pPr>
      <w:r>
        <w:t xml:space="preserve">Due to concurrent use of ion-exchange resins with </w:t>
      </w:r>
      <w:r w:rsidR="000F30CF">
        <w:rPr>
          <w:b/>
          <w:caps/>
        </w:rPr>
        <w:t>ELTROXIN</w:t>
      </w:r>
      <w:r>
        <w:t xml:space="preserve">, the effects of </w:t>
      </w:r>
      <w:r w:rsidR="000F30CF">
        <w:rPr>
          <w:b/>
          <w:caps/>
        </w:rPr>
        <w:t>ELTROXIN</w:t>
      </w:r>
      <w:r>
        <w:t xml:space="preserve"> may be reduced due to the resin binding to </w:t>
      </w:r>
      <w:r w:rsidR="000F30CF">
        <w:rPr>
          <w:b/>
          <w:caps/>
        </w:rPr>
        <w:t>ELTROXIN</w:t>
      </w:r>
      <w:r>
        <w:t xml:space="preserve"> in the gastrointestinal tract, causing a delay or impairment in </w:t>
      </w:r>
      <w:r w:rsidR="000F30CF">
        <w:rPr>
          <w:b/>
          <w:caps/>
        </w:rPr>
        <w:t>ELTROXIN</w:t>
      </w:r>
      <w:r>
        <w:t xml:space="preserve"> absorption.  An interval of 4 to 5 hours between the </w:t>
      </w:r>
      <w:proofErr w:type="gramStart"/>
      <w:r>
        <w:t>administration</w:t>
      </w:r>
      <w:proofErr w:type="gramEnd"/>
      <w:r>
        <w:t xml:space="preserve"> of the two medications is recommended.</w:t>
      </w:r>
    </w:p>
    <w:p w:rsidR="00176334" w:rsidRDefault="00176334">
      <w:pPr>
        <w:pStyle w:val="BodyText"/>
      </w:pPr>
    </w:p>
    <w:p w:rsidR="00176334" w:rsidRDefault="00176334">
      <w:pPr>
        <w:pStyle w:val="Heading4"/>
        <w:rPr>
          <w:sz w:val="24"/>
        </w:rPr>
      </w:pPr>
      <w:proofErr w:type="gramStart"/>
      <w:r>
        <w:rPr>
          <w:i w:val="0"/>
          <w:sz w:val="24"/>
        </w:rPr>
        <w:t>Corticosteroids</w:t>
      </w:r>
      <w:r>
        <w:rPr>
          <w:sz w:val="24"/>
        </w:rPr>
        <w:t xml:space="preserve"> </w:t>
      </w:r>
      <w:proofErr w:type="spellStart"/>
      <w:r>
        <w:rPr>
          <w:b w:val="0"/>
          <w:sz w:val="24"/>
        </w:rPr>
        <w:t>eg</w:t>
      </w:r>
      <w:proofErr w:type="spellEnd"/>
      <w:r>
        <w:rPr>
          <w:b w:val="0"/>
          <w:sz w:val="24"/>
        </w:rPr>
        <w:t>.</w:t>
      </w:r>
      <w:proofErr w:type="gramEnd"/>
      <w:r>
        <w:rPr>
          <w:b w:val="0"/>
          <w:sz w:val="24"/>
        </w:rPr>
        <w:t xml:space="preserve"> </w:t>
      </w:r>
      <w:proofErr w:type="gramStart"/>
      <w:r>
        <w:rPr>
          <w:b w:val="0"/>
          <w:sz w:val="24"/>
        </w:rPr>
        <w:t>prednisolone</w:t>
      </w:r>
      <w:proofErr w:type="gramEnd"/>
      <w:r>
        <w:rPr>
          <w:b w:val="0"/>
          <w:sz w:val="24"/>
        </w:rPr>
        <w:t xml:space="preserve"> and dexamethasone</w:t>
      </w:r>
      <w:r>
        <w:rPr>
          <w:sz w:val="24"/>
        </w:rPr>
        <w:t>:</w:t>
      </w:r>
    </w:p>
    <w:p w:rsidR="00176334" w:rsidRDefault="00176334">
      <w:pPr>
        <w:pStyle w:val="BodyText"/>
        <w:rPr>
          <w:b/>
          <w:i/>
        </w:rPr>
      </w:pPr>
      <w:r>
        <w:t xml:space="preserve">The clearance of corticosteroids may be increased in hyperthyroid patients, and decreased in hypothyroid patients, solely due to the administration, changes in dosage and discontinuation of </w:t>
      </w:r>
      <w:r w:rsidR="000F30CF">
        <w:rPr>
          <w:b/>
          <w:caps/>
        </w:rPr>
        <w:t>ELTROXIN</w:t>
      </w:r>
      <w:r>
        <w:t xml:space="preserve">. Therefore, corticosteroid dosage may need to be adjusted. </w:t>
      </w:r>
    </w:p>
    <w:p w:rsidR="00176334" w:rsidRDefault="00176334">
      <w:pPr>
        <w:tabs>
          <w:tab w:val="center" w:pos="4536"/>
          <w:tab w:val="center" w:pos="9072"/>
        </w:tabs>
        <w:jc w:val="both"/>
        <w:rPr>
          <w:b/>
        </w:rPr>
      </w:pPr>
    </w:p>
    <w:p w:rsidR="00176334" w:rsidRDefault="00176334">
      <w:pPr>
        <w:keepNext/>
        <w:tabs>
          <w:tab w:val="center" w:pos="4536"/>
          <w:tab w:val="center" w:pos="9072"/>
        </w:tabs>
        <w:jc w:val="both"/>
        <w:rPr>
          <w:b/>
        </w:rPr>
      </w:pPr>
      <w:r>
        <w:rPr>
          <w:b/>
        </w:rPr>
        <w:t>Oestrogen:</w:t>
      </w:r>
    </w:p>
    <w:p w:rsidR="00176334" w:rsidRDefault="00176334">
      <w:pPr>
        <w:tabs>
          <w:tab w:val="center" w:pos="4536"/>
          <w:tab w:val="center" w:pos="9072"/>
        </w:tabs>
        <w:jc w:val="both"/>
      </w:pPr>
      <w:r>
        <w:t xml:space="preserve">In patients with a non-functioning thyroid gland, oestrogen may increase the serum </w:t>
      </w:r>
      <w:proofErr w:type="spellStart"/>
      <w:r>
        <w:t>thyroxine</w:t>
      </w:r>
      <w:proofErr w:type="spellEnd"/>
      <w:r>
        <w:t xml:space="preserve">-binding globulin, therefore generating an increase in </w:t>
      </w:r>
      <w:r w:rsidR="000F30CF">
        <w:rPr>
          <w:b/>
          <w:caps/>
        </w:rPr>
        <w:t>ELTROXIN</w:t>
      </w:r>
      <w:r>
        <w:t xml:space="preserve"> requirements.</w:t>
      </w:r>
    </w:p>
    <w:p w:rsidR="00176334" w:rsidRDefault="00176334">
      <w:pPr>
        <w:tabs>
          <w:tab w:val="center" w:pos="4536"/>
          <w:tab w:val="center" w:pos="9072"/>
        </w:tabs>
        <w:jc w:val="both"/>
      </w:pPr>
    </w:p>
    <w:p w:rsidR="00176334" w:rsidRDefault="00176334">
      <w:pPr>
        <w:keepNext/>
        <w:tabs>
          <w:tab w:val="center" w:pos="4536"/>
          <w:tab w:val="center" w:pos="9072"/>
        </w:tabs>
        <w:jc w:val="both"/>
        <w:rPr>
          <w:i/>
        </w:rPr>
      </w:pPr>
      <w:proofErr w:type="spellStart"/>
      <w:proofErr w:type="gramStart"/>
      <w:r>
        <w:rPr>
          <w:b/>
        </w:rPr>
        <w:t>Antiepileptics</w:t>
      </w:r>
      <w:proofErr w:type="spellEnd"/>
      <w:r>
        <w:rPr>
          <w:b/>
          <w:i/>
        </w:rPr>
        <w:t xml:space="preserve"> </w:t>
      </w:r>
      <w:proofErr w:type="spellStart"/>
      <w:r>
        <w:rPr>
          <w:i/>
        </w:rPr>
        <w:t>eg</w:t>
      </w:r>
      <w:proofErr w:type="spellEnd"/>
      <w:r>
        <w:rPr>
          <w:i/>
        </w:rPr>
        <w:t>.</w:t>
      </w:r>
      <w:proofErr w:type="gramEnd"/>
      <w:r>
        <w:t xml:space="preserve"> </w:t>
      </w:r>
      <w:proofErr w:type="gramStart"/>
      <w:r>
        <w:rPr>
          <w:i/>
        </w:rPr>
        <w:t>phenytoin</w:t>
      </w:r>
      <w:proofErr w:type="gramEnd"/>
      <w:r>
        <w:rPr>
          <w:i/>
        </w:rPr>
        <w:t>, carbamazepine and barbiturates:</w:t>
      </w:r>
    </w:p>
    <w:p w:rsidR="00176334" w:rsidRDefault="00176334">
      <w:pPr>
        <w:tabs>
          <w:tab w:val="center" w:pos="4536"/>
          <w:tab w:val="center" w:pos="9072"/>
        </w:tabs>
        <w:jc w:val="both"/>
      </w:pPr>
      <w:r>
        <w:t xml:space="preserve">These agents may increase the hepatic degradation of </w:t>
      </w:r>
      <w:r w:rsidR="000F30CF">
        <w:rPr>
          <w:b/>
          <w:caps/>
        </w:rPr>
        <w:t>ELTROXIN</w:t>
      </w:r>
      <w:r>
        <w:t xml:space="preserve">, therefore resulting in an increase in </w:t>
      </w:r>
      <w:r w:rsidR="000F30CF">
        <w:rPr>
          <w:b/>
          <w:caps/>
        </w:rPr>
        <w:t>ELTROXIN</w:t>
      </w:r>
      <w:r>
        <w:t xml:space="preserve"> requirements. </w:t>
      </w:r>
    </w:p>
    <w:p w:rsidR="00176334" w:rsidRDefault="00176334">
      <w:pPr>
        <w:tabs>
          <w:tab w:val="center" w:pos="4536"/>
          <w:tab w:val="center" w:pos="9072"/>
        </w:tabs>
        <w:jc w:val="both"/>
        <w:rPr>
          <w:b/>
        </w:rPr>
      </w:pPr>
    </w:p>
    <w:p w:rsidR="00176334" w:rsidRDefault="00176334">
      <w:pPr>
        <w:tabs>
          <w:tab w:val="center" w:pos="4536"/>
          <w:tab w:val="center" w:pos="9072"/>
        </w:tabs>
        <w:jc w:val="both"/>
        <w:rPr>
          <w:b/>
        </w:rPr>
      </w:pPr>
      <w:r>
        <w:rPr>
          <w:b/>
        </w:rPr>
        <w:t>Ritonavir:</w:t>
      </w:r>
    </w:p>
    <w:p w:rsidR="00176334" w:rsidRDefault="00176334">
      <w:pPr>
        <w:tabs>
          <w:tab w:val="center" w:pos="4536"/>
          <w:tab w:val="center" w:pos="9072"/>
        </w:tabs>
        <w:jc w:val="both"/>
      </w:pPr>
      <w:r>
        <w:t xml:space="preserve">Ritonavir may interact with </w:t>
      </w:r>
      <w:r w:rsidR="000F30CF">
        <w:rPr>
          <w:b/>
        </w:rPr>
        <w:t>ELTROXIN</w:t>
      </w:r>
      <w:r>
        <w:t xml:space="preserve">, therefore resulting in an increase in </w:t>
      </w:r>
      <w:r w:rsidR="000F30CF">
        <w:rPr>
          <w:b/>
        </w:rPr>
        <w:t>ELTROXIN</w:t>
      </w:r>
      <w:r>
        <w:t xml:space="preserve"> requirements.</w:t>
      </w:r>
    </w:p>
    <w:p w:rsidR="00176334" w:rsidRDefault="00176334">
      <w:pPr>
        <w:tabs>
          <w:tab w:val="center" w:pos="4536"/>
          <w:tab w:val="center" w:pos="9072"/>
        </w:tabs>
        <w:jc w:val="both"/>
      </w:pPr>
    </w:p>
    <w:p w:rsidR="00176334" w:rsidRDefault="00176334">
      <w:pPr>
        <w:tabs>
          <w:tab w:val="center" w:pos="4536"/>
          <w:tab w:val="center" w:pos="9072"/>
        </w:tabs>
        <w:jc w:val="both"/>
      </w:pPr>
      <w:proofErr w:type="spellStart"/>
      <w:r>
        <w:rPr>
          <w:b/>
        </w:rPr>
        <w:t>Antimalarials</w:t>
      </w:r>
      <w:proofErr w:type="spellEnd"/>
      <w:r>
        <w:rPr>
          <w:b/>
        </w:rPr>
        <w:t>:</w:t>
      </w:r>
    </w:p>
    <w:p w:rsidR="00176334" w:rsidRDefault="00176334">
      <w:pPr>
        <w:tabs>
          <w:tab w:val="center" w:pos="4536"/>
          <w:tab w:val="center" w:pos="9072"/>
        </w:tabs>
        <w:jc w:val="both"/>
      </w:pPr>
      <w:r>
        <w:t xml:space="preserve">The combined use of </w:t>
      </w:r>
      <w:proofErr w:type="spellStart"/>
      <w:r>
        <w:t>chloroquine</w:t>
      </w:r>
      <w:proofErr w:type="spellEnd"/>
      <w:r>
        <w:t xml:space="preserve"> and </w:t>
      </w:r>
      <w:proofErr w:type="spellStart"/>
      <w:r>
        <w:t>proguanil</w:t>
      </w:r>
      <w:proofErr w:type="spellEnd"/>
      <w:r>
        <w:t xml:space="preserve"> may increase the hepatic degradation of </w:t>
      </w:r>
      <w:r w:rsidR="000F30CF">
        <w:rPr>
          <w:b/>
          <w:caps/>
        </w:rPr>
        <w:t>ELTROXIN</w:t>
      </w:r>
      <w:r>
        <w:t xml:space="preserve">, therefore resulting in an increase in </w:t>
      </w:r>
      <w:r w:rsidR="000F30CF">
        <w:rPr>
          <w:b/>
          <w:caps/>
        </w:rPr>
        <w:t>ELTROXIN</w:t>
      </w:r>
      <w:r>
        <w:t xml:space="preserve"> requirements. </w:t>
      </w:r>
    </w:p>
    <w:p w:rsidR="00176334" w:rsidRDefault="00176334">
      <w:pPr>
        <w:tabs>
          <w:tab w:val="center" w:pos="4536"/>
          <w:tab w:val="center" w:pos="9072"/>
        </w:tabs>
        <w:jc w:val="both"/>
      </w:pPr>
    </w:p>
    <w:p w:rsidR="00176334" w:rsidRDefault="00176334">
      <w:pPr>
        <w:keepNext/>
        <w:tabs>
          <w:tab w:val="center" w:pos="4536"/>
          <w:tab w:val="center" w:pos="9072"/>
        </w:tabs>
        <w:jc w:val="both"/>
        <w:rPr>
          <w:i/>
        </w:rPr>
      </w:pPr>
      <w:proofErr w:type="spellStart"/>
      <w:proofErr w:type="gramStart"/>
      <w:r>
        <w:rPr>
          <w:b/>
        </w:rPr>
        <w:t>Antibacterials</w:t>
      </w:r>
      <w:proofErr w:type="spellEnd"/>
      <w:r>
        <w:t xml:space="preserve"> </w:t>
      </w:r>
      <w:proofErr w:type="spellStart"/>
      <w:r>
        <w:rPr>
          <w:i/>
        </w:rPr>
        <w:t>eg</w:t>
      </w:r>
      <w:proofErr w:type="spellEnd"/>
      <w:r>
        <w:rPr>
          <w:i/>
        </w:rPr>
        <w:t>.</w:t>
      </w:r>
      <w:proofErr w:type="gramEnd"/>
      <w:r>
        <w:t xml:space="preserve"> </w:t>
      </w:r>
      <w:proofErr w:type="gramStart"/>
      <w:r>
        <w:rPr>
          <w:i/>
        </w:rPr>
        <w:t>rifampicin</w:t>
      </w:r>
      <w:proofErr w:type="gramEnd"/>
      <w:r>
        <w:rPr>
          <w:i/>
        </w:rPr>
        <w:t xml:space="preserve"> and ciprofloxacin:</w:t>
      </w:r>
    </w:p>
    <w:p w:rsidR="00176334" w:rsidRDefault="00176334">
      <w:pPr>
        <w:tabs>
          <w:tab w:val="center" w:pos="4536"/>
          <w:tab w:val="center" w:pos="9072"/>
        </w:tabs>
        <w:jc w:val="both"/>
      </w:pPr>
      <w:r>
        <w:t xml:space="preserve">Rifampicin may increase the hepatic degradation of </w:t>
      </w:r>
      <w:r w:rsidR="000F30CF">
        <w:rPr>
          <w:b/>
        </w:rPr>
        <w:t>ELTROXIN</w:t>
      </w:r>
      <w:r>
        <w:t xml:space="preserve">, therefore resulting in an increase in </w:t>
      </w:r>
      <w:r w:rsidR="000F30CF">
        <w:rPr>
          <w:b/>
        </w:rPr>
        <w:t>ELTROXIN</w:t>
      </w:r>
      <w:r>
        <w:t xml:space="preserve"> requirements.  </w:t>
      </w:r>
    </w:p>
    <w:p w:rsidR="00176334" w:rsidRDefault="00176334">
      <w:pPr>
        <w:tabs>
          <w:tab w:val="center" w:pos="4536"/>
          <w:tab w:val="center" w:pos="9072"/>
        </w:tabs>
        <w:jc w:val="both"/>
      </w:pPr>
    </w:p>
    <w:p w:rsidR="00176334" w:rsidRDefault="00176334">
      <w:pPr>
        <w:tabs>
          <w:tab w:val="center" w:pos="4536"/>
          <w:tab w:val="center" w:pos="9072"/>
        </w:tabs>
        <w:jc w:val="both"/>
      </w:pPr>
      <w:r>
        <w:t xml:space="preserve">Oral ciprofloxacin may decrease the absorption of </w:t>
      </w:r>
      <w:r w:rsidR="000F30CF">
        <w:rPr>
          <w:b/>
        </w:rPr>
        <w:t>ELTROXIN</w:t>
      </w:r>
      <w:r>
        <w:t xml:space="preserve">.  An interval of 6 hours between the </w:t>
      </w:r>
      <w:proofErr w:type="gramStart"/>
      <w:r>
        <w:t>administration</w:t>
      </w:r>
      <w:proofErr w:type="gramEnd"/>
      <w:r>
        <w:t xml:space="preserve"> of the two medications is recommended.</w:t>
      </w:r>
    </w:p>
    <w:p w:rsidR="00176334" w:rsidRDefault="00176334">
      <w:pPr>
        <w:tabs>
          <w:tab w:val="center" w:pos="4536"/>
          <w:tab w:val="center" w:pos="9072"/>
        </w:tabs>
        <w:jc w:val="both"/>
        <w:rPr>
          <w:b/>
        </w:rPr>
      </w:pPr>
    </w:p>
    <w:p w:rsidR="00176334" w:rsidRDefault="00176334">
      <w:pPr>
        <w:keepNext/>
        <w:tabs>
          <w:tab w:val="center" w:pos="4536"/>
          <w:tab w:val="center" w:pos="9072"/>
        </w:tabs>
        <w:jc w:val="both"/>
        <w:rPr>
          <w:b/>
        </w:rPr>
      </w:pPr>
      <w:r>
        <w:rPr>
          <w:b/>
        </w:rPr>
        <w:t>Androgens:</w:t>
      </w:r>
    </w:p>
    <w:p w:rsidR="00176334" w:rsidRDefault="00176334">
      <w:pPr>
        <w:tabs>
          <w:tab w:val="center" w:pos="4536"/>
          <w:tab w:val="center" w:pos="9072"/>
        </w:tabs>
        <w:jc w:val="both"/>
      </w:pPr>
      <w:r>
        <w:t xml:space="preserve">Androgens may decrease the concentration of the serum </w:t>
      </w:r>
      <w:proofErr w:type="spellStart"/>
      <w:r>
        <w:t>thyroxine</w:t>
      </w:r>
      <w:proofErr w:type="spellEnd"/>
      <w:r>
        <w:t xml:space="preserve">-binding globulin, therefore generating a decrease in </w:t>
      </w:r>
      <w:r w:rsidR="000F30CF">
        <w:rPr>
          <w:b/>
        </w:rPr>
        <w:t>ELTROXIN</w:t>
      </w:r>
      <w:r>
        <w:t xml:space="preserve"> requirements.</w:t>
      </w:r>
    </w:p>
    <w:p w:rsidR="00176334" w:rsidRDefault="00176334">
      <w:pPr>
        <w:keepNext/>
        <w:tabs>
          <w:tab w:val="center" w:pos="4536"/>
          <w:tab w:val="center" w:pos="9072"/>
        </w:tabs>
        <w:jc w:val="both"/>
        <w:rPr>
          <w:b/>
        </w:rPr>
      </w:pPr>
    </w:p>
    <w:p w:rsidR="00176334" w:rsidRDefault="00176334">
      <w:pPr>
        <w:keepNext/>
        <w:tabs>
          <w:tab w:val="center" w:pos="4536"/>
          <w:tab w:val="center" w:pos="9072"/>
        </w:tabs>
        <w:jc w:val="both"/>
      </w:pPr>
      <w:r>
        <w:rPr>
          <w:b/>
        </w:rPr>
        <w:t>Ketamine:</w:t>
      </w:r>
    </w:p>
    <w:p w:rsidR="00176334" w:rsidRDefault="00176334">
      <w:pPr>
        <w:tabs>
          <w:tab w:val="center" w:pos="4536"/>
          <w:tab w:val="center" w:pos="9072"/>
        </w:tabs>
        <w:jc w:val="both"/>
        <w:outlineLvl w:val="0"/>
      </w:pPr>
      <w:r>
        <w:t xml:space="preserve">Cautious administration of ketamine is recommended in patients on </w:t>
      </w:r>
      <w:r w:rsidR="000F30CF">
        <w:rPr>
          <w:b/>
          <w:caps/>
        </w:rPr>
        <w:t>ELTROXIN</w:t>
      </w:r>
      <w:r>
        <w:t xml:space="preserve"> therapy, as marked hypertension and tachycardia may occur.</w:t>
      </w:r>
    </w:p>
    <w:p w:rsidR="00176334" w:rsidRDefault="00176334">
      <w:pPr>
        <w:keepNext/>
        <w:tabs>
          <w:tab w:val="center" w:pos="4536"/>
          <w:tab w:val="center" w:pos="9072"/>
        </w:tabs>
        <w:jc w:val="both"/>
        <w:rPr>
          <w:b/>
        </w:rPr>
      </w:pPr>
    </w:p>
    <w:p w:rsidR="00176334" w:rsidRDefault="00176334">
      <w:pPr>
        <w:keepNext/>
        <w:tabs>
          <w:tab w:val="center" w:pos="4536"/>
          <w:tab w:val="center" w:pos="9072"/>
        </w:tabs>
        <w:jc w:val="both"/>
        <w:rPr>
          <w:b/>
        </w:rPr>
      </w:pPr>
      <w:r>
        <w:rPr>
          <w:b/>
        </w:rPr>
        <w:t xml:space="preserve">Lithium: </w:t>
      </w:r>
    </w:p>
    <w:p w:rsidR="00176334" w:rsidRDefault="00176334">
      <w:pPr>
        <w:tabs>
          <w:tab w:val="center" w:pos="4536"/>
          <w:tab w:val="center" w:pos="9072"/>
        </w:tabs>
        <w:jc w:val="both"/>
      </w:pPr>
      <w:r>
        <w:t xml:space="preserve">Due to the direct action of lithium on the thyroid gland, inhibition of thyroid hormones may result, leading to clinical </w:t>
      </w:r>
      <w:proofErr w:type="spellStart"/>
      <w:r>
        <w:t>hypothydroidism</w:t>
      </w:r>
      <w:proofErr w:type="spellEnd"/>
      <w:r>
        <w:t>.</w:t>
      </w:r>
    </w:p>
    <w:p w:rsidR="00176334" w:rsidRDefault="00176334">
      <w:pPr>
        <w:tabs>
          <w:tab w:val="center" w:pos="4536"/>
          <w:tab w:val="center" w:pos="9072"/>
        </w:tabs>
        <w:jc w:val="both"/>
        <w:outlineLvl w:val="0"/>
        <w:rPr>
          <w:b/>
        </w:rPr>
      </w:pPr>
    </w:p>
    <w:p w:rsidR="00176334" w:rsidRDefault="00176334">
      <w:pPr>
        <w:keepNext/>
        <w:tabs>
          <w:tab w:val="center" w:pos="4536"/>
          <w:tab w:val="center" w:pos="9072"/>
        </w:tabs>
        <w:jc w:val="both"/>
        <w:rPr>
          <w:b/>
        </w:rPr>
      </w:pPr>
      <w:r>
        <w:rPr>
          <w:b/>
        </w:rPr>
        <w:t>Tricyclic antidepressants:</w:t>
      </w:r>
    </w:p>
    <w:p w:rsidR="00176334" w:rsidRDefault="00176334">
      <w:pPr>
        <w:tabs>
          <w:tab w:val="center" w:pos="4536"/>
          <w:tab w:val="center" w:pos="9072"/>
        </w:tabs>
        <w:jc w:val="both"/>
      </w:pPr>
      <w:r>
        <w:t xml:space="preserve">Due to concurrent use with </w:t>
      </w:r>
      <w:r w:rsidR="000F30CF">
        <w:rPr>
          <w:b/>
          <w:caps/>
        </w:rPr>
        <w:t>ELTROXIN</w:t>
      </w:r>
      <w:r>
        <w:t xml:space="preserve">, an increase in the sensitivity to </w:t>
      </w:r>
      <w:proofErr w:type="spellStart"/>
      <w:r>
        <w:t>catecholamines</w:t>
      </w:r>
      <w:proofErr w:type="spellEnd"/>
      <w:r>
        <w:t xml:space="preserve"> may occur, therefore increasing the therapeutic and toxic effects of both drugs.</w:t>
      </w:r>
    </w:p>
    <w:p w:rsidR="00176334" w:rsidRDefault="00176334">
      <w:pPr>
        <w:tabs>
          <w:tab w:val="center" w:pos="4536"/>
          <w:tab w:val="center" w:pos="9072"/>
        </w:tabs>
        <w:jc w:val="both"/>
      </w:pPr>
    </w:p>
    <w:p w:rsidR="00176334" w:rsidRDefault="00176334">
      <w:pPr>
        <w:keepNext/>
        <w:tabs>
          <w:tab w:val="center" w:pos="4536"/>
          <w:tab w:val="center" w:pos="9072"/>
        </w:tabs>
        <w:jc w:val="both"/>
        <w:rPr>
          <w:b/>
        </w:rPr>
      </w:pPr>
      <w:proofErr w:type="spellStart"/>
      <w:r>
        <w:rPr>
          <w:b/>
        </w:rPr>
        <w:t>Sympathomimetics</w:t>
      </w:r>
      <w:proofErr w:type="spellEnd"/>
      <w:r>
        <w:rPr>
          <w:b/>
        </w:rPr>
        <w:t>:</w:t>
      </w:r>
    </w:p>
    <w:p w:rsidR="00176334" w:rsidRDefault="00176334">
      <w:pPr>
        <w:tabs>
          <w:tab w:val="center" w:pos="4536"/>
          <w:tab w:val="center" w:pos="9072"/>
        </w:tabs>
        <w:jc w:val="both"/>
      </w:pPr>
      <w:r>
        <w:t xml:space="preserve">Due to concurrent use with </w:t>
      </w:r>
      <w:r w:rsidR="000F30CF">
        <w:rPr>
          <w:b/>
          <w:caps/>
        </w:rPr>
        <w:t>ELTROXIN</w:t>
      </w:r>
      <w:r>
        <w:t>, there may be an increase in the effects of both drugs, which may lead to a risk of coronary insufficiency.</w:t>
      </w:r>
    </w:p>
    <w:p w:rsidR="00176334" w:rsidRDefault="00176334">
      <w:pPr>
        <w:keepNext/>
        <w:tabs>
          <w:tab w:val="center" w:pos="4536"/>
          <w:tab w:val="center" w:pos="9072"/>
        </w:tabs>
        <w:jc w:val="both"/>
        <w:rPr>
          <w:b/>
        </w:rPr>
      </w:pPr>
    </w:p>
    <w:p w:rsidR="00176334" w:rsidRDefault="00176334">
      <w:pPr>
        <w:keepNext/>
        <w:tabs>
          <w:tab w:val="center" w:pos="4536"/>
          <w:tab w:val="center" w:pos="9072"/>
        </w:tabs>
        <w:jc w:val="both"/>
        <w:rPr>
          <w:b/>
        </w:rPr>
      </w:pPr>
      <w:r>
        <w:rPr>
          <w:b/>
        </w:rPr>
        <w:t>Digoxin:</w:t>
      </w:r>
    </w:p>
    <w:p w:rsidR="00176334" w:rsidRDefault="00176334">
      <w:pPr>
        <w:tabs>
          <w:tab w:val="center" w:pos="4536"/>
          <w:tab w:val="center" w:pos="9072"/>
        </w:tabs>
        <w:jc w:val="both"/>
      </w:pPr>
      <w:proofErr w:type="spellStart"/>
      <w:r>
        <w:t>Thyroxine</w:t>
      </w:r>
      <w:proofErr w:type="spellEnd"/>
      <w:r>
        <w:t xml:space="preserve"> may reduce the clinical effects of digoxin.</w:t>
      </w:r>
    </w:p>
    <w:p w:rsidR="00176334" w:rsidRDefault="00176334">
      <w:pPr>
        <w:tabs>
          <w:tab w:val="center" w:pos="4536"/>
          <w:tab w:val="center" w:pos="9072"/>
        </w:tabs>
        <w:jc w:val="both"/>
        <w:rPr>
          <w:b/>
        </w:rPr>
      </w:pPr>
    </w:p>
    <w:p w:rsidR="00176334" w:rsidRDefault="00176334">
      <w:pPr>
        <w:keepNext/>
        <w:tabs>
          <w:tab w:val="center" w:pos="4536"/>
          <w:tab w:val="center" w:pos="9072"/>
        </w:tabs>
        <w:jc w:val="both"/>
      </w:pPr>
      <w:proofErr w:type="spellStart"/>
      <w:r>
        <w:rPr>
          <w:b/>
        </w:rPr>
        <w:t>Amiodarone</w:t>
      </w:r>
      <w:proofErr w:type="spellEnd"/>
      <w:r>
        <w:rPr>
          <w:b/>
        </w:rPr>
        <w:t>:</w:t>
      </w:r>
    </w:p>
    <w:p w:rsidR="00176334" w:rsidRDefault="00176334">
      <w:pPr>
        <w:tabs>
          <w:tab w:val="center" w:pos="4536"/>
          <w:tab w:val="center" w:pos="9072"/>
        </w:tabs>
        <w:jc w:val="both"/>
      </w:pPr>
      <w:proofErr w:type="spellStart"/>
      <w:r>
        <w:t>Amiodarone</w:t>
      </w:r>
      <w:proofErr w:type="spellEnd"/>
      <w:r>
        <w:t xml:space="preserve"> </w:t>
      </w:r>
      <w:r w:rsidR="004A4FF6">
        <w:t xml:space="preserve">can occasionally </w:t>
      </w:r>
      <w:r>
        <w:t xml:space="preserve">decrease the peripheral conversion of </w:t>
      </w:r>
      <w:proofErr w:type="spellStart"/>
      <w:r>
        <w:t>thyroxine</w:t>
      </w:r>
      <w:proofErr w:type="spellEnd"/>
      <w:r>
        <w:t xml:space="preserve"> to </w:t>
      </w:r>
      <w:proofErr w:type="spellStart"/>
      <w:r>
        <w:t>triiodothyronine</w:t>
      </w:r>
      <w:proofErr w:type="spellEnd"/>
      <w:r>
        <w:t xml:space="preserve">. </w:t>
      </w:r>
      <w:r w:rsidR="004A4FF6">
        <w:t>However, any dose adjustment should be based on TSH levels.</w:t>
      </w:r>
      <w:r>
        <w:t xml:space="preserve"> </w:t>
      </w:r>
    </w:p>
    <w:p w:rsidR="00176334" w:rsidRDefault="00176334">
      <w:pPr>
        <w:tabs>
          <w:tab w:val="center" w:pos="4536"/>
          <w:tab w:val="center" w:pos="9072"/>
        </w:tabs>
        <w:jc w:val="both"/>
      </w:pPr>
    </w:p>
    <w:p w:rsidR="00176334" w:rsidRDefault="00176334">
      <w:pPr>
        <w:keepNext/>
        <w:tabs>
          <w:tab w:val="center" w:pos="4536"/>
          <w:tab w:val="center" w:pos="9072"/>
        </w:tabs>
        <w:jc w:val="both"/>
        <w:rPr>
          <w:b/>
        </w:rPr>
      </w:pPr>
      <w:r>
        <w:rPr>
          <w:b/>
        </w:rPr>
        <w:t>In addition:</w:t>
      </w:r>
    </w:p>
    <w:p w:rsidR="00176334" w:rsidRDefault="00176334">
      <w:pPr>
        <w:tabs>
          <w:tab w:val="center" w:pos="4536"/>
          <w:tab w:val="center" w:pos="9072"/>
        </w:tabs>
        <w:jc w:val="both"/>
      </w:pPr>
      <w:proofErr w:type="spellStart"/>
      <w:r>
        <w:t>Thyroxine</w:t>
      </w:r>
      <w:proofErr w:type="spellEnd"/>
      <w:r>
        <w:t xml:space="preserve"> can enhance the clinical effects of </w:t>
      </w:r>
      <w:proofErr w:type="spellStart"/>
      <w:r>
        <w:rPr>
          <w:i/>
        </w:rPr>
        <w:t>pentobarbitone</w:t>
      </w:r>
      <w:proofErr w:type="spellEnd"/>
      <w:r>
        <w:t xml:space="preserve"> and </w:t>
      </w:r>
      <w:proofErr w:type="spellStart"/>
      <w:r>
        <w:rPr>
          <w:i/>
        </w:rPr>
        <w:t>dihydrotachysterol</w:t>
      </w:r>
      <w:proofErr w:type="spellEnd"/>
      <w:r>
        <w:t>. Therefore, the adjustment of dosage may be necessary.</w:t>
      </w:r>
    </w:p>
    <w:p w:rsidR="00176334" w:rsidRDefault="00176334">
      <w:pPr>
        <w:tabs>
          <w:tab w:val="center" w:pos="4536"/>
          <w:tab w:val="center" w:pos="9072"/>
        </w:tabs>
        <w:jc w:val="both"/>
      </w:pPr>
    </w:p>
    <w:p w:rsidR="00176334" w:rsidRDefault="00176334">
      <w:pPr>
        <w:pStyle w:val="BodyText"/>
      </w:pPr>
      <w:r>
        <w:t xml:space="preserve">The clinical effect of </w:t>
      </w:r>
      <w:proofErr w:type="spellStart"/>
      <w:r>
        <w:t>thyroxine</w:t>
      </w:r>
      <w:proofErr w:type="spellEnd"/>
      <w:r>
        <w:t xml:space="preserve"> can be reduced by soya flour, </w:t>
      </w:r>
      <w:proofErr w:type="spellStart"/>
      <w:r>
        <w:t>sucralfate</w:t>
      </w:r>
      <w:proofErr w:type="spellEnd"/>
      <w:r>
        <w:t xml:space="preserve">, aluminium hydroxide, magnesium hydroxide, calcium carbonate, and ferrous sulphate - which interfere with absorption from the gastrointestinal tract. </w:t>
      </w:r>
      <w:r w:rsidR="004A4FF6">
        <w:t xml:space="preserve">If these substances are taken, then their ingestion should be separated by several hours from the ingestion of </w:t>
      </w:r>
      <w:proofErr w:type="spellStart"/>
      <w:r w:rsidR="004A4FF6">
        <w:t>thyroxine</w:t>
      </w:r>
      <w:proofErr w:type="spellEnd"/>
      <w:r w:rsidR="004A4FF6">
        <w:t>.</w:t>
      </w:r>
    </w:p>
    <w:p w:rsidR="00176334" w:rsidRDefault="00176334">
      <w:pPr>
        <w:tabs>
          <w:tab w:val="center" w:pos="4536"/>
          <w:tab w:val="center" w:pos="9072"/>
        </w:tabs>
        <w:jc w:val="both"/>
      </w:pPr>
    </w:p>
    <w:p w:rsidR="00176334" w:rsidRDefault="00176334">
      <w:pPr>
        <w:tabs>
          <w:tab w:val="center" w:pos="4536"/>
          <w:tab w:val="center" w:pos="9072"/>
        </w:tabs>
        <w:jc w:val="both"/>
      </w:pPr>
      <w:r>
        <w:t xml:space="preserve">Thyroid function tests can be modified, without changes in clinical effect of </w:t>
      </w:r>
      <w:proofErr w:type="spellStart"/>
      <w:r>
        <w:t>thyroxine</w:t>
      </w:r>
      <w:proofErr w:type="spellEnd"/>
      <w:r>
        <w:t xml:space="preserve">, by some NSAIDs, salicylates, </w:t>
      </w:r>
      <w:r>
        <w:rPr>
          <w:i/>
        </w:rPr>
        <w:t>diazepam</w:t>
      </w:r>
      <w:r>
        <w:t xml:space="preserve">, </w:t>
      </w:r>
      <w:r>
        <w:rPr>
          <w:i/>
        </w:rPr>
        <w:t>heparin</w:t>
      </w:r>
      <w:r>
        <w:t xml:space="preserve"> and </w:t>
      </w:r>
      <w:proofErr w:type="spellStart"/>
      <w:r>
        <w:rPr>
          <w:i/>
        </w:rPr>
        <w:t>fenclofenac</w:t>
      </w:r>
      <w:proofErr w:type="spellEnd"/>
      <w:r>
        <w:t>.</w:t>
      </w:r>
    </w:p>
    <w:p w:rsidR="00176334" w:rsidRPr="00343569" w:rsidRDefault="00176334">
      <w:pPr>
        <w:pStyle w:val="Heading2"/>
        <w:rPr>
          <w:szCs w:val="28"/>
          <w:u w:val="none"/>
        </w:rPr>
      </w:pPr>
    </w:p>
    <w:p w:rsidR="004D4DBF" w:rsidRPr="00343569" w:rsidRDefault="004D4DBF" w:rsidP="004D4DBF">
      <w:pPr>
        <w:rPr>
          <w:sz w:val="28"/>
          <w:szCs w:val="28"/>
        </w:rPr>
      </w:pPr>
    </w:p>
    <w:p w:rsidR="00176334" w:rsidRPr="004D4DBF" w:rsidRDefault="00176334">
      <w:pPr>
        <w:pStyle w:val="Heading2"/>
        <w:rPr>
          <w:b w:val="0"/>
          <w:u w:val="none"/>
        </w:rPr>
      </w:pPr>
      <w:r w:rsidRPr="004D4DBF">
        <w:rPr>
          <w:u w:val="none"/>
        </w:rPr>
        <w:t>ADVERSE REACTIONS</w:t>
      </w:r>
    </w:p>
    <w:p w:rsidR="004D4DBF" w:rsidRPr="009342C6" w:rsidRDefault="004D4DBF">
      <w:pPr>
        <w:pStyle w:val="BodyText2"/>
        <w:outlineLvl w:val="0"/>
        <w:rPr>
          <w:sz w:val="24"/>
          <w:szCs w:val="24"/>
        </w:rPr>
      </w:pPr>
    </w:p>
    <w:p w:rsidR="00176334" w:rsidRPr="009342C6" w:rsidRDefault="00176334">
      <w:pPr>
        <w:pStyle w:val="BodyText2"/>
        <w:outlineLvl w:val="0"/>
        <w:rPr>
          <w:sz w:val="24"/>
          <w:szCs w:val="24"/>
        </w:rPr>
      </w:pPr>
      <w:r w:rsidRPr="009342C6">
        <w:rPr>
          <w:sz w:val="24"/>
          <w:szCs w:val="24"/>
        </w:rPr>
        <w:t xml:space="preserve">Individual patients vary in response to both the maintenance dose of </w:t>
      </w:r>
      <w:r w:rsidR="000F30CF" w:rsidRPr="009342C6">
        <w:rPr>
          <w:b/>
          <w:caps/>
          <w:sz w:val="24"/>
          <w:szCs w:val="24"/>
        </w:rPr>
        <w:t>ELTROXIN</w:t>
      </w:r>
      <w:r w:rsidRPr="009342C6">
        <w:rPr>
          <w:sz w:val="24"/>
          <w:szCs w:val="24"/>
        </w:rPr>
        <w:t xml:space="preserve"> and to the size and frequency of dose increments. Too large an increment or too high a replacement dose can lead to manifestations of thyrotoxicosis which include:</w:t>
      </w:r>
    </w:p>
    <w:p w:rsidR="00176334" w:rsidRPr="009342C6" w:rsidRDefault="00176334">
      <w:pPr>
        <w:tabs>
          <w:tab w:val="center" w:pos="4536"/>
          <w:tab w:val="center" w:pos="9072"/>
        </w:tabs>
        <w:jc w:val="both"/>
        <w:rPr>
          <w:b/>
          <w:szCs w:val="24"/>
        </w:rPr>
      </w:pPr>
    </w:p>
    <w:p w:rsidR="00176334" w:rsidRDefault="00176334">
      <w:pPr>
        <w:tabs>
          <w:tab w:val="center" w:pos="4536"/>
          <w:tab w:val="center" w:pos="9072"/>
        </w:tabs>
        <w:jc w:val="both"/>
        <w:rPr>
          <w:b/>
        </w:rPr>
      </w:pPr>
      <w:r>
        <w:rPr>
          <w:b/>
        </w:rPr>
        <w:t>Cardiovascular:</w:t>
      </w:r>
      <w:r>
        <w:rPr>
          <w:b/>
        </w:rPr>
        <w:tab/>
      </w:r>
    </w:p>
    <w:p w:rsidR="00176334" w:rsidRDefault="00176334">
      <w:pPr>
        <w:tabs>
          <w:tab w:val="center" w:pos="4536"/>
          <w:tab w:val="center" w:pos="9072"/>
        </w:tabs>
        <w:jc w:val="both"/>
      </w:pPr>
      <w:proofErr w:type="gramStart"/>
      <w:r>
        <w:t xml:space="preserve">Chest pain, tachycardia, cardiac arrhythmias, palpitations, angina, myocardial </w:t>
      </w:r>
      <w:proofErr w:type="spellStart"/>
      <w:r>
        <w:t>ischaemia</w:t>
      </w:r>
      <w:proofErr w:type="spellEnd"/>
      <w:r>
        <w:t>, myocardial infarction, heart failure, death.</w:t>
      </w:r>
      <w:proofErr w:type="gramEnd"/>
    </w:p>
    <w:p w:rsidR="00176334" w:rsidRDefault="00176334">
      <w:pPr>
        <w:tabs>
          <w:tab w:val="center" w:pos="4536"/>
          <w:tab w:val="center" w:pos="9072"/>
        </w:tabs>
        <w:jc w:val="both"/>
        <w:rPr>
          <w:b/>
        </w:rPr>
      </w:pPr>
    </w:p>
    <w:p w:rsidR="00176334" w:rsidRDefault="00176334">
      <w:pPr>
        <w:tabs>
          <w:tab w:val="center" w:pos="4536"/>
          <w:tab w:val="center" w:pos="9072"/>
        </w:tabs>
        <w:jc w:val="both"/>
      </w:pPr>
      <w:r>
        <w:rPr>
          <w:b/>
        </w:rPr>
        <w:t>Nervous system:</w:t>
      </w:r>
      <w:r>
        <w:t xml:space="preserve"> </w:t>
      </w:r>
    </w:p>
    <w:p w:rsidR="00176334" w:rsidRDefault="00176334">
      <w:pPr>
        <w:tabs>
          <w:tab w:val="center" w:pos="4536"/>
          <w:tab w:val="center" w:pos="9072"/>
        </w:tabs>
        <w:jc w:val="both"/>
      </w:pPr>
      <w:r>
        <w:t xml:space="preserve">Irritability, anxiety, nervousness, excitability, restlessness, tremors, headache, poor concentration, emotional </w:t>
      </w:r>
      <w:proofErr w:type="spellStart"/>
      <w:r>
        <w:t>lability</w:t>
      </w:r>
      <w:proofErr w:type="spellEnd"/>
      <w:r>
        <w:t xml:space="preserve">, sleep disturbance, insomnia, mania, psychosis, psychotic depression, seizures, petit mal status </w:t>
      </w:r>
      <w:proofErr w:type="spellStart"/>
      <w:r>
        <w:t>epilepticus</w:t>
      </w:r>
      <w:proofErr w:type="spellEnd"/>
      <w:r>
        <w:t xml:space="preserve">, </w:t>
      </w:r>
      <w:proofErr w:type="spellStart"/>
      <w:r>
        <w:t>pseudotumour</w:t>
      </w:r>
      <w:proofErr w:type="spellEnd"/>
      <w:r>
        <w:t xml:space="preserve"> </w:t>
      </w:r>
      <w:proofErr w:type="spellStart"/>
      <w:r>
        <w:t>cerebri</w:t>
      </w:r>
      <w:proofErr w:type="spellEnd"/>
      <w:r>
        <w:t xml:space="preserve"> (especially in children).</w:t>
      </w:r>
    </w:p>
    <w:p w:rsidR="001E58F6" w:rsidRDefault="001E58F6">
      <w:pPr>
        <w:tabs>
          <w:tab w:val="center" w:pos="4536"/>
          <w:tab w:val="center" w:pos="9072"/>
        </w:tabs>
        <w:jc w:val="both"/>
        <w:outlineLvl w:val="0"/>
        <w:rPr>
          <w:b/>
        </w:rPr>
      </w:pPr>
    </w:p>
    <w:p w:rsidR="00176334" w:rsidRDefault="00176334">
      <w:pPr>
        <w:tabs>
          <w:tab w:val="center" w:pos="4536"/>
          <w:tab w:val="center" w:pos="9072"/>
        </w:tabs>
        <w:jc w:val="both"/>
        <w:outlineLvl w:val="0"/>
      </w:pPr>
      <w:r>
        <w:rPr>
          <w:b/>
        </w:rPr>
        <w:t>Gastrointestinal system:</w:t>
      </w:r>
      <w:r>
        <w:t xml:space="preserve"> </w:t>
      </w:r>
    </w:p>
    <w:p w:rsidR="00176334" w:rsidRDefault="00176334">
      <w:pPr>
        <w:tabs>
          <w:tab w:val="center" w:pos="4536"/>
          <w:tab w:val="center" w:pos="9072"/>
        </w:tabs>
        <w:jc w:val="both"/>
        <w:outlineLvl w:val="0"/>
      </w:pPr>
      <w:proofErr w:type="gramStart"/>
      <w:r>
        <w:lastRenderedPageBreak/>
        <w:t>Diarrhoea, vomiting, malabsorption.</w:t>
      </w:r>
      <w:proofErr w:type="gramEnd"/>
    </w:p>
    <w:p w:rsidR="00176334" w:rsidRDefault="00176334">
      <w:pPr>
        <w:tabs>
          <w:tab w:val="center" w:pos="4536"/>
          <w:tab w:val="center" w:pos="9072"/>
        </w:tabs>
        <w:jc w:val="both"/>
        <w:outlineLvl w:val="0"/>
        <w:rPr>
          <w:b/>
        </w:rPr>
      </w:pPr>
    </w:p>
    <w:p w:rsidR="00176334" w:rsidRDefault="00176334">
      <w:pPr>
        <w:tabs>
          <w:tab w:val="center" w:pos="4536"/>
          <w:tab w:val="center" w:pos="9072"/>
        </w:tabs>
        <w:jc w:val="both"/>
        <w:outlineLvl w:val="0"/>
      </w:pPr>
      <w:r>
        <w:rPr>
          <w:b/>
        </w:rPr>
        <w:t>Skin:</w:t>
      </w:r>
      <w:r>
        <w:t xml:space="preserve"> </w:t>
      </w:r>
    </w:p>
    <w:p w:rsidR="00176334" w:rsidRDefault="00176334">
      <w:pPr>
        <w:tabs>
          <w:tab w:val="center" w:pos="4536"/>
          <w:tab w:val="center" w:pos="9072"/>
        </w:tabs>
        <w:jc w:val="both"/>
        <w:outlineLvl w:val="0"/>
      </w:pPr>
      <w:proofErr w:type="gramStart"/>
      <w:r>
        <w:t xml:space="preserve">Warmth, erythema, </w:t>
      </w:r>
      <w:proofErr w:type="spellStart"/>
      <w:r>
        <w:t>telangectiasia</w:t>
      </w:r>
      <w:proofErr w:type="spellEnd"/>
      <w:r>
        <w:t xml:space="preserve">, </w:t>
      </w:r>
      <w:proofErr w:type="spellStart"/>
      <w:r>
        <w:t>hyperhydrosis</w:t>
      </w:r>
      <w:proofErr w:type="spellEnd"/>
      <w:r>
        <w:t>, alopecia, hyperpigmentation.</w:t>
      </w:r>
      <w:proofErr w:type="gramEnd"/>
    </w:p>
    <w:p w:rsidR="00176334" w:rsidRDefault="00176334">
      <w:pPr>
        <w:tabs>
          <w:tab w:val="center" w:pos="4536"/>
          <w:tab w:val="center" w:pos="9072"/>
        </w:tabs>
        <w:jc w:val="both"/>
        <w:outlineLvl w:val="0"/>
        <w:rPr>
          <w:b/>
        </w:rPr>
      </w:pPr>
    </w:p>
    <w:p w:rsidR="00176334" w:rsidRDefault="00176334">
      <w:pPr>
        <w:tabs>
          <w:tab w:val="center" w:pos="4536"/>
          <w:tab w:val="center" w:pos="9072"/>
        </w:tabs>
        <w:jc w:val="both"/>
        <w:outlineLvl w:val="0"/>
        <w:rPr>
          <w:b/>
        </w:rPr>
      </w:pPr>
      <w:r>
        <w:rPr>
          <w:b/>
        </w:rPr>
        <w:t xml:space="preserve">Respiratory system: </w:t>
      </w:r>
    </w:p>
    <w:p w:rsidR="00176334" w:rsidRDefault="00176334">
      <w:pPr>
        <w:tabs>
          <w:tab w:val="center" w:pos="4536"/>
          <w:tab w:val="center" w:pos="9072"/>
        </w:tabs>
        <w:jc w:val="both"/>
        <w:outlineLvl w:val="0"/>
      </w:pPr>
      <w:proofErr w:type="gramStart"/>
      <w:r>
        <w:t>Increased minute ventilation, tachypnoea, and shortness of breath.</w:t>
      </w:r>
      <w:proofErr w:type="gramEnd"/>
    </w:p>
    <w:p w:rsidR="00176334" w:rsidRDefault="00176334">
      <w:pPr>
        <w:tabs>
          <w:tab w:val="center" w:pos="4536"/>
          <w:tab w:val="center" w:pos="9072"/>
        </w:tabs>
        <w:jc w:val="both"/>
        <w:outlineLvl w:val="0"/>
        <w:rPr>
          <w:b/>
        </w:rPr>
      </w:pPr>
    </w:p>
    <w:p w:rsidR="00176334" w:rsidRDefault="00176334">
      <w:pPr>
        <w:tabs>
          <w:tab w:val="center" w:pos="4536"/>
          <w:tab w:val="center" w:pos="9072"/>
        </w:tabs>
        <w:jc w:val="both"/>
        <w:outlineLvl w:val="0"/>
      </w:pPr>
      <w:r>
        <w:rPr>
          <w:b/>
        </w:rPr>
        <w:t>Neuromuscular system:</w:t>
      </w:r>
      <w:r>
        <w:t xml:space="preserve"> </w:t>
      </w:r>
    </w:p>
    <w:p w:rsidR="00176334" w:rsidRDefault="00176334">
      <w:pPr>
        <w:tabs>
          <w:tab w:val="center" w:pos="4536"/>
          <w:tab w:val="center" w:pos="9072"/>
        </w:tabs>
        <w:jc w:val="both"/>
        <w:outlineLvl w:val="0"/>
      </w:pPr>
      <w:r>
        <w:t>Myopathy, lid lag, muscle weakness and cramps.</w:t>
      </w:r>
    </w:p>
    <w:p w:rsidR="00176334" w:rsidRDefault="00176334">
      <w:pPr>
        <w:tabs>
          <w:tab w:val="center" w:pos="4536"/>
          <w:tab w:val="center" w:pos="9072"/>
        </w:tabs>
        <w:jc w:val="both"/>
        <w:outlineLvl w:val="0"/>
        <w:rPr>
          <w:b/>
        </w:rPr>
      </w:pPr>
    </w:p>
    <w:p w:rsidR="00176334" w:rsidRDefault="00176334">
      <w:pPr>
        <w:tabs>
          <w:tab w:val="center" w:pos="4536"/>
          <w:tab w:val="center" w:pos="9072"/>
        </w:tabs>
        <w:jc w:val="both"/>
        <w:outlineLvl w:val="0"/>
        <w:rPr>
          <w:b/>
        </w:rPr>
      </w:pPr>
      <w:r>
        <w:rPr>
          <w:b/>
        </w:rPr>
        <w:t xml:space="preserve">Reproductive system: </w:t>
      </w:r>
    </w:p>
    <w:p w:rsidR="00176334" w:rsidRDefault="00176334">
      <w:pPr>
        <w:tabs>
          <w:tab w:val="center" w:pos="4536"/>
          <w:tab w:val="center" w:pos="9072"/>
        </w:tabs>
        <w:jc w:val="both"/>
        <w:outlineLvl w:val="0"/>
      </w:pPr>
      <w:r>
        <w:t xml:space="preserve">Amenorrhoea, menstrual irregularities, decreased libido, </w:t>
      </w:r>
      <w:proofErr w:type="spellStart"/>
      <w:r>
        <w:t>gynaecomastia</w:t>
      </w:r>
      <w:proofErr w:type="spellEnd"/>
      <w:r>
        <w:t xml:space="preserve"> (in male).</w:t>
      </w:r>
    </w:p>
    <w:p w:rsidR="00176334" w:rsidRDefault="00176334">
      <w:pPr>
        <w:tabs>
          <w:tab w:val="center" w:pos="4536"/>
          <w:tab w:val="center" w:pos="9072"/>
        </w:tabs>
        <w:jc w:val="both"/>
        <w:rPr>
          <w:b/>
        </w:rPr>
      </w:pPr>
    </w:p>
    <w:p w:rsidR="00176334" w:rsidRDefault="00176334">
      <w:pPr>
        <w:tabs>
          <w:tab w:val="center" w:pos="4536"/>
          <w:tab w:val="center" w:pos="9072"/>
        </w:tabs>
        <w:jc w:val="both"/>
      </w:pPr>
      <w:r>
        <w:rPr>
          <w:b/>
        </w:rPr>
        <w:t>Metabolic:</w:t>
      </w:r>
      <w:r>
        <w:t xml:space="preserve"> </w:t>
      </w:r>
    </w:p>
    <w:p w:rsidR="00176334" w:rsidRDefault="00176334">
      <w:pPr>
        <w:tabs>
          <w:tab w:val="center" w:pos="4536"/>
          <w:tab w:val="center" w:pos="9072"/>
        </w:tabs>
        <w:jc w:val="both"/>
      </w:pPr>
      <w:proofErr w:type="gramStart"/>
      <w:r>
        <w:t xml:space="preserve">Fever, glucose intolerance, weight loss, premature </w:t>
      </w:r>
      <w:proofErr w:type="spellStart"/>
      <w:r>
        <w:t>craniosynostosis</w:t>
      </w:r>
      <w:proofErr w:type="spellEnd"/>
      <w:r>
        <w:t xml:space="preserve"> (in children) TRH suppression, heat intolerance, sweating, flushing.</w:t>
      </w:r>
      <w:proofErr w:type="gramEnd"/>
    </w:p>
    <w:p w:rsidR="009B4297" w:rsidRPr="009342C6" w:rsidRDefault="009342C6" w:rsidP="009342C6">
      <w:pPr>
        <w:tabs>
          <w:tab w:val="center" w:pos="4536"/>
          <w:tab w:val="center" w:pos="9072"/>
        </w:tabs>
        <w:jc w:val="both"/>
        <w:rPr>
          <w:b/>
          <w:sz w:val="28"/>
          <w:szCs w:val="28"/>
        </w:rPr>
      </w:pPr>
      <w:r>
        <w:rPr>
          <w:sz w:val="28"/>
          <w:szCs w:val="28"/>
        </w:rPr>
        <w:br w:type="page"/>
      </w:r>
      <w:r w:rsidR="00176334" w:rsidRPr="009342C6">
        <w:rPr>
          <w:b/>
          <w:sz w:val="28"/>
          <w:szCs w:val="28"/>
        </w:rPr>
        <w:lastRenderedPageBreak/>
        <w:t>DOSAGE AND ADMINISTRATION</w:t>
      </w:r>
    </w:p>
    <w:p w:rsidR="00176334" w:rsidRPr="00955C79" w:rsidRDefault="00176334" w:rsidP="00E81CA6">
      <w:pPr>
        <w:tabs>
          <w:tab w:val="center" w:pos="4536"/>
          <w:tab w:val="center" w:pos="9072"/>
        </w:tabs>
        <w:jc w:val="both"/>
        <w:rPr>
          <w:b/>
        </w:rPr>
      </w:pPr>
    </w:p>
    <w:p w:rsidR="00BB21C7" w:rsidRDefault="00515049">
      <w:pPr>
        <w:tabs>
          <w:tab w:val="center" w:pos="4536"/>
          <w:tab w:val="center" w:pos="9072"/>
        </w:tabs>
        <w:jc w:val="both"/>
      </w:pPr>
      <w:proofErr w:type="spellStart"/>
      <w:r w:rsidRPr="00A23080">
        <w:t>Thyroxine</w:t>
      </w:r>
      <w:proofErr w:type="spellEnd"/>
      <w:r w:rsidRPr="00A23080">
        <w:t xml:space="preserve"> is best taken as a single daily dose first thing in the morning. It should be taken with water and on an empty stomach, </w:t>
      </w:r>
      <w:r>
        <w:t xml:space="preserve">and </w:t>
      </w:r>
      <w:r w:rsidRPr="00A23080">
        <w:t xml:space="preserve">at least 30 minutes </w:t>
      </w:r>
      <w:r>
        <w:t xml:space="preserve">and preferably 60 minutes </w:t>
      </w:r>
      <w:r w:rsidRPr="00A23080">
        <w:t xml:space="preserve">before the intake of any food or other medications. </w:t>
      </w:r>
      <w:proofErr w:type="spellStart"/>
      <w:r w:rsidRPr="00A23080">
        <w:t>Thyroxine</w:t>
      </w:r>
      <w:proofErr w:type="spellEnd"/>
      <w:r w:rsidRPr="00A23080">
        <w:t xml:space="preserve"> is best ingested in the fasting state, as food will impair absorption.</w:t>
      </w:r>
    </w:p>
    <w:p w:rsidR="00103075" w:rsidRDefault="00103075">
      <w:pPr>
        <w:tabs>
          <w:tab w:val="center" w:pos="4536"/>
          <w:tab w:val="center" w:pos="9072"/>
        </w:tabs>
        <w:jc w:val="both"/>
      </w:pPr>
    </w:p>
    <w:p w:rsidR="00672CD5" w:rsidRDefault="00672CD5">
      <w:pPr>
        <w:tabs>
          <w:tab w:val="center" w:pos="4536"/>
          <w:tab w:val="center" w:pos="9072"/>
        </w:tabs>
        <w:jc w:val="both"/>
      </w:pPr>
      <w:r>
        <w:t xml:space="preserve">The dose should be individualised on the basis of clinical response and biochemical tests. Regular monitoring of TSH and </w:t>
      </w:r>
      <w:proofErr w:type="spellStart"/>
      <w:r>
        <w:t>thyroxine</w:t>
      </w:r>
      <w:proofErr w:type="spellEnd"/>
      <w:r>
        <w:t xml:space="preserve"> is recommended when starting therapy or changing the dose.</w:t>
      </w:r>
    </w:p>
    <w:p w:rsidR="00BB21C7" w:rsidRPr="00515049" w:rsidRDefault="00BB21C7">
      <w:pPr>
        <w:tabs>
          <w:tab w:val="center" w:pos="4536"/>
          <w:tab w:val="center" w:pos="9072"/>
        </w:tabs>
        <w:jc w:val="both"/>
        <w:rPr>
          <w:b/>
          <w:u w:val="single"/>
        </w:rPr>
      </w:pPr>
    </w:p>
    <w:p w:rsidR="00503061" w:rsidRDefault="00503061" w:rsidP="004A4FF6">
      <w:pPr>
        <w:autoSpaceDE w:val="0"/>
        <w:autoSpaceDN w:val="0"/>
        <w:adjustRightInd w:val="0"/>
        <w:rPr>
          <w:b/>
          <w:color w:val="262627"/>
          <w:szCs w:val="24"/>
        </w:rPr>
      </w:pPr>
      <w:r w:rsidRPr="00503061">
        <w:rPr>
          <w:b/>
          <w:color w:val="262627"/>
          <w:szCs w:val="24"/>
        </w:rPr>
        <w:t>Adults</w:t>
      </w:r>
    </w:p>
    <w:p w:rsidR="003D1CED" w:rsidRPr="00515049" w:rsidRDefault="003D1CED" w:rsidP="003D1CED">
      <w:pPr>
        <w:tabs>
          <w:tab w:val="center" w:pos="4536"/>
          <w:tab w:val="center" w:pos="9072"/>
        </w:tabs>
        <w:jc w:val="both"/>
        <w:rPr>
          <w:b/>
          <w:u w:val="single"/>
        </w:rPr>
      </w:pPr>
      <w:r w:rsidRPr="00515049">
        <w:rPr>
          <w:b/>
          <w:u w:val="single"/>
        </w:rPr>
        <w:t>Initial dose</w:t>
      </w:r>
    </w:p>
    <w:p w:rsidR="004A4FF6" w:rsidRDefault="00515049" w:rsidP="004A4FF6">
      <w:pPr>
        <w:autoSpaceDE w:val="0"/>
        <w:autoSpaceDN w:val="0"/>
        <w:adjustRightInd w:val="0"/>
        <w:rPr>
          <w:color w:val="23528B"/>
          <w:szCs w:val="24"/>
        </w:rPr>
      </w:pPr>
      <w:r w:rsidRPr="00A23080">
        <w:rPr>
          <w:color w:val="262627"/>
          <w:szCs w:val="24"/>
        </w:rPr>
        <w:t xml:space="preserve">Commence with </w:t>
      </w:r>
      <w:proofErr w:type="spellStart"/>
      <w:r w:rsidRPr="00A23080">
        <w:rPr>
          <w:color w:val="262627"/>
          <w:szCs w:val="24"/>
        </w:rPr>
        <w:t>thyroxine</w:t>
      </w:r>
      <w:proofErr w:type="spellEnd"/>
      <w:r w:rsidRPr="00A23080">
        <w:rPr>
          <w:color w:val="262627"/>
          <w:szCs w:val="24"/>
        </w:rPr>
        <w:t xml:space="preserve"> 50 to 100 micrograms daily. Increase the daily dose by 25 to 50 micrograms according to response at not less than 4-weekly intervals, up to 100 to 200 micrograms daily.</w:t>
      </w:r>
    </w:p>
    <w:p w:rsidR="003D1CED" w:rsidRDefault="003D1CED" w:rsidP="003D1CED">
      <w:pPr>
        <w:tabs>
          <w:tab w:val="center" w:pos="4536"/>
          <w:tab w:val="left" w:pos="7513"/>
          <w:tab w:val="center" w:pos="9072"/>
        </w:tabs>
        <w:jc w:val="both"/>
      </w:pPr>
    </w:p>
    <w:p w:rsidR="003D1CED" w:rsidRDefault="003D1CED" w:rsidP="003D1CED">
      <w:pPr>
        <w:tabs>
          <w:tab w:val="center" w:pos="4536"/>
          <w:tab w:val="left" w:pos="7513"/>
          <w:tab w:val="center" w:pos="9072"/>
        </w:tabs>
        <w:jc w:val="both"/>
      </w:pPr>
      <w:r w:rsidRPr="00A23080">
        <w:t xml:space="preserve">In the patients aged 60 years and over and in those with ischaemic heart disease, </w:t>
      </w:r>
      <w:proofErr w:type="spellStart"/>
      <w:r w:rsidRPr="00A23080">
        <w:t>thyroxine</w:t>
      </w:r>
      <w:proofErr w:type="spellEnd"/>
      <w:r w:rsidRPr="00A23080">
        <w:t xml:space="preserve"> therapy should normally be initiated with low doses (25 or 50 </w:t>
      </w:r>
      <w:proofErr w:type="spellStart"/>
      <w:r w:rsidRPr="00A23080">
        <w:t>μg</w:t>
      </w:r>
      <w:proofErr w:type="spellEnd"/>
      <w:r w:rsidRPr="00A23080">
        <w:t>/day).</w:t>
      </w:r>
    </w:p>
    <w:p w:rsidR="00176334" w:rsidRDefault="00176334">
      <w:pPr>
        <w:tabs>
          <w:tab w:val="center" w:pos="4536"/>
          <w:tab w:val="left" w:pos="7513"/>
          <w:tab w:val="center" w:pos="9072"/>
        </w:tabs>
        <w:jc w:val="both"/>
      </w:pPr>
    </w:p>
    <w:p w:rsidR="00176334" w:rsidRDefault="00176334">
      <w:pPr>
        <w:tabs>
          <w:tab w:val="center" w:pos="4536"/>
          <w:tab w:val="left" w:pos="7513"/>
          <w:tab w:val="center" w:pos="9072"/>
        </w:tabs>
        <w:jc w:val="both"/>
      </w:pPr>
      <w:r>
        <w:t>Wherever possible, whole tablets should be taken (</w:t>
      </w:r>
      <w:proofErr w:type="spellStart"/>
      <w:r>
        <w:t>eg</w:t>
      </w:r>
      <w:proofErr w:type="spellEnd"/>
      <w:r>
        <w:t xml:space="preserve"> if the dose required is 150 </w:t>
      </w:r>
      <w:r>
        <w:sym w:font="Symbol" w:char="F06D"/>
      </w:r>
      <w:r>
        <w:t>g then 1 x 100 </w:t>
      </w:r>
      <w:r>
        <w:sym w:font="Symbol" w:char="F06D"/>
      </w:r>
      <w:r>
        <w:t>g tablet and 1 x 50 </w:t>
      </w:r>
      <w:r>
        <w:sym w:font="Symbol" w:char="F06D"/>
      </w:r>
      <w:r>
        <w:t>g tablet should be taken, rather than 1 ½ x 100 </w:t>
      </w:r>
      <w:r>
        <w:sym w:font="Symbol" w:char="F06D"/>
      </w:r>
      <w:r>
        <w:t>g tablets).</w:t>
      </w:r>
    </w:p>
    <w:p w:rsidR="00176334" w:rsidRDefault="00176334">
      <w:pPr>
        <w:tabs>
          <w:tab w:val="center" w:pos="4536"/>
          <w:tab w:val="center" w:pos="9072"/>
        </w:tabs>
        <w:jc w:val="both"/>
      </w:pPr>
    </w:p>
    <w:p w:rsidR="00176334" w:rsidRDefault="00176334">
      <w:pPr>
        <w:tabs>
          <w:tab w:val="center" w:pos="4536"/>
          <w:tab w:val="center" w:pos="9072"/>
        </w:tabs>
        <w:jc w:val="both"/>
      </w:pPr>
      <w:r>
        <w:t xml:space="preserve">When there is no contraindication to full </w:t>
      </w:r>
      <w:proofErr w:type="spellStart"/>
      <w:r>
        <w:t>thyroxine</w:t>
      </w:r>
      <w:proofErr w:type="spellEnd"/>
      <w:r>
        <w:t xml:space="preserve"> replacement, a TSH level of about 1 </w:t>
      </w:r>
      <w:proofErr w:type="spellStart"/>
      <w:r>
        <w:t>mU</w:t>
      </w:r>
      <w:proofErr w:type="spellEnd"/>
      <w:r>
        <w:t xml:space="preserve">/L with a serum </w:t>
      </w:r>
      <w:proofErr w:type="spellStart"/>
      <w:r>
        <w:t>thyroxine</w:t>
      </w:r>
      <w:proofErr w:type="spellEnd"/>
      <w:r>
        <w:t xml:space="preserve"> level in the high-normal range, usually indicates optimal therapy.</w:t>
      </w:r>
    </w:p>
    <w:p w:rsidR="00176334" w:rsidRDefault="00176334">
      <w:pPr>
        <w:tabs>
          <w:tab w:val="center" w:pos="4536"/>
          <w:tab w:val="center" w:pos="9072"/>
        </w:tabs>
        <w:jc w:val="both"/>
      </w:pPr>
    </w:p>
    <w:p w:rsidR="003D1CED" w:rsidRDefault="003D1CED" w:rsidP="003D1CED">
      <w:pPr>
        <w:pStyle w:val="Heading1"/>
      </w:pPr>
      <w:r>
        <w:t>Maintenance doses</w:t>
      </w:r>
    </w:p>
    <w:p w:rsidR="003D1CED" w:rsidRDefault="003D1CED" w:rsidP="003D1CED">
      <w:pPr>
        <w:tabs>
          <w:tab w:val="center" w:pos="4536"/>
          <w:tab w:val="center" w:pos="9072"/>
        </w:tabs>
        <w:jc w:val="both"/>
        <w:outlineLvl w:val="0"/>
        <w:rPr>
          <w:b/>
        </w:rPr>
      </w:pPr>
      <w:r>
        <w:rPr>
          <w:b/>
        </w:rPr>
        <w:t>Adults:</w:t>
      </w:r>
    </w:p>
    <w:p w:rsidR="003D1CED" w:rsidRDefault="003D1CED" w:rsidP="003D1CED">
      <w:pPr>
        <w:tabs>
          <w:tab w:val="center" w:pos="4536"/>
          <w:tab w:val="center" w:pos="9072"/>
        </w:tabs>
        <w:jc w:val="both"/>
      </w:pPr>
      <w:proofErr w:type="gramStart"/>
      <w:r>
        <w:t>100 to 200 µg per day.</w:t>
      </w:r>
      <w:proofErr w:type="gramEnd"/>
    </w:p>
    <w:p w:rsidR="003D1CED" w:rsidRDefault="003D1CED">
      <w:pPr>
        <w:tabs>
          <w:tab w:val="center" w:pos="4536"/>
          <w:tab w:val="center" w:pos="9072"/>
        </w:tabs>
        <w:jc w:val="both"/>
      </w:pPr>
    </w:p>
    <w:p w:rsidR="00176334" w:rsidRDefault="00176334">
      <w:pPr>
        <w:tabs>
          <w:tab w:val="center" w:pos="4536"/>
          <w:tab w:val="center" w:pos="9072"/>
        </w:tabs>
        <w:jc w:val="both"/>
        <w:outlineLvl w:val="0"/>
        <w:rPr>
          <w:b/>
        </w:rPr>
      </w:pPr>
      <w:r>
        <w:rPr>
          <w:b/>
        </w:rPr>
        <w:t xml:space="preserve">Children: </w:t>
      </w:r>
    </w:p>
    <w:p w:rsidR="00176334" w:rsidRDefault="00176334">
      <w:pPr>
        <w:tabs>
          <w:tab w:val="center" w:pos="4536"/>
          <w:tab w:val="center" w:pos="9072"/>
        </w:tabs>
        <w:jc w:val="both"/>
        <w:outlineLvl w:val="0"/>
      </w:pPr>
      <w:r>
        <w:t>Congenital and acquired hypothyroidism</w:t>
      </w:r>
    </w:p>
    <w:tbl>
      <w:tblPr>
        <w:tblW w:w="0" w:type="auto"/>
        <w:tblLayout w:type="fixed"/>
        <w:tblLook w:val="0000" w:firstRow="0" w:lastRow="0" w:firstColumn="0" w:lastColumn="0" w:noHBand="0" w:noVBand="0"/>
      </w:tblPr>
      <w:tblGrid>
        <w:gridCol w:w="4687"/>
        <w:gridCol w:w="4687"/>
      </w:tblGrid>
      <w:tr w:rsidR="00176334">
        <w:tc>
          <w:tcPr>
            <w:tcW w:w="4687" w:type="dxa"/>
            <w:tcBorders>
              <w:bottom w:val="single" w:sz="6" w:space="0" w:color="auto"/>
            </w:tcBorders>
          </w:tcPr>
          <w:p w:rsidR="00176334" w:rsidRDefault="00176334">
            <w:pPr>
              <w:tabs>
                <w:tab w:val="center" w:pos="4536"/>
                <w:tab w:val="center" w:pos="9072"/>
              </w:tabs>
              <w:jc w:val="both"/>
            </w:pPr>
            <w:r>
              <w:t>Age</w:t>
            </w:r>
          </w:p>
        </w:tc>
        <w:tc>
          <w:tcPr>
            <w:tcW w:w="4687" w:type="dxa"/>
            <w:tcBorders>
              <w:bottom w:val="single" w:sz="6" w:space="0" w:color="auto"/>
            </w:tcBorders>
          </w:tcPr>
          <w:p w:rsidR="00176334" w:rsidRDefault="00176334">
            <w:pPr>
              <w:tabs>
                <w:tab w:val="center" w:pos="4536"/>
                <w:tab w:val="center" w:pos="9072"/>
              </w:tabs>
              <w:jc w:val="both"/>
            </w:pPr>
            <w:proofErr w:type="spellStart"/>
            <w:r>
              <w:t>Thyroxine</w:t>
            </w:r>
            <w:proofErr w:type="spellEnd"/>
            <w:r>
              <w:t xml:space="preserve"> dose/kg/day</w:t>
            </w:r>
          </w:p>
        </w:tc>
      </w:tr>
      <w:tr w:rsidR="00176334">
        <w:tc>
          <w:tcPr>
            <w:tcW w:w="4687" w:type="dxa"/>
          </w:tcPr>
          <w:p w:rsidR="00176334" w:rsidRDefault="00176334">
            <w:pPr>
              <w:tabs>
                <w:tab w:val="center" w:pos="4536"/>
                <w:tab w:val="center" w:pos="9072"/>
              </w:tabs>
              <w:jc w:val="both"/>
            </w:pPr>
            <w:r>
              <w:t>0-6 months</w:t>
            </w:r>
          </w:p>
        </w:tc>
        <w:tc>
          <w:tcPr>
            <w:tcW w:w="4687" w:type="dxa"/>
          </w:tcPr>
          <w:p w:rsidR="00176334" w:rsidRDefault="00176334">
            <w:pPr>
              <w:tabs>
                <w:tab w:val="center" w:pos="4536"/>
                <w:tab w:val="center" w:pos="9072"/>
              </w:tabs>
              <w:jc w:val="both"/>
            </w:pPr>
            <w:r>
              <w:t>8 µg approximately</w:t>
            </w:r>
          </w:p>
        </w:tc>
      </w:tr>
      <w:tr w:rsidR="00176334">
        <w:tc>
          <w:tcPr>
            <w:tcW w:w="4687" w:type="dxa"/>
          </w:tcPr>
          <w:p w:rsidR="00176334" w:rsidRDefault="00176334">
            <w:pPr>
              <w:tabs>
                <w:tab w:val="center" w:pos="4536"/>
                <w:tab w:val="center" w:pos="9072"/>
              </w:tabs>
              <w:jc w:val="both"/>
            </w:pPr>
            <w:r>
              <w:t>6-12 months</w:t>
            </w:r>
          </w:p>
        </w:tc>
        <w:tc>
          <w:tcPr>
            <w:tcW w:w="4687" w:type="dxa"/>
          </w:tcPr>
          <w:p w:rsidR="00176334" w:rsidRDefault="00176334">
            <w:pPr>
              <w:tabs>
                <w:tab w:val="center" w:pos="4536"/>
                <w:tab w:val="center" w:pos="9072"/>
              </w:tabs>
              <w:jc w:val="both"/>
            </w:pPr>
            <w:r>
              <w:t>6 µg approximately</w:t>
            </w:r>
          </w:p>
        </w:tc>
      </w:tr>
      <w:tr w:rsidR="00176334">
        <w:tc>
          <w:tcPr>
            <w:tcW w:w="4687" w:type="dxa"/>
          </w:tcPr>
          <w:p w:rsidR="00176334" w:rsidRDefault="00176334">
            <w:pPr>
              <w:tabs>
                <w:tab w:val="center" w:pos="4536"/>
                <w:tab w:val="center" w:pos="9072"/>
              </w:tabs>
              <w:jc w:val="both"/>
            </w:pPr>
            <w:r>
              <w:t>1-5 years</w:t>
            </w:r>
          </w:p>
        </w:tc>
        <w:tc>
          <w:tcPr>
            <w:tcW w:w="4687" w:type="dxa"/>
          </w:tcPr>
          <w:p w:rsidR="00176334" w:rsidRDefault="00176334">
            <w:pPr>
              <w:tabs>
                <w:tab w:val="center" w:pos="4536"/>
                <w:tab w:val="center" w:pos="9072"/>
              </w:tabs>
              <w:jc w:val="both"/>
            </w:pPr>
            <w:r>
              <w:t>5 µg approximately</w:t>
            </w:r>
          </w:p>
        </w:tc>
      </w:tr>
      <w:tr w:rsidR="00176334">
        <w:tc>
          <w:tcPr>
            <w:tcW w:w="4687" w:type="dxa"/>
          </w:tcPr>
          <w:p w:rsidR="00176334" w:rsidRDefault="00176334">
            <w:pPr>
              <w:tabs>
                <w:tab w:val="center" w:pos="4536"/>
                <w:tab w:val="center" w:pos="9072"/>
              </w:tabs>
              <w:jc w:val="both"/>
            </w:pPr>
            <w:r>
              <w:t>6-12 years</w:t>
            </w:r>
          </w:p>
        </w:tc>
        <w:tc>
          <w:tcPr>
            <w:tcW w:w="4687" w:type="dxa"/>
          </w:tcPr>
          <w:p w:rsidR="00176334" w:rsidRDefault="00176334">
            <w:pPr>
              <w:tabs>
                <w:tab w:val="center" w:pos="4536"/>
                <w:tab w:val="center" w:pos="9072"/>
              </w:tabs>
              <w:jc w:val="both"/>
            </w:pPr>
            <w:r>
              <w:t>4 µg approximately</w:t>
            </w:r>
          </w:p>
        </w:tc>
      </w:tr>
      <w:tr w:rsidR="00176334">
        <w:tc>
          <w:tcPr>
            <w:tcW w:w="4687" w:type="dxa"/>
            <w:tcBorders>
              <w:bottom w:val="single" w:sz="6" w:space="0" w:color="auto"/>
            </w:tcBorders>
          </w:tcPr>
          <w:p w:rsidR="00176334" w:rsidRDefault="00176334">
            <w:pPr>
              <w:pStyle w:val="Footer"/>
              <w:tabs>
                <w:tab w:val="clear" w:pos="4153"/>
                <w:tab w:val="clear" w:pos="8306"/>
                <w:tab w:val="center" w:pos="4536"/>
                <w:tab w:val="center" w:pos="9072"/>
              </w:tabs>
              <w:rPr>
                <w:rFonts w:ascii="Times New Roman" w:hAnsi="Times New Roman"/>
                <w:sz w:val="24"/>
                <w:lang w:val="en-AU"/>
              </w:rPr>
            </w:pPr>
            <w:r>
              <w:rPr>
                <w:rFonts w:ascii="Times New Roman" w:hAnsi="Times New Roman"/>
                <w:sz w:val="24"/>
                <w:lang w:val="en-AU"/>
              </w:rPr>
              <w:t>12 years and over</w:t>
            </w:r>
          </w:p>
        </w:tc>
        <w:tc>
          <w:tcPr>
            <w:tcW w:w="4687" w:type="dxa"/>
            <w:tcBorders>
              <w:bottom w:val="single" w:sz="6" w:space="0" w:color="auto"/>
            </w:tcBorders>
          </w:tcPr>
          <w:p w:rsidR="00176334" w:rsidRDefault="00176334">
            <w:pPr>
              <w:tabs>
                <w:tab w:val="center" w:pos="4536"/>
                <w:tab w:val="center" w:pos="9072"/>
              </w:tabs>
              <w:jc w:val="both"/>
            </w:pPr>
            <w:r>
              <w:t>2 µg approximately</w:t>
            </w:r>
          </w:p>
        </w:tc>
      </w:tr>
    </w:tbl>
    <w:p w:rsidR="00176334" w:rsidRDefault="00176334">
      <w:pPr>
        <w:tabs>
          <w:tab w:val="center" w:pos="4536"/>
          <w:tab w:val="center" w:pos="9072"/>
        </w:tabs>
        <w:jc w:val="both"/>
      </w:pPr>
      <w:r>
        <w:rPr>
          <w:b/>
        </w:rPr>
        <w:t>Note</w:t>
      </w:r>
      <w:r>
        <w:t xml:space="preserve">:  The lowest dose compatible with clinical </w:t>
      </w:r>
      <w:proofErr w:type="spellStart"/>
      <w:r>
        <w:t>euthyroidism</w:t>
      </w:r>
      <w:proofErr w:type="spellEnd"/>
      <w:r>
        <w:t xml:space="preserve"> and satisfactory laboratory values should be used.</w:t>
      </w:r>
    </w:p>
    <w:p w:rsidR="00176334" w:rsidRPr="004D4DBF" w:rsidRDefault="00955C79">
      <w:pPr>
        <w:pStyle w:val="Heading2"/>
        <w:rPr>
          <w:u w:val="none"/>
        </w:rPr>
      </w:pPr>
      <w:r>
        <w:rPr>
          <w:szCs w:val="28"/>
        </w:rPr>
        <w:br w:type="page"/>
      </w:r>
      <w:r w:rsidR="00176334" w:rsidRPr="004D4DBF">
        <w:rPr>
          <w:u w:val="none"/>
        </w:rPr>
        <w:lastRenderedPageBreak/>
        <w:t>OVERDOSAGE</w:t>
      </w:r>
    </w:p>
    <w:p w:rsidR="004D4DBF" w:rsidRDefault="004D4DBF">
      <w:pPr>
        <w:tabs>
          <w:tab w:val="center" w:pos="4536"/>
          <w:tab w:val="center" w:pos="9072"/>
        </w:tabs>
        <w:jc w:val="both"/>
      </w:pPr>
    </w:p>
    <w:p w:rsidR="00176334" w:rsidRDefault="00176334">
      <w:pPr>
        <w:tabs>
          <w:tab w:val="center" w:pos="4536"/>
          <w:tab w:val="center" w:pos="9072"/>
        </w:tabs>
        <w:jc w:val="both"/>
      </w:pPr>
      <w:r>
        <w:t xml:space="preserve">Within three to six days after ingestion any or all of the symptoms and signs listed under </w:t>
      </w:r>
      <w:r>
        <w:rPr>
          <w:b/>
        </w:rPr>
        <w:t xml:space="preserve">Precautions </w:t>
      </w:r>
      <w:r>
        <w:t>and</w:t>
      </w:r>
      <w:r>
        <w:rPr>
          <w:b/>
        </w:rPr>
        <w:t xml:space="preserve"> Adverse Reactions</w:t>
      </w:r>
      <w:r>
        <w:t xml:space="preserve"> may become evident. They may progress to “thyroid storm”, with hyperpyrexia, convulsions, heart failure, coma and subsequent death.</w:t>
      </w:r>
    </w:p>
    <w:p w:rsidR="00176334" w:rsidRDefault="00176334">
      <w:pPr>
        <w:tabs>
          <w:tab w:val="center" w:pos="4536"/>
          <w:tab w:val="center" w:pos="9072"/>
        </w:tabs>
        <w:jc w:val="both"/>
        <w:rPr>
          <w:b/>
          <w:sz w:val="28"/>
        </w:rPr>
      </w:pPr>
    </w:p>
    <w:p w:rsidR="00176334" w:rsidRDefault="00176334">
      <w:pPr>
        <w:tabs>
          <w:tab w:val="center" w:pos="4536"/>
          <w:tab w:val="center" w:pos="9072"/>
        </w:tabs>
        <w:jc w:val="both"/>
        <w:rPr>
          <w:sz w:val="28"/>
        </w:rPr>
      </w:pPr>
      <w:r w:rsidRPr="004D4DBF">
        <w:rPr>
          <w:b/>
        </w:rPr>
        <w:t>Treatment of overdose</w:t>
      </w:r>
      <w:r>
        <w:rPr>
          <w:b/>
          <w:sz w:val="28"/>
        </w:rPr>
        <w:t>:</w:t>
      </w:r>
    </w:p>
    <w:p w:rsidR="00176334" w:rsidRDefault="00176334">
      <w:pPr>
        <w:tabs>
          <w:tab w:val="center" w:pos="4536"/>
          <w:tab w:val="center" w:pos="9072"/>
        </w:tabs>
        <w:jc w:val="both"/>
        <w:outlineLvl w:val="0"/>
      </w:pPr>
      <w:r>
        <w:t xml:space="preserve">Early treatment has included gastric lavage, induced emesis and ingestion of activated charcoal. Oxygen may need to be administered and ventilation may need to be maintained. Treatment is usually symptomatic and supportive. Measures to control fever, </w:t>
      </w:r>
      <w:proofErr w:type="spellStart"/>
      <w:r>
        <w:t>hypoglycemia</w:t>
      </w:r>
      <w:proofErr w:type="spellEnd"/>
      <w:r>
        <w:t xml:space="preserve"> or fluid loss should be initiated as necessary. Of various adrenergic ß blockers, propranolol has been used commonly to control cardiac arrhythmia and other manifestations. Reserpine, </w:t>
      </w:r>
      <w:proofErr w:type="spellStart"/>
      <w:r>
        <w:t>guanethidine</w:t>
      </w:r>
      <w:proofErr w:type="spellEnd"/>
      <w:r>
        <w:t>, and digoxin have also been used. Exchange transfusion has been recommended for progressive deterioration.</w:t>
      </w:r>
    </w:p>
    <w:p w:rsidR="00176334" w:rsidRDefault="00176334">
      <w:pPr>
        <w:tabs>
          <w:tab w:val="center" w:pos="4536"/>
          <w:tab w:val="center" w:pos="9072"/>
        </w:tabs>
        <w:jc w:val="both"/>
      </w:pPr>
    </w:p>
    <w:p w:rsidR="00176334" w:rsidRDefault="00176334">
      <w:pPr>
        <w:tabs>
          <w:tab w:val="center" w:pos="4536"/>
          <w:tab w:val="center" w:pos="9072"/>
        </w:tabs>
        <w:jc w:val="both"/>
      </w:pPr>
      <w:r>
        <w:t xml:space="preserve">When overdose does occur, there must be an extended follow-up period as symptoms may be delayed for several days due to the gradual peripheral conversion of </w:t>
      </w:r>
      <w:proofErr w:type="spellStart"/>
      <w:r>
        <w:t>thyroxine</w:t>
      </w:r>
      <w:proofErr w:type="spellEnd"/>
      <w:r>
        <w:t xml:space="preserve"> to tri-</w:t>
      </w:r>
      <w:proofErr w:type="spellStart"/>
      <w:r>
        <w:t>iodothyronine</w:t>
      </w:r>
      <w:proofErr w:type="spellEnd"/>
      <w:r>
        <w:t>.</w:t>
      </w:r>
    </w:p>
    <w:p w:rsidR="00176334" w:rsidRDefault="00176334">
      <w:pPr>
        <w:tabs>
          <w:tab w:val="center" w:pos="4536"/>
          <w:tab w:val="center" w:pos="9072"/>
        </w:tabs>
        <w:jc w:val="both"/>
      </w:pPr>
    </w:p>
    <w:p w:rsidR="004D4DBF" w:rsidRPr="004D4DBF" w:rsidRDefault="004D4DBF">
      <w:pPr>
        <w:tabs>
          <w:tab w:val="center" w:pos="4536"/>
          <w:tab w:val="center" w:pos="9072"/>
        </w:tabs>
        <w:jc w:val="both"/>
      </w:pPr>
    </w:p>
    <w:p w:rsidR="00176334" w:rsidRDefault="00176334">
      <w:pPr>
        <w:pStyle w:val="Heading2"/>
        <w:rPr>
          <w:b w:val="0"/>
        </w:rPr>
      </w:pPr>
      <w:r w:rsidRPr="004D4DBF">
        <w:rPr>
          <w:u w:val="none"/>
        </w:rPr>
        <w:t>PRESENTATION</w:t>
      </w:r>
      <w:r w:rsidRPr="004D4DBF">
        <w:rPr>
          <w:b w:val="0"/>
          <w:u w:val="none"/>
        </w:rPr>
        <w:t xml:space="preserve"> </w:t>
      </w:r>
      <w:r>
        <w:rPr>
          <w:b w:val="0"/>
          <w:u w:val="none"/>
        </w:rPr>
        <w:t xml:space="preserve">   </w:t>
      </w:r>
      <w:r>
        <w:rPr>
          <w:b w:val="0"/>
          <w:sz w:val="22"/>
          <w:u w:val="none"/>
        </w:rPr>
        <w:t>(Oral Tablets):</w:t>
      </w:r>
    </w:p>
    <w:p w:rsidR="004D4DBF" w:rsidRDefault="004D4DBF">
      <w:pPr>
        <w:tabs>
          <w:tab w:val="center" w:pos="4536"/>
          <w:tab w:val="center" w:pos="9072"/>
        </w:tabs>
        <w:jc w:val="both"/>
        <w:rPr>
          <w:b/>
        </w:rPr>
      </w:pPr>
    </w:p>
    <w:p w:rsidR="005C4856" w:rsidRPr="005C4856" w:rsidRDefault="005C4856">
      <w:pPr>
        <w:tabs>
          <w:tab w:val="center" w:pos="4536"/>
          <w:tab w:val="center" w:pos="9072"/>
        </w:tabs>
        <w:jc w:val="both"/>
        <w:rPr>
          <w:bCs/>
        </w:rPr>
      </w:pPr>
      <w:proofErr w:type="gramStart"/>
      <w:r>
        <w:rPr>
          <w:b/>
        </w:rPr>
        <w:t>25 microgram,</w:t>
      </w:r>
      <w:r>
        <w:rPr>
          <w:bCs/>
        </w:rPr>
        <w:t xml:space="preserve"> round, white coloured, flat, bevelled tablets </w:t>
      </w:r>
      <w:proofErr w:type="spellStart"/>
      <w:r>
        <w:rPr>
          <w:bCs/>
        </w:rPr>
        <w:t>debossed</w:t>
      </w:r>
      <w:proofErr w:type="spellEnd"/>
      <w:r>
        <w:rPr>
          <w:bCs/>
        </w:rPr>
        <w:t xml:space="preserve"> with ‘25’ on one side and bisected on the other side</w:t>
      </w:r>
      <w:r w:rsidR="00B83D83">
        <w:rPr>
          <w:bCs/>
        </w:rPr>
        <w:t>,</w:t>
      </w:r>
      <w:r>
        <w:rPr>
          <w:bCs/>
        </w:rPr>
        <w:t xml:space="preserve"> in bottles of 200 tablets.</w:t>
      </w:r>
      <w:proofErr w:type="gramEnd"/>
    </w:p>
    <w:p w:rsidR="00176334" w:rsidRDefault="00176334">
      <w:pPr>
        <w:tabs>
          <w:tab w:val="center" w:pos="4536"/>
          <w:tab w:val="center" w:pos="9072"/>
        </w:tabs>
        <w:jc w:val="both"/>
      </w:pPr>
      <w:r>
        <w:rPr>
          <w:b/>
        </w:rPr>
        <w:t>50</w:t>
      </w:r>
      <w:r>
        <w:t xml:space="preserve"> </w:t>
      </w:r>
      <w:r>
        <w:rPr>
          <w:b/>
        </w:rPr>
        <w:t xml:space="preserve">microgram, </w:t>
      </w:r>
      <w:r w:rsidR="005C4856">
        <w:rPr>
          <w:bCs/>
        </w:rPr>
        <w:t xml:space="preserve">round, white coloured, flat, bevelled tablets </w:t>
      </w:r>
      <w:proofErr w:type="spellStart"/>
      <w:r w:rsidR="005C4856">
        <w:rPr>
          <w:bCs/>
        </w:rPr>
        <w:t>debossed</w:t>
      </w:r>
      <w:proofErr w:type="spellEnd"/>
      <w:r w:rsidR="005C4856">
        <w:rPr>
          <w:bCs/>
        </w:rPr>
        <w:t xml:space="preserve"> with ‘50’ on one side and ‘L01’ on the other side</w:t>
      </w:r>
      <w:r w:rsidR="00B83D83">
        <w:rPr>
          <w:bCs/>
        </w:rPr>
        <w:t>, in bottles of 200 tablets.</w:t>
      </w:r>
    </w:p>
    <w:p w:rsidR="0092546E" w:rsidRDefault="00D9669C" w:rsidP="00B83D83">
      <w:pPr>
        <w:tabs>
          <w:tab w:val="center" w:pos="4536"/>
          <w:tab w:val="center" w:pos="9072"/>
        </w:tabs>
        <w:jc w:val="both"/>
        <w:rPr>
          <w:bCs/>
        </w:rPr>
      </w:pPr>
      <w:r>
        <w:rPr>
          <w:b/>
        </w:rPr>
        <w:t>75 microgram</w:t>
      </w:r>
      <w:r>
        <w:t xml:space="preserve">, </w:t>
      </w:r>
      <w:r w:rsidR="00B83D83">
        <w:rPr>
          <w:bCs/>
        </w:rPr>
        <w:t xml:space="preserve">round, white coloured, flat, bevelled tablets </w:t>
      </w:r>
      <w:proofErr w:type="spellStart"/>
      <w:r w:rsidR="00B83D83">
        <w:rPr>
          <w:bCs/>
        </w:rPr>
        <w:t>debossed</w:t>
      </w:r>
      <w:proofErr w:type="spellEnd"/>
      <w:r w:rsidR="00B83D83">
        <w:rPr>
          <w:bCs/>
        </w:rPr>
        <w:t xml:space="preserve"> with ‘75’ on one side and ‘L02’ on the other side, in bottles of 200 tablets.</w:t>
      </w:r>
    </w:p>
    <w:p w:rsidR="00B83D83" w:rsidRDefault="00B83D83" w:rsidP="00B83D83">
      <w:pPr>
        <w:tabs>
          <w:tab w:val="center" w:pos="4536"/>
          <w:tab w:val="center" w:pos="9072"/>
        </w:tabs>
        <w:jc w:val="both"/>
        <w:rPr>
          <w:bCs/>
        </w:rPr>
      </w:pPr>
      <w:r>
        <w:rPr>
          <w:b/>
        </w:rPr>
        <w:t>88 microgram</w:t>
      </w:r>
      <w:r>
        <w:t xml:space="preserve">, </w:t>
      </w:r>
      <w:r>
        <w:rPr>
          <w:bCs/>
        </w:rPr>
        <w:t xml:space="preserve">round, white coloured, flat, bevelled tablets </w:t>
      </w:r>
      <w:proofErr w:type="spellStart"/>
      <w:r>
        <w:rPr>
          <w:bCs/>
        </w:rPr>
        <w:t>debossed</w:t>
      </w:r>
      <w:proofErr w:type="spellEnd"/>
      <w:r>
        <w:rPr>
          <w:bCs/>
        </w:rPr>
        <w:t xml:space="preserve"> with ‘88’ on one side and ‘L07’ on the other side, in bottles of 200 tablets.</w:t>
      </w:r>
    </w:p>
    <w:p w:rsidR="00176334" w:rsidRDefault="00176334" w:rsidP="00B83D83">
      <w:pPr>
        <w:tabs>
          <w:tab w:val="center" w:pos="4536"/>
          <w:tab w:val="center" w:pos="9072"/>
        </w:tabs>
        <w:jc w:val="both"/>
      </w:pPr>
      <w:r>
        <w:rPr>
          <w:b/>
        </w:rPr>
        <w:t>100 microgram</w:t>
      </w:r>
      <w:r>
        <w:t xml:space="preserve">, </w:t>
      </w:r>
      <w:r w:rsidR="00B83D83">
        <w:rPr>
          <w:bCs/>
        </w:rPr>
        <w:t xml:space="preserve">round, white coloured, flat, bevelled tablets </w:t>
      </w:r>
      <w:proofErr w:type="spellStart"/>
      <w:r w:rsidR="00B83D83">
        <w:rPr>
          <w:bCs/>
        </w:rPr>
        <w:t>debossed</w:t>
      </w:r>
      <w:proofErr w:type="spellEnd"/>
      <w:r w:rsidR="00B83D83">
        <w:rPr>
          <w:bCs/>
        </w:rPr>
        <w:t xml:space="preserve"> with ‘100’ on one side and ‘L10’ on the other side, in bottles of 200 tablets.</w:t>
      </w:r>
    </w:p>
    <w:p w:rsidR="00B83D83" w:rsidRDefault="00B83D83">
      <w:pPr>
        <w:tabs>
          <w:tab w:val="center" w:pos="4536"/>
          <w:tab w:val="center" w:pos="9072"/>
        </w:tabs>
        <w:jc w:val="both"/>
        <w:rPr>
          <w:bCs/>
        </w:rPr>
      </w:pPr>
      <w:r>
        <w:rPr>
          <w:b/>
        </w:rPr>
        <w:t>112 microgram</w:t>
      </w:r>
      <w:r>
        <w:t xml:space="preserve">, </w:t>
      </w:r>
      <w:r>
        <w:rPr>
          <w:bCs/>
        </w:rPr>
        <w:t xml:space="preserve">round, white coloured, flat, bevelled tablets </w:t>
      </w:r>
      <w:proofErr w:type="spellStart"/>
      <w:r>
        <w:rPr>
          <w:bCs/>
        </w:rPr>
        <w:t>debossed</w:t>
      </w:r>
      <w:proofErr w:type="spellEnd"/>
      <w:r>
        <w:rPr>
          <w:bCs/>
        </w:rPr>
        <w:t xml:space="preserve"> with ‘112’ on one side and ‘L11’ on the other side, in bottles of 200 tablets.</w:t>
      </w:r>
    </w:p>
    <w:p w:rsidR="00B83D83" w:rsidRDefault="00B83D83">
      <w:pPr>
        <w:tabs>
          <w:tab w:val="center" w:pos="4536"/>
          <w:tab w:val="center" w:pos="9072"/>
        </w:tabs>
        <w:jc w:val="both"/>
        <w:rPr>
          <w:bCs/>
        </w:rPr>
      </w:pPr>
      <w:r>
        <w:rPr>
          <w:b/>
        </w:rPr>
        <w:t>125 microgram</w:t>
      </w:r>
      <w:r>
        <w:t xml:space="preserve">, </w:t>
      </w:r>
      <w:r>
        <w:rPr>
          <w:bCs/>
        </w:rPr>
        <w:t xml:space="preserve">round, white coloured, flat, bevelled tablets </w:t>
      </w:r>
      <w:proofErr w:type="spellStart"/>
      <w:r>
        <w:rPr>
          <w:bCs/>
        </w:rPr>
        <w:t>debossed</w:t>
      </w:r>
      <w:proofErr w:type="spellEnd"/>
      <w:r>
        <w:rPr>
          <w:bCs/>
        </w:rPr>
        <w:t xml:space="preserve"> with ‘125’ on one side and ‘L12’ on the other side, in bottles of 200 tablets.</w:t>
      </w:r>
    </w:p>
    <w:p w:rsidR="00B24285" w:rsidRDefault="00B24285" w:rsidP="00B24285">
      <w:pPr>
        <w:tabs>
          <w:tab w:val="center" w:pos="4536"/>
          <w:tab w:val="center" w:pos="9072"/>
        </w:tabs>
        <w:jc w:val="both"/>
        <w:rPr>
          <w:bCs/>
        </w:rPr>
      </w:pPr>
      <w:r>
        <w:rPr>
          <w:b/>
        </w:rPr>
        <w:t>137 microgram</w:t>
      </w:r>
      <w:r>
        <w:t xml:space="preserve">, </w:t>
      </w:r>
      <w:r>
        <w:rPr>
          <w:bCs/>
        </w:rPr>
        <w:t xml:space="preserve">round, white coloured, flat, bevelled tablets </w:t>
      </w:r>
      <w:proofErr w:type="spellStart"/>
      <w:r>
        <w:rPr>
          <w:bCs/>
        </w:rPr>
        <w:t>debossed</w:t>
      </w:r>
      <w:proofErr w:type="spellEnd"/>
      <w:r>
        <w:rPr>
          <w:bCs/>
        </w:rPr>
        <w:t xml:space="preserve"> with ‘137’ on one side and ‘L15’ on the other side, in bottles of 200 tablets.</w:t>
      </w:r>
    </w:p>
    <w:p w:rsidR="00B24285" w:rsidRDefault="00B24285" w:rsidP="00B24285">
      <w:pPr>
        <w:tabs>
          <w:tab w:val="center" w:pos="4536"/>
          <w:tab w:val="center" w:pos="9072"/>
        </w:tabs>
        <w:jc w:val="both"/>
        <w:rPr>
          <w:bCs/>
        </w:rPr>
      </w:pPr>
      <w:r>
        <w:rPr>
          <w:b/>
        </w:rPr>
        <w:t>150 microgram</w:t>
      </w:r>
      <w:r>
        <w:t xml:space="preserve">, </w:t>
      </w:r>
      <w:r>
        <w:rPr>
          <w:bCs/>
        </w:rPr>
        <w:t xml:space="preserve">round, white coloured, flat, bevelled tablets </w:t>
      </w:r>
      <w:proofErr w:type="spellStart"/>
      <w:r>
        <w:rPr>
          <w:bCs/>
        </w:rPr>
        <w:t>debossed</w:t>
      </w:r>
      <w:proofErr w:type="spellEnd"/>
      <w:r>
        <w:rPr>
          <w:bCs/>
        </w:rPr>
        <w:t xml:space="preserve"> with ‘150’ on one side and ‘L1</w:t>
      </w:r>
      <w:r w:rsidR="00604B89">
        <w:rPr>
          <w:bCs/>
        </w:rPr>
        <w:t>7</w:t>
      </w:r>
      <w:r>
        <w:rPr>
          <w:bCs/>
        </w:rPr>
        <w:t>’ on the other side, in bottles of 200 tablets.</w:t>
      </w:r>
    </w:p>
    <w:p w:rsidR="00B24285" w:rsidRDefault="00B24285" w:rsidP="00B24285">
      <w:pPr>
        <w:tabs>
          <w:tab w:val="center" w:pos="4536"/>
          <w:tab w:val="center" w:pos="9072"/>
        </w:tabs>
        <w:jc w:val="both"/>
        <w:rPr>
          <w:bCs/>
        </w:rPr>
      </w:pPr>
      <w:r>
        <w:rPr>
          <w:b/>
        </w:rPr>
        <w:t>175 microgram</w:t>
      </w:r>
      <w:r>
        <w:t xml:space="preserve">, </w:t>
      </w:r>
      <w:r>
        <w:rPr>
          <w:bCs/>
        </w:rPr>
        <w:t xml:space="preserve">round, white coloured, flat, bevelled tablets </w:t>
      </w:r>
      <w:proofErr w:type="spellStart"/>
      <w:r>
        <w:rPr>
          <w:bCs/>
        </w:rPr>
        <w:t>debossed</w:t>
      </w:r>
      <w:proofErr w:type="spellEnd"/>
      <w:r>
        <w:rPr>
          <w:bCs/>
        </w:rPr>
        <w:t xml:space="preserve"> with ‘175’ on one side and ‘L</w:t>
      </w:r>
      <w:r w:rsidR="00604B89">
        <w:rPr>
          <w:bCs/>
        </w:rPr>
        <w:t>20</w:t>
      </w:r>
      <w:r>
        <w:rPr>
          <w:bCs/>
        </w:rPr>
        <w:t>’ on the other side, in bottles of 200 tablets.</w:t>
      </w:r>
    </w:p>
    <w:p w:rsidR="00176334" w:rsidRDefault="00176334">
      <w:pPr>
        <w:tabs>
          <w:tab w:val="center" w:pos="4536"/>
          <w:tab w:val="center" w:pos="9072"/>
        </w:tabs>
        <w:jc w:val="both"/>
      </w:pPr>
      <w:r>
        <w:rPr>
          <w:b/>
        </w:rPr>
        <w:t>200 microgram</w:t>
      </w:r>
      <w:r>
        <w:t xml:space="preserve">, </w:t>
      </w:r>
      <w:r w:rsidR="007D067B">
        <w:rPr>
          <w:bCs/>
        </w:rPr>
        <w:t xml:space="preserve">round, white coloured, flat, bevelled tablets </w:t>
      </w:r>
      <w:proofErr w:type="spellStart"/>
      <w:r w:rsidR="007D067B">
        <w:rPr>
          <w:bCs/>
        </w:rPr>
        <w:t>debossed</w:t>
      </w:r>
      <w:proofErr w:type="spellEnd"/>
      <w:r w:rsidR="007D067B">
        <w:rPr>
          <w:bCs/>
        </w:rPr>
        <w:t xml:space="preserve"> with</w:t>
      </w:r>
      <w:r>
        <w:t xml:space="preserve"> “200” on one side</w:t>
      </w:r>
      <w:r w:rsidR="00B83D83">
        <w:t xml:space="preserve"> </w:t>
      </w:r>
      <w:r w:rsidR="002F1A6B">
        <w:rPr>
          <w:bCs/>
        </w:rPr>
        <w:t>and ‘L21</w:t>
      </w:r>
      <w:r w:rsidR="00B83D83">
        <w:rPr>
          <w:bCs/>
        </w:rPr>
        <w:t>’ on the other side, in bottles of 200 tablets.</w:t>
      </w:r>
    </w:p>
    <w:p w:rsidR="00515049" w:rsidRPr="009B57CE" w:rsidRDefault="00515049" w:rsidP="00515049">
      <w:pPr>
        <w:tabs>
          <w:tab w:val="center" w:pos="4536"/>
          <w:tab w:val="center" w:pos="9072"/>
        </w:tabs>
        <w:spacing w:before="120"/>
        <w:jc w:val="both"/>
        <w:outlineLvl w:val="0"/>
        <w:rPr>
          <w:sz w:val="20"/>
        </w:rPr>
      </w:pPr>
      <w:proofErr w:type="gramStart"/>
      <w:r w:rsidRPr="009B57CE">
        <w:rPr>
          <w:sz w:val="20"/>
        </w:rPr>
        <w:t>*  All</w:t>
      </w:r>
      <w:proofErr w:type="gramEnd"/>
      <w:r w:rsidRPr="009B57CE">
        <w:rPr>
          <w:sz w:val="20"/>
        </w:rPr>
        <w:t xml:space="preserve"> </w:t>
      </w:r>
      <w:r>
        <w:rPr>
          <w:sz w:val="20"/>
        </w:rPr>
        <w:t xml:space="preserve">tablet </w:t>
      </w:r>
      <w:r w:rsidRPr="009B57CE">
        <w:rPr>
          <w:sz w:val="20"/>
        </w:rPr>
        <w:t>strengths may not be available in Australia.</w:t>
      </w:r>
    </w:p>
    <w:p w:rsidR="00176334" w:rsidRDefault="00176334">
      <w:pPr>
        <w:tabs>
          <w:tab w:val="center" w:pos="4536"/>
          <w:tab w:val="center" w:pos="9072"/>
        </w:tabs>
        <w:jc w:val="both"/>
        <w:outlineLvl w:val="0"/>
        <w:rPr>
          <w:sz w:val="28"/>
        </w:rPr>
      </w:pPr>
    </w:p>
    <w:p w:rsidR="004D4DBF" w:rsidRDefault="004D4DBF">
      <w:pPr>
        <w:tabs>
          <w:tab w:val="center" w:pos="4536"/>
          <w:tab w:val="center" w:pos="9072"/>
        </w:tabs>
        <w:jc w:val="both"/>
        <w:outlineLvl w:val="0"/>
        <w:rPr>
          <w:sz w:val="28"/>
        </w:rPr>
      </w:pPr>
    </w:p>
    <w:p w:rsidR="00176334" w:rsidRPr="004D4DBF" w:rsidRDefault="00176334">
      <w:pPr>
        <w:pStyle w:val="Heading2"/>
        <w:rPr>
          <w:b w:val="0"/>
          <w:u w:val="none"/>
        </w:rPr>
      </w:pPr>
      <w:r w:rsidRPr="004D4DBF">
        <w:rPr>
          <w:u w:val="none"/>
        </w:rPr>
        <w:lastRenderedPageBreak/>
        <w:t>STORAGE</w:t>
      </w:r>
    </w:p>
    <w:p w:rsidR="004D4DBF" w:rsidRDefault="004D4DBF">
      <w:pPr>
        <w:jc w:val="both"/>
      </w:pPr>
    </w:p>
    <w:p w:rsidR="00176334" w:rsidRDefault="00176334">
      <w:pPr>
        <w:jc w:val="both"/>
      </w:pPr>
      <w:r>
        <w:t xml:space="preserve">Store </w:t>
      </w:r>
      <w:r w:rsidR="00A043E3">
        <w:t xml:space="preserve">below </w:t>
      </w:r>
      <w:r w:rsidR="00C5730C">
        <w:t>25</w:t>
      </w:r>
      <w:r w:rsidR="002F1A6B">
        <w:rPr>
          <w:vertAlign w:val="superscript"/>
        </w:rPr>
        <w:t>°</w:t>
      </w:r>
      <w:r w:rsidR="00A043E3">
        <w:t>C.</w:t>
      </w:r>
      <w:r w:rsidR="00A06862">
        <w:t xml:space="preserve">  </w:t>
      </w:r>
      <w:r w:rsidR="005C4856">
        <w:t>Store in the original container and protect from light.  Keep the container tightly closed.</w:t>
      </w:r>
    </w:p>
    <w:p w:rsidR="004D4DBF" w:rsidRDefault="00176334">
      <w:pPr>
        <w:tabs>
          <w:tab w:val="center" w:pos="4536"/>
          <w:tab w:val="center" w:pos="9072"/>
        </w:tabs>
        <w:jc w:val="both"/>
        <w:outlineLvl w:val="0"/>
        <w:rPr>
          <w:b/>
          <w:sz w:val="28"/>
        </w:rPr>
      </w:pPr>
      <w:r w:rsidRPr="004D4DBF">
        <w:rPr>
          <w:b/>
          <w:sz w:val="28"/>
        </w:rPr>
        <w:t>POISONS SCHEDULE</w:t>
      </w:r>
    </w:p>
    <w:p w:rsidR="004D4DBF" w:rsidRPr="00343569" w:rsidRDefault="004D4DBF">
      <w:pPr>
        <w:tabs>
          <w:tab w:val="center" w:pos="4536"/>
          <w:tab w:val="center" w:pos="9072"/>
        </w:tabs>
        <w:jc w:val="both"/>
        <w:outlineLvl w:val="0"/>
        <w:rPr>
          <w:b/>
          <w:szCs w:val="24"/>
        </w:rPr>
      </w:pPr>
    </w:p>
    <w:p w:rsidR="00176334" w:rsidRDefault="00176334">
      <w:pPr>
        <w:tabs>
          <w:tab w:val="center" w:pos="4536"/>
          <w:tab w:val="center" w:pos="9072"/>
        </w:tabs>
        <w:jc w:val="both"/>
        <w:outlineLvl w:val="0"/>
        <w:rPr>
          <w:sz w:val="28"/>
        </w:rPr>
      </w:pPr>
      <w:r>
        <w:t>S4 (Prescription Only Medicine)</w:t>
      </w:r>
    </w:p>
    <w:p w:rsidR="004D4DBF" w:rsidRDefault="004D4DBF">
      <w:pPr>
        <w:tabs>
          <w:tab w:val="center" w:pos="4536"/>
          <w:tab w:val="center" w:pos="9072"/>
        </w:tabs>
        <w:jc w:val="both"/>
        <w:rPr>
          <w:sz w:val="28"/>
        </w:rPr>
      </w:pPr>
    </w:p>
    <w:p w:rsidR="00955C79" w:rsidRDefault="00955C79">
      <w:pPr>
        <w:tabs>
          <w:tab w:val="center" w:pos="4536"/>
          <w:tab w:val="center" w:pos="9072"/>
        </w:tabs>
        <w:jc w:val="both"/>
        <w:rPr>
          <w:sz w:val="28"/>
        </w:rPr>
      </w:pPr>
    </w:p>
    <w:p w:rsidR="00176334" w:rsidRPr="004D4DBF" w:rsidRDefault="00176334">
      <w:pPr>
        <w:pStyle w:val="Heading2"/>
        <w:rPr>
          <w:u w:val="none"/>
        </w:rPr>
      </w:pPr>
      <w:r w:rsidRPr="004D4DBF">
        <w:rPr>
          <w:u w:val="none"/>
        </w:rPr>
        <w:t>NAME AND ADDRESS OF SPONSOR</w:t>
      </w:r>
    </w:p>
    <w:p w:rsidR="004D4DBF" w:rsidRDefault="004D4DBF" w:rsidP="00C110A5">
      <w:pPr>
        <w:pStyle w:val="DefaultText"/>
        <w:tabs>
          <w:tab w:val="left" w:pos="4200"/>
        </w:tabs>
        <w:rPr>
          <w:szCs w:val="24"/>
        </w:rPr>
      </w:pPr>
      <w:bookmarkStart w:id="1" w:name="OLE_LINK1"/>
      <w:bookmarkStart w:id="2" w:name="OLE_LINK2"/>
      <w:bookmarkStart w:id="3" w:name="OLE_LINK3"/>
    </w:p>
    <w:p w:rsidR="00C110A5" w:rsidRPr="00C110A5" w:rsidRDefault="004D4DBF" w:rsidP="00C110A5">
      <w:pPr>
        <w:pStyle w:val="DefaultText"/>
        <w:tabs>
          <w:tab w:val="left" w:pos="4200"/>
        </w:tabs>
        <w:rPr>
          <w:szCs w:val="24"/>
        </w:rPr>
      </w:pPr>
      <w:r w:rsidRPr="00C110A5">
        <w:rPr>
          <w:szCs w:val="24"/>
        </w:rPr>
        <w:t xml:space="preserve">Aspen </w:t>
      </w:r>
      <w:proofErr w:type="spellStart"/>
      <w:r w:rsidRPr="00C110A5">
        <w:rPr>
          <w:szCs w:val="24"/>
        </w:rPr>
        <w:t>Pharma</w:t>
      </w:r>
      <w:proofErr w:type="spellEnd"/>
      <w:r w:rsidRPr="00C110A5">
        <w:rPr>
          <w:szCs w:val="24"/>
        </w:rPr>
        <w:t xml:space="preserve"> Pty Ltd</w:t>
      </w:r>
    </w:p>
    <w:p w:rsidR="00C110A5" w:rsidRPr="00C110A5" w:rsidRDefault="00C110A5" w:rsidP="00C110A5">
      <w:pPr>
        <w:pStyle w:val="DefaultText"/>
        <w:tabs>
          <w:tab w:val="left" w:pos="4200"/>
        </w:tabs>
        <w:rPr>
          <w:szCs w:val="24"/>
        </w:rPr>
      </w:pPr>
      <w:r w:rsidRPr="00C110A5">
        <w:rPr>
          <w:szCs w:val="24"/>
        </w:rPr>
        <w:t xml:space="preserve">34-36 </w:t>
      </w:r>
      <w:proofErr w:type="spellStart"/>
      <w:r w:rsidRPr="00C110A5">
        <w:rPr>
          <w:szCs w:val="24"/>
        </w:rPr>
        <w:t>Chandos</w:t>
      </w:r>
      <w:proofErr w:type="spellEnd"/>
      <w:r w:rsidRPr="00C110A5">
        <w:rPr>
          <w:szCs w:val="24"/>
        </w:rPr>
        <w:t xml:space="preserve"> Street, </w:t>
      </w:r>
    </w:p>
    <w:p w:rsidR="00C110A5" w:rsidRPr="00C110A5" w:rsidRDefault="00C110A5" w:rsidP="00C110A5">
      <w:pPr>
        <w:pStyle w:val="DefaultText"/>
        <w:tabs>
          <w:tab w:val="left" w:pos="4200"/>
        </w:tabs>
        <w:rPr>
          <w:szCs w:val="24"/>
        </w:rPr>
      </w:pPr>
      <w:r w:rsidRPr="00C110A5">
        <w:rPr>
          <w:szCs w:val="24"/>
        </w:rPr>
        <w:t xml:space="preserve">St. Leonards NSW 2065 </w:t>
      </w:r>
    </w:p>
    <w:p w:rsidR="00C110A5" w:rsidRPr="00C110A5" w:rsidRDefault="00C110A5" w:rsidP="00C110A5">
      <w:pPr>
        <w:pStyle w:val="DefaultText"/>
        <w:tabs>
          <w:tab w:val="left" w:pos="4200"/>
        </w:tabs>
        <w:rPr>
          <w:szCs w:val="24"/>
        </w:rPr>
      </w:pPr>
      <w:smartTag w:uri="urn:schemas-microsoft-com:office:smarttags" w:element="country-region">
        <w:smartTag w:uri="urn:schemas-microsoft-com:office:smarttags" w:element="place">
          <w:r w:rsidRPr="00C110A5">
            <w:rPr>
              <w:szCs w:val="24"/>
            </w:rPr>
            <w:t>Australia</w:t>
          </w:r>
        </w:smartTag>
      </w:smartTag>
    </w:p>
    <w:bookmarkEnd w:id="1"/>
    <w:bookmarkEnd w:id="2"/>
    <w:bookmarkEnd w:id="3"/>
    <w:p w:rsidR="001D5ED2" w:rsidRPr="00C110A5" w:rsidRDefault="001D5ED2">
      <w:pPr>
        <w:tabs>
          <w:tab w:val="center" w:pos="4536"/>
          <w:tab w:val="center" w:pos="9072"/>
        </w:tabs>
        <w:jc w:val="both"/>
        <w:rPr>
          <w:szCs w:val="24"/>
        </w:rPr>
      </w:pPr>
    </w:p>
    <w:p w:rsidR="00DF2BD6" w:rsidRDefault="00DF2BD6" w:rsidP="00343569">
      <w:pPr>
        <w:tabs>
          <w:tab w:val="center" w:pos="4536"/>
          <w:tab w:val="center" w:pos="9072"/>
        </w:tabs>
        <w:jc w:val="both"/>
        <w:rPr>
          <w:sz w:val="16"/>
        </w:rPr>
      </w:pPr>
      <w:r w:rsidRPr="00C110A5">
        <w:rPr>
          <w:szCs w:val="24"/>
        </w:rPr>
        <w:t>TGA approval date</w:t>
      </w:r>
      <w:r w:rsidR="00A043E3">
        <w:rPr>
          <w:szCs w:val="24"/>
        </w:rPr>
        <w:t xml:space="preserve">: </w:t>
      </w:r>
      <w:r w:rsidR="00955C79">
        <w:rPr>
          <w:szCs w:val="24"/>
        </w:rPr>
        <w:t>9 May 2014</w:t>
      </w:r>
    </w:p>
    <w:sectPr w:rsidR="00DF2BD6" w:rsidSect="004D4DBF">
      <w:headerReference w:type="default" r:id="rId10"/>
      <w:footerReference w:type="even" r:id="rId11"/>
      <w:footerReference w:type="default" r:id="rId12"/>
      <w:pgSz w:w="11894" w:h="16834" w:code="9"/>
      <w:pgMar w:top="993" w:right="1298" w:bottom="1260" w:left="1440" w:header="567" w:footer="567" w:gutter="0"/>
      <w:paperSrc w:first="1" w:other="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E60" w:rsidRDefault="005F6E60">
      <w:r>
        <w:separator/>
      </w:r>
    </w:p>
  </w:endnote>
  <w:endnote w:type="continuationSeparator" w:id="0">
    <w:p w:rsidR="005F6E60" w:rsidRDefault="005F6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auto"/>
    <w:notTrueType/>
    <w:pitch w:val="default"/>
    <w:sig w:usb0="00000003" w:usb1="00000000" w:usb2="00000000" w:usb3="00000000" w:csb0="00000001" w:csb1="00000000"/>
  </w:font>
  <w:font w:name="Agfa Rotis Semisans">
    <w:altName w:val="Tahoma"/>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049" w:rsidRDefault="005150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515049" w:rsidRDefault="005150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049" w:rsidRPr="004D4DBF" w:rsidRDefault="00515049" w:rsidP="004D4DBF">
    <w:pPr>
      <w:pStyle w:val="Footer"/>
      <w:pBdr>
        <w:top w:val="single" w:sz="4" w:space="1" w:color="auto"/>
      </w:pBdr>
      <w:tabs>
        <w:tab w:val="clear" w:pos="8306"/>
        <w:tab w:val="right" w:pos="9072"/>
      </w:tabs>
      <w:rPr>
        <w:rFonts w:ascii="Times New Roman" w:hAnsi="Times New Roman"/>
        <w:sz w:val="20"/>
      </w:rPr>
    </w:pPr>
    <w:r>
      <w:rPr>
        <w:rStyle w:val="PageNumber"/>
        <w:rFonts w:ascii="Times New Roman" w:hAnsi="Times New Roman"/>
        <w:sz w:val="20"/>
      </w:rPr>
      <w:t xml:space="preserve">ELTROXIN </w:t>
    </w:r>
    <w:r w:rsidRPr="004D4DBF">
      <w:rPr>
        <w:rStyle w:val="PageNumber"/>
        <w:rFonts w:ascii="Times New Roman" w:hAnsi="Times New Roman"/>
        <w:sz w:val="20"/>
      </w:rPr>
      <w:t>- Product Information</w:t>
    </w:r>
    <w:r w:rsidRPr="004D4DBF">
      <w:rPr>
        <w:rStyle w:val="PageNumber"/>
        <w:rFonts w:ascii="Times New Roman" w:hAnsi="Times New Roman"/>
        <w:sz w:val="20"/>
      </w:rPr>
      <w:tab/>
    </w:r>
    <w:r w:rsidRPr="004D4DBF">
      <w:rPr>
        <w:rStyle w:val="PageNumber"/>
        <w:rFonts w:ascii="Times New Roman" w:hAnsi="Times New Roman"/>
        <w:sz w:val="20"/>
      </w:rPr>
      <w:tab/>
      <w:t xml:space="preserve">Page </w:t>
    </w:r>
    <w:r w:rsidRPr="004D4DBF">
      <w:rPr>
        <w:rStyle w:val="PageNumber"/>
        <w:rFonts w:ascii="Times New Roman" w:hAnsi="Times New Roman"/>
        <w:sz w:val="20"/>
      </w:rPr>
      <w:fldChar w:fldCharType="begin"/>
    </w:r>
    <w:r w:rsidRPr="004D4DBF">
      <w:rPr>
        <w:rStyle w:val="PageNumber"/>
        <w:rFonts w:ascii="Times New Roman" w:hAnsi="Times New Roman"/>
        <w:sz w:val="20"/>
      </w:rPr>
      <w:instrText xml:space="preserve"> PAGE   \* MERGEFORMAT </w:instrText>
    </w:r>
    <w:r w:rsidRPr="004D4DBF">
      <w:rPr>
        <w:rStyle w:val="PageNumber"/>
        <w:rFonts w:ascii="Times New Roman" w:hAnsi="Times New Roman"/>
        <w:sz w:val="20"/>
      </w:rPr>
      <w:fldChar w:fldCharType="separate"/>
    </w:r>
    <w:r w:rsidR="00FC3E54">
      <w:rPr>
        <w:rStyle w:val="PageNumber"/>
        <w:rFonts w:ascii="Times New Roman" w:hAnsi="Times New Roman"/>
        <w:noProof/>
        <w:sz w:val="20"/>
      </w:rPr>
      <w:t>1</w:t>
    </w:r>
    <w:r w:rsidRPr="004D4DBF">
      <w:rPr>
        <w:rStyle w:val="PageNumber"/>
        <w:rFonts w:ascii="Times New Roman" w:hAnsi="Times New Roman"/>
        <w:sz w:val="20"/>
      </w:rPr>
      <w:fldChar w:fldCharType="end"/>
    </w:r>
    <w:r w:rsidRPr="004D4DBF">
      <w:rPr>
        <w:rStyle w:val="PageNumber"/>
        <w:rFonts w:ascii="Times New Roman" w:hAnsi="Times New Roman"/>
        <w:sz w:val="20"/>
      </w:rPr>
      <w:t xml:space="preserve"> of </w:t>
    </w:r>
    <w:r w:rsidRPr="004D4DBF">
      <w:rPr>
        <w:rStyle w:val="PageNumber"/>
        <w:rFonts w:ascii="Times New Roman" w:hAnsi="Times New Roman"/>
        <w:sz w:val="20"/>
      </w:rPr>
      <w:fldChar w:fldCharType="begin"/>
    </w:r>
    <w:r w:rsidRPr="004D4DBF">
      <w:rPr>
        <w:rStyle w:val="PageNumber"/>
        <w:rFonts w:ascii="Times New Roman" w:hAnsi="Times New Roman"/>
        <w:sz w:val="20"/>
      </w:rPr>
      <w:instrText xml:space="preserve"> NUMPAGES   \* MERGEFORMAT </w:instrText>
    </w:r>
    <w:r w:rsidRPr="004D4DBF">
      <w:rPr>
        <w:rStyle w:val="PageNumber"/>
        <w:rFonts w:ascii="Times New Roman" w:hAnsi="Times New Roman"/>
        <w:sz w:val="20"/>
      </w:rPr>
      <w:fldChar w:fldCharType="separate"/>
    </w:r>
    <w:r w:rsidR="00FC3E54">
      <w:rPr>
        <w:rStyle w:val="PageNumber"/>
        <w:rFonts w:ascii="Times New Roman" w:hAnsi="Times New Roman"/>
        <w:noProof/>
        <w:sz w:val="20"/>
      </w:rPr>
      <w:t>11</w:t>
    </w:r>
    <w:r w:rsidRPr="004D4DBF">
      <w:rPr>
        <w:rStyle w:val="PageNumber"/>
        <w:rFonts w:ascii="Times New Roman" w:hAnsi="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E60" w:rsidRDefault="005F6E60">
      <w:r>
        <w:separator/>
      </w:r>
    </w:p>
  </w:footnote>
  <w:footnote w:type="continuationSeparator" w:id="0">
    <w:p w:rsidR="005F6E60" w:rsidRDefault="005F6E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0" w:type="auto"/>
      <w:shd w:val="clear" w:color="auto" w:fill="E4F2E0"/>
      <w:tblLook w:val="04A0" w:firstRow="1" w:lastRow="0" w:firstColumn="1" w:lastColumn="0" w:noHBand="0" w:noVBand="1"/>
    </w:tblPr>
    <w:tblGrid>
      <w:gridCol w:w="8720"/>
    </w:tblGrid>
    <w:tr w:rsidR="00FC3E54" w:rsidRPr="00FC3E54" w:rsidTr="002758FC">
      <w:tc>
        <w:tcPr>
          <w:tcW w:w="8720" w:type="dxa"/>
          <w:shd w:val="clear" w:color="auto" w:fill="E4F2E0"/>
        </w:tcPr>
        <w:p w:rsidR="00FC3E54" w:rsidRPr="00FC3E54" w:rsidRDefault="00FC3E54" w:rsidP="00FC3E54">
          <w:pPr>
            <w:spacing w:before="40" w:after="40" w:line="240" w:lineRule="atLeast"/>
            <w:rPr>
              <w:b/>
              <w:sz w:val="20"/>
            </w:rPr>
          </w:pPr>
          <w:r w:rsidRPr="00FC3E54">
            <w:rPr>
              <w:b/>
              <w:sz w:val="20"/>
            </w:rPr>
            <w:t xml:space="preserve">Attachment 1: Product information for </w:t>
          </w:r>
          <w:proofErr w:type="spellStart"/>
          <w:r w:rsidRPr="00FC3E54">
            <w:rPr>
              <w:b/>
              <w:sz w:val="20"/>
            </w:rPr>
            <w:t>AusPAR</w:t>
          </w:r>
          <w:proofErr w:type="spellEnd"/>
          <w:r w:rsidRPr="00FC3E54">
            <w:rPr>
              <w:b/>
              <w:sz w:val="20"/>
            </w:rPr>
            <w:t xml:space="preserve"> </w:t>
          </w:r>
          <w:proofErr w:type="spellStart"/>
          <w:r w:rsidRPr="00FC3E54">
            <w:rPr>
              <w:b/>
              <w:sz w:val="20"/>
            </w:rPr>
            <w:t>Eltroxin</w:t>
          </w:r>
          <w:proofErr w:type="spellEnd"/>
          <w:r w:rsidRPr="00FC3E54">
            <w:rPr>
              <w:b/>
              <w:sz w:val="20"/>
            </w:rPr>
            <w:t xml:space="preserve">, Aspen </w:t>
          </w:r>
          <w:proofErr w:type="spellStart"/>
          <w:r w:rsidRPr="00FC3E54">
            <w:rPr>
              <w:b/>
              <w:sz w:val="20"/>
            </w:rPr>
            <w:t>Thyroxine</w:t>
          </w:r>
          <w:proofErr w:type="spellEnd"/>
          <w:r w:rsidRPr="00FC3E54">
            <w:rPr>
              <w:b/>
              <w:sz w:val="20"/>
            </w:rPr>
            <w:t xml:space="preserve">, </w:t>
          </w:r>
          <w:proofErr w:type="spellStart"/>
          <w:r w:rsidRPr="00FC3E54">
            <w:rPr>
              <w:b/>
              <w:sz w:val="20"/>
            </w:rPr>
            <w:t>Thyroxine</w:t>
          </w:r>
          <w:proofErr w:type="spellEnd"/>
          <w:r w:rsidRPr="00FC3E54">
            <w:rPr>
              <w:b/>
              <w:sz w:val="20"/>
            </w:rPr>
            <w:t xml:space="preserve"> Aspen </w:t>
          </w:r>
          <w:proofErr w:type="spellStart"/>
          <w:r w:rsidRPr="00FC3E54">
            <w:rPr>
              <w:b/>
              <w:sz w:val="20"/>
            </w:rPr>
            <w:t>Thyroxine</w:t>
          </w:r>
          <w:proofErr w:type="spellEnd"/>
          <w:r w:rsidRPr="00FC3E54">
            <w:rPr>
              <w:b/>
              <w:sz w:val="20"/>
            </w:rPr>
            <w:t xml:space="preserve"> Sodium Aspen </w:t>
          </w:r>
          <w:proofErr w:type="spellStart"/>
          <w:r w:rsidRPr="00FC3E54">
            <w:rPr>
              <w:b/>
              <w:sz w:val="20"/>
            </w:rPr>
            <w:t>Pharma</w:t>
          </w:r>
          <w:proofErr w:type="spellEnd"/>
          <w:r w:rsidRPr="00FC3E54">
            <w:rPr>
              <w:b/>
              <w:sz w:val="20"/>
            </w:rPr>
            <w:t xml:space="preserve"> Pty Ltd PM-2012-04477-1-5 Final 12 June 2014. This Product Information was approved at the time this </w:t>
          </w:r>
          <w:proofErr w:type="spellStart"/>
          <w:r w:rsidRPr="00FC3E54">
            <w:rPr>
              <w:b/>
              <w:sz w:val="20"/>
            </w:rPr>
            <w:t>AusPAR</w:t>
          </w:r>
          <w:proofErr w:type="spellEnd"/>
          <w:r w:rsidRPr="00FC3E54">
            <w:rPr>
              <w:b/>
              <w:sz w:val="20"/>
            </w:rPr>
            <w:t xml:space="preserve"> was published.</w:t>
          </w:r>
        </w:p>
      </w:tc>
    </w:tr>
  </w:tbl>
  <w:p w:rsidR="00FC3E54" w:rsidRDefault="00FC3E54" w:rsidP="00FC3E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F2784"/>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
    <w:nsid w:val="1F7A524A"/>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ED2"/>
    <w:rsid w:val="000264A3"/>
    <w:rsid w:val="00063F2E"/>
    <w:rsid w:val="0007371A"/>
    <w:rsid w:val="00096F7A"/>
    <w:rsid w:val="000A5288"/>
    <w:rsid w:val="000A7116"/>
    <w:rsid w:val="000B441A"/>
    <w:rsid w:val="000C2A24"/>
    <w:rsid w:val="000E5766"/>
    <w:rsid w:val="000F30CF"/>
    <w:rsid w:val="00103075"/>
    <w:rsid w:val="00125CEE"/>
    <w:rsid w:val="001364FF"/>
    <w:rsid w:val="00137618"/>
    <w:rsid w:val="001448E5"/>
    <w:rsid w:val="00176334"/>
    <w:rsid w:val="00187E1D"/>
    <w:rsid w:val="0019283B"/>
    <w:rsid w:val="001A5679"/>
    <w:rsid w:val="001C35D9"/>
    <w:rsid w:val="001D5ED2"/>
    <w:rsid w:val="001E2DAA"/>
    <w:rsid w:val="001E58F6"/>
    <w:rsid w:val="00211C7F"/>
    <w:rsid w:val="00271F88"/>
    <w:rsid w:val="0027680E"/>
    <w:rsid w:val="002859BC"/>
    <w:rsid w:val="002A535F"/>
    <w:rsid w:val="002B0B17"/>
    <w:rsid w:val="002C7C0F"/>
    <w:rsid w:val="002F1A6B"/>
    <w:rsid w:val="00300A90"/>
    <w:rsid w:val="0030409D"/>
    <w:rsid w:val="00316A73"/>
    <w:rsid w:val="00325FF7"/>
    <w:rsid w:val="00331A36"/>
    <w:rsid w:val="00336DDE"/>
    <w:rsid w:val="0034347F"/>
    <w:rsid w:val="00343569"/>
    <w:rsid w:val="00362ED6"/>
    <w:rsid w:val="0037218E"/>
    <w:rsid w:val="003931DD"/>
    <w:rsid w:val="003C7EBE"/>
    <w:rsid w:val="003D1CED"/>
    <w:rsid w:val="003D5AF2"/>
    <w:rsid w:val="003D7AB7"/>
    <w:rsid w:val="00414F0C"/>
    <w:rsid w:val="00415A75"/>
    <w:rsid w:val="00432275"/>
    <w:rsid w:val="00471A6F"/>
    <w:rsid w:val="004A05E6"/>
    <w:rsid w:val="004A4FF6"/>
    <w:rsid w:val="004D4DBF"/>
    <w:rsid w:val="004E71A0"/>
    <w:rsid w:val="004F6CEB"/>
    <w:rsid w:val="00501C00"/>
    <w:rsid w:val="00503061"/>
    <w:rsid w:val="0050790B"/>
    <w:rsid w:val="00515049"/>
    <w:rsid w:val="00515775"/>
    <w:rsid w:val="00515C81"/>
    <w:rsid w:val="00531113"/>
    <w:rsid w:val="0053297E"/>
    <w:rsid w:val="00533DC6"/>
    <w:rsid w:val="00561300"/>
    <w:rsid w:val="0056550B"/>
    <w:rsid w:val="00593BA7"/>
    <w:rsid w:val="005B37BC"/>
    <w:rsid w:val="005C4856"/>
    <w:rsid w:val="005C5A6E"/>
    <w:rsid w:val="005D5E77"/>
    <w:rsid w:val="005F6E60"/>
    <w:rsid w:val="00604B89"/>
    <w:rsid w:val="00626348"/>
    <w:rsid w:val="00653654"/>
    <w:rsid w:val="00672CD5"/>
    <w:rsid w:val="006759B7"/>
    <w:rsid w:val="006778FA"/>
    <w:rsid w:val="006A0AD8"/>
    <w:rsid w:val="006C6F0A"/>
    <w:rsid w:val="006D7C99"/>
    <w:rsid w:val="006F2E86"/>
    <w:rsid w:val="007061DB"/>
    <w:rsid w:val="00712EF7"/>
    <w:rsid w:val="007C647A"/>
    <w:rsid w:val="007D067B"/>
    <w:rsid w:val="007D3C11"/>
    <w:rsid w:val="007D4A35"/>
    <w:rsid w:val="007E49B5"/>
    <w:rsid w:val="007E5351"/>
    <w:rsid w:val="007F5CC2"/>
    <w:rsid w:val="00823A69"/>
    <w:rsid w:val="008507C4"/>
    <w:rsid w:val="0086367C"/>
    <w:rsid w:val="00867B2D"/>
    <w:rsid w:val="00886389"/>
    <w:rsid w:val="008B617A"/>
    <w:rsid w:val="008F3A9B"/>
    <w:rsid w:val="00907EC2"/>
    <w:rsid w:val="00911F1E"/>
    <w:rsid w:val="0092546E"/>
    <w:rsid w:val="009342C6"/>
    <w:rsid w:val="00955C79"/>
    <w:rsid w:val="009609C8"/>
    <w:rsid w:val="009679B0"/>
    <w:rsid w:val="00970F0E"/>
    <w:rsid w:val="00984F9E"/>
    <w:rsid w:val="009A234A"/>
    <w:rsid w:val="009B3620"/>
    <w:rsid w:val="009B4297"/>
    <w:rsid w:val="009E5F89"/>
    <w:rsid w:val="00A043E3"/>
    <w:rsid w:val="00A06862"/>
    <w:rsid w:val="00A450F6"/>
    <w:rsid w:val="00AB1ABB"/>
    <w:rsid w:val="00AD69E4"/>
    <w:rsid w:val="00AF35E2"/>
    <w:rsid w:val="00B054AF"/>
    <w:rsid w:val="00B144C4"/>
    <w:rsid w:val="00B144DA"/>
    <w:rsid w:val="00B2068D"/>
    <w:rsid w:val="00B24285"/>
    <w:rsid w:val="00B26428"/>
    <w:rsid w:val="00B35626"/>
    <w:rsid w:val="00B83D83"/>
    <w:rsid w:val="00B979F6"/>
    <w:rsid w:val="00BA138A"/>
    <w:rsid w:val="00BB21C7"/>
    <w:rsid w:val="00BF0D0C"/>
    <w:rsid w:val="00C0477A"/>
    <w:rsid w:val="00C079FB"/>
    <w:rsid w:val="00C07DF5"/>
    <w:rsid w:val="00C110A5"/>
    <w:rsid w:val="00C1158A"/>
    <w:rsid w:val="00C246A8"/>
    <w:rsid w:val="00C5730C"/>
    <w:rsid w:val="00C67BEC"/>
    <w:rsid w:val="00C71251"/>
    <w:rsid w:val="00CA2448"/>
    <w:rsid w:val="00CA45D3"/>
    <w:rsid w:val="00CE0585"/>
    <w:rsid w:val="00CE60CF"/>
    <w:rsid w:val="00CF6E49"/>
    <w:rsid w:val="00D05336"/>
    <w:rsid w:val="00D14AC7"/>
    <w:rsid w:val="00D33481"/>
    <w:rsid w:val="00D34E72"/>
    <w:rsid w:val="00D57755"/>
    <w:rsid w:val="00D9669C"/>
    <w:rsid w:val="00DB5D54"/>
    <w:rsid w:val="00DD126A"/>
    <w:rsid w:val="00DE3AD9"/>
    <w:rsid w:val="00DF2BD6"/>
    <w:rsid w:val="00DF7D59"/>
    <w:rsid w:val="00E20D14"/>
    <w:rsid w:val="00E33302"/>
    <w:rsid w:val="00E67B51"/>
    <w:rsid w:val="00E747A2"/>
    <w:rsid w:val="00E752FC"/>
    <w:rsid w:val="00E81B94"/>
    <w:rsid w:val="00E81CA6"/>
    <w:rsid w:val="00EB2E6D"/>
    <w:rsid w:val="00EB5265"/>
    <w:rsid w:val="00EC78FB"/>
    <w:rsid w:val="00EC79EE"/>
    <w:rsid w:val="00ED3F3D"/>
    <w:rsid w:val="00ED4809"/>
    <w:rsid w:val="00F972DD"/>
    <w:rsid w:val="00FB7CD3"/>
    <w:rsid w:val="00FC3E54"/>
    <w:rsid w:val="00FD636B"/>
    <w:rsid w:val="00FF2E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tabs>
        <w:tab w:val="center" w:pos="4536"/>
        <w:tab w:val="center" w:pos="9072"/>
      </w:tabs>
      <w:jc w:val="both"/>
      <w:outlineLvl w:val="0"/>
    </w:pPr>
    <w:rPr>
      <w:b/>
      <w:u w:val="single"/>
    </w:rPr>
  </w:style>
  <w:style w:type="paragraph" w:styleId="Heading2">
    <w:name w:val="heading 2"/>
    <w:basedOn w:val="Normal"/>
    <w:next w:val="Normal"/>
    <w:qFormat/>
    <w:pPr>
      <w:keepNext/>
      <w:tabs>
        <w:tab w:val="center" w:pos="4536"/>
        <w:tab w:val="center" w:pos="9072"/>
      </w:tabs>
      <w:jc w:val="both"/>
      <w:outlineLvl w:val="1"/>
    </w:pPr>
    <w:rPr>
      <w:b/>
      <w:sz w:val="28"/>
      <w:u w:val="single"/>
    </w:rPr>
  </w:style>
  <w:style w:type="paragraph" w:styleId="Heading3">
    <w:name w:val="heading 3"/>
    <w:basedOn w:val="Normal"/>
    <w:next w:val="Normal"/>
    <w:qFormat/>
    <w:pPr>
      <w:keepNext/>
      <w:tabs>
        <w:tab w:val="center" w:pos="4536"/>
        <w:tab w:val="center" w:pos="9072"/>
      </w:tabs>
      <w:jc w:val="both"/>
      <w:outlineLvl w:val="2"/>
    </w:pPr>
    <w:rPr>
      <w:u w:val="single"/>
    </w:rPr>
  </w:style>
  <w:style w:type="paragraph" w:styleId="Heading4">
    <w:name w:val="heading 4"/>
    <w:basedOn w:val="Normal"/>
    <w:next w:val="Normal"/>
    <w:qFormat/>
    <w:pPr>
      <w:keepNext/>
      <w:tabs>
        <w:tab w:val="center" w:pos="4536"/>
        <w:tab w:val="center" w:pos="9072"/>
      </w:tabs>
      <w:jc w:val="both"/>
      <w:outlineLvl w:val="3"/>
    </w:pPr>
    <w:rPr>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jc w:val="both"/>
    </w:pPr>
    <w:rPr>
      <w:rFonts w:ascii="CG Times (WN)" w:hAnsi="CG Times (WN)"/>
      <w:sz w:val="22"/>
      <w:lang w:val="en-GB"/>
    </w:rPr>
  </w:style>
  <w:style w:type="character" w:styleId="PageNumber">
    <w:name w:val="page number"/>
    <w:basedOn w:val="DefaultParagraphFont"/>
  </w:style>
  <w:style w:type="paragraph" w:styleId="Title">
    <w:name w:val="Title"/>
    <w:basedOn w:val="Normal"/>
    <w:qFormat/>
    <w:pPr>
      <w:jc w:val="center"/>
    </w:pPr>
    <w:rPr>
      <w:rFonts w:ascii="Agfa Rotis Semisans" w:hAnsi="Agfa Rotis Semisans"/>
      <w:b/>
      <w:sz w:val="22"/>
      <w:lang w:val="en-GB"/>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tabs>
        <w:tab w:val="center" w:pos="4536"/>
        <w:tab w:val="center" w:pos="9072"/>
      </w:tabs>
      <w:jc w:val="both"/>
    </w:pPr>
  </w:style>
  <w:style w:type="paragraph" w:styleId="BodyText2">
    <w:name w:val="Body Text 2"/>
    <w:basedOn w:val="Normal"/>
    <w:pPr>
      <w:tabs>
        <w:tab w:val="center" w:pos="4536"/>
        <w:tab w:val="center" w:pos="9072"/>
      </w:tabs>
      <w:jc w:val="both"/>
    </w:pPr>
    <w:rPr>
      <w:sz w:val="28"/>
    </w:rPr>
  </w:style>
  <w:style w:type="paragraph" w:styleId="BalloonText">
    <w:name w:val="Balloon Text"/>
    <w:basedOn w:val="Normal"/>
    <w:semiHidden/>
    <w:rsid w:val="00EB5265"/>
    <w:rPr>
      <w:rFonts w:ascii="Tahoma" w:hAnsi="Tahoma" w:cs="Tahoma"/>
      <w:sz w:val="16"/>
      <w:szCs w:val="16"/>
    </w:rPr>
  </w:style>
  <w:style w:type="character" w:styleId="CommentReference">
    <w:name w:val="annotation reference"/>
    <w:semiHidden/>
    <w:rsid w:val="00EB2E6D"/>
    <w:rPr>
      <w:sz w:val="16"/>
      <w:szCs w:val="16"/>
    </w:rPr>
  </w:style>
  <w:style w:type="paragraph" w:styleId="CommentText">
    <w:name w:val="annotation text"/>
    <w:basedOn w:val="Normal"/>
    <w:semiHidden/>
    <w:rsid w:val="00EB2E6D"/>
    <w:rPr>
      <w:sz w:val="20"/>
    </w:rPr>
  </w:style>
  <w:style w:type="paragraph" w:styleId="CommentSubject">
    <w:name w:val="annotation subject"/>
    <w:basedOn w:val="CommentText"/>
    <w:next w:val="CommentText"/>
    <w:semiHidden/>
    <w:rsid w:val="00EB2E6D"/>
    <w:rPr>
      <w:b/>
      <w:bCs/>
    </w:rPr>
  </w:style>
  <w:style w:type="paragraph" w:customStyle="1" w:styleId="DefaultText">
    <w:name w:val="Default Text"/>
    <w:basedOn w:val="Normal"/>
    <w:rsid w:val="00C110A5"/>
    <w:pPr>
      <w:overflowPunct w:val="0"/>
      <w:autoSpaceDE w:val="0"/>
      <w:autoSpaceDN w:val="0"/>
      <w:adjustRightInd w:val="0"/>
      <w:textAlignment w:val="baseline"/>
    </w:pPr>
    <w:rPr>
      <w:lang w:eastAsia="en-US"/>
    </w:rPr>
  </w:style>
  <w:style w:type="paragraph" w:styleId="Header">
    <w:name w:val="header"/>
    <w:basedOn w:val="Normal"/>
    <w:link w:val="HeaderChar"/>
    <w:rsid w:val="004D4DBF"/>
    <w:pPr>
      <w:tabs>
        <w:tab w:val="center" w:pos="4513"/>
        <w:tab w:val="right" w:pos="9026"/>
      </w:tabs>
    </w:pPr>
    <w:rPr>
      <w:rFonts w:cs="Angsana New"/>
      <w:lang w:val="x-none" w:eastAsia="x-none" w:bidi="th-TH"/>
    </w:rPr>
  </w:style>
  <w:style w:type="character" w:customStyle="1" w:styleId="HeaderChar">
    <w:name w:val="Header Char"/>
    <w:link w:val="Header"/>
    <w:rsid w:val="004D4DBF"/>
    <w:rPr>
      <w:sz w:val="24"/>
    </w:rPr>
  </w:style>
  <w:style w:type="paragraph" w:customStyle="1" w:styleId="table">
    <w:name w:val="table"/>
    <w:basedOn w:val="Normal"/>
    <w:qFormat/>
    <w:rsid w:val="00432275"/>
    <w:pPr>
      <w:adjustRightInd w:val="0"/>
      <w:snapToGrid w:val="0"/>
    </w:pPr>
    <w:rPr>
      <w:rFonts w:eastAsia="MS Mincho"/>
      <w:sz w:val="16"/>
      <w:lang w:eastAsia="ja-JP"/>
    </w:rPr>
  </w:style>
  <w:style w:type="table" w:styleId="TableGrid">
    <w:name w:val="Table Grid"/>
    <w:basedOn w:val="TableNormal"/>
    <w:uiPriority w:val="59"/>
    <w:rsid w:val="00432275"/>
    <w:rPr>
      <w:rFonts w:ascii="Cambria" w:eastAsia="Cambria" w:hAnsi="Cambria"/>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ine">
    <w:name w:val="mine"/>
    <w:basedOn w:val="Normal"/>
    <w:next w:val="Normal"/>
    <w:qFormat/>
    <w:rsid w:val="00432275"/>
    <w:pPr>
      <w:widowControl w:val="0"/>
      <w:adjustRightInd w:val="0"/>
      <w:snapToGrid w:val="0"/>
      <w:contextualSpacing/>
    </w:pPr>
    <w:rPr>
      <w:rFonts w:eastAsia="MS Mincho"/>
      <w:szCs w:val="21"/>
    </w:rPr>
  </w:style>
  <w:style w:type="paragraph" w:styleId="Date">
    <w:name w:val="Date"/>
    <w:basedOn w:val="Normal"/>
    <w:next w:val="Normal"/>
    <w:link w:val="DateChar"/>
    <w:rsid w:val="00FC3E54"/>
  </w:style>
  <w:style w:type="character" w:customStyle="1" w:styleId="DateChar">
    <w:name w:val="Date Char"/>
    <w:basedOn w:val="DefaultParagraphFont"/>
    <w:link w:val="Date"/>
    <w:uiPriority w:val="99"/>
    <w:rsid w:val="00FC3E54"/>
    <w:rPr>
      <w:sz w:val="24"/>
    </w:rPr>
  </w:style>
  <w:style w:type="table" w:customStyle="1" w:styleId="TableGrid1">
    <w:name w:val="Table Grid1"/>
    <w:basedOn w:val="TableNormal"/>
    <w:next w:val="TableGrid"/>
    <w:uiPriority w:val="59"/>
    <w:rsid w:val="00FC3E54"/>
    <w:rPr>
      <w:rFonts w:ascii="Cambria" w:eastAsia="Cambria" w:hAnsi="Cambria"/>
      <w:sz w:val="22"/>
      <w:szCs w:val="22"/>
      <w:lang w:eastAsia="en-US"/>
    </w:rPr>
    <w:tblPr>
      <w:tblInd w:w="0" w:type="dxa"/>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tabs>
        <w:tab w:val="center" w:pos="4536"/>
        <w:tab w:val="center" w:pos="9072"/>
      </w:tabs>
      <w:jc w:val="both"/>
      <w:outlineLvl w:val="0"/>
    </w:pPr>
    <w:rPr>
      <w:b/>
      <w:u w:val="single"/>
    </w:rPr>
  </w:style>
  <w:style w:type="paragraph" w:styleId="Heading2">
    <w:name w:val="heading 2"/>
    <w:basedOn w:val="Normal"/>
    <w:next w:val="Normal"/>
    <w:qFormat/>
    <w:pPr>
      <w:keepNext/>
      <w:tabs>
        <w:tab w:val="center" w:pos="4536"/>
        <w:tab w:val="center" w:pos="9072"/>
      </w:tabs>
      <w:jc w:val="both"/>
      <w:outlineLvl w:val="1"/>
    </w:pPr>
    <w:rPr>
      <w:b/>
      <w:sz w:val="28"/>
      <w:u w:val="single"/>
    </w:rPr>
  </w:style>
  <w:style w:type="paragraph" w:styleId="Heading3">
    <w:name w:val="heading 3"/>
    <w:basedOn w:val="Normal"/>
    <w:next w:val="Normal"/>
    <w:qFormat/>
    <w:pPr>
      <w:keepNext/>
      <w:tabs>
        <w:tab w:val="center" w:pos="4536"/>
        <w:tab w:val="center" w:pos="9072"/>
      </w:tabs>
      <w:jc w:val="both"/>
      <w:outlineLvl w:val="2"/>
    </w:pPr>
    <w:rPr>
      <w:u w:val="single"/>
    </w:rPr>
  </w:style>
  <w:style w:type="paragraph" w:styleId="Heading4">
    <w:name w:val="heading 4"/>
    <w:basedOn w:val="Normal"/>
    <w:next w:val="Normal"/>
    <w:qFormat/>
    <w:pPr>
      <w:keepNext/>
      <w:tabs>
        <w:tab w:val="center" w:pos="4536"/>
        <w:tab w:val="center" w:pos="9072"/>
      </w:tabs>
      <w:jc w:val="both"/>
      <w:outlineLvl w:val="3"/>
    </w:pPr>
    <w:rPr>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jc w:val="both"/>
    </w:pPr>
    <w:rPr>
      <w:rFonts w:ascii="CG Times (WN)" w:hAnsi="CG Times (WN)"/>
      <w:sz w:val="22"/>
      <w:lang w:val="en-GB"/>
    </w:rPr>
  </w:style>
  <w:style w:type="character" w:styleId="PageNumber">
    <w:name w:val="page number"/>
    <w:basedOn w:val="DefaultParagraphFont"/>
  </w:style>
  <w:style w:type="paragraph" w:styleId="Title">
    <w:name w:val="Title"/>
    <w:basedOn w:val="Normal"/>
    <w:qFormat/>
    <w:pPr>
      <w:jc w:val="center"/>
    </w:pPr>
    <w:rPr>
      <w:rFonts w:ascii="Agfa Rotis Semisans" w:hAnsi="Agfa Rotis Semisans"/>
      <w:b/>
      <w:sz w:val="22"/>
      <w:lang w:val="en-GB"/>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tabs>
        <w:tab w:val="center" w:pos="4536"/>
        <w:tab w:val="center" w:pos="9072"/>
      </w:tabs>
      <w:jc w:val="both"/>
    </w:pPr>
  </w:style>
  <w:style w:type="paragraph" w:styleId="BodyText2">
    <w:name w:val="Body Text 2"/>
    <w:basedOn w:val="Normal"/>
    <w:pPr>
      <w:tabs>
        <w:tab w:val="center" w:pos="4536"/>
        <w:tab w:val="center" w:pos="9072"/>
      </w:tabs>
      <w:jc w:val="both"/>
    </w:pPr>
    <w:rPr>
      <w:sz w:val="28"/>
    </w:rPr>
  </w:style>
  <w:style w:type="paragraph" w:styleId="BalloonText">
    <w:name w:val="Balloon Text"/>
    <w:basedOn w:val="Normal"/>
    <w:semiHidden/>
    <w:rsid w:val="00EB5265"/>
    <w:rPr>
      <w:rFonts w:ascii="Tahoma" w:hAnsi="Tahoma" w:cs="Tahoma"/>
      <w:sz w:val="16"/>
      <w:szCs w:val="16"/>
    </w:rPr>
  </w:style>
  <w:style w:type="character" w:styleId="CommentReference">
    <w:name w:val="annotation reference"/>
    <w:semiHidden/>
    <w:rsid w:val="00EB2E6D"/>
    <w:rPr>
      <w:sz w:val="16"/>
      <w:szCs w:val="16"/>
    </w:rPr>
  </w:style>
  <w:style w:type="paragraph" w:styleId="CommentText">
    <w:name w:val="annotation text"/>
    <w:basedOn w:val="Normal"/>
    <w:semiHidden/>
    <w:rsid w:val="00EB2E6D"/>
    <w:rPr>
      <w:sz w:val="20"/>
    </w:rPr>
  </w:style>
  <w:style w:type="paragraph" w:styleId="CommentSubject">
    <w:name w:val="annotation subject"/>
    <w:basedOn w:val="CommentText"/>
    <w:next w:val="CommentText"/>
    <w:semiHidden/>
    <w:rsid w:val="00EB2E6D"/>
    <w:rPr>
      <w:b/>
      <w:bCs/>
    </w:rPr>
  </w:style>
  <w:style w:type="paragraph" w:customStyle="1" w:styleId="DefaultText">
    <w:name w:val="Default Text"/>
    <w:basedOn w:val="Normal"/>
    <w:rsid w:val="00C110A5"/>
    <w:pPr>
      <w:overflowPunct w:val="0"/>
      <w:autoSpaceDE w:val="0"/>
      <w:autoSpaceDN w:val="0"/>
      <w:adjustRightInd w:val="0"/>
      <w:textAlignment w:val="baseline"/>
    </w:pPr>
    <w:rPr>
      <w:lang w:eastAsia="en-US"/>
    </w:rPr>
  </w:style>
  <w:style w:type="paragraph" w:styleId="Header">
    <w:name w:val="header"/>
    <w:basedOn w:val="Normal"/>
    <w:link w:val="HeaderChar"/>
    <w:rsid w:val="004D4DBF"/>
    <w:pPr>
      <w:tabs>
        <w:tab w:val="center" w:pos="4513"/>
        <w:tab w:val="right" w:pos="9026"/>
      </w:tabs>
    </w:pPr>
    <w:rPr>
      <w:rFonts w:cs="Angsana New"/>
      <w:lang w:val="x-none" w:eastAsia="x-none" w:bidi="th-TH"/>
    </w:rPr>
  </w:style>
  <w:style w:type="character" w:customStyle="1" w:styleId="HeaderChar">
    <w:name w:val="Header Char"/>
    <w:link w:val="Header"/>
    <w:rsid w:val="004D4DBF"/>
    <w:rPr>
      <w:sz w:val="24"/>
    </w:rPr>
  </w:style>
  <w:style w:type="paragraph" w:customStyle="1" w:styleId="table">
    <w:name w:val="table"/>
    <w:basedOn w:val="Normal"/>
    <w:qFormat/>
    <w:rsid w:val="00432275"/>
    <w:pPr>
      <w:adjustRightInd w:val="0"/>
      <w:snapToGrid w:val="0"/>
    </w:pPr>
    <w:rPr>
      <w:rFonts w:eastAsia="MS Mincho"/>
      <w:sz w:val="16"/>
      <w:lang w:eastAsia="ja-JP"/>
    </w:rPr>
  </w:style>
  <w:style w:type="table" w:styleId="TableGrid">
    <w:name w:val="Table Grid"/>
    <w:basedOn w:val="TableNormal"/>
    <w:uiPriority w:val="59"/>
    <w:rsid w:val="00432275"/>
    <w:rPr>
      <w:rFonts w:ascii="Cambria" w:eastAsia="Cambria" w:hAnsi="Cambria"/>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ine">
    <w:name w:val="mine"/>
    <w:basedOn w:val="Normal"/>
    <w:next w:val="Normal"/>
    <w:qFormat/>
    <w:rsid w:val="00432275"/>
    <w:pPr>
      <w:widowControl w:val="0"/>
      <w:adjustRightInd w:val="0"/>
      <w:snapToGrid w:val="0"/>
      <w:contextualSpacing/>
    </w:pPr>
    <w:rPr>
      <w:rFonts w:eastAsia="MS Mincho"/>
      <w:szCs w:val="21"/>
    </w:rPr>
  </w:style>
  <w:style w:type="paragraph" w:styleId="Date">
    <w:name w:val="Date"/>
    <w:basedOn w:val="Normal"/>
    <w:next w:val="Normal"/>
    <w:link w:val="DateChar"/>
    <w:rsid w:val="00FC3E54"/>
  </w:style>
  <w:style w:type="character" w:customStyle="1" w:styleId="DateChar">
    <w:name w:val="Date Char"/>
    <w:basedOn w:val="DefaultParagraphFont"/>
    <w:link w:val="Date"/>
    <w:uiPriority w:val="99"/>
    <w:rsid w:val="00FC3E54"/>
    <w:rPr>
      <w:sz w:val="24"/>
    </w:rPr>
  </w:style>
  <w:style w:type="table" w:customStyle="1" w:styleId="TableGrid1">
    <w:name w:val="Table Grid1"/>
    <w:basedOn w:val="TableNormal"/>
    <w:next w:val="TableGrid"/>
    <w:uiPriority w:val="59"/>
    <w:rsid w:val="00FC3E54"/>
    <w:rPr>
      <w:rFonts w:ascii="Cambria" w:eastAsia="Cambria" w:hAnsi="Cambria"/>
      <w:sz w:val="22"/>
      <w:szCs w:val="22"/>
      <w:lang w:eastAsia="en-US"/>
    </w:rPr>
    <w:tblPr>
      <w:tblInd w:w="0" w:type="dxa"/>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FF580-FC8B-440A-A0DF-7A83B1EDB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3057</Words>
  <Characters>18147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PRODUCT INFORMATION</vt:lpstr>
    </vt:vector>
  </TitlesOfParts>
  <Company>Aspen Pharma Pty Ltd</Company>
  <LinksUpToDate>false</LinksUpToDate>
  <CharactersWithSpaces>21162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Product Information for Thyroxine sodium</dc:title>
  <dc:subject>prescription medicine regulation</dc:subject>
  <dc:creator>Aspen Pharma Pty Ltd</dc:creator>
  <cp:keywords>product, information, prescription, medicine, regulation, thyroxine, sodium, aspen, pharma, thyrosine, eltroxin</cp:keywords>
  <dc:description/>
  <cp:lastModifiedBy>dixonj</cp:lastModifiedBy>
  <cp:revision>3</cp:revision>
  <cp:lastPrinted>2014-03-03T03:51:00Z</cp:lastPrinted>
  <dcterms:created xsi:type="dcterms:W3CDTF">2014-07-08T03:52:00Z</dcterms:created>
  <dcterms:modified xsi:type="dcterms:W3CDTF">2014-07-09T00:56:00Z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NTSAVE</vt:lpwstr>
  </property>
</Properties>
</file>