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17078F" w:rsidRDefault="006D7BB6" w:rsidP="0017078F">
            <w:pPr>
              <w:rPr>
                <w:rFonts w:ascii="Arial" w:hAnsi="Arial" w:cs="Arial"/>
                <w:b/>
                <w:color w:val="002C47"/>
                <w:sz w:val="36"/>
                <w:szCs w:val="36"/>
              </w:rPr>
            </w:pPr>
            <w:r>
              <w:rPr>
                <w:rFonts w:ascii="Arial" w:hAnsi="Arial" w:cs="Arial"/>
                <w:b/>
                <w:color w:val="002C47"/>
                <w:sz w:val="36"/>
                <w:szCs w:val="36"/>
              </w:rPr>
              <w:t>16 July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6D7BB6">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6D7BB6">
              <w:rPr>
                <w:color w:val="FFFFFF" w:themeColor="background1"/>
              </w:rPr>
              <w:t>Thyroxine sodium</w:t>
            </w:r>
          </w:p>
        </w:tc>
      </w:tr>
      <w:tr w:rsidR="00E07F15" w:rsidRPr="00B64760" w:rsidTr="00E07F15">
        <w:tc>
          <w:tcPr>
            <w:tcW w:w="9079" w:type="dxa"/>
          </w:tcPr>
          <w:p w:rsidR="00E07F15" w:rsidRPr="008E7846" w:rsidRDefault="00E07F15" w:rsidP="00014424">
            <w:pPr>
              <w:pStyle w:val="Subtitle"/>
              <w:rPr>
                <w:color w:val="FFFFFF" w:themeColor="background1"/>
              </w:rPr>
            </w:pPr>
            <w:r w:rsidRPr="008E7846">
              <w:rPr>
                <w:color w:val="FFFFFF" w:themeColor="background1"/>
              </w:rPr>
              <w:t xml:space="preserve">Proprietary Product Name: </w:t>
            </w:r>
            <w:proofErr w:type="spellStart"/>
            <w:r w:rsidR="006D7BB6">
              <w:rPr>
                <w:color w:val="FFFFFF" w:themeColor="background1"/>
              </w:rPr>
              <w:t>Eltroxin</w:t>
            </w:r>
            <w:proofErr w:type="spellEnd"/>
            <w:r w:rsidR="00014424">
              <w:rPr>
                <w:color w:val="FFFFFF" w:themeColor="background1"/>
              </w:rPr>
              <w:t xml:space="preserve">, Aspen </w:t>
            </w:r>
            <w:proofErr w:type="spellStart"/>
            <w:r w:rsidR="00014424">
              <w:rPr>
                <w:color w:val="FFFFFF" w:themeColor="background1"/>
              </w:rPr>
              <w:t>Thyrosine</w:t>
            </w:r>
            <w:proofErr w:type="spellEnd"/>
            <w:r w:rsidR="00014424">
              <w:rPr>
                <w:color w:val="FFFFFF" w:themeColor="background1"/>
              </w:rPr>
              <w:t xml:space="preserve">, </w:t>
            </w:r>
            <w:proofErr w:type="spellStart"/>
            <w:r w:rsidR="00EE5859">
              <w:rPr>
                <w:color w:val="FFFFFF" w:themeColor="background1"/>
              </w:rPr>
              <w:t>Thyroxine</w:t>
            </w:r>
            <w:proofErr w:type="spellEnd"/>
            <w:r w:rsidR="00EE5859">
              <w:rPr>
                <w:color w:val="FFFFFF" w:themeColor="background1"/>
              </w:rPr>
              <w:t xml:space="preserve"> Aspen</w:t>
            </w:r>
          </w:p>
        </w:tc>
      </w:tr>
      <w:tr w:rsidR="00E07F15" w:rsidRPr="00B64760" w:rsidTr="00E07F15">
        <w:trPr>
          <w:trHeight w:val="486"/>
        </w:trPr>
        <w:tc>
          <w:tcPr>
            <w:tcW w:w="9079" w:type="dxa"/>
          </w:tcPr>
          <w:p w:rsidR="00E07F15" w:rsidRPr="008E7846" w:rsidRDefault="00E07F15" w:rsidP="006D7BB6">
            <w:pPr>
              <w:pStyle w:val="Subtitle"/>
              <w:rPr>
                <w:color w:val="FFFFFF" w:themeColor="background1"/>
              </w:rPr>
            </w:pPr>
            <w:r w:rsidRPr="008E7846">
              <w:rPr>
                <w:color w:val="FFFFFF" w:themeColor="background1"/>
              </w:rPr>
              <w:t xml:space="preserve">Sponsor: </w:t>
            </w:r>
            <w:r w:rsidR="004F5A5A" w:rsidRPr="004F5A5A">
              <w:rPr>
                <w:color w:val="FFFFFF" w:themeColor="background1"/>
              </w:rPr>
              <w:t>Aspen</w:t>
            </w:r>
            <w:r w:rsidR="004F5A5A" w:rsidRPr="00EE5859">
              <w:rPr>
                <w:color w:val="FFFFFF" w:themeColor="background1"/>
              </w:rPr>
              <w:t xml:space="preserve"> </w:t>
            </w:r>
            <w:proofErr w:type="spellStart"/>
            <w:r w:rsidR="00EE5859">
              <w:rPr>
                <w:color w:val="FFFFFF" w:themeColor="background1"/>
              </w:rPr>
              <w:t>Pharma</w:t>
            </w:r>
            <w:proofErr w:type="spellEnd"/>
            <w:r w:rsidR="00EE5859">
              <w:rPr>
                <w:color w:val="FFFFFF" w:themeColor="background1"/>
              </w:rPr>
              <w:t xml:space="preserv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E0011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E0011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E0011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0011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E00116">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516B8" w:rsidRDefault="004F4AF5">
          <w:pPr>
            <w:pStyle w:val="TOC2"/>
            <w:tabs>
              <w:tab w:val="left" w:pos="1100"/>
            </w:tabs>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2665399" w:history="1">
            <w:r w:rsidR="005516B8" w:rsidRPr="004E0FF2">
              <w:rPr>
                <w:rStyle w:val="Hyperlink"/>
                <w:noProof/>
                <w:lang w:eastAsia="en-AU"/>
              </w:rPr>
              <w:t>1.</w:t>
            </w:r>
            <w:r w:rsidR="005516B8">
              <w:rPr>
                <w:rFonts w:asciiTheme="minorHAnsi" w:eastAsiaTheme="minorEastAsia" w:hAnsiTheme="minorHAnsi" w:cstheme="minorBidi"/>
                <w:b w:val="0"/>
                <w:noProof/>
                <w:sz w:val="22"/>
                <w:lang w:eastAsia="en-AU"/>
              </w:rPr>
              <w:tab/>
            </w:r>
            <w:r w:rsidR="005516B8" w:rsidRPr="004E0FF2">
              <w:rPr>
                <w:rStyle w:val="Hyperlink"/>
                <w:noProof/>
                <w:lang w:eastAsia="en-AU"/>
              </w:rPr>
              <w:t>Clinical rationale</w:t>
            </w:r>
            <w:r w:rsidR="005516B8">
              <w:rPr>
                <w:noProof/>
                <w:webHidden/>
              </w:rPr>
              <w:tab/>
            </w:r>
            <w:r w:rsidR="005516B8">
              <w:rPr>
                <w:noProof/>
                <w:webHidden/>
              </w:rPr>
              <w:fldChar w:fldCharType="begin"/>
            </w:r>
            <w:r w:rsidR="005516B8">
              <w:rPr>
                <w:noProof/>
                <w:webHidden/>
              </w:rPr>
              <w:instrText xml:space="preserve"> PAGEREF _Toc392665399 \h </w:instrText>
            </w:r>
            <w:r w:rsidR="005516B8">
              <w:rPr>
                <w:noProof/>
                <w:webHidden/>
              </w:rPr>
            </w:r>
            <w:r w:rsidR="005516B8">
              <w:rPr>
                <w:noProof/>
                <w:webHidden/>
              </w:rPr>
              <w:fldChar w:fldCharType="separate"/>
            </w:r>
            <w:r w:rsidR="005516B8">
              <w:rPr>
                <w:noProof/>
                <w:webHidden/>
              </w:rPr>
              <w:t>4</w:t>
            </w:r>
            <w:r w:rsidR="005516B8">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00" w:history="1">
            <w:r w:rsidRPr="004E0FF2">
              <w:rPr>
                <w:rStyle w:val="Hyperlink"/>
                <w:noProof/>
                <w:lang w:eastAsia="en-AU"/>
              </w:rPr>
              <w:t>2.</w:t>
            </w:r>
            <w:r>
              <w:rPr>
                <w:rFonts w:asciiTheme="minorHAnsi" w:eastAsiaTheme="minorEastAsia" w:hAnsiTheme="minorHAnsi" w:cstheme="minorBidi"/>
                <w:b w:val="0"/>
                <w:noProof/>
                <w:sz w:val="22"/>
                <w:lang w:eastAsia="en-AU"/>
              </w:rPr>
              <w:tab/>
            </w:r>
            <w:r w:rsidRPr="004E0FF2">
              <w:rPr>
                <w:rStyle w:val="Hyperlink"/>
                <w:noProof/>
                <w:lang w:eastAsia="en-AU"/>
              </w:rPr>
              <w:t>Contents of the clinical dossier</w:t>
            </w:r>
            <w:r>
              <w:rPr>
                <w:noProof/>
                <w:webHidden/>
              </w:rPr>
              <w:tab/>
            </w:r>
            <w:r>
              <w:rPr>
                <w:noProof/>
                <w:webHidden/>
              </w:rPr>
              <w:fldChar w:fldCharType="begin"/>
            </w:r>
            <w:r>
              <w:rPr>
                <w:noProof/>
                <w:webHidden/>
              </w:rPr>
              <w:instrText xml:space="preserve"> PAGEREF _Toc392665400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1" w:history="1">
            <w:r w:rsidRPr="004E0FF2">
              <w:rPr>
                <w:rStyle w:val="Hyperlink"/>
                <w:noProof/>
              </w:rPr>
              <w:t>2.1.</w:t>
            </w:r>
            <w:r>
              <w:rPr>
                <w:rFonts w:asciiTheme="minorHAnsi" w:eastAsiaTheme="minorEastAsia" w:hAnsiTheme="minorHAnsi" w:cstheme="minorBidi"/>
                <w:noProof/>
                <w:lang w:eastAsia="en-AU"/>
              </w:rPr>
              <w:tab/>
            </w:r>
            <w:r w:rsidRPr="004E0FF2">
              <w:rPr>
                <w:rStyle w:val="Hyperlink"/>
                <w:noProof/>
              </w:rPr>
              <w:t>Scope of the clinical dossier</w:t>
            </w:r>
            <w:r>
              <w:rPr>
                <w:noProof/>
                <w:webHidden/>
              </w:rPr>
              <w:tab/>
            </w:r>
            <w:r>
              <w:rPr>
                <w:noProof/>
                <w:webHidden/>
              </w:rPr>
              <w:fldChar w:fldCharType="begin"/>
            </w:r>
            <w:r>
              <w:rPr>
                <w:noProof/>
                <w:webHidden/>
              </w:rPr>
              <w:instrText xml:space="preserve"> PAGEREF _Toc392665401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2" w:history="1">
            <w:r w:rsidRPr="004E0FF2">
              <w:rPr>
                <w:rStyle w:val="Hyperlink"/>
                <w:noProof/>
              </w:rPr>
              <w:t>2.2.</w:t>
            </w:r>
            <w:r>
              <w:rPr>
                <w:rFonts w:asciiTheme="minorHAnsi" w:eastAsiaTheme="minorEastAsia" w:hAnsiTheme="minorHAnsi" w:cstheme="minorBidi"/>
                <w:noProof/>
                <w:lang w:eastAsia="en-AU"/>
              </w:rPr>
              <w:tab/>
            </w:r>
            <w:r w:rsidRPr="004E0FF2">
              <w:rPr>
                <w:rStyle w:val="Hyperlink"/>
                <w:noProof/>
              </w:rPr>
              <w:t>Paediatric data</w:t>
            </w:r>
            <w:r>
              <w:rPr>
                <w:noProof/>
                <w:webHidden/>
              </w:rPr>
              <w:tab/>
            </w:r>
            <w:r>
              <w:rPr>
                <w:noProof/>
                <w:webHidden/>
              </w:rPr>
              <w:fldChar w:fldCharType="begin"/>
            </w:r>
            <w:r>
              <w:rPr>
                <w:noProof/>
                <w:webHidden/>
              </w:rPr>
              <w:instrText xml:space="preserve"> PAGEREF _Toc392665402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3" w:history="1">
            <w:r w:rsidRPr="004E0FF2">
              <w:rPr>
                <w:rStyle w:val="Hyperlink"/>
                <w:noProof/>
              </w:rPr>
              <w:t>2.3.</w:t>
            </w:r>
            <w:r>
              <w:rPr>
                <w:rFonts w:asciiTheme="minorHAnsi" w:eastAsiaTheme="minorEastAsia" w:hAnsiTheme="minorHAnsi" w:cstheme="minorBidi"/>
                <w:noProof/>
                <w:lang w:eastAsia="en-AU"/>
              </w:rPr>
              <w:tab/>
            </w:r>
            <w:r w:rsidRPr="004E0FF2">
              <w:rPr>
                <w:rStyle w:val="Hyperlink"/>
                <w:noProof/>
              </w:rPr>
              <w:t>Good clinical practice</w:t>
            </w:r>
            <w:r>
              <w:rPr>
                <w:noProof/>
                <w:webHidden/>
              </w:rPr>
              <w:tab/>
            </w:r>
            <w:r>
              <w:rPr>
                <w:noProof/>
                <w:webHidden/>
              </w:rPr>
              <w:fldChar w:fldCharType="begin"/>
            </w:r>
            <w:r>
              <w:rPr>
                <w:noProof/>
                <w:webHidden/>
              </w:rPr>
              <w:instrText xml:space="preserve"> PAGEREF _Toc392665403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04" w:history="1">
            <w:r w:rsidRPr="004E0FF2">
              <w:rPr>
                <w:rStyle w:val="Hyperlink"/>
                <w:noProof/>
              </w:rPr>
              <w:t>3.</w:t>
            </w:r>
            <w:r>
              <w:rPr>
                <w:rFonts w:asciiTheme="minorHAnsi" w:eastAsiaTheme="minorEastAsia" w:hAnsiTheme="minorHAnsi" w:cstheme="minorBidi"/>
                <w:b w:val="0"/>
                <w:noProof/>
                <w:sz w:val="22"/>
                <w:lang w:eastAsia="en-AU"/>
              </w:rPr>
              <w:tab/>
            </w:r>
            <w:r w:rsidRPr="004E0FF2">
              <w:rPr>
                <w:rStyle w:val="Hyperlink"/>
                <w:noProof/>
              </w:rPr>
              <w:t>Pharmacokinetics</w:t>
            </w:r>
            <w:r>
              <w:rPr>
                <w:noProof/>
                <w:webHidden/>
              </w:rPr>
              <w:tab/>
            </w:r>
            <w:r>
              <w:rPr>
                <w:noProof/>
                <w:webHidden/>
              </w:rPr>
              <w:fldChar w:fldCharType="begin"/>
            </w:r>
            <w:r>
              <w:rPr>
                <w:noProof/>
                <w:webHidden/>
              </w:rPr>
              <w:instrText xml:space="preserve"> PAGEREF _Toc392665404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5" w:history="1">
            <w:r w:rsidRPr="004E0FF2">
              <w:rPr>
                <w:rStyle w:val="Hyperlink"/>
                <w:noProof/>
              </w:rPr>
              <w:t>3.1.</w:t>
            </w:r>
            <w:r>
              <w:rPr>
                <w:rFonts w:asciiTheme="minorHAnsi" w:eastAsiaTheme="minorEastAsia" w:hAnsiTheme="minorHAnsi" w:cstheme="minorBidi"/>
                <w:noProof/>
                <w:lang w:eastAsia="en-AU"/>
              </w:rPr>
              <w:tab/>
            </w:r>
            <w:r w:rsidRPr="004E0FF2">
              <w:rPr>
                <w:rStyle w:val="Hyperlink"/>
                <w:noProof/>
              </w:rPr>
              <w:t>Studies providing pharmacokinetic data</w:t>
            </w:r>
            <w:r>
              <w:rPr>
                <w:noProof/>
                <w:webHidden/>
              </w:rPr>
              <w:tab/>
            </w:r>
            <w:r>
              <w:rPr>
                <w:noProof/>
                <w:webHidden/>
              </w:rPr>
              <w:fldChar w:fldCharType="begin"/>
            </w:r>
            <w:r>
              <w:rPr>
                <w:noProof/>
                <w:webHidden/>
              </w:rPr>
              <w:instrText xml:space="preserve"> PAGEREF _Toc392665405 \h </w:instrText>
            </w:r>
            <w:r>
              <w:rPr>
                <w:noProof/>
                <w:webHidden/>
              </w:rPr>
            </w:r>
            <w:r>
              <w:rPr>
                <w:noProof/>
                <w:webHidden/>
              </w:rPr>
              <w:fldChar w:fldCharType="separate"/>
            </w:r>
            <w:r>
              <w:rPr>
                <w:noProof/>
                <w:webHidden/>
              </w:rPr>
              <w:t>4</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6" w:history="1">
            <w:r w:rsidRPr="004E0FF2">
              <w:rPr>
                <w:rStyle w:val="Hyperlink"/>
                <w:noProof/>
              </w:rPr>
              <w:t>3.2.</w:t>
            </w:r>
            <w:r>
              <w:rPr>
                <w:rFonts w:asciiTheme="minorHAnsi" w:eastAsiaTheme="minorEastAsia" w:hAnsiTheme="minorHAnsi" w:cstheme="minorBidi"/>
                <w:noProof/>
                <w:lang w:eastAsia="en-AU"/>
              </w:rPr>
              <w:tab/>
            </w:r>
            <w:r w:rsidRPr="004E0FF2">
              <w:rPr>
                <w:rStyle w:val="Hyperlink"/>
                <w:noProof/>
              </w:rPr>
              <w:t>Summary of pharmacokinetics</w:t>
            </w:r>
            <w:r>
              <w:rPr>
                <w:noProof/>
                <w:webHidden/>
              </w:rPr>
              <w:tab/>
            </w:r>
            <w:r>
              <w:rPr>
                <w:noProof/>
                <w:webHidden/>
              </w:rPr>
              <w:fldChar w:fldCharType="begin"/>
            </w:r>
            <w:r>
              <w:rPr>
                <w:noProof/>
                <w:webHidden/>
              </w:rPr>
              <w:instrText xml:space="preserve"> PAGEREF _Toc392665406 \h </w:instrText>
            </w:r>
            <w:r>
              <w:rPr>
                <w:noProof/>
                <w:webHidden/>
              </w:rPr>
            </w:r>
            <w:r>
              <w:rPr>
                <w:noProof/>
                <w:webHidden/>
              </w:rPr>
              <w:fldChar w:fldCharType="separate"/>
            </w:r>
            <w:r>
              <w:rPr>
                <w:noProof/>
                <w:webHidden/>
              </w:rPr>
              <w:t>5</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07" w:history="1">
            <w:r w:rsidRPr="004E0FF2">
              <w:rPr>
                <w:rStyle w:val="Hyperlink"/>
                <w:noProof/>
              </w:rPr>
              <w:t>3.3.</w:t>
            </w:r>
            <w:r>
              <w:rPr>
                <w:rFonts w:asciiTheme="minorHAnsi" w:eastAsiaTheme="minorEastAsia" w:hAnsiTheme="minorHAnsi" w:cstheme="minorBidi"/>
                <w:noProof/>
                <w:lang w:eastAsia="en-AU"/>
              </w:rPr>
              <w:tab/>
            </w:r>
            <w:r w:rsidRPr="004E0FF2">
              <w:rPr>
                <w:rStyle w:val="Hyperlink"/>
                <w:noProof/>
              </w:rPr>
              <w:t>Evaluator’s overall conclusions on pharmacokinetics</w:t>
            </w:r>
            <w:r>
              <w:rPr>
                <w:noProof/>
                <w:webHidden/>
              </w:rPr>
              <w:tab/>
            </w:r>
            <w:r>
              <w:rPr>
                <w:noProof/>
                <w:webHidden/>
              </w:rPr>
              <w:fldChar w:fldCharType="begin"/>
            </w:r>
            <w:r>
              <w:rPr>
                <w:noProof/>
                <w:webHidden/>
              </w:rPr>
              <w:instrText xml:space="preserve"> PAGEREF _Toc392665407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08" w:history="1">
            <w:r w:rsidRPr="004E0FF2">
              <w:rPr>
                <w:rStyle w:val="Hyperlink"/>
                <w:noProof/>
              </w:rPr>
              <w:t>4.</w:t>
            </w:r>
            <w:r>
              <w:rPr>
                <w:rFonts w:asciiTheme="minorHAnsi" w:eastAsiaTheme="minorEastAsia" w:hAnsiTheme="minorHAnsi" w:cstheme="minorBidi"/>
                <w:b w:val="0"/>
                <w:noProof/>
                <w:sz w:val="22"/>
                <w:lang w:eastAsia="en-AU"/>
              </w:rPr>
              <w:tab/>
            </w:r>
            <w:r w:rsidRPr="004E0FF2">
              <w:rPr>
                <w:rStyle w:val="Hyperlink"/>
                <w:noProof/>
              </w:rPr>
              <w:t>Pharmacodynamics</w:t>
            </w:r>
            <w:r>
              <w:rPr>
                <w:noProof/>
                <w:webHidden/>
              </w:rPr>
              <w:tab/>
            </w:r>
            <w:r>
              <w:rPr>
                <w:noProof/>
                <w:webHidden/>
              </w:rPr>
              <w:fldChar w:fldCharType="begin"/>
            </w:r>
            <w:r>
              <w:rPr>
                <w:noProof/>
                <w:webHidden/>
              </w:rPr>
              <w:instrText xml:space="preserve"> PAGEREF _Toc392665408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09" w:history="1">
            <w:r w:rsidRPr="004E0FF2">
              <w:rPr>
                <w:rStyle w:val="Hyperlink"/>
                <w:noProof/>
              </w:rPr>
              <w:t>5.</w:t>
            </w:r>
            <w:r>
              <w:rPr>
                <w:rFonts w:asciiTheme="minorHAnsi" w:eastAsiaTheme="minorEastAsia" w:hAnsiTheme="minorHAnsi" w:cstheme="minorBidi"/>
                <w:b w:val="0"/>
                <w:noProof/>
                <w:sz w:val="22"/>
                <w:lang w:eastAsia="en-AU"/>
              </w:rPr>
              <w:tab/>
            </w:r>
            <w:r w:rsidRPr="004E0FF2">
              <w:rPr>
                <w:rStyle w:val="Hyperlink"/>
                <w:noProof/>
              </w:rPr>
              <w:t>Dosage selection for the pivotal studies</w:t>
            </w:r>
            <w:r>
              <w:rPr>
                <w:noProof/>
                <w:webHidden/>
              </w:rPr>
              <w:tab/>
            </w:r>
            <w:r>
              <w:rPr>
                <w:noProof/>
                <w:webHidden/>
              </w:rPr>
              <w:fldChar w:fldCharType="begin"/>
            </w:r>
            <w:r>
              <w:rPr>
                <w:noProof/>
                <w:webHidden/>
              </w:rPr>
              <w:instrText xml:space="preserve"> PAGEREF _Toc392665409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10" w:history="1">
            <w:r w:rsidRPr="004E0FF2">
              <w:rPr>
                <w:rStyle w:val="Hyperlink"/>
                <w:noProof/>
              </w:rPr>
              <w:t>6.</w:t>
            </w:r>
            <w:r>
              <w:rPr>
                <w:rFonts w:asciiTheme="minorHAnsi" w:eastAsiaTheme="minorEastAsia" w:hAnsiTheme="minorHAnsi" w:cstheme="minorBidi"/>
                <w:b w:val="0"/>
                <w:noProof/>
                <w:sz w:val="22"/>
                <w:lang w:eastAsia="en-AU"/>
              </w:rPr>
              <w:tab/>
            </w:r>
            <w:r w:rsidRPr="004E0FF2">
              <w:rPr>
                <w:rStyle w:val="Hyperlink"/>
                <w:noProof/>
              </w:rPr>
              <w:t>Clinical efficacy</w:t>
            </w:r>
            <w:r>
              <w:rPr>
                <w:noProof/>
                <w:webHidden/>
              </w:rPr>
              <w:tab/>
            </w:r>
            <w:r>
              <w:rPr>
                <w:noProof/>
                <w:webHidden/>
              </w:rPr>
              <w:fldChar w:fldCharType="begin"/>
            </w:r>
            <w:r>
              <w:rPr>
                <w:noProof/>
                <w:webHidden/>
              </w:rPr>
              <w:instrText xml:space="preserve"> PAGEREF _Toc392665410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11" w:history="1">
            <w:r w:rsidRPr="004E0FF2">
              <w:rPr>
                <w:rStyle w:val="Hyperlink"/>
                <w:noProof/>
              </w:rPr>
              <w:t>7.</w:t>
            </w:r>
            <w:r>
              <w:rPr>
                <w:rFonts w:asciiTheme="minorHAnsi" w:eastAsiaTheme="minorEastAsia" w:hAnsiTheme="minorHAnsi" w:cstheme="minorBidi"/>
                <w:b w:val="0"/>
                <w:noProof/>
                <w:sz w:val="22"/>
                <w:lang w:eastAsia="en-AU"/>
              </w:rPr>
              <w:tab/>
            </w:r>
            <w:r w:rsidRPr="004E0FF2">
              <w:rPr>
                <w:rStyle w:val="Hyperlink"/>
                <w:noProof/>
              </w:rPr>
              <w:t>Clinical safety</w:t>
            </w:r>
            <w:r>
              <w:rPr>
                <w:noProof/>
                <w:webHidden/>
              </w:rPr>
              <w:tab/>
            </w:r>
            <w:r>
              <w:rPr>
                <w:noProof/>
                <w:webHidden/>
              </w:rPr>
              <w:fldChar w:fldCharType="begin"/>
            </w:r>
            <w:r>
              <w:rPr>
                <w:noProof/>
                <w:webHidden/>
              </w:rPr>
              <w:instrText xml:space="preserve"> PAGEREF _Toc392665411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2" w:history="1">
            <w:r w:rsidRPr="004E0FF2">
              <w:rPr>
                <w:rStyle w:val="Hyperlink"/>
                <w:noProof/>
              </w:rPr>
              <w:t>7.1.</w:t>
            </w:r>
            <w:r>
              <w:rPr>
                <w:rFonts w:asciiTheme="minorHAnsi" w:eastAsiaTheme="minorEastAsia" w:hAnsiTheme="minorHAnsi" w:cstheme="minorBidi"/>
                <w:noProof/>
                <w:lang w:eastAsia="en-AU"/>
              </w:rPr>
              <w:tab/>
            </w:r>
            <w:r w:rsidRPr="004E0FF2">
              <w:rPr>
                <w:rStyle w:val="Hyperlink"/>
                <w:noProof/>
              </w:rPr>
              <w:t>Studies providing evaluable safety data</w:t>
            </w:r>
            <w:r>
              <w:rPr>
                <w:noProof/>
                <w:webHidden/>
              </w:rPr>
              <w:tab/>
            </w:r>
            <w:r>
              <w:rPr>
                <w:noProof/>
                <w:webHidden/>
              </w:rPr>
              <w:fldChar w:fldCharType="begin"/>
            </w:r>
            <w:r>
              <w:rPr>
                <w:noProof/>
                <w:webHidden/>
              </w:rPr>
              <w:instrText xml:space="preserve"> PAGEREF _Toc392665412 \h </w:instrText>
            </w:r>
            <w:r>
              <w:rPr>
                <w:noProof/>
                <w:webHidden/>
              </w:rPr>
            </w:r>
            <w:r>
              <w:rPr>
                <w:noProof/>
                <w:webHidden/>
              </w:rPr>
              <w:fldChar w:fldCharType="separate"/>
            </w:r>
            <w:r>
              <w:rPr>
                <w:noProof/>
                <w:webHidden/>
              </w:rPr>
              <w:t>7</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3" w:history="1">
            <w:r w:rsidRPr="004E0FF2">
              <w:rPr>
                <w:rStyle w:val="Hyperlink"/>
                <w:noProof/>
              </w:rPr>
              <w:t>7.2.</w:t>
            </w:r>
            <w:r>
              <w:rPr>
                <w:rFonts w:asciiTheme="minorHAnsi" w:eastAsiaTheme="minorEastAsia" w:hAnsiTheme="minorHAnsi" w:cstheme="minorBidi"/>
                <w:noProof/>
                <w:lang w:eastAsia="en-AU"/>
              </w:rPr>
              <w:tab/>
            </w:r>
            <w:r w:rsidRPr="004E0FF2">
              <w:rPr>
                <w:rStyle w:val="Hyperlink"/>
                <w:noProof/>
              </w:rPr>
              <w:t>Patient exposure</w:t>
            </w:r>
            <w:r>
              <w:rPr>
                <w:noProof/>
                <w:webHidden/>
              </w:rPr>
              <w:tab/>
            </w:r>
            <w:r>
              <w:rPr>
                <w:noProof/>
                <w:webHidden/>
              </w:rPr>
              <w:fldChar w:fldCharType="begin"/>
            </w:r>
            <w:r>
              <w:rPr>
                <w:noProof/>
                <w:webHidden/>
              </w:rPr>
              <w:instrText xml:space="preserve"> PAGEREF _Toc392665413 \h </w:instrText>
            </w:r>
            <w:r>
              <w:rPr>
                <w:noProof/>
                <w:webHidden/>
              </w:rPr>
            </w:r>
            <w:r>
              <w:rPr>
                <w:noProof/>
                <w:webHidden/>
              </w:rPr>
              <w:fldChar w:fldCharType="separate"/>
            </w:r>
            <w:r>
              <w:rPr>
                <w:noProof/>
                <w:webHidden/>
              </w:rPr>
              <w:t>8</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4" w:history="1">
            <w:r w:rsidRPr="004E0FF2">
              <w:rPr>
                <w:rStyle w:val="Hyperlink"/>
                <w:noProof/>
              </w:rPr>
              <w:t>7.3.</w:t>
            </w:r>
            <w:r>
              <w:rPr>
                <w:rFonts w:asciiTheme="minorHAnsi" w:eastAsiaTheme="minorEastAsia" w:hAnsiTheme="minorHAnsi" w:cstheme="minorBidi"/>
                <w:noProof/>
                <w:lang w:eastAsia="en-AU"/>
              </w:rPr>
              <w:tab/>
            </w:r>
            <w:r w:rsidRPr="004E0FF2">
              <w:rPr>
                <w:rStyle w:val="Hyperlink"/>
                <w:noProof/>
              </w:rPr>
              <w:t>Adverse events</w:t>
            </w:r>
            <w:r>
              <w:rPr>
                <w:noProof/>
                <w:webHidden/>
              </w:rPr>
              <w:tab/>
            </w:r>
            <w:r>
              <w:rPr>
                <w:noProof/>
                <w:webHidden/>
              </w:rPr>
              <w:fldChar w:fldCharType="begin"/>
            </w:r>
            <w:r>
              <w:rPr>
                <w:noProof/>
                <w:webHidden/>
              </w:rPr>
              <w:instrText xml:space="preserve"> PAGEREF _Toc392665414 \h </w:instrText>
            </w:r>
            <w:r>
              <w:rPr>
                <w:noProof/>
                <w:webHidden/>
              </w:rPr>
            </w:r>
            <w:r>
              <w:rPr>
                <w:noProof/>
                <w:webHidden/>
              </w:rPr>
              <w:fldChar w:fldCharType="separate"/>
            </w:r>
            <w:r>
              <w:rPr>
                <w:noProof/>
                <w:webHidden/>
              </w:rPr>
              <w:t>9</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5" w:history="1">
            <w:r w:rsidRPr="004E0FF2">
              <w:rPr>
                <w:rStyle w:val="Hyperlink"/>
                <w:noProof/>
              </w:rPr>
              <w:t>7.4.</w:t>
            </w:r>
            <w:r>
              <w:rPr>
                <w:rFonts w:asciiTheme="minorHAnsi" w:eastAsiaTheme="minorEastAsia" w:hAnsiTheme="minorHAnsi" w:cstheme="minorBidi"/>
                <w:noProof/>
                <w:lang w:eastAsia="en-AU"/>
              </w:rPr>
              <w:tab/>
            </w:r>
            <w:r w:rsidRPr="004E0FF2">
              <w:rPr>
                <w:rStyle w:val="Hyperlink"/>
                <w:noProof/>
              </w:rPr>
              <w:t>Postmarketing experience</w:t>
            </w:r>
            <w:r>
              <w:rPr>
                <w:noProof/>
                <w:webHidden/>
              </w:rPr>
              <w:tab/>
            </w:r>
            <w:r>
              <w:rPr>
                <w:noProof/>
                <w:webHidden/>
              </w:rPr>
              <w:fldChar w:fldCharType="begin"/>
            </w:r>
            <w:r>
              <w:rPr>
                <w:noProof/>
                <w:webHidden/>
              </w:rPr>
              <w:instrText xml:space="preserve"> PAGEREF _Toc392665415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6" w:history="1">
            <w:r w:rsidRPr="004E0FF2">
              <w:rPr>
                <w:rStyle w:val="Hyperlink"/>
                <w:noProof/>
              </w:rPr>
              <w:t>7.5.</w:t>
            </w:r>
            <w:r>
              <w:rPr>
                <w:rFonts w:asciiTheme="minorHAnsi" w:eastAsiaTheme="minorEastAsia" w:hAnsiTheme="minorHAnsi" w:cstheme="minorBidi"/>
                <w:noProof/>
                <w:lang w:eastAsia="en-AU"/>
              </w:rPr>
              <w:tab/>
            </w:r>
            <w:r w:rsidRPr="004E0FF2">
              <w:rPr>
                <w:rStyle w:val="Hyperlink"/>
                <w:noProof/>
              </w:rPr>
              <w:t>Evaluator’s overall conclusions on clinical safety</w:t>
            </w:r>
            <w:r>
              <w:rPr>
                <w:noProof/>
                <w:webHidden/>
              </w:rPr>
              <w:tab/>
            </w:r>
            <w:r>
              <w:rPr>
                <w:noProof/>
                <w:webHidden/>
              </w:rPr>
              <w:fldChar w:fldCharType="begin"/>
            </w:r>
            <w:r>
              <w:rPr>
                <w:noProof/>
                <w:webHidden/>
              </w:rPr>
              <w:instrText xml:space="preserve"> PAGEREF _Toc392665416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17" w:history="1">
            <w:r w:rsidRPr="004E0FF2">
              <w:rPr>
                <w:rStyle w:val="Hyperlink"/>
                <w:noProof/>
              </w:rPr>
              <w:t>8.</w:t>
            </w:r>
            <w:r>
              <w:rPr>
                <w:rFonts w:asciiTheme="minorHAnsi" w:eastAsiaTheme="minorEastAsia" w:hAnsiTheme="minorHAnsi" w:cstheme="minorBidi"/>
                <w:b w:val="0"/>
                <w:noProof/>
                <w:sz w:val="22"/>
                <w:lang w:eastAsia="en-AU"/>
              </w:rPr>
              <w:tab/>
            </w:r>
            <w:r w:rsidRPr="004E0FF2">
              <w:rPr>
                <w:rStyle w:val="Hyperlink"/>
                <w:noProof/>
              </w:rPr>
              <w:t>First round benefit-risk assessment</w:t>
            </w:r>
            <w:r>
              <w:rPr>
                <w:noProof/>
                <w:webHidden/>
              </w:rPr>
              <w:tab/>
            </w:r>
            <w:r>
              <w:rPr>
                <w:noProof/>
                <w:webHidden/>
              </w:rPr>
              <w:fldChar w:fldCharType="begin"/>
            </w:r>
            <w:r>
              <w:rPr>
                <w:noProof/>
                <w:webHidden/>
              </w:rPr>
              <w:instrText xml:space="preserve"> PAGEREF _Toc392665417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8" w:history="1">
            <w:r w:rsidRPr="004E0FF2">
              <w:rPr>
                <w:rStyle w:val="Hyperlink"/>
                <w:noProof/>
              </w:rPr>
              <w:t>8.1.</w:t>
            </w:r>
            <w:r>
              <w:rPr>
                <w:rFonts w:asciiTheme="minorHAnsi" w:eastAsiaTheme="minorEastAsia" w:hAnsiTheme="minorHAnsi" w:cstheme="minorBidi"/>
                <w:noProof/>
                <w:lang w:eastAsia="en-AU"/>
              </w:rPr>
              <w:tab/>
            </w:r>
            <w:r w:rsidRPr="004E0FF2">
              <w:rPr>
                <w:rStyle w:val="Hyperlink"/>
                <w:noProof/>
              </w:rPr>
              <w:t>First round assessment of benefits</w:t>
            </w:r>
            <w:r>
              <w:rPr>
                <w:noProof/>
                <w:webHidden/>
              </w:rPr>
              <w:tab/>
            </w:r>
            <w:r>
              <w:rPr>
                <w:noProof/>
                <w:webHidden/>
              </w:rPr>
              <w:fldChar w:fldCharType="begin"/>
            </w:r>
            <w:r>
              <w:rPr>
                <w:noProof/>
                <w:webHidden/>
              </w:rPr>
              <w:instrText xml:space="preserve"> PAGEREF _Toc392665418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19" w:history="1">
            <w:r w:rsidRPr="004E0FF2">
              <w:rPr>
                <w:rStyle w:val="Hyperlink"/>
                <w:noProof/>
              </w:rPr>
              <w:t>8.2.</w:t>
            </w:r>
            <w:r>
              <w:rPr>
                <w:rFonts w:asciiTheme="minorHAnsi" w:eastAsiaTheme="minorEastAsia" w:hAnsiTheme="minorHAnsi" w:cstheme="minorBidi"/>
                <w:noProof/>
                <w:lang w:eastAsia="en-AU"/>
              </w:rPr>
              <w:tab/>
            </w:r>
            <w:r w:rsidRPr="004E0FF2">
              <w:rPr>
                <w:rStyle w:val="Hyperlink"/>
                <w:noProof/>
              </w:rPr>
              <w:t>First round assessment of risks</w:t>
            </w:r>
            <w:r>
              <w:rPr>
                <w:noProof/>
                <w:webHidden/>
              </w:rPr>
              <w:tab/>
            </w:r>
            <w:r>
              <w:rPr>
                <w:noProof/>
                <w:webHidden/>
              </w:rPr>
              <w:fldChar w:fldCharType="begin"/>
            </w:r>
            <w:r>
              <w:rPr>
                <w:noProof/>
                <w:webHidden/>
              </w:rPr>
              <w:instrText xml:space="preserve"> PAGEREF _Toc392665419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20" w:history="1">
            <w:r w:rsidRPr="004E0FF2">
              <w:rPr>
                <w:rStyle w:val="Hyperlink"/>
                <w:noProof/>
              </w:rPr>
              <w:t>8.3.</w:t>
            </w:r>
            <w:r>
              <w:rPr>
                <w:rFonts w:asciiTheme="minorHAnsi" w:eastAsiaTheme="minorEastAsia" w:hAnsiTheme="minorHAnsi" w:cstheme="minorBidi"/>
                <w:noProof/>
                <w:lang w:eastAsia="en-AU"/>
              </w:rPr>
              <w:tab/>
            </w:r>
            <w:r w:rsidRPr="004E0FF2">
              <w:rPr>
                <w:rStyle w:val="Hyperlink"/>
                <w:noProof/>
              </w:rPr>
              <w:t>First round assessment of benefit-risk balance</w:t>
            </w:r>
            <w:r>
              <w:rPr>
                <w:noProof/>
                <w:webHidden/>
              </w:rPr>
              <w:tab/>
            </w:r>
            <w:r>
              <w:rPr>
                <w:noProof/>
                <w:webHidden/>
              </w:rPr>
              <w:fldChar w:fldCharType="begin"/>
            </w:r>
            <w:r>
              <w:rPr>
                <w:noProof/>
                <w:webHidden/>
              </w:rPr>
              <w:instrText xml:space="preserve"> PAGEREF _Toc392665420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2"/>
            <w:tabs>
              <w:tab w:val="left" w:pos="1100"/>
            </w:tabs>
            <w:rPr>
              <w:rFonts w:asciiTheme="minorHAnsi" w:eastAsiaTheme="minorEastAsia" w:hAnsiTheme="minorHAnsi" w:cstheme="minorBidi"/>
              <w:b w:val="0"/>
              <w:noProof/>
              <w:sz w:val="22"/>
              <w:lang w:eastAsia="en-AU"/>
            </w:rPr>
          </w:pPr>
          <w:hyperlink w:anchor="_Toc392665421" w:history="1">
            <w:r w:rsidRPr="004E0FF2">
              <w:rPr>
                <w:rStyle w:val="Hyperlink"/>
                <w:noProof/>
              </w:rPr>
              <w:t>9.</w:t>
            </w:r>
            <w:r>
              <w:rPr>
                <w:rFonts w:asciiTheme="minorHAnsi" w:eastAsiaTheme="minorEastAsia" w:hAnsiTheme="minorHAnsi" w:cstheme="minorBidi"/>
                <w:b w:val="0"/>
                <w:noProof/>
                <w:sz w:val="22"/>
                <w:lang w:eastAsia="en-AU"/>
              </w:rPr>
              <w:tab/>
            </w:r>
            <w:r w:rsidRPr="004E0FF2">
              <w:rPr>
                <w:rStyle w:val="Hyperlink"/>
                <w:noProof/>
              </w:rPr>
              <w:t>First round recommendation regarding authorisation</w:t>
            </w:r>
            <w:r>
              <w:rPr>
                <w:noProof/>
                <w:webHidden/>
              </w:rPr>
              <w:tab/>
            </w:r>
            <w:r>
              <w:rPr>
                <w:noProof/>
                <w:webHidden/>
              </w:rPr>
              <w:fldChar w:fldCharType="begin"/>
            </w:r>
            <w:r>
              <w:rPr>
                <w:noProof/>
                <w:webHidden/>
              </w:rPr>
              <w:instrText xml:space="preserve"> PAGEREF _Toc392665421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2"/>
            <w:tabs>
              <w:tab w:val="left" w:pos="1320"/>
            </w:tabs>
            <w:rPr>
              <w:rFonts w:asciiTheme="minorHAnsi" w:eastAsiaTheme="minorEastAsia" w:hAnsiTheme="minorHAnsi" w:cstheme="minorBidi"/>
              <w:b w:val="0"/>
              <w:noProof/>
              <w:sz w:val="22"/>
              <w:lang w:eastAsia="en-AU"/>
            </w:rPr>
          </w:pPr>
          <w:hyperlink w:anchor="_Toc392665422" w:history="1">
            <w:r w:rsidRPr="004E0FF2">
              <w:rPr>
                <w:rStyle w:val="Hyperlink"/>
                <w:noProof/>
              </w:rPr>
              <w:t>10.</w:t>
            </w:r>
            <w:r>
              <w:rPr>
                <w:rFonts w:asciiTheme="minorHAnsi" w:eastAsiaTheme="minorEastAsia" w:hAnsiTheme="minorHAnsi" w:cstheme="minorBidi"/>
                <w:b w:val="0"/>
                <w:noProof/>
                <w:sz w:val="22"/>
                <w:lang w:eastAsia="en-AU"/>
              </w:rPr>
              <w:tab/>
            </w:r>
            <w:r w:rsidRPr="004E0FF2">
              <w:rPr>
                <w:rStyle w:val="Hyperlink"/>
                <w:noProof/>
              </w:rPr>
              <w:t>Clinical questions</w:t>
            </w:r>
            <w:r>
              <w:rPr>
                <w:noProof/>
                <w:webHidden/>
              </w:rPr>
              <w:tab/>
            </w:r>
            <w:r>
              <w:rPr>
                <w:noProof/>
                <w:webHidden/>
              </w:rPr>
              <w:fldChar w:fldCharType="begin"/>
            </w:r>
            <w:r>
              <w:rPr>
                <w:noProof/>
                <w:webHidden/>
              </w:rPr>
              <w:instrText xml:space="preserve"> PAGEREF _Toc392665422 \h </w:instrText>
            </w:r>
            <w:r>
              <w:rPr>
                <w:noProof/>
                <w:webHidden/>
              </w:rPr>
            </w:r>
            <w:r>
              <w:rPr>
                <w:noProof/>
                <w:webHidden/>
              </w:rPr>
              <w:fldChar w:fldCharType="separate"/>
            </w:r>
            <w:r>
              <w:rPr>
                <w:noProof/>
                <w:webHidden/>
              </w:rPr>
              <w:t>12</w:t>
            </w:r>
            <w:r>
              <w:rPr>
                <w:noProof/>
                <w:webHidden/>
              </w:rPr>
              <w:fldChar w:fldCharType="end"/>
            </w:r>
          </w:hyperlink>
        </w:p>
        <w:p w:rsidR="005516B8" w:rsidRDefault="005516B8">
          <w:pPr>
            <w:pStyle w:val="TOC2"/>
            <w:tabs>
              <w:tab w:val="left" w:pos="1320"/>
            </w:tabs>
            <w:rPr>
              <w:rFonts w:asciiTheme="minorHAnsi" w:eastAsiaTheme="minorEastAsia" w:hAnsiTheme="minorHAnsi" w:cstheme="minorBidi"/>
              <w:b w:val="0"/>
              <w:noProof/>
              <w:sz w:val="22"/>
              <w:lang w:eastAsia="en-AU"/>
            </w:rPr>
          </w:pPr>
          <w:hyperlink w:anchor="_Toc392665423" w:history="1">
            <w:r w:rsidRPr="004E0FF2">
              <w:rPr>
                <w:rStyle w:val="Hyperlink"/>
                <w:noProof/>
              </w:rPr>
              <w:t>11.</w:t>
            </w:r>
            <w:r>
              <w:rPr>
                <w:rFonts w:asciiTheme="minorHAnsi" w:eastAsiaTheme="minorEastAsia" w:hAnsiTheme="minorHAnsi" w:cstheme="minorBidi"/>
                <w:b w:val="0"/>
                <w:noProof/>
                <w:sz w:val="22"/>
                <w:lang w:eastAsia="en-AU"/>
              </w:rPr>
              <w:tab/>
            </w:r>
            <w:r w:rsidRPr="004E0FF2">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_Toc392665423 \h </w:instrText>
            </w:r>
            <w:r>
              <w:rPr>
                <w:noProof/>
                <w:webHidden/>
              </w:rPr>
            </w:r>
            <w:r>
              <w:rPr>
                <w:noProof/>
                <w:webHidden/>
              </w:rPr>
              <w:fldChar w:fldCharType="separate"/>
            </w:r>
            <w:r>
              <w:rPr>
                <w:noProof/>
                <w:webHidden/>
              </w:rPr>
              <w:t>13</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24" w:history="1">
            <w:r w:rsidRPr="004E0FF2">
              <w:rPr>
                <w:rStyle w:val="Hyperlink"/>
                <w:noProof/>
              </w:rPr>
              <w:t>11.1.</w:t>
            </w:r>
            <w:r>
              <w:rPr>
                <w:rFonts w:asciiTheme="minorHAnsi" w:eastAsiaTheme="minorEastAsia" w:hAnsiTheme="minorHAnsi" w:cstheme="minorBidi"/>
                <w:noProof/>
                <w:lang w:eastAsia="en-AU"/>
              </w:rPr>
              <w:tab/>
            </w:r>
            <w:r w:rsidRPr="004E0FF2">
              <w:rPr>
                <w:rStyle w:val="Hyperlink"/>
                <w:noProof/>
              </w:rPr>
              <w:t>Selected background (of relevance to the evaluation of responses)</w:t>
            </w:r>
            <w:r>
              <w:rPr>
                <w:noProof/>
                <w:webHidden/>
              </w:rPr>
              <w:tab/>
            </w:r>
            <w:r>
              <w:rPr>
                <w:noProof/>
                <w:webHidden/>
              </w:rPr>
              <w:fldChar w:fldCharType="begin"/>
            </w:r>
            <w:r>
              <w:rPr>
                <w:noProof/>
                <w:webHidden/>
              </w:rPr>
              <w:instrText xml:space="preserve"> PAGEREF _Toc392665424 \h </w:instrText>
            </w:r>
            <w:r>
              <w:rPr>
                <w:noProof/>
                <w:webHidden/>
              </w:rPr>
            </w:r>
            <w:r>
              <w:rPr>
                <w:noProof/>
                <w:webHidden/>
              </w:rPr>
              <w:fldChar w:fldCharType="separate"/>
            </w:r>
            <w:r>
              <w:rPr>
                <w:noProof/>
                <w:webHidden/>
              </w:rPr>
              <w:t>13</w:t>
            </w:r>
            <w:r>
              <w:rPr>
                <w:noProof/>
                <w:webHidden/>
              </w:rPr>
              <w:fldChar w:fldCharType="end"/>
            </w:r>
          </w:hyperlink>
        </w:p>
        <w:p w:rsidR="005516B8" w:rsidRDefault="005516B8">
          <w:pPr>
            <w:pStyle w:val="TOC3"/>
            <w:tabs>
              <w:tab w:val="left" w:pos="1760"/>
            </w:tabs>
            <w:rPr>
              <w:rFonts w:asciiTheme="minorHAnsi" w:eastAsiaTheme="minorEastAsia" w:hAnsiTheme="minorHAnsi" w:cstheme="minorBidi"/>
              <w:noProof/>
              <w:lang w:eastAsia="en-AU"/>
            </w:rPr>
          </w:pPr>
          <w:hyperlink w:anchor="_Toc392665425" w:history="1">
            <w:r w:rsidRPr="004E0FF2">
              <w:rPr>
                <w:rStyle w:val="Hyperlink"/>
                <w:noProof/>
              </w:rPr>
              <w:t>11.2.</w:t>
            </w:r>
            <w:r>
              <w:rPr>
                <w:rFonts w:asciiTheme="minorHAnsi" w:eastAsiaTheme="minorEastAsia" w:hAnsiTheme="minorHAnsi" w:cstheme="minorBidi"/>
                <w:noProof/>
                <w:lang w:eastAsia="en-AU"/>
              </w:rPr>
              <w:tab/>
            </w:r>
            <w:r w:rsidRPr="004E0FF2">
              <w:rPr>
                <w:rStyle w:val="Hyperlink"/>
                <w:noProof/>
              </w:rPr>
              <w:t>Summary of clinical evaluation</w:t>
            </w:r>
            <w:r>
              <w:rPr>
                <w:noProof/>
                <w:webHidden/>
              </w:rPr>
              <w:tab/>
            </w:r>
            <w:r>
              <w:rPr>
                <w:noProof/>
                <w:webHidden/>
              </w:rPr>
              <w:fldChar w:fldCharType="begin"/>
            </w:r>
            <w:r>
              <w:rPr>
                <w:noProof/>
                <w:webHidden/>
              </w:rPr>
              <w:instrText xml:space="preserve"> PAGEREF _Toc392665425 \h </w:instrText>
            </w:r>
            <w:r>
              <w:rPr>
                <w:noProof/>
                <w:webHidden/>
              </w:rPr>
            </w:r>
            <w:r>
              <w:rPr>
                <w:noProof/>
                <w:webHidden/>
              </w:rPr>
              <w:fldChar w:fldCharType="separate"/>
            </w:r>
            <w:r>
              <w:rPr>
                <w:noProof/>
                <w:webHidden/>
              </w:rPr>
              <w:t>14</w:t>
            </w:r>
            <w:r>
              <w:rPr>
                <w:noProof/>
                <w:webHidden/>
              </w:rPr>
              <w:fldChar w:fldCharType="end"/>
            </w:r>
          </w:hyperlink>
        </w:p>
        <w:p w:rsidR="003A7F6C" w:rsidRPr="00B811C6" w:rsidRDefault="005516B8" w:rsidP="005516B8">
          <w:pPr>
            <w:pStyle w:val="TOC2"/>
            <w:tabs>
              <w:tab w:val="left" w:pos="1320"/>
            </w:tabs>
          </w:pPr>
          <w:hyperlink w:anchor="_Toc392665426" w:history="1">
            <w:r w:rsidRPr="004E0FF2">
              <w:rPr>
                <w:rStyle w:val="Hyperlink"/>
                <w:noProof/>
              </w:rPr>
              <w:t>12.</w:t>
            </w:r>
            <w:r>
              <w:rPr>
                <w:rFonts w:asciiTheme="minorHAnsi" w:eastAsiaTheme="minorEastAsia" w:hAnsiTheme="minorHAnsi" w:cstheme="minorBidi"/>
                <w:b w:val="0"/>
                <w:noProof/>
                <w:sz w:val="22"/>
                <w:lang w:eastAsia="en-AU"/>
              </w:rPr>
              <w:tab/>
            </w:r>
            <w:r w:rsidRPr="004E0FF2">
              <w:rPr>
                <w:rStyle w:val="Hyperlink"/>
                <w:noProof/>
              </w:rPr>
              <w:t>References</w:t>
            </w:r>
            <w:r>
              <w:rPr>
                <w:noProof/>
                <w:webHidden/>
              </w:rPr>
              <w:tab/>
            </w:r>
            <w:r>
              <w:rPr>
                <w:noProof/>
                <w:webHidden/>
              </w:rPr>
              <w:fldChar w:fldCharType="begin"/>
            </w:r>
            <w:r>
              <w:rPr>
                <w:noProof/>
                <w:webHidden/>
              </w:rPr>
              <w:instrText xml:space="preserve"> PAGEREF _Toc392665426 \h </w:instrText>
            </w:r>
            <w:r>
              <w:rPr>
                <w:noProof/>
                <w:webHidden/>
              </w:rPr>
            </w:r>
            <w:r>
              <w:rPr>
                <w:noProof/>
                <w:webHidden/>
              </w:rPr>
              <w:fldChar w:fldCharType="separate"/>
            </w:r>
            <w:r>
              <w:rPr>
                <w:noProof/>
                <w:webHidden/>
              </w:rPr>
              <w:t>17</w:t>
            </w:r>
            <w:r>
              <w:rPr>
                <w:noProof/>
                <w:webHidden/>
              </w:rPr>
              <w:fldChar w:fldCharType="end"/>
            </w:r>
          </w:hyperlink>
          <w:r w:rsidR="004F4AF5">
            <w:fldChar w:fldCharType="end"/>
          </w:r>
        </w:p>
        <w:bookmarkStart w:id="2" w:name="_GoBack" w:displacedByCustomXml="next"/>
        <w:bookmarkEnd w:id="2" w:displacedByCustomXml="next"/>
      </w:sdtContent>
    </w:sdt>
    <w:bookmarkStart w:id="3" w:name="_Toc314842482" w:displacedByCustomXml="prev"/>
    <w:p w:rsidR="005426E4" w:rsidRDefault="005426E4">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D83A63">
      <w:pPr>
        <w:pStyle w:val="Heading2"/>
        <w:rPr>
          <w:lang w:eastAsia="en-AU"/>
        </w:rPr>
      </w:pPr>
      <w:bookmarkStart w:id="7" w:name="_Toc351718900"/>
      <w:bookmarkStart w:id="8" w:name="_Toc355338635"/>
      <w:bookmarkStart w:id="9" w:name="_Toc392665399"/>
      <w:bookmarkEnd w:id="4"/>
      <w:bookmarkEnd w:id="5"/>
      <w:bookmarkEnd w:id="6"/>
      <w:r>
        <w:rPr>
          <w:lang w:eastAsia="en-AU"/>
        </w:rPr>
        <w:lastRenderedPageBreak/>
        <w:t>Clinical rationale</w:t>
      </w:r>
      <w:bookmarkEnd w:id="9"/>
    </w:p>
    <w:p w:rsidR="006D7BB6" w:rsidRPr="00180D31" w:rsidRDefault="00180D31" w:rsidP="00D83A63">
      <w:r>
        <w:t>The sponsor stated</w:t>
      </w:r>
      <w:r w:rsidR="00D83A63">
        <w:t>:</w:t>
      </w:r>
    </w:p>
    <w:p w:rsidR="00586F98" w:rsidRPr="00D83A63" w:rsidRDefault="006D7BB6" w:rsidP="00D83A63">
      <w:pPr>
        <w:rPr>
          <w:i/>
        </w:rPr>
      </w:pPr>
      <w:r w:rsidRPr="00D83A63">
        <w:rPr>
          <w:i/>
        </w:rPr>
        <w:t xml:space="preserve">"The aim of this development was to extend an existing drug product comprising two strengths of levothyroxine sodium tablets, namely 50 </w:t>
      </w:r>
      <w:r w:rsidR="00180D31" w:rsidRPr="00D83A63">
        <w:rPr>
          <w:i/>
        </w:rPr>
        <w:t>µ</w:t>
      </w:r>
      <w:r w:rsidRPr="00D83A63">
        <w:rPr>
          <w:i/>
        </w:rPr>
        <w:t xml:space="preserve">g and 100 </w:t>
      </w:r>
      <w:r w:rsidR="00180D31" w:rsidRPr="00D83A63">
        <w:rPr>
          <w:i/>
        </w:rPr>
        <w:t>µ</w:t>
      </w:r>
      <w:r w:rsidRPr="00D83A63">
        <w:rPr>
          <w:i/>
        </w:rPr>
        <w:t xml:space="preserve">g, </w:t>
      </w:r>
      <w:r w:rsidR="00180D31" w:rsidRPr="00D83A63">
        <w:rPr>
          <w:i/>
        </w:rPr>
        <w:t>which are currently commercialis</w:t>
      </w:r>
      <w:r w:rsidRPr="00D83A63">
        <w:rPr>
          <w:i/>
        </w:rPr>
        <w:t xml:space="preserve">ed in multiple territories worldwide, to cover a range of 11 strengths. The new range includes 25 </w:t>
      </w:r>
      <w:r w:rsidR="00180D31" w:rsidRPr="00D83A63">
        <w:rPr>
          <w:i/>
        </w:rPr>
        <w:t>µ</w:t>
      </w:r>
      <w:r w:rsidRPr="00D83A63">
        <w:rPr>
          <w:i/>
        </w:rPr>
        <w:t xml:space="preserve">g, 50 </w:t>
      </w:r>
      <w:r w:rsidR="00180D31" w:rsidRPr="00D83A63">
        <w:rPr>
          <w:i/>
        </w:rPr>
        <w:t>µ</w:t>
      </w:r>
      <w:r w:rsidRPr="00D83A63">
        <w:rPr>
          <w:i/>
        </w:rPr>
        <w:t xml:space="preserve">g, 75 </w:t>
      </w:r>
      <w:r w:rsidR="00180D31" w:rsidRPr="00D83A63">
        <w:rPr>
          <w:i/>
        </w:rPr>
        <w:t>µ</w:t>
      </w:r>
      <w:r w:rsidRPr="00D83A63">
        <w:rPr>
          <w:i/>
        </w:rPr>
        <w:t xml:space="preserve">g, 88 </w:t>
      </w:r>
      <w:r w:rsidR="00180D31" w:rsidRPr="00D83A63">
        <w:rPr>
          <w:i/>
        </w:rPr>
        <w:t>µ</w:t>
      </w:r>
      <w:r w:rsidRPr="00D83A63">
        <w:rPr>
          <w:i/>
        </w:rPr>
        <w:t xml:space="preserve">g, 100 </w:t>
      </w:r>
      <w:r w:rsidR="00180D31" w:rsidRPr="00D83A63">
        <w:rPr>
          <w:i/>
        </w:rPr>
        <w:t>µ</w:t>
      </w:r>
      <w:r w:rsidRPr="00D83A63">
        <w:rPr>
          <w:i/>
        </w:rPr>
        <w:t xml:space="preserve">g, 112 </w:t>
      </w:r>
      <w:r w:rsidR="00180D31" w:rsidRPr="00D83A63">
        <w:rPr>
          <w:i/>
        </w:rPr>
        <w:t>µ</w:t>
      </w:r>
      <w:r w:rsidRPr="00D83A63">
        <w:rPr>
          <w:i/>
        </w:rPr>
        <w:t xml:space="preserve">g, 125 </w:t>
      </w:r>
      <w:r w:rsidR="00180D31" w:rsidRPr="00D83A63">
        <w:rPr>
          <w:i/>
        </w:rPr>
        <w:t>µ</w:t>
      </w:r>
      <w:r w:rsidRPr="00D83A63">
        <w:rPr>
          <w:i/>
        </w:rPr>
        <w:t xml:space="preserve">g, 137 </w:t>
      </w:r>
      <w:r w:rsidR="00180D31" w:rsidRPr="00D83A63">
        <w:rPr>
          <w:i/>
        </w:rPr>
        <w:t>µ</w:t>
      </w:r>
      <w:r w:rsidRPr="00D83A63">
        <w:rPr>
          <w:i/>
        </w:rPr>
        <w:t xml:space="preserve">g, 150 mg, 175 </w:t>
      </w:r>
      <w:r w:rsidR="00180D31" w:rsidRPr="00D83A63">
        <w:rPr>
          <w:i/>
        </w:rPr>
        <w:t>µ</w:t>
      </w:r>
      <w:r w:rsidRPr="00D83A63">
        <w:rPr>
          <w:i/>
        </w:rPr>
        <w:t xml:space="preserve">g and 200 </w:t>
      </w:r>
      <w:r w:rsidR="00180D31" w:rsidRPr="00D83A63">
        <w:rPr>
          <w:i/>
        </w:rPr>
        <w:t>µ</w:t>
      </w:r>
      <w:r w:rsidRPr="00D83A63">
        <w:rPr>
          <w:i/>
        </w:rPr>
        <w:t>g tablet strengths."</w:t>
      </w:r>
    </w:p>
    <w:p w:rsidR="00586F98" w:rsidRDefault="00586F98" w:rsidP="00D83A63">
      <w:pPr>
        <w:pStyle w:val="Heading2"/>
        <w:rPr>
          <w:lang w:eastAsia="en-AU"/>
        </w:rPr>
      </w:pPr>
      <w:bookmarkStart w:id="10" w:name="_Toc392665400"/>
      <w:r>
        <w:rPr>
          <w:lang w:eastAsia="en-AU"/>
        </w:rPr>
        <w:t>Contents of the clinical dossier</w:t>
      </w:r>
      <w:bookmarkEnd w:id="7"/>
      <w:bookmarkEnd w:id="8"/>
      <w:bookmarkEnd w:id="10"/>
    </w:p>
    <w:p w:rsidR="00586F98" w:rsidRDefault="00586F98" w:rsidP="00D83A63">
      <w:pPr>
        <w:pStyle w:val="Heading3"/>
      </w:pPr>
      <w:bookmarkStart w:id="11" w:name="_Toc392665401"/>
      <w:r>
        <w:t xml:space="preserve">Scope of the clinical </w:t>
      </w:r>
      <w:r w:rsidRPr="00D83A63">
        <w:t>dossier</w:t>
      </w:r>
      <w:bookmarkEnd w:id="11"/>
    </w:p>
    <w:p w:rsidR="006D7BB6" w:rsidRDefault="006D7BB6" w:rsidP="00D83A63">
      <w:r>
        <w:t>The submission contained the following clinical information:</w:t>
      </w:r>
    </w:p>
    <w:p w:rsidR="006D7BB6" w:rsidRDefault="006D7BB6" w:rsidP="00D83A63">
      <w:pPr>
        <w:pStyle w:val="ListBullet"/>
      </w:pPr>
      <w:r>
        <w:t xml:space="preserve">2 clinical </w:t>
      </w:r>
      <w:r w:rsidRPr="00D83A63">
        <w:t>pharmacology</w:t>
      </w:r>
      <w:r>
        <w:t xml:space="preserve"> studies, including 2 that provided pharmacokinetic data and 0 that provided </w:t>
      </w:r>
      <w:proofErr w:type="spellStart"/>
      <w:r w:rsidRPr="00D83A63">
        <w:t>pharmacodynamic</w:t>
      </w:r>
      <w:proofErr w:type="spellEnd"/>
      <w:r>
        <w:t xml:space="preserve"> data.</w:t>
      </w:r>
    </w:p>
    <w:p w:rsidR="006D7BB6" w:rsidRPr="006A08A1" w:rsidRDefault="006D7BB6" w:rsidP="00D83A63">
      <w:pPr>
        <w:pStyle w:val="ListBullet"/>
      </w:pPr>
      <w:r>
        <w:t>0 population pharmacokinetic analyses.</w:t>
      </w:r>
    </w:p>
    <w:p w:rsidR="006D7BB6" w:rsidRPr="006A08A1" w:rsidRDefault="006D7BB6" w:rsidP="00D83A63">
      <w:pPr>
        <w:pStyle w:val="ListBullet"/>
      </w:pPr>
      <w:r>
        <w:t xml:space="preserve">0 other </w:t>
      </w:r>
      <w:r w:rsidRPr="00D83A63">
        <w:t>efficacy</w:t>
      </w:r>
      <w:r w:rsidRPr="006A08A1">
        <w:t>/safety studies.</w:t>
      </w:r>
    </w:p>
    <w:p w:rsidR="00586F98" w:rsidRDefault="00586F98" w:rsidP="00D83A63">
      <w:pPr>
        <w:pStyle w:val="Heading3"/>
      </w:pPr>
      <w:bookmarkStart w:id="12" w:name="_Toc392665402"/>
      <w:r w:rsidRPr="00D83A63">
        <w:t>Paediatric</w:t>
      </w:r>
      <w:r>
        <w:t xml:space="preserve"> data</w:t>
      </w:r>
      <w:bookmarkEnd w:id="12"/>
    </w:p>
    <w:p w:rsidR="006D7BB6" w:rsidRDefault="006D7BB6" w:rsidP="00D83A63">
      <w:r>
        <w:t>The submission did not include paediatric data.</w:t>
      </w:r>
    </w:p>
    <w:p w:rsidR="00586F98" w:rsidRDefault="00586F98" w:rsidP="00D83A63">
      <w:pPr>
        <w:pStyle w:val="Heading3"/>
      </w:pPr>
      <w:bookmarkStart w:id="13" w:name="_Toc392665403"/>
      <w:r w:rsidRPr="00D83A63">
        <w:t>Good</w:t>
      </w:r>
      <w:r>
        <w:t xml:space="preserve"> clinical practice</w:t>
      </w:r>
      <w:bookmarkEnd w:id="13"/>
    </w:p>
    <w:p w:rsidR="006D7BB6" w:rsidRDefault="006D7BB6" w:rsidP="00D83A63">
      <w:r>
        <w:t xml:space="preserve">Compliance with the principles of </w:t>
      </w:r>
      <w:r w:rsidR="00180D31">
        <w:t>Good Clinical Practice (</w:t>
      </w:r>
      <w:r>
        <w:t>GCP</w:t>
      </w:r>
      <w:r w:rsidR="00180D31">
        <w:t>)</w:t>
      </w:r>
      <w:r>
        <w:t xml:space="preserve"> was asserted for both clinical studies included in the dossier.</w:t>
      </w:r>
    </w:p>
    <w:p w:rsidR="00586F98" w:rsidRDefault="00586F98" w:rsidP="00D83A63">
      <w:pPr>
        <w:pStyle w:val="Heading2"/>
      </w:pPr>
      <w:bookmarkStart w:id="14" w:name="_Toc355338639"/>
      <w:bookmarkStart w:id="15" w:name="_Toc392665404"/>
      <w:r w:rsidRPr="00D83A63">
        <w:t>Pharmacokinetics</w:t>
      </w:r>
      <w:bookmarkEnd w:id="14"/>
      <w:bookmarkEnd w:id="15"/>
    </w:p>
    <w:p w:rsidR="006D7BB6" w:rsidRDefault="006D7BB6" w:rsidP="00D83A63">
      <w:pPr>
        <w:pStyle w:val="Heading3"/>
      </w:pPr>
      <w:bookmarkStart w:id="16" w:name="_Ref271017296"/>
      <w:bookmarkStart w:id="17" w:name="_Ref271018924"/>
      <w:bookmarkStart w:id="18" w:name="_Ref271018934"/>
      <w:bookmarkStart w:id="19" w:name="_Toc272414614"/>
      <w:bookmarkStart w:id="20" w:name="_Toc290846238"/>
      <w:bookmarkStart w:id="21" w:name="_Toc361767635"/>
      <w:bookmarkStart w:id="22" w:name="_Toc392665405"/>
      <w:r>
        <w:t>Studies</w:t>
      </w:r>
      <w:bookmarkEnd w:id="16"/>
      <w:bookmarkEnd w:id="17"/>
      <w:bookmarkEnd w:id="18"/>
      <w:r>
        <w:t xml:space="preserve"> providing </w:t>
      </w:r>
      <w:r w:rsidRPr="00D83A63">
        <w:t>pharmacokinetic</w:t>
      </w:r>
      <w:r>
        <w:t xml:space="preserve"> data</w:t>
      </w:r>
      <w:bookmarkEnd w:id="19"/>
      <w:bookmarkEnd w:id="20"/>
      <w:bookmarkEnd w:id="21"/>
      <w:bookmarkEnd w:id="22"/>
    </w:p>
    <w:p w:rsidR="006D7BB6" w:rsidRDefault="00180D31" w:rsidP="00D83A63">
      <w:r>
        <w:t>Table 1</w:t>
      </w:r>
      <w:r w:rsidR="006D7BB6">
        <w:t xml:space="preserve"> shows the studies relating to each pharmacokinetic topic and the location of each study summary.</w:t>
      </w:r>
    </w:p>
    <w:p w:rsidR="006D7BB6" w:rsidRPr="00D83A63" w:rsidRDefault="006D7BB6" w:rsidP="00D83A63">
      <w:pPr>
        <w:pStyle w:val="TableTitle"/>
      </w:pPr>
      <w:bookmarkStart w:id="23" w:name="_Ref272426277"/>
      <w:bookmarkStart w:id="24" w:name="_Toc361767693"/>
      <w:proofErr w:type="gramStart"/>
      <w:r>
        <w:t xml:space="preserve">Table </w:t>
      </w:r>
      <w:fldSimple w:instr=" SEQ Table \* ARABIC ">
        <w:r w:rsidR="0044161C">
          <w:rPr>
            <w:noProof/>
          </w:rPr>
          <w:t>1</w:t>
        </w:r>
      </w:fldSimple>
      <w:bookmarkEnd w:id="23"/>
      <w:r>
        <w:t>.</w:t>
      </w:r>
      <w:proofErr w:type="gramEnd"/>
      <w:r>
        <w:t xml:space="preserve"> </w:t>
      </w:r>
      <w:proofErr w:type="gramStart"/>
      <w:r>
        <w:t>Submitted pharmacokinetic studies.</w:t>
      </w:r>
      <w:bookmarkEnd w:id="24"/>
      <w:proofErr w:type="gramEnd"/>
    </w:p>
    <w:tbl>
      <w:tblPr>
        <w:tblStyle w:val="TableTGAblue"/>
        <w:tblW w:w="8188" w:type="dxa"/>
        <w:tblLayout w:type="fixed"/>
        <w:tblLook w:val="04A0" w:firstRow="1" w:lastRow="0" w:firstColumn="1" w:lastColumn="0" w:noHBand="0" w:noVBand="1"/>
      </w:tblPr>
      <w:tblGrid>
        <w:gridCol w:w="1668"/>
        <w:gridCol w:w="3685"/>
        <w:gridCol w:w="2126"/>
        <w:gridCol w:w="709"/>
      </w:tblGrid>
      <w:tr w:rsidR="00180D31" w:rsidTr="00E57C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rsidR="00180D31" w:rsidRPr="008625DD" w:rsidRDefault="00180D31" w:rsidP="00E57C0F">
            <w:pPr>
              <w:ind w:left="0" w:right="34"/>
              <w:rPr>
                <w:b w:val="0"/>
              </w:rPr>
            </w:pPr>
            <w:r w:rsidRPr="008625DD">
              <w:t>PK topic</w:t>
            </w:r>
          </w:p>
        </w:tc>
        <w:tc>
          <w:tcPr>
            <w:tcW w:w="3685" w:type="dxa"/>
          </w:tcPr>
          <w:p w:rsidR="00180D31" w:rsidRPr="008625DD" w:rsidRDefault="00180D31" w:rsidP="00E57C0F">
            <w:pPr>
              <w:ind w:left="33" w:right="34"/>
              <w:cnfStyle w:val="100000000000" w:firstRow="1" w:lastRow="0" w:firstColumn="0" w:lastColumn="0" w:oddVBand="0" w:evenVBand="0" w:oddHBand="0" w:evenHBand="0" w:firstRowFirstColumn="0" w:firstRowLastColumn="0" w:lastRowFirstColumn="0" w:lastRowLastColumn="0"/>
              <w:rPr>
                <w:b w:val="0"/>
              </w:rPr>
            </w:pPr>
            <w:r w:rsidRPr="008625DD">
              <w:t>Subtopic</w:t>
            </w:r>
          </w:p>
        </w:tc>
        <w:tc>
          <w:tcPr>
            <w:tcW w:w="2126" w:type="dxa"/>
          </w:tcPr>
          <w:p w:rsidR="00180D31" w:rsidRPr="008625DD" w:rsidRDefault="00180D31" w:rsidP="00E57C0F">
            <w:pPr>
              <w:ind w:left="34" w:right="33"/>
              <w:cnfStyle w:val="100000000000" w:firstRow="1" w:lastRow="0" w:firstColumn="0" w:lastColumn="0" w:oddVBand="0" w:evenVBand="0" w:oddHBand="0" w:evenHBand="0" w:firstRowFirstColumn="0" w:firstRowLastColumn="0" w:lastRowFirstColumn="0" w:lastRowLastColumn="0"/>
              <w:rPr>
                <w:b w:val="0"/>
              </w:rPr>
            </w:pPr>
            <w:r w:rsidRPr="008625DD">
              <w:t>Study ID</w:t>
            </w:r>
          </w:p>
        </w:tc>
        <w:tc>
          <w:tcPr>
            <w:tcW w:w="709" w:type="dxa"/>
          </w:tcPr>
          <w:p w:rsidR="00180D31" w:rsidRPr="008625DD" w:rsidRDefault="00180D31" w:rsidP="00E57C0F">
            <w:pPr>
              <w:ind w:left="34" w:right="34"/>
              <w:cnfStyle w:val="100000000000" w:firstRow="1" w:lastRow="0" w:firstColumn="0" w:lastColumn="0" w:oddVBand="0" w:evenVBand="0" w:oddHBand="0" w:evenHBand="0" w:firstRowFirstColumn="0" w:firstRowLastColumn="0" w:lastRowFirstColumn="0" w:lastRowLastColumn="0"/>
              <w:rPr>
                <w:b w:val="0"/>
              </w:rPr>
            </w:pPr>
            <w:r w:rsidRPr="008625DD">
              <w:t>*</w:t>
            </w: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val="restart"/>
          </w:tcPr>
          <w:p w:rsidR="00180D31" w:rsidRPr="008625DD" w:rsidRDefault="00E57C0F" w:rsidP="00E57C0F">
            <w:pPr>
              <w:ind w:left="0" w:right="34"/>
            </w:pPr>
            <w:r>
              <w:t xml:space="preserve">PK in healthy </w:t>
            </w:r>
            <w:r w:rsidR="00180D31" w:rsidRPr="008625DD">
              <w:t>adults</w:t>
            </w: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General PK</w:t>
            </w:r>
            <w:r w:rsidRPr="000800CC">
              <w:tab/>
              <w:t>- Single dose</w:t>
            </w: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rsidRPr="00BB38E8">
              <w:t>ARL/11/201</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ARL/11/196</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r>
              <w:t>*</w:t>
            </w: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E57C0F" w:rsidP="00E57C0F">
            <w:pPr>
              <w:ind w:left="1451" w:right="34" w:hanging="1418"/>
              <w:cnfStyle w:val="000000000000" w:firstRow="0" w:lastRow="0" w:firstColumn="0" w:lastColumn="0" w:oddVBand="0" w:evenVBand="0" w:oddHBand="0" w:evenHBand="0" w:firstRowFirstColumn="0" w:firstRowLastColumn="0" w:lastRowFirstColumn="0" w:lastRowLastColumn="0"/>
            </w:pPr>
            <w:r>
              <w:tab/>
            </w:r>
            <w:r w:rsidR="00180D31" w:rsidRPr="000800CC">
              <w:t>- Multi-dose</w:t>
            </w: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Bioequivalence† - Single dose</w:t>
            </w: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rsidRPr="00BB38E8">
              <w:t>ARL/11/201</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r>
              <w:t>*</w:t>
            </w: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E57C0F" w:rsidP="00E57C0F">
            <w:pPr>
              <w:ind w:left="1451" w:right="34" w:hanging="1418"/>
              <w:cnfStyle w:val="000000000000" w:firstRow="0" w:lastRow="0" w:firstColumn="0" w:lastColumn="0" w:oddVBand="0" w:evenVBand="0" w:oddHBand="0" w:evenHBand="0" w:firstRowFirstColumn="0" w:firstRowLastColumn="0" w:lastRowFirstColumn="0" w:lastRowLastColumn="0"/>
            </w:pPr>
            <w:r>
              <w:tab/>
            </w:r>
            <w:r w:rsidR="00180D31" w:rsidRPr="000800CC">
              <w:t>- Multi-dose</w:t>
            </w: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Food effect</w:t>
            </w: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val="restart"/>
          </w:tcPr>
          <w:p w:rsidR="00180D31" w:rsidRPr="008625DD" w:rsidRDefault="00180D31" w:rsidP="00E57C0F">
            <w:pPr>
              <w:ind w:left="0" w:right="34"/>
            </w:pPr>
            <w:r w:rsidRPr="008625DD">
              <w:lastRenderedPageBreak/>
              <w:t>PK in special populations</w:t>
            </w: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Target population §</w:t>
            </w:r>
            <w:r w:rsidRPr="000800CC">
              <w:tab/>
              <w:t>- Single dose</w:t>
            </w:r>
          </w:p>
        </w:tc>
        <w:tc>
          <w:tcPr>
            <w:tcW w:w="2126" w:type="dxa"/>
            <w:vMerge w:val="restart"/>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E57C0F" w:rsidP="00E57C0F">
            <w:pPr>
              <w:ind w:left="2160" w:right="34" w:hanging="1418"/>
              <w:cnfStyle w:val="000000000000" w:firstRow="0" w:lastRow="0" w:firstColumn="0" w:lastColumn="0" w:oddVBand="0" w:evenVBand="0" w:oddHBand="0" w:evenHBand="0" w:firstRowFirstColumn="0" w:firstRowLastColumn="0" w:lastRowFirstColumn="0" w:lastRowLastColumn="0"/>
            </w:pPr>
            <w:r>
              <w:tab/>
            </w:r>
            <w:r w:rsidR="00180D31" w:rsidRPr="000800CC">
              <w:t>- Multi-dose</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val="restart"/>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Hepatic impairment</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Renal impairment</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t>Neonates/infants/children/adolescents</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Elderly</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val="restart"/>
          </w:tcPr>
          <w:p w:rsidR="00180D31" w:rsidRPr="008625DD" w:rsidRDefault="00180D31" w:rsidP="00E57C0F">
            <w:pPr>
              <w:ind w:left="0" w:right="34"/>
            </w:pPr>
            <w:r w:rsidRPr="008625DD">
              <w:t>Genetic/gender-related PK</w:t>
            </w: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Males vs. females</w:t>
            </w:r>
          </w:p>
        </w:tc>
        <w:tc>
          <w:tcPr>
            <w:tcW w:w="2126" w:type="dxa"/>
            <w:vMerge w:val="restart"/>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vMerge w:val="restart"/>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tcPr>
          <w:p w:rsidR="00180D31" w:rsidRPr="008625DD" w:rsidRDefault="00180D31" w:rsidP="00E57C0F">
            <w:pPr>
              <w:ind w:left="0" w:right="34"/>
            </w:pPr>
            <w:r w:rsidRPr="008625DD">
              <w:t>PK interactions</w:t>
            </w: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p>
        </w:tc>
        <w:tc>
          <w:tcPr>
            <w:tcW w:w="2126" w:type="dxa"/>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val="restart"/>
          </w:tcPr>
          <w:p w:rsidR="00180D31" w:rsidRPr="008625DD" w:rsidRDefault="00180D31" w:rsidP="00E57C0F">
            <w:pPr>
              <w:ind w:left="0" w:right="34"/>
            </w:pPr>
            <w:r w:rsidRPr="008625DD">
              <w:t>Population PK analyses</w:t>
            </w: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Healthy subjects</w:t>
            </w:r>
          </w:p>
        </w:tc>
        <w:tc>
          <w:tcPr>
            <w:tcW w:w="2126" w:type="dxa"/>
            <w:vMerge w:val="restart"/>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r>
              <w:t>No studies</w:t>
            </w:r>
          </w:p>
        </w:tc>
        <w:tc>
          <w:tcPr>
            <w:tcW w:w="709" w:type="dxa"/>
            <w:vMerge w:val="restart"/>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Target population</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r w:rsidR="00180D31" w:rsidTr="00180D31">
        <w:tc>
          <w:tcPr>
            <w:cnfStyle w:val="001000000000" w:firstRow="0" w:lastRow="0" w:firstColumn="1" w:lastColumn="0" w:oddVBand="0" w:evenVBand="0" w:oddHBand="0" w:evenHBand="0" w:firstRowFirstColumn="0" w:firstRowLastColumn="0" w:lastRowFirstColumn="0" w:lastRowLastColumn="0"/>
            <w:tcW w:w="1668" w:type="dxa"/>
            <w:vMerge/>
          </w:tcPr>
          <w:p w:rsidR="00180D31" w:rsidRPr="000800CC" w:rsidRDefault="00180D31" w:rsidP="00E57C0F">
            <w:pPr>
              <w:ind w:left="0" w:right="34"/>
            </w:pPr>
          </w:p>
        </w:tc>
        <w:tc>
          <w:tcPr>
            <w:tcW w:w="3685" w:type="dxa"/>
          </w:tcPr>
          <w:p w:rsidR="00180D31" w:rsidRPr="000800CC" w:rsidRDefault="00180D31" w:rsidP="00E57C0F">
            <w:pPr>
              <w:ind w:left="33" w:right="34"/>
              <w:cnfStyle w:val="000000000000" w:firstRow="0" w:lastRow="0" w:firstColumn="0" w:lastColumn="0" w:oddVBand="0" w:evenVBand="0" w:oddHBand="0" w:evenHBand="0" w:firstRowFirstColumn="0" w:firstRowLastColumn="0" w:lastRowFirstColumn="0" w:lastRowLastColumn="0"/>
            </w:pPr>
            <w:r w:rsidRPr="000800CC">
              <w:t>Other</w:t>
            </w:r>
          </w:p>
        </w:tc>
        <w:tc>
          <w:tcPr>
            <w:tcW w:w="2126" w:type="dxa"/>
            <w:vMerge/>
          </w:tcPr>
          <w:p w:rsidR="00180D31" w:rsidRPr="000800CC" w:rsidRDefault="00180D31" w:rsidP="00E57C0F">
            <w:pPr>
              <w:ind w:left="34" w:right="33"/>
              <w:cnfStyle w:val="000000000000" w:firstRow="0" w:lastRow="0" w:firstColumn="0" w:lastColumn="0" w:oddVBand="0" w:evenVBand="0" w:oddHBand="0" w:evenHBand="0" w:firstRowFirstColumn="0" w:firstRowLastColumn="0" w:lastRowFirstColumn="0" w:lastRowLastColumn="0"/>
            </w:pPr>
          </w:p>
        </w:tc>
        <w:tc>
          <w:tcPr>
            <w:tcW w:w="709" w:type="dxa"/>
            <w:vMerge/>
          </w:tcPr>
          <w:p w:rsidR="00180D31" w:rsidRPr="000800CC" w:rsidRDefault="00180D31" w:rsidP="00E57C0F">
            <w:pPr>
              <w:ind w:left="34" w:right="34"/>
              <w:cnfStyle w:val="000000000000" w:firstRow="0" w:lastRow="0" w:firstColumn="0" w:lastColumn="0" w:oddVBand="0" w:evenVBand="0" w:oddHBand="0" w:evenHBand="0" w:firstRowFirstColumn="0" w:firstRowLastColumn="0" w:lastRowFirstColumn="0" w:lastRowLastColumn="0"/>
            </w:pPr>
          </w:p>
        </w:tc>
      </w:tr>
    </w:tbl>
    <w:p w:rsidR="006D7BB6" w:rsidRDefault="006D7BB6" w:rsidP="00E57C0F">
      <w:pPr>
        <w:pStyle w:val="TableDescription"/>
      </w:pPr>
      <w:r>
        <w:t>* Indicates the primary aim of the study.</w:t>
      </w:r>
      <w:r w:rsidR="00180D31">
        <w:t xml:space="preserve"> </w:t>
      </w:r>
      <w:r w:rsidRPr="00AF6927">
        <w:t>†</w:t>
      </w:r>
      <w:r>
        <w:t xml:space="preserve"> Bioequivalence of different formulations.</w:t>
      </w:r>
      <w:r w:rsidR="00180D31">
        <w:t xml:space="preserve"> </w:t>
      </w:r>
      <w:r w:rsidRPr="00BF3808">
        <w:t>§</w:t>
      </w:r>
      <w:r>
        <w:t xml:space="preserve"> Subjects who would be eligible to receive the drug if approved for the proposed indication.</w:t>
      </w:r>
    </w:p>
    <w:p w:rsidR="006D7BB6" w:rsidRDefault="006D7BB6" w:rsidP="0023544D">
      <w:r>
        <w:fldChar w:fldCharType="begin"/>
      </w:r>
      <w:r>
        <w:instrText xml:space="preserve"> REF _Ref271031346 \h </w:instrText>
      </w:r>
      <w:r>
        <w:fldChar w:fldCharType="separate"/>
      </w:r>
      <w:r w:rsidR="0044161C">
        <w:t xml:space="preserve">Table </w:t>
      </w:r>
      <w:r w:rsidR="0044161C">
        <w:rPr>
          <w:noProof/>
        </w:rPr>
        <w:t>2</w:t>
      </w:r>
      <w:r>
        <w:fldChar w:fldCharType="end"/>
      </w:r>
      <w:r>
        <w:t xml:space="preserve"> lists pharmacokinetic results that were excluded from considera</w:t>
      </w:r>
      <w:r w:rsidR="0023544D">
        <w:t>tion due to study deficiencies.</w:t>
      </w:r>
    </w:p>
    <w:p w:rsidR="006D7BB6" w:rsidRDefault="006D7BB6" w:rsidP="0023544D">
      <w:pPr>
        <w:pStyle w:val="TableTitle"/>
      </w:pPr>
      <w:bookmarkStart w:id="25" w:name="_Ref271031346"/>
      <w:bookmarkStart w:id="26" w:name="_Toc361767694"/>
      <w:proofErr w:type="gramStart"/>
      <w:r>
        <w:t xml:space="preserve">Table </w:t>
      </w:r>
      <w:fldSimple w:instr=" SEQ Table \* ARABIC ">
        <w:r w:rsidR="0044161C">
          <w:rPr>
            <w:noProof/>
          </w:rPr>
          <w:t>2</w:t>
        </w:r>
      </w:fldSimple>
      <w:bookmarkEnd w:id="25"/>
      <w:r>
        <w:t>.</w:t>
      </w:r>
      <w:proofErr w:type="gramEnd"/>
      <w:r>
        <w:t xml:space="preserve"> </w:t>
      </w:r>
      <w:r w:rsidRPr="0023544D">
        <w:t>Pharmacokinetic</w:t>
      </w:r>
      <w:r>
        <w:t xml:space="preserve"> results excluded from consideration.</w:t>
      </w:r>
      <w:bookmarkEnd w:id="26"/>
    </w:p>
    <w:tbl>
      <w:tblPr>
        <w:tblStyle w:val="TableTGAblue"/>
        <w:tblW w:w="7905" w:type="dxa"/>
        <w:tblLayout w:type="fixed"/>
        <w:tblLook w:val="04A0" w:firstRow="1" w:lastRow="0" w:firstColumn="1" w:lastColumn="0" w:noHBand="0" w:noVBand="1"/>
      </w:tblPr>
      <w:tblGrid>
        <w:gridCol w:w="1809"/>
        <w:gridCol w:w="3261"/>
        <w:gridCol w:w="2835"/>
      </w:tblGrid>
      <w:tr w:rsidR="00180D31" w:rsidTr="00235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rsidR="00180D31" w:rsidRPr="000800CC" w:rsidRDefault="00180D31" w:rsidP="0023544D">
            <w:pPr>
              <w:ind w:left="0" w:right="33"/>
              <w:rPr>
                <w:b w:val="0"/>
              </w:rPr>
            </w:pPr>
            <w:r w:rsidRPr="000800CC">
              <w:t>Study ID</w:t>
            </w:r>
          </w:p>
        </w:tc>
        <w:tc>
          <w:tcPr>
            <w:tcW w:w="3261" w:type="dxa"/>
          </w:tcPr>
          <w:p w:rsidR="00180D31" w:rsidRPr="000800CC" w:rsidRDefault="00180D31" w:rsidP="0023544D">
            <w:pPr>
              <w:ind w:left="34" w:right="34"/>
              <w:cnfStyle w:val="100000000000" w:firstRow="1" w:lastRow="0" w:firstColumn="0" w:lastColumn="0" w:oddVBand="0" w:evenVBand="0" w:oddHBand="0" w:evenHBand="0" w:firstRowFirstColumn="0" w:firstRowLastColumn="0" w:lastRowFirstColumn="0" w:lastRowLastColumn="0"/>
              <w:rPr>
                <w:b w:val="0"/>
              </w:rPr>
            </w:pPr>
            <w:r>
              <w:t>Subtopic(s)</w:t>
            </w:r>
          </w:p>
        </w:tc>
        <w:tc>
          <w:tcPr>
            <w:tcW w:w="2835" w:type="dxa"/>
          </w:tcPr>
          <w:p w:rsidR="00180D31" w:rsidRPr="000800CC" w:rsidRDefault="00180D31" w:rsidP="0023544D">
            <w:pPr>
              <w:ind w:left="33" w:right="34"/>
              <w:cnfStyle w:val="100000000000" w:firstRow="1" w:lastRow="0" w:firstColumn="0" w:lastColumn="0" w:oddVBand="0" w:evenVBand="0" w:oddHBand="0" w:evenHBand="0" w:firstRowFirstColumn="0" w:firstRowLastColumn="0" w:lastRowFirstColumn="0" w:lastRowLastColumn="0"/>
              <w:rPr>
                <w:b w:val="0"/>
              </w:rPr>
            </w:pPr>
            <w:r>
              <w:t>PK results excluded</w:t>
            </w:r>
          </w:p>
        </w:tc>
      </w:tr>
      <w:tr w:rsidR="00180D31" w:rsidTr="00180D31">
        <w:tc>
          <w:tcPr>
            <w:cnfStyle w:val="001000000000" w:firstRow="0" w:lastRow="0" w:firstColumn="1" w:lastColumn="0" w:oddVBand="0" w:evenVBand="0" w:oddHBand="0" w:evenHBand="0" w:firstRowFirstColumn="0" w:firstRowLastColumn="0" w:lastRowFirstColumn="0" w:lastRowLastColumn="0"/>
            <w:tcW w:w="1809" w:type="dxa"/>
          </w:tcPr>
          <w:p w:rsidR="00180D31" w:rsidRPr="000800CC" w:rsidRDefault="00180D31" w:rsidP="0023544D">
            <w:pPr>
              <w:ind w:left="0" w:right="33"/>
            </w:pPr>
            <w:r w:rsidRPr="00BB38E8">
              <w:t>ARL/11/201</w:t>
            </w:r>
          </w:p>
        </w:tc>
        <w:tc>
          <w:tcPr>
            <w:tcW w:w="3261" w:type="dxa"/>
          </w:tcPr>
          <w:p w:rsidR="00180D31" w:rsidRPr="000800CC" w:rsidRDefault="00180D31" w:rsidP="0023544D">
            <w:pPr>
              <w:ind w:left="34" w:right="34"/>
              <w:cnfStyle w:val="000000000000" w:firstRow="0" w:lastRow="0" w:firstColumn="0" w:lastColumn="0" w:oddVBand="0" w:evenVBand="0" w:oddHBand="0" w:evenHBand="0" w:firstRowFirstColumn="0" w:firstRowLastColumn="0" w:lastRowFirstColumn="0" w:lastRowLastColumn="0"/>
            </w:pPr>
            <w:r>
              <w:t>Bioequivalence</w:t>
            </w:r>
          </w:p>
        </w:tc>
        <w:tc>
          <w:tcPr>
            <w:tcW w:w="2835" w:type="dxa"/>
          </w:tcPr>
          <w:p w:rsidR="00180D31" w:rsidRPr="000800CC" w:rsidRDefault="00180D31" w:rsidP="0023544D">
            <w:pPr>
              <w:ind w:left="33" w:right="34"/>
              <w:cnfStyle w:val="000000000000" w:firstRow="0" w:lastRow="0" w:firstColumn="0" w:lastColumn="0" w:oddVBand="0" w:evenVBand="0" w:oddHBand="0" w:evenHBand="0" w:firstRowFirstColumn="0" w:firstRowLastColumn="0" w:lastRowFirstColumn="0" w:lastRowLastColumn="0"/>
            </w:pPr>
            <w:r>
              <w:t>All</w:t>
            </w:r>
          </w:p>
        </w:tc>
      </w:tr>
      <w:tr w:rsidR="00180D31" w:rsidTr="00180D31">
        <w:tc>
          <w:tcPr>
            <w:cnfStyle w:val="001000000000" w:firstRow="0" w:lastRow="0" w:firstColumn="1" w:lastColumn="0" w:oddVBand="0" w:evenVBand="0" w:oddHBand="0" w:evenHBand="0" w:firstRowFirstColumn="0" w:firstRowLastColumn="0" w:lastRowFirstColumn="0" w:lastRowLastColumn="0"/>
            <w:tcW w:w="1809" w:type="dxa"/>
          </w:tcPr>
          <w:p w:rsidR="00180D31" w:rsidRPr="000800CC" w:rsidRDefault="00180D31" w:rsidP="0023544D">
            <w:pPr>
              <w:ind w:left="0" w:right="33"/>
            </w:pPr>
            <w:r w:rsidRPr="008069AF">
              <w:t>ARL/11/196</w:t>
            </w:r>
          </w:p>
        </w:tc>
        <w:tc>
          <w:tcPr>
            <w:tcW w:w="3261" w:type="dxa"/>
          </w:tcPr>
          <w:p w:rsidR="00180D31" w:rsidRPr="000800CC" w:rsidRDefault="00180D31" w:rsidP="0023544D">
            <w:pPr>
              <w:ind w:left="34" w:right="34"/>
              <w:cnfStyle w:val="000000000000" w:firstRow="0" w:lastRow="0" w:firstColumn="0" w:lastColumn="0" w:oddVBand="0" w:evenVBand="0" w:oddHBand="0" w:evenHBand="0" w:firstRowFirstColumn="0" w:firstRowLastColumn="0" w:lastRowFirstColumn="0" w:lastRowLastColumn="0"/>
            </w:pPr>
            <w:r>
              <w:t>General PK</w:t>
            </w:r>
          </w:p>
        </w:tc>
        <w:tc>
          <w:tcPr>
            <w:tcW w:w="2835" w:type="dxa"/>
          </w:tcPr>
          <w:p w:rsidR="00180D31" w:rsidRPr="000800CC" w:rsidRDefault="00180D31" w:rsidP="0023544D">
            <w:pPr>
              <w:ind w:left="33" w:right="34"/>
              <w:cnfStyle w:val="000000000000" w:firstRow="0" w:lastRow="0" w:firstColumn="0" w:lastColumn="0" w:oddVBand="0" w:evenVBand="0" w:oddHBand="0" w:evenHBand="0" w:firstRowFirstColumn="0" w:firstRowLastColumn="0" w:lastRowFirstColumn="0" w:lastRowLastColumn="0"/>
            </w:pPr>
            <w:r>
              <w:t>All</w:t>
            </w:r>
          </w:p>
        </w:tc>
      </w:tr>
    </w:tbl>
    <w:p w:rsidR="006D7BB6" w:rsidRDefault="006D7BB6" w:rsidP="0023544D">
      <w:pPr>
        <w:pStyle w:val="Heading3"/>
      </w:pPr>
      <w:bookmarkStart w:id="27" w:name="_Ref269118175"/>
      <w:bookmarkStart w:id="28" w:name="_Toc272414616"/>
      <w:bookmarkStart w:id="29" w:name="_Toc290846239"/>
      <w:bookmarkStart w:id="30" w:name="_Toc361767636"/>
      <w:bookmarkStart w:id="31" w:name="_Toc392665406"/>
      <w:r>
        <w:t xml:space="preserve">Summary of </w:t>
      </w:r>
      <w:r w:rsidRPr="0023544D">
        <w:t>pharmacokinetics</w:t>
      </w:r>
      <w:bookmarkEnd w:id="27"/>
      <w:bookmarkEnd w:id="28"/>
      <w:bookmarkEnd w:id="29"/>
      <w:bookmarkEnd w:id="30"/>
      <w:bookmarkEnd w:id="31"/>
    </w:p>
    <w:p w:rsidR="006D7BB6" w:rsidRDefault="006D7BB6" w:rsidP="0023544D">
      <w:r>
        <w:t>The information in the following summary is derived from conventional pharmacokinetic studies unless otherwise stated.</w:t>
      </w:r>
    </w:p>
    <w:p w:rsidR="006D7BB6" w:rsidRPr="007F1AAD" w:rsidRDefault="006D7BB6" w:rsidP="0023544D">
      <w:pPr>
        <w:pStyle w:val="Heading4"/>
      </w:pPr>
      <w:bookmarkStart w:id="32" w:name="_Ref271189106"/>
      <w:bookmarkStart w:id="33" w:name="_Ref271189143"/>
      <w:bookmarkStart w:id="34" w:name="_Toc272414618"/>
      <w:bookmarkStart w:id="35" w:name="_Toc290846241"/>
      <w:bookmarkStart w:id="36" w:name="_Toc361767637"/>
      <w:r w:rsidRPr="003C0A48">
        <w:t>Pharmacokinetics in healthy subjects</w:t>
      </w:r>
      <w:bookmarkEnd w:id="32"/>
      <w:bookmarkEnd w:id="33"/>
      <w:bookmarkEnd w:id="34"/>
      <w:bookmarkEnd w:id="35"/>
      <w:bookmarkEnd w:id="36"/>
    </w:p>
    <w:p w:rsidR="006D7BB6" w:rsidRPr="003C0A48" w:rsidRDefault="006D7BB6" w:rsidP="0023544D">
      <w:pPr>
        <w:pStyle w:val="Heading5"/>
      </w:pPr>
      <w:bookmarkStart w:id="37" w:name="_Toc241374287"/>
      <w:bookmarkStart w:id="38" w:name="_Toc272414620"/>
      <w:bookmarkStart w:id="39" w:name="_Toc290846243"/>
      <w:bookmarkStart w:id="40" w:name="_Toc361767638"/>
      <w:r w:rsidRPr="003C0A48">
        <w:t>Bioavailability</w:t>
      </w:r>
      <w:bookmarkEnd w:id="37"/>
      <w:bookmarkEnd w:id="38"/>
      <w:bookmarkEnd w:id="39"/>
      <w:bookmarkEnd w:id="40"/>
    </w:p>
    <w:p w:rsidR="006D7BB6" w:rsidRPr="003C0A48" w:rsidRDefault="006D7BB6" w:rsidP="0023544D">
      <w:pPr>
        <w:pStyle w:val="Heading6"/>
      </w:pPr>
      <w:bookmarkStart w:id="41" w:name="_Ref357444078"/>
      <w:r w:rsidRPr="0023544D">
        <w:t>Bioequivalence</w:t>
      </w:r>
      <w:r w:rsidRPr="003C0A48">
        <w:t xml:space="preserve"> </w:t>
      </w:r>
      <w:r>
        <w:t>at different</w:t>
      </w:r>
      <w:r w:rsidRPr="003C0A48">
        <w:t xml:space="preserve"> strengths</w:t>
      </w:r>
      <w:bookmarkEnd w:id="41"/>
    </w:p>
    <w:p w:rsidR="006D7BB6" w:rsidRPr="00180D31" w:rsidRDefault="006D7BB6" w:rsidP="0023544D">
      <w:r w:rsidRPr="00180D31">
        <w:t xml:space="preserve">Although several strengths are proposed for registration, only the 200 </w:t>
      </w:r>
      <w:r w:rsidR="00180D31" w:rsidRPr="00180D31">
        <w:t>µ</w:t>
      </w:r>
      <w:r w:rsidRPr="00180D31">
        <w:t xml:space="preserve">g tablet was subjected to bioequivalence testing. </w:t>
      </w:r>
      <w:r w:rsidR="00832A0C">
        <w:t>The evaluator</w:t>
      </w:r>
      <w:r w:rsidRPr="00180D31">
        <w:t xml:space="preserve"> could not find in the dossier any justification for this in the terms required by the relevant guideline. See next section.</w:t>
      </w:r>
    </w:p>
    <w:p w:rsidR="006D7BB6" w:rsidRDefault="006D7BB6" w:rsidP="0023544D">
      <w:pPr>
        <w:pStyle w:val="Heading6"/>
      </w:pPr>
      <w:bookmarkStart w:id="42" w:name="_Ref357444200"/>
      <w:r w:rsidRPr="002656D5">
        <w:lastRenderedPageBreak/>
        <w:t>Bioequivalence</w:t>
      </w:r>
      <w:r w:rsidRPr="003C0A48">
        <w:t xml:space="preserve"> to relevant registered products</w:t>
      </w:r>
      <w:bookmarkEnd w:id="42"/>
    </w:p>
    <w:p w:rsidR="006D7BB6" w:rsidRDefault="006D7BB6" w:rsidP="0023544D">
      <w:r>
        <w:t xml:space="preserve">Although a bioequivalence study (ARL/11/201) was presented purporting to demonstrate bioequivalence of </w:t>
      </w:r>
      <w:proofErr w:type="spellStart"/>
      <w:r>
        <w:t>Eltroxin</w:t>
      </w:r>
      <w:proofErr w:type="spellEnd"/>
      <w:r>
        <w:t xml:space="preserve"> to </w:t>
      </w:r>
      <w:proofErr w:type="spellStart"/>
      <w:r>
        <w:t>Oroxine</w:t>
      </w:r>
      <w:proofErr w:type="spellEnd"/>
      <w:r>
        <w:t>, the dosage used in the study was 600 µg (3 of the 200 µg tablets). Such dosage is contemplated by the relevant guideline</w:t>
      </w:r>
      <w:bookmarkStart w:id="43" w:name="_Ref387738874"/>
      <w:r w:rsidR="00180D31">
        <w:rPr>
          <w:rStyle w:val="FootnoteReference"/>
        </w:rPr>
        <w:footnoteReference w:id="1"/>
      </w:r>
      <w:bookmarkEnd w:id="43"/>
      <w:r>
        <w:t xml:space="preserve"> but must be justified, and the justification would depend on whether absorption kinetics </w:t>
      </w:r>
      <w:proofErr w:type="gramStart"/>
      <w:r>
        <w:t>are</w:t>
      </w:r>
      <w:proofErr w:type="gramEnd"/>
      <w:r>
        <w:t xml:space="preserve"> linear. The explanation given at ARL/11/201 </w:t>
      </w:r>
      <w:r w:rsidRPr="000D6F99">
        <w:rPr>
          <w:i/>
        </w:rPr>
        <w:t>CSR</w:t>
      </w:r>
      <w:r>
        <w:t xml:space="preserve"> page 35 is:</w:t>
      </w:r>
    </w:p>
    <w:p w:rsidR="006D7BB6" w:rsidRPr="0023544D" w:rsidRDefault="006D7BB6" w:rsidP="0023544D">
      <w:pPr>
        <w:ind w:left="720"/>
        <w:rPr>
          <w:i/>
        </w:rPr>
      </w:pPr>
      <w:r w:rsidRPr="0023544D">
        <w:rPr>
          <w:i/>
        </w:rPr>
        <w:t xml:space="preserve">"It is a challenge to determine the bioavailability of levothyroxine sodium products because levothyroxine is naturally present in minute quantities in the blood, with the total levels reaching 5.0-12.0 </w:t>
      </w:r>
      <w:r w:rsidR="00180D31" w:rsidRPr="0023544D">
        <w:rPr>
          <w:i/>
        </w:rPr>
        <w:t>µ</w:t>
      </w:r>
      <w:r w:rsidRPr="0023544D">
        <w:rPr>
          <w:i/>
        </w:rPr>
        <w:t xml:space="preserve">g/dL and free (or unbound) levels reaching 0.8-2.7 ng/dL in a healthy adult. To assess the bioavailability of levothyroxine sodium after a single dose, several times the normal dose should be given to raise the levels of the drug significantly above baseline to allow measurement. Hence, to detect T4 above baseline levels a total dose of 600 </w:t>
      </w:r>
      <w:r w:rsidR="00180D31" w:rsidRPr="0023544D">
        <w:rPr>
          <w:i/>
        </w:rPr>
        <w:t>µ</w:t>
      </w:r>
      <w:r w:rsidRPr="0023544D">
        <w:rPr>
          <w:i/>
        </w:rPr>
        <w:t>g was given in this study."</w:t>
      </w:r>
    </w:p>
    <w:p w:rsidR="006D7BB6" w:rsidRPr="003D0521" w:rsidRDefault="006D7BB6" w:rsidP="0023544D">
      <w:r w:rsidRPr="003D0521">
        <w:t xml:space="preserve">This text describes the problem underlying the choice of the 600 </w:t>
      </w:r>
      <w:r w:rsidR="00180D31">
        <w:t>µ</w:t>
      </w:r>
      <w:r w:rsidRPr="003D0521">
        <w:t>g dose</w:t>
      </w:r>
      <w:r>
        <w:t xml:space="preserve"> but does not contain any justification in terms of linearity of kinetics. As the guideline makes clear, both the choice of the high dose used, and the waiver of the need to prove separately the bioequivalence of Test and Reference products at lower strengths, are dependent on such justification.</w:t>
      </w:r>
    </w:p>
    <w:p w:rsidR="006D7BB6" w:rsidRPr="003C0A48" w:rsidRDefault="006D7BB6" w:rsidP="0023544D">
      <w:pPr>
        <w:pStyle w:val="Heading6"/>
      </w:pPr>
      <w:r w:rsidRPr="00486B90">
        <w:t>Influence</w:t>
      </w:r>
      <w:r w:rsidRPr="003C0A48">
        <w:t xml:space="preserve"> of </w:t>
      </w:r>
      <w:r w:rsidRPr="0023544D">
        <w:t>food</w:t>
      </w:r>
    </w:p>
    <w:p w:rsidR="006D7BB6" w:rsidRDefault="006D7BB6" w:rsidP="0023544D">
      <w:r>
        <w:t>The sole bioequivalence study presented was done fasted. However, this is in compliance with the relevant guideline (EMA 2010, at page 9/27).</w:t>
      </w:r>
      <w:r w:rsidR="00DD6A00" w:rsidRPr="00DD6A00">
        <w:rPr>
          <w:vertAlign w:val="superscript"/>
        </w:rPr>
        <w:fldChar w:fldCharType="begin"/>
      </w:r>
      <w:r w:rsidR="00DD6A00" w:rsidRPr="00DD6A00">
        <w:rPr>
          <w:vertAlign w:val="superscript"/>
        </w:rPr>
        <w:instrText xml:space="preserve"> NOTEREF _Ref387738874 \h </w:instrText>
      </w:r>
      <w:r w:rsidR="00DD6A00">
        <w:rPr>
          <w:vertAlign w:val="superscript"/>
        </w:rPr>
        <w:instrText xml:space="preserve"> \* MERGEFORMAT </w:instrText>
      </w:r>
      <w:r w:rsidR="00DD6A00" w:rsidRPr="00DD6A00">
        <w:rPr>
          <w:vertAlign w:val="superscript"/>
        </w:rPr>
      </w:r>
      <w:r w:rsidR="00DD6A00" w:rsidRPr="00DD6A00">
        <w:rPr>
          <w:vertAlign w:val="superscript"/>
        </w:rPr>
        <w:fldChar w:fldCharType="separate"/>
      </w:r>
      <w:r w:rsidR="0044161C">
        <w:rPr>
          <w:vertAlign w:val="superscript"/>
        </w:rPr>
        <w:t>1</w:t>
      </w:r>
      <w:r w:rsidR="00DD6A00" w:rsidRPr="00DD6A00">
        <w:rPr>
          <w:vertAlign w:val="superscript"/>
        </w:rPr>
        <w:fldChar w:fldCharType="end"/>
      </w:r>
    </w:p>
    <w:p w:rsidR="006D7BB6" w:rsidRPr="003C0A48" w:rsidRDefault="006D7BB6" w:rsidP="0023544D">
      <w:pPr>
        <w:pStyle w:val="Heading6"/>
      </w:pPr>
      <w:r w:rsidRPr="003C0A48">
        <w:t xml:space="preserve">Dose </w:t>
      </w:r>
      <w:r w:rsidRPr="0023544D">
        <w:t>proportionality</w:t>
      </w:r>
    </w:p>
    <w:p w:rsidR="006D7BB6" w:rsidRDefault="006D7BB6" w:rsidP="0023544D">
      <w:r>
        <w:t xml:space="preserve">This relates to linearity of absorption kinetics. No study of dose proportionality was presented or cited. </w:t>
      </w:r>
    </w:p>
    <w:p w:rsidR="006D7BB6" w:rsidRPr="003C0A48" w:rsidRDefault="006D7BB6" w:rsidP="0023544D">
      <w:pPr>
        <w:pStyle w:val="Heading6"/>
      </w:pPr>
      <w:bookmarkStart w:id="44" w:name="_Ref358562709"/>
      <w:r>
        <w:t xml:space="preserve">Dosage form </w:t>
      </w:r>
      <w:r w:rsidRPr="0023544D">
        <w:t>proportionality</w:t>
      </w:r>
      <w:bookmarkEnd w:id="44"/>
    </w:p>
    <w:p w:rsidR="006D7BB6" w:rsidRDefault="006D7BB6" w:rsidP="0023544D">
      <w:r>
        <w:t>The sponsor has included in the dossier Study ARL/11/196, for which it states:</w:t>
      </w:r>
    </w:p>
    <w:p w:rsidR="006D7BB6" w:rsidRPr="0023544D" w:rsidRDefault="006D7BB6" w:rsidP="0023544D">
      <w:pPr>
        <w:ind w:left="720"/>
        <w:rPr>
          <w:i/>
        </w:rPr>
      </w:pPr>
      <w:r w:rsidRPr="0023544D">
        <w:rPr>
          <w:i/>
        </w:rPr>
        <w:t xml:space="preserve">"The objective of this study was to assess the pharmacokinetic and dose proportionality between Test Product (A): </w:t>
      </w:r>
      <w:proofErr w:type="spellStart"/>
      <w:r w:rsidRPr="0023544D">
        <w:rPr>
          <w:i/>
        </w:rPr>
        <w:t>Eltroxin</w:t>
      </w:r>
      <w:proofErr w:type="spellEnd"/>
      <w:r w:rsidRPr="0023544D">
        <w:rPr>
          <w:i/>
        </w:rPr>
        <w:t xml:space="preserve"> (Levothyroxine Sodium) tablet 50 </w:t>
      </w:r>
      <w:r w:rsidR="00180D31" w:rsidRPr="0023544D">
        <w:rPr>
          <w:i/>
        </w:rPr>
        <w:t>µ</w:t>
      </w:r>
      <w:r w:rsidRPr="0023544D">
        <w:rPr>
          <w:i/>
        </w:rPr>
        <w:t xml:space="preserve">g (12 x 50 </w:t>
      </w:r>
      <w:r w:rsidR="00180D31" w:rsidRPr="0023544D">
        <w:rPr>
          <w:i/>
        </w:rPr>
        <w:t>µ</w:t>
      </w:r>
      <w:r w:rsidRPr="0023544D">
        <w:rPr>
          <w:i/>
        </w:rPr>
        <w:t xml:space="preserve">g), Test Product (B): </w:t>
      </w:r>
      <w:proofErr w:type="spellStart"/>
      <w:r w:rsidRPr="0023544D">
        <w:rPr>
          <w:i/>
        </w:rPr>
        <w:t>Eltroxin</w:t>
      </w:r>
      <w:proofErr w:type="spellEnd"/>
      <w:r w:rsidRPr="0023544D">
        <w:rPr>
          <w:i/>
        </w:rPr>
        <w:t xml:space="preserve"> (Levothyroxine Sodium) tablet 100 </w:t>
      </w:r>
      <w:r w:rsidR="00180D31" w:rsidRPr="0023544D">
        <w:rPr>
          <w:i/>
        </w:rPr>
        <w:t>µ</w:t>
      </w:r>
      <w:r w:rsidRPr="0023544D">
        <w:rPr>
          <w:i/>
        </w:rPr>
        <w:t xml:space="preserve">g (6 x 100 </w:t>
      </w:r>
      <w:r w:rsidR="00180D31" w:rsidRPr="0023544D">
        <w:rPr>
          <w:i/>
        </w:rPr>
        <w:t>µ</w:t>
      </w:r>
      <w:r w:rsidRPr="0023544D">
        <w:rPr>
          <w:i/>
        </w:rPr>
        <w:t xml:space="preserve">g), Test Product (C): </w:t>
      </w:r>
      <w:proofErr w:type="spellStart"/>
      <w:r w:rsidRPr="0023544D">
        <w:rPr>
          <w:i/>
        </w:rPr>
        <w:t>Eltroxin</w:t>
      </w:r>
      <w:proofErr w:type="spellEnd"/>
      <w:r w:rsidRPr="0023544D">
        <w:rPr>
          <w:i/>
        </w:rPr>
        <w:t xml:space="preserve"> (Levothyroxine Sodium) tablet 200 </w:t>
      </w:r>
      <w:r w:rsidR="00180D31" w:rsidRPr="0023544D">
        <w:rPr>
          <w:i/>
        </w:rPr>
        <w:t>µ</w:t>
      </w:r>
      <w:r w:rsidRPr="0023544D">
        <w:rPr>
          <w:i/>
        </w:rPr>
        <w:t xml:space="preserve">g (3 x 200 </w:t>
      </w:r>
      <w:r w:rsidR="00180D31" w:rsidRPr="0023544D">
        <w:rPr>
          <w:i/>
        </w:rPr>
        <w:t>µ</w:t>
      </w:r>
      <w:r w:rsidRPr="0023544D">
        <w:rPr>
          <w:i/>
        </w:rPr>
        <w:t xml:space="preserve">g) of Aspen Pharmacare, South Africa, following a single 600 </w:t>
      </w:r>
      <w:r w:rsidR="00180D31" w:rsidRPr="0023544D">
        <w:rPr>
          <w:i/>
        </w:rPr>
        <w:t>µ</w:t>
      </w:r>
      <w:r w:rsidRPr="0023544D">
        <w:rPr>
          <w:i/>
        </w:rPr>
        <w:t>g administration, under fasting condition in normal, healthy, adult, human subjects, in a randomized crossover study."</w:t>
      </w:r>
    </w:p>
    <w:p w:rsidR="006D7BB6" w:rsidRDefault="006D7BB6" w:rsidP="0023544D">
      <w:proofErr w:type="gramStart"/>
      <w:r>
        <w:t>and</w:t>
      </w:r>
      <w:proofErr w:type="gramEnd"/>
    </w:p>
    <w:p w:rsidR="006D7BB6" w:rsidRPr="0023544D" w:rsidRDefault="006D7BB6" w:rsidP="0023544D">
      <w:pPr>
        <w:ind w:left="720"/>
        <w:rPr>
          <w:i/>
        </w:rPr>
      </w:pPr>
      <w:r w:rsidRPr="0023544D">
        <w:rPr>
          <w:i/>
        </w:rPr>
        <w:t xml:space="preserve">"Assessment of dose proportionality was to be done by comparing pharmacokinetic parameters of the Test Product (A): </w:t>
      </w:r>
      <w:proofErr w:type="spellStart"/>
      <w:r w:rsidRPr="0023544D">
        <w:rPr>
          <w:i/>
        </w:rPr>
        <w:t>Eltroxin</w:t>
      </w:r>
      <w:proofErr w:type="spellEnd"/>
      <w:r w:rsidRPr="0023544D">
        <w:rPr>
          <w:i/>
        </w:rPr>
        <w:t xml:space="preserve"> (Levothyroxine Sodium) tablet 50 </w:t>
      </w:r>
      <w:r w:rsidR="00180D31" w:rsidRPr="0023544D">
        <w:rPr>
          <w:i/>
        </w:rPr>
        <w:t>µ</w:t>
      </w:r>
      <w:r w:rsidRPr="0023544D">
        <w:rPr>
          <w:i/>
        </w:rPr>
        <w:t xml:space="preserve">g, and Test Product (C): </w:t>
      </w:r>
      <w:proofErr w:type="spellStart"/>
      <w:r w:rsidRPr="0023544D">
        <w:rPr>
          <w:i/>
        </w:rPr>
        <w:t>Eltroxin</w:t>
      </w:r>
      <w:proofErr w:type="spellEnd"/>
      <w:r w:rsidRPr="0023544D">
        <w:rPr>
          <w:i/>
        </w:rPr>
        <w:t xml:space="preserve"> (Levothyroxine Sodium) tablet 200 </w:t>
      </w:r>
      <w:r w:rsidR="00180D31" w:rsidRPr="0023544D">
        <w:rPr>
          <w:i/>
        </w:rPr>
        <w:t>µ</w:t>
      </w:r>
      <w:r w:rsidRPr="0023544D">
        <w:rPr>
          <w:i/>
        </w:rPr>
        <w:t xml:space="preserve">g with Test Product (B): </w:t>
      </w:r>
      <w:proofErr w:type="spellStart"/>
      <w:r w:rsidRPr="0023544D">
        <w:rPr>
          <w:i/>
        </w:rPr>
        <w:t>Eltroxin</w:t>
      </w:r>
      <w:proofErr w:type="spellEnd"/>
      <w:r w:rsidRPr="0023544D">
        <w:rPr>
          <w:i/>
        </w:rPr>
        <w:t xml:space="preserve"> (Levothyroxine Sodium) tablet 100 </w:t>
      </w:r>
      <w:r w:rsidR="00180D31" w:rsidRPr="0023544D">
        <w:rPr>
          <w:i/>
        </w:rPr>
        <w:t>µ</w:t>
      </w:r>
      <w:r w:rsidRPr="0023544D">
        <w:rPr>
          <w:i/>
        </w:rPr>
        <w:t>g under fasting condition and dose proportionality would be concluded if the 90% confidence interval (CI) for geometric mean ratio between test products fall within the range of 80.00% to 125.00% for log transformed pharmacokinetic parameters C</w:t>
      </w:r>
      <w:r w:rsidRPr="0023544D">
        <w:rPr>
          <w:i/>
          <w:vertAlign w:val="subscript"/>
        </w:rPr>
        <w:t>max</w:t>
      </w:r>
      <w:r w:rsidRPr="0023544D">
        <w:rPr>
          <w:i/>
        </w:rPr>
        <w:t xml:space="preserve"> and AUC</w:t>
      </w:r>
      <w:r w:rsidRPr="0023544D">
        <w:rPr>
          <w:i/>
          <w:vertAlign w:val="subscript"/>
        </w:rPr>
        <w:t>0-t</w:t>
      </w:r>
      <w:r w:rsidRPr="0023544D">
        <w:rPr>
          <w:i/>
        </w:rPr>
        <w:t xml:space="preserve"> for Total (bound + free) T4 (for Baseline uncorrected data)."</w:t>
      </w:r>
    </w:p>
    <w:p w:rsidR="006D7BB6" w:rsidRDefault="006D7BB6" w:rsidP="0023544D">
      <w:r>
        <w:t xml:space="preserve">There seems to be considerable confusion here. Contrary to the sponsor's assertions, this was not a study of dose proportionality but of </w:t>
      </w:r>
      <w:r w:rsidRPr="00147AF1">
        <w:rPr>
          <w:i/>
        </w:rPr>
        <w:t>dos</w:t>
      </w:r>
      <w:r>
        <w:rPr>
          <w:i/>
        </w:rPr>
        <w:t>ag</w:t>
      </w:r>
      <w:r w:rsidRPr="00147AF1">
        <w:rPr>
          <w:i/>
        </w:rPr>
        <w:t>e form proportionality</w:t>
      </w:r>
      <w:r>
        <w:t>. The sponsor does not explain how it believes the results of this study advance the application for registration. Such a study is not mentioned in the relevant guideline.</w:t>
      </w:r>
      <w:r w:rsidR="00DD6A00" w:rsidRPr="00DD6A00">
        <w:rPr>
          <w:vertAlign w:val="superscript"/>
        </w:rPr>
        <w:fldChar w:fldCharType="begin"/>
      </w:r>
      <w:r w:rsidR="00DD6A00" w:rsidRPr="00DD6A00">
        <w:rPr>
          <w:vertAlign w:val="superscript"/>
        </w:rPr>
        <w:instrText xml:space="preserve"> NOTEREF _Ref387738874 \h </w:instrText>
      </w:r>
      <w:r w:rsidR="00DD6A00">
        <w:rPr>
          <w:vertAlign w:val="superscript"/>
        </w:rPr>
        <w:instrText xml:space="preserve"> \* MERGEFORMAT </w:instrText>
      </w:r>
      <w:r w:rsidR="00DD6A00" w:rsidRPr="00DD6A00">
        <w:rPr>
          <w:vertAlign w:val="superscript"/>
        </w:rPr>
      </w:r>
      <w:r w:rsidR="00DD6A00" w:rsidRPr="00DD6A00">
        <w:rPr>
          <w:vertAlign w:val="superscript"/>
        </w:rPr>
        <w:fldChar w:fldCharType="separate"/>
      </w:r>
      <w:r w:rsidR="0044161C">
        <w:rPr>
          <w:vertAlign w:val="superscript"/>
        </w:rPr>
        <w:t>1</w:t>
      </w:r>
      <w:r w:rsidR="00DD6A00" w:rsidRPr="00DD6A00">
        <w:rPr>
          <w:vertAlign w:val="superscript"/>
        </w:rPr>
        <w:fldChar w:fldCharType="end"/>
      </w:r>
    </w:p>
    <w:p w:rsidR="006D7BB6" w:rsidRDefault="006D7BB6" w:rsidP="00D469F5">
      <w:pPr>
        <w:pStyle w:val="Heading3"/>
      </w:pPr>
      <w:bookmarkStart w:id="45" w:name="_Toc241374296"/>
      <w:bookmarkStart w:id="46" w:name="_Ref269982040"/>
      <w:bookmarkStart w:id="47" w:name="_Ref271018704"/>
      <w:bookmarkStart w:id="48" w:name="_Ref271018755"/>
      <w:bookmarkStart w:id="49" w:name="_Toc272414635"/>
      <w:bookmarkStart w:id="50" w:name="_Toc290846258"/>
      <w:bookmarkStart w:id="51" w:name="_Toc361767639"/>
      <w:bookmarkStart w:id="52" w:name="_Toc392665407"/>
      <w:r>
        <w:lastRenderedPageBreak/>
        <w:t xml:space="preserve">Evaluator’s overall </w:t>
      </w:r>
      <w:r w:rsidRPr="00D469F5">
        <w:t>conclusions</w:t>
      </w:r>
      <w:r>
        <w:t xml:space="preserve"> on pharmacokinetics</w:t>
      </w:r>
      <w:bookmarkEnd w:id="45"/>
      <w:bookmarkEnd w:id="46"/>
      <w:bookmarkEnd w:id="47"/>
      <w:bookmarkEnd w:id="48"/>
      <w:bookmarkEnd w:id="49"/>
      <w:bookmarkEnd w:id="50"/>
      <w:bookmarkEnd w:id="51"/>
      <w:bookmarkEnd w:id="52"/>
    </w:p>
    <w:p w:rsidR="006D7BB6" w:rsidRDefault="006D7BB6" w:rsidP="00D469F5">
      <w:r>
        <w:t>In relation to the single bioequivalence study submitted (no. ARL/11/201), adequate justification was not submitted for</w:t>
      </w:r>
    </w:p>
    <w:p w:rsidR="006D7BB6" w:rsidRDefault="006D7BB6" w:rsidP="00D469F5">
      <w:pPr>
        <w:pStyle w:val="ListBullet"/>
      </w:pPr>
      <w:r>
        <w:t>studying only the 200 µg strength tablet, or</w:t>
      </w:r>
    </w:p>
    <w:p w:rsidR="006D7BB6" w:rsidRDefault="006D7BB6" w:rsidP="00D469F5">
      <w:pPr>
        <w:pStyle w:val="ListBullet"/>
      </w:pPr>
      <w:proofErr w:type="gramStart"/>
      <w:r>
        <w:t>the</w:t>
      </w:r>
      <w:proofErr w:type="gramEnd"/>
      <w:r>
        <w:t xml:space="preserve"> dosage (600 </w:t>
      </w:r>
      <w:r w:rsidR="00DD6A00">
        <w:t>µ</w:t>
      </w:r>
      <w:r>
        <w:t xml:space="preserve">g) used in the study of the 200 </w:t>
      </w:r>
      <w:r w:rsidR="00DD6A00">
        <w:t>µ</w:t>
      </w:r>
      <w:r>
        <w:t>g strength tablet.</w:t>
      </w:r>
    </w:p>
    <w:p w:rsidR="006D7BB6" w:rsidRDefault="006D7BB6" w:rsidP="00D469F5">
      <w:r>
        <w:t>The stated objective of the other study submitted (no. ARL/11/196) appears inconsistent with the study design and the precise contribution which the sponsor believes this study makes to the present application is not clear.</w:t>
      </w:r>
    </w:p>
    <w:p w:rsidR="00586F98" w:rsidRDefault="00586F98" w:rsidP="007B4323">
      <w:pPr>
        <w:pStyle w:val="Heading2"/>
      </w:pPr>
      <w:bookmarkStart w:id="53" w:name="_Toc392665408"/>
      <w:r>
        <w:t>Pharmacodynamics</w:t>
      </w:r>
      <w:bookmarkEnd w:id="53"/>
    </w:p>
    <w:p w:rsidR="00C22678" w:rsidRPr="00586F98" w:rsidRDefault="006D7BB6" w:rsidP="007B4323">
      <w:pPr>
        <w:rPr>
          <w:lang w:eastAsia="ja-JP"/>
        </w:rPr>
      </w:pPr>
      <w:r w:rsidRPr="006D7BB6">
        <w:rPr>
          <w:lang w:eastAsia="ja-JP"/>
        </w:rPr>
        <w:t>No pharmacodynamics studies submitted.</w:t>
      </w:r>
    </w:p>
    <w:p w:rsidR="00586F98" w:rsidRDefault="00C22678" w:rsidP="007B4323">
      <w:pPr>
        <w:pStyle w:val="Heading2"/>
      </w:pPr>
      <w:bookmarkStart w:id="54" w:name="_Toc392665409"/>
      <w:r>
        <w:t xml:space="preserve">Dosage selection </w:t>
      </w:r>
      <w:r w:rsidRPr="007B4323">
        <w:t>for</w:t>
      </w:r>
      <w:r>
        <w:t xml:space="preserve"> the pivotal studies</w:t>
      </w:r>
      <w:bookmarkEnd w:id="54"/>
    </w:p>
    <w:p w:rsidR="00C22678" w:rsidRPr="00586F98" w:rsidRDefault="006D7BB6" w:rsidP="007B4323">
      <w:pPr>
        <w:rPr>
          <w:lang w:eastAsia="ja-JP"/>
        </w:rPr>
      </w:pPr>
      <w:r w:rsidRPr="006D7BB6">
        <w:rPr>
          <w:lang w:eastAsia="ja-JP"/>
        </w:rPr>
        <w:t xml:space="preserve">See </w:t>
      </w:r>
      <w:r w:rsidR="00DD6A00" w:rsidRPr="007B4323">
        <w:rPr>
          <w:i/>
          <w:lang w:eastAsia="ja-JP"/>
        </w:rPr>
        <w:t>Summary of Pharmacokinetics</w:t>
      </w:r>
      <w:r w:rsidR="00DD6A00">
        <w:rPr>
          <w:lang w:eastAsia="ja-JP"/>
        </w:rPr>
        <w:t xml:space="preserve"> above</w:t>
      </w:r>
      <w:r w:rsidRPr="006D7BB6">
        <w:rPr>
          <w:lang w:eastAsia="ja-JP"/>
        </w:rPr>
        <w:t>.</w:t>
      </w:r>
    </w:p>
    <w:p w:rsidR="00C22678" w:rsidRDefault="00C22678" w:rsidP="007B4323">
      <w:pPr>
        <w:pStyle w:val="Heading2"/>
      </w:pPr>
      <w:bookmarkStart w:id="55" w:name="_Toc392665410"/>
      <w:r>
        <w:t>Clinical efficacy</w:t>
      </w:r>
      <w:bookmarkEnd w:id="55"/>
    </w:p>
    <w:p w:rsidR="00C22678" w:rsidRPr="00586F98" w:rsidRDefault="006D7BB6" w:rsidP="007B4323">
      <w:pPr>
        <w:rPr>
          <w:lang w:eastAsia="ja-JP"/>
        </w:rPr>
      </w:pPr>
      <w:r w:rsidRPr="006D7BB6">
        <w:rPr>
          <w:lang w:eastAsia="ja-JP"/>
        </w:rPr>
        <w:t>No efficacy studies submitted.</w:t>
      </w:r>
    </w:p>
    <w:p w:rsidR="00C22678" w:rsidRDefault="00C22678" w:rsidP="007B4323">
      <w:pPr>
        <w:pStyle w:val="Heading2"/>
      </w:pPr>
      <w:bookmarkStart w:id="56" w:name="_Toc392665411"/>
      <w:r>
        <w:t>Clinical safety</w:t>
      </w:r>
      <w:bookmarkEnd w:id="56"/>
    </w:p>
    <w:p w:rsidR="006D7BB6" w:rsidRPr="004B259C" w:rsidRDefault="006D7BB6" w:rsidP="007B4323">
      <w:pPr>
        <w:pStyle w:val="Heading3"/>
      </w:pPr>
      <w:bookmarkStart w:id="57" w:name="_Toc272414659"/>
      <w:bookmarkStart w:id="58" w:name="_Toc290846284"/>
      <w:bookmarkStart w:id="59" w:name="_Toc361767644"/>
      <w:bookmarkStart w:id="60" w:name="_Toc392665412"/>
      <w:r>
        <w:t xml:space="preserve">Studies providing </w:t>
      </w:r>
      <w:r w:rsidRPr="007B4323">
        <w:t>evaluable</w:t>
      </w:r>
      <w:r>
        <w:t xml:space="preserve"> safety data</w:t>
      </w:r>
      <w:bookmarkEnd w:id="57"/>
      <w:bookmarkEnd w:id="58"/>
      <w:bookmarkEnd w:id="59"/>
      <w:bookmarkEnd w:id="60"/>
    </w:p>
    <w:p w:rsidR="006D7BB6" w:rsidRDefault="006D7BB6" w:rsidP="007B4323">
      <w:bookmarkStart w:id="61" w:name="_Ref268776745"/>
      <w:r>
        <w:t>The following studies provided evaluable safety data:</w:t>
      </w:r>
    </w:p>
    <w:p w:rsidR="006D7BB6" w:rsidRPr="00027276" w:rsidRDefault="006D7BB6" w:rsidP="007B4323">
      <w:pPr>
        <w:pStyle w:val="Heading4"/>
      </w:pPr>
      <w:r w:rsidRPr="00027276">
        <w:t xml:space="preserve">Pivotal efficacy </w:t>
      </w:r>
      <w:r w:rsidRPr="007B4323">
        <w:t>studies</w:t>
      </w:r>
      <w:bookmarkEnd w:id="61"/>
    </w:p>
    <w:p w:rsidR="006D7BB6" w:rsidRDefault="006D7BB6" w:rsidP="007B4323">
      <w:r>
        <w:t>No studies.</w:t>
      </w:r>
    </w:p>
    <w:p w:rsidR="006D7BB6" w:rsidRPr="00840122" w:rsidRDefault="006D7BB6" w:rsidP="007B4323">
      <w:pPr>
        <w:pStyle w:val="Heading4"/>
      </w:pPr>
      <w:r w:rsidRPr="00027276">
        <w:t xml:space="preserve">Pivotal studies that assessed </w:t>
      </w:r>
      <w:r>
        <w:t>safety as a primary outcome</w:t>
      </w:r>
    </w:p>
    <w:p w:rsidR="006D7BB6" w:rsidRDefault="006D7BB6" w:rsidP="007B4323">
      <w:r>
        <w:t>No studies.</w:t>
      </w:r>
    </w:p>
    <w:p w:rsidR="006D7BB6" w:rsidRDefault="006D7BB6" w:rsidP="007B4323">
      <w:pPr>
        <w:pStyle w:val="Heading4"/>
      </w:pPr>
      <w:r>
        <w:t>Dose-response and non-pivotal efficacy studies</w:t>
      </w:r>
    </w:p>
    <w:p w:rsidR="006D7BB6" w:rsidRDefault="006D7BB6" w:rsidP="007B4323">
      <w:r>
        <w:t>No studies.</w:t>
      </w:r>
    </w:p>
    <w:p w:rsidR="006D7BB6" w:rsidRDefault="006D7BB6" w:rsidP="007B4323">
      <w:pPr>
        <w:pStyle w:val="Heading4"/>
      </w:pPr>
      <w:r>
        <w:t>Other studies evaluable for safety</w:t>
      </w:r>
    </w:p>
    <w:p w:rsidR="006D7BB6" w:rsidRPr="00872461" w:rsidRDefault="006D7BB6" w:rsidP="007B4323">
      <w:pPr>
        <w:pStyle w:val="Heading5"/>
      </w:pPr>
      <w:r w:rsidRPr="00872461">
        <w:t>Clinical pharmacology studies</w:t>
      </w:r>
    </w:p>
    <w:p w:rsidR="006D7BB6" w:rsidRDefault="006D7BB6" w:rsidP="007B4323">
      <w:r>
        <w:t xml:space="preserve">Nos. </w:t>
      </w:r>
      <w:proofErr w:type="gramStart"/>
      <w:r>
        <w:t>ARL/11/201 and ARL/11/196.</w:t>
      </w:r>
      <w:proofErr w:type="gramEnd"/>
    </w:p>
    <w:p w:rsidR="006D7BB6" w:rsidRDefault="006D7BB6" w:rsidP="007B4323">
      <w:pPr>
        <w:pStyle w:val="Heading4"/>
      </w:pPr>
      <w:bookmarkStart w:id="62" w:name="_Ref269204367"/>
      <w:bookmarkStart w:id="63" w:name="_Ref271195835"/>
      <w:bookmarkStart w:id="64" w:name="_Ref271195841"/>
      <w:bookmarkStart w:id="65" w:name="_Toc272414660"/>
      <w:bookmarkStart w:id="66" w:name="_Toc290846285"/>
      <w:bookmarkStart w:id="67" w:name="_Toc361767645"/>
      <w:r>
        <w:t xml:space="preserve">Pivotal studies </w:t>
      </w:r>
      <w:r w:rsidRPr="00027276">
        <w:t xml:space="preserve">that assessed </w:t>
      </w:r>
      <w:r>
        <w:t>safety as a primary outcome</w:t>
      </w:r>
      <w:bookmarkEnd w:id="62"/>
      <w:bookmarkEnd w:id="63"/>
      <w:bookmarkEnd w:id="64"/>
      <w:bookmarkEnd w:id="65"/>
      <w:bookmarkEnd w:id="66"/>
      <w:bookmarkEnd w:id="67"/>
    </w:p>
    <w:p w:rsidR="006D7BB6" w:rsidRDefault="006D7BB6" w:rsidP="007B4323">
      <w:r>
        <w:t>No such studies.</w:t>
      </w:r>
    </w:p>
    <w:p w:rsidR="006D7BB6" w:rsidRDefault="006D7BB6" w:rsidP="00E00116">
      <w:pPr>
        <w:pStyle w:val="Heading3"/>
      </w:pPr>
      <w:bookmarkStart w:id="68" w:name="_Toc241374318"/>
      <w:bookmarkStart w:id="69" w:name="_Ref271196630"/>
      <w:bookmarkStart w:id="70" w:name="_Toc272414662"/>
      <w:bookmarkStart w:id="71" w:name="_Toc290846300"/>
      <w:bookmarkStart w:id="72" w:name="_Toc361767646"/>
      <w:bookmarkStart w:id="73" w:name="_Toc392665413"/>
      <w:r>
        <w:lastRenderedPageBreak/>
        <w:t>Patient exposure</w:t>
      </w:r>
      <w:bookmarkEnd w:id="68"/>
      <w:bookmarkEnd w:id="69"/>
      <w:bookmarkEnd w:id="70"/>
      <w:bookmarkEnd w:id="71"/>
      <w:bookmarkEnd w:id="72"/>
      <w:bookmarkEnd w:id="73"/>
    </w:p>
    <w:p w:rsidR="006D7BB6" w:rsidRDefault="006D7BB6" w:rsidP="00E00116">
      <w:pPr>
        <w:pStyle w:val="TableTitle"/>
      </w:pPr>
      <w:bookmarkStart w:id="74" w:name="_Toc361767695"/>
      <w:proofErr w:type="gramStart"/>
      <w:r>
        <w:t xml:space="preserve">Table </w:t>
      </w:r>
      <w:fldSimple w:instr=" SEQ Table \* ARABIC ">
        <w:r w:rsidR="0044161C">
          <w:rPr>
            <w:noProof/>
          </w:rPr>
          <w:t>3</w:t>
        </w:r>
      </w:fldSimple>
      <w:r>
        <w:t>.</w:t>
      </w:r>
      <w:proofErr w:type="gramEnd"/>
      <w:r>
        <w:t xml:space="preserve"> </w:t>
      </w:r>
      <w:proofErr w:type="gramStart"/>
      <w:r>
        <w:t xml:space="preserve">Exposure to </w:t>
      </w:r>
      <w:proofErr w:type="spellStart"/>
      <w:r>
        <w:t>Eltroxin</w:t>
      </w:r>
      <w:proofErr w:type="spellEnd"/>
      <w:r>
        <w:t xml:space="preserve"> </w:t>
      </w:r>
      <w:r w:rsidRPr="00E00116">
        <w:t>and</w:t>
      </w:r>
      <w:r>
        <w:t xml:space="preserve"> comparators in clinical studies.</w:t>
      </w:r>
      <w:bookmarkEnd w:id="74"/>
      <w:proofErr w:type="gramEnd"/>
    </w:p>
    <w:tbl>
      <w:tblPr>
        <w:tblStyle w:val="TableTGAblue"/>
        <w:tblW w:w="8647" w:type="dxa"/>
        <w:tblInd w:w="108" w:type="dxa"/>
        <w:tblLayout w:type="fixed"/>
        <w:tblLook w:val="04A0" w:firstRow="1" w:lastRow="0" w:firstColumn="1" w:lastColumn="0" w:noHBand="0" w:noVBand="1"/>
      </w:tblPr>
      <w:tblGrid>
        <w:gridCol w:w="1843"/>
        <w:gridCol w:w="1276"/>
        <w:gridCol w:w="1276"/>
        <w:gridCol w:w="1275"/>
        <w:gridCol w:w="1701"/>
        <w:gridCol w:w="1276"/>
      </w:tblGrid>
      <w:tr w:rsidR="006D7BB6" w:rsidTr="00E001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0070C0"/>
          </w:tcPr>
          <w:p w:rsidR="006D7BB6" w:rsidRPr="00DD6A00" w:rsidRDefault="006D7BB6" w:rsidP="00E00116">
            <w:pPr>
              <w:ind w:left="34" w:right="34"/>
            </w:pPr>
            <w:r w:rsidRPr="00DD6A00">
              <w:t>Study type/</w:t>
            </w:r>
          </w:p>
          <w:p w:rsidR="006D7BB6" w:rsidRPr="00DD6A00" w:rsidRDefault="006D7BB6" w:rsidP="00E00116">
            <w:pPr>
              <w:ind w:left="34" w:right="34"/>
            </w:pPr>
            <w:r w:rsidRPr="00DD6A00">
              <w:t>Indication</w:t>
            </w:r>
          </w:p>
        </w:tc>
        <w:tc>
          <w:tcPr>
            <w:tcW w:w="3827" w:type="dxa"/>
            <w:gridSpan w:val="3"/>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pPr>
            <w:r w:rsidRPr="00DD6A00">
              <w:t>Controlled studies</w:t>
            </w:r>
          </w:p>
        </w:tc>
        <w:tc>
          <w:tcPr>
            <w:tcW w:w="1701" w:type="dxa"/>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pPr>
            <w:r w:rsidRPr="00DD6A00">
              <w:t>Uncontrolled</w:t>
            </w:r>
            <w:r w:rsidRPr="00DD6A00">
              <w:rPr>
                <w:vertAlign w:val="superscript"/>
              </w:rPr>
              <w:t>†</w:t>
            </w:r>
            <w:r w:rsidR="006155B4">
              <w:rPr>
                <w:vertAlign w:val="superscript"/>
              </w:rPr>
              <w:t xml:space="preserve"> </w:t>
            </w:r>
            <w:r w:rsidRPr="00DD6A00">
              <w:t>studies</w:t>
            </w:r>
          </w:p>
        </w:tc>
        <w:tc>
          <w:tcPr>
            <w:tcW w:w="1276" w:type="dxa"/>
            <w:vMerge w:val="restart"/>
            <w:shd w:val="clear" w:color="auto" w:fill="0070C0"/>
          </w:tcPr>
          <w:p w:rsidR="006D7BB6" w:rsidRPr="00DD6A00" w:rsidRDefault="006D7BB6" w:rsidP="00E00116">
            <w:pPr>
              <w:ind w:left="33" w:right="33"/>
              <w:cnfStyle w:val="100000000000" w:firstRow="1" w:lastRow="0" w:firstColumn="0" w:lastColumn="0" w:oddVBand="0" w:evenVBand="0" w:oddHBand="0" w:evenHBand="0" w:firstRowFirstColumn="0" w:firstRowLastColumn="0" w:lastRowFirstColumn="0" w:lastRowLastColumn="0"/>
            </w:pPr>
            <w:r w:rsidRPr="00DD6A00">
              <w:t>Total</w:t>
            </w:r>
          </w:p>
          <w:p w:rsidR="006D7BB6" w:rsidRPr="00DD6A00" w:rsidRDefault="006D7BB6" w:rsidP="00E00116">
            <w:pPr>
              <w:ind w:left="33" w:right="33"/>
              <w:cnfStyle w:val="100000000000" w:firstRow="1" w:lastRow="0" w:firstColumn="0" w:lastColumn="0" w:oddVBand="0" w:evenVBand="0" w:oddHBand="0" w:evenHBand="0" w:firstRowFirstColumn="0" w:firstRowLastColumn="0" w:lastRowFirstColumn="0" w:lastRowLastColumn="0"/>
            </w:pPr>
            <w:proofErr w:type="spellStart"/>
            <w:r w:rsidRPr="00DD6A00">
              <w:t>Eltroxin</w:t>
            </w:r>
            <w:proofErr w:type="spellEnd"/>
          </w:p>
        </w:tc>
      </w:tr>
      <w:tr w:rsidR="006155B4" w:rsidTr="00E001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0070C0"/>
          </w:tcPr>
          <w:p w:rsidR="006D7BB6" w:rsidRPr="00DD6A00" w:rsidRDefault="006D7BB6" w:rsidP="00E00116">
            <w:pPr>
              <w:ind w:left="34" w:right="34"/>
              <w:rPr>
                <w:b w:val="0"/>
              </w:rPr>
            </w:pPr>
          </w:p>
        </w:tc>
        <w:tc>
          <w:tcPr>
            <w:tcW w:w="1276" w:type="dxa"/>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rPr>
                <w:b w:val="0"/>
              </w:rPr>
            </w:pPr>
            <w:proofErr w:type="spellStart"/>
            <w:r w:rsidRPr="00DD6A00">
              <w:t>Eltroxin</w:t>
            </w:r>
            <w:proofErr w:type="spellEnd"/>
          </w:p>
        </w:tc>
        <w:tc>
          <w:tcPr>
            <w:tcW w:w="1276" w:type="dxa"/>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rPr>
                <w:b w:val="0"/>
              </w:rPr>
            </w:pPr>
            <w:r w:rsidRPr="00DD6A00">
              <w:t>Placebo</w:t>
            </w:r>
          </w:p>
        </w:tc>
        <w:tc>
          <w:tcPr>
            <w:tcW w:w="1275" w:type="dxa"/>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rPr>
                <w:b w:val="0"/>
              </w:rPr>
            </w:pPr>
            <w:proofErr w:type="spellStart"/>
            <w:r w:rsidRPr="00DD6A00">
              <w:t>Oroxine</w:t>
            </w:r>
            <w:proofErr w:type="spellEnd"/>
          </w:p>
        </w:tc>
        <w:tc>
          <w:tcPr>
            <w:tcW w:w="1701" w:type="dxa"/>
            <w:shd w:val="clear" w:color="auto" w:fill="0070C0"/>
          </w:tcPr>
          <w:p w:rsidR="006D7BB6" w:rsidRPr="00DD6A00" w:rsidRDefault="006D7BB6" w:rsidP="00E00116">
            <w:pPr>
              <w:ind w:left="34" w:right="34"/>
              <w:cnfStyle w:val="100000000000" w:firstRow="1" w:lastRow="0" w:firstColumn="0" w:lastColumn="0" w:oddVBand="0" w:evenVBand="0" w:oddHBand="0" w:evenHBand="0" w:firstRowFirstColumn="0" w:firstRowLastColumn="0" w:lastRowFirstColumn="0" w:lastRowLastColumn="0"/>
              <w:rPr>
                <w:b w:val="0"/>
              </w:rPr>
            </w:pPr>
            <w:proofErr w:type="spellStart"/>
            <w:r w:rsidRPr="00DD6A00">
              <w:t>Eltroxin</w:t>
            </w:r>
            <w:proofErr w:type="spellEnd"/>
          </w:p>
        </w:tc>
        <w:tc>
          <w:tcPr>
            <w:tcW w:w="1276" w:type="dxa"/>
            <w:vMerge/>
            <w:shd w:val="clear" w:color="auto" w:fill="0070C0"/>
          </w:tcPr>
          <w:p w:rsidR="006D7BB6" w:rsidRPr="00DD6A00" w:rsidRDefault="006D7BB6" w:rsidP="00E00116">
            <w:pPr>
              <w:ind w:left="33" w:right="33"/>
              <w:cnfStyle w:val="100000000000" w:firstRow="1" w:lastRow="0" w:firstColumn="0" w:lastColumn="0" w:oddVBand="0" w:evenVBand="0" w:oddHBand="0" w:evenHBand="0" w:firstRowFirstColumn="0" w:firstRowLastColumn="0" w:lastRowFirstColumn="0" w:lastRowLastColumn="0"/>
              <w:rPr>
                <w:b w:val="0"/>
              </w:rPr>
            </w:pP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Clinical pharmacology</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32</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31</w:t>
            </w: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75</w:t>
            </w: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r w:rsidRPr="00DD6A00">
              <w:t>107</w:t>
            </w: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Indication 1</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ab/>
              <w:t>Pivotal</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ab/>
              <w:t>Other</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Subtotal Indication 1</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r w:rsidRPr="00DD6A00">
              <w:t>0</w:t>
            </w:r>
          </w:p>
        </w:tc>
      </w:tr>
      <w:tr w:rsidR="006155B4" w:rsidTr="006155B4">
        <w:tc>
          <w:tcPr>
            <w:cnfStyle w:val="001000000000" w:firstRow="0" w:lastRow="0" w:firstColumn="1" w:lastColumn="0" w:oddVBand="0" w:evenVBand="0" w:oddHBand="0" w:evenHBand="0" w:firstRowFirstColumn="0" w:firstRowLastColumn="0" w:lastRowFirstColumn="0" w:lastRowLastColumn="0"/>
            <w:tcW w:w="1843" w:type="dxa"/>
          </w:tcPr>
          <w:p w:rsidR="006D7BB6" w:rsidRPr="00DD6A00" w:rsidRDefault="006D7BB6" w:rsidP="00E00116">
            <w:pPr>
              <w:ind w:left="34" w:right="34"/>
            </w:pPr>
            <w:r w:rsidRPr="00DD6A00">
              <w:t>TOTAL</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32</w:t>
            </w:r>
          </w:p>
        </w:tc>
        <w:tc>
          <w:tcPr>
            <w:tcW w:w="1276"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0</w:t>
            </w:r>
          </w:p>
        </w:tc>
        <w:tc>
          <w:tcPr>
            <w:tcW w:w="1275"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31</w:t>
            </w:r>
          </w:p>
        </w:tc>
        <w:tc>
          <w:tcPr>
            <w:tcW w:w="1701" w:type="dxa"/>
          </w:tcPr>
          <w:p w:rsidR="006D7BB6" w:rsidRPr="00DD6A00" w:rsidRDefault="006D7BB6" w:rsidP="00E00116">
            <w:pPr>
              <w:ind w:left="34" w:right="34"/>
              <w:cnfStyle w:val="000000000000" w:firstRow="0" w:lastRow="0" w:firstColumn="0" w:lastColumn="0" w:oddVBand="0" w:evenVBand="0" w:oddHBand="0" w:evenHBand="0" w:firstRowFirstColumn="0" w:firstRowLastColumn="0" w:lastRowFirstColumn="0" w:lastRowLastColumn="0"/>
            </w:pPr>
            <w:r w:rsidRPr="00DD6A00">
              <w:t>75</w:t>
            </w:r>
          </w:p>
        </w:tc>
        <w:tc>
          <w:tcPr>
            <w:tcW w:w="1276" w:type="dxa"/>
          </w:tcPr>
          <w:p w:rsidR="006D7BB6" w:rsidRPr="00DD6A00" w:rsidRDefault="006D7BB6" w:rsidP="00E00116">
            <w:pPr>
              <w:ind w:left="33" w:right="33"/>
              <w:cnfStyle w:val="000000000000" w:firstRow="0" w:lastRow="0" w:firstColumn="0" w:lastColumn="0" w:oddVBand="0" w:evenVBand="0" w:oddHBand="0" w:evenHBand="0" w:firstRowFirstColumn="0" w:firstRowLastColumn="0" w:lastRowFirstColumn="0" w:lastRowLastColumn="0"/>
            </w:pPr>
            <w:r w:rsidRPr="00DD6A00">
              <w:t>107</w:t>
            </w:r>
          </w:p>
        </w:tc>
      </w:tr>
    </w:tbl>
    <w:p w:rsidR="00DD6A00" w:rsidRPr="00DD6A00" w:rsidRDefault="006D7BB6" w:rsidP="00E00116">
      <w:pPr>
        <w:pStyle w:val="TableDescription"/>
      </w:pPr>
      <w:r w:rsidRPr="00DD6A00">
        <w:rPr>
          <w:vertAlign w:val="superscript"/>
        </w:rPr>
        <w:t>†</w:t>
      </w:r>
      <w:r w:rsidRPr="00DD6A00">
        <w:t xml:space="preserve"> Study ARL/11/196: controlled only by treatment with other strengths of the test product, given at the same dosage (600 </w:t>
      </w:r>
      <w:r w:rsidR="00DD6A00">
        <w:t>µ</w:t>
      </w:r>
      <w:r w:rsidRPr="00DD6A00">
        <w:t>g)</w:t>
      </w:r>
      <w:r w:rsidR="00DD6A00" w:rsidRPr="00DD6A00">
        <w:t xml:space="preserve">. </w:t>
      </w:r>
      <w:bookmarkStart w:id="75" w:name="_Ref272765193"/>
      <w:bookmarkStart w:id="76" w:name="_Toc269112508"/>
      <w:bookmarkStart w:id="77" w:name="_Toc361767696"/>
    </w:p>
    <w:p w:rsidR="006D7BB6" w:rsidRDefault="006D7BB6" w:rsidP="00E00116">
      <w:pPr>
        <w:pStyle w:val="TableTitle"/>
      </w:pPr>
      <w:proofErr w:type="gramStart"/>
      <w:r>
        <w:t xml:space="preserve">Table </w:t>
      </w:r>
      <w:fldSimple w:instr=" SEQ Table \* ARABIC ">
        <w:r w:rsidR="0044161C">
          <w:rPr>
            <w:noProof/>
          </w:rPr>
          <w:t>4</w:t>
        </w:r>
      </w:fldSimple>
      <w:bookmarkEnd w:id="75"/>
      <w:r>
        <w:t>.</w:t>
      </w:r>
      <w:proofErr w:type="gramEnd"/>
      <w:r>
        <w:t xml:space="preserve"> </w:t>
      </w:r>
      <w:proofErr w:type="gramStart"/>
      <w:r>
        <w:t xml:space="preserve">Exposure to </w:t>
      </w:r>
      <w:proofErr w:type="spellStart"/>
      <w:r>
        <w:t>Eltroxin</w:t>
      </w:r>
      <w:proofErr w:type="spellEnd"/>
      <w:r>
        <w:t xml:space="preserve"> in clinical </w:t>
      </w:r>
      <w:r w:rsidRPr="00E00116">
        <w:t>studies</w:t>
      </w:r>
      <w:r>
        <w:t xml:space="preserve"> according to dose and duration.</w:t>
      </w:r>
      <w:bookmarkEnd w:id="76"/>
      <w:bookmarkEnd w:id="77"/>
      <w:proofErr w:type="gramEnd"/>
    </w:p>
    <w:tbl>
      <w:tblPr>
        <w:tblStyle w:val="TableTGAblue"/>
        <w:tblW w:w="9322" w:type="dxa"/>
        <w:tblLayout w:type="fixed"/>
        <w:tblLook w:val="04A0" w:firstRow="1" w:lastRow="0" w:firstColumn="1" w:lastColumn="0" w:noHBand="0" w:noVBand="1"/>
      </w:tblPr>
      <w:tblGrid>
        <w:gridCol w:w="1809"/>
        <w:gridCol w:w="851"/>
        <w:gridCol w:w="850"/>
        <w:gridCol w:w="993"/>
        <w:gridCol w:w="1134"/>
        <w:gridCol w:w="850"/>
        <w:gridCol w:w="851"/>
        <w:gridCol w:w="992"/>
        <w:gridCol w:w="992"/>
      </w:tblGrid>
      <w:tr w:rsidR="006D7BB6" w:rsidTr="00E001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0070B5" w:themeFill="accent1" w:themeFillTint="BF"/>
          </w:tcPr>
          <w:p w:rsidR="006D7BB6" w:rsidRPr="00DD6A00" w:rsidRDefault="006D7BB6" w:rsidP="00E00116">
            <w:pPr>
              <w:ind w:left="0" w:right="33"/>
            </w:pPr>
            <w:r w:rsidRPr="00DD6A00">
              <w:t>Study type/</w:t>
            </w:r>
          </w:p>
          <w:p w:rsidR="006D7BB6" w:rsidRPr="00DD6A00" w:rsidRDefault="006D7BB6" w:rsidP="00E00116">
            <w:pPr>
              <w:ind w:left="0" w:right="33"/>
            </w:pPr>
            <w:r w:rsidRPr="00DD6A00">
              <w:t>Indication</w:t>
            </w:r>
          </w:p>
        </w:tc>
        <w:tc>
          <w:tcPr>
            <w:tcW w:w="3828" w:type="dxa"/>
            <w:gridSpan w:val="4"/>
            <w:shd w:val="clear" w:color="auto" w:fill="0070B5" w:themeFill="accent1" w:themeFillTint="BF"/>
          </w:tcPr>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pPr>
            <w:r w:rsidRPr="00DD6A00">
              <w:t>Proposed dose range</w:t>
            </w:r>
          </w:p>
        </w:tc>
        <w:tc>
          <w:tcPr>
            <w:tcW w:w="3685" w:type="dxa"/>
            <w:gridSpan w:val="4"/>
            <w:shd w:val="clear" w:color="auto" w:fill="0070B5" w:themeFill="accent1" w:themeFillTint="BF"/>
          </w:tcPr>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pPr>
            <w:r w:rsidRPr="00DD6A00">
              <w:t>Proposed maximum dose</w:t>
            </w:r>
          </w:p>
        </w:tc>
      </w:tr>
      <w:tr w:rsidR="006155B4" w:rsidTr="00E001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0070B5" w:themeFill="accent1" w:themeFillTint="BF"/>
          </w:tcPr>
          <w:p w:rsidR="006D7BB6" w:rsidRPr="00DD6A00" w:rsidRDefault="006D7BB6" w:rsidP="00E00116">
            <w:pPr>
              <w:ind w:left="0" w:right="33"/>
            </w:pPr>
          </w:p>
        </w:tc>
        <w:tc>
          <w:tcPr>
            <w:tcW w:w="851"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 xml:space="preserve"> 3</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850"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6</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993"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12</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1134" w:type="dxa"/>
            <w:shd w:val="clear" w:color="auto" w:fill="0070B5" w:themeFill="accent1" w:themeFillTint="BF"/>
          </w:tcPr>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Any</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dur’n</w:t>
            </w:r>
            <w:proofErr w:type="spellEnd"/>
          </w:p>
        </w:tc>
        <w:tc>
          <w:tcPr>
            <w:tcW w:w="850"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 xml:space="preserve"> 3</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851"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 xml:space="preserve"> 6</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992" w:type="dxa"/>
            <w:shd w:val="clear" w:color="auto" w:fill="0070B5" w:themeFill="accent1" w:themeFillTint="BF"/>
          </w:tcPr>
          <w:p w:rsidR="006D7BB6" w:rsidRPr="00DD6A00" w:rsidRDefault="00DD6A00"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w:t>
            </w:r>
            <w:r w:rsidR="006D7BB6" w:rsidRPr="00DD6A00">
              <w:t>12</w:t>
            </w:r>
          </w:p>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proofErr w:type="spellStart"/>
            <w:r w:rsidRPr="00DD6A00">
              <w:t>mo</w:t>
            </w:r>
            <w:proofErr w:type="spellEnd"/>
          </w:p>
        </w:tc>
        <w:tc>
          <w:tcPr>
            <w:tcW w:w="992" w:type="dxa"/>
            <w:shd w:val="clear" w:color="auto" w:fill="0070B5" w:themeFill="accent1" w:themeFillTint="BF"/>
          </w:tcPr>
          <w:p w:rsidR="006D7BB6" w:rsidRPr="00DD6A00" w:rsidRDefault="006D7BB6" w:rsidP="00E00116">
            <w:pPr>
              <w:ind w:left="34" w:right="0"/>
              <w:cnfStyle w:val="100000000000" w:firstRow="1" w:lastRow="0" w:firstColumn="0" w:lastColumn="0" w:oddVBand="0" w:evenVBand="0" w:oddHBand="0" w:evenHBand="0" w:firstRowFirstColumn="0" w:firstRowLastColumn="0" w:lastRowFirstColumn="0" w:lastRowLastColumn="0"/>
              <w:rPr>
                <w:b w:val="0"/>
              </w:rPr>
            </w:pPr>
            <w:r w:rsidRPr="00DD6A00">
              <w:t>Any</w:t>
            </w:r>
          </w:p>
          <w:p w:rsidR="006D7BB6" w:rsidRPr="00C83B23" w:rsidRDefault="006D7BB6" w:rsidP="00E00116">
            <w:pPr>
              <w:ind w:left="34" w:right="34"/>
              <w:cnfStyle w:val="100000000000" w:firstRow="1" w:lastRow="0" w:firstColumn="0" w:lastColumn="0" w:oddVBand="0" w:evenVBand="0" w:oddHBand="0" w:evenHBand="0" w:firstRowFirstColumn="0" w:firstRowLastColumn="0" w:lastRowFirstColumn="0" w:lastRowLastColumn="0"/>
              <w:rPr>
                <w:b w:val="0"/>
              </w:rPr>
            </w:pPr>
            <w:proofErr w:type="spellStart"/>
            <w:r w:rsidRPr="00C83B23">
              <w:t>dur’n</w:t>
            </w:r>
            <w:proofErr w:type="spellEnd"/>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0" w:right="33"/>
            </w:pPr>
            <w:r w:rsidRPr="00DD6A00">
              <w:t>Clinical pharmacology</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0" w:right="33"/>
            </w:pPr>
            <w:r w:rsidRPr="00DD6A00">
              <w:t>Indication 1</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284" w:right="33" w:hanging="284"/>
            </w:pPr>
            <w:r w:rsidRPr="00DD6A00">
              <w:tab/>
              <w:t>Placebo-controlled</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284" w:right="33" w:hanging="284"/>
            </w:pPr>
            <w:r w:rsidRPr="00DD6A00">
              <w:tab/>
              <w:t>Active-controlled</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284" w:right="33" w:hanging="284"/>
            </w:pPr>
            <w:r w:rsidRPr="00DD6A00">
              <w:tab/>
              <w:t>Uncontrolled</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284" w:right="33" w:hanging="284"/>
            </w:pPr>
            <w:r w:rsidRPr="00DD6A00">
              <w:tab/>
              <w:t>Subtotal Indication 1</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r>
      <w:tr w:rsidR="006155B4" w:rsidTr="006155B4">
        <w:tc>
          <w:tcPr>
            <w:cnfStyle w:val="001000000000" w:firstRow="0" w:lastRow="0" w:firstColumn="1" w:lastColumn="0" w:oddVBand="0" w:evenVBand="0" w:oddHBand="0" w:evenHBand="0" w:firstRowFirstColumn="0" w:firstRowLastColumn="0" w:lastRowFirstColumn="0" w:lastRowLastColumn="0"/>
            <w:tcW w:w="1809" w:type="dxa"/>
          </w:tcPr>
          <w:p w:rsidR="006D7BB6" w:rsidRPr="00DD6A00" w:rsidRDefault="006D7BB6" w:rsidP="00E00116">
            <w:pPr>
              <w:ind w:left="0" w:right="33"/>
            </w:pPr>
            <w:r w:rsidRPr="00DD6A00">
              <w:t>TOTAL</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3"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1134"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0"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851"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c>
          <w:tcPr>
            <w:tcW w:w="992" w:type="dxa"/>
          </w:tcPr>
          <w:p w:rsidR="006D7BB6" w:rsidRPr="00DD6A00" w:rsidRDefault="006D7BB6" w:rsidP="00E00116">
            <w:pPr>
              <w:ind w:left="34" w:right="0"/>
              <w:cnfStyle w:val="000000000000" w:firstRow="0" w:lastRow="0" w:firstColumn="0" w:lastColumn="0" w:oddVBand="0" w:evenVBand="0" w:oddHBand="0" w:evenHBand="0" w:firstRowFirstColumn="0" w:firstRowLastColumn="0" w:lastRowFirstColumn="0" w:lastRowLastColumn="0"/>
            </w:pPr>
            <w:r w:rsidRPr="00DD6A00">
              <w:t>0</w:t>
            </w:r>
          </w:p>
        </w:tc>
      </w:tr>
    </w:tbl>
    <w:p w:rsidR="006D7BB6" w:rsidRDefault="006D7BB6" w:rsidP="005A11BF">
      <w:pPr>
        <w:pStyle w:val="Heading3"/>
      </w:pPr>
      <w:bookmarkStart w:id="78" w:name="_Toc241374319"/>
      <w:bookmarkStart w:id="79" w:name="_Ref271044764"/>
      <w:bookmarkStart w:id="80" w:name="_Toc272414663"/>
      <w:bookmarkStart w:id="81" w:name="_Toc290846301"/>
      <w:bookmarkStart w:id="82" w:name="_Toc361767647"/>
      <w:bookmarkStart w:id="83" w:name="_Toc392665414"/>
      <w:r>
        <w:lastRenderedPageBreak/>
        <w:t>Adverse events</w:t>
      </w:r>
      <w:bookmarkEnd w:id="78"/>
      <w:bookmarkEnd w:id="79"/>
      <w:bookmarkEnd w:id="80"/>
      <w:bookmarkEnd w:id="81"/>
      <w:bookmarkEnd w:id="82"/>
      <w:bookmarkEnd w:id="83"/>
    </w:p>
    <w:p w:rsidR="006D7BB6" w:rsidRPr="00C27CB6" w:rsidRDefault="006D7BB6" w:rsidP="005A11BF">
      <w:pPr>
        <w:pStyle w:val="Heading4"/>
      </w:pPr>
      <w:bookmarkStart w:id="84" w:name="_Ref272317284"/>
      <w:bookmarkStart w:id="85" w:name="_Ref272333565"/>
      <w:bookmarkStart w:id="86" w:name="_Toc272414664"/>
      <w:bookmarkStart w:id="87" w:name="_Toc290846302"/>
      <w:bookmarkStart w:id="88" w:name="_Toc361767648"/>
      <w:r>
        <w:t xml:space="preserve">All adverse </w:t>
      </w:r>
      <w:r w:rsidRPr="005A11BF">
        <w:t>events</w:t>
      </w:r>
      <w:r>
        <w:t xml:space="preserve"> (irrespective of relationship to study treatment)</w:t>
      </w:r>
      <w:bookmarkEnd w:id="84"/>
      <w:bookmarkEnd w:id="85"/>
      <w:bookmarkEnd w:id="86"/>
      <w:bookmarkEnd w:id="87"/>
      <w:bookmarkEnd w:id="88"/>
    </w:p>
    <w:p w:rsidR="006D7BB6" w:rsidRDefault="006D7BB6" w:rsidP="005A11BF">
      <w:pPr>
        <w:pStyle w:val="Heading5"/>
      </w:pPr>
      <w:bookmarkStart w:id="89" w:name="_Toc361767649"/>
      <w:r>
        <w:t xml:space="preserve">Pivotal </w:t>
      </w:r>
      <w:r w:rsidRPr="005A11BF">
        <w:t>studies</w:t>
      </w:r>
      <w:bookmarkEnd w:id="89"/>
    </w:p>
    <w:p w:rsidR="006D7BB6" w:rsidRDefault="006D7BB6" w:rsidP="005A11BF">
      <w:r>
        <w:t>No pivotal studies.</w:t>
      </w:r>
    </w:p>
    <w:p w:rsidR="006D7BB6" w:rsidRDefault="006D7BB6" w:rsidP="005A11BF">
      <w:pPr>
        <w:pStyle w:val="Heading5"/>
      </w:pPr>
      <w:bookmarkStart w:id="90" w:name="_Ref360994431"/>
      <w:bookmarkStart w:id="91" w:name="_Toc361767650"/>
      <w:r>
        <w:t>Other studies</w:t>
      </w:r>
      <w:bookmarkEnd w:id="90"/>
      <w:bookmarkEnd w:id="91"/>
    </w:p>
    <w:p w:rsidR="006D7BB6" w:rsidRDefault="005A11BF" w:rsidP="005A11BF">
      <w:pPr>
        <w:pStyle w:val="Heading6"/>
      </w:pPr>
      <w:r>
        <w:t>Study ARL/11/201</w:t>
      </w:r>
    </w:p>
    <w:p w:rsidR="006D7BB6" w:rsidRPr="001E4931" w:rsidRDefault="006D7BB6" w:rsidP="005A11BF">
      <w:r>
        <w:t>The only AEs reported were a</w:t>
      </w:r>
      <w:r w:rsidRPr="001E4931">
        <w:t>bnormal laboratory values were reported</w:t>
      </w:r>
      <w:r>
        <w:t xml:space="preserve"> at the end of the study. Such observations had to be reported as</w:t>
      </w:r>
      <w:r w:rsidRPr="001E4931">
        <w:t xml:space="preserve"> AEs if class</w:t>
      </w:r>
      <w:r w:rsidR="00C83B23">
        <w:t xml:space="preserve">ified as clinically significant </w:t>
      </w:r>
      <w:r w:rsidRPr="001E4931">
        <w:t>and 6 AE reports resulted.</w:t>
      </w:r>
      <w:r>
        <w:t xml:space="preserve"> See section </w:t>
      </w:r>
      <w:r>
        <w:fldChar w:fldCharType="begin"/>
      </w:r>
      <w:r>
        <w:instrText xml:space="preserve"> REF _Ref360988107 \r \h </w:instrText>
      </w:r>
      <w:r>
        <w:fldChar w:fldCharType="separate"/>
      </w:r>
      <w:r w:rsidR="0044161C">
        <w:t>7.3.5.2</w:t>
      </w:r>
      <w:r>
        <w:fldChar w:fldCharType="end"/>
      </w:r>
      <w:r>
        <w:t>.</w:t>
      </w:r>
    </w:p>
    <w:p w:rsidR="006D7BB6" w:rsidRDefault="006D7BB6" w:rsidP="005A11BF">
      <w:pPr>
        <w:pStyle w:val="Heading6"/>
      </w:pPr>
      <w:r>
        <w:t>Study ARL/11/196</w:t>
      </w:r>
    </w:p>
    <w:p w:rsidR="006D7BB6" w:rsidRPr="001E4931" w:rsidRDefault="006D7BB6" w:rsidP="005A11BF">
      <w:r w:rsidRPr="00E17410">
        <w:t>During the study, 2 subjects</w:t>
      </w:r>
      <w:r>
        <w:t xml:space="preserve"> </w:t>
      </w:r>
      <w:r w:rsidR="00C83B23">
        <w:t>[information redacted]</w:t>
      </w:r>
      <w:r w:rsidRPr="00E17410">
        <w:t xml:space="preserve"> reported vomiting and 1</w:t>
      </w:r>
      <w:r>
        <w:t xml:space="preserve"> subject </w:t>
      </w:r>
      <w:r w:rsidR="00C83B23">
        <w:t>[information redacted]</w:t>
      </w:r>
      <w:r w:rsidRPr="00E17410">
        <w:t xml:space="preserve"> reported giddiness.</w:t>
      </w:r>
      <w:r>
        <w:t xml:space="preserve"> Other AE reports related to a</w:t>
      </w:r>
      <w:r w:rsidRPr="001E4931">
        <w:t>bnormal laboratory values reported</w:t>
      </w:r>
      <w:r>
        <w:t xml:space="preserve"> at the end of the study. Such observations had to be reported as</w:t>
      </w:r>
      <w:r w:rsidRPr="001E4931">
        <w:t xml:space="preserve"> AEs if classified as clinically </w:t>
      </w:r>
      <w:proofErr w:type="gramStart"/>
      <w:r w:rsidRPr="001E4931">
        <w:t>significant,</w:t>
      </w:r>
      <w:proofErr w:type="gramEnd"/>
      <w:r w:rsidRPr="001E4931">
        <w:t xml:space="preserve"> and </w:t>
      </w:r>
      <w:r>
        <w:t>3</w:t>
      </w:r>
      <w:r w:rsidRPr="001E4931">
        <w:t xml:space="preserve"> AE reports resulted.</w:t>
      </w:r>
    </w:p>
    <w:p w:rsidR="006D7BB6" w:rsidRPr="00D12012" w:rsidRDefault="006D7BB6" w:rsidP="005A11BF">
      <w:pPr>
        <w:pStyle w:val="Heading4"/>
      </w:pPr>
      <w:bookmarkStart w:id="92" w:name="_Ref272333567"/>
      <w:bookmarkStart w:id="93" w:name="_Toc272414665"/>
      <w:bookmarkStart w:id="94" w:name="_Toc290846303"/>
      <w:bookmarkStart w:id="95" w:name="_Toc361767651"/>
      <w:r>
        <w:t xml:space="preserve">Treatment-related </w:t>
      </w:r>
      <w:r w:rsidRPr="005A11BF">
        <w:t>adverse</w:t>
      </w:r>
      <w:r>
        <w:t xml:space="preserve"> events (adverse drug reactions)</w:t>
      </w:r>
      <w:bookmarkEnd w:id="92"/>
      <w:bookmarkEnd w:id="93"/>
      <w:bookmarkEnd w:id="94"/>
      <w:bookmarkEnd w:id="95"/>
    </w:p>
    <w:p w:rsidR="006D7BB6" w:rsidRDefault="006D7BB6" w:rsidP="005A11BF">
      <w:pPr>
        <w:pStyle w:val="Heading5"/>
      </w:pPr>
      <w:bookmarkStart w:id="96" w:name="_Toc361767652"/>
      <w:r>
        <w:t>Pivotal studies</w:t>
      </w:r>
      <w:bookmarkEnd w:id="96"/>
    </w:p>
    <w:p w:rsidR="006D7BB6" w:rsidRDefault="006D7BB6" w:rsidP="005A11BF">
      <w:r>
        <w:t>No pivotal studies.</w:t>
      </w:r>
    </w:p>
    <w:p w:rsidR="006D7BB6" w:rsidRDefault="006D7BB6" w:rsidP="005A11BF">
      <w:pPr>
        <w:pStyle w:val="Heading5"/>
      </w:pPr>
      <w:bookmarkStart w:id="97" w:name="_Ref361002006"/>
      <w:bookmarkStart w:id="98" w:name="_Toc361767653"/>
      <w:r>
        <w:t>Other studies</w:t>
      </w:r>
      <w:bookmarkEnd w:id="97"/>
      <w:bookmarkEnd w:id="98"/>
    </w:p>
    <w:p w:rsidR="006D7BB6" w:rsidRDefault="006D7BB6" w:rsidP="005A11BF">
      <w:pPr>
        <w:pStyle w:val="Heading6"/>
      </w:pPr>
      <w:r>
        <w:t>Study ARL/11/201</w:t>
      </w:r>
    </w:p>
    <w:p w:rsidR="006D7BB6" w:rsidRDefault="006D7BB6" w:rsidP="005A11BF">
      <w:r>
        <w:t>None reported.</w:t>
      </w:r>
    </w:p>
    <w:p w:rsidR="006D7BB6" w:rsidRDefault="006D7BB6" w:rsidP="005A11BF">
      <w:pPr>
        <w:pStyle w:val="Heading6"/>
      </w:pPr>
      <w:r>
        <w:t>Study ARL/11/196</w:t>
      </w:r>
    </w:p>
    <w:p w:rsidR="006D7BB6" w:rsidRDefault="006D7BB6" w:rsidP="005A11BF">
      <w:r>
        <w:t xml:space="preserve">The 3 AEs described for this study at </w:t>
      </w:r>
      <w:r w:rsidR="00C83B23">
        <w:t>7.3.1.2.2</w:t>
      </w:r>
      <w:r>
        <w:t xml:space="preserve"> were graded as having a "probable" relationship to study drug. The other 3 AEs (laboratory abnormalities) were graded as having a "possible" relationship to study drug.</w:t>
      </w:r>
    </w:p>
    <w:p w:rsidR="006D7BB6" w:rsidRPr="00213E77" w:rsidRDefault="006D7BB6" w:rsidP="005A11BF">
      <w:pPr>
        <w:pStyle w:val="Heading4"/>
      </w:pPr>
      <w:bookmarkStart w:id="99" w:name="_Toc241374320"/>
      <w:bookmarkStart w:id="100" w:name="_Ref272333507"/>
      <w:bookmarkStart w:id="101" w:name="_Toc272414666"/>
      <w:bookmarkStart w:id="102" w:name="_Toc290846304"/>
      <w:bookmarkStart w:id="103" w:name="_Toc361767654"/>
      <w:r>
        <w:t>Deaths and other serious adverse events</w:t>
      </w:r>
      <w:bookmarkEnd w:id="99"/>
      <w:bookmarkEnd w:id="100"/>
      <w:bookmarkEnd w:id="101"/>
      <w:bookmarkEnd w:id="102"/>
      <w:bookmarkEnd w:id="103"/>
    </w:p>
    <w:p w:rsidR="006D7BB6" w:rsidRDefault="006D7BB6" w:rsidP="005A11BF">
      <w:pPr>
        <w:pStyle w:val="Heading5"/>
      </w:pPr>
      <w:bookmarkStart w:id="104" w:name="_Toc361767655"/>
      <w:r>
        <w:t>Pivotal studies</w:t>
      </w:r>
      <w:bookmarkEnd w:id="104"/>
    </w:p>
    <w:p w:rsidR="006D7BB6" w:rsidRDefault="006D7BB6" w:rsidP="005A11BF">
      <w:r>
        <w:t>No pivotal studies.</w:t>
      </w:r>
    </w:p>
    <w:p w:rsidR="006D7BB6" w:rsidRDefault="006D7BB6" w:rsidP="005A11BF">
      <w:pPr>
        <w:pStyle w:val="Heading5"/>
      </w:pPr>
      <w:bookmarkStart w:id="105" w:name="_Toc361767656"/>
      <w:r>
        <w:t>Other studies</w:t>
      </w:r>
      <w:bookmarkEnd w:id="105"/>
    </w:p>
    <w:p w:rsidR="006D7BB6" w:rsidRDefault="005A11BF" w:rsidP="005A11BF">
      <w:pPr>
        <w:pStyle w:val="Heading6"/>
      </w:pPr>
      <w:r>
        <w:t>Study ARL/11/201</w:t>
      </w:r>
    </w:p>
    <w:p w:rsidR="006D7BB6" w:rsidRDefault="006D7BB6" w:rsidP="005A11BF">
      <w:r>
        <w:t>No such AEs reported.</w:t>
      </w:r>
    </w:p>
    <w:p w:rsidR="006D7BB6" w:rsidRDefault="006D7BB6" w:rsidP="005A11BF">
      <w:pPr>
        <w:pStyle w:val="Heading6"/>
      </w:pPr>
      <w:r>
        <w:t>Study ARL/11/196</w:t>
      </w:r>
    </w:p>
    <w:p w:rsidR="006D7BB6" w:rsidRDefault="006D7BB6" w:rsidP="005A11BF">
      <w:r>
        <w:t>No such AEs reported.</w:t>
      </w:r>
    </w:p>
    <w:p w:rsidR="006D7BB6" w:rsidRPr="008F73B4" w:rsidRDefault="006D7BB6" w:rsidP="005A11BF">
      <w:pPr>
        <w:pStyle w:val="Heading4"/>
      </w:pPr>
      <w:bookmarkStart w:id="106" w:name="_Toc241374325"/>
      <w:bookmarkStart w:id="107" w:name="_Ref272333477"/>
      <w:bookmarkStart w:id="108" w:name="_Toc272414667"/>
      <w:bookmarkStart w:id="109" w:name="_Toc290846305"/>
      <w:bookmarkStart w:id="110" w:name="_Toc361767657"/>
      <w:r>
        <w:t>Discontinuation due to adverse events</w:t>
      </w:r>
      <w:bookmarkEnd w:id="106"/>
      <w:bookmarkEnd w:id="107"/>
      <w:bookmarkEnd w:id="108"/>
      <w:bookmarkEnd w:id="109"/>
      <w:bookmarkEnd w:id="110"/>
    </w:p>
    <w:p w:rsidR="006D7BB6" w:rsidRDefault="006D7BB6" w:rsidP="005A11BF">
      <w:pPr>
        <w:pStyle w:val="Heading5"/>
      </w:pPr>
      <w:bookmarkStart w:id="111" w:name="_Toc361767658"/>
      <w:r>
        <w:t>Pivotal studies</w:t>
      </w:r>
      <w:bookmarkEnd w:id="111"/>
    </w:p>
    <w:p w:rsidR="006D7BB6" w:rsidRDefault="006D7BB6" w:rsidP="005A11BF">
      <w:r>
        <w:t>No pivotal studies.</w:t>
      </w:r>
    </w:p>
    <w:p w:rsidR="006D7BB6" w:rsidRDefault="006D7BB6" w:rsidP="005A11BF">
      <w:pPr>
        <w:pStyle w:val="Heading5"/>
      </w:pPr>
      <w:bookmarkStart w:id="112" w:name="_Toc361767659"/>
      <w:r>
        <w:t>Other studies</w:t>
      </w:r>
      <w:bookmarkEnd w:id="112"/>
    </w:p>
    <w:p w:rsidR="006D7BB6" w:rsidRDefault="006D7BB6" w:rsidP="005A11BF">
      <w:pPr>
        <w:pStyle w:val="Heading6"/>
      </w:pPr>
      <w:r>
        <w:t>Study ARL/11/201</w:t>
      </w:r>
    </w:p>
    <w:p w:rsidR="006D7BB6" w:rsidRDefault="006D7BB6" w:rsidP="005A11BF">
      <w:r>
        <w:t>None reported.</w:t>
      </w:r>
    </w:p>
    <w:p w:rsidR="006D7BB6" w:rsidRDefault="006D7BB6" w:rsidP="005A11BF">
      <w:pPr>
        <w:pStyle w:val="Heading6"/>
      </w:pPr>
      <w:r>
        <w:lastRenderedPageBreak/>
        <w:t>Study ARL/11/196</w:t>
      </w:r>
    </w:p>
    <w:p w:rsidR="006D7BB6" w:rsidRDefault="006D7BB6" w:rsidP="005A11BF">
      <w:proofErr w:type="gramStart"/>
      <w:r>
        <w:t xml:space="preserve">3 subjects </w:t>
      </w:r>
      <w:r w:rsidR="00C83B23">
        <w:t>[information redacted] (see above)</w:t>
      </w:r>
      <w:r>
        <w:t xml:space="preserve"> were withdrawn from the study due to AE.</w:t>
      </w:r>
      <w:proofErr w:type="gramEnd"/>
    </w:p>
    <w:p w:rsidR="006D7BB6" w:rsidRDefault="006D7BB6" w:rsidP="005A11BF">
      <w:pPr>
        <w:pStyle w:val="Heading4"/>
      </w:pPr>
      <w:bookmarkStart w:id="113" w:name="_Toc241374321"/>
      <w:bookmarkStart w:id="114" w:name="_Ref271044780"/>
      <w:bookmarkStart w:id="115" w:name="_Ref271196640"/>
      <w:bookmarkStart w:id="116" w:name="_Ref272333085"/>
      <w:bookmarkStart w:id="117" w:name="_Toc272414668"/>
      <w:bookmarkStart w:id="118" w:name="_Toc290846306"/>
      <w:bookmarkStart w:id="119" w:name="_Toc361767660"/>
      <w:r>
        <w:t>Laboratory tests</w:t>
      </w:r>
      <w:bookmarkEnd w:id="113"/>
      <w:bookmarkEnd w:id="114"/>
      <w:bookmarkEnd w:id="115"/>
      <w:bookmarkEnd w:id="116"/>
      <w:bookmarkEnd w:id="117"/>
      <w:bookmarkEnd w:id="118"/>
      <w:bookmarkEnd w:id="119"/>
    </w:p>
    <w:p w:rsidR="006D7BB6" w:rsidRDefault="006D7BB6" w:rsidP="005A11BF">
      <w:pPr>
        <w:pStyle w:val="Heading5"/>
      </w:pPr>
      <w:bookmarkStart w:id="120" w:name="_Toc361767661"/>
      <w:r>
        <w:t xml:space="preserve">Pivotal </w:t>
      </w:r>
      <w:r w:rsidRPr="005A11BF">
        <w:t>studies</w:t>
      </w:r>
      <w:bookmarkEnd w:id="120"/>
    </w:p>
    <w:p w:rsidR="006D7BB6" w:rsidRDefault="006D7BB6" w:rsidP="005A11BF">
      <w:r>
        <w:t>No pivotal studies.</w:t>
      </w:r>
    </w:p>
    <w:p w:rsidR="006D7BB6" w:rsidRDefault="006D7BB6" w:rsidP="005A11BF">
      <w:pPr>
        <w:pStyle w:val="Heading5"/>
      </w:pPr>
      <w:bookmarkStart w:id="121" w:name="_Ref360988107"/>
      <w:bookmarkStart w:id="122" w:name="_Toc361767662"/>
      <w:r>
        <w:t>Other studies</w:t>
      </w:r>
      <w:bookmarkEnd w:id="121"/>
      <w:bookmarkEnd w:id="122"/>
    </w:p>
    <w:p w:rsidR="006D7BB6" w:rsidRDefault="005A11BF" w:rsidP="005A11BF">
      <w:pPr>
        <w:pStyle w:val="Heading6"/>
      </w:pPr>
      <w:r>
        <w:t>Study ARL/11/201</w:t>
      </w:r>
    </w:p>
    <w:p w:rsidR="006D7BB6" w:rsidRDefault="006D7BB6" w:rsidP="005A11BF">
      <w:r>
        <w:t xml:space="preserve">Values of laboratory tests which were outside the reference ranges at and of study and classified as clinically significant are shown </w:t>
      </w:r>
      <w:r w:rsidR="00C83B23">
        <w:t>in Table 5</w:t>
      </w:r>
      <w:r>
        <w:t>.</w:t>
      </w:r>
    </w:p>
    <w:p w:rsidR="00C83B23" w:rsidRDefault="00C83B23" w:rsidP="005A11BF">
      <w:pPr>
        <w:pStyle w:val="TableTitle"/>
      </w:pPr>
      <w:bookmarkStart w:id="123" w:name="_Ref360990229"/>
      <w:bookmarkStart w:id="124" w:name="_Toc361767704"/>
      <w:r>
        <w:t>Table</w:t>
      </w:r>
      <w:bookmarkEnd w:id="123"/>
      <w:r>
        <w:t>5. Study ARL/11/201. Clinically significant abnormal laboratory values at end of study</w:t>
      </w:r>
      <w:bookmarkEnd w:id="124"/>
      <w:r>
        <w:t>. Column 1 has been redacted from the table.</w:t>
      </w:r>
    </w:p>
    <w:tbl>
      <w:tblPr>
        <w:tblStyle w:val="TableTGAblue"/>
        <w:tblW w:w="0" w:type="auto"/>
        <w:tblLook w:val="04A0" w:firstRow="1" w:lastRow="0" w:firstColumn="1" w:lastColumn="0" w:noHBand="0" w:noVBand="1"/>
      </w:tblPr>
      <w:tblGrid>
        <w:gridCol w:w="2325"/>
        <w:gridCol w:w="2312"/>
        <w:gridCol w:w="4118"/>
      </w:tblGrid>
      <w:tr w:rsidR="00C83B23" w:rsidRPr="006A56D2" w:rsidTr="004416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5" w:type="dxa"/>
          </w:tcPr>
          <w:p w:rsidR="00C83B23" w:rsidRPr="006A56D2" w:rsidRDefault="00C83B23" w:rsidP="005A11BF">
            <w:pPr>
              <w:ind w:left="0" w:right="0"/>
              <w:rPr>
                <w:b w:val="0"/>
              </w:rPr>
            </w:pPr>
            <w:r w:rsidRPr="006A56D2">
              <w:t>Abnormal value</w:t>
            </w:r>
          </w:p>
        </w:tc>
        <w:tc>
          <w:tcPr>
            <w:tcW w:w="2312" w:type="dxa"/>
          </w:tcPr>
          <w:p w:rsidR="00C83B23" w:rsidRPr="006A56D2" w:rsidRDefault="00C83B23" w:rsidP="005A11BF">
            <w:pPr>
              <w:ind w:left="85" w:right="26"/>
              <w:cnfStyle w:val="100000000000" w:firstRow="1" w:lastRow="0" w:firstColumn="0" w:lastColumn="0" w:oddVBand="0" w:evenVBand="0" w:oddHBand="0" w:evenHBand="0" w:firstRowFirstColumn="0" w:firstRowLastColumn="0" w:lastRowFirstColumn="0" w:lastRowLastColumn="0"/>
              <w:rPr>
                <w:b w:val="0"/>
              </w:rPr>
            </w:pPr>
            <w:r w:rsidRPr="006A56D2">
              <w:t>Reference interval</w:t>
            </w:r>
          </w:p>
        </w:tc>
        <w:tc>
          <w:tcPr>
            <w:tcW w:w="4118" w:type="dxa"/>
          </w:tcPr>
          <w:p w:rsidR="00C83B23" w:rsidRPr="006A56D2" w:rsidRDefault="00C83B23" w:rsidP="005A11BF">
            <w:pPr>
              <w:ind w:left="41" w:right="34"/>
              <w:cnfStyle w:val="100000000000" w:firstRow="1" w:lastRow="0" w:firstColumn="0" w:lastColumn="0" w:oddVBand="0" w:evenVBand="0" w:oddHBand="0" w:evenHBand="0" w:firstRowFirstColumn="0" w:firstRowLastColumn="0" w:lastRowFirstColumn="0" w:lastRowLastColumn="0"/>
              <w:rPr>
                <w:b w:val="0"/>
              </w:rPr>
            </w:pPr>
            <w:r w:rsidRPr="006A56D2">
              <w:t>Remarks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Urinalysis showed occult blood</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Negative</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Repeated after 5 days, and classified NCS.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Urinalysis showed occult blood</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Negative</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Repeated after 5 days, and classified NCS.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Lymphocytes 59.8%</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20-40%</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Repeated after 5 days, and classified NCS.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ALT 76 U/L</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 41</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Repeated after 7 days, and classified NCS.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WCC 3100</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4400-11000</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Subject refused to attend for review, asserting no health problems.</w:t>
            </w:r>
          </w:p>
        </w:tc>
      </w:tr>
      <w:tr w:rsidR="00C83B23" w:rsidTr="0044161C">
        <w:tc>
          <w:tcPr>
            <w:cnfStyle w:val="001000000000" w:firstRow="0" w:lastRow="0" w:firstColumn="1" w:lastColumn="0" w:oddVBand="0" w:evenVBand="0" w:oddHBand="0" w:evenHBand="0" w:firstRowFirstColumn="0" w:firstRowLastColumn="0" w:lastRowFirstColumn="0" w:lastRowLastColumn="0"/>
            <w:tcW w:w="2325" w:type="dxa"/>
          </w:tcPr>
          <w:p w:rsidR="00C83B23" w:rsidRDefault="00C83B23" w:rsidP="005A11BF">
            <w:pPr>
              <w:ind w:left="0" w:right="0"/>
            </w:pPr>
            <w:r>
              <w:t>Basophils 19.7%</w:t>
            </w:r>
          </w:p>
        </w:tc>
        <w:tc>
          <w:tcPr>
            <w:tcW w:w="2312" w:type="dxa"/>
          </w:tcPr>
          <w:p w:rsidR="00C83B23" w:rsidRDefault="00C83B23" w:rsidP="005A11BF">
            <w:pPr>
              <w:ind w:left="85" w:right="26"/>
              <w:cnfStyle w:val="000000000000" w:firstRow="0" w:lastRow="0" w:firstColumn="0" w:lastColumn="0" w:oddVBand="0" w:evenVBand="0" w:oddHBand="0" w:evenHBand="0" w:firstRowFirstColumn="0" w:firstRowLastColumn="0" w:lastRowFirstColumn="0" w:lastRowLastColumn="0"/>
            </w:pPr>
            <w:r>
              <w:t>0-7%</w:t>
            </w:r>
          </w:p>
        </w:tc>
        <w:tc>
          <w:tcPr>
            <w:tcW w:w="4118" w:type="dxa"/>
          </w:tcPr>
          <w:p w:rsidR="00C83B23" w:rsidRDefault="00C83B23" w:rsidP="005A11BF">
            <w:pPr>
              <w:ind w:left="41" w:right="34"/>
              <w:cnfStyle w:val="000000000000" w:firstRow="0" w:lastRow="0" w:firstColumn="0" w:lastColumn="0" w:oddVBand="0" w:evenVBand="0" w:oddHBand="0" w:evenHBand="0" w:firstRowFirstColumn="0" w:firstRowLastColumn="0" w:lastRowFirstColumn="0" w:lastRowLastColumn="0"/>
            </w:pPr>
            <w:r>
              <w:t>Repeated after 9 days, and classified NCS.</w:t>
            </w:r>
          </w:p>
        </w:tc>
      </w:tr>
    </w:tbl>
    <w:p w:rsidR="006D7BB6" w:rsidRDefault="006D7BB6" w:rsidP="005A11BF">
      <w:pPr>
        <w:pStyle w:val="Heading6"/>
      </w:pPr>
      <w:r w:rsidRPr="005A11BF">
        <w:t>Study</w:t>
      </w:r>
      <w:r>
        <w:t xml:space="preserve"> ARL/11/196</w:t>
      </w:r>
    </w:p>
    <w:p w:rsidR="006D7BB6" w:rsidRDefault="006D7BB6" w:rsidP="005A11BF">
      <w:r>
        <w:t xml:space="preserve">Values of laboratory tests which were outside the reference ranges at and of study and classified as clinically significant are shown </w:t>
      </w:r>
      <w:r w:rsidR="00C83B23">
        <w:t>in Table 6</w:t>
      </w:r>
      <w:r>
        <w:t>.</w:t>
      </w:r>
    </w:p>
    <w:p w:rsidR="00C83B23" w:rsidRDefault="00C83B23" w:rsidP="005A11BF">
      <w:pPr>
        <w:pStyle w:val="TableTitle"/>
      </w:pPr>
      <w:bookmarkStart w:id="125" w:name="_Ref360995131"/>
      <w:bookmarkStart w:id="126" w:name="_Toc361767705"/>
      <w:proofErr w:type="gramStart"/>
      <w:r>
        <w:t>Table</w:t>
      </w:r>
      <w:bookmarkEnd w:id="125"/>
      <w:r>
        <w:t xml:space="preserve"> 6.</w:t>
      </w:r>
      <w:proofErr w:type="gramEnd"/>
      <w:r>
        <w:t xml:space="preserve"> Study ARL/</w:t>
      </w:r>
      <w:r w:rsidRPr="005A11BF">
        <w:t>11</w:t>
      </w:r>
      <w:r>
        <w:t>/196. Clinically significant abnormal laboratory values at end of study</w:t>
      </w:r>
      <w:bookmarkEnd w:id="126"/>
      <w:r>
        <w:t>. Column 1 has been redacted from the table.</w:t>
      </w:r>
    </w:p>
    <w:tbl>
      <w:tblPr>
        <w:tblStyle w:val="TableTGAblue"/>
        <w:tblW w:w="0" w:type="auto"/>
        <w:tblLook w:val="04A0" w:firstRow="1" w:lastRow="0" w:firstColumn="1" w:lastColumn="0" w:noHBand="0" w:noVBand="1"/>
      </w:tblPr>
      <w:tblGrid>
        <w:gridCol w:w="2312"/>
        <w:gridCol w:w="2312"/>
        <w:gridCol w:w="3139"/>
      </w:tblGrid>
      <w:tr w:rsidR="00C83B23" w:rsidRPr="006A56D2" w:rsidTr="005A11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2" w:type="dxa"/>
          </w:tcPr>
          <w:p w:rsidR="00C83B23" w:rsidRPr="006A56D2" w:rsidRDefault="00C83B23" w:rsidP="005A11BF">
            <w:pPr>
              <w:ind w:left="0" w:right="0"/>
              <w:rPr>
                <w:b w:val="0"/>
              </w:rPr>
            </w:pPr>
            <w:r w:rsidRPr="006A56D2">
              <w:t>Abnormal value</w:t>
            </w:r>
          </w:p>
        </w:tc>
        <w:tc>
          <w:tcPr>
            <w:tcW w:w="2312" w:type="dxa"/>
          </w:tcPr>
          <w:p w:rsidR="00C83B23" w:rsidRPr="006A56D2" w:rsidRDefault="00C83B23" w:rsidP="005A11BF">
            <w:pPr>
              <w:ind w:left="98" w:right="0"/>
              <w:cnfStyle w:val="100000000000" w:firstRow="1" w:lastRow="0" w:firstColumn="0" w:lastColumn="0" w:oddVBand="0" w:evenVBand="0" w:oddHBand="0" w:evenHBand="0" w:firstRowFirstColumn="0" w:firstRowLastColumn="0" w:lastRowFirstColumn="0" w:lastRowLastColumn="0"/>
              <w:rPr>
                <w:b w:val="0"/>
              </w:rPr>
            </w:pPr>
            <w:r w:rsidRPr="006A56D2">
              <w:t>Reference interval</w:t>
            </w:r>
          </w:p>
        </w:tc>
        <w:tc>
          <w:tcPr>
            <w:tcW w:w="3139" w:type="dxa"/>
          </w:tcPr>
          <w:p w:rsidR="00C83B23" w:rsidRPr="006A56D2" w:rsidRDefault="00C83B23" w:rsidP="005A11BF">
            <w:pPr>
              <w:ind w:left="54" w:right="34"/>
              <w:cnfStyle w:val="100000000000" w:firstRow="1" w:lastRow="0" w:firstColumn="0" w:lastColumn="0" w:oddVBand="0" w:evenVBand="0" w:oddHBand="0" w:evenHBand="0" w:firstRowFirstColumn="0" w:firstRowLastColumn="0" w:lastRowFirstColumn="0" w:lastRowLastColumn="0"/>
              <w:rPr>
                <w:b w:val="0"/>
              </w:rPr>
            </w:pPr>
            <w:r w:rsidRPr="006A56D2">
              <w:t>Remarks</w:t>
            </w:r>
          </w:p>
        </w:tc>
      </w:tr>
      <w:tr w:rsidR="00C83B23" w:rsidTr="005426E4">
        <w:tc>
          <w:tcPr>
            <w:cnfStyle w:val="001000000000" w:firstRow="0" w:lastRow="0" w:firstColumn="1" w:lastColumn="0" w:oddVBand="0" w:evenVBand="0" w:oddHBand="0" w:evenHBand="0" w:firstRowFirstColumn="0" w:firstRowLastColumn="0" w:lastRowFirstColumn="0" w:lastRowLastColumn="0"/>
            <w:tcW w:w="2312" w:type="dxa"/>
          </w:tcPr>
          <w:p w:rsidR="00C83B23" w:rsidRDefault="00C83B23" w:rsidP="005A11BF">
            <w:pPr>
              <w:ind w:left="0" w:right="0"/>
            </w:pPr>
            <w:r>
              <w:t>TSH 0.01 µU/mL</w:t>
            </w:r>
          </w:p>
        </w:tc>
        <w:tc>
          <w:tcPr>
            <w:tcW w:w="2312" w:type="dxa"/>
          </w:tcPr>
          <w:p w:rsidR="00C83B23" w:rsidRDefault="00C83B23" w:rsidP="005A11BF">
            <w:pPr>
              <w:ind w:left="98" w:right="0"/>
              <w:cnfStyle w:val="000000000000" w:firstRow="0" w:lastRow="0" w:firstColumn="0" w:lastColumn="0" w:oddVBand="0" w:evenVBand="0" w:oddHBand="0" w:evenHBand="0" w:firstRowFirstColumn="0" w:firstRowLastColumn="0" w:lastRowFirstColumn="0" w:lastRowLastColumn="0"/>
            </w:pPr>
            <w:r>
              <w:t>0.35-5</w:t>
            </w:r>
          </w:p>
        </w:tc>
        <w:tc>
          <w:tcPr>
            <w:tcW w:w="3139" w:type="dxa"/>
          </w:tcPr>
          <w:p w:rsidR="00C83B23" w:rsidRDefault="00C83B23" w:rsidP="005A11BF">
            <w:pPr>
              <w:ind w:left="54" w:right="34"/>
              <w:cnfStyle w:val="000000000000" w:firstRow="0" w:lastRow="0" w:firstColumn="0" w:lastColumn="0" w:oddVBand="0" w:evenVBand="0" w:oddHBand="0" w:evenHBand="0" w:firstRowFirstColumn="0" w:firstRowLastColumn="0" w:lastRowFirstColumn="0" w:lastRowLastColumn="0"/>
            </w:pPr>
            <w:r>
              <w:t>Reassurance until resolved.</w:t>
            </w:r>
          </w:p>
        </w:tc>
      </w:tr>
      <w:tr w:rsidR="00C83B23" w:rsidTr="005426E4">
        <w:tc>
          <w:tcPr>
            <w:cnfStyle w:val="001000000000" w:firstRow="0" w:lastRow="0" w:firstColumn="1" w:lastColumn="0" w:oddVBand="0" w:evenVBand="0" w:oddHBand="0" w:evenHBand="0" w:firstRowFirstColumn="0" w:firstRowLastColumn="0" w:lastRowFirstColumn="0" w:lastRowLastColumn="0"/>
            <w:tcW w:w="2312" w:type="dxa"/>
          </w:tcPr>
          <w:p w:rsidR="00C83B23" w:rsidRDefault="00C83B23" w:rsidP="005A11BF">
            <w:pPr>
              <w:ind w:left="0" w:right="0"/>
            </w:pPr>
            <w:r>
              <w:t>ALT 113.9 U/L</w:t>
            </w:r>
          </w:p>
        </w:tc>
        <w:tc>
          <w:tcPr>
            <w:tcW w:w="2312" w:type="dxa"/>
          </w:tcPr>
          <w:p w:rsidR="00C83B23" w:rsidRDefault="00C83B23" w:rsidP="005A11BF">
            <w:pPr>
              <w:ind w:left="98" w:right="0"/>
              <w:cnfStyle w:val="000000000000" w:firstRow="0" w:lastRow="0" w:firstColumn="0" w:lastColumn="0" w:oddVBand="0" w:evenVBand="0" w:oddHBand="0" w:evenHBand="0" w:firstRowFirstColumn="0" w:firstRowLastColumn="0" w:lastRowFirstColumn="0" w:lastRowLastColumn="0"/>
            </w:pPr>
            <w:r>
              <w:t>≤ 41</w:t>
            </w:r>
          </w:p>
        </w:tc>
        <w:tc>
          <w:tcPr>
            <w:tcW w:w="3139" w:type="dxa"/>
            <w:vMerge w:val="restart"/>
          </w:tcPr>
          <w:p w:rsidR="00C83B23" w:rsidRDefault="00C83B23" w:rsidP="005A11BF">
            <w:pPr>
              <w:ind w:left="54" w:right="34"/>
              <w:cnfStyle w:val="000000000000" w:firstRow="0" w:lastRow="0" w:firstColumn="0" w:lastColumn="0" w:oddVBand="0" w:evenVBand="0" w:oddHBand="0" w:evenHBand="0" w:firstRowFirstColumn="0" w:firstRowLastColumn="0" w:lastRowFirstColumn="0" w:lastRowLastColumn="0"/>
            </w:pPr>
            <w:r>
              <w:t>Reassurance until resolved.</w:t>
            </w:r>
          </w:p>
        </w:tc>
      </w:tr>
      <w:tr w:rsidR="00C83B23" w:rsidTr="005426E4">
        <w:tc>
          <w:tcPr>
            <w:cnfStyle w:val="001000000000" w:firstRow="0" w:lastRow="0" w:firstColumn="1" w:lastColumn="0" w:oddVBand="0" w:evenVBand="0" w:oddHBand="0" w:evenHBand="0" w:firstRowFirstColumn="0" w:firstRowLastColumn="0" w:lastRowFirstColumn="0" w:lastRowLastColumn="0"/>
            <w:tcW w:w="2312" w:type="dxa"/>
          </w:tcPr>
          <w:p w:rsidR="00C83B23" w:rsidRDefault="00C83B23" w:rsidP="005A11BF">
            <w:pPr>
              <w:ind w:left="0" w:right="0"/>
            </w:pPr>
            <w:r>
              <w:t>AST 107.1 U/L</w:t>
            </w:r>
          </w:p>
        </w:tc>
        <w:tc>
          <w:tcPr>
            <w:tcW w:w="2312" w:type="dxa"/>
          </w:tcPr>
          <w:p w:rsidR="00C83B23" w:rsidRDefault="00C83B23" w:rsidP="005A11BF">
            <w:pPr>
              <w:ind w:left="98" w:right="0"/>
              <w:cnfStyle w:val="000000000000" w:firstRow="0" w:lastRow="0" w:firstColumn="0" w:lastColumn="0" w:oddVBand="0" w:evenVBand="0" w:oddHBand="0" w:evenHBand="0" w:firstRowFirstColumn="0" w:firstRowLastColumn="0" w:lastRowFirstColumn="0" w:lastRowLastColumn="0"/>
            </w:pPr>
            <w:r>
              <w:t>≤ 38</w:t>
            </w:r>
          </w:p>
        </w:tc>
        <w:tc>
          <w:tcPr>
            <w:tcW w:w="3139" w:type="dxa"/>
            <w:vMerge/>
          </w:tcPr>
          <w:p w:rsidR="00C83B23" w:rsidRDefault="00C83B23" w:rsidP="005A11BF">
            <w:pPr>
              <w:ind w:left="54" w:right="34"/>
              <w:cnfStyle w:val="000000000000" w:firstRow="0" w:lastRow="0" w:firstColumn="0" w:lastColumn="0" w:oddVBand="0" w:evenVBand="0" w:oddHBand="0" w:evenHBand="0" w:firstRowFirstColumn="0" w:firstRowLastColumn="0" w:lastRowFirstColumn="0" w:lastRowLastColumn="0"/>
            </w:pPr>
          </w:p>
        </w:tc>
      </w:tr>
      <w:tr w:rsidR="00C83B23" w:rsidTr="005426E4">
        <w:tc>
          <w:tcPr>
            <w:cnfStyle w:val="001000000000" w:firstRow="0" w:lastRow="0" w:firstColumn="1" w:lastColumn="0" w:oddVBand="0" w:evenVBand="0" w:oddHBand="0" w:evenHBand="0" w:firstRowFirstColumn="0" w:firstRowLastColumn="0" w:lastRowFirstColumn="0" w:lastRowLastColumn="0"/>
            <w:tcW w:w="2312" w:type="dxa"/>
          </w:tcPr>
          <w:p w:rsidR="00C83B23" w:rsidRDefault="00C83B23" w:rsidP="005A11BF">
            <w:pPr>
              <w:ind w:left="0" w:right="0"/>
            </w:pPr>
            <w:r>
              <w:t>TSH 0.08 µU/mL</w:t>
            </w:r>
          </w:p>
        </w:tc>
        <w:tc>
          <w:tcPr>
            <w:tcW w:w="2312" w:type="dxa"/>
          </w:tcPr>
          <w:p w:rsidR="00C83B23" w:rsidRDefault="00C83B23" w:rsidP="005A11BF">
            <w:pPr>
              <w:ind w:left="98" w:right="0"/>
              <w:cnfStyle w:val="000000000000" w:firstRow="0" w:lastRow="0" w:firstColumn="0" w:lastColumn="0" w:oddVBand="0" w:evenVBand="0" w:oddHBand="0" w:evenHBand="0" w:firstRowFirstColumn="0" w:firstRowLastColumn="0" w:lastRowFirstColumn="0" w:lastRowLastColumn="0"/>
            </w:pPr>
            <w:r>
              <w:t>0.35-5</w:t>
            </w:r>
          </w:p>
        </w:tc>
        <w:tc>
          <w:tcPr>
            <w:tcW w:w="3139" w:type="dxa"/>
          </w:tcPr>
          <w:p w:rsidR="00C83B23" w:rsidRDefault="00C83B23" w:rsidP="005A11BF">
            <w:pPr>
              <w:ind w:left="54" w:right="34"/>
              <w:cnfStyle w:val="000000000000" w:firstRow="0" w:lastRow="0" w:firstColumn="0" w:lastColumn="0" w:oddVBand="0" w:evenVBand="0" w:oddHBand="0" w:evenHBand="0" w:firstRowFirstColumn="0" w:firstRowLastColumn="0" w:lastRowFirstColumn="0" w:lastRowLastColumn="0"/>
            </w:pPr>
            <w:r>
              <w:t>Reassurance until resolved.</w:t>
            </w:r>
          </w:p>
        </w:tc>
      </w:tr>
    </w:tbl>
    <w:p w:rsidR="006D7BB6" w:rsidRDefault="006D7BB6" w:rsidP="005A11BF">
      <w:r>
        <w:lastRenderedPageBreak/>
        <w:t xml:space="preserve">Perusal of the listing of laboratory measurements performed at screening shows that a high proportion of subjects appeared to be unhealthy. Of subjects 1-20 (all of whom were male), 9 had Hb below the reference range and of these 3 had MCV below the reference range. Of subjects 1-20, 10 had eosinophil % above the reference range (15.2% in the worst case). Relevant data are </w:t>
      </w:r>
      <w:r w:rsidR="00502A89">
        <w:t>shown in Table 7</w:t>
      </w:r>
      <w:r>
        <w:t>. The sponsor should be asked to comment on the results of pre-study laboratory measurements.</w:t>
      </w:r>
    </w:p>
    <w:p w:rsidR="00D764DE" w:rsidRDefault="00D764DE" w:rsidP="005A11BF">
      <w:pPr>
        <w:pStyle w:val="TableTitle"/>
      </w:pPr>
      <w:bookmarkStart w:id="127" w:name="_Ref360996912"/>
      <w:bookmarkStart w:id="128" w:name="_Toc361767706"/>
      <w:proofErr w:type="gramStart"/>
      <w:r>
        <w:t>Table 7</w:t>
      </w:r>
      <w:bookmarkEnd w:id="127"/>
      <w:r>
        <w:t>.</w:t>
      </w:r>
      <w:proofErr w:type="gramEnd"/>
      <w:r>
        <w:t xml:space="preserve"> Study ARL/11/196. </w:t>
      </w:r>
      <w:proofErr w:type="gramStart"/>
      <w:r>
        <w:t>Values of selected laboratory parameters at screening</w:t>
      </w:r>
      <w:bookmarkEnd w:id="128"/>
      <w:r>
        <w:t>.</w:t>
      </w:r>
      <w:proofErr w:type="gramEnd"/>
      <w:r w:rsidR="00502A89">
        <w:t xml:space="preserve"> Column 1 </w:t>
      </w:r>
      <w:r w:rsidR="006155B4">
        <w:t xml:space="preserve">(patient identification numbers) </w:t>
      </w:r>
      <w:r w:rsidR="00502A89">
        <w:t>has been redacted from the table.</w:t>
      </w:r>
    </w:p>
    <w:tbl>
      <w:tblPr>
        <w:tblStyle w:val="TableTGAblue"/>
        <w:tblW w:w="0" w:type="auto"/>
        <w:tblLook w:val="04A0" w:firstRow="1" w:lastRow="0" w:firstColumn="1" w:lastColumn="0" w:noHBand="0" w:noVBand="1"/>
      </w:tblPr>
      <w:tblGrid>
        <w:gridCol w:w="1951"/>
        <w:gridCol w:w="2126"/>
        <w:gridCol w:w="2977"/>
      </w:tblGrid>
      <w:tr w:rsidR="00D764DE" w:rsidRPr="006A56D2" w:rsidTr="005426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b w:val="0"/>
              </w:rPr>
            </w:pPr>
            <w:r w:rsidRPr="00D764DE">
              <w:t xml:space="preserve">Hb </w:t>
            </w:r>
            <w:r w:rsidR="005426E4">
              <w:t xml:space="preserve"> </w:t>
            </w:r>
            <w:r w:rsidRPr="00D764DE">
              <w:t>(g/dL)</w:t>
            </w:r>
            <w:r w:rsidRPr="00D764DE">
              <w:rPr>
                <w:vertAlign w:val="superscript"/>
              </w:rPr>
              <w:t>1</w:t>
            </w:r>
          </w:p>
        </w:tc>
        <w:tc>
          <w:tcPr>
            <w:tcW w:w="2126" w:type="dxa"/>
          </w:tcPr>
          <w:p w:rsidR="00D764DE" w:rsidRPr="00D764DE" w:rsidRDefault="00D764DE" w:rsidP="005A11BF">
            <w:pPr>
              <w:ind w:left="34" w:right="33"/>
              <w:cnfStyle w:val="100000000000" w:firstRow="1" w:lastRow="0" w:firstColumn="0" w:lastColumn="0" w:oddVBand="0" w:evenVBand="0" w:oddHBand="0" w:evenHBand="0" w:firstRowFirstColumn="0" w:firstRowLastColumn="0" w:lastRowFirstColumn="0" w:lastRowLastColumn="0"/>
              <w:rPr>
                <w:b w:val="0"/>
              </w:rPr>
            </w:pPr>
            <w:r w:rsidRPr="00D764DE">
              <w:t>MCV (</w:t>
            </w:r>
            <w:proofErr w:type="spellStart"/>
            <w:r w:rsidRPr="00D764DE">
              <w:t>fL</w:t>
            </w:r>
            <w:proofErr w:type="spellEnd"/>
            <w:r w:rsidRPr="00D764DE">
              <w:t>)</w:t>
            </w:r>
            <w:r w:rsidRPr="00D764DE">
              <w:rPr>
                <w:vertAlign w:val="superscript"/>
              </w:rPr>
              <w:t>2</w:t>
            </w:r>
          </w:p>
        </w:tc>
        <w:tc>
          <w:tcPr>
            <w:tcW w:w="2977" w:type="dxa"/>
          </w:tcPr>
          <w:p w:rsidR="00D764DE" w:rsidRPr="00D764DE" w:rsidRDefault="00D764DE" w:rsidP="005A11BF">
            <w:pPr>
              <w:ind w:left="34" w:right="34"/>
              <w:cnfStyle w:val="100000000000" w:firstRow="1" w:lastRow="0" w:firstColumn="0" w:lastColumn="0" w:oddVBand="0" w:evenVBand="0" w:oddHBand="0" w:evenHBand="0" w:firstRowFirstColumn="0" w:firstRowLastColumn="0" w:lastRowFirstColumn="0" w:lastRowLastColumn="0"/>
              <w:rPr>
                <w:b w:val="0"/>
              </w:rPr>
            </w:pPr>
            <w:r w:rsidRPr="00D764DE">
              <w:t>Eosinophils (%)</w:t>
            </w:r>
            <w:r w:rsidRPr="00D764DE">
              <w:rPr>
                <w:vertAlign w:val="superscript"/>
              </w:rPr>
              <w:t>3</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12.5</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66.0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6.0</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12.9</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69.0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1.8</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13.5</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83.0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1.1</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12.1</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73.0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2.0</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12.2</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80.0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4.6</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13.1</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83.0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3.8</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12.7</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82.0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5.5</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12.5</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66.0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6.3</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13.8</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96.0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5.4</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13.2</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83.0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6.6</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13.9</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85.0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5.2</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14.0</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78.0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8.6</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12.7</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88.0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1.9</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15.6</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96.0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5.9</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14.6</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87.0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5.0</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13.9</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84.0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15.2</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14.7</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94.0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2.1</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rPr>
            </w:pPr>
            <w:r w:rsidRPr="00D764DE">
              <w:rPr>
                <w:rFonts w:cs="Arial"/>
              </w:rPr>
              <w:t>14.3</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89.0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3.1</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12.1</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89.0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2.5</w:t>
            </w:r>
          </w:p>
        </w:tc>
      </w:tr>
      <w:tr w:rsidR="00D764DE" w:rsidTr="005426E4">
        <w:tc>
          <w:tcPr>
            <w:cnfStyle w:val="001000000000" w:firstRow="0" w:lastRow="0" w:firstColumn="1" w:lastColumn="0" w:oddVBand="0" w:evenVBand="0" w:oddHBand="0" w:evenHBand="0" w:firstRowFirstColumn="0" w:firstRowLastColumn="0" w:lastRowFirstColumn="0" w:lastRowLastColumn="0"/>
            <w:tcW w:w="1951" w:type="dxa"/>
          </w:tcPr>
          <w:p w:rsidR="00D764DE" w:rsidRPr="00D764DE" w:rsidRDefault="00D764DE" w:rsidP="005A11BF">
            <w:pPr>
              <w:ind w:left="0" w:right="34"/>
              <w:rPr>
                <w:rFonts w:cs="Arial"/>
                <w:bCs/>
              </w:rPr>
            </w:pPr>
            <w:r w:rsidRPr="00D764DE">
              <w:rPr>
                <w:rFonts w:cs="Arial"/>
                <w:bCs/>
              </w:rPr>
              <w:t>12.9</w:t>
            </w:r>
          </w:p>
        </w:tc>
        <w:tc>
          <w:tcPr>
            <w:tcW w:w="2126" w:type="dxa"/>
          </w:tcPr>
          <w:p w:rsidR="00D764DE" w:rsidRPr="00D764DE" w:rsidRDefault="00D764DE" w:rsidP="005A11BF">
            <w:pPr>
              <w:ind w:left="34" w:right="33"/>
              <w:cnfStyle w:val="000000000000" w:firstRow="0" w:lastRow="0" w:firstColumn="0" w:lastColumn="0" w:oddVBand="0" w:evenVBand="0" w:oddHBand="0" w:evenHBand="0" w:firstRowFirstColumn="0" w:firstRowLastColumn="0" w:lastRowFirstColumn="0" w:lastRowLastColumn="0"/>
              <w:rPr>
                <w:rFonts w:cs="Arial"/>
              </w:rPr>
            </w:pPr>
            <w:r w:rsidRPr="00D764DE">
              <w:rPr>
                <w:rFonts w:cs="Arial"/>
              </w:rPr>
              <w:t>84.0</w:t>
            </w:r>
          </w:p>
        </w:tc>
        <w:tc>
          <w:tcPr>
            <w:tcW w:w="2977" w:type="dxa"/>
          </w:tcPr>
          <w:p w:rsidR="00D764DE" w:rsidRPr="00D764DE" w:rsidRDefault="00D764DE" w:rsidP="005A11BF">
            <w:pPr>
              <w:ind w:left="34" w:right="34"/>
              <w:cnfStyle w:val="000000000000" w:firstRow="0" w:lastRow="0" w:firstColumn="0" w:lastColumn="0" w:oddVBand="0" w:evenVBand="0" w:oddHBand="0" w:evenHBand="0" w:firstRowFirstColumn="0" w:firstRowLastColumn="0" w:lastRowFirstColumn="0" w:lastRowLastColumn="0"/>
              <w:rPr>
                <w:rFonts w:cs="Arial"/>
                <w:bCs/>
              </w:rPr>
            </w:pPr>
            <w:r w:rsidRPr="00D764DE">
              <w:rPr>
                <w:rFonts w:cs="Arial"/>
                <w:bCs/>
              </w:rPr>
              <w:t>6.2</w:t>
            </w:r>
          </w:p>
        </w:tc>
      </w:tr>
    </w:tbl>
    <w:p w:rsidR="00D764DE" w:rsidRDefault="00D764DE" w:rsidP="005A11BF">
      <w:pPr>
        <w:pStyle w:val="TableDescription"/>
      </w:pPr>
      <w:r w:rsidRPr="00784D46">
        <w:rPr>
          <w:vertAlign w:val="superscript"/>
        </w:rPr>
        <w:t>1</w:t>
      </w:r>
      <w:r>
        <w:t xml:space="preserve"> Reference range 13-17. </w:t>
      </w:r>
      <w:r w:rsidRPr="00784D46">
        <w:rPr>
          <w:vertAlign w:val="superscript"/>
        </w:rPr>
        <w:t>2</w:t>
      </w:r>
      <w:r>
        <w:t xml:space="preserve"> Reference </w:t>
      </w:r>
      <w:proofErr w:type="gramStart"/>
      <w:r>
        <w:t>range</w:t>
      </w:r>
      <w:proofErr w:type="gramEnd"/>
      <w:r>
        <w:t xml:space="preserve"> 80-100. </w:t>
      </w:r>
      <w:r w:rsidRPr="009D3460">
        <w:rPr>
          <w:vertAlign w:val="superscript"/>
        </w:rPr>
        <w:t>3</w:t>
      </w:r>
      <w:r>
        <w:t xml:space="preserve"> Reference </w:t>
      </w:r>
      <w:proofErr w:type="gramStart"/>
      <w:r>
        <w:t>range</w:t>
      </w:r>
      <w:proofErr w:type="gramEnd"/>
      <w:r>
        <w:t xml:space="preserve"> 0-5</w:t>
      </w:r>
    </w:p>
    <w:p w:rsidR="006D7BB6" w:rsidRDefault="00D764DE" w:rsidP="005A11BF">
      <w:pPr>
        <w:pStyle w:val="Heading3"/>
      </w:pPr>
      <w:bookmarkStart w:id="129" w:name="_Toc241374326"/>
      <w:bookmarkStart w:id="130" w:name="_Ref272333048"/>
      <w:bookmarkStart w:id="131" w:name="_Toc272414679"/>
      <w:bookmarkStart w:id="132" w:name="_Toc290846317"/>
      <w:bookmarkStart w:id="133" w:name="_Toc361767663"/>
      <w:bookmarkStart w:id="134" w:name="_Toc392665415"/>
      <w:r>
        <w:lastRenderedPageBreak/>
        <w:t>Post</w:t>
      </w:r>
      <w:r w:rsidR="006D7BB6">
        <w:t>marketing experience</w:t>
      </w:r>
      <w:bookmarkEnd w:id="129"/>
      <w:bookmarkEnd w:id="130"/>
      <w:bookmarkEnd w:id="131"/>
      <w:bookmarkEnd w:id="132"/>
      <w:bookmarkEnd w:id="133"/>
      <w:bookmarkEnd w:id="134"/>
    </w:p>
    <w:p w:rsidR="006D7BB6" w:rsidRDefault="006D7BB6" w:rsidP="005A11BF">
      <w:r>
        <w:t>No data.</w:t>
      </w:r>
    </w:p>
    <w:p w:rsidR="006D7BB6" w:rsidRDefault="006D7BB6" w:rsidP="005A11BF">
      <w:pPr>
        <w:pStyle w:val="Heading3"/>
      </w:pPr>
      <w:bookmarkStart w:id="135" w:name="_Toc241374328"/>
      <w:bookmarkStart w:id="136" w:name="_Toc272414691"/>
      <w:bookmarkStart w:id="137" w:name="_Toc290846329"/>
      <w:bookmarkStart w:id="138" w:name="_Ref360987070"/>
      <w:bookmarkStart w:id="139" w:name="_Toc361767664"/>
      <w:bookmarkStart w:id="140" w:name="_Toc392665416"/>
      <w:r>
        <w:t>Evaluator’s overall conclusions on clinical safety</w:t>
      </w:r>
      <w:bookmarkEnd w:id="135"/>
      <w:bookmarkEnd w:id="136"/>
      <w:bookmarkEnd w:id="137"/>
      <w:bookmarkEnd w:id="138"/>
      <w:bookmarkEnd w:id="139"/>
      <w:bookmarkEnd w:id="140"/>
    </w:p>
    <w:p w:rsidR="006D7BB6" w:rsidRDefault="006D7BB6" w:rsidP="005A11BF">
      <w:r>
        <w:t>In the absence of valid bioequivalence data, all the products now proposed for registration carry risks of dose error if they are used as substitutes for products currently on the market.</w:t>
      </w:r>
    </w:p>
    <w:p w:rsidR="006D7BB6" w:rsidRDefault="006D7BB6" w:rsidP="005A11BF">
      <w:pPr>
        <w:pStyle w:val="Heading4"/>
      </w:pPr>
      <w:bookmarkStart w:id="141" w:name="_Toc361767665"/>
      <w:r>
        <w:t xml:space="preserve">The pre-study laboratory </w:t>
      </w:r>
      <w:r w:rsidRPr="005A11BF">
        <w:t>monitoring</w:t>
      </w:r>
      <w:r>
        <w:t xml:space="preserve"> data in Study ARL/11/196</w:t>
      </w:r>
      <w:bookmarkEnd w:id="141"/>
    </w:p>
    <w:p w:rsidR="006D7BB6" w:rsidRDefault="006D7BB6" w:rsidP="005A11BF">
      <w:r>
        <w:t xml:space="preserve">These deserve mention. Perusal of the listing of laboratory measurements performed at screening shows that a high proportion of subjects appeared to be unhealthy. Of subjects 1-20 (all of whom were male), 9 had Hb below the reference range, and of these, 3 had MCV below the reference range. Of subjects 1-20, 10 had eosinophil % above the reference range (15.2% in the worst case). Enrolment of these subjects would appear to be quite unsatisfactory from good clinical practice and clinical trial regulation point of view given that the </w:t>
      </w:r>
      <w:r w:rsidRPr="00BE7159">
        <w:rPr>
          <w:i/>
        </w:rPr>
        <w:t>Protocol</w:t>
      </w:r>
      <w:r>
        <w:t xml:space="preserve"> (at section 1.5) stipulated enrolment </w:t>
      </w:r>
      <w:proofErr w:type="gramStart"/>
      <w:r>
        <w:t>of  "</w:t>
      </w:r>
      <w:proofErr w:type="gramEnd"/>
      <w:r>
        <w:t>normal, healthy ... subjec</w:t>
      </w:r>
      <w:r w:rsidR="005A11BF">
        <w:t>ts".</w:t>
      </w:r>
    </w:p>
    <w:p w:rsidR="00C22678" w:rsidRPr="00586F98" w:rsidRDefault="006D7BB6" w:rsidP="005A11BF">
      <w:pPr>
        <w:rPr>
          <w:lang w:eastAsia="ja-JP"/>
        </w:rPr>
      </w:pPr>
      <w:r>
        <w:t xml:space="preserve">In addition, it is not clear how the laboratory abnormalities observed at screening in </w:t>
      </w:r>
      <w:r w:rsidR="00502A89">
        <w:t xml:space="preserve">[information redacted] </w:t>
      </w:r>
      <w:r>
        <w:t xml:space="preserve">(Hb and MCV below reference range) and </w:t>
      </w:r>
      <w:r w:rsidR="00502A89">
        <w:t>[information redacted]</w:t>
      </w:r>
      <w:r>
        <w:t xml:space="preserve"> (eosinophils 15.2%) came to be classified as </w:t>
      </w:r>
      <w:r w:rsidRPr="00BE7159">
        <w:rPr>
          <w:i/>
        </w:rPr>
        <w:t>Not Clinically Significant</w:t>
      </w:r>
      <w:r>
        <w:t>.</w:t>
      </w:r>
    </w:p>
    <w:p w:rsidR="00C22678" w:rsidRDefault="00C22678" w:rsidP="00881034">
      <w:pPr>
        <w:pStyle w:val="Heading2"/>
      </w:pPr>
      <w:bookmarkStart w:id="142" w:name="_Toc392665417"/>
      <w:r>
        <w:t xml:space="preserve">First round benefit-risk </w:t>
      </w:r>
      <w:r w:rsidRPr="00881034">
        <w:t>assessment</w:t>
      </w:r>
      <w:bookmarkEnd w:id="142"/>
    </w:p>
    <w:p w:rsidR="006D7BB6" w:rsidRDefault="006D7BB6" w:rsidP="00881034">
      <w:pPr>
        <w:pStyle w:val="Heading3"/>
      </w:pPr>
      <w:bookmarkStart w:id="143" w:name="_Toc236802592"/>
      <w:bookmarkStart w:id="144" w:name="_Toc241374331"/>
      <w:bookmarkStart w:id="145" w:name="_Ref272160836"/>
      <w:bookmarkStart w:id="146" w:name="_Toc272414693"/>
      <w:bookmarkStart w:id="147" w:name="_Toc290846331"/>
      <w:bookmarkStart w:id="148" w:name="_Toc361767667"/>
      <w:bookmarkStart w:id="149" w:name="_Toc392665418"/>
      <w:r>
        <w:t xml:space="preserve">First round assessment of </w:t>
      </w:r>
      <w:r w:rsidRPr="00881034">
        <w:t>benefits</w:t>
      </w:r>
      <w:bookmarkEnd w:id="143"/>
      <w:bookmarkEnd w:id="144"/>
      <w:bookmarkEnd w:id="145"/>
      <w:bookmarkEnd w:id="146"/>
      <w:bookmarkEnd w:id="147"/>
      <w:bookmarkEnd w:id="148"/>
      <w:bookmarkEnd w:id="149"/>
    </w:p>
    <w:p w:rsidR="006D7BB6" w:rsidRDefault="006D7BB6" w:rsidP="00881034">
      <w:r>
        <w:t xml:space="preserve">The proposed scored 25 </w:t>
      </w:r>
      <w:r w:rsidR="00502A89">
        <w:t>µ</w:t>
      </w:r>
      <w:r>
        <w:t xml:space="preserve">g strength fills a small unmet need. The proposed strengths 88, 112 and 137 </w:t>
      </w:r>
      <w:r w:rsidR="00502A89">
        <w:t>µ</w:t>
      </w:r>
      <w:r>
        <w:t xml:space="preserve">g offer no practical benefit beyond other proposed strengths. The additional convenience offered by the proposed 175 </w:t>
      </w:r>
      <w:r w:rsidR="00502A89">
        <w:t>µ</w:t>
      </w:r>
      <w:r>
        <w:t>g strength would be minor.</w:t>
      </w:r>
    </w:p>
    <w:p w:rsidR="006D7BB6" w:rsidRDefault="006D7BB6" w:rsidP="00881034">
      <w:pPr>
        <w:pStyle w:val="Heading3"/>
      </w:pPr>
      <w:bookmarkStart w:id="150" w:name="_Toc236802596"/>
      <w:bookmarkStart w:id="151" w:name="_Toc241374334"/>
      <w:bookmarkStart w:id="152" w:name="_Ref272160964"/>
      <w:bookmarkStart w:id="153" w:name="_Toc272414694"/>
      <w:bookmarkStart w:id="154" w:name="_Toc290846332"/>
      <w:bookmarkStart w:id="155" w:name="_Toc361767668"/>
      <w:bookmarkStart w:id="156" w:name="_Toc392665419"/>
      <w:r>
        <w:t>First round assessment of risks</w:t>
      </w:r>
      <w:bookmarkEnd w:id="150"/>
      <w:bookmarkEnd w:id="151"/>
      <w:bookmarkEnd w:id="152"/>
      <w:bookmarkEnd w:id="153"/>
      <w:bookmarkEnd w:id="154"/>
      <w:bookmarkEnd w:id="155"/>
      <w:bookmarkEnd w:id="156"/>
    </w:p>
    <w:p w:rsidR="006D7BB6" w:rsidRDefault="006D7BB6" w:rsidP="00881034">
      <w:r>
        <w:t>All the proposed products carry the risk of dose error.</w:t>
      </w:r>
    </w:p>
    <w:p w:rsidR="006D7BB6" w:rsidRDefault="006D7BB6" w:rsidP="00881034">
      <w:r>
        <w:t xml:space="preserve">The proposed strengths 88, 112, 137 and 175 </w:t>
      </w:r>
      <w:r w:rsidR="00502A89">
        <w:t>µ</w:t>
      </w:r>
      <w:r>
        <w:t>g would add confusion to the range of available dosages.</w:t>
      </w:r>
    </w:p>
    <w:p w:rsidR="006D7BB6" w:rsidRDefault="006D7BB6" w:rsidP="00881034">
      <w:pPr>
        <w:pStyle w:val="Heading3"/>
      </w:pPr>
      <w:bookmarkStart w:id="157" w:name="_Toc236802597"/>
      <w:bookmarkStart w:id="158" w:name="_Toc241374335"/>
      <w:bookmarkStart w:id="159" w:name="_Toc272414695"/>
      <w:bookmarkStart w:id="160" w:name="_Toc290846333"/>
      <w:bookmarkStart w:id="161" w:name="_Toc361767669"/>
      <w:bookmarkStart w:id="162" w:name="_Toc392665420"/>
      <w:r>
        <w:t xml:space="preserve">First round assessment of </w:t>
      </w:r>
      <w:r w:rsidRPr="00881034">
        <w:t>benefit</w:t>
      </w:r>
      <w:r>
        <w:t>-risk balance</w:t>
      </w:r>
      <w:bookmarkEnd w:id="157"/>
      <w:bookmarkEnd w:id="158"/>
      <w:bookmarkEnd w:id="159"/>
      <w:bookmarkEnd w:id="160"/>
      <w:bookmarkEnd w:id="161"/>
      <w:bookmarkEnd w:id="162"/>
    </w:p>
    <w:p w:rsidR="00C22678" w:rsidRPr="00586F98" w:rsidRDefault="006D7BB6" w:rsidP="00881034">
      <w:pPr>
        <w:rPr>
          <w:lang w:eastAsia="ja-JP"/>
        </w:rPr>
      </w:pPr>
      <w:r>
        <w:t>The benefit-risk balance of all the products which are subjects of this application, given the proposed usage, is unfavourable.</w:t>
      </w:r>
    </w:p>
    <w:p w:rsidR="00C22678" w:rsidRDefault="00C22678" w:rsidP="00881034">
      <w:pPr>
        <w:pStyle w:val="Heading2"/>
      </w:pPr>
      <w:bookmarkStart w:id="163" w:name="_Toc392665421"/>
      <w:r>
        <w:t xml:space="preserve">First round </w:t>
      </w:r>
      <w:r w:rsidRPr="00881034">
        <w:t>recommendation</w:t>
      </w:r>
      <w:r>
        <w:t xml:space="preserve"> regarding authorisation</w:t>
      </w:r>
      <w:bookmarkEnd w:id="163"/>
    </w:p>
    <w:p w:rsidR="00C22678" w:rsidRDefault="006D7BB6" w:rsidP="00881034">
      <w:pPr>
        <w:rPr>
          <w:lang w:eastAsia="ja-JP"/>
        </w:rPr>
      </w:pPr>
      <w:r w:rsidRPr="006D7BB6">
        <w:rPr>
          <w:lang w:eastAsia="ja-JP"/>
        </w:rPr>
        <w:t>Approval of the proposed products should be refused.</w:t>
      </w:r>
    </w:p>
    <w:p w:rsidR="00014424" w:rsidRDefault="00014424" w:rsidP="00881034">
      <w:pPr>
        <w:pStyle w:val="Heading2"/>
      </w:pPr>
      <w:bookmarkStart w:id="164" w:name="_Toc356306157"/>
      <w:bookmarkStart w:id="165" w:name="_Toc392665422"/>
      <w:r>
        <w:t>Clinical questions</w:t>
      </w:r>
      <w:bookmarkEnd w:id="164"/>
      <w:bookmarkEnd w:id="165"/>
    </w:p>
    <w:p w:rsidR="00014424" w:rsidRPr="00AE10FF" w:rsidRDefault="00014424" w:rsidP="00881034">
      <w:pPr>
        <w:pStyle w:val="Numberbullet0"/>
      </w:pPr>
      <w:r w:rsidRPr="00AE10FF">
        <w:t xml:space="preserve">Could the sponsor comment on whether </w:t>
      </w:r>
      <w:r w:rsidRPr="00881034">
        <w:t>the</w:t>
      </w:r>
      <w:r w:rsidRPr="00AE10FF">
        <w:t xml:space="preserve"> pharmacokinetics of </w:t>
      </w:r>
      <w:proofErr w:type="spellStart"/>
      <w:r w:rsidRPr="00AE10FF">
        <w:t>Eltroxin</w:t>
      </w:r>
      <w:proofErr w:type="spellEnd"/>
      <w:r w:rsidRPr="00AE10FF">
        <w:t xml:space="preserve"> are linear with reference to the selection of 600</w:t>
      </w:r>
      <w:r>
        <w:t xml:space="preserve"> µ</w:t>
      </w:r>
      <w:r w:rsidRPr="00AE10FF">
        <w:t xml:space="preserve">g dose selected for the bioavailability study (ARL/11/201)? </w:t>
      </w:r>
      <w:r>
        <w:t>S</w:t>
      </w:r>
      <w:r w:rsidRPr="00AE10FF">
        <w:t>ee EMA Guideline on the Investigation of Bioequivalence. CPMP/EWP/QWP/1401/98 Rev.1/Corr. P12</w:t>
      </w:r>
      <w:r>
        <w:t>.</w:t>
      </w:r>
    </w:p>
    <w:p w:rsidR="00014424" w:rsidRPr="00AE10FF" w:rsidRDefault="00014424" w:rsidP="00881034">
      <w:pPr>
        <w:pStyle w:val="Numberbullet0"/>
      </w:pPr>
      <w:r w:rsidRPr="00AE10FF">
        <w:lastRenderedPageBreak/>
        <w:t>Please comment on the clinical significance of 90% CIs for AUC</w:t>
      </w:r>
      <w:r w:rsidRPr="00AE10FF">
        <w:rPr>
          <w:vertAlign w:val="subscript"/>
        </w:rPr>
        <w:t>0-t</w:t>
      </w:r>
      <w:r w:rsidRPr="00AE10FF">
        <w:t xml:space="preserve"> and C</w:t>
      </w:r>
      <w:r w:rsidRPr="00AE10FF">
        <w:rPr>
          <w:vertAlign w:val="subscript"/>
        </w:rPr>
        <w:t>max</w:t>
      </w:r>
      <w:r w:rsidRPr="00AE10FF">
        <w:t xml:space="preserve"> being completely on the lower side of 100% in AR/11/201; that is, AUC</w:t>
      </w:r>
      <w:r w:rsidRPr="00AE10FF">
        <w:rPr>
          <w:vertAlign w:val="subscript"/>
        </w:rPr>
        <w:t>0-t</w:t>
      </w:r>
      <w:r w:rsidRPr="00AE10FF">
        <w:t>: 89.1 (84.7, 93.7); C</w:t>
      </w:r>
      <w:r w:rsidRPr="00AE10FF">
        <w:rPr>
          <w:vertAlign w:val="subscript"/>
        </w:rPr>
        <w:t>max</w:t>
      </w:r>
      <w:r w:rsidRPr="00AE10FF">
        <w:t>: 86.2 (82.1, 90.6).</w:t>
      </w:r>
    </w:p>
    <w:p w:rsidR="00014424" w:rsidRPr="00AE10FF" w:rsidRDefault="00014424" w:rsidP="00881034">
      <w:pPr>
        <w:pStyle w:val="Numberbullet0"/>
      </w:pPr>
      <w:r w:rsidRPr="00AE10FF">
        <w:t xml:space="preserve">Could the </w:t>
      </w:r>
      <w:r w:rsidRPr="00881034">
        <w:t>sponsor</w:t>
      </w:r>
      <w:r w:rsidRPr="00AE10FF">
        <w:t xml:space="preserve"> confirm that the 25</w:t>
      </w:r>
      <w:r>
        <w:t xml:space="preserve"> µ</w:t>
      </w:r>
      <w:r w:rsidRPr="00AE10FF">
        <w:t>g tablet is scored and can be broken equally in two</w:t>
      </w:r>
      <w:r>
        <w:t>?</w:t>
      </w:r>
    </w:p>
    <w:p w:rsidR="00014424" w:rsidRPr="00AE10FF" w:rsidRDefault="00014424" w:rsidP="00881034">
      <w:pPr>
        <w:pStyle w:val="Numberbullet0"/>
      </w:pPr>
      <w:r w:rsidRPr="00AE10FF">
        <w:t xml:space="preserve">Could the </w:t>
      </w:r>
      <w:r w:rsidRPr="00881034">
        <w:t>sponsor</w:t>
      </w:r>
      <w:r w:rsidRPr="00AE10FF">
        <w:t xml:space="preserve"> outline the clinical importance of the additional strengths compared to the </w:t>
      </w:r>
      <w:proofErr w:type="gramStart"/>
      <w:r w:rsidRPr="00AE10FF">
        <w:t>innovator.</w:t>
      </w:r>
      <w:proofErr w:type="gramEnd"/>
    </w:p>
    <w:p w:rsidR="00C618F7" w:rsidRDefault="00C618F7" w:rsidP="00BC50E1">
      <w:pPr>
        <w:pStyle w:val="Heading2"/>
      </w:pPr>
      <w:bookmarkStart w:id="166" w:name="_Toc392665423"/>
      <w:r>
        <w:t xml:space="preserve">Second </w:t>
      </w:r>
      <w:r w:rsidRPr="00BC50E1">
        <w:t>round</w:t>
      </w:r>
      <w:r>
        <w:t xml:space="preserve"> evaluation of clinical data submitted in response to questions</w:t>
      </w:r>
      <w:bookmarkEnd w:id="166"/>
    </w:p>
    <w:p w:rsidR="006D7BB6" w:rsidRPr="00774F88" w:rsidRDefault="006D7BB6" w:rsidP="00BC50E1">
      <w:pPr>
        <w:pStyle w:val="Heading3"/>
      </w:pPr>
      <w:bookmarkStart w:id="167" w:name="_Toc392665424"/>
      <w:r w:rsidRPr="00774F88">
        <w:t xml:space="preserve">Selected </w:t>
      </w:r>
      <w:r w:rsidR="000D7617">
        <w:t>b</w:t>
      </w:r>
      <w:r w:rsidRPr="00774F88">
        <w:t>ackground (of relevance to the evaluation of responses)</w:t>
      </w:r>
      <w:bookmarkEnd w:id="167"/>
    </w:p>
    <w:p w:rsidR="006D7BB6" w:rsidRPr="00774F88" w:rsidRDefault="006D7BB6" w:rsidP="00BC50E1">
      <w:r w:rsidRPr="00774F88">
        <w:t xml:space="preserve">One difference between </w:t>
      </w:r>
      <w:proofErr w:type="spellStart"/>
      <w:r w:rsidR="00502A89" w:rsidRPr="00774F88">
        <w:t>Eltroxin</w:t>
      </w:r>
      <w:proofErr w:type="spellEnd"/>
      <w:r w:rsidR="00502A89" w:rsidRPr="00774F88">
        <w:t xml:space="preserve"> </w:t>
      </w:r>
      <w:r w:rsidRPr="00774F88">
        <w:t>and the reference product (</w:t>
      </w:r>
      <w:proofErr w:type="spellStart"/>
      <w:r w:rsidR="00502A89" w:rsidRPr="00774F88">
        <w:t>Oroxine</w:t>
      </w:r>
      <w:proofErr w:type="spellEnd"/>
      <w:r w:rsidR="00502A89" w:rsidRPr="00774F88">
        <w:t>/</w:t>
      </w:r>
      <w:proofErr w:type="spellStart"/>
      <w:r w:rsidR="00502A89" w:rsidRPr="00774F88">
        <w:t>Eutrosig</w:t>
      </w:r>
      <w:proofErr w:type="spellEnd"/>
      <w:r w:rsidRPr="00774F88">
        <w:t xml:space="preserve">) is that </w:t>
      </w:r>
      <w:proofErr w:type="spellStart"/>
      <w:r w:rsidR="00502A89" w:rsidRPr="00774F88">
        <w:t>Eltroxin</w:t>
      </w:r>
      <w:proofErr w:type="spellEnd"/>
      <w:r w:rsidR="00502A89" w:rsidRPr="00774F88">
        <w:t xml:space="preserve"> </w:t>
      </w:r>
      <w:r w:rsidRPr="00774F88">
        <w:t>does not need to be refrigerated (although it should be stored below 25</w:t>
      </w:r>
      <w:r w:rsidRPr="00774F88">
        <w:rPr>
          <w:vertAlign w:val="superscript"/>
        </w:rPr>
        <w:t>o</w:t>
      </w:r>
      <w:r w:rsidR="00BC50E1">
        <w:t>C).</w:t>
      </w:r>
    </w:p>
    <w:p w:rsidR="006D7BB6" w:rsidRPr="00774F88" w:rsidRDefault="006D7BB6" w:rsidP="00BC50E1">
      <w:r w:rsidRPr="00774F88">
        <w:t>Levothyroxine has been formulated into tablets to treat thyroid disease for more than 50 years. It is known to be difficult to manufacture; it can be sensitive to seemingly minor changes in processing; and it can be prone to instability once formulated. Historically, these known problems (and clinical reports of variations in effectiveness) have led to concerns about variations in effectiveness and stability; within and across branded products, even befor</w:t>
      </w:r>
      <w:r w:rsidR="00BC50E1">
        <w:t>e the introduction of generics.</w:t>
      </w:r>
    </w:p>
    <w:p w:rsidR="006D7BB6" w:rsidRPr="00774F88" w:rsidRDefault="006D7BB6" w:rsidP="00BC50E1">
      <w:r w:rsidRPr="00774F88">
        <w:t xml:space="preserve">Individual patients typically have their dose of thyroxine titrated according to </w:t>
      </w:r>
      <w:r w:rsidR="00502A89" w:rsidRPr="00502A89">
        <w:t xml:space="preserve">thyroid stimulating hormone </w:t>
      </w:r>
      <w:r w:rsidR="00502A89">
        <w:t>(</w:t>
      </w:r>
      <w:r w:rsidRPr="00774F88">
        <w:t>TSH</w:t>
      </w:r>
      <w:r w:rsidR="00502A89">
        <w:t>)</w:t>
      </w:r>
      <w:r w:rsidRPr="00774F88">
        <w:t xml:space="preserve"> levels.</w:t>
      </w:r>
    </w:p>
    <w:p w:rsidR="006D7BB6" w:rsidRPr="00774F88" w:rsidRDefault="00502A89" w:rsidP="00BC50E1">
      <w:proofErr w:type="spellStart"/>
      <w:r w:rsidRPr="00774F88">
        <w:t>Eltroxin</w:t>
      </w:r>
      <w:proofErr w:type="spellEnd"/>
      <w:r w:rsidRPr="00774F88">
        <w:t xml:space="preserve"> </w:t>
      </w:r>
      <w:r w:rsidR="006D7BB6" w:rsidRPr="00774F88">
        <w:t>is the first generic thyroxine tablet to be submitted for registration in Australia; however, thyroxine is a well-established drug and the concept of a generic in these circumstances is not straight forward. For example, several levothyroxine products were on the market in the US and Europe before 1982 and these products were and are used interchangeably without the support of bioequivalence data required b</w:t>
      </w:r>
      <w:r w:rsidR="00BC50E1">
        <w:t>y today’s regulatory standards.</w:t>
      </w:r>
    </w:p>
    <w:p w:rsidR="006D7BB6" w:rsidRPr="00774F88" w:rsidRDefault="006D7BB6" w:rsidP="00BC50E1">
      <w:r w:rsidRPr="00774F88">
        <w:t>Between 2000-2005 the FDA developed standards for satisfactorily establishing bioequivalence of a generic (</w:t>
      </w:r>
      <w:proofErr w:type="spellStart"/>
      <w:r w:rsidRPr="00774F88">
        <w:t>levo</w:t>
      </w:r>
      <w:proofErr w:type="spellEnd"/>
      <w:proofErr w:type="gramStart"/>
      <w:r w:rsidRPr="00774F88">
        <w:t>)</w:t>
      </w:r>
      <w:proofErr w:type="spellStart"/>
      <w:r w:rsidRPr="00774F88">
        <w:t>thyroxine</w:t>
      </w:r>
      <w:proofErr w:type="spellEnd"/>
      <w:proofErr w:type="gramEnd"/>
      <w:r w:rsidRPr="00774F88">
        <w:t xml:space="preserve"> to a reference product:</w:t>
      </w:r>
    </w:p>
    <w:p w:rsidR="006D7BB6" w:rsidRPr="00774F88" w:rsidRDefault="006D7BB6" w:rsidP="00BC50E1">
      <w:pPr>
        <w:pStyle w:val="ListBullet"/>
      </w:pPr>
      <w:r w:rsidRPr="00774F88">
        <w:t>Assays of total thyroxine in tablets</w:t>
      </w:r>
    </w:p>
    <w:p w:rsidR="006D7BB6" w:rsidRPr="00774F88" w:rsidRDefault="006D7BB6" w:rsidP="00BC50E1">
      <w:pPr>
        <w:pStyle w:val="ListBullet"/>
      </w:pPr>
      <w:r w:rsidRPr="00BC50E1">
        <w:t>Studies</w:t>
      </w:r>
      <w:r w:rsidRPr="00774F88">
        <w:t xml:space="preserve"> of the speed of dissolution</w:t>
      </w:r>
    </w:p>
    <w:p w:rsidR="006D7BB6" w:rsidRPr="00774F88" w:rsidRDefault="006D7BB6" w:rsidP="00BC50E1">
      <w:pPr>
        <w:pStyle w:val="ListBullet"/>
      </w:pPr>
      <w:r w:rsidRPr="00BC50E1">
        <w:t>Bioequivalence</w:t>
      </w:r>
      <w:r w:rsidRPr="00774F88">
        <w:t xml:space="preserve"> studies using a supra-therapeutic dose of 600mcg</w:t>
      </w:r>
    </w:p>
    <w:p w:rsidR="006D7BB6" w:rsidRPr="00774F88" w:rsidRDefault="006D7BB6" w:rsidP="00BC50E1">
      <w:r w:rsidRPr="00774F88">
        <w:t>There has been continuing discussion in the medical literature about the methods used in the bioequivalence studies:</w:t>
      </w:r>
    </w:p>
    <w:p w:rsidR="006D7BB6" w:rsidRPr="00774F88" w:rsidRDefault="006D7BB6" w:rsidP="00BC50E1">
      <w:pPr>
        <w:pStyle w:val="ListBullet"/>
      </w:pPr>
      <w:proofErr w:type="gramStart"/>
      <w:r w:rsidRPr="00BC50E1">
        <w:t>whether</w:t>
      </w:r>
      <w:proofErr w:type="gramEnd"/>
      <w:r w:rsidRPr="00774F88">
        <w:t xml:space="preserve"> thyroxine is a narrow therapeutic index drug and consequently whether the acceptance limits for the 90% CI for the ratio of AUC (and C</w:t>
      </w:r>
      <w:r w:rsidRPr="00774F88">
        <w:rPr>
          <w:vertAlign w:val="subscript"/>
        </w:rPr>
        <w:t>max</w:t>
      </w:r>
      <w:r w:rsidRPr="00774F88">
        <w:t xml:space="preserve">) </w:t>
      </w:r>
      <w:r w:rsidR="00BC50E1">
        <w:t>should be 90%-111% or 80%-125%.</w:t>
      </w:r>
    </w:p>
    <w:p w:rsidR="006D7BB6" w:rsidRPr="00774F88" w:rsidRDefault="006D7BB6" w:rsidP="00BC50E1">
      <w:pPr>
        <w:pStyle w:val="ListBullet"/>
      </w:pPr>
      <w:proofErr w:type="gramStart"/>
      <w:r w:rsidRPr="00774F88">
        <w:t>whether</w:t>
      </w:r>
      <w:proofErr w:type="gramEnd"/>
      <w:r w:rsidRPr="00774F88">
        <w:t xml:space="preserve"> the total thyroxine levels in bioequivalence studies should be baseline corrected (some but not all FDA documentation recommends this).</w:t>
      </w:r>
    </w:p>
    <w:p w:rsidR="006D7BB6" w:rsidRPr="00774F88" w:rsidRDefault="006D7BB6" w:rsidP="00BC50E1">
      <w:r w:rsidRPr="00774F88">
        <w:t>Several generic thyroxine products have gained marketing approval in the United States; however, the Endocrine Society, The American Association of Clinical Endocrinologists and the American Thyroid Association have raised continuing concerns about the bioequivalence studies. They advise that patients should avoid changing the brand of levothyroxine and if the brand is changed, TSH levels should be checked within 6 weeks.</w:t>
      </w:r>
    </w:p>
    <w:p w:rsidR="006D7BB6" w:rsidRPr="00774F88" w:rsidRDefault="006D7BB6" w:rsidP="00BC50E1">
      <w:r w:rsidRPr="00774F88">
        <w:lastRenderedPageBreak/>
        <w:t xml:space="preserve">In Europe, the Commission on Human Medicines </w:t>
      </w:r>
      <w:r w:rsidR="00502A89">
        <w:t xml:space="preserve">(CHM) </w:t>
      </w:r>
      <w:r w:rsidRPr="00774F88">
        <w:t xml:space="preserve">made the following recommendation: </w:t>
      </w:r>
      <w:r w:rsidRPr="00BC50E1">
        <w:rPr>
          <w:i/>
        </w:rPr>
        <w:t>“Acknowledging standard prescribing practice and that this drug product has been prescribed on a generic basis for many years, brand or named supplier prescribing is not considered necessary at this stage, but should be kept under review.”</w:t>
      </w:r>
      <w:r w:rsidRPr="00774F88">
        <w:t xml:space="preserve"> This is in line with the view of the FDA.</w:t>
      </w:r>
    </w:p>
    <w:p w:rsidR="006D7BB6" w:rsidRPr="00774F88" w:rsidRDefault="006D7BB6" w:rsidP="00BC50E1">
      <w:r w:rsidRPr="00774F88">
        <w:t xml:space="preserve">CHM also made the following recommendation: </w:t>
      </w:r>
      <w:r w:rsidRPr="00BC50E1">
        <w:rPr>
          <w:i/>
        </w:rPr>
        <w:t>“Whilst recognising the difficulties in establishing bioequivalence for levothyroxine as an endogenous substance, the CHM consider that bioequivalence studies in line with the FDA guidelines are of value in providing reassurance of bioequivalence.”</w:t>
      </w:r>
    </w:p>
    <w:p w:rsidR="006D7BB6" w:rsidRPr="00774F88" w:rsidRDefault="006D7BB6" w:rsidP="00BC50E1">
      <w:r w:rsidRPr="00774F88">
        <w:t xml:space="preserve">In the United Kingdom (in the 5 years to 2012), the </w:t>
      </w:r>
      <w:r w:rsidR="00502A89">
        <w:t>M</w:t>
      </w:r>
      <w:r w:rsidR="000D7617">
        <w:t>edicines and H</w:t>
      </w:r>
      <w:r w:rsidR="00502A89">
        <w:t>ealthcare Products Regulatory Agency (</w:t>
      </w:r>
      <w:r w:rsidRPr="00774F88">
        <w:t>MHRA</w:t>
      </w:r>
      <w:r w:rsidR="00502A89">
        <w:t>)</w:t>
      </w:r>
      <w:r w:rsidRPr="00774F88">
        <w:t xml:space="preserve"> advised of an increase in the number of spontaneous reports of inconsistencies in effectiveness of different makes of levothyroxine products; and between differe</w:t>
      </w:r>
      <w:r w:rsidR="00BC50E1">
        <w:t>nt batches of the same product.</w:t>
      </w:r>
    </w:p>
    <w:p w:rsidR="006D7BB6" w:rsidRPr="00774F88" w:rsidRDefault="006D7BB6" w:rsidP="00BC50E1">
      <w:r w:rsidRPr="00774F88">
        <w:t xml:space="preserve">In 2007, the </w:t>
      </w:r>
      <w:r w:rsidR="000D7617" w:rsidRPr="000D7617">
        <w:t xml:space="preserve">British Pharmacopoeia </w:t>
      </w:r>
      <w:r w:rsidR="000D7617">
        <w:t>(</w:t>
      </w:r>
      <w:r w:rsidRPr="00774F88">
        <w:t>BP</w:t>
      </w:r>
      <w:r w:rsidR="000D7617">
        <w:t>)</w:t>
      </w:r>
      <w:r w:rsidRPr="00774F88">
        <w:t xml:space="preserve"> Commission tightened the control limits for assay within the BP Monograph for Levothyroxine tablets to 90% to 105% over shelf life. These more stringent controls were intended to balance the need to allow some degradation of thyroxine during shelf-life with tighter assay limits to reduce potential variability between products and batches. In a similar move in 2007, the FDA tightened potency specificat</w:t>
      </w:r>
      <w:r w:rsidR="00BC50E1">
        <w:t>ions from 90%-110% to 95%-105%.</w:t>
      </w:r>
    </w:p>
    <w:p w:rsidR="006D7BB6" w:rsidRPr="00774F88" w:rsidRDefault="006D7BB6" w:rsidP="00BC50E1">
      <w:pPr>
        <w:pStyle w:val="Heading3"/>
      </w:pPr>
      <w:bookmarkStart w:id="168" w:name="_Toc392665425"/>
      <w:r w:rsidRPr="00774F88">
        <w:t>Summary of clinical evaluation</w:t>
      </w:r>
      <w:bookmarkEnd w:id="168"/>
    </w:p>
    <w:p w:rsidR="006D7BB6" w:rsidRPr="00774F88" w:rsidRDefault="006D7BB6" w:rsidP="00BC50E1">
      <w:pPr>
        <w:rPr>
          <w:lang w:eastAsia="en-AU"/>
        </w:rPr>
      </w:pPr>
      <w:r w:rsidRPr="00774F88">
        <w:rPr>
          <w:lang w:eastAsia="en-AU"/>
        </w:rPr>
        <w:t>All of the sponsor’s responses are accepted, except:</w:t>
      </w:r>
    </w:p>
    <w:p w:rsidR="006D7BB6" w:rsidRPr="00774F88" w:rsidRDefault="006D7BB6" w:rsidP="00BC50E1">
      <w:pPr>
        <w:pStyle w:val="ListBullet"/>
      </w:pPr>
      <w:r w:rsidRPr="00774F88">
        <w:t xml:space="preserve">The sponsor is asked to provide baseline </w:t>
      </w:r>
      <w:r w:rsidRPr="00BC50E1">
        <w:t>corrected</w:t>
      </w:r>
      <w:r w:rsidRPr="00774F88">
        <w:t xml:space="preserve"> results for the ratio of </w:t>
      </w:r>
      <w:proofErr w:type="spellStart"/>
      <w:r w:rsidR="000D7617" w:rsidRPr="00774F88">
        <w:t>Eltroxin</w:t>
      </w:r>
      <w:proofErr w:type="spellEnd"/>
      <w:r w:rsidR="000D7617" w:rsidRPr="00774F88">
        <w:t xml:space="preserve"> </w:t>
      </w:r>
      <w:r w:rsidRPr="00774F88">
        <w:t>to the reference product for AUC</w:t>
      </w:r>
      <w:r w:rsidRPr="00774F88">
        <w:rPr>
          <w:vertAlign w:val="subscript"/>
        </w:rPr>
        <w:t>0-48hrs</w:t>
      </w:r>
      <w:r w:rsidRPr="00774F88">
        <w:t xml:space="preserve"> and </w:t>
      </w:r>
      <w:proofErr w:type="spellStart"/>
      <w:r w:rsidRPr="00774F88">
        <w:t>C</w:t>
      </w:r>
      <w:r w:rsidRPr="00774F88">
        <w:rPr>
          <w:vertAlign w:val="subscript"/>
        </w:rPr>
        <w:t>max</w:t>
      </w:r>
      <w:proofErr w:type="spellEnd"/>
      <w:r w:rsidR="00BC50E1">
        <w:t>.</w:t>
      </w:r>
    </w:p>
    <w:p w:rsidR="006D7BB6" w:rsidRPr="00774F88" w:rsidRDefault="006D7BB6" w:rsidP="00BC50E1">
      <w:pPr>
        <w:pStyle w:val="ListBullet"/>
      </w:pPr>
      <w:r w:rsidRPr="00774F88">
        <w:t xml:space="preserve">The sponsor is asked to comment on </w:t>
      </w:r>
      <w:r w:rsidRPr="00BC50E1">
        <w:t>whether</w:t>
      </w:r>
      <w:r w:rsidRPr="00774F88">
        <w:t xml:space="preserve"> </w:t>
      </w:r>
      <w:proofErr w:type="spellStart"/>
      <w:r w:rsidRPr="00774F88">
        <w:t>thyroxine</w:t>
      </w:r>
      <w:proofErr w:type="spellEnd"/>
      <w:r w:rsidRPr="00774F88">
        <w:t xml:space="preserve"> is a narrow therapeutic index drug.</w:t>
      </w:r>
    </w:p>
    <w:p w:rsidR="006D7BB6" w:rsidRPr="00774F88" w:rsidRDefault="006D7BB6" w:rsidP="00BC50E1">
      <w:r w:rsidRPr="00774F88">
        <w:t>The regulatory decisions, at this preliminary stage and pending further advice, are around:</w:t>
      </w:r>
    </w:p>
    <w:p w:rsidR="006D7BB6" w:rsidRPr="00774F88" w:rsidRDefault="006D7BB6" w:rsidP="00BC50E1">
      <w:pPr>
        <w:pStyle w:val="ListBullet"/>
      </w:pPr>
      <w:r w:rsidRPr="00774F88">
        <w:t xml:space="preserve">Whether </w:t>
      </w:r>
      <w:proofErr w:type="spellStart"/>
      <w:r w:rsidR="000D7617" w:rsidRPr="00774F88">
        <w:t>Eltroxin</w:t>
      </w:r>
      <w:proofErr w:type="spellEnd"/>
      <w:r w:rsidR="000D7617" w:rsidRPr="00774F88">
        <w:t xml:space="preserve"> </w:t>
      </w:r>
      <w:r w:rsidRPr="00774F88">
        <w:t xml:space="preserve">is bioequivalent and therefore interchangeable at the same dose with the reference product </w:t>
      </w:r>
      <w:r w:rsidRPr="00774F88">
        <w:rPr>
          <w:color w:val="000000"/>
        </w:rPr>
        <w:t>(</w:t>
      </w:r>
      <w:proofErr w:type="spellStart"/>
      <w:r w:rsidR="000D7617" w:rsidRPr="00774F88">
        <w:rPr>
          <w:color w:val="000000"/>
        </w:rPr>
        <w:t>Oroxine</w:t>
      </w:r>
      <w:proofErr w:type="spellEnd"/>
      <w:r w:rsidR="000D7617" w:rsidRPr="00774F88">
        <w:rPr>
          <w:color w:val="000000"/>
        </w:rPr>
        <w:t>/</w:t>
      </w:r>
      <w:proofErr w:type="spellStart"/>
      <w:r w:rsidR="000D7617" w:rsidRPr="00774F88">
        <w:rPr>
          <w:color w:val="000000"/>
        </w:rPr>
        <w:t>Eutrosig</w:t>
      </w:r>
      <w:proofErr w:type="spellEnd"/>
      <w:r w:rsidRPr="00774F88">
        <w:rPr>
          <w:color w:val="000000"/>
        </w:rPr>
        <w:t>)</w:t>
      </w:r>
      <w:r w:rsidRPr="00774F88">
        <w:t>.</w:t>
      </w:r>
    </w:p>
    <w:p w:rsidR="006D7BB6" w:rsidRPr="00774F88" w:rsidRDefault="006D7BB6" w:rsidP="00BC50E1">
      <w:pPr>
        <w:pStyle w:val="ListBullet"/>
      </w:pPr>
      <w:r w:rsidRPr="00774F88">
        <w:t xml:space="preserve">If </w:t>
      </w:r>
      <w:proofErr w:type="spellStart"/>
      <w:r w:rsidR="000D7617" w:rsidRPr="00774F88">
        <w:t>Eltroxin</w:t>
      </w:r>
      <w:proofErr w:type="spellEnd"/>
      <w:r w:rsidR="000D7617" w:rsidRPr="00774F88">
        <w:t xml:space="preserve"> </w:t>
      </w:r>
      <w:r w:rsidRPr="00774F88">
        <w:t xml:space="preserve">is not considered bioequivalent to </w:t>
      </w:r>
      <w:proofErr w:type="spellStart"/>
      <w:r w:rsidR="000D7617" w:rsidRPr="00774F88">
        <w:t>Oroxine</w:t>
      </w:r>
      <w:proofErr w:type="spellEnd"/>
      <w:r w:rsidR="000D7617" w:rsidRPr="00774F88">
        <w:t>/</w:t>
      </w:r>
      <w:proofErr w:type="spellStart"/>
      <w:r w:rsidR="000D7617" w:rsidRPr="00774F88">
        <w:t>Eutrosig</w:t>
      </w:r>
      <w:proofErr w:type="spellEnd"/>
      <w:r w:rsidR="000D7617" w:rsidRPr="00774F88">
        <w:t xml:space="preserve"> </w:t>
      </w:r>
      <w:r w:rsidRPr="00774F88">
        <w:t xml:space="preserve">(and therefore not interchangeable at the same dose), whether the safety and efficacy of </w:t>
      </w:r>
      <w:proofErr w:type="spellStart"/>
      <w:r w:rsidR="000D7617" w:rsidRPr="00774F88">
        <w:t>Eltroxin</w:t>
      </w:r>
      <w:proofErr w:type="spellEnd"/>
      <w:r w:rsidR="000D7617" w:rsidRPr="00774F88">
        <w:t xml:space="preserve"> </w:t>
      </w:r>
      <w:r w:rsidRPr="00774F88">
        <w:t xml:space="preserve">can be satisfactorily established via the submitted data. If this is the case, then the PIs for all three products would need to reflect the fact that </w:t>
      </w:r>
      <w:proofErr w:type="spellStart"/>
      <w:r w:rsidR="000D7617" w:rsidRPr="00774F88">
        <w:t>Eltroxin</w:t>
      </w:r>
      <w:proofErr w:type="spellEnd"/>
      <w:r w:rsidR="000D7617" w:rsidRPr="00774F88">
        <w:t xml:space="preserve"> </w:t>
      </w:r>
      <w:r w:rsidRPr="00774F88">
        <w:t xml:space="preserve">is not interchangeable at the same dose with </w:t>
      </w:r>
      <w:proofErr w:type="spellStart"/>
      <w:r w:rsidR="000D7617" w:rsidRPr="00774F88">
        <w:t>Oroxine</w:t>
      </w:r>
      <w:proofErr w:type="spellEnd"/>
      <w:r w:rsidR="000D7617" w:rsidRPr="00774F88">
        <w:t>/</w:t>
      </w:r>
      <w:proofErr w:type="spellStart"/>
      <w:r w:rsidR="000D7617" w:rsidRPr="00774F88">
        <w:t>Eutrosig</w:t>
      </w:r>
      <w:proofErr w:type="spellEnd"/>
      <w:r w:rsidR="000D7617" w:rsidRPr="00774F88">
        <w:t xml:space="preserve"> </w:t>
      </w:r>
      <w:r w:rsidRPr="00774F88">
        <w:t>and patients would need to be re-titrated if they change products.</w:t>
      </w:r>
    </w:p>
    <w:p w:rsidR="006D7BB6" w:rsidRPr="00774F88" w:rsidRDefault="006D7BB6" w:rsidP="00BC50E1">
      <w:r w:rsidRPr="00774F88">
        <w:t>Point-by-point evaluation of the sponsor’s responses to the Clinical Evaluation Report and the questions are given below.</w:t>
      </w:r>
    </w:p>
    <w:p w:rsidR="006D7BB6" w:rsidRPr="00774F88" w:rsidRDefault="006D7BB6" w:rsidP="006A782B">
      <w:pPr>
        <w:pStyle w:val="Heading4"/>
      </w:pPr>
      <w:r w:rsidRPr="006A782B">
        <w:t>Observation</w:t>
      </w:r>
      <w:r w:rsidRPr="00774F88">
        <w:t>-1</w:t>
      </w:r>
    </w:p>
    <w:p w:rsidR="006D7BB6" w:rsidRPr="00774F88" w:rsidRDefault="006D7BB6" w:rsidP="006A782B">
      <w:pPr>
        <w:pStyle w:val="Heading5"/>
        <w:numPr>
          <w:ilvl w:val="0"/>
          <w:numId w:val="0"/>
        </w:numPr>
        <w:ind w:left="1418" w:hanging="1191"/>
      </w:pPr>
      <w:r w:rsidRPr="00774F88">
        <w:t>600</w:t>
      </w:r>
      <w:r w:rsidR="000D7617">
        <w:t xml:space="preserve"> µ</w:t>
      </w:r>
      <w:r w:rsidRPr="00774F88">
        <w:t xml:space="preserve">g dose for </w:t>
      </w:r>
      <w:r w:rsidRPr="006A782B">
        <w:t>bioequivalence</w:t>
      </w:r>
      <w:r w:rsidRPr="00774F88">
        <w:t xml:space="preserve"> study</w:t>
      </w:r>
    </w:p>
    <w:p w:rsidR="006D7BB6" w:rsidRPr="00774F88" w:rsidRDefault="006D7BB6" w:rsidP="006A782B">
      <w:r w:rsidRPr="00774F88">
        <w:t xml:space="preserve">The </w:t>
      </w:r>
      <w:r w:rsidR="006A782B">
        <w:t>sponsor’s response is accepted.</w:t>
      </w:r>
    </w:p>
    <w:p w:rsidR="006D7BB6" w:rsidRPr="00774F88" w:rsidRDefault="006D7BB6" w:rsidP="006A782B">
      <w:pPr>
        <w:pStyle w:val="ListBullet"/>
      </w:pPr>
      <w:r w:rsidRPr="00774F88">
        <w:t>The EMA guideline (CPMP/EWP/QWP/1401/98 Rev.1/Corr, 2010) on bioequivalence supports the use of supra-therapeutic doses; provided that the dose is well tolerated. This allows the additional concentrations over baseline (provided by the treatment) to be reliably determined.</w:t>
      </w:r>
    </w:p>
    <w:p w:rsidR="006D7BB6" w:rsidRPr="00774F88" w:rsidRDefault="006D7BB6" w:rsidP="006A782B">
      <w:pPr>
        <w:pStyle w:val="ListBullet"/>
      </w:pPr>
      <w:r w:rsidRPr="00774F88">
        <w:t>The FDA Guidance for Industry on in</w:t>
      </w:r>
      <w:r w:rsidR="000D7617">
        <w:t xml:space="preserve"> </w:t>
      </w:r>
      <w:r w:rsidRPr="00774F88">
        <w:t>vivo PK and bioavailability studies and in</w:t>
      </w:r>
      <w:r w:rsidR="000D7617">
        <w:t xml:space="preserve"> </w:t>
      </w:r>
      <w:r w:rsidRPr="00774F88">
        <w:t>vitro dissolution testing for levothyroxine sodium tablets (2000), recommends a 600</w:t>
      </w:r>
      <w:r w:rsidR="000D7617">
        <w:t xml:space="preserve"> µ</w:t>
      </w:r>
      <w:r w:rsidRPr="00774F88">
        <w:t>g dose “</w:t>
      </w:r>
      <w:r w:rsidRPr="000D7617">
        <w:rPr>
          <w:i/>
        </w:rPr>
        <w:t>to detect T4 levels above baseline levels</w:t>
      </w:r>
      <w:r w:rsidRPr="00774F88">
        <w:t>”.</w:t>
      </w:r>
    </w:p>
    <w:p w:rsidR="006D7BB6" w:rsidRPr="00774F88" w:rsidRDefault="006D7BB6" w:rsidP="006A782B">
      <w:pPr>
        <w:pStyle w:val="ListBullet"/>
      </w:pPr>
      <w:r w:rsidRPr="00774F88">
        <w:lastRenderedPageBreak/>
        <w:t xml:space="preserve">The transcript of the Joint Public </w:t>
      </w:r>
      <w:r w:rsidRPr="006A782B">
        <w:t>Meeting</w:t>
      </w:r>
      <w:r w:rsidRPr="00774F88">
        <w:t xml:space="preserve"> on Equivalence of Levothyroxine Sodium Products (co-sponsored by FDA, American Thyroid Association, The Endocrine Society, American Association of Clinical Endocrinologists) (2005) recommends the 600</w:t>
      </w:r>
      <w:r w:rsidR="000D7617">
        <w:t xml:space="preserve"> µ</w:t>
      </w:r>
      <w:r w:rsidRPr="00774F88">
        <w:t>g dose for 2 reasons:</w:t>
      </w:r>
    </w:p>
    <w:p w:rsidR="006D7BB6" w:rsidRPr="00774F88" w:rsidRDefault="006D7BB6" w:rsidP="006A782B">
      <w:pPr>
        <w:pStyle w:val="ListBullet2"/>
      </w:pPr>
      <w:r w:rsidRPr="00774F88">
        <w:t xml:space="preserve">It is a multiple of the highest </w:t>
      </w:r>
      <w:r w:rsidRPr="006A782B">
        <w:t>strength</w:t>
      </w:r>
      <w:r w:rsidRPr="00774F88">
        <w:t xml:space="preserve"> tablet (300</w:t>
      </w:r>
      <w:r w:rsidR="000D7617">
        <w:t xml:space="preserve"> µ</w:t>
      </w:r>
      <w:r w:rsidRPr="00774F88">
        <w:t>g in the US)</w:t>
      </w:r>
    </w:p>
    <w:p w:rsidR="006D7BB6" w:rsidRPr="00774F88" w:rsidRDefault="006D7BB6" w:rsidP="006A782B">
      <w:pPr>
        <w:pStyle w:val="ListBullet2"/>
      </w:pPr>
      <w:r w:rsidRPr="00774F88">
        <w:t xml:space="preserve">It will give a strong enough </w:t>
      </w:r>
      <w:r w:rsidRPr="006A782B">
        <w:t>signal</w:t>
      </w:r>
      <w:r w:rsidRPr="00774F88">
        <w:t xml:space="preserve"> above the background, or noise, of endogenous levels.</w:t>
      </w:r>
    </w:p>
    <w:p w:rsidR="006D7BB6" w:rsidRPr="00774F88" w:rsidRDefault="006D7BB6" w:rsidP="006A782B">
      <w:pPr>
        <w:pStyle w:val="Heading4"/>
      </w:pPr>
      <w:r w:rsidRPr="00774F88">
        <w:t>Observation</w:t>
      </w:r>
      <w:r w:rsidR="000D7617">
        <w:t xml:space="preserve"> </w:t>
      </w:r>
      <w:r w:rsidRPr="00774F88">
        <w:t>2</w:t>
      </w:r>
    </w:p>
    <w:p w:rsidR="006D7BB6" w:rsidRPr="00774F88" w:rsidRDefault="006A782B" w:rsidP="006A782B">
      <w:pPr>
        <w:pStyle w:val="Heading5"/>
        <w:numPr>
          <w:ilvl w:val="0"/>
          <w:numId w:val="0"/>
        </w:numPr>
        <w:ind w:left="1418" w:hanging="1191"/>
      </w:pPr>
      <w:r>
        <w:t>Dose form proportionality</w:t>
      </w:r>
    </w:p>
    <w:p w:rsidR="006D7BB6" w:rsidRPr="00774F88" w:rsidRDefault="006D7BB6" w:rsidP="006A782B">
      <w:r w:rsidRPr="00774F88">
        <w:t>The sponsor’s response is accepted.</w:t>
      </w:r>
    </w:p>
    <w:p w:rsidR="006D7BB6" w:rsidRPr="00774F88" w:rsidRDefault="000D7617" w:rsidP="002839A7">
      <w:pPr>
        <w:pStyle w:val="Heading4"/>
      </w:pPr>
      <w:r>
        <w:t xml:space="preserve">Observation </w:t>
      </w:r>
      <w:r w:rsidR="006D7BB6" w:rsidRPr="00774F88">
        <w:t>3</w:t>
      </w:r>
    </w:p>
    <w:p w:rsidR="006D7BB6" w:rsidRPr="00774F88" w:rsidRDefault="006D7BB6" w:rsidP="002839A7">
      <w:pPr>
        <w:pStyle w:val="Heading5"/>
        <w:numPr>
          <w:ilvl w:val="0"/>
          <w:numId w:val="0"/>
        </w:numPr>
        <w:ind w:left="1418" w:hanging="1191"/>
      </w:pPr>
      <w:r w:rsidRPr="00774F88">
        <w:t>3x 200</w:t>
      </w:r>
      <w:r w:rsidR="000D7617">
        <w:t xml:space="preserve"> µ</w:t>
      </w:r>
      <w:r w:rsidRPr="00774F88">
        <w:t>g tablets=600</w:t>
      </w:r>
      <w:r w:rsidR="000D7617">
        <w:t xml:space="preserve"> µ</w:t>
      </w:r>
      <w:r w:rsidRPr="00774F88">
        <w:t xml:space="preserve">g dose for </w:t>
      </w:r>
      <w:r w:rsidRPr="002839A7">
        <w:t>bioequivalence</w:t>
      </w:r>
      <w:r w:rsidR="002839A7">
        <w:t xml:space="preserve"> study</w:t>
      </w:r>
    </w:p>
    <w:p w:rsidR="006D7BB6" w:rsidRPr="00774F88" w:rsidRDefault="006D7BB6" w:rsidP="002839A7">
      <w:r w:rsidRPr="00774F88">
        <w:t>The sponsor’s response is accepted as for Observation</w:t>
      </w:r>
      <w:r w:rsidR="000D7617">
        <w:t xml:space="preserve"> </w:t>
      </w:r>
      <w:r w:rsidRPr="00774F88">
        <w:t>1.</w:t>
      </w:r>
    </w:p>
    <w:p w:rsidR="006D7BB6" w:rsidRPr="00774F88" w:rsidRDefault="006D7BB6" w:rsidP="00361A8F">
      <w:pPr>
        <w:pStyle w:val="Heading4"/>
      </w:pPr>
      <w:r w:rsidRPr="00774F88">
        <w:t>Observation</w:t>
      </w:r>
      <w:r w:rsidR="000D7617">
        <w:t xml:space="preserve"> </w:t>
      </w:r>
      <w:r w:rsidRPr="00774F88">
        <w:t>4</w:t>
      </w:r>
    </w:p>
    <w:p w:rsidR="006D7BB6" w:rsidRPr="00774F88" w:rsidRDefault="006D7BB6" w:rsidP="00361A8F">
      <w:pPr>
        <w:pStyle w:val="Heading5"/>
        <w:numPr>
          <w:ilvl w:val="0"/>
          <w:numId w:val="0"/>
        </w:numPr>
        <w:ind w:left="1418" w:hanging="1191"/>
      </w:pPr>
      <w:r w:rsidRPr="00774F88">
        <w:t>Adverse events</w:t>
      </w:r>
    </w:p>
    <w:p w:rsidR="006D7BB6" w:rsidRPr="00774F88" w:rsidRDefault="006D7BB6" w:rsidP="00361A8F">
      <w:r w:rsidRPr="00774F88">
        <w:t>The sponsor’s response is accepted.</w:t>
      </w:r>
    </w:p>
    <w:p w:rsidR="006D7BB6" w:rsidRPr="00774F88" w:rsidRDefault="000D7617" w:rsidP="00361A8F">
      <w:pPr>
        <w:pStyle w:val="Heading4"/>
      </w:pPr>
      <w:r>
        <w:t xml:space="preserve">Observation </w:t>
      </w:r>
      <w:r w:rsidR="006D7BB6" w:rsidRPr="00774F88">
        <w:t>5</w:t>
      </w:r>
    </w:p>
    <w:p w:rsidR="006D7BB6" w:rsidRPr="00774F88" w:rsidRDefault="006D7BB6" w:rsidP="00361A8F">
      <w:pPr>
        <w:pStyle w:val="Heading5"/>
        <w:numPr>
          <w:ilvl w:val="0"/>
          <w:numId w:val="0"/>
        </w:numPr>
        <w:ind w:left="1418" w:hanging="1191"/>
      </w:pPr>
      <w:r w:rsidRPr="00774F88">
        <w:t>Adverse events; withdrawals</w:t>
      </w:r>
    </w:p>
    <w:p w:rsidR="006D7BB6" w:rsidRPr="00774F88" w:rsidRDefault="006D7BB6" w:rsidP="00361A8F">
      <w:r w:rsidRPr="00774F88">
        <w:t>The sponsor’s response is accepted.</w:t>
      </w:r>
    </w:p>
    <w:p w:rsidR="006D7BB6" w:rsidRPr="00774F88" w:rsidRDefault="006D7BB6" w:rsidP="00361A8F">
      <w:pPr>
        <w:pStyle w:val="Heading4"/>
      </w:pPr>
      <w:r w:rsidRPr="00774F88">
        <w:t>Observation</w:t>
      </w:r>
      <w:r w:rsidR="000D7617">
        <w:t xml:space="preserve"> </w:t>
      </w:r>
      <w:r w:rsidRPr="00774F88">
        <w:t>6</w:t>
      </w:r>
    </w:p>
    <w:p w:rsidR="006D7BB6" w:rsidRPr="00774F88" w:rsidRDefault="006D7BB6" w:rsidP="00361A8F">
      <w:pPr>
        <w:pStyle w:val="Heading5"/>
        <w:numPr>
          <w:ilvl w:val="0"/>
          <w:numId w:val="0"/>
        </w:numPr>
        <w:ind w:left="227"/>
      </w:pPr>
      <w:r w:rsidRPr="00774F88">
        <w:t>Unhealthy study participants, based on laboratory values (e.g., for Hb).</w:t>
      </w:r>
    </w:p>
    <w:p w:rsidR="006D7BB6" w:rsidRPr="00774F88" w:rsidRDefault="006D7BB6" w:rsidP="00361A8F">
      <w:r w:rsidRPr="00774F88">
        <w:t>The sponsor’s response is accepted.</w:t>
      </w:r>
    </w:p>
    <w:p w:rsidR="006D7BB6" w:rsidRPr="00774F88" w:rsidRDefault="006D7BB6" w:rsidP="00361A8F">
      <w:pPr>
        <w:pStyle w:val="Heading4"/>
      </w:pPr>
      <w:r w:rsidRPr="00774F88">
        <w:t>Observation-7</w:t>
      </w:r>
    </w:p>
    <w:p w:rsidR="006D7BB6" w:rsidRPr="00774F88" w:rsidRDefault="006D7BB6" w:rsidP="00361A8F">
      <w:pPr>
        <w:pStyle w:val="Heading5"/>
        <w:numPr>
          <w:ilvl w:val="0"/>
          <w:numId w:val="0"/>
        </w:numPr>
        <w:ind w:left="227"/>
      </w:pPr>
      <w:r w:rsidRPr="00774F88">
        <w:t>Lack of ad</w:t>
      </w:r>
      <w:r w:rsidR="003359B8">
        <w:t>justment for baseline T4 levels</w:t>
      </w:r>
    </w:p>
    <w:p w:rsidR="006D7BB6" w:rsidRPr="00774F88" w:rsidRDefault="006D7BB6" w:rsidP="00361A8F">
      <w:r w:rsidRPr="00774F88">
        <w:t>This remains uncertain.</w:t>
      </w:r>
    </w:p>
    <w:p w:rsidR="006D7BB6" w:rsidRPr="00774F88" w:rsidRDefault="006D7BB6" w:rsidP="00361A8F">
      <w:r w:rsidRPr="00774F88">
        <w:t xml:space="preserve">It is true that the FDA Guidance (2000) states that </w:t>
      </w:r>
      <w:r w:rsidRPr="00361A8F">
        <w:rPr>
          <w:i/>
        </w:rPr>
        <w:t>“plasma/serum profiles and pharmacokinetic measures should be presented without adjustment of baseline levels”.</w:t>
      </w:r>
    </w:p>
    <w:p w:rsidR="006D7BB6" w:rsidRPr="00774F88" w:rsidRDefault="00361A8F" w:rsidP="00361A8F">
      <w:r>
        <w:t>However,</w:t>
      </w:r>
    </w:p>
    <w:p w:rsidR="006D7BB6" w:rsidRPr="00014424" w:rsidRDefault="006D7BB6" w:rsidP="009A0EA9">
      <w:pPr>
        <w:pStyle w:val="ListBullet"/>
      </w:pPr>
      <w:proofErr w:type="gramStart"/>
      <w:r w:rsidRPr="00774F88">
        <w:t>the</w:t>
      </w:r>
      <w:proofErr w:type="gramEnd"/>
      <w:r w:rsidRPr="00774F88">
        <w:t xml:space="preserve"> </w:t>
      </w:r>
      <w:r w:rsidRPr="009A0EA9">
        <w:t>MHRA</w:t>
      </w:r>
      <w:r w:rsidRPr="00774F88">
        <w:t xml:space="preserve"> report (2013) states: </w:t>
      </w:r>
      <w:r w:rsidRPr="009A0EA9">
        <w:rPr>
          <w:i/>
        </w:rPr>
        <w:t>“Whether or not correction for baseline levels should be employed in these studies is still being debated.”</w:t>
      </w:r>
    </w:p>
    <w:p w:rsidR="006D7BB6" w:rsidRPr="00014424" w:rsidRDefault="006D7BB6" w:rsidP="009A0EA9">
      <w:pPr>
        <w:pStyle w:val="ListBullet"/>
      </w:pPr>
      <w:proofErr w:type="gramStart"/>
      <w:r w:rsidRPr="00014424">
        <w:t>the</w:t>
      </w:r>
      <w:proofErr w:type="gramEnd"/>
      <w:r w:rsidRPr="00014424">
        <w:t xml:space="preserve"> FDA </w:t>
      </w:r>
      <w:r w:rsidRPr="009A0EA9">
        <w:t>transcript</w:t>
      </w:r>
      <w:r w:rsidRPr="00014424">
        <w:t xml:space="preserve"> (2005) (p59, </w:t>
      </w:r>
      <w:r w:rsidR="00014424">
        <w:t>[information redacted]</w:t>
      </w:r>
      <w:r w:rsidRPr="00014424">
        <w:t xml:space="preserve">, FDA) states: </w:t>
      </w:r>
      <w:r w:rsidRPr="009A0EA9">
        <w:rPr>
          <w:i/>
        </w:rPr>
        <w:t>“And before performing the bioequivalence statistics, the baseline is subtracted from the AUC, and as I mentioned earlier, this is required of all the applicants.  And for levothyroxine, the baseline actually makes a fairly high contribution to the plasma concentration profile. So a good chunk of the AUC, the non-corrected AUC, is being subtracted. And this really provides an extra level of assurance that the two products are bioequivalent, because this is a very conservative approach. In other words, it can be easier for two products that are not bioequivalent to pass without baseline correction, whereas if two products are not bioequivalent, there's a much higher likelihood that this is going to be detected with the baseline correction.”</w:t>
      </w:r>
    </w:p>
    <w:p w:rsidR="006D7BB6" w:rsidRPr="00774F88" w:rsidRDefault="006D7BB6" w:rsidP="009A0EA9">
      <w:pPr>
        <w:pStyle w:val="ListBullet"/>
      </w:pPr>
      <w:r w:rsidRPr="00774F88">
        <w:rPr>
          <w:spacing w:val="-3"/>
        </w:rPr>
        <w:t xml:space="preserve">The </w:t>
      </w:r>
      <w:r w:rsidRPr="009A0EA9">
        <w:t>EMA</w:t>
      </w:r>
      <w:r w:rsidRPr="00774F88">
        <w:rPr>
          <w:spacing w:val="-3"/>
        </w:rPr>
        <w:t xml:space="preserve"> Guideline on bioequivalence states: </w:t>
      </w:r>
      <w:r w:rsidRPr="009A0EA9">
        <w:rPr>
          <w:i/>
          <w:spacing w:val="-3"/>
        </w:rPr>
        <w:t>“</w:t>
      </w:r>
      <w:r w:rsidRPr="009A0EA9">
        <w:rPr>
          <w:i/>
        </w:rPr>
        <w:t>If the substance being studied is endogenous, the calculation of pharmacokinetic parameters should be performed using baseline correction so that the calculated pharmacokinetic parameters refer to the additional concentrations provided by the treatment.”</w:t>
      </w:r>
    </w:p>
    <w:p w:rsidR="006D7BB6" w:rsidRPr="00774F88" w:rsidRDefault="006D7BB6" w:rsidP="009A0EA9">
      <w:r w:rsidRPr="00774F88">
        <w:lastRenderedPageBreak/>
        <w:t>The sponsor is asked to provide a comparison between the product they are proposing for registration and the reference product, for AUC</w:t>
      </w:r>
      <w:r w:rsidRPr="00774F88">
        <w:rPr>
          <w:vertAlign w:val="subscript"/>
        </w:rPr>
        <w:t>0-48</w:t>
      </w:r>
      <w:r w:rsidRPr="00774F88">
        <w:t xml:space="preserve"> and C</w:t>
      </w:r>
      <w:r w:rsidRPr="00774F88">
        <w:rPr>
          <w:vertAlign w:val="subscript"/>
        </w:rPr>
        <w:t>max</w:t>
      </w:r>
      <w:r w:rsidRPr="00774F88">
        <w:t xml:space="preserve">, adjusted for baseline values; with 90% CIs. (The method of baseline </w:t>
      </w:r>
      <w:r w:rsidR="009A0EA9">
        <w:t>adjustment should be reported.)</w:t>
      </w:r>
    </w:p>
    <w:p w:rsidR="006D7BB6" w:rsidRPr="00774F88" w:rsidRDefault="006D7BB6" w:rsidP="003359B8">
      <w:pPr>
        <w:pStyle w:val="Heading4"/>
      </w:pPr>
      <w:r w:rsidRPr="00774F88">
        <w:t>Observation</w:t>
      </w:r>
      <w:r w:rsidR="000D7617">
        <w:t xml:space="preserve"> </w:t>
      </w:r>
      <w:r w:rsidRPr="00774F88">
        <w:t>8</w:t>
      </w:r>
    </w:p>
    <w:p w:rsidR="006D7BB6" w:rsidRPr="00774F88" w:rsidRDefault="006D7BB6" w:rsidP="003359B8">
      <w:pPr>
        <w:pStyle w:val="Heading5"/>
        <w:numPr>
          <w:ilvl w:val="0"/>
          <w:numId w:val="0"/>
        </w:numPr>
        <w:ind w:left="1418" w:hanging="1191"/>
      </w:pPr>
      <w:r w:rsidRPr="00774F88">
        <w:t xml:space="preserve">Omitted data for subjects </w:t>
      </w:r>
      <w:r w:rsidR="006155B4">
        <w:t>[information redacted]</w:t>
      </w:r>
    </w:p>
    <w:p w:rsidR="006D7BB6" w:rsidRPr="00774F88" w:rsidRDefault="006D7BB6" w:rsidP="003359B8">
      <w:r w:rsidRPr="00774F88">
        <w:t>Sponsor’s response is accepted.</w:t>
      </w:r>
    </w:p>
    <w:p w:rsidR="006D7BB6" w:rsidRPr="00774F88" w:rsidRDefault="006D7BB6" w:rsidP="003359B8">
      <w:pPr>
        <w:pStyle w:val="Heading4"/>
      </w:pPr>
      <w:r w:rsidRPr="00774F88">
        <w:t>Query</w:t>
      </w:r>
      <w:r w:rsidR="005426E4">
        <w:t xml:space="preserve"> </w:t>
      </w:r>
      <w:r w:rsidRPr="00774F88">
        <w:t>16</w:t>
      </w:r>
    </w:p>
    <w:p w:rsidR="006D7BB6" w:rsidRPr="00774F88" w:rsidRDefault="006D7BB6" w:rsidP="003359B8">
      <w:pPr>
        <w:pStyle w:val="Heading5"/>
        <w:numPr>
          <w:ilvl w:val="0"/>
          <w:numId w:val="0"/>
        </w:numPr>
        <w:ind w:left="227"/>
      </w:pPr>
      <w:r w:rsidRPr="00774F88">
        <w:t>Linear pharmacokinetics</w:t>
      </w:r>
    </w:p>
    <w:p w:rsidR="006D7BB6" w:rsidRPr="00774F88" w:rsidRDefault="006D7BB6" w:rsidP="003359B8">
      <w:r w:rsidRPr="00774F88">
        <w:t>It is accepted that dose linearity studies have not been conducted with actual therapeutic strengths because of the difficulties associated with measuring the contribution of exogenous thyroxine.</w:t>
      </w:r>
    </w:p>
    <w:p w:rsidR="006D7BB6" w:rsidRPr="00774F88" w:rsidRDefault="006D7BB6" w:rsidP="003359B8">
      <w:pPr>
        <w:pStyle w:val="Heading4"/>
      </w:pPr>
      <w:r w:rsidRPr="00774F88">
        <w:t>Query</w:t>
      </w:r>
      <w:r w:rsidR="005426E4">
        <w:t xml:space="preserve"> </w:t>
      </w:r>
      <w:r w:rsidRPr="00774F88">
        <w:t>17</w:t>
      </w:r>
    </w:p>
    <w:p w:rsidR="006D7BB6" w:rsidRPr="00774F88" w:rsidRDefault="006D7BB6" w:rsidP="003359B8">
      <w:pPr>
        <w:pStyle w:val="Heading5"/>
        <w:numPr>
          <w:ilvl w:val="0"/>
          <w:numId w:val="0"/>
        </w:numPr>
        <w:ind w:left="224" w:firstLine="3"/>
      </w:pPr>
      <w:r w:rsidRPr="00774F88">
        <w:t>90% CI for AUC and C</w:t>
      </w:r>
      <w:r w:rsidRPr="00774F88">
        <w:rPr>
          <w:vertAlign w:val="subscript"/>
        </w:rPr>
        <w:t>max</w:t>
      </w:r>
      <w:r w:rsidRPr="00774F88">
        <w:t xml:space="preserve"> are completely on the lower side of 100%: AUC: 89% (85%, 94%); C</w:t>
      </w:r>
      <w:r w:rsidRPr="00774F88">
        <w:rPr>
          <w:vertAlign w:val="subscript"/>
        </w:rPr>
        <w:t>max</w:t>
      </w:r>
      <w:r w:rsidR="003359B8">
        <w:t>: 86% (82%, 91%)</w:t>
      </w:r>
    </w:p>
    <w:p w:rsidR="006D7BB6" w:rsidRPr="00774F88" w:rsidRDefault="006D7BB6" w:rsidP="003359B8">
      <w:r w:rsidRPr="00774F88">
        <w:t>It is accepted that this meets the criterion for bioequivalence if thyroxine is not considered a narrow therapeutic index drug (see below).</w:t>
      </w:r>
    </w:p>
    <w:p w:rsidR="006D7BB6" w:rsidRPr="00774F88" w:rsidRDefault="006D7BB6" w:rsidP="003359B8">
      <w:pPr>
        <w:pStyle w:val="Heading5"/>
        <w:numPr>
          <w:ilvl w:val="0"/>
          <w:numId w:val="0"/>
        </w:numPr>
        <w:ind w:left="1418" w:hanging="1191"/>
      </w:pPr>
      <w:r w:rsidRPr="00774F88">
        <w:t xml:space="preserve">Is </w:t>
      </w:r>
      <w:proofErr w:type="spellStart"/>
      <w:r w:rsidRPr="00774F88">
        <w:t>thyroxine</w:t>
      </w:r>
      <w:proofErr w:type="spellEnd"/>
      <w:r w:rsidRPr="00774F88">
        <w:t xml:space="preserve"> a narrow therapeutic </w:t>
      </w:r>
      <w:r w:rsidRPr="003359B8">
        <w:t>index</w:t>
      </w:r>
      <w:r w:rsidRPr="00774F88">
        <w:t xml:space="preserve"> drug?</w:t>
      </w:r>
    </w:p>
    <w:p w:rsidR="006D7BB6" w:rsidRPr="00774F88" w:rsidRDefault="006D7BB6" w:rsidP="003359B8">
      <w:r w:rsidRPr="00774F88">
        <w:t>The sponsor is invited to comment on this issue.</w:t>
      </w:r>
    </w:p>
    <w:p w:rsidR="006D7BB6" w:rsidRPr="00774F88" w:rsidRDefault="006D7BB6" w:rsidP="003359B8">
      <w:r w:rsidRPr="00774F88">
        <w:t xml:space="preserve">Some experts consider that thyroxine is a narrow </w:t>
      </w:r>
      <w:r w:rsidRPr="00014424">
        <w:t>therapeutic index drug (</w:t>
      </w:r>
      <w:r w:rsidR="00014424" w:rsidRPr="00014424">
        <w:t>for example</w:t>
      </w:r>
      <w:r w:rsidRPr="00014424">
        <w:t xml:space="preserve"> MHRA report). Examples of subsets of patients for whom differences in bioavailability</w:t>
      </w:r>
      <w:r w:rsidRPr="00774F88">
        <w:t xml:space="preserve"> could have important clinical implications include:</w:t>
      </w:r>
    </w:p>
    <w:p w:rsidR="006D7BB6" w:rsidRPr="00774F88" w:rsidRDefault="006D7BB6" w:rsidP="003359B8">
      <w:pPr>
        <w:pStyle w:val="ListBullet"/>
      </w:pPr>
      <w:r w:rsidRPr="00774F88">
        <w:t>Patients with a previous history of thyroid cancer. Low levels of T4 could lead to an unexpected increase in TSH and recurrence of thyroid cancer</w:t>
      </w:r>
    </w:p>
    <w:p w:rsidR="006D7BB6" w:rsidRPr="00774F88" w:rsidRDefault="006D7BB6" w:rsidP="003359B8">
      <w:pPr>
        <w:pStyle w:val="ListBullet"/>
      </w:pPr>
      <w:r w:rsidRPr="00774F88">
        <w:t>Young patients with congenital thyroid disease. Low levels could lead to suboptimal growth and brain development.</w:t>
      </w:r>
    </w:p>
    <w:p w:rsidR="006D7BB6" w:rsidRPr="00774F88" w:rsidRDefault="006D7BB6" w:rsidP="003359B8">
      <w:pPr>
        <w:pStyle w:val="ListBullet"/>
      </w:pPr>
      <w:r w:rsidRPr="00774F88">
        <w:t>Pregnant women. Low levels could lead to harm to their babies.</w:t>
      </w:r>
    </w:p>
    <w:p w:rsidR="006D7BB6" w:rsidRPr="00774F88" w:rsidRDefault="006D7BB6" w:rsidP="003359B8">
      <w:pPr>
        <w:pStyle w:val="ListBullet"/>
      </w:pPr>
      <w:r w:rsidRPr="00774F88">
        <w:t>Patients with co-existing cardiac disease. High levels could lead to atrial fibr</w:t>
      </w:r>
      <w:r w:rsidR="003359B8">
        <w:t>illation and other arrhythmias.</w:t>
      </w:r>
    </w:p>
    <w:p w:rsidR="006D7BB6" w:rsidRPr="00774F88" w:rsidRDefault="006D7BB6" w:rsidP="003359B8">
      <w:pPr>
        <w:pStyle w:val="ListBullet"/>
      </w:pPr>
      <w:r w:rsidRPr="00774F88">
        <w:t xml:space="preserve">Elderly women. </w:t>
      </w:r>
      <w:r w:rsidRPr="003359B8">
        <w:t>There</w:t>
      </w:r>
      <w:r w:rsidRPr="00774F88">
        <w:t xml:space="preserve"> is suggestive evidence that, over long periods, high levels can cause or aggravate osteoporosis.</w:t>
      </w:r>
    </w:p>
    <w:p w:rsidR="006D7BB6" w:rsidRPr="00774F88" w:rsidRDefault="006D7BB6" w:rsidP="003359B8">
      <w:r w:rsidRPr="00774F88">
        <w:t>For narrow therapeutic index drugs, the acceptance interval for AUC is usually tightened to 90% to 111%.</w:t>
      </w:r>
    </w:p>
    <w:p w:rsidR="006D7BB6" w:rsidRPr="00774F88" w:rsidRDefault="006D7BB6" w:rsidP="003359B8">
      <w:r w:rsidRPr="00774F88">
        <w:t xml:space="preserve">The 2010 EMA Guideline on bioequivalence states: </w:t>
      </w:r>
      <w:r w:rsidR="005426E4" w:rsidRPr="003359B8">
        <w:rPr>
          <w:i/>
        </w:rPr>
        <w:t>“</w:t>
      </w:r>
      <w:r w:rsidRPr="003359B8">
        <w:rPr>
          <w:i/>
        </w:rPr>
        <w:t>It is not possible to define a set of criteria to categorise drugs as narrow therapeutic index drugs (NTIDs) and it must be decided case by case if an active substance is an NTID based on clinical considerations.</w:t>
      </w:r>
      <w:r w:rsidR="005426E4" w:rsidRPr="003359B8">
        <w:rPr>
          <w:i/>
        </w:rPr>
        <w:t>”</w:t>
      </w:r>
    </w:p>
    <w:p w:rsidR="006D7BB6" w:rsidRPr="00774F88" w:rsidRDefault="006D7BB6" w:rsidP="003359B8">
      <w:r w:rsidRPr="00774F88">
        <w:t>The 2013 MHRA report states:</w:t>
      </w:r>
    </w:p>
    <w:p w:rsidR="006D7BB6" w:rsidRPr="00774F88" w:rsidRDefault="006D7BB6" w:rsidP="003359B8">
      <w:pPr>
        <w:pStyle w:val="ListBullet"/>
      </w:pPr>
      <w:r w:rsidRPr="00774F88">
        <w:t xml:space="preserve">There is no agreed European definition of narrow </w:t>
      </w:r>
      <w:r w:rsidRPr="003359B8">
        <w:t>therapeutic</w:t>
      </w:r>
      <w:r w:rsidRPr="00774F88">
        <w:t xml:space="preserve"> index drugs (as above)</w:t>
      </w:r>
    </w:p>
    <w:p w:rsidR="006D7BB6" w:rsidRPr="00774F88" w:rsidRDefault="006D7BB6" w:rsidP="003359B8">
      <w:pPr>
        <w:pStyle w:val="ListBullet"/>
      </w:pPr>
      <w:r w:rsidRPr="00774F88">
        <w:t>It refers to the FDA definition:</w:t>
      </w:r>
    </w:p>
    <w:p w:rsidR="006D7BB6" w:rsidRPr="00774F88" w:rsidRDefault="006D7BB6" w:rsidP="003359B8">
      <w:pPr>
        <w:pStyle w:val="ListBullet2"/>
      </w:pPr>
      <w:r w:rsidRPr="00774F88">
        <w:t xml:space="preserve">&lt;2-fold difference between minimum toxic and </w:t>
      </w:r>
      <w:r w:rsidRPr="003359B8">
        <w:t>minimum</w:t>
      </w:r>
      <w:r w:rsidRPr="00774F88">
        <w:t xml:space="preserve"> effective concentrations in blood, or;</w:t>
      </w:r>
    </w:p>
    <w:p w:rsidR="006D7BB6" w:rsidRPr="00774F88" w:rsidRDefault="006D7BB6" w:rsidP="003359B8">
      <w:pPr>
        <w:pStyle w:val="ListBullet2"/>
      </w:pPr>
      <w:proofErr w:type="gramStart"/>
      <w:r w:rsidRPr="00774F88">
        <w:t>safe</w:t>
      </w:r>
      <w:proofErr w:type="gramEnd"/>
      <w:r w:rsidRPr="00774F88">
        <w:t xml:space="preserve"> and effective use requires careful titration and </w:t>
      </w:r>
      <w:r w:rsidRPr="003359B8">
        <w:t>patient</w:t>
      </w:r>
      <w:r w:rsidRPr="00774F88">
        <w:t xml:space="preserve"> monitoring.</w:t>
      </w:r>
    </w:p>
    <w:p w:rsidR="006D7BB6" w:rsidRPr="00774F88" w:rsidRDefault="006D7BB6" w:rsidP="003359B8">
      <w:r w:rsidRPr="00774F88">
        <w:lastRenderedPageBreak/>
        <w:t xml:space="preserve">It concludes that (p8): </w:t>
      </w:r>
      <w:r w:rsidRPr="003359B8">
        <w:rPr>
          <w:i/>
        </w:rPr>
        <w:t>“Therefore, although levothyroxine does not meet the criteria for being a narrow therapeutic index drug, there are strong indications that small changes in the delivered dose of levothyroxine, should they persist over long term treatment, could have significant clinical consequences.”</w:t>
      </w:r>
    </w:p>
    <w:p w:rsidR="006D7BB6" w:rsidRPr="00774F88" w:rsidRDefault="006D7BB6" w:rsidP="003359B8">
      <w:r w:rsidRPr="00774F88">
        <w:t>The 2000 FDA Guidance for Industry and the 2005 transcript of the Joint Public Meeting on Equivalence of Levothyroxine Sodium Products, refer to an acceptance interval of 80% to 125%.</w:t>
      </w:r>
    </w:p>
    <w:p w:rsidR="00C618F7" w:rsidRDefault="00C618F7" w:rsidP="00EE7293">
      <w:pPr>
        <w:pStyle w:val="Heading2"/>
      </w:pPr>
      <w:bookmarkStart w:id="169" w:name="_Toc392665426"/>
      <w:r>
        <w:t>References</w:t>
      </w:r>
      <w:bookmarkEnd w:id="169"/>
    </w:p>
    <w:p w:rsidR="006D7BB6" w:rsidRDefault="006D7BB6" w:rsidP="00EE7293">
      <w:proofErr w:type="spellStart"/>
      <w:r>
        <w:t>Blakesley</w:t>
      </w:r>
      <w:proofErr w:type="spellEnd"/>
      <w:r>
        <w:t xml:space="preserve"> VA. 2005. Current methodology to assess bioequivalence of levothyroxine sodium products is inadequate. </w:t>
      </w:r>
      <w:r w:rsidRPr="00B963A7">
        <w:rPr>
          <w:i/>
        </w:rPr>
        <w:t>The AAPS Journal</w:t>
      </w:r>
      <w:r>
        <w:t xml:space="preserve"> 7(1): Article 5 (http://www.aapsj.org).</w:t>
      </w:r>
    </w:p>
    <w:p w:rsidR="006D7BB6" w:rsidRDefault="006D7BB6" w:rsidP="00EE7293">
      <w:proofErr w:type="gramStart"/>
      <w:r>
        <w:t>Bolton S. 2005.</w:t>
      </w:r>
      <w:proofErr w:type="gramEnd"/>
      <w:r>
        <w:t xml:space="preserve"> Bioequivalence studies for levothyroxine. </w:t>
      </w:r>
      <w:r w:rsidRPr="00B963A7">
        <w:rPr>
          <w:i/>
        </w:rPr>
        <w:t>The AAPS Journal</w:t>
      </w:r>
      <w:r>
        <w:t xml:space="preserve"> 7(1): Article 6 </w:t>
      </w:r>
      <w:r w:rsidR="00EE7293">
        <w:t>&lt;</w:t>
      </w:r>
      <w:r>
        <w:t>http://www.aapsj.org</w:t>
      </w:r>
      <w:r w:rsidR="00EE7293">
        <w:t>&gt;</w:t>
      </w:r>
      <w:r>
        <w:t>.</w:t>
      </w:r>
    </w:p>
    <w:p w:rsidR="006D7BB6" w:rsidRDefault="006D7BB6" w:rsidP="00EE7293">
      <w:r w:rsidRPr="000A0598">
        <w:t xml:space="preserve">European </w:t>
      </w:r>
      <w:r>
        <w:t xml:space="preserve">Medicines </w:t>
      </w:r>
      <w:r w:rsidRPr="000A0598">
        <w:t xml:space="preserve">Agency </w:t>
      </w:r>
      <w:r>
        <w:t>(EMA). 2010</w:t>
      </w:r>
      <w:r w:rsidRPr="000A0598">
        <w:t xml:space="preserve">. </w:t>
      </w:r>
      <w:r>
        <w:rPr>
          <w:i/>
        </w:rPr>
        <w:t>Guideline</w:t>
      </w:r>
      <w:r w:rsidRPr="000A0598">
        <w:rPr>
          <w:i/>
        </w:rPr>
        <w:t xml:space="preserve"> on the Investigation of Bioequivalence.</w:t>
      </w:r>
      <w:r w:rsidRPr="000A0598">
        <w:t xml:space="preserve"> </w:t>
      </w:r>
      <w:proofErr w:type="gramStart"/>
      <w:r w:rsidRPr="000A0598">
        <w:t>Document CPMP/EWP/QWP/1401/98</w:t>
      </w:r>
      <w:r>
        <w:t xml:space="preserve"> Rev. 1/ Corr</w:t>
      </w:r>
      <w:r w:rsidRPr="000A0598">
        <w:t>.</w:t>
      </w:r>
      <w:proofErr w:type="gramEnd"/>
    </w:p>
    <w:p w:rsidR="006D7BB6" w:rsidRPr="00EE7293" w:rsidRDefault="006D7BB6" w:rsidP="00EE7293">
      <w:pPr>
        <w:rPr>
          <w:i/>
        </w:rPr>
      </w:pPr>
      <w:proofErr w:type="gramStart"/>
      <w:r>
        <w:t>FDA.</w:t>
      </w:r>
      <w:proofErr w:type="gramEnd"/>
      <w:r>
        <w:t xml:space="preserve"> 2000. </w:t>
      </w:r>
      <w:r w:rsidRPr="00EE7293">
        <w:rPr>
          <w:i/>
        </w:rPr>
        <w:t xml:space="preserve">Guidance for Industry. </w:t>
      </w:r>
      <w:proofErr w:type="gramStart"/>
      <w:r w:rsidRPr="00EE7293">
        <w:rPr>
          <w:i/>
        </w:rPr>
        <w:t>Levothyroxine Sodium Tablets — In Vivo Pharmacokinetic and Bioavailability Studies and In Vitro Dissolution Testing.</w:t>
      </w:r>
      <w:proofErr w:type="gramEnd"/>
    </w:p>
    <w:p w:rsidR="003D1E62" w:rsidRPr="001D043B" w:rsidRDefault="006D7BB6" w:rsidP="00EE7293">
      <w:pPr>
        <w:sectPr w:rsidR="003D1E62" w:rsidRPr="001D043B" w:rsidSect="008D770F">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proofErr w:type="gramStart"/>
      <w:r>
        <w:t>Therapeutic Goods Administration (TGA).</w:t>
      </w:r>
      <w:proofErr w:type="gramEnd"/>
      <w:r>
        <w:t xml:space="preserve"> 2004. </w:t>
      </w:r>
      <w:r w:rsidRPr="003260D6">
        <w:rPr>
          <w:i/>
        </w:rPr>
        <w:t xml:space="preserve">Australian Regulatory Guidelines on Prescription Medicines. </w:t>
      </w:r>
      <w:r>
        <w:t xml:space="preserve">Appendix 15: </w:t>
      </w:r>
      <w:proofErr w:type="spellStart"/>
      <w:r>
        <w:t>Biopharmaceutic</w:t>
      </w:r>
      <w:proofErr w:type="spellEnd"/>
      <w:r>
        <w:t xml:space="preserve"> studies.</w:t>
      </w:r>
      <w:bookmarkEnd w:id="1"/>
      <w:bookmarkEnd w:id="0"/>
      <w:bookmarkEnd w:id="3"/>
      <w:r w:rsidR="008E7846">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180D31">
        <w:trPr>
          <w:trHeight w:hRule="exact" w:val="564"/>
        </w:trPr>
        <w:tc>
          <w:tcPr>
            <w:tcW w:w="9175" w:type="dxa"/>
          </w:tcPr>
          <w:p w:rsidR="00B3567E" w:rsidRPr="00487162" w:rsidRDefault="00B3567E" w:rsidP="00180D31">
            <w:pPr>
              <w:pStyle w:val="TGASignoff"/>
            </w:pPr>
            <w:r w:rsidRPr="00487162">
              <w:lastRenderedPageBreak/>
              <w:t>Therapeutic Goods Administration</w:t>
            </w:r>
          </w:p>
        </w:tc>
      </w:tr>
      <w:tr w:rsidR="00B3567E" w:rsidRPr="00487162" w:rsidTr="00180D31">
        <w:trPr>
          <w:trHeight w:val="1221"/>
        </w:trPr>
        <w:tc>
          <w:tcPr>
            <w:tcW w:w="9175" w:type="dxa"/>
            <w:tcMar>
              <w:top w:w="28" w:type="dxa"/>
            </w:tcMar>
          </w:tcPr>
          <w:p w:rsidR="00B3567E" w:rsidRPr="00487162" w:rsidRDefault="00B3567E" w:rsidP="00180D31">
            <w:pPr>
              <w:pStyle w:val="Address"/>
            </w:pPr>
            <w:r w:rsidRPr="00487162">
              <w:t>PO Box 100 Woden ACT 2606 Australia</w:t>
            </w:r>
          </w:p>
          <w:p w:rsidR="00B3567E" w:rsidRPr="00487162" w:rsidRDefault="00B3567E" w:rsidP="00180D31">
            <w:pPr>
              <w:pStyle w:val="Address"/>
            </w:pPr>
            <w:r w:rsidRPr="00487162">
              <w:t xml:space="preserve">Email: </w:t>
            </w:r>
            <w:hyperlink r:id="rId20" w:history="1">
              <w:r w:rsidRPr="008D770F">
                <w:rPr>
                  <w:rStyle w:val="Hyperlink"/>
                </w:rPr>
                <w:t>info@tga.gov.au</w:t>
              </w:r>
            </w:hyperlink>
            <w:r w:rsidRPr="00487162">
              <w:t xml:space="preserve">  Phone: 1800 020 653  Fax: 02 6232 8605</w:t>
            </w:r>
          </w:p>
          <w:p w:rsidR="00B3567E" w:rsidRPr="008D770F" w:rsidRDefault="00DF31BC" w:rsidP="00180D31">
            <w:pPr>
              <w:pStyle w:val="Address"/>
              <w:spacing w:line="260" w:lineRule="atLeast"/>
              <w:rPr>
                <w:b/>
                <w:color w:val="0000FF"/>
                <w:u w:val="single"/>
              </w:rPr>
            </w:pPr>
            <w:hyperlink r:id="rId2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D31" w:rsidRDefault="00180D31" w:rsidP="00C40A36">
      <w:pPr>
        <w:spacing w:after="0"/>
      </w:pPr>
      <w:r>
        <w:separator/>
      </w:r>
    </w:p>
  </w:endnote>
  <w:endnote w:type="continuationSeparator" w:id="0">
    <w:p w:rsidR="00180D31" w:rsidRDefault="00180D3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180D31" w:rsidRPr="00487162" w:rsidTr="0053625B">
      <w:trPr>
        <w:trHeight w:val="269"/>
      </w:trPr>
      <w:tc>
        <w:tcPr>
          <w:tcW w:w="7938" w:type="dxa"/>
          <w:tcMar>
            <w:top w:w="142" w:type="dxa"/>
            <w:bottom w:w="0" w:type="dxa"/>
          </w:tcMar>
        </w:tcPr>
        <w:p w:rsidR="00180D31" w:rsidRPr="00487162" w:rsidRDefault="006155B4" w:rsidP="00586F98">
          <w:pPr>
            <w:pStyle w:val="Footer"/>
          </w:pPr>
          <w:r>
            <w:t>Submission</w:t>
          </w:r>
          <w:r w:rsidRPr="00487162">
            <w:t xml:space="preserve"> PM-20</w:t>
          </w:r>
          <w:r>
            <w:t xml:space="preserve">1204477-1-5 Extract from the Clinical Evaluation Report for </w:t>
          </w:r>
          <w:proofErr w:type="spellStart"/>
          <w:r>
            <w:t>Eltroxin</w:t>
          </w:r>
          <w:proofErr w:type="spellEnd"/>
          <w:r>
            <w:t xml:space="preserve">/Aspen </w:t>
          </w:r>
          <w:proofErr w:type="spellStart"/>
          <w:r>
            <w:t>Thyroxine</w:t>
          </w:r>
          <w:proofErr w:type="spellEnd"/>
        </w:p>
      </w:tc>
      <w:tc>
        <w:tcPr>
          <w:tcW w:w="923" w:type="dxa"/>
          <w:tcMar>
            <w:top w:w="142" w:type="dxa"/>
            <w:bottom w:w="0" w:type="dxa"/>
          </w:tcMar>
        </w:tcPr>
        <w:p w:rsidR="00180D31" w:rsidRPr="00487162" w:rsidRDefault="00180D31" w:rsidP="00D855D4">
          <w:pPr>
            <w:pStyle w:val="Footer"/>
            <w:jc w:val="right"/>
          </w:pPr>
          <w:r w:rsidRPr="00487162">
            <w:t xml:space="preserve">Page </w:t>
          </w:r>
          <w:r>
            <w:t>2</w:t>
          </w:r>
          <w:r w:rsidRPr="00487162">
            <w:t xml:space="preserve"> of </w:t>
          </w:r>
          <w:r w:rsidR="00DF31BC">
            <w:fldChar w:fldCharType="begin"/>
          </w:r>
          <w:r w:rsidR="00DF31BC">
            <w:instrText xml:space="preserve"> NUMPAGES  \* Arabic </w:instrText>
          </w:r>
          <w:r w:rsidR="00DF31BC">
            <w:fldChar w:fldCharType="separate"/>
          </w:r>
          <w:r w:rsidR="005516B8">
            <w:rPr>
              <w:noProof/>
            </w:rPr>
            <w:t>18</w:t>
          </w:r>
          <w:r w:rsidR="00DF31BC">
            <w:rPr>
              <w:noProof/>
            </w:rPr>
            <w:fldChar w:fldCharType="end"/>
          </w:r>
        </w:p>
      </w:tc>
    </w:tr>
  </w:tbl>
  <w:p w:rsidR="00180D31" w:rsidRDefault="00180D31"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797"/>
      <w:gridCol w:w="1064"/>
    </w:tblGrid>
    <w:tr w:rsidR="00180D31" w:rsidRPr="00487162" w:rsidTr="006155B4">
      <w:trPr>
        <w:trHeight w:val="269"/>
      </w:trPr>
      <w:tc>
        <w:tcPr>
          <w:tcW w:w="7797" w:type="dxa"/>
          <w:tcMar>
            <w:top w:w="142" w:type="dxa"/>
            <w:bottom w:w="0" w:type="dxa"/>
          </w:tcMar>
        </w:tcPr>
        <w:p w:rsidR="00180D31" w:rsidRPr="00487162" w:rsidRDefault="00180D31" w:rsidP="006155B4">
          <w:pPr>
            <w:pStyle w:val="Footer"/>
          </w:pPr>
          <w:r>
            <w:t>Submission</w:t>
          </w:r>
          <w:r w:rsidRPr="00487162">
            <w:t xml:space="preserve"> PM-20</w:t>
          </w:r>
          <w:r w:rsidR="006155B4">
            <w:t>1204477-1-5</w:t>
          </w:r>
          <w:r>
            <w:t xml:space="preserve"> Extract from the Clinical Evaluation Report for </w:t>
          </w:r>
          <w:proofErr w:type="spellStart"/>
          <w:r w:rsidR="006155B4">
            <w:t>Eltroxin</w:t>
          </w:r>
          <w:proofErr w:type="spellEnd"/>
          <w:r w:rsidR="006155B4">
            <w:t xml:space="preserve">/Aspen </w:t>
          </w:r>
          <w:proofErr w:type="spellStart"/>
          <w:r w:rsidR="006155B4">
            <w:t>Thyroxine</w:t>
          </w:r>
          <w:proofErr w:type="spellEnd"/>
        </w:p>
      </w:tc>
      <w:tc>
        <w:tcPr>
          <w:tcW w:w="1064" w:type="dxa"/>
          <w:tcMar>
            <w:top w:w="142" w:type="dxa"/>
            <w:bottom w:w="0" w:type="dxa"/>
          </w:tcMar>
        </w:tcPr>
        <w:p w:rsidR="00180D31" w:rsidRPr="00487162" w:rsidRDefault="00180D31" w:rsidP="00E45619">
          <w:pPr>
            <w:pStyle w:val="Footer"/>
            <w:jc w:val="right"/>
          </w:pPr>
          <w:r w:rsidRPr="00487162">
            <w:t xml:space="preserve">Page </w:t>
          </w:r>
          <w:r>
            <w:fldChar w:fldCharType="begin"/>
          </w:r>
          <w:r>
            <w:instrText>PAGE</w:instrText>
          </w:r>
          <w:r>
            <w:fldChar w:fldCharType="separate"/>
          </w:r>
          <w:r w:rsidR="00DF31BC">
            <w:rPr>
              <w:noProof/>
            </w:rPr>
            <w:t>11</w:t>
          </w:r>
          <w:r>
            <w:rPr>
              <w:noProof/>
            </w:rPr>
            <w:fldChar w:fldCharType="end"/>
          </w:r>
          <w:r w:rsidRPr="00487162">
            <w:t xml:space="preserve"> of </w:t>
          </w:r>
          <w:r w:rsidR="00DF31BC">
            <w:fldChar w:fldCharType="begin"/>
          </w:r>
          <w:r w:rsidR="00DF31BC">
            <w:instrText xml:space="preserve"> NUMPAGES  \* Arabic </w:instrText>
          </w:r>
          <w:r w:rsidR="00DF31BC">
            <w:fldChar w:fldCharType="separate"/>
          </w:r>
          <w:r w:rsidR="00DF31BC">
            <w:rPr>
              <w:noProof/>
            </w:rPr>
            <w:t>18</w:t>
          </w:r>
          <w:r w:rsidR="00DF31BC">
            <w:rPr>
              <w:noProof/>
            </w:rPr>
            <w:fldChar w:fldCharType="end"/>
          </w:r>
        </w:p>
      </w:tc>
    </w:tr>
  </w:tbl>
  <w:p w:rsidR="00180D31" w:rsidRDefault="00180D31"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80D31" w:rsidRPr="00487162" w:rsidTr="00E45619">
      <w:trPr>
        <w:trHeight w:val="269"/>
      </w:trPr>
      <w:tc>
        <w:tcPr>
          <w:tcW w:w="4519" w:type="dxa"/>
          <w:tcBorders>
            <w:top w:val="single" w:sz="4" w:space="0" w:color="auto"/>
          </w:tcBorders>
          <w:tcMar>
            <w:top w:w="142" w:type="dxa"/>
            <w:bottom w:w="0" w:type="dxa"/>
          </w:tcMar>
        </w:tcPr>
        <w:p w:rsidR="00180D31" w:rsidRPr="00487162" w:rsidRDefault="00180D31" w:rsidP="00FE1DEE">
          <w:pPr>
            <w:pStyle w:val="Footer"/>
          </w:pPr>
          <w:r w:rsidRPr="00487162">
            <w:t>Document title, Part #, Section # - Section title</w:t>
          </w:r>
        </w:p>
        <w:p w:rsidR="00180D31" w:rsidRPr="00487162" w:rsidRDefault="00180D31" w:rsidP="00FE1DEE">
          <w:pPr>
            <w:pStyle w:val="Footer"/>
          </w:pPr>
          <w:r w:rsidRPr="00487162">
            <w:t>V1.0 October 2010</w:t>
          </w:r>
        </w:p>
      </w:tc>
      <w:tc>
        <w:tcPr>
          <w:tcW w:w="4342" w:type="dxa"/>
          <w:tcBorders>
            <w:top w:val="single" w:sz="4" w:space="0" w:color="auto"/>
          </w:tcBorders>
          <w:tcMar>
            <w:top w:w="142" w:type="dxa"/>
            <w:bottom w:w="0" w:type="dxa"/>
          </w:tcMar>
        </w:tcPr>
        <w:p w:rsidR="00180D31" w:rsidRPr="00487162" w:rsidRDefault="00180D3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F31BC">
            <w:fldChar w:fldCharType="begin"/>
          </w:r>
          <w:r w:rsidR="00DF31BC">
            <w:instrText xml:space="preserve"> NUMPAGES  </w:instrText>
          </w:r>
          <w:r w:rsidR="00DF31BC">
            <w:fldChar w:fldCharType="separate"/>
          </w:r>
          <w:r w:rsidR="0044161C">
            <w:rPr>
              <w:noProof/>
            </w:rPr>
            <w:t>1</w:t>
          </w:r>
          <w:r w:rsidR="00DF31BC">
            <w:rPr>
              <w:noProof/>
            </w:rPr>
            <w:fldChar w:fldCharType="end"/>
          </w:r>
        </w:p>
      </w:tc>
    </w:tr>
  </w:tbl>
  <w:p w:rsidR="00180D31" w:rsidRDefault="00180D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80D31" w:rsidTr="0010601F">
      <w:trPr>
        <w:trHeight w:val="108"/>
      </w:trPr>
      <w:tc>
        <w:tcPr>
          <w:tcW w:w="8875" w:type="dxa"/>
          <w:gridSpan w:val="2"/>
          <w:tcBorders>
            <w:bottom w:val="single" w:sz="4" w:space="0" w:color="auto"/>
          </w:tcBorders>
          <w:tcMar>
            <w:right w:w="284" w:type="dxa"/>
          </w:tcMar>
        </w:tcPr>
        <w:p w:rsidR="00180D31" w:rsidRDefault="00180D31" w:rsidP="006E08B3">
          <w:pPr>
            <w:pStyle w:val="Heading3"/>
          </w:pPr>
          <w:r>
            <w:t>Copyright</w:t>
          </w:r>
        </w:p>
        <w:p w:rsidR="00180D31" w:rsidRDefault="00180D31" w:rsidP="006E08B3">
          <w:r>
            <w:rPr>
              <w:rFonts w:cs="Arial"/>
            </w:rPr>
            <w:t>©</w:t>
          </w:r>
          <w:r>
            <w:t xml:space="preserve"> Commonwealth of Australia [add year]</w:t>
          </w:r>
        </w:p>
        <w:p w:rsidR="00180D31" w:rsidRDefault="00180D31" w:rsidP="006E08B3"/>
        <w:p w:rsidR="00180D31" w:rsidRDefault="00180D3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80D31" w:rsidRDefault="00180D31" w:rsidP="006E08B3"/>
        <w:p w:rsidR="00180D31" w:rsidRDefault="00180D31" w:rsidP="006E08B3">
          <w:pPr>
            <w:pStyle w:val="Heading3"/>
          </w:pPr>
          <w:r>
            <w:t>Confidentiality</w:t>
          </w:r>
        </w:p>
        <w:p w:rsidR="00180D31" w:rsidRDefault="00180D3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80D31" w:rsidRDefault="00180D31" w:rsidP="006E08B3"/>
        <w:p w:rsidR="00180D31" w:rsidRDefault="00180D31" w:rsidP="006E08B3">
          <w:r>
            <w:t>For submission made by individuals, all personal details, other than your name, will be removed from your submission before it is published on the TGA’s Internet site.</w:t>
          </w:r>
        </w:p>
        <w:p w:rsidR="00180D31" w:rsidRDefault="00180D31" w:rsidP="006E08B3"/>
        <w:p w:rsidR="00180D31" w:rsidRDefault="00180D31" w:rsidP="006E08B3">
          <w:r>
            <w:t>In addition, a list of parties making submissions will be published. If you do not wish to be identified with your submission you must specifically request this in the space provided ib the submission coversheet.</w:t>
          </w:r>
        </w:p>
      </w:tc>
    </w:tr>
    <w:tr w:rsidR="00180D31" w:rsidTr="0010601F">
      <w:trPr>
        <w:trHeight w:val="417"/>
      </w:trPr>
      <w:tc>
        <w:tcPr>
          <w:tcW w:w="4519" w:type="dxa"/>
          <w:tcBorders>
            <w:top w:val="single" w:sz="4" w:space="0" w:color="auto"/>
          </w:tcBorders>
          <w:tcMar>
            <w:top w:w="142" w:type="dxa"/>
            <w:bottom w:w="0" w:type="dxa"/>
          </w:tcMar>
        </w:tcPr>
        <w:p w:rsidR="00180D31" w:rsidRDefault="00180D31" w:rsidP="006E08B3">
          <w:r>
            <w:t>Document title, Part #, Section # - Section title</w:t>
          </w:r>
        </w:p>
        <w:p w:rsidR="00180D31" w:rsidRDefault="00180D31" w:rsidP="006E08B3">
          <w:r>
            <w:t>V1.0 October 2010</w:t>
          </w:r>
        </w:p>
      </w:tc>
      <w:tc>
        <w:tcPr>
          <w:tcW w:w="4356" w:type="dxa"/>
          <w:tcBorders>
            <w:top w:val="single" w:sz="4" w:space="0" w:color="auto"/>
          </w:tcBorders>
          <w:tcMar>
            <w:top w:w="142" w:type="dxa"/>
            <w:bottom w:w="0" w:type="dxa"/>
          </w:tcMar>
        </w:tcPr>
        <w:p w:rsidR="00180D31" w:rsidRDefault="00180D3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F31BC">
            <w:fldChar w:fldCharType="begin"/>
          </w:r>
          <w:r w:rsidR="00DF31BC">
            <w:instrText xml:space="preserve"> NUMPAGES  \* Arabic </w:instrText>
          </w:r>
          <w:r w:rsidR="00DF31BC">
            <w:fldChar w:fldCharType="separate"/>
          </w:r>
          <w:r w:rsidR="0044161C">
            <w:rPr>
              <w:noProof/>
            </w:rPr>
            <w:t>1</w:t>
          </w:r>
          <w:r w:rsidR="00DF31BC">
            <w:rPr>
              <w:noProof/>
            </w:rPr>
            <w:fldChar w:fldCharType="end"/>
          </w:r>
          <w:r>
            <w:t xml:space="preserve">  </w:t>
          </w:r>
        </w:p>
      </w:tc>
    </w:tr>
  </w:tbl>
  <w:p w:rsidR="00180D31" w:rsidRDefault="00180D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D31" w:rsidRDefault="00180D31" w:rsidP="00C40A36">
      <w:pPr>
        <w:spacing w:after="0"/>
      </w:pPr>
      <w:r>
        <w:separator/>
      </w:r>
    </w:p>
  </w:footnote>
  <w:footnote w:type="continuationSeparator" w:id="0">
    <w:p w:rsidR="00180D31" w:rsidRDefault="00180D31" w:rsidP="00C40A36">
      <w:pPr>
        <w:spacing w:after="0"/>
      </w:pPr>
      <w:r>
        <w:continuationSeparator/>
      </w:r>
    </w:p>
  </w:footnote>
  <w:footnote w:id="1">
    <w:p w:rsidR="00180D31" w:rsidRPr="00180D31" w:rsidRDefault="00180D31" w:rsidP="00420C94">
      <w:pPr>
        <w:pStyle w:val="FootnoteText"/>
      </w:pPr>
      <w:r w:rsidRPr="00180D31">
        <w:rPr>
          <w:rStyle w:val="FootnoteReference"/>
          <w:sz w:val="20"/>
        </w:rPr>
        <w:footnoteRef/>
      </w:r>
      <w:r w:rsidRPr="00180D31">
        <w:t xml:space="preserve"> European Medicines Agency (EMA). 2010. </w:t>
      </w:r>
      <w:r w:rsidRPr="00180D31">
        <w:rPr>
          <w:i/>
        </w:rPr>
        <w:t>Guideline on the Investigation of Bioequivalence.</w:t>
      </w:r>
      <w:r w:rsidRPr="00180D31">
        <w:t xml:space="preserve"> Document CPMP/EWP/QWP/1401/98 Rev. 1/ Corr.</w:t>
      </w:r>
      <w:r w:rsidR="00DD6A00" w:rsidRPr="00DD6A00">
        <w:t xml:space="preserve"> at page 12/27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-1081709</wp:posOffset>
          </wp:positionH>
          <wp:positionV relativeFrom="paragraph">
            <wp:posOffset>-585470</wp:posOffset>
          </wp:positionV>
          <wp:extent cx="7572375" cy="10706100"/>
          <wp:effectExtent l="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180D31" w:rsidRDefault="00EE5859"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31" w:rsidRDefault="00180D31" w:rsidP="006E08B3">
    <w:r>
      <w:t>Therapeutic Goods Administration</w:t>
    </w:r>
  </w:p>
  <w:p w:rsidR="00180D31" w:rsidRDefault="00180D3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43050"/>
    <w:lvl w:ilvl="0">
      <w:start w:val="1"/>
      <w:numFmt w:val="decimal"/>
      <w:lvlText w:val="%1."/>
      <w:lvlJc w:val="left"/>
      <w:pPr>
        <w:tabs>
          <w:tab w:val="num" w:pos="1492"/>
        </w:tabs>
        <w:ind w:left="1492" w:hanging="360"/>
      </w:pPr>
    </w:lvl>
  </w:abstractNum>
  <w:abstractNum w:abstractNumId="1">
    <w:nsid w:val="FFFFFF7D"/>
    <w:multiLevelType w:val="singleLevel"/>
    <w:tmpl w:val="F24A98BE"/>
    <w:lvl w:ilvl="0">
      <w:start w:val="1"/>
      <w:numFmt w:val="decimal"/>
      <w:lvlText w:val="%1."/>
      <w:lvlJc w:val="left"/>
      <w:pPr>
        <w:tabs>
          <w:tab w:val="num" w:pos="1209"/>
        </w:tabs>
        <w:ind w:left="1209" w:hanging="360"/>
      </w:pPr>
    </w:lvl>
  </w:abstractNum>
  <w:abstractNum w:abstractNumId="2">
    <w:nsid w:val="FFFFFF7E"/>
    <w:multiLevelType w:val="singleLevel"/>
    <w:tmpl w:val="61C678C8"/>
    <w:lvl w:ilvl="0">
      <w:start w:val="1"/>
      <w:numFmt w:val="decimal"/>
      <w:lvlText w:val="%1."/>
      <w:lvlJc w:val="left"/>
      <w:pPr>
        <w:tabs>
          <w:tab w:val="num" w:pos="926"/>
        </w:tabs>
        <w:ind w:left="926" w:hanging="360"/>
      </w:pPr>
    </w:lvl>
  </w:abstractNum>
  <w:abstractNum w:abstractNumId="3">
    <w:nsid w:val="FFFFFF7F"/>
    <w:multiLevelType w:val="singleLevel"/>
    <w:tmpl w:val="80327838"/>
    <w:lvl w:ilvl="0">
      <w:start w:val="1"/>
      <w:numFmt w:val="decimal"/>
      <w:lvlText w:val="%1."/>
      <w:lvlJc w:val="left"/>
      <w:pPr>
        <w:tabs>
          <w:tab w:val="num" w:pos="643"/>
        </w:tabs>
        <w:ind w:left="643" w:hanging="360"/>
      </w:pPr>
    </w:lvl>
  </w:abstractNum>
  <w:abstractNum w:abstractNumId="4">
    <w:nsid w:val="FFFFFF80"/>
    <w:multiLevelType w:val="singleLevel"/>
    <w:tmpl w:val="10503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7294FC"/>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5E625210"/>
    <w:lvl w:ilvl="0">
      <w:start w:val="1"/>
      <w:numFmt w:val="decimal"/>
      <w:lvlText w:val="%1."/>
      <w:lvlJc w:val="left"/>
      <w:pPr>
        <w:tabs>
          <w:tab w:val="num" w:pos="360"/>
        </w:tabs>
        <w:ind w:left="360" w:hanging="360"/>
      </w:pPr>
    </w:lvl>
  </w:abstractNum>
  <w:abstractNum w:abstractNumId="7">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C200CDD"/>
    <w:multiLevelType w:val="hybridMultilevel"/>
    <w:tmpl w:val="5F6AC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6D0B1B75"/>
    <w:multiLevelType w:val="multilevel"/>
    <w:tmpl w:val="D3FAAFB8"/>
    <w:lvl w:ilvl="0">
      <w:start w:val="1"/>
      <w:numFmt w:val="decimal"/>
      <w:pStyle w:val="Heading2"/>
      <w:lvlText w:val="%1."/>
      <w:lvlJc w:val="left"/>
      <w:pPr>
        <w:tabs>
          <w:tab w:val="num" w:pos="1985"/>
        </w:tabs>
        <w:ind w:left="1985"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3">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EB73A0C"/>
    <w:multiLevelType w:val="multilevel"/>
    <w:tmpl w:val="49C47D18"/>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8"/>
  </w:num>
  <w:num w:numId="2">
    <w:abstractNumId w:val="7"/>
  </w:num>
  <w:num w:numId="3">
    <w:abstractNumId w:val="8"/>
  </w:num>
  <w:num w:numId="4">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2"/>
  </w:num>
  <w:num w:numId="6">
    <w:abstractNumId w:val="10"/>
  </w:num>
  <w:num w:numId="7">
    <w:abstractNumId w:val="11"/>
  </w:num>
  <w:num w:numId="8">
    <w:abstractNumId w:val="13"/>
  </w:num>
  <w:num w:numId="9">
    <w:abstractNumId w:val="9"/>
  </w:num>
  <w:num w:numId="10">
    <w:abstractNumId w:val="14"/>
  </w:num>
  <w:num w:numId="11">
    <w:abstractNumId w:val="2"/>
  </w:num>
  <w:num w:numId="12">
    <w:abstractNumId w:val="1"/>
  </w:num>
  <w:num w:numId="13">
    <w:abstractNumId w:val="0"/>
  </w:num>
  <w:num w:numId="14">
    <w:abstractNumId w:val="3"/>
  </w:num>
  <w:num w:numId="15">
    <w:abstractNumId w:val="6"/>
  </w:num>
  <w:num w:numId="16">
    <w:abstractNumId w:val="4"/>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2"/>
  </w:compat>
  <w:rsids>
    <w:rsidRoot w:val="000D1CED"/>
    <w:rsid w:val="00002031"/>
    <w:rsid w:val="00004734"/>
    <w:rsid w:val="00006B22"/>
    <w:rsid w:val="0001276A"/>
    <w:rsid w:val="00014424"/>
    <w:rsid w:val="000246AE"/>
    <w:rsid w:val="00025C67"/>
    <w:rsid w:val="00040ACB"/>
    <w:rsid w:val="0005559E"/>
    <w:rsid w:val="00077775"/>
    <w:rsid w:val="00090471"/>
    <w:rsid w:val="000A3AED"/>
    <w:rsid w:val="000A63AF"/>
    <w:rsid w:val="000B3532"/>
    <w:rsid w:val="000B3A75"/>
    <w:rsid w:val="000C690F"/>
    <w:rsid w:val="000D1295"/>
    <w:rsid w:val="000D1CED"/>
    <w:rsid w:val="000D391B"/>
    <w:rsid w:val="000D3D6D"/>
    <w:rsid w:val="000D4FC7"/>
    <w:rsid w:val="000D7617"/>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0D31"/>
    <w:rsid w:val="0018110E"/>
    <w:rsid w:val="00181684"/>
    <w:rsid w:val="001843C6"/>
    <w:rsid w:val="001850E0"/>
    <w:rsid w:val="001A2158"/>
    <w:rsid w:val="001A525F"/>
    <w:rsid w:val="001B09F9"/>
    <w:rsid w:val="001B5D98"/>
    <w:rsid w:val="001B6448"/>
    <w:rsid w:val="001E07CF"/>
    <w:rsid w:val="001E59F1"/>
    <w:rsid w:val="001F49EB"/>
    <w:rsid w:val="001F6CBA"/>
    <w:rsid w:val="00201D4E"/>
    <w:rsid w:val="002076C9"/>
    <w:rsid w:val="00220B8A"/>
    <w:rsid w:val="002257F3"/>
    <w:rsid w:val="00233456"/>
    <w:rsid w:val="002339A5"/>
    <w:rsid w:val="0023544D"/>
    <w:rsid w:val="00257848"/>
    <w:rsid w:val="002666AC"/>
    <w:rsid w:val="0027084A"/>
    <w:rsid w:val="002839A7"/>
    <w:rsid w:val="00286434"/>
    <w:rsid w:val="00286C59"/>
    <w:rsid w:val="00292113"/>
    <w:rsid w:val="002942D1"/>
    <w:rsid w:val="0029501A"/>
    <w:rsid w:val="002B1638"/>
    <w:rsid w:val="002C63ED"/>
    <w:rsid w:val="002D545C"/>
    <w:rsid w:val="002D6161"/>
    <w:rsid w:val="002E4C9A"/>
    <w:rsid w:val="002F11F8"/>
    <w:rsid w:val="002F3F56"/>
    <w:rsid w:val="002F44B5"/>
    <w:rsid w:val="00311AC0"/>
    <w:rsid w:val="0032583B"/>
    <w:rsid w:val="00327883"/>
    <w:rsid w:val="00335504"/>
    <w:rsid w:val="003359B8"/>
    <w:rsid w:val="003521E8"/>
    <w:rsid w:val="00361A8F"/>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15D59"/>
    <w:rsid w:val="00420C94"/>
    <w:rsid w:val="0043797D"/>
    <w:rsid w:val="00440A2D"/>
    <w:rsid w:val="0044161C"/>
    <w:rsid w:val="004564A7"/>
    <w:rsid w:val="004617BF"/>
    <w:rsid w:val="00463658"/>
    <w:rsid w:val="004722CC"/>
    <w:rsid w:val="004936E4"/>
    <w:rsid w:val="00494E60"/>
    <w:rsid w:val="00497487"/>
    <w:rsid w:val="004A7E13"/>
    <w:rsid w:val="004B7B76"/>
    <w:rsid w:val="004C2DCA"/>
    <w:rsid w:val="004F0F38"/>
    <w:rsid w:val="004F4AF5"/>
    <w:rsid w:val="004F5A5A"/>
    <w:rsid w:val="00501921"/>
    <w:rsid w:val="00502A89"/>
    <w:rsid w:val="00530354"/>
    <w:rsid w:val="0053625B"/>
    <w:rsid w:val="005426E4"/>
    <w:rsid w:val="005434C6"/>
    <w:rsid w:val="00543B39"/>
    <w:rsid w:val="00550096"/>
    <w:rsid w:val="005516B8"/>
    <w:rsid w:val="00557FF9"/>
    <w:rsid w:val="00576378"/>
    <w:rsid w:val="00577945"/>
    <w:rsid w:val="00577E38"/>
    <w:rsid w:val="00585322"/>
    <w:rsid w:val="005857C6"/>
    <w:rsid w:val="00586F98"/>
    <w:rsid w:val="00592F6E"/>
    <w:rsid w:val="00593AD1"/>
    <w:rsid w:val="005A11BF"/>
    <w:rsid w:val="005A68B6"/>
    <w:rsid w:val="005C5570"/>
    <w:rsid w:val="005C79A4"/>
    <w:rsid w:val="005D5442"/>
    <w:rsid w:val="00603F32"/>
    <w:rsid w:val="006155B4"/>
    <w:rsid w:val="00620406"/>
    <w:rsid w:val="00632398"/>
    <w:rsid w:val="00640FC3"/>
    <w:rsid w:val="00642020"/>
    <w:rsid w:val="00646206"/>
    <w:rsid w:val="0065337B"/>
    <w:rsid w:val="0065419D"/>
    <w:rsid w:val="006604D8"/>
    <w:rsid w:val="00664A5B"/>
    <w:rsid w:val="006763D2"/>
    <w:rsid w:val="00680C08"/>
    <w:rsid w:val="006931B1"/>
    <w:rsid w:val="006A15C0"/>
    <w:rsid w:val="006A782B"/>
    <w:rsid w:val="006C130C"/>
    <w:rsid w:val="006C3E2A"/>
    <w:rsid w:val="006C642F"/>
    <w:rsid w:val="006D03E5"/>
    <w:rsid w:val="006D5D3E"/>
    <w:rsid w:val="006D7BB6"/>
    <w:rsid w:val="006E08B3"/>
    <w:rsid w:val="006F17AC"/>
    <w:rsid w:val="006F1D37"/>
    <w:rsid w:val="006F279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B4323"/>
    <w:rsid w:val="007B6A66"/>
    <w:rsid w:val="007B6E9F"/>
    <w:rsid w:val="007C1216"/>
    <w:rsid w:val="007C1AF7"/>
    <w:rsid w:val="007E6E27"/>
    <w:rsid w:val="00805D27"/>
    <w:rsid w:val="00821776"/>
    <w:rsid w:val="008321F5"/>
    <w:rsid w:val="00832369"/>
    <w:rsid w:val="00832A0C"/>
    <w:rsid w:val="00834660"/>
    <w:rsid w:val="00836BC2"/>
    <w:rsid w:val="008414A0"/>
    <w:rsid w:val="0085641B"/>
    <w:rsid w:val="00857136"/>
    <w:rsid w:val="00881034"/>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6EA5"/>
    <w:rsid w:val="0095160F"/>
    <w:rsid w:val="00963C08"/>
    <w:rsid w:val="0098585A"/>
    <w:rsid w:val="0098669D"/>
    <w:rsid w:val="009A0EA9"/>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4C25"/>
    <w:rsid w:val="00B76B91"/>
    <w:rsid w:val="00B77EB1"/>
    <w:rsid w:val="00B811C6"/>
    <w:rsid w:val="00B85A87"/>
    <w:rsid w:val="00B92E08"/>
    <w:rsid w:val="00B96EBE"/>
    <w:rsid w:val="00BC50E1"/>
    <w:rsid w:val="00BC622A"/>
    <w:rsid w:val="00BD45E3"/>
    <w:rsid w:val="00BE0A78"/>
    <w:rsid w:val="00BE6252"/>
    <w:rsid w:val="00BE79F0"/>
    <w:rsid w:val="00BF046D"/>
    <w:rsid w:val="00BF1190"/>
    <w:rsid w:val="00BF5D04"/>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58EB"/>
    <w:rsid w:val="00C772FF"/>
    <w:rsid w:val="00C801AF"/>
    <w:rsid w:val="00C80256"/>
    <w:rsid w:val="00C811C0"/>
    <w:rsid w:val="00C83B23"/>
    <w:rsid w:val="00CB6BC0"/>
    <w:rsid w:val="00CC1B7C"/>
    <w:rsid w:val="00CC727F"/>
    <w:rsid w:val="00CF15C3"/>
    <w:rsid w:val="00CF2B6F"/>
    <w:rsid w:val="00CF58B6"/>
    <w:rsid w:val="00D017ED"/>
    <w:rsid w:val="00D040D3"/>
    <w:rsid w:val="00D04C65"/>
    <w:rsid w:val="00D224FE"/>
    <w:rsid w:val="00D469F5"/>
    <w:rsid w:val="00D53A31"/>
    <w:rsid w:val="00D6493E"/>
    <w:rsid w:val="00D7301E"/>
    <w:rsid w:val="00D764DE"/>
    <w:rsid w:val="00D83A63"/>
    <w:rsid w:val="00D83AE1"/>
    <w:rsid w:val="00D855D4"/>
    <w:rsid w:val="00D93466"/>
    <w:rsid w:val="00DA1124"/>
    <w:rsid w:val="00DB75B7"/>
    <w:rsid w:val="00DC6E02"/>
    <w:rsid w:val="00DD6A00"/>
    <w:rsid w:val="00DE02AE"/>
    <w:rsid w:val="00DF1D7F"/>
    <w:rsid w:val="00DF31BC"/>
    <w:rsid w:val="00DF4BE4"/>
    <w:rsid w:val="00E00116"/>
    <w:rsid w:val="00E02FB4"/>
    <w:rsid w:val="00E07F15"/>
    <w:rsid w:val="00E20571"/>
    <w:rsid w:val="00E235F7"/>
    <w:rsid w:val="00E23659"/>
    <w:rsid w:val="00E239D4"/>
    <w:rsid w:val="00E26130"/>
    <w:rsid w:val="00E2741C"/>
    <w:rsid w:val="00E40B22"/>
    <w:rsid w:val="00E45619"/>
    <w:rsid w:val="00E4588F"/>
    <w:rsid w:val="00E46DA3"/>
    <w:rsid w:val="00E51BB1"/>
    <w:rsid w:val="00E57C0F"/>
    <w:rsid w:val="00E624A5"/>
    <w:rsid w:val="00E7344E"/>
    <w:rsid w:val="00E936E3"/>
    <w:rsid w:val="00EB0798"/>
    <w:rsid w:val="00EB40AD"/>
    <w:rsid w:val="00EB586E"/>
    <w:rsid w:val="00EB5FC8"/>
    <w:rsid w:val="00ED3CAD"/>
    <w:rsid w:val="00ED5A41"/>
    <w:rsid w:val="00EE1DE8"/>
    <w:rsid w:val="00EE5859"/>
    <w:rsid w:val="00EE7293"/>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0C9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tabs>
        <w:tab w:val="clear" w:pos="1985"/>
        <w:tab w:val="num" w:pos="567"/>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6D7B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7B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E57C0F"/>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rsid w:val="006D7BB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6D7BB6"/>
    <w:pPr>
      <w:numPr>
        <w:numId w:val="6"/>
      </w:numPr>
      <w:spacing w:after="0" w:line="240" w:lineRule="auto"/>
    </w:pPr>
    <w:rPr>
      <w:rFonts w:eastAsia="Times New Roman"/>
      <w:kern w:val="24"/>
      <w:szCs w:val="24"/>
      <w:lang w:eastAsia="en-AU"/>
    </w:rPr>
  </w:style>
  <w:style w:type="paragraph" w:customStyle="1" w:styleId="Bullet2">
    <w:name w:val="Bullet 2"/>
    <w:basedOn w:val="Bullet1"/>
    <w:rsid w:val="006D7BB6"/>
    <w:pPr>
      <w:numPr>
        <w:numId w:val="7"/>
      </w:numPr>
    </w:pPr>
  </w:style>
  <w:style w:type="paragraph" w:styleId="ListParagraph">
    <w:name w:val="List Paragraph"/>
    <w:basedOn w:val="Normal"/>
    <w:uiPriority w:val="34"/>
    <w:qFormat/>
    <w:rsid w:val="006D7B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Heading8Char">
    <w:name w:val="Heading 8 Char"/>
    <w:basedOn w:val="DefaultParagraphFont"/>
    <w:link w:val="Heading8"/>
    <w:uiPriority w:val="9"/>
    <w:semiHidden/>
    <w:rsid w:val="006D7B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7BB6"/>
    <w:rPr>
      <w:rFonts w:asciiTheme="majorHAnsi" w:eastAsiaTheme="majorEastAsia" w:hAnsiTheme="majorHAnsi" w:cstheme="majorBidi"/>
      <w:i/>
      <w:iCs/>
      <w:color w:val="404040" w:themeColor="text1" w:themeTint="BF"/>
      <w:sz w:val="20"/>
      <w:szCs w:val="20"/>
    </w:rPr>
  </w:style>
  <w:style w:type="paragraph" w:customStyle="1" w:styleId="TableBullet">
    <w:name w:val="Table Bullet"/>
    <w:basedOn w:val="Normal"/>
    <w:rsid w:val="006D7BB6"/>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FootnoteText">
    <w:name w:val="footnote text"/>
    <w:basedOn w:val="Normal"/>
    <w:link w:val="FootnoteTextChar"/>
    <w:uiPriority w:val="99"/>
    <w:unhideWhenUsed/>
    <w:rsid w:val="00420C94"/>
    <w:pPr>
      <w:spacing w:before="0" w:after="0" w:line="240" w:lineRule="auto"/>
    </w:pPr>
    <w:rPr>
      <w:sz w:val="18"/>
      <w:szCs w:val="20"/>
    </w:rPr>
  </w:style>
  <w:style w:type="character" w:customStyle="1" w:styleId="FootnoteTextChar">
    <w:name w:val="Footnote Text Char"/>
    <w:basedOn w:val="DefaultParagraphFont"/>
    <w:link w:val="FootnoteText"/>
    <w:uiPriority w:val="99"/>
    <w:rsid w:val="00420C94"/>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80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F789-A58E-4BB8-9D0A-5383E232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Thyroxine sodium</dc:title>
  <dc:subject>prescription medicine regulation</dc:subject>
  <dc:creator>Therapeutic Goods Administration</dc:creator>
  <cp:keywords>clinical, evaluation, report, medicine, assessment, regulation, australia, thyroxine, sodium, eltroxin, aspen, thyrosine, pharma</cp:keywords>
  <cp:lastModifiedBy>dixonj</cp:lastModifiedBy>
  <cp:revision>21</cp:revision>
  <cp:lastPrinted>2010-12-20T22:59:00Z</cp:lastPrinted>
  <dcterms:created xsi:type="dcterms:W3CDTF">2014-06-11T23:35:00Z</dcterms:created>
  <dcterms:modified xsi:type="dcterms:W3CDTF">2014-07-09T00:35:00Z</dcterms:modified>
  <cp:category>external publication</cp:category>
</cp:coreProperties>
</file>