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BD" w:rsidRDefault="00A950BD" w:rsidP="00996578">
      <w:pPr>
        <w:pStyle w:val="NoSpacing"/>
        <w:jc w:val="center"/>
        <w:rPr>
          <w:rFonts w:ascii="Arial" w:hAnsi="Arial" w:cs="Arial"/>
          <w:b/>
        </w:rPr>
      </w:pPr>
    </w:p>
    <w:p w:rsidR="003F035F" w:rsidRPr="005535B3" w:rsidRDefault="005535B3" w:rsidP="00996578">
      <w:pPr>
        <w:pStyle w:val="NoSpacing"/>
        <w:jc w:val="center"/>
        <w:rPr>
          <w:rFonts w:ascii="Arial" w:hAnsi="Arial" w:cs="Arial"/>
          <w:b/>
        </w:rPr>
      </w:pPr>
      <w:r w:rsidRPr="005535B3">
        <w:rPr>
          <w:rFonts w:ascii="Arial" w:hAnsi="Arial" w:cs="Arial"/>
          <w:b/>
        </w:rPr>
        <w:t>PRODUCT INFORMATION</w:t>
      </w:r>
    </w:p>
    <w:p w:rsidR="00996578" w:rsidRDefault="00996578" w:rsidP="00996578">
      <w:pPr>
        <w:pStyle w:val="NoSpacing"/>
        <w:jc w:val="center"/>
        <w:rPr>
          <w:rFonts w:ascii="Arial" w:hAnsi="Arial" w:cs="Arial"/>
          <w:b/>
        </w:rPr>
      </w:pPr>
    </w:p>
    <w:p w:rsidR="00601758" w:rsidRDefault="005535B3" w:rsidP="00601758">
      <w:pPr>
        <w:pStyle w:val="NoSpacing"/>
        <w:spacing w:after="60"/>
        <w:jc w:val="center"/>
        <w:rPr>
          <w:rFonts w:ascii="Arial" w:hAnsi="Arial" w:cs="Arial"/>
          <w:b/>
          <w:vertAlign w:val="superscript"/>
        </w:rPr>
      </w:pPr>
      <w:r w:rsidRPr="005535B3">
        <w:rPr>
          <w:rFonts w:ascii="Arial" w:hAnsi="Arial" w:cs="Arial"/>
          <w:b/>
        </w:rPr>
        <w:t>LUCASSIN</w:t>
      </w:r>
      <w:r w:rsidR="006F51D7">
        <w:rPr>
          <w:rFonts w:ascii="Arial" w:hAnsi="Arial" w:cs="Arial"/>
          <w:b/>
          <w:vertAlign w:val="superscript"/>
        </w:rPr>
        <w:t>®</w:t>
      </w:r>
    </w:p>
    <w:p w:rsidR="00601758" w:rsidRDefault="00601758" w:rsidP="00601758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1758">
        <w:rPr>
          <w:rFonts w:ascii="Arial" w:hAnsi="Arial" w:cs="Arial"/>
          <w:b/>
          <w:sz w:val="24"/>
          <w:szCs w:val="24"/>
        </w:rPr>
        <w:t>(</w:t>
      </w:r>
      <w:proofErr w:type="spellStart"/>
      <w:r w:rsidRPr="006F51D7">
        <w:rPr>
          <w:rFonts w:ascii="Arial" w:hAnsi="Arial" w:cs="Arial"/>
          <w:b/>
          <w:sz w:val="24"/>
          <w:szCs w:val="24"/>
        </w:rPr>
        <w:t>Terlipressin</w:t>
      </w:r>
      <w:proofErr w:type="spellEnd"/>
      <w:r w:rsidRPr="006F51D7">
        <w:rPr>
          <w:rFonts w:ascii="Arial" w:hAnsi="Arial" w:cs="Arial"/>
          <w:b/>
          <w:sz w:val="24"/>
          <w:szCs w:val="24"/>
        </w:rPr>
        <w:t xml:space="preserve"> </w:t>
      </w:r>
      <w:r w:rsidR="006F51D7" w:rsidRPr="006F51D7">
        <w:rPr>
          <w:rFonts w:ascii="Arial" w:hAnsi="Arial" w:cs="Arial"/>
          <w:b/>
          <w:sz w:val="24"/>
          <w:szCs w:val="24"/>
        </w:rPr>
        <w:t>0.85 mg</w:t>
      </w:r>
      <w:r w:rsidRPr="00601758">
        <w:rPr>
          <w:rFonts w:ascii="Arial" w:hAnsi="Arial" w:cs="Arial"/>
          <w:b/>
          <w:sz w:val="24"/>
          <w:szCs w:val="24"/>
        </w:rPr>
        <w:t xml:space="preserve"> powder for injection)</w:t>
      </w:r>
    </w:p>
    <w:p w:rsidR="005535B3" w:rsidRDefault="005535B3" w:rsidP="00601758">
      <w:pPr>
        <w:pStyle w:val="NoSpacing"/>
        <w:jc w:val="center"/>
        <w:rPr>
          <w:rFonts w:ascii="Arial" w:hAnsi="Arial" w:cs="Arial"/>
          <w:b/>
        </w:rPr>
      </w:pPr>
    </w:p>
    <w:p w:rsidR="005535B3" w:rsidRDefault="005535B3" w:rsidP="00996578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NAME OF THE MEDICINE:</w:t>
      </w:r>
    </w:p>
    <w:p w:rsidR="00996578" w:rsidRDefault="00996578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996578" w:rsidRDefault="00996578" w:rsidP="00996578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</w:t>
      </w:r>
      <w:r w:rsidR="00217AA9" w:rsidRPr="00217AA9">
        <w:rPr>
          <w:rFonts w:ascii="Arial" w:hAnsi="Arial" w:cs="Arial"/>
          <w:lang w:val="en-US"/>
        </w:rPr>
        <w:t>erlipressin</w:t>
      </w:r>
      <w:proofErr w:type="spellEnd"/>
      <w:r>
        <w:rPr>
          <w:rFonts w:ascii="Arial" w:hAnsi="Arial" w:cs="Arial"/>
          <w:lang w:val="en-US"/>
        </w:rPr>
        <w:t>.</w:t>
      </w:r>
    </w:p>
    <w:p w:rsidR="00996578" w:rsidRDefault="00996578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996578" w:rsidRPr="00996578" w:rsidRDefault="00996578" w:rsidP="00996578">
      <w:pPr>
        <w:pStyle w:val="NoSpacing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Structure:</w:t>
      </w:r>
    </w:p>
    <w:p w:rsidR="00996578" w:rsidRDefault="00996578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217AA9" w:rsidRDefault="00996578" w:rsidP="00996578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Terlipressin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217AA9" w:rsidRPr="00217AA9">
        <w:rPr>
          <w:rFonts w:ascii="Arial" w:hAnsi="Arial" w:cs="Arial"/>
          <w:lang w:val="en-US"/>
        </w:rPr>
        <w:t xml:space="preserve">is a 12-amino acid peptide with the chemical name </w:t>
      </w:r>
      <w:r w:rsidR="00E40AD9">
        <w:rPr>
          <w:rFonts w:ascii="Arial" w:hAnsi="Arial" w:cs="Arial"/>
          <w:lang w:val="en-US"/>
        </w:rPr>
        <w:t>N-(</w:t>
      </w:r>
      <w:r w:rsidR="00217AA9" w:rsidRPr="00217AA9">
        <w:rPr>
          <w:rFonts w:ascii="Arial" w:hAnsi="Arial" w:cs="Arial"/>
          <w:lang w:val="en-US"/>
        </w:rPr>
        <w:t>N-</w:t>
      </w:r>
      <w:r w:rsidR="00E40AD9">
        <w:rPr>
          <w:rFonts w:ascii="Arial" w:hAnsi="Arial" w:cs="Arial"/>
          <w:lang w:val="en-US"/>
        </w:rPr>
        <w:t xml:space="preserve"> (N-</w:t>
      </w:r>
      <w:proofErr w:type="spellStart"/>
      <w:r w:rsidR="00E40AD9">
        <w:rPr>
          <w:rFonts w:ascii="Arial" w:hAnsi="Arial" w:cs="Arial"/>
          <w:lang w:val="en-US"/>
        </w:rPr>
        <w:t>glycylglycyl</w:t>
      </w:r>
      <w:proofErr w:type="spellEnd"/>
      <w:r w:rsidR="00E40AD9">
        <w:rPr>
          <w:rFonts w:ascii="Arial" w:hAnsi="Arial" w:cs="Arial"/>
          <w:lang w:val="en-US"/>
        </w:rPr>
        <w:t>)</w:t>
      </w:r>
      <w:proofErr w:type="spellStart"/>
      <w:r w:rsidR="00E40AD9">
        <w:rPr>
          <w:rFonts w:ascii="Arial" w:hAnsi="Arial" w:cs="Arial"/>
          <w:lang w:val="en-US"/>
        </w:rPr>
        <w:t>glycyl</w:t>
      </w:r>
      <w:proofErr w:type="spellEnd"/>
      <w:r w:rsidR="00E40AD9">
        <w:rPr>
          <w:rFonts w:ascii="Arial" w:hAnsi="Arial" w:cs="Arial"/>
          <w:lang w:val="en-US"/>
        </w:rPr>
        <w:t>)</w:t>
      </w:r>
      <w:r w:rsidR="00217AA9" w:rsidRPr="00217AA9">
        <w:rPr>
          <w:rFonts w:ascii="Arial" w:hAnsi="Arial" w:cs="Arial"/>
          <w:lang w:val="en-US"/>
        </w:rPr>
        <w:t>-8-</w:t>
      </w:r>
      <w:r w:rsidR="000539DD">
        <w:rPr>
          <w:rFonts w:ascii="Arial" w:hAnsi="Arial" w:cs="Arial"/>
          <w:lang w:val="en-US"/>
        </w:rPr>
        <w:t>L</w:t>
      </w:r>
      <w:r w:rsidR="00217AA9" w:rsidRPr="00217AA9">
        <w:rPr>
          <w:rFonts w:ascii="Arial" w:hAnsi="Arial" w:cs="Arial"/>
          <w:lang w:val="en-US"/>
        </w:rPr>
        <w:t>-lysinevasopressin.</w:t>
      </w:r>
    </w:p>
    <w:p w:rsidR="00996578" w:rsidRPr="00217AA9" w:rsidRDefault="00996578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217AA9" w:rsidRDefault="00217AA9" w:rsidP="00996578">
      <w:pPr>
        <w:pStyle w:val="NoSpacing"/>
        <w:rPr>
          <w:rFonts w:ascii="Arial" w:hAnsi="Arial" w:cs="Arial"/>
          <w:lang w:val="en-US"/>
        </w:rPr>
      </w:pPr>
      <w:proofErr w:type="spellStart"/>
      <w:r w:rsidRPr="00217AA9">
        <w:rPr>
          <w:rFonts w:ascii="Arial" w:hAnsi="Arial" w:cs="Arial"/>
          <w:lang w:val="en-US"/>
        </w:rPr>
        <w:t>Terlipressin</w:t>
      </w:r>
      <w:proofErr w:type="spellEnd"/>
      <w:r w:rsidRPr="00217AA9">
        <w:rPr>
          <w:rFonts w:ascii="Arial" w:hAnsi="Arial" w:cs="Arial"/>
          <w:lang w:val="en-US"/>
        </w:rPr>
        <w:t xml:space="preserve"> has the following amino acid sequence: </w:t>
      </w:r>
    </w:p>
    <w:p w:rsidR="00996578" w:rsidRDefault="00996578" w:rsidP="00996578">
      <w:pPr>
        <w:pStyle w:val="NoSpacing"/>
        <w:rPr>
          <w:rFonts w:ascii="Arial" w:hAnsi="Arial" w:cs="Arial"/>
          <w:lang w:val="en-US"/>
        </w:rPr>
      </w:pPr>
    </w:p>
    <w:p w:rsidR="00217AA9" w:rsidRPr="00217AA9" w:rsidRDefault="00217AA9" w:rsidP="00996578">
      <w:pPr>
        <w:pStyle w:val="NoSpacing"/>
        <w:jc w:val="center"/>
        <w:rPr>
          <w:rFonts w:ascii="Arial" w:hAnsi="Arial" w:cs="Arial"/>
          <w:lang w:val="en-US"/>
        </w:rPr>
      </w:pPr>
      <w:r w:rsidRPr="00217AA9">
        <w:rPr>
          <w:rFonts w:ascii="Arial" w:hAnsi="Arial" w:cs="Arial"/>
          <w:lang w:val="en-US"/>
        </w:rPr>
        <w:t>H-Gly-Gly-Gly-Cys-Tyr-Phe-Gln-Asn-Cys-Pro-Lys-Gly-NH</w:t>
      </w:r>
      <w:r w:rsidRPr="00217AA9">
        <w:rPr>
          <w:rFonts w:ascii="Arial" w:hAnsi="Arial" w:cs="Arial"/>
          <w:vertAlign w:val="subscript"/>
          <w:lang w:val="en-US"/>
        </w:rPr>
        <w:t>2</w:t>
      </w:r>
    </w:p>
    <w:p w:rsidR="00217AA9" w:rsidRPr="00217AA9" w:rsidRDefault="00387473" w:rsidP="00387473">
      <w:pPr>
        <w:pStyle w:val="NoSpacing"/>
        <w:tabs>
          <w:tab w:val="left" w:pos="3248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="00217AA9" w:rsidRPr="00217AA9">
        <w:rPr>
          <w:rFonts w:ascii="Arial" w:hAnsi="Arial" w:cs="Arial"/>
          <w:lang w:val="en-US"/>
        </w:rPr>
        <w:t>|_________________</w:t>
      </w:r>
      <w:r>
        <w:rPr>
          <w:rFonts w:ascii="Arial" w:hAnsi="Arial" w:cs="Arial"/>
          <w:u w:val="single"/>
          <w:lang w:val="en-US"/>
        </w:rPr>
        <w:t xml:space="preserve"> </w:t>
      </w:r>
      <w:r w:rsidR="00217AA9" w:rsidRPr="00217AA9">
        <w:rPr>
          <w:rFonts w:ascii="Arial" w:hAnsi="Arial" w:cs="Arial"/>
          <w:lang w:val="en-US"/>
        </w:rPr>
        <w:t>|</w:t>
      </w:r>
    </w:p>
    <w:p w:rsidR="00996578" w:rsidRDefault="00996578" w:rsidP="00996578">
      <w:pPr>
        <w:pStyle w:val="NoSpacing"/>
        <w:rPr>
          <w:rFonts w:ascii="Arial" w:hAnsi="Arial" w:cs="Arial"/>
          <w:lang w:val="en-US"/>
        </w:rPr>
      </w:pPr>
    </w:p>
    <w:p w:rsidR="00217AA9" w:rsidRPr="00217AA9" w:rsidRDefault="000539DD" w:rsidP="00996578">
      <w:pPr>
        <w:pStyle w:val="NoSpacing"/>
        <w:rPr>
          <w:rFonts w:ascii="Arial" w:hAnsi="Arial" w:cs="Arial"/>
          <w:lang w:val="en-US"/>
        </w:rPr>
      </w:pPr>
      <w:r w:rsidRPr="00ED0FD5">
        <w:rPr>
          <w:rFonts w:ascii="Arial" w:hAnsi="Arial" w:cs="Arial"/>
          <w:b/>
          <w:lang w:val="en-US"/>
        </w:rPr>
        <w:t>M</w:t>
      </w:r>
      <w:r w:rsidR="00217AA9" w:rsidRPr="00ED0FD5">
        <w:rPr>
          <w:rFonts w:ascii="Arial" w:hAnsi="Arial" w:cs="Arial"/>
          <w:b/>
          <w:lang w:val="en-US"/>
        </w:rPr>
        <w:t>olecular formula:</w:t>
      </w:r>
      <w:r w:rsidR="00217AA9" w:rsidRPr="00217AA9">
        <w:rPr>
          <w:rFonts w:ascii="Arial" w:hAnsi="Arial" w:cs="Arial"/>
          <w:lang w:val="en-US"/>
        </w:rPr>
        <w:t xml:space="preserve"> C</w:t>
      </w:r>
      <w:r w:rsidR="00217AA9" w:rsidRPr="00217AA9">
        <w:rPr>
          <w:rFonts w:ascii="Arial" w:hAnsi="Arial" w:cs="Arial"/>
          <w:vertAlign w:val="subscript"/>
          <w:lang w:val="en-US"/>
        </w:rPr>
        <w:t>52</w:t>
      </w:r>
      <w:r w:rsidR="00217AA9" w:rsidRPr="00217AA9">
        <w:rPr>
          <w:rFonts w:ascii="Arial" w:hAnsi="Arial" w:cs="Arial"/>
          <w:lang w:val="en-US"/>
        </w:rPr>
        <w:t xml:space="preserve"> H</w:t>
      </w:r>
      <w:r w:rsidR="00217AA9" w:rsidRPr="00217AA9">
        <w:rPr>
          <w:rFonts w:ascii="Arial" w:hAnsi="Arial" w:cs="Arial"/>
          <w:vertAlign w:val="subscript"/>
          <w:lang w:val="en-US"/>
        </w:rPr>
        <w:t xml:space="preserve">74 </w:t>
      </w:r>
      <w:r w:rsidR="00217AA9" w:rsidRPr="00217AA9">
        <w:rPr>
          <w:rFonts w:ascii="Arial" w:hAnsi="Arial" w:cs="Arial"/>
          <w:lang w:val="en-US"/>
        </w:rPr>
        <w:t>N</w:t>
      </w:r>
      <w:r w:rsidR="00217AA9" w:rsidRPr="00217AA9">
        <w:rPr>
          <w:rFonts w:ascii="Arial" w:hAnsi="Arial" w:cs="Arial"/>
          <w:vertAlign w:val="subscript"/>
          <w:lang w:val="en-US"/>
        </w:rPr>
        <w:t>16</w:t>
      </w:r>
      <w:r w:rsidR="00217AA9" w:rsidRPr="00217AA9">
        <w:rPr>
          <w:rFonts w:ascii="Arial" w:hAnsi="Arial" w:cs="Arial"/>
          <w:lang w:val="en-US"/>
        </w:rPr>
        <w:t xml:space="preserve"> O</w:t>
      </w:r>
      <w:r w:rsidR="00217AA9" w:rsidRPr="00217AA9">
        <w:rPr>
          <w:rFonts w:ascii="Arial" w:hAnsi="Arial" w:cs="Arial"/>
          <w:vertAlign w:val="subscript"/>
          <w:lang w:val="en-US"/>
        </w:rPr>
        <w:t>15</w:t>
      </w:r>
      <w:r w:rsidR="00217AA9" w:rsidRPr="00217AA9">
        <w:rPr>
          <w:rFonts w:ascii="Arial" w:hAnsi="Arial" w:cs="Arial"/>
          <w:lang w:val="en-US"/>
        </w:rPr>
        <w:t xml:space="preserve"> S</w:t>
      </w:r>
      <w:r w:rsidR="00217AA9" w:rsidRPr="00217AA9">
        <w:rPr>
          <w:rFonts w:ascii="Arial" w:hAnsi="Arial" w:cs="Arial"/>
          <w:vertAlign w:val="subscript"/>
          <w:lang w:val="en-US"/>
        </w:rPr>
        <w:t>2</w:t>
      </w:r>
      <w:r w:rsidR="00ED0FD5">
        <w:rPr>
          <w:rFonts w:ascii="Arial" w:hAnsi="Arial" w:cs="Arial"/>
          <w:vertAlign w:val="subscript"/>
          <w:lang w:val="en-US"/>
        </w:rPr>
        <w:t xml:space="preserve"> </w:t>
      </w:r>
      <w:r w:rsidR="00ED0FD5" w:rsidRPr="00ED0FD5">
        <w:rPr>
          <w:rFonts w:ascii="Arial" w:hAnsi="Arial" w:cs="Arial"/>
          <w:lang w:val="en-US"/>
        </w:rPr>
        <w:t>(</w:t>
      </w:r>
      <w:proofErr w:type="spellStart"/>
      <w:r w:rsidR="00ED0FD5" w:rsidRPr="00ED0FD5">
        <w:rPr>
          <w:rFonts w:ascii="Arial" w:hAnsi="Arial" w:cs="Arial"/>
          <w:lang w:val="en-US"/>
        </w:rPr>
        <w:t>terlipressin</w:t>
      </w:r>
      <w:proofErr w:type="spellEnd"/>
      <w:r w:rsidR="00ED0FD5" w:rsidRPr="00ED0FD5">
        <w:rPr>
          <w:rFonts w:ascii="Arial" w:hAnsi="Arial" w:cs="Arial"/>
          <w:lang w:val="en-US"/>
        </w:rPr>
        <w:t xml:space="preserve"> free base).</w:t>
      </w:r>
    </w:p>
    <w:p w:rsidR="00996578" w:rsidRDefault="00996578" w:rsidP="00996578">
      <w:pPr>
        <w:pStyle w:val="NoSpacing"/>
        <w:rPr>
          <w:rFonts w:ascii="Arial" w:hAnsi="Arial" w:cs="Arial"/>
          <w:lang w:val="en-US"/>
        </w:rPr>
      </w:pPr>
    </w:p>
    <w:p w:rsidR="00217AA9" w:rsidRDefault="000539DD" w:rsidP="00996578">
      <w:pPr>
        <w:pStyle w:val="NoSpacing"/>
        <w:rPr>
          <w:rFonts w:ascii="Arial" w:hAnsi="Arial" w:cs="Arial"/>
          <w:lang w:val="en-US"/>
        </w:rPr>
      </w:pPr>
      <w:r w:rsidRPr="00ED0FD5">
        <w:rPr>
          <w:rFonts w:ascii="Arial" w:hAnsi="Arial" w:cs="Arial"/>
          <w:b/>
          <w:lang w:val="en-US"/>
        </w:rPr>
        <w:t>M</w:t>
      </w:r>
      <w:r w:rsidR="00217AA9" w:rsidRPr="00ED0FD5">
        <w:rPr>
          <w:rFonts w:ascii="Arial" w:hAnsi="Arial" w:cs="Arial"/>
          <w:b/>
          <w:lang w:val="en-US"/>
        </w:rPr>
        <w:t>olecular weight</w:t>
      </w:r>
      <w:r w:rsidRPr="00ED0FD5">
        <w:rPr>
          <w:rFonts w:ascii="Arial" w:hAnsi="Arial" w:cs="Arial"/>
          <w:b/>
          <w:lang w:val="en-US"/>
        </w:rPr>
        <w:t>:</w:t>
      </w:r>
      <w:r w:rsidR="00217AA9">
        <w:rPr>
          <w:rFonts w:ascii="Arial" w:hAnsi="Arial" w:cs="Arial"/>
          <w:lang w:val="en-US"/>
        </w:rPr>
        <w:t xml:space="preserve"> 1227.4</w:t>
      </w:r>
      <w:r w:rsidR="00ED0FD5">
        <w:rPr>
          <w:rFonts w:ascii="Arial" w:hAnsi="Arial" w:cs="Arial"/>
          <w:lang w:val="en-US"/>
        </w:rPr>
        <w:t xml:space="preserve"> (</w:t>
      </w:r>
      <w:proofErr w:type="spellStart"/>
      <w:r w:rsidR="00ED0FD5" w:rsidRPr="00ED0FD5">
        <w:rPr>
          <w:rFonts w:ascii="Arial" w:hAnsi="Arial" w:cs="Arial"/>
          <w:lang w:val="en-US"/>
        </w:rPr>
        <w:t>terlipressin</w:t>
      </w:r>
      <w:proofErr w:type="spellEnd"/>
      <w:r w:rsidR="00ED0FD5" w:rsidRPr="00ED0FD5">
        <w:rPr>
          <w:rFonts w:ascii="Arial" w:hAnsi="Arial" w:cs="Arial"/>
          <w:lang w:val="en-US"/>
        </w:rPr>
        <w:t xml:space="preserve"> free base)</w:t>
      </w:r>
    </w:p>
    <w:p w:rsidR="00996578" w:rsidRDefault="00996578" w:rsidP="00996578">
      <w:pPr>
        <w:pStyle w:val="NoSpacing"/>
        <w:rPr>
          <w:rFonts w:ascii="Arial" w:hAnsi="Arial" w:cs="Arial"/>
          <w:lang w:val="en-US"/>
        </w:rPr>
      </w:pPr>
    </w:p>
    <w:p w:rsidR="00217AA9" w:rsidRDefault="00217AA9" w:rsidP="00996578">
      <w:pPr>
        <w:pStyle w:val="NoSpacing"/>
        <w:rPr>
          <w:rFonts w:ascii="Arial" w:hAnsi="Arial" w:cs="Arial"/>
          <w:lang w:val="en-US"/>
        </w:rPr>
      </w:pPr>
      <w:r w:rsidRPr="00ED0FD5">
        <w:rPr>
          <w:rFonts w:ascii="Arial" w:hAnsi="Arial" w:cs="Arial"/>
          <w:b/>
          <w:lang w:val="en-US"/>
        </w:rPr>
        <w:t>CAS number:</w:t>
      </w:r>
      <w:r>
        <w:rPr>
          <w:rFonts w:ascii="Arial" w:hAnsi="Arial" w:cs="Arial"/>
          <w:lang w:val="en-US"/>
        </w:rPr>
        <w:t xml:space="preserve">  14636-12-5</w:t>
      </w:r>
    </w:p>
    <w:p w:rsidR="006F51D7" w:rsidRDefault="006F51D7" w:rsidP="00996578">
      <w:pPr>
        <w:pStyle w:val="NoSpacing"/>
        <w:rPr>
          <w:rFonts w:ascii="Arial" w:hAnsi="Arial" w:cs="Arial"/>
          <w:lang w:val="en-US"/>
        </w:rPr>
      </w:pPr>
    </w:p>
    <w:p w:rsidR="006F51D7" w:rsidRDefault="006F51D7" w:rsidP="00996578">
      <w:pPr>
        <w:pStyle w:val="NoSpacing"/>
        <w:rPr>
          <w:rFonts w:ascii="Arial" w:hAnsi="Arial" w:cs="Arial"/>
          <w:lang w:val="en-US"/>
        </w:rPr>
      </w:pPr>
      <w:proofErr w:type="spellStart"/>
      <w:r w:rsidRPr="006F51D7">
        <w:rPr>
          <w:rFonts w:ascii="Arial" w:hAnsi="Arial" w:cs="Arial"/>
          <w:b/>
          <w:lang w:val="en-US"/>
        </w:rPr>
        <w:t>pKa</w:t>
      </w:r>
      <w:proofErr w:type="spellEnd"/>
      <w:r w:rsidRPr="006F51D7">
        <w:rPr>
          <w:rFonts w:ascii="Arial" w:hAnsi="Arial" w:cs="Arial"/>
          <w:b/>
          <w:lang w:val="en-US"/>
        </w:rPr>
        <w:t xml:space="preserve">: </w:t>
      </w:r>
      <w:r w:rsidRPr="006F51D7">
        <w:rPr>
          <w:rFonts w:ascii="Arial" w:hAnsi="Arial" w:cs="Arial"/>
          <w:lang w:val="en-US"/>
        </w:rPr>
        <w:t>10.01 calculated</w:t>
      </w:r>
    </w:p>
    <w:p w:rsidR="00217AA9" w:rsidRPr="00217AA9" w:rsidRDefault="00217AA9" w:rsidP="00996578">
      <w:pPr>
        <w:pStyle w:val="NoSpacing"/>
        <w:rPr>
          <w:rFonts w:ascii="Arial" w:hAnsi="Arial" w:cs="Arial"/>
          <w:lang w:val="en-US"/>
        </w:rPr>
      </w:pPr>
      <w:r w:rsidRPr="00217AA9">
        <w:rPr>
          <w:rFonts w:ascii="Arial" w:hAnsi="Arial" w:cs="Arial"/>
          <w:lang w:val="en-US"/>
        </w:rPr>
        <w:t xml:space="preserve">  </w:t>
      </w:r>
    </w:p>
    <w:p w:rsidR="00217AA9" w:rsidRPr="00217AA9" w:rsidRDefault="00217AA9" w:rsidP="00D1022F">
      <w:pPr>
        <w:pStyle w:val="NoSpacing"/>
        <w:spacing w:before="120"/>
        <w:rPr>
          <w:rFonts w:ascii="Arial" w:hAnsi="Arial" w:cs="Arial"/>
          <w:b/>
          <w:lang w:val="en-US"/>
        </w:rPr>
      </w:pPr>
      <w:r w:rsidRPr="00217AA9">
        <w:rPr>
          <w:rFonts w:ascii="Arial" w:hAnsi="Arial" w:cs="Arial"/>
          <w:b/>
          <w:lang w:val="en-US"/>
        </w:rPr>
        <w:t>DESCRIPTION</w:t>
      </w:r>
      <w:r w:rsidR="000539DD">
        <w:rPr>
          <w:rFonts w:ascii="Arial" w:hAnsi="Arial" w:cs="Arial"/>
          <w:b/>
          <w:lang w:val="en-US"/>
        </w:rPr>
        <w:t>:</w:t>
      </w:r>
    </w:p>
    <w:p w:rsidR="00D1022F" w:rsidRDefault="00D1022F" w:rsidP="006D6227">
      <w:pPr>
        <w:pStyle w:val="NoSpacing"/>
        <w:jc w:val="both"/>
        <w:rPr>
          <w:rFonts w:ascii="Arial" w:hAnsi="Arial" w:cs="Arial"/>
          <w:color w:val="000000"/>
        </w:rPr>
      </w:pPr>
    </w:p>
    <w:p w:rsidR="00D1022F" w:rsidRDefault="00D1022F" w:rsidP="00AF75C2">
      <w:pPr>
        <w:pStyle w:val="NoSpacing"/>
        <w:spacing w:after="120"/>
        <w:jc w:val="both"/>
        <w:rPr>
          <w:rFonts w:ascii="Arial" w:hAnsi="Arial" w:cs="Arial"/>
          <w:lang w:val="en-US"/>
        </w:rPr>
      </w:pPr>
      <w:r w:rsidRPr="006D6227">
        <w:rPr>
          <w:rFonts w:ascii="Arial" w:hAnsi="Arial" w:cs="Arial"/>
          <w:color w:val="000000"/>
        </w:rPr>
        <w:t>LUCASSIN</w:t>
      </w:r>
      <w:r w:rsidR="00217AA9" w:rsidRPr="00217AA9">
        <w:rPr>
          <w:rFonts w:ascii="Arial" w:hAnsi="Arial" w:cs="Arial"/>
          <w:lang w:val="en-US"/>
        </w:rPr>
        <w:t xml:space="preserve"> is provided as a sterile, lyophilized powder in a clear glass vial for intravenous administration</w:t>
      </w:r>
      <w:r>
        <w:rPr>
          <w:rFonts w:ascii="Arial" w:hAnsi="Arial" w:cs="Arial"/>
          <w:lang w:val="en-US"/>
        </w:rPr>
        <w:t>;</w:t>
      </w:r>
      <w:r w:rsidR="00452EDA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</w:t>
      </w:r>
      <w:r w:rsidR="00217AA9" w:rsidRPr="00217AA9">
        <w:rPr>
          <w:rFonts w:ascii="Arial" w:hAnsi="Arial" w:cs="Arial"/>
          <w:lang w:val="en-US"/>
        </w:rPr>
        <w:t>annitol</w:t>
      </w:r>
      <w:proofErr w:type="spellEnd"/>
      <w:r w:rsidR="00217AA9" w:rsidRPr="00217AA9">
        <w:rPr>
          <w:rFonts w:ascii="Arial" w:hAnsi="Arial" w:cs="Arial"/>
          <w:lang w:val="en-US"/>
        </w:rPr>
        <w:t xml:space="preserve"> </w:t>
      </w:r>
      <w:r w:rsidR="00217AA9" w:rsidRPr="009E4558">
        <w:rPr>
          <w:rFonts w:ascii="Arial" w:hAnsi="Arial" w:cs="Arial"/>
          <w:lang w:val="en-US"/>
        </w:rPr>
        <w:t xml:space="preserve">is used as the caking agent. </w:t>
      </w:r>
      <w:r w:rsidRPr="009E4558">
        <w:rPr>
          <w:rFonts w:ascii="Arial" w:hAnsi="Arial" w:cs="Arial"/>
          <w:lang w:val="en-US"/>
        </w:rPr>
        <w:t xml:space="preserve"> </w:t>
      </w:r>
      <w:r w:rsidR="001277C3" w:rsidRPr="009E4558">
        <w:rPr>
          <w:rFonts w:ascii="Arial" w:hAnsi="Arial" w:cs="Arial"/>
          <w:lang w:val="en-US"/>
        </w:rPr>
        <w:t>Glacial a</w:t>
      </w:r>
      <w:r w:rsidR="00217AA9" w:rsidRPr="009E4558">
        <w:rPr>
          <w:rFonts w:ascii="Arial" w:hAnsi="Arial" w:cs="Arial"/>
          <w:lang w:val="en-US"/>
        </w:rPr>
        <w:t xml:space="preserve">cetic acid </w:t>
      </w:r>
      <w:r w:rsidRPr="009E4558">
        <w:rPr>
          <w:rFonts w:ascii="Arial" w:hAnsi="Arial" w:cs="Arial"/>
          <w:lang w:val="en-US"/>
        </w:rPr>
        <w:t>and/or sodium hydroxide are</w:t>
      </w:r>
      <w:r w:rsidR="00217AA9" w:rsidRPr="009E4558">
        <w:rPr>
          <w:rFonts w:ascii="Arial" w:hAnsi="Arial" w:cs="Arial"/>
          <w:lang w:val="en-US"/>
        </w:rPr>
        <w:t xml:space="preserve"> used to adjust </w:t>
      </w:r>
      <w:r w:rsidR="003359CE" w:rsidRPr="009E4558">
        <w:rPr>
          <w:rFonts w:ascii="Arial" w:hAnsi="Arial" w:cs="Arial"/>
          <w:lang w:val="en-US"/>
        </w:rPr>
        <w:t xml:space="preserve">the </w:t>
      </w:r>
      <w:r w:rsidR="00217AA9" w:rsidRPr="009E4558">
        <w:rPr>
          <w:rFonts w:ascii="Arial" w:hAnsi="Arial" w:cs="Arial"/>
          <w:lang w:val="en-US"/>
        </w:rPr>
        <w:t xml:space="preserve">pH </w:t>
      </w:r>
      <w:r w:rsidR="003359CE" w:rsidRPr="009E4558">
        <w:rPr>
          <w:rFonts w:ascii="Arial" w:hAnsi="Arial" w:cs="Arial"/>
          <w:lang w:val="en-US"/>
        </w:rPr>
        <w:t>to achieve a final product pH of 4.3 - 7.5</w:t>
      </w:r>
      <w:r w:rsidR="00217AA9" w:rsidRPr="009E4558">
        <w:rPr>
          <w:rFonts w:ascii="Arial" w:hAnsi="Arial" w:cs="Arial"/>
          <w:lang w:val="en-US"/>
        </w:rPr>
        <w:t xml:space="preserve">. </w:t>
      </w:r>
      <w:r w:rsidR="00CC43F6" w:rsidRPr="009E4558">
        <w:rPr>
          <w:rFonts w:ascii="Arial" w:hAnsi="Arial" w:cs="Arial"/>
          <w:lang w:val="en-US"/>
        </w:rPr>
        <w:t xml:space="preserve"> </w:t>
      </w:r>
      <w:r w:rsidR="00CC43F6" w:rsidRPr="009E4558">
        <w:rPr>
          <w:rFonts w:ascii="Arial" w:hAnsi="Arial" w:cs="Arial"/>
          <w:color w:val="000000"/>
        </w:rPr>
        <w:t>Each vial of LUCASSIN</w:t>
      </w:r>
      <w:r w:rsidR="00CC43F6" w:rsidRPr="009E4558">
        <w:rPr>
          <w:rFonts w:ascii="Arial" w:hAnsi="Arial" w:cs="Arial"/>
          <w:color w:val="000000"/>
          <w:position w:val="10"/>
          <w:vertAlign w:val="superscript"/>
        </w:rPr>
        <w:t xml:space="preserve"> </w:t>
      </w:r>
      <w:r w:rsidR="00CC43F6" w:rsidRPr="009E4558">
        <w:rPr>
          <w:rFonts w:ascii="Arial" w:hAnsi="Arial" w:cs="Arial"/>
          <w:color w:val="000000"/>
        </w:rPr>
        <w:t xml:space="preserve">contains 0.85 mg </w:t>
      </w:r>
      <w:proofErr w:type="spellStart"/>
      <w:r w:rsidR="00CC43F6" w:rsidRPr="009E4558">
        <w:rPr>
          <w:rFonts w:ascii="Arial" w:hAnsi="Arial" w:cs="Arial"/>
          <w:color w:val="000000"/>
        </w:rPr>
        <w:t>terlipressin</w:t>
      </w:r>
      <w:proofErr w:type="spellEnd"/>
      <w:r w:rsidR="00CC43F6" w:rsidRPr="009E4558">
        <w:rPr>
          <w:rFonts w:ascii="Arial" w:hAnsi="Arial" w:cs="Arial"/>
          <w:color w:val="000000"/>
        </w:rPr>
        <w:t xml:space="preserve"> free base</w:t>
      </w:r>
      <w:r w:rsidR="00A561DC" w:rsidRPr="009E4558">
        <w:rPr>
          <w:rFonts w:ascii="Arial" w:hAnsi="Arial" w:cs="Arial"/>
          <w:color w:val="000000"/>
        </w:rPr>
        <w:t xml:space="preserve"> and approximately two equivalents (0.084 mg) of acetic acid.  Thus, the drug substance is present mainly in the form</w:t>
      </w:r>
      <w:r w:rsidR="00A561DC" w:rsidRPr="00A561DC">
        <w:rPr>
          <w:rFonts w:ascii="Arial" w:hAnsi="Arial" w:cs="Arial"/>
          <w:color w:val="000000"/>
        </w:rPr>
        <w:t xml:space="preserve"> of </w:t>
      </w:r>
      <w:proofErr w:type="spellStart"/>
      <w:r w:rsidR="00A561DC" w:rsidRPr="00A561DC">
        <w:rPr>
          <w:rFonts w:ascii="Arial" w:hAnsi="Arial" w:cs="Arial"/>
          <w:color w:val="000000"/>
        </w:rPr>
        <w:t>terlipressin</w:t>
      </w:r>
      <w:proofErr w:type="spellEnd"/>
      <w:r w:rsidR="00A561DC" w:rsidRPr="00A561DC">
        <w:rPr>
          <w:rFonts w:ascii="Arial" w:hAnsi="Arial" w:cs="Arial"/>
          <w:color w:val="000000"/>
        </w:rPr>
        <w:t xml:space="preserve"> </w:t>
      </w:r>
      <w:proofErr w:type="spellStart"/>
      <w:r w:rsidR="00A561DC" w:rsidRPr="00A561DC">
        <w:rPr>
          <w:rFonts w:ascii="Arial" w:hAnsi="Arial" w:cs="Arial"/>
          <w:color w:val="000000"/>
        </w:rPr>
        <w:t>diacetate</w:t>
      </w:r>
      <w:proofErr w:type="spellEnd"/>
      <w:r w:rsidR="00A561DC" w:rsidRPr="00A561DC">
        <w:rPr>
          <w:rFonts w:ascii="Arial" w:hAnsi="Arial" w:cs="Arial"/>
          <w:color w:val="000000"/>
        </w:rPr>
        <w:t xml:space="preserve">.  </w:t>
      </w:r>
      <w:proofErr w:type="spellStart"/>
      <w:r w:rsidR="00A561DC" w:rsidRPr="00A561DC">
        <w:rPr>
          <w:rFonts w:ascii="Arial" w:hAnsi="Arial" w:cs="Arial"/>
          <w:color w:val="000000"/>
        </w:rPr>
        <w:t>Terlipressin</w:t>
      </w:r>
      <w:proofErr w:type="spellEnd"/>
      <w:r w:rsidR="00A561DC" w:rsidRPr="00A561DC">
        <w:rPr>
          <w:rFonts w:ascii="Arial" w:hAnsi="Arial" w:cs="Arial"/>
          <w:color w:val="000000"/>
        </w:rPr>
        <w:t xml:space="preserve"> </w:t>
      </w:r>
      <w:proofErr w:type="spellStart"/>
      <w:r w:rsidR="00A561DC" w:rsidRPr="00A561DC">
        <w:rPr>
          <w:rFonts w:ascii="Arial" w:hAnsi="Arial" w:cs="Arial"/>
          <w:color w:val="000000"/>
        </w:rPr>
        <w:t>diacetate</w:t>
      </w:r>
      <w:proofErr w:type="spellEnd"/>
      <w:r w:rsidR="00A561DC" w:rsidRPr="00A561DC">
        <w:rPr>
          <w:rFonts w:ascii="Arial" w:hAnsi="Arial" w:cs="Arial"/>
          <w:color w:val="000000"/>
        </w:rPr>
        <w:t xml:space="preserve"> is freely soluble in water.</w:t>
      </w:r>
      <w:r w:rsidR="00CC43F6">
        <w:rPr>
          <w:color w:val="000000"/>
          <w:sz w:val="23"/>
          <w:szCs w:val="23"/>
        </w:rPr>
        <w:t xml:space="preserve">  </w:t>
      </w:r>
    </w:p>
    <w:p w:rsidR="00217AA9" w:rsidRDefault="00217AA9" w:rsidP="006D6227">
      <w:pPr>
        <w:pStyle w:val="NoSpacing"/>
        <w:jc w:val="both"/>
        <w:rPr>
          <w:rFonts w:ascii="Arial" w:hAnsi="Arial" w:cs="Arial"/>
          <w:lang w:val="en-US"/>
        </w:rPr>
      </w:pPr>
      <w:r w:rsidRPr="00217AA9">
        <w:rPr>
          <w:rFonts w:ascii="Arial" w:hAnsi="Arial" w:cs="Arial"/>
          <w:lang w:val="en-US"/>
        </w:rPr>
        <w:t xml:space="preserve">Each vial must be reconstituted with 5mL </w:t>
      </w:r>
      <w:r w:rsidR="00452EDA">
        <w:rPr>
          <w:rFonts w:ascii="Arial" w:hAnsi="Arial" w:cs="Arial"/>
          <w:lang w:val="en-US"/>
        </w:rPr>
        <w:t xml:space="preserve">of </w:t>
      </w:r>
      <w:r w:rsidR="006C58C4" w:rsidRPr="00217AA9">
        <w:rPr>
          <w:rFonts w:ascii="Arial" w:hAnsi="Arial" w:cs="Arial"/>
          <w:lang w:val="en-US"/>
        </w:rPr>
        <w:t>0.9%</w:t>
      </w:r>
      <w:r w:rsidR="006C58C4">
        <w:rPr>
          <w:rFonts w:ascii="Arial" w:hAnsi="Arial" w:cs="Arial"/>
          <w:lang w:val="en-US"/>
        </w:rPr>
        <w:t xml:space="preserve"> </w:t>
      </w:r>
      <w:r w:rsidR="00452EDA">
        <w:rPr>
          <w:rFonts w:ascii="Arial" w:hAnsi="Arial" w:cs="Arial"/>
          <w:lang w:val="en-US"/>
        </w:rPr>
        <w:t>sodium chloride injection</w:t>
      </w:r>
      <w:r w:rsidR="00952B91">
        <w:rPr>
          <w:rFonts w:ascii="Arial" w:hAnsi="Arial" w:cs="Arial"/>
          <w:lang w:val="en-US"/>
        </w:rPr>
        <w:t xml:space="preserve"> prior to use</w:t>
      </w:r>
      <w:r w:rsidR="00452EDA">
        <w:rPr>
          <w:rFonts w:ascii="Arial" w:hAnsi="Arial" w:cs="Arial"/>
          <w:lang w:val="en-US"/>
        </w:rPr>
        <w:t>.</w:t>
      </w:r>
    </w:p>
    <w:p w:rsidR="00E40AD9" w:rsidRDefault="00E40AD9" w:rsidP="00996578">
      <w:pPr>
        <w:pStyle w:val="NoSpacing"/>
        <w:jc w:val="both"/>
        <w:rPr>
          <w:rFonts w:ascii="Arial" w:hAnsi="Arial" w:cs="Arial"/>
          <w:b/>
          <w:lang w:val="en-US"/>
        </w:rPr>
      </w:pPr>
    </w:p>
    <w:p w:rsidR="00E40AD9" w:rsidRPr="00452EDA" w:rsidRDefault="00E40AD9" w:rsidP="00986188">
      <w:pPr>
        <w:pStyle w:val="NoSpacing"/>
        <w:spacing w:before="120"/>
        <w:jc w:val="both"/>
        <w:rPr>
          <w:rFonts w:ascii="Arial" w:hAnsi="Arial" w:cs="Arial"/>
          <w:b/>
          <w:lang w:val="en-US"/>
        </w:rPr>
      </w:pPr>
      <w:r w:rsidRPr="00452EDA">
        <w:rPr>
          <w:rFonts w:ascii="Arial" w:hAnsi="Arial" w:cs="Arial"/>
          <w:b/>
          <w:lang w:val="en-US"/>
        </w:rPr>
        <w:t>PHARMACOLOGY:</w:t>
      </w:r>
    </w:p>
    <w:p w:rsidR="00986188" w:rsidRDefault="00986188" w:rsidP="00996578">
      <w:pPr>
        <w:pStyle w:val="NoSpacing"/>
        <w:jc w:val="both"/>
        <w:rPr>
          <w:rFonts w:ascii="Arial" w:hAnsi="Arial" w:cs="Arial"/>
          <w:b/>
          <w:lang w:val="en-US"/>
        </w:rPr>
      </w:pPr>
    </w:p>
    <w:p w:rsidR="00452EDA" w:rsidRPr="00452EDA" w:rsidRDefault="00452EDA" w:rsidP="00996578">
      <w:pPr>
        <w:pStyle w:val="NoSpacing"/>
        <w:jc w:val="both"/>
        <w:rPr>
          <w:rFonts w:ascii="Arial" w:hAnsi="Arial" w:cs="Arial"/>
          <w:b/>
          <w:lang w:val="en-US"/>
        </w:rPr>
      </w:pPr>
      <w:r w:rsidRPr="00452EDA">
        <w:rPr>
          <w:rFonts w:ascii="Arial" w:hAnsi="Arial" w:cs="Arial"/>
          <w:b/>
          <w:lang w:val="en-US"/>
        </w:rPr>
        <w:t>Mechanism of Action</w:t>
      </w:r>
      <w:r w:rsidR="00986188">
        <w:rPr>
          <w:rFonts w:ascii="Arial" w:hAnsi="Arial" w:cs="Arial"/>
          <w:b/>
          <w:lang w:val="en-US"/>
        </w:rPr>
        <w:t>:</w:t>
      </w:r>
    </w:p>
    <w:p w:rsidR="00986188" w:rsidRDefault="00986188" w:rsidP="00996578">
      <w:pPr>
        <w:pStyle w:val="NoSpacing"/>
        <w:jc w:val="both"/>
        <w:rPr>
          <w:rFonts w:ascii="Arial" w:hAnsi="Arial" w:cs="Arial"/>
          <w:highlight w:val="yellow"/>
          <w:lang w:val="en-US"/>
        </w:rPr>
      </w:pPr>
    </w:p>
    <w:p w:rsidR="00986188" w:rsidRPr="00986188" w:rsidRDefault="00986188" w:rsidP="00996578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Hepatorenal</w:t>
      </w:r>
      <w:proofErr w:type="spellEnd"/>
      <w:r>
        <w:rPr>
          <w:rFonts w:ascii="Arial" w:hAnsi="Arial" w:cs="Arial"/>
          <w:lang w:val="en-US"/>
        </w:rPr>
        <w:t xml:space="preserve"> syndrome (</w:t>
      </w:r>
      <w:r w:rsidRPr="00986188">
        <w:rPr>
          <w:rFonts w:ascii="Arial" w:hAnsi="Arial" w:cs="Arial"/>
          <w:color w:val="000000"/>
        </w:rPr>
        <w:t>HRS</w:t>
      </w:r>
      <w:r>
        <w:rPr>
          <w:rFonts w:ascii="Arial" w:hAnsi="Arial" w:cs="Arial"/>
          <w:color w:val="000000"/>
        </w:rPr>
        <w:t>)</w:t>
      </w:r>
      <w:r w:rsidRPr="00986188">
        <w:rPr>
          <w:rFonts w:ascii="Arial" w:hAnsi="Arial" w:cs="Arial"/>
          <w:color w:val="000000"/>
        </w:rPr>
        <w:t xml:space="preserve"> is caused by intra-renal vasoconstriction and circulatory dy</w:t>
      </w:r>
      <w:r>
        <w:rPr>
          <w:rFonts w:ascii="Arial" w:hAnsi="Arial" w:cs="Arial"/>
          <w:color w:val="000000"/>
        </w:rPr>
        <w:t>sfunction characteris</w:t>
      </w:r>
      <w:r w:rsidRPr="00986188">
        <w:rPr>
          <w:rFonts w:ascii="Arial" w:hAnsi="Arial" w:cs="Arial"/>
          <w:color w:val="000000"/>
        </w:rPr>
        <w:t xml:space="preserve">ed by </w:t>
      </w:r>
      <w:proofErr w:type="spellStart"/>
      <w:r w:rsidRPr="00986188">
        <w:rPr>
          <w:rFonts w:ascii="Arial" w:hAnsi="Arial" w:cs="Arial"/>
          <w:color w:val="000000"/>
        </w:rPr>
        <w:t>vasodilation</w:t>
      </w:r>
      <w:proofErr w:type="spellEnd"/>
      <w:r w:rsidRPr="00986188">
        <w:rPr>
          <w:rFonts w:ascii="Arial" w:hAnsi="Arial" w:cs="Arial"/>
          <w:color w:val="000000"/>
        </w:rPr>
        <w:t xml:space="preserve"> in the </w:t>
      </w:r>
      <w:proofErr w:type="spellStart"/>
      <w:r w:rsidRPr="00986188">
        <w:rPr>
          <w:rFonts w:ascii="Arial" w:hAnsi="Arial" w:cs="Arial"/>
          <w:color w:val="000000"/>
        </w:rPr>
        <w:t>splanchnic</w:t>
      </w:r>
      <w:proofErr w:type="spellEnd"/>
      <w:r w:rsidRPr="00986188">
        <w:rPr>
          <w:rFonts w:ascii="Arial" w:hAnsi="Arial" w:cs="Arial"/>
          <w:color w:val="000000"/>
        </w:rPr>
        <w:t xml:space="preserve"> circulation leading to </w:t>
      </w:r>
      <w:proofErr w:type="spellStart"/>
      <w:r w:rsidRPr="00986188">
        <w:rPr>
          <w:rFonts w:ascii="Arial" w:hAnsi="Arial" w:cs="Arial"/>
          <w:color w:val="000000"/>
        </w:rPr>
        <w:t>hypoperfusion</w:t>
      </w:r>
      <w:proofErr w:type="spellEnd"/>
      <w:r w:rsidRPr="00986188">
        <w:rPr>
          <w:rFonts w:ascii="Arial" w:hAnsi="Arial" w:cs="Arial"/>
          <w:color w:val="000000"/>
        </w:rPr>
        <w:t xml:space="preserve"> of the kidneys. </w:t>
      </w:r>
      <w:r>
        <w:rPr>
          <w:rFonts w:ascii="Arial" w:hAnsi="Arial" w:cs="Arial"/>
          <w:color w:val="000000"/>
        </w:rPr>
        <w:t xml:space="preserve"> </w:t>
      </w:r>
      <w:r w:rsidRPr="00986188">
        <w:rPr>
          <w:rFonts w:ascii="Arial" w:hAnsi="Arial" w:cs="Arial"/>
          <w:color w:val="000000"/>
        </w:rPr>
        <w:t xml:space="preserve">As a result, renal perfusion and </w:t>
      </w:r>
      <w:proofErr w:type="spellStart"/>
      <w:r w:rsidRPr="00986188">
        <w:rPr>
          <w:rFonts w:ascii="Arial" w:hAnsi="Arial" w:cs="Arial"/>
          <w:color w:val="000000"/>
        </w:rPr>
        <w:t>glomerular</w:t>
      </w:r>
      <w:proofErr w:type="spellEnd"/>
      <w:r w:rsidRPr="00986188">
        <w:rPr>
          <w:rFonts w:ascii="Arial" w:hAnsi="Arial" w:cs="Arial"/>
          <w:color w:val="000000"/>
        </w:rPr>
        <w:t xml:space="preserve"> filtration rate are greatly reduced, but tubular function is preserved.</w:t>
      </w:r>
    </w:p>
    <w:p w:rsidR="00986188" w:rsidRDefault="00986188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452EDA" w:rsidRDefault="00986188" w:rsidP="00996578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986188">
        <w:rPr>
          <w:rFonts w:ascii="Arial" w:hAnsi="Arial" w:cs="Arial"/>
          <w:lang w:val="en-US"/>
        </w:rPr>
        <w:t>Terlipressin</w:t>
      </w:r>
      <w:proofErr w:type="spellEnd"/>
      <w:r w:rsidRPr="00986188">
        <w:rPr>
          <w:rFonts w:ascii="Arial" w:hAnsi="Arial" w:cs="Arial"/>
          <w:lang w:val="en-US"/>
        </w:rPr>
        <w:t xml:space="preserve"> is </w:t>
      </w:r>
      <w:r w:rsidR="00996578" w:rsidRPr="00986188">
        <w:rPr>
          <w:rFonts w:ascii="Arial" w:hAnsi="Arial" w:cs="Arial"/>
          <w:lang w:val="en-US"/>
        </w:rPr>
        <w:t>a synthetic vasopressin analog</w:t>
      </w:r>
      <w:r w:rsidR="00C551E2">
        <w:rPr>
          <w:rFonts w:ascii="Arial" w:hAnsi="Arial" w:cs="Arial"/>
          <w:lang w:val="en-US"/>
        </w:rPr>
        <w:t>ue</w:t>
      </w:r>
      <w:r w:rsidR="00996578" w:rsidRPr="00986188">
        <w:rPr>
          <w:rFonts w:ascii="Arial" w:hAnsi="Arial" w:cs="Arial"/>
          <w:lang w:val="en-US"/>
        </w:rPr>
        <w:t xml:space="preserve"> that acts as a </w:t>
      </w:r>
      <w:r w:rsidR="00452EDA" w:rsidRPr="00452EDA">
        <w:rPr>
          <w:rFonts w:ascii="Arial" w:hAnsi="Arial" w:cs="Arial"/>
          <w:lang w:val="en-US"/>
        </w:rPr>
        <w:t xml:space="preserve">systemic vasoconstrictor, via </w:t>
      </w:r>
      <w:r w:rsidRPr="00986188">
        <w:rPr>
          <w:rFonts w:ascii="Arial" w:hAnsi="Arial" w:cs="Arial"/>
          <w:lang w:val="en-US"/>
        </w:rPr>
        <w:t>vasopressin 1</w:t>
      </w:r>
      <w:r w:rsidR="00C551E2">
        <w:rPr>
          <w:rFonts w:ascii="Arial" w:hAnsi="Arial" w:cs="Arial"/>
          <w:lang w:val="en-US"/>
        </w:rPr>
        <w:t>a</w:t>
      </w:r>
      <w:r w:rsidRPr="00986188">
        <w:rPr>
          <w:rFonts w:ascii="Arial" w:hAnsi="Arial" w:cs="Arial"/>
          <w:lang w:val="en-US"/>
        </w:rPr>
        <w:t xml:space="preserve"> (V</w:t>
      </w:r>
      <w:r w:rsidRPr="00986188">
        <w:rPr>
          <w:rFonts w:ascii="Arial" w:hAnsi="Arial" w:cs="Arial"/>
          <w:vertAlign w:val="subscript"/>
          <w:lang w:val="en-US"/>
        </w:rPr>
        <w:t>1</w:t>
      </w:r>
      <w:r w:rsidR="00C551E2">
        <w:rPr>
          <w:rFonts w:ascii="Arial" w:hAnsi="Arial" w:cs="Arial"/>
          <w:vertAlign w:val="subscript"/>
          <w:lang w:val="en-US"/>
        </w:rPr>
        <w:t>a</w:t>
      </w:r>
      <w:r w:rsidRPr="00986188">
        <w:rPr>
          <w:rFonts w:ascii="Arial" w:hAnsi="Arial" w:cs="Arial"/>
          <w:lang w:val="en-US"/>
        </w:rPr>
        <w:t>)</w:t>
      </w:r>
      <w:r w:rsidR="00452EDA" w:rsidRPr="00452EDA">
        <w:rPr>
          <w:rFonts w:ascii="Arial" w:hAnsi="Arial" w:cs="Arial"/>
          <w:lang w:val="en-US"/>
        </w:rPr>
        <w:t xml:space="preserve"> receptors, both as a </w:t>
      </w:r>
      <w:proofErr w:type="spellStart"/>
      <w:r w:rsidR="00452EDA" w:rsidRPr="00452EDA">
        <w:rPr>
          <w:rFonts w:ascii="Arial" w:hAnsi="Arial" w:cs="Arial"/>
          <w:lang w:val="en-US"/>
        </w:rPr>
        <w:t>prodrug</w:t>
      </w:r>
      <w:proofErr w:type="spellEnd"/>
      <w:r w:rsidR="00452EDA" w:rsidRPr="00452EDA">
        <w:rPr>
          <w:rFonts w:ascii="Arial" w:hAnsi="Arial" w:cs="Arial"/>
          <w:lang w:val="en-US"/>
        </w:rPr>
        <w:t xml:space="preserve"> for lysine-vasopressin and having pharmacologic activity on its own, albeit of lower potency than lysine-vasopressin. In HRS patients with </w:t>
      </w:r>
      <w:proofErr w:type="spellStart"/>
      <w:r w:rsidR="00452EDA" w:rsidRPr="00452EDA">
        <w:rPr>
          <w:rFonts w:ascii="Arial" w:hAnsi="Arial" w:cs="Arial"/>
          <w:lang w:val="en-US"/>
        </w:rPr>
        <w:t>hyperdynamic</w:t>
      </w:r>
      <w:proofErr w:type="spellEnd"/>
      <w:r w:rsidR="00452EDA" w:rsidRPr="00452EDA">
        <w:rPr>
          <w:rFonts w:ascii="Arial" w:hAnsi="Arial" w:cs="Arial"/>
          <w:lang w:val="en-US"/>
        </w:rPr>
        <w:t xml:space="preserve"> circulation, the V</w:t>
      </w:r>
      <w:r w:rsidR="00452EDA" w:rsidRPr="00452EDA">
        <w:rPr>
          <w:rFonts w:ascii="Arial" w:hAnsi="Arial" w:cs="Arial"/>
          <w:vertAlign w:val="subscript"/>
          <w:lang w:val="en-US"/>
        </w:rPr>
        <w:t>1</w:t>
      </w:r>
      <w:r w:rsidR="00452EDA" w:rsidRPr="00452EDA">
        <w:rPr>
          <w:rFonts w:ascii="Arial" w:hAnsi="Arial" w:cs="Arial"/>
          <w:lang w:val="en-US"/>
        </w:rPr>
        <w:t xml:space="preserve"> receptor-mediated vasoconstrictor activity of </w:t>
      </w:r>
      <w:proofErr w:type="spellStart"/>
      <w:r w:rsidR="00452EDA" w:rsidRPr="00452EDA">
        <w:rPr>
          <w:rFonts w:ascii="Arial" w:hAnsi="Arial" w:cs="Arial"/>
          <w:lang w:val="en-US"/>
        </w:rPr>
        <w:lastRenderedPageBreak/>
        <w:t>terlipressin</w:t>
      </w:r>
      <w:proofErr w:type="spellEnd"/>
      <w:r w:rsidR="00452EDA" w:rsidRPr="00452EDA">
        <w:rPr>
          <w:rFonts w:ascii="Arial" w:hAnsi="Arial" w:cs="Arial"/>
          <w:lang w:val="en-US"/>
        </w:rPr>
        <w:t xml:space="preserve">, particularly in the </w:t>
      </w:r>
      <w:proofErr w:type="spellStart"/>
      <w:r w:rsidR="00452EDA" w:rsidRPr="00452EDA">
        <w:rPr>
          <w:rFonts w:ascii="Arial" w:hAnsi="Arial" w:cs="Arial"/>
          <w:lang w:val="en-US"/>
        </w:rPr>
        <w:t>splanchnic</w:t>
      </w:r>
      <w:proofErr w:type="spellEnd"/>
      <w:r w:rsidR="00452EDA" w:rsidRPr="00452EDA">
        <w:rPr>
          <w:rFonts w:ascii="Arial" w:hAnsi="Arial" w:cs="Arial"/>
          <w:lang w:val="en-US"/>
        </w:rPr>
        <w:t xml:space="preserve"> area, results in an increase in mean arterial pressure (MAP), </w:t>
      </w:r>
      <w:proofErr w:type="spellStart"/>
      <w:r w:rsidR="00452EDA" w:rsidRPr="00452EDA">
        <w:rPr>
          <w:rFonts w:ascii="Arial" w:hAnsi="Arial" w:cs="Arial"/>
          <w:lang w:val="en-US"/>
        </w:rPr>
        <w:t>normali</w:t>
      </w:r>
      <w:r>
        <w:rPr>
          <w:rFonts w:ascii="Arial" w:hAnsi="Arial" w:cs="Arial"/>
          <w:lang w:val="en-US"/>
        </w:rPr>
        <w:t>s</w:t>
      </w:r>
      <w:r w:rsidR="00452EDA" w:rsidRPr="00452EDA">
        <w:rPr>
          <w:rFonts w:ascii="Arial" w:hAnsi="Arial" w:cs="Arial"/>
          <w:lang w:val="en-US"/>
        </w:rPr>
        <w:t>ation</w:t>
      </w:r>
      <w:proofErr w:type="spellEnd"/>
      <w:r w:rsidR="00452EDA" w:rsidRPr="00452EDA">
        <w:rPr>
          <w:rFonts w:ascii="Arial" w:hAnsi="Arial" w:cs="Arial"/>
          <w:lang w:val="en-US"/>
        </w:rPr>
        <w:t xml:space="preserve"> of endogenous vasoconstrictor systems (</w:t>
      </w:r>
      <w:proofErr w:type="spellStart"/>
      <w:r w:rsidR="00452EDA" w:rsidRPr="00452EDA">
        <w:rPr>
          <w:rFonts w:ascii="Arial" w:hAnsi="Arial" w:cs="Arial"/>
          <w:lang w:val="en-US"/>
        </w:rPr>
        <w:t>renin-angiotensin-aldosterone</w:t>
      </w:r>
      <w:proofErr w:type="spellEnd"/>
      <w:r w:rsidR="00452EDA" w:rsidRPr="00452EDA">
        <w:rPr>
          <w:rFonts w:ascii="Arial" w:hAnsi="Arial" w:cs="Arial"/>
          <w:lang w:val="en-US"/>
        </w:rPr>
        <w:t xml:space="preserve"> and sympathetic nervous system), and an increase in renal blood flow.</w:t>
      </w:r>
      <w:r w:rsidR="00677E33">
        <w:rPr>
          <w:rFonts w:ascii="Arial" w:hAnsi="Arial" w:cs="Arial"/>
          <w:lang w:val="en-US"/>
        </w:rPr>
        <w:t xml:space="preserve">  The therapeutic rationale for treatment of HRS with </w:t>
      </w:r>
      <w:proofErr w:type="spellStart"/>
      <w:r w:rsidR="00677E33">
        <w:rPr>
          <w:rFonts w:ascii="Arial" w:hAnsi="Arial" w:cs="Arial"/>
          <w:lang w:val="en-US"/>
        </w:rPr>
        <w:t>terlipressin</w:t>
      </w:r>
      <w:proofErr w:type="spellEnd"/>
      <w:r w:rsidR="00677E33">
        <w:rPr>
          <w:rFonts w:ascii="Arial" w:hAnsi="Arial" w:cs="Arial"/>
          <w:lang w:val="en-US"/>
        </w:rPr>
        <w:t xml:space="preserve"> is that these effects may result in improved renal function</w:t>
      </w:r>
      <w:r w:rsidR="00B7384E">
        <w:rPr>
          <w:rFonts w:ascii="Arial" w:hAnsi="Arial" w:cs="Arial"/>
          <w:lang w:val="en-US"/>
        </w:rPr>
        <w:t>.</w:t>
      </w:r>
    </w:p>
    <w:p w:rsidR="00051BF3" w:rsidRDefault="00051BF3" w:rsidP="00996578">
      <w:pPr>
        <w:pStyle w:val="NoSpacing"/>
        <w:jc w:val="both"/>
        <w:rPr>
          <w:rFonts w:ascii="Arial" w:hAnsi="Arial" w:cs="Arial"/>
          <w:b/>
          <w:lang w:val="en-US"/>
        </w:rPr>
      </w:pPr>
    </w:p>
    <w:p w:rsidR="00452EDA" w:rsidRPr="00452EDA" w:rsidRDefault="00452EDA" w:rsidP="00996578">
      <w:pPr>
        <w:pStyle w:val="NoSpacing"/>
        <w:jc w:val="both"/>
        <w:rPr>
          <w:rFonts w:ascii="Arial" w:hAnsi="Arial" w:cs="Arial"/>
          <w:b/>
          <w:lang w:val="en-US"/>
        </w:rPr>
      </w:pPr>
      <w:proofErr w:type="spellStart"/>
      <w:r w:rsidRPr="00452EDA">
        <w:rPr>
          <w:rFonts w:ascii="Arial" w:hAnsi="Arial" w:cs="Arial"/>
          <w:b/>
          <w:lang w:val="en-US"/>
        </w:rPr>
        <w:t>Pharmacodynamics</w:t>
      </w:r>
      <w:proofErr w:type="spellEnd"/>
      <w:r w:rsidR="00986188">
        <w:rPr>
          <w:rFonts w:ascii="Arial" w:hAnsi="Arial" w:cs="Arial"/>
          <w:b/>
          <w:lang w:val="en-US"/>
        </w:rPr>
        <w:t>:</w:t>
      </w:r>
    </w:p>
    <w:p w:rsidR="00986188" w:rsidRDefault="00986188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452EDA" w:rsidRPr="009416B6" w:rsidRDefault="00B7384E" w:rsidP="00996578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</w:t>
      </w:r>
      <w:r w:rsidR="00452EDA" w:rsidRPr="00452EDA">
        <w:rPr>
          <w:rFonts w:ascii="Arial" w:hAnsi="Arial" w:cs="Arial"/>
          <w:lang w:val="en-US"/>
        </w:rPr>
        <w:t>erlipressin</w:t>
      </w:r>
      <w:proofErr w:type="spellEnd"/>
      <w:r w:rsidR="00452EDA" w:rsidRPr="00452EDA">
        <w:rPr>
          <w:rFonts w:ascii="Arial" w:hAnsi="Arial" w:cs="Arial"/>
          <w:lang w:val="en-US"/>
        </w:rPr>
        <w:t xml:space="preserve"> increases MAP and decreases heart rate while increasing systemic vascular resistance. </w:t>
      </w:r>
      <w:r w:rsidR="009416B6">
        <w:rPr>
          <w:rFonts w:ascii="Arial" w:hAnsi="Arial" w:cs="Arial"/>
          <w:lang w:val="en-US"/>
        </w:rPr>
        <w:t xml:space="preserve"> </w:t>
      </w:r>
      <w:r w:rsidR="00452EDA" w:rsidRPr="00452EDA">
        <w:rPr>
          <w:rFonts w:ascii="Arial" w:hAnsi="Arial" w:cs="Arial"/>
          <w:lang w:val="en-US"/>
        </w:rPr>
        <w:t xml:space="preserve">The </w:t>
      </w:r>
      <w:proofErr w:type="spellStart"/>
      <w:r w:rsidR="00452EDA" w:rsidRPr="00452EDA">
        <w:rPr>
          <w:rFonts w:ascii="Arial" w:hAnsi="Arial" w:cs="Arial"/>
          <w:lang w:val="en-US"/>
        </w:rPr>
        <w:t>terlipressin</w:t>
      </w:r>
      <w:proofErr w:type="spellEnd"/>
      <w:r w:rsidR="00BE1ECA">
        <w:rPr>
          <w:rFonts w:ascii="Arial" w:hAnsi="Arial" w:cs="Arial"/>
          <w:lang w:val="en-US"/>
        </w:rPr>
        <w:t>-</w:t>
      </w:r>
      <w:r w:rsidR="00452EDA" w:rsidRPr="00452EDA">
        <w:rPr>
          <w:rFonts w:ascii="Arial" w:hAnsi="Arial" w:cs="Arial"/>
          <w:lang w:val="en-US"/>
        </w:rPr>
        <w:t>treated patients in clinical stud</w:t>
      </w:r>
      <w:r w:rsidR="00091028">
        <w:rPr>
          <w:rFonts w:ascii="Arial" w:hAnsi="Arial" w:cs="Arial"/>
          <w:lang w:val="en-US"/>
        </w:rPr>
        <w:t>y</w:t>
      </w:r>
      <w:r w:rsidR="009416B6">
        <w:rPr>
          <w:rFonts w:ascii="Arial" w:hAnsi="Arial" w:cs="Arial"/>
          <w:lang w:val="en-US"/>
        </w:rPr>
        <w:t xml:space="preserve"> </w:t>
      </w:r>
      <w:r w:rsidR="00452EDA" w:rsidRPr="00452EDA">
        <w:rPr>
          <w:rFonts w:ascii="Arial" w:hAnsi="Arial" w:cs="Arial"/>
          <w:lang w:val="en-US"/>
        </w:rPr>
        <w:t xml:space="preserve">OT-0401 </w:t>
      </w:r>
      <w:r w:rsidR="009416B6">
        <w:rPr>
          <w:rFonts w:ascii="Arial" w:hAnsi="Arial" w:cs="Arial"/>
          <w:lang w:val="en-US"/>
        </w:rPr>
        <w:t xml:space="preserve">described in the </w:t>
      </w:r>
      <w:r w:rsidR="009416B6">
        <w:rPr>
          <w:rFonts w:ascii="Arial" w:hAnsi="Arial" w:cs="Arial"/>
          <w:b/>
          <w:lang w:val="en-US"/>
        </w:rPr>
        <w:t>CLINICAL TRIALS</w:t>
      </w:r>
      <w:r w:rsidR="009416B6">
        <w:rPr>
          <w:rFonts w:ascii="Arial" w:hAnsi="Arial" w:cs="Arial"/>
          <w:lang w:val="en-US"/>
        </w:rPr>
        <w:t xml:space="preserve"> section</w:t>
      </w:r>
      <w:r w:rsidR="00452EDA" w:rsidRPr="00452EDA">
        <w:rPr>
          <w:rFonts w:ascii="Arial" w:hAnsi="Arial" w:cs="Arial"/>
          <w:lang w:val="en-US"/>
        </w:rPr>
        <w:t xml:space="preserve"> experienced a significant difference in MAP between responders and non-responders from baseline through end of treatment (OT-0401: +8.3 mmHg, p=0.025</w:t>
      </w:r>
      <w:r w:rsidR="00452EDA" w:rsidRPr="009416B6">
        <w:rPr>
          <w:rFonts w:ascii="Arial" w:hAnsi="Arial" w:cs="Arial"/>
          <w:lang w:val="en-US"/>
        </w:rPr>
        <w:t xml:space="preserve">).  </w:t>
      </w:r>
      <w:r w:rsidR="009416B6" w:rsidRPr="009416B6">
        <w:rPr>
          <w:rFonts w:ascii="Arial" w:hAnsi="Arial" w:cs="Arial"/>
          <w:color w:val="000000"/>
        </w:rPr>
        <w:t xml:space="preserve">In clinical study OT-0401, there were small transient increases in MAP following each dose of </w:t>
      </w:r>
      <w:proofErr w:type="spellStart"/>
      <w:r w:rsidR="009416B6" w:rsidRPr="009416B6">
        <w:rPr>
          <w:rFonts w:ascii="Arial" w:hAnsi="Arial" w:cs="Arial"/>
          <w:color w:val="000000"/>
        </w:rPr>
        <w:t>terlipressin</w:t>
      </w:r>
      <w:proofErr w:type="spellEnd"/>
      <w:r w:rsidR="009416B6" w:rsidRPr="009416B6">
        <w:rPr>
          <w:rFonts w:ascii="Arial" w:hAnsi="Arial" w:cs="Arial"/>
          <w:color w:val="000000"/>
        </w:rPr>
        <w:t>. These transient increases were not associated with HRS reversal, suggesting that it is not feasible to guide dosing by measuring post-dose blood pressure.</w:t>
      </w:r>
    </w:p>
    <w:p w:rsidR="009416B6" w:rsidRPr="00452EDA" w:rsidRDefault="009416B6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452EDA" w:rsidRPr="00452EDA" w:rsidRDefault="00452EDA" w:rsidP="00996578">
      <w:pPr>
        <w:pStyle w:val="NoSpacing"/>
        <w:jc w:val="both"/>
        <w:rPr>
          <w:rFonts w:ascii="Arial" w:hAnsi="Arial" w:cs="Arial"/>
          <w:lang w:val="en-US"/>
        </w:rPr>
      </w:pPr>
      <w:r w:rsidRPr="00BA0012">
        <w:rPr>
          <w:rFonts w:ascii="Arial" w:hAnsi="Arial" w:cs="Arial"/>
          <w:i/>
          <w:lang w:val="en-US"/>
        </w:rPr>
        <w:t>Cardiac Electrophysiology:</w:t>
      </w:r>
      <w:r w:rsidRPr="00452EDA">
        <w:rPr>
          <w:rFonts w:ascii="Arial" w:hAnsi="Arial" w:cs="Arial"/>
          <w:b/>
          <w:i/>
          <w:lang w:val="en-US"/>
        </w:rPr>
        <w:t xml:space="preserve">  </w:t>
      </w:r>
      <w:r w:rsidRPr="00452EDA">
        <w:rPr>
          <w:rFonts w:ascii="Arial" w:hAnsi="Arial" w:cs="Arial"/>
          <w:lang w:val="en-US"/>
        </w:rPr>
        <w:t xml:space="preserve">Changes in QT intervals were assessed in 41 </w:t>
      </w:r>
      <w:proofErr w:type="spellStart"/>
      <w:r w:rsidRPr="00452EDA">
        <w:rPr>
          <w:rFonts w:ascii="Arial" w:hAnsi="Arial" w:cs="Arial"/>
          <w:lang w:val="en-US"/>
        </w:rPr>
        <w:t>terlipressin</w:t>
      </w:r>
      <w:proofErr w:type="spellEnd"/>
      <w:r w:rsidRPr="00452EDA">
        <w:rPr>
          <w:rFonts w:ascii="Arial" w:hAnsi="Arial" w:cs="Arial"/>
          <w:lang w:val="en-US"/>
        </w:rPr>
        <w:t xml:space="preserve">-treated patients with HRS type 1 enrolled in </w:t>
      </w:r>
      <w:r w:rsidR="00E8187F">
        <w:rPr>
          <w:rFonts w:ascii="Arial" w:hAnsi="Arial" w:cs="Arial"/>
          <w:lang w:val="en-US"/>
        </w:rPr>
        <w:t xml:space="preserve">the </w:t>
      </w:r>
      <w:r w:rsidRPr="00452EDA">
        <w:rPr>
          <w:rFonts w:ascii="Arial" w:hAnsi="Arial" w:cs="Arial"/>
          <w:lang w:val="en-US"/>
        </w:rPr>
        <w:t>OT-0401</w:t>
      </w:r>
      <w:r w:rsidR="00E8187F">
        <w:rPr>
          <w:rFonts w:ascii="Arial" w:hAnsi="Arial" w:cs="Arial"/>
          <w:lang w:val="en-US"/>
        </w:rPr>
        <w:t xml:space="preserve"> study</w:t>
      </w:r>
      <w:r w:rsidRPr="00452EDA">
        <w:rPr>
          <w:rFonts w:ascii="Arial" w:hAnsi="Arial" w:cs="Arial"/>
          <w:lang w:val="en-US"/>
        </w:rPr>
        <w:t>.</w:t>
      </w:r>
      <w:r w:rsidR="00813D2D">
        <w:rPr>
          <w:rFonts w:ascii="Arial" w:hAnsi="Arial" w:cs="Arial"/>
          <w:lang w:val="en-US"/>
        </w:rPr>
        <w:t xml:space="preserve"> </w:t>
      </w:r>
      <w:r w:rsidRPr="00452EDA">
        <w:rPr>
          <w:rFonts w:ascii="Arial" w:hAnsi="Arial" w:cs="Arial"/>
          <w:lang w:val="en-US"/>
        </w:rPr>
        <w:t xml:space="preserve"> The time-averaged placebo-corrected change from baseline on </w:t>
      </w:r>
      <w:proofErr w:type="spellStart"/>
      <w:r w:rsidRPr="00452EDA">
        <w:rPr>
          <w:rFonts w:ascii="Arial" w:hAnsi="Arial" w:cs="Arial"/>
          <w:lang w:val="en-US"/>
        </w:rPr>
        <w:t>QTcF</w:t>
      </w:r>
      <w:proofErr w:type="spellEnd"/>
      <w:r w:rsidRPr="00452EDA">
        <w:rPr>
          <w:rFonts w:ascii="Arial" w:hAnsi="Arial" w:cs="Arial"/>
          <w:lang w:val="en-US"/>
        </w:rPr>
        <w:t xml:space="preserve"> was +8</w:t>
      </w:r>
      <w:r w:rsidR="00E8187F">
        <w:rPr>
          <w:rFonts w:ascii="Arial" w:hAnsi="Arial" w:cs="Arial"/>
          <w:lang w:val="en-US"/>
        </w:rPr>
        <w:t xml:space="preserve"> </w:t>
      </w:r>
      <w:r w:rsidRPr="00452EDA">
        <w:rPr>
          <w:rFonts w:ascii="Arial" w:hAnsi="Arial" w:cs="Arial"/>
          <w:lang w:val="en-US"/>
        </w:rPr>
        <w:t xml:space="preserve">msec.  </w:t>
      </w:r>
    </w:p>
    <w:p w:rsidR="009416B6" w:rsidRDefault="009416B6" w:rsidP="00996578">
      <w:pPr>
        <w:pStyle w:val="NoSpacing"/>
        <w:jc w:val="both"/>
        <w:rPr>
          <w:rFonts w:ascii="Arial" w:hAnsi="Arial" w:cs="Arial"/>
          <w:b/>
          <w:lang w:val="en-US"/>
        </w:rPr>
      </w:pPr>
    </w:p>
    <w:p w:rsidR="00452EDA" w:rsidRDefault="00452EDA" w:rsidP="00996578">
      <w:pPr>
        <w:pStyle w:val="NoSpacing"/>
        <w:jc w:val="both"/>
        <w:rPr>
          <w:rFonts w:ascii="Arial" w:hAnsi="Arial" w:cs="Arial"/>
          <w:b/>
          <w:lang w:val="en-US"/>
        </w:rPr>
      </w:pPr>
      <w:r w:rsidRPr="00452EDA">
        <w:rPr>
          <w:rFonts w:ascii="Arial" w:hAnsi="Arial" w:cs="Arial"/>
          <w:b/>
          <w:lang w:val="en-US"/>
        </w:rPr>
        <w:t>Pharmacokinetics</w:t>
      </w:r>
      <w:r w:rsidR="001B751A">
        <w:rPr>
          <w:rFonts w:ascii="Arial" w:hAnsi="Arial" w:cs="Arial"/>
          <w:b/>
          <w:lang w:val="en-US"/>
        </w:rPr>
        <w:t>:</w:t>
      </w:r>
    </w:p>
    <w:p w:rsidR="001B751A" w:rsidRPr="00452EDA" w:rsidRDefault="001B751A" w:rsidP="00996578">
      <w:pPr>
        <w:pStyle w:val="NoSpacing"/>
        <w:jc w:val="both"/>
        <w:rPr>
          <w:rFonts w:ascii="Arial" w:hAnsi="Arial" w:cs="Arial"/>
          <w:b/>
          <w:lang w:val="en-US"/>
        </w:rPr>
      </w:pPr>
    </w:p>
    <w:p w:rsidR="001844A6" w:rsidRDefault="00452EDA" w:rsidP="00996578">
      <w:pPr>
        <w:pStyle w:val="NoSpacing"/>
        <w:jc w:val="both"/>
        <w:rPr>
          <w:rFonts w:ascii="Arial" w:hAnsi="Arial" w:cs="Arial"/>
          <w:lang w:val="en-US"/>
        </w:rPr>
      </w:pPr>
      <w:r w:rsidRPr="00452EDA">
        <w:rPr>
          <w:rFonts w:ascii="Arial" w:hAnsi="Arial" w:cs="Arial"/>
          <w:lang w:val="en-US"/>
        </w:rPr>
        <w:t xml:space="preserve">The pharmacokinetics of </w:t>
      </w:r>
      <w:proofErr w:type="spellStart"/>
      <w:r w:rsidRPr="00452EDA">
        <w:rPr>
          <w:rFonts w:ascii="Arial" w:hAnsi="Arial" w:cs="Arial"/>
          <w:lang w:val="en-US"/>
        </w:rPr>
        <w:t>terlipressin</w:t>
      </w:r>
      <w:proofErr w:type="spellEnd"/>
      <w:r w:rsidRPr="00452EDA">
        <w:rPr>
          <w:rFonts w:ascii="Arial" w:hAnsi="Arial" w:cs="Arial"/>
          <w:lang w:val="en-US"/>
        </w:rPr>
        <w:t xml:space="preserve"> w</w:t>
      </w:r>
      <w:r w:rsidR="00BA0012">
        <w:rPr>
          <w:rFonts w:ascii="Arial" w:hAnsi="Arial" w:cs="Arial"/>
          <w:lang w:val="en-US"/>
        </w:rPr>
        <w:t>as</w:t>
      </w:r>
      <w:r w:rsidRPr="00452EDA">
        <w:rPr>
          <w:rFonts w:ascii="Arial" w:hAnsi="Arial" w:cs="Arial"/>
          <w:lang w:val="en-US"/>
        </w:rPr>
        <w:t xml:space="preserve"> evaluated in 29 patients with HRS type 1 in the OT-</w:t>
      </w:r>
      <w:r w:rsidRPr="006000C2">
        <w:rPr>
          <w:rFonts w:ascii="Arial" w:hAnsi="Arial" w:cs="Arial"/>
          <w:lang w:val="en-US"/>
        </w:rPr>
        <w:t>0401 study</w:t>
      </w:r>
      <w:r w:rsidR="00CF2847" w:rsidRPr="006000C2">
        <w:rPr>
          <w:rFonts w:ascii="Arial" w:hAnsi="Arial" w:cs="Arial"/>
          <w:lang w:val="en-US"/>
        </w:rPr>
        <w:t xml:space="preserve"> using population pharmacokinetic analyses</w:t>
      </w:r>
      <w:r w:rsidRPr="006000C2">
        <w:rPr>
          <w:rFonts w:ascii="Arial" w:hAnsi="Arial" w:cs="Arial"/>
          <w:lang w:val="en-US"/>
        </w:rPr>
        <w:t xml:space="preserve">.  </w:t>
      </w:r>
      <w:r w:rsidR="00BA0012" w:rsidRPr="006000C2">
        <w:rPr>
          <w:rFonts w:ascii="Arial" w:hAnsi="Arial" w:cs="Arial"/>
          <w:lang w:val="en-US"/>
        </w:rPr>
        <w:t xml:space="preserve">The </w:t>
      </w:r>
      <w:r w:rsidRPr="006000C2">
        <w:rPr>
          <w:rFonts w:ascii="Arial" w:hAnsi="Arial" w:cs="Arial"/>
          <w:lang w:val="en-US"/>
        </w:rPr>
        <w:t xml:space="preserve">mean maximum </w:t>
      </w:r>
      <w:proofErr w:type="spellStart"/>
      <w:r w:rsidRPr="006000C2">
        <w:rPr>
          <w:rFonts w:ascii="Arial" w:hAnsi="Arial" w:cs="Arial"/>
          <w:lang w:val="en-US"/>
        </w:rPr>
        <w:t>terlipressin</w:t>
      </w:r>
      <w:proofErr w:type="spellEnd"/>
      <w:r w:rsidRPr="006000C2">
        <w:rPr>
          <w:rFonts w:ascii="Arial" w:hAnsi="Arial" w:cs="Arial"/>
          <w:lang w:val="en-US"/>
        </w:rPr>
        <w:t xml:space="preserve"> concentration of 62.1 </w:t>
      </w:r>
      <w:proofErr w:type="spellStart"/>
      <w:r w:rsidRPr="006000C2">
        <w:rPr>
          <w:rFonts w:ascii="Arial" w:hAnsi="Arial" w:cs="Arial"/>
          <w:lang w:val="en-US"/>
        </w:rPr>
        <w:t>ng</w:t>
      </w:r>
      <w:proofErr w:type="spellEnd"/>
      <w:r w:rsidRPr="006000C2">
        <w:rPr>
          <w:rFonts w:ascii="Arial" w:hAnsi="Arial" w:cs="Arial"/>
          <w:lang w:val="en-US"/>
        </w:rPr>
        <w:t>/</w:t>
      </w:r>
      <w:proofErr w:type="spellStart"/>
      <w:r w:rsidRPr="006000C2">
        <w:rPr>
          <w:rFonts w:ascii="Arial" w:hAnsi="Arial" w:cs="Arial"/>
          <w:lang w:val="en-US"/>
        </w:rPr>
        <w:t>mL</w:t>
      </w:r>
      <w:proofErr w:type="spellEnd"/>
      <w:r w:rsidRPr="006000C2">
        <w:rPr>
          <w:rFonts w:ascii="Arial" w:hAnsi="Arial" w:cs="Arial"/>
          <w:lang w:val="en-US"/>
        </w:rPr>
        <w:t xml:space="preserve"> w</w:t>
      </w:r>
      <w:r w:rsidR="00BA0012" w:rsidRPr="006000C2">
        <w:rPr>
          <w:rFonts w:ascii="Arial" w:hAnsi="Arial" w:cs="Arial"/>
          <w:lang w:val="en-US"/>
        </w:rPr>
        <w:t>as</w:t>
      </w:r>
      <w:r w:rsidRPr="006000C2">
        <w:rPr>
          <w:rFonts w:ascii="Arial" w:hAnsi="Arial" w:cs="Arial"/>
          <w:lang w:val="en-US"/>
        </w:rPr>
        <w:t xml:space="preserve"> observed immediately after dosing</w:t>
      </w:r>
      <w:r w:rsidRPr="00452EDA">
        <w:rPr>
          <w:rFonts w:ascii="Arial" w:hAnsi="Arial" w:cs="Arial"/>
          <w:lang w:val="en-US"/>
        </w:rPr>
        <w:t xml:space="preserve"> (</w:t>
      </w:r>
      <w:r w:rsidR="002467B0" w:rsidRPr="002467B0">
        <w:rPr>
          <w:rFonts w:ascii="Arial" w:hAnsi="Arial" w:cs="Arial"/>
          <w:lang w:val="en-US"/>
        </w:rPr>
        <w:t>0.85</w:t>
      </w:r>
      <w:r w:rsidR="002467B0" w:rsidRPr="00452EDA">
        <w:rPr>
          <w:rFonts w:ascii="Arial" w:hAnsi="Arial" w:cs="Arial"/>
          <w:lang w:val="en-US"/>
        </w:rPr>
        <w:t xml:space="preserve"> </w:t>
      </w:r>
      <w:r w:rsidRPr="00452EDA">
        <w:rPr>
          <w:rFonts w:ascii="Arial" w:hAnsi="Arial" w:cs="Arial"/>
          <w:lang w:val="en-US"/>
        </w:rPr>
        <w:t xml:space="preserve">mg), </w:t>
      </w:r>
      <w:r w:rsidR="001844A6">
        <w:rPr>
          <w:rFonts w:ascii="Arial" w:hAnsi="Arial" w:cs="Arial"/>
          <w:lang w:val="en-US"/>
        </w:rPr>
        <w:t xml:space="preserve">then decayed rapidly </w:t>
      </w:r>
      <w:r w:rsidRPr="00452EDA">
        <w:rPr>
          <w:rFonts w:ascii="Arial" w:hAnsi="Arial" w:cs="Arial"/>
          <w:lang w:val="en-US"/>
        </w:rPr>
        <w:t>with a mean half-life of 1 hour and returned to baseline within the 6</w:t>
      </w:r>
      <w:r w:rsidR="00091009">
        <w:rPr>
          <w:rFonts w:ascii="Arial" w:hAnsi="Arial" w:cs="Arial"/>
          <w:lang w:val="en-US"/>
        </w:rPr>
        <w:t>-</w:t>
      </w:r>
      <w:r w:rsidRPr="00452EDA">
        <w:rPr>
          <w:rFonts w:ascii="Arial" w:hAnsi="Arial" w:cs="Arial"/>
          <w:lang w:val="en-US"/>
        </w:rPr>
        <w:t xml:space="preserve">hour dosing interval.  </w:t>
      </w:r>
      <w:r w:rsidR="00853637">
        <w:rPr>
          <w:rFonts w:ascii="Arial" w:hAnsi="Arial" w:cs="Arial"/>
          <w:lang w:val="en-US"/>
        </w:rPr>
        <w:t>The m</w:t>
      </w:r>
      <w:r w:rsidRPr="00452EDA">
        <w:rPr>
          <w:rFonts w:ascii="Arial" w:hAnsi="Arial" w:cs="Arial"/>
          <w:lang w:val="en-US"/>
        </w:rPr>
        <w:t xml:space="preserve">ean maximum lysine-vasopressin steady-state plasma level </w:t>
      </w:r>
      <w:r w:rsidR="00853637">
        <w:rPr>
          <w:rFonts w:ascii="Arial" w:hAnsi="Arial" w:cs="Arial"/>
          <w:lang w:val="en-US"/>
        </w:rPr>
        <w:t>was</w:t>
      </w:r>
      <w:r w:rsidRPr="00452EDA">
        <w:rPr>
          <w:rFonts w:ascii="Arial" w:hAnsi="Arial" w:cs="Arial"/>
          <w:lang w:val="en-US"/>
        </w:rPr>
        <w:t xml:space="preserve"> 1 </w:t>
      </w:r>
      <w:proofErr w:type="spellStart"/>
      <w:r w:rsidRPr="00452EDA">
        <w:rPr>
          <w:rFonts w:ascii="Arial" w:hAnsi="Arial" w:cs="Arial"/>
          <w:lang w:val="en-US"/>
        </w:rPr>
        <w:t>ng</w:t>
      </w:r>
      <w:proofErr w:type="spellEnd"/>
      <w:r w:rsidRPr="00452EDA">
        <w:rPr>
          <w:rFonts w:ascii="Arial" w:hAnsi="Arial" w:cs="Arial"/>
          <w:lang w:val="en-US"/>
        </w:rPr>
        <w:t>/</w:t>
      </w:r>
      <w:proofErr w:type="spellStart"/>
      <w:r w:rsidRPr="00452EDA">
        <w:rPr>
          <w:rFonts w:ascii="Arial" w:hAnsi="Arial" w:cs="Arial"/>
          <w:lang w:val="en-US"/>
        </w:rPr>
        <w:t>mL</w:t>
      </w:r>
      <w:proofErr w:type="spellEnd"/>
      <w:r w:rsidR="001844A6">
        <w:rPr>
          <w:rFonts w:ascii="Arial" w:hAnsi="Arial" w:cs="Arial"/>
          <w:lang w:val="en-US"/>
        </w:rPr>
        <w:t>,</w:t>
      </w:r>
      <w:r w:rsidR="00853637">
        <w:rPr>
          <w:rFonts w:ascii="Arial" w:hAnsi="Arial" w:cs="Arial"/>
          <w:lang w:val="en-US"/>
        </w:rPr>
        <w:t xml:space="preserve"> </w:t>
      </w:r>
      <w:r w:rsidR="00DF5DA6">
        <w:rPr>
          <w:rFonts w:ascii="Arial" w:hAnsi="Arial" w:cs="Arial"/>
          <w:lang w:val="en-US"/>
        </w:rPr>
        <w:t>and was</w:t>
      </w:r>
      <w:r w:rsidR="001844A6">
        <w:rPr>
          <w:rFonts w:ascii="Arial" w:hAnsi="Arial" w:cs="Arial"/>
          <w:lang w:val="en-US"/>
        </w:rPr>
        <w:t xml:space="preserve"> reached</w:t>
      </w:r>
      <w:r w:rsidRPr="00452EDA">
        <w:rPr>
          <w:rFonts w:ascii="Arial" w:hAnsi="Arial" w:cs="Arial"/>
          <w:lang w:val="en-US"/>
        </w:rPr>
        <w:t xml:space="preserve"> at approximately 2 h</w:t>
      </w:r>
      <w:r w:rsidR="00BA0012">
        <w:rPr>
          <w:rFonts w:ascii="Arial" w:hAnsi="Arial" w:cs="Arial"/>
          <w:lang w:val="en-US"/>
        </w:rPr>
        <w:t>ours</w:t>
      </w:r>
      <w:r w:rsidRPr="00452EDA">
        <w:rPr>
          <w:rFonts w:ascii="Arial" w:hAnsi="Arial" w:cs="Arial"/>
          <w:lang w:val="en-US"/>
        </w:rPr>
        <w:t xml:space="preserve"> post dose.</w:t>
      </w:r>
      <w:r w:rsidR="00DF5DA6">
        <w:rPr>
          <w:rFonts w:ascii="Arial" w:hAnsi="Arial" w:cs="Arial"/>
          <w:lang w:val="en-US"/>
        </w:rPr>
        <w:t xml:space="preserve"> </w:t>
      </w:r>
      <w:r w:rsidRPr="00452EDA">
        <w:rPr>
          <w:rFonts w:ascii="Arial" w:hAnsi="Arial" w:cs="Arial"/>
          <w:lang w:val="en-US"/>
        </w:rPr>
        <w:t xml:space="preserve"> In HRS patients, </w:t>
      </w:r>
      <w:proofErr w:type="spellStart"/>
      <w:r w:rsidRPr="00452EDA">
        <w:rPr>
          <w:rFonts w:ascii="Arial" w:hAnsi="Arial" w:cs="Arial"/>
          <w:lang w:val="en-US"/>
        </w:rPr>
        <w:t>terlipressin</w:t>
      </w:r>
      <w:proofErr w:type="spellEnd"/>
      <w:r w:rsidRPr="00452EDA">
        <w:rPr>
          <w:rFonts w:ascii="Arial" w:hAnsi="Arial" w:cs="Arial"/>
          <w:lang w:val="en-US"/>
        </w:rPr>
        <w:t xml:space="preserve"> and lysine-vasopressin plasma concentrations appear to increase with dose from </w:t>
      </w:r>
      <w:r w:rsidR="002467B0" w:rsidRPr="002467B0">
        <w:rPr>
          <w:rFonts w:ascii="Arial" w:hAnsi="Arial" w:cs="Arial"/>
          <w:lang w:val="en-US"/>
        </w:rPr>
        <w:t>0.85</w:t>
      </w:r>
      <w:r w:rsidR="002467B0" w:rsidRPr="00452EDA">
        <w:rPr>
          <w:rFonts w:ascii="Arial" w:hAnsi="Arial" w:cs="Arial"/>
          <w:lang w:val="en-US"/>
        </w:rPr>
        <w:t xml:space="preserve"> </w:t>
      </w:r>
      <w:r w:rsidRPr="00452EDA">
        <w:rPr>
          <w:rFonts w:ascii="Arial" w:hAnsi="Arial" w:cs="Arial"/>
          <w:lang w:val="en-US"/>
        </w:rPr>
        <w:t xml:space="preserve">mg to </w:t>
      </w:r>
      <w:r w:rsidR="002467B0" w:rsidRPr="002467B0">
        <w:rPr>
          <w:rFonts w:ascii="Arial" w:hAnsi="Arial" w:cs="Arial"/>
          <w:lang w:val="en-US"/>
        </w:rPr>
        <w:t>1.7</w:t>
      </w:r>
      <w:r w:rsidR="002467B0" w:rsidRPr="00452EDA">
        <w:rPr>
          <w:rFonts w:ascii="Arial" w:hAnsi="Arial" w:cs="Arial"/>
          <w:lang w:val="en-US"/>
        </w:rPr>
        <w:t xml:space="preserve"> </w:t>
      </w:r>
      <w:r w:rsidRPr="00452EDA">
        <w:rPr>
          <w:rFonts w:ascii="Arial" w:hAnsi="Arial" w:cs="Arial"/>
          <w:lang w:val="en-US"/>
        </w:rPr>
        <w:t xml:space="preserve">mg </w:t>
      </w:r>
      <w:r w:rsidR="001844A6">
        <w:rPr>
          <w:rFonts w:ascii="Arial" w:hAnsi="Arial" w:cs="Arial"/>
          <w:lang w:val="en-US"/>
        </w:rPr>
        <w:t>(</w:t>
      </w:r>
      <w:proofErr w:type="spellStart"/>
      <w:r w:rsidR="001844A6">
        <w:rPr>
          <w:rFonts w:ascii="Arial" w:hAnsi="Arial" w:cs="Arial"/>
          <w:lang w:val="en-US"/>
        </w:rPr>
        <w:t>terlipressin</w:t>
      </w:r>
      <w:proofErr w:type="spellEnd"/>
      <w:r w:rsidR="001844A6">
        <w:rPr>
          <w:rFonts w:ascii="Arial" w:hAnsi="Arial" w:cs="Arial"/>
          <w:lang w:val="en-US"/>
        </w:rPr>
        <w:t xml:space="preserve"> </w:t>
      </w:r>
      <w:r w:rsidR="00824482" w:rsidRPr="00824482">
        <w:rPr>
          <w:rFonts w:ascii="Arial" w:hAnsi="Arial" w:cs="Arial"/>
          <w:lang w:val="en-US"/>
        </w:rPr>
        <w:t>free base</w:t>
      </w:r>
      <w:r w:rsidR="001844A6">
        <w:rPr>
          <w:rFonts w:ascii="Arial" w:hAnsi="Arial" w:cs="Arial"/>
          <w:lang w:val="en-US"/>
        </w:rPr>
        <w:t xml:space="preserve">) </w:t>
      </w:r>
      <w:r w:rsidRPr="00452EDA">
        <w:rPr>
          <w:rFonts w:ascii="Arial" w:hAnsi="Arial" w:cs="Arial"/>
          <w:lang w:val="en-US"/>
        </w:rPr>
        <w:t xml:space="preserve">every 6 hours.  Despite having significantly compromised hepatic and renal function, HRS patients seem to have a metabolic and </w:t>
      </w:r>
      <w:r w:rsidR="00BA0012">
        <w:rPr>
          <w:rFonts w:ascii="Arial" w:hAnsi="Arial" w:cs="Arial"/>
          <w:lang w:val="en-US"/>
        </w:rPr>
        <w:t>pharmacokinetic</w:t>
      </w:r>
      <w:r w:rsidRPr="00452EDA">
        <w:rPr>
          <w:rFonts w:ascii="Arial" w:hAnsi="Arial" w:cs="Arial"/>
          <w:lang w:val="en-US"/>
        </w:rPr>
        <w:t xml:space="preserve"> disposition of </w:t>
      </w:r>
      <w:proofErr w:type="spellStart"/>
      <w:r w:rsidRPr="00452EDA">
        <w:rPr>
          <w:rFonts w:ascii="Arial" w:hAnsi="Arial" w:cs="Arial"/>
          <w:lang w:val="en-US"/>
        </w:rPr>
        <w:t>terlipressin</w:t>
      </w:r>
      <w:proofErr w:type="spellEnd"/>
      <w:r w:rsidRPr="00452EDA">
        <w:rPr>
          <w:rFonts w:ascii="Arial" w:hAnsi="Arial" w:cs="Arial"/>
          <w:lang w:val="en-US"/>
        </w:rPr>
        <w:t xml:space="preserve"> that is similar to healthy volunteers.</w:t>
      </w:r>
      <w:r w:rsidR="00853637">
        <w:rPr>
          <w:rFonts w:ascii="Arial" w:hAnsi="Arial" w:cs="Arial"/>
          <w:lang w:val="en-US"/>
        </w:rPr>
        <w:t xml:space="preserve"> </w:t>
      </w:r>
    </w:p>
    <w:p w:rsidR="001844A6" w:rsidRDefault="001844A6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452EDA" w:rsidRDefault="00452EDA" w:rsidP="00996578">
      <w:pPr>
        <w:pStyle w:val="NoSpacing"/>
        <w:jc w:val="both"/>
        <w:rPr>
          <w:rFonts w:ascii="Arial" w:hAnsi="Arial" w:cs="Arial"/>
          <w:lang w:val="en-US"/>
        </w:rPr>
      </w:pPr>
      <w:r w:rsidRPr="00452EDA">
        <w:rPr>
          <w:rFonts w:ascii="Arial" w:hAnsi="Arial" w:cs="Arial"/>
          <w:lang w:val="en-US"/>
        </w:rPr>
        <w:t xml:space="preserve">Due to the short half-life and rapid clearance of </w:t>
      </w:r>
      <w:proofErr w:type="spellStart"/>
      <w:r w:rsidRPr="00452EDA">
        <w:rPr>
          <w:rFonts w:ascii="Arial" w:hAnsi="Arial" w:cs="Arial"/>
          <w:lang w:val="en-US"/>
        </w:rPr>
        <w:t>terlipressin</w:t>
      </w:r>
      <w:proofErr w:type="spellEnd"/>
      <w:r w:rsidRPr="00452EDA">
        <w:rPr>
          <w:rFonts w:ascii="Arial" w:hAnsi="Arial" w:cs="Arial"/>
          <w:lang w:val="en-US"/>
        </w:rPr>
        <w:t xml:space="preserve"> (0.375 L/h/kg) in HRS patients, the chance of significant drug accumulation is very low.  </w:t>
      </w:r>
    </w:p>
    <w:p w:rsidR="001844A6" w:rsidRPr="00452EDA" w:rsidRDefault="001844A6" w:rsidP="00996578">
      <w:pPr>
        <w:pStyle w:val="NoSpacing"/>
        <w:jc w:val="both"/>
        <w:rPr>
          <w:rFonts w:ascii="Arial" w:hAnsi="Arial" w:cs="Arial"/>
          <w:b/>
          <w:lang w:val="en-US"/>
        </w:rPr>
      </w:pPr>
    </w:p>
    <w:p w:rsidR="00452EDA" w:rsidRPr="00452EDA" w:rsidRDefault="00051BF3" w:rsidP="00996578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</w:t>
      </w:r>
      <w:r w:rsidR="00452EDA" w:rsidRPr="00452EDA">
        <w:rPr>
          <w:rFonts w:ascii="Arial" w:hAnsi="Arial" w:cs="Arial"/>
          <w:lang w:val="en-US"/>
        </w:rPr>
        <w:t xml:space="preserve">leavage of the N-terminal </w:t>
      </w:r>
      <w:proofErr w:type="spellStart"/>
      <w:r w:rsidR="00452EDA" w:rsidRPr="00452EDA">
        <w:rPr>
          <w:rFonts w:ascii="Arial" w:hAnsi="Arial" w:cs="Arial"/>
          <w:lang w:val="en-US"/>
        </w:rPr>
        <w:t>glycyl</w:t>
      </w:r>
      <w:proofErr w:type="spellEnd"/>
      <w:r w:rsidR="00452EDA" w:rsidRPr="00452EDA">
        <w:rPr>
          <w:rFonts w:ascii="Arial" w:hAnsi="Arial" w:cs="Arial"/>
          <w:lang w:val="en-US"/>
        </w:rPr>
        <w:t xml:space="preserve"> residues of </w:t>
      </w:r>
      <w:proofErr w:type="spellStart"/>
      <w:r w:rsidR="00452EDA" w:rsidRPr="00452EDA">
        <w:rPr>
          <w:rFonts w:ascii="Arial" w:hAnsi="Arial" w:cs="Arial"/>
          <w:lang w:val="en-US"/>
        </w:rPr>
        <w:t>terlipressin</w:t>
      </w:r>
      <w:proofErr w:type="spellEnd"/>
      <w:r w:rsidR="00452EDA" w:rsidRPr="00452EDA">
        <w:rPr>
          <w:rFonts w:ascii="Arial" w:hAnsi="Arial" w:cs="Arial"/>
          <w:lang w:val="en-US"/>
        </w:rPr>
        <w:t xml:space="preserve"> by various tissue peptidases results in release of lysine-vasopressin.</w:t>
      </w:r>
      <w:r w:rsidR="00DF5DA6">
        <w:rPr>
          <w:rFonts w:ascii="Arial" w:hAnsi="Arial" w:cs="Arial"/>
          <w:lang w:val="en-US"/>
        </w:rPr>
        <w:t xml:space="preserve"> </w:t>
      </w:r>
      <w:r w:rsidR="00452EDA" w:rsidRPr="00452EDA">
        <w:rPr>
          <w:rFonts w:ascii="Arial" w:hAnsi="Arial" w:cs="Arial"/>
          <w:lang w:val="en-US"/>
        </w:rPr>
        <w:t xml:space="preserve"> </w:t>
      </w:r>
      <w:proofErr w:type="spellStart"/>
      <w:r w:rsidR="00853637">
        <w:rPr>
          <w:rFonts w:ascii="Arial" w:hAnsi="Arial" w:cs="Arial"/>
          <w:lang w:val="en-US"/>
        </w:rPr>
        <w:t>T</w:t>
      </w:r>
      <w:r w:rsidR="00452EDA" w:rsidRPr="00452EDA">
        <w:rPr>
          <w:rFonts w:ascii="Arial" w:hAnsi="Arial" w:cs="Arial"/>
          <w:lang w:val="en-US"/>
        </w:rPr>
        <w:t>erlipressin</w:t>
      </w:r>
      <w:proofErr w:type="spellEnd"/>
      <w:r w:rsidR="00452EDA" w:rsidRPr="00452EDA">
        <w:rPr>
          <w:rFonts w:ascii="Arial" w:hAnsi="Arial" w:cs="Arial"/>
          <w:lang w:val="en-US"/>
        </w:rPr>
        <w:t xml:space="preserve"> is almost completely </w:t>
      </w:r>
      <w:proofErr w:type="spellStart"/>
      <w:r w:rsidR="00452EDA" w:rsidRPr="00452EDA">
        <w:rPr>
          <w:rFonts w:ascii="Arial" w:hAnsi="Arial" w:cs="Arial"/>
          <w:lang w:val="en-US"/>
        </w:rPr>
        <w:t>metaboli</w:t>
      </w:r>
      <w:r w:rsidR="001844A6">
        <w:rPr>
          <w:rFonts w:ascii="Arial" w:hAnsi="Arial" w:cs="Arial"/>
          <w:lang w:val="en-US"/>
        </w:rPr>
        <w:t>s</w:t>
      </w:r>
      <w:r w:rsidR="00452EDA" w:rsidRPr="00452EDA">
        <w:rPr>
          <w:rFonts w:ascii="Arial" w:hAnsi="Arial" w:cs="Arial"/>
          <w:lang w:val="en-US"/>
        </w:rPr>
        <w:t>ed</w:t>
      </w:r>
      <w:proofErr w:type="spellEnd"/>
      <w:r w:rsidR="00452EDA" w:rsidRPr="00452EDA">
        <w:rPr>
          <w:rFonts w:ascii="Arial" w:hAnsi="Arial" w:cs="Arial"/>
          <w:lang w:val="en-US"/>
        </w:rPr>
        <w:t xml:space="preserve"> in tissue (not plasma), with less than 1% of </w:t>
      </w:r>
      <w:proofErr w:type="spellStart"/>
      <w:r w:rsidR="00452EDA" w:rsidRPr="00452EDA">
        <w:rPr>
          <w:rFonts w:ascii="Arial" w:hAnsi="Arial" w:cs="Arial"/>
          <w:lang w:val="en-US"/>
        </w:rPr>
        <w:t>terlipressin</w:t>
      </w:r>
      <w:proofErr w:type="spellEnd"/>
      <w:r w:rsidR="00452EDA" w:rsidRPr="00452EDA">
        <w:rPr>
          <w:rFonts w:ascii="Arial" w:hAnsi="Arial" w:cs="Arial"/>
          <w:lang w:val="en-US"/>
        </w:rPr>
        <w:t xml:space="preserve"> and &lt;0.1% lysine-vasopressin excreted in urine in </w:t>
      </w:r>
      <w:r w:rsidR="00853637">
        <w:rPr>
          <w:rFonts w:ascii="Arial" w:hAnsi="Arial" w:cs="Arial"/>
          <w:lang w:val="en-US"/>
        </w:rPr>
        <w:t>healthy</w:t>
      </w:r>
      <w:r w:rsidR="00452EDA" w:rsidRPr="00452EDA">
        <w:rPr>
          <w:rFonts w:ascii="Arial" w:hAnsi="Arial" w:cs="Arial"/>
          <w:lang w:val="en-US"/>
        </w:rPr>
        <w:t xml:space="preserve"> volunteers.</w:t>
      </w:r>
      <w:r w:rsidR="001844A6">
        <w:rPr>
          <w:rFonts w:ascii="Arial" w:hAnsi="Arial" w:cs="Arial"/>
          <w:lang w:val="en-US"/>
        </w:rPr>
        <w:t xml:space="preserve"> </w:t>
      </w:r>
      <w:r w:rsidR="00452EDA" w:rsidRPr="00452EDA">
        <w:rPr>
          <w:rFonts w:ascii="Arial" w:hAnsi="Arial" w:cs="Arial"/>
          <w:lang w:val="en-US"/>
        </w:rPr>
        <w:t xml:space="preserve"> </w:t>
      </w:r>
      <w:r w:rsidR="00401545">
        <w:rPr>
          <w:rFonts w:ascii="Arial" w:hAnsi="Arial" w:cs="Arial"/>
          <w:lang w:val="en-US"/>
        </w:rPr>
        <w:t>Lysine-v</w:t>
      </w:r>
      <w:r w:rsidR="00452EDA" w:rsidRPr="00452EDA">
        <w:rPr>
          <w:rFonts w:ascii="Arial" w:hAnsi="Arial" w:cs="Arial"/>
          <w:lang w:val="en-US"/>
        </w:rPr>
        <w:t xml:space="preserve">asopressin is </w:t>
      </w:r>
      <w:proofErr w:type="spellStart"/>
      <w:r w:rsidR="00452EDA" w:rsidRPr="00452EDA">
        <w:rPr>
          <w:rFonts w:ascii="Arial" w:hAnsi="Arial" w:cs="Arial"/>
          <w:lang w:val="en-US"/>
        </w:rPr>
        <w:t>metaboli</w:t>
      </w:r>
      <w:r w:rsidR="001844A6">
        <w:rPr>
          <w:rFonts w:ascii="Arial" w:hAnsi="Arial" w:cs="Arial"/>
          <w:lang w:val="en-US"/>
        </w:rPr>
        <w:t>s</w:t>
      </w:r>
      <w:r w:rsidR="00452EDA" w:rsidRPr="00452EDA">
        <w:rPr>
          <w:rFonts w:ascii="Arial" w:hAnsi="Arial" w:cs="Arial"/>
          <w:lang w:val="en-US"/>
        </w:rPr>
        <w:t>ed</w:t>
      </w:r>
      <w:proofErr w:type="spellEnd"/>
      <w:r w:rsidR="00452EDA" w:rsidRPr="00452EDA">
        <w:rPr>
          <w:rFonts w:ascii="Arial" w:hAnsi="Arial" w:cs="Arial"/>
          <w:lang w:val="en-US"/>
        </w:rPr>
        <w:t xml:space="preserve"> at the C- and N</w:t>
      </w:r>
      <w:r w:rsidR="00136539">
        <w:rPr>
          <w:rFonts w:ascii="Arial" w:hAnsi="Arial" w:cs="Arial"/>
          <w:lang w:val="en-US"/>
        </w:rPr>
        <w:t>-terminus</w:t>
      </w:r>
      <w:r w:rsidR="00452EDA" w:rsidRPr="00452EDA">
        <w:rPr>
          <w:rFonts w:ascii="Arial" w:hAnsi="Arial" w:cs="Arial"/>
          <w:lang w:val="en-US"/>
        </w:rPr>
        <w:t xml:space="preserve"> by various peptidases and proteases that are detectable in almost all human tissues; however, the majority of metabolism occurs in the liver and kidney. </w:t>
      </w:r>
    </w:p>
    <w:p w:rsidR="00452EDA" w:rsidRDefault="00452EDA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136539" w:rsidRDefault="00136539" w:rsidP="001844A6">
      <w:pPr>
        <w:pStyle w:val="NoSpacing"/>
        <w:spacing w:before="1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CLINICAL TRIALS</w:t>
      </w:r>
      <w:r w:rsidRPr="00452EDA">
        <w:rPr>
          <w:rFonts w:ascii="Arial" w:hAnsi="Arial" w:cs="Arial"/>
          <w:b/>
          <w:lang w:val="en-US"/>
        </w:rPr>
        <w:t>:</w:t>
      </w:r>
    </w:p>
    <w:p w:rsidR="007473FC" w:rsidRPr="00452EDA" w:rsidRDefault="007473FC" w:rsidP="007473FC">
      <w:pPr>
        <w:pStyle w:val="NoSpacing"/>
        <w:jc w:val="both"/>
        <w:rPr>
          <w:rFonts w:ascii="Arial" w:hAnsi="Arial" w:cs="Arial"/>
          <w:b/>
          <w:lang w:val="en-US"/>
        </w:rPr>
      </w:pPr>
    </w:p>
    <w:p w:rsidR="007473FC" w:rsidRDefault="00136539" w:rsidP="00996578">
      <w:pPr>
        <w:pStyle w:val="NoSpacing"/>
        <w:jc w:val="both"/>
        <w:rPr>
          <w:rFonts w:ascii="Arial" w:hAnsi="Arial" w:cs="Arial"/>
          <w:lang w:val="en-US"/>
        </w:rPr>
      </w:pPr>
      <w:r w:rsidRPr="00136539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 xml:space="preserve">efficacy and </w:t>
      </w:r>
      <w:r w:rsidRPr="00136539">
        <w:rPr>
          <w:rFonts w:ascii="Arial" w:hAnsi="Arial" w:cs="Arial"/>
          <w:lang w:val="en-US"/>
        </w:rPr>
        <w:t xml:space="preserve">safety of </w:t>
      </w:r>
      <w:proofErr w:type="spellStart"/>
      <w:r w:rsidRPr="00136539">
        <w:rPr>
          <w:rFonts w:ascii="Arial" w:hAnsi="Arial" w:cs="Arial"/>
          <w:lang w:val="en-US"/>
        </w:rPr>
        <w:t>terlipressin</w:t>
      </w:r>
      <w:proofErr w:type="spellEnd"/>
      <w:r w:rsidRPr="00136539">
        <w:rPr>
          <w:rFonts w:ascii="Arial" w:hAnsi="Arial" w:cs="Arial"/>
          <w:lang w:val="en-US"/>
        </w:rPr>
        <w:t xml:space="preserve"> to improve renal function in patients with </w:t>
      </w:r>
      <w:proofErr w:type="spellStart"/>
      <w:r w:rsidRPr="00136539">
        <w:rPr>
          <w:rFonts w:ascii="Arial" w:hAnsi="Arial" w:cs="Arial"/>
          <w:lang w:val="en-US"/>
        </w:rPr>
        <w:t>hepatorenal</w:t>
      </w:r>
      <w:proofErr w:type="spellEnd"/>
      <w:r w:rsidRPr="00136539">
        <w:rPr>
          <w:rFonts w:ascii="Arial" w:hAnsi="Arial" w:cs="Arial"/>
          <w:lang w:val="en-US"/>
        </w:rPr>
        <w:t xml:space="preserve"> syndrome</w:t>
      </w:r>
      <w:r>
        <w:rPr>
          <w:rFonts w:ascii="Arial" w:hAnsi="Arial" w:cs="Arial"/>
          <w:lang w:val="en-US"/>
        </w:rPr>
        <w:t xml:space="preserve"> </w:t>
      </w:r>
      <w:r w:rsidRPr="00136539">
        <w:rPr>
          <w:rFonts w:ascii="Arial" w:hAnsi="Arial" w:cs="Arial"/>
          <w:lang w:val="en-US"/>
        </w:rPr>
        <w:t>type 1 w</w:t>
      </w:r>
      <w:r>
        <w:rPr>
          <w:rFonts w:ascii="Arial" w:hAnsi="Arial" w:cs="Arial"/>
          <w:lang w:val="en-US"/>
        </w:rPr>
        <w:t>as</w:t>
      </w:r>
      <w:r w:rsidRPr="00136539">
        <w:rPr>
          <w:rFonts w:ascii="Arial" w:hAnsi="Arial" w:cs="Arial"/>
          <w:lang w:val="en-US"/>
        </w:rPr>
        <w:t xml:space="preserve"> assessed in </w:t>
      </w:r>
      <w:r w:rsidR="00091028">
        <w:rPr>
          <w:rFonts w:ascii="Arial" w:hAnsi="Arial" w:cs="Arial"/>
          <w:lang w:val="en-US"/>
        </w:rPr>
        <w:t>one</w:t>
      </w:r>
      <w:r w:rsidR="00091028" w:rsidRPr="00136539">
        <w:rPr>
          <w:rFonts w:ascii="Arial" w:hAnsi="Arial" w:cs="Arial"/>
          <w:lang w:val="en-US"/>
        </w:rPr>
        <w:t xml:space="preserve"> </w:t>
      </w:r>
      <w:r w:rsidR="009A6BCB" w:rsidRPr="0063799F">
        <w:rPr>
          <w:rFonts w:ascii="Arial" w:hAnsi="Arial" w:cs="Arial"/>
          <w:lang w:val="en-US"/>
        </w:rPr>
        <w:t>pivotal</w:t>
      </w:r>
      <w:r w:rsidR="009A6BCB">
        <w:rPr>
          <w:rFonts w:ascii="Arial" w:hAnsi="Arial" w:cs="Arial"/>
          <w:lang w:val="en-US"/>
        </w:rPr>
        <w:t xml:space="preserve"> </w:t>
      </w:r>
      <w:r w:rsidRPr="00136539">
        <w:rPr>
          <w:rFonts w:ascii="Arial" w:hAnsi="Arial" w:cs="Arial"/>
          <w:lang w:val="en-US"/>
        </w:rPr>
        <w:t xml:space="preserve">multicenter, </w:t>
      </w:r>
      <w:proofErr w:type="spellStart"/>
      <w:r w:rsidRPr="00136539">
        <w:rPr>
          <w:rFonts w:ascii="Arial" w:hAnsi="Arial" w:cs="Arial"/>
          <w:lang w:val="en-US"/>
        </w:rPr>
        <w:t>randomi</w:t>
      </w:r>
      <w:r w:rsidR="007473FC">
        <w:rPr>
          <w:rFonts w:ascii="Arial" w:hAnsi="Arial" w:cs="Arial"/>
          <w:lang w:val="en-US"/>
        </w:rPr>
        <w:t>s</w:t>
      </w:r>
      <w:r w:rsidRPr="00136539">
        <w:rPr>
          <w:rFonts w:ascii="Arial" w:hAnsi="Arial" w:cs="Arial"/>
          <w:lang w:val="en-US"/>
        </w:rPr>
        <w:t>ed</w:t>
      </w:r>
      <w:proofErr w:type="spellEnd"/>
      <w:r w:rsidRPr="00136539">
        <w:rPr>
          <w:rFonts w:ascii="Arial" w:hAnsi="Arial" w:cs="Arial"/>
          <w:lang w:val="en-US"/>
        </w:rPr>
        <w:t>, controlled stud</w:t>
      </w:r>
      <w:r w:rsidR="00091028">
        <w:rPr>
          <w:rFonts w:ascii="Arial" w:hAnsi="Arial" w:cs="Arial"/>
          <w:lang w:val="en-US"/>
        </w:rPr>
        <w:t>y</w:t>
      </w:r>
      <w:r w:rsidR="009A6BCB">
        <w:rPr>
          <w:rFonts w:ascii="Arial" w:hAnsi="Arial" w:cs="Arial"/>
          <w:lang w:val="en-US"/>
        </w:rPr>
        <w:t xml:space="preserve"> </w:t>
      </w:r>
      <w:r w:rsidR="009A6BCB" w:rsidRPr="0063799F">
        <w:rPr>
          <w:rFonts w:ascii="Arial" w:hAnsi="Arial" w:cs="Arial"/>
          <w:lang w:val="en-US"/>
        </w:rPr>
        <w:t>(OT-0401), and</w:t>
      </w:r>
      <w:r w:rsidR="002A4351" w:rsidRPr="0063799F">
        <w:rPr>
          <w:rFonts w:ascii="Arial" w:hAnsi="Arial" w:cs="Arial"/>
          <w:lang w:val="en-US"/>
        </w:rPr>
        <w:t xml:space="preserve"> was</w:t>
      </w:r>
      <w:r w:rsidR="009A6BCB" w:rsidRPr="0063799F">
        <w:rPr>
          <w:rFonts w:ascii="Arial" w:hAnsi="Arial" w:cs="Arial"/>
          <w:lang w:val="en-US"/>
        </w:rPr>
        <w:t xml:space="preserve"> supported by an open-label, multicenter, </w:t>
      </w:r>
      <w:proofErr w:type="spellStart"/>
      <w:r w:rsidR="009A6BCB" w:rsidRPr="0063799F">
        <w:rPr>
          <w:rFonts w:ascii="Arial" w:hAnsi="Arial" w:cs="Arial"/>
          <w:lang w:val="en-US"/>
        </w:rPr>
        <w:t>randomised</w:t>
      </w:r>
      <w:proofErr w:type="spellEnd"/>
      <w:r w:rsidR="009A6BCB" w:rsidRPr="0063799F">
        <w:rPr>
          <w:rFonts w:ascii="Arial" w:hAnsi="Arial" w:cs="Arial"/>
          <w:lang w:val="en-US"/>
        </w:rPr>
        <w:t xml:space="preserve"> study (TAHRS)</w:t>
      </w:r>
      <w:r w:rsidRPr="00136539">
        <w:rPr>
          <w:rFonts w:ascii="Arial" w:hAnsi="Arial" w:cs="Arial"/>
          <w:lang w:val="en-US"/>
        </w:rPr>
        <w:t>.</w:t>
      </w:r>
    </w:p>
    <w:p w:rsidR="00136539" w:rsidRPr="00136539" w:rsidRDefault="00136539" w:rsidP="00996578">
      <w:pPr>
        <w:pStyle w:val="NoSpacing"/>
        <w:jc w:val="both"/>
        <w:rPr>
          <w:rFonts w:ascii="Arial" w:hAnsi="Arial" w:cs="Arial"/>
          <w:lang w:val="en-US"/>
        </w:rPr>
      </w:pPr>
      <w:r w:rsidRPr="00136539">
        <w:rPr>
          <w:rFonts w:ascii="Arial" w:hAnsi="Arial" w:cs="Arial"/>
          <w:lang w:val="en-US"/>
        </w:rPr>
        <w:t xml:space="preserve">    </w:t>
      </w:r>
    </w:p>
    <w:p w:rsidR="007473FC" w:rsidRDefault="007473FC" w:rsidP="00996578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Study</w:t>
      </w:r>
      <w:r w:rsidRPr="0073231F">
        <w:rPr>
          <w:rFonts w:ascii="Arial" w:hAnsi="Arial" w:cs="Arial"/>
          <w:b/>
          <w:lang w:val="en-US"/>
        </w:rPr>
        <w:t xml:space="preserve"> </w:t>
      </w:r>
      <w:r w:rsidR="00136539" w:rsidRPr="0073231F">
        <w:rPr>
          <w:rFonts w:ascii="Arial" w:hAnsi="Arial" w:cs="Arial"/>
          <w:b/>
          <w:lang w:val="en-US"/>
        </w:rPr>
        <w:t>OT-0401:</w:t>
      </w:r>
      <w:r w:rsidR="00136539" w:rsidRPr="00136539">
        <w:rPr>
          <w:rFonts w:ascii="Arial" w:hAnsi="Arial" w:cs="Arial"/>
          <w:lang w:val="en-US"/>
        </w:rPr>
        <w:t xml:space="preserve"> </w:t>
      </w:r>
    </w:p>
    <w:p w:rsidR="007473FC" w:rsidRDefault="007473FC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136539" w:rsidRPr="006000C2" w:rsidRDefault="00136539" w:rsidP="00996578">
      <w:pPr>
        <w:pStyle w:val="NoSpacing"/>
        <w:jc w:val="both"/>
        <w:rPr>
          <w:rFonts w:ascii="Arial" w:hAnsi="Arial" w:cs="Arial"/>
          <w:lang w:val="en-US"/>
        </w:rPr>
      </w:pPr>
      <w:r w:rsidRPr="00136539">
        <w:rPr>
          <w:rFonts w:ascii="Arial" w:hAnsi="Arial" w:cs="Arial"/>
          <w:lang w:val="en-US"/>
        </w:rPr>
        <w:lastRenderedPageBreak/>
        <w:t xml:space="preserve">This </w:t>
      </w:r>
      <w:r w:rsidR="007473FC">
        <w:rPr>
          <w:rFonts w:ascii="Arial" w:hAnsi="Arial" w:cs="Arial"/>
          <w:lang w:val="en-US"/>
        </w:rPr>
        <w:t xml:space="preserve">pivotal </w:t>
      </w:r>
      <w:r w:rsidRPr="00136539">
        <w:rPr>
          <w:rFonts w:ascii="Arial" w:hAnsi="Arial" w:cs="Arial"/>
          <w:lang w:val="en-US"/>
        </w:rPr>
        <w:t xml:space="preserve">multicenter, double-blind, placebo-controlled study </w:t>
      </w:r>
      <w:proofErr w:type="spellStart"/>
      <w:r w:rsidRPr="00136539">
        <w:rPr>
          <w:rFonts w:ascii="Arial" w:hAnsi="Arial" w:cs="Arial"/>
          <w:lang w:val="en-US"/>
        </w:rPr>
        <w:t>randomi</w:t>
      </w:r>
      <w:r w:rsidR="007473FC">
        <w:rPr>
          <w:rFonts w:ascii="Arial" w:hAnsi="Arial" w:cs="Arial"/>
          <w:lang w:val="en-US"/>
        </w:rPr>
        <w:t>s</w:t>
      </w:r>
      <w:r w:rsidRPr="00136539">
        <w:rPr>
          <w:rFonts w:ascii="Arial" w:hAnsi="Arial" w:cs="Arial"/>
          <w:lang w:val="en-US"/>
        </w:rPr>
        <w:t>ed</w:t>
      </w:r>
      <w:proofErr w:type="spellEnd"/>
      <w:r w:rsidRPr="00136539">
        <w:rPr>
          <w:rFonts w:ascii="Arial" w:hAnsi="Arial" w:cs="Arial"/>
          <w:lang w:val="en-US"/>
        </w:rPr>
        <w:t xml:space="preserve"> 112 </w:t>
      </w:r>
      <w:r w:rsidR="00E0239A">
        <w:rPr>
          <w:rFonts w:ascii="Arial" w:hAnsi="Arial" w:cs="Arial"/>
          <w:lang w:val="en-US"/>
        </w:rPr>
        <w:t xml:space="preserve">HRS type 1 </w:t>
      </w:r>
      <w:r w:rsidRPr="00136539">
        <w:rPr>
          <w:rFonts w:ascii="Arial" w:hAnsi="Arial" w:cs="Arial"/>
          <w:lang w:val="en-US"/>
        </w:rPr>
        <w:t xml:space="preserve">patients in a 1:1 ratio to receive either intravenous </w:t>
      </w:r>
      <w:proofErr w:type="spellStart"/>
      <w:r w:rsidRPr="00136539">
        <w:rPr>
          <w:rFonts w:ascii="Arial" w:hAnsi="Arial" w:cs="Arial"/>
          <w:lang w:val="en-US"/>
        </w:rPr>
        <w:t>terlipressin</w:t>
      </w:r>
      <w:proofErr w:type="spellEnd"/>
      <w:r w:rsidRPr="00136539">
        <w:rPr>
          <w:rFonts w:ascii="Arial" w:hAnsi="Arial" w:cs="Arial"/>
          <w:lang w:val="en-US"/>
        </w:rPr>
        <w:t xml:space="preserve"> at an initial dose of </w:t>
      </w:r>
      <w:r w:rsidR="00116E08" w:rsidRPr="00116E08">
        <w:rPr>
          <w:rFonts w:ascii="Arial" w:hAnsi="Arial" w:cs="Arial"/>
          <w:lang w:val="en-US"/>
        </w:rPr>
        <w:t>0.85</w:t>
      </w:r>
      <w:r w:rsidR="00116E08" w:rsidRPr="00136539">
        <w:rPr>
          <w:rFonts w:ascii="Arial" w:hAnsi="Arial" w:cs="Arial"/>
          <w:lang w:val="en-US"/>
        </w:rPr>
        <w:t xml:space="preserve"> </w:t>
      </w:r>
      <w:r w:rsidRPr="00136539">
        <w:rPr>
          <w:rFonts w:ascii="Arial" w:hAnsi="Arial" w:cs="Arial"/>
          <w:lang w:val="en-US"/>
        </w:rPr>
        <w:t>mg</w:t>
      </w:r>
      <w:r w:rsidR="00116E08">
        <w:rPr>
          <w:rFonts w:ascii="Arial" w:hAnsi="Arial" w:cs="Arial"/>
          <w:lang w:val="en-US"/>
        </w:rPr>
        <w:t xml:space="preserve"> </w:t>
      </w:r>
      <w:r w:rsidR="00116E08" w:rsidRPr="00116E08">
        <w:rPr>
          <w:rFonts w:ascii="Arial" w:hAnsi="Arial" w:cs="Arial"/>
          <w:lang w:val="en-US"/>
        </w:rPr>
        <w:t>(one vial of LUCASSIN)</w:t>
      </w:r>
      <w:r w:rsidRPr="00136539">
        <w:rPr>
          <w:rFonts w:ascii="Arial" w:hAnsi="Arial" w:cs="Arial"/>
          <w:lang w:val="en-US"/>
        </w:rPr>
        <w:t xml:space="preserve"> every 6 hours or </w:t>
      </w:r>
      <w:r w:rsidR="0035546F">
        <w:rPr>
          <w:rFonts w:ascii="Arial" w:hAnsi="Arial" w:cs="Arial"/>
          <w:lang w:val="en-US"/>
        </w:rPr>
        <w:t xml:space="preserve">matching </w:t>
      </w:r>
      <w:r w:rsidRPr="00136539">
        <w:rPr>
          <w:rFonts w:ascii="Arial" w:hAnsi="Arial" w:cs="Arial"/>
          <w:lang w:val="en-US"/>
        </w:rPr>
        <w:t xml:space="preserve">placebo for a period </w:t>
      </w:r>
      <w:r>
        <w:rPr>
          <w:rFonts w:ascii="Arial" w:hAnsi="Arial" w:cs="Arial"/>
          <w:lang w:val="en-US"/>
        </w:rPr>
        <w:t xml:space="preserve">of </w:t>
      </w:r>
      <w:r w:rsidRPr="00136539">
        <w:rPr>
          <w:rFonts w:ascii="Arial" w:hAnsi="Arial" w:cs="Arial"/>
          <w:lang w:val="en-US"/>
        </w:rPr>
        <w:t>up to 14 days.</w:t>
      </w:r>
      <w:r w:rsidR="007473FC">
        <w:rPr>
          <w:rFonts w:ascii="Arial" w:hAnsi="Arial" w:cs="Arial"/>
          <w:lang w:val="en-US"/>
        </w:rPr>
        <w:t xml:space="preserve"> </w:t>
      </w:r>
      <w:r w:rsidRPr="00136539">
        <w:rPr>
          <w:rFonts w:ascii="Arial" w:hAnsi="Arial" w:cs="Arial"/>
          <w:lang w:val="en-US"/>
        </w:rPr>
        <w:t xml:space="preserve"> </w:t>
      </w:r>
      <w:r w:rsidR="001B2915">
        <w:rPr>
          <w:rFonts w:ascii="Arial" w:hAnsi="Arial" w:cs="Arial"/>
          <w:lang w:val="en-US"/>
        </w:rPr>
        <w:t>Baseline data were similar between the 2 groups.</w:t>
      </w:r>
      <w:r w:rsidR="007473FC">
        <w:rPr>
          <w:rFonts w:ascii="Arial" w:hAnsi="Arial" w:cs="Arial"/>
          <w:lang w:val="en-US"/>
        </w:rPr>
        <w:t xml:space="preserve"> </w:t>
      </w:r>
      <w:r w:rsidR="001B2915">
        <w:rPr>
          <w:rFonts w:ascii="Arial" w:hAnsi="Arial" w:cs="Arial"/>
          <w:lang w:val="en-US"/>
        </w:rPr>
        <w:t xml:space="preserve"> </w:t>
      </w:r>
      <w:r w:rsidRPr="00136539">
        <w:rPr>
          <w:rFonts w:ascii="Arial" w:hAnsi="Arial" w:cs="Arial"/>
          <w:lang w:val="en-US"/>
        </w:rPr>
        <w:t xml:space="preserve">Ninety-one percent of patients in each group also received intravenous albumin for plasma volume expansion.  The mean patient </w:t>
      </w:r>
      <w:r w:rsidRPr="006000C2">
        <w:rPr>
          <w:rFonts w:ascii="Arial" w:hAnsi="Arial" w:cs="Arial"/>
          <w:lang w:val="en-US"/>
        </w:rPr>
        <w:t xml:space="preserve">age was 52 years (range 23 to 74), 71% were male, 89% were Caucasian, and 12% were of Hispanic/Latino ethnicity. The primary causes of cirrhosis were alcohol (52%) and hepatitis C (37%). </w:t>
      </w:r>
      <w:r w:rsidR="0035546F" w:rsidRPr="006000C2">
        <w:rPr>
          <w:rFonts w:ascii="Arial" w:hAnsi="Arial" w:cs="Arial"/>
          <w:lang w:val="en-US"/>
        </w:rPr>
        <w:t>Other r</w:t>
      </w:r>
      <w:r w:rsidRPr="006000C2">
        <w:rPr>
          <w:rFonts w:ascii="Arial" w:hAnsi="Arial" w:cs="Arial"/>
          <w:lang w:val="en-US"/>
        </w:rPr>
        <w:t xml:space="preserve">elevant baseline parameters were (mean): </w:t>
      </w:r>
      <w:r w:rsidR="001B2915" w:rsidRPr="006000C2">
        <w:rPr>
          <w:rFonts w:ascii="Arial" w:hAnsi="Arial" w:cs="Arial"/>
          <w:lang w:val="en-US"/>
        </w:rPr>
        <w:t xml:space="preserve">Child-Pugh score 11.4, MELD score 33.4, </w:t>
      </w:r>
      <w:r w:rsidRPr="006000C2">
        <w:rPr>
          <w:rFonts w:ascii="Arial" w:hAnsi="Arial" w:cs="Arial"/>
          <w:lang w:val="en-US"/>
        </w:rPr>
        <w:t xml:space="preserve">serum </w:t>
      </w:r>
      <w:proofErr w:type="spellStart"/>
      <w:r w:rsidRPr="006000C2">
        <w:rPr>
          <w:rFonts w:ascii="Arial" w:hAnsi="Arial" w:cs="Arial"/>
          <w:lang w:val="en-US"/>
        </w:rPr>
        <w:t>creatinine</w:t>
      </w:r>
      <w:proofErr w:type="spellEnd"/>
      <w:r w:rsidRPr="006000C2">
        <w:rPr>
          <w:rFonts w:ascii="Arial" w:hAnsi="Arial" w:cs="Arial"/>
          <w:lang w:val="en-US"/>
        </w:rPr>
        <w:t xml:space="preserve"> </w:t>
      </w:r>
      <w:r w:rsidR="003E5A56" w:rsidRPr="006000C2">
        <w:rPr>
          <w:rFonts w:ascii="Arial" w:hAnsi="Arial" w:cs="Arial"/>
          <w:lang w:val="en-US"/>
        </w:rPr>
        <w:t>344.</w:t>
      </w:r>
      <w:r w:rsidR="005139EB" w:rsidRPr="006000C2">
        <w:rPr>
          <w:rFonts w:ascii="Arial" w:hAnsi="Arial" w:cs="Arial"/>
          <w:lang w:val="en-US"/>
        </w:rPr>
        <w:t xml:space="preserve">8 </w:t>
      </w:r>
      <w:r w:rsidR="003E5A56" w:rsidRPr="006000C2">
        <w:rPr>
          <w:rFonts w:ascii="Arial" w:hAnsi="Arial" w:cs="Arial"/>
          <w:lang w:val="en-US"/>
        </w:rPr>
        <w:t>µmol/L</w:t>
      </w:r>
      <w:r w:rsidRPr="006000C2">
        <w:rPr>
          <w:rFonts w:ascii="Arial" w:hAnsi="Arial" w:cs="Arial"/>
          <w:lang w:val="en-US"/>
        </w:rPr>
        <w:t xml:space="preserve">, total </w:t>
      </w:r>
      <w:proofErr w:type="spellStart"/>
      <w:r w:rsidRPr="006000C2">
        <w:rPr>
          <w:rFonts w:ascii="Arial" w:hAnsi="Arial" w:cs="Arial"/>
          <w:lang w:val="en-US"/>
        </w:rPr>
        <w:t>bilirubin</w:t>
      </w:r>
      <w:proofErr w:type="spellEnd"/>
      <w:r w:rsidRPr="006000C2">
        <w:rPr>
          <w:rFonts w:ascii="Arial" w:hAnsi="Arial" w:cs="Arial"/>
          <w:lang w:val="en-US"/>
        </w:rPr>
        <w:t xml:space="preserve"> </w:t>
      </w:r>
      <w:r w:rsidR="003E5A56" w:rsidRPr="006000C2">
        <w:rPr>
          <w:rFonts w:ascii="Arial" w:hAnsi="Arial" w:cs="Arial"/>
          <w:lang w:val="en-US"/>
        </w:rPr>
        <w:t>263.3 µmol/L</w:t>
      </w:r>
      <w:r w:rsidR="001B2915" w:rsidRPr="006000C2">
        <w:rPr>
          <w:rFonts w:ascii="Arial" w:hAnsi="Arial" w:cs="Arial"/>
          <w:lang w:val="en-US"/>
        </w:rPr>
        <w:t>.</w:t>
      </w:r>
    </w:p>
    <w:p w:rsidR="007473FC" w:rsidRPr="006000C2" w:rsidRDefault="007473FC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136539" w:rsidRDefault="00136539" w:rsidP="00996578">
      <w:pPr>
        <w:pStyle w:val="NoSpacing"/>
        <w:jc w:val="both"/>
        <w:rPr>
          <w:rFonts w:ascii="Arial" w:hAnsi="Arial" w:cs="Arial"/>
          <w:lang w:val="en-US"/>
        </w:rPr>
      </w:pPr>
      <w:r w:rsidRPr="006000C2">
        <w:rPr>
          <w:rFonts w:ascii="Arial" w:hAnsi="Arial" w:cs="Arial"/>
          <w:lang w:val="en-US"/>
        </w:rPr>
        <w:t xml:space="preserve">Patients were monitored for up to 180 days after </w:t>
      </w:r>
      <w:r w:rsidR="002244FB" w:rsidRPr="006000C2">
        <w:rPr>
          <w:rFonts w:ascii="Arial" w:hAnsi="Arial" w:cs="Arial"/>
          <w:lang w:val="en-US"/>
        </w:rPr>
        <w:t xml:space="preserve">administration of </w:t>
      </w:r>
      <w:r w:rsidRPr="006000C2">
        <w:rPr>
          <w:rFonts w:ascii="Arial" w:hAnsi="Arial" w:cs="Arial"/>
          <w:lang w:val="en-US"/>
        </w:rPr>
        <w:t xml:space="preserve">first dose. </w:t>
      </w:r>
      <w:r w:rsidR="00087BB9" w:rsidRPr="006000C2">
        <w:rPr>
          <w:rFonts w:ascii="Arial" w:hAnsi="Arial" w:cs="Arial"/>
          <w:lang w:val="en-US"/>
        </w:rPr>
        <w:t>Primary e</w:t>
      </w:r>
      <w:r w:rsidR="006F1A3C" w:rsidRPr="006000C2">
        <w:rPr>
          <w:rFonts w:ascii="Arial" w:hAnsi="Arial" w:cs="Arial"/>
          <w:lang w:val="en-US"/>
        </w:rPr>
        <w:t xml:space="preserve">ndpoints included: Treatment success at Day 14 (two </w:t>
      </w:r>
      <w:r w:rsidRPr="006000C2">
        <w:rPr>
          <w:rFonts w:ascii="Arial" w:hAnsi="Arial" w:cs="Arial"/>
          <w:lang w:val="en-US"/>
        </w:rPr>
        <w:t xml:space="preserve">serum </w:t>
      </w:r>
      <w:proofErr w:type="spellStart"/>
      <w:r w:rsidRPr="006000C2">
        <w:rPr>
          <w:rFonts w:ascii="Arial" w:hAnsi="Arial" w:cs="Arial"/>
          <w:lang w:val="en-US"/>
        </w:rPr>
        <w:t>creatinine</w:t>
      </w:r>
      <w:proofErr w:type="spellEnd"/>
      <w:r w:rsidRPr="006000C2">
        <w:rPr>
          <w:rFonts w:ascii="Arial" w:hAnsi="Arial" w:cs="Arial"/>
          <w:lang w:val="en-US"/>
        </w:rPr>
        <w:t xml:space="preserve"> [</w:t>
      </w:r>
      <w:proofErr w:type="spellStart"/>
      <w:r w:rsidRPr="006000C2">
        <w:rPr>
          <w:rFonts w:ascii="Arial" w:hAnsi="Arial" w:cs="Arial"/>
          <w:lang w:val="en-US"/>
        </w:rPr>
        <w:t>SCr</w:t>
      </w:r>
      <w:proofErr w:type="spellEnd"/>
      <w:r w:rsidRPr="006000C2">
        <w:rPr>
          <w:rFonts w:ascii="Arial" w:hAnsi="Arial" w:cs="Arial"/>
          <w:lang w:val="en-US"/>
        </w:rPr>
        <w:t>] levels ≤</w:t>
      </w:r>
      <w:r w:rsidR="00906F61" w:rsidRPr="006000C2">
        <w:rPr>
          <w:rFonts w:ascii="Arial" w:hAnsi="Arial" w:cs="Arial"/>
          <w:lang w:val="en-US"/>
        </w:rPr>
        <w:t>132.6 µmol/L</w:t>
      </w:r>
      <w:r w:rsidR="00E9630E" w:rsidRPr="006000C2">
        <w:rPr>
          <w:rFonts w:ascii="Arial" w:hAnsi="Arial" w:cs="Arial"/>
          <w:lang w:val="en-US"/>
        </w:rPr>
        <w:t xml:space="preserve"> 48 ± 24</w:t>
      </w:r>
      <w:r w:rsidR="00087BB9" w:rsidRPr="006000C2">
        <w:rPr>
          <w:rFonts w:ascii="Arial" w:hAnsi="Arial" w:cs="Arial"/>
          <w:lang w:val="en-US"/>
        </w:rPr>
        <w:t xml:space="preserve"> h apart</w:t>
      </w:r>
      <w:r w:rsidR="006F1A3C" w:rsidRPr="006000C2">
        <w:rPr>
          <w:rFonts w:ascii="Arial" w:hAnsi="Arial" w:cs="Arial"/>
          <w:lang w:val="en-US"/>
        </w:rPr>
        <w:t xml:space="preserve"> without intervening </w:t>
      </w:r>
      <w:proofErr w:type="spellStart"/>
      <w:r w:rsidR="006F1A3C" w:rsidRPr="006000C2">
        <w:rPr>
          <w:rFonts w:ascii="Arial" w:hAnsi="Arial" w:cs="Arial"/>
          <w:lang w:val="en-US"/>
        </w:rPr>
        <w:t>SCr</w:t>
      </w:r>
      <w:proofErr w:type="spellEnd"/>
      <w:r w:rsidR="006F1A3C" w:rsidRPr="006000C2">
        <w:rPr>
          <w:rFonts w:ascii="Arial" w:hAnsi="Arial" w:cs="Arial"/>
          <w:lang w:val="en-US"/>
        </w:rPr>
        <w:t xml:space="preserve"> </w:t>
      </w:r>
      <w:r w:rsidR="006F1A3C" w:rsidRPr="006000C2">
        <w:rPr>
          <w:rFonts w:ascii="Arial" w:hAnsi="Arial" w:cs="Arial"/>
          <w:lang w:val="en-US"/>
        </w:rPr>
        <w:sym w:font="Symbol" w:char="F0B3"/>
      </w:r>
      <w:r w:rsidR="00906F61" w:rsidRPr="006000C2">
        <w:rPr>
          <w:rFonts w:ascii="Arial" w:hAnsi="Arial" w:cs="Arial"/>
          <w:lang w:val="en-US"/>
        </w:rPr>
        <w:t>221 µmol/L</w:t>
      </w:r>
      <w:r w:rsidR="006F1A3C" w:rsidRPr="006000C2">
        <w:rPr>
          <w:rFonts w:ascii="Arial" w:hAnsi="Arial" w:cs="Arial"/>
          <w:lang w:val="en-US"/>
        </w:rPr>
        <w:t>, liver transplant or dialysis up to Day 14</w:t>
      </w:r>
      <w:r w:rsidRPr="006000C2">
        <w:rPr>
          <w:rFonts w:ascii="Arial" w:hAnsi="Arial" w:cs="Arial"/>
          <w:lang w:val="en-US"/>
        </w:rPr>
        <w:t>)</w:t>
      </w:r>
      <w:r w:rsidR="006F1A3C" w:rsidRPr="006000C2">
        <w:rPr>
          <w:rFonts w:ascii="Arial" w:hAnsi="Arial" w:cs="Arial"/>
          <w:lang w:val="en-US"/>
        </w:rPr>
        <w:t>; HRS reversal on treatment (</w:t>
      </w:r>
      <w:proofErr w:type="spellStart"/>
      <w:r w:rsidR="006F1A3C" w:rsidRPr="006000C2">
        <w:rPr>
          <w:rFonts w:ascii="Arial" w:hAnsi="Arial" w:cs="Arial"/>
          <w:lang w:val="en-US"/>
        </w:rPr>
        <w:t>SCr</w:t>
      </w:r>
      <w:proofErr w:type="spellEnd"/>
      <w:r w:rsidR="006F1A3C" w:rsidRPr="006000C2">
        <w:rPr>
          <w:rFonts w:ascii="Arial" w:hAnsi="Arial" w:cs="Arial"/>
          <w:lang w:val="en-US"/>
        </w:rPr>
        <w:t xml:space="preserve"> level </w:t>
      </w:r>
      <w:r w:rsidR="006F1A3C" w:rsidRPr="006000C2">
        <w:rPr>
          <w:rFonts w:ascii="Arial" w:hAnsi="Arial" w:cs="Arial"/>
          <w:lang w:val="en-US"/>
        </w:rPr>
        <w:sym w:font="Symbol" w:char="F0A3"/>
      </w:r>
      <w:r w:rsidR="005A4978" w:rsidRPr="006000C2">
        <w:rPr>
          <w:rFonts w:ascii="Arial" w:hAnsi="Arial" w:cs="Arial"/>
          <w:lang w:val="en-US"/>
        </w:rPr>
        <w:t>132.6 µmol/L</w:t>
      </w:r>
      <w:r w:rsidR="006F1A3C" w:rsidRPr="006000C2">
        <w:rPr>
          <w:rFonts w:ascii="Arial" w:hAnsi="Arial" w:cs="Arial"/>
          <w:lang w:val="en-US"/>
        </w:rPr>
        <w:t>)</w:t>
      </w:r>
      <w:r w:rsidR="00087BB9" w:rsidRPr="006000C2">
        <w:rPr>
          <w:rFonts w:ascii="Arial" w:hAnsi="Arial" w:cs="Arial"/>
          <w:lang w:val="en-US"/>
        </w:rPr>
        <w:t>.  Other endpoints included</w:t>
      </w:r>
      <w:r w:rsidR="006F1A3C" w:rsidRPr="006000C2">
        <w:rPr>
          <w:rFonts w:ascii="Arial" w:hAnsi="Arial" w:cs="Arial"/>
          <w:lang w:val="en-US"/>
        </w:rPr>
        <w:t xml:space="preserve"> </w:t>
      </w:r>
      <w:r w:rsidRPr="006000C2">
        <w:rPr>
          <w:rFonts w:ascii="Arial" w:hAnsi="Arial" w:cs="Arial"/>
          <w:lang w:val="en-US"/>
        </w:rPr>
        <w:t xml:space="preserve">change in </w:t>
      </w:r>
      <w:proofErr w:type="spellStart"/>
      <w:r w:rsidRPr="006000C2">
        <w:rPr>
          <w:rFonts w:ascii="Arial" w:hAnsi="Arial" w:cs="Arial"/>
          <w:lang w:val="en-US"/>
        </w:rPr>
        <w:t>SCr</w:t>
      </w:r>
      <w:proofErr w:type="spellEnd"/>
      <w:r w:rsidRPr="006000C2">
        <w:rPr>
          <w:rFonts w:ascii="Arial" w:hAnsi="Arial" w:cs="Arial"/>
          <w:lang w:val="en-US"/>
        </w:rPr>
        <w:t xml:space="preserve"> from baseline to day 14</w:t>
      </w:r>
      <w:r w:rsidR="006F1A3C" w:rsidRPr="006000C2">
        <w:rPr>
          <w:rFonts w:ascii="Arial" w:hAnsi="Arial" w:cs="Arial"/>
          <w:lang w:val="en-US"/>
        </w:rPr>
        <w:t>;</w:t>
      </w:r>
      <w:r w:rsidRPr="006000C2">
        <w:rPr>
          <w:rFonts w:ascii="Arial" w:hAnsi="Arial" w:cs="Arial"/>
          <w:lang w:val="en-US"/>
        </w:rPr>
        <w:t xml:space="preserve"> and survival up to 180 days.</w:t>
      </w:r>
      <w:r w:rsidR="004204A6" w:rsidRPr="006000C2">
        <w:rPr>
          <w:rFonts w:ascii="Arial" w:hAnsi="Arial" w:cs="Arial"/>
          <w:lang w:val="en-US"/>
        </w:rPr>
        <w:t xml:space="preserve"> </w:t>
      </w:r>
      <w:r w:rsidRPr="006000C2">
        <w:rPr>
          <w:rFonts w:ascii="Arial" w:hAnsi="Arial" w:cs="Arial"/>
          <w:lang w:val="en-US"/>
        </w:rPr>
        <w:t xml:space="preserve"> </w:t>
      </w:r>
      <w:r w:rsidR="002011F2" w:rsidRPr="006000C2">
        <w:rPr>
          <w:rFonts w:ascii="Arial" w:hAnsi="Arial" w:cs="Arial"/>
          <w:lang w:val="en-US"/>
        </w:rPr>
        <w:t xml:space="preserve"> </w:t>
      </w:r>
      <w:r w:rsidRPr="006000C2">
        <w:rPr>
          <w:rFonts w:ascii="Arial" w:hAnsi="Arial" w:cs="Arial"/>
          <w:lang w:val="en-US"/>
        </w:rPr>
        <w:t>T</w:t>
      </w:r>
      <w:r w:rsidR="004204A6" w:rsidRPr="006000C2">
        <w:rPr>
          <w:rFonts w:ascii="Arial" w:hAnsi="Arial" w:cs="Arial"/>
          <w:lang w:val="en-US"/>
        </w:rPr>
        <w:t>reatment</w:t>
      </w:r>
      <w:r w:rsidRPr="006000C2">
        <w:rPr>
          <w:rFonts w:ascii="Arial" w:hAnsi="Arial" w:cs="Arial"/>
          <w:lang w:val="en-US"/>
        </w:rPr>
        <w:t xml:space="preserve"> outcomes for the renal funct</w:t>
      </w:r>
      <w:r w:rsidR="001B2915" w:rsidRPr="006000C2">
        <w:rPr>
          <w:rFonts w:ascii="Arial" w:hAnsi="Arial" w:cs="Arial"/>
          <w:lang w:val="en-US"/>
        </w:rPr>
        <w:t>ion endpoints are shown in the T</w:t>
      </w:r>
      <w:r w:rsidRPr="006000C2">
        <w:rPr>
          <w:rFonts w:ascii="Arial" w:hAnsi="Arial" w:cs="Arial"/>
          <w:lang w:val="en-US"/>
        </w:rPr>
        <w:t>able</w:t>
      </w:r>
      <w:r w:rsidR="001B2915" w:rsidRPr="006000C2">
        <w:rPr>
          <w:rFonts w:ascii="Arial" w:hAnsi="Arial" w:cs="Arial"/>
          <w:lang w:val="en-US"/>
        </w:rPr>
        <w:t xml:space="preserve"> 1</w:t>
      </w:r>
      <w:r w:rsidR="004204A6" w:rsidRPr="006000C2">
        <w:rPr>
          <w:rFonts w:ascii="Arial" w:hAnsi="Arial" w:cs="Arial"/>
          <w:lang w:val="en-US"/>
        </w:rPr>
        <w:t>.  The</w:t>
      </w:r>
      <w:r w:rsidR="001B2915" w:rsidRPr="006000C2">
        <w:rPr>
          <w:rFonts w:ascii="Arial" w:hAnsi="Arial" w:cs="Arial"/>
          <w:lang w:val="en-US"/>
        </w:rPr>
        <w:t xml:space="preserve"> </w:t>
      </w:r>
      <w:r w:rsidR="004204A6" w:rsidRPr="006000C2">
        <w:rPr>
          <w:rFonts w:ascii="Arial" w:hAnsi="Arial" w:cs="Arial"/>
          <w:lang w:val="en-US"/>
        </w:rPr>
        <w:t>c</w:t>
      </w:r>
      <w:r w:rsidR="001B2915" w:rsidRPr="006000C2">
        <w:rPr>
          <w:rFonts w:ascii="Arial" w:hAnsi="Arial" w:cs="Arial"/>
          <w:lang w:val="en-US"/>
        </w:rPr>
        <w:t>umul</w:t>
      </w:r>
      <w:r w:rsidR="00C64EF6" w:rsidRPr="006000C2">
        <w:rPr>
          <w:rFonts w:ascii="Arial" w:hAnsi="Arial" w:cs="Arial"/>
          <w:lang w:val="en-US"/>
        </w:rPr>
        <w:t>ative</w:t>
      </w:r>
      <w:r w:rsidR="00C64EF6">
        <w:rPr>
          <w:rFonts w:ascii="Arial" w:hAnsi="Arial" w:cs="Arial"/>
          <w:lang w:val="en-US"/>
        </w:rPr>
        <w:t xml:space="preserve"> </w:t>
      </w:r>
      <w:r w:rsidR="00147D69">
        <w:rPr>
          <w:rFonts w:ascii="Arial" w:hAnsi="Arial" w:cs="Arial"/>
          <w:lang w:val="en-US"/>
        </w:rPr>
        <w:t>incidence of HRS reversal is</w:t>
      </w:r>
      <w:r w:rsidR="00C64EF6">
        <w:rPr>
          <w:rFonts w:ascii="Arial" w:hAnsi="Arial" w:cs="Arial"/>
          <w:lang w:val="en-US"/>
        </w:rPr>
        <w:t xml:space="preserve"> presented in Figure </w:t>
      </w:r>
      <w:r w:rsidR="004204A6">
        <w:rPr>
          <w:rFonts w:ascii="Arial" w:hAnsi="Arial" w:cs="Arial"/>
          <w:lang w:val="en-US"/>
        </w:rPr>
        <w:t>1</w:t>
      </w:r>
      <w:r w:rsidR="00C64EF6">
        <w:rPr>
          <w:rFonts w:ascii="Arial" w:hAnsi="Arial" w:cs="Arial"/>
          <w:lang w:val="en-US"/>
        </w:rPr>
        <w:t>.</w:t>
      </w:r>
    </w:p>
    <w:p w:rsidR="004204A6" w:rsidRPr="00136539" w:rsidRDefault="004204A6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4204A6" w:rsidRPr="004204A6" w:rsidRDefault="00136539" w:rsidP="004204A6">
      <w:pPr>
        <w:pStyle w:val="NoSpacing"/>
        <w:spacing w:after="120"/>
        <w:jc w:val="center"/>
        <w:rPr>
          <w:rFonts w:ascii="Arial" w:hAnsi="Arial" w:cs="Arial"/>
          <w:b/>
          <w:lang w:val="en-US"/>
        </w:rPr>
      </w:pPr>
      <w:r w:rsidRPr="004204A6">
        <w:rPr>
          <w:rFonts w:ascii="Arial" w:hAnsi="Arial" w:cs="Arial"/>
          <w:b/>
          <w:lang w:val="en-US"/>
        </w:rPr>
        <w:t xml:space="preserve">Table </w:t>
      </w:r>
      <w:r w:rsidR="00AB578C" w:rsidRPr="004204A6">
        <w:rPr>
          <w:rFonts w:ascii="Arial" w:hAnsi="Arial" w:cs="Arial"/>
          <w:b/>
          <w:lang w:val="en-US"/>
        </w:rPr>
        <w:t>1</w:t>
      </w:r>
      <w:r w:rsidR="004204A6">
        <w:rPr>
          <w:rFonts w:ascii="Arial" w:hAnsi="Arial" w:cs="Arial"/>
          <w:b/>
          <w:lang w:val="en-US"/>
        </w:rPr>
        <w:t>.</w:t>
      </w:r>
      <w:r w:rsidR="0035546F" w:rsidRPr="004204A6">
        <w:rPr>
          <w:rFonts w:ascii="Arial" w:hAnsi="Arial" w:cs="Arial"/>
          <w:b/>
          <w:lang w:val="en-US"/>
        </w:rPr>
        <w:t xml:space="preserve"> </w:t>
      </w:r>
      <w:r w:rsidR="004204A6">
        <w:rPr>
          <w:rFonts w:ascii="Arial" w:hAnsi="Arial" w:cs="Arial"/>
          <w:b/>
          <w:lang w:val="en-US"/>
        </w:rPr>
        <w:t xml:space="preserve"> </w:t>
      </w:r>
      <w:r w:rsidR="004204A6" w:rsidRPr="00136539">
        <w:rPr>
          <w:rFonts w:ascii="Arial" w:hAnsi="Arial" w:cs="Arial"/>
          <w:b/>
          <w:lang w:val="en-US"/>
        </w:rPr>
        <w:t>OT-0401</w:t>
      </w:r>
      <w:r w:rsidR="004204A6">
        <w:rPr>
          <w:rFonts w:ascii="Arial" w:hAnsi="Arial" w:cs="Arial"/>
          <w:b/>
          <w:lang w:val="en-US"/>
        </w:rPr>
        <w:t xml:space="preserve"> </w:t>
      </w:r>
      <w:r w:rsidR="00431825">
        <w:rPr>
          <w:rFonts w:ascii="Arial" w:hAnsi="Arial" w:cs="Arial"/>
          <w:b/>
          <w:lang w:val="en-US"/>
        </w:rPr>
        <w:t>−</w:t>
      </w:r>
      <w:r w:rsidR="004204A6">
        <w:rPr>
          <w:rFonts w:ascii="Arial" w:hAnsi="Arial" w:cs="Arial"/>
          <w:b/>
          <w:lang w:val="en-US"/>
        </w:rPr>
        <w:t xml:space="preserve"> </w:t>
      </w:r>
      <w:r w:rsidR="0035546F" w:rsidRPr="004204A6">
        <w:rPr>
          <w:rFonts w:ascii="Arial" w:hAnsi="Arial" w:cs="Arial"/>
          <w:b/>
          <w:lang w:val="en-US"/>
        </w:rPr>
        <w:t>Treatment Outcomes</w:t>
      </w:r>
      <w:r w:rsidR="004204A6">
        <w:rPr>
          <w:rFonts w:ascii="Arial" w:hAnsi="Arial" w:cs="Arial"/>
          <w:b/>
          <w:lang w:val="en-US"/>
        </w:rPr>
        <w:t xml:space="preserve"> for Renal Function Endpoints</w:t>
      </w:r>
    </w:p>
    <w:tbl>
      <w:tblPr>
        <w:tblW w:w="0" w:type="auto"/>
        <w:jc w:val="center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/>
      </w:tblPr>
      <w:tblGrid>
        <w:gridCol w:w="4008"/>
        <w:gridCol w:w="1804"/>
        <w:gridCol w:w="1474"/>
        <w:gridCol w:w="1102"/>
      </w:tblGrid>
      <w:tr w:rsidR="00136539" w:rsidRPr="00AA039F" w:rsidTr="006F1A3C">
        <w:trPr>
          <w:jc w:val="center"/>
        </w:trPr>
        <w:tc>
          <w:tcPr>
            <w:tcW w:w="4008" w:type="dxa"/>
          </w:tcPr>
          <w:p w:rsidR="00136539" w:rsidRPr="00AA039F" w:rsidRDefault="00136539" w:rsidP="00996578">
            <w:pPr>
              <w:pStyle w:val="NoSpacing"/>
              <w:rPr>
                <w:rFonts w:ascii="Arial Narrow" w:hAnsi="Arial Narrow" w:cs="Arial"/>
                <w:lang w:val="en-US"/>
              </w:rPr>
            </w:pPr>
          </w:p>
          <w:p w:rsidR="00136539" w:rsidRPr="00AA039F" w:rsidRDefault="00136539" w:rsidP="00996578">
            <w:pPr>
              <w:pStyle w:val="NoSpacing"/>
              <w:rPr>
                <w:rFonts w:ascii="Arial Narrow" w:hAnsi="Arial Narrow" w:cs="Arial"/>
                <w:b/>
                <w:lang w:val="en-US"/>
              </w:rPr>
            </w:pPr>
            <w:r w:rsidRPr="00AA039F">
              <w:rPr>
                <w:rFonts w:ascii="Arial Narrow" w:hAnsi="Arial Narrow" w:cs="Arial"/>
                <w:b/>
                <w:lang w:val="en-US"/>
              </w:rPr>
              <w:t>Outcome</w:t>
            </w:r>
          </w:p>
        </w:tc>
        <w:tc>
          <w:tcPr>
            <w:tcW w:w="1804" w:type="dxa"/>
          </w:tcPr>
          <w:p w:rsidR="00136539" w:rsidRPr="00AA039F" w:rsidRDefault="00136539" w:rsidP="004204A6">
            <w:pPr>
              <w:pStyle w:val="NoSpacing"/>
              <w:jc w:val="center"/>
              <w:rPr>
                <w:rFonts w:ascii="Arial Narrow" w:hAnsi="Arial Narrow" w:cs="Arial"/>
                <w:b/>
                <w:lang w:val="en-US"/>
              </w:rPr>
            </w:pPr>
            <w:proofErr w:type="spellStart"/>
            <w:r w:rsidRPr="00AA039F">
              <w:rPr>
                <w:rFonts w:ascii="Arial Narrow" w:hAnsi="Arial Narrow" w:cs="Arial"/>
                <w:b/>
                <w:lang w:val="en-US"/>
              </w:rPr>
              <w:t>Terlipressin</w:t>
            </w:r>
            <w:proofErr w:type="spellEnd"/>
          </w:p>
          <w:p w:rsidR="00136539" w:rsidRPr="00AA039F" w:rsidRDefault="00136539" w:rsidP="004204A6">
            <w:pPr>
              <w:pStyle w:val="NoSpacing"/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AA039F">
              <w:rPr>
                <w:rFonts w:ascii="Arial Narrow" w:hAnsi="Arial Narrow" w:cs="Arial"/>
                <w:b/>
                <w:lang w:val="en-US"/>
              </w:rPr>
              <w:t>(n=56)</w:t>
            </w:r>
          </w:p>
        </w:tc>
        <w:tc>
          <w:tcPr>
            <w:tcW w:w="1474" w:type="dxa"/>
          </w:tcPr>
          <w:p w:rsidR="00136539" w:rsidRPr="00AA039F" w:rsidRDefault="00136539" w:rsidP="004204A6">
            <w:pPr>
              <w:pStyle w:val="NoSpacing"/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AA039F">
              <w:rPr>
                <w:rFonts w:ascii="Arial Narrow" w:hAnsi="Arial Narrow" w:cs="Arial"/>
                <w:b/>
                <w:lang w:val="en-US"/>
              </w:rPr>
              <w:t>Placebo</w:t>
            </w:r>
          </w:p>
          <w:p w:rsidR="00136539" w:rsidRPr="00AA039F" w:rsidRDefault="00136539" w:rsidP="004204A6">
            <w:pPr>
              <w:pStyle w:val="NoSpacing"/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AA039F">
              <w:rPr>
                <w:rFonts w:ascii="Arial Narrow" w:hAnsi="Arial Narrow" w:cs="Arial"/>
                <w:b/>
                <w:lang w:val="en-US"/>
              </w:rPr>
              <w:t>(n=56)</w:t>
            </w:r>
          </w:p>
        </w:tc>
        <w:tc>
          <w:tcPr>
            <w:tcW w:w="1102" w:type="dxa"/>
          </w:tcPr>
          <w:p w:rsidR="00136539" w:rsidRPr="00AA039F" w:rsidRDefault="00136539" w:rsidP="004204A6">
            <w:pPr>
              <w:pStyle w:val="NoSpacing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  <w:p w:rsidR="00136539" w:rsidRPr="00AA039F" w:rsidRDefault="00136539" w:rsidP="004204A6">
            <w:pPr>
              <w:pStyle w:val="NoSpacing"/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AA039F">
              <w:rPr>
                <w:rFonts w:ascii="Arial Narrow" w:hAnsi="Arial Narrow" w:cs="Arial"/>
                <w:b/>
                <w:lang w:val="en-US"/>
              </w:rPr>
              <w:t>p-value</w:t>
            </w:r>
          </w:p>
        </w:tc>
      </w:tr>
      <w:tr w:rsidR="006F1A3C" w:rsidRPr="00136539" w:rsidTr="006F1A3C">
        <w:trPr>
          <w:jc w:val="center"/>
        </w:trPr>
        <w:tc>
          <w:tcPr>
            <w:tcW w:w="4008" w:type="dxa"/>
          </w:tcPr>
          <w:p w:rsidR="006F1A3C" w:rsidRPr="004E762A" w:rsidRDefault="006F1A3C" w:rsidP="00996578">
            <w:pPr>
              <w:pStyle w:val="NoSpacing"/>
              <w:rPr>
                <w:rFonts w:ascii="Arial Narrow" w:hAnsi="Arial Narrow" w:cs="Arial"/>
                <w:lang w:val="en-US"/>
              </w:rPr>
            </w:pPr>
            <w:r w:rsidRPr="004E762A">
              <w:rPr>
                <w:rFonts w:ascii="Arial Narrow" w:hAnsi="Arial Narrow" w:cs="Arial"/>
                <w:lang w:val="en-US"/>
              </w:rPr>
              <w:t>Treatment success at Day 14, n (%)</w:t>
            </w:r>
            <w:r w:rsidRPr="004E762A">
              <w:rPr>
                <w:rFonts w:ascii="Arial Narrow" w:hAnsi="Arial Narrow" w:cs="Arial"/>
                <w:vertAlign w:val="superscript"/>
                <w:lang w:val="en-US"/>
              </w:rPr>
              <w:t>a</w:t>
            </w:r>
          </w:p>
          <w:p w:rsidR="006F1A3C" w:rsidRPr="004E762A" w:rsidRDefault="006F1A3C" w:rsidP="00996578">
            <w:pPr>
              <w:pStyle w:val="NoSpacing"/>
              <w:rPr>
                <w:rFonts w:ascii="Arial Narrow" w:hAnsi="Arial Narrow" w:cs="Arial"/>
                <w:lang w:val="en-US"/>
              </w:rPr>
            </w:pPr>
            <w:r w:rsidRPr="004E762A">
              <w:rPr>
                <w:rFonts w:ascii="Arial Narrow" w:hAnsi="Arial Narrow" w:cs="Arial"/>
                <w:sz w:val="20"/>
                <w:lang w:val="en-US"/>
              </w:rPr>
              <w:t>(95% C.I.)</w:t>
            </w:r>
          </w:p>
        </w:tc>
        <w:tc>
          <w:tcPr>
            <w:tcW w:w="1804" w:type="dxa"/>
          </w:tcPr>
          <w:p w:rsidR="006F1A3C" w:rsidRPr="004E762A" w:rsidRDefault="006F1A3C" w:rsidP="004204A6">
            <w:pPr>
              <w:pStyle w:val="NoSpacing"/>
              <w:jc w:val="center"/>
              <w:rPr>
                <w:rFonts w:ascii="Arial Narrow" w:hAnsi="Arial Narrow" w:cs="Arial"/>
                <w:lang w:val="en-US"/>
              </w:rPr>
            </w:pPr>
            <w:r w:rsidRPr="004E762A">
              <w:rPr>
                <w:rFonts w:ascii="Arial Narrow" w:hAnsi="Arial Narrow" w:cs="Arial"/>
                <w:lang w:val="en-US"/>
              </w:rPr>
              <w:t>16 (28.6)</w:t>
            </w:r>
          </w:p>
          <w:p w:rsidR="006F1A3C" w:rsidRPr="004E762A" w:rsidRDefault="006F1A3C" w:rsidP="004204A6">
            <w:pPr>
              <w:pStyle w:val="NoSpacing"/>
              <w:jc w:val="center"/>
              <w:rPr>
                <w:rFonts w:ascii="Arial Narrow" w:hAnsi="Arial Narrow" w:cs="Arial"/>
                <w:lang w:val="en-US"/>
              </w:rPr>
            </w:pPr>
            <w:r w:rsidRPr="004E762A">
              <w:rPr>
                <w:rFonts w:ascii="Arial Narrow" w:hAnsi="Arial Narrow" w:cs="Arial"/>
                <w:sz w:val="20"/>
                <w:lang w:val="en-US"/>
              </w:rPr>
              <w:t>(17.3, 42.2)</w:t>
            </w:r>
          </w:p>
        </w:tc>
        <w:tc>
          <w:tcPr>
            <w:tcW w:w="1474" w:type="dxa"/>
          </w:tcPr>
          <w:p w:rsidR="006F1A3C" w:rsidRPr="004E762A" w:rsidRDefault="006F1A3C" w:rsidP="004204A6">
            <w:pPr>
              <w:pStyle w:val="NoSpacing"/>
              <w:jc w:val="center"/>
              <w:rPr>
                <w:rFonts w:ascii="Arial Narrow" w:hAnsi="Arial Narrow" w:cs="Arial"/>
                <w:lang w:val="en-US"/>
              </w:rPr>
            </w:pPr>
            <w:r w:rsidRPr="004E762A">
              <w:rPr>
                <w:rFonts w:ascii="Arial Narrow" w:hAnsi="Arial Narrow" w:cs="Arial"/>
                <w:lang w:val="en-US"/>
              </w:rPr>
              <w:t>7 (12.5)</w:t>
            </w:r>
          </w:p>
          <w:p w:rsidR="006F1A3C" w:rsidRPr="004E762A" w:rsidRDefault="006F1A3C" w:rsidP="004204A6">
            <w:pPr>
              <w:pStyle w:val="NoSpacing"/>
              <w:jc w:val="center"/>
              <w:rPr>
                <w:rFonts w:ascii="Arial Narrow" w:hAnsi="Arial Narrow" w:cs="Arial"/>
                <w:lang w:val="en-US"/>
              </w:rPr>
            </w:pPr>
            <w:r w:rsidRPr="004E762A">
              <w:rPr>
                <w:rFonts w:ascii="Arial Narrow" w:hAnsi="Arial Narrow" w:cs="Arial"/>
                <w:sz w:val="20"/>
                <w:lang w:val="en-US"/>
              </w:rPr>
              <w:t>(5.2, 24.1)</w:t>
            </w:r>
          </w:p>
        </w:tc>
        <w:tc>
          <w:tcPr>
            <w:tcW w:w="1102" w:type="dxa"/>
          </w:tcPr>
          <w:p w:rsidR="006F1A3C" w:rsidRPr="004E762A" w:rsidRDefault="006F1A3C" w:rsidP="004204A6">
            <w:pPr>
              <w:pStyle w:val="NoSpacing"/>
              <w:jc w:val="center"/>
              <w:rPr>
                <w:rFonts w:ascii="Arial Narrow" w:hAnsi="Arial Narrow" w:cs="Arial"/>
                <w:lang w:val="en-US"/>
              </w:rPr>
            </w:pPr>
            <w:r w:rsidRPr="004E762A">
              <w:rPr>
                <w:rFonts w:ascii="Arial Narrow" w:hAnsi="Arial Narrow" w:cs="Arial"/>
                <w:lang w:val="en-US"/>
              </w:rPr>
              <w:t>0.037</w:t>
            </w:r>
            <w:r w:rsidRPr="004E762A">
              <w:rPr>
                <w:rFonts w:ascii="Arial Narrow" w:hAnsi="Arial Narrow" w:cs="Arial"/>
                <w:vertAlign w:val="superscript"/>
                <w:lang w:val="en-US"/>
              </w:rPr>
              <w:t>b</w:t>
            </w:r>
          </w:p>
        </w:tc>
      </w:tr>
      <w:tr w:rsidR="00136539" w:rsidRPr="00136539" w:rsidTr="006F1A3C">
        <w:trPr>
          <w:jc w:val="center"/>
        </w:trPr>
        <w:tc>
          <w:tcPr>
            <w:tcW w:w="4008" w:type="dxa"/>
          </w:tcPr>
          <w:p w:rsidR="00136539" w:rsidRPr="004E762A" w:rsidRDefault="00136539" w:rsidP="00996578">
            <w:pPr>
              <w:pStyle w:val="NoSpacing"/>
              <w:rPr>
                <w:rFonts w:ascii="Arial Narrow" w:hAnsi="Arial Narrow" w:cs="Arial"/>
                <w:lang w:val="en-US"/>
              </w:rPr>
            </w:pPr>
            <w:r w:rsidRPr="004E762A">
              <w:rPr>
                <w:rFonts w:ascii="Arial Narrow" w:hAnsi="Arial Narrow" w:cs="Arial"/>
                <w:lang w:val="en-US"/>
              </w:rPr>
              <w:t>HRS reversal,</w:t>
            </w:r>
            <w:r w:rsidRPr="004E762A">
              <w:rPr>
                <w:rFonts w:ascii="Arial Narrow" w:hAnsi="Arial Narrow" w:cs="Arial"/>
                <w:b/>
                <w:lang w:val="en-US"/>
              </w:rPr>
              <w:t xml:space="preserve"> </w:t>
            </w:r>
            <w:r w:rsidRPr="004E762A">
              <w:rPr>
                <w:rFonts w:ascii="Arial Narrow" w:hAnsi="Arial Narrow" w:cs="Arial"/>
                <w:lang w:val="en-US"/>
              </w:rPr>
              <w:t>n (%)</w:t>
            </w:r>
          </w:p>
          <w:p w:rsidR="00136539" w:rsidRPr="004E762A" w:rsidRDefault="00136539" w:rsidP="00996578">
            <w:pPr>
              <w:pStyle w:val="NoSpacing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E762A">
              <w:rPr>
                <w:rFonts w:ascii="Arial Narrow" w:hAnsi="Arial Narrow" w:cs="Arial"/>
                <w:sz w:val="20"/>
                <w:szCs w:val="20"/>
                <w:lang w:val="en-US"/>
              </w:rPr>
              <w:t>(95% C.I.)</w:t>
            </w:r>
          </w:p>
        </w:tc>
        <w:tc>
          <w:tcPr>
            <w:tcW w:w="1804" w:type="dxa"/>
          </w:tcPr>
          <w:p w:rsidR="00136539" w:rsidRPr="004E762A" w:rsidRDefault="00136539" w:rsidP="004204A6">
            <w:pPr>
              <w:pStyle w:val="NoSpacing"/>
              <w:jc w:val="center"/>
              <w:rPr>
                <w:rFonts w:ascii="Arial Narrow" w:hAnsi="Arial Narrow" w:cs="Arial"/>
                <w:lang w:val="en-US"/>
              </w:rPr>
            </w:pPr>
            <w:r w:rsidRPr="004E762A">
              <w:rPr>
                <w:rFonts w:ascii="Arial Narrow" w:hAnsi="Arial Narrow" w:cs="Arial"/>
                <w:lang w:val="en-US"/>
              </w:rPr>
              <w:t>19 (33.9)</w:t>
            </w:r>
          </w:p>
          <w:p w:rsidR="00136539" w:rsidRPr="004E762A" w:rsidRDefault="00136539" w:rsidP="004204A6">
            <w:pPr>
              <w:pStyle w:val="NoSpacing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E762A">
              <w:rPr>
                <w:rFonts w:ascii="Arial Narrow" w:hAnsi="Arial Narrow" w:cs="Arial"/>
                <w:sz w:val="20"/>
                <w:szCs w:val="20"/>
                <w:lang w:val="en-US"/>
              </w:rPr>
              <w:t>(21.8, 47.8)</w:t>
            </w:r>
          </w:p>
        </w:tc>
        <w:tc>
          <w:tcPr>
            <w:tcW w:w="1474" w:type="dxa"/>
          </w:tcPr>
          <w:p w:rsidR="00136539" w:rsidRPr="004E762A" w:rsidRDefault="00136539" w:rsidP="004204A6">
            <w:pPr>
              <w:pStyle w:val="NoSpacing"/>
              <w:jc w:val="center"/>
              <w:rPr>
                <w:rFonts w:ascii="Arial Narrow" w:hAnsi="Arial Narrow" w:cs="Arial"/>
                <w:lang w:val="en-US"/>
              </w:rPr>
            </w:pPr>
            <w:r w:rsidRPr="004E762A">
              <w:rPr>
                <w:rFonts w:ascii="Arial Narrow" w:hAnsi="Arial Narrow" w:cs="Arial"/>
                <w:lang w:val="en-US"/>
              </w:rPr>
              <w:t>7 (12.5)</w:t>
            </w:r>
          </w:p>
          <w:p w:rsidR="00136539" w:rsidRPr="004E762A" w:rsidRDefault="00136539" w:rsidP="004204A6">
            <w:pPr>
              <w:pStyle w:val="NoSpacing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E762A">
              <w:rPr>
                <w:rFonts w:ascii="Arial Narrow" w:hAnsi="Arial Narrow" w:cs="Arial"/>
                <w:sz w:val="20"/>
                <w:szCs w:val="20"/>
                <w:lang w:val="en-US"/>
              </w:rPr>
              <w:t>(5.2, 24.1)</w:t>
            </w:r>
          </w:p>
        </w:tc>
        <w:tc>
          <w:tcPr>
            <w:tcW w:w="1102" w:type="dxa"/>
          </w:tcPr>
          <w:p w:rsidR="00136539" w:rsidRPr="004E762A" w:rsidRDefault="00136539" w:rsidP="004204A6">
            <w:pPr>
              <w:pStyle w:val="NoSpacing"/>
              <w:jc w:val="center"/>
              <w:rPr>
                <w:rFonts w:ascii="Arial Narrow" w:hAnsi="Arial Narrow" w:cs="Arial"/>
                <w:lang w:val="en-US"/>
              </w:rPr>
            </w:pPr>
            <w:r w:rsidRPr="004E762A">
              <w:rPr>
                <w:rFonts w:ascii="Arial Narrow" w:hAnsi="Arial Narrow" w:cs="Arial"/>
                <w:lang w:val="en-US"/>
              </w:rPr>
              <w:t>0.008</w:t>
            </w:r>
            <w:r w:rsidR="006F1A3C" w:rsidRPr="004E762A">
              <w:rPr>
                <w:rFonts w:ascii="Arial Narrow" w:hAnsi="Arial Narrow" w:cs="Arial"/>
                <w:vertAlign w:val="superscript"/>
                <w:lang w:val="en-US"/>
              </w:rPr>
              <w:t>b</w:t>
            </w:r>
          </w:p>
        </w:tc>
      </w:tr>
      <w:tr w:rsidR="00136539" w:rsidRPr="00136539" w:rsidTr="006F1A3C">
        <w:trPr>
          <w:jc w:val="center"/>
        </w:trPr>
        <w:tc>
          <w:tcPr>
            <w:tcW w:w="4008" w:type="dxa"/>
          </w:tcPr>
          <w:p w:rsidR="00136539" w:rsidRPr="006000C2" w:rsidRDefault="00136539" w:rsidP="00996578">
            <w:pPr>
              <w:pStyle w:val="NoSpacing"/>
              <w:jc w:val="both"/>
              <w:rPr>
                <w:rFonts w:ascii="Arial Narrow" w:hAnsi="Arial Narrow" w:cs="Arial"/>
                <w:lang w:val="en-US"/>
              </w:rPr>
            </w:pPr>
            <w:r w:rsidRPr="006000C2">
              <w:rPr>
                <w:rFonts w:ascii="Arial Narrow" w:hAnsi="Arial Narrow" w:cs="Arial"/>
                <w:lang w:val="en-US"/>
              </w:rPr>
              <w:t xml:space="preserve">Change in </w:t>
            </w:r>
            <w:proofErr w:type="spellStart"/>
            <w:r w:rsidRPr="006000C2">
              <w:rPr>
                <w:rFonts w:ascii="Arial Narrow" w:hAnsi="Arial Narrow" w:cs="Arial"/>
                <w:lang w:val="en-US"/>
              </w:rPr>
              <w:t>SCr</w:t>
            </w:r>
            <w:proofErr w:type="spellEnd"/>
            <w:r w:rsidRPr="006000C2">
              <w:rPr>
                <w:rFonts w:ascii="Arial Narrow" w:hAnsi="Arial Narrow" w:cs="Arial"/>
                <w:lang w:val="en-US"/>
              </w:rPr>
              <w:t xml:space="preserve">, </w:t>
            </w:r>
            <w:r w:rsidR="005A4978" w:rsidRPr="006000C2">
              <w:rPr>
                <w:rFonts w:ascii="Arial Narrow" w:hAnsi="Arial Narrow" w:cs="Arial"/>
                <w:lang w:val="en-US"/>
              </w:rPr>
              <w:t>µmol/</w:t>
            </w:r>
            <w:proofErr w:type="spellStart"/>
            <w:r w:rsidR="005A4978" w:rsidRPr="006000C2">
              <w:rPr>
                <w:rFonts w:ascii="Arial Narrow" w:hAnsi="Arial Narrow" w:cs="Arial"/>
                <w:lang w:val="en-US"/>
              </w:rPr>
              <w:t>L</w:t>
            </w:r>
            <w:r w:rsidR="006F1A3C" w:rsidRPr="006000C2">
              <w:rPr>
                <w:rFonts w:ascii="Arial Narrow" w:hAnsi="Arial Narrow" w:cs="Arial"/>
                <w:vertAlign w:val="superscript"/>
                <w:lang w:val="en-US"/>
              </w:rPr>
              <w:t>c</w:t>
            </w:r>
            <w:proofErr w:type="spellEnd"/>
          </w:p>
          <w:p w:rsidR="00136539" w:rsidRPr="006000C2" w:rsidRDefault="00136539" w:rsidP="00996578">
            <w:pPr>
              <w:pStyle w:val="NoSpacing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000C2">
              <w:rPr>
                <w:rFonts w:ascii="Arial Narrow" w:hAnsi="Arial Narrow" w:cs="Arial"/>
                <w:sz w:val="20"/>
                <w:szCs w:val="20"/>
                <w:lang w:val="en-US"/>
              </w:rPr>
              <w:t>(95% C.I.)</w:t>
            </w:r>
          </w:p>
        </w:tc>
        <w:tc>
          <w:tcPr>
            <w:tcW w:w="1804" w:type="dxa"/>
          </w:tcPr>
          <w:p w:rsidR="00136539" w:rsidRPr="006000C2" w:rsidRDefault="005A4978" w:rsidP="004204A6">
            <w:pPr>
              <w:pStyle w:val="NoSpacing"/>
              <w:jc w:val="center"/>
              <w:rPr>
                <w:rFonts w:ascii="Arial Narrow" w:hAnsi="Arial Narrow" w:cs="Arial"/>
                <w:lang w:val="en-US"/>
              </w:rPr>
            </w:pPr>
            <w:r w:rsidRPr="006000C2">
              <w:rPr>
                <w:rFonts w:ascii="Arial Narrow" w:hAnsi="Arial Narrow" w:cs="Arial"/>
                <w:lang w:val="en-US"/>
              </w:rPr>
              <w:t>62.4 (16.4)</w:t>
            </w:r>
          </w:p>
          <w:p w:rsidR="00136539" w:rsidRPr="006000C2" w:rsidRDefault="005A4978" w:rsidP="004204A6">
            <w:pPr>
              <w:pStyle w:val="NoSpacing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000C2">
              <w:rPr>
                <w:rFonts w:ascii="Arial Narrow" w:hAnsi="Arial Narrow" w:cs="Arial"/>
                <w:sz w:val="20"/>
                <w:szCs w:val="20"/>
                <w:lang w:val="en-US"/>
              </w:rPr>
              <w:t>(-94.96, -29.88)</w:t>
            </w:r>
          </w:p>
        </w:tc>
        <w:tc>
          <w:tcPr>
            <w:tcW w:w="1474" w:type="dxa"/>
          </w:tcPr>
          <w:p w:rsidR="00136539" w:rsidRPr="006000C2" w:rsidRDefault="006C48A9" w:rsidP="004204A6">
            <w:pPr>
              <w:pStyle w:val="NoSpacing"/>
              <w:jc w:val="center"/>
              <w:rPr>
                <w:rFonts w:ascii="Arial Narrow" w:hAnsi="Arial Narrow" w:cs="Arial"/>
                <w:lang w:val="en-US"/>
              </w:rPr>
            </w:pPr>
            <w:r w:rsidRPr="006000C2">
              <w:rPr>
                <w:rFonts w:ascii="Arial Narrow" w:hAnsi="Arial Narrow" w:cs="Arial"/>
                <w:lang w:val="en-US"/>
              </w:rPr>
              <w:t>1.1 (16.4)</w:t>
            </w:r>
          </w:p>
          <w:p w:rsidR="00136539" w:rsidRPr="006000C2" w:rsidRDefault="006C48A9" w:rsidP="004204A6">
            <w:pPr>
              <w:pStyle w:val="NoSpacing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000C2">
              <w:rPr>
                <w:rFonts w:ascii="Arial Narrow" w:hAnsi="Arial Narrow" w:cs="Arial"/>
                <w:sz w:val="20"/>
                <w:szCs w:val="20"/>
                <w:lang w:val="en-US"/>
              </w:rPr>
              <w:t>(-31.46, 33.58)</w:t>
            </w:r>
          </w:p>
        </w:tc>
        <w:tc>
          <w:tcPr>
            <w:tcW w:w="1102" w:type="dxa"/>
          </w:tcPr>
          <w:p w:rsidR="00136539" w:rsidRPr="004E762A" w:rsidRDefault="00136539" w:rsidP="004204A6">
            <w:pPr>
              <w:pStyle w:val="NoSpacing"/>
              <w:jc w:val="center"/>
              <w:rPr>
                <w:rFonts w:ascii="Arial Narrow" w:hAnsi="Arial Narrow" w:cs="Arial"/>
                <w:vertAlign w:val="superscript"/>
                <w:lang w:val="en-US"/>
              </w:rPr>
            </w:pPr>
            <w:r w:rsidRPr="006000C2">
              <w:rPr>
                <w:rFonts w:ascii="Arial Narrow" w:hAnsi="Arial Narrow" w:cs="Arial"/>
                <w:lang w:val="en-US"/>
              </w:rPr>
              <w:t>0.00</w:t>
            </w:r>
            <w:r w:rsidR="006C48A9" w:rsidRPr="006000C2">
              <w:rPr>
                <w:rFonts w:ascii="Arial Narrow" w:hAnsi="Arial Narrow" w:cs="Arial"/>
                <w:lang w:val="en-US"/>
              </w:rPr>
              <w:t>6</w:t>
            </w:r>
            <w:r w:rsidR="006F1A3C" w:rsidRPr="006000C2">
              <w:rPr>
                <w:rFonts w:ascii="Arial Narrow" w:hAnsi="Arial Narrow" w:cs="Arial"/>
                <w:vertAlign w:val="superscript"/>
                <w:lang w:val="en-US"/>
              </w:rPr>
              <w:t>d</w:t>
            </w:r>
          </w:p>
        </w:tc>
      </w:tr>
      <w:tr w:rsidR="00136539" w:rsidRPr="00136539" w:rsidTr="006F1A3C">
        <w:trPr>
          <w:jc w:val="center"/>
        </w:trPr>
        <w:tc>
          <w:tcPr>
            <w:tcW w:w="8388" w:type="dxa"/>
            <w:gridSpan w:val="4"/>
          </w:tcPr>
          <w:p w:rsidR="006F1A3C" w:rsidRPr="004E762A" w:rsidRDefault="006F1A3C" w:rsidP="00996578">
            <w:pPr>
              <w:pStyle w:val="NoSpacing"/>
              <w:rPr>
                <w:rFonts w:ascii="Arial Narrow" w:hAnsi="Arial Narrow" w:cs="Arial"/>
                <w:lang w:val="en-US"/>
              </w:rPr>
            </w:pPr>
            <w:proofErr w:type="spellStart"/>
            <w:r w:rsidRPr="004E762A">
              <w:rPr>
                <w:rFonts w:ascii="Arial Narrow" w:hAnsi="Arial Narrow" w:cs="Arial"/>
                <w:vertAlign w:val="superscript"/>
                <w:lang w:val="en-US"/>
              </w:rPr>
              <w:t>a</w:t>
            </w:r>
            <w:r w:rsidRPr="004E762A">
              <w:rPr>
                <w:rFonts w:ascii="Arial Narrow" w:hAnsi="Arial Narrow" w:cs="Arial"/>
                <w:lang w:val="en-US"/>
              </w:rPr>
              <w:t>Incorporates</w:t>
            </w:r>
            <w:proofErr w:type="spellEnd"/>
            <w:r w:rsidRPr="004E762A">
              <w:rPr>
                <w:rFonts w:ascii="Arial Narrow" w:hAnsi="Arial Narrow" w:cs="Arial"/>
                <w:lang w:val="en-US"/>
              </w:rPr>
              <w:t xml:space="preserve"> additional </w:t>
            </w:r>
            <w:proofErr w:type="spellStart"/>
            <w:r w:rsidRPr="004E762A">
              <w:rPr>
                <w:rFonts w:ascii="Arial Narrow" w:hAnsi="Arial Narrow" w:cs="Arial"/>
                <w:lang w:val="en-US"/>
              </w:rPr>
              <w:t>SCr</w:t>
            </w:r>
            <w:proofErr w:type="spellEnd"/>
            <w:r w:rsidRPr="004E762A">
              <w:rPr>
                <w:rFonts w:ascii="Arial Narrow" w:hAnsi="Arial Narrow" w:cs="Arial"/>
                <w:lang w:val="en-US"/>
              </w:rPr>
              <w:t xml:space="preserve"> data collected after initial database closure</w:t>
            </w:r>
          </w:p>
          <w:p w:rsidR="00136539" w:rsidRPr="004E762A" w:rsidRDefault="006F1A3C" w:rsidP="00996578">
            <w:pPr>
              <w:pStyle w:val="NoSpacing"/>
              <w:rPr>
                <w:rFonts w:ascii="Arial Narrow" w:hAnsi="Arial Narrow" w:cs="Arial"/>
                <w:vertAlign w:val="superscript"/>
                <w:lang w:val="en-US"/>
              </w:rPr>
            </w:pPr>
            <w:proofErr w:type="spellStart"/>
            <w:r w:rsidRPr="004E762A">
              <w:rPr>
                <w:rFonts w:ascii="Arial Narrow" w:hAnsi="Arial Narrow" w:cs="Arial"/>
                <w:vertAlign w:val="superscript"/>
                <w:lang w:val="en-US"/>
              </w:rPr>
              <w:t>b</w:t>
            </w:r>
            <w:r w:rsidR="00A66725" w:rsidRPr="004E762A">
              <w:rPr>
                <w:rFonts w:ascii="Arial Narrow" w:hAnsi="Arial Narrow" w:cs="Arial"/>
                <w:lang w:val="en-US"/>
              </w:rPr>
              <w:t>F</w:t>
            </w:r>
            <w:r w:rsidR="00136539" w:rsidRPr="004E762A">
              <w:rPr>
                <w:rFonts w:ascii="Arial Narrow" w:hAnsi="Arial Narrow" w:cs="Arial"/>
                <w:lang w:val="en-US"/>
              </w:rPr>
              <w:t>rom</w:t>
            </w:r>
            <w:proofErr w:type="spellEnd"/>
            <w:r w:rsidR="00136539" w:rsidRPr="004E762A">
              <w:rPr>
                <w:rFonts w:ascii="Arial Narrow" w:hAnsi="Arial Narrow" w:cs="Arial"/>
                <w:lang w:val="en-US"/>
              </w:rPr>
              <w:t xml:space="preserve"> a stratified C</w:t>
            </w:r>
            <w:r w:rsidR="00AB578C" w:rsidRPr="004E762A">
              <w:rPr>
                <w:rFonts w:ascii="Arial Narrow" w:hAnsi="Arial Narrow" w:cs="Arial"/>
                <w:lang w:val="en-US"/>
              </w:rPr>
              <w:t>ochran-Mantel-</w:t>
            </w:r>
            <w:proofErr w:type="spellStart"/>
            <w:r w:rsidR="00136539" w:rsidRPr="004E762A">
              <w:rPr>
                <w:rFonts w:ascii="Arial Narrow" w:hAnsi="Arial Narrow" w:cs="Arial"/>
                <w:lang w:val="en-US"/>
              </w:rPr>
              <w:t>H</w:t>
            </w:r>
            <w:r w:rsidR="00AB578C" w:rsidRPr="004E762A">
              <w:rPr>
                <w:rFonts w:ascii="Arial Narrow" w:hAnsi="Arial Narrow" w:cs="Arial"/>
                <w:lang w:val="en-US"/>
              </w:rPr>
              <w:t>aenszel</w:t>
            </w:r>
            <w:proofErr w:type="spellEnd"/>
            <w:r w:rsidR="00AB578C" w:rsidRPr="004E762A">
              <w:rPr>
                <w:rFonts w:ascii="Arial Narrow" w:hAnsi="Arial Narrow" w:cs="Arial"/>
                <w:lang w:val="en-US"/>
              </w:rPr>
              <w:t xml:space="preserve"> </w:t>
            </w:r>
            <w:r w:rsidR="00A77EA6" w:rsidRPr="004E762A">
              <w:rPr>
                <w:rFonts w:ascii="Arial Narrow" w:hAnsi="Arial Narrow" w:cs="Arial"/>
                <w:lang w:val="en-US"/>
              </w:rPr>
              <w:t>(CMH)</w:t>
            </w:r>
            <w:r w:rsidR="00136539" w:rsidRPr="004E762A">
              <w:rPr>
                <w:rFonts w:ascii="Arial Narrow" w:hAnsi="Arial Narrow" w:cs="Arial"/>
                <w:lang w:val="en-US"/>
              </w:rPr>
              <w:t xml:space="preserve"> test</w:t>
            </w:r>
            <w:r w:rsidR="004204A6" w:rsidRPr="004E762A">
              <w:rPr>
                <w:rFonts w:ascii="Arial Narrow" w:hAnsi="Arial Narrow" w:cs="Arial"/>
                <w:lang w:val="en-US"/>
              </w:rPr>
              <w:t>.</w:t>
            </w:r>
            <w:r w:rsidR="00136539" w:rsidRPr="004E762A">
              <w:rPr>
                <w:rFonts w:ascii="Arial Narrow" w:hAnsi="Arial Narrow" w:cs="Arial"/>
                <w:lang w:val="en-US"/>
              </w:rPr>
              <w:t xml:space="preserve"> </w:t>
            </w:r>
          </w:p>
          <w:p w:rsidR="00136539" w:rsidRPr="004E762A" w:rsidRDefault="006F1A3C" w:rsidP="00996578">
            <w:pPr>
              <w:pStyle w:val="NoSpacing"/>
              <w:rPr>
                <w:rFonts w:ascii="Arial Narrow" w:hAnsi="Arial Narrow" w:cs="Arial"/>
                <w:vertAlign w:val="superscript"/>
                <w:lang w:val="en-US"/>
              </w:rPr>
            </w:pPr>
            <w:proofErr w:type="spellStart"/>
            <w:r w:rsidRPr="004E762A">
              <w:rPr>
                <w:rFonts w:ascii="Arial Narrow" w:hAnsi="Arial Narrow" w:cs="Arial"/>
                <w:vertAlign w:val="superscript"/>
                <w:lang w:val="en-US"/>
              </w:rPr>
              <w:t>c</w:t>
            </w:r>
            <w:r w:rsidR="00136539" w:rsidRPr="004E762A">
              <w:rPr>
                <w:rFonts w:ascii="Arial Narrow" w:hAnsi="Arial Narrow" w:cs="Arial"/>
                <w:lang w:val="en-US"/>
              </w:rPr>
              <w:t>L</w:t>
            </w:r>
            <w:r w:rsidR="00A77EA6" w:rsidRPr="004E762A">
              <w:rPr>
                <w:rFonts w:ascii="Arial Narrow" w:hAnsi="Arial Narrow" w:cs="Arial"/>
                <w:lang w:val="en-US"/>
              </w:rPr>
              <w:t>east</w:t>
            </w:r>
            <w:proofErr w:type="spellEnd"/>
            <w:r w:rsidR="00A77EA6" w:rsidRPr="004E762A">
              <w:rPr>
                <w:rFonts w:ascii="Arial Narrow" w:hAnsi="Arial Narrow" w:cs="Arial"/>
                <w:lang w:val="en-US"/>
              </w:rPr>
              <w:t xml:space="preserve"> Square </w:t>
            </w:r>
            <w:r w:rsidR="00136539" w:rsidRPr="004E762A">
              <w:rPr>
                <w:rFonts w:ascii="Arial Narrow" w:hAnsi="Arial Narrow" w:cs="Arial"/>
                <w:lang w:val="en-US"/>
              </w:rPr>
              <w:t>Mean (SE) for change from baseline to Day 14</w:t>
            </w:r>
            <w:r w:rsidR="004204A6" w:rsidRPr="004E762A">
              <w:rPr>
                <w:rFonts w:ascii="Arial Narrow" w:hAnsi="Arial Narrow" w:cs="Arial"/>
                <w:lang w:val="en-US"/>
              </w:rPr>
              <w:t>.</w:t>
            </w:r>
          </w:p>
          <w:p w:rsidR="00136539" w:rsidRPr="004E762A" w:rsidRDefault="006F1A3C" w:rsidP="00996578">
            <w:pPr>
              <w:pStyle w:val="NoSpacing"/>
              <w:rPr>
                <w:rFonts w:ascii="Arial Narrow" w:hAnsi="Arial Narrow" w:cs="Arial"/>
                <w:lang w:val="en-US"/>
              </w:rPr>
            </w:pPr>
            <w:proofErr w:type="spellStart"/>
            <w:r w:rsidRPr="004E762A">
              <w:rPr>
                <w:rFonts w:ascii="Arial Narrow" w:hAnsi="Arial Narrow" w:cs="Arial"/>
                <w:vertAlign w:val="superscript"/>
                <w:lang w:val="en-US"/>
              </w:rPr>
              <w:t>d</w:t>
            </w:r>
            <w:r w:rsidR="00136539" w:rsidRPr="004E762A">
              <w:rPr>
                <w:rFonts w:ascii="Arial Narrow" w:hAnsi="Arial Narrow" w:cs="Arial"/>
                <w:lang w:val="en-US"/>
              </w:rPr>
              <w:t>p</w:t>
            </w:r>
            <w:proofErr w:type="spellEnd"/>
            <w:r w:rsidR="00136539" w:rsidRPr="004E762A">
              <w:rPr>
                <w:rFonts w:ascii="Arial Narrow" w:hAnsi="Arial Narrow" w:cs="Arial"/>
                <w:lang w:val="en-US"/>
              </w:rPr>
              <w:t>-value comparing treatment groups, from repeated measures ANOVA</w:t>
            </w:r>
            <w:r w:rsidR="004204A6" w:rsidRPr="004E762A">
              <w:rPr>
                <w:rFonts w:ascii="Arial Narrow" w:hAnsi="Arial Narrow" w:cs="Arial"/>
                <w:lang w:val="en-US"/>
              </w:rPr>
              <w:t>.</w:t>
            </w:r>
          </w:p>
        </w:tc>
      </w:tr>
    </w:tbl>
    <w:p w:rsidR="00136539" w:rsidRDefault="00136539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4E762A" w:rsidRDefault="004E762A" w:rsidP="00591BA9">
      <w:pPr>
        <w:pStyle w:val="NoSpacing"/>
        <w:jc w:val="center"/>
        <w:rPr>
          <w:rFonts w:ascii="Arial" w:hAnsi="Arial" w:cs="Arial"/>
          <w:b/>
          <w:lang w:val="en-US"/>
        </w:rPr>
      </w:pPr>
    </w:p>
    <w:p w:rsidR="00591BA9" w:rsidRDefault="001B2915" w:rsidP="00591BA9">
      <w:pPr>
        <w:pStyle w:val="NoSpacing"/>
        <w:jc w:val="center"/>
        <w:rPr>
          <w:rFonts w:ascii="Arial" w:hAnsi="Arial" w:cs="Arial"/>
          <w:b/>
          <w:lang w:val="en-US"/>
        </w:rPr>
      </w:pPr>
      <w:r w:rsidRPr="004204A6">
        <w:rPr>
          <w:rFonts w:ascii="Arial" w:hAnsi="Arial" w:cs="Arial"/>
          <w:b/>
          <w:lang w:val="en-US"/>
        </w:rPr>
        <w:t xml:space="preserve">Figure 1. </w:t>
      </w:r>
      <w:r w:rsidR="00591BA9">
        <w:rPr>
          <w:rFonts w:ascii="Arial" w:hAnsi="Arial" w:cs="Arial"/>
          <w:b/>
          <w:lang w:val="en-US"/>
        </w:rPr>
        <w:t xml:space="preserve"> </w:t>
      </w:r>
      <w:r w:rsidR="00591BA9" w:rsidRPr="00136539">
        <w:rPr>
          <w:rFonts w:ascii="Arial" w:hAnsi="Arial" w:cs="Arial"/>
          <w:b/>
          <w:lang w:val="en-US"/>
        </w:rPr>
        <w:t>OT-0401</w:t>
      </w:r>
      <w:r w:rsidR="00591BA9">
        <w:rPr>
          <w:rFonts w:ascii="Arial" w:hAnsi="Arial" w:cs="Arial"/>
          <w:b/>
          <w:lang w:val="en-US"/>
        </w:rPr>
        <w:t xml:space="preserve"> </w:t>
      </w:r>
      <w:r w:rsidR="00431825">
        <w:rPr>
          <w:rFonts w:ascii="Arial" w:hAnsi="Arial" w:cs="Arial"/>
          <w:b/>
          <w:lang w:val="en-US"/>
        </w:rPr>
        <w:t>−</w:t>
      </w:r>
      <w:r w:rsidR="00591BA9">
        <w:rPr>
          <w:rFonts w:ascii="Arial" w:hAnsi="Arial" w:cs="Arial"/>
          <w:b/>
          <w:lang w:val="en-US"/>
        </w:rPr>
        <w:t xml:space="preserve"> </w:t>
      </w:r>
      <w:r w:rsidRPr="004204A6">
        <w:rPr>
          <w:rFonts w:ascii="Arial" w:hAnsi="Arial" w:cs="Arial"/>
          <w:b/>
          <w:lang w:val="en-US"/>
        </w:rPr>
        <w:t xml:space="preserve">Cumulative </w:t>
      </w:r>
      <w:r w:rsidR="00591BA9">
        <w:rPr>
          <w:rFonts w:ascii="Arial" w:hAnsi="Arial" w:cs="Arial"/>
          <w:b/>
          <w:lang w:val="en-US"/>
        </w:rPr>
        <w:t>I</w:t>
      </w:r>
      <w:r w:rsidRPr="004204A6">
        <w:rPr>
          <w:rFonts w:ascii="Arial" w:hAnsi="Arial" w:cs="Arial"/>
          <w:b/>
          <w:lang w:val="en-US"/>
        </w:rPr>
        <w:t xml:space="preserve">ncidence of HRS </w:t>
      </w:r>
      <w:r w:rsidR="00591BA9">
        <w:rPr>
          <w:rFonts w:ascii="Arial" w:hAnsi="Arial" w:cs="Arial"/>
          <w:b/>
          <w:lang w:val="en-US"/>
        </w:rPr>
        <w:t>R</w:t>
      </w:r>
      <w:r w:rsidRPr="004204A6">
        <w:rPr>
          <w:rFonts w:ascii="Arial" w:hAnsi="Arial" w:cs="Arial"/>
          <w:b/>
          <w:lang w:val="en-US"/>
        </w:rPr>
        <w:t xml:space="preserve">eversal by </w:t>
      </w:r>
      <w:r w:rsidR="00591BA9">
        <w:rPr>
          <w:rFonts w:ascii="Arial" w:hAnsi="Arial" w:cs="Arial"/>
          <w:b/>
          <w:lang w:val="en-US"/>
        </w:rPr>
        <w:t>D</w:t>
      </w:r>
      <w:r w:rsidRPr="004204A6">
        <w:rPr>
          <w:rFonts w:ascii="Arial" w:hAnsi="Arial" w:cs="Arial"/>
          <w:b/>
          <w:lang w:val="en-US"/>
        </w:rPr>
        <w:t xml:space="preserve">ay. </w:t>
      </w:r>
    </w:p>
    <w:p w:rsidR="001B2915" w:rsidRPr="004204A6" w:rsidRDefault="00591BA9" w:rsidP="00591BA9">
      <w:pPr>
        <w:pStyle w:val="NoSpacing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(</w:t>
      </w:r>
      <w:r w:rsidR="001B2915" w:rsidRPr="004204A6">
        <w:rPr>
          <w:rFonts w:ascii="Arial" w:hAnsi="Arial" w:cs="Arial"/>
          <w:b/>
          <w:lang w:val="en-US"/>
        </w:rPr>
        <w:t>Treatment beg</w:t>
      </w:r>
      <w:r>
        <w:rPr>
          <w:rFonts w:ascii="Arial" w:hAnsi="Arial" w:cs="Arial"/>
          <w:b/>
          <w:lang w:val="en-US"/>
        </w:rPr>
        <w:t>an</w:t>
      </w:r>
      <w:r w:rsidR="001B2915" w:rsidRPr="004204A6">
        <w:rPr>
          <w:rFonts w:ascii="Arial" w:hAnsi="Arial" w:cs="Arial"/>
          <w:b/>
          <w:lang w:val="en-US"/>
        </w:rPr>
        <w:t xml:space="preserve"> on day 1</w:t>
      </w:r>
      <w:r>
        <w:rPr>
          <w:rFonts w:ascii="Arial" w:hAnsi="Arial" w:cs="Arial"/>
          <w:b/>
          <w:lang w:val="en-US"/>
        </w:rPr>
        <w:t>)</w:t>
      </w:r>
    </w:p>
    <w:p w:rsidR="001B2915" w:rsidRDefault="00BC473C" w:rsidP="00996578">
      <w:pPr>
        <w:pStyle w:val="NoSpacing"/>
        <w:jc w:val="both"/>
        <w:rPr>
          <w:rFonts w:ascii="Arial" w:hAnsi="Arial" w:cs="Arial"/>
          <w:lang w:val="en-US"/>
        </w:rPr>
      </w:pPr>
      <w:r w:rsidRPr="00BC473C">
        <w:rPr>
          <w:rFonts w:ascii="Arial" w:hAnsi="Arial" w:cs="Arial"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1pt;margin-top:6.1pt;width:453.4pt;height:256.55pt;z-index:251657728;mso-width-relative:margin;mso-height-relative:margin">
            <v:textbox style="mso-next-textbox:#_x0000_s1026">
              <w:txbxContent>
                <w:p w:rsidR="001B2915" w:rsidRDefault="00277767" w:rsidP="004204A6">
                  <w:pPr>
                    <w:jc w:val="center"/>
                  </w:pPr>
                  <w:r>
                    <w:rPr>
                      <w:noProof/>
                      <w:lang w:eastAsia="en-AU"/>
                    </w:rPr>
                    <w:drawing>
                      <wp:inline distT="0" distB="0" distL="0" distR="0">
                        <wp:extent cx="5055235" cy="3157220"/>
                        <wp:effectExtent l="19050" t="0" r="0" b="0"/>
                        <wp:docPr id="2" name="Picture 2" descr="Figure 1.  OT-0401 − Cumulative Incidence of HRS Reversal by Day. &#10;(Treatment began on day 1)&#10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55235" cy="315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B2915" w:rsidRDefault="001B2915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1B2915" w:rsidRDefault="001B2915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1B2915" w:rsidRDefault="001B2915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1B2915" w:rsidRDefault="001B2915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1B2915" w:rsidRDefault="001B2915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1B2915" w:rsidRDefault="001B2915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1B2915" w:rsidRDefault="001B2915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1B2915" w:rsidRDefault="001B2915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1B2915" w:rsidRDefault="001B2915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1B2915" w:rsidRDefault="001B2915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1B2915" w:rsidRDefault="001B2915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1B2915" w:rsidRDefault="001B2915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D212D4" w:rsidRDefault="00D212D4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D212D4" w:rsidRDefault="00D212D4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D212D4" w:rsidRDefault="00D212D4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D212D4" w:rsidRDefault="00D212D4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D212D4" w:rsidRDefault="00D212D4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D212D4" w:rsidRDefault="00D212D4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D212D4" w:rsidRDefault="00D212D4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1B2915" w:rsidRDefault="001B2915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1B2915" w:rsidRDefault="001B2915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136539" w:rsidRPr="00B02CC5" w:rsidRDefault="00136539" w:rsidP="00996578">
      <w:pPr>
        <w:pStyle w:val="NoSpacing"/>
        <w:jc w:val="both"/>
        <w:rPr>
          <w:rFonts w:ascii="Arial" w:hAnsi="Arial" w:cs="Arial"/>
          <w:lang w:val="en-US"/>
        </w:rPr>
      </w:pPr>
      <w:r w:rsidRPr="00591BA9">
        <w:rPr>
          <w:rFonts w:ascii="Arial" w:hAnsi="Arial" w:cs="Arial"/>
          <w:b/>
          <w:i/>
          <w:lang w:val="en-US"/>
        </w:rPr>
        <w:t>Survival</w:t>
      </w:r>
      <w:r w:rsidRPr="00591BA9">
        <w:rPr>
          <w:rFonts w:ascii="Arial" w:hAnsi="Arial" w:cs="Arial"/>
          <w:b/>
          <w:lang w:val="en-US"/>
        </w:rPr>
        <w:t>:</w:t>
      </w:r>
      <w:r w:rsidRPr="00136539">
        <w:rPr>
          <w:rFonts w:ascii="Arial" w:hAnsi="Arial" w:cs="Arial"/>
          <w:lang w:val="en-US"/>
        </w:rPr>
        <w:t xml:space="preserve">  </w:t>
      </w:r>
      <w:r w:rsidR="00BD41FC" w:rsidRPr="00B02CC5">
        <w:rPr>
          <w:rFonts w:ascii="Arial" w:hAnsi="Arial" w:cs="Arial"/>
          <w:lang w:val="en-US"/>
        </w:rPr>
        <w:t>Study OT-0401 included survival as non-primary endpoints for which adequate powering was not possible due to the rarity of HRS type 1</w:t>
      </w:r>
      <w:r w:rsidR="00B67B7F" w:rsidRPr="00B02CC5">
        <w:rPr>
          <w:rFonts w:ascii="Arial" w:hAnsi="Arial" w:cs="Arial"/>
          <w:lang w:val="en-US"/>
        </w:rPr>
        <w:t xml:space="preserve">. </w:t>
      </w:r>
      <w:r w:rsidR="0013510C" w:rsidRPr="00B02CC5">
        <w:rPr>
          <w:rFonts w:ascii="Arial" w:hAnsi="Arial" w:cs="Arial"/>
          <w:lang w:val="en-US"/>
        </w:rPr>
        <w:t xml:space="preserve">Overall survival at day 180 was 43% for </w:t>
      </w:r>
      <w:proofErr w:type="spellStart"/>
      <w:r w:rsidR="0013510C" w:rsidRPr="00B02CC5">
        <w:rPr>
          <w:rFonts w:ascii="Arial" w:hAnsi="Arial" w:cs="Arial"/>
          <w:lang w:val="en-US"/>
        </w:rPr>
        <w:t>terlipressin</w:t>
      </w:r>
      <w:proofErr w:type="spellEnd"/>
      <w:r w:rsidR="0013510C" w:rsidRPr="00B02CC5">
        <w:rPr>
          <w:rFonts w:ascii="Arial" w:hAnsi="Arial" w:cs="Arial"/>
          <w:lang w:val="en-US"/>
        </w:rPr>
        <w:t xml:space="preserve"> and 38% for placebo (p=NS). Transplant-free survival at day 180 was 27% for </w:t>
      </w:r>
      <w:proofErr w:type="spellStart"/>
      <w:r w:rsidR="0013510C" w:rsidRPr="00B02CC5">
        <w:rPr>
          <w:rFonts w:ascii="Arial" w:hAnsi="Arial" w:cs="Arial"/>
          <w:lang w:val="en-US"/>
        </w:rPr>
        <w:t>terlipressin</w:t>
      </w:r>
      <w:proofErr w:type="spellEnd"/>
      <w:r w:rsidR="0013510C" w:rsidRPr="00B02CC5">
        <w:rPr>
          <w:rFonts w:ascii="Arial" w:hAnsi="Arial" w:cs="Arial"/>
          <w:lang w:val="en-US"/>
        </w:rPr>
        <w:t xml:space="preserve"> and 18% for placebo (p=NS)</w:t>
      </w:r>
      <w:r w:rsidR="003F7EE3" w:rsidRPr="00B02CC5">
        <w:rPr>
          <w:rFonts w:ascii="Arial" w:hAnsi="Arial" w:cs="Arial"/>
          <w:lang w:val="en-US"/>
        </w:rPr>
        <w:t xml:space="preserve"> (Figure 2)</w:t>
      </w:r>
      <w:r w:rsidR="0013510C" w:rsidRPr="00B02CC5">
        <w:rPr>
          <w:rFonts w:ascii="Arial" w:hAnsi="Arial" w:cs="Arial"/>
          <w:lang w:val="en-US"/>
        </w:rPr>
        <w:t xml:space="preserve">. </w:t>
      </w:r>
      <w:r w:rsidR="007556D5" w:rsidRPr="00B02CC5">
        <w:rPr>
          <w:rFonts w:ascii="Arial" w:hAnsi="Arial" w:cs="Arial"/>
          <w:lang w:val="en-US"/>
        </w:rPr>
        <w:t xml:space="preserve">Analysis of overall survival and transplant-free survival rates for </w:t>
      </w:r>
      <w:r w:rsidR="004E762A" w:rsidRPr="00B02CC5">
        <w:rPr>
          <w:rFonts w:ascii="Arial" w:hAnsi="Arial" w:cs="Arial"/>
          <w:lang w:val="en-US"/>
        </w:rPr>
        <w:t xml:space="preserve">HRS reversal </w:t>
      </w:r>
      <w:r w:rsidR="007556D5" w:rsidRPr="00B02CC5">
        <w:rPr>
          <w:rFonts w:ascii="Arial" w:hAnsi="Arial" w:cs="Arial"/>
          <w:lang w:val="en-US"/>
        </w:rPr>
        <w:t>responders vs. non</w:t>
      </w:r>
      <w:r w:rsidR="00753089" w:rsidRPr="00B02CC5">
        <w:rPr>
          <w:rFonts w:ascii="Arial" w:hAnsi="Arial" w:cs="Arial"/>
          <w:lang w:val="en-US"/>
        </w:rPr>
        <w:t>-</w:t>
      </w:r>
      <w:r w:rsidR="007556D5" w:rsidRPr="00B02CC5">
        <w:rPr>
          <w:rFonts w:ascii="Arial" w:hAnsi="Arial" w:cs="Arial"/>
          <w:lang w:val="en-US"/>
        </w:rPr>
        <w:t>responders for each treatment group showed a separation in both survival distributions among responders and non</w:t>
      </w:r>
      <w:r w:rsidR="00753089" w:rsidRPr="00B02CC5">
        <w:rPr>
          <w:rFonts w:ascii="Arial" w:hAnsi="Arial" w:cs="Arial"/>
          <w:lang w:val="en-US"/>
        </w:rPr>
        <w:t>-</w:t>
      </w:r>
      <w:r w:rsidR="007556D5" w:rsidRPr="00B02CC5">
        <w:rPr>
          <w:rFonts w:ascii="Arial" w:hAnsi="Arial" w:cs="Arial"/>
          <w:lang w:val="en-US"/>
        </w:rPr>
        <w:t>resp</w:t>
      </w:r>
      <w:r w:rsidR="004E762A" w:rsidRPr="00B02CC5">
        <w:rPr>
          <w:rFonts w:ascii="Arial" w:hAnsi="Arial" w:cs="Arial"/>
          <w:lang w:val="en-US"/>
        </w:rPr>
        <w:t xml:space="preserve">onders. Patients </w:t>
      </w:r>
      <w:r w:rsidR="00A80AE2" w:rsidRPr="00B02CC5">
        <w:rPr>
          <w:rFonts w:ascii="Arial" w:hAnsi="Arial" w:cs="Arial"/>
          <w:lang w:val="en-US"/>
        </w:rPr>
        <w:t xml:space="preserve">on </w:t>
      </w:r>
      <w:proofErr w:type="spellStart"/>
      <w:r w:rsidR="00A80AE2" w:rsidRPr="00B02CC5">
        <w:rPr>
          <w:rFonts w:ascii="Arial" w:hAnsi="Arial" w:cs="Arial"/>
          <w:lang w:val="en-US"/>
        </w:rPr>
        <w:t>terlipressin</w:t>
      </w:r>
      <w:proofErr w:type="spellEnd"/>
      <w:r w:rsidR="00A80AE2" w:rsidRPr="00B02CC5">
        <w:rPr>
          <w:rFonts w:ascii="Arial" w:hAnsi="Arial" w:cs="Arial"/>
          <w:lang w:val="en-US"/>
        </w:rPr>
        <w:t xml:space="preserve"> </w:t>
      </w:r>
      <w:r w:rsidR="004E762A" w:rsidRPr="00B02CC5">
        <w:rPr>
          <w:rFonts w:ascii="Arial" w:hAnsi="Arial" w:cs="Arial"/>
          <w:lang w:val="en-US"/>
        </w:rPr>
        <w:t>achieving HRS r</w:t>
      </w:r>
      <w:r w:rsidR="007556D5" w:rsidRPr="00B02CC5">
        <w:rPr>
          <w:rFonts w:ascii="Arial" w:hAnsi="Arial" w:cs="Arial"/>
          <w:lang w:val="en-US"/>
        </w:rPr>
        <w:t xml:space="preserve">eversal exhibited </w:t>
      </w:r>
      <w:r w:rsidR="00890B81" w:rsidRPr="00B02CC5">
        <w:rPr>
          <w:rFonts w:ascii="Arial" w:hAnsi="Arial" w:cs="Arial"/>
          <w:lang w:val="en-US"/>
        </w:rPr>
        <w:t xml:space="preserve">significantly </w:t>
      </w:r>
      <w:r w:rsidR="007556D5" w:rsidRPr="00B02CC5">
        <w:rPr>
          <w:rFonts w:ascii="Arial" w:hAnsi="Arial" w:cs="Arial"/>
          <w:lang w:val="en-US"/>
        </w:rPr>
        <w:t xml:space="preserve">longer rates of overall survival </w:t>
      </w:r>
      <w:r w:rsidR="00890B81" w:rsidRPr="00B02CC5">
        <w:rPr>
          <w:rFonts w:ascii="Arial" w:hAnsi="Arial" w:cs="Arial"/>
          <w:lang w:val="en-US"/>
        </w:rPr>
        <w:t xml:space="preserve">to day 90 </w:t>
      </w:r>
      <w:r w:rsidR="007556D5" w:rsidRPr="00B02CC5">
        <w:rPr>
          <w:rFonts w:ascii="Arial" w:hAnsi="Arial" w:cs="Arial"/>
          <w:lang w:val="en-US"/>
        </w:rPr>
        <w:t>(p=</w:t>
      </w:r>
      <w:r w:rsidR="00890B81" w:rsidRPr="00B02CC5">
        <w:rPr>
          <w:rFonts w:ascii="Arial" w:hAnsi="Arial" w:cs="Arial"/>
          <w:lang w:val="en-US"/>
        </w:rPr>
        <w:t>0.027</w:t>
      </w:r>
      <w:r w:rsidR="007556D5" w:rsidRPr="00B02CC5">
        <w:rPr>
          <w:rFonts w:ascii="Arial" w:hAnsi="Arial" w:cs="Arial"/>
          <w:lang w:val="en-US"/>
        </w:rPr>
        <w:t>) and significantly longer transplant-f</w:t>
      </w:r>
      <w:r w:rsidR="00EB7925" w:rsidRPr="00B02CC5">
        <w:rPr>
          <w:rFonts w:ascii="Arial" w:hAnsi="Arial" w:cs="Arial"/>
          <w:lang w:val="en-US"/>
        </w:rPr>
        <w:t>ree survival (p=0.008) through d</w:t>
      </w:r>
      <w:r w:rsidR="007556D5" w:rsidRPr="00B02CC5">
        <w:rPr>
          <w:rFonts w:ascii="Arial" w:hAnsi="Arial" w:cs="Arial"/>
          <w:lang w:val="en-US"/>
        </w:rPr>
        <w:t xml:space="preserve">ay 180. </w:t>
      </w:r>
    </w:p>
    <w:p w:rsidR="00753089" w:rsidRPr="00B02CC5" w:rsidRDefault="00753089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A17A6A" w:rsidRPr="00222CBE" w:rsidRDefault="00537B68" w:rsidP="00996578">
      <w:pPr>
        <w:pStyle w:val="NoSpacing"/>
        <w:tabs>
          <w:tab w:val="left" w:pos="1276"/>
        </w:tabs>
        <w:jc w:val="both"/>
        <w:rPr>
          <w:rFonts w:ascii="Arial" w:hAnsi="Arial" w:cs="Arial"/>
          <w:b/>
          <w:lang w:val="en-US"/>
        </w:rPr>
      </w:pPr>
      <w:r w:rsidRPr="00B02CC5">
        <w:rPr>
          <w:rFonts w:ascii="Arial" w:hAnsi="Arial" w:cs="Arial"/>
          <w:b/>
          <w:lang w:val="en-US"/>
        </w:rPr>
        <w:t>Figure 2.</w:t>
      </w:r>
      <w:r w:rsidRPr="00B02CC5">
        <w:rPr>
          <w:rFonts w:ascii="Arial" w:hAnsi="Arial" w:cs="Arial"/>
          <w:b/>
          <w:lang w:val="en-US"/>
        </w:rPr>
        <w:tab/>
      </w:r>
      <w:r w:rsidR="00222CBE" w:rsidRPr="00B02CC5">
        <w:rPr>
          <w:rFonts w:ascii="Arial" w:hAnsi="Arial" w:cs="Arial"/>
          <w:b/>
          <w:lang w:val="en-US"/>
        </w:rPr>
        <w:t xml:space="preserve">OT-0401 - </w:t>
      </w:r>
      <w:r w:rsidR="007556D5" w:rsidRPr="00B02CC5">
        <w:rPr>
          <w:rFonts w:ascii="Arial" w:hAnsi="Arial" w:cs="Arial"/>
          <w:b/>
          <w:lang w:val="en-US"/>
        </w:rPr>
        <w:t xml:space="preserve">Transplant-free </w:t>
      </w:r>
      <w:r w:rsidR="00A17A6A" w:rsidRPr="00B02CC5">
        <w:rPr>
          <w:rFonts w:ascii="Arial" w:hAnsi="Arial" w:cs="Arial"/>
          <w:b/>
          <w:lang w:val="en-US"/>
        </w:rPr>
        <w:t xml:space="preserve">survival </w:t>
      </w:r>
      <w:r w:rsidR="003F7EE3" w:rsidRPr="00B02CC5">
        <w:rPr>
          <w:rFonts w:ascii="Arial" w:hAnsi="Arial" w:cs="Arial"/>
          <w:b/>
          <w:lang w:val="en-US"/>
        </w:rPr>
        <w:t xml:space="preserve">up to Day 180 </w:t>
      </w:r>
      <w:r w:rsidR="00753089" w:rsidRPr="00B02CC5">
        <w:rPr>
          <w:rFonts w:ascii="Arial" w:hAnsi="Arial" w:cs="Arial"/>
          <w:b/>
          <w:lang w:val="en-US"/>
        </w:rPr>
        <w:t>(ITT</w:t>
      </w:r>
      <w:r w:rsidR="00222CBE" w:rsidRPr="00B02CC5">
        <w:rPr>
          <w:rFonts w:ascii="Arial" w:hAnsi="Arial" w:cs="Arial"/>
          <w:b/>
          <w:lang w:val="en-US"/>
        </w:rPr>
        <w:t xml:space="preserve"> </w:t>
      </w:r>
      <w:r w:rsidR="00753089" w:rsidRPr="00B02CC5">
        <w:rPr>
          <w:rFonts w:ascii="Arial" w:hAnsi="Arial" w:cs="Arial"/>
          <w:b/>
          <w:lang w:val="en-US"/>
        </w:rPr>
        <w:t>population)</w:t>
      </w:r>
    </w:p>
    <w:p w:rsidR="00A17A6A" w:rsidRDefault="00A17A6A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A17A6A" w:rsidRDefault="00277767" w:rsidP="00996578">
      <w:pPr>
        <w:pStyle w:val="NoSpacing"/>
        <w:jc w:val="both"/>
        <w:rPr>
          <w:rFonts w:ascii="Arial" w:hAnsi="Arial" w:cs="Arial"/>
          <w:lang w:val="en-US"/>
        </w:rPr>
      </w:pPr>
      <w:bookmarkStart w:id="0" w:name="_GoBack"/>
      <w:r>
        <w:rPr>
          <w:noProof/>
          <w:sz w:val="24"/>
          <w:szCs w:val="24"/>
          <w:lang w:eastAsia="en-AU"/>
        </w:rPr>
        <w:drawing>
          <wp:inline distT="0" distB="0" distL="0" distR="0">
            <wp:extent cx="5727700" cy="3916680"/>
            <wp:effectExtent l="19050" t="0" r="0" b="0"/>
            <wp:docPr id="1" name="Picture 1" descr="Figure 2. OT-0401 - Transplant-free survival up to Day 180 (ITT populatio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91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A17A6A" w:rsidRDefault="00A17A6A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3E7C92" w:rsidRDefault="00136539" w:rsidP="00996578">
      <w:pPr>
        <w:pStyle w:val="NoSpacing"/>
        <w:jc w:val="both"/>
        <w:rPr>
          <w:rFonts w:ascii="Arial" w:hAnsi="Arial" w:cs="Arial"/>
          <w:b/>
          <w:lang w:val="en-US"/>
        </w:rPr>
      </w:pPr>
      <w:r w:rsidRPr="0073231F">
        <w:rPr>
          <w:rFonts w:ascii="Arial" w:hAnsi="Arial" w:cs="Arial"/>
          <w:b/>
          <w:lang w:val="en-US"/>
        </w:rPr>
        <w:t>TAHRS</w:t>
      </w:r>
      <w:r w:rsidR="00133D20">
        <w:rPr>
          <w:rFonts w:ascii="Arial" w:hAnsi="Arial" w:cs="Arial"/>
          <w:b/>
          <w:lang w:val="en-US"/>
        </w:rPr>
        <w:t xml:space="preserve"> Study</w:t>
      </w:r>
      <w:r w:rsidRPr="0073231F">
        <w:rPr>
          <w:rFonts w:ascii="Arial" w:hAnsi="Arial" w:cs="Arial"/>
          <w:b/>
          <w:lang w:val="en-US"/>
        </w:rPr>
        <w:t>:</w:t>
      </w:r>
    </w:p>
    <w:p w:rsidR="003E7C92" w:rsidRDefault="003E7C92" w:rsidP="00996578">
      <w:pPr>
        <w:pStyle w:val="NoSpacing"/>
        <w:jc w:val="both"/>
        <w:rPr>
          <w:rFonts w:ascii="Arial" w:hAnsi="Arial" w:cs="Arial"/>
          <w:b/>
          <w:lang w:val="en-US"/>
        </w:rPr>
      </w:pPr>
    </w:p>
    <w:p w:rsidR="002706E4" w:rsidRDefault="00136539" w:rsidP="00996578">
      <w:pPr>
        <w:pStyle w:val="NoSpacing"/>
        <w:jc w:val="both"/>
        <w:rPr>
          <w:rFonts w:ascii="Arial" w:hAnsi="Arial" w:cs="Arial"/>
          <w:lang w:val="en-US"/>
        </w:rPr>
      </w:pPr>
      <w:r w:rsidRPr="00FC1E39">
        <w:rPr>
          <w:rFonts w:ascii="Arial" w:hAnsi="Arial" w:cs="Arial"/>
          <w:lang w:val="en-US"/>
        </w:rPr>
        <w:t xml:space="preserve">This </w:t>
      </w:r>
      <w:r w:rsidR="00424886" w:rsidRPr="00FC1E39">
        <w:rPr>
          <w:rFonts w:ascii="Arial" w:hAnsi="Arial" w:cs="Arial"/>
          <w:lang w:val="en-US"/>
        </w:rPr>
        <w:t xml:space="preserve">supportive </w:t>
      </w:r>
      <w:r w:rsidRPr="00FC1E39">
        <w:rPr>
          <w:rFonts w:ascii="Arial" w:hAnsi="Arial" w:cs="Arial"/>
          <w:lang w:val="en-US"/>
        </w:rPr>
        <w:t xml:space="preserve">open-label, multicenter study </w:t>
      </w:r>
      <w:proofErr w:type="spellStart"/>
      <w:r w:rsidRPr="00FC1E39">
        <w:rPr>
          <w:rFonts w:ascii="Arial" w:hAnsi="Arial" w:cs="Arial"/>
          <w:lang w:val="en-US"/>
        </w:rPr>
        <w:t>randomi</w:t>
      </w:r>
      <w:r w:rsidR="00424886" w:rsidRPr="00FC1E39">
        <w:rPr>
          <w:rFonts w:ascii="Arial" w:hAnsi="Arial" w:cs="Arial"/>
          <w:lang w:val="en-US"/>
        </w:rPr>
        <w:t>s</w:t>
      </w:r>
      <w:r w:rsidRPr="00FC1E39">
        <w:rPr>
          <w:rFonts w:ascii="Arial" w:hAnsi="Arial" w:cs="Arial"/>
          <w:lang w:val="en-US"/>
        </w:rPr>
        <w:t>ed</w:t>
      </w:r>
      <w:proofErr w:type="spellEnd"/>
      <w:r w:rsidRPr="00FC1E39">
        <w:rPr>
          <w:rFonts w:ascii="Arial" w:hAnsi="Arial" w:cs="Arial"/>
          <w:lang w:val="en-US"/>
        </w:rPr>
        <w:t xml:space="preserve"> 46 </w:t>
      </w:r>
      <w:r w:rsidR="008875BB">
        <w:rPr>
          <w:rFonts w:ascii="Arial" w:hAnsi="Arial" w:cs="Arial"/>
          <w:lang w:val="en-US"/>
        </w:rPr>
        <w:t xml:space="preserve">of the planned 100 </w:t>
      </w:r>
      <w:r w:rsidRPr="00FC1E39">
        <w:rPr>
          <w:rFonts w:ascii="Arial" w:hAnsi="Arial" w:cs="Arial"/>
          <w:lang w:val="en-US"/>
        </w:rPr>
        <w:t xml:space="preserve">patients in a 1:1 ratio to receive either intravenous </w:t>
      </w:r>
      <w:proofErr w:type="spellStart"/>
      <w:r w:rsidRPr="00FC1E39">
        <w:rPr>
          <w:rFonts w:ascii="Arial" w:hAnsi="Arial" w:cs="Arial"/>
          <w:lang w:val="en-US"/>
        </w:rPr>
        <w:t>terlipressin</w:t>
      </w:r>
      <w:proofErr w:type="spellEnd"/>
      <w:r w:rsidRPr="00FC1E39">
        <w:rPr>
          <w:rFonts w:ascii="Arial" w:hAnsi="Arial" w:cs="Arial"/>
          <w:lang w:val="en-US"/>
        </w:rPr>
        <w:t xml:space="preserve"> at an initial dose of </w:t>
      </w:r>
      <w:r w:rsidR="00116E08" w:rsidRPr="00116E08">
        <w:rPr>
          <w:rFonts w:ascii="Arial" w:hAnsi="Arial" w:cs="Arial"/>
          <w:lang w:val="en-US"/>
        </w:rPr>
        <w:t>0.425</w:t>
      </w:r>
      <w:r w:rsidR="00E0239A" w:rsidRPr="00FC1E39">
        <w:rPr>
          <w:rFonts w:ascii="Arial" w:hAnsi="Arial" w:cs="Arial"/>
          <w:lang w:val="en-US"/>
        </w:rPr>
        <w:t xml:space="preserve"> </w:t>
      </w:r>
      <w:r w:rsidRPr="00FC1E39">
        <w:rPr>
          <w:rFonts w:ascii="Arial" w:hAnsi="Arial" w:cs="Arial"/>
          <w:lang w:val="en-US"/>
        </w:rPr>
        <w:t>-</w:t>
      </w:r>
      <w:r w:rsidR="00E0239A" w:rsidRPr="00FC1E39">
        <w:rPr>
          <w:rFonts w:ascii="Arial" w:hAnsi="Arial" w:cs="Arial"/>
          <w:lang w:val="en-US"/>
        </w:rPr>
        <w:t xml:space="preserve"> </w:t>
      </w:r>
      <w:r w:rsidR="00116E08" w:rsidRPr="00116E08">
        <w:rPr>
          <w:rFonts w:ascii="Arial" w:hAnsi="Arial" w:cs="Arial"/>
          <w:lang w:val="en-US"/>
        </w:rPr>
        <w:t>0.85</w:t>
      </w:r>
      <w:r w:rsidRPr="00FC1E39">
        <w:rPr>
          <w:rFonts w:ascii="Arial" w:hAnsi="Arial" w:cs="Arial"/>
          <w:lang w:val="en-US"/>
        </w:rPr>
        <w:t xml:space="preserve"> mg </w:t>
      </w:r>
      <w:r w:rsidR="00116E08" w:rsidRPr="00116E08">
        <w:rPr>
          <w:rFonts w:ascii="Arial" w:hAnsi="Arial" w:cs="Arial"/>
          <w:lang w:val="en-US"/>
        </w:rPr>
        <w:t>(equivalent of half to one vial of LUCASSIN)</w:t>
      </w:r>
      <w:r w:rsidR="00116E08">
        <w:rPr>
          <w:rFonts w:ascii="Arial" w:hAnsi="Arial" w:cs="Arial"/>
          <w:lang w:val="en-US"/>
        </w:rPr>
        <w:t xml:space="preserve"> </w:t>
      </w:r>
      <w:r w:rsidRPr="00FC1E39">
        <w:rPr>
          <w:rFonts w:ascii="Arial" w:hAnsi="Arial" w:cs="Arial"/>
          <w:lang w:val="en-US"/>
        </w:rPr>
        <w:t>every 4 hours plus 20% albumin</w:t>
      </w:r>
      <w:r w:rsidR="003A627E" w:rsidRPr="00FC1E39">
        <w:rPr>
          <w:rFonts w:ascii="Arial" w:hAnsi="Arial" w:cs="Arial"/>
          <w:lang w:val="en-US"/>
        </w:rPr>
        <w:t>,</w:t>
      </w:r>
      <w:r w:rsidRPr="00FC1E39">
        <w:rPr>
          <w:rFonts w:ascii="Arial" w:hAnsi="Arial" w:cs="Arial"/>
          <w:lang w:val="en-US"/>
        </w:rPr>
        <w:t xml:space="preserve"> or only 20% albumin for a </w:t>
      </w:r>
      <w:r w:rsidR="00E04C86" w:rsidRPr="00FC1E39">
        <w:rPr>
          <w:rFonts w:ascii="Arial" w:hAnsi="Arial" w:cs="Arial"/>
          <w:lang w:val="en-US"/>
        </w:rPr>
        <w:t>maximum of</w:t>
      </w:r>
      <w:r w:rsidRPr="00FC1E39">
        <w:rPr>
          <w:rFonts w:ascii="Arial" w:hAnsi="Arial" w:cs="Arial"/>
          <w:lang w:val="en-US"/>
        </w:rPr>
        <w:t xml:space="preserve"> 15 days.</w:t>
      </w:r>
      <w:r w:rsidRPr="00136539">
        <w:rPr>
          <w:rFonts w:ascii="Arial" w:hAnsi="Arial" w:cs="Arial"/>
          <w:lang w:val="en-US"/>
        </w:rPr>
        <w:t xml:space="preserve">  </w:t>
      </w:r>
      <w:r w:rsidR="008875BB">
        <w:rPr>
          <w:rFonts w:ascii="Arial" w:hAnsi="Arial" w:cs="Arial"/>
          <w:lang w:val="en-US"/>
        </w:rPr>
        <w:t>The</w:t>
      </w:r>
      <w:r w:rsidR="008875BB" w:rsidRPr="00FC1E39">
        <w:rPr>
          <w:rFonts w:ascii="Arial" w:hAnsi="Arial" w:cs="Arial"/>
          <w:lang w:val="en-US"/>
        </w:rPr>
        <w:t xml:space="preserve"> study was terminated early following a protocol-specified interim futility analysis of survival and insufficient enrollment.</w:t>
      </w:r>
      <w:r w:rsidR="008875BB">
        <w:rPr>
          <w:rFonts w:ascii="Arial" w:hAnsi="Arial" w:cs="Arial"/>
          <w:lang w:val="en-US"/>
        </w:rPr>
        <w:t xml:space="preserve"> </w:t>
      </w:r>
      <w:r w:rsidRPr="00FC1E39">
        <w:rPr>
          <w:rFonts w:ascii="Arial" w:hAnsi="Arial" w:cs="Arial"/>
          <w:lang w:val="en-US"/>
        </w:rPr>
        <w:t xml:space="preserve">The majority of </w:t>
      </w:r>
      <w:r w:rsidRPr="006000C2">
        <w:rPr>
          <w:rFonts w:ascii="Arial" w:hAnsi="Arial" w:cs="Arial"/>
          <w:lang w:val="en-US"/>
        </w:rPr>
        <w:t>patients had HRS</w:t>
      </w:r>
      <w:r w:rsidR="00143D6D" w:rsidRPr="006000C2">
        <w:rPr>
          <w:rFonts w:ascii="Arial" w:hAnsi="Arial" w:cs="Arial"/>
          <w:lang w:val="en-US"/>
        </w:rPr>
        <w:t xml:space="preserve"> </w:t>
      </w:r>
      <w:r w:rsidR="00F87812" w:rsidRPr="006000C2">
        <w:rPr>
          <w:rFonts w:ascii="Arial" w:hAnsi="Arial" w:cs="Arial"/>
          <w:lang w:val="en-US"/>
        </w:rPr>
        <w:t>type 1</w:t>
      </w:r>
      <w:r w:rsidRPr="006000C2">
        <w:rPr>
          <w:rFonts w:ascii="Arial" w:hAnsi="Arial" w:cs="Arial"/>
          <w:lang w:val="en-US"/>
        </w:rPr>
        <w:t xml:space="preserve"> (74%) and the remainder, severe HRS-2 (i.e. </w:t>
      </w:r>
      <w:proofErr w:type="spellStart"/>
      <w:r w:rsidRPr="006000C2">
        <w:rPr>
          <w:rFonts w:ascii="Arial" w:hAnsi="Arial" w:cs="Arial"/>
          <w:lang w:val="en-US"/>
        </w:rPr>
        <w:t>hospitali</w:t>
      </w:r>
      <w:r w:rsidR="002706E4" w:rsidRPr="006000C2">
        <w:rPr>
          <w:rFonts w:ascii="Arial" w:hAnsi="Arial" w:cs="Arial"/>
          <w:lang w:val="en-US"/>
        </w:rPr>
        <w:t>s</w:t>
      </w:r>
      <w:r w:rsidRPr="006000C2">
        <w:rPr>
          <w:rFonts w:ascii="Arial" w:hAnsi="Arial" w:cs="Arial"/>
          <w:lang w:val="en-US"/>
        </w:rPr>
        <w:t>ed</w:t>
      </w:r>
      <w:proofErr w:type="spellEnd"/>
      <w:r w:rsidRPr="006000C2">
        <w:rPr>
          <w:rFonts w:ascii="Arial" w:hAnsi="Arial" w:cs="Arial"/>
          <w:lang w:val="en-US"/>
        </w:rPr>
        <w:t xml:space="preserve"> patients with a baseline </w:t>
      </w:r>
      <w:proofErr w:type="spellStart"/>
      <w:r w:rsidRPr="006000C2">
        <w:rPr>
          <w:rFonts w:ascii="Arial" w:hAnsi="Arial" w:cs="Arial"/>
          <w:lang w:val="en-US"/>
        </w:rPr>
        <w:t>SCr</w:t>
      </w:r>
      <w:proofErr w:type="spellEnd"/>
      <w:r w:rsidR="00E04C86" w:rsidRPr="006000C2">
        <w:rPr>
          <w:rFonts w:ascii="Arial" w:hAnsi="Arial" w:cs="Arial"/>
          <w:lang w:val="en-US"/>
        </w:rPr>
        <w:t xml:space="preserve"> </w:t>
      </w:r>
      <w:r w:rsidRPr="006000C2">
        <w:rPr>
          <w:rFonts w:ascii="Arial" w:hAnsi="Arial" w:cs="Arial"/>
          <w:u w:val="single"/>
          <w:lang w:val="en-US"/>
        </w:rPr>
        <w:t>&gt;</w:t>
      </w:r>
      <w:r w:rsidR="00A554BF" w:rsidRPr="006000C2">
        <w:rPr>
          <w:rFonts w:ascii="Arial" w:hAnsi="Arial" w:cs="Arial"/>
          <w:lang w:val="en-US"/>
        </w:rPr>
        <w:t>176.8 µmol/L</w:t>
      </w:r>
      <w:r w:rsidRPr="006000C2">
        <w:rPr>
          <w:rFonts w:ascii="Arial" w:hAnsi="Arial" w:cs="Arial"/>
          <w:lang w:val="en-US"/>
        </w:rPr>
        <w:t>).</w:t>
      </w:r>
      <w:r w:rsidR="002706E4" w:rsidRPr="006000C2">
        <w:rPr>
          <w:rFonts w:ascii="Arial" w:hAnsi="Arial" w:cs="Arial"/>
          <w:lang w:val="en-US"/>
        </w:rPr>
        <w:t xml:space="preserve"> </w:t>
      </w:r>
      <w:r w:rsidR="00143D6D" w:rsidRPr="006000C2">
        <w:rPr>
          <w:rFonts w:ascii="Arial" w:hAnsi="Arial" w:cs="Arial"/>
          <w:lang w:val="en-US"/>
        </w:rPr>
        <w:t xml:space="preserve"> </w:t>
      </w:r>
      <w:r w:rsidR="00770E99" w:rsidRPr="006000C2">
        <w:rPr>
          <w:rFonts w:ascii="Arial" w:hAnsi="Arial" w:cs="Arial"/>
          <w:lang w:val="en-US"/>
        </w:rPr>
        <w:t>A</w:t>
      </w:r>
      <w:r w:rsidR="001C6D39" w:rsidRPr="006000C2">
        <w:rPr>
          <w:rFonts w:ascii="Arial" w:hAnsi="Arial" w:cs="Arial"/>
          <w:lang w:val="en-US"/>
        </w:rPr>
        <w:t>nalyse</w:t>
      </w:r>
      <w:r w:rsidR="002706E4" w:rsidRPr="006000C2">
        <w:rPr>
          <w:rFonts w:ascii="Arial" w:hAnsi="Arial" w:cs="Arial"/>
          <w:lang w:val="en-US"/>
        </w:rPr>
        <w:t>s of HRS reversal on treatment (</w:t>
      </w:r>
      <w:proofErr w:type="spellStart"/>
      <w:r w:rsidR="002706E4" w:rsidRPr="006000C2">
        <w:rPr>
          <w:rFonts w:ascii="Arial" w:hAnsi="Arial" w:cs="Arial"/>
          <w:lang w:val="en-US"/>
        </w:rPr>
        <w:t>SCr</w:t>
      </w:r>
      <w:proofErr w:type="spellEnd"/>
      <w:r w:rsidR="002706E4" w:rsidRPr="006000C2">
        <w:rPr>
          <w:rFonts w:ascii="Arial" w:hAnsi="Arial" w:cs="Arial"/>
          <w:lang w:val="en-US"/>
        </w:rPr>
        <w:t xml:space="preserve"> levels </w:t>
      </w:r>
      <w:r w:rsidR="002706E4" w:rsidRPr="006000C2">
        <w:rPr>
          <w:rFonts w:ascii="Arial" w:hAnsi="Arial" w:cs="Arial"/>
          <w:lang w:val="en-US"/>
        </w:rPr>
        <w:lastRenderedPageBreak/>
        <w:t>≤</w:t>
      </w:r>
      <w:r w:rsidR="00A554BF" w:rsidRPr="006000C2">
        <w:rPr>
          <w:rFonts w:ascii="Arial" w:hAnsi="Arial" w:cs="Arial"/>
          <w:lang w:val="en-US"/>
        </w:rPr>
        <w:t>132.6 µmol/L</w:t>
      </w:r>
      <w:r w:rsidR="002706E4" w:rsidRPr="006000C2">
        <w:rPr>
          <w:rFonts w:ascii="Arial" w:hAnsi="Arial" w:cs="Arial"/>
          <w:lang w:val="en-US"/>
        </w:rPr>
        <w:t xml:space="preserve">), change in </w:t>
      </w:r>
      <w:proofErr w:type="spellStart"/>
      <w:r w:rsidR="002706E4" w:rsidRPr="006000C2">
        <w:rPr>
          <w:rFonts w:ascii="Arial" w:hAnsi="Arial" w:cs="Arial"/>
          <w:lang w:val="en-US"/>
        </w:rPr>
        <w:t>SCr</w:t>
      </w:r>
      <w:proofErr w:type="spellEnd"/>
      <w:r w:rsidR="002706E4" w:rsidRPr="006000C2">
        <w:rPr>
          <w:rFonts w:ascii="Arial" w:hAnsi="Arial" w:cs="Arial"/>
          <w:lang w:val="en-US"/>
        </w:rPr>
        <w:t xml:space="preserve"> </w:t>
      </w:r>
      <w:r w:rsidR="001C6D39" w:rsidRPr="006000C2">
        <w:rPr>
          <w:rFonts w:ascii="Arial" w:hAnsi="Arial" w:cs="Arial"/>
          <w:lang w:val="en-US"/>
        </w:rPr>
        <w:t xml:space="preserve">from baseline to end of </w:t>
      </w:r>
      <w:proofErr w:type="spellStart"/>
      <w:r w:rsidR="001C6D39" w:rsidRPr="006000C2">
        <w:rPr>
          <w:rFonts w:ascii="Arial" w:hAnsi="Arial" w:cs="Arial"/>
          <w:lang w:val="en-US"/>
        </w:rPr>
        <w:t>randomis</w:t>
      </w:r>
      <w:r w:rsidR="002706E4" w:rsidRPr="006000C2">
        <w:rPr>
          <w:rFonts w:ascii="Arial" w:hAnsi="Arial" w:cs="Arial"/>
          <w:lang w:val="en-US"/>
        </w:rPr>
        <w:t>ed</w:t>
      </w:r>
      <w:proofErr w:type="spellEnd"/>
      <w:r w:rsidR="002706E4" w:rsidRPr="006000C2">
        <w:rPr>
          <w:rFonts w:ascii="Arial" w:hAnsi="Arial" w:cs="Arial"/>
          <w:lang w:val="en-US"/>
        </w:rPr>
        <w:t xml:space="preserve"> treatment</w:t>
      </w:r>
      <w:r w:rsidR="001C6D39" w:rsidRPr="006000C2">
        <w:rPr>
          <w:rFonts w:ascii="Arial" w:hAnsi="Arial" w:cs="Arial"/>
          <w:lang w:val="en-US"/>
        </w:rPr>
        <w:t>,</w:t>
      </w:r>
      <w:r w:rsidR="002706E4" w:rsidRPr="006000C2">
        <w:rPr>
          <w:rFonts w:ascii="Arial" w:hAnsi="Arial" w:cs="Arial"/>
          <w:lang w:val="en-US"/>
        </w:rPr>
        <w:t xml:space="preserve"> and</w:t>
      </w:r>
      <w:r w:rsidR="002706E4" w:rsidRPr="00FC1E39">
        <w:rPr>
          <w:rFonts w:ascii="Arial" w:hAnsi="Arial" w:cs="Arial"/>
          <w:lang w:val="en-US"/>
        </w:rPr>
        <w:t xml:space="preserve"> </w:t>
      </w:r>
      <w:r w:rsidR="001C6D39" w:rsidRPr="00FC1E39">
        <w:rPr>
          <w:rFonts w:ascii="Arial" w:hAnsi="Arial" w:cs="Arial"/>
          <w:lang w:val="en-US"/>
        </w:rPr>
        <w:t xml:space="preserve">responder </w:t>
      </w:r>
      <w:r w:rsidR="002706E4" w:rsidRPr="00FC1E39">
        <w:rPr>
          <w:rFonts w:ascii="Arial" w:hAnsi="Arial" w:cs="Arial"/>
          <w:lang w:val="en-US"/>
        </w:rPr>
        <w:t xml:space="preserve">survival </w:t>
      </w:r>
      <w:r w:rsidR="001C6D39" w:rsidRPr="00FC1E39">
        <w:rPr>
          <w:rFonts w:ascii="Arial" w:hAnsi="Arial" w:cs="Arial"/>
          <w:lang w:val="en-US"/>
        </w:rPr>
        <w:t xml:space="preserve">produced </w:t>
      </w:r>
      <w:r w:rsidR="002706E4" w:rsidRPr="00FC1E39">
        <w:rPr>
          <w:rFonts w:ascii="Arial" w:hAnsi="Arial" w:cs="Arial"/>
          <w:lang w:val="en-US"/>
        </w:rPr>
        <w:t xml:space="preserve">consistent findings </w:t>
      </w:r>
      <w:r w:rsidR="001C6D39" w:rsidRPr="00FC1E39">
        <w:rPr>
          <w:rFonts w:ascii="Arial" w:hAnsi="Arial" w:cs="Arial"/>
          <w:lang w:val="en-US"/>
        </w:rPr>
        <w:t>with those of</w:t>
      </w:r>
      <w:r w:rsidR="002706E4" w:rsidRPr="00FC1E39">
        <w:rPr>
          <w:rFonts w:ascii="Arial" w:hAnsi="Arial" w:cs="Arial"/>
          <w:lang w:val="en-US"/>
        </w:rPr>
        <w:t xml:space="preserve"> </w:t>
      </w:r>
      <w:r w:rsidR="001C6D39" w:rsidRPr="00FC1E39">
        <w:rPr>
          <w:rFonts w:ascii="Arial" w:hAnsi="Arial" w:cs="Arial"/>
          <w:lang w:val="en-US"/>
        </w:rPr>
        <w:t xml:space="preserve">the pivotal study </w:t>
      </w:r>
      <w:r w:rsidR="002706E4" w:rsidRPr="00FC1E39">
        <w:rPr>
          <w:rFonts w:ascii="Arial" w:hAnsi="Arial" w:cs="Arial"/>
          <w:lang w:val="en-US"/>
        </w:rPr>
        <w:t>OT-0401.</w:t>
      </w:r>
    </w:p>
    <w:p w:rsidR="002706E4" w:rsidRPr="00431825" w:rsidRDefault="002706E4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737DA4" w:rsidRPr="00737DA4" w:rsidRDefault="004E3407" w:rsidP="004C4DCA">
      <w:pPr>
        <w:pStyle w:val="NoSpacing"/>
        <w:spacing w:before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  <w:r w:rsidR="00737DA4">
        <w:rPr>
          <w:rFonts w:ascii="Arial" w:hAnsi="Arial" w:cs="Arial"/>
          <w:b/>
          <w:lang w:val="en-US"/>
        </w:rPr>
        <w:lastRenderedPageBreak/>
        <w:t>INDICATIONS</w:t>
      </w:r>
      <w:r w:rsidR="00737DA4" w:rsidRPr="00737DA4">
        <w:rPr>
          <w:rFonts w:ascii="Arial" w:hAnsi="Arial" w:cs="Arial"/>
          <w:b/>
          <w:lang w:val="en-US"/>
        </w:rPr>
        <w:t>:</w:t>
      </w:r>
    </w:p>
    <w:p w:rsidR="00975B47" w:rsidRDefault="00975B47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737DA4" w:rsidRPr="00737DA4" w:rsidRDefault="00975B47" w:rsidP="00374936">
      <w:pPr>
        <w:pStyle w:val="NoSpacing"/>
        <w:ind w:right="-188"/>
        <w:jc w:val="both"/>
        <w:rPr>
          <w:rFonts w:ascii="Arial" w:hAnsi="Arial" w:cs="Arial"/>
          <w:lang w:val="en-US"/>
        </w:rPr>
      </w:pPr>
      <w:r w:rsidRPr="00B02CC5">
        <w:rPr>
          <w:rFonts w:ascii="Arial" w:hAnsi="Arial" w:cs="Arial"/>
          <w:lang w:val="en-US"/>
        </w:rPr>
        <w:t>LUCASSIN is indicated f</w:t>
      </w:r>
      <w:r w:rsidR="00737DA4" w:rsidRPr="00B02CC5">
        <w:rPr>
          <w:rFonts w:ascii="Arial" w:hAnsi="Arial" w:cs="Arial"/>
          <w:lang w:val="en-US"/>
        </w:rPr>
        <w:t xml:space="preserve">or the treatment of patients with </w:t>
      </w:r>
      <w:proofErr w:type="spellStart"/>
      <w:r w:rsidR="00737DA4" w:rsidRPr="00B02CC5">
        <w:rPr>
          <w:rFonts w:ascii="Arial" w:hAnsi="Arial" w:cs="Arial"/>
          <w:lang w:val="en-US"/>
        </w:rPr>
        <w:t>hepatorenal</w:t>
      </w:r>
      <w:proofErr w:type="spellEnd"/>
      <w:r w:rsidR="00737DA4" w:rsidRPr="00B02CC5">
        <w:rPr>
          <w:rFonts w:ascii="Arial" w:hAnsi="Arial" w:cs="Arial"/>
          <w:lang w:val="en-US"/>
        </w:rPr>
        <w:t xml:space="preserve"> syndrome (HRS) type</w:t>
      </w:r>
      <w:r w:rsidR="00374936" w:rsidRPr="00B02CC5">
        <w:rPr>
          <w:rFonts w:ascii="Arial" w:hAnsi="Arial" w:cs="Arial"/>
          <w:lang w:val="en-US"/>
        </w:rPr>
        <w:t xml:space="preserve"> </w:t>
      </w:r>
      <w:r w:rsidR="00737DA4" w:rsidRPr="00B02CC5">
        <w:rPr>
          <w:rFonts w:ascii="Arial" w:hAnsi="Arial" w:cs="Arial"/>
          <w:lang w:val="en-US"/>
        </w:rPr>
        <w:t>1</w:t>
      </w:r>
      <w:r w:rsidR="003F7EE3" w:rsidRPr="00B02CC5">
        <w:rPr>
          <w:rFonts w:ascii="Arial" w:hAnsi="Arial" w:cs="Arial"/>
          <w:lang w:val="en-US"/>
        </w:rPr>
        <w:t xml:space="preserve"> who are actively being considered for a liver transplant</w:t>
      </w:r>
      <w:r w:rsidR="00737DA4" w:rsidRPr="00B02CC5">
        <w:rPr>
          <w:rFonts w:ascii="Arial" w:hAnsi="Arial" w:cs="Arial"/>
          <w:lang w:val="en-US"/>
        </w:rPr>
        <w:t>.</w:t>
      </w:r>
    </w:p>
    <w:p w:rsidR="00452EDA" w:rsidRDefault="00452EDA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737DA4" w:rsidRPr="00737DA4" w:rsidRDefault="00737DA4" w:rsidP="007C796C">
      <w:pPr>
        <w:pStyle w:val="NoSpacing"/>
        <w:spacing w:before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CONTRAINDICATIONS</w:t>
      </w:r>
      <w:r w:rsidRPr="00737DA4">
        <w:rPr>
          <w:rFonts w:ascii="Arial" w:hAnsi="Arial" w:cs="Arial"/>
          <w:b/>
          <w:lang w:val="en-US"/>
        </w:rPr>
        <w:t>:</w:t>
      </w:r>
    </w:p>
    <w:p w:rsidR="007C796C" w:rsidRDefault="007C796C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737DA4" w:rsidRPr="00737DA4" w:rsidRDefault="00737DA4" w:rsidP="00996578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Hypersensitivity to </w:t>
      </w:r>
      <w:proofErr w:type="spellStart"/>
      <w:r w:rsidR="007C796C">
        <w:rPr>
          <w:rFonts w:ascii="Arial" w:hAnsi="Arial" w:cs="Arial"/>
          <w:lang w:val="en-US"/>
        </w:rPr>
        <w:t>terlipressin</w:t>
      </w:r>
      <w:proofErr w:type="spellEnd"/>
      <w:r w:rsidR="007C79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or any of the </w:t>
      </w:r>
      <w:proofErr w:type="spellStart"/>
      <w:r>
        <w:rPr>
          <w:rFonts w:ascii="Arial" w:hAnsi="Arial" w:cs="Arial"/>
          <w:lang w:val="en-US"/>
        </w:rPr>
        <w:t>excipients</w:t>
      </w:r>
      <w:proofErr w:type="spellEnd"/>
      <w:r>
        <w:rPr>
          <w:rFonts w:ascii="Arial" w:hAnsi="Arial" w:cs="Arial"/>
          <w:lang w:val="en-US"/>
        </w:rPr>
        <w:t>.</w:t>
      </w:r>
    </w:p>
    <w:p w:rsidR="00737DA4" w:rsidRDefault="00737DA4" w:rsidP="006A519E">
      <w:pPr>
        <w:pStyle w:val="NoSpacing"/>
        <w:spacing w:after="60"/>
        <w:jc w:val="both"/>
        <w:rPr>
          <w:rFonts w:ascii="Arial" w:hAnsi="Arial" w:cs="Arial"/>
          <w:lang w:val="en-US"/>
        </w:rPr>
      </w:pPr>
    </w:p>
    <w:p w:rsidR="0073231F" w:rsidRPr="00737DA4" w:rsidRDefault="0073231F" w:rsidP="007C796C">
      <w:pPr>
        <w:pStyle w:val="NoSpacing"/>
        <w:spacing w:before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PRECAUTIONS</w:t>
      </w:r>
      <w:r w:rsidRPr="00737DA4">
        <w:rPr>
          <w:rFonts w:ascii="Arial" w:hAnsi="Arial" w:cs="Arial"/>
          <w:b/>
          <w:lang w:val="en-US"/>
        </w:rPr>
        <w:t>:</w:t>
      </w:r>
    </w:p>
    <w:p w:rsidR="007C796C" w:rsidRDefault="007C796C" w:rsidP="00996578">
      <w:pPr>
        <w:pStyle w:val="NoSpacing"/>
        <w:jc w:val="both"/>
        <w:rPr>
          <w:rFonts w:ascii="Arial" w:hAnsi="Arial" w:cs="Arial"/>
          <w:b/>
          <w:lang w:val="en-US"/>
        </w:rPr>
      </w:pPr>
    </w:p>
    <w:p w:rsidR="0073231F" w:rsidRDefault="0073231F" w:rsidP="00996578">
      <w:pPr>
        <w:pStyle w:val="NoSpacing"/>
        <w:jc w:val="both"/>
        <w:rPr>
          <w:rFonts w:ascii="Arial" w:hAnsi="Arial" w:cs="Arial"/>
          <w:b/>
          <w:lang w:val="en-US"/>
        </w:rPr>
      </w:pPr>
      <w:r w:rsidRPr="0073231F">
        <w:rPr>
          <w:rFonts w:ascii="Arial" w:hAnsi="Arial" w:cs="Arial"/>
          <w:b/>
          <w:lang w:val="en-US"/>
        </w:rPr>
        <w:t>Cardiovascular Effects</w:t>
      </w:r>
      <w:r w:rsidR="007C796C">
        <w:rPr>
          <w:rFonts w:ascii="Arial" w:hAnsi="Arial" w:cs="Arial"/>
          <w:b/>
          <w:lang w:val="en-US"/>
        </w:rPr>
        <w:t>:</w:t>
      </w:r>
    </w:p>
    <w:p w:rsidR="0073231F" w:rsidRPr="0073231F" w:rsidRDefault="0073231F" w:rsidP="00996578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</w:t>
      </w:r>
      <w:r w:rsidRPr="0073231F">
        <w:rPr>
          <w:rFonts w:ascii="Arial" w:hAnsi="Arial" w:cs="Arial"/>
          <w:lang w:val="en-US"/>
        </w:rPr>
        <w:t xml:space="preserve">se with caution in patients with coronary artery disease as </w:t>
      </w:r>
      <w:proofErr w:type="spellStart"/>
      <w:r w:rsidRPr="0073231F">
        <w:rPr>
          <w:rFonts w:ascii="Arial" w:hAnsi="Arial" w:cs="Arial"/>
          <w:lang w:val="en-US"/>
        </w:rPr>
        <w:t>terlipressin</w:t>
      </w:r>
      <w:proofErr w:type="spellEnd"/>
      <w:r w:rsidRPr="0073231F">
        <w:rPr>
          <w:rFonts w:ascii="Arial" w:hAnsi="Arial" w:cs="Arial"/>
          <w:lang w:val="en-US"/>
        </w:rPr>
        <w:t xml:space="preserve"> may cause myocardial </w:t>
      </w:r>
      <w:proofErr w:type="spellStart"/>
      <w:r w:rsidRPr="0073231F">
        <w:rPr>
          <w:rFonts w:ascii="Arial" w:hAnsi="Arial" w:cs="Arial"/>
          <w:lang w:val="en-US"/>
        </w:rPr>
        <w:t>isch</w:t>
      </w:r>
      <w:r w:rsidR="00B25D07">
        <w:rPr>
          <w:rFonts w:ascii="Arial" w:hAnsi="Arial" w:cs="Arial"/>
          <w:lang w:val="en-US"/>
        </w:rPr>
        <w:t>a</w:t>
      </w:r>
      <w:r w:rsidRPr="0073231F">
        <w:rPr>
          <w:rFonts w:ascii="Arial" w:hAnsi="Arial" w:cs="Arial"/>
          <w:lang w:val="en-US"/>
        </w:rPr>
        <w:t>emia</w:t>
      </w:r>
      <w:proofErr w:type="spellEnd"/>
      <w:r w:rsidRPr="0073231F">
        <w:rPr>
          <w:rFonts w:ascii="Arial" w:hAnsi="Arial" w:cs="Arial"/>
          <w:lang w:val="en-US"/>
        </w:rPr>
        <w:t>.</w:t>
      </w:r>
      <w:r w:rsidR="007C796C">
        <w:rPr>
          <w:rFonts w:ascii="Arial" w:hAnsi="Arial" w:cs="Arial"/>
          <w:lang w:val="en-US"/>
        </w:rPr>
        <w:t xml:space="preserve"> </w:t>
      </w:r>
      <w:r w:rsidRPr="0073231F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Terlipressin</w:t>
      </w:r>
      <w:proofErr w:type="spellEnd"/>
      <w:r w:rsidRPr="0073231F">
        <w:rPr>
          <w:rFonts w:ascii="Arial" w:hAnsi="Arial" w:cs="Arial"/>
          <w:lang w:val="en-US"/>
        </w:rPr>
        <w:t xml:space="preserve"> should not be used in patients with unstable angina or recent acute myocardial infarction.</w:t>
      </w:r>
      <w:r w:rsidR="007C796C">
        <w:rPr>
          <w:rFonts w:ascii="Arial" w:hAnsi="Arial" w:cs="Arial"/>
          <w:lang w:val="en-US"/>
        </w:rPr>
        <w:t xml:space="preserve"> </w:t>
      </w:r>
      <w:r w:rsidRPr="0073231F">
        <w:rPr>
          <w:rFonts w:ascii="Arial" w:hAnsi="Arial" w:cs="Arial"/>
          <w:lang w:val="en-US"/>
        </w:rPr>
        <w:t xml:space="preserve"> </w:t>
      </w:r>
      <w:proofErr w:type="spellStart"/>
      <w:r w:rsidRPr="0073231F">
        <w:rPr>
          <w:rFonts w:ascii="Arial" w:hAnsi="Arial" w:cs="Arial"/>
          <w:lang w:val="en-US"/>
        </w:rPr>
        <w:t>Torsade</w:t>
      </w:r>
      <w:proofErr w:type="spellEnd"/>
      <w:r w:rsidRPr="0073231F">
        <w:rPr>
          <w:rFonts w:ascii="Arial" w:hAnsi="Arial" w:cs="Arial"/>
          <w:lang w:val="en-US"/>
        </w:rPr>
        <w:t xml:space="preserve"> de pointes, QT prolongation and ventricular fibrillation have been rarely reported in the post-marketing setting. </w:t>
      </w:r>
    </w:p>
    <w:p w:rsidR="007C796C" w:rsidRDefault="007C796C" w:rsidP="00996578">
      <w:pPr>
        <w:pStyle w:val="NoSpacing"/>
        <w:jc w:val="both"/>
        <w:rPr>
          <w:rFonts w:ascii="Arial" w:hAnsi="Arial" w:cs="Arial"/>
          <w:b/>
          <w:lang w:val="en-US"/>
        </w:rPr>
      </w:pPr>
    </w:p>
    <w:p w:rsidR="0073231F" w:rsidRDefault="0073231F" w:rsidP="00996578">
      <w:pPr>
        <w:pStyle w:val="NoSpacing"/>
        <w:jc w:val="both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Isch</w:t>
      </w:r>
      <w:r w:rsidR="00374A59">
        <w:rPr>
          <w:rFonts w:ascii="Arial" w:hAnsi="Arial" w:cs="Arial"/>
          <w:b/>
          <w:lang w:val="en-US"/>
        </w:rPr>
        <w:t>a</w:t>
      </w:r>
      <w:r>
        <w:rPr>
          <w:rFonts w:ascii="Arial" w:hAnsi="Arial" w:cs="Arial"/>
          <w:b/>
          <w:lang w:val="en-US"/>
        </w:rPr>
        <w:t>emic</w:t>
      </w:r>
      <w:proofErr w:type="spellEnd"/>
      <w:r>
        <w:rPr>
          <w:rFonts w:ascii="Arial" w:hAnsi="Arial" w:cs="Arial"/>
          <w:b/>
          <w:lang w:val="en-US"/>
        </w:rPr>
        <w:t xml:space="preserve"> E</w:t>
      </w:r>
      <w:r w:rsidRPr="0073231F">
        <w:rPr>
          <w:rFonts w:ascii="Arial" w:hAnsi="Arial" w:cs="Arial"/>
          <w:b/>
          <w:lang w:val="en-US"/>
        </w:rPr>
        <w:t>vents</w:t>
      </w:r>
      <w:r w:rsidR="007C796C">
        <w:rPr>
          <w:rFonts w:ascii="Arial" w:hAnsi="Arial" w:cs="Arial"/>
          <w:b/>
          <w:lang w:val="en-US"/>
        </w:rPr>
        <w:t>:</w:t>
      </w:r>
    </w:p>
    <w:p w:rsidR="0073231F" w:rsidRDefault="0073231F" w:rsidP="00996578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73231F">
        <w:rPr>
          <w:rFonts w:ascii="Arial" w:hAnsi="Arial" w:cs="Arial"/>
          <w:lang w:val="en-US"/>
        </w:rPr>
        <w:t>Isch</w:t>
      </w:r>
      <w:r w:rsidR="00B25D07">
        <w:rPr>
          <w:rFonts w:ascii="Arial" w:hAnsi="Arial" w:cs="Arial"/>
          <w:lang w:val="en-US"/>
        </w:rPr>
        <w:t>a</w:t>
      </w:r>
      <w:r w:rsidRPr="0073231F">
        <w:rPr>
          <w:rFonts w:ascii="Arial" w:hAnsi="Arial" w:cs="Arial"/>
          <w:lang w:val="en-US"/>
        </w:rPr>
        <w:t>emic</w:t>
      </w:r>
      <w:proofErr w:type="spellEnd"/>
      <w:r w:rsidRPr="0073231F">
        <w:rPr>
          <w:rFonts w:ascii="Arial" w:hAnsi="Arial" w:cs="Arial"/>
          <w:lang w:val="en-US"/>
        </w:rPr>
        <w:t xml:space="preserve"> events (cardiac, gastrointestinal, and skin) have occurred following administration of </w:t>
      </w:r>
      <w:proofErr w:type="spellStart"/>
      <w:r w:rsidRPr="0073231F">
        <w:rPr>
          <w:rFonts w:ascii="Arial" w:hAnsi="Arial" w:cs="Arial"/>
          <w:lang w:val="en-US"/>
        </w:rPr>
        <w:t>terlipressin</w:t>
      </w:r>
      <w:proofErr w:type="spellEnd"/>
      <w:r w:rsidRPr="0073231F">
        <w:rPr>
          <w:rFonts w:ascii="Arial" w:hAnsi="Arial" w:cs="Arial"/>
          <w:lang w:val="en-US"/>
        </w:rPr>
        <w:t xml:space="preserve"> and may require temporary interruption, dose decrease or permanent discontinuation of </w:t>
      </w:r>
      <w:proofErr w:type="spellStart"/>
      <w:r>
        <w:rPr>
          <w:rFonts w:ascii="Arial" w:hAnsi="Arial" w:cs="Arial"/>
          <w:lang w:val="en-US"/>
        </w:rPr>
        <w:t>terlipressin</w:t>
      </w:r>
      <w:proofErr w:type="spellEnd"/>
      <w:r w:rsidRPr="0073231F">
        <w:rPr>
          <w:rFonts w:ascii="Arial" w:hAnsi="Arial" w:cs="Arial"/>
          <w:lang w:val="en-US"/>
        </w:rPr>
        <w:t>.</w:t>
      </w:r>
      <w:r w:rsidR="00945B5C">
        <w:rPr>
          <w:rFonts w:ascii="Arial" w:hAnsi="Arial" w:cs="Arial"/>
          <w:lang w:val="en-US"/>
        </w:rPr>
        <w:t xml:space="preserve"> </w:t>
      </w:r>
      <w:r w:rsidRPr="0073231F">
        <w:rPr>
          <w:rFonts w:ascii="Arial" w:hAnsi="Arial" w:cs="Arial"/>
          <w:lang w:val="en-US"/>
        </w:rPr>
        <w:t xml:space="preserve"> Manifestations may include angina, ECG changes, severe abdominal pain with </w:t>
      </w:r>
      <w:r>
        <w:rPr>
          <w:rFonts w:ascii="Arial" w:hAnsi="Arial" w:cs="Arial"/>
          <w:lang w:val="en-US"/>
        </w:rPr>
        <w:t>gastrointestinal</w:t>
      </w:r>
      <w:r w:rsidRPr="0073231F">
        <w:rPr>
          <w:rFonts w:ascii="Arial" w:hAnsi="Arial" w:cs="Arial"/>
          <w:lang w:val="en-US"/>
        </w:rPr>
        <w:t xml:space="preserve"> bleeding, peripheral cyanosis and extremity pain.</w:t>
      </w:r>
    </w:p>
    <w:p w:rsidR="00945B5C" w:rsidRPr="0073231F" w:rsidRDefault="00945B5C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73231F" w:rsidRPr="0073231F" w:rsidRDefault="0073231F" w:rsidP="00996578">
      <w:pPr>
        <w:pStyle w:val="NoSpacing"/>
        <w:jc w:val="both"/>
        <w:rPr>
          <w:rFonts w:ascii="Arial" w:hAnsi="Arial" w:cs="Arial"/>
          <w:b/>
          <w:lang w:val="en-US"/>
        </w:rPr>
      </w:pPr>
      <w:r w:rsidRPr="0073231F">
        <w:rPr>
          <w:rFonts w:ascii="Arial" w:hAnsi="Arial" w:cs="Arial"/>
          <w:b/>
          <w:lang w:val="en-US"/>
        </w:rPr>
        <w:t>Respiratory Effects</w:t>
      </w:r>
      <w:r w:rsidR="00945B5C">
        <w:rPr>
          <w:rFonts w:ascii="Arial" w:hAnsi="Arial" w:cs="Arial"/>
          <w:b/>
          <w:lang w:val="en-US"/>
        </w:rPr>
        <w:t>:</w:t>
      </w:r>
    </w:p>
    <w:p w:rsidR="0073231F" w:rsidRDefault="0073231F" w:rsidP="00996578">
      <w:pPr>
        <w:pStyle w:val="NoSpacing"/>
        <w:jc w:val="both"/>
        <w:rPr>
          <w:rFonts w:ascii="Arial" w:hAnsi="Arial" w:cs="Arial"/>
          <w:lang w:val="en-US"/>
        </w:rPr>
      </w:pPr>
      <w:r w:rsidRPr="0073231F">
        <w:rPr>
          <w:rFonts w:ascii="Arial" w:hAnsi="Arial" w:cs="Arial"/>
          <w:lang w:val="en-US"/>
        </w:rPr>
        <w:t xml:space="preserve">Due to its constrictive effects on smooth muscle, </w:t>
      </w:r>
      <w:proofErr w:type="spellStart"/>
      <w:r w:rsidRPr="0073231F">
        <w:rPr>
          <w:rFonts w:ascii="Arial" w:hAnsi="Arial" w:cs="Arial"/>
          <w:lang w:val="en-US"/>
        </w:rPr>
        <w:t>terlipressin</w:t>
      </w:r>
      <w:proofErr w:type="spellEnd"/>
      <w:r w:rsidRPr="0073231F">
        <w:rPr>
          <w:rFonts w:ascii="Arial" w:hAnsi="Arial" w:cs="Arial"/>
          <w:lang w:val="en-US"/>
        </w:rPr>
        <w:t xml:space="preserve"> should be used with caution in patients with severe asthma or chronic obstructive pulmonary disease (COPD).  Patients with these disorders who require </w:t>
      </w:r>
      <w:proofErr w:type="spellStart"/>
      <w:r>
        <w:rPr>
          <w:rFonts w:ascii="Arial" w:hAnsi="Arial" w:cs="Arial"/>
          <w:lang w:val="en-US"/>
        </w:rPr>
        <w:t>terlipressin</w:t>
      </w:r>
      <w:proofErr w:type="spellEnd"/>
      <w:r w:rsidRPr="0073231F">
        <w:rPr>
          <w:rFonts w:ascii="Arial" w:hAnsi="Arial" w:cs="Arial"/>
          <w:lang w:val="en-US"/>
        </w:rPr>
        <w:t xml:space="preserve"> should be closely monitored and any </w:t>
      </w:r>
      <w:proofErr w:type="spellStart"/>
      <w:r w:rsidRPr="0073231F">
        <w:rPr>
          <w:rFonts w:ascii="Arial" w:hAnsi="Arial" w:cs="Arial"/>
          <w:lang w:val="en-US"/>
        </w:rPr>
        <w:t>bronchospasm</w:t>
      </w:r>
      <w:proofErr w:type="spellEnd"/>
      <w:r w:rsidRPr="0073231F">
        <w:rPr>
          <w:rFonts w:ascii="Arial" w:hAnsi="Arial" w:cs="Arial"/>
          <w:lang w:val="en-US"/>
        </w:rPr>
        <w:t xml:space="preserve"> should be treated symptomatically.  </w:t>
      </w:r>
    </w:p>
    <w:p w:rsidR="00945B5C" w:rsidRPr="0073231F" w:rsidRDefault="00945B5C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7A3194" w:rsidRPr="0073231F" w:rsidRDefault="007A3194" w:rsidP="00996578">
      <w:pPr>
        <w:pStyle w:val="NoSpacing"/>
        <w:jc w:val="both"/>
        <w:rPr>
          <w:rFonts w:ascii="Arial" w:hAnsi="Arial" w:cs="Arial"/>
          <w:b/>
          <w:bCs/>
          <w:lang w:val="en-US"/>
        </w:rPr>
      </w:pPr>
      <w:r w:rsidRPr="0073231F">
        <w:rPr>
          <w:rFonts w:ascii="Arial" w:hAnsi="Arial" w:cs="Arial"/>
          <w:b/>
          <w:bCs/>
          <w:lang w:val="en-US"/>
        </w:rPr>
        <w:t>Laboratory Monitoring</w:t>
      </w:r>
      <w:r w:rsidR="005E5F93">
        <w:rPr>
          <w:rFonts w:ascii="Arial" w:hAnsi="Arial" w:cs="Arial"/>
          <w:b/>
          <w:bCs/>
          <w:lang w:val="en-US"/>
        </w:rPr>
        <w:t>:</w:t>
      </w:r>
    </w:p>
    <w:p w:rsidR="007A3194" w:rsidRPr="0073231F" w:rsidRDefault="007A3194" w:rsidP="00996578">
      <w:pPr>
        <w:pStyle w:val="NoSpacing"/>
        <w:jc w:val="both"/>
        <w:rPr>
          <w:rFonts w:ascii="Arial" w:hAnsi="Arial" w:cs="Arial"/>
          <w:lang w:val="en-US"/>
        </w:rPr>
      </w:pPr>
      <w:r w:rsidRPr="0073231F">
        <w:rPr>
          <w:rFonts w:ascii="Arial" w:hAnsi="Arial" w:cs="Arial"/>
          <w:bCs/>
          <w:lang w:val="en-US"/>
        </w:rPr>
        <w:t xml:space="preserve">Serum </w:t>
      </w:r>
      <w:proofErr w:type="spellStart"/>
      <w:r w:rsidRPr="0073231F">
        <w:rPr>
          <w:rFonts w:ascii="Arial" w:hAnsi="Arial" w:cs="Arial"/>
          <w:bCs/>
          <w:lang w:val="en-US"/>
        </w:rPr>
        <w:t>creatinine</w:t>
      </w:r>
      <w:proofErr w:type="spellEnd"/>
      <w:r w:rsidRPr="0073231F">
        <w:rPr>
          <w:rFonts w:ascii="Arial" w:hAnsi="Arial" w:cs="Arial"/>
          <w:bCs/>
          <w:lang w:val="en-US"/>
        </w:rPr>
        <w:t xml:space="preserve"> levels should be monitored daily to assess response to therapy.  </w:t>
      </w:r>
      <w:r w:rsidRPr="0073231F">
        <w:rPr>
          <w:rFonts w:ascii="Arial" w:hAnsi="Arial" w:cs="Arial"/>
          <w:lang w:val="en-US"/>
        </w:rPr>
        <w:t xml:space="preserve">Serum electrolytes should be monitored periodically as </w:t>
      </w:r>
      <w:proofErr w:type="spellStart"/>
      <w:r w:rsidRPr="0073231F">
        <w:rPr>
          <w:rFonts w:ascii="Arial" w:hAnsi="Arial" w:cs="Arial"/>
          <w:lang w:val="en-US"/>
        </w:rPr>
        <w:t>hyponatr</w:t>
      </w:r>
      <w:r w:rsidR="00F624F0">
        <w:rPr>
          <w:rFonts w:ascii="Arial" w:hAnsi="Arial" w:cs="Arial"/>
          <w:lang w:val="en-US"/>
        </w:rPr>
        <w:t>a</w:t>
      </w:r>
      <w:r w:rsidRPr="0073231F">
        <w:rPr>
          <w:rFonts w:ascii="Arial" w:hAnsi="Arial" w:cs="Arial"/>
          <w:lang w:val="en-US"/>
        </w:rPr>
        <w:t>emia</w:t>
      </w:r>
      <w:proofErr w:type="spellEnd"/>
      <w:r w:rsidRPr="0073231F">
        <w:rPr>
          <w:rFonts w:ascii="Arial" w:hAnsi="Arial" w:cs="Arial"/>
          <w:lang w:val="en-US"/>
        </w:rPr>
        <w:t xml:space="preserve">, </w:t>
      </w:r>
      <w:proofErr w:type="spellStart"/>
      <w:r w:rsidRPr="0073231F">
        <w:rPr>
          <w:rFonts w:ascii="Arial" w:hAnsi="Arial" w:cs="Arial"/>
          <w:lang w:val="en-US"/>
        </w:rPr>
        <w:t>hypokal</w:t>
      </w:r>
      <w:r w:rsidR="00F624F0">
        <w:rPr>
          <w:rFonts w:ascii="Arial" w:hAnsi="Arial" w:cs="Arial"/>
          <w:lang w:val="en-US"/>
        </w:rPr>
        <w:t>a</w:t>
      </w:r>
      <w:r w:rsidRPr="0073231F">
        <w:rPr>
          <w:rFonts w:ascii="Arial" w:hAnsi="Arial" w:cs="Arial"/>
          <w:lang w:val="en-US"/>
        </w:rPr>
        <w:t>emia</w:t>
      </w:r>
      <w:proofErr w:type="spellEnd"/>
      <w:r w:rsidRPr="0073231F">
        <w:rPr>
          <w:rFonts w:ascii="Arial" w:hAnsi="Arial" w:cs="Arial"/>
          <w:lang w:val="en-US"/>
        </w:rPr>
        <w:t xml:space="preserve">, </w:t>
      </w:r>
      <w:r w:rsidR="00147D69" w:rsidRPr="0073231F">
        <w:rPr>
          <w:rFonts w:ascii="Arial" w:hAnsi="Arial" w:cs="Arial"/>
          <w:lang w:val="en-US"/>
        </w:rPr>
        <w:t>hypomagnesaemia</w:t>
      </w:r>
      <w:r w:rsidRPr="0073231F">
        <w:rPr>
          <w:rFonts w:ascii="Arial" w:hAnsi="Arial" w:cs="Arial"/>
          <w:lang w:val="en-US"/>
        </w:rPr>
        <w:t xml:space="preserve"> and other electrolyte disturbances have been reported. </w:t>
      </w:r>
    </w:p>
    <w:p w:rsidR="005E5F93" w:rsidRDefault="005E5F93" w:rsidP="00996578">
      <w:pPr>
        <w:pStyle w:val="NoSpacing"/>
        <w:jc w:val="both"/>
        <w:rPr>
          <w:rFonts w:ascii="Arial" w:hAnsi="Arial" w:cs="Arial"/>
          <w:b/>
          <w:bCs/>
          <w:lang w:val="en-US"/>
        </w:rPr>
      </w:pPr>
    </w:p>
    <w:p w:rsidR="0033493B" w:rsidRDefault="00537B68" w:rsidP="00996578">
      <w:pPr>
        <w:pStyle w:val="NoSpacing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Effect on Fertility</w:t>
      </w:r>
      <w:r w:rsidR="00C85D1C">
        <w:rPr>
          <w:rFonts w:ascii="Arial" w:hAnsi="Arial" w:cs="Arial"/>
          <w:b/>
          <w:bCs/>
          <w:lang w:val="en-US"/>
        </w:rPr>
        <w:t>:</w:t>
      </w:r>
    </w:p>
    <w:p w:rsidR="00537B68" w:rsidRDefault="00537B68" w:rsidP="00996578">
      <w:pPr>
        <w:pStyle w:val="NoSpacing"/>
        <w:jc w:val="both"/>
        <w:rPr>
          <w:rFonts w:ascii="Arial" w:hAnsi="Arial" w:cs="Arial"/>
          <w:bCs/>
        </w:rPr>
      </w:pPr>
      <w:r w:rsidRPr="00537B68">
        <w:rPr>
          <w:rFonts w:ascii="Arial" w:hAnsi="Arial" w:cs="Arial"/>
          <w:bCs/>
        </w:rPr>
        <w:t xml:space="preserve">No specific studies with </w:t>
      </w:r>
      <w:proofErr w:type="spellStart"/>
      <w:r w:rsidRPr="00537B68">
        <w:rPr>
          <w:rFonts w:ascii="Arial" w:hAnsi="Arial" w:cs="Arial"/>
          <w:bCs/>
        </w:rPr>
        <w:t>terlipressin</w:t>
      </w:r>
      <w:proofErr w:type="spellEnd"/>
      <w:r w:rsidRPr="00537B68">
        <w:rPr>
          <w:rFonts w:ascii="Arial" w:hAnsi="Arial" w:cs="Arial"/>
          <w:bCs/>
        </w:rPr>
        <w:t xml:space="preserve"> have been conducted in animals to evaluate the effect on fertility. </w:t>
      </w:r>
      <w:r w:rsidR="007B6111">
        <w:rPr>
          <w:rFonts w:ascii="Arial" w:hAnsi="Arial" w:cs="Arial"/>
          <w:bCs/>
        </w:rPr>
        <w:t xml:space="preserve"> Reduced testicular weights and </w:t>
      </w:r>
      <w:proofErr w:type="spellStart"/>
      <w:r w:rsidR="007B6111">
        <w:rPr>
          <w:rFonts w:ascii="Arial" w:hAnsi="Arial" w:cs="Arial"/>
          <w:bCs/>
        </w:rPr>
        <w:t>seminiferous</w:t>
      </w:r>
      <w:proofErr w:type="spellEnd"/>
      <w:r w:rsidR="007B6111">
        <w:rPr>
          <w:rFonts w:ascii="Arial" w:hAnsi="Arial" w:cs="Arial"/>
          <w:bCs/>
        </w:rPr>
        <w:t xml:space="preserve"> tubular degeneration were seen in rats that received intravenous injections of 0.5 mg/kg/day or greater </w:t>
      </w:r>
      <w:r w:rsidR="00B77FB1">
        <w:rPr>
          <w:rFonts w:ascii="Arial" w:hAnsi="Arial" w:cs="Arial"/>
          <w:bCs/>
        </w:rPr>
        <w:t xml:space="preserve">of </w:t>
      </w:r>
      <w:proofErr w:type="spellStart"/>
      <w:r w:rsidR="007B6111">
        <w:rPr>
          <w:rFonts w:ascii="Arial" w:hAnsi="Arial" w:cs="Arial"/>
          <w:bCs/>
        </w:rPr>
        <w:t>terlipressin</w:t>
      </w:r>
      <w:proofErr w:type="spellEnd"/>
      <w:r w:rsidR="007B6111">
        <w:rPr>
          <w:rFonts w:ascii="Arial" w:hAnsi="Arial" w:cs="Arial"/>
          <w:bCs/>
        </w:rPr>
        <w:t xml:space="preserve">. Exposure (based on AUC) at the no-effect level was less than that anticipated at the clinical dose of </w:t>
      </w:r>
      <w:r w:rsidR="00641097">
        <w:rPr>
          <w:rFonts w:ascii="Arial" w:hAnsi="Arial" w:cs="Arial"/>
          <w:bCs/>
        </w:rPr>
        <w:t>0.85</w:t>
      </w:r>
      <w:r w:rsidR="007B6111">
        <w:rPr>
          <w:rFonts w:ascii="Arial" w:hAnsi="Arial" w:cs="Arial"/>
          <w:bCs/>
        </w:rPr>
        <w:t xml:space="preserve"> mg every 6 hours.</w:t>
      </w:r>
    </w:p>
    <w:p w:rsidR="00C85D1C" w:rsidRPr="00537B68" w:rsidRDefault="00C85D1C" w:rsidP="00996578">
      <w:pPr>
        <w:pStyle w:val="NoSpacing"/>
        <w:jc w:val="both"/>
        <w:rPr>
          <w:rFonts w:ascii="Arial" w:hAnsi="Arial" w:cs="Arial"/>
          <w:bCs/>
        </w:rPr>
      </w:pPr>
    </w:p>
    <w:p w:rsidR="00C85D1C" w:rsidRDefault="00C85D1C" w:rsidP="00996578">
      <w:pPr>
        <w:pStyle w:val="NoSpacing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Carcinogenicity:</w:t>
      </w:r>
    </w:p>
    <w:p w:rsidR="00C85D1C" w:rsidRPr="00537B68" w:rsidRDefault="00C85D1C" w:rsidP="00C85D1C">
      <w:pPr>
        <w:pStyle w:val="NoSpacing"/>
        <w:jc w:val="both"/>
        <w:rPr>
          <w:rFonts w:ascii="Arial" w:hAnsi="Arial" w:cs="Arial"/>
          <w:bCs/>
        </w:rPr>
      </w:pPr>
      <w:r w:rsidRPr="00537B68">
        <w:rPr>
          <w:rFonts w:ascii="Arial" w:hAnsi="Arial" w:cs="Arial"/>
          <w:bCs/>
        </w:rPr>
        <w:t xml:space="preserve">Carcinogenicity studies have not been performed with </w:t>
      </w:r>
      <w:proofErr w:type="spellStart"/>
      <w:r w:rsidRPr="00537B68">
        <w:rPr>
          <w:rFonts w:ascii="Arial" w:hAnsi="Arial" w:cs="Arial"/>
          <w:bCs/>
        </w:rPr>
        <w:t>terlipressin</w:t>
      </w:r>
      <w:proofErr w:type="spellEnd"/>
      <w:r w:rsidRPr="00537B68">
        <w:rPr>
          <w:rFonts w:ascii="Arial" w:hAnsi="Arial" w:cs="Arial"/>
          <w:bCs/>
        </w:rPr>
        <w:t xml:space="preserve">. </w:t>
      </w:r>
    </w:p>
    <w:p w:rsidR="00C85D1C" w:rsidRDefault="00C85D1C" w:rsidP="00C85D1C">
      <w:pPr>
        <w:pStyle w:val="NoSpacing"/>
        <w:jc w:val="both"/>
        <w:rPr>
          <w:rFonts w:ascii="Arial" w:hAnsi="Arial" w:cs="Arial"/>
          <w:bCs/>
        </w:rPr>
      </w:pPr>
    </w:p>
    <w:p w:rsidR="00C85D1C" w:rsidRDefault="00C85D1C" w:rsidP="00C85D1C">
      <w:pPr>
        <w:pStyle w:val="NoSpacing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/>
          <w:bCs/>
          <w:lang w:val="en-US"/>
        </w:rPr>
        <w:t>Genotoxicity</w:t>
      </w:r>
      <w:proofErr w:type="spellEnd"/>
      <w:r>
        <w:rPr>
          <w:rFonts w:ascii="Arial" w:hAnsi="Arial" w:cs="Arial"/>
          <w:b/>
          <w:bCs/>
          <w:lang w:val="en-US"/>
        </w:rPr>
        <w:t>:</w:t>
      </w:r>
    </w:p>
    <w:p w:rsidR="00C85D1C" w:rsidRPr="00537B68" w:rsidRDefault="00C85D1C" w:rsidP="00C85D1C">
      <w:pPr>
        <w:pStyle w:val="NoSpacing"/>
        <w:jc w:val="both"/>
        <w:rPr>
          <w:rFonts w:ascii="Arial" w:hAnsi="Arial" w:cs="Arial"/>
          <w:bCs/>
        </w:rPr>
      </w:pPr>
      <w:proofErr w:type="spellStart"/>
      <w:r w:rsidRPr="00537B68">
        <w:rPr>
          <w:rFonts w:ascii="Arial" w:hAnsi="Arial" w:cs="Arial"/>
          <w:bCs/>
        </w:rPr>
        <w:t>Terlipressin</w:t>
      </w:r>
      <w:proofErr w:type="spellEnd"/>
      <w:r w:rsidRPr="00537B68">
        <w:rPr>
          <w:rFonts w:ascii="Arial" w:hAnsi="Arial" w:cs="Arial"/>
          <w:bCs/>
        </w:rPr>
        <w:t xml:space="preserve"> was not mutagenic or </w:t>
      </w:r>
      <w:proofErr w:type="spellStart"/>
      <w:r w:rsidRPr="00537B68">
        <w:rPr>
          <w:rFonts w:ascii="Arial" w:hAnsi="Arial" w:cs="Arial"/>
          <w:bCs/>
        </w:rPr>
        <w:t>clastogenic</w:t>
      </w:r>
      <w:proofErr w:type="spellEnd"/>
      <w:r w:rsidRPr="00537B68">
        <w:rPr>
          <w:rFonts w:ascii="Arial" w:hAnsi="Arial" w:cs="Arial"/>
          <w:bCs/>
        </w:rPr>
        <w:t xml:space="preserve"> in the following tests: </w:t>
      </w:r>
      <w:r w:rsidRPr="00537B68">
        <w:rPr>
          <w:rFonts w:ascii="Arial" w:hAnsi="Arial" w:cs="Arial"/>
          <w:bCs/>
          <w:i/>
          <w:iCs/>
        </w:rPr>
        <w:t>in</w:t>
      </w:r>
      <w:r w:rsidR="00186252">
        <w:rPr>
          <w:rFonts w:ascii="Arial" w:hAnsi="Arial" w:cs="Arial"/>
          <w:bCs/>
          <w:i/>
          <w:iCs/>
        </w:rPr>
        <w:t>-</w:t>
      </w:r>
      <w:r w:rsidRPr="00537B68">
        <w:rPr>
          <w:rFonts w:ascii="Arial" w:hAnsi="Arial" w:cs="Arial"/>
          <w:bCs/>
          <w:i/>
          <w:iCs/>
        </w:rPr>
        <w:t xml:space="preserve">vitro </w:t>
      </w:r>
      <w:r w:rsidRPr="00537B68">
        <w:rPr>
          <w:rFonts w:ascii="Arial" w:hAnsi="Arial" w:cs="Arial"/>
          <w:bCs/>
        </w:rPr>
        <w:t xml:space="preserve">bacterial reverse mutation assay, </w:t>
      </w:r>
      <w:r w:rsidRPr="00537B68">
        <w:rPr>
          <w:rFonts w:ascii="Arial" w:hAnsi="Arial" w:cs="Arial"/>
          <w:bCs/>
          <w:i/>
          <w:iCs/>
        </w:rPr>
        <w:t>in</w:t>
      </w:r>
      <w:r w:rsidR="00D212D4">
        <w:rPr>
          <w:rFonts w:ascii="Arial" w:hAnsi="Arial" w:cs="Arial"/>
          <w:bCs/>
          <w:i/>
          <w:iCs/>
        </w:rPr>
        <w:t>-</w:t>
      </w:r>
      <w:r w:rsidRPr="00537B68">
        <w:rPr>
          <w:rFonts w:ascii="Arial" w:hAnsi="Arial" w:cs="Arial"/>
          <w:bCs/>
          <w:i/>
          <w:iCs/>
        </w:rPr>
        <w:t xml:space="preserve">vivo </w:t>
      </w:r>
      <w:r w:rsidRPr="00537B68">
        <w:rPr>
          <w:rFonts w:ascii="Arial" w:hAnsi="Arial" w:cs="Arial"/>
          <w:bCs/>
        </w:rPr>
        <w:t xml:space="preserve">mouse micronucleus assay and </w:t>
      </w:r>
      <w:r w:rsidRPr="00537B68">
        <w:rPr>
          <w:rFonts w:ascii="Arial" w:hAnsi="Arial" w:cs="Arial"/>
          <w:bCs/>
          <w:i/>
          <w:iCs/>
        </w:rPr>
        <w:t>in</w:t>
      </w:r>
      <w:r w:rsidR="00D212D4">
        <w:rPr>
          <w:rFonts w:ascii="Arial" w:hAnsi="Arial" w:cs="Arial"/>
          <w:bCs/>
          <w:i/>
          <w:iCs/>
        </w:rPr>
        <w:t>-</w:t>
      </w:r>
      <w:r w:rsidRPr="00537B68">
        <w:rPr>
          <w:rFonts w:ascii="Arial" w:hAnsi="Arial" w:cs="Arial"/>
          <w:bCs/>
          <w:i/>
          <w:iCs/>
        </w:rPr>
        <w:t xml:space="preserve">vitro </w:t>
      </w:r>
      <w:r w:rsidRPr="00537B68">
        <w:rPr>
          <w:rFonts w:ascii="Arial" w:hAnsi="Arial" w:cs="Arial"/>
          <w:bCs/>
        </w:rPr>
        <w:t xml:space="preserve">mammalian cell (CHO) chromosome aberration assay. </w:t>
      </w:r>
    </w:p>
    <w:p w:rsidR="00C85D1C" w:rsidRDefault="00C85D1C" w:rsidP="00996578">
      <w:pPr>
        <w:pStyle w:val="NoSpacing"/>
        <w:jc w:val="both"/>
        <w:rPr>
          <w:rFonts w:ascii="Arial" w:hAnsi="Arial" w:cs="Arial"/>
          <w:b/>
          <w:bCs/>
          <w:lang w:val="en-US"/>
        </w:rPr>
      </w:pPr>
    </w:p>
    <w:p w:rsidR="007A3194" w:rsidRDefault="007A3194" w:rsidP="00996578">
      <w:pPr>
        <w:pStyle w:val="NoSpacing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Use in </w:t>
      </w:r>
      <w:r w:rsidR="0073231F" w:rsidRPr="0073231F">
        <w:rPr>
          <w:rFonts w:ascii="Arial" w:hAnsi="Arial" w:cs="Arial"/>
          <w:b/>
          <w:bCs/>
          <w:lang w:val="en-US"/>
        </w:rPr>
        <w:t>Pregnancy</w:t>
      </w:r>
      <w:r w:rsidR="00C85D1C">
        <w:rPr>
          <w:rFonts w:ascii="Arial" w:hAnsi="Arial" w:cs="Arial"/>
          <w:b/>
          <w:bCs/>
          <w:lang w:val="en-US"/>
        </w:rPr>
        <w:t>:</w:t>
      </w:r>
      <w:r w:rsidR="00737759">
        <w:rPr>
          <w:rFonts w:ascii="Arial" w:hAnsi="Arial" w:cs="Arial"/>
          <w:b/>
          <w:bCs/>
          <w:lang w:val="en-US"/>
        </w:rPr>
        <w:t xml:space="preserve"> </w:t>
      </w:r>
      <w:r w:rsidR="00737759" w:rsidRPr="00737759">
        <w:rPr>
          <w:rFonts w:ascii="Arial" w:hAnsi="Arial" w:cs="Arial"/>
          <w:bCs/>
          <w:lang w:val="en-US"/>
        </w:rPr>
        <w:t>(</w:t>
      </w:r>
      <w:r>
        <w:rPr>
          <w:rFonts w:ascii="Arial" w:hAnsi="Arial" w:cs="Arial"/>
          <w:bCs/>
          <w:lang w:val="en-US"/>
        </w:rPr>
        <w:t>Category D</w:t>
      </w:r>
      <w:r w:rsidR="00737759">
        <w:rPr>
          <w:rFonts w:ascii="Arial" w:hAnsi="Arial" w:cs="Arial"/>
          <w:bCs/>
          <w:lang w:val="en-US"/>
        </w:rPr>
        <w:t>)</w:t>
      </w:r>
    </w:p>
    <w:p w:rsidR="007A3194" w:rsidRPr="0073231F" w:rsidRDefault="007A3194" w:rsidP="00996578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73231F">
        <w:rPr>
          <w:rFonts w:ascii="Arial" w:hAnsi="Arial" w:cs="Arial"/>
          <w:bCs/>
          <w:lang w:val="en-US"/>
        </w:rPr>
        <w:t>Terlipressin</w:t>
      </w:r>
      <w:proofErr w:type="spellEnd"/>
      <w:r w:rsidRPr="0073231F">
        <w:rPr>
          <w:rFonts w:ascii="Arial" w:hAnsi="Arial" w:cs="Arial"/>
          <w:bCs/>
          <w:lang w:val="en-US"/>
        </w:rPr>
        <w:t xml:space="preserve"> may cause </w:t>
      </w:r>
      <w:proofErr w:type="spellStart"/>
      <w:r w:rsidRPr="0073231F">
        <w:rPr>
          <w:rFonts w:ascii="Arial" w:hAnsi="Arial" w:cs="Arial"/>
          <w:bCs/>
          <w:lang w:val="en-US"/>
        </w:rPr>
        <w:t>f</w:t>
      </w:r>
      <w:r w:rsidR="00F624F0">
        <w:rPr>
          <w:rFonts w:ascii="Arial" w:hAnsi="Arial" w:cs="Arial"/>
          <w:bCs/>
          <w:lang w:val="en-US"/>
        </w:rPr>
        <w:t>o</w:t>
      </w:r>
      <w:r w:rsidRPr="0073231F">
        <w:rPr>
          <w:rFonts w:ascii="Arial" w:hAnsi="Arial" w:cs="Arial"/>
          <w:bCs/>
          <w:lang w:val="en-US"/>
        </w:rPr>
        <w:t>etal</w:t>
      </w:r>
      <w:proofErr w:type="spellEnd"/>
      <w:r w:rsidRPr="0073231F">
        <w:rPr>
          <w:rFonts w:ascii="Arial" w:hAnsi="Arial" w:cs="Arial"/>
          <w:bCs/>
          <w:lang w:val="en-US"/>
        </w:rPr>
        <w:t xml:space="preserve"> harm when administered to pregnant wom</w:t>
      </w:r>
      <w:r w:rsidR="00B25D07">
        <w:rPr>
          <w:rFonts w:ascii="Arial" w:hAnsi="Arial" w:cs="Arial"/>
          <w:bCs/>
          <w:lang w:val="en-US"/>
        </w:rPr>
        <w:t>e</w:t>
      </w:r>
      <w:r w:rsidRPr="0073231F">
        <w:rPr>
          <w:rFonts w:ascii="Arial" w:hAnsi="Arial" w:cs="Arial"/>
          <w:bCs/>
          <w:lang w:val="en-US"/>
        </w:rPr>
        <w:t>n</w:t>
      </w:r>
      <w:r>
        <w:rPr>
          <w:rFonts w:ascii="Arial" w:hAnsi="Arial" w:cs="Arial"/>
          <w:bCs/>
          <w:lang w:val="en-US"/>
        </w:rPr>
        <w:t>.</w:t>
      </w:r>
      <w:r w:rsidR="008C3769">
        <w:rPr>
          <w:rFonts w:ascii="Arial" w:hAnsi="Arial" w:cs="Arial"/>
          <w:bCs/>
          <w:lang w:val="en-US"/>
        </w:rPr>
        <w:t xml:space="preserve"> </w:t>
      </w:r>
      <w:r w:rsidRPr="0073231F">
        <w:rPr>
          <w:rFonts w:ascii="Arial" w:hAnsi="Arial" w:cs="Arial"/>
          <w:lang w:val="en-US"/>
        </w:rPr>
        <w:t xml:space="preserve">In three published clinical trials (two in pregnant women and one in non-pregnant </w:t>
      </w:r>
      <w:r w:rsidR="00133D20" w:rsidRPr="0073231F">
        <w:rPr>
          <w:rFonts w:ascii="Arial" w:hAnsi="Arial" w:cs="Arial"/>
          <w:lang w:val="en-US"/>
        </w:rPr>
        <w:t>wom</w:t>
      </w:r>
      <w:r w:rsidR="00133D20">
        <w:rPr>
          <w:rFonts w:ascii="Arial" w:hAnsi="Arial" w:cs="Arial"/>
          <w:lang w:val="en-US"/>
        </w:rPr>
        <w:t>e</w:t>
      </w:r>
      <w:r w:rsidR="00133D20" w:rsidRPr="0073231F">
        <w:rPr>
          <w:rFonts w:ascii="Arial" w:hAnsi="Arial" w:cs="Arial"/>
          <w:lang w:val="en-US"/>
        </w:rPr>
        <w:t>n</w:t>
      </w:r>
      <w:r w:rsidRPr="0073231F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>,</w:t>
      </w:r>
      <w:r w:rsidRPr="0073231F">
        <w:rPr>
          <w:rFonts w:ascii="Arial" w:hAnsi="Arial" w:cs="Arial"/>
          <w:lang w:val="en-US"/>
        </w:rPr>
        <w:t xml:space="preserve"> </w:t>
      </w:r>
      <w:proofErr w:type="spellStart"/>
      <w:r w:rsidRPr="0073231F">
        <w:rPr>
          <w:rFonts w:ascii="Arial" w:hAnsi="Arial" w:cs="Arial"/>
          <w:lang w:val="en-US"/>
        </w:rPr>
        <w:lastRenderedPageBreak/>
        <w:t>terlipressin</w:t>
      </w:r>
      <w:proofErr w:type="spellEnd"/>
      <w:r w:rsidRPr="0073231F">
        <w:rPr>
          <w:rFonts w:ascii="Arial" w:hAnsi="Arial" w:cs="Arial"/>
          <w:lang w:val="en-US"/>
        </w:rPr>
        <w:t xml:space="preserve"> caused significant increases in uterine activity and reduction in endometrial blood flow. These adverse effects pose significant </w:t>
      </w:r>
      <w:proofErr w:type="spellStart"/>
      <w:r w:rsidRPr="0073231F">
        <w:rPr>
          <w:rFonts w:ascii="Arial" w:hAnsi="Arial" w:cs="Arial"/>
          <w:lang w:val="en-US"/>
        </w:rPr>
        <w:t>f</w:t>
      </w:r>
      <w:r w:rsidR="008C742D">
        <w:rPr>
          <w:rFonts w:ascii="Arial" w:hAnsi="Arial" w:cs="Arial"/>
          <w:lang w:val="en-US"/>
        </w:rPr>
        <w:t>o</w:t>
      </w:r>
      <w:r w:rsidRPr="0073231F">
        <w:rPr>
          <w:rFonts w:ascii="Arial" w:hAnsi="Arial" w:cs="Arial"/>
          <w:lang w:val="en-US"/>
        </w:rPr>
        <w:t>etal</w:t>
      </w:r>
      <w:proofErr w:type="spellEnd"/>
      <w:r w:rsidRPr="0073231F">
        <w:rPr>
          <w:rFonts w:ascii="Arial" w:hAnsi="Arial" w:cs="Arial"/>
          <w:lang w:val="en-US"/>
        </w:rPr>
        <w:t xml:space="preserve"> risk through spontaneous abortion, </w:t>
      </w:r>
      <w:proofErr w:type="spellStart"/>
      <w:r w:rsidRPr="00186252">
        <w:rPr>
          <w:rFonts w:ascii="Arial" w:hAnsi="Arial" w:cs="Arial"/>
          <w:lang w:val="en-US"/>
        </w:rPr>
        <w:t>resorption</w:t>
      </w:r>
      <w:proofErr w:type="spellEnd"/>
      <w:r w:rsidRPr="0073231F">
        <w:rPr>
          <w:rFonts w:ascii="Arial" w:hAnsi="Arial" w:cs="Arial"/>
          <w:lang w:val="en-US"/>
        </w:rPr>
        <w:t xml:space="preserve"> and the potential for development of various birth defects.</w:t>
      </w:r>
    </w:p>
    <w:p w:rsidR="005F75A6" w:rsidRDefault="005F75A6" w:rsidP="00996578">
      <w:pPr>
        <w:pStyle w:val="NoSpacing"/>
        <w:jc w:val="both"/>
        <w:rPr>
          <w:rFonts w:ascii="Arial" w:hAnsi="Arial" w:cs="Arial"/>
          <w:bCs/>
          <w:lang w:val="en-US"/>
        </w:rPr>
      </w:pPr>
    </w:p>
    <w:p w:rsidR="007A3194" w:rsidRDefault="007A3194" w:rsidP="0099657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en-US"/>
        </w:rPr>
        <w:t>I</w:t>
      </w:r>
      <w:r w:rsidRPr="0073231F">
        <w:rPr>
          <w:rFonts w:ascii="Arial" w:hAnsi="Arial" w:cs="Arial"/>
          <w:lang w:val="en-US"/>
        </w:rPr>
        <w:t xml:space="preserve">n </w:t>
      </w:r>
      <w:r w:rsidR="005F75A6">
        <w:rPr>
          <w:rFonts w:ascii="Arial" w:hAnsi="Arial" w:cs="Arial"/>
          <w:lang w:val="en-US"/>
        </w:rPr>
        <w:t xml:space="preserve">published </w:t>
      </w:r>
      <w:r w:rsidRPr="0073231F">
        <w:rPr>
          <w:rFonts w:ascii="Arial" w:hAnsi="Arial" w:cs="Arial"/>
          <w:lang w:val="en-US"/>
        </w:rPr>
        <w:t xml:space="preserve">animal studies, </w:t>
      </w:r>
      <w:proofErr w:type="spellStart"/>
      <w:r w:rsidRPr="0073231F">
        <w:rPr>
          <w:rFonts w:ascii="Arial" w:hAnsi="Arial" w:cs="Arial"/>
          <w:lang w:val="en-US"/>
        </w:rPr>
        <w:t>terlipressin</w:t>
      </w:r>
      <w:proofErr w:type="spellEnd"/>
      <w:r w:rsidRPr="0073231F">
        <w:rPr>
          <w:rFonts w:ascii="Arial" w:hAnsi="Arial" w:cs="Arial"/>
          <w:lang w:val="en-US"/>
        </w:rPr>
        <w:t xml:space="preserve"> and other vasopressin analogues reduced blood flow to the uterus and placenta resulting in </w:t>
      </w:r>
      <w:proofErr w:type="spellStart"/>
      <w:r w:rsidRPr="0073231F">
        <w:rPr>
          <w:rFonts w:ascii="Arial" w:hAnsi="Arial" w:cs="Arial"/>
          <w:lang w:val="en-US"/>
        </w:rPr>
        <w:t>f</w:t>
      </w:r>
      <w:r w:rsidR="0034741D">
        <w:rPr>
          <w:rFonts w:ascii="Arial" w:hAnsi="Arial" w:cs="Arial"/>
          <w:lang w:val="en-US"/>
        </w:rPr>
        <w:t>o</w:t>
      </w:r>
      <w:r w:rsidRPr="0073231F">
        <w:rPr>
          <w:rFonts w:ascii="Arial" w:hAnsi="Arial" w:cs="Arial"/>
          <w:lang w:val="en-US"/>
        </w:rPr>
        <w:t>etal</w:t>
      </w:r>
      <w:proofErr w:type="spellEnd"/>
      <w:r w:rsidRPr="0073231F">
        <w:rPr>
          <w:rFonts w:ascii="Arial" w:hAnsi="Arial" w:cs="Arial"/>
          <w:lang w:val="en-US"/>
        </w:rPr>
        <w:t xml:space="preserve"> death</w:t>
      </w:r>
      <w:r w:rsidR="005F75A6">
        <w:rPr>
          <w:rFonts w:ascii="Arial" w:hAnsi="Arial" w:cs="Arial"/>
          <w:lang w:val="en-US"/>
        </w:rPr>
        <w:t xml:space="preserve"> and/or</w:t>
      </w:r>
      <w:r w:rsidR="00737759">
        <w:rPr>
          <w:rFonts w:ascii="Arial" w:hAnsi="Arial" w:cs="Arial"/>
          <w:lang w:val="en-US"/>
        </w:rPr>
        <w:t xml:space="preserve"> abortion, </w:t>
      </w:r>
      <w:r w:rsidRPr="0073231F">
        <w:rPr>
          <w:rFonts w:ascii="Arial" w:hAnsi="Arial" w:cs="Arial"/>
          <w:lang w:val="en-US"/>
        </w:rPr>
        <w:t xml:space="preserve">and </w:t>
      </w:r>
      <w:proofErr w:type="spellStart"/>
      <w:r w:rsidRPr="0073231F">
        <w:rPr>
          <w:rFonts w:ascii="Arial" w:hAnsi="Arial" w:cs="Arial"/>
          <w:lang w:val="en-US"/>
        </w:rPr>
        <w:t>f</w:t>
      </w:r>
      <w:r w:rsidR="0034741D">
        <w:rPr>
          <w:rFonts w:ascii="Arial" w:hAnsi="Arial" w:cs="Arial"/>
          <w:lang w:val="en-US"/>
        </w:rPr>
        <w:t>o</w:t>
      </w:r>
      <w:r w:rsidRPr="0073231F">
        <w:rPr>
          <w:rFonts w:ascii="Arial" w:hAnsi="Arial" w:cs="Arial"/>
          <w:lang w:val="en-US"/>
        </w:rPr>
        <w:t>etal</w:t>
      </w:r>
      <w:proofErr w:type="spellEnd"/>
      <w:r w:rsidRPr="0073231F">
        <w:rPr>
          <w:rFonts w:ascii="Arial" w:hAnsi="Arial" w:cs="Arial"/>
          <w:lang w:val="en-US"/>
        </w:rPr>
        <w:t xml:space="preserve"> abnormalities due to local tissue hypoxia. </w:t>
      </w:r>
      <w:r w:rsidR="00FD44B8" w:rsidRPr="00FD44B8">
        <w:rPr>
          <w:rFonts w:ascii="Arial" w:hAnsi="Arial" w:cs="Arial"/>
        </w:rPr>
        <w:t xml:space="preserve">Administration of </w:t>
      </w:r>
      <w:proofErr w:type="spellStart"/>
      <w:r w:rsidR="00FD44B8" w:rsidRPr="00FD44B8">
        <w:rPr>
          <w:rFonts w:ascii="Arial" w:hAnsi="Arial" w:cs="Arial"/>
        </w:rPr>
        <w:t>terlipressin</w:t>
      </w:r>
      <w:proofErr w:type="spellEnd"/>
      <w:r w:rsidR="00FD44B8" w:rsidRPr="00FD44B8">
        <w:rPr>
          <w:rFonts w:ascii="Arial" w:hAnsi="Arial" w:cs="Arial"/>
        </w:rPr>
        <w:t xml:space="preserve"> (3-10 </w:t>
      </w:r>
      <w:r w:rsidR="005F75A6">
        <w:rPr>
          <w:rFonts w:ascii="Arial" w:hAnsi="Arial" w:cs="Arial"/>
        </w:rPr>
        <w:t>mc</w:t>
      </w:r>
      <w:r w:rsidR="00FD44B8">
        <w:rPr>
          <w:rFonts w:ascii="Arial" w:hAnsi="Arial" w:cs="Arial"/>
        </w:rPr>
        <w:t>g</w:t>
      </w:r>
      <w:r w:rsidR="00FD44B8" w:rsidRPr="00FD44B8">
        <w:rPr>
          <w:rFonts w:ascii="Arial" w:hAnsi="Arial" w:cs="Arial"/>
        </w:rPr>
        <w:t>/kg) to pregnant guinea pigs caused a marked decrease in blood flow to the uterus and placenta.</w:t>
      </w:r>
      <w:r w:rsidR="00B75F27">
        <w:rPr>
          <w:rFonts w:ascii="Arial" w:hAnsi="Arial" w:cs="Arial"/>
        </w:rPr>
        <w:t xml:space="preserve">  As these effects are mediated by pharmacological action, </w:t>
      </w:r>
      <w:proofErr w:type="spellStart"/>
      <w:r w:rsidR="00B75F27">
        <w:rPr>
          <w:rFonts w:ascii="Arial" w:hAnsi="Arial" w:cs="Arial"/>
        </w:rPr>
        <w:t>terlipressin</w:t>
      </w:r>
      <w:proofErr w:type="spellEnd"/>
      <w:r w:rsidR="00B75F27">
        <w:rPr>
          <w:rFonts w:ascii="Arial" w:hAnsi="Arial" w:cs="Arial"/>
        </w:rPr>
        <w:t xml:space="preserve"> may have harmful effects on pregnancy and on the developing f</w:t>
      </w:r>
      <w:r w:rsidR="00BB027B">
        <w:rPr>
          <w:rFonts w:ascii="Arial" w:hAnsi="Arial" w:cs="Arial"/>
        </w:rPr>
        <w:t>o</w:t>
      </w:r>
      <w:r w:rsidR="00B75F27">
        <w:rPr>
          <w:rFonts w:ascii="Arial" w:hAnsi="Arial" w:cs="Arial"/>
        </w:rPr>
        <w:t>etus.</w:t>
      </w:r>
    </w:p>
    <w:p w:rsidR="00AF75C2" w:rsidRDefault="00AF75C2" w:rsidP="00996578">
      <w:pPr>
        <w:pStyle w:val="NoSpacing"/>
        <w:jc w:val="both"/>
        <w:rPr>
          <w:rFonts w:ascii="Arial" w:hAnsi="Arial" w:cs="Arial"/>
          <w:bCs/>
          <w:lang w:val="en-US"/>
        </w:rPr>
      </w:pPr>
    </w:p>
    <w:p w:rsidR="007A3194" w:rsidRPr="0073231F" w:rsidRDefault="00737759" w:rsidP="00996578">
      <w:pPr>
        <w:pStyle w:val="NoSpacing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Use in L</w:t>
      </w:r>
      <w:r w:rsidR="007A3194">
        <w:rPr>
          <w:rFonts w:ascii="Arial" w:hAnsi="Arial" w:cs="Arial"/>
          <w:b/>
          <w:lang w:val="en-US"/>
        </w:rPr>
        <w:t>actation</w:t>
      </w:r>
      <w:r w:rsidR="00E56ADB">
        <w:rPr>
          <w:rFonts w:ascii="Arial" w:hAnsi="Arial" w:cs="Arial"/>
          <w:b/>
          <w:lang w:val="en-US"/>
        </w:rPr>
        <w:t>:</w:t>
      </w:r>
    </w:p>
    <w:p w:rsidR="00B80807" w:rsidRDefault="007A3194" w:rsidP="00996578">
      <w:pPr>
        <w:pStyle w:val="NoSpacing"/>
        <w:jc w:val="both"/>
        <w:rPr>
          <w:rFonts w:ascii="Arial" w:hAnsi="Arial" w:cs="Arial"/>
          <w:color w:val="000000"/>
        </w:rPr>
      </w:pPr>
      <w:r w:rsidRPr="00B80807">
        <w:rPr>
          <w:rFonts w:ascii="Arial" w:hAnsi="Arial" w:cs="Arial"/>
          <w:lang w:val="en-US"/>
        </w:rPr>
        <w:t xml:space="preserve">It is not known whether the drug is excreted in human milk. </w:t>
      </w:r>
      <w:r w:rsidR="00B80807" w:rsidRPr="00B80807">
        <w:rPr>
          <w:rFonts w:ascii="Arial" w:hAnsi="Arial" w:cs="Arial"/>
          <w:color w:val="000000"/>
        </w:rPr>
        <w:t xml:space="preserve">Because many drugs are excreted in human milk and because of the potential for serious adverse reactions in nursing infants, it is recommended that nursing be discontinued in women receiving </w:t>
      </w:r>
      <w:proofErr w:type="spellStart"/>
      <w:r w:rsidR="00B80807" w:rsidRPr="00B80807">
        <w:rPr>
          <w:rFonts w:ascii="Arial" w:hAnsi="Arial" w:cs="Arial"/>
          <w:color w:val="000000"/>
        </w:rPr>
        <w:t>terlipressin</w:t>
      </w:r>
      <w:proofErr w:type="spellEnd"/>
      <w:r w:rsidR="00B80807" w:rsidRPr="00B80807">
        <w:rPr>
          <w:rFonts w:ascii="Arial" w:hAnsi="Arial" w:cs="Arial"/>
          <w:color w:val="000000"/>
        </w:rPr>
        <w:t xml:space="preserve"> therapy.</w:t>
      </w:r>
    </w:p>
    <w:p w:rsidR="007A3194" w:rsidRPr="00B80807" w:rsidRDefault="007A3194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737759" w:rsidRPr="0073231F" w:rsidRDefault="00737759" w:rsidP="00996578">
      <w:pPr>
        <w:pStyle w:val="NoSpacing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Paediatric</w:t>
      </w:r>
      <w:proofErr w:type="spellEnd"/>
      <w:r>
        <w:rPr>
          <w:rFonts w:ascii="Arial" w:hAnsi="Arial" w:cs="Arial"/>
          <w:b/>
          <w:lang w:val="en-US"/>
        </w:rPr>
        <w:t xml:space="preserve"> Use:</w:t>
      </w:r>
    </w:p>
    <w:p w:rsidR="00737759" w:rsidRDefault="00737759" w:rsidP="00996578">
      <w:pPr>
        <w:pStyle w:val="NoSpacing"/>
        <w:rPr>
          <w:rFonts w:ascii="Arial" w:hAnsi="Arial" w:cs="Arial"/>
          <w:lang w:val="en-US"/>
        </w:rPr>
      </w:pPr>
      <w:r w:rsidRPr="0073231F">
        <w:rPr>
          <w:rFonts w:ascii="Arial" w:hAnsi="Arial" w:cs="Arial"/>
          <w:lang w:val="en-US"/>
        </w:rPr>
        <w:t xml:space="preserve">Safety and effectiveness in </w:t>
      </w:r>
      <w:proofErr w:type="spellStart"/>
      <w:r w:rsidRPr="0073231F">
        <w:rPr>
          <w:rFonts w:ascii="Arial" w:hAnsi="Arial" w:cs="Arial"/>
          <w:lang w:val="en-US"/>
        </w:rPr>
        <w:t>p</w:t>
      </w:r>
      <w:r>
        <w:rPr>
          <w:rFonts w:ascii="Arial" w:hAnsi="Arial" w:cs="Arial"/>
          <w:lang w:val="en-US"/>
        </w:rPr>
        <w:t>a</w:t>
      </w:r>
      <w:r w:rsidRPr="0073231F">
        <w:rPr>
          <w:rFonts w:ascii="Arial" w:hAnsi="Arial" w:cs="Arial"/>
          <w:lang w:val="en-US"/>
        </w:rPr>
        <w:t>ediatric</w:t>
      </w:r>
      <w:proofErr w:type="spellEnd"/>
      <w:r w:rsidRPr="0073231F">
        <w:rPr>
          <w:rFonts w:ascii="Arial" w:hAnsi="Arial" w:cs="Arial"/>
          <w:lang w:val="en-US"/>
        </w:rPr>
        <w:t xml:space="preserve"> patients have not been established.</w:t>
      </w:r>
    </w:p>
    <w:p w:rsidR="00B80807" w:rsidRPr="0073231F" w:rsidRDefault="00B80807" w:rsidP="00996578">
      <w:pPr>
        <w:pStyle w:val="NoSpacing"/>
        <w:rPr>
          <w:rFonts w:ascii="Arial" w:hAnsi="Arial" w:cs="Arial"/>
          <w:lang w:val="en-US"/>
        </w:rPr>
      </w:pPr>
    </w:p>
    <w:p w:rsidR="00737759" w:rsidRPr="0073231F" w:rsidRDefault="00737759" w:rsidP="00996578">
      <w:pPr>
        <w:pStyle w:val="NoSpacing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Use in Elderly:</w:t>
      </w:r>
    </w:p>
    <w:p w:rsidR="00737759" w:rsidRDefault="00737759" w:rsidP="00996578">
      <w:pPr>
        <w:pStyle w:val="NoSpacing"/>
        <w:jc w:val="both"/>
        <w:rPr>
          <w:rFonts w:ascii="Arial" w:hAnsi="Arial" w:cs="Arial"/>
          <w:lang w:val="en-US"/>
        </w:rPr>
      </w:pPr>
      <w:r w:rsidRPr="0073231F">
        <w:rPr>
          <w:rFonts w:ascii="Arial" w:hAnsi="Arial" w:cs="Arial"/>
          <w:lang w:val="en-US"/>
        </w:rPr>
        <w:t>Of the t</w:t>
      </w:r>
      <w:r w:rsidR="006E4E36">
        <w:rPr>
          <w:rFonts w:ascii="Arial" w:hAnsi="Arial" w:cs="Arial"/>
          <w:lang w:val="en-US"/>
        </w:rPr>
        <w:t xml:space="preserve">otal number of patients </w:t>
      </w:r>
      <w:proofErr w:type="spellStart"/>
      <w:r w:rsidR="006E4E36">
        <w:rPr>
          <w:rFonts w:ascii="Arial" w:hAnsi="Arial" w:cs="Arial"/>
          <w:lang w:val="en-US"/>
        </w:rPr>
        <w:t>randomis</w:t>
      </w:r>
      <w:r w:rsidRPr="0073231F">
        <w:rPr>
          <w:rFonts w:ascii="Arial" w:hAnsi="Arial" w:cs="Arial"/>
          <w:lang w:val="en-US"/>
        </w:rPr>
        <w:t>ed</w:t>
      </w:r>
      <w:proofErr w:type="spellEnd"/>
      <w:r w:rsidRPr="0073231F">
        <w:rPr>
          <w:rFonts w:ascii="Arial" w:hAnsi="Arial" w:cs="Arial"/>
          <w:lang w:val="en-US"/>
        </w:rPr>
        <w:t xml:space="preserve"> to receive </w:t>
      </w:r>
      <w:proofErr w:type="spellStart"/>
      <w:r w:rsidRPr="0073231F">
        <w:rPr>
          <w:rFonts w:ascii="Arial" w:hAnsi="Arial" w:cs="Arial"/>
          <w:lang w:val="en-US"/>
        </w:rPr>
        <w:t>terlipressin</w:t>
      </w:r>
      <w:proofErr w:type="spellEnd"/>
      <w:r w:rsidRPr="0073231F">
        <w:rPr>
          <w:rFonts w:ascii="Arial" w:hAnsi="Arial" w:cs="Arial"/>
          <w:lang w:val="en-US"/>
        </w:rPr>
        <w:t xml:space="preserve"> in clinical studies, 15% were </w:t>
      </w:r>
      <w:r w:rsidRPr="0073231F">
        <w:rPr>
          <w:rFonts w:ascii="Arial" w:hAnsi="Arial" w:cs="Arial"/>
          <w:u w:val="single"/>
          <w:lang w:val="en-US"/>
        </w:rPr>
        <w:t>&gt;</w:t>
      </w:r>
      <w:r w:rsidRPr="0073231F">
        <w:rPr>
          <w:rFonts w:ascii="Arial" w:hAnsi="Arial" w:cs="Arial"/>
          <w:lang w:val="en-US"/>
        </w:rPr>
        <w:t xml:space="preserve">65 years of age and 3% were </w:t>
      </w:r>
      <w:r w:rsidRPr="0073231F">
        <w:rPr>
          <w:rFonts w:ascii="Arial" w:hAnsi="Arial" w:cs="Arial"/>
          <w:u w:val="single"/>
          <w:lang w:val="en-US"/>
        </w:rPr>
        <w:t>&gt;</w:t>
      </w:r>
      <w:r w:rsidRPr="0073231F">
        <w:rPr>
          <w:rFonts w:ascii="Arial" w:hAnsi="Arial" w:cs="Arial"/>
          <w:lang w:val="en-US"/>
        </w:rPr>
        <w:t xml:space="preserve">75 years of age. No overall differences in safety or effectiveness were observed between these patients and the younger patients, but the </w:t>
      </w:r>
      <w:r w:rsidR="00957E4F" w:rsidRPr="0073231F">
        <w:rPr>
          <w:rFonts w:ascii="Arial" w:hAnsi="Arial" w:cs="Arial"/>
          <w:lang w:val="en-US"/>
        </w:rPr>
        <w:t>number of patients treated is</w:t>
      </w:r>
      <w:r w:rsidRPr="0073231F">
        <w:rPr>
          <w:rFonts w:ascii="Arial" w:hAnsi="Arial" w:cs="Arial"/>
          <w:lang w:val="en-US"/>
        </w:rPr>
        <w:t xml:space="preserve"> too small </w:t>
      </w:r>
      <w:r w:rsidR="00133D20">
        <w:rPr>
          <w:rFonts w:ascii="Arial" w:hAnsi="Arial" w:cs="Arial"/>
          <w:lang w:val="en-US"/>
        </w:rPr>
        <w:t>to draw</w:t>
      </w:r>
      <w:r w:rsidRPr="0073231F">
        <w:rPr>
          <w:rFonts w:ascii="Arial" w:hAnsi="Arial" w:cs="Arial"/>
          <w:lang w:val="en-US"/>
        </w:rPr>
        <w:t xml:space="preserve"> definitive conclusions and greater sensitivity of some older individuals cannot be ruled out.</w:t>
      </w:r>
    </w:p>
    <w:p w:rsidR="00B80807" w:rsidRPr="0073231F" w:rsidRDefault="00B80807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737759" w:rsidRPr="0073231F" w:rsidRDefault="00737759" w:rsidP="00D37DC2">
      <w:pPr>
        <w:pStyle w:val="NoSpacing"/>
        <w:rPr>
          <w:rFonts w:ascii="Arial" w:hAnsi="Arial" w:cs="Arial"/>
          <w:b/>
          <w:lang w:val="en-US"/>
        </w:rPr>
      </w:pPr>
      <w:r w:rsidRPr="0073231F">
        <w:rPr>
          <w:rFonts w:ascii="Arial" w:hAnsi="Arial" w:cs="Arial"/>
          <w:b/>
          <w:lang w:val="en-US"/>
        </w:rPr>
        <w:t>Renal and Hepatic Impairment</w:t>
      </w:r>
      <w:r w:rsidR="00B80807">
        <w:rPr>
          <w:rFonts w:ascii="Arial" w:hAnsi="Arial" w:cs="Arial"/>
          <w:b/>
          <w:lang w:val="en-US"/>
        </w:rPr>
        <w:t>:</w:t>
      </w:r>
    </w:p>
    <w:p w:rsidR="00737759" w:rsidRPr="0073231F" w:rsidRDefault="00737759" w:rsidP="00D37DC2">
      <w:pPr>
        <w:pStyle w:val="NoSpacing"/>
        <w:jc w:val="both"/>
        <w:rPr>
          <w:rFonts w:ascii="Arial" w:hAnsi="Arial" w:cs="Arial"/>
          <w:lang w:val="en-US"/>
        </w:rPr>
      </w:pPr>
      <w:r w:rsidRPr="006000C2">
        <w:rPr>
          <w:rFonts w:ascii="Arial" w:hAnsi="Arial" w:cs="Arial"/>
          <w:lang w:val="en-US"/>
        </w:rPr>
        <w:t xml:space="preserve">Patients with HRS type 1 have significant renal and hepatic impairment.  </w:t>
      </w:r>
      <w:r w:rsidR="00705A3F" w:rsidRPr="006000C2">
        <w:rPr>
          <w:rFonts w:ascii="Arial" w:hAnsi="Arial" w:cs="Arial"/>
          <w:lang w:val="en-US"/>
        </w:rPr>
        <w:t xml:space="preserve">In study OT-0401 </w:t>
      </w:r>
      <w:r w:rsidR="002838F4" w:rsidRPr="006000C2">
        <w:rPr>
          <w:rFonts w:ascii="Arial" w:hAnsi="Arial" w:cs="Arial"/>
          <w:lang w:val="en-US"/>
        </w:rPr>
        <w:t xml:space="preserve">6 of the 56 </w:t>
      </w:r>
      <w:proofErr w:type="spellStart"/>
      <w:r w:rsidR="002838F4" w:rsidRPr="006000C2">
        <w:rPr>
          <w:rFonts w:ascii="Arial" w:hAnsi="Arial" w:cs="Arial"/>
          <w:lang w:val="en-US"/>
        </w:rPr>
        <w:t>terlipressin</w:t>
      </w:r>
      <w:proofErr w:type="spellEnd"/>
      <w:r w:rsidR="00BE1ECA">
        <w:rPr>
          <w:rFonts w:ascii="Arial" w:hAnsi="Arial" w:cs="Arial"/>
          <w:lang w:val="en-US"/>
        </w:rPr>
        <w:t>-</w:t>
      </w:r>
      <w:r w:rsidR="002838F4" w:rsidRPr="006000C2">
        <w:rPr>
          <w:rFonts w:ascii="Arial" w:hAnsi="Arial" w:cs="Arial"/>
          <w:lang w:val="en-US"/>
        </w:rPr>
        <w:t xml:space="preserve">treated </w:t>
      </w:r>
      <w:r w:rsidR="00BC058F" w:rsidRPr="006000C2">
        <w:rPr>
          <w:rFonts w:ascii="Arial" w:hAnsi="Arial" w:cs="Arial"/>
          <w:lang w:val="en-US"/>
        </w:rPr>
        <w:t>patients (</w:t>
      </w:r>
      <w:r w:rsidR="00286AAD" w:rsidRPr="006000C2">
        <w:rPr>
          <w:rFonts w:ascii="Arial" w:hAnsi="Arial" w:cs="Arial"/>
          <w:lang w:val="en-US"/>
        </w:rPr>
        <w:t>11%</w:t>
      </w:r>
      <w:r w:rsidR="00BC058F" w:rsidRPr="006000C2">
        <w:rPr>
          <w:rFonts w:ascii="Arial" w:hAnsi="Arial" w:cs="Arial"/>
          <w:lang w:val="en-US"/>
        </w:rPr>
        <w:t xml:space="preserve">) with a serum </w:t>
      </w:r>
      <w:proofErr w:type="spellStart"/>
      <w:r w:rsidR="00BC058F" w:rsidRPr="006000C2">
        <w:rPr>
          <w:rFonts w:ascii="Arial" w:hAnsi="Arial" w:cs="Arial"/>
          <w:lang w:val="en-US"/>
        </w:rPr>
        <w:t>c</w:t>
      </w:r>
      <w:r w:rsidR="00705A3F" w:rsidRPr="006000C2">
        <w:rPr>
          <w:rFonts w:ascii="Arial" w:hAnsi="Arial" w:cs="Arial"/>
          <w:lang w:val="en-US"/>
        </w:rPr>
        <w:t>reatinine</w:t>
      </w:r>
      <w:proofErr w:type="spellEnd"/>
      <w:r w:rsidR="00705A3F" w:rsidRPr="006000C2">
        <w:rPr>
          <w:rFonts w:ascii="Arial" w:hAnsi="Arial" w:cs="Arial"/>
          <w:lang w:val="en-US"/>
        </w:rPr>
        <w:t xml:space="preserve"> greater than </w:t>
      </w:r>
      <w:r w:rsidR="00B145BA" w:rsidRPr="006000C2">
        <w:rPr>
          <w:rFonts w:ascii="Arial" w:hAnsi="Arial" w:cs="Arial"/>
          <w:lang w:val="en-US"/>
        </w:rPr>
        <w:t>618.8 µmol/L</w:t>
      </w:r>
      <w:r w:rsidR="00705A3F" w:rsidRPr="006000C2">
        <w:rPr>
          <w:rFonts w:ascii="Arial" w:hAnsi="Arial" w:cs="Arial"/>
          <w:lang w:val="en-US"/>
        </w:rPr>
        <w:t>, failed to achieve HRS reversal.</w:t>
      </w:r>
    </w:p>
    <w:p w:rsidR="00B80807" w:rsidRDefault="00B80807" w:rsidP="00996578">
      <w:pPr>
        <w:pStyle w:val="NoSpacing"/>
        <w:rPr>
          <w:rFonts w:ascii="Arial" w:hAnsi="Arial" w:cs="Arial"/>
          <w:b/>
          <w:lang w:val="en-US"/>
        </w:rPr>
      </w:pPr>
    </w:p>
    <w:p w:rsidR="0033493B" w:rsidRPr="0073231F" w:rsidRDefault="0033493B" w:rsidP="00996578">
      <w:pPr>
        <w:pStyle w:val="NoSpacing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Drug Interactions</w:t>
      </w:r>
      <w:r w:rsidR="00532C6A">
        <w:rPr>
          <w:rFonts w:ascii="Arial" w:hAnsi="Arial" w:cs="Arial"/>
          <w:b/>
          <w:lang w:val="en-US"/>
        </w:rPr>
        <w:t>:</w:t>
      </w:r>
    </w:p>
    <w:p w:rsidR="00532C6A" w:rsidRDefault="0073231F" w:rsidP="00996578">
      <w:pPr>
        <w:pStyle w:val="NoSpacing"/>
        <w:jc w:val="both"/>
        <w:rPr>
          <w:rFonts w:ascii="Arial" w:hAnsi="Arial" w:cs="Arial"/>
          <w:lang w:val="en-US"/>
        </w:rPr>
      </w:pPr>
      <w:r w:rsidRPr="0073231F">
        <w:rPr>
          <w:rFonts w:ascii="Arial" w:hAnsi="Arial" w:cs="Arial"/>
          <w:lang w:val="en-US"/>
        </w:rPr>
        <w:t>No formal drug interaction studies have been conducted.</w:t>
      </w:r>
      <w:r w:rsidR="0033493B">
        <w:rPr>
          <w:rFonts w:ascii="Arial" w:hAnsi="Arial" w:cs="Arial"/>
          <w:lang w:val="en-US"/>
        </w:rPr>
        <w:t xml:space="preserve"> </w:t>
      </w:r>
      <w:r w:rsidR="00532C6A">
        <w:rPr>
          <w:rFonts w:ascii="Arial" w:hAnsi="Arial" w:cs="Arial"/>
          <w:lang w:val="en-US"/>
        </w:rPr>
        <w:t xml:space="preserve"> </w:t>
      </w:r>
    </w:p>
    <w:p w:rsidR="00532C6A" w:rsidRDefault="00532C6A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73231F" w:rsidRDefault="0073231F" w:rsidP="00996578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73231F">
        <w:rPr>
          <w:rFonts w:ascii="Arial" w:hAnsi="Arial" w:cs="Arial"/>
          <w:lang w:val="en-US"/>
        </w:rPr>
        <w:t>Terlipressin</w:t>
      </w:r>
      <w:proofErr w:type="spellEnd"/>
      <w:r w:rsidRPr="0073231F">
        <w:rPr>
          <w:rFonts w:ascii="Arial" w:hAnsi="Arial" w:cs="Arial"/>
          <w:lang w:val="en-US"/>
        </w:rPr>
        <w:t xml:space="preserve"> is not </w:t>
      </w:r>
      <w:proofErr w:type="spellStart"/>
      <w:r w:rsidRPr="0073231F">
        <w:rPr>
          <w:rFonts w:ascii="Arial" w:hAnsi="Arial" w:cs="Arial"/>
          <w:lang w:val="en-US"/>
        </w:rPr>
        <w:t>metaboli</w:t>
      </w:r>
      <w:r w:rsidR="00532C6A">
        <w:rPr>
          <w:rFonts w:ascii="Arial" w:hAnsi="Arial" w:cs="Arial"/>
          <w:lang w:val="en-US"/>
        </w:rPr>
        <w:t>s</w:t>
      </w:r>
      <w:r w:rsidRPr="0073231F">
        <w:rPr>
          <w:rFonts w:ascii="Arial" w:hAnsi="Arial" w:cs="Arial"/>
          <w:lang w:val="en-US"/>
        </w:rPr>
        <w:t>ed</w:t>
      </w:r>
      <w:proofErr w:type="spellEnd"/>
      <w:r w:rsidRPr="0073231F">
        <w:rPr>
          <w:rFonts w:ascii="Arial" w:hAnsi="Arial" w:cs="Arial"/>
          <w:lang w:val="en-US"/>
        </w:rPr>
        <w:t xml:space="preserve"> by </w:t>
      </w:r>
      <w:proofErr w:type="spellStart"/>
      <w:r w:rsidRPr="0073231F">
        <w:rPr>
          <w:rFonts w:ascii="Arial" w:hAnsi="Arial" w:cs="Arial"/>
          <w:lang w:val="en-US"/>
        </w:rPr>
        <w:t>cytochrome</w:t>
      </w:r>
      <w:proofErr w:type="spellEnd"/>
      <w:r w:rsidRPr="0073231F">
        <w:rPr>
          <w:rFonts w:ascii="Arial" w:hAnsi="Arial" w:cs="Arial"/>
          <w:lang w:val="en-US"/>
        </w:rPr>
        <w:t xml:space="preserve"> P450 </w:t>
      </w:r>
      <w:proofErr w:type="spellStart"/>
      <w:r w:rsidRPr="0073231F">
        <w:rPr>
          <w:rFonts w:ascii="Arial" w:hAnsi="Arial" w:cs="Arial"/>
          <w:lang w:val="en-US"/>
        </w:rPr>
        <w:t>isoenzymes</w:t>
      </w:r>
      <w:proofErr w:type="spellEnd"/>
      <w:r w:rsidRPr="0073231F">
        <w:rPr>
          <w:rFonts w:ascii="Arial" w:hAnsi="Arial" w:cs="Arial"/>
          <w:lang w:val="en-US"/>
        </w:rPr>
        <w:t xml:space="preserve">, nor does it induce or inhibit this enzyme system in human liver </w:t>
      </w:r>
      <w:proofErr w:type="spellStart"/>
      <w:r w:rsidRPr="0073231F">
        <w:rPr>
          <w:rFonts w:ascii="Arial" w:hAnsi="Arial" w:cs="Arial"/>
          <w:lang w:val="en-US"/>
        </w:rPr>
        <w:t>microsomes</w:t>
      </w:r>
      <w:proofErr w:type="spellEnd"/>
      <w:r w:rsidRPr="0073231F">
        <w:rPr>
          <w:rFonts w:ascii="Arial" w:hAnsi="Arial" w:cs="Arial"/>
          <w:lang w:val="en-US"/>
        </w:rPr>
        <w:t xml:space="preserve"> </w:t>
      </w:r>
      <w:r w:rsidRPr="0073231F">
        <w:rPr>
          <w:rFonts w:ascii="Arial" w:hAnsi="Arial" w:cs="Arial"/>
          <w:i/>
          <w:lang w:val="en-US"/>
        </w:rPr>
        <w:t>in</w:t>
      </w:r>
      <w:r w:rsidR="00186252">
        <w:rPr>
          <w:rFonts w:ascii="Arial" w:hAnsi="Arial" w:cs="Arial"/>
          <w:i/>
          <w:lang w:val="en-US"/>
        </w:rPr>
        <w:t>-</w:t>
      </w:r>
      <w:r w:rsidRPr="0073231F">
        <w:rPr>
          <w:rFonts w:ascii="Arial" w:hAnsi="Arial" w:cs="Arial"/>
          <w:i/>
          <w:lang w:val="en-US"/>
        </w:rPr>
        <w:t>vitro</w:t>
      </w:r>
      <w:r w:rsidRPr="0073231F">
        <w:rPr>
          <w:rFonts w:ascii="Arial" w:hAnsi="Arial" w:cs="Arial"/>
          <w:lang w:val="en-US"/>
        </w:rPr>
        <w:t xml:space="preserve">.  </w:t>
      </w:r>
      <w:proofErr w:type="spellStart"/>
      <w:r w:rsidRPr="0073231F">
        <w:rPr>
          <w:rFonts w:ascii="Arial" w:hAnsi="Arial" w:cs="Arial"/>
          <w:lang w:val="en-US"/>
        </w:rPr>
        <w:t>Isoenzymes</w:t>
      </w:r>
      <w:proofErr w:type="spellEnd"/>
      <w:r w:rsidRPr="0073231F">
        <w:rPr>
          <w:rFonts w:ascii="Arial" w:hAnsi="Arial" w:cs="Arial"/>
          <w:lang w:val="en-US"/>
        </w:rPr>
        <w:t xml:space="preserve"> tested for inhibitory and induction potential </w:t>
      </w:r>
      <w:r w:rsidR="00957E4F" w:rsidRPr="0073231F">
        <w:rPr>
          <w:rFonts w:ascii="Arial" w:hAnsi="Arial" w:cs="Arial"/>
          <w:lang w:val="en-US"/>
        </w:rPr>
        <w:t>include</w:t>
      </w:r>
      <w:r w:rsidRPr="0073231F">
        <w:rPr>
          <w:rFonts w:ascii="Arial" w:hAnsi="Arial" w:cs="Arial"/>
          <w:lang w:val="en-US"/>
        </w:rPr>
        <w:t>: CYP 1A2, 2A6, 2B6, 2C9, 2C19, 2D6, 2E1, 3A4; in addition, for inhibitory potential only: CYP2C8.</w:t>
      </w:r>
    </w:p>
    <w:p w:rsidR="00AF75C2" w:rsidRDefault="00AF75C2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374A59" w:rsidRDefault="00374A59" w:rsidP="006E4E36">
      <w:pPr>
        <w:pStyle w:val="NoSpacing"/>
        <w:spacing w:before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ADVERSE EFFECTS</w:t>
      </w:r>
      <w:r w:rsidRPr="00737DA4">
        <w:rPr>
          <w:rFonts w:ascii="Arial" w:hAnsi="Arial" w:cs="Arial"/>
          <w:b/>
          <w:lang w:val="en-US"/>
        </w:rPr>
        <w:t>:</w:t>
      </w:r>
    </w:p>
    <w:p w:rsidR="00D37DC2" w:rsidRPr="00737DA4" w:rsidRDefault="00D37DC2" w:rsidP="00D267A1">
      <w:pPr>
        <w:pStyle w:val="NoSpacing"/>
        <w:rPr>
          <w:rFonts w:ascii="Arial" w:hAnsi="Arial" w:cs="Arial"/>
          <w:b/>
          <w:lang w:val="en-US"/>
        </w:rPr>
      </w:pPr>
    </w:p>
    <w:p w:rsidR="00374A59" w:rsidRPr="00737DA4" w:rsidRDefault="00374A59" w:rsidP="00996578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following adverse reactions are discussed in greater detail in the </w:t>
      </w:r>
      <w:r w:rsidRPr="00D267A1">
        <w:rPr>
          <w:rFonts w:ascii="Arial" w:hAnsi="Arial" w:cs="Arial"/>
          <w:b/>
          <w:lang w:val="en-US"/>
        </w:rPr>
        <w:t>PRECAUTIONS</w:t>
      </w:r>
      <w:r>
        <w:rPr>
          <w:rFonts w:ascii="Arial" w:hAnsi="Arial" w:cs="Arial"/>
          <w:lang w:val="en-US"/>
        </w:rPr>
        <w:t xml:space="preserve"> section: cardiovascular effects, </w:t>
      </w:r>
      <w:proofErr w:type="spellStart"/>
      <w:r>
        <w:rPr>
          <w:rFonts w:ascii="Arial" w:hAnsi="Arial" w:cs="Arial"/>
          <w:lang w:val="en-US"/>
        </w:rPr>
        <w:t>ischaemic</w:t>
      </w:r>
      <w:proofErr w:type="spellEnd"/>
      <w:r>
        <w:rPr>
          <w:rFonts w:ascii="Arial" w:hAnsi="Arial" w:cs="Arial"/>
          <w:lang w:val="en-US"/>
        </w:rPr>
        <w:t xml:space="preserve"> events</w:t>
      </w:r>
      <w:r w:rsidR="005E6A7E">
        <w:rPr>
          <w:rFonts w:ascii="Arial" w:hAnsi="Arial" w:cs="Arial"/>
          <w:lang w:val="en-US"/>
        </w:rPr>
        <w:t xml:space="preserve"> and</w:t>
      </w:r>
      <w:r>
        <w:rPr>
          <w:rFonts w:ascii="Arial" w:hAnsi="Arial" w:cs="Arial"/>
          <w:lang w:val="en-US"/>
        </w:rPr>
        <w:t xml:space="preserve"> respiratory effects.</w:t>
      </w:r>
    </w:p>
    <w:p w:rsidR="00D267A1" w:rsidRDefault="00D267A1" w:rsidP="006E4E36">
      <w:pPr>
        <w:pStyle w:val="NoSpacing"/>
        <w:rPr>
          <w:rFonts w:ascii="Arial" w:hAnsi="Arial" w:cs="Arial"/>
          <w:b/>
          <w:lang w:val="en-US"/>
        </w:rPr>
      </w:pPr>
    </w:p>
    <w:p w:rsidR="00374A59" w:rsidRPr="0073231F" w:rsidRDefault="00374A59" w:rsidP="00996578">
      <w:pPr>
        <w:pStyle w:val="NoSpacing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Adverse Events</w:t>
      </w:r>
    </w:p>
    <w:p w:rsidR="00D267A1" w:rsidRDefault="00D267A1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374A59" w:rsidRPr="00374A59" w:rsidRDefault="00374A59" w:rsidP="008868FC">
      <w:pPr>
        <w:pStyle w:val="NoSpacing"/>
        <w:jc w:val="both"/>
        <w:rPr>
          <w:rFonts w:ascii="Arial" w:hAnsi="Arial" w:cs="Arial"/>
          <w:lang w:val="en-US"/>
        </w:rPr>
      </w:pPr>
      <w:r w:rsidRPr="00374A59">
        <w:rPr>
          <w:rFonts w:ascii="Arial" w:hAnsi="Arial" w:cs="Arial"/>
          <w:lang w:val="en-US"/>
        </w:rPr>
        <w:t xml:space="preserve">Table </w:t>
      </w:r>
      <w:r w:rsidR="00AA039F">
        <w:rPr>
          <w:rFonts w:ascii="Arial" w:hAnsi="Arial" w:cs="Arial"/>
          <w:lang w:val="en-US"/>
        </w:rPr>
        <w:t>2</w:t>
      </w:r>
      <w:r w:rsidRPr="00374A59">
        <w:rPr>
          <w:rFonts w:ascii="Arial" w:hAnsi="Arial" w:cs="Arial"/>
          <w:lang w:val="en-US"/>
        </w:rPr>
        <w:t xml:space="preserve"> </w:t>
      </w:r>
      <w:proofErr w:type="spellStart"/>
      <w:r w:rsidRPr="00374A59">
        <w:rPr>
          <w:rFonts w:ascii="Arial" w:hAnsi="Arial" w:cs="Arial"/>
          <w:lang w:val="en-US"/>
        </w:rPr>
        <w:t>summari</w:t>
      </w:r>
      <w:r w:rsidR="00D267A1">
        <w:rPr>
          <w:rFonts w:ascii="Arial" w:hAnsi="Arial" w:cs="Arial"/>
          <w:lang w:val="en-US"/>
        </w:rPr>
        <w:t>s</w:t>
      </w:r>
      <w:r w:rsidRPr="00374A59">
        <w:rPr>
          <w:rFonts w:ascii="Arial" w:hAnsi="Arial" w:cs="Arial"/>
          <w:lang w:val="en-US"/>
        </w:rPr>
        <w:t>es</w:t>
      </w:r>
      <w:proofErr w:type="spellEnd"/>
      <w:r w:rsidRPr="00374A59">
        <w:rPr>
          <w:rFonts w:ascii="Arial" w:hAnsi="Arial" w:cs="Arial"/>
          <w:lang w:val="en-US"/>
        </w:rPr>
        <w:t xml:space="preserve"> all adverse </w:t>
      </w:r>
      <w:r w:rsidR="00D833F9">
        <w:rPr>
          <w:rFonts w:ascii="Arial" w:hAnsi="Arial" w:cs="Arial"/>
          <w:lang w:val="en-US"/>
        </w:rPr>
        <w:t>events</w:t>
      </w:r>
      <w:r w:rsidRPr="00374A59">
        <w:rPr>
          <w:rFonts w:ascii="Arial" w:hAnsi="Arial" w:cs="Arial"/>
          <w:lang w:val="en-US"/>
        </w:rPr>
        <w:t xml:space="preserve"> that occurred in </w:t>
      </w:r>
      <w:r w:rsidRPr="006E4E36">
        <w:rPr>
          <w:rFonts w:ascii="Arial" w:hAnsi="Arial" w:cs="Arial"/>
          <w:lang w:val="en-US"/>
        </w:rPr>
        <w:t xml:space="preserve">at least </w:t>
      </w:r>
      <w:r w:rsidR="00166351" w:rsidRPr="00FC1E39">
        <w:rPr>
          <w:rFonts w:ascii="Arial" w:hAnsi="Arial" w:cs="Arial"/>
          <w:lang w:val="en-US"/>
        </w:rPr>
        <w:t>three</w:t>
      </w:r>
      <w:r w:rsidR="00166351" w:rsidRPr="006E4E36">
        <w:rPr>
          <w:rFonts w:ascii="Arial" w:hAnsi="Arial" w:cs="Arial"/>
          <w:lang w:val="en-US"/>
        </w:rPr>
        <w:t xml:space="preserve"> </w:t>
      </w:r>
      <w:proofErr w:type="spellStart"/>
      <w:r w:rsidRPr="006E4E36">
        <w:rPr>
          <w:rFonts w:ascii="Arial" w:hAnsi="Arial" w:cs="Arial"/>
          <w:lang w:val="en-US"/>
        </w:rPr>
        <w:t>terlipressin</w:t>
      </w:r>
      <w:proofErr w:type="spellEnd"/>
      <w:r w:rsidRPr="006E4E36">
        <w:rPr>
          <w:rFonts w:ascii="Arial" w:hAnsi="Arial" w:cs="Arial"/>
          <w:lang w:val="en-US"/>
        </w:rPr>
        <w:t xml:space="preserve">-treated patients </w:t>
      </w:r>
      <w:r w:rsidR="00166351" w:rsidRPr="00FC1E39">
        <w:rPr>
          <w:rFonts w:ascii="Arial" w:hAnsi="Arial" w:cs="Arial"/>
          <w:lang w:val="en-US"/>
        </w:rPr>
        <w:t>and more frequent than placebo or albumin</w:t>
      </w:r>
      <w:r w:rsidR="00166351">
        <w:rPr>
          <w:rFonts w:ascii="Arial" w:hAnsi="Arial" w:cs="Arial"/>
          <w:lang w:val="en-US"/>
        </w:rPr>
        <w:t xml:space="preserve"> </w:t>
      </w:r>
      <w:r w:rsidRPr="00374A59">
        <w:rPr>
          <w:rFonts w:ascii="Arial" w:hAnsi="Arial" w:cs="Arial"/>
          <w:lang w:val="en-US"/>
        </w:rPr>
        <w:t xml:space="preserve">in either of the two controlled clinical trials in patients with </w:t>
      </w:r>
      <w:r w:rsidR="00D833F9">
        <w:rPr>
          <w:rFonts w:ascii="Arial" w:hAnsi="Arial" w:cs="Arial"/>
          <w:lang w:val="en-US"/>
        </w:rPr>
        <w:t>HRS</w:t>
      </w:r>
      <w:r w:rsidRPr="00374A59">
        <w:rPr>
          <w:rFonts w:ascii="Arial" w:hAnsi="Arial" w:cs="Arial"/>
          <w:lang w:val="en-US"/>
        </w:rPr>
        <w:t xml:space="preserve">.  </w:t>
      </w:r>
    </w:p>
    <w:p w:rsidR="00374A59" w:rsidRPr="00374A59" w:rsidRDefault="00374A59" w:rsidP="00996578">
      <w:pPr>
        <w:pStyle w:val="NoSpacing"/>
        <w:rPr>
          <w:rFonts w:ascii="Arial" w:hAnsi="Arial" w:cs="Arial"/>
          <w:b/>
          <w:bCs/>
          <w:lang w:val="en-US"/>
        </w:rPr>
      </w:pPr>
    </w:p>
    <w:p w:rsidR="00DE0DD1" w:rsidRPr="00222CBE" w:rsidRDefault="003F03C0" w:rsidP="00DE0DD1">
      <w:pPr>
        <w:pStyle w:val="NoSpacing"/>
        <w:tabs>
          <w:tab w:val="left" w:pos="1276"/>
        </w:tabs>
        <w:ind w:left="1276" w:hanging="1276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br w:type="page"/>
      </w:r>
      <w:r w:rsidR="00374A59" w:rsidRPr="00527E93">
        <w:rPr>
          <w:rFonts w:ascii="Arial" w:hAnsi="Arial" w:cs="Arial"/>
          <w:b/>
          <w:bCs/>
          <w:lang w:val="en-US"/>
        </w:rPr>
        <w:lastRenderedPageBreak/>
        <w:t xml:space="preserve">Table </w:t>
      </w:r>
      <w:r w:rsidR="00AA039F">
        <w:rPr>
          <w:rFonts w:ascii="Arial" w:hAnsi="Arial" w:cs="Arial"/>
          <w:b/>
          <w:bCs/>
          <w:lang w:val="en-US"/>
        </w:rPr>
        <w:t xml:space="preserve"> 2</w:t>
      </w:r>
      <w:r w:rsidR="00D833F9" w:rsidRPr="00527E93">
        <w:rPr>
          <w:rFonts w:ascii="Arial" w:hAnsi="Arial" w:cs="Arial"/>
          <w:b/>
          <w:bCs/>
          <w:lang w:val="en-US"/>
        </w:rPr>
        <w:t>.</w:t>
      </w:r>
      <w:r w:rsidR="00527E93">
        <w:rPr>
          <w:rFonts w:ascii="Arial" w:hAnsi="Arial" w:cs="Arial"/>
          <w:b/>
          <w:bCs/>
          <w:lang w:val="en-US"/>
        </w:rPr>
        <w:t xml:space="preserve">  </w:t>
      </w:r>
      <w:r w:rsidR="0087479A">
        <w:rPr>
          <w:rFonts w:ascii="Arial" w:hAnsi="Arial" w:cs="Arial"/>
          <w:b/>
          <w:bCs/>
          <w:lang w:val="en-US"/>
        </w:rPr>
        <w:tab/>
      </w:r>
      <w:r w:rsidR="0087479A" w:rsidRPr="0087479A">
        <w:rPr>
          <w:rFonts w:ascii="Arial" w:hAnsi="Arial" w:cs="Arial"/>
          <w:b/>
          <w:bCs/>
          <w:lang w:val="en-US"/>
        </w:rPr>
        <w:t xml:space="preserve">Adverse Events in </w:t>
      </w:r>
      <w:r w:rsidR="007F2337" w:rsidRPr="00DE0DD1">
        <w:rPr>
          <w:rFonts w:ascii="Arial" w:hAnsi="Arial" w:cs="Arial"/>
          <w:b/>
          <w:bCs/>
          <w:lang w:val="en-US"/>
        </w:rPr>
        <w:t>A</w:t>
      </w:r>
      <w:r w:rsidR="006F08D5" w:rsidRPr="00DE0DD1">
        <w:rPr>
          <w:rFonts w:ascii="Arial" w:hAnsi="Arial" w:cs="Arial"/>
          <w:b/>
          <w:bCs/>
          <w:lang w:val="en-US"/>
        </w:rPr>
        <w:t xml:space="preserve">t </w:t>
      </w:r>
      <w:r w:rsidR="007F2337" w:rsidRPr="00DE0DD1">
        <w:rPr>
          <w:rFonts w:ascii="Arial" w:hAnsi="Arial" w:cs="Arial"/>
          <w:b/>
          <w:bCs/>
          <w:lang w:val="en-US"/>
        </w:rPr>
        <w:t>L</w:t>
      </w:r>
      <w:r w:rsidR="006F08D5" w:rsidRPr="00DE0DD1">
        <w:rPr>
          <w:rFonts w:ascii="Arial" w:hAnsi="Arial" w:cs="Arial"/>
          <w:b/>
          <w:bCs/>
          <w:lang w:val="en-US"/>
        </w:rPr>
        <w:t>east</w:t>
      </w:r>
      <w:r w:rsidR="007B6EA2" w:rsidRPr="00DE0DD1">
        <w:rPr>
          <w:rFonts w:ascii="Arial" w:hAnsi="Arial" w:cs="Arial"/>
          <w:b/>
          <w:bCs/>
          <w:lang w:val="en-US"/>
        </w:rPr>
        <w:t xml:space="preserve"> </w:t>
      </w:r>
      <w:r w:rsidR="00166351" w:rsidRPr="00DE0DD1">
        <w:rPr>
          <w:rFonts w:ascii="Arial" w:hAnsi="Arial" w:cs="Arial"/>
          <w:b/>
          <w:bCs/>
          <w:lang w:val="en-US"/>
        </w:rPr>
        <w:t>3</w:t>
      </w:r>
      <w:r w:rsidR="0087479A" w:rsidRPr="009C4278">
        <w:rPr>
          <w:rFonts w:ascii="Arial" w:hAnsi="Arial" w:cs="Arial"/>
          <w:b/>
          <w:bCs/>
          <w:lang w:val="en-US"/>
        </w:rPr>
        <w:t xml:space="preserve"> </w:t>
      </w:r>
      <w:r w:rsidR="0087479A" w:rsidRPr="0087479A">
        <w:rPr>
          <w:rFonts w:ascii="Arial" w:hAnsi="Arial" w:cs="Arial"/>
          <w:b/>
          <w:bCs/>
          <w:lang w:val="en-US"/>
        </w:rPr>
        <w:t xml:space="preserve">Patients </w:t>
      </w:r>
      <w:r w:rsidR="00F12E1C">
        <w:rPr>
          <w:rFonts w:ascii="Arial" w:hAnsi="Arial" w:cs="Arial"/>
          <w:b/>
          <w:bCs/>
          <w:lang w:val="en-US"/>
        </w:rPr>
        <w:t>and O</w:t>
      </w:r>
      <w:r w:rsidR="00456AE7">
        <w:rPr>
          <w:rFonts w:ascii="Arial" w:hAnsi="Arial" w:cs="Arial"/>
          <w:b/>
          <w:bCs/>
          <w:lang w:val="en-US"/>
        </w:rPr>
        <w:t xml:space="preserve">ccurring </w:t>
      </w:r>
      <w:r w:rsidR="00F12E1C">
        <w:rPr>
          <w:rFonts w:ascii="Arial" w:hAnsi="Arial" w:cs="Arial"/>
          <w:b/>
          <w:bCs/>
          <w:lang w:val="en-US"/>
        </w:rPr>
        <w:t>M</w:t>
      </w:r>
      <w:r w:rsidR="00456AE7">
        <w:rPr>
          <w:rFonts w:ascii="Arial" w:hAnsi="Arial" w:cs="Arial"/>
          <w:b/>
          <w:bCs/>
          <w:lang w:val="en-US"/>
        </w:rPr>
        <w:t xml:space="preserve">ore </w:t>
      </w:r>
      <w:r w:rsidR="00F12E1C">
        <w:rPr>
          <w:rFonts w:ascii="Arial" w:hAnsi="Arial" w:cs="Arial"/>
          <w:b/>
          <w:bCs/>
          <w:lang w:val="en-US"/>
        </w:rPr>
        <w:t>F</w:t>
      </w:r>
      <w:r w:rsidR="00456AE7">
        <w:rPr>
          <w:rFonts w:ascii="Arial" w:hAnsi="Arial" w:cs="Arial"/>
          <w:b/>
          <w:bCs/>
          <w:lang w:val="en-US"/>
        </w:rPr>
        <w:t>requently in</w:t>
      </w:r>
      <w:r w:rsidR="00456AE7" w:rsidRPr="0087479A">
        <w:rPr>
          <w:rFonts w:ascii="Arial" w:hAnsi="Arial" w:cs="Arial"/>
          <w:b/>
          <w:bCs/>
          <w:lang w:val="en-US"/>
        </w:rPr>
        <w:t xml:space="preserve"> </w:t>
      </w:r>
      <w:r w:rsidR="00BE4C79">
        <w:rPr>
          <w:rFonts w:ascii="Arial" w:hAnsi="Arial" w:cs="Arial"/>
          <w:b/>
          <w:bCs/>
          <w:lang w:val="en-US"/>
        </w:rPr>
        <w:t xml:space="preserve">the </w:t>
      </w:r>
      <w:proofErr w:type="spellStart"/>
      <w:r w:rsidR="0087479A" w:rsidRPr="0087479A">
        <w:rPr>
          <w:rFonts w:ascii="Arial" w:hAnsi="Arial" w:cs="Arial"/>
          <w:b/>
          <w:bCs/>
          <w:lang w:val="en-US"/>
        </w:rPr>
        <w:t>Terlipressin</w:t>
      </w:r>
      <w:proofErr w:type="spellEnd"/>
      <w:r w:rsidR="0087479A" w:rsidRPr="0087479A">
        <w:rPr>
          <w:rFonts w:ascii="Arial" w:hAnsi="Arial" w:cs="Arial"/>
          <w:b/>
          <w:bCs/>
          <w:lang w:val="en-US"/>
        </w:rPr>
        <w:t xml:space="preserve"> </w:t>
      </w:r>
      <w:r w:rsidR="00F12E1C">
        <w:rPr>
          <w:rFonts w:ascii="Arial" w:hAnsi="Arial" w:cs="Arial"/>
          <w:b/>
          <w:bCs/>
          <w:lang w:val="en-US"/>
        </w:rPr>
        <w:t>G</w:t>
      </w:r>
      <w:r w:rsidR="00BE4C79">
        <w:rPr>
          <w:rFonts w:ascii="Arial" w:hAnsi="Arial" w:cs="Arial"/>
          <w:b/>
          <w:bCs/>
          <w:lang w:val="en-US"/>
        </w:rPr>
        <w:t xml:space="preserve">roup </w:t>
      </w:r>
      <w:r w:rsidR="006E4E36">
        <w:rPr>
          <w:rFonts w:ascii="Arial" w:hAnsi="Arial" w:cs="Arial"/>
          <w:b/>
          <w:bCs/>
          <w:lang w:val="en-US"/>
        </w:rPr>
        <w:t>in either OT-0401 or TAHRS</w:t>
      </w:r>
      <w:r w:rsidR="00DE0DD1">
        <w:rPr>
          <w:rFonts w:ascii="Arial" w:hAnsi="Arial" w:cs="Arial"/>
          <w:b/>
          <w:bCs/>
          <w:lang w:val="en-US"/>
        </w:rPr>
        <w:t xml:space="preserve"> </w:t>
      </w:r>
      <w:r w:rsidR="00BE4C79">
        <w:rPr>
          <w:rFonts w:ascii="Arial" w:hAnsi="Arial" w:cs="Arial"/>
          <w:b/>
          <w:bCs/>
          <w:lang w:val="en-US"/>
        </w:rPr>
        <w:t xml:space="preserve">Safety Population </w:t>
      </w:r>
    </w:p>
    <w:p w:rsidR="00374A59" w:rsidRPr="00527E93" w:rsidRDefault="00374A59" w:rsidP="00973BDF">
      <w:pPr>
        <w:pStyle w:val="NoSpacing"/>
        <w:tabs>
          <w:tab w:val="left" w:pos="993"/>
        </w:tabs>
        <w:spacing w:after="120"/>
        <w:rPr>
          <w:rFonts w:ascii="Arial" w:hAnsi="Arial" w:cs="Arial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4"/>
        <w:gridCol w:w="1539"/>
        <w:gridCol w:w="1540"/>
        <w:gridCol w:w="1539"/>
        <w:gridCol w:w="1540"/>
      </w:tblGrid>
      <w:tr w:rsidR="000E59CB" w:rsidRPr="00AA039F" w:rsidTr="00CC7A36">
        <w:tc>
          <w:tcPr>
            <w:tcW w:w="3084" w:type="dxa"/>
            <w:vMerge w:val="restart"/>
          </w:tcPr>
          <w:p w:rsidR="000E59CB" w:rsidRPr="00AA039F" w:rsidRDefault="000E59CB" w:rsidP="00996578">
            <w:pPr>
              <w:pStyle w:val="NoSpacing"/>
              <w:jc w:val="both"/>
              <w:rPr>
                <w:rFonts w:ascii="Arial Narrow" w:eastAsia="Times New Roman" w:hAnsi="Arial Narrow" w:cs="Arial"/>
                <w:bCs/>
                <w:lang w:val="en-US"/>
              </w:rPr>
            </w:pP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</w:tcPr>
          <w:p w:rsidR="000E59CB" w:rsidRPr="00AA039F" w:rsidRDefault="000E59CB" w:rsidP="003F0B70">
            <w:pPr>
              <w:pStyle w:val="NoSpacing"/>
              <w:spacing w:before="120" w:after="120"/>
              <w:jc w:val="center"/>
              <w:rPr>
                <w:rFonts w:ascii="Arial Narrow" w:eastAsia="Times New Roman" w:hAnsi="Arial Narrow" w:cs="Arial"/>
                <w:b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/>
                <w:bCs/>
                <w:lang w:val="en-US"/>
              </w:rPr>
              <w:t>OT-0401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</w:tcPr>
          <w:p w:rsidR="000E59CB" w:rsidRPr="00AA039F" w:rsidRDefault="000E59CB" w:rsidP="003F0B70">
            <w:pPr>
              <w:pStyle w:val="NoSpacing"/>
              <w:spacing w:before="120" w:after="120"/>
              <w:jc w:val="center"/>
              <w:rPr>
                <w:rFonts w:ascii="Arial Narrow" w:eastAsia="Times New Roman" w:hAnsi="Arial Narrow" w:cs="Arial"/>
                <w:b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/>
                <w:bCs/>
                <w:lang w:val="en-US"/>
              </w:rPr>
              <w:t>TAHRS</w:t>
            </w:r>
          </w:p>
        </w:tc>
      </w:tr>
      <w:tr w:rsidR="000E59CB" w:rsidRPr="00AA039F" w:rsidTr="00CC7A36">
        <w:tc>
          <w:tcPr>
            <w:tcW w:w="3084" w:type="dxa"/>
            <w:vMerge/>
          </w:tcPr>
          <w:p w:rsidR="000E59CB" w:rsidRPr="00AA039F" w:rsidRDefault="000E59CB" w:rsidP="00996578">
            <w:pPr>
              <w:pStyle w:val="NoSpacing"/>
              <w:jc w:val="both"/>
              <w:rPr>
                <w:rFonts w:ascii="Arial Narrow" w:eastAsia="Times New Roman" w:hAnsi="Arial Narrow" w:cs="Arial"/>
                <w:bCs/>
                <w:lang w:val="en-US"/>
              </w:rPr>
            </w:pPr>
          </w:p>
        </w:tc>
        <w:tc>
          <w:tcPr>
            <w:tcW w:w="1539" w:type="dxa"/>
            <w:tcBorders>
              <w:bottom w:val="nil"/>
            </w:tcBorders>
          </w:tcPr>
          <w:p w:rsidR="000E59CB" w:rsidRPr="00AA039F" w:rsidRDefault="000E59CB" w:rsidP="001F667E">
            <w:pPr>
              <w:pStyle w:val="NoSpacing"/>
              <w:spacing w:before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proofErr w:type="spellStart"/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Terlipressin</w:t>
            </w:r>
            <w:proofErr w:type="spellEnd"/>
          </w:p>
        </w:tc>
        <w:tc>
          <w:tcPr>
            <w:tcW w:w="1540" w:type="dxa"/>
            <w:tcBorders>
              <w:bottom w:val="nil"/>
            </w:tcBorders>
          </w:tcPr>
          <w:p w:rsidR="000E59CB" w:rsidRPr="00AA039F" w:rsidRDefault="000E59CB" w:rsidP="001F667E">
            <w:pPr>
              <w:pStyle w:val="NoSpacing"/>
              <w:spacing w:before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Placebo</w:t>
            </w:r>
          </w:p>
        </w:tc>
        <w:tc>
          <w:tcPr>
            <w:tcW w:w="1539" w:type="dxa"/>
            <w:tcBorders>
              <w:bottom w:val="nil"/>
            </w:tcBorders>
          </w:tcPr>
          <w:p w:rsidR="000E59CB" w:rsidRPr="00AA039F" w:rsidRDefault="000E59CB" w:rsidP="001F667E">
            <w:pPr>
              <w:pStyle w:val="NoSpacing"/>
              <w:spacing w:before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proofErr w:type="spellStart"/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Terlipressin</w:t>
            </w:r>
            <w:proofErr w:type="spellEnd"/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 xml:space="preserve"> + Albumin</w:t>
            </w:r>
          </w:p>
        </w:tc>
        <w:tc>
          <w:tcPr>
            <w:tcW w:w="1540" w:type="dxa"/>
            <w:tcBorders>
              <w:bottom w:val="nil"/>
            </w:tcBorders>
          </w:tcPr>
          <w:p w:rsidR="000E59CB" w:rsidRPr="00AA039F" w:rsidRDefault="000E59CB" w:rsidP="001F667E">
            <w:pPr>
              <w:pStyle w:val="NoSpacing"/>
              <w:spacing w:before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Albumin</w:t>
            </w:r>
          </w:p>
        </w:tc>
      </w:tr>
      <w:tr w:rsidR="000E59CB" w:rsidRPr="00AA039F" w:rsidTr="00CC7A36">
        <w:tc>
          <w:tcPr>
            <w:tcW w:w="3084" w:type="dxa"/>
            <w:vMerge/>
          </w:tcPr>
          <w:p w:rsidR="000E59CB" w:rsidRPr="00AA039F" w:rsidRDefault="000E59CB" w:rsidP="00996578">
            <w:pPr>
              <w:pStyle w:val="NoSpacing"/>
              <w:jc w:val="both"/>
              <w:rPr>
                <w:rFonts w:ascii="Arial Narrow" w:eastAsia="Times New Roman" w:hAnsi="Arial Narrow" w:cs="Arial"/>
                <w:bCs/>
                <w:lang w:val="en-US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0E59CB" w:rsidRPr="00AA039F" w:rsidRDefault="000E59CB" w:rsidP="00996578">
            <w:pPr>
              <w:pStyle w:val="NoSpacing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(N=56)</w:t>
            </w:r>
          </w:p>
          <w:p w:rsidR="000E59CB" w:rsidRPr="00AA039F" w:rsidRDefault="000E59CB" w:rsidP="001F667E">
            <w:pPr>
              <w:pStyle w:val="NoSpacing"/>
              <w:spacing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n (%)</w:t>
            </w:r>
          </w:p>
        </w:tc>
        <w:tc>
          <w:tcPr>
            <w:tcW w:w="1540" w:type="dxa"/>
            <w:tcBorders>
              <w:top w:val="nil"/>
            </w:tcBorders>
          </w:tcPr>
          <w:p w:rsidR="000E59CB" w:rsidRPr="00AA039F" w:rsidRDefault="000E59CB" w:rsidP="00996578">
            <w:pPr>
              <w:pStyle w:val="NoSpacing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(N=55)</w:t>
            </w:r>
          </w:p>
          <w:p w:rsidR="000E59CB" w:rsidRPr="00AA039F" w:rsidRDefault="000E59CB" w:rsidP="00996578">
            <w:pPr>
              <w:pStyle w:val="NoSpacing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n (%)</w:t>
            </w:r>
          </w:p>
        </w:tc>
        <w:tc>
          <w:tcPr>
            <w:tcW w:w="1539" w:type="dxa"/>
            <w:tcBorders>
              <w:top w:val="nil"/>
            </w:tcBorders>
          </w:tcPr>
          <w:p w:rsidR="000E59CB" w:rsidRPr="00AA039F" w:rsidRDefault="000E59CB" w:rsidP="00996578">
            <w:pPr>
              <w:pStyle w:val="NoSpacing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(N=23)</w:t>
            </w:r>
          </w:p>
          <w:p w:rsidR="000E59CB" w:rsidRPr="00AA039F" w:rsidRDefault="000E59CB" w:rsidP="00996578">
            <w:pPr>
              <w:pStyle w:val="NoSpacing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n (%)</w:t>
            </w:r>
          </w:p>
        </w:tc>
        <w:tc>
          <w:tcPr>
            <w:tcW w:w="1540" w:type="dxa"/>
            <w:tcBorders>
              <w:top w:val="nil"/>
            </w:tcBorders>
          </w:tcPr>
          <w:p w:rsidR="000E59CB" w:rsidRPr="00AA039F" w:rsidRDefault="000E59CB" w:rsidP="00996578">
            <w:pPr>
              <w:pStyle w:val="NoSpacing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(N=23)</w:t>
            </w:r>
          </w:p>
          <w:p w:rsidR="000E59CB" w:rsidRPr="00AA039F" w:rsidRDefault="000E59CB" w:rsidP="00996578">
            <w:pPr>
              <w:pStyle w:val="NoSpacing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n (%)</w:t>
            </w:r>
          </w:p>
        </w:tc>
      </w:tr>
      <w:tr w:rsidR="00D12297" w:rsidRPr="00AA039F" w:rsidTr="00CC7A36">
        <w:tc>
          <w:tcPr>
            <w:tcW w:w="3084" w:type="dxa"/>
          </w:tcPr>
          <w:p w:rsidR="00D12297" w:rsidRPr="00AA039F" w:rsidRDefault="00D12297" w:rsidP="004D51BD">
            <w:pPr>
              <w:pStyle w:val="NoSpacing"/>
              <w:spacing w:before="60" w:after="60"/>
              <w:jc w:val="both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Vomiting</w:t>
            </w:r>
          </w:p>
        </w:tc>
        <w:tc>
          <w:tcPr>
            <w:tcW w:w="1539" w:type="dxa"/>
          </w:tcPr>
          <w:p w:rsidR="00D12297" w:rsidRPr="00AA039F" w:rsidRDefault="00D12297" w:rsidP="004D51BD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9 (16.1)</w:t>
            </w:r>
          </w:p>
        </w:tc>
        <w:tc>
          <w:tcPr>
            <w:tcW w:w="1540" w:type="dxa"/>
          </w:tcPr>
          <w:p w:rsidR="00D12297" w:rsidRPr="00AA039F" w:rsidRDefault="00D12297" w:rsidP="004D51BD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2 (3.6)</w:t>
            </w:r>
          </w:p>
        </w:tc>
        <w:tc>
          <w:tcPr>
            <w:tcW w:w="1539" w:type="dxa"/>
          </w:tcPr>
          <w:p w:rsidR="00D12297" w:rsidRPr="00AA039F" w:rsidRDefault="00D12297" w:rsidP="004D51BD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1 (4.3)</w:t>
            </w:r>
          </w:p>
        </w:tc>
        <w:tc>
          <w:tcPr>
            <w:tcW w:w="1540" w:type="dxa"/>
          </w:tcPr>
          <w:p w:rsidR="00D12297" w:rsidRPr="00AA039F" w:rsidRDefault="00D12297" w:rsidP="004D51BD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3 (13.0)</w:t>
            </w:r>
          </w:p>
        </w:tc>
      </w:tr>
      <w:tr w:rsidR="00D12297" w:rsidRPr="00AA039F" w:rsidTr="00CC7A36">
        <w:tc>
          <w:tcPr>
            <w:tcW w:w="3084" w:type="dxa"/>
          </w:tcPr>
          <w:p w:rsidR="00D12297" w:rsidRPr="00AA039F" w:rsidRDefault="00D12297" w:rsidP="001F667E">
            <w:pPr>
              <w:pStyle w:val="NoSpacing"/>
              <w:spacing w:before="60" w:after="60"/>
              <w:jc w:val="both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Abdominal pain</w:t>
            </w:r>
          </w:p>
        </w:tc>
        <w:tc>
          <w:tcPr>
            <w:tcW w:w="1539" w:type="dxa"/>
          </w:tcPr>
          <w:p w:rsidR="00D12297" w:rsidRPr="00AA039F" w:rsidRDefault="00D12297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7 (12.5)</w:t>
            </w:r>
          </w:p>
        </w:tc>
        <w:tc>
          <w:tcPr>
            <w:tcW w:w="1540" w:type="dxa"/>
          </w:tcPr>
          <w:p w:rsidR="00D12297" w:rsidRPr="00AA039F" w:rsidRDefault="00D12297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4 (7.3)</w:t>
            </w:r>
          </w:p>
        </w:tc>
        <w:tc>
          <w:tcPr>
            <w:tcW w:w="1539" w:type="dxa"/>
          </w:tcPr>
          <w:p w:rsidR="00D12297" w:rsidRPr="00AA039F" w:rsidRDefault="00D12297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5 (21.7)</w:t>
            </w:r>
          </w:p>
        </w:tc>
        <w:tc>
          <w:tcPr>
            <w:tcW w:w="1540" w:type="dxa"/>
          </w:tcPr>
          <w:p w:rsidR="00D12297" w:rsidRPr="00AA039F" w:rsidRDefault="00D12297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1 (4.3)</w:t>
            </w:r>
          </w:p>
        </w:tc>
      </w:tr>
      <w:tr w:rsidR="00D12297" w:rsidRPr="00AA039F" w:rsidTr="00CC7A36">
        <w:tc>
          <w:tcPr>
            <w:tcW w:w="3084" w:type="dxa"/>
          </w:tcPr>
          <w:p w:rsidR="00D12297" w:rsidRPr="00AA039F" w:rsidRDefault="00D12297" w:rsidP="001F667E">
            <w:pPr>
              <w:pStyle w:val="NoSpacing"/>
              <w:spacing w:before="60" w:after="60"/>
              <w:jc w:val="both"/>
              <w:rPr>
                <w:rFonts w:ascii="Arial Narrow" w:eastAsia="Times New Roman" w:hAnsi="Arial Narrow" w:cs="Arial"/>
                <w:bCs/>
                <w:lang w:val="en-US"/>
              </w:rPr>
            </w:pPr>
            <w:proofErr w:type="spellStart"/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Diarrhoea</w:t>
            </w:r>
            <w:proofErr w:type="spellEnd"/>
          </w:p>
        </w:tc>
        <w:tc>
          <w:tcPr>
            <w:tcW w:w="1539" w:type="dxa"/>
          </w:tcPr>
          <w:p w:rsidR="00D12297" w:rsidRPr="00AA039F" w:rsidRDefault="00D12297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3 (5.4)</w:t>
            </w:r>
          </w:p>
        </w:tc>
        <w:tc>
          <w:tcPr>
            <w:tcW w:w="1540" w:type="dxa"/>
          </w:tcPr>
          <w:p w:rsidR="00D12297" w:rsidRPr="00AA039F" w:rsidRDefault="00D12297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2 (3.6)</w:t>
            </w:r>
          </w:p>
        </w:tc>
        <w:tc>
          <w:tcPr>
            <w:tcW w:w="1539" w:type="dxa"/>
          </w:tcPr>
          <w:p w:rsidR="00D12297" w:rsidRPr="00AA039F" w:rsidRDefault="00D12297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7 (30.4)</w:t>
            </w:r>
          </w:p>
        </w:tc>
        <w:tc>
          <w:tcPr>
            <w:tcW w:w="1540" w:type="dxa"/>
          </w:tcPr>
          <w:p w:rsidR="00D12297" w:rsidRPr="00AA039F" w:rsidRDefault="00D12297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2 (8.7)</w:t>
            </w:r>
          </w:p>
        </w:tc>
      </w:tr>
      <w:tr w:rsidR="00043AEF" w:rsidRPr="00AA039F" w:rsidTr="00AE29EA">
        <w:tc>
          <w:tcPr>
            <w:tcW w:w="3084" w:type="dxa"/>
          </w:tcPr>
          <w:p w:rsidR="00043AEF" w:rsidRPr="00AA039F" w:rsidRDefault="00043AEF" w:rsidP="00AE29EA">
            <w:pPr>
              <w:pStyle w:val="NoSpacing"/>
              <w:spacing w:before="60" w:after="60"/>
              <w:jc w:val="both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Flatulence</w:t>
            </w:r>
          </w:p>
        </w:tc>
        <w:tc>
          <w:tcPr>
            <w:tcW w:w="1539" w:type="dxa"/>
          </w:tcPr>
          <w:p w:rsidR="00043AEF" w:rsidRPr="00AA039F" w:rsidRDefault="00043AEF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3 (5.4)</w:t>
            </w:r>
          </w:p>
        </w:tc>
        <w:tc>
          <w:tcPr>
            <w:tcW w:w="1540" w:type="dxa"/>
          </w:tcPr>
          <w:p w:rsidR="00043AEF" w:rsidRPr="00AA039F" w:rsidRDefault="00043AEF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  <w:tc>
          <w:tcPr>
            <w:tcW w:w="1539" w:type="dxa"/>
          </w:tcPr>
          <w:p w:rsidR="00043AEF" w:rsidRPr="00AA039F" w:rsidRDefault="00043AEF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  <w:tc>
          <w:tcPr>
            <w:tcW w:w="1540" w:type="dxa"/>
          </w:tcPr>
          <w:p w:rsidR="00043AEF" w:rsidRPr="00AA039F" w:rsidRDefault="00043AEF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</w:tr>
      <w:tr w:rsidR="00D12297" w:rsidRPr="00AA039F" w:rsidTr="00CC7A36">
        <w:tc>
          <w:tcPr>
            <w:tcW w:w="3084" w:type="dxa"/>
          </w:tcPr>
          <w:p w:rsidR="00D12297" w:rsidRPr="00AA039F" w:rsidRDefault="00D12297" w:rsidP="001F667E">
            <w:pPr>
              <w:pStyle w:val="NoSpacing"/>
              <w:spacing w:before="60" w:after="60"/>
              <w:jc w:val="both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 xml:space="preserve">Intestinal </w:t>
            </w:r>
            <w:proofErr w:type="spellStart"/>
            <w:r w:rsidR="00824D1B">
              <w:rPr>
                <w:rFonts w:ascii="Arial Narrow" w:eastAsia="Times New Roman" w:hAnsi="Arial Narrow" w:cs="Arial"/>
                <w:bCs/>
                <w:lang w:val="en-US"/>
              </w:rPr>
              <w:t>i</w:t>
            </w: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schaemia</w:t>
            </w:r>
            <w:proofErr w:type="spellEnd"/>
          </w:p>
        </w:tc>
        <w:tc>
          <w:tcPr>
            <w:tcW w:w="1539" w:type="dxa"/>
          </w:tcPr>
          <w:p w:rsidR="00D12297" w:rsidRPr="00AA039F" w:rsidRDefault="00D12297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  <w:tc>
          <w:tcPr>
            <w:tcW w:w="1540" w:type="dxa"/>
          </w:tcPr>
          <w:p w:rsidR="00D12297" w:rsidRPr="00AA039F" w:rsidRDefault="00D12297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  <w:tc>
          <w:tcPr>
            <w:tcW w:w="1539" w:type="dxa"/>
          </w:tcPr>
          <w:p w:rsidR="00D12297" w:rsidRPr="00AA039F" w:rsidRDefault="00D12297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3 (13.0)</w:t>
            </w:r>
          </w:p>
        </w:tc>
        <w:tc>
          <w:tcPr>
            <w:tcW w:w="1540" w:type="dxa"/>
          </w:tcPr>
          <w:p w:rsidR="00D12297" w:rsidRPr="00AA039F" w:rsidRDefault="00D12297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</w:tr>
      <w:tr w:rsidR="00D12297" w:rsidRPr="00AA039F" w:rsidTr="00CC7A36">
        <w:tc>
          <w:tcPr>
            <w:tcW w:w="3084" w:type="dxa"/>
          </w:tcPr>
          <w:p w:rsidR="00D12297" w:rsidRPr="00AA039F" w:rsidRDefault="00D12297" w:rsidP="00824D1B">
            <w:pPr>
              <w:pStyle w:val="NoSpacing"/>
              <w:spacing w:before="60" w:after="60"/>
              <w:jc w:val="both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Wheezing/</w:t>
            </w:r>
            <w:proofErr w:type="spellStart"/>
            <w:r w:rsidR="00824D1B">
              <w:rPr>
                <w:rFonts w:ascii="Arial Narrow" w:eastAsia="Times New Roman" w:hAnsi="Arial Narrow" w:cs="Arial"/>
                <w:bCs/>
                <w:lang w:val="en-US"/>
              </w:rPr>
              <w:t>b</w:t>
            </w: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ronchospasm</w:t>
            </w:r>
            <w:proofErr w:type="spellEnd"/>
          </w:p>
        </w:tc>
        <w:tc>
          <w:tcPr>
            <w:tcW w:w="1539" w:type="dxa"/>
          </w:tcPr>
          <w:p w:rsidR="00D12297" w:rsidRPr="00AA039F" w:rsidRDefault="00D12297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6 (10.7)</w:t>
            </w:r>
          </w:p>
        </w:tc>
        <w:tc>
          <w:tcPr>
            <w:tcW w:w="1540" w:type="dxa"/>
          </w:tcPr>
          <w:p w:rsidR="00D12297" w:rsidRPr="00AA039F" w:rsidRDefault="00D12297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  <w:tc>
          <w:tcPr>
            <w:tcW w:w="1539" w:type="dxa"/>
          </w:tcPr>
          <w:p w:rsidR="00D12297" w:rsidRPr="00AA039F" w:rsidRDefault="00D12297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  <w:tc>
          <w:tcPr>
            <w:tcW w:w="1540" w:type="dxa"/>
          </w:tcPr>
          <w:p w:rsidR="00D12297" w:rsidRPr="00AA039F" w:rsidRDefault="00D12297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</w:tr>
      <w:tr w:rsidR="00D12297" w:rsidRPr="00AA039F" w:rsidTr="00CC7A36">
        <w:tc>
          <w:tcPr>
            <w:tcW w:w="3084" w:type="dxa"/>
          </w:tcPr>
          <w:p w:rsidR="00D12297" w:rsidRPr="00AA039F" w:rsidRDefault="000E59CB" w:rsidP="00DE0DD1">
            <w:pPr>
              <w:pStyle w:val="NoSpacing"/>
              <w:spacing w:before="60" w:after="60"/>
              <w:jc w:val="both"/>
              <w:rPr>
                <w:rFonts w:ascii="Arial Narrow" w:eastAsia="Times New Roman" w:hAnsi="Arial Narrow" w:cs="Arial"/>
                <w:bCs/>
                <w:lang w:val="en-US"/>
              </w:rPr>
            </w:pPr>
            <w:proofErr w:type="spellStart"/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Dyspnoea</w:t>
            </w:r>
            <w:proofErr w:type="spellEnd"/>
            <w:r w:rsidR="00824D1B">
              <w:rPr>
                <w:rFonts w:ascii="Arial Narrow" w:eastAsia="Times New Roman" w:hAnsi="Arial Narrow" w:cs="Arial"/>
                <w:bCs/>
                <w:lang w:val="en-US"/>
              </w:rPr>
              <w:t>/</w:t>
            </w:r>
            <w:proofErr w:type="spellStart"/>
            <w:r w:rsidR="00824D1B">
              <w:rPr>
                <w:rFonts w:ascii="Arial Narrow" w:eastAsia="Times New Roman" w:hAnsi="Arial Narrow" w:cs="Arial"/>
                <w:bCs/>
                <w:lang w:val="en-US"/>
              </w:rPr>
              <w:t>d</w:t>
            </w:r>
            <w:r w:rsidR="00BD2130">
              <w:rPr>
                <w:rFonts w:ascii="Arial Narrow" w:eastAsia="Times New Roman" w:hAnsi="Arial Narrow" w:cs="Arial"/>
                <w:bCs/>
                <w:lang w:val="en-US"/>
              </w:rPr>
              <w:t>yspnoea</w:t>
            </w:r>
            <w:proofErr w:type="spellEnd"/>
            <w:r w:rsidR="00BD2130">
              <w:rPr>
                <w:rFonts w:ascii="Arial Narrow" w:eastAsia="Times New Roman" w:hAnsi="Arial Narrow" w:cs="Arial"/>
                <w:bCs/>
                <w:lang w:val="en-US"/>
              </w:rPr>
              <w:t xml:space="preserve"> exacerbated</w:t>
            </w:r>
          </w:p>
        </w:tc>
        <w:tc>
          <w:tcPr>
            <w:tcW w:w="1539" w:type="dxa"/>
          </w:tcPr>
          <w:p w:rsidR="00D12297" w:rsidRPr="00AA039F" w:rsidRDefault="000E59CB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5 (8.9)</w:t>
            </w:r>
          </w:p>
        </w:tc>
        <w:tc>
          <w:tcPr>
            <w:tcW w:w="1540" w:type="dxa"/>
          </w:tcPr>
          <w:p w:rsidR="00D12297" w:rsidRPr="00AA039F" w:rsidRDefault="000E59CB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2 (3.6)</w:t>
            </w:r>
          </w:p>
        </w:tc>
        <w:tc>
          <w:tcPr>
            <w:tcW w:w="1539" w:type="dxa"/>
          </w:tcPr>
          <w:p w:rsidR="00D12297" w:rsidRPr="00AA039F" w:rsidRDefault="000E59CB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3 (13.0)</w:t>
            </w:r>
          </w:p>
        </w:tc>
        <w:tc>
          <w:tcPr>
            <w:tcW w:w="1540" w:type="dxa"/>
          </w:tcPr>
          <w:p w:rsidR="00D12297" w:rsidRPr="00AA039F" w:rsidRDefault="000E59CB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</w:tr>
      <w:tr w:rsidR="00BD2130" w:rsidRPr="00AA039F" w:rsidTr="0036700B">
        <w:tc>
          <w:tcPr>
            <w:tcW w:w="3084" w:type="dxa"/>
          </w:tcPr>
          <w:p w:rsidR="00BD2130" w:rsidRPr="00AA039F" w:rsidRDefault="00BD2130" w:rsidP="0036700B">
            <w:pPr>
              <w:pStyle w:val="NoSpacing"/>
              <w:spacing w:before="60" w:after="60"/>
              <w:jc w:val="both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C3395C">
              <w:rPr>
                <w:rFonts w:ascii="Arial Narrow" w:eastAsia="Times New Roman" w:hAnsi="Arial Narrow" w:cs="Arial"/>
                <w:bCs/>
                <w:lang w:val="en-US"/>
              </w:rPr>
              <w:t>Pneumonia/fungal pneumonia</w:t>
            </w:r>
          </w:p>
        </w:tc>
        <w:tc>
          <w:tcPr>
            <w:tcW w:w="1539" w:type="dxa"/>
          </w:tcPr>
          <w:p w:rsidR="00BD2130" w:rsidRPr="00AA039F" w:rsidRDefault="00BD2130" w:rsidP="0036700B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C3395C">
              <w:rPr>
                <w:rFonts w:ascii="Arial Narrow" w:eastAsia="Times New Roman" w:hAnsi="Arial Narrow" w:cs="Arial"/>
                <w:bCs/>
                <w:lang w:val="en-US"/>
              </w:rPr>
              <w:t>4 (7.1)</w:t>
            </w:r>
          </w:p>
        </w:tc>
        <w:tc>
          <w:tcPr>
            <w:tcW w:w="1540" w:type="dxa"/>
          </w:tcPr>
          <w:p w:rsidR="00BD2130" w:rsidRPr="00AA039F" w:rsidRDefault="00BD2130" w:rsidP="0036700B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C3395C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  <w:tc>
          <w:tcPr>
            <w:tcW w:w="1539" w:type="dxa"/>
          </w:tcPr>
          <w:p w:rsidR="00BD2130" w:rsidRPr="00AA039F" w:rsidRDefault="00BD2130" w:rsidP="0036700B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C3395C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  <w:tc>
          <w:tcPr>
            <w:tcW w:w="1540" w:type="dxa"/>
          </w:tcPr>
          <w:p w:rsidR="00BD2130" w:rsidRPr="00AA039F" w:rsidRDefault="00BD2130" w:rsidP="0036700B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C3395C">
              <w:rPr>
                <w:rFonts w:ascii="Arial Narrow" w:eastAsia="Times New Roman" w:hAnsi="Arial Narrow" w:cs="Arial"/>
                <w:bCs/>
                <w:lang w:val="en-US"/>
              </w:rPr>
              <w:t>1 (4.3)</w:t>
            </w:r>
          </w:p>
        </w:tc>
      </w:tr>
      <w:tr w:rsidR="00D12297" w:rsidRPr="00AA039F" w:rsidTr="00CC7A36">
        <w:tc>
          <w:tcPr>
            <w:tcW w:w="3084" w:type="dxa"/>
          </w:tcPr>
          <w:p w:rsidR="00D12297" w:rsidRPr="00AA039F" w:rsidRDefault="00824D1B" w:rsidP="00DE0DD1">
            <w:pPr>
              <w:pStyle w:val="NoSpacing"/>
              <w:spacing w:before="60" w:after="60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C3395C">
              <w:rPr>
                <w:rFonts w:ascii="Arial Narrow" w:eastAsia="Times New Roman" w:hAnsi="Arial Narrow" w:cs="Arial"/>
                <w:bCs/>
                <w:lang w:val="en-US"/>
              </w:rPr>
              <w:t xml:space="preserve">Acute pulmonary </w:t>
            </w:r>
            <w:proofErr w:type="spellStart"/>
            <w:r w:rsidRPr="00C3395C">
              <w:rPr>
                <w:rFonts w:ascii="Arial Narrow" w:eastAsia="Times New Roman" w:hAnsi="Arial Narrow" w:cs="Arial"/>
                <w:bCs/>
                <w:lang w:val="en-US"/>
              </w:rPr>
              <w:t>oedema</w:t>
            </w:r>
            <w:proofErr w:type="spellEnd"/>
            <w:r w:rsidRPr="00C3395C">
              <w:rPr>
                <w:rFonts w:ascii="Arial Narrow" w:eastAsia="Times New Roman" w:hAnsi="Arial Narrow" w:cs="Arial"/>
                <w:bCs/>
                <w:lang w:val="en-US"/>
              </w:rPr>
              <w:t>/</w:t>
            </w:r>
            <w:r w:rsidR="00F71DDC">
              <w:rPr>
                <w:rFonts w:ascii="Arial Narrow" w:eastAsia="Times New Roman" w:hAnsi="Arial Narrow" w:cs="Arial"/>
                <w:bCs/>
                <w:lang w:val="en-US"/>
              </w:rPr>
              <w:t>p</w:t>
            </w:r>
            <w:r w:rsidR="000E59CB" w:rsidRPr="00AA039F">
              <w:rPr>
                <w:rFonts w:ascii="Arial Narrow" w:eastAsia="Times New Roman" w:hAnsi="Arial Narrow" w:cs="Arial"/>
                <w:bCs/>
                <w:lang w:val="en-US"/>
              </w:rPr>
              <w:t xml:space="preserve">ulmonary </w:t>
            </w:r>
            <w:proofErr w:type="spellStart"/>
            <w:r>
              <w:rPr>
                <w:rFonts w:ascii="Arial Narrow" w:eastAsia="Times New Roman" w:hAnsi="Arial Narrow" w:cs="Arial"/>
                <w:bCs/>
                <w:lang w:val="en-US"/>
              </w:rPr>
              <w:t>o</w:t>
            </w:r>
            <w:r w:rsidR="000E59CB" w:rsidRPr="00AA039F">
              <w:rPr>
                <w:rFonts w:ascii="Arial Narrow" w:eastAsia="Times New Roman" w:hAnsi="Arial Narrow" w:cs="Arial"/>
                <w:bCs/>
                <w:lang w:val="en-US"/>
              </w:rPr>
              <w:t>edema</w:t>
            </w:r>
            <w:proofErr w:type="spellEnd"/>
          </w:p>
        </w:tc>
        <w:tc>
          <w:tcPr>
            <w:tcW w:w="1539" w:type="dxa"/>
          </w:tcPr>
          <w:p w:rsidR="00D12297" w:rsidRPr="00AA039F" w:rsidRDefault="000E59CB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4 (7.1)</w:t>
            </w:r>
          </w:p>
        </w:tc>
        <w:tc>
          <w:tcPr>
            <w:tcW w:w="1540" w:type="dxa"/>
          </w:tcPr>
          <w:p w:rsidR="00D12297" w:rsidRPr="00AA039F" w:rsidRDefault="000E59CB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3 (5.5)</w:t>
            </w:r>
          </w:p>
        </w:tc>
        <w:tc>
          <w:tcPr>
            <w:tcW w:w="1539" w:type="dxa"/>
          </w:tcPr>
          <w:p w:rsidR="00D12297" w:rsidRPr="00AA039F" w:rsidRDefault="000E59CB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4 (17.4)</w:t>
            </w:r>
          </w:p>
        </w:tc>
        <w:tc>
          <w:tcPr>
            <w:tcW w:w="1540" w:type="dxa"/>
          </w:tcPr>
          <w:p w:rsidR="00D12297" w:rsidRPr="00AA039F" w:rsidRDefault="000E59CB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1 (4.3)</w:t>
            </w:r>
          </w:p>
        </w:tc>
      </w:tr>
      <w:tr w:rsidR="00877D71" w:rsidRPr="00AA039F" w:rsidTr="00AE29EA">
        <w:tc>
          <w:tcPr>
            <w:tcW w:w="3084" w:type="dxa"/>
          </w:tcPr>
          <w:p w:rsidR="00877D71" w:rsidRPr="00AA039F" w:rsidRDefault="00877D71" w:rsidP="00824D1B">
            <w:pPr>
              <w:pStyle w:val="NoSpacing"/>
              <w:spacing w:before="60" w:after="60"/>
              <w:jc w:val="both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 xml:space="preserve">Respiratory </w:t>
            </w:r>
            <w:r w:rsidR="00824D1B">
              <w:rPr>
                <w:rFonts w:ascii="Arial Narrow" w:eastAsia="Times New Roman" w:hAnsi="Arial Narrow" w:cs="Arial"/>
                <w:bCs/>
                <w:lang w:val="en-US"/>
              </w:rPr>
              <w:t>f</w:t>
            </w: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ailure</w:t>
            </w:r>
          </w:p>
        </w:tc>
        <w:tc>
          <w:tcPr>
            <w:tcW w:w="1539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3 (5.4)</w:t>
            </w:r>
          </w:p>
        </w:tc>
        <w:tc>
          <w:tcPr>
            <w:tcW w:w="1540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2 (3.6)</w:t>
            </w:r>
          </w:p>
        </w:tc>
        <w:tc>
          <w:tcPr>
            <w:tcW w:w="1539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  <w:tc>
          <w:tcPr>
            <w:tcW w:w="1540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</w:tr>
      <w:tr w:rsidR="00877D71" w:rsidRPr="00AA039F" w:rsidTr="00AE29EA">
        <w:tc>
          <w:tcPr>
            <w:tcW w:w="3084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both"/>
              <w:rPr>
                <w:rFonts w:ascii="Arial Narrow" w:eastAsia="Times New Roman" w:hAnsi="Arial Narrow" w:cs="Arial"/>
                <w:bCs/>
                <w:lang w:val="en-US"/>
              </w:rPr>
            </w:pPr>
            <w:proofErr w:type="spellStart"/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Epistaxis</w:t>
            </w:r>
            <w:proofErr w:type="spellEnd"/>
          </w:p>
        </w:tc>
        <w:tc>
          <w:tcPr>
            <w:tcW w:w="1539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3 (5.4)</w:t>
            </w:r>
          </w:p>
        </w:tc>
        <w:tc>
          <w:tcPr>
            <w:tcW w:w="1540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1 (1.8)</w:t>
            </w:r>
          </w:p>
        </w:tc>
        <w:tc>
          <w:tcPr>
            <w:tcW w:w="1539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  <w:tc>
          <w:tcPr>
            <w:tcW w:w="1540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</w:tr>
      <w:tr w:rsidR="00877D71" w:rsidRPr="00AA039F" w:rsidTr="00AE29EA">
        <w:tc>
          <w:tcPr>
            <w:tcW w:w="3084" w:type="dxa"/>
          </w:tcPr>
          <w:p w:rsidR="00877D71" w:rsidRPr="00AA039F" w:rsidRDefault="00877D71" w:rsidP="00F71DDC">
            <w:pPr>
              <w:pStyle w:val="NoSpacing"/>
              <w:spacing w:before="60" w:after="60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Sepsis</w:t>
            </w:r>
            <w:r w:rsidR="00F71DDC">
              <w:rPr>
                <w:rFonts w:ascii="Arial Narrow" w:eastAsia="Times New Roman" w:hAnsi="Arial Narrow" w:cs="Arial"/>
                <w:bCs/>
                <w:lang w:val="en-US"/>
              </w:rPr>
              <w:t>/s</w:t>
            </w:r>
            <w:r w:rsidR="00F71DDC" w:rsidRPr="00C3395C">
              <w:rPr>
                <w:rFonts w:ascii="Arial Narrow" w:eastAsia="Times New Roman" w:hAnsi="Arial Narrow" w:cs="Arial"/>
                <w:bCs/>
                <w:lang w:val="en-US"/>
              </w:rPr>
              <w:t xml:space="preserve">eptic </w:t>
            </w:r>
            <w:r w:rsidR="00F71DDC">
              <w:rPr>
                <w:rFonts w:ascii="Arial Narrow" w:eastAsia="Times New Roman" w:hAnsi="Arial Narrow" w:cs="Arial"/>
                <w:bCs/>
                <w:lang w:val="en-US"/>
              </w:rPr>
              <w:t>s</w:t>
            </w:r>
            <w:r w:rsidR="00F71DDC" w:rsidRPr="00C3395C">
              <w:rPr>
                <w:rFonts w:ascii="Arial Narrow" w:eastAsia="Times New Roman" w:hAnsi="Arial Narrow" w:cs="Arial"/>
                <w:bCs/>
                <w:lang w:val="en-US"/>
              </w:rPr>
              <w:t>hock/</w:t>
            </w:r>
            <w:r w:rsidR="00F71DDC">
              <w:rPr>
                <w:rFonts w:ascii="Arial Narrow" w:eastAsia="Times New Roman" w:hAnsi="Arial Narrow" w:cs="Arial"/>
                <w:bCs/>
                <w:lang w:val="en-US"/>
              </w:rPr>
              <w:t>sepsis s</w:t>
            </w:r>
            <w:r w:rsidR="00F71DDC" w:rsidRPr="00C3395C">
              <w:rPr>
                <w:rFonts w:ascii="Arial Narrow" w:eastAsia="Times New Roman" w:hAnsi="Arial Narrow" w:cs="Arial"/>
                <w:bCs/>
                <w:lang w:val="en-US"/>
              </w:rPr>
              <w:t>yndrome/</w:t>
            </w:r>
            <w:proofErr w:type="spellStart"/>
            <w:r w:rsidR="00F71DDC">
              <w:rPr>
                <w:rFonts w:ascii="Arial Narrow" w:eastAsia="Times New Roman" w:hAnsi="Arial Narrow" w:cs="Arial"/>
                <w:bCs/>
                <w:lang w:val="en-US"/>
              </w:rPr>
              <w:t>enterococcal</w:t>
            </w:r>
            <w:proofErr w:type="spellEnd"/>
            <w:r w:rsidR="00F71DDC">
              <w:rPr>
                <w:rFonts w:ascii="Arial Narrow" w:eastAsia="Times New Roman" w:hAnsi="Arial Narrow" w:cs="Arial"/>
                <w:bCs/>
                <w:lang w:val="en-US"/>
              </w:rPr>
              <w:t xml:space="preserve"> sepsis/c</w:t>
            </w:r>
            <w:r w:rsidR="00F71DDC" w:rsidRPr="00C3395C">
              <w:rPr>
                <w:rFonts w:ascii="Arial Narrow" w:eastAsia="Times New Roman" w:hAnsi="Arial Narrow" w:cs="Arial"/>
                <w:bCs/>
                <w:lang w:val="en-US"/>
              </w:rPr>
              <w:t xml:space="preserve">lostridium </w:t>
            </w:r>
            <w:proofErr w:type="spellStart"/>
            <w:r w:rsidR="00F71DDC" w:rsidRPr="00C3395C">
              <w:rPr>
                <w:rFonts w:ascii="Arial Narrow" w:eastAsia="Times New Roman" w:hAnsi="Arial Narrow" w:cs="Arial"/>
                <w:bCs/>
                <w:lang w:val="en-US"/>
              </w:rPr>
              <w:t>difficile</w:t>
            </w:r>
            <w:proofErr w:type="spellEnd"/>
            <w:r w:rsidR="00F71DDC" w:rsidRPr="00C3395C">
              <w:rPr>
                <w:rFonts w:ascii="Arial Narrow" w:eastAsia="Times New Roman" w:hAnsi="Arial Narrow" w:cs="Arial"/>
                <w:bCs/>
                <w:lang w:val="en-US"/>
              </w:rPr>
              <w:t xml:space="preserve"> sepsis</w:t>
            </w:r>
          </w:p>
        </w:tc>
        <w:tc>
          <w:tcPr>
            <w:tcW w:w="1539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7 (12.5)</w:t>
            </w:r>
          </w:p>
        </w:tc>
        <w:tc>
          <w:tcPr>
            <w:tcW w:w="1540" w:type="dxa"/>
          </w:tcPr>
          <w:p w:rsidR="00877D71" w:rsidRPr="00AA039F" w:rsidRDefault="003D66B2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>
              <w:rPr>
                <w:rFonts w:ascii="Arial Narrow" w:eastAsia="Times New Roman" w:hAnsi="Arial Narrow" w:cs="Arial"/>
                <w:bCs/>
                <w:lang w:val="en-US"/>
              </w:rPr>
              <w:t>1 (</w:t>
            </w:r>
            <w:r w:rsidR="00877D71" w:rsidRPr="00AA039F">
              <w:rPr>
                <w:rFonts w:ascii="Arial Narrow" w:eastAsia="Times New Roman" w:hAnsi="Arial Narrow" w:cs="Arial"/>
                <w:bCs/>
                <w:lang w:val="en-US"/>
              </w:rPr>
              <w:t>1.8)</w:t>
            </w:r>
          </w:p>
        </w:tc>
        <w:tc>
          <w:tcPr>
            <w:tcW w:w="1539" w:type="dxa"/>
          </w:tcPr>
          <w:p w:rsidR="00877D71" w:rsidRPr="00AA039F" w:rsidRDefault="003D66B2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>
              <w:rPr>
                <w:rFonts w:ascii="Arial Narrow" w:eastAsia="Times New Roman" w:hAnsi="Arial Narrow" w:cs="Arial"/>
                <w:bCs/>
                <w:lang w:val="en-US"/>
              </w:rPr>
              <w:t>2 (8.7)</w:t>
            </w:r>
          </w:p>
        </w:tc>
        <w:tc>
          <w:tcPr>
            <w:tcW w:w="1540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1 (4.3)</w:t>
            </w:r>
          </w:p>
        </w:tc>
      </w:tr>
      <w:tr w:rsidR="00877D71" w:rsidRPr="00AA039F" w:rsidTr="00AE29EA">
        <w:tc>
          <w:tcPr>
            <w:tcW w:w="3084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both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Hypomagnesaemia</w:t>
            </w:r>
          </w:p>
        </w:tc>
        <w:tc>
          <w:tcPr>
            <w:tcW w:w="1539" w:type="dxa"/>
          </w:tcPr>
          <w:p w:rsidR="00877D71" w:rsidRPr="00AA039F" w:rsidRDefault="003D66B2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>
              <w:rPr>
                <w:rFonts w:ascii="Arial Narrow" w:eastAsia="Times New Roman" w:hAnsi="Arial Narrow" w:cs="Arial"/>
                <w:bCs/>
                <w:lang w:val="en-US"/>
              </w:rPr>
              <w:t>4 (7.1)</w:t>
            </w:r>
          </w:p>
        </w:tc>
        <w:tc>
          <w:tcPr>
            <w:tcW w:w="1540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  <w:tc>
          <w:tcPr>
            <w:tcW w:w="1539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  <w:tc>
          <w:tcPr>
            <w:tcW w:w="1540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</w:tr>
      <w:tr w:rsidR="00877D71" w:rsidRPr="00AA039F" w:rsidTr="00AE29EA">
        <w:tc>
          <w:tcPr>
            <w:tcW w:w="3084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both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Hepatic failure</w:t>
            </w:r>
          </w:p>
        </w:tc>
        <w:tc>
          <w:tcPr>
            <w:tcW w:w="1539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8 (14.3)</w:t>
            </w:r>
          </w:p>
        </w:tc>
        <w:tc>
          <w:tcPr>
            <w:tcW w:w="1540" w:type="dxa"/>
          </w:tcPr>
          <w:p w:rsidR="00877D71" w:rsidRPr="00AA039F" w:rsidRDefault="00E87555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>
              <w:rPr>
                <w:rFonts w:ascii="Arial Narrow" w:eastAsia="Times New Roman" w:hAnsi="Arial Narrow" w:cs="Arial"/>
                <w:bCs/>
                <w:lang w:val="en-US"/>
              </w:rPr>
              <w:t>7 (12.7</w:t>
            </w:r>
            <w:r w:rsidR="00877D71" w:rsidRPr="00AA039F">
              <w:rPr>
                <w:rFonts w:ascii="Arial Narrow" w:eastAsia="Times New Roman" w:hAnsi="Arial Narrow" w:cs="Arial"/>
                <w:bCs/>
                <w:lang w:val="en-US"/>
              </w:rPr>
              <w:t>)</w:t>
            </w:r>
          </w:p>
        </w:tc>
        <w:tc>
          <w:tcPr>
            <w:tcW w:w="1539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3 (13.0)</w:t>
            </w:r>
          </w:p>
        </w:tc>
        <w:tc>
          <w:tcPr>
            <w:tcW w:w="1540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3 (13.0)</w:t>
            </w:r>
          </w:p>
        </w:tc>
      </w:tr>
      <w:tr w:rsidR="00877D71" w:rsidRPr="00AA039F" w:rsidTr="00AE29EA">
        <w:tc>
          <w:tcPr>
            <w:tcW w:w="3084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both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Headache</w:t>
            </w:r>
          </w:p>
        </w:tc>
        <w:tc>
          <w:tcPr>
            <w:tcW w:w="1539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4 (7.1)</w:t>
            </w:r>
          </w:p>
        </w:tc>
        <w:tc>
          <w:tcPr>
            <w:tcW w:w="1540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2 (3.6)</w:t>
            </w:r>
          </w:p>
        </w:tc>
        <w:tc>
          <w:tcPr>
            <w:tcW w:w="1539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  <w:tc>
          <w:tcPr>
            <w:tcW w:w="1540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</w:tr>
      <w:tr w:rsidR="00877D71" w:rsidRPr="00AA039F" w:rsidTr="00AE29EA">
        <w:tc>
          <w:tcPr>
            <w:tcW w:w="3084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both"/>
              <w:rPr>
                <w:rFonts w:ascii="Arial Narrow" w:eastAsia="Times New Roman" w:hAnsi="Arial Narrow" w:cs="Arial"/>
                <w:bCs/>
                <w:lang w:val="en-US"/>
              </w:rPr>
            </w:pPr>
            <w:proofErr w:type="spellStart"/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Supraventricular</w:t>
            </w:r>
            <w:proofErr w:type="spellEnd"/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 xml:space="preserve"> tachycardia</w:t>
            </w:r>
          </w:p>
        </w:tc>
        <w:tc>
          <w:tcPr>
            <w:tcW w:w="1539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3 (5.4)</w:t>
            </w:r>
          </w:p>
        </w:tc>
        <w:tc>
          <w:tcPr>
            <w:tcW w:w="1540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2 (3.6)</w:t>
            </w:r>
          </w:p>
        </w:tc>
        <w:tc>
          <w:tcPr>
            <w:tcW w:w="1539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  <w:tc>
          <w:tcPr>
            <w:tcW w:w="1540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</w:tr>
      <w:tr w:rsidR="00877D71" w:rsidRPr="00AA039F" w:rsidTr="00AE29EA">
        <w:tc>
          <w:tcPr>
            <w:tcW w:w="3084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both"/>
              <w:rPr>
                <w:rFonts w:ascii="Arial Narrow" w:eastAsia="Times New Roman" w:hAnsi="Arial Narrow" w:cs="Arial"/>
                <w:bCs/>
                <w:lang w:val="en-US"/>
              </w:rPr>
            </w:pPr>
            <w:proofErr w:type="spellStart"/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Bradycardia</w:t>
            </w:r>
            <w:proofErr w:type="spellEnd"/>
          </w:p>
        </w:tc>
        <w:tc>
          <w:tcPr>
            <w:tcW w:w="1539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3 (5.4)</w:t>
            </w:r>
          </w:p>
        </w:tc>
        <w:tc>
          <w:tcPr>
            <w:tcW w:w="1540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  <w:tc>
          <w:tcPr>
            <w:tcW w:w="1539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1 (4.3)</w:t>
            </w:r>
          </w:p>
        </w:tc>
        <w:tc>
          <w:tcPr>
            <w:tcW w:w="1540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1 (4.3)</w:t>
            </w:r>
          </w:p>
        </w:tc>
      </w:tr>
      <w:tr w:rsidR="00877D71" w:rsidRPr="00AA039F" w:rsidTr="00AE29EA">
        <w:tc>
          <w:tcPr>
            <w:tcW w:w="3084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both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Pyrexia</w:t>
            </w:r>
          </w:p>
        </w:tc>
        <w:tc>
          <w:tcPr>
            <w:tcW w:w="1539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3 (5.4)</w:t>
            </w:r>
          </w:p>
        </w:tc>
        <w:tc>
          <w:tcPr>
            <w:tcW w:w="1540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1 (1.8)</w:t>
            </w:r>
          </w:p>
        </w:tc>
        <w:tc>
          <w:tcPr>
            <w:tcW w:w="1539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1 (4.3)</w:t>
            </w:r>
          </w:p>
        </w:tc>
        <w:tc>
          <w:tcPr>
            <w:tcW w:w="1540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1 (4.3)</w:t>
            </w:r>
          </w:p>
        </w:tc>
      </w:tr>
      <w:tr w:rsidR="00877D71" w:rsidRPr="00AA039F" w:rsidTr="00AE29EA">
        <w:tc>
          <w:tcPr>
            <w:tcW w:w="3084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both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Multi-organ failure</w:t>
            </w:r>
          </w:p>
        </w:tc>
        <w:tc>
          <w:tcPr>
            <w:tcW w:w="1539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4 (7.1)</w:t>
            </w:r>
          </w:p>
        </w:tc>
        <w:tc>
          <w:tcPr>
            <w:tcW w:w="1540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  <w:tc>
          <w:tcPr>
            <w:tcW w:w="1539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  <w:tc>
          <w:tcPr>
            <w:tcW w:w="1540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</w:tr>
      <w:tr w:rsidR="00877D71" w:rsidRPr="00AA039F" w:rsidTr="00AE29EA">
        <w:tc>
          <w:tcPr>
            <w:tcW w:w="3084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both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Anxiety</w:t>
            </w:r>
          </w:p>
        </w:tc>
        <w:tc>
          <w:tcPr>
            <w:tcW w:w="1539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4 (7.1)</w:t>
            </w:r>
          </w:p>
        </w:tc>
        <w:tc>
          <w:tcPr>
            <w:tcW w:w="1540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1 (1.8)</w:t>
            </w:r>
          </w:p>
        </w:tc>
        <w:tc>
          <w:tcPr>
            <w:tcW w:w="1539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  <w:tc>
          <w:tcPr>
            <w:tcW w:w="1540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</w:tr>
      <w:tr w:rsidR="00877D71" w:rsidRPr="00AA039F" w:rsidTr="00AE29EA">
        <w:tc>
          <w:tcPr>
            <w:tcW w:w="3084" w:type="dxa"/>
          </w:tcPr>
          <w:p w:rsidR="00877D71" w:rsidRPr="00AA039F" w:rsidRDefault="00877D71" w:rsidP="00ED05CE">
            <w:pPr>
              <w:pStyle w:val="NoSpacing"/>
              <w:spacing w:before="60" w:after="60"/>
              <w:jc w:val="both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Hypotension</w:t>
            </w:r>
          </w:p>
        </w:tc>
        <w:tc>
          <w:tcPr>
            <w:tcW w:w="1539" w:type="dxa"/>
          </w:tcPr>
          <w:p w:rsidR="00877D71" w:rsidRPr="00AA039F" w:rsidRDefault="00877D71" w:rsidP="00ED05C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4 (7.1)</w:t>
            </w:r>
          </w:p>
        </w:tc>
        <w:tc>
          <w:tcPr>
            <w:tcW w:w="1540" w:type="dxa"/>
          </w:tcPr>
          <w:p w:rsidR="00877D71" w:rsidRPr="00AA039F" w:rsidRDefault="00877D71" w:rsidP="00ED05C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3 (5.5)</w:t>
            </w:r>
          </w:p>
        </w:tc>
        <w:tc>
          <w:tcPr>
            <w:tcW w:w="1539" w:type="dxa"/>
          </w:tcPr>
          <w:p w:rsidR="00877D71" w:rsidRPr="00AA039F" w:rsidRDefault="00877D71" w:rsidP="00ED05C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  <w:tc>
          <w:tcPr>
            <w:tcW w:w="1540" w:type="dxa"/>
          </w:tcPr>
          <w:p w:rsidR="00877D71" w:rsidRPr="00AA039F" w:rsidRDefault="00877D71" w:rsidP="00ED05C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</w:tr>
      <w:tr w:rsidR="00877D71" w:rsidRPr="00AA039F" w:rsidTr="00AE29EA">
        <w:tc>
          <w:tcPr>
            <w:tcW w:w="3084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both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Pain in extremity</w:t>
            </w:r>
          </w:p>
        </w:tc>
        <w:tc>
          <w:tcPr>
            <w:tcW w:w="1539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3 (5.4)</w:t>
            </w:r>
          </w:p>
        </w:tc>
        <w:tc>
          <w:tcPr>
            <w:tcW w:w="1540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  <w:tc>
          <w:tcPr>
            <w:tcW w:w="1539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  <w:tc>
          <w:tcPr>
            <w:tcW w:w="1540" w:type="dxa"/>
          </w:tcPr>
          <w:p w:rsidR="00877D71" w:rsidRPr="00AA039F" w:rsidRDefault="00877D71" w:rsidP="00AE29EA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0 (0.0)</w:t>
            </w:r>
          </w:p>
        </w:tc>
      </w:tr>
      <w:tr w:rsidR="000E59CB" w:rsidRPr="00AA039F" w:rsidTr="00CC7A36">
        <w:tc>
          <w:tcPr>
            <w:tcW w:w="3084" w:type="dxa"/>
          </w:tcPr>
          <w:p w:rsidR="000E59CB" w:rsidRPr="00AA039F" w:rsidRDefault="000E59CB" w:rsidP="001F667E">
            <w:pPr>
              <w:pStyle w:val="NoSpacing"/>
              <w:spacing w:before="60" w:after="60"/>
              <w:jc w:val="both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 xml:space="preserve">Fluid </w:t>
            </w:r>
            <w:r w:rsidR="00824D1B">
              <w:rPr>
                <w:rFonts w:ascii="Arial Narrow" w:eastAsia="Times New Roman" w:hAnsi="Arial Narrow" w:cs="Arial"/>
                <w:bCs/>
                <w:lang w:val="en-US"/>
              </w:rPr>
              <w:t>o</w:t>
            </w: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verload</w:t>
            </w:r>
          </w:p>
        </w:tc>
        <w:tc>
          <w:tcPr>
            <w:tcW w:w="1539" w:type="dxa"/>
          </w:tcPr>
          <w:p w:rsidR="000E59CB" w:rsidRPr="00AA039F" w:rsidRDefault="000E59CB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2 (3.6)</w:t>
            </w:r>
          </w:p>
        </w:tc>
        <w:tc>
          <w:tcPr>
            <w:tcW w:w="1540" w:type="dxa"/>
          </w:tcPr>
          <w:p w:rsidR="000E59CB" w:rsidRPr="00AA039F" w:rsidRDefault="000E59CB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1 (1.8)</w:t>
            </w:r>
          </w:p>
        </w:tc>
        <w:tc>
          <w:tcPr>
            <w:tcW w:w="1539" w:type="dxa"/>
          </w:tcPr>
          <w:p w:rsidR="000E59CB" w:rsidRPr="00AA039F" w:rsidRDefault="000E59CB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3 (13.0)</w:t>
            </w:r>
          </w:p>
        </w:tc>
        <w:tc>
          <w:tcPr>
            <w:tcW w:w="1540" w:type="dxa"/>
          </w:tcPr>
          <w:p w:rsidR="000E59CB" w:rsidRPr="00AA039F" w:rsidRDefault="000E59CB" w:rsidP="001F667E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bCs/>
                <w:lang w:val="en-US"/>
              </w:rPr>
            </w:pPr>
            <w:r w:rsidRPr="00AA039F">
              <w:rPr>
                <w:rFonts w:ascii="Arial Narrow" w:eastAsia="Times New Roman" w:hAnsi="Arial Narrow" w:cs="Arial"/>
                <w:bCs/>
                <w:lang w:val="en-US"/>
              </w:rPr>
              <w:t>2 (8.7)</w:t>
            </w:r>
          </w:p>
        </w:tc>
      </w:tr>
    </w:tbl>
    <w:p w:rsidR="00D833F9" w:rsidRPr="00D12297" w:rsidRDefault="00D833F9" w:rsidP="00996578">
      <w:pPr>
        <w:pStyle w:val="NoSpacing"/>
        <w:jc w:val="both"/>
        <w:rPr>
          <w:rFonts w:ascii="Arial" w:hAnsi="Arial" w:cs="Arial"/>
          <w:bCs/>
          <w:lang w:val="en-US"/>
        </w:rPr>
      </w:pPr>
    </w:p>
    <w:p w:rsidR="00374A59" w:rsidRDefault="002330BF" w:rsidP="00996578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Less common s</w:t>
      </w:r>
      <w:r w:rsidR="00374A59" w:rsidRPr="008912B2">
        <w:rPr>
          <w:rFonts w:ascii="Arial" w:hAnsi="Arial" w:cs="Arial"/>
          <w:lang w:val="en-US"/>
        </w:rPr>
        <w:t xml:space="preserve">erious and/or clinically relevant adverse </w:t>
      </w:r>
      <w:r w:rsidR="00D40DDA">
        <w:rPr>
          <w:rFonts w:ascii="Arial" w:hAnsi="Arial" w:cs="Arial"/>
          <w:lang w:val="en-US"/>
        </w:rPr>
        <w:t>events</w:t>
      </w:r>
      <w:r w:rsidR="00D40DDA" w:rsidRPr="008912B2">
        <w:rPr>
          <w:rFonts w:ascii="Arial" w:hAnsi="Arial" w:cs="Arial"/>
          <w:lang w:val="en-US"/>
        </w:rPr>
        <w:t xml:space="preserve"> </w:t>
      </w:r>
      <w:r w:rsidR="0087479A">
        <w:rPr>
          <w:rFonts w:ascii="Arial" w:hAnsi="Arial" w:cs="Arial"/>
          <w:lang w:val="en-US"/>
        </w:rPr>
        <w:t xml:space="preserve">that occurred </w:t>
      </w:r>
      <w:r w:rsidR="00374A59" w:rsidRPr="008912B2">
        <w:rPr>
          <w:rFonts w:ascii="Arial" w:hAnsi="Arial" w:cs="Arial"/>
          <w:lang w:val="en-US"/>
        </w:rPr>
        <w:t xml:space="preserve">in </w:t>
      </w:r>
      <w:r w:rsidR="0087479A">
        <w:rPr>
          <w:rFonts w:ascii="Arial" w:hAnsi="Arial" w:cs="Arial"/>
          <w:lang w:val="en-US"/>
        </w:rPr>
        <w:t xml:space="preserve">less </w:t>
      </w:r>
      <w:r w:rsidR="00BD514A">
        <w:rPr>
          <w:rFonts w:ascii="Arial" w:hAnsi="Arial" w:cs="Arial"/>
          <w:lang w:val="en-US"/>
        </w:rPr>
        <w:t xml:space="preserve">than </w:t>
      </w:r>
      <w:r w:rsidR="00D03168">
        <w:rPr>
          <w:rFonts w:ascii="Arial" w:hAnsi="Arial" w:cs="Arial"/>
          <w:lang w:val="en-US"/>
        </w:rPr>
        <w:t>3</w:t>
      </w:r>
      <w:r w:rsidR="0087479A">
        <w:rPr>
          <w:rFonts w:ascii="Arial" w:hAnsi="Arial" w:cs="Arial"/>
          <w:lang w:val="en-US"/>
        </w:rPr>
        <w:t xml:space="preserve"> </w:t>
      </w:r>
      <w:proofErr w:type="spellStart"/>
      <w:r w:rsidR="0087479A">
        <w:rPr>
          <w:rFonts w:ascii="Arial" w:hAnsi="Arial" w:cs="Arial"/>
          <w:lang w:val="en-US"/>
        </w:rPr>
        <w:t>terli</w:t>
      </w:r>
      <w:r w:rsidR="00374A59" w:rsidRPr="008912B2">
        <w:rPr>
          <w:rFonts w:ascii="Arial" w:hAnsi="Arial" w:cs="Arial"/>
          <w:lang w:val="en-US"/>
        </w:rPr>
        <w:t>pressin</w:t>
      </w:r>
      <w:proofErr w:type="spellEnd"/>
      <w:r w:rsidR="00374A59" w:rsidRPr="008912B2">
        <w:rPr>
          <w:rFonts w:ascii="Arial" w:hAnsi="Arial" w:cs="Arial"/>
          <w:lang w:val="en-US"/>
        </w:rPr>
        <w:t xml:space="preserve">-treated patients </w:t>
      </w:r>
      <w:r w:rsidR="00D40DDA">
        <w:rPr>
          <w:rFonts w:ascii="Arial" w:hAnsi="Arial" w:cs="Arial"/>
          <w:lang w:val="en-US"/>
        </w:rPr>
        <w:t>in these trials include</w:t>
      </w:r>
      <w:r w:rsidR="00374A59" w:rsidRPr="008912B2">
        <w:rPr>
          <w:rFonts w:ascii="Arial" w:hAnsi="Arial" w:cs="Arial"/>
          <w:lang w:val="en-US"/>
        </w:rPr>
        <w:t>:</w:t>
      </w:r>
    </w:p>
    <w:p w:rsidR="00BD514A" w:rsidRPr="008912B2" w:rsidRDefault="00BD514A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374A59" w:rsidRDefault="00374A59" w:rsidP="00996578">
      <w:pPr>
        <w:pStyle w:val="NoSpacing"/>
        <w:jc w:val="both"/>
        <w:rPr>
          <w:rFonts w:ascii="Arial" w:hAnsi="Arial" w:cs="Arial"/>
          <w:lang w:val="en-US"/>
        </w:rPr>
      </w:pPr>
      <w:r w:rsidRPr="008912B2">
        <w:rPr>
          <w:rFonts w:ascii="Arial" w:hAnsi="Arial" w:cs="Arial"/>
          <w:lang w:val="en-US"/>
        </w:rPr>
        <w:lastRenderedPageBreak/>
        <w:t xml:space="preserve">Myocardial infarction, myocardial </w:t>
      </w:r>
      <w:proofErr w:type="spellStart"/>
      <w:r w:rsidRPr="008912B2">
        <w:rPr>
          <w:rFonts w:ascii="Arial" w:hAnsi="Arial" w:cs="Arial"/>
          <w:lang w:val="en-US"/>
        </w:rPr>
        <w:t>isch</w:t>
      </w:r>
      <w:r w:rsidR="00D03168">
        <w:rPr>
          <w:rFonts w:ascii="Arial" w:hAnsi="Arial" w:cs="Arial"/>
          <w:lang w:val="en-US"/>
        </w:rPr>
        <w:t>a</w:t>
      </w:r>
      <w:r w:rsidRPr="008912B2">
        <w:rPr>
          <w:rFonts w:ascii="Arial" w:hAnsi="Arial" w:cs="Arial"/>
          <w:lang w:val="en-US"/>
        </w:rPr>
        <w:t>emia</w:t>
      </w:r>
      <w:proofErr w:type="spellEnd"/>
      <w:r w:rsidRPr="008912B2">
        <w:rPr>
          <w:rFonts w:ascii="Arial" w:hAnsi="Arial" w:cs="Arial"/>
          <w:lang w:val="en-US"/>
        </w:rPr>
        <w:t>, ventricular tachycardia, hypertension, peripheral cyanosis</w:t>
      </w:r>
      <w:r w:rsidR="006B41F5">
        <w:rPr>
          <w:rFonts w:ascii="Arial" w:hAnsi="Arial" w:cs="Arial"/>
          <w:lang w:val="en-US"/>
        </w:rPr>
        <w:t xml:space="preserve"> and</w:t>
      </w:r>
      <w:r w:rsidRPr="008912B2">
        <w:rPr>
          <w:rFonts w:ascii="Arial" w:hAnsi="Arial" w:cs="Arial"/>
          <w:lang w:val="en-US"/>
        </w:rPr>
        <w:t xml:space="preserve"> </w:t>
      </w:r>
      <w:proofErr w:type="spellStart"/>
      <w:r w:rsidRPr="008912B2">
        <w:rPr>
          <w:rFonts w:ascii="Arial" w:hAnsi="Arial" w:cs="Arial"/>
          <w:lang w:val="en-US"/>
        </w:rPr>
        <w:t>livedo</w:t>
      </w:r>
      <w:proofErr w:type="spellEnd"/>
      <w:r w:rsidRPr="008912B2">
        <w:rPr>
          <w:rFonts w:ascii="Arial" w:hAnsi="Arial" w:cs="Arial"/>
          <w:lang w:val="en-US"/>
        </w:rPr>
        <w:t xml:space="preserve"> </w:t>
      </w:r>
      <w:proofErr w:type="spellStart"/>
      <w:r w:rsidRPr="008912B2">
        <w:rPr>
          <w:rFonts w:ascii="Arial" w:hAnsi="Arial" w:cs="Arial"/>
          <w:lang w:val="en-US"/>
        </w:rPr>
        <w:t>reticularis</w:t>
      </w:r>
      <w:proofErr w:type="spellEnd"/>
      <w:r w:rsidR="008912B2">
        <w:rPr>
          <w:rFonts w:ascii="Arial" w:hAnsi="Arial" w:cs="Arial"/>
          <w:lang w:val="en-US"/>
        </w:rPr>
        <w:t>.</w:t>
      </w:r>
    </w:p>
    <w:p w:rsidR="00BD514A" w:rsidRDefault="00BD514A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ED05CE" w:rsidRDefault="00ED05CE" w:rsidP="00ED05CE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Adverse </w:t>
      </w:r>
      <w:r w:rsidR="00973BDF">
        <w:rPr>
          <w:rFonts w:ascii="Arial" w:hAnsi="Arial" w:cs="Arial"/>
          <w:lang w:val="en-US"/>
        </w:rPr>
        <w:t>events</w:t>
      </w:r>
      <w:r>
        <w:rPr>
          <w:rFonts w:ascii="Arial" w:hAnsi="Arial" w:cs="Arial"/>
          <w:lang w:val="en-US"/>
        </w:rPr>
        <w:t xml:space="preserve"> from 3</w:t>
      </w:r>
      <w:r w:rsidR="00EC6678"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en-US"/>
        </w:rPr>
        <w:t xml:space="preserve"> published literature studies, case reports and abstracts in HRS patients are provided in Table </w:t>
      </w:r>
      <w:r w:rsidR="00973BDF">
        <w:rPr>
          <w:rFonts w:ascii="Arial" w:hAnsi="Arial" w:cs="Arial"/>
          <w:lang w:val="en-US"/>
        </w:rPr>
        <w:t>3</w:t>
      </w:r>
      <w:r>
        <w:rPr>
          <w:rFonts w:ascii="Arial" w:hAnsi="Arial" w:cs="Arial"/>
          <w:lang w:val="en-US"/>
        </w:rPr>
        <w:t>.</w:t>
      </w:r>
    </w:p>
    <w:p w:rsidR="00ED05CE" w:rsidRDefault="00ED05CE" w:rsidP="00ED05CE">
      <w:pPr>
        <w:pStyle w:val="NoSpacing"/>
        <w:jc w:val="both"/>
        <w:rPr>
          <w:rFonts w:ascii="Arial" w:hAnsi="Arial" w:cs="Arial"/>
          <w:lang w:val="en-US"/>
        </w:rPr>
      </w:pPr>
    </w:p>
    <w:p w:rsidR="0040554A" w:rsidRPr="00973BDF" w:rsidRDefault="00ED05CE" w:rsidP="00973BDF">
      <w:pPr>
        <w:pStyle w:val="NoSpacing"/>
        <w:tabs>
          <w:tab w:val="left" w:pos="993"/>
        </w:tabs>
        <w:spacing w:after="120"/>
        <w:ind w:left="992" w:hanging="992"/>
        <w:jc w:val="both"/>
        <w:rPr>
          <w:rFonts w:ascii="Arial" w:hAnsi="Arial" w:cs="Arial"/>
          <w:b/>
          <w:bCs/>
        </w:rPr>
      </w:pPr>
      <w:proofErr w:type="gramStart"/>
      <w:r w:rsidRPr="004D51BD">
        <w:rPr>
          <w:rFonts w:ascii="Arial" w:hAnsi="Arial" w:cs="Arial"/>
          <w:b/>
        </w:rPr>
        <w:t xml:space="preserve">Table </w:t>
      </w:r>
      <w:r w:rsidR="0040554A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ab/>
      </w:r>
      <w:r w:rsidRPr="004D51BD">
        <w:rPr>
          <w:rFonts w:ascii="Arial" w:hAnsi="Arial" w:cs="Arial"/>
          <w:b/>
          <w:bCs/>
        </w:rPr>
        <w:t xml:space="preserve">Adverse </w:t>
      </w:r>
      <w:r w:rsidR="0040554A">
        <w:rPr>
          <w:rFonts w:ascii="Arial" w:hAnsi="Arial" w:cs="Arial"/>
          <w:b/>
          <w:bCs/>
        </w:rPr>
        <w:t>Events</w:t>
      </w:r>
      <w:r>
        <w:rPr>
          <w:rFonts w:ascii="Arial" w:hAnsi="Arial" w:cs="Arial"/>
          <w:b/>
          <w:bCs/>
        </w:rPr>
        <w:t xml:space="preserve"> Reported in the Literature in Case Reports and Studies Where Occurrence was </w:t>
      </w:r>
      <w:proofErr w:type="gramStart"/>
      <w:r>
        <w:rPr>
          <w:rFonts w:ascii="Arial" w:hAnsi="Arial" w:cs="Arial"/>
          <w:b/>
          <w:bCs/>
        </w:rPr>
        <w:t>Given</w:t>
      </w:r>
      <w:proofErr w:type="gramEnd"/>
      <w:r>
        <w:rPr>
          <w:rFonts w:ascii="Arial" w:hAnsi="Arial" w:cs="Arial"/>
          <w:b/>
          <w:bCs/>
        </w:rPr>
        <w:t>* (HRS Patients)</w:t>
      </w: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122"/>
        <w:gridCol w:w="1122"/>
        <w:gridCol w:w="2375"/>
        <w:gridCol w:w="1120"/>
        <w:gridCol w:w="1120"/>
      </w:tblGrid>
      <w:tr w:rsidR="0040554A" w:rsidRPr="004D2BAF" w:rsidTr="004D2BAF">
        <w:tc>
          <w:tcPr>
            <w:tcW w:w="2376" w:type="dxa"/>
          </w:tcPr>
          <w:p w:rsidR="00EC6678" w:rsidRDefault="00EC6678" w:rsidP="004D2BAF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/>
                <w:b/>
                <w:bCs/>
              </w:rPr>
            </w:pPr>
            <w:r>
              <w:rPr>
                <w:rFonts w:ascii="Arial Narrow" w:eastAsia="Times New Roman" w:hAnsi="Arial Narrow"/>
                <w:b/>
                <w:bCs/>
              </w:rPr>
              <w:t>ADVERSE</w:t>
            </w:r>
            <w:r w:rsidR="0040554A" w:rsidRPr="004D2BAF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</w:rPr>
              <w:t xml:space="preserve">EVENT </w:t>
            </w:r>
          </w:p>
          <w:p w:rsidR="0040554A" w:rsidRPr="004D2BAF" w:rsidRDefault="00EC6678" w:rsidP="004D2BAF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EC6678">
              <w:rPr>
                <w:rFonts w:ascii="Arial Narrow" w:hAnsi="Arial Narrow" w:cs="Arial"/>
                <w:b/>
                <w:caps/>
                <w:sz w:val="20"/>
                <w:szCs w:val="20"/>
              </w:rPr>
              <w:t>(MedDRA PT)</w:t>
            </w:r>
          </w:p>
        </w:tc>
        <w:tc>
          <w:tcPr>
            <w:tcW w:w="1122" w:type="dxa"/>
          </w:tcPr>
          <w:p w:rsidR="0040554A" w:rsidRPr="004D2BAF" w:rsidRDefault="0040554A" w:rsidP="004D2BAF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4D2BAF">
              <w:rPr>
                <w:rFonts w:ascii="Arial Narrow" w:eastAsia="Times New Roman" w:hAnsi="Arial Narrow"/>
                <w:b/>
                <w:bCs/>
              </w:rPr>
              <w:t>N</w:t>
            </w:r>
          </w:p>
        </w:tc>
        <w:tc>
          <w:tcPr>
            <w:tcW w:w="1122" w:type="dxa"/>
          </w:tcPr>
          <w:p w:rsidR="0040554A" w:rsidRPr="004D2BAF" w:rsidRDefault="0040554A" w:rsidP="004D2BAF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4D2BAF">
              <w:rPr>
                <w:rFonts w:ascii="Arial Narrow" w:eastAsia="Times New Roman" w:hAnsi="Arial Narrow"/>
                <w:b/>
                <w:bCs/>
              </w:rPr>
              <w:t>%</w:t>
            </w:r>
            <w:r w:rsidR="00EC6678">
              <w:rPr>
                <w:rFonts w:ascii="Arial Narrow" w:eastAsia="Times New Roman" w:hAnsi="Arial Narrow"/>
                <w:b/>
                <w:bCs/>
              </w:rPr>
              <w:t>*</w:t>
            </w:r>
          </w:p>
        </w:tc>
        <w:tc>
          <w:tcPr>
            <w:tcW w:w="2375" w:type="dxa"/>
          </w:tcPr>
          <w:p w:rsidR="0040554A" w:rsidRDefault="0040554A" w:rsidP="004D2BAF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/>
                <w:b/>
                <w:bCs/>
              </w:rPr>
            </w:pPr>
            <w:r w:rsidRPr="004D2BAF">
              <w:rPr>
                <w:rFonts w:ascii="Arial Narrow" w:eastAsia="Times New Roman" w:hAnsi="Arial Narrow"/>
                <w:b/>
                <w:bCs/>
              </w:rPr>
              <w:t>A</w:t>
            </w:r>
            <w:r w:rsidR="00EC6678" w:rsidRPr="004D2BAF">
              <w:rPr>
                <w:rFonts w:ascii="Arial Narrow" w:eastAsia="Times New Roman" w:hAnsi="Arial Narrow"/>
                <w:b/>
                <w:bCs/>
              </w:rPr>
              <w:t>DVERSE</w:t>
            </w:r>
            <w:r w:rsidRPr="004D2BAF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="00EC6678">
              <w:rPr>
                <w:rFonts w:ascii="Arial Narrow" w:eastAsia="Times New Roman" w:hAnsi="Arial Narrow"/>
                <w:b/>
                <w:bCs/>
              </w:rPr>
              <w:t>EVENT</w:t>
            </w:r>
          </w:p>
          <w:p w:rsidR="00EC6678" w:rsidRPr="004D2BAF" w:rsidRDefault="00EC6678" w:rsidP="004D2BAF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EC6678">
              <w:rPr>
                <w:rFonts w:ascii="Arial Narrow" w:hAnsi="Arial Narrow" w:cs="Arial"/>
                <w:b/>
                <w:caps/>
                <w:sz w:val="20"/>
                <w:szCs w:val="20"/>
              </w:rPr>
              <w:t>(MedDRA PT)</w:t>
            </w:r>
          </w:p>
        </w:tc>
        <w:tc>
          <w:tcPr>
            <w:tcW w:w="1120" w:type="dxa"/>
          </w:tcPr>
          <w:p w:rsidR="0040554A" w:rsidRPr="004D2BAF" w:rsidRDefault="0040554A" w:rsidP="004D2BAF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4D2BAF">
              <w:rPr>
                <w:rFonts w:ascii="Arial Narrow" w:eastAsia="Times New Roman" w:hAnsi="Arial Narrow"/>
                <w:b/>
                <w:bCs/>
              </w:rPr>
              <w:t>N</w:t>
            </w:r>
          </w:p>
        </w:tc>
        <w:tc>
          <w:tcPr>
            <w:tcW w:w="1120" w:type="dxa"/>
          </w:tcPr>
          <w:p w:rsidR="0040554A" w:rsidRPr="004D2BAF" w:rsidRDefault="0040554A" w:rsidP="004D2BAF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4D2BAF">
              <w:rPr>
                <w:rFonts w:ascii="Arial Narrow" w:eastAsia="Times New Roman" w:hAnsi="Arial Narrow"/>
                <w:b/>
                <w:bCs/>
              </w:rPr>
              <w:t>%</w:t>
            </w:r>
            <w:r w:rsidR="00EC6678">
              <w:rPr>
                <w:rFonts w:ascii="Arial Narrow" w:eastAsia="Times New Roman" w:hAnsi="Arial Narrow"/>
                <w:b/>
                <w:bCs/>
              </w:rPr>
              <w:t>*</w:t>
            </w:r>
          </w:p>
        </w:tc>
      </w:tr>
      <w:tr w:rsidR="00487A56" w:rsidRPr="00BA0CD6" w:rsidTr="004D2BAF">
        <w:tc>
          <w:tcPr>
            <w:tcW w:w="2376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Abdominal pain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56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10.73%</w:t>
            </w:r>
          </w:p>
        </w:tc>
        <w:tc>
          <w:tcPr>
            <w:tcW w:w="2375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Hypertension</w:t>
            </w:r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2</w:t>
            </w:r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0.38%</w:t>
            </w:r>
          </w:p>
        </w:tc>
      </w:tr>
      <w:tr w:rsidR="00487A56" w:rsidRPr="00BA0CD6" w:rsidTr="004D2BAF">
        <w:tc>
          <w:tcPr>
            <w:tcW w:w="2376" w:type="dxa"/>
          </w:tcPr>
          <w:p w:rsidR="00487A56" w:rsidRPr="00BA0CD6" w:rsidRDefault="00992E6B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>
              <w:rPr>
                <w:rFonts w:ascii="Arial Narrow" w:hAnsi="Arial Narrow" w:cs="Arial"/>
              </w:rPr>
              <w:t xml:space="preserve">Frequent bowel </w:t>
            </w:r>
            <w:r w:rsidR="00487A56" w:rsidRPr="00BA0CD6">
              <w:rPr>
                <w:rFonts w:ascii="Arial Narrow" w:hAnsi="Arial Narrow" w:cs="Arial"/>
              </w:rPr>
              <w:t>movements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30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5.75%</w:t>
            </w:r>
          </w:p>
        </w:tc>
        <w:tc>
          <w:tcPr>
            <w:tcW w:w="2375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 xml:space="preserve">Intestinal </w:t>
            </w:r>
            <w:proofErr w:type="spellStart"/>
            <w:r w:rsidRPr="00BA0CD6">
              <w:rPr>
                <w:rFonts w:ascii="Arial Narrow" w:hAnsi="Arial Narrow" w:cs="Arial"/>
              </w:rPr>
              <w:t>ischaemia</w:t>
            </w:r>
            <w:proofErr w:type="spellEnd"/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2</w:t>
            </w:r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0.38%</w:t>
            </w:r>
          </w:p>
        </w:tc>
      </w:tr>
      <w:tr w:rsidR="00487A56" w:rsidRPr="00BA0CD6" w:rsidTr="004D2BAF">
        <w:tc>
          <w:tcPr>
            <w:tcW w:w="2376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Diarrhoea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24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4.60%</w:t>
            </w:r>
          </w:p>
        </w:tc>
        <w:tc>
          <w:tcPr>
            <w:tcW w:w="2375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proofErr w:type="spellStart"/>
            <w:r w:rsidRPr="00BA0CD6">
              <w:rPr>
                <w:rFonts w:ascii="Arial Narrow" w:hAnsi="Arial Narrow" w:cs="Arial"/>
                <w:color w:val="000000"/>
              </w:rPr>
              <w:t>Lymphangitis</w:t>
            </w:r>
            <w:proofErr w:type="spellEnd"/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  <w:color w:val="000000"/>
              </w:rPr>
              <w:t>2</w:t>
            </w:r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0.38%</w:t>
            </w:r>
          </w:p>
        </w:tc>
      </w:tr>
      <w:tr w:rsidR="00487A56" w:rsidRPr="00BA0CD6" w:rsidTr="004D2BAF">
        <w:tc>
          <w:tcPr>
            <w:tcW w:w="2376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Arrhythmia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9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1.72%</w:t>
            </w:r>
          </w:p>
        </w:tc>
        <w:tc>
          <w:tcPr>
            <w:tcW w:w="2375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 xml:space="preserve">Myocardial </w:t>
            </w:r>
            <w:proofErr w:type="spellStart"/>
            <w:r w:rsidRPr="00BA0CD6">
              <w:rPr>
                <w:rFonts w:ascii="Arial Narrow" w:hAnsi="Arial Narrow" w:cs="Arial"/>
              </w:rPr>
              <w:t>ischaemia</w:t>
            </w:r>
            <w:proofErr w:type="spellEnd"/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2</w:t>
            </w:r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0.38%</w:t>
            </w:r>
          </w:p>
        </w:tc>
      </w:tr>
      <w:tr w:rsidR="00487A56" w:rsidRPr="00BA0CD6" w:rsidTr="004D2BAF">
        <w:tc>
          <w:tcPr>
            <w:tcW w:w="2376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 xml:space="preserve">Peripheral </w:t>
            </w:r>
            <w:proofErr w:type="spellStart"/>
            <w:r w:rsidRPr="00BA0CD6">
              <w:rPr>
                <w:rFonts w:ascii="Arial Narrow" w:hAnsi="Arial Narrow" w:cs="Arial"/>
              </w:rPr>
              <w:t>ischaemia</w:t>
            </w:r>
            <w:proofErr w:type="spellEnd"/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8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1.53%</w:t>
            </w:r>
          </w:p>
        </w:tc>
        <w:tc>
          <w:tcPr>
            <w:tcW w:w="2375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Pulmonary oedema</w:t>
            </w:r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2</w:t>
            </w:r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0.38%</w:t>
            </w:r>
          </w:p>
        </w:tc>
      </w:tr>
      <w:tr w:rsidR="00487A56" w:rsidRPr="00BA0CD6" w:rsidTr="004D2BAF">
        <w:tc>
          <w:tcPr>
            <w:tcW w:w="2376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  <w:color w:val="000000"/>
              </w:rPr>
              <w:t>Skin necrosis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  <w:color w:val="000000"/>
              </w:rPr>
              <w:t>8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1.53%</w:t>
            </w:r>
          </w:p>
        </w:tc>
        <w:tc>
          <w:tcPr>
            <w:tcW w:w="2375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 xml:space="preserve">Tongue disorder (Tongue </w:t>
            </w:r>
            <w:proofErr w:type="spellStart"/>
            <w:r w:rsidRPr="00BA0CD6">
              <w:rPr>
                <w:rFonts w:ascii="Arial Narrow" w:hAnsi="Arial Narrow" w:cs="Arial"/>
              </w:rPr>
              <w:t>ischaemia</w:t>
            </w:r>
            <w:proofErr w:type="spellEnd"/>
            <w:r w:rsidRPr="00BA0CD6">
              <w:rPr>
                <w:rFonts w:ascii="Arial Narrow" w:hAnsi="Arial Narrow" w:cs="Arial"/>
              </w:rPr>
              <w:t>)</w:t>
            </w:r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2</w:t>
            </w:r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0.38%</w:t>
            </w:r>
          </w:p>
        </w:tc>
      </w:tr>
      <w:tr w:rsidR="00487A56" w:rsidRPr="00BA0CD6" w:rsidTr="004D2BAF">
        <w:tc>
          <w:tcPr>
            <w:tcW w:w="2376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Chest pain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7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1.34%</w:t>
            </w:r>
          </w:p>
        </w:tc>
        <w:tc>
          <w:tcPr>
            <w:tcW w:w="2375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Acute myocardial infarction</w:t>
            </w:r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1</w:t>
            </w:r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0.19%</w:t>
            </w:r>
          </w:p>
        </w:tc>
      </w:tr>
      <w:tr w:rsidR="00487A56" w:rsidRPr="00BA0CD6" w:rsidTr="004D2BAF">
        <w:tc>
          <w:tcPr>
            <w:tcW w:w="2376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Tachycardia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6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1.15%</w:t>
            </w:r>
          </w:p>
        </w:tc>
        <w:tc>
          <w:tcPr>
            <w:tcW w:w="2375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Electrocardiogram ST segment depression</w:t>
            </w:r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1</w:t>
            </w:r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0.19%</w:t>
            </w:r>
          </w:p>
        </w:tc>
      </w:tr>
      <w:tr w:rsidR="00487A56" w:rsidRPr="00BA0CD6" w:rsidTr="004D2BAF">
        <w:tc>
          <w:tcPr>
            <w:tcW w:w="2376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Cyanosis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5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0.96%</w:t>
            </w:r>
          </w:p>
        </w:tc>
        <w:tc>
          <w:tcPr>
            <w:tcW w:w="2375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Gangrene</w:t>
            </w:r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1</w:t>
            </w:r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0.19%</w:t>
            </w:r>
          </w:p>
        </w:tc>
      </w:tr>
      <w:tr w:rsidR="00487A56" w:rsidRPr="00BA0CD6" w:rsidTr="004D2BAF">
        <w:tc>
          <w:tcPr>
            <w:tcW w:w="2376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Fluid overload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5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0.96%</w:t>
            </w:r>
          </w:p>
        </w:tc>
        <w:tc>
          <w:tcPr>
            <w:tcW w:w="2375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Hepatic enzyme increased</w:t>
            </w:r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1</w:t>
            </w:r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0.19%</w:t>
            </w:r>
          </w:p>
        </w:tc>
      </w:tr>
      <w:tr w:rsidR="00487A56" w:rsidRPr="00BA0CD6" w:rsidTr="004D2BAF">
        <w:tc>
          <w:tcPr>
            <w:tcW w:w="2376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proofErr w:type="spellStart"/>
            <w:r w:rsidRPr="00BA0CD6">
              <w:rPr>
                <w:rFonts w:ascii="Arial Narrow" w:hAnsi="Arial Narrow" w:cs="Arial"/>
              </w:rPr>
              <w:t>Bronchospasm</w:t>
            </w:r>
            <w:proofErr w:type="spellEnd"/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4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0.77%</w:t>
            </w:r>
          </w:p>
        </w:tc>
        <w:tc>
          <w:tcPr>
            <w:tcW w:w="2375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Pancreatitis</w:t>
            </w:r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1</w:t>
            </w:r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0.19%</w:t>
            </w:r>
          </w:p>
        </w:tc>
      </w:tr>
      <w:tr w:rsidR="00487A56" w:rsidRPr="00BA0CD6" w:rsidTr="004D2BAF">
        <w:tc>
          <w:tcPr>
            <w:tcW w:w="2376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Injection site necrosis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4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0.77%</w:t>
            </w:r>
          </w:p>
        </w:tc>
        <w:tc>
          <w:tcPr>
            <w:tcW w:w="2375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proofErr w:type="spellStart"/>
            <w:r w:rsidRPr="00BA0CD6">
              <w:rPr>
                <w:rFonts w:ascii="Arial Narrow" w:hAnsi="Arial Narrow" w:cs="Arial"/>
              </w:rPr>
              <w:t>Rectorrhagia</w:t>
            </w:r>
            <w:proofErr w:type="spellEnd"/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1</w:t>
            </w:r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0.19%</w:t>
            </w:r>
          </w:p>
        </w:tc>
      </w:tr>
      <w:tr w:rsidR="00487A56" w:rsidRPr="00BA0CD6" w:rsidTr="004D2BAF">
        <w:tc>
          <w:tcPr>
            <w:tcW w:w="2376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proofErr w:type="spellStart"/>
            <w:r w:rsidRPr="00BA0CD6">
              <w:rPr>
                <w:rFonts w:ascii="Arial Narrow" w:hAnsi="Arial Narrow" w:cs="Arial"/>
              </w:rPr>
              <w:t>Bradycardia</w:t>
            </w:r>
            <w:proofErr w:type="spellEnd"/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2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0.38%</w:t>
            </w:r>
          </w:p>
        </w:tc>
        <w:tc>
          <w:tcPr>
            <w:tcW w:w="2375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Sudden death</w:t>
            </w:r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1</w:t>
            </w:r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0.19%</w:t>
            </w:r>
          </w:p>
        </w:tc>
      </w:tr>
      <w:tr w:rsidR="00487A56" w:rsidRPr="00BA0CD6" w:rsidTr="004D2BAF">
        <w:tc>
          <w:tcPr>
            <w:tcW w:w="2376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Dyspnoea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2</w:t>
            </w:r>
          </w:p>
        </w:tc>
        <w:tc>
          <w:tcPr>
            <w:tcW w:w="1122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0.38%</w:t>
            </w:r>
          </w:p>
        </w:tc>
        <w:tc>
          <w:tcPr>
            <w:tcW w:w="2375" w:type="dxa"/>
          </w:tcPr>
          <w:p w:rsidR="00487A56" w:rsidRPr="00BA0CD6" w:rsidRDefault="00487A56" w:rsidP="00487A56">
            <w:pPr>
              <w:pStyle w:val="NoSpacing"/>
              <w:spacing w:before="60" w:after="60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Vomiting</w:t>
            </w:r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1</w:t>
            </w:r>
          </w:p>
        </w:tc>
        <w:tc>
          <w:tcPr>
            <w:tcW w:w="1120" w:type="dxa"/>
          </w:tcPr>
          <w:p w:rsidR="00487A56" w:rsidRPr="00BA0CD6" w:rsidRDefault="00487A56" w:rsidP="00487A56">
            <w:pPr>
              <w:pStyle w:val="NoSpacing"/>
              <w:spacing w:before="60" w:after="60"/>
              <w:jc w:val="center"/>
              <w:rPr>
                <w:rFonts w:ascii="Arial Narrow" w:eastAsia="Times New Roman" w:hAnsi="Arial Narrow" w:cs="Arial"/>
                <w:vertAlign w:val="superscript"/>
                <w:lang w:val="en-US"/>
              </w:rPr>
            </w:pPr>
            <w:r w:rsidRPr="00BA0CD6">
              <w:rPr>
                <w:rFonts w:ascii="Arial Narrow" w:hAnsi="Arial Narrow" w:cs="Arial"/>
              </w:rPr>
              <w:t>0.19%</w:t>
            </w:r>
          </w:p>
        </w:tc>
      </w:tr>
    </w:tbl>
    <w:p w:rsidR="005F3216" w:rsidRPr="0040554A" w:rsidRDefault="00EC6678" w:rsidP="00996578">
      <w:pPr>
        <w:pStyle w:val="NoSpacing"/>
        <w:jc w:val="both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vertAlign w:val="superscript"/>
          <w:lang w:val="en-US"/>
        </w:rPr>
        <w:t>*</w:t>
      </w:r>
      <w:r w:rsidR="00DE0DD1">
        <w:rPr>
          <w:rFonts w:ascii="Arial Narrow" w:hAnsi="Arial Narrow" w:cs="Arial"/>
          <w:lang w:val="en-US"/>
        </w:rPr>
        <w:t xml:space="preserve">Among </w:t>
      </w:r>
      <w:r>
        <w:rPr>
          <w:rFonts w:ascii="Arial Narrow" w:hAnsi="Arial Narrow" w:cs="Arial"/>
          <w:lang w:val="en-US"/>
        </w:rPr>
        <w:t>522</w:t>
      </w:r>
      <w:r w:rsidR="00ED05CE" w:rsidRPr="0040554A">
        <w:rPr>
          <w:rFonts w:ascii="Arial Narrow" w:hAnsi="Arial Narrow" w:cs="Arial"/>
          <w:lang w:val="en-US"/>
        </w:rPr>
        <w:t xml:space="preserve"> patient</w:t>
      </w:r>
      <w:r w:rsidR="00DE0DD1">
        <w:rPr>
          <w:rFonts w:ascii="Arial Narrow" w:hAnsi="Arial Narrow" w:cs="Arial"/>
          <w:lang w:val="en-US"/>
        </w:rPr>
        <w:t xml:space="preserve">s. Studies where incidence of </w:t>
      </w:r>
      <w:r w:rsidR="00ED05CE" w:rsidRPr="0040554A">
        <w:rPr>
          <w:rFonts w:ascii="Arial Narrow" w:hAnsi="Arial Narrow" w:cs="Arial"/>
          <w:lang w:val="en-US"/>
        </w:rPr>
        <w:t xml:space="preserve">AEs are not reported </w:t>
      </w:r>
      <w:r w:rsidR="009117E3">
        <w:rPr>
          <w:rFonts w:ascii="Arial Narrow" w:hAnsi="Arial Narrow" w:cs="Arial"/>
          <w:lang w:val="en-US"/>
        </w:rPr>
        <w:t>have been</w:t>
      </w:r>
      <w:r w:rsidR="00ED05CE" w:rsidRPr="0040554A">
        <w:rPr>
          <w:rFonts w:ascii="Arial Narrow" w:hAnsi="Arial Narrow" w:cs="Arial"/>
          <w:lang w:val="en-US"/>
        </w:rPr>
        <w:t xml:space="preserve"> excluded from this total.</w:t>
      </w:r>
    </w:p>
    <w:p w:rsidR="005F3216" w:rsidRDefault="005F3216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7E012A" w:rsidRPr="00D40DDA" w:rsidRDefault="003F03C0" w:rsidP="00996578">
      <w:pPr>
        <w:pStyle w:val="NoSpacing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  <w:r w:rsidR="00D40DDA">
        <w:rPr>
          <w:rFonts w:ascii="Arial" w:hAnsi="Arial" w:cs="Arial"/>
          <w:b/>
          <w:lang w:val="en-US"/>
        </w:rPr>
        <w:lastRenderedPageBreak/>
        <w:t>Adverse Reactions</w:t>
      </w:r>
    </w:p>
    <w:p w:rsidR="00D40DDA" w:rsidRDefault="00D40DDA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4D51BD" w:rsidRPr="00051A82" w:rsidRDefault="004D51BD" w:rsidP="00051A82">
      <w:pPr>
        <w:pStyle w:val="NoSpacing"/>
        <w:tabs>
          <w:tab w:val="left" w:pos="993"/>
        </w:tabs>
        <w:spacing w:after="120"/>
        <w:ind w:left="992" w:hanging="992"/>
        <w:jc w:val="both"/>
        <w:rPr>
          <w:rFonts w:ascii="Arial" w:hAnsi="Arial" w:cs="Arial"/>
          <w:b/>
          <w:bCs/>
        </w:rPr>
      </w:pPr>
      <w:bookmarkStart w:id="1" w:name="_Ref198638233"/>
      <w:bookmarkStart w:id="2" w:name="_Toc199142947"/>
      <w:proofErr w:type="gramStart"/>
      <w:r w:rsidRPr="004D51BD">
        <w:rPr>
          <w:rFonts w:ascii="Arial" w:hAnsi="Arial" w:cs="Arial"/>
          <w:b/>
        </w:rPr>
        <w:t xml:space="preserve">Table </w:t>
      </w:r>
      <w:bookmarkEnd w:id="1"/>
      <w:r w:rsidR="0055215E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ab/>
      </w:r>
      <w:r w:rsidRPr="004D51BD">
        <w:rPr>
          <w:rFonts w:ascii="Arial" w:hAnsi="Arial" w:cs="Arial"/>
          <w:b/>
          <w:bCs/>
        </w:rPr>
        <w:t>Adverse Reactions</w:t>
      </w:r>
      <w:r>
        <w:rPr>
          <w:rFonts w:ascii="Arial" w:hAnsi="Arial" w:cs="Arial"/>
          <w:b/>
          <w:bCs/>
        </w:rPr>
        <w:t xml:space="preserve"> (Treatment-Related) Reported</w:t>
      </w:r>
      <w:r w:rsidRPr="004D51BD">
        <w:rPr>
          <w:rFonts w:ascii="Arial" w:hAnsi="Arial" w:cs="Arial"/>
          <w:b/>
          <w:bCs/>
        </w:rPr>
        <w:t xml:space="preserve"> in</w:t>
      </w:r>
      <w:r w:rsidR="00033A11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 xml:space="preserve">t Least </w:t>
      </w:r>
      <w:r w:rsidR="00F12E1C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</w:t>
      </w:r>
      <w:bookmarkEnd w:id="2"/>
      <w:r w:rsidR="00F12E1C" w:rsidRPr="004D51BD">
        <w:rPr>
          <w:rFonts w:ascii="Arial" w:hAnsi="Arial" w:cs="Arial"/>
          <w:b/>
          <w:bCs/>
        </w:rPr>
        <w:t>Patients</w:t>
      </w:r>
      <w:r w:rsidR="00F12E1C">
        <w:rPr>
          <w:rFonts w:ascii="Arial" w:hAnsi="Arial" w:cs="Arial"/>
          <w:b/>
          <w:bCs/>
        </w:rPr>
        <w:t xml:space="preserve"> </w:t>
      </w:r>
      <w:r w:rsidR="007F2337">
        <w:rPr>
          <w:rFonts w:ascii="Arial" w:hAnsi="Arial" w:cs="Arial"/>
          <w:b/>
          <w:bCs/>
        </w:rPr>
        <w:t>R</w:t>
      </w:r>
      <w:r w:rsidR="00F12E1C">
        <w:rPr>
          <w:rFonts w:ascii="Arial" w:hAnsi="Arial" w:cs="Arial"/>
          <w:b/>
          <w:bCs/>
        </w:rPr>
        <w:t xml:space="preserve">eceiving </w:t>
      </w:r>
      <w:proofErr w:type="spellStart"/>
      <w:r w:rsidR="007F2337">
        <w:rPr>
          <w:rFonts w:ascii="Arial" w:hAnsi="Arial" w:cs="Arial"/>
          <w:b/>
          <w:bCs/>
        </w:rPr>
        <w:t>Terlipressin</w:t>
      </w:r>
      <w:proofErr w:type="spellEnd"/>
      <w:r w:rsidR="007F2337">
        <w:rPr>
          <w:rFonts w:ascii="Arial" w:hAnsi="Arial" w:cs="Arial"/>
          <w:b/>
          <w:bCs/>
        </w:rPr>
        <w:t xml:space="preserve"> and M</w:t>
      </w:r>
      <w:r w:rsidR="00F12E1C">
        <w:rPr>
          <w:rFonts w:ascii="Arial" w:hAnsi="Arial" w:cs="Arial"/>
          <w:b/>
          <w:bCs/>
        </w:rPr>
        <w:t xml:space="preserve">ore </w:t>
      </w:r>
      <w:r w:rsidR="007F2337">
        <w:rPr>
          <w:rFonts w:ascii="Arial" w:hAnsi="Arial" w:cs="Arial"/>
          <w:b/>
          <w:bCs/>
        </w:rPr>
        <w:t>F</w:t>
      </w:r>
      <w:r w:rsidR="00F12E1C">
        <w:rPr>
          <w:rFonts w:ascii="Arial" w:hAnsi="Arial" w:cs="Arial"/>
          <w:b/>
          <w:bCs/>
        </w:rPr>
        <w:t xml:space="preserve">requent than </w:t>
      </w:r>
      <w:r w:rsidR="007F2337">
        <w:rPr>
          <w:rFonts w:ascii="Arial" w:hAnsi="Arial" w:cs="Arial"/>
          <w:b/>
          <w:bCs/>
        </w:rPr>
        <w:t>P</w:t>
      </w:r>
      <w:r w:rsidR="00F12E1C">
        <w:rPr>
          <w:rFonts w:ascii="Arial" w:hAnsi="Arial" w:cs="Arial"/>
          <w:b/>
          <w:bCs/>
        </w:rPr>
        <w:t>lacebo/</w:t>
      </w:r>
      <w:r w:rsidR="007F2337">
        <w:rPr>
          <w:rFonts w:ascii="Arial" w:hAnsi="Arial" w:cs="Arial"/>
          <w:b/>
          <w:bCs/>
        </w:rPr>
        <w:t>C</w:t>
      </w:r>
      <w:r w:rsidR="00033A11">
        <w:rPr>
          <w:rFonts w:ascii="Arial" w:hAnsi="Arial" w:cs="Arial"/>
          <w:b/>
          <w:bCs/>
        </w:rPr>
        <w:t>ontrol</w:t>
      </w:r>
      <w:r w:rsidR="00F12E1C">
        <w:rPr>
          <w:rFonts w:ascii="Arial" w:hAnsi="Arial" w:cs="Arial"/>
          <w:b/>
          <w:bCs/>
        </w:rPr>
        <w:t xml:space="preserve"> </w:t>
      </w:r>
      <w:r w:rsidR="00F12E1C">
        <w:rPr>
          <w:rFonts w:ascii="Arial" w:hAnsi="Arial" w:cs="Arial"/>
          <w:b/>
          <w:bCs/>
          <w:lang w:val="en-US"/>
        </w:rPr>
        <w:t xml:space="preserve">in either OT-0401 or TAHRS </w:t>
      </w:r>
      <w:r w:rsidR="007F2337">
        <w:rPr>
          <w:rFonts w:ascii="Arial" w:hAnsi="Arial" w:cs="Arial"/>
          <w:b/>
          <w:bCs/>
          <w:lang w:val="en-US"/>
        </w:rPr>
        <w:t>S</w:t>
      </w:r>
      <w:r w:rsidR="00F12E1C">
        <w:rPr>
          <w:rFonts w:ascii="Arial" w:hAnsi="Arial" w:cs="Arial"/>
          <w:b/>
          <w:bCs/>
          <w:lang w:val="en-US"/>
        </w:rPr>
        <w:t xml:space="preserve">afety </w:t>
      </w:r>
      <w:r w:rsidR="007F2337">
        <w:rPr>
          <w:rFonts w:ascii="Arial" w:hAnsi="Arial" w:cs="Arial"/>
          <w:b/>
          <w:bCs/>
          <w:lang w:val="en-US"/>
        </w:rPr>
        <w:t>P</w:t>
      </w:r>
      <w:r w:rsidR="00F12E1C">
        <w:rPr>
          <w:rFonts w:ascii="Arial" w:hAnsi="Arial" w:cs="Arial"/>
          <w:b/>
          <w:bCs/>
          <w:lang w:val="en-US"/>
        </w:rPr>
        <w:t>opulation</w:t>
      </w:r>
      <w:r w:rsidR="00033A11">
        <w:rPr>
          <w:rFonts w:ascii="Arial" w:hAnsi="Arial" w:cs="Arial"/>
          <w:b/>
          <w:bCs/>
          <w:lang w:val="en-US"/>
        </w:rPr>
        <w:t xml:space="preserve"> </w:t>
      </w:r>
    </w:p>
    <w:tbl>
      <w:tblPr>
        <w:tblW w:w="5000" w:type="pct"/>
        <w:jc w:val="center"/>
        <w:tblBorders>
          <w:top w:val="double" w:sz="6" w:space="0" w:color="auto"/>
          <w:left w:val="single" w:sz="6" w:space="0" w:color="auto"/>
          <w:bottom w:val="double" w:sz="6" w:space="0" w:color="auto"/>
          <w:right w:val="single" w:sz="6" w:space="0" w:color="auto"/>
        </w:tblBorders>
        <w:tblLook w:val="0000"/>
      </w:tblPr>
      <w:tblGrid>
        <w:gridCol w:w="3250"/>
        <w:gridCol w:w="1704"/>
        <w:gridCol w:w="1262"/>
        <w:gridCol w:w="1704"/>
        <w:gridCol w:w="1322"/>
      </w:tblGrid>
      <w:tr w:rsidR="00D40DDA" w:rsidRPr="000470E8" w:rsidTr="00BB0827">
        <w:trPr>
          <w:tblHeader/>
          <w:jc w:val="center"/>
        </w:trPr>
        <w:tc>
          <w:tcPr>
            <w:tcW w:w="1758" w:type="pct"/>
            <w:tcBorders>
              <w:top w:val="double" w:sz="6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05" w:type="pct"/>
            <w:gridSpan w:val="2"/>
            <w:tcBorders>
              <w:top w:val="double" w:sz="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b/>
                <w:sz w:val="22"/>
                <w:szCs w:val="22"/>
              </w:rPr>
              <w:t>OT-0401</w:t>
            </w:r>
          </w:p>
        </w:tc>
        <w:tc>
          <w:tcPr>
            <w:tcW w:w="1637" w:type="pct"/>
            <w:gridSpan w:val="2"/>
            <w:tcBorders>
              <w:top w:val="double" w:sz="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b/>
                <w:sz w:val="22"/>
                <w:szCs w:val="22"/>
              </w:rPr>
              <w:t>TAHRS</w:t>
            </w:r>
          </w:p>
        </w:tc>
      </w:tr>
      <w:tr w:rsidR="00051A82" w:rsidRPr="000470E8" w:rsidTr="00BB0827">
        <w:trPr>
          <w:tblHeader/>
          <w:jc w:val="center"/>
        </w:trPr>
        <w:tc>
          <w:tcPr>
            <w:tcW w:w="175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0470E8">
              <w:rPr>
                <w:rFonts w:ascii="Arial Narrow" w:hAnsi="Arial Narrow" w:cs="Arial"/>
                <w:sz w:val="22"/>
                <w:szCs w:val="22"/>
              </w:rPr>
              <w:t>Terlipressin</w:t>
            </w:r>
            <w:proofErr w:type="spellEnd"/>
          </w:p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(N=56)</w:t>
            </w:r>
          </w:p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n (%)</w:t>
            </w:r>
          </w:p>
        </w:tc>
        <w:tc>
          <w:tcPr>
            <w:tcW w:w="683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Placebo</w:t>
            </w:r>
          </w:p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(N=55)</w:t>
            </w:r>
          </w:p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n (%)</w:t>
            </w:r>
          </w:p>
        </w:tc>
        <w:tc>
          <w:tcPr>
            <w:tcW w:w="922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0470E8">
              <w:rPr>
                <w:rFonts w:ascii="Arial Narrow" w:hAnsi="Arial Narrow" w:cs="Arial"/>
                <w:sz w:val="22"/>
                <w:szCs w:val="22"/>
              </w:rPr>
              <w:t>Terlipressin</w:t>
            </w:r>
            <w:proofErr w:type="spellEnd"/>
          </w:p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+ Albumin</w:t>
            </w:r>
          </w:p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(N=23)</w:t>
            </w:r>
          </w:p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n (%)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Albumin</w:t>
            </w:r>
          </w:p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(N=23)</w:t>
            </w:r>
          </w:p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n (%)</w:t>
            </w:r>
          </w:p>
        </w:tc>
      </w:tr>
      <w:tr w:rsidR="00D40DDA" w:rsidRPr="000470E8" w:rsidTr="004D21C1">
        <w:trPr>
          <w:jc w:val="center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Gastrointestinal</w:t>
            </w:r>
          </w:p>
        </w:tc>
      </w:tr>
      <w:tr w:rsidR="00D40DDA" w:rsidRPr="000470E8" w:rsidTr="00BB0827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175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ab/>
              <w:t xml:space="preserve">Nausea </w:t>
            </w:r>
          </w:p>
        </w:tc>
        <w:tc>
          <w:tcPr>
            <w:tcW w:w="922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3 (5.4)</w:t>
            </w:r>
          </w:p>
        </w:tc>
        <w:tc>
          <w:tcPr>
            <w:tcW w:w="683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3 (5.5)</w:t>
            </w:r>
          </w:p>
        </w:tc>
        <w:tc>
          <w:tcPr>
            <w:tcW w:w="922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2 (8.7)</w:t>
            </w:r>
          </w:p>
        </w:tc>
        <w:tc>
          <w:tcPr>
            <w:tcW w:w="715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0 (0.0)</w:t>
            </w:r>
          </w:p>
        </w:tc>
      </w:tr>
      <w:tr w:rsidR="00D40DDA" w:rsidRPr="000470E8" w:rsidTr="00BB0827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175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ab/>
              <w:t xml:space="preserve">Abdominal pain 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2 (3.6)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2 (3.6)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5 (21.7)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0 (0.0)</w:t>
            </w:r>
          </w:p>
        </w:tc>
      </w:tr>
      <w:tr w:rsidR="00D40DDA" w:rsidRPr="000470E8" w:rsidTr="00BB0827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175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ab/>
            </w:r>
            <w:proofErr w:type="spellStart"/>
            <w:r w:rsidRPr="000470E8">
              <w:rPr>
                <w:rFonts w:ascii="Arial Narrow" w:hAnsi="Arial Narrow" w:cs="Arial"/>
                <w:sz w:val="22"/>
                <w:szCs w:val="22"/>
              </w:rPr>
              <w:t>Diarrhoea</w:t>
            </w:r>
            <w:proofErr w:type="spellEnd"/>
            <w:r w:rsidRPr="000470E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0 (0.0)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0 (0.0)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7 (30.4)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2 (8.7)</w:t>
            </w:r>
          </w:p>
        </w:tc>
      </w:tr>
      <w:tr w:rsidR="00D40DDA" w:rsidRPr="000470E8" w:rsidTr="00BB0827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175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ab/>
              <w:t xml:space="preserve">Intestinal </w:t>
            </w:r>
            <w:proofErr w:type="spellStart"/>
            <w:r w:rsidRPr="000470E8">
              <w:rPr>
                <w:rFonts w:ascii="Arial Narrow" w:hAnsi="Arial Narrow" w:cs="Arial"/>
                <w:sz w:val="22"/>
                <w:szCs w:val="22"/>
              </w:rPr>
              <w:t>ischaemia</w:t>
            </w:r>
            <w:proofErr w:type="spellEnd"/>
            <w:r w:rsidRPr="000470E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0 (0.0)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0 (0.0)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3 (13.0)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>0 (0.0)</w:t>
            </w:r>
          </w:p>
        </w:tc>
      </w:tr>
      <w:tr w:rsidR="00CC5A40" w:rsidRPr="000470E8" w:rsidTr="0036700B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175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C5A40" w:rsidRPr="000470E8" w:rsidRDefault="00CC5A40" w:rsidP="0036700B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3395C">
              <w:rPr>
                <w:rFonts w:ascii="Arial Narrow" w:hAnsi="Arial Narrow" w:cs="Arial"/>
                <w:sz w:val="22"/>
                <w:szCs w:val="22"/>
              </w:rPr>
              <w:t xml:space="preserve">Rectal </w:t>
            </w:r>
            <w:proofErr w:type="spellStart"/>
            <w:r w:rsidRPr="00C3395C">
              <w:rPr>
                <w:rFonts w:ascii="Arial Narrow" w:hAnsi="Arial Narrow" w:cs="Arial"/>
                <w:sz w:val="22"/>
                <w:szCs w:val="22"/>
              </w:rPr>
              <w:t>haemorrhage</w:t>
            </w:r>
            <w:proofErr w:type="spellEnd"/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C5A40" w:rsidRPr="00527E7F" w:rsidRDefault="00CC5A40" w:rsidP="0036700B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0 (0.0)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C5A40" w:rsidRPr="00527E7F" w:rsidRDefault="00CC5A40" w:rsidP="0036700B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0 (0.0)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C5A40" w:rsidRPr="00527E7F" w:rsidRDefault="00CC5A40" w:rsidP="0036700B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2 (8.7)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C5A40" w:rsidRPr="00527E7F" w:rsidRDefault="00CC5A40" w:rsidP="0036700B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0 (0.0)</w:t>
            </w:r>
          </w:p>
        </w:tc>
      </w:tr>
      <w:tr w:rsidR="00D40DDA" w:rsidRPr="000470E8" w:rsidTr="004D21C1">
        <w:trPr>
          <w:jc w:val="center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0DDA" w:rsidRPr="00527E7F" w:rsidRDefault="00D40DDA" w:rsidP="00051A82">
            <w:pPr>
              <w:pStyle w:val="TextTi10"/>
              <w:keepNext/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 xml:space="preserve">Respiratory </w:t>
            </w:r>
          </w:p>
        </w:tc>
      </w:tr>
      <w:tr w:rsidR="00D40DDA" w:rsidRPr="000470E8" w:rsidTr="00BB0827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175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ab/>
            </w:r>
            <w:proofErr w:type="spellStart"/>
            <w:r w:rsidRPr="000470E8">
              <w:rPr>
                <w:rFonts w:ascii="Arial Narrow" w:hAnsi="Arial Narrow" w:cs="Arial"/>
                <w:sz w:val="22"/>
                <w:szCs w:val="22"/>
              </w:rPr>
              <w:t>Dyspnoea</w:t>
            </w:r>
            <w:proofErr w:type="spellEnd"/>
          </w:p>
        </w:tc>
        <w:tc>
          <w:tcPr>
            <w:tcW w:w="922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D40DDA" w:rsidRPr="00527E7F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0 (0.0)</w:t>
            </w:r>
          </w:p>
        </w:tc>
        <w:tc>
          <w:tcPr>
            <w:tcW w:w="683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D40DDA" w:rsidRPr="00527E7F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0 (0.0)</w:t>
            </w:r>
          </w:p>
        </w:tc>
        <w:tc>
          <w:tcPr>
            <w:tcW w:w="922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D40DDA" w:rsidRPr="00527E7F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3 (13.0)</w:t>
            </w:r>
          </w:p>
        </w:tc>
        <w:tc>
          <w:tcPr>
            <w:tcW w:w="715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D40DDA" w:rsidRPr="00527E7F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0 (0.0)</w:t>
            </w:r>
          </w:p>
        </w:tc>
      </w:tr>
      <w:tr w:rsidR="00D40DDA" w:rsidRPr="000470E8" w:rsidTr="00BB0827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175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ab/>
              <w:t xml:space="preserve">Pulmonary </w:t>
            </w:r>
            <w:proofErr w:type="spellStart"/>
            <w:r w:rsidRPr="000470E8">
              <w:rPr>
                <w:rFonts w:ascii="Arial Narrow" w:hAnsi="Arial Narrow" w:cs="Arial"/>
                <w:sz w:val="22"/>
                <w:szCs w:val="22"/>
              </w:rPr>
              <w:t>oedema</w:t>
            </w:r>
            <w:r w:rsidRPr="000470E8">
              <w:rPr>
                <w:rFonts w:ascii="Arial Narrow" w:hAnsi="Arial Narrow" w:cs="Arial"/>
                <w:sz w:val="22"/>
                <w:szCs w:val="22"/>
                <w:vertAlign w:val="superscript"/>
              </w:rPr>
              <w:t>a</w:t>
            </w:r>
            <w:proofErr w:type="spellEnd"/>
            <w:r w:rsidRPr="000470E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40DDA" w:rsidRPr="00527E7F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4 (7.1)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40DDA" w:rsidRPr="00527E7F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3 (5.5)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40DDA" w:rsidRPr="00527E7F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4 (17.4)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40DDA" w:rsidRPr="00527E7F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1 (4.3)</w:t>
            </w:r>
          </w:p>
        </w:tc>
      </w:tr>
      <w:tr w:rsidR="00CC5A40" w:rsidRPr="000470E8" w:rsidTr="0036700B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175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C5A40" w:rsidRPr="000470E8" w:rsidRDefault="00CC5A40" w:rsidP="0036700B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Respiratory distress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C5A40" w:rsidRPr="00527E7F" w:rsidRDefault="00CC5A40" w:rsidP="0036700B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2 (3.6)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C5A40" w:rsidRPr="00527E7F" w:rsidRDefault="00CC5A40" w:rsidP="0036700B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0 (0.0)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C5A40" w:rsidRPr="00527E7F" w:rsidRDefault="00CC5A40" w:rsidP="0036700B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0 (0.0)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C5A40" w:rsidRPr="00527E7F" w:rsidRDefault="00CC5A40" w:rsidP="0036700B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0 (0.0)</w:t>
            </w:r>
          </w:p>
        </w:tc>
      </w:tr>
      <w:tr w:rsidR="00D40DDA" w:rsidRPr="000470E8" w:rsidTr="004D21C1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0DDA" w:rsidRPr="00527E7F" w:rsidRDefault="00D40DDA" w:rsidP="00051A82">
            <w:pPr>
              <w:pStyle w:val="TextTi10"/>
              <w:keepNext/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 xml:space="preserve">Metabolism and Nutrition </w:t>
            </w:r>
          </w:p>
        </w:tc>
      </w:tr>
      <w:tr w:rsidR="00D40DDA" w:rsidRPr="000470E8" w:rsidTr="00BB0827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175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C5A40" w:rsidRPr="000470E8" w:rsidRDefault="00D40DDA" w:rsidP="00CC5A40">
            <w:pPr>
              <w:pStyle w:val="TextTi10"/>
              <w:keepNext/>
              <w:spacing w:before="40" w:after="40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</w:rPr>
              <w:tab/>
              <w:t xml:space="preserve">Fluid overload </w:t>
            </w:r>
          </w:p>
        </w:tc>
        <w:tc>
          <w:tcPr>
            <w:tcW w:w="922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D40DDA" w:rsidRPr="00527E7F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0 (0.0)</w:t>
            </w:r>
          </w:p>
        </w:tc>
        <w:tc>
          <w:tcPr>
            <w:tcW w:w="683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D40DDA" w:rsidRPr="00527E7F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0 (0.0)</w:t>
            </w:r>
          </w:p>
        </w:tc>
        <w:tc>
          <w:tcPr>
            <w:tcW w:w="922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D40DDA" w:rsidRPr="00527E7F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3 (13.0)</w:t>
            </w:r>
          </w:p>
        </w:tc>
        <w:tc>
          <w:tcPr>
            <w:tcW w:w="715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D40DDA" w:rsidRPr="00527E7F" w:rsidRDefault="00D40DDA" w:rsidP="00051A82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2 (8.7)</w:t>
            </w:r>
          </w:p>
        </w:tc>
      </w:tr>
      <w:tr w:rsidR="00CC5A40" w:rsidRPr="000470E8" w:rsidTr="0036700B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175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C5A40" w:rsidRPr="000470E8" w:rsidRDefault="00CC5A40" w:rsidP="00CC5A40">
            <w:pPr>
              <w:pStyle w:val="TextTi10"/>
              <w:keepNext/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ab/>
              <w:t>Anorexia</w:t>
            </w:r>
          </w:p>
        </w:tc>
        <w:tc>
          <w:tcPr>
            <w:tcW w:w="922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CC5A40" w:rsidRPr="00527E7F" w:rsidRDefault="00CC5A40" w:rsidP="0036700B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0 (0.0)</w:t>
            </w:r>
          </w:p>
        </w:tc>
        <w:tc>
          <w:tcPr>
            <w:tcW w:w="683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CC5A40" w:rsidRPr="00527E7F" w:rsidRDefault="00CC5A40" w:rsidP="0036700B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0 (0.0)</w:t>
            </w:r>
          </w:p>
        </w:tc>
        <w:tc>
          <w:tcPr>
            <w:tcW w:w="922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CC5A40" w:rsidRPr="00527E7F" w:rsidRDefault="00CC5A40" w:rsidP="0036700B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2 (8.7)</w:t>
            </w:r>
          </w:p>
        </w:tc>
        <w:tc>
          <w:tcPr>
            <w:tcW w:w="715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CC5A40" w:rsidRPr="00527E7F" w:rsidRDefault="00CC5A40" w:rsidP="0036700B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0 (0.0)</w:t>
            </w:r>
          </w:p>
        </w:tc>
      </w:tr>
      <w:tr w:rsidR="00CC5A40" w:rsidRPr="000470E8" w:rsidTr="0036700B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175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C5A40" w:rsidRPr="000470E8" w:rsidRDefault="00CC5A40" w:rsidP="00CC5A40">
            <w:pPr>
              <w:pStyle w:val="TextTi10"/>
              <w:keepNext/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ab/>
              <w:t>Hypertension</w:t>
            </w:r>
          </w:p>
        </w:tc>
        <w:tc>
          <w:tcPr>
            <w:tcW w:w="922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CC5A40" w:rsidRPr="00527E7F" w:rsidRDefault="00CC5A40" w:rsidP="0036700B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0 (0.0)</w:t>
            </w:r>
          </w:p>
        </w:tc>
        <w:tc>
          <w:tcPr>
            <w:tcW w:w="683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CC5A40" w:rsidRPr="00527E7F" w:rsidRDefault="00CC5A40" w:rsidP="0036700B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0 (0.0)</w:t>
            </w:r>
          </w:p>
        </w:tc>
        <w:tc>
          <w:tcPr>
            <w:tcW w:w="922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CC5A40" w:rsidRPr="00527E7F" w:rsidRDefault="00CC5A40" w:rsidP="0036700B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2 (8.7)</w:t>
            </w:r>
          </w:p>
        </w:tc>
        <w:tc>
          <w:tcPr>
            <w:tcW w:w="715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CC5A40" w:rsidRPr="00527E7F" w:rsidRDefault="00CC5A40" w:rsidP="0036700B">
            <w:pPr>
              <w:pStyle w:val="TextTi10"/>
              <w:keepNext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7E7F">
              <w:rPr>
                <w:rFonts w:ascii="Arial Narrow" w:hAnsi="Arial Narrow" w:cs="Arial"/>
                <w:sz w:val="22"/>
                <w:szCs w:val="22"/>
              </w:rPr>
              <w:t>0 (0.0)</w:t>
            </w:r>
          </w:p>
        </w:tc>
      </w:tr>
      <w:tr w:rsidR="00D40DDA" w:rsidRPr="000470E8" w:rsidTr="004D21C1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40DDA" w:rsidRPr="000470E8" w:rsidRDefault="00D40DDA" w:rsidP="00051A82">
            <w:pPr>
              <w:pStyle w:val="TextTi10"/>
              <w:keepNext/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 w:rsidRPr="000470E8">
              <w:rPr>
                <w:rFonts w:ascii="Arial Narrow" w:hAnsi="Arial Narrow" w:cs="Arial"/>
                <w:sz w:val="22"/>
                <w:szCs w:val="22"/>
                <w:vertAlign w:val="superscript"/>
              </w:rPr>
              <w:t>a:</w:t>
            </w:r>
            <w:r w:rsidRPr="000470E8">
              <w:rPr>
                <w:rFonts w:ascii="Arial Narrow" w:hAnsi="Arial Narrow" w:cs="Arial"/>
                <w:sz w:val="22"/>
                <w:szCs w:val="22"/>
              </w:rPr>
              <w:t xml:space="preserve">   pulmonary </w:t>
            </w:r>
            <w:proofErr w:type="spellStart"/>
            <w:r w:rsidR="00372A0D">
              <w:rPr>
                <w:rFonts w:ascii="Arial Narrow" w:hAnsi="Arial Narrow" w:cs="Arial"/>
                <w:sz w:val="22"/>
                <w:szCs w:val="22"/>
              </w:rPr>
              <w:t>o</w:t>
            </w:r>
            <w:r w:rsidRPr="000470E8">
              <w:rPr>
                <w:rFonts w:ascii="Arial Narrow" w:hAnsi="Arial Narrow" w:cs="Arial"/>
                <w:sz w:val="22"/>
                <w:szCs w:val="22"/>
              </w:rPr>
              <w:t>edema</w:t>
            </w:r>
            <w:proofErr w:type="spellEnd"/>
            <w:r w:rsidRPr="000470E8">
              <w:rPr>
                <w:rFonts w:ascii="Arial Narrow" w:hAnsi="Arial Narrow" w:cs="Arial"/>
                <w:sz w:val="22"/>
                <w:szCs w:val="22"/>
              </w:rPr>
              <w:t xml:space="preserve"> includes acute pulmonary </w:t>
            </w:r>
            <w:proofErr w:type="spellStart"/>
            <w:r w:rsidR="00BA0790" w:rsidRPr="000470E8">
              <w:rPr>
                <w:rFonts w:ascii="Arial Narrow" w:hAnsi="Arial Narrow" w:cs="Arial"/>
                <w:sz w:val="22"/>
                <w:szCs w:val="22"/>
              </w:rPr>
              <w:t>o</w:t>
            </w:r>
            <w:r w:rsidRPr="000470E8">
              <w:rPr>
                <w:rFonts w:ascii="Arial Narrow" w:hAnsi="Arial Narrow" w:cs="Arial"/>
                <w:sz w:val="22"/>
                <w:szCs w:val="22"/>
              </w:rPr>
              <w:t>edema</w:t>
            </w:r>
            <w:proofErr w:type="spellEnd"/>
          </w:p>
        </w:tc>
      </w:tr>
    </w:tbl>
    <w:p w:rsidR="006F1773" w:rsidRDefault="006F1773" w:rsidP="006F1773">
      <w:pPr>
        <w:pStyle w:val="NoSpacing"/>
        <w:jc w:val="both"/>
        <w:rPr>
          <w:rFonts w:ascii="Arial" w:hAnsi="Arial" w:cs="Arial"/>
          <w:lang w:val="en-US"/>
        </w:rPr>
      </w:pPr>
      <w:r w:rsidRPr="006F1773">
        <w:rPr>
          <w:rFonts w:ascii="Arial" w:hAnsi="Arial" w:cs="Arial"/>
          <w:lang w:val="en-US"/>
        </w:rPr>
        <w:t xml:space="preserve"> </w:t>
      </w:r>
    </w:p>
    <w:p w:rsidR="006F1773" w:rsidRDefault="006F1773" w:rsidP="006F1773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There were no treatment-related deaths in either OT-0401 or TAHRS studies.</w:t>
      </w:r>
    </w:p>
    <w:p w:rsidR="00D40DDA" w:rsidRDefault="00D40DDA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7A63DC" w:rsidRDefault="00DC4B60" w:rsidP="00996578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D7118F">
        <w:rPr>
          <w:rFonts w:ascii="Arial" w:hAnsi="Arial" w:cs="Arial"/>
          <w:lang w:val="en-US"/>
        </w:rPr>
        <w:t>here were 2 treatment-</w:t>
      </w:r>
      <w:r>
        <w:rPr>
          <w:rFonts w:ascii="Arial" w:hAnsi="Arial" w:cs="Arial"/>
          <w:lang w:val="en-US"/>
        </w:rPr>
        <w:t>related deaths reported in the literature</w:t>
      </w:r>
      <w:r w:rsidR="00D7118F">
        <w:rPr>
          <w:rFonts w:ascii="Arial" w:hAnsi="Arial" w:cs="Arial"/>
          <w:lang w:val="en-US"/>
        </w:rPr>
        <w:t xml:space="preserve"> for HRS</w:t>
      </w:r>
      <w:r>
        <w:rPr>
          <w:rFonts w:ascii="Arial" w:hAnsi="Arial" w:cs="Arial"/>
          <w:lang w:val="en-US"/>
        </w:rPr>
        <w:t xml:space="preserve">: one each </w:t>
      </w:r>
      <w:r w:rsidR="00D7118F">
        <w:rPr>
          <w:rFonts w:ascii="Arial" w:hAnsi="Arial" w:cs="Arial"/>
          <w:lang w:val="en-US"/>
        </w:rPr>
        <w:t xml:space="preserve">due to </w:t>
      </w:r>
      <w:proofErr w:type="spellStart"/>
      <w:r w:rsidR="00D7118F">
        <w:rPr>
          <w:rFonts w:ascii="Arial" w:hAnsi="Arial" w:cs="Arial"/>
          <w:lang w:val="en-US"/>
        </w:rPr>
        <w:t>bronchospasm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D7118F">
        <w:rPr>
          <w:rFonts w:ascii="Arial" w:hAnsi="Arial" w:cs="Arial"/>
          <w:lang w:val="en-US"/>
        </w:rPr>
        <w:t>and sudden death, both were desc</w:t>
      </w:r>
      <w:r w:rsidR="005223F3">
        <w:rPr>
          <w:rFonts w:ascii="Arial" w:hAnsi="Arial" w:cs="Arial"/>
          <w:lang w:val="en-US"/>
        </w:rPr>
        <w:t>ribed in retrospective analyses</w:t>
      </w:r>
      <w:r>
        <w:rPr>
          <w:rFonts w:ascii="Arial" w:hAnsi="Arial" w:cs="Arial"/>
          <w:lang w:val="en-US"/>
        </w:rPr>
        <w:t>.</w:t>
      </w:r>
    </w:p>
    <w:p w:rsidR="007A63DC" w:rsidRDefault="007A63DC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8912B2" w:rsidRDefault="008912B2" w:rsidP="00996578">
      <w:pPr>
        <w:pStyle w:val="NoSpacing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Post-marketing Experience</w:t>
      </w:r>
    </w:p>
    <w:p w:rsidR="002330BF" w:rsidRPr="0073231F" w:rsidRDefault="002330BF" w:rsidP="00996578">
      <w:pPr>
        <w:pStyle w:val="NoSpacing"/>
        <w:rPr>
          <w:rFonts w:ascii="Arial" w:hAnsi="Arial" w:cs="Arial"/>
          <w:b/>
          <w:lang w:val="en-US"/>
        </w:rPr>
      </w:pPr>
    </w:p>
    <w:p w:rsidR="00374A59" w:rsidRPr="008912B2" w:rsidRDefault="007F4202" w:rsidP="00996578">
      <w:pPr>
        <w:pStyle w:val="NoSpacing"/>
        <w:jc w:val="both"/>
        <w:rPr>
          <w:rFonts w:ascii="Arial" w:hAnsi="Arial" w:cs="Arial"/>
          <w:lang w:val="en-US"/>
        </w:rPr>
      </w:pPr>
      <w:r w:rsidRPr="00491D58">
        <w:rPr>
          <w:rFonts w:ascii="Arial" w:hAnsi="Arial" w:cs="Arial"/>
        </w:rPr>
        <w:t>The reports submitted to the WHO database in many instances describe no more than suspicions which have arisen from observation of an unexpected or unwanted event.  In most instances</w:t>
      </w:r>
      <w:r w:rsidR="005E0B48">
        <w:rPr>
          <w:rFonts w:ascii="Arial" w:hAnsi="Arial" w:cs="Arial"/>
        </w:rPr>
        <w:t>,</w:t>
      </w:r>
      <w:r w:rsidRPr="00491D58">
        <w:rPr>
          <w:rFonts w:ascii="Arial" w:hAnsi="Arial" w:cs="Arial"/>
        </w:rPr>
        <w:t xml:space="preserve"> it cannot be proven that a pharmaceutical product or ingredient is the cause of an event</w:t>
      </w:r>
      <w:r>
        <w:rPr>
          <w:rFonts w:ascii="Arial" w:hAnsi="Arial" w:cs="Arial"/>
        </w:rPr>
        <w:t>.</w:t>
      </w:r>
      <w:r w:rsidR="00F95A8C">
        <w:rPr>
          <w:rFonts w:ascii="Arial" w:hAnsi="Arial" w:cs="Arial"/>
        </w:rPr>
        <w:t xml:space="preserve">  </w:t>
      </w:r>
      <w:r w:rsidR="00374A59" w:rsidRPr="008912B2">
        <w:rPr>
          <w:rFonts w:ascii="Arial" w:hAnsi="Arial" w:cs="Arial"/>
          <w:lang w:val="en-US"/>
        </w:rPr>
        <w:t xml:space="preserve">The following serious and/or clinically significant adverse </w:t>
      </w:r>
      <w:r w:rsidR="004D0D18">
        <w:rPr>
          <w:rFonts w:ascii="Arial" w:hAnsi="Arial" w:cs="Arial"/>
          <w:lang w:val="en-US"/>
        </w:rPr>
        <w:t>reactions</w:t>
      </w:r>
      <w:r w:rsidR="004D0D18" w:rsidRPr="008912B2">
        <w:rPr>
          <w:rFonts w:ascii="Arial" w:hAnsi="Arial" w:cs="Arial"/>
          <w:lang w:val="en-US"/>
        </w:rPr>
        <w:t xml:space="preserve"> </w:t>
      </w:r>
      <w:r w:rsidR="00374A59" w:rsidRPr="008912B2">
        <w:rPr>
          <w:rFonts w:ascii="Arial" w:hAnsi="Arial" w:cs="Arial"/>
          <w:lang w:val="en-US"/>
        </w:rPr>
        <w:t xml:space="preserve">have been reported during post-approval use of </w:t>
      </w:r>
      <w:proofErr w:type="spellStart"/>
      <w:r w:rsidR="00374A59" w:rsidRPr="008912B2">
        <w:rPr>
          <w:rFonts w:ascii="Arial" w:hAnsi="Arial" w:cs="Arial"/>
          <w:lang w:val="en-US"/>
        </w:rPr>
        <w:t>terlipressin</w:t>
      </w:r>
      <w:proofErr w:type="spellEnd"/>
      <w:r w:rsidR="00374A59" w:rsidRPr="008912B2">
        <w:rPr>
          <w:rFonts w:ascii="Arial" w:hAnsi="Arial" w:cs="Arial"/>
          <w:lang w:val="en-US"/>
        </w:rPr>
        <w:t xml:space="preserve">, primarily in </w:t>
      </w:r>
      <w:r w:rsidR="0052475A">
        <w:rPr>
          <w:rFonts w:ascii="Arial" w:hAnsi="Arial" w:cs="Arial"/>
          <w:lang w:val="en-US"/>
        </w:rPr>
        <w:t xml:space="preserve">non-HRS type 1 </w:t>
      </w:r>
      <w:r w:rsidR="00374A59" w:rsidRPr="008912B2">
        <w:rPr>
          <w:rFonts w:ascii="Arial" w:hAnsi="Arial" w:cs="Arial"/>
          <w:lang w:val="en-US"/>
        </w:rPr>
        <w:t>indication</w:t>
      </w:r>
      <w:r w:rsidR="00833476">
        <w:rPr>
          <w:rFonts w:ascii="Arial" w:hAnsi="Arial" w:cs="Arial"/>
          <w:lang w:val="en-US"/>
        </w:rPr>
        <w:t>s</w:t>
      </w:r>
      <w:r w:rsidR="00374A59" w:rsidRPr="008912B2">
        <w:rPr>
          <w:rFonts w:ascii="Arial" w:hAnsi="Arial" w:cs="Arial"/>
          <w:lang w:val="en-US"/>
        </w:rPr>
        <w:t xml:space="preserve">. </w:t>
      </w:r>
      <w:r w:rsidR="00676E5F">
        <w:rPr>
          <w:rFonts w:ascii="Arial" w:hAnsi="Arial" w:cs="Arial"/>
          <w:lang w:val="en-US"/>
        </w:rPr>
        <w:t xml:space="preserve"> </w:t>
      </w:r>
      <w:r w:rsidR="00374A59" w:rsidRPr="008912B2">
        <w:rPr>
          <w:rFonts w:ascii="Arial" w:hAnsi="Arial" w:cs="Arial"/>
          <w:lang w:val="en-US"/>
        </w:rPr>
        <w:t>Since these reactions are reported from a population of uncertain size, it is not possible to reliably estimate their frequency or establish a causal relationship to drug exposure.</w:t>
      </w:r>
    </w:p>
    <w:p w:rsidR="00374A59" w:rsidRPr="008912B2" w:rsidRDefault="00374A59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374A59" w:rsidRDefault="00374A59" w:rsidP="00996578">
      <w:pPr>
        <w:pStyle w:val="NoSpacing"/>
        <w:jc w:val="both"/>
        <w:rPr>
          <w:rFonts w:ascii="Arial" w:hAnsi="Arial" w:cs="Arial"/>
          <w:lang w:val="en-US"/>
        </w:rPr>
      </w:pPr>
      <w:r w:rsidRPr="008912B2">
        <w:rPr>
          <w:rFonts w:ascii="Arial" w:hAnsi="Arial" w:cs="Arial"/>
          <w:lang w:val="en-US"/>
        </w:rPr>
        <w:t xml:space="preserve">Adverse reactions which caused or contributed to fatal outcome: intestinal </w:t>
      </w:r>
      <w:proofErr w:type="spellStart"/>
      <w:r w:rsidRPr="008912B2">
        <w:rPr>
          <w:rFonts w:ascii="Arial" w:hAnsi="Arial" w:cs="Arial"/>
          <w:lang w:val="en-US"/>
        </w:rPr>
        <w:t>isch</w:t>
      </w:r>
      <w:r w:rsidR="008912B2">
        <w:rPr>
          <w:rFonts w:ascii="Arial" w:hAnsi="Arial" w:cs="Arial"/>
          <w:lang w:val="en-US"/>
        </w:rPr>
        <w:t>a</w:t>
      </w:r>
      <w:r w:rsidRPr="008912B2">
        <w:rPr>
          <w:rFonts w:ascii="Arial" w:hAnsi="Arial" w:cs="Arial"/>
          <w:lang w:val="en-US"/>
        </w:rPr>
        <w:t>emia</w:t>
      </w:r>
      <w:proofErr w:type="spellEnd"/>
      <w:r w:rsidRPr="008912B2">
        <w:rPr>
          <w:rFonts w:ascii="Arial" w:hAnsi="Arial" w:cs="Arial"/>
          <w:lang w:val="en-US"/>
        </w:rPr>
        <w:t>, injection</w:t>
      </w:r>
      <w:r w:rsidR="008912B2">
        <w:rPr>
          <w:rFonts w:ascii="Arial" w:hAnsi="Arial" w:cs="Arial"/>
          <w:lang w:val="en-US"/>
        </w:rPr>
        <w:t xml:space="preserve"> site necrosis, skin necrosis, gastrointestinal</w:t>
      </w:r>
      <w:r w:rsidRPr="008912B2">
        <w:rPr>
          <w:rFonts w:ascii="Arial" w:hAnsi="Arial" w:cs="Arial"/>
          <w:lang w:val="en-US"/>
        </w:rPr>
        <w:t xml:space="preserve"> </w:t>
      </w:r>
      <w:proofErr w:type="spellStart"/>
      <w:r w:rsidRPr="008912B2">
        <w:rPr>
          <w:rFonts w:ascii="Arial" w:hAnsi="Arial" w:cs="Arial"/>
          <w:lang w:val="en-US"/>
        </w:rPr>
        <w:t>h</w:t>
      </w:r>
      <w:r w:rsidR="008912B2">
        <w:rPr>
          <w:rFonts w:ascii="Arial" w:hAnsi="Arial" w:cs="Arial"/>
          <w:lang w:val="en-US"/>
        </w:rPr>
        <w:t>a</w:t>
      </w:r>
      <w:r w:rsidRPr="008912B2">
        <w:rPr>
          <w:rFonts w:ascii="Arial" w:hAnsi="Arial" w:cs="Arial"/>
          <w:lang w:val="en-US"/>
        </w:rPr>
        <w:t>emorrhage</w:t>
      </w:r>
      <w:proofErr w:type="spellEnd"/>
      <w:r w:rsidRPr="008912B2">
        <w:rPr>
          <w:rFonts w:ascii="Arial" w:hAnsi="Arial" w:cs="Arial"/>
          <w:lang w:val="en-US"/>
        </w:rPr>
        <w:t xml:space="preserve">, respiratory insufficiency, pulmonary </w:t>
      </w:r>
      <w:proofErr w:type="spellStart"/>
      <w:r w:rsidR="008912B2">
        <w:rPr>
          <w:rFonts w:ascii="Arial" w:hAnsi="Arial" w:cs="Arial"/>
          <w:lang w:val="en-US"/>
        </w:rPr>
        <w:t>o</w:t>
      </w:r>
      <w:r w:rsidRPr="008912B2">
        <w:rPr>
          <w:rFonts w:ascii="Arial" w:hAnsi="Arial" w:cs="Arial"/>
          <w:lang w:val="en-US"/>
        </w:rPr>
        <w:t>edema</w:t>
      </w:r>
      <w:proofErr w:type="spellEnd"/>
      <w:r w:rsidRPr="008912B2">
        <w:rPr>
          <w:rFonts w:ascii="Arial" w:hAnsi="Arial" w:cs="Arial"/>
          <w:lang w:val="en-US"/>
        </w:rPr>
        <w:t xml:space="preserve">, circulatory failure, myocardial </w:t>
      </w:r>
      <w:proofErr w:type="spellStart"/>
      <w:r w:rsidRPr="008912B2">
        <w:rPr>
          <w:rFonts w:ascii="Arial" w:hAnsi="Arial" w:cs="Arial"/>
          <w:lang w:val="en-US"/>
        </w:rPr>
        <w:t>isch</w:t>
      </w:r>
      <w:r w:rsidR="008912B2">
        <w:rPr>
          <w:rFonts w:ascii="Arial" w:hAnsi="Arial" w:cs="Arial"/>
          <w:lang w:val="en-US"/>
        </w:rPr>
        <w:t>a</w:t>
      </w:r>
      <w:r w:rsidRPr="008912B2">
        <w:rPr>
          <w:rFonts w:ascii="Arial" w:hAnsi="Arial" w:cs="Arial"/>
          <w:lang w:val="en-US"/>
        </w:rPr>
        <w:t>emia</w:t>
      </w:r>
      <w:proofErr w:type="spellEnd"/>
      <w:r w:rsidRPr="008912B2">
        <w:rPr>
          <w:rFonts w:ascii="Arial" w:hAnsi="Arial" w:cs="Arial"/>
          <w:lang w:val="en-US"/>
        </w:rPr>
        <w:t>, sudden death, cyanosis, acidosis, lactic acidosis</w:t>
      </w:r>
      <w:r w:rsidR="00D811C3">
        <w:rPr>
          <w:rFonts w:ascii="Arial" w:hAnsi="Arial" w:cs="Arial"/>
          <w:lang w:val="en-US"/>
        </w:rPr>
        <w:t>, ventricular fibrillation</w:t>
      </w:r>
      <w:r w:rsidR="003E2EF2">
        <w:rPr>
          <w:rFonts w:ascii="Arial" w:hAnsi="Arial" w:cs="Arial"/>
          <w:lang w:val="en-US"/>
        </w:rPr>
        <w:t xml:space="preserve"> and</w:t>
      </w:r>
      <w:r w:rsidR="00D811C3">
        <w:rPr>
          <w:rFonts w:ascii="Arial" w:hAnsi="Arial" w:cs="Arial"/>
          <w:lang w:val="en-US"/>
        </w:rPr>
        <w:t xml:space="preserve"> cardiac arrest</w:t>
      </w:r>
      <w:r w:rsidRPr="008912B2">
        <w:rPr>
          <w:rFonts w:ascii="Arial" w:hAnsi="Arial" w:cs="Arial"/>
          <w:lang w:val="en-US"/>
        </w:rPr>
        <w:t>.</w:t>
      </w:r>
    </w:p>
    <w:p w:rsidR="00676E5F" w:rsidRPr="008912B2" w:rsidRDefault="00676E5F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374A59" w:rsidRDefault="00374A59" w:rsidP="00996578">
      <w:pPr>
        <w:pStyle w:val="NoSpacing"/>
        <w:jc w:val="both"/>
        <w:rPr>
          <w:rFonts w:ascii="Arial" w:hAnsi="Arial" w:cs="Arial"/>
          <w:lang w:val="en-US"/>
        </w:rPr>
      </w:pPr>
      <w:r w:rsidRPr="008912B2">
        <w:rPr>
          <w:rFonts w:ascii="Arial" w:hAnsi="Arial" w:cs="Arial"/>
          <w:lang w:val="en-US"/>
        </w:rPr>
        <w:lastRenderedPageBreak/>
        <w:t xml:space="preserve">Other clinically significant adverse </w:t>
      </w:r>
      <w:r w:rsidR="00FA30A2">
        <w:rPr>
          <w:rFonts w:ascii="Arial" w:hAnsi="Arial" w:cs="Arial"/>
          <w:lang w:val="en-US"/>
        </w:rPr>
        <w:t>reactions</w:t>
      </w:r>
      <w:r w:rsidRPr="008912B2">
        <w:rPr>
          <w:rFonts w:ascii="Arial" w:hAnsi="Arial" w:cs="Arial"/>
          <w:lang w:val="en-US"/>
        </w:rPr>
        <w:t xml:space="preserve">: prolonged QT interval, </w:t>
      </w:r>
      <w:proofErr w:type="spellStart"/>
      <w:r w:rsidRPr="008912B2">
        <w:rPr>
          <w:rFonts w:ascii="Arial" w:hAnsi="Arial" w:cs="Arial"/>
          <w:lang w:val="en-US"/>
        </w:rPr>
        <w:t>Torsade</w:t>
      </w:r>
      <w:proofErr w:type="spellEnd"/>
      <w:r w:rsidRPr="008912B2">
        <w:rPr>
          <w:rFonts w:ascii="Arial" w:hAnsi="Arial" w:cs="Arial"/>
          <w:lang w:val="en-US"/>
        </w:rPr>
        <w:t xml:space="preserve"> de pointes, hypertension, </w:t>
      </w:r>
      <w:proofErr w:type="spellStart"/>
      <w:r w:rsidRPr="008912B2">
        <w:rPr>
          <w:rFonts w:ascii="Arial" w:hAnsi="Arial" w:cs="Arial"/>
          <w:lang w:val="en-US"/>
        </w:rPr>
        <w:t>bradycardia</w:t>
      </w:r>
      <w:proofErr w:type="spellEnd"/>
      <w:r w:rsidRPr="008912B2">
        <w:rPr>
          <w:rFonts w:ascii="Arial" w:hAnsi="Arial" w:cs="Arial"/>
          <w:lang w:val="en-US"/>
        </w:rPr>
        <w:t xml:space="preserve">, </w:t>
      </w:r>
      <w:proofErr w:type="spellStart"/>
      <w:r w:rsidRPr="008912B2">
        <w:rPr>
          <w:rFonts w:ascii="Arial" w:hAnsi="Arial" w:cs="Arial"/>
          <w:lang w:val="en-US"/>
        </w:rPr>
        <w:t>hyponatr</w:t>
      </w:r>
      <w:r w:rsidR="001D09F2">
        <w:rPr>
          <w:rFonts w:ascii="Arial" w:hAnsi="Arial" w:cs="Arial"/>
          <w:lang w:val="en-US"/>
        </w:rPr>
        <w:t>a</w:t>
      </w:r>
      <w:r w:rsidRPr="008912B2">
        <w:rPr>
          <w:rFonts w:ascii="Arial" w:hAnsi="Arial" w:cs="Arial"/>
          <w:lang w:val="en-US"/>
        </w:rPr>
        <w:t>emia</w:t>
      </w:r>
      <w:proofErr w:type="spellEnd"/>
      <w:r w:rsidRPr="008912B2">
        <w:rPr>
          <w:rFonts w:ascii="Arial" w:hAnsi="Arial" w:cs="Arial"/>
          <w:lang w:val="en-US"/>
        </w:rPr>
        <w:t xml:space="preserve">, </w:t>
      </w:r>
      <w:proofErr w:type="spellStart"/>
      <w:r w:rsidRPr="008912B2">
        <w:rPr>
          <w:rFonts w:ascii="Arial" w:hAnsi="Arial" w:cs="Arial"/>
          <w:lang w:val="en-US"/>
        </w:rPr>
        <w:t>hypokal</w:t>
      </w:r>
      <w:r w:rsidR="001D09F2">
        <w:rPr>
          <w:rFonts w:ascii="Arial" w:hAnsi="Arial" w:cs="Arial"/>
          <w:lang w:val="en-US"/>
        </w:rPr>
        <w:t>a</w:t>
      </w:r>
      <w:r w:rsidRPr="008912B2">
        <w:rPr>
          <w:rFonts w:ascii="Arial" w:hAnsi="Arial" w:cs="Arial"/>
          <w:lang w:val="en-US"/>
        </w:rPr>
        <w:t>emia</w:t>
      </w:r>
      <w:proofErr w:type="spellEnd"/>
      <w:r w:rsidRPr="008912B2">
        <w:rPr>
          <w:rFonts w:ascii="Arial" w:hAnsi="Arial" w:cs="Arial"/>
          <w:lang w:val="en-US"/>
        </w:rPr>
        <w:t xml:space="preserve">, </w:t>
      </w:r>
      <w:proofErr w:type="spellStart"/>
      <w:r w:rsidRPr="008912B2">
        <w:rPr>
          <w:rFonts w:ascii="Arial" w:hAnsi="Arial" w:cs="Arial"/>
          <w:lang w:val="en-US"/>
        </w:rPr>
        <w:t>livedo</w:t>
      </w:r>
      <w:proofErr w:type="spellEnd"/>
      <w:r w:rsidRPr="008912B2">
        <w:rPr>
          <w:rFonts w:ascii="Arial" w:hAnsi="Arial" w:cs="Arial"/>
          <w:lang w:val="en-US"/>
        </w:rPr>
        <w:t xml:space="preserve"> </w:t>
      </w:r>
      <w:proofErr w:type="spellStart"/>
      <w:r w:rsidRPr="008912B2">
        <w:rPr>
          <w:rFonts w:ascii="Arial" w:hAnsi="Arial" w:cs="Arial"/>
          <w:lang w:val="en-US"/>
        </w:rPr>
        <w:t>reticularis</w:t>
      </w:r>
      <w:proofErr w:type="spellEnd"/>
      <w:r w:rsidRPr="008912B2">
        <w:rPr>
          <w:rFonts w:ascii="Arial" w:hAnsi="Arial" w:cs="Arial"/>
          <w:lang w:val="en-US"/>
        </w:rPr>
        <w:t xml:space="preserve">, peripheral </w:t>
      </w:r>
      <w:proofErr w:type="spellStart"/>
      <w:r w:rsidRPr="008912B2">
        <w:rPr>
          <w:rFonts w:ascii="Arial" w:hAnsi="Arial" w:cs="Arial"/>
          <w:lang w:val="en-US"/>
        </w:rPr>
        <w:t>isch</w:t>
      </w:r>
      <w:r w:rsidR="001D09F2">
        <w:rPr>
          <w:rFonts w:ascii="Arial" w:hAnsi="Arial" w:cs="Arial"/>
          <w:lang w:val="en-US"/>
        </w:rPr>
        <w:t>a</w:t>
      </w:r>
      <w:r w:rsidRPr="008912B2">
        <w:rPr>
          <w:rFonts w:ascii="Arial" w:hAnsi="Arial" w:cs="Arial"/>
          <w:lang w:val="en-US"/>
        </w:rPr>
        <w:t>emia</w:t>
      </w:r>
      <w:proofErr w:type="spellEnd"/>
      <w:r w:rsidRPr="008912B2">
        <w:rPr>
          <w:rFonts w:ascii="Arial" w:hAnsi="Arial" w:cs="Arial"/>
          <w:lang w:val="en-US"/>
        </w:rPr>
        <w:t xml:space="preserve">, vasospasm, </w:t>
      </w:r>
      <w:proofErr w:type="spellStart"/>
      <w:r w:rsidRPr="008912B2">
        <w:rPr>
          <w:rFonts w:ascii="Arial" w:hAnsi="Arial" w:cs="Arial"/>
          <w:lang w:val="en-US"/>
        </w:rPr>
        <w:t>rhabdomyolysis</w:t>
      </w:r>
      <w:proofErr w:type="spellEnd"/>
      <w:r w:rsidRPr="008912B2">
        <w:rPr>
          <w:rFonts w:ascii="Arial" w:hAnsi="Arial" w:cs="Arial"/>
          <w:lang w:val="en-US"/>
        </w:rPr>
        <w:t xml:space="preserve">, </w:t>
      </w:r>
      <w:proofErr w:type="spellStart"/>
      <w:r w:rsidR="00FA30A2">
        <w:rPr>
          <w:rFonts w:ascii="Arial" w:hAnsi="Arial" w:cs="Arial"/>
          <w:lang w:val="en-US"/>
        </w:rPr>
        <w:t>achrocyanosis</w:t>
      </w:r>
      <w:proofErr w:type="spellEnd"/>
      <w:r w:rsidR="00554D09" w:rsidRPr="00EE6079">
        <w:rPr>
          <w:rFonts w:ascii="Arial" w:hAnsi="Arial" w:cs="Arial"/>
          <w:lang w:val="en-US"/>
        </w:rPr>
        <w:t xml:space="preserve">, </w:t>
      </w:r>
      <w:proofErr w:type="spellStart"/>
      <w:r w:rsidR="00554D09" w:rsidRPr="00EE6079">
        <w:rPr>
          <w:rFonts w:ascii="Arial" w:hAnsi="Arial" w:cs="Arial"/>
          <w:lang w:val="en-US"/>
        </w:rPr>
        <w:t>Tako-Tsubo</w:t>
      </w:r>
      <w:proofErr w:type="spellEnd"/>
      <w:r w:rsidR="00554D09" w:rsidRPr="00EE6079">
        <w:rPr>
          <w:rFonts w:ascii="Arial" w:hAnsi="Arial" w:cs="Arial"/>
          <w:lang w:val="en-US"/>
        </w:rPr>
        <w:t xml:space="preserve"> </w:t>
      </w:r>
      <w:proofErr w:type="spellStart"/>
      <w:r w:rsidR="00554D09" w:rsidRPr="00EE6079">
        <w:rPr>
          <w:rFonts w:ascii="Arial" w:hAnsi="Arial" w:cs="Arial"/>
          <w:lang w:val="en-US"/>
        </w:rPr>
        <w:t>cardiomyopathy</w:t>
      </w:r>
      <w:proofErr w:type="spellEnd"/>
      <w:r w:rsidR="004610CA">
        <w:rPr>
          <w:rFonts w:ascii="Arial" w:hAnsi="Arial" w:cs="Arial"/>
          <w:lang w:val="en-US"/>
        </w:rPr>
        <w:t xml:space="preserve"> and</w:t>
      </w:r>
      <w:r w:rsidR="00FA30A2">
        <w:rPr>
          <w:rFonts w:ascii="Arial" w:hAnsi="Arial" w:cs="Arial"/>
          <w:lang w:val="en-US"/>
        </w:rPr>
        <w:t xml:space="preserve"> arrhythmia</w:t>
      </w:r>
      <w:r w:rsidRPr="008912B2">
        <w:rPr>
          <w:rFonts w:ascii="Arial" w:hAnsi="Arial" w:cs="Arial"/>
          <w:lang w:val="en-US"/>
        </w:rPr>
        <w:t>.</w:t>
      </w:r>
    </w:p>
    <w:p w:rsidR="00676E5F" w:rsidRPr="008912B2" w:rsidRDefault="00676E5F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374A59" w:rsidRPr="00374A59" w:rsidRDefault="00374A59" w:rsidP="00996578">
      <w:pPr>
        <w:pStyle w:val="NoSpacing"/>
        <w:rPr>
          <w:rFonts w:ascii="Arial" w:hAnsi="Arial" w:cs="Arial"/>
          <w:b/>
          <w:lang w:val="en-US"/>
        </w:rPr>
      </w:pPr>
      <w:r w:rsidRPr="00374A59">
        <w:rPr>
          <w:rFonts w:ascii="Arial" w:hAnsi="Arial" w:cs="Arial"/>
          <w:b/>
          <w:lang w:val="en-US"/>
        </w:rPr>
        <w:t>Immunogenicity</w:t>
      </w:r>
    </w:p>
    <w:p w:rsidR="00374A59" w:rsidRPr="001D09F2" w:rsidRDefault="00374A59" w:rsidP="00996578">
      <w:pPr>
        <w:pStyle w:val="NoSpacing"/>
        <w:jc w:val="both"/>
        <w:rPr>
          <w:rFonts w:ascii="Arial" w:hAnsi="Arial" w:cs="Arial"/>
          <w:lang w:val="en-US"/>
        </w:rPr>
      </w:pPr>
      <w:r w:rsidRPr="001D09F2">
        <w:rPr>
          <w:rFonts w:ascii="Arial" w:hAnsi="Arial" w:cs="Arial"/>
          <w:lang w:val="en-US"/>
        </w:rPr>
        <w:t xml:space="preserve">Blood samples were drawn from the patients in </w:t>
      </w:r>
      <w:r w:rsidR="003F0B70">
        <w:rPr>
          <w:rFonts w:ascii="Arial" w:hAnsi="Arial" w:cs="Arial"/>
          <w:lang w:val="en-US"/>
        </w:rPr>
        <w:t xml:space="preserve">study </w:t>
      </w:r>
      <w:r w:rsidRPr="001D09F2">
        <w:rPr>
          <w:rFonts w:ascii="Arial" w:hAnsi="Arial" w:cs="Arial"/>
          <w:lang w:val="en-US"/>
        </w:rPr>
        <w:t xml:space="preserve">OT-0401 at baseline </w:t>
      </w:r>
      <w:r w:rsidR="001D09F2">
        <w:rPr>
          <w:rFonts w:ascii="Arial" w:hAnsi="Arial" w:cs="Arial"/>
          <w:lang w:val="en-US"/>
        </w:rPr>
        <w:t>&amp;</w:t>
      </w:r>
      <w:r w:rsidRPr="001D09F2">
        <w:rPr>
          <w:rFonts w:ascii="Arial" w:hAnsi="Arial" w:cs="Arial"/>
          <w:lang w:val="en-US"/>
        </w:rPr>
        <w:t xml:space="preserve"> at days 14, 30 and 60. The plasma was </w:t>
      </w:r>
      <w:proofErr w:type="spellStart"/>
      <w:r w:rsidRPr="001D09F2">
        <w:rPr>
          <w:rFonts w:ascii="Arial" w:hAnsi="Arial" w:cs="Arial"/>
          <w:lang w:val="en-US"/>
        </w:rPr>
        <w:t>analy</w:t>
      </w:r>
      <w:r w:rsidR="003F0B70">
        <w:rPr>
          <w:rFonts w:ascii="Arial" w:hAnsi="Arial" w:cs="Arial"/>
          <w:lang w:val="en-US"/>
        </w:rPr>
        <w:t>s</w:t>
      </w:r>
      <w:r w:rsidRPr="001D09F2">
        <w:rPr>
          <w:rFonts w:ascii="Arial" w:hAnsi="Arial" w:cs="Arial"/>
          <w:lang w:val="en-US"/>
        </w:rPr>
        <w:t>ed</w:t>
      </w:r>
      <w:proofErr w:type="spellEnd"/>
      <w:r w:rsidRPr="001D09F2">
        <w:rPr>
          <w:rFonts w:ascii="Arial" w:hAnsi="Arial" w:cs="Arial"/>
          <w:lang w:val="en-US"/>
        </w:rPr>
        <w:t xml:space="preserve"> for </w:t>
      </w:r>
      <w:r w:rsidR="001D09F2">
        <w:rPr>
          <w:rFonts w:ascii="Arial" w:hAnsi="Arial" w:cs="Arial"/>
          <w:lang w:val="en-US"/>
        </w:rPr>
        <w:t>anti-</w:t>
      </w:r>
      <w:proofErr w:type="spellStart"/>
      <w:r w:rsidR="001D09F2">
        <w:rPr>
          <w:rFonts w:ascii="Arial" w:hAnsi="Arial" w:cs="Arial"/>
          <w:lang w:val="en-US"/>
        </w:rPr>
        <w:t>terlipressin</w:t>
      </w:r>
      <w:proofErr w:type="spellEnd"/>
      <w:r w:rsidR="001D09F2">
        <w:rPr>
          <w:rFonts w:ascii="Arial" w:hAnsi="Arial" w:cs="Arial"/>
          <w:lang w:val="en-US"/>
        </w:rPr>
        <w:t xml:space="preserve"> antibody </w:t>
      </w:r>
      <w:r w:rsidR="00147D69">
        <w:rPr>
          <w:rFonts w:ascii="Arial" w:hAnsi="Arial" w:cs="Arial"/>
          <w:lang w:val="en-US"/>
        </w:rPr>
        <w:t>titer</w:t>
      </w:r>
      <w:r w:rsidRPr="001D09F2">
        <w:rPr>
          <w:rFonts w:ascii="Arial" w:hAnsi="Arial" w:cs="Arial"/>
          <w:lang w:val="en-US"/>
        </w:rPr>
        <w:t xml:space="preserve"> using an enzyme-linked </w:t>
      </w:r>
      <w:proofErr w:type="spellStart"/>
      <w:r w:rsidRPr="001D09F2">
        <w:rPr>
          <w:rFonts w:ascii="Arial" w:hAnsi="Arial" w:cs="Arial"/>
          <w:lang w:val="en-US"/>
        </w:rPr>
        <w:t>immunosorbent</w:t>
      </w:r>
      <w:proofErr w:type="spellEnd"/>
      <w:r w:rsidRPr="001D09F2">
        <w:rPr>
          <w:rFonts w:ascii="Arial" w:hAnsi="Arial" w:cs="Arial"/>
          <w:lang w:val="en-US"/>
        </w:rPr>
        <w:t xml:space="preserve"> assay (ELISA).  No significant levels of antibody to </w:t>
      </w:r>
      <w:proofErr w:type="spellStart"/>
      <w:r w:rsidRPr="001D09F2">
        <w:rPr>
          <w:rFonts w:ascii="Arial" w:hAnsi="Arial" w:cs="Arial"/>
          <w:lang w:val="en-US"/>
        </w:rPr>
        <w:t>terlipressin</w:t>
      </w:r>
      <w:proofErr w:type="spellEnd"/>
      <w:r w:rsidRPr="001D09F2">
        <w:rPr>
          <w:rFonts w:ascii="Arial" w:hAnsi="Arial" w:cs="Arial"/>
          <w:lang w:val="en-US"/>
        </w:rPr>
        <w:t xml:space="preserve"> were detectable in any </w:t>
      </w:r>
      <w:r w:rsidR="001D09F2">
        <w:rPr>
          <w:rFonts w:ascii="Arial" w:hAnsi="Arial" w:cs="Arial"/>
          <w:lang w:val="en-US"/>
        </w:rPr>
        <w:t xml:space="preserve">of the </w:t>
      </w:r>
      <w:r w:rsidRPr="001D09F2">
        <w:rPr>
          <w:rFonts w:ascii="Arial" w:hAnsi="Arial" w:cs="Arial"/>
          <w:lang w:val="en-US"/>
        </w:rPr>
        <w:t>patient specimens tested.</w:t>
      </w:r>
    </w:p>
    <w:p w:rsidR="0073231F" w:rsidRPr="0073231F" w:rsidRDefault="0073231F" w:rsidP="00996578">
      <w:pPr>
        <w:pStyle w:val="NoSpacing"/>
        <w:rPr>
          <w:rFonts w:ascii="Arial" w:hAnsi="Arial" w:cs="Arial"/>
          <w:b/>
          <w:lang w:val="en-US"/>
        </w:rPr>
      </w:pPr>
    </w:p>
    <w:p w:rsidR="001D09F2" w:rsidRPr="00737DA4" w:rsidRDefault="001D09F2" w:rsidP="003F0B70">
      <w:pPr>
        <w:pStyle w:val="NoSpacing"/>
        <w:spacing w:before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DOSAGE AND ADMINISTRATION</w:t>
      </w:r>
      <w:r w:rsidRPr="00737DA4">
        <w:rPr>
          <w:rFonts w:ascii="Arial" w:hAnsi="Arial" w:cs="Arial"/>
          <w:b/>
          <w:lang w:val="en-US"/>
        </w:rPr>
        <w:t>:</w:t>
      </w:r>
    </w:p>
    <w:p w:rsidR="003F0B70" w:rsidRDefault="003F0B70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1D09F2" w:rsidRDefault="001D09F2" w:rsidP="00996578">
      <w:pPr>
        <w:pStyle w:val="NoSpacing"/>
        <w:jc w:val="both"/>
        <w:rPr>
          <w:rFonts w:ascii="Arial" w:hAnsi="Arial" w:cs="Arial"/>
          <w:lang w:val="en-US"/>
        </w:rPr>
      </w:pPr>
      <w:r w:rsidRPr="001D09F2">
        <w:rPr>
          <w:rFonts w:ascii="Arial" w:hAnsi="Arial" w:cs="Arial"/>
          <w:lang w:val="en-US"/>
        </w:rPr>
        <w:t xml:space="preserve">The recommended starting dose is </w:t>
      </w:r>
      <w:r w:rsidR="00563D3A" w:rsidRPr="00563D3A">
        <w:rPr>
          <w:rFonts w:ascii="Arial" w:hAnsi="Arial" w:cs="Arial"/>
          <w:lang w:val="en-US"/>
        </w:rPr>
        <w:t>one vial of LUCASSIN (0.85</w:t>
      </w:r>
      <w:r w:rsidR="00563D3A" w:rsidRPr="001D09F2">
        <w:rPr>
          <w:rFonts w:ascii="Arial" w:hAnsi="Arial" w:cs="Arial"/>
          <w:lang w:val="en-US"/>
        </w:rPr>
        <w:t xml:space="preserve"> </w:t>
      </w:r>
      <w:r w:rsidRPr="001D09F2">
        <w:rPr>
          <w:rFonts w:ascii="Arial" w:hAnsi="Arial" w:cs="Arial"/>
          <w:lang w:val="en-US"/>
        </w:rPr>
        <w:t xml:space="preserve">mg </w:t>
      </w:r>
      <w:proofErr w:type="spellStart"/>
      <w:r w:rsidR="00FA38F7">
        <w:rPr>
          <w:rFonts w:ascii="Arial" w:hAnsi="Arial" w:cs="Arial"/>
          <w:lang w:val="en-US"/>
        </w:rPr>
        <w:t>terlipressin</w:t>
      </w:r>
      <w:proofErr w:type="spellEnd"/>
      <w:r w:rsidR="00EC45FA">
        <w:rPr>
          <w:rFonts w:ascii="Arial" w:hAnsi="Arial" w:cs="Arial"/>
          <w:lang w:val="en-US"/>
        </w:rPr>
        <w:t>)</w:t>
      </w:r>
      <w:r w:rsidR="00FA38F7">
        <w:rPr>
          <w:rFonts w:ascii="Arial" w:hAnsi="Arial" w:cs="Arial"/>
          <w:lang w:val="en-US"/>
        </w:rPr>
        <w:t xml:space="preserve"> </w:t>
      </w:r>
      <w:r w:rsidRPr="001D09F2">
        <w:rPr>
          <w:rFonts w:ascii="Arial" w:hAnsi="Arial" w:cs="Arial"/>
          <w:lang w:val="en-US"/>
        </w:rPr>
        <w:t>every 6 hours by slow intravenous bolus injection.</w:t>
      </w:r>
      <w:r w:rsidR="00FA38F7">
        <w:rPr>
          <w:rFonts w:ascii="Arial" w:hAnsi="Arial" w:cs="Arial"/>
          <w:lang w:val="en-US"/>
        </w:rPr>
        <w:t xml:space="preserve"> </w:t>
      </w:r>
      <w:r w:rsidRPr="001D09F2">
        <w:rPr>
          <w:rFonts w:ascii="Arial" w:hAnsi="Arial" w:cs="Arial"/>
          <w:lang w:val="en-US"/>
        </w:rPr>
        <w:t xml:space="preserve"> If</w:t>
      </w:r>
      <w:r>
        <w:rPr>
          <w:rFonts w:ascii="Arial" w:hAnsi="Arial" w:cs="Arial"/>
          <w:lang w:val="en-US"/>
        </w:rPr>
        <w:t xml:space="preserve"> serum </w:t>
      </w:r>
      <w:proofErr w:type="spellStart"/>
      <w:r w:rsidRPr="001D09F2">
        <w:rPr>
          <w:rFonts w:ascii="Arial" w:hAnsi="Arial" w:cs="Arial"/>
          <w:lang w:val="en-US"/>
        </w:rPr>
        <w:t>creatinine</w:t>
      </w:r>
      <w:proofErr w:type="spellEnd"/>
      <w:r w:rsidRPr="001D09F2">
        <w:rPr>
          <w:rFonts w:ascii="Arial" w:hAnsi="Arial" w:cs="Arial"/>
          <w:lang w:val="en-US"/>
        </w:rPr>
        <w:t xml:space="preserve"> (</w:t>
      </w:r>
      <w:proofErr w:type="spellStart"/>
      <w:r w:rsidRPr="001D09F2">
        <w:rPr>
          <w:rFonts w:ascii="Arial" w:hAnsi="Arial" w:cs="Arial"/>
          <w:lang w:val="en-US"/>
        </w:rPr>
        <w:t>SCr</w:t>
      </w:r>
      <w:proofErr w:type="spellEnd"/>
      <w:r w:rsidRPr="001D09F2">
        <w:rPr>
          <w:rFonts w:ascii="Arial" w:hAnsi="Arial" w:cs="Arial"/>
          <w:lang w:val="en-US"/>
        </w:rPr>
        <w:t>) has not decreased by at least 30% from the baseline value</w:t>
      </w:r>
      <w:r>
        <w:rPr>
          <w:rFonts w:ascii="Arial" w:hAnsi="Arial" w:cs="Arial"/>
          <w:lang w:val="en-US"/>
        </w:rPr>
        <w:t xml:space="preserve"> after 3 days</w:t>
      </w:r>
      <w:r w:rsidRPr="001D09F2">
        <w:rPr>
          <w:rFonts w:ascii="Arial" w:hAnsi="Arial" w:cs="Arial"/>
          <w:lang w:val="en-US"/>
        </w:rPr>
        <w:t xml:space="preserve">, the dose </w:t>
      </w:r>
      <w:r w:rsidR="00BE264B">
        <w:rPr>
          <w:rFonts w:ascii="Arial" w:hAnsi="Arial" w:cs="Arial"/>
          <w:lang w:val="en-US"/>
        </w:rPr>
        <w:t xml:space="preserve">can </w:t>
      </w:r>
      <w:r w:rsidRPr="001D09F2">
        <w:rPr>
          <w:rFonts w:ascii="Arial" w:hAnsi="Arial" w:cs="Arial"/>
          <w:lang w:val="en-US"/>
        </w:rPr>
        <w:t xml:space="preserve">be </w:t>
      </w:r>
      <w:r>
        <w:rPr>
          <w:rFonts w:ascii="Arial" w:hAnsi="Arial" w:cs="Arial"/>
          <w:lang w:val="en-US"/>
        </w:rPr>
        <w:t>increased</w:t>
      </w:r>
      <w:r w:rsidRPr="001D09F2">
        <w:rPr>
          <w:rFonts w:ascii="Arial" w:hAnsi="Arial" w:cs="Arial"/>
          <w:lang w:val="en-US"/>
        </w:rPr>
        <w:t xml:space="preserve"> to </w:t>
      </w:r>
      <w:r w:rsidR="001D540B" w:rsidRPr="00884BDE">
        <w:rPr>
          <w:rFonts w:ascii="Arial" w:hAnsi="Arial" w:cs="Arial"/>
          <w:lang w:val="en-US"/>
        </w:rPr>
        <w:t>two vials of LUCASSIN (1.7</w:t>
      </w:r>
      <w:r w:rsidR="001D540B" w:rsidRPr="001D09F2">
        <w:rPr>
          <w:rFonts w:ascii="Arial" w:hAnsi="Arial" w:cs="Arial"/>
          <w:lang w:val="en-US"/>
        </w:rPr>
        <w:t xml:space="preserve"> </w:t>
      </w:r>
      <w:r w:rsidRPr="001D09F2">
        <w:rPr>
          <w:rFonts w:ascii="Arial" w:hAnsi="Arial" w:cs="Arial"/>
          <w:lang w:val="en-US"/>
        </w:rPr>
        <w:t>mg</w:t>
      </w:r>
      <w:r w:rsidR="0048204D">
        <w:rPr>
          <w:rFonts w:ascii="Arial" w:hAnsi="Arial" w:cs="Arial"/>
          <w:lang w:val="en-US"/>
        </w:rPr>
        <w:t xml:space="preserve"> </w:t>
      </w:r>
      <w:proofErr w:type="spellStart"/>
      <w:r w:rsidR="0048204D">
        <w:rPr>
          <w:rFonts w:ascii="Arial" w:hAnsi="Arial" w:cs="Arial"/>
          <w:lang w:val="en-US"/>
        </w:rPr>
        <w:t>terlipressin</w:t>
      </w:r>
      <w:proofErr w:type="spellEnd"/>
      <w:r w:rsidR="001D540B">
        <w:rPr>
          <w:rFonts w:ascii="Arial" w:hAnsi="Arial" w:cs="Arial"/>
          <w:lang w:val="en-US"/>
        </w:rPr>
        <w:t>)</w:t>
      </w:r>
      <w:r w:rsidR="0048204D">
        <w:rPr>
          <w:rFonts w:ascii="Arial" w:hAnsi="Arial" w:cs="Arial"/>
          <w:lang w:val="en-US"/>
        </w:rPr>
        <w:t xml:space="preserve"> </w:t>
      </w:r>
      <w:r w:rsidRPr="001D09F2">
        <w:rPr>
          <w:rFonts w:ascii="Arial" w:hAnsi="Arial" w:cs="Arial"/>
          <w:lang w:val="en-US"/>
        </w:rPr>
        <w:t>every 6 hours.</w:t>
      </w:r>
    </w:p>
    <w:p w:rsidR="0048204D" w:rsidRDefault="0048204D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1D09F2" w:rsidRDefault="001D09F2" w:rsidP="00996578">
      <w:pPr>
        <w:pStyle w:val="NoSpacing"/>
        <w:jc w:val="both"/>
        <w:rPr>
          <w:rFonts w:ascii="Arial" w:hAnsi="Arial" w:cs="Arial"/>
          <w:lang w:val="en-US"/>
        </w:rPr>
      </w:pPr>
      <w:r w:rsidRPr="006000C2">
        <w:rPr>
          <w:rFonts w:ascii="Arial" w:hAnsi="Arial" w:cs="Arial"/>
          <w:lang w:val="en-US"/>
        </w:rPr>
        <w:t xml:space="preserve">It is recommended that the dose should not be increased in patients with severe pre-existing cardiovascular disease or in the presence of an ongoing significant adverse event e.g. pulmonary </w:t>
      </w:r>
      <w:proofErr w:type="spellStart"/>
      <w:r w:rsidRPr="006000C2">
        <w:rPr>
          <w:rFonts w:ascii="Arial" w:hAnsi="Arial" w:cs="Arial"/>
          <w:lang w:val="en-US"/>
        </w:rPr>
        <w:t>oedema</w:t>
      </w:r>
      <w:proofErr w:type="spellEnd"/>
      <w:r w:rsidRPr="006000C2">
        <w:rPr>
          <w:rFonts w:ascii="Arial" w:hAnsi="Arial" w:cs="Arial"/>
          <w:lang w:val="en-US"/>
        </w:rPr>
        <w:t xml:space="preserve">, </w:t>
      </w:r>
      <w:proofErr w:type="spellStart"/>
      <w:r w:rsidRPr="006000C2">
        <w:rPr>
          <w:rFonts w:ascii="Arial" w:hAnsi="Arial" w:cs="Arial"/>
          <w:lang w:val="en-US"/>
        </w:rPr>
        <w:t>ischaemia</w:t>
      </w:r>
      <w:proofErr w:type="spellEnd"/>
      <w:r w:rsidRPr="006000C2">
        <w:rPr>
          <w:rFonts w:ascii="Arial" w:hAnsi="Arial" w:cs="Arial"/>
          <w:lang w:val="en-US"/>
        </w:rPr>
        <w:t xml:space="preserve"> [See </w:t>
      </w:r>
      <w:r w:rsidRPr="006000C2">
        <w:rPr>
          <w:rFonts w:ascii="Arial" w:hAnsi="Arial" w:cs="Arial"/>
          <w:b/>
          <w:lang w:val="en-US"/>
        </w:rPr>
        <w:t>PRECAUTIONS</w:t>
      </w:r>
      <w:r w:rsidRPr="006000C2">
        <w:rPr>
          <w:rFonts w:ascii="Arial" w:hAnsi="Arial" w:cs="Arial"/>
          <w:lang w:val="en-US"/>
        </w:rPr>
        <w:t xml:space="preserve">].  Treatment with </w:t>
      </w:r>
      <w:r w:rsidR="0048204D" w:rsidRPr="006000C2">
        <w:rPr>
          <w:rFonts w:ascii="Arial" w:hAnsi="Arial" w:cs="Arial"/>
          <w:lang w:val="en-US"/>
        </w:rPr>
        <w:t xml:space="preserve">LUCASSIN </w:t>
      </w:r>
      <w:r w:rsidRPr="006000C2">
        <w:rPr>
          <w:rFonts w:ascii="Arial" w:hAnsi="Arial" w:cs="Arial"/>
          <w:lang w:val="en-US"/>
        </w:rPr>
        <w:t>should be continued until about 2 days after the patient achieves HRS reversal (</w:t>
      </w:r>
      <w:proofErr w:type="spellStart"/>
      <w:r w:rsidRPr="006000C2">
        <w:rPr>
          <w:rFonts w:ascii="Arial" w:hAnsi="Arial" w:cs="Arial"/>
          <w:lang w:val="en-US"/>
        </w:rPr>
        <w:t>SCr</w:t>
      </w:r>
      <w:proofErr w:type="spellEnd"/>
      <w:r w:rsidRPr="006000C2">
        <w:rPr>
          <w:rFonts w:ascii="Arial" w:hAnsi="Arial" w:cs="Arial"/>
          <w:lang w:val="en-US"/>
        </w:rPr>
        <w:t xml:space="preserve"> ≤</w:t>
      </w:r>
      <w:r w:rsidR="00C9108E" w:rsidRPr="006000C2">
        <w:rPr>
          <w:rFonts w:ascii="Arial" w:hAnsi="Arial" w:cs="Arial"/>
          <w:lang w:val="en-US"/>
        </w:rPr>
        <w:t>132.6 µmol/L</w:t>
      </w:r>
      <w:r w:rsidRPr="006000C2">
        <w:rPr>
          <w:rFonts w:ascii="Arial" w:hAnsi="Arial" w:cs="Arial"/>
          <w:lang w:val="en-US"/>
        </w:rPr>
        <w:t xml:space="preserve">).  Treatment should be terminated if the patient undergoes dialysis or liver transplant or if serum </w:t>
      </w:r>
      <w:proofErr w:type="spellStart"/>
      <w:r w:rsidRPr="006000C2">
        <w:rPr>
          <w:rFonts w:ascii="Arial" w:hAnsi="Arial" w:cs="Arial"/>
          <w:lang w:val="en-US"/>
        </w:rPr>
        <w:t>creatinine</w:t>
      </w:r>
      <w:proofErr w:type="spellEnd"/>
      <w:r w:rsidRPr="006000C2">
        <w:rPr>
          <w:rFonts w:ascii="Arial" w:hAnsi="Arial" w:cs="Arial"/>
          <w:lang w:val="en-US"/>
        </w:rPr>
        <w:t xml:space="preserve"> </w:t>
      </w:r>
      <w:r w:rsidR="005825E8" w:rsidRPr="006000C2">
        <w:rPr>
          <w:rFonts w:ascii="Arial" w:hAnsi="Arial" w:cs="Arial"/>
          <w:lang w:val="en-US"/>
        </w:rPr>
        <w:t>remains</w:t>
      </w:r>
      <w:r w:rsidRPr="006000C2">
        <w:rPr>
          <w:rFonts w:ascii="Arial" w:hAnsi="Arial" w:cs="Arial"/>
          <w:lang w:val="en-US"/>
        </w:rPr>
        <w:t xml:space="preserve"> at or above baseline after 7 days of treatment.  The initial</w:t>
      </w:r>
      <w:r w:rsidRPr="001D09F2">
        <w:rPr>
          <w:rFonts w:ascii="Arial" w:hAnsi="Arial" w:cs="Arial"/>
          <w:lang w:val="en-US"/>
        </w:rPr>
        <w:t xml:space="preserve"> treatment course may be continued for up to two weeks.</w:t>
      </w:r>
    </w:p>
    <w:p w:rsidR="0048204D" w:rsidRPr="001D09F2" w:rsidRDefault="0048204D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1D09F2" w:rsidRDefault="001D09F2" w:rsidP="00996578">
      <w:pPr>
        <w:pStyle w:val="NoSpacing"/>
        <w:jc w:val="both"/>
        <w:rPr>
          <w:rFonts w:ascii="Arial" w:hAnsi="Arial" w:cs="Arial"/>
          <w:lang w:val="en-US"/>
        </w:rPr>
      </w:pPr>
      <w:r w:rsidRPr="001D09F2">
        <w:rPr>
          <w:rFonts w:ascii="Arial" w:hAnsi="Arial" w:cs="Arial"/>
          <w:lang w:val="en-US"/>
        </w:rPr>
        <w:t xml:space="preserve">Management of suspected adverse drug reactions may require temporary interruption and/or dose reduction. When the patient’s symptoms resolve, </w:t>
      </w:r>
      <w:r w:rsidR="0048204D">
        <w:rPr>
          <w:rFonts w:ascii="Arial" w:hAnsi="Arial" w:cs="Arial"/>
          <w:lang w:val="en-US"/>
        </w:rPr>
        <w:t>LUCASSIN</w:t>
      </w:r>
      <w:r w:rsidR="0048204D" w:rsidRPr="001D09F2">
        <w:rPr>
          <w:rFonts w:ascii="Arial" w:hAnsi="Arial" w:cs="Arial"/>
          <w:lang w:val="en-US"/>
        </w:rPr>
        <w:t xml:space="preserve"> </w:t>
      </w:r>
      <w:r w:rsidRPr="001D09F2">
        <w:rPr>
          <w:rFonts w:ascii="Arial" w:hAnsi="Arial" w:cs="Arial"/>
          <w:lang w:val="en-US"/>
        </w:rPr>
        <w:t>may be re-</w:t>
      </w:r>
      <w:r>
        <w:rPr>
          <w:rFonts w:ascii="Arial" w:hAnsi="Arial" w:cs="Arial"/>
          <w:lang w:val="en-US"/>
        </w:rPr>
        <w:t>commenced</w:t>
      </w:r>
      <w:r w:rsidRPr="001D09F2">
        <w:rPr>
          <w:rFonts w:ascii="Arial" w:hAnsi="Arial" w:cs="Arial"/>
          <w:lang w:val="en-US"/>
        </w:rPr>
        <w:t xml:space="preserve"> at a lower dose or at a less frequent dosing interval (e.g., every 8 – 12 hours).  Lowest doses </w:t>
      </w:r>
      <w:r w:rsidRPr="00B47373">
        <w:rPr>
          <w:rFonts w:ascii="Arial" w:hAnsi="Arial" w:cs="Arial"/>
          <w:lang w:val="en-US"/>
        </w:rPr>
        <w:t xml:space="preserve">used in the clinical studies ranged from </w:t>
      </w:r>
      <w:r w:rsidR="00B47373" w:rsidRPr="00B47373">
        <w:rPr>
          <w:rFonts w:ascii="Arial" w:hAnsi="Arial" w:cs="Arial"/>
          <w:lang w:val="en-US"/>
        </w:rPr>
        <w:t xml:space="preserve">the equivalent of two to three vials of LUCASSIN (1.7 </w:t>
      </w:r>
      <w:r w:rsidRPr="00B47373">
        <w:rPr>
          <w:rFonts w:ascii="Arial" w:hAnsi="Arial" w:cs="Arial"/>
          <w:lang w:val="en-US"/>
        </w:rPr>
        <w:t>-</w:t>
      </w:r>
      <w:r w:rsidR="00B47373" w:rsidRPr="00B47373">
        <w:rPr>
          <w:rFonts w:ascii="Arial" w:hAnsi="Arial" w:cs="Arial"/>
          <w:lang w:val="en-US"/>
        </w:rPr>
        <w:t xml:space="preserve"> 2.55 </w:t>
      </w:r>
      <w:r w:rsidRPr="00B47373">
        <w:rPr>
          <w:rFonts w:ascii="Arial" w:hAnsi="Arial" w:cs="Arial"/>
          <w:lang w:val="en-US"/>
        </w:rPr>
        <w:t>mg</w:t>
      </w:r>
      <w:r w:rsidR="0024704A" w:rsidRPr="00B47373">
        <w:rPr>
          <w:rFonts w:ascii="Arial" w:hAnsi="Arial" w:cs="Arial"/>
          <w:lang w:val="en-US"/>
        </w:rPr>
        <w:t xml:space="preserve"> </w:t>
      </w:r>
      <w:proofErr w:type="spellStart"/>
      <w:r w:rsidR="0024704A" w:rsidRPr="00B47373">
        <w:rPr>
          <w:rFonts w:ascii="Arial" w:hAnsi="Arial" w:cs="Arial"/>
          <w:lang w:val="en-US"/>
        </w:rPr>
        <w:t>terlipressin</w:t>
      </w:r>
      <w:proofErr w:type="spellEnd"/>
      <w:r w:rsidR="0024704A" w:rsidRPr="00B47373">
        <w:rPr>
          <w:rFonts w:ascii="Arial" w:hAnsi="Arial" w:cs="Arial"/>
          <w:lang w:val="en-US"/>
        </w:rPr>
        <w:t>)</w:t>
      </w:r>
      <w:r w:rsidRPr="00B47373">
        <w:rPr>
          <w:rFonts w:ascii="Arial" w:hAnsi="Arial" w:cs="Arial"/>
          <w:lang w:val="en-US"/>
        </w:rPr>
        <w:t xml:space="preserve">/day.  The maximum dose studied (TAHRS Study) was </w:t>
      </w:r>
      <w:r w:rsidR="00B47373" w:rsidRPr="00B47373">
        <w:rPr>
          <w:rFonts w:ascii="Arial" w:hAnsi="Arial" w:cs="Arial"/>
          <w:lang w:val="en-US"/>
        </w:rPr>
        <w:t xml:space="preserve">the equivalent of two vials of LUCASSIN (1.7 </w:t>
      </w:r>
      <w:r w:rsidRPr="00B47373">
        <w:rPr>
          <w:rFonts w:ascii="Arial" w:hAnsi="Arial" w:cs="Arial"/>
          <w:lang w:val="en-US"/>
        </w:rPr>
        <w:t xml:space="preserve">mg </w:t>
      </w:r>
      <w:proofErr w:type="spellStart"/>
      <w:r w:rsidR="00504631" w:rsidRPr="00B47373">
        <w:rPr>
          <w:rFonts w:ascii="Arial" w:hAnsi="Arial" w:cs="Arial"/>
          <w:lang w:val="en-US"/>
        </w:rPr>
        <w:t>terlipressin</w:t>
      </w:r>
      <w:proofErr w:type="spellEnd"/>
      <w:r w:rsidR="00B47373" w:rsidRPr="00B47373">
        <w:rPr>
          <w:rFonts w:ascii="Arial" w:hAnsi="Arial" w:cs="Arial"/>
          <w:lang w:val="en-US"/>
        </w:rPr>
        <w:t>)</w:t>
      </w:r>
      <w:r w:rsidR="00504631" w:rsidRPr="00B47373">
        <w:rPr>
          <w:rFonts w:ascii="Arial" w:hAnsi="Arial" w:cs="Arial"/>
          <w:lang w:val="en-US"/>
        </w:rPr>
        <w:t xml:space="preserve"> </w:t>
      </w:r>
      <w:r w:rsidRPr="00B47373">
        <w:rPr>
          <w:rFonts w:ascii="Arial" w:hAnsi="Arial" w:cs="Arial"/>
          <w:lang w:val="en-US"/>
        </w:rPr>
        <w:t>every 4 hours.</w:t>
      </w:r>
    </w:p>
    <w:p w:rsidR="00D0163E" w:rsidRDefault="00D0163E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D0163E" w:rsidRDefault="00D0163E" w:rsidP="00996578">
      <w:pPr>
        <w:pStyle w:val="NoSpacing"/>
        <w:jc w:val="both"/>
        <w:rPr>
          <w:rFonts w:ascii="Arial" w:hAnsi="Arial" w:cs="Arial"/>
          <w:lang w:val="en-US"/>
        </w:rPr>
      </w:pPr>
      <w:r w:rsidRPr="00D0163E">
        <w:rPr>
          <w:rFonts w:ascii="Arial" w:hAnsi="Arial" w:cs="Arial"/>
          <w:lang w:val="en-US"/>
        </w:rPr>
        <w:t>Each vial of LUCASSIN is intended for single use in one patient only.</w:t>
      </w:r>
    </w:p>
    <w:p w:rsidR="00504631" w:rsidRDefault="00504631" w:rsidP="00996578">
      <w:pPr>
        <w:pStyle w:val="NoSpacing"/>
        <w:jc w:val="both"/>
        <w:rPr>
          <w:rFonts w:ascii="Arial" w:hAnsi="Arial" w:cs="Arial"/>
          <w:b/>
          <w:lang w:val="en-US"/>
        </w:rPr>
      </w:pPr>
      <w:bookmarkStart w:id="3" w:name="OLE_LINK3"/>
      <w:bookmarkStart w:id="4" w:name="OLE_LINK4"/>
    </w:p>
    <w:p w:rsidR="001D09F2" w:rsidRPr="001D09F2" w:rsidRDefault="001D09F2" w:rsidP="00996578">
      <w:pPr>
        <w:pStyle w:val="NoSpacing"/>
        <w:jc w:val="both"/>
        <w:rPr>
          <w:rFonts w:ascii="Arial" w:hAnsi="Arial" w:cs="Arial"/>
          <w:b/>
          <w:lang w:val="en-US"/>
        </w:rPr>
      </w:pPr>
      <w:r w:rsidRPr="001D09F2">
        <w:rPr>
          <w:rFonts w:ascii="Arial" w:hAnsi="Arial" w:cs="Arial"/>
          <w:b/>
          <w:lang w:val="en-US"/>
        </w:rPr>
        <w:t>Instructions for IV Administration</w:t>
      </w:r>
    </w:p>
    <w:p w:rsidR="00B84B88" w:rsidRDefault="001D09F2" w:rsidP="00996578">
      <w:pPr>
        <w:pStyle w:val="NoSpacing"/>
        <w:jc w:val="both"/>
        <w:rPr>
          <w:rFonts w:ascii="Arial" w:hAnsi="Arial" w:cs="Arial"/>
          <w:lang w:val="en-US"/>
        </w:rPr>
      </w:pPr>
      <w:r w:rsidRPr="001D09F2">
        <w:rPr>
          <w:rFonts w:ascii="Arial" w:hAnsi="Arial" w:cs="Arial"/>
          <w:lang w:val="en-US"/>
        </w:rPr>
        <w:t xml:space="preserve">Reconstitute each vial with 5 </w:t>
      </w:r>
      <w:proofErr w:type="spellStart"/>
      <w:r w:rsidRPr="001D09F2">
        <w:rPr>
          <w:rFonts w:ascii="Arial" w:hAnsi="Arial" w:cs="Arial"/>
          <w:lang w:val="en-US"/>
        </w:rPr>
        <w:t>mL</w:t>
      </w:r>
      <w:proofErr w:type="spellEnd"/>
      <w:r w:rsidRPr="001D09F2">
        <w:rPr>
          <w:rFonts w:ascii="Arial" w:hAnsi="Arial" w:cs="Arial"/>
          <w:lang w:val="en-US"/>
        </w:rPr>
        <w:t xml:space="preserve"> of sterile 0.9% sodium chloride injection prior to administration to prepare a </w:t>
      </w:r>
      <w:r w:rsidR="00BD5270" w:rsidRPr="00BD5270">
        <w:rPr>
          <w:rFonts w:ascii="Arial" w:hAnsi="Arial" w:cs="Arial"/>
          <w:lang w:val="en-US"/>
        </w:rPr>
        <w:t>0.85</w:t>
      </w:r>
      <w:r w:rsidR="00BD5270" w:rsidRPr="001D09F2">
        <w:rPr>
          <w:rFonts w:ascii="Arial" w:hAnsi="Arial" w:cs="Arial"/>
          <w:lang w:val="en-US"/>
        </w:rPr>
        <w:t xml:space="preserve"> </w:t>
      </w:r>
      <w:r w:rsidRPr="001D09F2">
        <w:rPr>
          <w:rFonts w:ascii="Arial" w:hAnsi="Arial" w:cs="Arial"/>
          <w:lang w:val="en-US"/>
        </w:rPr>
        <w:t xml:space="preserve">mg/5mL </w:t>
      </w:r>
      <w:proofErr w:type="spellStart"/>
      <w:r w:rsidR="005F3B61" w:rsidRPr="005F3B61">
        <w:rPr>
          <w:rFonts w:ascii="Arial" w:hAnsi="Arial" w:cs="Arial"/>
          <w:lang w:val="en-US"/>
        </w:rPr>
        <w:t>terlipressin</w:t>
      </w:r>
      <w:proofErr w:type="spellEnd"/>
      <w:r w:rsidR="005F3B61" w:rsidRPr="001D09F2">
        <w:rPr>
          <w:rFonts w:ascii="Arial" w:hAnsi="Arial" w:cs="Arial"/>
          <w:lang w:val="en-US"/>
        </w:rPr>
        <w:t xml:space="preserve"> </w:t>
      </w:r>
      <w:r w:rsidRPr="001D09F2">
        <w:rPr>
          <w:rFonts w:ascii="Arial" w:hAnsi="Arial" w:cs="Arial"/>
          <w:lang w:val="en-US"/>
        </w:rPr>
        <w:t xml:space="preserve">solution. </w:t>
      </w:r>
      <w:r w:rsidRPr="00537B68">
        <w:rPr>
          <w:rFonts w:ascii="Arial" w:hAnsi="Arial" w:cs="Arial"/>
          <w:u w:val="single"/>
          <w:lang w:val="en-US"/>
        </w:rPr>
        <w:t>Do not use dextrose solutions to reconstitute the vial.</w:t>
      </w:r>
      <w:r w:rsidRPr="005825E8">
        <w:rPr>
          <w:rFonts w:ascii="Arial" w:hAnsi="Arial" w:cs="Arial"/>
          <w:b/>
          <w:lang w:val="en-US"/>
        </w:rPr>
        <w:t xml:space="preserve"> </w:t>
      </w:r>
      <w:r w:rsidRPr="001D09F2">
        <w:rPr>
          <w:rFonts w:ascii="Arial" w:hAnsi="Arial" w:cs="Arial"/>
          <w:lang w:val="en-US"/>
        </w:rPr>
        <w:t xml:space="preserve"> Administer </w:t>
      </w:r>
      <w:r w:rsidR="006C58C4">
        <w:rPr>
          <w:rFonts w:ascii="Arial" w:hAnsi="Arial" w:cs="Arial"/>
          <w:lang w:val="en-US"/>
        </w:rPr>
        <w:t xml:space="preserve">LUCASSIN </w:t>
      </w:r>
      <w:r w:rsidRPr="001D09F2">
        <w:rPr>
          <w:rFonts w:ascii="Arial" w:hAnsi="Arial" w:cs="Arial"/>
          <w:lang w:val="en-US"/>
        </w:rPr>
        <w:t xml:space="preserve">as a slow IV bolus.  Flush the line with saline prior to and after the </w:t>
      </w:r>
      <w:r w:rsidR="006C58C4">
        <w:rPr>
          <w:rFonts w:ascii="Arial" w:hAnsi="Arial" w:cs="Arial"/>
          <w:lang w:val="en-US"/>
        </w:rPr>
        <w:t>LUCASSIN</w:t>
      </w:r>
      <w:r w:rsidR="006C58C4" w:rsidRPr="001D09F2">
        <w:rPr>
          <w:rFonts w:ascii="Arial" w:hAnsi="Arial" w:cs="Arial"/>
          <w:lang w:val="en-US"/>
        </w:rPr>
        <w:t xml:space="preserve"> </w:t>
      </w:r>
      <w:r w:rsidRPr="001D09F2">
        <w:rPr>
          <w:rFonts w:ascii="Arial" w:hAnsi="Arial" w:cs="Arial"/>
          <w:lang w:val="en-US"/>
        </w:rPr>
        <w:t>bolus injection.</w:t>
      </w:r>
    </w:p>
    <w:p w:rsidR="006C58C4" w:rsidRDefault="006C58C4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1D09F2" w:rsidRPr="001D09F2" w:rsidRDefault="001D09F2" w:rsidP="00996578">
      <w:pPr>
        <w:pStyle w:val="NoSpacing"/>
        <w:jc w:val="both"/>
        <w:rPr>
          <w:rFonts w:ascii="Arial" w:hAnsi="Arial" w:cs="Arial"/>
          <w:b/>
          <w:lang w:val="en-US"/>
        </w:rPr>
      </w:pPr>
      <w:proofErr w:type="spellStart"/>
      <w:r w:rsidRPr="001D09F2">
        <w:rPr>
          <w:rFonts w:ascii="Arial" w:hAnsi="Arial" w:cs="Arial"/>
          <w:lang w:val="en-US"/>
        </w:rPr>
        <w:t>Parenteral</w:t>
      </w:r>
      <w:proofErr w:type="spellEnd"/>
      <w:r w:rsidRPr="001D09F2">
        <w:rPr>
          <w:rFonts w:ascii="Arial" w:hAnsi="Arial" w:cs="Arial"/>
          <w:lang w:val="en-US"/>
        </w:rPr>
        <w:t xml:space="preserve"> drug products should be inspected visually for particulate matter and </w:t>
      </w:r>
      <w:proofErr w:type="spellStart"/>
      <w:r w:rsidRPr="001D09F2">
        <w:rPr>
          <w:rFonts w:ascii="Arial" w:hAnsi="Arial" w:cs="Arial"/>
          <w:lang w:val="en-US"/>
        </w:rPr>
        <w:t>discolo</w:t>
      </w:r>
      <w:r w:rsidR="006C58C4">
        <w:rPr>
          <w:rFonts w:ascii="Arial" w:hAnsi="Arial" w:cs="Arial"/>
          <w:lang w:val="en-US"/>
        </w:rPr>
        <w:t>u</w:t>
      </w:r>
      <w:r w:rsidRPr="001D09F2">
        <w:rPr>
          <w:rFonts w:ascii="Arial" w:hAnsi="Arial" w:cs="Arial"/>
          <w:lang w:val="en-US"/>
        </w:rPr>
        <w:t>rat</w:t>
      </w:r>
      <w:r w:rsidR="001D1CDE">
        <w:rPr>
          <w:rFonts w:ascii="Arial" w:hAnsi="Arial" w:cs="Arial"/>
          <w:lang w:val="en-US"/>
        </w:rPr>
        <w:t>ion</w:t>
      </w:r>
      <w:proofErr w:type="spellEnd"/>
      <w:r w:rsidR="001D1CDE">
        <w:rPr>
          <w:rFonts w:ascii="Arial" w:hAnsi="Arial" w:cs="Arial"/>
          <w:lang w:val="en-US"/>
        </w:rPr>
        <w:t xml:space="preserve"> prior to administration</w:t>
      </w:r>
      <w:r w:rsidRPr="001D09F2">
        <w:rPr>
          <w:rFonts w:ascii="Arial" w:hAnsi="Arial" w:cs="Arial"/>
          <w:lang w:val="en-US"/>
        </w:rPr>
        <w:t xml:space="preserve">. </w:t>
      </w:r>
      <w:r w:rsidR="006C58C4">
        <w:rPr>
          <w:rFonts w:ascii="Arial" w:hAnsi="Arial" w:cs="Arial"/>
          <w:lang w:val="en-US"/>
        </w:rPr>
        <w:t xml:space="preserve"> </w:t>
      </w:r>
      <w:r w:rsidRPr="001D09F2">
        <w:rPr>
          <w:rFonts w:ascii="Arial" w:hAnsi="Arial" w:cs="Arial"/>
          <w:lang w:val="en-US"/>
        </w:rPr>
        <w:t xml:space="preserve">If not administered immediately, </w:t>
      </w:r>
      <w:r w:rsidR="001D1CDE">
        <w:rPr>
          <w:rFonts w:ascii="Arial" w:hAnsi="Arial" w:cs="Arial"/>
          <w:lang w:val="en-US"/>
        </w:rPr>
        <w:t>the reconstituted solution</w:t>
      </w:r>
      <w:r w:rsidRPr="001D09F2">
        <w:rPr>
          <w:rFonts w:ascii="Arial" w:hAnsi="Arial" w:cs="Arial"/>
          <w:lang w:val="en-US"/>
        </w:rPr>
        <w:t xml:space="preserve"> should be refrigerated (2</w:t>
      </w:r>
      <w:r w:rsidR="001D1CDE">
        <w:rPr>
          <w:rFonts w:ascii="Arial" w:hAnsi="Arial" w:cs="Arial"/>
          <w:lang w:val="en-US"/>
        </w:rPr>
        <w:t xml:space="preserve"> </w:t>
      </w:r>
      <w:r w:rsidRPr="001D09F2">
        <w:rPr>
          <w:rFonts w:ascii="Arial" w:hAnsi="Arial" w:cs="Arial"/>
          <w:lang w:val="en-US"/>
        </w:rPr>
        <w:t>-</w:t>
      </w:r>
      <w:r w:rsidR="001D1CDE">
        <w:rPr>
          <w:rFonts w:ascii="Arial" w:hAnsi="Arial" w:cs="Arial"/>
          <w:lang w:val="en-US"/>
        </w:rPr>
        <w:t xml:space="preserve"> </w:t>
      </w:r>
      <w:r w:rsidRPr="001D09F2">
        <w:rPr>
          <w:rFonts w:ascii="Arial" w:hAnsi="Arial" w:cs="Arial"/>
          <w:lang w:val="en-US"/>
        </w:rPr>
        <w:t>8°C) up to 24 hrs prior to use.</w:t>
      </w:r>
      <w:bookmarkEnd w:id="3"/>
      <w:bookmarkEnd w:id="4"/>
    </w:p>
    <w:p w:rsidR="001D09F2" w:rsidRDefault="001D09F2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CC7A36" w:rsidRPr="005C20F4" w:rsidRDefault="005C20F4" w:rsidP="00996578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/>
        </w:rPr>
        <w:t xml:space="preserve">Drug Incompatibilities:  </w:t>
      </w:r>
      <w:proofErr w:type="spellStart"/>
      <w:r w:rsidRPr="005C20F4">
        <w:rPr>
          <w:rFonts w:ascii="Arial" w:hAnsi="Arial" w:cs="Arial"/>
          <w:color w:val="000000"/>
        </w:rPr>
        <w:t>Terlipressin</w:t>
      </w:r>
      <w:proofErr w:type="spellEnd"/>
      <w:r w:rsidRPr="005C20F4">
        <w:rPr>
          <w:rFonts w:ascii="Arial" w:hAnsi="Arial" w:cs="Arial"/>
          <w:color w:val="000000"/>
        </w:rPr>
        <w:t xml:space="preserve"> is incompatible with dextrose solutions.</w:t>
      </w:r>
    </w:p>
    <w:p w:rsidR="00CC7A36" w:rsidRDefault="00CC7A36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1D1CDE" w:rsidRPr="00737DA4" w:rsidRDefault="001D1CDE" w:rsidP="005C20F4">
      <w:pPr>
        <w:pStyle w:val="NoSpacing"/>
        <w:spacing w:before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OVERDOSAGE</w:t>
      </w:r>
      <w:r w:rsidRPr="00737DA4">
        <w:rPr>
          <w:rFonts w:ascii="Arial" w:hAnsi="Arial" w:cs="Arial"/>
          <w:b/>
          <w:lang w:val="en-US"/>
        </w:rPr>
        <w:t>:</w:t>
      </w:r>
    </w:p>
    <w:p w:rsidR="005C20F4" w:rsidRDefault="005C20F4" w:rsidP="00996578">
      <w:pPr>
        <w:pStyle w:val="NoSpacing"/>
        <w:jc w:val="both"/>
        <w:rPr>
          <w:rFonts w:ascii="Arial" w:hAnsi="Arial" w:cs="Arial"/>
          <w:lang w:val="en-US"/>
        </w:rPr>
      </w:pPr>
    </w:p>
    <w:p w:rsidR="001D1CDE" w:rsidRPr="001D1CDE" w:rsidRDefault="001D1CDE" w:rsidP="00996578">
      <w:pPr>
        <w:pStyle w:val="NoSpacing"/>
        <w:jc w:val="both"/>
        <w:rPr>
          <w:rFonts w:ascii="Arial" w:hAnsi="Arial" w:cs="Arial"/>
          <w:lang w:val="en-US"/>
        </w:rPr>
      </w:pPr>
      <w:r w:rsidRPr="001D1CDE">
        <w:rPr>
          <w:rFonts w:ascii="Arial" w:hAnsi="Arial" w:cs="Arial"/>
          <w:lang w:val="en-US"/>
        </w:rPr>
        <w:t xml:space="preserve">There are no published reports of overdose with </w:t>
      </w:r>
      <w:proofErr w:type="spellStart"/>
      <w:r w:rsidRPr="001D1CDE">
        <w:rPr>
          <w:rFonts w:ascii="Arial" w:hAnsi="Arial" w:cs="Arial"/>
          <w:lang w:val="en-US"/>
        </w:rPr>
        <w:t>terlipressin</w:t>
      </w:r>
      <w:proofErr w:type="spellEnd"/>
      <w:r w:rsidRPr="001D1CDE">
        <w:rPr>
          <w:rFonts w:ascii="Arial" w:hAnsi="Arial" w:cs="Arial"/>
          <w:lang w:val="en-US"/>
        </w:rPr>
        <w:t xml:space="preserve">.  Manifestations of </w:t>
      </w:r>
      <w:proofErr w:type="spellStart"/>
      <w:r w:rsidRPr="001D1CDE">
        <w:rPr>
          <w:rFonts w:ascii="Arial" w:hAnsi="Arial" w:cs="Arial"/>
          <w:lang w:val="en-US"/>
        </w:rPr>
        <w:t>terlipressin</w:t>
      </w:r>
      <w:proofErr w:type="spellEnd"/>
      <w:r w:rsidRPr="001D1CDE">
        <w:rPr>
          <w:rFonts w:ascii="Arial" w:hAnsi="Arial" w:cs="Arial"/>
          <w:lang w:val="en-US"/>
        </w:rPr>
        <w:t xml:space="preserve"> overdose are expected to be similar to the </w:t>
      </w:r>
      <w:r>
        <w:rPr>
          <w:rFonts w:ascii="Arial" w:hAnsi="Arial" w:cs="Arial"/>
          <w:lang w:val="en-US"/>
        </w:rPr>
        <w:t>adverse</w:t>
      </w:r>
      <w:r w:rsidRPr="001D1CDE">
        <w:rPr>
          <w:rFonts w:ascii="Arial" w:hAnsi="Arial" w:cs="Arial"/>
          <w:lang w:val="en-US"/>
        </w:rPr>
        <w:t xml:space="preserve"> effect</w:t>
      </w:r>
      <w:r w:rsidR="005C20F4">
        <w:rPr>
          <w:rFonts w:ascii="Arial" w:hAnsi="Arial" w:cs="Arial"/>
          <w:lang w:val="en-US"/>
        </w:rPr>
        <w:t>s</w:t>
      </w:r>
      <w:r w:rsidRPr="001D1CDE">
        <w:rPr>
          <w:rFonts w:ascii="Arial" w:hAnsi="Arial" w:cs="Arial"/>
          <w:lang w:val="en-US"/>
        </w:rPr>
        <w:t xml:space="preserve"> profile described </w:t>
      </w:r>
      <w:r w:rsidR="005C20F4">
        <w:rPr>
          <w:rFonts w:ascii="Arial" w:hAnsi="Arial" w:cs="Arial"/>
          <w:lang w:val="en-US"/>
        </w:rPr>
        <w:t>for</w:t>
      </w:r>
      <w:r w:rsidR="005C20F4" w:rsidRPr="001D1CDE">
        <w:rPr>
          <w:rFonts w:ascii="Arial" w:hAnsi="Arial" w:cs="Arial"/>
          <w:lang w:val="en-US"/>
        </w:rPr>
        <w:t xml:space="preserve"> </w:t>
      </w:r>
      <w:r w:rsidRPr="001D1CDE">
        <w:rPr>
          <w:rFonts w:ascii="Arial" w:hAnsi="Arial" w:cs="Arial"/>
          <w:lang w:val="en-US"/>
        </w:rPr>
        <w:t xml:space="preserve">therapeutic </w:t>
      </w:r>
      <w:r w:rsidRPr="001D1CDE">
        <w:rPr>
          <w:rFonts w:ascii="Arial" w:hAnsi="Arial" w:cs="Arial"/>
          <w:lang w:val="en-US"/>
        </w:rPr>
        <w:lastRenderedPageBreak/>
        <w:t>doses. Treatment should be symptomatic, with close monitoring of electrolytes, fluid balance and cardiovascular system.</w:t>
      </w:r>
    </w:p>
    <w:p w:rsidR="00CC7A36" w:rsidRDefault="00CC7A36" w:rsidP="00996578">
      <w:pPr>
        <w:pStyle w:val="NoSpacing"/>
        <w:rPr>
          <w:rFonts w:ascii="Arial" w:hAnsi="Arial" w:cs="Arial"/>
          <w:b/>
          <w:lang w:val="en-US"/>
        </w:rPr>
      </w:pPr>
    </w:p>
    <w:p w:rsidR="001D1CDE" w:rsidRPr="00737DA4" w:rsidRDefault="001D1CDE" w:rsidP="00B3280F">
      <w:pPr>
        <w:pStyle w:val="NoSpacing"/>
        <w:spacing w:before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PRESENTATION</w:t>
      </w:r>
      <w:r w:rsidRPr="00737DA4">
        <w:rPr>
          <w:rFonts w:ascii="Arial" w:hAnsi="Arial" w:cs="Arial"/>
          <w:b/>
          <w:lang w:val="en-US"/>
        </w:rPr>
        <w:t>:</w:t>
      </w:r>
    </w:p>
    <w:p w:rsidR="001D1CDE" w:rsidRDefault="001D1CDE" w:rsidP="00996578">
      <w:pPr>
        <w:pStyle w:val="NoSpacing"/>
        <w:rPr>
          <w:rFonts w:ascii="Arial" w:hAnsi="Arial" w:cs="Arial"/>
          <w:lang w:val="en-US"/>
        </w:rPr>
      </w:pPr>
      <w:r w:rsidRPr="005F3B61">
        <w:rPr>
          <w:rFonts w:ascii="Arial" w:hAnsi="Arial" w:cs="Arial"/>
          <w:lang w:val="en-US"/>
        </w:rPr>
        <w:t>LUCASSIN is supplied as lyophilized</w:t>
      </w:r>
      <w:r w:rsidR="00B3280F" w:rsidRPr="005F3B61">
        <w:rPr>
          <w:rFonts w:ascii="Arial" w:hAnsi="Arial" w:cs="Arial"/>
          <w:lang w:val="en-US"/>
        </w:rPr>
        <w:t xml:space="preserve"> </w:t>
      </w:r>
      <w:proofErr w:type="spellStart"/>
      <w:r w:rsidR="00B3280F" w:rsidRPr="005F3B61">
        <w:rPr>
          <w:rFonts w:ascii="Arial" w:hAnsi="Arial" w:cs="Arial"/>
        </w:rPr>
        <w:t>terlipressin</w:t>
      </w:r>
      <w:proofErr w:type="spellEnd"/>
      <w:r w:rsidR="00B3280F" w:rsidRPr="005F3B61">
        <w:rPr>
          <w:rFonts w:ascii="Arial" w:hAnsi="Arial" w:cs="Arial"/>
        </w:rPr>
        <w:t xml:space="preserve"> powder for injection</w:t>
      </w:r>
      <w:r w:rsidRPr="005F3B61">
        <w:rPr>
          <w:rFonts w:ascii="Arial" w:hAnsi="Arial" w:cs="Arial"/>
          <w:lang w:val="en-US"/>
        </w:rPr>
        <w:t>, single-use vials</w:t>
      </w:r>
      <w:r w:rsidR="005F3B61" w:rsidRPr="005F3B61">
        <w:rPr>
          <w:rFonts w:ascii="Arial" w:hAnsi="Arial" w:cs="Arial"/>
          <w:lang w:val="en-US"/>
        </w:rPr>
        <w:t xml:space="preserve">.  </w:t>
      </w:r>
      <w:r w:rsidR="005F3B61" w:rsidRPr="005F3B61">
        <w:rPr>
          <w:rFonts w:ascii="Arial" w:hAnsi="Arial" w:cs="Arial"/>
          <w:color w:val="000000"/>
        </w:rPr>
        <w:t>Each vial of LUCASSIN</w:t>
      </w:r>
      <w:r w:rsidR="005F3B61" w:rsidRPr="005F3B61">
        <w:rPr>
          <w:rFonts w:ascii="Arial" w:hAnsi="Arial" w:cs="Arial"/>
          <w:color w:val="000000"/>
          <w:position w:val="10"/>
          <w:vertAlign w:val="superscript"/>
        </w:rPr>
        <w:t xml:space="preserve"> </w:t>
      </w:r>
      <w:r w:rsidR="005F3B61" w:rsidRPr="005F3B61">
        <w:rPr>
          <w:rFonts w:ascii="Arial" w:hAnsi="Arial" w:cs="Arial"/>
          <w:color w:val="000000"/>
        </w:rPr>
        <w:t xml:space="preserve">contains 0.85 mg </w:t>
      </w:r>
      <w:proofErr w:type="spellStart"/>
      <w:r w:rsidR="005F3B61" w:rsidRPr="005F3B61">
        <w:rPr>
          <w:rFonts w:ascii="Arial" w:hAnsi="Arial" w:cs="Arial"/>
          <w:color w:val="000000"/>
        </w:rPr>
        <w:t>terlipressin</w:t>
      </w:r>
      <w:proofErr w:type="spellEnd"/>
      <w:r w:rsidRPr="005F3B61">
        <w:rPr>
          <w:rFonts w:ascii="Arial" w:hAnsi="Arial" w:cs="Arial"/>
          <w:lang w:val="en-US"/>
        </w:rPr>
        <w:t>.</w:t>
      </w:r>
    </w:p>
    <w:p w:rsidR="00FC743C" w:rsidRDefault="00FC743C" w:rsidP="00996578">
      <w:pPr>
        <w:pStyle w:val="NoSpacing"/>
        <w:rPr>
          <w:rFonts w:ascii="Arial" w:hAnsi="Arial" w:cs="Arial"/>
          <w:lang w:val="en-US"/>
        </w:rPr>
      </w:pPr>
    </w:p>
    <w:p w:rsidR="00FC743C" w:rsidRPr="001D1CDE" w:rsidRDefault="00FC743C" w:rsidP="00996578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LUCASSIN is available as single vials, and also in packs of 12 vials.</w:t>
      </w:r>
    </w:p>
    <w:p w:rsidR="0073231F" w:rsidRDefault="0073231F" w:rsidP="00996578">
      <w:pPr>
        <w:pStyle w:val="NoSpacing"/>
        <w:rPr>
          <w:rFonts w:ascii="Arial" w:hAnsi="Arial" w:cs="Arial"/>
          <w:b/>
          <w:lang w:val="en-US"/>
        </w:rPr>
      </w:pPr>
    </w:p>
    <w:p w:rsidR="00B3280F" w:rsidRPr="00737DA4" w:rsidRDefault="00B3280F" w:rsidP="00132FF9">
      <w:pPr>
        <w:pStyle w:val="NoSpacing"/>
        <w:spacing w:before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STORAGE</w:t>
      </w:r>
      <w:r w:rsidRPr="00737DA4">
        <w:rPr>
          <w:rFonts w:ascii="Arial" w:hAnsi="Arial" w:cs="Arial"/>
          <w:b/>
          <w:lang w:val="en-US"/>
        </w:rPr>
        <w:t>:</w:t>
      </w:r>
    </w:p>
    <w:p w:rsidR="00B3280F" w:rsidRPr="001D1CDE" w:rsidRDefault="00B3280F" w:rsidP="00B3280F">
      <w:pPr>
        <w:pStyle w:val="NoSpacing"/>
        <w:jc w:val="both"/>
        <w:rPr>
          <w:rFonts w:ascii="Arial" w:hAnsi="Arial" w:cs="Arial"/>
          <w:lang w:val="en-US"/>
        </w:rPr>
      </w:pPr>
      <w:r w:rsidRPr="007177DF">
        <w:rPr>
          <w:rFonts w:ascii="Arial" w:hAnsi="Arial" w:cs="Arial"/>
          <w:lang w:val="en-US"/>
        </w:rPr>
        <w:t xml:space="preserve">Refrigerate LUCASSIN vials at 2-8°C. </w:t>
      </w:r>
      <w:r w:rsidR="007177DF" w:rsidRPr="007177DF">
        <w:rPr>
          <w:rFonts w:ascii="Arial" w:hAnsi="Arial" w:cs="Arial"/>
          <w:lang w:val="en-US"/>
        </w:rPr>
        <w:t xml:space="preserve"> Vials should be stored in original carton in order to protect from light.</w:t>
      </w:r>
    </w:p>
    <w:p w:rsidR="00B3280F" w:rsidRDefault="00B3280F" w:rsidP="00B3280F">
      <w:pPr>
        <w:pStyle w:val="NoSpacing"/>
        <w:jc w:val="both"/>
        <w:rPr>
          <w:rFonts w:ascii="Arial" w:hAnsi="Arial" w:cs="Arial"/>
          <w:lang w:val="en-US"/>
        </w:rPr>
      </w:pPr>
      <w:r w:rsidRPr="001D1CDE">
        <w:rPr>
          <w:rFonts w:ascii="Arial" w:hAnsi="Arial" w:cs="Arial"/>
          <w:lang w:val="en-US"/>
        </w:rPr>
        <w:t>After reconstitution, the solution may be</w:t>
      </w:r>
      <w:r>
        <w:rPr>
          <w:rFonts w:ascii="Arial" w:hAnsi="Arial" w:cs="Arial"/>
          <w:lang w:val="en-US"/>
        </w:rPr>
        <w:t xml:space="preserve"> </w:t>
      </w:r>
      <w:r w:rsidRPr="001D1CDE">
        <w:rPr>
          <w:rFonts w:ascii="Arial" w:hAnsi="Arial" w:cs="Arial"/>
          <w:lang w:val="en-US"/>
        </w:rPr>
        <w:t>refrigerated (2-8°C) for up to 24 hours before use.</w:t>
      </w:r>
    </w:p>
    <w:p w:rsidR="00B3280F" w:rsidRPr="001D1CDE" w:rsidRDefault="00B3280F" w:rsidP="00B3280F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</w:t>
      </w:r>
      <w:r w:rsidRPr="001D1CDE">
        <w:rPr>
          <w:rFonts w:ascii="Arial" w:hAnsi="Arial" w:cs="Arial"/>
          <w:lang w:val="en-US"/>
        </w:rPr>
        <w:t>o not freeze.</w:t>
      </w:r>
    </w:p>
    <w:p w:rsidR="00B3280F" w:rsidRDefault="00B3280F" w:rsidP="00996578">
      <w:pPr>
        <w:pStyle w:val="NoSpacing"/>
        <w:rPr>
          <w:rFonts w:ascii="Arial" w:hAnsi="Arial" w:cs="Arial"/>
          <w:b/>
          <w:lang w:val="en-US"/>
        </w:rPr>
      </w:pPr>
    </w:p>
    <w:p w:rsidR="00D122F6" w:rsidRPr="00737DA4" w:rsidRDefault="00D122F6" w:rsidP="00132FF9">
      <w:pPr>
        <w:pStyle w:val="NoSpacing"/>
        <w:spacing w:before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NAME AND ADDRESS OF THE SPONSOR</w:t>
      </w:r>
      <w:r w:rsidRPr="00737DA4">
        <w:rPr>
          <w:rFonts w:ascii="Arial" w:hAnsi="Arial" w:cs="Arial"/>
          <w:b/>
          <w:lang w:val="en-US"/>
        </w:rPr>
        <w:t>:</w:t>
      </w:r>
    </w:p>
    <w:p w:rsidR="00D122F6" w:rsidRDefault="00D122F6" w:rsidP="0099657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Ikaria Australia</w:t>
      </w:r>
      <w:r w:rsidR="00132FF9">
        <w:rPr>
          <w:rFonts w:ascii="Arial" w:hAnsi="Arial" w:cs="Arial"/>
        </w:rPr>
        <w:t xml:space="preserve"> Pty Ltd</w:t>
      </w:r>
    </w:p>
    <w:p w:rsidR="00D122F6" w:rsidRDefault="00D122F6" w:rsidP="0099657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695 Burke Road</w:t>
      </w:r>
    </w:p>
    <w:p w:rsidR="00D122F6" w:rsidRDefault="00D122F6" w:rsidP="0099657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Hawthorn East VIC 3123</w:t>
      </w:r>
    </w:p>
    <w:p w:rsidR="005535B3" w:rsidRDefault="005535B3" w:rsidP="00996578">
      <w:pPr>
        <w:pStyle w:val="NoSpacing"/>
        <w:rPr>
          <w:rFonts w:ascii="Arial" w:hAnsi="Arial" w:cs="Arial"/>
        </w:rPr>
      </w:pPr>
    </w:p>
    <w:p w:rsidR="00132FF9" w:rsidRDefault="00132FF9" w:rsidP="00132FF9">
      <w:pPr>
        <w:pStyle w:val="NoSpacing"/>
        <w:spacing w:before="120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POISON SCHEDULE</w:t>
      </w:r>
      <w:r w:rsidRPr="00737DA4"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  <w:lang w:val="en-US"/>
        </w:rPr>
        <w:t xml:space="preserve">  </w:t>
      </w:r>
      <w:r>
        <w:rPr>
          <w:rFonts w:ascii="Arial" w:hAnsi="Arial" w:cs="Arial"/>
          <w:lang w:val="en-US"/>
        </w:rPr>
        <w:t>Schedule 4 – Prescription only medicine</w:t>
      </w:r>
    </w:p>
    <w:p w:rsidR="00132FF9" w:rsidRPr="0073231F" w:rsidRDefault="00132FF9" w:rsidP="00132FF9">
      <w:pPr>
        <w:pStyle w:val="NoSpacing"/>
        <w:spacing w:before="120"/>
        <w:rPr>
          <w:rFonts w:ascii="Arial" w:hAnsi="Arial" w:cs="Arial"/>
          <w:b/>
          <w:lang w:val="en-US"/>
        </w:rPr>
      </w:pPr>
      <w:r w:rsidRPr="00132FF9">
        <w:rPr>
          <w:rFonts w:ascii="Arial" w:hAnsi="Arial" w:cs="Arial"/>
          <w:b/>
          <w:lang w:val="en-US"/>
        </w:rPr>
        <w:t>DATE OF TGA APPROVAL:</w:t>
      </w:r>
      <w:r>
        <w:rPr>
          <w:rFonts w:ascii="Arial" w:hAnsi="Arial" w:cs="Arial"/>
          <w:lang w:val="en-US"/>
        </w:rPr>
        <w:t xml:space="preserve">  </w:t>
      </w:r>
      <w:r w:rsidR="00B02CC5">
        <w:rPr>
          <w:rFonts w:ascii="Arial" w:hAnsi="Arial" w:cs="Arial"/>
          <w:lang w:val="en-US"/>
        </w:rPr>
        <w:t>9 January 2012</w:t>
      </w:r>
    </w:p>
    <w:p w:rsidR="005535B3" w:rsidRDefault="005535B3" w:rsidP="00996578">
      <w:pPr>
        <w:pStyle w:val="NoSpacing"/>
        <w:rPr>
          <w:rFonts w:ascii="Arial" w:hAnsi="Arial" w:cs="Arial"/>
        </w:rPr>
      </w:pPr>
    </w:p>
    <w:p w:rsidR="00132FF9" w:rsidRPr="004B23A8" w:rsidRDefault="0039250F" w:rsidP="00996578">
      <w:pPr>
        <w:pStyle w:val="NoSpacing"/>
        <w:rPr>
          <w:rFonts w:ascii="Arial" w:hAnsi="Arial" w:cs="Arial"/>
        </w:rPr>
      </w:pPr>
      <w:r w:rsidRPr="004B23A8">
        <w:rPr>
          <w:rFonts w:ascii="Arial" w:hAnsi="Arial" w:cs="Arial"/>
          <w:iCs/>
        </w:rPr>
        <w:t>Date of most recent amendment</w:t>
      </w:r>
      <w:r w:rsidRPr="004B23A8">
        <w:rPr>
          <w:rFonts w:ascii="Arial" w:hAnsi="Arial" w:cs="Arial"/>
        </w:rPr>
        <w:t xml:space="preserve">:  </w:t>
      </w:r>
      <w:r w:rsidR="00B36C96">
        <w:rPr>
          <w:rFonts w:ascii="Arial" w:hAnsi="Arial" w:cs="Arial"/>
        </w:rPr>
        <w:t>6</w:t>
      </w:r>
      <w:r w:rsidRPr="004B23A8">
        <w:rPr>
          <w:rFonts w:ascii="Arial" w:hAnsi="Arial" w:cs="Arial"/>
        </w:rPr>
        <w:t xml:space="preserve"> </w:t>
      </w:r>
      <w:r w:rsidR="00B36C96">
        <w:rPr>
          <w:rFonts w:ascii="Arial" w:hAnsi="Arial" w:cs="Arial"/>
        </w:rPr>
        <w:t>August</w:t>
      </w:r>
      <w:r w:rsidRPr="004B23A8">
        <w:rPr>
          <w:rFonts w:ascii="Arial" w:hAnsi="Arial" w:cs="Arial"/>
        </w:rPr>
        <w:t xml:space="preserve"> 2012</w:t>
      </w:r>
    </w:p>
    <w:p w:rsidR="00141B6C" w:rsidRDefault="00141B6C" w:rsidP="00996578">
      <w:pPr>
        <w:pStyle w:val="NoSpacing"/>
        <w:rPr>
          <w:rFonts w:ascii="Arial" w:hAnsi="Arial" w:cs="Arial"/>
        </w:rPr>
      </w:pPr>
    </w:p>
    <w:p w:rsidR="00141B6C" w:rsidRDefault="00141B6C" w:rsidP="0099657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LUCASSIN</w:t>
      </w:r>
      <w:r w:rsidR="00AB3E0D" w:rsidRPr="00AB3E0D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</w:rPr>
        <w:t xml:space="preserve"> is a</w:t>
      </w:r>
      <w:r w:rsidR="00AB3E0D">
        <w:rPr>
          <w:rFonts w:ascii="Arial" w:hAnsi="Arial" w:cs="Arial"/>
        </w:rPr>
        <w:t xml:space="preserve"> </w:t>
      </w:r>
      <w:r w:rsidR="00AB3E0D" w:rsidRPr="00AB3E0D">
        <w:rPr>
          <w:rFonts w:ascii="Arial" w:hAnsi="Arial" w:cs="Arial"/>
        </w:rPr>
        <w:t>registered</w:t>
      </w:r>
      <w:r>
        <w:rPr>
          <w:rFonts w:ascii="Arial" w:hAnsi="Arial" w:cs="Arial"/>
        </w:rPr>
        <w:t xml:space="preserve"> trademark of</w:t>
      </w:r>
      <w:r w:rsidR="000F2471">
        <w:rPr>
          <w:rFonts w:ascii="Arial" w:hAnsi="Arial" w:cs="Arial"/>
        </w:rPr>
        <w:t xml:space="preserve"> </w:t>
      </w:r>
      <w:r w:rsidR="00B667C8">
        <w:rPr>
          <w:rFonts w:ascii="Arial" w:hAnsi="Arial" w:cs="Arial"/>
        </w:rPr>
        <w:t>Ikaria</w:t>
      </w:r>
      <w:r w:rsidR="00712995">
        <w:rPr>
          <w:rFonts w:ascii="Arial" w:hAnsi="Arial" w:cs="Arial"/>
        </w:rPr>
        <w:t>,</w:t>
      </w:r>
      <w:r w:rsidR="00B667C8">
        <w:rPr>
          <w:rFonts w:ascii="Arial" w:hAnsi="Arial" w:cs="Arial"/>
        </w:rPr>
        <w:t xml:space="preserve"> Inc</w:t>
      </w:r>
      <w:r w:rsidR="00712995">
        <w:rPr>
          <w:rFonts w:ascii="Arial" w:hAnsi="Arial" w:cs="Arial"/>
        </w:rPr>
        <w:t>.</w:t>
      </w:r>
    </w:p>
    <w:sectPr w:rsidR="00141B6C" w:rsidSect="00AF75C2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A7A" w:rsidRDefault="00370A7A" w:rsidP="00132FF9">
      <w:pPr>
        <w:spacing w:after="0" w:line="240" w:lineRule="auto"/>
      </w:pPr>
      <w:r>
        <w:separator/>
      </w:r>
    </w:p>
  </w:endnote>
  <w:endnote w:type="continuationSeparator" w:id="0">
    <w:p w:rsidR="00370A7A" w:rsidRDefault="00370A7A" w:rsidP="0013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FF9" w:rsidRPr="00141B6C" w:rsidRDefault="0039250F" w:rsidP="00116543">
    <w:pPr>
      <w:pStyle w:val="Footer"/>
      <w:tabs>
        <w:tab w:val="clear" w:pos="4513"/>
        <w:tab w:val="clear" w:pos="9026"/>
        <w:tab w:val="right" w:pos="8789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LUCASSIN </w:t>
    </w:r>
    <w:r w:rsidR="00051BF3">
      <w:rPr>
        <w:rFonts w:ascii="Arial Narrow" w:hAnsi="Arial Narrow"/>
        <w:sz w:val="18"/>
        <w:szCs w:val="18"/>
      </w:rPr>
      <w:t>PI</w:t>
    </w:r>
    <w:r w:rsidR="00B02CC5">
      <w:rPr>
        <w:rFonts w:ascii="Arial Narrow" w:hAnsi="Arial Narrow"/>
        <w:sz w:val="18"/>
        <w:szCs w:val="18"/>
      </w:rPr>
      <w:t xml:space="preserve"> </w:t>
    </w:r>
    <w:r w:rsidR="00051BF3">
      <w:rPr>
        <w:rFonts w:ascii="Arial Narrow" w:hAnsi="Arial Narrow"/>
        <w:sz w:val="18"/>
        <w:szCs w:val="18"/>
      </w:rPr>
      <w:t xml:space="preserve">- </w:t>
    </w:r>
    <w:r>
      <w:rPr>
        <w:rFonts w:ascii="Arial Narrow" w:hAnsi="Arial Narrow"/>
        <w:sz w:val="18"/>
        <w:szCs w:val="18"/>
      </w:rPr>
      <w:t>Version 120</w:t>
    </w:r>
    <w:r w:rsidR="00DB64E4">
      <w:rPr>
        <w:rFonts w:ascii="Arial Narrow" w:hAnsi="Arial Narrow"/>
        <w:sz w:val="18"/>
        <w:szCs w:val="18"/>
      </w:rPr>
      <w:t>724</w:t>
    </w:r>
    <w:r w:rsidR="00132FF9" w:rsidRPr="00141B6C">
      <w:rPr>
        <w:rFonts w:ascii="Arial Narrow" w:hAnsi="Arial Narrow"/>
        <w:sz w:val="18"/>
        <w:szCs w:val="18"/>
      </w:rPr>
      <w:tab/>
      <w:t xml:space="preserve">Page </w:t>
    </w:r>
    <w:r w:rsidR="00BC473C" w:rsidRPr="00141B6C">
      <w:rPr>
        <w:rFonts w:ascii="Arial Narrow" w:hAnsi="Arial Narrow"/>
        <w:sz w:val="18"/>
        <w:szCs w:val="18"/>
      </w:rPr>
      <w:fldChar w:fldCharType="begin"/>
    </w:r>
    <w:r w:rsidR="00132FF9" w:rsidRPr="00141B6C">
      <w:rPr>
        <w:rFonts w:ascii="Arial Narrow" w:hAnsi="Arial Narrow"/>
        <w:sz w:val="18"/>
        <w:szCs w:val="18"/>
      </w:rPr>
      <w:instrText xml:space="preserve"> PAGE   \* MERGEFORMAT </w:instrText>
    </w:r>
    <w:r w:rsidR="00BC473C" w:rsidRPr="00141B6C">
      <w:rPr>
        <w:rFonts w:ascii="Arial Narrow" w:hAnsi="Arial Narrow"/>
        <w:sz w:val="18"/>
        <w:szCs w:val="18"/>
      </w:rPr>
      <w:fldChar w:fldCharType="separate"/>
    </w:r>
    <w:r w:rsidR="00A950BD">
      <w:rPr>
        <w:rFonts w:ascii="Arial Narrow" w:hAnsi="Arial Narrow"/>
        <w:noProof/>
        <w:sz w:val="18"/>
        <w:szCs w:val="18"/>
      </w:rPr>
      <w:t>2</w:t>
    </w:r>
    <w:r w:rsidR="00BC473C" w:rsidRPr="00141B6C">
      <w:rPr>
        <w:rFonts w:ascii="Arial Narrow" w:hAnsi="Arial Narrow"/>
        <w:sz w:val="18"/>
        <w:szCs w:val="18"/>
      </w:rPr>
      <w:fldChar w:fldCharType="end"/>
    </w:r>
  </w:p>
  <w:p w:rsidR="00132FF9" w:rsidRDefault="00132F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A7A" w:rsidRDefault="00370A7A" w:rsidP="00132FF9">
      <w:pPr>
        <w:spacing w:after="0" w:line="240" w:lineRule="auto"/>
      </w:pPr>
      <w:r>
        <w:separator/>
      </w:r>
    </w:p>
  </w:footnote>
  <w:footnote w:type="continuationSeparator" w:id="0">
    <w:p w:rsidR="00370A7A" w:rsidRDefault="00370A7A" w:rsidP="00132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BD" w:rsidRPr="00A950BD" w:rsidRDefault="00A950BD" w:rsidP="00A950B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4F2E0"/>
      <w:spacing w:before="40" w:after="40"/>
      <w:rPr>
        <w:rFonts w:ascii="Cambria" w:hAnsi="Cambria"/>
        <w:b/>
        <w:sz w:val="20"/>
        <w:szCs w:val="20"/>
      </w:rPr>
    </w:pPr>
    <w:r w:rsidRPr="00A950BD">
      <w:rPr>
        <w:rFonts w:ascii="Cambria" w:hAnsi="Cambria"/>
        <w:b/>
        <w:sz w:val="20"/>
        <w:szCs w:val="20"/>
      </w:rPr>
      <w:t xml:space="preserve">Attachment 1: Product information for </w:t>
    </w:r>
    <w:proofErr w:type="spellStart"/>
    <w:r w:rsidRPr="00A950BD">
      <w:rPr>
        <w:rFonts w:ascii="Cambria" w:hAnsi="Cambria"/>
        <w:b/>
        <w:sz w:val="20"/>
        <w:szCs w:val="20"/>
      </w:rPr>
      <w:t>AusPAR</w:t>
    </w:r>
    <w:proofErr w:type="spellEnd"/>
    <w:r w:rsidRPr="00A950BD">
      <w:rPr>
        <w:rFonts w:ascii="Cambria" w:hAnsi="Cambria"/>
        <w:b/>
        <w:sz w:val="20"/>
        <w:szCs w:val="20"/>
      </w:rPr>
      <w:t xml:space="preserve"> </w:t>
    </w:r>
    <w:proofErr w:type="spellStart"/>
    <w:r w:rsidRPr="00A950BD">
      <w:rPr>
        <w:rFonts w:ascii="Cambria" w:hAnsi="Cambria"/>
        <w:b/>
        <w:sz w:val="20"/>
        <w:szCs w:val="20"/>
      </w:rPr>
      <w:t>Lucassin</w:t>
    </w:r>
    <w:proofErr w:type="spellEnd"/>
    <w:r w:rsidRPr="00A950BD">
      <w:rPr>
        <w:rFonts w:ascii="Cambria" w:hAnsi="Cambria"/>
        <w:b/>
        <w:sz w:val="20"/>
        <w:szCs w:val="20"/>
      </w:rPr>
      <w:t xml:space="preserve"> </w:t>
    </w:r>
    <w:proofErr w:type="spellStart"/>
    <w:r w:rsidRPr="00A950BD">
      <w:rPr>
        <w:rFonts w:ascii="Cambria" w:hAnsi="Cambria"/>
        <w:b/>
        <w:sz w:val="20"/>
        <w:szCs w:val="20"/>
      </w:rPr>
      <w:t>Terlipressin</w:t>
    </w:r>
    <w:proofErr w:type="spellEnd"/>
    <w:r w:rsidRPr="00A950BD">
      <w:rPr>
        <w:rFonts w:ascii="Cambria" w:hAnsi="Cambria"/>
        <w:b/>
        <w:sz w:val="20"/>
        <w:szCs w:val="20"/>
      </w:rPr>
      <w:t xml:space="preserve"> Ikaria Australia Pty Ltd Sponsor PM-2010-02975-3-1 Date of finalisation 27 August 2013. This Product Information was approved at the time this </w:t>
    </w:r>
    <w:proofErr w:type="spellStart"/>
    <w:r w:rsidRPr="00A950BD">
      <w:rPr>
        <w:rFonts w:ascii="Cambria" w:hAnsi="Cambria"/>
        <w:b/>
        <w:sz w:val="20"/>
        <w:szCs w:val="20"/>
      </w:rPr>
      <w:t>AusPAR</w:t>
    </w:r>
    <w:proofErr w:type="spellEnd"/>
    <w:r w:rsidRPr="00A950BD">
      <w:rPr>
        <w:rFonts w:ascii="Cambria" w:hAnsi="Cambria"/>
        <w:b/>
        <w:sz w:val="20"/>
        <w:szCs w:val="20"/>
      </w:rPr>
      <w:t xml:space="preserve"> was published.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87634"/>
    <w:multiLevelType w:val="multilevel"/>
    <w:tmpl w:val="1AFEFBD4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726012A5"/>
    <w:multiLevelType w:val="hybridMultilevel"/>
    <w:tmpl w:val="009EF1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/>
  <w:rsids>
    <w:rsidRoot w:val="005535B3"/>
    <w:rsid w:val="00016448"/>
    <w:rsid w:val="00020D02"/>
    <w:rsid w:val="000323A2"/>
    <w:rsid w:val="00033A11"/>
    <w:rsid w:val="0003621E"/>
    <w:rsid w:val="00043AEF"/>
    <w:rsid w:val="000443D2"/>
    <w:rsid w:val="000470E8"/>
    <w:rsid w:val="00051A82"/>
    <w:rsid w:val="00051BF3"/>
    <w:rsid w:val="00052E53"/>
    <w:rsid w:val="000539DD"/>
    <w:rsid w:val="00054A3C"/>
    <w:rsid w:val="0006004D"/>
    <w:rsid w:val="000605CE"/>
    <w:rsid w:val="000831AA"/>
    <w:rsid w:val="0008441B"/>
    <w:rsid w:val="000845DD"/>
    <w:rsid w:val="00087BB9"/>
    <w:rsid w:val="00091009"/>
    <w:rsid w:val="00091028"/>
    <w:rsid w:val="000B0381"/>
    <w:rsid w:val="000D33F8"/>
    <w:rsid w:val="000E59CB"/>
    <w:rsid w:val="000F2471"/>
    <w:rsid w:val="00107AF0"/>
    <w:rsid w:val="00116543"/>
    <w:rsid w:val="00116E08"/>
    <w:rsid w:val="001277C3"/>
    <w:rsid w:val="00130982"/>
    <w:rsid w:val="001323E3"/>
    <w:rsid w:val="00132FF9"/>
    <w:rsid w:val="00133D20"/>
    <w:rsid w:val="0013510C"/>
    <w:rsid w:val="00136539"/>
    <w:rsid w:val="00137DE3"/>
    <w:rsid w:val="0014042A"/>
    <w:rsid w:val="00141B6C"/>
    <w:rsid w:val="00143D6D"/>
    <w:rsid w:val="00147D69"/>
    <w:rsid w:val="00163BD7"/>
    <w:rsid w:val="00166351"/>
    <w:rsid w:val="0016705B"/>
    <w:rsid w:val="0018086E"/>
    <w:rsid w:val="001844A6"/>
    <w:rsid w:val="00186252"/>
    <w:rsid w:val="001878CC"/>
    <w:rsid w:val="0019061D"/>
    <w:rsid w:val="001A1D0B"/>
    <w:rsid w:val="001B1FE6"/>
    <w:rsid w:val="001B2915"/>
    <w:rsid w:val="001B751A"/>
    <w:rsid w:val="001C0AE5"/>
    <w:rsid w:val="001C6D39"/>
    <w:rsid w:val="001C6E3F"/>
    <w:rsid w:val="001D09F2"/>
    <w:rsid w:val="001D1CDE"/>
    <w:rsid w:val="001D540B"/>
    <w:rsid w:val="001E11FC"/>
    <w:rsid w:val="001F0019"/>
    <w:rsid w:val="001F08CD"/>
    <w:rsid w:val="001F3D19"/>
    <w:rsid w:val="001F46BC"/>
    <w:rsid w:val="001F667E"/>
    <w:rsid w:val="001F6C8D"/>
    <w:rsid w:val="002011F2"/>
    <w:rsid w:val="00201CAC"/>
    <w:rsid w:val="0020315B"/>
    <w:rsid w:val="00217AA9"/>
    <w:rsid w:val="00222CBE"/>
    <w:rsid w:val="002244FB"/>
    <w:rsid w:val="0022474B"/>
    <w:rsid w:val="0022758E"/>
    <w:rsid w:val="002279E0"/>
    <w:rsid w:val="002308A5"/>
    <w:rsid w:val="002330BF"/>
    <w:rsid w:val="00242283"/>
    <w:rsid w:val="002467B0"/>
    <w:rsid w:val="0024704A"/>
    <w:rsid w:val="00247269"/>
    <w:rsid w:val="0026485B"/>
    <w:rsid w:val="002706E4"/>
    <w:rsid w:val="00277767"/>
    <w:rsid w:val="002838F4"/>
    <w:rsid w:val="00286AAD"/>
    <w:rsid w:val="00295380"/>
    <w:rsid w:val="002A19A9"/>
    <w:rsid w:val="002A4351"/>
    <w:rsid w:val="002A5137"/>
    <w:rsid w:val="002B6D1C"/>
    <w:rsid w:val="002D1BC0"/>
    <w:rsid w:val="002D4B49"/>
    <w:rsid w:val="002E7409"/>
    <w:rsid w:val="002F1BA3"/>
    <w:rsid w:val="00315FEA"/>
    <w:rsid w:val="0033493B"/>
    <w:rsid w:val="003359CE"/>
    <w:rsid w:val="00343C41"/>
    <w:rsid w:val="00344422"/>
    <w:rsid w:val="0034741D"/>
    <w:rsid w:val="003502F8"/>
    <w:rsid w:val="0035499A"/>
    <w:rsid w:val="0035546F"/>
    <w:rsid w:val="003607F3"/>
    <w:rsid w:val="003639E5"/>
    <w:rsid w:val="00364B14"/>
    <w:rsid w:val="0036700B"/>
    <w:rsid w:val="00370903"/>
    <w:rsid w:val="00370A7A"/>
    <w:rsid w:val="00370BBF"/>
    <w:rsid w:val="00372A0D"/>
    <w:rsid w:val="003743B1"/>
    <w:rsid w:val="00374936"/>
    <w:rsid w:val="00374A59"/>
    <w:rsid w:val="00387473"/>
    <w:rsid w:val="0039250F"/>
    <w:rsid w:val="00395C16"/>
    <w:rsid w:val="003A4F12"/>
    <w:rsid w:val="003A627E"/>
    <w:rsid w:val="003A6D80"/>
    <w:rsid w:val="003C1772"/>
    <w:rsid w:val="003C740F"/>
    <w:rsid w:val="003D1259"/>
    <w:rsid w:val="003D33EA"/>
    <w:rsid w:val="003D66B2"/>
    <w:rsid w:val="003E2EF2"/>
    <w:rsid w:val="003E3784"/>
    <w:rsid w:val="003E5A56"/>
    <w:rsid w:val="003E7C92"/>
    <w:rsid w:val="003F035F"/>
    <w:rsid w:val="003F03C0"/>
    <w:rsid w:val="003F0B70"/>
    <w:rsid w:val="003F2D62"/>
    <w:rsid w:val="003F66FD"/>
    <w:rsid w:val="003F7EE3"/>
    <w:rsid w:val="00401545"/>
    <w:rsid w:val="00404D2E"/>
    <w:rsid w:val="0040554A"/>
    <w:rsid w:val="00410B9E"/>
    <w:rsid w:val="0041446A"/>
    <w:rsid w:val="00416A5A"/>
    <w:rsid w:val="004204A6"/>
    <w:rsid w:val="00424886"/>
    <w:rsid w:val="00430FE8"/>
    <w:rsid w:val="004315FB"/>
    <w:rsid w:val="00431825"/>
    <w:rsid w:val="004377BF"/>
    <w:rsid w:val="00444BF6"/>
    <w:rsid w:val="004478E4"/>
    <w:rsid w:val="00452EDA"/>
    <w:rsid w:val="004553AE"/>
    <w:rsid w:val="00456AE7"/>
    <w:rsid w:val="00460D94"/>
    <w:rsid w:val="004610CA"/>
    <w:rsid w:val="004646FB"/>
    <w:rsid w:val="00464B60"/>
    <w:rsid w:val="00467046"/>
    <w:rsid w:val="004762BF"/>
    <w:rsid w:val="0047718F"/>
    <w:rsid w:val="0048204D"/>
    <w:rsid w:val="00486336"/>
    <w:rsid w:val="00487A56"/>
    <w:rsid w:val="004A03FB"/>
    <w:rsid w:val="004B23A8"/>
    <w:rsid w:val="004B376B"/>
    <w:rsid w:val="004B5DA7"/>
    <w:rsid w:val="004C0913"/>
    <w:rsid w:val="004C233B"/>
    <w:rsid w:val="004C4DCA"/>
    <w:rsid w:val="004C6F65"/>
    <w:rsid w:val="004C73F2"/>
    <w:rsid w:val="004D0D18"/>
    <w:rsid w:val="004D21C1"/>
    <w:rsid w:val="004D2BAF"/>
    <w:rsid w:val="004D4899"/>
    <w:rsid w:val="004D51BD"/>
    <w:rsid w:val="004E3407"/>
    <w:rsid w:val="004E762A"/>
    <w:rsid w:val="004F46A4"/>
    <w:rsid w:val="004F54FA"/>
    <w:rsid w:val="00504631"/>
    <w:rsid w:val="005139EB"/>
    <w:rsid w:val="005208D3"/>
    <w:rsid w:val="005223F3"/>
    <w:rsid w:val="0052475A"/>
    <w:rsid w:val="00527E7F"/>
    <w:rsid w:val="00527E93"/>
    <w:rsid w:val="0053156F"/>
    <w:rsid w:val="00532C6A"/>
    <w:rsid w:val="00537B68"/>
    <w:rsid w:val="00541F2E"/>
    <w:rsid w:val="00547334"/>
    <w:rsid w:val="0055215E"/>
    <w:rsid w:val="005535B3"/>
    <w:rsid w:val="00554D09"/>
    <w:rsid w:val="0055704F"/>
    <w:rsid w:val="00563D3A"/>
    <w:rsid w:val="005825E8"/>
    <w:rsid w:val="005869D1"/>
    <w:rsid w:val="0059017F"/>
    <w:rsid w:val="00591BA9"/>
    <w:rsid w:val="005A4978"/>
    <w:rsid w:val="005B0B2B"/>
    <w:rsid w:val="005B306F"/>
    <w:rsid w:val="005B561C"/>
    <w:rsid w:val="005C20F4"/>
    <w:rsid w:val="005C2415"/>
    <w:rsid w:val="005C7471"/>
    <w:rsid w:val="005D72AB"/>
    <w:rsid w:val="005D7EE9"/>
    <w:rsid w:val="005E0B48"/>
    <w:rsid w:val="005E1914"/>
    <w:rsid w:val="005E484A"/>
    <w:rsid w:val="005E5F93"/>
    <w:rsid w:val="005E6382"/>
    <w:rsid w:val="005E6A7E"/>
    <w:rsid w:val="005E706B"/>
    <w:rsid w:val="005F0E39"/>
    <w:rsid w:val="005F3216"/>
    <w:rsid w:val="005F3B61"/>
    <w:rsid w:val="005F75A6"/>
    <w:rsid w:val="006000C2"/>
    <w:rsid w:val="00601758"/>
    <w:rsid w:val="00612CC7"/>
    <w:rsid w:val="00636BD4"/>
    <w:rsid w:val="0063799F"/>
    <w:rsid w:val="00641097"/>
    <w:rsid w:val="00642FAB"/>
    <w:rsid w:val="00646DEB"/>
    <w:rsid w:val="0065008C"/>
    <w:rsid w:val="00665A2A"/>
    <w:rsid w:val="00665EB9"/>
    <w:rsid w:val="00676E5F"/>
    <w:rsid w:val="00677E33"/>
    <w:rsid w:val="0068339A"/>
    <w:rsid w:val="006833C6"/>
    <w:rsid w:val="00687DC6"/>
    <w:rsid w:val="006953DF"/>
    <w:rsid w:val="00696A82"/>
    <w:rsid w:val="006A519E"/>
    <w:rsid w:val="006B41F5"/>
    <w:rsid w:val="006C48A9"/>
    <w:rsid w:val="006C58C4"/>
    <w:rsid w:val="006C62CD"/>
    <w:rsid w:val="006D1E5F"/>
    <w:rsid w:val="006D229A"/>
    <w:rsid w:val="006D4A11"/>
    <w:rsid w:val="006D54D4"/>
    <w:rsid w:val="006D6227"/>
    <w:rsid w:val="006E4E36"/>
    <w:rsid w:val="006E4EA0"/>
    <w:rsid w:val="006E73AD"/>
    <w:rsid w:val="006F08D5"/>
    <w:rsid w:val="006F1773"/>
    <w:rsid w:val="006F1A3C"/>
    <w:rsid w:val="006F51D7"/>
    <w:rsid w:val="006F5C37"/>
    <w:rsid w:val="00701C27"/>
    <w:rsid w:val="00702D69"/>
    <w:rsid w:val="00705A3F"/>
    <w:rsid w:val="00712995"/>
    <w:rsid w:val="007177DF"/>
    <w:rsid w:val="00723254"/>
    <w:rsid w:val="0073231F"/>
    <w:rsid w:val="00737759"/>
    <w:rsid w:val="00737DA4"/>
    <w:rsid w:val="00740B0A"/>
    <w:rsid w:val="007464AE"/>
    <w:rsid w:val="007473FC"/>
    <w:rsid w:val="00753089"/>
    <w:rsid w:val="007535AB"/>
    <w:rsid w:val="00754BE5"/>
    <w:rsid w:val="007556D5"/>
    <w:rsid w:val="0075696E"/>
    <w:rsid w:val="00770E99"/>
    <w:rsid w:val="00774059"/>
    <w:rsid w:val="00776C58"/>
    <w:rsid w:val="0078766A"/>
    <w:rsid w:val="007961F1"/>
    <w:rsid w:val="007A3194"/>
    <w:rsid w:val="007A443E"/>
    <w:rsid w:val="007A63DC"/>
    <w:rsid w:val="007A76FA"/>
    <w:rsid w:val="007B061E"/>
    <w:rsid w:val="007B0C08"/>
    <w:rsid w:val="007B6111"/>
    <w:rsid w:val="007B6EA2"/>
    <w:rsid w:val="007C041C"/>
    <w:rsid w:val="007C0755"/>
    <w:rsid w:val="007C24D4"/>
    <w:rsid w:val="007C643D"/>
    <w:rsid w:val="007C796C"/>
    <w:rsid w:val="007D1DF5"/>
    <w:rsid w:val="007D3F98"/>
    <w:rsid w:val="007E012A"/>
    <w:rsid w:val="007E4E98"/>
    <w:rsid w:val="007F2337"/>
    <w:rsid w:val="007F4202"/>
    <w:rsid w:val="007F4868"/>
    <w:rsid w:val="00811B61"/>
    <w:rsid w:val="00813D2D"/>
    <w:rsid w:val="008172C9"/>
    <w:rsid w:val="00823DAC"/>
    <w:rsid w:val="00824482"/>
    <w:rsid w:val="00824D1B"/>
    <w:rsid w:val="008326F5"/>
    <w:rsid w:val="00832E26"/>
    <w:rsid w:val="00833476"/>
    <w:rsid w:val="00840574"/>
    <w:rsid w:val="008431E9"/>
    <w:rsid w:val="00844697"/>
    <w:rsid w:val="00851D39"/>
    <w:rsid w:val="00853637"/>
    <w:rsid w:val="00860E5E"/>
    <w:rsid w:val="00861582"/>
    <w:rsid w:val="00861B93"/>
    <w:rsid w:val="008629A5"/>
    <w:rsid w:val="00862BC0"/>
    <w:rsid w:val="00870704"/>
    <w:rsid w:val="008716E6"/>
    <w:rsid w:val="00871B0A"/>
    <w:rsid w:val="00871DD4"/>
    <w:rsid w:val="0087479A"/>
    <w:rsid w:val="00876667"/>
    <w:rsid w:val="00877D71"/>
    <w:rsid w:val="00884BDE"/>
    <w:rsid w:val="008868FC"/>
    <w:rsid w:val="008875BB"/>
    <w:rsid w:val="00890B81"/>
    <w:rsid w:val="008912B2"/>
    <w:rsid w:val="008A185B"/>
    <w:rsid w:val="008B2FF7"/>
    <w:rsid w:val="008B58D0"/>
    <w:rsid w:val="008C3769"/>
    <w:rsid w:val="008C3FA9"/>
    <w:rsid w:val="008C742D"/>
    <w:rsid w:val="008D1949"/>
    <w:rsid w:val="00903BAD"/>
    <w:rsid w:val="00906908"/>
    <w:rsid w:val="00906F61"/>
    <w:rsid w:val="00907DF3"/>
    <w:rsid w:val="00911217"/>
    <w:rsid w:val="009117E3"/>
    <w:rsid w:val="00921AA7"/>
    <w:rsid w:val="00931DBC"/>
    <w:rsid w:val="00934A0D"/>
    <w:rsid w:val="0094114E"/>
    <w:rsid w:val="009416B6"/>
    <w:rsid w:val="009427B6"/>
    <w:rsid w:val="009455DA"/>
    <w:rsid w:val="00945B5C"/>
    <w:rsid w:val="00946868"/>
    <w:rsid w:val="00952B91"/>
    <w:rsid w:val="009576F7"/>
    <w:rsid w:val="00957E4F"/>
    <w:rsid w:val="00957FFD"/>
    <w:rsid w:val="00964677"/>
    <w:rsid w:val="00970AA2"/>
    <w:rsid w:val="00970E85"/>
    <w:rsid w:val="00971E4B"/>
    <w:rsid w:val="00973BDF"/>
    <w:rsid w:val="00975B47"/>
    <w:rsid w:val="00986188"/>
    <w:rsid w:val="00992E6B"/>
    <w:rsid w:val="00994FF3"/>
    <w:rsid w:val="00995FF2"/>
    <w:rsid w:val="00996578"/>
    <w:rsid w:val="009A2A64"/>
    <w:rsid w:val="009A6BCB"/>
    <w:rsid w:val="009B0FA2"/>
    <w:rsid w:val="009B795E"/>
    <w:rsid w:val="009C4278"/>
    <w:rsid w:val="009D085E"/>
    <w:rsid w:val="009D15DC"/>
    <w:rsid w:val="009D187C"/>
    <w:rsid w:val="009E4558"/>
    <w:rsid w:val="009E6359"/>
    <w:rsid w:val="009F46B1"/>
    <w:rsid w:val="009F7CCF"/>
    <w:rsid w:val="00A0049F"/>
    <w:rsid w:val="00A17A6A"/>
    <w:rsid w:val="00A20264"/>
    <w:rsid w:val="00A27606"/>
    <w:rsid w:val="00A419C3"/>
    <w:rsid w:val="00A42116"/>
    <w:rsid w:val="00A45D46"/>
    <w:rsid w:val="00A554BF"/>
    <w:rsid w:val="00A55F5B"/>
    <w:rsid w:val="00A561DC"/>
    <w:rsid w:val="00A66725"/>
    <w:rsid w:val="00A77EA6"/>
    <w:rsid w:val="00A80AE2"/>
    <w:rsid w:val="00A81DC2"/>
    <w:rsid w:val="00A94482"/>
    <w:rsid w:val="00A950BD"/>
    <w:rsid w:val="00AA039F"/>
    <w:rsid w:val="00AA27DA"/>
    <w:rsid w:val="00AB3E0D"/>
    <w:rsid w:val="00AB4507"/>
    <w:rsid w:val="00AB578C"/>
    <w:rsid w:val="00AC4462"/>
    <w:rsid w:val="00AE29EA"/>
    <w:rsid w:val="00AE4E6E"/>
    <w:rsid w:val="00AE5F67"/>
    <w:rsid w:val="00AF75C2"/>
    <w:rsid w:val="00B02CC5"/>
    <w:rsid w:val="00B05C14"/>
    <w:rsid w:val="00B145BA"/>
    <w:rsid w:val="00B17C23"/>
    <w:rsid w:val="00B21A15"/>
    <w:rsid w:val="00B25D07"/>
    <w:rsid w:val="00B30508"/>
    <w:rsid w:val="00B3280F"/>
    <w:rsid w:val="00B33739"/>
    <w:rsid w:val="00B33BB8"/>
    <w:rsid w:val="00B34BB8"/>
    <w:rsid w:val="00B35E21"/>
    <w:rsid w:val="00B35F12"/>
    <w:rsid w:val="00B36C96"/>
    <w:rsid w:val="00B37CA4"/>
    <w:rsid w:val="00B47373"/>
    <w:rsid w:val="00B5532B"/>
    <w:rsid w:val="00B64C36"/>
    <w:rsid w:val="00B667C8"/>
    <w:rsid w:val="00B67B7F"/>
    <w:rsid w:val="00B72D92"/>
    <w:rsid w:val="00B7384E"/>
    <w:rsid w:val="00B75F27"/>
    <w:rsid w:val="00B77FB1"/>
    <w:rsid w:val="00B80807"/>
    <w:rsid w:val="00B82D0C"/>
    <w:rsid w:val="00B84B88"/>
    <w:rsid w:val="00B93087"/>
    <w:rsid w:val="00B9671C"/>
    <w:rsid w:val="00BA0012"/>
    <w:rsid w:val="00BA0790"/>
    <w:rsid w:val="00BA0CD6"/>
    <w:rsid w:val="00BB027B"/>
    <w:rsid w:val="00BB0827"/>
    <w:rsid w:val="00BB5C8E"/>
    <w:rsid w:val="00BC058F"/>
    <w:rsid w:val="00BC473C"/>
    <w:rsid w:val="00BD02D3"/>
    <w:rsid w:val="00BD06B8"/>
    <w:rsid w:val="00BD2130"/>
    <w:rsid w:val="00BD37ED"/>
    <w:rsid w:val="00BD41FC"/>
    <w:rsid w:val="00BD514A"/>
    <w:rsid w:val="00BD5270"/>
    <w:rsid w:val="00BE1ECA"/>
    <w:rsid w:val="00BE264B"/>
    <w:rsid w:val="00BE4C79"/>
    <w:rsid w:val="00BE56B7"/>
    <w:rsid w:val="00BE78AB"/>
    <w:rsid w:val="00BF35C2"/>
    <w:rsid w:val="00BF79E1"/>
    <w:rsid w:val="00C06FEC"/>
    <w:rsid w:val="00C22517"/>
    <w:rsid w:val="00C26850"/>
    <w:rsid w:val="00C37933"/>
    <w:rsid w:val="00C43484"/>
    <w:rsid w:val="00C551E2"/>
    <w:rsid w:val="00C62CA4"/>
    <w:rsid w:val="00C64EF6"/>
    <w:rsid w:val="00C66CCC"/>
    <w:rsid w:val="00C73AA0"/>
    <w:rsid w:val="00C75F21"/>
    <w:rsid w:val="00C83E72"/>
    <w:rsid w:val="00C85D1C"/>
    <w:rsid w:val="00C9108E"/>
    <w:rsid w:val="00CA2001"/>
    <w:rsid w:val="00CA4957"/>
    <w:rsid w:val="00CA75F5"/>
    <w:rsid w:val="00CB145B"/>
    <w:rsid w:val="00CB2094"/>
    <w:rsid w:val="00CB3F74"/>
    <w:rsid w:val="00CB5078"/>
    <w:rsid w:val="00CC243D"/>
    <w:rsid w:val="00CC43F6"/>
    <w:rsid w:val="00CC5A40"/>
    <w:rsid w:val="00CC7A36"/>
    <w:rsid w:val="00CE4DB7"/>
    <w:rsid w:val="00CE64BC"/>
    <w:rsid w:val="00CF1894"/>
    <w:rsid w:val="00CF227F"/>
    <w:rsid w:val="00CF2847"/>
    <w:rsid w:val="00CF5630"/>
    <w:rsid w:val="00CF79B0"/>
    <w:rsid w:val="00D0163E"/>
    <w:rsid w:val="00D03168"/>
    <w:rsid w:val="00D1022F"/>
    <w:rsid w:val="00D12297"/>
    <w:rsid w:val="00D122F6"/>
    <w:rsid w:val="00D20EF8"/>
    <w:rsid w:val="00D212D4"/>
    <w:rsid w:val="00D267A1"/>
    <w:rsid w:val="00D343E2"/>
    <w:rsid w:val="00D3590B"/>
    <w:rsid w:val="00D35FC8"/>
    <w:rsid w:val="00D37DC2"/>
    <w:rsid w:val="00D40D58"/>
    <w:rsid w:val="00D40DDA"/>
    <w:rsid w:val="00D44984"/>
    <w:rsid w:val="00D5002B"/>
    <w:rsid w:val="00D51816"/>
    <w:rsid w:val="00D623F2"/>
    <w:rsid w:val="00D7118F"/>
    <w:rsid w:val="00D7291F"/>
    <w:rsid w:val="00D811C3"/>
    <w:rsid w:val="00D833F9"/>
    <w:rsid w:val="00DB64E4"/>
    <w:rsid w:val="00DC0B9F"/>
    <w:rsid w:val="00DC3715"/>
    <w:rsid w:val="00DC48A1"/>
    <w:rsid w:val="00DC4B60"/>
    <w:rsid w:val="00DC5061"/>
    <w:rsid w:val="00DC77A9"/>
    <w:rsid w:val="00DE0DD1"/>
    <w:rsid w:val="00DF5DA6"/>
    <w:rsid w:val="00E0239A"/>
    <w:rsid w:val="00E0385B"/>
    <w:rsid w:val="00E04C86"/>
    <w:rsid w:val="00E10DFC"/>
    <w:rsid w:val="00E13FF3"/>
    <w:rsid w:val="00E31F2B"/>
    <w:rsid w:val="00E40AD9"/>
    <w:rsid w:val="00E46018"/>
    <w:rsid w:val="00E465C9"/>
    <w:rsid w:val="00E54C3E"/>
    <w:rsid w:val="00E56ADB"/>
    <w:rsid w:val="00E62DD7"/>
    <w:rsid w:val="00E756D7"/>
    <w:rsid w:val="00E76D14"/>
    <w:rsid w:val="00E778C7"/>
    <w:rsid w:val="00E8187F"/>
    <w:rsid w:val="00E84037"/>
    <w:rsid w:val="00E87555"/>
    <w:rsid w:val="00E9529B"/>
    <w:rsid w:val="00E9630E"/>
    <w:rsid w:val="00EB2CEB"/>
    <w:rsid w:val="00EB7925"/>
    <w:rsid w:val="00EC0161"/>
    <w:rsid w:val="00EC1EEB"/>
    <w:rsid w:val="00EC45FA"/>
    <w:rsid w:val="00EC6678"/>
    <w:rsid w:val="00ED05CE"/>
    <w:rsid w:val="00ED0FD5"/>
    <w:rsid w:val="00EE3968"/>
    <w:rsid w:val="00EE41EC"/>
    <w:rsid w:val="00EE6079"/>
    <w:rsid w:val="00EE609D"/>
    <w:rsid w:val="00F01AAB"/>
    <w:rsid w:val="00F065DF"/>
    <w:rsid w:val="00F12E1C"/>
    <w:rsid w:val="00F14D82"/>
    <w:rsid w:val="00F3052E"/>
    <w:rsid w:val="00F368A2"/>
    <w:rsid w:val="00F52DA5"/>
    <w:rsid w:val="00F57C74"/>
    <w:rsid w:val="00F60013"/>
    <w:rsid w:val="00F624F0"/>
    <w:rsid w:val="00F656B4"/>
    <w:rsid w:val="00F65FE8"/>
    <w:rsid w:val="00F67E44"/>
    <w:rsid w:val="00F71DDC"/>
    <w:rsid w:val="00F731E7"/>
    <w:rsid w:val="00F73DFF"/>
    <w:rsid w:val="00F82945"/>
    <w:rsid w:val="00F870BA"/>
    <w:rsid w:val="00F87812"/>
    <w:rsid w:val="00F95A8C"/>
    <w:rsid w:val="00FA30A2"/>
    <w:rsid w:val="00FA38F7"/>
    <w:rsid w:val="00FC1E39"/>
    <w:rsid w:val="00FC743C"/>
    <w:rsid w:val="00FD29A6"/>
    <w:rsid w:val="00FD44B8"/>
    <w:rsid w:val="00FD62D8"/>
    <w:rsid w:val="00FE2ACA"/>
    <w:rsid w:val="00FF2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5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35B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13653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91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2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4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43D"/>
    <w:rPr>
      <w:b/>
      <w:bCs/>
    </w:rPr>
  </w:style>
  <w:style w:type="paragraph" w:customStyle="1" w:styleId="TextTi10">
    <w:name w:val="Text:Ti10"/>
    <w:basedOn w:val="Normal"/>
    <w:link w:val="TextTi10Char"/>
    <w:rsid w:val="0043182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ja-JP"/>
    </w:rPr>
  </w:style>
  <w:style w:type="character" w:customStyle="1" w:styleId="TextTi10Char">
    <w:name w:val="Text:Ti10 Char"/>
    <w:basedOn w:val="DefaultParagraphFont"/>
    <w:link w:val="TextTi10"/>
    <w:rsid w:val="00431825"/>
    <w:rPr>
      <w:rFonts w:ascii="Times New Roman" w:eastAsia="Times New Roman" w:hAnsi="Times New Roman"/>
      <w:lang w:val="en-US" w:eastAsia="ja-JP"/>
    </w:rPr>
  </w:style>
  <w:style w:type="paragraph" w:customStyle="1" w:styleId="CaptionforAppfigsandtablesCSE">
    <w:name w:val="Caption for App figs and tables CSE"/>
    <w:basedOn w:val="Caption"/>
    <w:next w:val="Normal"/>
    <w:rsid w:val="00431825"/>
    <w:pPr>
      <w:keepNext/>
      <w:pageBreakBefore/>
      <w:spacing w:before="120" w:after="120" w:line="240" w:lineRule="auto"/>
      <w:ind w:left="1440" w:hanging="1440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18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2F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FF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2F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FF9"/>
    <w:rPr>
      <w:sz w:val="22"/>
      <w:szCs w:val="22"/>
      <w:lang w:eastAsia="en-US"/>
    </w:rPr>
  </w:style>
  <w:style w:type="paragraph" w:customStyle="1" w:styleId="CaptionforfigsandtablesCSE">
    <w:name w:val="Caption for figs and tables CSE"/>
    <w:basedOn w:val="Caption"/>
    <w:next w:val="Normal"/>
    <w:autoRedefine/>
    <w:rsid w:val="00D40DDA"/>
    <w:pPr>
      <w:keepNext/>
      <w:spacing w:before="120" w:after="120" w:line="240" w:lineRule="auto"/>
      <w:ind w:left="1134" w:hanging="1134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6A497-6636-4AE3-A340-A0A072CF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3481</Words>
  <Characters>19459</Characters>
  <Application>Microsoft Office Word</Application>
  <DocSecurity>0</DocSecurity>
  <Lines>360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Ikaria Australia Pty Ltd</Company>
  <LinksUpToDate>false</LinksUpToDate>
  <CharactersWithSpaces>22793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AusPAR Attachment 1: Product Information for Lucassin (Terlipressin)</dc:title>
  <dc:subject>prescription medicine regulation</dc:subject>
  <dc:creator>Ikaria Australia Pty Ltd</dc:creator>
  <cp:keywords>pi, product information, prescription, medicine, regulation, lucassin, terlipressin, ikaria</cp:keywords>
  <cp:lastModifiedBy>Sheppard, Fran</cp:lastModifiedBy>
  <cp:revision>3</cp:revision>
  <cp:lastPrinted>2012-06-24T20:00:00Z</cp:lastPrinted>
  <dcterms:created xsi:type="dcterms:W3CDTF">2013-10-22T03:19:00Z</dcterms:created>
  <dcterms:modified xsi:type="dcterms:W3CDTF">2013-10-22T03:24:00Z</dcterms:modified>
</cp:coreProperties>
</file>