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6E8154B7" w14:textId="77777777" w:rsidTr="00BF1190">
        <w:trPr>
          <w:trHeight w:val="1863"/>
        </w:trPr>
        <w:tc>
          <w:tcPr>
            <w:tcW w:w="3652" w:type="dxa"/>
            <w:tcBorders>
              <w:top w:val="nil"/>
              <w:left w:val="nil"/>
              <w:bottom w:val="nil"/>
              <w:right w:val="nil"/>
            </w:tcBorders>
          </w:tcPr>
          <w:p w14:paraId="2E0AC702" w14:textId="77777777" w:rsidR="008E7846" w:rsidRPr="00096AA7" w:rsidRDefault="00CF186F" w:rsidP="00096AA7">
            <w:pPr>
              <w:rPr>
                <w:rFonts w:ascii="Arial" w:hAnsi="Arial" w:cs="Arial"/>
                <w:b/>
                <w:color w:val="002C47"/>
                <w:sz w:val="36"/>
                <w:szCs w:val="36"/>
              </w:rPr>
            </w:pPr>
            <w:r>
              <w:rPr>
                <w:rFonts w:ascii="Arial" w:hAnsi="Arial" w:cs="Arial"/>
                <w:b/>
                <w:color w:val="002C47"/>
                <w:sz w:val="36"/>
                <w:szCs w:val="36"/>
              </w:rPr>
              <w:t>January</w:t>
            </w:r>
            <w:r w:rsidR="00C346AB">
              <w:rPr>
                <w:rFonts w:ascii="Arial" w:hAnsi="Arial" w:cs="Arial"/>
                <w:b/>
                <w:color w:val="002C47"/>
                <w:sz w:val="36"/>
                <w:szCs w:val="36"/>
              </w:rPr>
              <w:t xml:space="preserve"> </w:t>
            </w:r>
            <w:r>
              <w:rPr>
                <w:rFonts w:ascii="Arial" w:hAnsi="Arial" w:cs="Arial"/>
                <w:b/>
                <w:color w:val="002C47"/>
                <w:sz w:val="36"/>
                <w:szCs w:val="36"/>
              </w:rPr>
              <w:t>2021</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629884E4" w14:textId="77777777" w:rsidTr="0032583B">
        <w:trPr>
          <w:trHeight w:val="868"/>
        </w:trPr>
        <w:tc>
          <w:tcPr>
            <w:tcW w:w="9079" w:type="dxa"/>
          </w:tcPr>
          <w:p w14:paraId="729BEB23" w14:textId="77777777" w:rsidR="0032583B" w:rsidRPr="00A964D1" w:rsidRDefault="0032583B" w:rsidP="00CF186F">
            <w:pPr>
              <w:pStyle w:val="Title"/>
              <w:rPr>
                <w:color w:val="FFFFFF" w:themeColor="background1"/>
              </w:rPr>
            </w:pPr>
            <w:r w:rsidRPr="00A964D1">
              <w:rPr>
                <w:color w:val="FFFFFF" w:themeColor="background1"/>
              </w:rPr>
              <w:t>Australia</w:t>
            </w:r>
            <w:r w:rsidR="00CF186F">
              <w:rPr>
                <w:color w:val="FFFFFF" w:themeColor="background1"/>
              </w:rPr>
              <w:t>n Public Assessment Report for Teriparatide</w:t>
            </w:r>
          </w:p>
        </w:tc>
      </w:tr>
      <w:tr w:rsidR="0032583B" w:rsidRPr="00B64760" w14:paraId="75B8C1C6" w14:textId="77777777" w:rsidTr="0032583B">
        <w:tc>
          <w:tcPr>
            <w:tcW w:w="9079" w:type="dxa"/>
          </w:tcPr>
          <w:p w14:paraId="102EFD51" w14:textId="77777777" w:rsidR="0032583B" w:rsidRPr="008E7846" w:rsidRDefault="0032583B" w:rsidP="00CF186F">
            <w:pPr>
              <w:pStyle w:val="Subtitle"/>
              <w:rPr>
                <w:color w:val="FFFFFF" w:themeColor="background1"/>
              </w:rPr>
            </w:pPr>
            <w:r w:rsidRPr="008E7846">
              <w:rPr>
                <w:color w:val="FFFFFF" w:themeColor="background1"/>
              </w:rPr>
              <w:t xml:space="preserve">Proprietary Product Name: </w:t>
            </w:r>
            <w:r w:rsidR="00CF186F">
              <w:rPr>
                <w:color w:val="FFFFFF" w:themeColor="background1"/>
              </w:rPr>
              <w:t>Terrosa</w:t>
            </w:r>
          </w:p>
        </w:tc>
      </w:tr>
      <w:tr w:rsidR="0032583B" w:rsidRPr="00B64760" w14:paraId="1ECA1B97" w14:textId="77777777" w:rsidTr="0032583B">
        <w:trPr>
          <w:trHeight w:val="486"/>
        </w:trPr>
        <w:tc>
          <w:tcPr>
            <w:tcW w:w="9079" w:type="dxa"/>
          </w:tcPr>
          <w:p w14:paraId="4BEEAF5B" w14:textId="77777777" w:rsidR="0032583B" w:rsidRPr="008E7846" w:rsidRDefault="00CF186F" w:rsidP="0032583B">
            <w:pPr>
              <w:pStyle w:val="Subtitle"/>
              <w:rPr>
                <w:color w:val="FFFFFF" w:themeColor="background1"/>
              </w:rPr>
            </w:pPr>
            <w:r>
              <w:rPr>
                <w:color w:val="FFFFFF" w:themeColor="background1"/>
              </w:rPr>
              <w:t xml:space="preserve">Sponsor: </w:t>
            </w:r>
            <w:proofErr w:type="spellStart"/>
            <w:r>
              <w:rPr>
                <w:color w:val="FFFFFF" w:themeColor="background1"/>
              </w:rPr>
              <w:t>Gedeon</w:t>
            </w:r>
            <w:proofErr w:type="spellEnd"/>
            <w:r>
              <w:rPr>
                <w:color w:val="FFFFFF" w:themeColor="background1"/>
              </w:rPr>
              <w:t xml:space="preserve"> Richter Australia Pty Ltd</w:t>
            </w:r>
          </w:p>
        </w:tc>
      </w:tr>
    </w:tbl>
    <w:p w14:paraId="4A91280D" w14:textId="77777777" w:rsidR="008E7846" w:rsidRPr="0085156D" w:rsidRDefault="008E7846" w:rsidP="0085156D">
      <w:r w:rsidRPr="0085156D">
        <w:br w:type="page"/>
      </w:r>
    </w:p>
    <w:p w14:paraId="3DBA5D67" w14:textId="77777777" w:rsidR="008E7846" w:rsidRPr="001F6CBA" w:rsidRDefault="008E7846" w:rsidP="008E7846">
      <w:pPr>
        <w:pStyle w:val="NonTOCHeading2"/>
      </w:pPr>
      <w:r w:rsidRPr="001F6CBA">
        <w:lastRenderedPageBreak/>
        <w:t>About the Therapeutic Goods Administration (TGA)</w:t>
      </w:r>
    </w:p>
    <w:p w14:paraId="319E1ABA"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1974110A"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14BE5A58"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659C8DCD"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41F8D547" w14:textId="6C0C840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021ADC8A" w14:textId="77777777" w:rsidR="008E7846" w:rsidRDefault="008E7846" w:rsidP="00875A6B">
      <w:pPr>
        <w:pStyle w:val="NonTOCHeading2"/>
      </w:pPr>
      <w:r>
        <w:t>About AusPARs</w:t>
      </w:r>
    </w:p>
    <w:p w14:paraId="5B8B4225"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08755F23" w14:textId="77777777" w:rsidR="008E7846" w:rsidRDefault="008E7846" w:rsidP="008E7846">
      <w:pPr>
        <w:pStyle w:val="ListBullet"/>
        <w:numPr>
          <w:ilvl w:val="0"/>
          <w:numId w:val="3"/>
        </w:numPr>
        <w:ind w:left="357" w:hanging="357"/>
      </w:pPr>
      <w:r>
        <w:t>AusPARs are prepared and published by the TGA.</w:t>
      </w:r>
    </w:p>
    <w:p w14:paraId="19CF7618"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46F228EC"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5318B409"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75BF8FFD" w14:textId="77777777" w:rsidR="00924482" w:rsidRPr="00DF1D7F" w:rsidRDefault="00924482" w:rsidP="00F54B65">
      <w:pPr>
        <w:pStyle w:val="LegalSubheading"/>
        <w:spacing w:before="3120"/>
      </w:pPr>
      <w:r w:rsidRPr="00DF1D7F">
        <w:t>Copyright</w:t>
      </w:r>
    </w:p>
    <w:p w14:paraId="5103CB21" w14:textId="3731E626"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324E45">
        <w:rPr>
          <w:rFonts w:cs="Arial"/>
          <w:lang w:val="en-GB"/>
        </w:rPr>
        <w:t>1</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14:paraId="19949253"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73BE2BC1" w14:textId="77777777" w:rsidR="0089635C" w:rsidRPr="0089635C" w:rsidRDefault="0089635C" w:rsidP="0010788A">
          <w:pPr>
            <w:pStyle w:val="Contents"/>
          </w:pPr>
          <w:r w:rsidRPr="0010788A">
            <w:t>Cont</w:t>
          </w:r>
          <w:bookmarkStart w:id="2" w:name="_GoBack"/>
          <w:bookmarkEnd w:id="2"/>
          <w:r w:rsidRPr="0010788A">
            <w:t>ents</w:t>
          </w:r>
        </w:p>
        <w:p w14:paraId="5610DA2B" w14:textId="54284FC3" w:rsidR="00F14D69"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63088086" w:history="1">
            <w:r w:rsidR="00F14D69" w:rsidRPr="00EF0D52">
              <w:rPr>
                <w:rStyle w:val="Hyperlink"/>
                <w:noProof/>
              </w:rPr>
              <w:t>List of abbreviations</w:t>
            </w:r>
            <w:r w:rsidR="00F14D69">
              <w:rPr>
                <w:noProof/>
                <w:webHidden/>
              </w:rPr>
              <w:tab/>
            </w:r>
            <w:r w:rsidR="00F14D69">
              <w:rPr>
                <w:noProof/>
                <w:webHidden/>
              </w:rPr>
              <w:fldChar w:fldCharType="begin"/>
            </w:r>
            <w:r w:rsidR="00F14D69">
              <w:rPr>
                <w:noProof/>
                <w:webHidden/>
              </w:rPr>
              <w:instrText xml:space="preserve"> PAGEREF _Toc63088086 \h </w:instrText>
            </w:r>
            <w:r w:rsidR="00F14D69">
              <w:rPr>
                <w:noProof/>
                <w:webHidden/>
              </w:rPr>
            </w:r>
            <w:r w:rsidR="00F14D69">
              <w:rPr>
                <w:noProof/>
                <w:webHidden/>
              </w:rPr>
              <w:fldChar w:fldCharType="separate"/>
            </w:r>
            <w:r w:rsidR="00F14D69">
              <w:rPr>
                <w:noProof/>
                <w:webHidden/>
              </w:rPr>
              <w:t>4</w:t>
            </w:r>
            <w:r w:rsidR="00F14D69">
              <w:rPr>
                <w:noProof/>
                <w:webHidden/>
              </w:rPr>
              <w:fldChar w:fldCharType="end"/>
            </w:r>
          </w:hyperlink>
        </w:p>
        <w:p w14:paraId="5F8E78D0" w14:textId="4BD5BF87" w:rsidR="00F14D69" w:rsidRDefault="00F14D69">
          <w:pPr>
            <w:pStyle w:val="TOC1"/>
            <w:rPr>
              <w:rFonts w:asciiTheme="minorHAnsi" w:eastAsiaTheme="minorEastAsia" w:hAnsiTheme="minorHAnsi" w:cstheme="minorBidi"/>
              <w:b w:val="0"/>
              <w:noProof/>
              <w:sz w:val="22"/>
              <w:lang w:eastAsia="en-AU"/>
            </w:rPr>
          </w:pPr>
          <w:hyperlink w:anchor="_Toc63088087" w:history="1">
            <w:r w:rsidRPr="00EF0D52">
              <w:rPr>
                <w:rStyle w:val="Hyperlink"/>
                <w:noProof/>
              </w:rPr>
              <w:t>I. Introduction to product submission</w:t>
            </w:r>
            <w:r>
              <w:rPr>
                <w:noProof/>
                <w:webHidden/>
              </w:rPr>
              <w:tab/>
            </w:r>
            <w:r>
              <w:rPr>
                <w:noProof/>
                <w:webHidden/>
              </w:rPr>
              <w:fldChar w:fldCharType="begin"/>
            </w:r>
            <w:r>
              <w:rPr>
                <w:noProof/>
                <w:webHidden/>
              </w:rPr>
              <w:instrText xml:space="preserve"> PAGEREF _Toc63088087 \h </w:instrText>
            </w:r>
            <w:r>
              <w:rPr>
                <w:noProof/>
                <w:webHidden/>
              </w:rPr>
            </w:r>
            <w:r>
              <w:rPr>
                <w:noProof/>
                <w:webHidden/>
              </w:rPr>
              <w:fldChar w:fldCharType="separate"/>
            </w:r>
            <w:r>
              <w:rPr>
                <w:noProof/>
                <w:webHidden/>
              </w:rPr>
              <w:t>6</w:t>
            </w:r>
            <w:r>
              <w:rPr>
                <w:noProof/>
                <w:webHidden/>
              </w:rPr>
              <w:fldChar w:fldCharType="end"/>
            </w:r>
          </w:hyperlink>
        </w:p>
        <w:p w14:paraId="77BDB18E" w14:textId="7218E3DD" w:rsidR="00F14D69" w:rsidRDefault="00F14D69">
          <w:pPr>
            <w:pStyle w:val="TOC2"/>
            <w:rPr>
              <w:rFonts w:asciiTheme="minorHAnsi" w:eastAsiaTheme="minorEastAsia" w:hAnsiTheme="minorHAnsi" w:cstheme="minorBidi"/>
              <w:b w:val="0"/>
              <w:noProof/>
              <w:sz w:val="22"/>
              <w:lang w:eastAsia="en-AU"/>
            </w:rPr>
          </w:pPr>
          <w:hyperlink w:anchor="_Toc63088088" w:history="1">
            <w:r w:rsidRPr="00EF0D52">
              <w:rPr>
                <w:rStyle w:val="Hyperlink"/>
                <w:noProof/>
                <w:lang w:eastAsia="en-AU"/>
              </w:rPr>
              <w:t>Submission details</w:t>
            </w:r>
            <w:r>
              <w:rPr>
                <w:noProof/>
                <w:webHidden/>
              </w:rPr>
              <w:tab/>
            </w:r>
            <w:r>
              <w:rPr>
                <w:noProof/>
                <w:webHidden/>
              </w:rPr>
              <w:fldChar w:fldCharType="begin"/>
            </w:r>
            <w:r>
              <w:rPr>
                <w:noProof/>
                <w:webHidden/>
              </w:rPr>
              <w:instrText xml:space="preserve"> PAGEREF _Toc63088088 \h </w:instrText>
            </w:r>
            <w:r>
              <w:rPr>
                <w:noProof/>
                <w:webHidden/>
              </w:rPr>
            </w:r>
            <w:r>
              <w:rPr>
                <w:noProof/>
                <w:webHidden/>
              </w:rPr>
              <w:fldChar w:fldCharType="separate"/>
            </w:r>
            <w:r>
              <w:rPr>
                <w:noProof/>
                <w:webHidden/>
              </w:rPr>
              <w:t>6</w:t>
            </w:r>
            <w:r>
              <w:rPr>
                <w:noProof/>
                <w:webHidden/>
              </w:rPr>
              <w:fldChar w:fldCharType="end"/>
            </w:r>
          </w:hyperlink>
        </w:p>
        <w:p w14:paraId="4351874D" w14:textId="7CA680FD" w:rsidR="00F14D69" w:rsidRDefault="00F14D69">
          <w:pPr>
            <w:pStyle w:val="TOC2"/>
            <w:rPr>
              <w:rFonts w:asciiTheme="minorHAnsi" w:eastAsiaTheme="minorEastAsia" w:hAnsiTheme="minorHAnsi" w:cstheme="minorBidi"/>
              <w:b w:val="0"/>
              <w:noProof/>
              <w:sz w:val="22"/>
              <w:lang w:eastAsia="en-AU"/>
            </w:rPr>
          </w:pPr>
          <w:hyperlink w:anchor="_Toc63088089" w:history="1">
            <w:r w:rsidRPr="00EF0D52">
              <w:rPr>
                <w:rStyle w:val="Hyperlink"/>
                <w:noProof/>
              </w:rPr>
              <w:t>Product background</w:t>
            </w:r>
            <w:r>
              <w:rPr>
                <w:noProof/>
                <w:webHidden/>
              </w:rPr>
              <w:tab/>
            </w:r>
            <w:r>
              <w:rPr>
                <w:noProof/>
                <w:webHidden/>
              </w:rPr>
              <w:fldChar w:fldCharType="begin"/>
            </w:r>
            <w:r>
              <w:rPr>
                <w:noProof/>
                <w:webHidden/>
              </w:rPr>
              <w:instrText xml:space="preserve"> PAGEREF _Toc63088089 \h </w:instrText>
            </w:r>
            <w:r>
              <w:rPr>
                <w:noProof/>
                <w:webHidden/>
              </w:rPr>
            </w:r>
            <w:r>
              <w:rPr>
                <w:noProof/>
                <w:webHidden/>
              </w:rPr>
              <w:fldChar w:fldCharType="separate"/>
            </w:r>
            <w:r>
              <w:rPr>
                <w:noProof/>
                <w:webHidden/>
              </w:rPr>
              <w:t>7</w:t>
            </w:r>
            <w:r>
              <w:rPr>
                <w:noProof/>
                <w:webHidden/>
              </w:rPr>
              <w:fldChar w:fldCharType="end"/>
            </w:r>
          </w:hyperlink>
        </w:p>
        <w:p w14:paraId="29C07269" w14:textId="53DE0304" w:rsidR="00F14D69" w:rsidRDefault="00F14D69">
          <w:pPr>
            <w:pStyle w:val="TOC2"/>
            <w:rPr>
              <w:rFonts w:asciiTheme="minorHAnsi" w:eastAsiaTheme="minorEastAsia" w:hAnsiTheme="minorHAnsi" w:cstheme="minorBidi"/>
              <w:b w:val="0"/>
              <w:noProof/>
              <w:sz w:val="22"/>
              <w:lang w:eastAsia="en-AU"/>
            </w:rPr>
          </w:pPr>
          <w:hyperlink w:anchor="_Toc63088090" w:history="1">
            <w:r w:rsidRPr="00EF0D52">
              <w:rPr>
                <w:rStyle w:val="Hyperlink"/>
                <w:noProof/>
              </w:rPr>
              <w:t>Regulatory status</w:t>
            </w:r>
            <w:r>
              <w:rPr>
                <w:noProof/>
                <w:webHidden/>
              </w:rPr>
              <w:tab/>
            </w:r>
            <w:r>
              <w:rPr>
                <w:noProof/>
                <w:webHidden/>
              </w:rPr>
              <w:fldChar w:fldCharType="begin"/>
            </w:r>
            <w:r>
              <w:rPr>
                <w:noProof/>
                <w:webHidden/>
              </w:rPr>
              <w:instrText xml:space="preserve"> PAGEREF _Toc63088090 \h </w:instrText>
            </w:r>
            <w:r>
              <w:rPr>
                <w:noProof/>
                <w:webHidden/>
              </w:rPr>
            </w:r>
            <w:r>
              <w:rPr>
                <w:noProof/>
                <w:webHidden/>
              </w:rPr>
              <w:fldChar w:fldCharType="separate"/>
            </w:r>
            <w:r>
              <w:rPr>
                <w:noProof/>
                <w:webHidden/>
              </w:rPr>
              <w:t>8</w:t>
            </w:r>
            <w:r>
              <w:rPr>
                <w:noProof/>
                <w:webHidden/>
              </w:rPr>
              <w:fldChar w:fldCharType="end"/>
            </w:r>
          </w:hyperlink>
        </w:p>
        <w:p w14:paraId="56F1ED07" w14:textId="7115707A" w:rsidR="00F14D69" w:rsidRDefault="00F14D69">
          <w:pPr>
            <w:pStyle w:val="TOC2"/>
            <w:rPr>
              <w:rFonts w:asciiTheme="minorHAnsi" w:eastAsiaTheme="minorEastAsia" w:hAnsiTheme="minorHAnsi" w:cstheme="minorBidi"/>
              <w:b w:val="0"/>
              <w:noProof/>
              <w:sz w:val="22"/>
              <w:lang w:eastAsia="en-AU"/>
            </w:rPr>
          </w:pPr>
          <w:hyperlink w:anchor="_Toc63088091" w:history="1">
            <w:r w:rsidRPr="00EF0D52">
              <w:rPr>
                <w:rStyle w:val="Hyperlink"/>
                <w:noProof/>
              </w:rPr>
              <w:t>Product Information</w:t>
            </w:r>
            <w:r>
              <w:rPr>
                <w:noProof/>
                <w:webHidden/>
              </w:rPr>
              <w:tab/>
            </w:r>
            <w:r>
              <w:rPr>
                <w:noProof/>
                <w:webHidden/>
              </w:rPr>
              <w:fldChar w:fldCharType="begin"/>
            </w:r>
            <w:r>
              <w:rPr>
                <w:noProof/>
                <w:webHidden/>
              </w:rPr>
              <w:instrText xml:space="preserve"> PAGEREF _Toc63088091 \h </w:instrText>
            </w:r>
            <w:r>
              <w:rPr>
                <w:noProof/>
                <w:webHidden/>
              </w:rPr>
            </w:r>
            <w:r>
              <w:rPr>
                <w:noProof/>
                <w:webHidden/>
              </w:rPr>
              <w:fldChar w:fldCharType="separate"/>
            </w:r>
            <w:r>
              <w:rPr>
                <w:noProof/>
                <w:webHidden/>
              </w:rPr>
              <w:t>9</w:t>
            </w:r>
            <w:r>
              <w:rPr>
                <w:noProof/>
                <w:webHidden/>
              </w:rPr>
              <w:fldChar w:fldCharType="end"/>
            </w:r>
          </w:hyperlink>
        </w:p>
        <w:p w14:paraId="1A1EF8F1" w14:textId="2D31B4A8" w:rsidR="00F14D69" w:rsidRDefault="00F14D69">
          <w:pPr>
            <w:pStyle w:val="TOC1"/>
            <w:rPr>
              <w:rFonts w:asciiTheme="minorHAnsi" w:eastAsiaTheme="minorEastAsia" w:hAnsiTheme="minorHAnsi" w:cstheme="minorBidi"/>
              <w:b w:val="0"/>
              <w:noProof/>
              <w:sz w:val="22"/>
              <w:lang w:eastAsia="en-AU"/>
            </w:rPr>
          </w:pPr>
          <w:hyperlink w:anchor="_Toc63088092" w:history="1">
            <w:r w:rsidRPr="00EF0D52">
              <w:rPr>
                <w:rStyle w:val="Hyperlink"/>
                <w:noProof/>
              </w:rPr>
              <w:t>II. Registration timeline</w:t>
            </w:r>
            <w:r>
              <w:rPr>
                <w:noProof/>
                <w:webHidden/>
              </w:rPr>
              <w:tab/>
            </w:r>
            <w:r>
              <w:rPr>
                <w:noProof/>
                <w:webHidden/>
              </w:rPr>
              <w:fldChar w:fldCharType="begin"/>
            </w:r>
            <w:r>
              <w:rPr>
                <w:noProof/>
                <w:webHidden/>
              </w:rPr>
              <w:instrText xml:space="preserve"> PAGEREF _Toc63088092 \h </w:instrText>
            </w:r>
            <w:r>
              <w:rPr>
                <w:noProof/>
                <w:webHidden/>
              </w:rPr>
            </w:r>
            <w:r>
              <w:rPr>
                <w:noProof/>
                <w:webHidden/>
              </w:rPr>
              <w:fldChar w:fldCharType="separate"/>
            </w:r>
            <w:r>
              <w:rPr>
                <w:noProof/>
                <w:webHidden/>
              </w:rPr>
              <w:t>10</w:t>
            </w:r>
            <w:r>
              <w:rPr>
                <w:noProof/>
                <w:webHidden/>
              </w:rPr>
              <w:fldChar w:fldCharType="end"/>
            </w:r>
          </w:hyperlink>
        </w:p>
        <w:p w14:paraId="3140EF66" w14:textId="7F52934C" w:rsidR="00F14D69" w:rsidRDefault="00F14D69">
          <w:pPr>
            <w:pStyle w:val="TOC1"/>
            <w:rPr>
              <w:rFonts w:asciiTheme="minorHAnsi" w:eastAsiaTheme="minorEastAsia" w:hAnsiTheme="minorHAnsi" w:cstheme="minorBidi"/>
              <w:b w:val="0"/>
              <w:noProof/>
              <w:sz w:val="22"/>
              <w:lang w:eastAsia="en-AU"/>
            </w:rPr>
          </w:pPr>
          <w:hyperlink w:anchor="_Toc63088093" w:history="1">
            <w:r w:rsidRPr="00EF0D52">
              <w:rPr>
                <w:rStyle w:val="Hyperlink"/>
                <w:noProof/>
              </w:rPr>
              <w:t>III. Submission overview and risk/benefit assessment</w:t>
            </w:r>
            <w:r>
              <w:rPr>
                <w:noProof/>
                <w:webHidden/>
              </w:rPr>
              <w:tab/>
            </w:r>
            <w:r>
              <w:rPr>
                <w:noProof/>
                <w:webHidden/>
              </w:rPr>
              <w:fldChar w:fldCharType="begin"/>
            </w:r>
            <w:r>
              <w:rPr>
                <w:noProof/>
                <w:webHidden/>
              </w:rPr>
              <w:instrText xml:space="preserve"> PAGEREF _Toc63088093 \h </w:instrText>
            </w:r>
            <w:r>
              <w:rPr>
                <w:noProof/>
                <w:webHidden/>
              </w:rPr>
            </w:r>
            <w:r>
              <w:rPr>
                <w:noProof/>
                <w:webHidden/>
              </w:rPr>
              <w:fldChar w:fldCharType="separate"/>
            </w:r>
            <w:r>
              <w:rPr>
                <w:noProof/>
                <w:webHidden/>
              </w:rPr>
              <w:t>10</w:t>
            </w:r>
            <w:r>
              <w:rPr>
                <w:noProof/>
                <w:webHidden/>
              </w:rPr>
              <w:fldChar w:fldCharType="end"/>
            </w:r>
          </w:hyperlink>
        </w:p>
        <w:p w14:paraId="232CD839" w14:textId="5765E265" w:rsidR="00F14D69" w:rsidRDefault="00F14D69">
          <w:pPr>
            <w:pStyle w:val="TOC2"/>
            <w:rPr>
              <w:rFonts w:asciiTheme="minorHAnsi" w:eastAsiaTheme="minorEastAsia" w:hAnsiTheme="minorHAnsi" w:cstheme="minorBidi"/>
              <w:b w:val="0"/>
              <w:noProof/>
              <w:sz w:val="22"/>
              <w:lang w:eastAsia="en-AU"/>
            </w:rPr>
          </w:pPr>
          <w:hyperlink w:anchor="_Toc63088094" w:history="1">
            <w:r w:rsidRPr="00EF0D52">
              <w:rPr>
                <w:rStyle w:val="Hyperlink"/>
                <w:noProof/>
              </w:rPr>
              <w:t>Quality</w:t>
            </w:r>
            <w:r>
              <w:rPr>
                <w:noProof/>
                <w:webHidden/>
              </w:rPr>
              <w:tab/>
            </w:r>
            <w:r>
              <w:rPr>
                <w:noProof/>
                <w:webHidden/>
              </w:rPr>
              <w:fldChar w:fldCharType="begin"/>
            </w:r>
            <w:r>
              <w:rPr>
                <w:noProof/>
                <w:webHidden/>
              </w:rPr>
              <w:instrText xml:space="preserve"> PAGEREF _Toc63088094 \h </w:instrText>
            </w:r>
            <w:r>
              <w:rPr>
                <w:noProof/>
                <w:webHidden/>
              </w:rPr>
            </w:r>
            <w:r>
              <w:rPr>
                <w:noProof/>
                <w:webHidden/>
              </w:rPr>
              <w:fldChar w:fldCharType="separate"/>
            </w:r>
            <w:r>
              <w:rPr>
                <w:noProof/>
                <w:webHidden/>
              </w:rPr>
              <w:t>10</w:t>
            </w:r>
            <w:r>
              <w:rPr>
                <w:noProof/>
                <w:webHidden/>
              </w:rPr>
              <w:fldChar w:fldCharType="end"/>
            </w:r>
          </w:hyperlink>
        </w:p>
        <w:p w14:paraId="0A6FD714" w14:textId="0AE60A6C" w:rsidR="00F14D69" w:rsidRDefault="00F14D69">
          <w:pPr>
            <w:pStyle w:val="TOC2"/>
            <w:rPr>
              <w:rFonts w:asciiTheme="minorHAnsi" w:eastAsiaTheme="minorEastAsia" w:hAnsiTheme="minorHAnsi" w:cstheme="minorBidi"/>
              <w:b w:val="0"/>
              <w:noProof/>
              <w:sz w:val="22"/>
              <w:lang w:eastAsia="en-AU"/>
            </w:rPr>
          </w:pPr>
          <w:hyperlink w:anchor="_Toc63088095" w:history="1">
            <w:r w:rsidRPr="00EF0D52">
              <w:rPr>
                <w:rStyle w:val="Hyperlink"/>
                <w:noProof/>
              </w:rPr>
              <w:t>Nonclinical</w:t>
            </w:r>
            <w:r>
              <w:rPr>
                <w:noProof/>
                <w:webHidden/>
              </w:rPr>
              <w:tab/>
            </w:r>
            <w:r>
              <w:rPr>
                <w:noProof/>
                <w:webHidden/>
              </w:rPr>
              <w:fldChar w:fldCharType="begin"/>
            </w:r>
            <w:r>
              <w:rPr>
                <w:noProof/>
                <w:webHidden/>
              </w:rPr>
              <w:instrText xml:space="preserve"> PAGEREF _Toc63088095 \h </w:instrText>
            </w:r>
            <w:r>
              <w:rPr>
                <w:noProof/>
                <w:webHidden/>
              </w:rPr>
            </w:r>
            <w:r>
              <w:rPr>
                <w:noProof/>
                <w:webHidden/>
              </w:rPr>
              <w:fldChar w:fldCharType="separate"/>
            </w:r>
            <w:r>
              <w:rPr>
                <w:noProof/>
                <w:webHidden/>
              </w:rPr>
              <w:t>12</w:t>
            </w:r>
            <w:r>
              <w:rPr>
                <w:noProof/>
                <w:webHidden/>
              </w:rPr>
              <w:fldChar w:fldCharType="end"/>
            </w:r>
          </w:hyperlink>
        </w:p>
        <w:p w14:paraId="7F9AE1F8" w14:textId="653EF5F8" w:rsidR="00F14D69" w:rsidRDefault="00F14D69">
          <w:pPr>
            <w:pStyle w:val="TOC2"/>
            <w:rPr>
              <w:rFonts w:asciiTheme="minorHAnsi" w:eastAsiaTheme="minorEastAsia" w:hAnsiTheme="minorHAnsi" w:cstheme="minorBidi"/>
              <w:b w:val="0"/>
              <w:noProof/>
              <w:sz w:val="22"/>
              <w:lang w:eastAsia="en-AU"/>
            </w:rPr>
          </w:pPr>
          <w:hyperlink w:anchor="_Toc63088096" w:history="1">
            <w:r w:rsidRPr="00EF0D52">
              <w:rPr>
                <w:rStyle w:val="Hyperlink"/>
                <w:noProof/>
              </w:rPr>
              <w:t>Clinical</w:t>
            </w:r>
            <w:r>
              <w:rPr>
                <w:noProof/>
                <w:webHidden/>
              </w:rPr>
              <w:tab/>
            </w:r>
            <w:r>
              <w:rPr>
                <w:noProof/>
                <w:webHidden/>
              </w:rPr>
              <w:fldChar w:fldCharType="begin"/>
            </w:r>
            <w:r>
              <w:rPr>
                <w:noProof/>
                <w:webHidden/>
              </w:rPr>
              <w:instrText xml:space="preserve"> PAGEREF _Toc63088096 \h </w:instrText>
            </w:r>
            <w:r>
              <w:rPr>
                <w:noProof/>
                <w:webHidden/>
              </w:rPr>
            </w:r>
            <w:r>
              <w:rPr>
                <w:noProof/>
                <w:webHidden/>
              </w:rPr>
              <w:fldChar w:fldCharType="separate"/>
            </w:r>
            <w:r>
              <w:rPr>
                <w:noProof/>
                <w:webHidden/>
              </w:rPr>
              <w:t>13</w:t>
            </w:r>
            <w:r>
              <w:rPr>
                <w:noProof/>
                <w:webHidden/>
              </w:rPr>
              <w:fldChar w:fldCharType="end"/>
            </w:r>
          </w:hyperlink>
        </w:p>
        <w:p w14:paraId="73DBE0C6" w14:textId="4CB4464E" w:rsidR="00F14D69" w:rsidRDefault="00F14D69">
          <w:pPr>
            <w:pStyle w:val="TOC2"/>
            <w:rPr>
              <w:rFonts w:asciiTheme="minorHAnsi" w:eastAsiaTheme="minorEastAsia" w:hAnsiTheme="minorHAnsi" w:cstheme="minorBidi"/>
              <w:b w:val="0"/>
              <w:noProof/>
              <w:sz w:val="22"/>
              <w:lang w:eastAsia="en-AU"/>
            </w:rPr>
          </w:pPr>
          <w:hyperlink w:anchor="_Toc63088097" w:history="1">
            <w:r w:rsidRPr="00EF0D52">
              <w:rPr>
                <w:rStyle w:val="Hyperlink"/>
                <w:noProof/>
                <w:lang w:eastAsia="en-AU"/>
              </w:rPr>
              <w:t>Risk management plan</w:t>
            </w:r>
            <w:r>
              <w:rPr>
                <w:noProof/>
                <w:webHidden/>
              </w:rPr>
              <w:tab/>
            </w:r>
            <w:r>
              <w:rPr>
                <w:noProof/>
                <w:webHidden/>
              </w:rPr>
              <w:fldChar w:fldCharType="begin"/>
            </w:r>
            <w:r>
              <w:rPr>
                <w:noProof/>
                <w:webHidden/>
              </w:rPr>
              <w:instrText xml:space="preserve"> PAGEREF _Toc63088097 \h </w:instrText>
            </w:r>
            <w:r>
              <w:rPr>
                <w:noProof/>
                <w:webHidden/>
              </w:rPr>
            </w:r>
            <w:r>
              <w:rPr>
                <w:noProof/>
                <w:webHidden/>
              </w:rPr>
              <w:fldChar w:fldCharType="separate"/>
            </w:r>
            <w:r>
              <w:rPr>
                <w:noProof/>
                <w:webHidden/>
              </w:rPr>
              <w:t>18</w:t>
            </w:r>
            <w:r>
              <w:rPr>
                <w:noProof/>
                <w:webHidden/>
              </w:rPr>
              <w:fldChar w:fldCharType="end"/>
            </w:r>
          </w:hyperlink>
        </w:p>
        <w:p w14:paraId="554B0B88" w14:textId="56EA4042" w:rsidR="00F14D69" w:rsidRDefault="00F14D69">
          <w:pPr>
            <w:pStyle w:val="TOC2"/>
            <w:rPr>
              <w:rFonts w:asciiTheme="minorHAnsi" w:eastAsiaTheme="minorEastAsia" w:hAnsiTheme="minorHAnsi" w:cstheme="minorBidi"/>
              <w:b w:val="0"/>
              <w:noProof/>
              <w:sz w:val="22"/>
              <w:lang w:eastAsia="en-AU"/>
            </w:rPr>
          </w:pPr>
          <w:hyperlink w:anchor="_Toc63088098" w:history="1">
            <w:r w:rsidRPr="00EF0D52">
              <w:rPr>
                <w:rStyle w:val="Hyperlink"/>
                <w:noProof/>
              </w:rPr>
              <w:t>Risk-benefit analysis</w:t>
            </w:r>
            <w:r>
              <w:rPr>
                <w:noProof/>
                <w:webHidden/>
              </w:rPr>
              <w:tab/>
            </w:r>
            <w:r>
              <w:rPr>
                <w:noProof/>
                <w:webHidden/>
              </w:rPr>
              <w:fldChar w:fldCharType="begin"/>
            </w:r>
            <w:r>
              <w:rPr>
                <w:noProof/>
                <w:webHidden/>
              </w:rPr>
              <w:instrText xml:space="preserve"> PAGEREF _Toc63088098 \h </w:instrText>
            </w:r>
            <w:r>
              <w:rPr>
                <w:noProof/>
                <w:webHidden/>
              </w:rPr>
            </w:r>
            <w:r>
              <w:rPr>
                <w:noProof/>
                <w:webHidden/>
              </w:rPr>
              <w:fldChar w:fldCharType="separate"/>
            </w:r>
            <w:r>
              <w:rPr>
                <w:noProof/>
                <w:webHidden/>
              </w:rPr>
              <w:t>19</w:t>
            </w:r>
            <w:r>
              <w:rPr>
                <w:noProof/>
                <w:webHidden/>
              </w:rPr>
              <w:fldChar w:fldCharType="end"/>
            </w:r>
          </w:hyperlink>
        </w:p>
        <w:p w14:paraId="3B064722" w14:textId="052A42D3" w:rsidR="00F14D69" w:rsidRDefault="00F14D69">
          <w:pPr>
            <w:pStyle w:val="TOC2"/>
            <w:rPr>
              <w:rFonts w:asciiTheme="minorHAnsi" w:eastAsiaTheme="minorEastAsia" w:hAnsiTheme="minorHAnsi" w:cstheme="minorBidi"/>
              <w:b w:val="0"/>
              <w:noProof/>
              <w:sz w:val="22"/>
              <w:lang w:eastAsia="en-AU"/>
            </w:rPr>
          </w:pPr>
          <w:hyperlink w:anchor="_Toc63088099" w:history="1">
            <w:r w:rsidRPr="00EF0D52">
              <w:rPr>
                <w:rStyle w:val="Hyperlink"/>
                <w:noProof/>
              </w:rPr>
              <w:t>Outcome</w:t>
            </w:r>
            <w:r>
              <w:rPr>
                <w:noProof/>
                <w:webHidden/>
              </w:rPr>
              <w:tab/>
            </w:r>
            <w:r>
              <w:rPr>
                <w:noProof/>
                <w:webHidden/>
              </w:rPr>
              <w:fldChar w:fldCharType="begin"/>
            </w:r>
            <w:r>
              <w:rPr>
                <w:noProof/>
                <w:webHidden/>
              </w:rPr>
              <w:instrText xml:space="preserve"> PAGEREF _Toc63088099 \h </w:instrText>
            </w:r>
            <w:r>
              <w:rPr>
                <w:noProof/>
                <w:webHidden/>
              </w:rPr>
            </w:r>
            <w:r>
              <w:rPr>
                <w:noProof/>
                <w:webHidden/>
              </w:rPr>
              <w:fldChar w:fldCharType="separate"/>
            </w:r>
            <w:r>
              <w:rPr>
                <w:noProof/>
                <w:webHidden/>
              </w:rPr>
              <w:t>20</w:t>
            </w:r>
            <w:r>
              <w:rPr>
                <w:noProof/>
                <w:webHidden/>
              </w:rPr>
              <w:fldChar w:fldCharType="end"/>
            </w:r>
          </w:hyperlink>
        </w:p>
        <w:p w14:paraId="7AE3BE50" w14:textId="29019FBB" w:rsidR="00F14D69" w:rsidRDefault="00F14D69">
          <w:pPr>
            <w:pStyle w:val="TOC1"/>
            <w:rPr>
              <w:rFonts w:asciiTheme="minorHAnsi" w:eastAsiaTheme="minorEastAsia" w:hAnsiTheme="minorHAnsi" w:cstheme="minorBidi"/>
              <w:b w:val="0"/>
              <w:noProof/>
              <w:sz w:val="22"/>
              <w:lang w:eastAsia="en-AU"/>
            </w:rPr>
          </w:pPr>
          <w:hyperlink w:anchor="_Toc63088100" w:history="1">
            <w:r w:rsidRPr="00EF0D52">
              <w:rPr>
                <w:rStyle w:val="Hyperlink"/>
                <w:noProof/>
              </w:rPr>
              <w:t>Attachment 1. Product Information</w:t>
            </w:r>
            <w:r>
              <w:rPr>
                <w:noProof/>
                <w:webHidden/>
              </w:rPr>
              <w:tab/>
            </w:r>
            <w:r>
              <w:rPr>
                <w:noProof/>
                <w:webHidden/>
              </w:rPr>
              <w:fldChar w:fldCharType="begin"/>
            </w:r>
            <w:r>
              <w:rPr>
                <w:noProof/>
                <w:webHidden/>
              </w:rPr>
              <w:instrText xml:space="preserve"> PAGEREF _Toc63088100 \h </w:instrText>
            </w:r>
            <w:r>
              <w:rPr>
                <w:noProof/>
                <w:webHidden/>
              </w:rPr>
            </w:r>
            <w:r>
              <w:rPr>
                <w:noProof/>
                <w:webHidden/>
              </w:rPr>
              <w:fldChar w:fldCharType="separate"/>
            </w:r>
            <w:r>
              <w:rPr>
                <w:noProof/>
                <w:webHidden/>
              </w:rPr>
              <w:t>21</w:t>
            </w:r>
            <w:r>
              <w:rPr>
                <w:noProof/>
                <w:webHidden/>
              </w:rPr>
              <w:fldChar w:fldCharType="end"/>
            </w:r>
          </w:hyperlink>
        </w:p>
        <w:p w14:paraId="67C27B90" w14:textId="69A41043" w:rsidR="003A7F6C" w:rsidRPr="00B811C6" w:rsidRDefault="00C525A2" w:rsidP="00B811C6">
          <w:pPr>
            <w:pStyle w:val="TOC2"/>
          </w:pPr>
          <w:r>
            <w:fldChar w:fldCharType="end"/>
          </w:r>
        </w:p>
      </w:sdtContent>
    </w:sdt>
    <w:bookmarkStart w:id="3" w:name="_Toc314842482" w:displacedByCustomXml="prev"/>
    <w:p w14:paraId="2B0B2F49" w14:textId="77777777" w:rsidR="00FD119B" w:rsidRDefault="00FD119B">
      <w:pPr>
        <w:spacing w:before="0" w:after="200" w:line="0" w:lineRule="auto"/>
      </w:pPr>
      <w:r>
        <w:br w:type="page"/>
      </w:r>
    </w:p>
    <w:p w14:paraId="6721D38A" w14:textId="77777777" w:rsidR="00C52E24" w:rsidRPr="00C52E24" w:rsidRDefault="00324E45" w:rsidP="00D87445">
      <w:pPr>
        <w:pStyle w:val="Heading2"/>
      </w:pPr>
      <w:bookmarkStart w:id="4" w:name="_Toc351716269"/>
      <w:bookmarkStart w:id="5" w:name="_Toc351718881"/>
      <w:bookmarkStart w:id="6" w:name="_Toc355338616"/>
      <w:bookmarkStart w:id="7" w:name="_Toc356306144"/>
      <w:bookmarkStart w:id="8" w:name="_Toc63088086"/>
      <w:r>
        <w:t>List of</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7F5B17" w:rsidRPr="00FD119B" w14:paraId="3F2F5C8A" w14:textId="77777777" w:rsidTr="00DD01EA">
        <w:trPr>
          <w:cnfStyle w:val="100000000000" w:firstRow="1" w:lastRow="0" w:firstColumn="0" w:lastColumn="0" w:oddVBand="0" w:evenVBand="0" w:oddHBand="0" w:evenHBand="0" w:firstRowFirstColumn="0" w:firstRowLastColumn="0" w:lastRowFirstColumn="0" w:lastRowLastColumn="0"/>
        </w:trPr>
        <w:tc>
          <w:tcPr>
            <w:tcW w:w="1809" w:type="dxa"/>
            <w:tcBorders>
              <w:top w:val="single" w:sz="4" w:space="0" w:color="auto"/>
              <w:left w:val="single" w:sz="4" w:space="0" w:color="auto"/>
              <w:bottom w:val="single" w:sz="4" w:space="0" w:color="auto"/>
              <w:right w:val="single" w:sz="4" w:space="0" w:color="auto"/>
            </w:tcBorders>
          </w:tcPr>
          <w:p w14:paraId="0666F63C" w14:textId="77777777" w:rsidR="007F5B17" w:rsidRPr="00FD119B" w:rsidRDefault="007F5B17" w:rsidP="00DD01EA">
            <w:pPr>
              <w:keepNext w:val="0"/>
              <w:ind w:left="0" w:right="0"/>
              <w:rPr>
                <w:szCs w:val="22"/>
                <w:lang w:eastAsia="en-US"/>
              </w:rPr>
            </w:pPr>
            <w:r w:rsidRPr="00FD119B">
              <w:rPr>
                <w:szCs w:val="22"/>
                <w:lang w:eastAsia="en-US"/>
              </w:rPr>
              <w:t>Abbreviation</w:t>
            </w:r>
          </w:p>
        </w:tc>
        <w:tc>
          <w:tcPr>
            <w:tcW w:w="6911" w:type="dxa"/>
            <w:tcBorders>
              <w:top w:val="single" w:sz="4" w:space="0" w:color="auto"/>
              <w:left w:val="single" w:sz="4" w:space="0" w:color="auto"/>
              <w:bottom w:val="single" w:sz="4" w:space="0" w:color="auto"/>
              <w:right w:val="single" w:sz="4" w:space="0" w:color="auto"/>
            </w:tcBorders>
          </w:tcPr>
          <w:p w14:paraId="3701127F" w14:textId="77777777" w:rsidR="007F5B17" w:rsidRPr="00FD119B" w:rsidRDefault="007F5B17" w:rsidP="00DD01EA">
            <w:pPr>
              <w:keepNext w:val="0"/>
              <w:ind w:left="0" w:right="0"/>
              <w:rPr>
                <w:szCs w:val="22"/>
                <w:lang w:eastAsia="en-US"/>
              </w:rPr>
            </w:pPr>
            <w:r w:rsidRPr="00FD119B">
              <w:rPr>
                <w:szCs w:val="22"/>
                <w:lang w:eastAsia="en-US"/>
              </w:rPr>
              <w:t>Meaning</w:t>
            </w:r>
          </w:p>
        </w:tc>
      </w:tr>
      <w:tr w:rsidR="007F5B17" w:rsidRPr="00FD119B" w14:paraId="2E1B1DB7" w14:textId="77777777" w:rsidTr="00DD01EA">
        <w:tc>
          <w:tcPr>
            <w:tcW w:w="1809" w:type="dxa"/>
            <w:tcBorders>
              <w:top w:val="single" w:sz="4" w:space="0" w:color="auto"/>
            </w:tcBorders>
          </w:tcPr>
          <w:p w14:paraId="16FE0223" w14:textId="77777777" w:rsidR="007F5B17" w:rsidRPr="00FD119B" w:rsidRDefault="007F5B17" w:rsidP="00DD01EA">
            <w:pPr>
              <w:ind w:left="0" w:right="0"/>
            </w:pPr>
            <w:r>
              <w:t>ACM</w:t>
            </w:r>
          </w:p>
        </w:tc>
        <w:tc>
          <w:tcPr>
            <w:tcW w:w="6911" w:type="dxa"/>
            <w:tcBorders>
              <w:top w:val="single" w:sz="4" w:space="0" w:color="auto"/>
            </w:tcBorders>
          </w:tcPr>
          <w:p w14:paraId="29A4B0B0" w14:textId="77777777" w:rsidR="007F5B17" w:rsidRPr="00FD119B" w:rsidRDefault="007F5B17" w:rsidP="00DD01EA">
            <w:pPr>
              <w:ind w:left="0" w:right="0"/>
            </w:pPr>
            <w:r w:rsidRPr="00460036">
              <w:t>Advisory Committee on Medicines</w:t>
            </w:r>
          </w:p>
        </w:tc>
      </w:tr>
      <w:tr w:rsidR="007F5B17" w:rsidRPr="00FD119B" w14:paraId="255F13D8" w14:textId="77777777" w:rsidTr="00DD01EA">
        <w:tc>
          <w:tcPr>
            <w:tcW w:w="1809" w:type="dxa"/>
          </w:tcPr>
          <w:p w14:paraId="614FBDC9" w14:textId="77777777" w:rsidR="007F5B17" w:rsidRDefault="007F5B17" w:rsidP="00DD01EA">
            <w:pPr>
              <w:ind w:left="0"/>
            </w:pPr>
            <w:r>
              <w:t>ADR</w:t>
            </w:r>
          </w:p>
        </w:tc>
        <w:tc>
          <w:tcPr>
            <w:tcW w:w="6911" w:type="dxa"/>
          </w:tcPr>
          <w:p w14:paraId="4B30ACB9" w14:textId="77777777" w:rsidR="007F5B17" w:rsidRDefault="007F5B17" w:rsidP="00DD01EA">
            <w:pPr>
              <w:ind w:left="0"/>
            </w:pPr>
            <w:r>
              <w:t>Adverse drug reaction</w:t>
            </w:r>
          </w:p>
        </w:tc>
      </w:tr>
      <w:tr w:rsidR="007F5B17" w:rsidRPr="00FD119B" w14:paraId="1EC1F3D0" w14:textId="77777777" w:rsidTr="00DD01EA">
        <w:tc>
          <w:tcPr>
            <w:tcW w:w="1809" w:type="dxa"/>
          </w:tcPr>
          <w:p w14:paraId="4B8908C1" w14:textId="77777777" w:rsidR="007F5B17" w:rsidRDefault="007F5B17" w:rsidP="00DD01EA">
            <w:pPr>
              <w:ind w:left="0"/>
            </w:pPr>
            <w:r>
              <w:t>AE</w:t>
            </w:r>
          </w:p>
        </w:tc>
        <w:tc>
          <w:tcPr>
            <w:tcW w:w="6911" w:type="dxa"/>
          </w:tcPr>
          <w:p w14:paraId="6321B24C" w14:textId="77777777" w:rsidR="007F5B17" w:rsidRDefault="007F5B17" w:rsidP="00DD01EA">
            <w:pPr>
              <w:ind w:left="0"/>
            </w:pPr>
            <w:r>
              <w:t>Adverse event</w:t>
            </w:r>
          </w:p>
        </w:tc>
      </w:tr>
      <w:tr w:rsidR="007F5B17" w:rsidRPr="00FD119B" w14:paraId="34C14A4E" w14:textId="77777777" w:rsidTr="00DD01EA">
        <w:tc>
          <w:tcPr>
            <w:tcW w:w="1809" w:type="dxa"/>
          </w:tcPr>
          <w:p w14:paraId="11B3431D" w14:textId="77777777" w:rsidR="007F5B17" w:rsidRDefault="007F5B17" w:rsidP="00DD01EA">
            <w:pPr>
              <w:ind w:left="0"/>
            </w:pPr>
            <w:r>
              <w:t>ANOVA</w:t>
            </w:r>
          </w:p>
        </w:tc>
        <w:tc>
          <w:tcPr>
            <w:tcW w:w="6911" w:type="dxa"/>
          </w:tcPr>
          <w:p w14:paraId="25226D21" w14:textId="77777777" w:rsidR="007F5B17" w:rsidRDefault="007F5B17" w:rsidP="00DD01EA">
            <w:pPr>
              <w:ind w:left="0"/>
            </w:pPr>
            <w:r w:rsidRPr="00F1285F">
              <w:t>Analysis of variance</w:t>
            </w:r>
          </w:p>
        </w:tc>
      </w:tr>
      <w:tr w:rsidR="007F5B17" w:rsidRPr="00FD119B" w14:paraId="6FEEEC09" w14:textId="77777777" w:rsidTr="00DD01EA">
        <w:tc>
          <w:tcPr>
            <w:tcW w:w="1809" w:type="dxa"/>
          </w:tcPr>
          <w:p w14:paraId="764C5877" w14:textId="77777777" w:rsidR="007F5B17" w:rsidRDefault="007F5B17" w:rsidP="00DD01EA">
            <w:pPr>
              <w:ind w:left="0"/>
            </w:pPr>
            <w:r>
              <w:t>ARGPM</w:t>
            </w:r>
          </w:p>
        </w:tc>
        <w:tc>
          <w:tcPr>
            <w:tcW w:w="6911" w:type="dxa"/>
          </w:tcPr>
          <w:p w14:paraId="69EACE08" w14:textId="77777777" w:rsidR="007F5B17" w:rsidRDefault="007F5B17" w:rsidP="00DD01EA">
            <w:pPr>
              <w:ind w:left="0"/>
            </w:pPr>
            <w:r>
              <w:t>Australian Regulatory Guidelines for Prescription Medicines</w:t>
            </w:r>
          </w:p>
        </w:tc>
      </w:tr>
      <w:tr w:rsidR="007F5B17" w:rsidRPr="00FD119B" w14:paraId="17667A38" w14:textId="77777777" w:rsidTr="00DD01EA">
        <w:tc>
          <w:tcPr>
            <w:tcW w:w="1809" w:type="dxa"/>
          </w:tcPr>
          <w:p w14:paraId="3BE1FB06" w14:textId="77777777" w:rsidR="007F5B17" w:rsidRPr="00FD119B" w:rsidRDefault="007F5B17" w:rsidP="00DD01EA">
            <w:pPr>
              <w:ind w:left="0" w:right="0"/>
            </w:pPr>
            <w:r>
              <w:t>ARTG</w:t>
            </w:r>
          </w:p>
        </w:tc>
        <w:tc>
          <w:tcPr>
            <w:tcW w:w="6911" w:type="dxa"/>
          </w:tcPr>
          <w:p w14:paraId="6767E26E" w14:textId="77777777" w:rsidR="007F5B17" w:rsidRPr="00FD119B" w:rsidRDefault="007F5B17" w:rsidP="00DD01EA">
            <w:pPr>
              <w:ind w:left="0" w:right="0"/>
            </w:pPr>
            <w:r w:rsidRPr="00460036">
              <w:t>Australian Register of Therapeutic Goods</w:t>
            </w:r>
          </w:p>
        </w:tc>
      </w:tr>
      <w:tr w:rsidR="007F5B17" w:rsidRPr="00FD119B" w14:paraId="5EEC1EC9" w14:textId="77777777" w:rsidTr="00DD01EA">
        <w:tc>
          <w:tcPr>
            <w:tcW w:w="1809" w:type="dxa"/>
          </w:tcPr>
          <w:p w14:paraId="516B6B2B" w14:textId="77777777" w:rsidR="007F5B17" w:rsidRDefault="007F5B17" w:rsidP="00DD01EA">
            <w:pPr>
              <w:ind w:left="0"/>
            </w:pPr>
            <w:r>
              <w:t>ASA</w:t>
            </w:r>
          </w:p>
        </w:tc>
        <w:tc>
          <w:tcPr>
            <w:tcW w:w="6911" w:type="dxa"/>
          </w:tcPr>
          <w:p w14:paraId="20FB2CA3" w14:textId="0EB3E95F" w:rsidR="007F5B17" w:rsidRDefault="007F5B17" w:rsidP="00DD01EA">
            <w:pPr>
              <w:ind w:left="0"/>
            </w:pPr>
            <w:r>
              <w:t xml:space="preserve">Australia </w:t>
            </w:r>
            <w:r w:rsidR="004F13D2">
              <w:t>s</w:t>
            </w:r>
            <w:r w:rsidR="00DF54C8">
              <w:t>pecific a</w:t>
            </w:r>
            <w:r>
              <w:t>nnex</w:t>
            </w:r>
          </w:p>
        </w:tc>
      </w:tr>
      <w:tr w:rsidR="007F5B17" w:rsidRPr="00FD119B" w14:paraId="756FD8BB" w14:textId="77777777" w:rsidTr="00DD01EA">
        <w:tc>
          <w:tcPr>
            <w:tcW w:w="1809" w:type="dxa"/>
          </w:tcPr>
          <w:p w14:paraId="2366005B" w14:textId="77777777" w:rsidR="007F5B17" w:rsidRDefault="007F5B17" w:rsidP="007F5B17">
            <w:pPr>
              <w:ind w:left="0"/>
            </w:pPr>
            <w:r>
              <w:t>AUC</w:t>
            </w:r>
            <w:r w:rsidRPr="007F5B17">
              <w:rPr>
                <w:vertAlign w:val="subscript"/>
              </w:rPr>
              <w:t>0-inf</w:t>
            </w:r>
          </w:p>
        </w:tc>
        <w:tc>
          <w:tcPr>
            <w:tcW w:w="6911" w:type="dxa"/>
          </w:tcPr>
          <w:p w14:paraId="1B2855CA" w14:textId="77777777" w:rsidR="007F5B17" w:rsidRDefault="007F5B17" w:rsidP="007F5B17">
            <w:pPr>
              <w:ind w:left="0"/>
            </w:pPr>
            <w:r>
              <w:t>Area under concentration time curve from time zero to infinity</w:t>
            </w:r>
          </w:p>
        </w:tc>
      </w:tr>
      <w:tr w:rsidR="007F5B17" w:rsidRPr="00FD119B" w14:paraId="326E89BA" w14:textId="77777777" w:rsidTr="00DD01EA">
        <w:tc>
          <w:tcPr>
            <w:tcW w:w="1809" w:type="dxa"/>
          </w:tcPr>
          <w:p w14:paraId="5EDA8088" w14:textId="77777777" w:rsidR="007F5B17" w:rsidRDefault="007F5B17" w:rsidP="007F5B17">
            <w:pPr>
              <w:ind w:left="0"/>
            </w:pPr>
            <w:r>
              <w:t>AUC</w:t>
            </w:r>
            <w:r w:rsidRPr="007F5B17">
              <w:rPr>
                <w:vertAlign w:val="subscript"/>
              </w:rPr>
              <w:t>0-tlast</w:t>
            </w:r>
          </w:p>
        </w:tc>
        <w:tc>
          <w:tcPr>
            <w:tcW w:w="6911" w:type="dxa"/>
          </w:tcPr>
          <w:p w14:paraId="7F81D252" w14:textId="77777777" w:rsidR="007F5B17" w:rsidRDefault="007F5B17" w:rsidP="007F5B17">
            <w:pPr>
              <w:ind w:left="0"/>
            </w:pPr>
            <w:r>
              <w:t>Area under concentration time curve from time zero to last quantifiable concentration</w:t>
            </w:r>
          </w:p>
        </w:tc>
      </w:tr>
      <w:tr w:rsidR="007F5B17" w:rsidRPr="00FD119B" w14:paraId="31047791" w14:textId="77777777" w:rsidTr="00DD01EA">
        <w:tc>
          <w:tcPr>
            <w:tcW w:w="1809" w:type="dxa"/>
          </w:tcPr>
          <w:p w14:paraId="55A67AD0" w14:textId="77777777" w:rsidR="007F5B17" w:rsidRDefault="007F5B17" w:rsidP="00DD01EA">
            <w:pPr>
              <w:ind w:left="0"/>
            </w:pPr>
            <w:r>
              <w:t>BMD</w:t>
            </w:r>
          </w:p>
        </w:tc>
        <w:tc>
          <w:tcPr>
            <w:tcW w:w="6911" w:type="dxa"/>
          </w:tcPr>
          <w:p w14:paraId="6EC25A05" w14:textId="77777777" w:rsidR="007F5B17" w:rsidRDefault="007F5B17" w:rsidP="00DD01EA">
            <w:pPr>
              <w:ind w:left="0"/>
            </w:pPr>
            <w:r>
              <w:t>Bone mineral density</w:t>
            </w:r>
          </w:p>
        </w:tc>
      </w:tr>
      <w:tr w:rsidR="007F5B17" w:rsidRPr="00FD119B" w14:paraId="5CCBF697" w14:textId="77777777" w:rsidTr="00DD01EA">
        <w:tc>
          <w:tcPr>
            <w:tcW w:w="1809" w:type="dxa"/>
          </w:tcPr>
          <w:p w14:paraId="136BB1FF" w14:textId="77777777" w:rsidR="007F5B17" w:rsidRDefault="007F5B17" w:rsidP="00DD01EA">
            <w:pPr>
              <w:ind w:left="0"/>
            </w:pPr>
            <w:r>
              <w:t>BMI</w:t>
            </w:r>
          </w:p>
        </w:tc>
        <w:tc>
          <w:tcPr>
            <w:tcW w:w="6911" w:type="dxa"/>
          </w:tcPr>
          <w:p w14:paraId="25983F95" w14:textId="77777777" w:rsidR="007F5B17" w:rsidRDefault="007F5B17" w:rsidP="00DD01EA">
            <w:pPr>
              <w:ind w:left="0"/>
            </w:pPr>
            <w:r>
              <w:t>Body mass index</w:t>
            </w:r>
          </w:p>
        </w:tc>
      </w:tr>
      <w:tr w:rsidR="007F5B17" w:rsidRPr="00FD119B" w14:paraId="26E50912" w14:textId="77777777" w:rsidTr="00DD01EA">
        <w:tc>
          <w:tcPr>
            <w:tcW w:w="1809" w:type="dxa"/>
          </w:tcPr>
          <w:p w14:paraId="17BFF94B" w14:textId="77777777" w:rsidR="007F5B17" w:rsidRDefault="007F5B17" w:rsidP="00DD01EA">
            <w:pPr>
              <w:ind w:left="0"/>
            </w:pPr>
            <w:proofErr w:type="spellStart"/>
            <w:r>
              <w:t>cAMP</w:t>
            </w:r>
            <w:proofErr w:type="spellEnd"/>
          </w:p>
        </w:tc>
        <w:tc>
          <w:tcPr>
            <w:tcW w:w="6911" w:type="dxa"/>
          </w:tcPr>
          <w:p w14:paraId="3ACB5E14" w14:textId="77777777" w:rsidR="007F5B17" w:rsidRDefault="007F5B17" w:rsidP="00DD01EA">
            <w:pPr>
              <w:ind w:left="0"/>
            </w:pPr>
            <w:r>
              <w:t>C</w:t>
            </w:r>
            <w:r w:rsidRPr="00A72019">
              <w:t>yclic adenosine monophosphate</w:t>
            </w:r>
          </w:p>
        </w:tc>
      </w:tr>
      <w:tr w:rsidR="007F5B17" w:rsidRPr="00FD119B" w14:paraId="3DD9FA19" w14:textId="77777777" w:rsidTr="00DD01EA">
        <w:tc>
          <w:tcPr>
            <w:tcW w:w="1809" w:type="dxa"/>
          </w:tcPr>
          <w:p w14:paraId="3B99CF48" w14:textId="77777777" w:rsidR="007F5B17" w:rsidRDefault="007F5B17" w:rsidP="00DD01EA">
            <w:pPr>
              <w:ind w:left="0"/>
            </w:pPr>
            <w:r>
              <w:t>CI</w:t>
            </w:r>
          </w:p>
        </w:tc>
        <w:tc>
          <w:tcPr>
            <w:tcW w:w="6911" w:type="dxa"/>
          </w:tcPr>
          <w:p w14:paraId="16B1CB89" w14:textId="77777777" w:rsidR="007F5B17" w:rsidRDefault="007F5B17" w:rsidP="00DD01EA">
            <w:pPr>
              <w:ind w:left="0"/>
            </w:pPr>
            <w:r>
              <w:t>Confidence interval</w:t>
            </w:r>
          </w:p>
        </w:tc>
      </w:tr>
      <w:tr w:rsidR="007F5B17" w:rsidRPr="00FD119B" w14:paraId="0644B681" w14:textId="77777777" w:rsidTr="00DD01EA">
        <w:tc>
          <w:tcPr>
            <w:tcW w:w="1809" w:type="dxa"/>
          </w:tcPr>
          <w:p w14:paraId="6E5C54D1" w14:textId="77777777" w:rsidR="007F5B17" w:rsidRDefault="007F5B17" w:rsidP="007F5B17">
            <w:pPr>
              <w:ind w:left="0"/>
            </w:pPr>
            <w:proofErr w:type="spellStart"/>
            <w:r>
              <w:t>C</w:t>
            </w:r>
            <w:r w:rsidRPr="007F5B17">
              <w:rPr>
                <w:vertAlign w:val="subscript"/>
              </w:rPr>
              <w:t>max</w:t>
            </w:r>
            <w:proofErr w:type="spellEnd"/>
          </w:p>
        </w:tc>
        <w:tc>
          <w:tcPr>
            <w:tcW w:w="6911" w:type="dxa"/>
          </w:tcPr>
          <w:p w14:paraId="672EB78E" w14:textId="77777777" w:rsidR="007F5B17" w:rsidRDefault="007F5B17" w:rsidP="007F5B17">
            <w:pPr>
              <w:ind w:left="0"/>
            </w:pPr>
            <w:r>
              <w:t>Maximum plasma concentration</w:t>
            </w:r>
          </w:p>
        </w:tc>
      </w:tr>
      <w:tr w:rsidR="007F5B17" w:rsidRPr="00FD119B" w14:paraId="154D784B" w14:textId="77777777" w:rsidTr="00DD01EA">
        <w:tc>
          <w:tcPr>
            <w:tcW w:w="1809" w:type="dxa"/>
          </w:tcPr>
          <w:p w14:paraId="151A2644" w14:textId="77777777" w:rsidR="007F5B17" w:rsidRDefault="007F5B17" w:rsidP="00DD01EA">
            <w:pPr>
              <w:ind w:left="0"/>
            </w:pPr>
            <w:r>
              <w:t>CMI</w:t>
            </w:r>
          </w:p>
        </w:tc>
        <w:tc>
          <w:tcPr>
            <w:tcW w:w="6911" w:type="dxa"/>
          </w:tcPr>
          <w:p w14:paraId="273AC969" w14:textId="77777777" w:rsidR="007F5B17" w:rsidRDefault="007F5B17" w:rsidP="00DD01EA">
            <w:pPr>
              <w:ind w:left="0"/>
            </w:pPr>
            <w:r>
              <w:t>Consumer Medicine Information</w:t>
            </w:r>
          </w:p>
        </w:tc>
      </w:tr>
      <w:tr w:rsidR="007F5B17" w:rsidRPr="00FD119B" w14:paraId="787514A3" w14:textId="77777777" w:rsidTr="00DD01EA">
        <w:tc>
          <w:tcPr>
            <w:tcW w:w="1809" w:type="dxa"/>
          </w:tcPr>
          <w:p w14:paraId="580CA318" w14:textId="77777777" w:rsidR="007F5B17" w:rsidRDefault="007F5B17" w:rsidP="00DD01EA">
            <w:pPr>
              <w:ind w:left="0"/>
            </w:pPr>
            <w:r>
              <w:t>CPD</w:t>
            </w:r>
          </w:p>
        </w:tc>
        <w:tc>
          <w:tcPr>
            <w:tcW w:w="6911" w:type="dxa"/>
          </w:tcPr>
          <w:p w14:paraId="77D9C55A" w14:textId="77777777" w:rsidR="007F5B17" w:rsidRDefault="007F5B17" w:rsidP="00DD01EA">
            <w:pPr>
              <w:ind w:left="0"/>
            </w:pPr>
            <w:r>
              <w:t>Certified Product Details</w:t>
            </w:r>
          </w:p>
        </w:tc>
      </w:tr>
      <w:tr w:rsidR="007F5B17" w:rsidRPr="00FD119B" w14:paraId="7701AD19" w14:textId="77777777" w:rsidTr="00DD01EA">
        <w:tc>
          <w:tcPr>
            <w:tcW w:w="1809" w:type="dxa"/>
          </w:tcPr>
          <w:p w14:paraId="3EA5B6AA" w14:textId="77777777" w:rsidR="007F5B17" w:rsidRDefault="007F5B17" w:rsidP="00DD01EA">
            <w:pPr>
              <w:ind w:left="0"/>
            </w:pPr>
            <w:r>
              <w:t>CSR</w:t>
            </w:r>
          </w:p>
        </w:tc>
        <w:tc>
          <w:tcPr>
            <w:tcW w:w="6911" w:type="dxa"/>
          </w:tcPr>
          <w:p w14:paraId="765D5E90" w14:textId="05A91F08" w:rsidR="007F5B17" w:rsidRDefault="007F5B17" w:rsidP="004F13D2">
            <w:pPr>
              <w:ind w:left="0"/>
            </w:pPr>
            <w:r>
              <w:t>C</w:t>
            </w:r>
            <w:r w:rsidR="004F13D2">
              <w:t>linical</w:t>
            </w:r>
            <w:r>
              <w:t xml:space="preserve"> study report</w:t>
            </w:r>
          </w:p>
        </w:tc>
      </w:tr>
      <w:tr w:rsidR="007F5B17" w:rsidRPr="00FD119B" w14:paraId="1F5FCBC2" w14:textId="77777777" w:rsidTr="00DD01EA">
        <w:tc>
          <w:tcPr>
            <w:tcW w:w="1809" w:type="dxa"/>
          </w:tcPr>
          <w:p w14:paraId="165AA2C7" w14:textId="77777777" w:rsidR="007F5B17" w:rsidRDefault="007F5B17" w:rsidP="00DD01EA">
            <w:pPr>
              <w:ind w:left="0"/>
            </w:pPr>
            <w:r>
              <w:t>CV</w:t>
            </w:r>
          </w:p>
        </w:tc>
        <w:tc>
          <w:tcPr>
            <w:tcW w:w="6911" w:type="dxa"/>
          </w:tcPr>
          <w:p w14:paraId="2E236829" w14:textId="77777777" w:rsidR="007F5B17" w:rsidRDefault="007F5B17" w:rsidP="00DD01EA">
            <w:pPr>
              <w:ind w:left="0"/>
            </w:pPr>
            <w:r>
              <w:t>C</w:t>
            </w:r>
            <w:r w:rsidRPr="00F1285F">
              <w:t>oefficient of variation</w:t>
            </w:r>
          </w:p>
        </w:tc>
      </w:tr>
      <w:tr w:rsidR="007F5B17" w:rsidRPr="00FD119B" w14:paraId="403BFADC" w14:textId="77777777" w:rsidTr="00DD01EA">
        <w:tc>
          <w:tcPr>
            <w:tcW w:w="1809" w:type="dxa"/>
          </w:tcPr>
          <w:p w14:paraId="3918834E" w14:textId="77777777" w:rsidR="007F5B17" w:rsidRDefault="007F5B17" w:rsidP="00DD01EA">
            <w:pPr>
              <w:ind w:left="0"/>
            </w:pPr>
            <w:r>
              <w:t>DEXA/DXA</w:t>
            </w:r>
          </w:p>
        </w:tc>
        <w:tc>
          <w:tcPr>
            <w:tcW w:w="6911" w:type="dxa"/>
          </w:tcPr>
          <w:p w14:paraId="7C721927" w14:textId="77777777" w:rsidR="007F5B17" w:rsidRDefault="007F5B17" w:rsidP="00DD01EA">
            <w:pPr>
              <w:ind w:left="0"/>
            </w:pPr>
            <w:r>
              <w:t>D</w:t>
            </w:r>
            <w:r w:rsidRPr="00BB64EF">
              <w:t>ual energy x-ray absorptiometry</w:t>
            </w:r>
          </w:p>
        </w:tc>
      </w:tr>
      <w:tr w:rsidR="007F5B17" w:rsidRPr="00FD119B" w14:paraId="4206E4D8" w14:textId="77777777" w:rsidTr="00DD01EA">
        <w:tc>
          <w:tcPr>
            <w:tcW w:w="1809" w:type="dxa"/>
          </w:tcPr>
          <w:p w14:paraId="58138FFB" w14:textId="77777777" w:rsidR="007F5B17" w:rsidRDefault="007F5B17" w:rsidP="00DD01EA">
            <w:pPr>
              <w:ind w:left="0"/>
            </w:pPr>
            <w:r>
              <w:t>DLP</w:t>
            </w:r>
          </w:p>
        </w:tc>
        <w:tc>
          <w:tcPr>
            <w:tcW w:w="6911" w:type="dxa"/>
          </w:tcPr>
          <w:p w14:paraId="018763A8" w14:textId="77777777" w:rsidR="007F5B17" w:rsidRDefault="007F5B17" w:rsidP="00DD01EA">
            <w:pPr>
              <w:ind w:left="0"/>
            </w:pPr>
            <w:r>
              <w:t>Data lock point</w:t>
            </w:r>
          </w:p>
        </w:tc>
      </w:tr>
      <w:tr w:rsidR="007F5B17" w:rsidRPr="00FD119B" w14:paraId="7D9A9171" w14:textId="77777777" w:rsidTr="00DD01EA">
        <w:tc>
          <w:tcPr>
            <w:tcW w:w="1809" w:type="dxa"/>
          </w:tcPr>
          <w:p w14:paraId="1D8610E2" w14:textId="77777777" w:rsidR="007F5B17" w:rsidRPr="00FD119B" w:rsidRDefault="007F5B17" w:rsidP="00DD01EA">
            <w:pPr>
              <w:ind w:left="0" w:right="0"/>
              <w:rPr>
                <w:color w:val="auto"/>
                <w:szCs w:val="22"/>
                <w:lang w:eastAsia="en-US"/>
              </w:rPr>
            </w:pPr>
            <w:r>
              <w:rPr>
                <w:color w:val="auto"/>
                <w:szCs w:val="22"/>
                <w:lang w:eastAsia="en-US"/>
              </w:rPr>
              <w:t>DNA</w:t>
            </w:r>
          </w:p>
        </w:tc>
        <w:tc>
          <w:tcPr>
            <w:tcW w:w="6911" w:type="dxa"/>
          </w:tcPr>
          <w:p w14:paraId="3B4267F2" w14:textId="77777777" w:rsidR="007F5B17" w:rsidRPr="00FD119B" w:rsidRDefault="007F5B17" w:rsidP="00DD01EA">
            <w:pPr>
              <w:ind w:left="0" w:right="0"/>
              <w:rPr>
                <w:color w:val="auto"/>
                <w:szCs w:val="22"/>
                <w:lang w:eastAsia="en-US"/>
              </w:rPr>
            </w:pPr>
            <w:r>
              <w:t>D</w:t>
            </w:r>
            <w:r w:rsidRPr="00736BE4">
              <w:t>eoxyribonucleic acid</w:t>
            </w:r>
          </w:p>
        </w:tc>
      </w:tr>
      <w:tr w:rsidR="007F5B17" w:rsidRPr="00FD119B" w14:paraId="46B5C6A2" w14:textId="77777777" w:rsidTr="00DD01EA">
        <w:tc>
          <w:tcPr>
            <w:tcW w:w="1809" w:type="dxa"/>
          </w:tcPr>
          <w:p w14:paraId="2DCA96C9" w14:textId="77777777" w:rsidR="007F5B17" w:rsidRDefault="007F5B17" w:rsidP="00DD01EA">
            <w:pPr>
              <w:ind w:left="0"/>
            </w:pPr>
            <w:r>
              <w:t>DP</w:t>
            </w:r>
          </w:p>
        </w:tc>
        <w:tc>
          <w:tcPr>
            <w:tcW w:w="6911" w:type="dxa"/>
          </w:tcPr>
          <w:p w14:paraId="500764E0" w14:textId="77777777" w:rsidR="007F5B17" w:rsidRDefault="007F5B17" w:rsidP="00DD01EA">
            <w:pPr>
              <w:ind w:left="0"/>
            </w:pPr>
            <w:r>
              <w:t>Drug product</w:t>
            </w:r>
          </w:p>
        </w:tc>
      </w:tr>
      <w:tr w:rsidR="007F5B17" w:rsidRPr="00FD119B" w14:paraId="29F4F3C0" w14:textId="77777777" w:rsidTr="00DD01EA">
        <w:tc>
          <w:tcPr>
            <w:tcW w:w="1809" w:type="dxa"/>
          </w:tcPr>
          <w:p w14:paraId="469205D9" w14:textId="77777777" w:rsidR="007F5B17" w:rsidRDefault="007F5B17" w:rsidP="00DD01EA">
            <w:pPr>
              <w:ind w:left="0"/>
            </w:pPr>
            <w:r>
              <w:t>DS</w:t>
            </w:r>
          </w:p>
        </w:tc>
        <w:tc>
          <w:tcPr>
            <w:tcW w:w="6911" w:type="dxa"/>
          </w:tcPr>
          <w:p w14:paraId="6AF73D3B" w14:textId="77777777" w:rsidR="007F5B17" w:rsidRDefault="007F5B17" w:rsidP="00DD01EA">
            <w:pPr>
              <w:ind w:left="0"/>
            </w:pPr>
            <w:r>
              <w:t>Drug substance</w:t>
            </w:r>
          </w:p>
        </w:tc>
      </w:tr>
      <w:tr w:rsidR="007F5B17" w:rsidRPr="00FD119B" w14:paraId="71CF1DCC" w14:textId="77777777" w:rsidTr="00DD01EA">
        <w:tc>
          <w:tcPr>
            <w:tcW w:w="1809" w:type="dxa"/>
          </w:tcPr>
          <w:p w14:paraId="3537D535" w14:textId="77777777" w:rsidR="007F5B17" w:rsidRDefault="007F5B17" w:rsidP="00DD01EA">
            <w:pPr>
              <w:ind w:left="0"/>
            </w:pPr>
            <w:r>
              <w:t>EU</w:t>
            </w:r>
          </w:p>
        </w:tc>
        <w:tc>
          <w:tcPr>
            <w:tcW w:w="6911" w:type="dxa"/>
          </w:tcPr>
          <w:p w14:paraId="39FB1E88" w14:textId="77777777" w:rsidR="007F5B17" w:rsidRDefault="007F5B17" w:rsidP="00DD01EA">
            <w:pPr>
              <w:ind w:left="0"/>
            </w:pPr>
            <w:r>
              <w:t>European Union</w:t>
            </w:r>
          </w:p>
        </w:tc>
      </w:tr>
      <w:tr w:rsidR="007F5B17" w:rsidRPr="00FD119B" w14:paraId="2468B081" w14:textId="77777777" w:rsidTr="00DD01EA">
        <w:tc>
          <w:tcPr>
            <w:tcW w:w="1809" w:type="dxa"/>
          </w:tcPr>
          <w:p w14:paraId="31B70582" w14:textId="77777777" w:rsidR="007F5B17" w:rsidRDefault="007F5B17" w:rsidP="00DD01EA">
            <w:pPr>
              <w:ind w:left="0"/>
            </w:pPr>
            <w:r>
              <w:t>FAS</w:t>
            </w:r>
          </w:p>
        </w:tc>
        <w:tc>
          <w:tcPr>
            <w:tcW w:w="6911" w:type="dxa"/>
          </w:tcPr>
          <w:p w14:paraId="555B235E" w14:textId="77777777" w:rsidR="007F5B17" w:rsidRDefault="007F5B17" w:rsidP="00DD01EA">
            <w:pPr>
              <w:ind w:left="0"/>
            </w:pPr>
            <w:r>
              <w:t>Full analysis set</w:t>
            </w:r>
          </w:p>
        </w:tc>
      </w:tr>
      <w:tr w:rsidR="007F5B17" w:rsidRPr="00FD119B" w14:paraId="7010F04A" w14:textId="77777777" w:rsidTr="00DD01EA">
        <w:tc>
          <w:tcPr>
            <w:tcW w:w="1809" w:type="dxa"/>
          </w:tcPr>
          <w:p w14:paraId="5F481928" w14:textId="77777777" w:rsidR="007F5B17" w:rsidRDefault="007F5B17" w:rsidP="00DD01EA">
            <w:pPr>
              <w:ind w:left="0"/>
            </w:pPr>
            <w:r>
              <w:t>GLP</w:t>
            </w:r>
          </w:p>
        </w:tc>
        <w:tc>
          <w:tcPr>
            <w:tcW w:w="6911" w:type="dxa"/>
          </w:tcPr>
          <w:p w14:paraId="6BF9FAA1" w14:textId="0D48E191" w:rsidR="007F5B17" w:rsidRDefault="007F5B17" w:rsidP="00DD01EA">
            <w:pPr>
              <w:ind w:left="0"/>
            </w:pPr>
            <w:r>
              <w:t xml:space="preserve">Good </w:t>
            </w:r>
            <w:r w:rsidR="004F13D2">
              <w:t>L</w:t>
            </w:r>
            <w:r>
              <w:t xml:space="preserve">aboratory </w:t>
            </w:r>
            <w:r w:rsidR="004F13D2">
              <w:t>P</w:t>
            </w:r>
            <w:r>
              <w:t>ractice</w:t>
            </w:r>
          </w:p>
        </w:tc>
      </w:tr>
      <w:tr w:rsidR="007F5B17" w:rsidRPr="00FD119B" w14:paraId="1CBE8455" w14:textId="77777777" w:rsidTr="00DD01EA">
        <w:tc>
          <w:tcPr>
            <w:tcW w:w="1809" w:type="dxa"/>
          </w:tcPr>
          <w:p w14:paraId="54DF462F" w14:textId="77777777" w:rsidR="007F5B17" w:rsidRDefault="007F5B17" w:rsidP="00DD01EA">
            <w:pPr>
              <w:ind w:left="0"/>
            </w:pPr>
            <w:r>
              <w:t>GMR</w:t>
            </w:r>
          </w:p>
        </w:tc>
        <w:tc>
          <w:tcPr>
            <w:tcW w:w="6911" w:type="dxa"/>
          </w:tcPr>
          <w:p w14:paraId="14946A4B" w14:textId="77777777" w:rsidR="007F5B17" w:rsidRDefault="007F5B17" w:rsidP="00DD01EA">
            <w:pPr>
              <w:ind w:left="0"/>
            </w:pPr>
            <w:r>
              <w:t>Geometric mean ratio</w:t>
            </w:r>
          </w:p>
        </w:tc>
      </w:tr>
      <w:tr w:rsidR="007F5B17" w:rsidRPr="00FD119B" w14:paraId="710EA0DC" w14:textId="77777777" w:rsidTr="00DD01EA">
        <w:tc>
          <w:tcPr>
            <w:tcW w:w="1809" w:type="dxa"/>
          </w:tcPr>
          <w:p w14:paraId="53E7767D" w14:textId="77777777" w:rsidR="007F5B17" w:rsidRDefault="007F5B17" w:rsidP="00DD01EA">
            <w:pPr>
              <w:ind w:left="0"/>
            </w:pPr>
            <w:r>
              <w:t>GVP</w:t>
            </w:r>
          </w:p>
        </w:tc>
        <w:tc>
          <w:tcPr>
            <w:tcW w:w="6911" w:type="dxa"/>
          </w:tcPr>
          <w:p w14:paraId="71B9696E" w14:textId="77777777" w:rsidR="007F5B17" w:rsidRDefault="007F5B17" w:rsidP="00DD01EA">
            <w:pPr>
              <w:ind w:left="0"/>
            </w:pPr>
            <w:r>
              <w:t>Good pharmacovigilance practice</w:t>
            </w:r>
          </w:p>
        </w:tc>
      </w:tr>
      <w:tr w:rsidR="007F5B17" w:rsidRPr="00FD119B" w14:paraId="28153A5F" w14:textId="77777777" w:rsidTr="00DD01EA">
        <w:tc>
          <w:tcPr>
            <w:tcW w:w="1809" w:type="dxa"/>
          </w:tcPr>
          <w:p w14:paraId="593E1A85" w14:textId="77777777" w:rsidR="007F5B17" w:rsidRDefault="007F5B17" w:rsidP="00DD01EA">
            <w:pPr>
              <w:ind w:left="0"/>
            </w:pPr>
            <w:r>
              <w:t>IFU</w:t>
            </w:r>
          </w:p>
        </w:tc>
        <w:tc>
          <w:tcPr>
            <w:tcW w:w="6911" w:type="dxa"/>
          </w:tcPr>
          <w:p w14:paraId="3E8C513C" w14:textId="77777777" w:rsidR="007F5B17" w:rsidRDefault="007F5B17" w:rsidP="00DD01EA">
            <w:pPr>
              <w:ind w:left="0"/>
            </w:pPr>
            <w:r>
              <w:t>Instruction for use</w:t>
            </w:r>
          </w:p>
        </w:tc>
      </w:tr>
      <w:tr w:rsidR="007F5B17" w:rsidRPr="00FD119B" w14:paraId="2EB8FF02" w14:textId="77777777" w:rsidTr="00DD01EA">
        <w:tc>
          <w:tcPr>
            <w:tcW w:w="1809" w:type="dxa"/>
          </w:tcPr>
          <w:p w14:paraId="516D249B" w14:textId="77777777" w:rsidR="007F5B17" w:rsidRDefault="007F5B17" w:rsidP="00DD01EA">
            <w:pPr>
              <w:ind w:left="0"/>
            </w:pPr>
            <w:r>
              <w:t>LOCF</w:t>
            </w:r>
          </w:p>
        </w:tc>
        <w:tc>
          <w:tcPr>
            <w:tcW w:w="6911" w:type="dxa"/>
          </w:tcPr>
          <w:p w14:paraId="63221CD5" w14:textId="77777777" w:rsidR="007F5B17" w:rsidRDefault="007F5B17" w:rsidP="00DD01EA">
            <w:pPr>
              <w:ind w:left="0"/>
            </w:pPr>
            <w:r>
              <w:t>L</w:t>
            </w:r>
            <w:r w:rsidRPr="00DC0668">
              <w:t>ast observation carried forward</w:t>
            </w:r>
          </w:p>
        </w:tc>
      </w:tr>
      <w:tr w:rsidR="007F5B17" w:rsidRPr="00FD119B" w14:paraId="0C3F5702" w14:textId="77777777" w:rsidTr="00DD01EA">
        <w:tc>
          <w:tcPr>
            <w:tcW w:w="1809" w:type="dxa"/>
          </w:tcPr>
          <w:p w14:paraId="0A1BAB39" w14:textId="77777777" w:rsidR="007F5B17" w:rsidRDefault="007F5B17" w:rsidP="00DD01EA">
            <w:pPr>
              <w:ind w:left="0"/>
            </w:pPr>
            <w:r>
              <w:t>LSM</w:t>
            </w:r>
          </w:p>
        </w:tc>
        <w:tc>
          <w:tcPr>
            <w:tcW w:w="6911" w:type="dxa"/>
          </w:tcPr>
          <w:p w14:paraId="628465B9" w14:textId="77777777" w:rsidR="007F5B17" w:rsidRDefault="007F5B17" w:rsidP="00DD01EA">
            <w:pPr>
              <w:ind w:left="0"/>
            </w:pPr>
            <w:r>
              <w:t>Least square means</w:t>
            </w:r>
          </w:p>
        </w:tc>
      </w:tr>
      <w:tr w:rsidR="007F5B17" w:rsidRPr="00FD119B" w14:paraId="68E23348" w14:textId="77777777" w:rsidTr="00DD01EA">
        <w:tc>
          <w:tcPr>
            <w:tcW w:w="1809" w:type="dxa"/>
          </w:tcPr>
          <w:p w14:paraId="74F9914F" w14:textId="77777777" w:rsidR="007F5B17" w:rsidRDefault="007F5B17" w:rsidP="00DD01EA">
            <w:pPr>
              <w:ind w:left="0"/>
            </w:pPr>
            <w:r>
              <w:t>P1NPJ</w:t>
            </w:r>
          </w:p>
        </w:tc>
        <w:tc>
          <w:tcPr>
            <w:tcW w:w="6911" w:type="dxa"/>
          </w:tcPr>
          <w:p w14:paraId="25487CA3" w14:textId="77777777" w:rsidR="007F5B17" w:rsidRDefault="007F5B17" w:rsidP="00DD01EA">
            <w:pPr>
              <w:ind w:left="0"/>
            </w:pPr>
            <w:r>
              <w:t xml:space="preserve">Procollagen type 1 amino-terminal </w:t>
            </w:r>
            <w:proofErr w:type="spellStart"/>
            <w:r>
              <w:t>propeptide</w:t>
            </w:r>
            <w:proofErr w:type="spellEnd"/>
          </w:p>
        </w:tc>
      </w:tr>
      <w:tr w:rsidR="007F5B17" w:rsidRPr="00FD119B" w14:paraId="59A0F4E6" w14:textId="77777777" w:rsidTr="00DD01EA">
        <w:tc>
          <w:tcPr>
            <w:tcW w:w="1809" w:type="dxa"/>
          </w:tcPr>
          <w:p w14:paraId="48D64897" w14:textId="77777777" w:rsidR="007F5B17" w:rsidRPr="00FD119B" w:rsidRDefault="007F5B17" w:rsidP="00DD01EA">
            <w:pPr>
              <w:ind w:left="0" w:right="0"/>
              <w:rPr>
                <w:color w:val="auto"/>
                <w:szCs w:val="22"/>
                <w:lang w:eastAsia="en-US"/>
              </w:rPr>
            </w:pPr>
            <w:r>
              <w:rPr>
                <w:color w:val="auto"/>
                <w:szCs w:val="22"/>
                <w:lang w:eastAsia="en-US"/>
              </w:rPr>
              <w:t>PI</w:t>
            </w:r>
          </w:p>
        </w:tc>
        <w:tc>
          <w:tcPr>
            <w:tcW w:w="6911" w:type="dxa"/>
          </w:tcPr>
          <w:p w14:paraId="5FABB739" w14:textId="77777777" w:rsidR="007F5B17" w:rsidRPr="00FD119B" w:rsidRDefault="007F5B17" w:rsidP="00DD01EA">
            <w:pPr>
              <w:ind w:left="0" w:right="0"/>
              <w:rPr>
                <w:color w:val="auto"/>
                <w:szCs w:val="22"/>
                <w:lang w:eastAsia="en-US"/>
              </w:rPr>
            </w:pPr>
            <w:r>
              <w:rPr>
                <w:color w:val="auto"/>
                <w:szCs w:val="22"/>
                <w:lang w:eastAsia="en-US"/>
              </w:rPr>
              <w:t>Product Information</w:t>
            </w:r>
          </w:p>
        </w:tc>
      </w:tr>
      <w:tr w:rsidR="007F5B17" w:rsidRPr="00FD119B" w14:paraId="41504320" w14:textId="77777777" w:rsidTr="00DD01EA">
        <w:tc>
          <w:tcPr>
            <w:tcW w:w="1809" w:type="dxa"/>
          </w:tcPr>
          <w:p w14:paraId="0EE00AAD" w14:textId="77777777" w:rsidR="007F5B17" w:rsidRDefault="007F5B17" w:rsidP="00DD01EA">
            <w:pPr>
              <w:ind w:left="0"/>
            </w:pPr>
            <w:r>
              <w:t>PK</w:t>
            </w:r>
          </w:p>
        </w:tc>
        <w:tc>
          <w:tcPr>
            <w:tcW w:w="6911" w:type="dxa"/>
          </w:tcPr>
          <w:p w14:paraId="440650A3" w14:textId="77777777" w:rsidR="007F5B17" w:rsidRDefault="007F5B17" w:rsidP="00DD01EA">
            <w:pPr>
              <w:ind w:left="0"/>
            </w:pPr>
            <w:r>
              <w:t>Pharmacokinetic</w:t>
            </w:r>
          </w:p>
        </w:tc>
      </w:tr>
      <w:tr w:rsidR="007F5B17" w:rsidRPr="00FD119B" w14:paraId="5C0088F0" w14:textId="77777777" w:rsidTr="00DD01EA">
        <w:tc>
          <w:tcPr>
            <w:tcW w:w="1809" w:type="dxa"/>
          </w:tcPr>
          <w:p w14:paraId="3F2BE829" w14:textId="77777777" w:rsidR="007F5B17" w:rsidRDefault="007F5B17" w:rsidP="00DD01EA">
            <w:pPr>
              <w:ind w:left="0"/>
            </w:pPr>
            <w:r>
              <w:t>PPS</w:t>
            </w:r>
          </w:p>
        </w:tc>
        <w:tc>
          <w:tcPr>
            <w:tcW w:w="6911" w:type="dxa"/>
          </w:tcPr>
          <w:p w14:paraId="127635F4" w14:textId="77777777" w:rsidR="007F5B17" w:rsidRDefault="007F5B17" w:rsidP="00DD01EA">
            <w:pPr>
              <w:ind w:left="0"/>
            </w:pPr>
            <w:r>
              <w:t>Per protocol set</w:t>
            </w:r>
          </w:p>
        </w:tc>
      </w:tr>
      <w:tr w:rsidR="007F5B17" w:rsidRPr="00FD119B" w14:paraId="521D3F87" w14:textId="77777777" w:rsidTr="00DD01EA">
        <w:tc>
          <w:tcPr>
            <w:tcW w:w="1809" w:type="dxa"/>
          </w:tcPr>
          <w:p w14:paraId="1B923AFA" w14:textId="18140554" w:rsidR="007F5B17" w:rsidRDefault="007F5B17" w:rsidP="00DD01EA">
            <w:pPr>
              <w:ind w:left="0"/>
            </w:pPr>
            <w:r>
              <w:t>PSUR</w:t>
            </w:r>
          </w:p>
        </w:tc>
        <w:tc>
          <w:tcPr>
            <w:tcW w:w="6911" w:type="dxa"/>
          </w:tcPr>
          <w:p w14:paraId="53ED4FDA" w14:textId="0139C8CC" w:rsidR="007F5B17" w:rsidRDefault="007F5B17" w:rsidP="00DD01EA">
            <w:pPr>
              <w:ind w:left="0"/>
            </w:pPr>
            <w:r>
              <w:t>periodic safety update report</w:t>
            </w:r>
          </w:p>
        </w:tc>
      </w:tr>
      <w:tr w:rsidR="007F5B17" w:rsidRPr="00FD119B" w14:paraId="29C0B00E" w14:textId="77777777" w:rsidTr="00DD01EA">
        <w:tc>
          <w:tcPr>
            <w:tcW w:w="1809" w:type="dxa"/>
          </w:tcPr>
          <w:p w14:paraId="471AF602" w14:textId="77777777" w:rsidR="007F5B17" w:rsidRDefault="007F5B17" w:rsidP="00DD01EA">
            <w:pPr>
              <w:ind w:left="0"/>
            </w:pPr>
            <w:r>
              <w:t>PTH</w:t>
            </w:r>
          </w:p>
        </w:tc>
        <w:tc>
          <w:tcPr>
            <w:tcW w:w="6911" w:type="dxa"/>
          </w:tcPr>
          <w:p w14:paraId="705C8E01" w14:textId="77777777" w:rsidR="007F5B17" w:rsidRDefault="007F5B17" w:rsidP="00DD01EA">
            <w:pPr>
              <w:ind w:left="0"/>
            </w:pPr>
            <w:r>
              <w:t>P</w:t>
            </w:r>
            <w:r w:rsidRPr="004C1DBD">
              <w:t>arathyroid hormone</w:t>
            </w:r>
          </w:p>
        </w:tc>
      </w:tr>
      <w:tr w:rsidR="007F5B17" w:rsidRPr="00FD119B" w14:paraId="4AFCE092" w14:textId="77777777" w:rsidTr="00DD01EA">
        <w:tc>
          <w:tcPr>
            <w:tcW w:w="1809" w:type="dxa"/>
          </w:tcPr>
          <w:p w14:paraId="602ECDF2" w14:textId="77777777" w:rsidR="007F5B17" w:rsidRDefault="007F5B17" w:rsidP="00DD01EA">
            <w:pPr>
              <w:ind w:left="0"/>
            </w:pPr>
            <w:r>
              <w:t>PTHR1</w:t>
            </w:r>
          </w:p>
        </w:tc>
        <w:tc>
          <w:tcPr>
            <w:tcW w:w="6911" w:type="dxa"/>
          </w:tcPr>
          <w:p w14:paraId="7E9F93FA" w14:textId="77777777" w:rsidR="007F5B17" w:rsidRDefault="007F5B17" w:rsidP="00DD01EA">
            <w:pPr>
              <w:ind w:left="0"/>
            </w:pPr>
            <w:r>
              <w:t>Parathyroid hormone receptor 1</w:t>
            </w:r>
          </w:p>
        </w:tc>
      </w:tr>
      <w:tr w:rsidR="007F5B17" w:rsidRPr="00FD119B" w14:paraId="7FED5280" w14:textId="77777777" w:rsidTr="00DD01EA">
        <w:tc>
          <w:tcPr>
            <w:tcW w:w="1809" w:type="dxa"/>
          </w:tcPr>
          <w:p w14:paraId="62401987" w14:textId="77777777" w:rsidR="007F5B17" w:rsidRDefault="007F5B17" w:rsidP="00DD01EA">
            <w:pPr>
              <w:ind w:left="0"/>
            </w:pPr>
            <w:r>
              <w:t>RMP</w:t>
            </w:r>
          </w:p>
        </w:tc>
        <w:tc>
          <w:tcPr>
            <w:tcW w:w="6911" w:type="dxa"/>
          </w:tcPr>
          <w:p w14:paraId="50203DBD" w14:textId="77777777" w:rsidR="007F5B17" w:rsidRDefault="007F5B17" w:rsidP="00DD01EA">
            <w:pPr>
              <w:ind w:left="0"/>
            </w:pPr>
            <w:r>
              <w:t>Risk management plan</w:t>
            </w:r>
          </w:p>
        </w:tc>
      </w:tr>
      <w:tr w:rsidR="007F5B17" w:rsidRPr="00FD119B" w14:paraId="35351EBB" w14:textId="77777777" w:rsidTr="00DD01EA">
        <w:tc>
          <w:tcPr>
            <w:tcW w:w="1809" w:type="dxa"/>
          </w:tcPr>
          <w:p w14:paraId="4E82E658" w14:textId="77777777" w:rsidR="007F5B17" w:rsidRDefault="007F5B17" w:rsidP="00DD01EA">
            <w:pPr>
              <w:ind w:left="0"/>
            </w:pPr>
            <w:r>
              <w:t>SAE</w:t>
            </w:r>
          </w:p>
        </w:tc>
        <w:tc>
          <w:tcPr>
            <w:tcW w:w="6911" w:type="dxa"/>
          </w:tcPr>
          <w:p w14:paraId="0ECBA2E7" w14:textId="77777777" w:rsidR="007F5B17" w:rsidRDefault="007F5B17" w:rsidP="00DD01EA">
            <w:pPr>
              <w:ind w:left="0"/>
            </w:pPr>
            <w:r>
              <w:t>Serious adverse event</w:t>
            </w:r>
          </w:p>
        </w:tc>
      </w:tr>
      <w:tr w:rsidR="007F5B17" w:rsidRPr="00FD119B" w14:paraId="3CFC0A4E" w14:textId="77777777" w:rsidTr="00DD01EA">
        <w:tc>
          <w:tcPr>
            <w:tcW w:w="1809" w:type="dxa"/>
          </w:tcPr>
          <w:p w14:paraId="51E8C938" w14:textId="77777777" w:rsidR="007F5B17" w:rsidRDefault="007F5B17" w:rsidP="00DD01EA">
            <w:pPr>
              <w:ind w:left="0"/>
            </w:pPr>
            <w:r>
              <w:t>SC</w:t>
            </w:r>
          </w:p>
        </w:tc>
        <w:tc>
          <w:tcPr>
            <w:tcW w:w="6911" w:type="dxa"/>
          </w:tcPr>
          <w:p w14:paraId="6A7C48A6" w14:textId="77777777" w:rsidR="007F5B17" w:rsidRDefault="007F5B17" w:rsidP="00DD01EA">
            <w:pPr>
              <w:ind w:left="0"/>
            </w:pPr>
            <w:r>
              <w:t>S</w:t>
            </w:r>
            <w:r w:rsidRPr="00A72019">
              <w:t>ubcutaneous</w:t>
            </w:r>
          </w:p>
        </w:tc>
      </w:tr>
      <w:tr w:rsidR="007F5B17" w:rsidRPr="00FD119B" w14:paraId="580C7B01" w14:textId="77777777" w:rsidTr="00DD01EA">
        <w:tc>
          <w:tcPr>
            <w:tcW w:w="1809" w:type="dxa"/>
          </w:tcPr>
          <w:p w14:paraId="2C2431CC" w14:textId="77777777" w:rsidR="007F5B17" w:rsidRDefault="007F5B17" w:rsidP="00DD01EA">
            <w:pPr>
              <w:ind w:left="0"/>
            </w:pPr>
            <w:r>
              <w:t>SD</w:t>
            </w:r>
          </w:p>
        </w:tc>
        <w:tc>
          <w:tcPr>
            <w:tcW w:w="6911" w:type="dxa"/>
          </w:tcPr>
          <w:p w14:paraId="03972253" w14:textId="77777777" w:rsidR="007F5B17" w:rsidRDefault="007F5B17" w:rsidP="00DD01EA">
            <w:pPr>
              <w:ind w:left="0"/>
            </w:pPr>
            <w:r>
              <w:t>Standard deviation</w:t>
            </w:r>
          </w:p>
        </w:tc>
      </w:tr>
      <w:tr w:rsidR="007F5B17" w:rsidRPr="00FD119B" w14:paraId="74D580CB" w14:textId="77777777" w:rsidTr="00DD01EA">
        <w:tc>
          <w:tcPr>
            <w:tcW w:w="1809" w:type="dxa"/>
          </w:tcPr>
          <w:p w14:paraId="71D7BFAF" w14:textId="0D2E2041" w:rsidR="007F5B17" w:rsidRDefault="007F5B17" w:rsidP="007F5B17">
            <w:pPr>
              <w:ind w:left="0"/>
            </w:pPr>
            <w:r>
              <w:t>T</w:t>
            </w:r>
            <w:r w:rsidR="004F13D2">
              <w:rPr>
                <w:vertAlign w:val="subscript"/>
              </w:rPr>
              <w:t>1/2</w:t>
            </w:r>
          </w:p>
        </w:tc>
        <w:tc>
          <w:tcPr>
            <w:tcW w:w="6911" w:type="dxa"/>
          </w:tcPr>
          <w:p w14:paraId="7CE1931B" w14:textId="77777777" w:rsidR="007F5B17" w:rsidRDefault="007F5B17" w:rsidP="007F5B17">
            <w:pPr>
              <w:ind w:left="0"/>
            </w:pPr>
            <w:r>
              <w:t>Terminal half-life</w:t>
            </w:r>
          </w:p>
        </w:tc>
      </w:tr>
      <w:tr w:rsidR="007F5B17" w:rsidRPr="00FD119B" w14:paraId="1CCEC1BB" w14:textId="77777777" w:rsidTr="00DD01EA">
        <w:tc>
          <w:tcPr>
            <w:tcW w:w="1809" w:type="dxa"/>
          </w:tcPr>
          <w:p w14:paraId="3DBAF40B" w14:textId="77777777" w:rsidR="007F5B17" w:rsidRDefault="007F5B17" w:rsidP="00DD01EA">
            <w:pPr>
              <w:ind w:left="0"/>
            </w:pPr>
            <w:r>
              <w:t>TGA</w:t>
            </w:r>
          </w:p>
        </w:tc>
        <w:tc>
          <w:tcPr>
            <w:tcW w:w="6911" w:type="dxa"/>
          </w:tcPr>
          <w:p w14:paraId="48310D0F" w14:textId="77777777" w:rsidR="007F5B17" w:rsidRDefault="007F5B17" w:rsidP="00DD01EA">
            <w:pPr>
              <w:ind w:left="0"/>
            </w:pPr>
            <w:r>
              <w:t>Therapeutic Goods Administration</w:t>
            </w:r>
          </w:p>
        </w:tc>
      </w:tr>
      <w:tr w:rsidR="007F5B17" w:rsidRPr="00FD119B" w14:paraId="6C9DEA3B" w14:textId="77777777" w:rsidTr="00DD01EA">
        <w:tc>
          <w:tcPr>
            <w:tcW w:w="1809" w:type="dxa"/>
          </w:tcPr>
          <w:p w14:paraId="42EAEF23" w14:textId="77777777" w:rsidR="007F5B17" w:rsidRDefault="007F5B17" w:rsidP="007F5B17">
            <w:pPr>
              <w:ind w:left="0"/>
            </w:pPr>
            <w:proofErr w:type="spellStart"/>
            <w:r>
              <w:t>T</w:t>
            </w:r>
            <w:r>
              <w:rPr>
                <w:vertAlign w:val="subscript"/>
              </w:rPr>
              <w:t>last</w:t>
            </w:r>
            <w:proofErr w:type="spellEnd"/>
          </w:p>
        </w:tc>
        <w:tc>
          <w:tcPr>
            <w:tcW w:w="6911" w:type="dxa"/>
          </w:tcPr>
          <w:p w14:paraId="49E4E123" w14:textId="77777777" w:rsidR="007F5B17" w:rsidRDefault="007F5B17" w:rsidP="007F5B17">
            <w:pPr>
              <w:ind w:left="0"/>
            </w:pPr>
            <w:r>
              <w:t>Time at last measurable concentration</w:t>
            </w:r>
          </w:p>
        </w:tc>
      </w:tr>
      <w:tr w:rsidR="007F5B17" w:rsidRPr="00FD119B" w14:paraId="7E6F8F13" w14:textId="77777777" w:rsidTr="00DD01EA">
        <w:tc>
          <w:tcPr>
            <w:tcW w:w="1809" w:type="dxa"/>
          </w:tcPr>
          <w:p w14:paraId="012FD691" w14:textId="77777777" w:rsidR="007F5B17" w:rsidRDefault="007F5B17" w:rsidP="00DD01EA">
            <w:pPr>
              <w:ind w:left="0"/>
            </w:pPr>
            <w:r>
              <w:t>YAM</w:t>
            </w:r>
          </w:p>
        </w:tc>
        <w:tc>
          <w:tcPr>
            <w:tcW w:w="6911" w:type="dxa"/>
          </w:tcPr>
          <w:p w14:paraId="23473957" w14:textId="77777777" w:rsidR="007F5B17" w:rsidRDefault="007F5B17" w:rsidP="00DD01EA">
            <w:pPr>
              <w:ind w:left="0"/>
            </w:pPr>
            <w:r>
              <w:t>Young adult mean</w:t>
            </w:r>
          </w:p>
        </w:tc>
      </w:tr>
    </w:tbl>
    <w:p w14:paraId="749D577F" w14:textId="77777777" w:rsidR="00FD119B" w:rsidRDefault="00FD119B" w:rsidP="00FD119B"/>
    <w:p w14:paraId="533298C6" w14:textId="77777777" w:rsidR="00FD119B" w:rsidRPr="00FD119B" w:rsidRDefault="00FD119B" w:rsidP="00FD119B">
      <w:pPr>
        <w:spacing w:before="0" w:after="200" w:line="0" w:lineRule="auto"/>
        <w:rPr>
          <w:b/>
          <w:i/>
          <w:sz w:val="24"/>
          <w:szCs w:val="24"/>
        </w:rPr>
      </w:pPr>
      <w:r w:rsidRPr="00FD119B">
        <w:rPr>
          <w:b/>
          <w:i/>
          <w:sz w:val="24"/>
          <w:szCs w:val="24"/>
        </w:rPr>
        <w:br w:type="page"/>
      </w:r>
    </w:p>
    <w:p w14:paraId="571BC4A9" w14:textId="77777777" w:rsidR="008E7846" w:rsidRDefault="00F53C07" w:rsidP="008E7846">
      <w:pPr>
        <w:pStyle w:val="Heading2"/>
      </w:pPr>
      <w:bookmarkStart w:id="9" w:name="_Toc63088087"/>
      <w:r>
        <w:t>I.</w:t>
      </w:r>
      <w:r w:rsidR="008E7846">
        <w:t xml:space="preserve"> Introduction to product submission</w:t>
      </w:r>
      <w:bookmarkEnd w:id="0"/>
      <w:bookmarkEnd w:id="3"/>
      <w:bookmarkEnd w:id="9"/>
    </w:p>
    <w:p w14:paraId="5F547457" w14:textId="77777777" w:rsidR="008E7846" w:rsidRDefault="008E7846" w:rsidP="008E7846">
      <w:pPr>
        <w:pStyle w:val="Heading3"/>
        <w:rPr>
          <w:lang w:eastAsia="en-AU"/>
        </w:rPr>
      </w:pPr>
      <w:bookmarkStart w:id="10" w:name="_Toc247691502"/>
      <w:bookmarkStart w:id="11" w:name="_Toc314842483"/>
      <w:bookmarkStart w:id="12" w:name="_Toc63088088"/>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5C41E57A" w14:textId="77777777" w:rsidTr="003735BC">
        <w:tc>
          <w:tcPr>
            <w:tcW w:w="2907" w:type="dxa"/>
          </w:tcPr>
          <w:p w14:paraId="46000B7E"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0AC5AB1B" w14:textId="77777777" w:rsidR="008E7846" w:rsidRPr="003D1E62" w:rsidRDefault="008E7846" w:rsidP="00291E17">
            <w:r w:rsidRPr="003D1E62">
              <w:t>New</w:t>
            </w:r>
            <w:r w:rsidR="00291E17">
              <w:t xml:space="preserve"> biosimilar entity</w:t>
            </w:r>
          </w:p>
        </w:tc>
      </w:tr>
      <w:tr w:rsidR="00460036" w:rsidRPr="003D1E62" w14:paraId="77E8AE7D" w14:textId="77777777" w:rsidTr="003735BC">
        <w:tc>
          <w:tcPr>
            <w:tcW w:w="2907" w:type="dxa"/>
          </w:tcPr>
          <w:p w14:paraId="670D5BC6" w14:textId="77777777" w:rsidR="00460036" w:rsidRPr="003D1E62" w:rsidRDefault="00291E17" w:rsidP="003D1E62">
            <w:pPr>
              <w:rPr>
                <w:i/>
              </w:rPr>
            </w:pPr>
            <w:r>
              <w:rPr>
                <w:i/>
              </w:rPr>
              <w:t>Product name</w:t>
            </w:r>
            <w:r w:rsidR="00460036" w:rsidRPr="00460036">
              <w:rPr>
                <w:i/>
              </w:rPr>
              <w:t>:</w:t>
            </w:r>
          </w:p>
        </w:tc>
        <w:tc>
          <w:tcPr>
            <w:tcW w:w="6307" w:type="dxa"/>
          </w:tcPr>
          <w:p w14:paraId="0686AEB3" w14:textId="77777777" w:rsidR="00460036" w:rsidRPr="003D1E62" w:rsidRDefault="00291E17" w:rsidP="001B5C90">
            <w:r>
              <w:t>Terrosa</w:t>
            </w:r>
          </w:p>
        </w:tc>
      </w:tr>
      <w:tr w:rsidR="00460036" w:rsidRPr="003D1E62" w14:paraId="0294FC14" w14:textId="77777777" w:rsidTr="003735BC">
        <w:tc>
          <w:tcPr>
            <w:tcW w:w="2907" w:type="dxa"/>
          </w:tcPr>
          <w:p w14:paraId="347AEAB8" w14:textId="77777777" w:rsidR="00460036" w:rsidRPr="003D1E62" w:rsidRDefault="00481C05" w:rsidP="003D1E62">
            <w:pPr>
              <w:rPr>
                <w:i/>
              </w:rPr>
            </w:pPr>
            <w:r>
              <w:rPr>
                <w:i/>
              </w:rPr>
              <w:t>Active ingredient</w:t>
            </w:r>
            <w:r w:rsidR="00460036" w:rsidRPr="00460036">
              <w:rPr>
                <w:i/>
              </w:rPr>
              <w:t>:</w:t>
            </w:r>
          </w:p>
        </w:tc>
        <w:tc>
          <w:tcPr>
            <w:tcW w:w="6307" w:type="dxa"/>
          </w:tcPr>
          <w:p w14:paraId="6A8B71AD" w14:textId="77777777" w:rsidR="00460036" w:rsidRPr="003D1E62" w:rsidRDefault="00291E17" w:rsidP="00291E17">
            <w:r>
              <w:t>T</w:t>
            </w:r>
            <w:r w:rsidRPr="00291E17">
              <w:t>eriparatide</w:t>
            </w:r>
          </w:p>
        </w:tc>
      </w:tr>
      <w:tr w:rsidR="008E7846" w:rsidRPr="003D1E62" w14:paraId="5433D255" w14:textId="77777777" w:rsidTr="003735BC">
        <w:tc>
          <w:tcPr>
            <w:tcW w:w="2907" w:type="dxa"/>
          </w:tcPr>
          <w:p w14:paraId="289732E8" w14:textId="77777777" w:rsidR="008E7846" w:rsidRPr="003D1E62" w:rsidRDefault="008E7846" w:rsidP="003D1E62">
            <w:r w:rsidRPr="003D1E62">
              <w:rPr>
                <w:i/>
              </w:rPr>
              <w:t>Decision</w:t>
            </w:r>
            <w:r w:rsidRPr="003D1E62">
              <w:t>:</w:t>
            </w:r>
          </w:p>
        </w:tc>
        <w:tc>
          <w:tcPr>
            <w:tcW w:w="6307" w:type="dxa"/>
          </w:tcPr>
          <w:p w14:paraId="4B88A521" w14:textId="77777777" w:rsidR="008E7846" w:rsidRPr="003D1E62" w:rsidRDefault="00291E17" w:rsidP="00291E17">
            <w:r>
              <w:t>Approved</w:t>
            </w:r>
          </w:p>
        </w:tc>
      </w:tr>
      <w:tr w:rsidR="008E7846" w:rsidRPr="003D1E62" w14:paraId="2BFF75F0" w14:textId="77777777" w:rsidTr="003735BC">
        <w:tc>
          <w:tcPr>
            <w:tcW w:w="2907" w:type="dxa"/>
          </w:tcPr>
          <w:p w14:paraId="6318DD92"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4BF909F2" w14:textId="77777777" w:rsidR="008E7846" w:rsidRPr="003D1E62" w:rsidRDefault="00AD58C2" w:rsidP="001B5C90">
            <w:r>
              <w:t>24 November 2020</w:t>
            </w:r>
          </w:p>
        </w:tc>
      </w:tr>
      <w:tr w:rsidR="00ED2922" w:rsidRPr="003D1E62" w14:paraId="74B42547" w14:textId="77777777" w:rsidTr="003735BC">
        <w:tc>
          <w:tcPr>
            <w:tcW w:w="2907" w:type="dxa"/>
          </w:tcPr>
          <w:p w14:paraId="025C36AF" w14:textId="77777777" w:rsidR="00ED2922" w:rsidRPr="00441C3F" w:rsidRDefault="00ED2922" w:rsidP="001B5C90">
            <w:pPr>
              <w:rPr>
                <w:i/>
              </w:rPr>
            </w:pPr>
            <w:r w:rsidRPr="00441C3F">
              <w:rPr>
                <w:i/>
              </w:rPr>
              <w:t>Date of entry onto ARTG</w:t>
            </w:r>
            <w:r w:rsidR="00500337">
              <w:rPr>
                <w:i/>
              </w:rPr>
              <w:t>:</w:t>
            </w:r>
          </w:p>
        </w:tc>
        <w:tc>
          <w:tcPr>
            <w:tcW w:w="6307" w:type="dxa"/>
          </w:tcPr>
          <w:p w14:paraId="26AA776C" w14:textId="77777777" w:rsidR="00ED2922" w:rsidRPr="00441C3F" w:rsidRDefault="00AD58C2" w:rsidP="00D153D8">
            <w:pPr>
              <w:rPr>
                <w:i/>
              </w:rPr>
            </w:pPr>
            <w:r>
              <w:t>1 December 2020</w:t>
            </w:r>
          </w:p>
        </w:tc>
      </w:tr>
      <w:tr w:rsidR="00500337" w:rsidRPr="003D1E62" w14:paraId="657C60CF" w14:textId="77777777" w:rsidTr="003735BC">
        <w:tc>
          <w:tcPr>
            <w:tcW w:w="2907" w:type="dxa"/>
          </w:tcPr>
          <w:p w14:paraId="3E070ABB" w14:textId="77777777" w:rsidR="00500337" w:rsidRPr="00441C3F" w:rsidRDefault="00235671" w:rsidP="001B5C90">
            <w:pPr>
              <w:rPr>
                <w:i/>
              </w:rPr>
            </w:pPr>
            <w:r>
              <w:rPr>
                <w:i/>
              </w:rPr>
              <w:t>ARTG number</w:t>
            </w:r>
            <w:r w:rsidR="00500337">
              <w:rPr>
                <w:i/>
              </w:rPr>
              <w:t>:</w:t>
            </w:r>
          </w:p>
        </w:tc>
        <w:tc>
          <w:tcPr>
            <w:tcW w:w="6307" w:type="dxa"/>
          </w:tcPr>
          <w:p w14:paraId="2F337E2D" w14:textId="77777777" w:rsidR="00500337" w:rsidRPr="00441C3F" w:rsidRDefault="00235671" w:rsidP="00EC463D">
            <w:r>
              <w:t>326885</w:t>
            </w:r>
          </w:p>
        </w:tc>
      </w:tr>
      <w:tr w:rsidR="003735BC" w:rsidRPr="003D1E62" w14:paraId="502F89A2" w14:textId="77777777" w:rsidTr="003735BC">
        <w:tc>
          <w:tcPr>
            <w:tcW w:w="2907" w:type="dxa"/>
          </w:tcPr>
          <w:p w14:paraId="6F9AC495"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r w:rsidR="00460036">
              <w:rPr>
                <w:rStyle w:val="FootnoteReference"/>
                <w:i/>
              </w:rPr>
              <w:footnoteReference w:id="1"/>
            </w:r>
          </w:p>
        </w:tc>
        <w:tc>
          <w:tcPr>
            <w:tcW w:w="6307" w:type="dxa"/>
          </w:tcPr>
          <w:p w14:paraId="1F746ABD" w14:textId="77777777" w:rsidR="003735BC" w:rsidRPr="00487162" w:rsidRDefault="00235671" w:rsidP="003735BC">
            <w:r>
              <w:t>No</w:t>
            </w:r>
          </w:p>
        </w:tc>
      </w:tr>
      <w:tr w:rsidR="008E7846" w:rsidRPr="00487162" w14:paraId="5AE1C6C0" w14:textId="77777777" w:rsidTr="00BF1190">
        <w:tc>
          <w:tcPr>
            <w:tcW w:w="2907" w:type="dxa"/>
          </w:tcPr>
          <w:p w14:paraId="41458D2B"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24458057" w14:textId="77777777" w:rsidR="00235671" w:rsidRDefault="00235671" w:rsidP="00235671">
            <w:proofErr w:type="spellStart"/>
            <w:r>
              <w:t>Gedeon</w:t>
            </w:r>
            <w:proofErr w:type="spellEnd"/>
            <w:r>
              <w:t xml:space="preserve"> Richter Australia Pty Ltd</w:t>
            </w:r>
          </w:p>
          <w:p w14:paraId="19595BA8" w14:textId="77777777" w:rsidR="00235671" w:rsidRDefault="00235671" w:rsidP="00235671">
            <w:r>
              <w:t xml:space="preserve">Units 33 - 34, 23 </w:t>
            </w:r>
            <w:proofErr w:type="spellStart"/>
            <w:r>
              <w:t>Narabang</w:t>
            </w:r>
            <w:proofErr w:type="spellEnd"/>
            <w:r>
              <w:t xml:space="preserve"> Way</w:t>
            </w:r>
          </w:p>
          <w:p w14:paraId="141DEB8A" w14:textId="7E8BDD09" w:rsidR="008E7846" w:rsidRPr="00487162" w:rsidRDefault="00235671" w:rsidP="00235671">
            <w:r>
              <w:t>Belrose</w:t>
            </w:r>
            <w:r w:rsidR="004F13D2">
              <w:t>,</w:t>
            </w:r>
            <w:r>
              <w:t xml:space="preserve"> New South Wales</w:t>
            </w:r>
            <w:r w:rsidR="004F13D2">
              <w:t>,</w:t>
            </w:r>
            <w:r>
              <w:t xml:space="preserve"> 2085</w:t>
            </w:r>
          </w:p>
        </w:tc>
      </w:tr>
      <w:tr w:rsidR="008E7846" w:rsidRPr="00487162" w14:paraId="1A158F47" w14:textId="77777777" w:rsidTr="00BF1190">
        <w:tc>
          <w:tcPr>
            <w:tcW w:w="2907" w:type="dxa"/>
          </w:tcPr>
          <w:p w14:paraId="2292A7BE" w14:textId="77777777" w:rsidR="008E7846" w:rsidRPr="00487162" w:rsidRDefault="00A0022D" w:rsidP="00E45619">
            <w:pPr>
              <w:rPr>
                <w:i/>
              </w:rPr>
            </w:pPr>
            <w:r>
              <w:rPr>
                <w:i/>
              </w:rPr>
              <w:t>Dose form</w:t>
            </w:r>
            <w:r w:rsidR="001B5C90">
              <w:rPr>
                <w:i/>
              </w:rPr>
              <w:t>:</w:t>
            </w:r>
          </w:p>
        </w:tc>
        <w:tc>
          <w:tcPr>
            <w:tcW w:w="6307" w:type="dxa"/>
          </w:tcPr>
          <w:p w14:paraId="6F39DE64" w14:textId="77777777" w:rsidR="008E7846" w:rsidRPr="00487162" w:rsidRDefault="00A0022D" w:rsidP="00E45619">
            <w:r>
              <w:t>Solution for injection</w:t>
            </w:r>
          </w:p>
        </w:tc>
      </w:tr>
      <w:tr w:rsidR="008E7846" w:rsidRPr="00487162" w14:paraId="229BF7EE" w14:textId="77777777" w:rsidTr="00BF1190">
        <w:tc>
          <w:tcPr>
            <w:tcW w:w="2907" w:type="dxa"/>
          </w:tcPr>
          <w:p w14:paraId="48264E77" w14:textId="77777777" w:rsidR="008E7846" w:rsidRPr="00487162" w:rsidRDefault="00A0022D" w:rsidP="00E45619">
            <w:pPr>
              <w:rPr>
                <w:i/>
              </w:rPr>
            </w:pPr>
            <w:r>
              <w:rPr>
                <w:i/>
              </w:rPr>
              <w:t>Strength</w:t>
            </w:r>
            <w:r w:rsidR="00324E45">
              <w:rPr>
                <w:i/>
              </w:rPr>
              <w:t>:</w:t>
            </w:r>
          </w:p>
        </w:tc>
        <w:tc>
          <w:tcPr>
            <w:tcW w:w="6307" w:type="dxa"/>
          </w:tcPr>
          <w:p w14:paraId="009D0380" w14:textId="6FC44A94" w:rsidR="008E7846" w:rsidRPr="00487162" w:rsidRDefault="00481C05" w:rsidP="007934B8">
            <w:r>
              <w:t xml:space="preserve">250 </w:t>
            </w:r>
            <w:r w:rsidR="001F7A82">
              <w:t>microgram</w:t>
            </w:r>
            <w:r w:rsidR="00567610">
              <w:t xml:space="preserve"> (µg)</w:t>
            </w:r>
            <w:r w:rsidR="001F7A82">
              <w:t>/mL</w:t>
            </w:r>
            <w:r w:rsidR="001F7A82" w:rsidDel="00DD01EA">
              <w:t xml:space="preserve"> </w:t>
            </w:r>
          </w:p>
        </w:tc>
      </w:tr>
      <w:tr w:rsidR="008E7846" w:rsidRPr="00487162" w14:paraId="1F5741D5" w14:textId="77777777" w:rsidTr="00BF1190">
        <w:tc>
          <w:tcPr>
            <w:tcW w:w="2907" w:type="dxa"/>
          </w:tcPr>
          <w:p w14:paraId="5483224E" w14:textId="77777777" w:rsidR="008E7846" w:rsidRPr="00487162" w:rsidRDefault="00481C05" w:rsidP="00E45619">
            <w:pPr>
              <w:rPr>
                <w:i/>
              </w:rPr>
            </w:pPr>
            <w:r>
              <w:rPr>
                <w:i/>
              </w:rPr>
              <w:t>Container</w:t>
            </w:r>
            <w:r w:rsidR="008E7846" w:rsidRPr="00487162">
              <w:rPr>
                <w:i/>
              </w:rPr>
              <w:t>:</w:t>
            </w:r>
          </w:p>
        </w:tc>
        <w:tc>
          <w:tcPr>
            <w:tcW w:w="6307" w:type="dxa"/>
          </w:tcPr>
          <w:p w14:paraId="45C7DC32" w14:textId="77777777" w:rsidR="008E7846" w:rsidRPr="00487162" w:rsidRDefault="00481C05" w:rsidP="00E45619">
            <w:r>
              <w:t>Cartridge</w:t>
            </w:r>
          </w:p>
        </w:tc>
      </w:tr>
      <w:tr w:rsidR="008E7846" w:rsidRPr="00487162" w14:paraId="593041BD" w14:textId="77777777" w:rsidTr="00BF1190">
        <w:tc>
          <w:tcPr>
            <w:tcW w:w="2907" w:type="dxa"/>
          </w:tcPr>
          <w:p w14:paraId="71854FC8" w14:textId="77777777" w:rsidR="008E7846" w:rsidRPr="00487162" w:rsidRDefault="00481C05" w:rsidP="00E45619">
            <w:pPr>
              <w:rPr>
                <w:i/>
              </w:rPr>
            </w:pPr>
            <w:r>
              <w:rPr>
                <w:i/>
              </w:rPr>
              <w:t>Pack sizes</w:t>
            </w:r>
            <w:r w:rsidR="008E7846" w:rsidRPr="00487162">
              <w:rPr>
                <w:i/>
              </w:rPr>
              <w:t>:</w:t>
            </w:r>
          </w:p>
        </w:tc>
        <w:tc>
          <w:tcPr>
            <w:tcW w:w="6307" w:type="dxa"/>
          </w:tcPr>
          <w:p w14:paraId="2252AFD5" w14:textId="2D52BA08" w:rsidR="008E7846" w:rsidRPr="00487162" w:rsidRDefault="008211B6" w:rsidP="00E45619">
            <w:r>
              <w:t>1 cartridge and a</w:t>
            </w:r>
            <w:r w:rsidR="00481C05">
              <w:t xml:space="preserve"> pen, 1 cartridge, 3 cartridges</w:t>
            </w:r>
          </w:p>
        </w:tc>
      </w:tr>
      <w:tr w:rsidR="008E7846" w:rsidRPr="00487162" w14:paraId="02CE79B9" w14:textId="77777777" w:rsidTr="00BF1190">
        <w:tc>
          <w:tcPr>
            <w:tcW w:w="2907" w:type="dxa"/>
          </w:tcPr>
          <w:p w14:paraId="2B56D4D1"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3D2F11A5" w14:textId="77777777" w:rsidR="00481C05" w:rsidRPr="00481C05" w:rsidRDefault="00481C05" w:rsidP="00481C05">
            <w:pPr>
              <w:rPr>
                <w:i/>
              </w:rPr>
            </w:pPr>
            <w:r w:rsidRPr="00481C05">
              <w:rPr>
                <w:i/>
              </w:rPr>
              <w:t>Terrosa is indicated for the treatment of osteoporosis in postmenopausal women and the treatment of primary osteoporosis in men when other agents are considered unsuitable and when there is a high risk of fractures.</w:t>
            </w:r>
          </w:p>
          <w:p w14:paraId="51C4B7DD" w14:textId="77777777" w:rsidR="008E7846" w:rsidRPr="00481C05" w:rsidRDefault="00481C05" w:rsidP="00481C05">
            <w:pPr>
              <w:rPr>
                <w:i/>
              </w:rPr>
            </w:pPr>
            <w:r w:rsidRPr="00481C05">
              <w:rPr>
                <w:i/>
              </w:rPr>
              <w:t>Terrosa is indicated for the treatment of osteoporosis associated with sustained systemic glucocorticoid therapy in women an</w:t>
            </w:r>
            <w:r>
              <w:rPr>
                <w:i/>
              </w:rPr>
              <w:t>d men at high risk for fracture.</w:t>
            </w:r>
          </w:p>
        </w:tc>
      </w:tr>
      <w:tr w:rsidR="008E7846" w:rsidRPr="00487162" w14:paraId="33C22413" w14:textId="77777777" w:rsidTr="00BF1190">
        <w:tc>
          <w:tcPr>
            <w:tcW w:w="2907" w:type="dxa"/>
          </w:tcPr>
          <w:p w14:paraId="462058EB" w14:textId="77777777" w:rsidR="008E7846" w:rsidRPr="00487162" w:rsidRDefault="008E7846" w:rsidP="00E45619">
            <w:pPr>
              <w:rPr>
                <w:i/>
              </w:rPr>
            </w:pPr>
            <w:r w:rsidRPr="00487162">
              <w:rPr>
                <w:i/>
              </w:rPr>
              <w:t>Rou</w:t>
            </w:r>
            <w:r w:rsidR="00481C05">
              <w:rPr>
                <w:i/>
              </w:rPr>
              <w:t>te</w:t>
            </w:r>
            <w:r w:rsidRPr="00487162">
              <w:rPr>
                <w:i/>
              </w:rPr>
              <w:t xml:space="preserve"> of administration:</w:t>
            </w:r>
          </w:p>
        </w:tc>
        <w:tc>
          <w:tcPr>
            <w:tcW w:w="6307" w:type="dxa"/>
          </w:tcPr>
          <w:p w14:paraId="61FFF761" w14:textId="77777777" w:rsidR="008E7846" w:rsidRPr="00487162" w:rsidRDefault="00481C05" w:rsidP="00481C05">
            <w:r>
              <w:t>Subcutaneous injection</w:t>
            </w:r>
          </w:p>
        </w:tc>
      </w:tr>
      <w:tr w:rsidR="008E7846" w:rsidRPr="00487162" w14:paraId="7BB56608" w14:textId="77777777" w:rsidTr="00BF1190">
        <w:tc>
          <w:tcPr>
            <w:tcW w:w="2907" w:type="dxa"/>
          </w:tcPr>
          <w:p w14:paraId="39EEAC98" w14:textId="77777777" w:rsidR="008E7846" w:rsidRPr="00487162" w:rsidRDefault="008E7846" w:rsidP="00E45619">
            <w:pPr>
              <w:rPr>
                <w:i/>
              </w:rPr>
            </w:pPr>
            <w:r w:rsidRPr="00487162">
              <w:rPr>
                <w:i/>
              </w:rPr>
              <w:t>Dosage:</w:t>
            </w:r>
          </w:p>
        </w:tc>
        <w:tc>
          <w:tcPr>
            <w:tcW w:w="6307" w:type="dxa"/>
          </w:tcPr>
          <w:p w14:paraId="146005D5" w14:textId="3ECEE9A1" w:rsidR="00481C05" w:rsidRDefault="00481C05" w:rsidP="00481C05">
            <w:r>
              <w:t xml:space="preserve">The recommended dose of Terrosa is 20 </w:t>
            </w:r>
            <w:r w:rsidR="001F7A82">
              <w:t>µg</w:t>
            </w:r>
            <w:r>
              <w:t xml:space="preserve"> administered once daily by subcutaneous injection in the thigh or abdomen.</w:t>
            </w:r>
          </w:p>
          <w:p w14:paraId="42CC8236" w14:textId="77777777" w:rsidR="00481C05" w:rsidRDefault="00481C05" w:rsidP="00481C05">
            <w:r>
              <w:t>Based on clinical experience, treatment with teriparatide is recommended for a lifetime duration of 24 months treatment (for post-treatment efficacy, see Section 5.1 P</w:t>
            </w:r>
            <w:r w:rsidR="00F46C66">
              <w:t>harmacodynamic</w:t>
            </w:r>
            <w:r>
              <w:t xml:space="preserve"> in Product Information</w:t>
            </w:r>
            <w:r w:rsidR="00D87445">
              <w:t xml:space="preserve"> (PI)</w:t>
            </w:r>
            <w:r>
              <w:t>)</w:t>
            </w:r>
            <w:r w:rsidRPr="00460036">
              <w:t xml:space="preserve"> </w:t>
            </w:r>
          </w:p>
          <w:p w14:paraId="3AAC368C" w14:textId="4BD33AE5" w:rsidR="00460036" w:rsidRPr="00487162" w:rsidRDefault="00460036" w:rsidP="00D87445">
            <w:r w:rsidRPr="00460036">
              <w:t xml:space="preserve">For further information regarding dosage, refer to the </w:t>
            </w:r>
            <w:r w:rsidR="00D87445">
              <w:t>PI</w:t>
            </w:r>
            <w:r w:rsidR="004F13D2">
              <w:t>.</w:t>
            </w:r>
          </w:p>
        </w:tc>
      </w:tr>
      <w:tr w:rsidR="00460036" w:rsidRPr="00487162" w14:paraId="31F5F932" w14:textId="77777777" w:rsidTr="00BF1190">
        <w:tc>
          <w:tcPr>
            <w:tcW w:w="2907" w:type="dxa"/>
          </w:tcPr>
          <w:p w14:paraId="7918448D" w14:textId="77777777" w:rsidR="00460036" w:rsidRPr="00487162" w:rsidRDefault="00460036" w:rsidP="00E45619">
            <w:pPr>
              <w:rPr>
                <w:i/>
              </w:rPr>
            </w:pPr>
            <w:r w:rsidRPr="00460036">
              <w:rPr>
                <w:i/>
              </w:rPr>
              <w:t>Pregnancy category</w:t>
            </w:r>
            <w:r>
              <w:rPr>
                <w:i/>
              </w:rPr>
              <w:t>:</w:t>
            </w:r>
          </w:p>
        </w:tc>
        <w:tc>
          <w:tcPr>
            <w:tcW w:w="6307" w:type="dxa"/>
          </w:tcPr>
          <w:p w14:paraId="330ADAF9" w14:textId="77777777" w:rsidR="00460036" w:rsidRDefault="00F46C66" w:rsidP="00F46C66">
            <w:r>
              <w:t>B3</w:t>
            </w:r>
          </w:p>
          <w:p w14:paraId="427F3EC6" w14:textId="77777777" w:rsidR="00F46C66" w:rsidRDefault="00F46C66" w:rsidP="00F46C66">
            <w:r>
              <w:t xml:space="preserve">Drugs which have been taken by only a limited number of pregnant women and women of childbearing age, without an increase in the frequency of malformation or other direct or indirect harmful effects on the human </w:t>
            </w:r>
            <w:proofErr w:type="spellStart"/>
            <w:r>
              <w:t>fetus</w:t>
            </w:r>
            <w:proofErr w:type="spellEnd"/>
            <w:r>
              <w:t xml:space="preserve"> having been observed.</w:t>
            </w:r>
          </w:p>
          <w:p w14:paraId="2698143D" w14:textId="77777777" w:rsidR="00F46C66" w:rsidRDefault="00F46C66" w:rsidP="00F46C66">
            <w:r>
              <w:t xml:space="preserve">Studies in animals have shown evidence of an increased occurrence of </w:t>
            </w:r>
            <w:proofErr w:type="spellStart"/>
            <w:r>
              <w:t>fetal</w:t>
            </w:r>
            <w:proofErr w:type="spellEnd"/>
            <w:r>
              <w:t xml:space="preserve"> damage, the significance of which is considered uncertain in humans.</w:t>
            </w:r>
          </w:p>
          <w:p w14:paraId="334D27A0" w14:textId="77777777" w:rsidR="00460036" w:rsidRPr="00487162" w:rsidRDefault="00460036" w:rsidP="00460036">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w:t>
            </w:r>
            <w:r w:rsidR="00F46C66">
              <w:t>ces in your State or Territory.</w:t>
            </w:r>
          </w:p>
        </w:tc>
      </w:tr>
    </w:tbl>
    <w:p w14:paraId="4465C55C" w14:textId="77777777" w:rsidR="008E7846" w:rsidRDefault="008E7846" w:rsidP="008E7846">
      <w:pPr>
        <w:pStyle w:val="Heading3"/>
      </w:pPr>
      <w:bookmarkStart w:id="13" w:name="_Toc247691503"/>
      <w:bookmarkStart w:id="14" w:name="_Toc314842484"/>
      <w:bookmarkStart w:id="15" w:name="_Toc63088089"/>
      <w:r>
        <w:t>Product background</w:t>
      </w:r>
      <w:bookmarkEnd w:id="13"/>
      <w:bookmarkEnd w:id="14"/>
      <w:bookmarkEnd w:id="15"/>
    </w:p>
    <w:p w14:paraId="0F513E3B" w14:textId="120A7086" w:rsidR="008E7846" w:rsidRDefault="00250271" w:rsidP="00940A89">
      <w:r w:rsidRPr="00250271">
        <w:t>This AusPA</w:t>
      </w:r>
      <w:r w:rsidR="00633F17">
        <w:t xml:space="preserve">R describes the application by </w:t>
      </w:r>
      <w:proofErr w:type="spellStart"/>
      <w:r w:rsidR="00633F17">
        <w:t>Gedeon</w:t>
      </w:r>
      <w:proofErr w:type="spellEnd"/>
      <w:r w:rsidR="00633F17">
        <w:t xml:space="preserve"> Richter Australia Pty Ltd</w:t>
      </w:r>
      <w:r w:rsidRPr="00250271">
        <w:t xml:space="preserve"> (the sponsor) to register </w:t>
      </w:r>
      <w:r w:rsidR="008211B6">
        <w:t xml:space="preserve">Terrosa (teriparatide) 250 </w:t>
      </w:r>
      <w:r w:rsidR="001F7A82">
        <w:t>microgram</w:t>
      </w:r>
      <w:r w:rsidR="0091331D">
        <w:t xml:space="preserve"> (µg)</w:t>
      </w:r>
      <w:r w:rsidR="001F7A82">
        <w:t>/mL</w:t>
      </w:r>
      <w:r w:rsidRPr="00250271">
        <w:t xml:space="preserve">, </w:t>
      </w:r>
      <w:r w:rsidR="00633F17">
        <w:t>injection solution</w:t>
      </w:r>
      <w:r w:rsidRPr="00250271">
        <w:t xml:space="preserve"> for the following proposed indication</w:t>
      </w:r>
      <w:r w:rsidR="00CF5DAD">
        <w:t>:</w:t>
      </w:r>
    </w:p>
    <w:p w14:paraId="3ACD0ED0" w14:textId="77777777" w:rsidR="00484C4C" w:rsidRPr="00484C4C" w:rsidRDefault="00484C4C" w:rsidP="00484C4C">
      <w:pPr>
        <w:ind w:left="720"/>
        <w:rPr>
          <w:i/>
        </w:rPr>
      </w:pPr>
      <w:r w:rsidRPr="00484C4C">
        <w:rPr>
          <w:i/>
        </w:rPr>
        <w:t>Terrosa is indicated for the treatment of osteoporosis in postmenopausal women and the treatment of primary osteoporosis in men when other agents are considered unsuitable and when there is a high risk of fracture.</w:t>
      </w:r>
    </w:p>
    <w:p w14:paraId="67BE0FEF" w14:textId="77777777" w:rsidR="00484C4C" w:rsidRPr="00484C4C" w:rsidRDefault="00484C4C" w:rsidP="00484C4C">
      <w:pPr>
        <w:ind w:left="720"/>
        <w:rPr>
          <w:i/>
        </w:rPr>
      </w:pPr>
      <w:r w:rsidRPr="00484C4C">
        <w:rPr>
          <w:i/>
        </w:rPr>
        <w:t>Terrosa is indicated for the treatment of osteoporosis associated with sustained systemic glucocorticoid therapy in women and men at high risk for fracture.</w:t>
      </w:r>
    </w:p>
    <w:p w14:paraId="017643E1" w14:textId="77777777" w:rsidR="00484C4C" w:rsidRPr="00484C4C" w:rsidRDefault="00484C4C" w:rsidP="00484C4C">
      <w:r w:rsidRPr="00484C4C">
        <w:t>This is an application to register T</w:t>
      </w:r>
      <w:r>
        <w:t>errosa</w:t>
      </w:r>
      <w:r w:rsidRPr="00484C4C">
        <w:t xml:space="preserve"> (teriparatide) as a biosimilar medicinal product of </w:t>
      </w:r>
      <w:proofErr w:type="spellStart"/>
      <w:r w:rsidRPr="00484C4C">
        <w:t>F</w:t>
      </w:r>
      <w:r>
        <w:t>orteo</w:t>
      </w:r>
      <w:proofErr w:type="spellEnd"/>
      <w:r w:rsidRPr="00484C4C">
        <w:t xml:space="preserve"> (teriparatide) manufactured by Eli Lilly</w:t>
      </w:r>
      <w:r>
        <w:t xml:space="preserve"> Australia Pty Ltd</w:t>
      </w:r>
      <w:r w:rsidRPr="00484C4C">
        <w:t>.</w:t>
      </w:r>
      <w:r>
        <w:rPr>
          <w:rStyle w:val="FootnoteReference"/>
        </w:rPr>
        <w:footnoteReference w:id="2"/>
      </w:r>
      <w:r w:rsidRPr="00484C4C">
        <w:t xml:space="preserve"> </w:t>
      </w:r>
      <w:proofErr w:type="spellStart"/>
      <w:r w:rsidRPr="00484C4C">
        <w:t>F</w:t>
      </w:r>
      <w:r>
        <w:t>orteo</w:t>
      </w:r>
      <w:proofErr w:type="spellEnd"/>
      <w:r w:rsidRPr="00484C4C">
        <w:t xml:space="preserve"> was registered in Australia in 2003.</w:t>
      </w:r>
    </w:p>
    <w:p w14:paraId="3116D27A" w14:textId="0818E0EC" w:rsidR="00484C4C" w:rsidRPr="00484C4C" w:rsidRDefault="00484C4C" w:rsidP="00484C4C">
      <w:r w:rsidRPr="00484C4C">
        <w:t>Teriparatide is a polypeptide consisting of the first 34 amino acids of endogenous human parathyroid hormone. Recombinant teriparatide has no glycosylation or other post-translational modifications. T</w:t>
      </w:r>
      <w:r w:rsidR="00736BE4">
        <w:t>errosa</w:t>
      </w:r>
      <w:r w:rsidRPr="00484C4C">
        <w:t xml:space="preserve"> and </w:t>
      </w:r>
      <w:proofErr w:type="spellStart"/>
      <w:r w:rsidRPr="00484C4C">
        <w:t>F</w:t>
      </w:r>
      <w:r w:rsidR="00736BE4">
        <w:t>orteo</w:t>
      </w:r>
      <w:proofErr w:type="spellEnd"/>
      <w:r w:rsidRPr="00484C4C">
        <w:t xml:space="preserve"> are produced in </w:t>
      </w:r>
      <w:r w:rsidR="008211B6" w:rsidRPr="008211B6">
        <w:rPr>
          <w:i/>
        </w:rPr>
        <w:t>Escherichia</w:t>
      </w:r>
      <w:r w:rsidR="001F7A82">
        <w:rPr>
          <w:i/>
        </w:rPr>
        <w:t xml:space="preserve"> </w:t>
      </w:r>
      <w:r w:rsidRPr="00736BE4">
        <w:rPr>
          <w:i/>
        </w:rPr>
        <w:t>coli</w:t>
      </w:r>
      <w:r w:rsidRPr="00484C4C">
        <w:t xml:space="preserve"> us</w:t>
      </w:r>
      <w:r w:rsidR="00736BE4">
        <w:t>ing recombinant d</w:t>
      </w:r>
      <w:r w:rsidR="00736BE4" w:rsidRPr="00736BE4">
        <w:t>eoxyribonucleic acid</w:t>
      </w:r>
      <w:r w:rsidR="00736BE4">
        <w:t xml:space="preserve"> (DNA) technology.</w:t>
      </w:r>
    </w:p>
    <w:p w14:paraId="53954D97" w14:textId="77777777" w:rsidR="00484C4C" w:rsidRPr="00484C4C" w:rsidRDefault="00736BE4" w:rsidP="00484C4C">
      <w:r>
        <w:t>The s</w:t>
      </w:r>
      <w:r w:rsidR="00484C4C" w:rsidRPr="00484C4C">
        <w:t xml:space="preserve">ponsor has proposed the same indications as </w:t>
      </w:r>
      <w:proofErr w:type="spellStart"/>
      <w:r w:rsidR="00484C4C" w:rsidRPr="00484C4C">
        <w:t>F</w:t>
      </w:r>
      <w:r>
        <w:t>orteo</w:t>
      </w:r>
      <w:proofErr w:type="spellEnd"/>
      <w:r w:rsidR="00484C4C" w:rsidRPr="00484C4C">
        <w:t>. The dosing regimen/route and maximum recommended total treatment duration for T</w:t>
      </w:r>
      <w:r>
        <w:t>errosa</w:t>
      </w:r>
      <w:r w:rsidR="00484C4C" w:rsidRPr="00484C4C">
        <w:t xml:space="preserve"> are the same as those approved for </w:t>
      </w:r>
      <w:proofErr w:type="spellStart"/>
      <w:r w:rsidR="00484C4C" w:rsidRPr="00484C4C">
        <w:t>F</w:t>
      </w:r>
      <w:r>
        <w:t>orteo</w:t>
      </w:r>
      <w:proofErr w:type="spellEnd"/>
      <w:r w:rsidR="00484C4C" w:rsidRPr="00484C4C">
        <w:t>.</w:t>
      </w:r>
    </w:p>
    <w:p w14:paraId="21CE72D6" w14:textId="5D06DB02" w:rsidR="00484C4C" w:rsidRPr="00484C4C" w:rsidRDefault="00484C4C" w:rsidP="00484C4C">
      <w:r w:rsidRPr="00484C4C">
        <w:t>Osteoporosis is a common condition particularly in the ageing population. It is characterised by a progressive loss of bone mineral density (BMD) affecting both cortical and trabecular bone, predisposing patients to minimal trauma or even apparently spontaneous fractures. Of most clinical interest, and occurring most commonly, are fractures of the vertebral bodies, femoral neck and wrist. Diagnosis of osteoporosis in the past depended on specialised radiography but in the current era this been superseded by techniques for measurement of BMD, the index method now being dual energy x-ray absorptiometry (DEXA</w:t>
      </w:r>
      <w:r w:rsidR="00CC3853">
        <w:t>; also abbreviated</w:t>
      </w:r>
      <w:r w:rsidRPr="00484C4C">
        <w:t xml:space="preserve"> </w:t>
      </w:r>
      <w:r w:rsidR="00CC3853">
        <w:t>as</w:t>
      </w:r>
      <w:r w:rsidRPr="00484C4C">
        <w:t xml:space="preserve"> DXA).</w:t>
      </w:r>
    </w:p>
    <w:p w14:paraId="081836CA" w14:textId="0477B2FC" w:rsidR="00484C4C" w:rsidRPr="00484C4C" w:rsidRDefault="00484C4C" w:rsidP="00484C4C">
      <w:r w:rsidRPr="00484C4C">
        <w:t xml:space="preserve">Osteoporosis may occur secondary to endocrine disorders but primary or idiopathic osteoporosis is more common. Primary or idiopathic osteoporosis is most often seen in menopausal females but may occur in either gender and sometimes in younger adults, particularly where there is a genetic factor. In the causation of osteoporosis, both </w:t>
      </w:r>
      <w:r w:rsidR="00CC3853">
        <w:t xml:space="preserve">the </w:t>
      </w:r>
      <w:r w:rsidRPr="00484C4C">
        <w:t xml:space="preserve">impairment of bone formation by osteoblasts and </w:t>
      </w:r>
      <w:r w:rsidR="00CC3853">
        <w:t xml:space="preserve">the </w:t>
      </w:r>
      <w:r w:rsidRPr="00484C4C">
        <w:t>increase in bone resorption by osteoclasts may be implicated. Physiological maintenance of bone involves a delicate balance of these two factors, both of which can be therapeutic targets.</w:t>
      </w:r>
    </w:p>
    <w:p w14:paraId="23FA9BF5" w14:textId="7473C7A3" w:rsidR="00484C4C" w:rsidRDefault="00484C4C" w:rsidP="00250271">
      <w:r w:rsidRPr="00484C4C">
        <w:t xml:space="preserve">Current treatment options include </w:t>
      </w:r>
      <w:proofErr w:type="spellStart"/>
      <w:r w:rsidRPr="00484C4C">
        <w:t>biosphosphonate</w:t>
      </w:r>
      <w:proofErr w:type="spellEnd"/>
      <w:r w:rsidRPr="00484C4C">
        <w:t xml:space="preserve"> drugs such as alendronate, </w:t>
      </w:r>
      <w:proofErr w:type="spellStart"/>
      <w:r w:rsidRPr="00484C4C">
        <w:t>etidronate</w:t>
      </w:r>
      <w:proofErr w:type="spellEnd"/>
      <w:r w:rsidRPr="00484C4C">
        <w:t xml:space="preserve"> and </w:t>
      </w:r>
      <w:proofErr w:type="spellStart"/>
      <w:r w:rsidRPr="00484C4C">
        <w:t>zoledronate</w:t>
      </w:r>
      <w:proofErr w:type="spellEnd"/>
      <w:r w:rsidRPr="00484C4C">
        <w:t xml:space="preserve">; teriparatide (recombinant parathyroid hormone); strontium </w:t>
      </w:r>
      <w:proofErr w:type="spellStart"/>
      <w:r w:rsidRPr="00484C4C">
        <w:t>ranelate</w:t>
      </w:r>
      <w:proofErr w:type="spellEnd"/>
      <w:r w:rsidR="00CC3853">
        <w:t>;</w:t>
      </w:r>
      <w:r w:rsidRPr="00484C4C">
        <w:t xml:space="preserve"> and the </w:t>
      </w:r>
      <w:proofErr w:type="spellStart"/>
      <w:r w:rsidRPr="00484C4C">
        <w:t>antiresorptive</w:t>
      </w:r>
      <w:proofErr w:type="spellEnd"/>
      <w:r w:rsidRPr="00484C4C">
        <w:t xml:space="preserve"> therapy</w:t>
      </w:r>
      <w:r w:rsidR="00CC3853">
        <w:t>,</w:t>
      </w:r>
      <w:r w:rsidRPr="00484C4C">
        <w:t xml:space="preserve"> </w:t>
      </w:r>
      <w:proofErr w:type="spellStart"/>
      <w:r w:rsidRPr="00484C4C">
        <w:t>denosumab</w:t>
      </w:r>
      <w:proofErr w:type="spellEnd"/>
      <w:r w:rsidRPr="00484C4C">
        <w:t>. Other osteoporosis management strategies, often used in combination with these therapies, include calcium and vitamin D supplementation to maintain or improve bone density and hormonal therapies, particularly oestrogen r</w:t>
      </w:r>
      <w:r w:rsidR="003632E5">
        <w:t xml:space="preserve">eplacement </w:t>
      </w:r>
      <w:r w:rsidR="00CC3853">
        <w:t xml:space="preserve">therapy </w:t>
      </w:r>
      <w:r w:rsidR="003632E5">
        <w:t>following menopause.</w:t>
      </w:r>
    </w:p>
    <w:p w14:paraId="603DBECC" w14:textId="77777777" w:rsidR="008E7846" w:rsidRPr="003F31A2" w:rsidRDefault="00386150" w:rsidP="008E7846">
      <w:pPr>
        <w:pStyle w:val="Heading3"/>
      </w:pPr>
      <w:bookmarkStart w:id="16" w:name="_Toc314842485"/>
      <w:bookmarkStart w:id="17" w:name="_Toc247691504"/>
      <w:bookmarkStart w:id="18" w:name="_Toc63088090"/>
      <w:r>
        <w:t>Regulatory s</w:t>
      </w:r>
      <w:r w:rsidR="008E7846">
        <w:t>tatus</w:t>
      </w:r>
      <w:bookmarkEnd w:id="16"/>
      <w:bookmarkEnd w:id="17"/>
      <w:bookmarkEnd w:id="18"/>
    </w:p>
    <w:p w14:paraId="3A7622B4" w14:textId="5758D58E" w:rsidR="004679E7" w:rsidRDefault="004679E7" w:rsidP="00940A89">
      <w:bookmarkStart w:id="19" w:name="_Toc247691505"/>
      <w:bookmarkStart w:id="20" w:name="_Toc314842486"/>
      <w:r>
        <w:t>Terrosa (teriparatide)</w:t>
      </w:r>
      <w:r w:rsidR="00006FAB" w:rsidRPr="00006FAB">
        <w:t xml:space="preserve"> is considered </w:t>
      </w:r>
      <w:r>
        <w:t xml:space="preserve">to be </w:t>
      </w:r>
      <w:r w:rsidR="00006FAB" w:rsidRPr="00006FAB">
        <w:t>a new biosimilar medicine for Australian regulatory purposes.</w:t>
      </w:r>
      <w:r>
        <w:t xml:space="preserve"> The reference product is </w:t>
      </w:r>
      <w:proofErr w:type="spellStart"/>
      <w:r>
        <w:t>Forteo</w:t>
      </w:r>
      <w:proofErr w:type="spellEnd"/>
      <w:r>
        <w:t xml:space="preserve"> (teriparatide), manufactured by Eli Lilly Australia </w:t>
      </w:r>
      <w:proofErr w:type="spellStart"/>
      <w:r>
        <w:t>Ptd</w:t>
      </w:r>
      <w:proofErr w:type="spellEnd"/>
      <w:r>
        <w:t xml:space="preserve"> Ltd. </w:t>
      </w:r>
      <w:proofErr w:type="spellStart"/>
      <w:r>
        <w:t>Forteo</w:t>
      </w:r>
      <w:proofErr w:type="spellEnd"/>
      <w:r>
        <w:t xml:space="preserve"> was registered on the Australian Register of Pharmaceutical Goods (ARTG) in May 2003.</w:t>
      </w:r>
      <w:r>
        <w:rPr>
          <w:rStyle w:val="FootnoteReference"/>
        </w:rPr>
        <w:footnoteReference w:id="3"/>
      </w:r>
    </w:p>
    <w:p w14:paraId="57875BAF" w14:textId="18AF7026" w:rsidR="00006FAB" w:rsidRPr="00DC0A2E" w:rsidRDefault="00006FAB" w:rsidP="00006FAB">
      <w:r w:rsidRPr="00DC0A2E">
        <w:t xml:space="preserve">At the time the TGA considered this application, a similar application had been approved in </w:t>
      </w:r>
      <w:r w:rsidR="00DC0A2E">
        <w:t>European Union (EU) (approved on 4 January 2017), Switzerland (approved on 4</w:t>
      </w:r>
      <w:r w:rsidR="004679E7">
        <w:t> </w:t>
      </w:r>
      <w:r w:rsidR="00DC0A2E">
        <w:t xml:space="preserve">December 2018), Japan (approved on 20 September 2019), South Korea (approved on 29 October 2019), and </w:t>
      </w:r>
      <w:r w:rsidRPr="00DC0A2E">
        <w:t xml:space="preserve">was under consideration in </w:t>
      </w:r>
      <w:r w:rsidR="00DC0A2E">
        <w:t>Canada and Israel.</w:t>
      </w:r>
    </w:p>
    <w:p w14:paraId="7ED53165" w14:textId="53DBE185" w:rsidR="00324E45" w:rsidRPr="00F0146F" w:rsidRDefault="00C6463A" w:rsidP="00C6463A">
      <w:pPr>
        <w:pStyle w:val="TableTitle"/>
      </w:pPr>
      <w:r w:rsidRPr="00C6463A">
        <w:t xml:space="preserve">Table </w:t>
      </w:r>
      <w:r w:rsidR="00F14D69">
        <w:fldChar w:fldCharType="begin"/>
      </w:r>
      <w:r w:rsidR="00F14D69">
        <w:instrText xml:space="preserve"> SEQ Table \* ARABIC </w:instrText>
      </w:r>
      <w:r w:rsidR="00F14D69">
        <w:fldChar w:fldCharType="separate"/>
      </w:r>
      <w:r w:rsidR="00B72ABE">
        <w:rPr>
          <w:noProof/>
        </w:rPr>
        <w:t>1</w:t>
      </w:r>
      <w:r w:rsidR="00F14D69">
        <w:rPr>
          <w:noProof/>
        </w:rPr>
        <w:fldChar w:fldCharType="end"/>
      </w:r>
      <w:r w:rsidR="00324E45">
        <w:t>: International regulatory status</w:t>
      </w:r>
      <w:r w:rsidR="00CB6671">
        <w:t xml:space="preserve"> history for Terrosa</w:t>
      </w:r>
    </w:p>
    <w:tbl>
      <w:tblPr>
        <w:tblStyle w:val="TableTGAblue"/>
        <w:tblW w:w="9108" w:type="dxa"/>
        <w:tblLook w:val="04A0" w:firstRow="1" w:lastRow="0" w:firstColumn="1" w:lastColumn="0" w:noHBand="0" w:noVBand="1"/>
      </w:tblPr>
      <w:tblGrid>
        <w:gridCol w:w="1668"/>
        <w:gridCol w:w="2130"/>
        <w:gridCol w:w="2070"/>
        <w:gridCol w:w="3240"/>
      </w:tblGrid>
      <w:tr w:rsidR="00C944B6" w14:paraId="327B8ED5" w14:textId="77777777" w:rsidTr="00F14D69">
        <w:trPr>
          <w:cnfStyle w:val="100000000000" w:firstRow="1" w:lastRow="0" w:firstColumn="0" w:lastColumn="0" w:oddVBand="0" w:evenVBand="0" w:oddHBand="0" w:evenHBand="0" w:firstRowFirstColumn="0" w:firstRowLastColumn="0" w:lastRowFirstColumn="0" w:lastRowLastColumn="0"/>
        </w:trPr>
        <w:tc>
          <w:tcPr>
            <w:tcW w:w="1668" w:type="dxa"/>
            <w:tcBorders>
              <w:top w:val="single" w:sz="4" w:space="0" w:color="auto"/>
              <w:left w:val="single" w:sz="4" w:space="0" w:color="auto"/>
              <w:bottom w:val="single" w:sz="4" w:space="0" w:color="auto"/>
              <w:right w:val="single" w:sz="4" w:space="0" w:color="auto"/>
            </w:tcBorders>
          </w:tcPr>
          <w:p w14:paraId="53D4F450" w14:textId="77777777" w:rsidR="00006FAB" w:rsidRDefault="00006FAB" w:rsidP="00006FAB">
            <w:pPr>
              <w:ind w:left="0" w:right="0"/>
            </w:pPr>
            <w:r>
              <w:t>Region</w:t>
            </w:r>
          </w:p>
        </w:tc>
        <w:tc>
          <w:tcPr>
            <w:tcW w:w="2130" w:type="dxa"/>
            <w:tcBorders>
              <w:top w:val="single" w:sz="4" w:space="0" w:color="auto"/>
              <w:left w:val="single" w:sz="4" w:space="0" w:color="auto"/>
              <w:bottom w:val="single" w:sz="4" w:space="0" w:color="auto"/>
              <w:right w:val="single" w:sz="4" w:space="0" w:color="auto"/>
            </w:tcBorders>
          </w:tcPr>
          <w:p w14:paraId="2BAD8E62" w14:textId="77777777" w:rsidR="00006FAB" w:rsidRDefault="00006FAB" w:rsidP="00006FAB">
            <w:pPr>
              <w:ind w:left="0" w:right="0"/>
            </w:pPr>
            <w:r>
              <w:t>Submission date</w:t>
            </w:r>
          </w:p>
        </w:tc>
        <w:tc>
          <w:tcPr>
            <w:tcW w:w="2070" w:type="dxa"/>
            <w:tcBorders>
              <w:top w:val="single" w:sz="4" w:space="0" w:color="auto"/>
              <w:left w:val="single" w:sz="4" w:space="0" w:color="auto"/>
              <w:bottom w:val="single" w:sz="4" w:space="0" w:color="auto"/>
              <w:right w:val="single" w:sz="4" w:space="0" w:color="auto"/>
            </w:tcBorders>
          </w:tcPr>
          <w:p w14:paraId="3C3C1FF7" w14:textId="77777777" w:rsidR="00006FAB" w:rsidRDefault="00006FAB" w:rsidP="00006FAB">
            <w:pPr>
              <w:ind w:left="0" w:right="0"/>
            </w:pPr>
            <w:r>
              <w:t>Status</w:t>
            </w:r>
          </w:p>
        </w:tc>
        <w:tc>
          <w:tcPr>
            <w:tcW w:w="3240" w:type="dxa"/>
            <w:tcBorders>
              <w:top w:val="single" w:sz="4" w:space="0" w:color="auto"/>
              <w:left w:val="single" w:sz="4" w:space="0" w:color="auto"/>
              <w:bottom w:val="single" w:sz="4" w:space="0" w:color="auto"/>
              <w:right w:val="single" w:sz="4" w:space="0" w:color="auto"/>
            </w:tcBorders>
          </w:tcPr>
          <w:p w14:paraId="69A322D1" w14:textId="77777777" w:rsidR="00006FAB" w:rsidRDefault="00006FAB" w:rsidP="00006FAB">
            <w:pPr>
              <w:ind w:left="0" w:right="0"/>
            </w:pPr>
            <w:r>
              <w:t>Approved indications</w:t>
            </w:r>
          </w:p>
        </w:tc>
      </w:tr>
      <w:tr w:rsidR="00C944B6" w14:paraId="1D90EDD0" w14:textId="77777777" w:rsidTr="00F14D69">
        <w:tc>
          <w:tcPr>
            <w:tcW w:w="1668" w:type="dxa"/>
            <w:tcBorders>
              <w:top w:val="single" w:sz="4" w:space="0" w:color="auto"/>
            </w:tcBorders>
          </w:tcPr>
          <w:p w14:paraId="4923523A" w14:textId="77777777" w:rsidR="00006FAB" w:rsidRDefault="00C6463A" w:rsidP="00006FAB">
            <w:pPr>
              <w:ind w:left="0" w:right="0"/>
            </w:pPr>
            <w:r>
              <w:t>EU (centralised)</w:t>
            </w:r>
          </w:p>
          <w:p w14:paraId="6B165488" w14:textId="77777777" w:rsidR="00C6463A" w:rsidRDefault="00C6463A" w:rsidP="00006FAB">
            <w:pPr>
              <w:ind w:left="0" w:right="0"/>
            </w:pPr>
            <w:r>
              <w:t xml:space="preserve">Rapporteur: </w:t>
            </w:r>
            <w:r w:rsidRPr="00C6463A">
              <w:t>Austria</w:t>
            </w:r>
          </w:p>
          <w:p w14:paraId="52B5E0F6" w14:textId="77777777" w:rsidR="00C6463A" w:rsidRDefault="00C6463A" w:rsidP="00006FAB">
            <w:pPr>
              <w:ind w:left="0" w:right="0"/>
            </w:pPr>
            <w:r>
              <w:t>Co-rapporteur: United Kingdom</w:t>
            </w:r>
          </w:p>
        </w:tc>
        <w:tc>
          <w:tcPr>
            <w:tcW w:w="2130" w:type="dxa"/>
            <w:tcBorders>
              <w:top w:val="single" w:sz="4" w:space="0" w:color="auto"/>
            </w:tcBorders>
          </w:tcPr>
          <w:p w14:paraId="26842B70" w14:textId="77777777" w:rsidR="00006FAB" w:rsidRDefault="00C6463A" w:rsidP="00006FAB">
            <w:pPr>
              <w:ind w:left="0" w:right="0"/>
            </w:pPr>
            <w:r>
              <w:t>30 November 2015</w:t>
            </w:r>
          </w:p>
        </w:tc>
        <w:tc>
          <w:tcPr>
            <w:tcW w:w="2070" w:type="dxa"/>
            <w:tcBorders>
              <w:top w:val="single" w:sz="4" w:space="0" w:color="auto"/>
            </w:tcBorders>
          </w:tcPr>
          <w:p w14:paraId="37833B02" w14:textId="3F7B457B" w:rsidR="00006FAB" w:rsidRDefault="00C6463A" w:rsidP="00006FAB">
            <w:pPr>
              <w:ind w:left="0" w:right="0"/>
            </w:pPr>
            <w:r>
              <w:t>Approved on 4</w:t>
            </w:r>
            <w:r w:rsidR="004679E7">
              <w:t> </w:t>
            </w:r>
            <w:r>
              <w:t>January 2017</w:t>
            </w:r>
          </w:p>
        </w:tc>
        <w:tc>
          <w:tcPr>
            <w:tcW w:w="3240" w:type="dxa"/>
            <w:tcBorders>
              <w:top w:val="single" w:sz="4" w:space="0" w:color="auto"/>
            </w:tcBorders>
          </w:tcPr>
          <w:p w14:paraId="407B94F7" w14:textId="77777777" w:rsidR="00C6463A" w:rsidRPr="00C6463A" w:rsidRDefault="00C6463A" w:rsidP="00C6463A">
            <w:pPr>
              <w:ind w:left="0"/>
              <w:rPr>
                <w:i/>
              </w:rPr>
            </w:pPr>
            <w:r w:rsidRPr="00C6463A">
              <w:rPr>
                <w:i/>
              </w:rPr>
              <w:t>Terrosa is indicated in adults.</w:t>
            </w:r>
          </w:p>
          <w:p w14:paraId="600EAE61" w14:textId="77777777" w:rsidR="00C6463A" w:rsidRPr="00C6463A" w:rsidRDefault="00C6463A" w:rsidP="00C6463A">
            <w:pPr>
              <w:ind w:left="0"/>
              <w:rPr>
                <w:i/>
              </w:rPr>
            </w:pPr>
            <w:r w:rsidRPr="00C6463A">
              <w:rPr>
                <w:i/>
              </w:rPr>
              <w:t>Treatment of osteoporosis in postmenopausal women and in men at increased risk of fracture. In postmenopausal women, a significant reduction in the incidence of vertebral and non-vertebral fractures but not hip fractures has been demonstrated.</w:t>
            </w:r>
          </w:p>
          <w:p w14:paraId="2E44B999" w14:textId="77777777" w:rsidR="00006FAB" w:rsidRPr="00C6463A" w:rsidRDefault="00C6463A" w:rsidP="00C6463A">
            <w:pPr>
              <w:ind w:left="0"/>
              <w:rPr>
                <w:i/>
              </w:rPr>
            </w:pPr>
            <w:r w:rsidRPr="00C6463A">
              <w:rPr>
                <w:i/>
              </w:rPr>
              <w:t>Treatment of osteoporosis associated with sustained systemic glucocorticoid therapy in women and men at increased risk for fracture.</w:t>
            </w:r>
          </w:p>
        </w:tc>
      </w:tr>
      <w:tr w:rsidR="00C944B6" w14:paraId="104403AA" w14:textId="77777777" w:rsidTr="00F14D69">
        <w:tc>
          <w:tcPr>
            <w:tcW w:w="1668" w:type="dxa"/>
          </w:tcPr>
          <w:p w14:paraId="5C000620" w14:textId="77777777" w:rsidR="00006FAB" w:rsidRDefault="00C6463A" w:rsidP="00006FAB">
            <w:pPr>
              <w:ind w:left="0" w:right="0"/>
            </w:pPr>
            <w:r>
              <w:t>Switzerland</w:t>
            </w:r>
          </w:p>
        </w:tc>
        <w:tc>
          <w:tcPr>
            <w:tcW w:w="2130" w:type="dxa"/>
          </w:tcPr>
          <w:p w14:paraId="07F7D0FF" w14:textId="77777777" w:rsidR="00006FAB" w:rsidRDefault="00C6463A" w:rsidP="00006FAB">
            <w:pPr>
              <w:ind w:left="0" w:right="0"/>
            </w:pPr>
            <w:r>
              <w:t>27 July 2017</w:t>
            </w:r>
          </w:p>
        </w:tc>
        <w:tc>
          <w:tcPr>
            <w:tcW w:w="2070" w:type="dxa"/>
          </w:tcPr>
          <w:p w14:paraId="4919722B" w14:textId="68A23155" w:rsidR="00006FAB" w:rsidRDefault="00C6463A" w:rsidP="00006FAB">
            <w:pPr>
              <w:ind w:left="0" w:right="0"/>
            </w:pPr>
            <w:r>
              <w:t>Approved on 4</w:t>
            </w:r>
            <w:r w:rsidR="00C944B6">
              <w:t> </w:t>
            </w:r>
            <w:r>
              <w:t>December 2018</w:t>
            </w:r>
          </w:p>
        </w:tc>
        <w:tc>
          <w:tcPr>
            <w:tcW w:w="3240" w:type="dxa"/>
          </w:tcPr>
          <w:p w14:paraId="703DC9EA" w14:textId="77777777" w:rsidR="00C6463A" w:rsidRPr="00C6463A" w:rsidRDefault="00C6463A" w:rsidP="00C6463A">
            <w:pPr>
              <w:ind w:left="0"/>
              <w:rPr>
                <w:i/>
              </w:rPr>
            </w:pPr>
            <w:r w:rsidRPr="00C6463A">
              <w:rPr>
                <w:i/>
              </w:rPr>
              <w:t xml:space="preserve">Terrosa is indicated for treatment of osteoporosis in postmenopausal women with apparent osteoporosis and at increased risk of fracture. In postmenopausal women with osteoporosis, a significant reduction in the incidence of vertebral and </w:t>
            </w:r>
            <w:proofErr w:type="spellStart"/>
            <w:r w:rsidRPr="00C6463A">
              <w:rPr>
                <w:i/>
              </w:rPr>
              <w:t>nonvertebral</w:t>
            </w:r>
            <w:proofErr w:type="spellEnd"/>
            <w:r w:rsidRPr="00C6463A">
              <w:rPr>
                <w:i/>
              </w:rPr>
              <w:t xml:space="preserve"> fractures has been demonstrated.</w:t>
            </w:r>
          </w:p>
          <w:p w14:paraId="0D77FE3D" w14:textId="77777777" w:rsidR="00C6463A" w:rsidRPr="00C6463A" w:rsidRDefault="00C6463A" w:rsidP="00C6463A">
            <w:pPr>
              <w:ind w:left="0"/>
              <w:rPr>
                <w:i/>
              </w:rPr>
            </w:pPr>
            <w:r w:rsidRPr="00C6463A">
              <w:rPr>
                <w:i/>
              </w:rPr>
              <w:t xml:space="preserve">Terrosa is indicated in men with idiopathic or </w:t>
            </w:r>
            <w:proofErr w:type="spellStart"/>
            <w:r w:rsidRPr="00C6463A">
              <w:rPr>
                <w:i/>
              </w:rPr>
              <w:t>hypogonadal</w:t>
            </w:r>
            <w:proofErr w:type="spellEnd"/>
            <w:r w:rsidRPr="00C6463A">
              <w:rPr>
                <w:i/>
              </w:rPr>
              <w:t xml:space="preserve"> osteoporosis at increased risk for fracture.</w:t>
            </w:r>
          </w:p>
          <w:p w14:paraId="4F6110BF" w14:textId="77777777" w:rsidR="00C6463A" w:rsidRPr="00C6463A" w:rsidRDefault="00C6463A" w:rsidP="00C6463A">
            <w:pPr>
              <w:ind w:left="0"/>
              <w:rPr>
                <w:i/>
              </w:rPr>
            </w:pPr>
            <w:r w:rsidRPr="00C6463A">
              <w:rPr>
                <w:i/>
              </w:rPr>
              <w:t xml:space="preserve">In men with idiopathic or </w:t>
            </w:r>
            <w:proofErr w:type="spellStart"/>
            <w:r w:rsidRPr="00C6463A">
              <w:rPr>
                <w:i/>
              </w:rPr>
              <w:t>hypogonadal</w:t>
            </w:r>
            <w:proofErr w:type="spellEnd"/>
            <w:r w:rsidRPr="00C6463A">
              <w:rPr>
                <w:i/>
              </w:rPr>
              <w:t xml:space="preserve"> osteoporosis Terrosa increases bone mineral density.</w:t>
            </w:r>
          </w:p>
          <w:p w14:paraId="59CC5E21" w14:textId="77777777" w:rsidR="00006FAB" w:rsidRDefault="00C6463A" w:rsidP="00C6463A">
            <w:pPr>
              <w:ind w:left="0"/>
            </w:pPr>
            <w:r w:rsidRPr="00C6463A">
              <w:rPr>
                <w:i/>
              </w:rPr>
              <w:t>Treatment of Glucocorticoid-induced osteoporosis in adults at increased risk for fracture.</w:t>
            </w:r>
          </w:p>
        </w:tc>
      </w:tr>
      <w:tr w:rsidR="00C944B6" w14:paraId="5304BA01" w14:textId="77777777" w:rsidTr="00F14D69">
        <w:tc>
          <w:tcPr>
            <w:tcW w:w="1668" w:type="dxa"/>
          </w:tcPr>
          <w:p w14:paraId="1C4D44E9" w14:textId="77777777" w:rsidR="00C6463A" w:rsidRDefault="00C6463A" w:rsidP="00C6463A">
            <w:pPr>
              <w:ind w:left="0"/>
            </w:pPr>
            <w:r>
              <w:t>Japan</w:t>
            </w:r>
          </w:p>
        </w:tc>
        <w:tc>
          <w:tcPr>
            <w:tcW w:w="2130" w:type="dxa"/>
          </w:tcPr>
          <w:p w14:paraId="5B59624E" w14:textId="77777777" w:rsidR="00C6463A" w:rsidRDefault="00C6463A" w:rsidP="00C6463A">
            <w:pPr>
              <w:ind w:left="0"/>
            </w:pPr>
            <w:r>
              <w:t>27 September 2018</w:t>
            </w:r>
          </w:p>
        </w:tc>
        <w:tc>
          <w:tcPr>
            <w:tcW w:w="2070" w:type="dxa"/>
          </w:tcPr>
          <w:p w14:paraId="0F1D2501" w14:textId="77777777" w:rsidR="00C6463A" w:rsidRDefault="00C6463A" w:rsidP="00C6463A">
            <w:pPr>
              <w:ind w:left="0"/>
            </w:pPr>
            <w:r>
              <w:t>Approved on 20 September 2019</w:t>
            </w:r>
          </w:p>
        </w:tc>
        <w:tc>
          <w:tcPr>
            <w:tcW w:w="3240" w:type="dxa"/>
          </w:tcPr>
          <w:p w14:paraId="6C214298" w14:textId="77777777" w:rsidR="00C6463A" w:rsidRPr="00C6463A" w:rsidRDefault="00C6463A" w:rsidP="00C6463A">
            <w:pPr>
              <w:ind w:left="0"/>
              <w:rPr>
                <w:i/>
              </w:rPr>
            </w:pPr>
            <w:r w:rsidRPr="00C6463A">
              <w:rPr>
                <w:i/>
              </w:rPr>
              <w:t xml:space="preserve">Terrosa is indicated for treatment of </w:t>
            </w:r>
            <w:r>
              <w:rPr>
                <w:i/>
              </w:rPr>
              <w:t>o</w:t>
            </w:r>
            <w:r w:rsidRPr="00C6463A">
              <w:rPr>
                <w:i/>
              </w:rPr>
              <w:t>steoporosis at high risk of fracture.</w:t>
            </w:r>
          </w:p>
        </w:tc>
      </w:tr>
      <w:tr w:rsidR="00C944B6" w14:paraId="1F1FFCE9" w14:textId="77777777" w:rsidTr="00F14D69">
        <w:tc>
          <w:tcPr>
            <w:tcW w:w="1668" w:type="dxa"/>
          </w:tcPr>
          <w:p w14:paraId="77608AB5" w14:textId="77777777" w:rsidR="002A6B2A" w:rsidRDefault="002A6B2A" w:rsidP="002A6B2A">
            <w:pPr>
              <w:ind w:left="0"/>
            </w:pPr>
            <w:r>
              <w:t>South Korea</w:t>
            </w:r>
          </w:p>
        </w:tc>
        <w:tc>
          <w:tcPr>
            <w:tcW w:w="2130" w:type="dxa"/>
          </w:tcPr>
          <w:p w14:paraId="4DB6337F" w14:textId="77777777" w:rsidR="002A6B2A" w:rsidRDefault="002A6B2A" w:rsidP="002A6B2A">
            <w:pPr>
              <w:ind w:left="0"/>
            </w:pPr>
            <w:r>
              <w:t>14 February 2018</w:t>
            </w:r>
          </w:p>
        </w:tc>
        <w:tc>
          <w:tcPr>
            <w:tcW w:w="2070" w:type="dxa"/>
          </w:tcPr>
          <w:p w14:paraId="61E25EC9" w14:textId="77777777" w:rsidR="002A6B2A" w:rsidRDefault="002A6B2A" w:rsidP="002A6B2A">
            <w:pPr>
              <w:ind w:left="0"/>
            </w:pPr>
            <w:r>
              <w:t>Approved on 29 October 2019</w:t>
            </w:r>
          </w:p>
        </w:tc>
        <w:tc>
          <w:tcPr>
            <w:tcW w:w="3240" w:type="dxa"/>
          </w:tcPr>
          <w:p w14:paraId="445B2215" w14:textId="77777777" w:rsidR="002A6B2A" w:rsidRPr="002A6B2A" w:rsidRDefault="002A6B2A" w:rsidP="002A6B2A">
            <w:pPr>
              <w:ind w:left="0"/>
              <w:rPr>
                <w:i/>
              </w:rPr>
            </w:pPr>
            <w:r w:rsidRPr="002A6B2A">
              <w:rPr>
                <w:i/>
              </w:rPr>
              <w:t>Treatment of osteoporosis in postmenopausal women and in men at increased risk of fracture.</w:t>
            </w:r>
          </w:p>
          <w:p w14:paraId="77374A08" w14:textId="77777777" w:rsidR="002A6B2A" w:rsidRPr="002A6B2A" w:rsidRDefault="002A6B2A" w:rsidP="002A6B2A">
            <w:pPr>
              <w:ind w:left="0"/>
            </w:pPr>
            <w:r w:rsidRPr="002A6B2A">
              <w:rPr>
                <w:i/>
              </w:rPr>
              <w:t>Treatment of osteoporosis associated with sustained systemic glucocorticoid therapy in women and men at increased risk for fracture.</w:t>
            </w:r>
          </w:p>
        </w:tc>
      </w:tr>
      <w:tr w:rsidR="00C944B6" w14:paraId="5991A525" w14:textId="77777777" w:rsidTr="00F14D69">
        <w:tc>
          <w:tcPr>
            <w:tcW w:w="1668" w:type="dxa"/>
          </w:tcPr>
          <w:p w14:paraId="29362E9E" w14:textId="77777777" w:rsidR="002A6B2A" w:rsidRDefault="002A6B2A" w:rsidP="002A6B2A">
            <w:pPr>
              <w:ind w:left="0"/>
            </w:pPr>
            <w:r>
              <w:t>Canada</w:t>
            </w:r>
          </w:p>
        </w:tc>
        <w:tc>
          <w:tcPr>
            <w:tcW w:w="2130" w:type="dxa"/>
          </w:tcPr>
          <w:p w14:paraId="1EA7312D" w14:textId="77777777" w:rsidR="002A6B2A" w:rsidRDefault="002A6B2A" w:rsidP="002A6B2A">
            <w:pPr>
              <w:ind w:left="0"/>
            </w:pPr>
            <w:r>
              <w:t>11 April 2018</w:t>
            </w:r>
          </w:p>
        </w:tc>
        <w:tc>
          <w:tcPr>
            <w:tcW w:w="2070" w:type="dxa"/>
          </w:tcPr>
          <w:p w14:paraId="0F1653A8" w14:textId="77777777" w:rsidR="002A6B2A" w:rsidRDefault="002A6B2A" w:rsidP="002A6B2A">
            <w:pPr>
              <w:ind w:left="0"/>
            </w:pPr>
            <w:r>
              <w:t>Under consideration</w:t>
            </w:r>
          </w:p>
        </w:tc>
        <w:tc>
          <w:tcPr>
            <w:tcW w:w="3240" w:type="dxa"/>
          </w:tcPr>
          <w:p w14:paraId="6694125F" w14:textId="77777777" w:rsidR="002A6B2A" w:rsidRPr="002A6B2A" w:rsidRDefault="002A6B2A" w:rsidP="002A6B2A">
            <w:pPr>
              <w:ind w:left="0"/>
            </w:pPr>
            <w:r w:rsidRPr="002A6B2A">
              <w:t>Under consideration</w:t>
            </w:r>
          </w:p>
        </w:tc>
      </w:tr>
      <w:tr w:rsidR="00C944B6" w14:paraId="2BAC3A57" w14:textId="77777777" w:rsidTr="00F14D69">
        <w:tc>
          <w:tcPr>
            <w:tcW w:w="1668" w:type="dxa"/>
          </w:tcPr>
          <w:p w14:paraId="43796617" w14:textId="77777777" w:rsidR="002A6B2A" w:rsidRDefault="002A6B2A" w:rsidP="002A6B2A">
            <w:pPr>
              <w:ind w:left="0"/>
            </w:pPr>
            <w:r>
              <w:t>Israel</w:t>
            </w:r>
          </w:p>
        </w:tc>
        <w:tc>
          <w:tcPr>
            <w:tcW w:w="2130" w:type="dxa"/>
          </w:tcPr>
          <w:p w14:paraId="234E5E8B" w14:textId="77777777" w:rsidR="002A6B2A" w:rsidRDefault="002A6B2A" w:rsidP="002A6B2A">
            <w:pPr>
              <w:ind w:left="0"/>
            </w:pPr>
            <w:r>
              <w:t>3 September 2018</w:t>
            </w:r>
          </w:p>
        </w:tc>
        <w:tc>
          <w:tcPr>
            <w:tcW w:w="2070" w:type="dxa"/>
          </w:tcPr>
          <w:p w14:paraId="108DBA57" w14:textId="77777777" w:rsidR="002A6B2A" w:rsidRDefault="002A6B2A" w:rsidP="002A6B2A">
            <w:pPr>
              <w:ind w:left="0"/>
            </w:pPr>
            <w:r>
              <w:t>Under consideration</w:t>
            </w:r>
          </w:p>
        </w:tc>
        <w:tc>
          <w:tcPr>
            <w:tcW w:w="3240" w:type="dxa"/>
          </w:tcPr>
          <w:p w14:paraId="283245CB" w14:textId="77777777" w:rsidR="002A6B2A" w:rsidRPr="00C6463A" w:rsidRDefault="002A6B2A" w:rsidP="002A6B2A">
            <w:pPr>
              <w:ind w:left="0"/>
              <w:rPr>
                <w:i/>
              </w:rPr>
            </w:pPr>
            <w:r w:rsidRPr="002A6B2A">
              <w:t>Under consideration</w:t>
            </w:r>
          </w:p>
        </w:tc>
      </w:tr>
    </w:tbl>
    <w:p w14:paraId="0946DAEC" w14:textId="77777777" w:rsidR="008E7846" w:rsidRDefault="008E7846" w:rsidP="00940A89">
      <w:pPr>
        <w:pStyle w:val="Heading3"/>
      </w:pPr>
      <w:bookmarkStart w:id="21" w:name="_Toc63088091"/>
      <w:r>
        <w:t>Product Information</w:t>
      </w:r>
      <w:bookmarkEnd w:id="19"/>
      <w:bookmarkEnd w:id="20"/>
      <w:bookmarkEnd w:id="21"/>
    </w:p>
    <w:p w14:paraId="7E4955DD" w14:textId="35678A40" w:rsidR="00940A89" w:rsidRDefault="001545EC" w:rsidP="00940A89">
      <w:bookmarkStart w:id="22" w:name="_Toc247691506"/>
      <w:bookmarkStart w:id="23" w:name="_Toc314842487"/>
      <w:r>
        <w:t>The Product Information</w:t>
      </w:r>
      <w:r w:rsidR="006136D7" w:rsidRPr="00940A89">
        <w:t xml:space="preserve"> </w:t>
      </w:r>
      <w:r w:rsidR="006136D7">
        <w:t xml:space="preserve">approved with the submission which is described in </w:t>
      </w:r>
      <w:r w:rsidR="006136D7" w:rsidRPr="00940A89">
        <w:t xml:space="preserve">this AusPAR can be found as Attachment 1. For the most recent </w:t>
      </w:r>
      <w:r w:rsidR="006136D7">
        <w:t>PI,</w:t>
      </w:r>
      <w:r w:rsidR="006136D7" w:rsidRPr="00940A89">
        <w:t xml:space="preserve"> ple</w:t>
      </w:r>
      <w:r w:rsidR="006136D7">
        <w:t>ase refer to the TGA website</w:t>
      </w:r>
      <w:r w:rsidR="006136D7"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14:paraId="5E700016" w14:textId="77777777" w:rsidR="00500337" w:rsidRDefault="00500337" w:rsidP="00500337">
      <w:pPr>
        <w:pStyle w:val="Heading2"/>
      </w:pPr>
      <w:bookmarkStart w:id="24" w:name="_Toc504480011"/>
      <w:bookmarkStart w:id="25" w:name="_Toc63088092"/>
      <w:r>
        <w:t>II. Registration timeline</w:t>
      </w:r>
      <w:bookmarkEnd w:id="24"/>
      <w:bookmarkEnd w:id="25"/>
    </w:p>
    <w:p w14:paraId="09C02F20" w14:textId="77777777" w:rsidR="00500337" w:rsidRDefault="00500337" w:rsidP="00500337">
      <w:r>
        <w:t>The following table captures the key steps and dates for this application and which are detailed and discussed in this AusPAR.</w:t>
      </w:r>
    </w:p>
    <w:p w14:paraId="2CDC9E04" w14:textId="1C245173" w:rsidR="00500337" w:rsidRPr="00377BD4" w:rsidRDefault="006B3646" w:rsidP="006B3646">
      <w:pPr>
        <w:pStyle w:val="TableTitle"/>
      </w:pPr>
      <w:r w:rsidRPr="006B3646">
        <w:t xml:space="preserve">Table </w:t>
      </w:r>
      <w:r w:rsidR="00F14D69">
        <w:fldChar w:fldCharType="begin"/>
      </w:r>
      <w:r w:rsidR="00F14D69">
        <w:instrText xml:space="preserve"> SEQ Table \* ARABIC </w:instrText>
      </w:r>
      <w:r w:rsidR="00F14D69">
        <w:fldChar w:fldCharType="separate"/>
      </w:r>
      <w:r w:rsidR="00B72ABE">
        <w:rPr>
          <w:noProof/>
        </w:rPr>
        <w:t>2</w:t>
      </w:r>
      <w:r w:rsidR="00F14D69">
        <w:rPr>
          <w:noProof/>
        </w:rPr>
        <w:fldChar w:fldCharType="end"/>
      </w:r>
      <w:r w:rsidR="00006FAB">
        <w:t>:</w:t>
      </w:r>
      <w:r w:rsidR="006A58A8" w:rsidRPr="006A58A8">
        <w:t xml:space="preserve"> Timeline for Submission PM-20</w:t>
      </w:r>
      <w:r w:rsidR="001545EC">
        <w:t>19-05333-1-5</w:t>
      </w:r>
    </w:p>
    <w:tbl>
      <w:tblPr>
        <w:tblStyle w:val="TableTGAblue"/>
        <w:tblW w:w="0" w:type="auto"/>
        <w:tblLook w:val="04A0" w:firstRow="1" w:lastRow="0" w:firstColumn="1" w:lastColumn="0" w:noHBand="0" w:noVBand="1"/>
      </w:tblPr>
      <w:tblGrid>
        <w:gridCol w:w="6345"/>
        <w:gridCol w:w="2375"/>
      </w:tblGrid>
      <w:tr w:rsidR="00500337" w14:paraId="38743659" w14:textId="77777777" w:rsidTr="00F14D69">
        <w:trPr>
          <w:cnfStyle w:val="100000000000" w:firstRow="1" w:lastRow="0" w:firstColumn="0" w:lastColumn="0" w:oddVBand="0" w:evenVBand="0" w:oddHBand="0" w:evenHBand="0" w:firstRowFirstColumn="0" w:firstRowLastColumn="0" w:lastRowFirstColumn="0" w:lastRowLastColumn="0"/>
          <w:cantSplit/>
        </w:trPr>
        <w:tc>
          <w:tcPr>
            <w:tcW w:w="6345" w:type="dxa"/>
            <w:tcBorders>
              <w:top w:val="single" w:sz="4" w:space="0" w:color="auto"/>
              <w:left w:val="single" w:sz="4" w:space="0" w:color="auto"/>
              <w:bottom w:val="single" w:sz="4" w:space="0" w:color="auto"/>
              <w:right w:val="single" w:sz="4" w:space="0" w:color="auto"/>
            </w:tcBorders>
          </w:tcPr>
          <w:p w14:paraId="26A6CC8E" w14:textId="77777777" w:rsidR="00500337" w:rsidRDefault="00500337" w:rsidP="00500337">
            <w:pPr>
              <w:ind w:left="0" w:right="0"/>
            </w:pPr>
            <w:r>
              <w:t>Description</w:t>
            </w:r>
          </w:p>
        </w:tc>
        <w:tc>
          <w:tcPr>
            <w:tcW w:w="2375" w:type="dxa"/>
            <w:tcBorders>
              <w:top w:val="single" w:sz="4" w:space="0" w:color="auto"/>
              <w:left w:val="single" w:sz="4" w:space="0" w:color="auto"/>
              <w:bottom w:val="single" w:sz="4" w:space="0" w:color="auto"/>
              <w:right w:val="single" w:sz="4" w:space="0" w:color="auto"/>
            </w:tcBorders>
          </w:tcPr>
          <w:p w14:paraId="680239E7" w14:textId="77777777" w:rsidR="00500337" w:rsidRDefault="00500337" w:rsidP="00500337">
            <w:pPr>
              <w:ind w:left="0" w:right="0"/>
            </w:pPr>
            <w:r>
              <w:t>Date</w:t>
            </w:r>
          </w:p>
        </w:tc>
      </w:tr>
      <w:tr w:rsidR="00500337" w14:paraId="5577C558" w14:textId="77777777" w:rsidTr="00F14D69">
        <w:tc>
          <w:tcPr>
            <w:tcW w:w="6345" w:type="dxa"/>
            <w:tcBorders>
              <w:top w:val="single" w:sz="4" w:space="0" w:color="auto"/>
            </w:tcBorders>
          </w:tcPr>
          <w:p w14:paraId="5D55CF98" w14:textId="77777777" w:rsidR="00500337" w:rsidRDefault="00500337" w:rsidP="00500337">
            <w:pPr>
              <w:ind w:left="0" w:right="0"/>
            </w:pPr>
            <w:r>
              <w:t>Submission dossier accepted and first round evaluation commenced</w:t>
            </w:r>
          </w:p>
        </w:tc>
        <w:tc>
          <w:tcPr>
            <w:tcW w:w="2375" w:type="dxa"/>
            <w:tcBorders>
              <w:top w:val="single" w:sz="4" w:space="0" w:color="auto"/>
            </w:tcBorders>
          </w:tcPr>
          <w:p w14:paraId="4009DD33" w14:textId="77777777" w:rsidR="00500337" w:rsidRDefault="001545EC" w:rsidP="00500337">
            <w:pPr>
              <w:ind w:left="0" w:right="0"/>
            </w:pPr>
            <w:r>
              <w:t>3 January 2020</w:t>
            </w:r>
          </w:p>
        </w:tc>
      </w:tr>
      <w:tr w:rsidR="00500337" w14:paraId="76B31B1C" w14:textId="77777777" w:rsidTr="00F14D69">
        <w:tc>
          <w:tcPr>
            <w:tcW w:w="6345" w:type="dxa"/>
          </w:tcPr>
          <w:p w14:paraId="6EDA964F" w14:textId="77777777" w:rsidR="00500337" w:rsidRDefault="00500337" w:rsidP="00500337">
            <w:pPr>
              <w:ind w:left="0" w:right="0"/>
            </w:pPr>
            <w:r>
              <w:t>First round evaluation completed</w:t>
            </w:r>
          </w:p>
        </w:tc>
        <w:tc>
          <w:tcPr>
            <w:tcW w:w="2375" w:type="dxa"/>
          </w:tcPr>
          <w:p w14:paraId="52C550A1" w14:textId="77777777" w:rsidR="00500337" w:rsidRDefault="001545EC" w:rsidP="00500337">
            <w:pPr>
              <w:ind w:left="0" w:right="0"/>
            </w:pPr>
            <w:r>
              <w:t>10 July 2020</w:t>
            </w:r>
          </w:p>
        </w:tc>
      </w:tr>
      <w:tr w:rsidR="00500337" w14:paraId="5DC5FC66" w14:textId="77777777" w:rsidTr="00F14D69">
        <w:tc>
          <w:tcPr>
            <w:tcW w:w="6345" w:type="dxa"/>
          </w:tcPr>
          <w:p w14:paraId="5023ED38" w14:textId="77777777" w:rsidR="00500337" w:rsidRDefault="00500337" w:rsidP="00500337">
            <w:pPr>
              <w:ind w:left="0" w:right="0"/>
            </w:pPr>
            <w:r>
              <w:t>Sponsor provides responses on questions raised in first round evaluation</w:t>
            </w:r>
          </w:p>
        </w:tc>
        <w:tc>
          <w:tcPr>
            <w:tcW w:w="2375" w:type="dxa"/>
          </w:tcPr>
          <w:p w14:paraId="0D50547D" w14:textId="77777777" w:rsidR="00500337" w:rsidRDefault="001545EC" w:rsidP="00500337">
            <w:pPr>
              <w:ind w:left="0" w:right="0"/>
            </w:pPr>
            <w:r>
              <w:t>10 August 2020</w:t>
            </w:r>
          </w:p>
        </w:tc>
      </w:tr>
      <w:tr w:rsidR="00500337" w14:paraId="48C11BC9" w14:textId="77777777" w:rsidTr="00F14D69">
        <w:tc>
          <w:tcPr>
            <w:tcW w:w="6345" w:type="dxa"/>
          </w:tcPr>
          <w:p w14:paraId="0F70CFB7" w14:textId="77777777" w:rsidR="00500337" w:rsidRDefault="00500337" w:rsidP="00500337">
            <w:pPr>
              <w:ind w:left="0" w:right="0"/>
            </w:pPr>
            <w:r>
              <w:t>Second round evaluation completed</w:t>
            </w:r>
          </w:p>
        </w:tc>
        <w:tc>
          <w:tcPr>
            <w:tcW w:w="2375" w:type="dxa"/>
          </w:tcPr>
          <w:p w14:paraId="75DD6037" w14:textId="77777777" w:rsidR="00500337" w:rsidRDefault="001545EC" w:rsidP="00500337">
            <w:pPr>
              <w:ind w:left="0" w:right="0"/>
            </w:pPr>
            <w:r>
              <w:t>28 August 2020</w:t>
            </w:r>
          </w:p>
        </w:tc>
      </w:tr>
      <w:tr w:rsidR="00500337" w14:paraId="3B00EDEC" w14:textId="77777777" w:rsidTr="00F14D69">
        <w:tc>
          <w:tcPr>
            <w:tcW w:w="6345" w:type="dxa"/>
          </w:tcPr>
          <w:p w14:paraId="3353C6F6" w14:textId="77777777" w:rsidR="00500337" w:rsidRDefault="00324E45" w:rsidP="00C341A2">
            <w:pPr>
              <w:ind w:left="0" w:right="0"/>
            </w:pPr>
            <w:r>
              <w:t xml:space="preserve">Delegate’s </w:t>
            </w:r>
            <w:r w:rsidR="00C341A2">
              <w:t>Overall benefit-risk assessment</w:t>
            </w:r>
          </w:p>
        </w:tc>
        <w:tc>
          <w:tcPr>
            <w:tcW w:w="2375" w:type="dxa"/>
          </w:tcPr>
          <w:p w14:paraId="30049626" w14:textId="77777777" w:rsidR="00500337" w:rsidRDefault="00F018F2" w:rsidP="00500337">
            <w:pPr>
              <w:ind w:left="0" w:right="0"/>
            </w:pPr>
            <w:r>
              <w:t>12 November 2020</w:t>
            </w:r>
          </w:p>
        </w:tc>
      </w:tr>
      <w:tr w:rsidR="00500337" w14:paraId="376E68CD" w14:textId="77777777" w:rsidTr="00F14D69">
        <w:tc>
          <w:tcPr>
            <w:tcW w:w="6345" w:type="dxa"/>
          </w:tcPr>
          <w:p w14:paraId="2DB44077" w14:textId="77777777" w:rsidR="00500337" w:rsidRDefault="00500337" w:rsidP="00500337">
            <w:pPr>
              <w:ind w:left="0" w:right="0"/>
            </w:pPr>
            <w:r>
              <w:t>Sponsor’s pre-Advisory Committee response</w:t>
            </w:r>
          </w:p>
        </w:tc>
        <w:tc>
          <w:tcPr>
            <w:tcW w:w="2375" w:type="dxa"/>
          </w:tcPr>
          <w:p w14:paraId="7719E4E0" w14:textId="77777777" w:rsidR="00500337" w:rsidRDefault="00C341A2" w:rsidP="00500337">
            <w:pPr>
              <w:ind w:left="0" w:right="0"/>
            </w:pPr>
            <w:r>
              <w:t>Not applicable</w:t>
            </w:r>
          </w:p>
        </w:tc>
      </w:tr>
      <w:tr w:rsidR="00500337" w14:paraId="3E0B23FE" w14:textId="77777777" w:rsidTr="00F14D69">
        <w:tc>
          <w:tcPr>
            <w:tcW w:w="6345" w:type="dxa"/>
          </w:tcPr>
          <w:p w14:paraId="21B74B07" w14:textId="77777777" w:rsidR="00500337" w:rsidRDefault="00500337" w:rsidP="00500337">
            <w:pPr>
              <w:ind w:left="0" w:right="0"/>
            </w:pPr>
            <w:r>
              <w:t>Advisory Committee meeting</w:t>
            </w:r>
          </w:p>
        </w:tc>
        <w:tc>
          <w:tcPr>
            <w:tcW w:w="2375" w:type="dxa"/>
          </w:tcPr>
          <w:p w14:paraId="0FC61B1F" w14:textId="77777777" w:rsidR="00500337" w:rsidRDefault="00C341A2" w:rsidP="00500337">
            <w:pPr>
              <w:ind w:left="0" w:right="0"/>
            </w:pPr>
            <w:r>
              <w:t>Not applicable</w:t>
            </w:r>
          </w:p>
        </w:tc>
      </w:tr>
      <w:tr w:rsidR="00500337" w14:paraId="3B500027" w14:textId="77777777" w:rsidTr="00F14D69">
        <w:tc>
          <w:tcPr>
            <w:tcW w:w="6345" w:type="dxa"/>
          </w:tcPr>
          <w:p w14:paraId="4C7095CC" w14:textId="77777777" w:rsidR="00500337" w:rsidRDefault="00500337" w:rsidP="00500337">
            <w:pPr>
              <w:ind w:left="0" w:right="0"/>
            </w:pPr>
            <w:r>
              <w:t>Registration decision (Outcome)</w:t>
            </w:r>
          </w:p>
        </w:tc>
        <w:tc>
          <w:tcPr>
            <w:tcW w:w="2375" w:type="dxa"/>
          </w:tcPr>
          <w:p w14:paraId="162F9ABD" w14:textId="77777777" w:rsidR="00500337" w:rsidRDefault="001545EC" w:rsidP="00500337">
            <w:pPr>
              <w:ind w:left="0" w:right="0"/>
            </w:pPr>
            <w:r>
              <w:t>24 November 2020</w:t>
            </w:r>
          </w:p>
        </w:tc>
      </w:tr>
      <w:tr w:rsidR="00500337" w14:paraId="0256F1FC" w14:textId="77777777" w:rsidTr="00F14D69">
        <w:tc>
          <w:tcPr>
            <w:tcW w:w="6345" w:type="dxa"/>
          </w:tcPr>
          <w:p w14:paraId="0722BA8D" w14:textId="77777777" w:rsidR="00500337" w:rsidRDefault="00500337" w:rsidP="00500337">
            <w:pPr>
              <w:ind w:left="0" w:right="0"/>
            </w:pPr>
            <w:r>
              <w:t xml:space="preserve">Completion of administrative activities and registration on </w:t>
            </w:r>
            <w:r w:rsidR="00006FAB">
              <w:t xml:space="preserve">the </w:t>
            </w:r>
            <w:r>
              <w:t>ARTG</w:t>
            </w:r>
          </w:p>
        </w:tc>
        <w:tc>
          <w:tcPr>
            <w:tcW w:w="2375" w:type="dxa"/>
          </w:tcPr>
          <w:p w14:paraId="5A5B79A7" w14:textId="77777777" w:rsidR="00500337" w:rsidRDefault="001545EC" w:rsidP="00500337">
            <w:pPr>
              <w:ind w:left="0" w:right="0"/>
            </w:pPr>
            <w:r>
              <w:t>1 December 2020</w:t>
            </w:r>
          </w:p>
        </w:tc>
      </w:tr>
      <w:tr w:rsidR="00500337" w14:paraId="301A1B32" w14:textId="77777777" w:rsidTr="00F14D69">
        <w:tc>
          <w:tcPr>
            <w:tcW w:w="6345" w:type="dxa"/>
          </w:tcPr>
          <w:p w14:paraId="5C8DFCC1" w14:textId="77777777" w:rsidR="00500337" w:rsidRDefault="00500337" w:rsidP="00500337">
            <w:pPr>
              <w:ind w:left="0" w:right="0"/>
            </w:pPr>
            <w:r>
              <w:t>Number of working days from submission dossier acceptance to registration decision*</w:t>
            </w:r>
          </w:p>
        </w:tc>
        <w:tc>
          <w:tcPr>
            <w:tcW w:w="2375" w:type="dxa"/>
          </w:tcPr>
          <w:p w14:paraId="4E265866" w14:textId="77777777" w:rsidR="00500337" w:rsidRDefault="001545EC" w:rsidP="00500337">
            <w:pPr>
              <w:ind w:left="0" w:right="0"/>
            </w:pPr>
            <w:r>
              <w:t>195</w:t>
            </w:r>
          </w:p>
        </w:tc>
      </w:tr>
    </w:tbl>
    <w:p w14:paraId="74921458" w14:textId="77777777" w:rsidR="00500337" w:rsidRDefault="00500337" w:rsidP="00500337">
      <w:pPr>
        <w:pStyle w:val="TableDescription"/>
      </w:pPr>
      <w:r>
        <w:t>*</w:t>
      </w:r>
      <w:r w:rsidR="00BF3774" w:rsidRPr="00BF3774">
        <w:t xml:space="preserve">Statutory </w:t>
      </w:r>
      <w:r>
        <w:t>timeframe for standard applications is 2</w:t>
      </w:r>
      <w:r w:rsidR="00BF3774">
        <w:t>55</w:t>
      </w:r>
      <w:r>
        <w:t xml:space="preserve"> working days</w:t>
      </w:r>
    </w:p>
    <w:p w14:paraId="2323633D" w14:textId="77777777" w:rsidR="008E7846" w:rsidRPr="00792A32" w:rsidRDefault="00456765" w:rsidP="008E7846">
      <w:pPr>
        <w:pStyle w:val="Heading2"/>
      </w:pPr>
      <w:bookmarkStart w:id="26" w:name="_Toc196046504"/>
      <w:bookmarkStart w:id="27" w:name="_Toc247691527"/>
      <w:bookmarkStart w:id="28" w:name="_Toc314842510"/>
      <w:bookmarkStart w:id="29" w:name="_Toc163441390"/>
      <w:bookmarkStart w:id="30" w:name="_Toc63088093"/>
      <w:bookmarkEnd w:id="1"/>
      <w:bookmarkEnd w:id="22"/>
      <w:bookmarkEnd w:id="23"/>
      <w:r>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6"/>
      <w:bookmarkEnd w:id="27"/>
      <w:bookmarkEnd w:id="28"/>
      <w:bookmarkEnd w:id="30"/>
    </w:p>
    <w:p w14:paraId="1FA2EAF6" w14:textId="77777777" w:rsidR="00006FAB" w:rsidRDefault="00006FAB" w:rsidP="006C7790">
      <w:bookmarkStart w:id="31" w:name="_Toc247691528"/>
      <w:r>
        <w:t xml:space="preserve">The submission was summarised in the following Delegate’s overview and </w:t>
      </w:r>
    </w:p>
    <w:p w14:paraId="481CA400" w14:textId="77777777" w:rsidR="00A72019" w:rsidRDefault="00A72019" w:rsidP="006C7790">
      <w:r>
        <w:t>The Delegate has referred to the below guidelines:</w:t>
      </w:r>
    </w:p>
    <w:p w14:paraId="6FA300D9" w14:textId="6A1CC522" w:rsidR="00E035CB" w:rsidRDefault="00E035CB" w:rsidP="00E035CB">
      <w:pPr>
        <w:pStyle w:val="ListBullet"/>
        <w:rPr>
          <w:i/>
        </w:rPr>
      </w:pPr>
      <w:r w:rsidRPr="00E035CB">
        <w:t>Committee for Medicinal Products for Human Use (CHMP). Guideline on similar</w:t>
      </w:r>
      <w:r>
        <w:rPr>
          <w:i/>
        </w:rPr>
        <w:t xml:space="preserve"> </w:t>
      </w:r>
      <w:r w:rsidRPr="00E035CB">
        <w:t>biological medicinal products containing biotechnology-derived proteins as active</w:t>
      </w:r>
      <w:r>
        <w:rPr>
          <w:i/>
        </w:rPr>
        <w:t xml:space="preserve"> </w:t>
      </w:r>
      <w:r w:rsidRPr="00E035CB">
        <w:t>substance: non-clinical and clinical issues. EMEA/CHMP/BMWP/42832/2005 Rev</w:t>
      </w:r>
      <w:r w:rsidR="00C944B6">
        <w:t xml:space="preserve"> </w:t>
      </w:r>
      <w:r w:rsidRPr="00E035CB">
        <w:t>1;</w:t>
      </w:r>
      <w:r>
        <w:rPr>
          <w:i/>
        </w:rPr>
        <w:t xml:space="preserve"> </w:t>
      </w:r>
      <w:r w:rsidRPr="00E035CB">
        <w:t>December 2014</w:t>
      </w:r>
    </w:p>
    <w:p w14:paraId="7745074F" w14:textId="6FEF348E" w:rsidR="00E035CB" w:rsidRPr="00E035CB" w:rsidRDefault="00E035CB" w:rsidP="00E035CB">
      <w:pPr>
        <w:pStyle w:val="ListBullet"/>
      </w:pPr>
      <w:r w:rsidRPr="00E035CB">
        <w:t>Committee for Medicinal Products for Human Use (CHMP). Guideline on similar biological medicinal products. CHMP/437/04 Rev 1; October 2014</w:t>
      </w:r>
    </w:p>
    <w:p w14:paraId="2CC09841" w14:textId="34DA874F" w:rsidR="008E7846" w:rsidRDefault="008E7846" w:rsidP="008E7846">
      <w:pPr>
        <w:pStyle w:val="Heading3"/>
      </w:pPr>
      <w:bookmarkStart w:id="32" w:name="_Toc314842511"/>
      <w:bookmarkStart w:id="33" w:name="_Toc63088094"/>
      <w:r>
        <w:t>Quality</w:t>
      </w:r>
      <w:bookmarkEnd w:id="31"/>
      <w:bookmarkEnd w:id="32"/>
      <w:bookmarkEnd w:id="33"/>
    </w:p>
    <w:p w14:paraId="739DC09D" w14:textId="77777777" w:rsidR="00EB1E04" w:rsidRDefault="00EB1E04" w:rsidP="00EB1E04">
      <w:r>
        <w:t>The quality evaluator had no objections on quality grounds to the registration of Terrosa. Overall, sufficient evidence was provided to demonstrate that the risks related to the manufacturing quality of Terrosa have been controlled to an acceptable level.</w:t>
      </w:r>
    </w:p>
    <w:p w14:paraId="05F3406C" w14:textId="309F7043" w:rsidR="00EB1E04" w:rsidRDefault="00EB1E04" w:rsidP="00EB1E04">
      <w:proofErr w:type="spellStart"/>
      <w:r>
        <w:t>Fors</w:t>
      </w:r>
      <w:r w:rsidR="00DC0A2E">
        <w:t>teo</w:t>
      </w:r>
      <w:proofErr w:type="spellEnd"/>
      <w:r w:rsidR="00DC0A2E">
        <w:t xml:space="preserve"> (</w:t>
      </w:r>
      <w:r>
        <w:t>EU</w:t>
      </w:r>
      <w:r w:rsidR="00C944B6">
        <w:t>-sourced</w:t>
      </w:r>
      <w:r>
        <w:t xml:space="preserve"> reference product) was used as the main reference product to demonstrate </w:t>
      </w:r>
      <w:proofErr w:type="spellStart"/>
      <w:r>
        <w:t>biosimilarity</w:t>
      </w:r>
      <w:proofErr w:type="spellEnd"/>
      <w:r>
        <w:t xml:space="preserve"> in terms of quality and non-clinical comparability. Comparisons of the primary</w:t>
      </w:r>
      <w:r w:rsidR="001F7A82">
        <w:t>,</w:t>
      </w:r>
      <w:r>
        <w:t xml:space="preserve"> secondary and tertiary structures, physicochemical properties and biological activities showed that Terrosa and </w:t>
      </w:r>
      <w:proofErr w:type="spellStart"/>
      <w:r>
        <w:t>Forsteo</w:t>
      </w:r>
      <w:proofErr w:type="spellEnd"/>
      <w:r>
        <w:t xml:space="preserve"> are generally similar. Bridging studies confirmed the EU</w:t>
      </w:r>
      <w:r w:rsidR="00C944B6">
        <w:t>-sourced</w:t>
      </w:r>
      <w:r>
        <w:t xml:space="preserve"> </w:t>
      </w:r>
      <w:proofErr w:type="spellStart"/>
      <w:r>
        <w:t>Forsteo</w:t>
      </w:r>
      <w:proofErr w:type="spellEnd"/>
      <w:r>
        <w:t xml:space="preserve"> and Australian</w:t>
      </w:r>
      <w:r w:rsidR="00C944B6">
        <w:t>-sourced</w:t>
      </w:r>
      <w:r>
        <w:t xml:space="preserve"> </w:t>
      </w:r>
      <w:proofErr w:type="spellStart"/>
      <w:r>
        <w:t>Forteo</w:t>
      </w:r>
      <w:proofErr w:type="spellEnd"/>
      <w:r>
        <w:t xml:space="preserve"> reference products were generally similar. The sponsor has demonstrated that Terrosa is </w:t>
      </w:r>
      <w:proofErr w:type="spellStart"/>
      <w:r>
        <w:t>physiochemically</w:t>
      </w:r>
      <w:proofErr w:type="spellEnd"/>
      <w:r>
        <w:t xml:space="preserve"> and biologically similar to EU</w:t>
      </w:r>
      <w:r w:rsidR="00C944B6">
        <w:t>-sourced</w:t>
      </w:r>
      <w:r>
        <w:t xml:space="preserve"> </w:t>
      </w:r>
      <w:proofErr w:type="spellStart"/>
      <w:r>
        <w:t>Forsteo</w:t>
      </w:r>
      <w:proofErr w:type="spellEnd"/>
      <w:r>
        <w:t xml:space="preserve"> and </w:t>
      </w:r>
      <w:r w:rsidR="00C944B6">
        <w:t>Australian-sourced</w:t>
      </w:r>
      <w:r>
        <w:t xml:space="preserve"> </w:t>
      </w:r>
      <w:proofErr w:type="spellStart"/>
      <w:r>
        <w:t>Forteo</w:t>
      </w:r>
      <w:proofErr w:type="spellEnd"/>
      <w:r>
        <w:t>.</w:t>
      </w:r>
    </w:p>
    <w:p w14:paraId="5FFB2C99" w14:textId="1328A715" w:rsidR="00EB1E04" w:rsidRDefault="00EB1E04" w:rsidP="00EB1E04">
      <w:proofErr w:type="spellStart"/>
      <w:r>
        <w:t>Forteo</w:t>
      </w:r>
      <w:proofErr w:type="spellEnd"/>
      <w:r>
        <w:t xml:space="preserve"> (Japanese</w:t>
      </w:r>
      <w:r w:rsidR="00C944B6">
        <w:t>-sourced</w:t>
      </w:r>
      <w:r>
        <w:t xml:space="preserve"> reference product) was used as the reference product in Study</w:t>
      </w:r>
      <w:r w:rsidR="00C719CB">
        <w:t> </w:t>
      </w:r>
      <w:r>
        <w:t xml:space="preserve">RGB1023O31. Based on a comparison of the Japanese, EU and Australian health authority reviews, as well as the carton boxes of reference materials </w:t>
      </w:r>
      <w:proofErr w:type="spellStart"/>
      <w:r>
        <w:t>Forteo</w:t>
      </w:r>
      <w:proofErr w:type="spellEnd"/>
      <w:r>
        <w:t xml:space="preserve"> sourced from Japan (Eli Lilly Japan </w:t>
      </w:r>
      <w:r w:rsidRPr="00EB1E04">
        <w:t>Kabushiki Kaisha</w:t>
      </w:r>
      <w:r>
        <w:t xml:space="preserve">) appears to be the same as the reference biologic drug </w:t>
      </w:r>
      <w:proofErr w:type="spellStart"/>
      <w:r>
        <w:t>Forsteo</w:t>
      </w:r>
      <w:proofErr w:type="spellEnd"/>
      <w:r>
        <w:t xml:space="preserve"> sourced from the EU and </w:t>
      </w:r>
      <w:proofErr w:type="spellStart"/>
      <w:r>
        <w:t>Forteo</w:t>
      </w:r>
      <w:proofErr w:type="spellEnd"/>
      <w:r>
        <w:t xml:space="preserve"> sourced from Australia. This meets the reference medicines requirements detailed in the TGA’s </w:t>
      </w:r>
      <w:proofErr w:type="spellStart"/>
      <w:r>
        <w:t>Biosimilars</w:t>
      </w:r>
      <w:proofErr w:type="spellEnd"/>
      <w:r>
        <w:t xml:space="preserve"> guidelines.</w:t>
      </w:r>
    </w:p>
    <w:p w14:paraId="41EAE0B8" w14:textId="77777777" w:rsidR="00EB1E04" w:rsidRDefault="00EB1E04" w:rsidP="00EB1E04">
      <w:r>
        <w:t>The data supplied in relation to the physical and chemical properties of Terrosa were satisfactory. There were no issues pertaining to the specifications or the stability of the drug substance (DS) or the drug product (DP). There were no quality related concerns.</w:t>
      </w:r>
    </w:p>
    <w:p w14:paraId="6ABBC556" w14:textId="77777777" w:rsidR="00EB1E04" w:rsidRDefault="00EB1E04" w:rsidP="00EB1E04">
      <w:r>
        <w:t>All manufacturing steps and analytical procedures were validated and there were no issues pertaining to manufacture or to the manufacturers of the product.</w:t>
      </w:r>
    </w:p>
    <w:p w14:paraId="408E73EC" w14:textId="77777777" w:rsidR="00EB1E04" w:rsidRDefault="00EB1E04" w:rsidP="00EB1E04">
      <w:r>
        <w:t>There were no objections to the registration of this product from a sterility, endotoxin, container safety or an adventitious agent perspective.</w:t>
      </w:r>
    </w:p>
    <w:p w14:paraId="3401EBFE" w14:textId="77777777" w:rsidR="00EB1E04" w:rsidRDefault="00EB1E04" w:rsidP="00EB1E04">
      <w:r>
        <w:t>The real time data submitted support the proposed DP shelf life of 24 months when stored at 2°C to 8°C and protected from light. The in-use data supported the in-use conditions listed in the PI after opening.</w:t>
      </w:r>
    </w:p>
    <w:p w14:paraId="48C73F26" w14:textId="78144CD4" w:rsidR="006B3646" w:rsidRDefault="006B3646" w:rsidP="006B3646">
      <w:pPr>
        <w:pStyle w:val="FigureTitle"/>
      </w:pPr>
      <w:r w:rsidRPr="006B3646">
        <w:t xml:space="preserve">Figure </w:t>
      </w:r>
      <w:r w:rsidR="00F14D69">
        <w:fldChar w:fldCharType="begin"/>
      </w:r>
      <w:r w:rsidR="00F14D69">
        <w:instrText xml:space="preserve"> SEQ Figure \* ARABIC </w:instrText>
      </w:r>
      <w:r w:rsidR="00F14D69">
        <w:fldChar w:fldCharType="separate"/>
      </w:r>
      <w:r w:rsidR="00B72ABE">
        <w:rPr>
          <w:noProof/>
        </w:rPr>
        <w:t>1</w:t>
      </w:r>
      <w:r w:rsidR="00F14D69">
        <w:rPr>
          <w:noProof/>
        </w:rPr>
        <w:fldChar w:fldCharType="end"/>
      </w:r>
      <w:r>
        <w:t xml:space="preserve">: Structure of </w:t>
      </w:r>
      <w:r w:rsidRPr="006B3646">
        <w:t>human parathyroid hormone</w:t>
      </w:r>
      <w:r>
        <w:t xml:space="preserve"> (1-34), s</w:t>
      </w:r>
      <w:r w:rsidRPr="006B3646">
        <w:t xml:space="preserve">uperposition of the crystal structure (yellow) with </w:t>
      </w:r>
      <w:r w:rsidR="00DA332A">
        <w:t>nuclear magnetic r</w:t>
      </w:r>
      <w:r w:rsidR="00DA332A" w:rsidRPr="00DA332A">
        <w:t>esonance</w:t>
      </w:r>
      <w:r w:rsidRPr="006B3646">
        <w:t xml:space="preserve"> structures of </w:t>
      </w:r>
      <w:r w:rsidR="00DA332A" w:rsidRPr="006B3646">
        <w:t>human parathyroid hormone</w:t>
      </w:r>
      <w:r w:rsidRPr="006B3646">
        <w:t xml:space="preserve"> (1-34) (green)</w:t>
      </w:r>
    </w:p>
    <w:p w14:paraId="1ECE6069" w14:textId="77777777" w:rsidR="00DA332A" w:rsidRDefault="00DA332A" w:rsidP="00DA332A">
      <w:r w:rsidRPr="00EE688E">
        <w:rPr>
          <w:noProof/>
          <w:lang w:eastAsia="en-AU"/>
        </w:rPr>
        <w:drawing>
          <wp:inline distT="0" distB="0" distL="0" distR="0" wp14:anchorId="240C4484" wp14:editId="7C583F3B">
            <wp:extent cx="3486843" cy="2170706"/>
            <wp:effectExtent l="0" t="0" r="0" b="1270"/>
            <wp:docPr id="2" name="Picture 2" descr="Structure of human parathyroid hormone (1-34), superposition of the crystal structure (yellow) with nuclear magnetic resonance structures of human parathyroid hormone (1-34)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6781" t="5520"/>
                    <a:stretch/>
                  </pic:blipFill>
                  <pic:spPr bwMode="auto">
                    <a:xfrm>
                      <a:off x="0" y="0"/>
                      <a:ext cx="3505710" cy="2182451"/>
                    </a:xfrm>
                    <a:prstGeom prst="rect">
                      <a:avLst/>
                    </a:prstGeom>
                    <a:ln>
                      <a:noFill/>
                    </a:ln>
                    <a:extLst>
                      <a:ext uri="{53640926-AAD7-44D8-BBD7-CCE9431645EC}">
                        <a14:shadowObscured xmlns:a14="http://schemas.microsoft.com/office/drawing/2010/main"/>
                      </a:ext>
                    </a:extLst>
                  </pic:spPr>
                </pic:pic>
              </a:graphicData>
            </a:graphic>
          </wp:inline>
        </w:drawing>
      </w:r>
    </w:p>
    <w:p w14:paraId="6E555A2F" w14:textId="77777777" w:rsidR="008E5B62" w:rsidRDefault="008E5B62" w:rsidP="008E5B62">
      <w:pPr>
        <w:pStyle w:val="Heading4"/>
      </w:pPr>
      <w:r>
        <w:t>Quality related p</w:t>
      </w:r>
      <w:r w:rsidR="00DA332A">
        <w:t>ro</w:t>
      </w:r>
      <w:r>
        <w:t>posed conditions of registration</w:t>
      </w:r>
    </w:p>
    <w:p w14:paraId="5B71A633" w14:textId="682817E3" w:rsidR="008E5B62" w:rsidRDefault="00CB6671" w:rsidP="008E5B62">
      <w:pPr>
        <w:pStyle w:val="Heading5"/>
      </w:pPr>
      <w:r>
        <w:t>Laboratory testing and</w:t>
      </w:r>
      <w:r w:rsidR="008E5B62">
        <w:t xml:space="preserve"> compliance with</w:t>
      </w:r>
      <w:r w:rsidR="00DC0A2E">
        <w:t xml:space="preserve"> Certified Product Details</w:t>
      </w:r>
    </w:p>
    <w:p w14:paraId="3201C660" w14:textId="77777777" w:rsidR="008E5B62" w:rsidRDefault="008E5B62" w:rsidP="008E5B62">
      <w:pPr>
        <w:pStyle w:val="ListBullet"/>
      </w:pPr>
      <w:r>
        <w:t>All batches of Terrosa supplied in Australia must comply with the product details and specifications approved during evaluation and detailed in the Certified Product Details (CPD).</w:t>
      </w:r>
    </w:p>
    <w:p w14:paraId="09240E2C" w14:textId="5920EDEB" w:rsidR="008E5B62" w:rsidRDefault="00DC0A2E" w:rsidP="00F14D69">
      <w:pPr>
        <w:pStyle w:val="ListBullet"/>
        <w:ind w:right="-285"/>
      </w:pPr>
      <w:r>
        <w:t>When requested by the TGA, the s</w:t>
      </w:r>
      <w:r w:rsidR="008E5B62">
        <w:t>ponsor should be prepared to provide product samples, specified reference materials and documentary evidence to enable the TGA to con</w:t>
      </w:r>
      <w:r>
        <w:t>duct laboratory testing on the p</w:t>
      </w:r>
      <w:r w:rsidR="008E5B62">
        <w:t>roduct. Outcomes of laboratory testing are published biannually in the TGA Database of Laboratory Testing Results http://www.tga.gov.au/ws-labs-index and periodically in testing reports on the TGA website.</w:t>
      </w:r>
    </w:p>
    <w:p w14:paraId="4740516D" w14:textId="77777777" w:rsidR="008E5B62" w:rsidRDefault="008E5B62" w:rsidP="008E5B62">
      <w:pPr>
        <w:pStyle w:val="Heading5"/>
      </w:pPr>
      <w:r>
        <w:t>Certified Product Details</w:t>
      </w:r>
    </w:p>
    <w:p w14:paraId="09809938" w14:textId="11140BBB" w:rsidR="008E5B62" w:rsidRDefault="008E5B62" w:rsidP="008E5B62">
      <w:pPr>
        <w:pStyle w:val="ListBullet"/>
      </w:pPr>
      <w:r>
        <w:t>The</w:t>
      </w:r>
      <w:r w:rsidR="00DC0A2E">
        <w:t xml:space="preserve"> CPD</w:t>
      </w:r>
      <w:r>
        <w:t xml:space="preserve">, as described in Guidance 7: Certified Product Details of the Australian Regulatory Guidelines for Prescription Medicines (ARGPM) </w:t>
      </w:r>
      <w:r w:rsidR="00DC0A2E">
        <w:t>(</w:t>
      </w:r>
      <w:r>
        <w:t>http://www.tga.gov.au/i</w:t>
      </w:r>
      <w:r w:rsidR="00DC0A2E">
        <w:t>ndustry/pm-argpm-guidance-7.htm)</w:t>
      </w:r>
      <w:r>
        <w:t>, in PDF format, for the above products should be provided upon registration of these therapeutic goods. In addition, an updated CPD should be provided when changes to finished product specifications and test methods are approved in a Category 3 application or notified through a self-assessable change.</w:t>
      </w:r>
      <w:r w:rsidR="00644AEA">
        <w:rPr>
          <w:rStyle w:val="FootnoteReference"/>
        </w:rPr>
        <w:footnoteReference w:id="4"/>
      </w:r>
      <w:r>
        <w:t xml:space="preserve"> The CPD should be emailed to Biochemistry.Testing@health.gov.au as a single PDF document.</w:t>
      </w:r>
    </w:p>
    <w:p w14:paraId="2582ABEC" w14:textId="77777777" w:rsidR="008E7846" w:rsidRDefault="008E7846" w:rsidP="008E7846">
      <w:pPr>
        <w:pStyle w:val="Heading3"/>
      </w:pPr>
      <w:bookmarkStart w:id="34" w:name="_Toc314842512"/>
      <w:bookmarkStart w:id="35" w:name="_Toc63088095"/>
      <w:r>
        <w:t>Nonclinical</w:t>
      </w:r>
      <w:bookmarkEnd w:id="34"/>
      <w:bookmarkEnd w:id="35"/>
    </w:p>
    <w:p w14:paraId="210A4784" w14:textId="023B0E35" w:rsidR="00A72019" w:rsidRPr="00A72019" w:rsidRDefault="00A72019" w:rsidP="00A72019">
      <w:r>
        <w:t>T</w:t>
      </w:r>
      <w:r w:rsidRPr="00A72019">
        <w:t>he nonclinical evaluator had no objections to the registration of T</w:t>
      </w:r>
      <w:r>
        <w:t>errosa on the conditions that the</w:t>
      </w:r>
      <w:r w:rsidRPr="00A72019">
        <w:t xml:space="preserve"> EU-sourced </w:t>
      </w:r>
      <w:proofErr w:type="spellStart"/>
      <w:r w:rsidRPr="00A72019">
        <w:t>F</w:t>
      </w:r>
      <w:r>
        <w:t>orsteo</w:t>
      </w:r>
      <w:proofErr w:type="spellEnd"/>
      <w:r w:rsidRPr="00A72019">
        <w:t xml:space="preserve"> is considered to be identical or highly comparable to Australian</w:t>
      </w:r>
      <w:r w:rsidR="000F41DE">
        <w:t>-sourced</w:t>
      </w:r>
      <w:r w:rsidRPr="00A72019">
        <w:t xml:space="preserve"> </w:t>
      </w:r>
      <w:proofErr w:type="spellStart"/>
      <w:r w:rsidRPr="00A72019">
        <w:t>F</w:t>
      </w:r>
      <w:r>
        <w:t>orteo</w:t>
      </w:r>
      <w:proofErr w:type="spellEnd"/>
      <w:r w:rsidRPr="00A72019">
        <w:t>. Overall, the nonclinical program provided sufficient evidence for no clinically relevant differences between T</w:t>
      </w:r>
      <w:r>
        <w:t>errosa</w:t>
      </w:r>
      <w:r w:rsidRPr="00A72019">
        <w:t xml:space="preserve"> and EU</w:t>
      </w:r>
      <w:r w:rsidR="000F41DE">
        <w:t>-sourced</w:t>
      </w:r>
      <w:r w:rsidRPr="00A72019">
        <w:t xml:space="preserve"> </w:t>
      </w:r>
      <w:proofErr w:type="spellStart"/>
      <w:r w:rsidRPr="00A72019">
        <w:t>F</w:t>
      </w:r>
      <w:r>
        <w:t>orsteo</w:t>
      </w:r>
      <w:proofErr w:type="spellEnd"/>
      <w:r w:rsidRPr="00A72019">
        <w:t>.</w:t>
      </w:r>
    </w:p>
    <w:p w14:paraId="22665112" w14:textId="520FB06F" w:rsidR="00A72019" w:rsidRPr="00A72019" w:rsidRDefault="00A72019" w:rsidP="00A72019">
      <w:r w:rsidRPr="00A72019">
        <w:t>The nonclinical dossier contained comparative studies on pharmacology, pharmacokinetics and repeat-dose toxicity. The scope of the nonclinical program was adequate under the re</w:t>
      </w:r>
      <w:r>
        <w:t>levant TGA adopted EU guideline.</w:t>
      </w:r>
      <w:r>
        <w:rPr>
          <w:rStyle w:val="FootnoteReference"/>
        </w:rPr>
        <w:footnoteReference w:id="5"/>
      </w:r>
      <w:r w:rsidRPr="00A72019">
        <w:t xml:space="preserve"> The toxicity study was </w:t>
      </w:r>
      <w:r w:rsidR="00644AEA">
        <w:t>G</w:t>
      </w:r>
      <w:r w:rsidRPr="00A72019">
        <w:t xml:space="preserve">ood </w:t>
      </w:r>
      <w:r w:rsidR="00644AEA">
        <w:t>L</w:t>
      </w:r>
      <w:r w:rsidRPr="00A72019">
        <w:t xml:space="preserve">aboratory </w:t>
      </w:r>
      <w:r w:rsidR="00644AEA">
        <w:t>P</w:t>
      </w:r>
      <w:r w:rsidRPr="00A72019">
        <w:t>ractice</w:t>
      </w:r>
      <w:r>
        <w:t xml:space="preserve"> (</w:t>
      </w:r>
      <w:r w:rsidRPr="00A72019">
        <w:t>GLP</w:t>
      </w:r>
      <w:r>
        <w:t>)</w:t>
      </w:r>
      <w:r w:rsidRPr="00A72019">
        <w:t xml:space="preserve">-compliant. The studies were conducted using EU sourced </w:t>
      </w:r>
      <w:proofErr w:type="spellStart"/>
      <w:r w:rsidRPr="00A72019">
        <w:t>F</w:t>
      </w:r>
      <w:r>
        <w:t>orsteo</w:t>
      </w:r>
      <w:proofErr w:type="spellEnd"/>
      <w:r>
        <w:t xml:space="preserve"> as the reference product.</w:t>
      </w:r>
    </w:p>
    <w:p w14:paraId="4A40E945" w14:textId="77777777" w:rsidR="00A72019" w:rsidRPr="00A72019" w:rsidRDefault="00A72019" w:rsidP="00A72019">
      <w:r w:rsidRPr="00A72019">
        <w:t>The T</w:t>
      </w:r>
      <w:r>
        <w:t>errosa</w:t>
      </w:r>
      <w:r w:rsidRPr="00A72019">
        <w:t xml:space="preserve"> and EU </w:t>
      </w:r>
      <w:proofErr w:type="spellStart"/>
      <w:r w:rsidRPr="00A72019">
        <w:t>F</w:t>
      </w:r>
      <w:r>
        <w:t>orsteo</w:t>
      </w:r>
      <w:proofErr w:type="spellEnd"/>
      <w:r w:rsidRPr="00A72019">
        <w:t xml:space="preserve"> forms of teriparatide showed highly comparable pharmacological activity in terms of their binding affinity (to recombinant human </w:t>
      </w:r>
      <w:r>
        <w:t>parathyroid hormone receptor 1 (PTHR1)</w:t>
      </w:r>
      <w:r w:rsidRPr="00A72019">
        <w:t>) and functional potency (as stimulation of PTHR1-m</w:t>
      </w:r>
      <w:r>
        <w:t>ediated c</w:t>
      </w:r>
      <w:r w:rsidRPr="00A72019">
        <w:t xml:space="preserve">yclic adenosine monophosphate </w:t>
      </w:r>
      <w:r>
        <w:t>(</w:t>
      </w:r>
      <w:proofErr w:type="spellStart"/>
      <w:r>
        <w:t>cAMP</w:t>
      </w:r>
      <w:proofErr w:type="spellEnd"/>
      <w:r>
        <w:t>) production in rat (UMR-106) and human (Saos-2)</w:t>
      </w:r>
      <w:r w:rsidRPr="00A72019">
        <w:t xml:space="preserve"> osteosarcoma cell lines) </w:t>
      </w:r>
      <w:r w:rsidRPr="00A72019">
        <w:rPr>
          <w:i/>
        </w:rPr>
        <w:t>in vitro</w:t>
      </w:r>
      <w:r w:rsidRPr="00A72019">
        <w:t>.</w:t>
      </w:r>
    </w:p>
    <w:p w14:paraId="3741CBB7" w14:textId="1634B2C9" w:rsidR="00A72019" w:rsidRPr="00A72019" w:rsidRDefault="00A72019" w:rsidP="00A72019">
      <w:r w:rsidRPr="00A72019">
        <w:t xml:space="preserve">Comparative </w:t>
      </w:r>
      <w:r w:rsidRPr="00A72019">
        <w:rPr>
          <w:i/>
        </w:rPr>
        <w:t>in vivo</w:t>
      </w:r>
      <w:r w:rsidRPr="00A72019">
        <w:t xml:space="preserve"> pharmacology and repeat-dose toxicity </w:t>
      </w:r>
      <w:r>
        <w:t>studies, involving once daily s</w:t>
      </w:r>
      <w:r w:rsidRPr="00A72019">
        <w:t>ubcutaneous</w:t>
      </w:r>
      <w:r>
        <w:t xml:space="preserve"> (SC)</w:t>
      </w:r>
      <w:r w:rsidRPr="00A72019">
        <w:t xml:space="preserve"> injection for 4 weeks, were performed in rats. Effects on bone and other endpoints were seen to be comparable between T</w:t>
      </w:r>
      <w:r w:rsidR="000D03A8">
        <w:t>errosa</w:t>
      </w:r>
      <w:r w:rsidRPr="00A72019">
        <w:t xml:space="preserve"> and EU</w:t>
      </w:r>
      <w:r w:rsidR="000F41DE">
        <w:t>-sourced</w:t>
      </w:r>
      <w:r w:rsidRPr="00A72019">
        <w:t xml:space="preserve"> </w:t>
      </w:r>
      <w:proofErr w:type="spellStart"/>
      <w:r w:rsidRPr="00A72019">
        <w:t>F</w:t>
      </w:r>
      <w:r w:rsidR="000D03A8">
        <w:t>orsteo</w:t>
      </w:r>
      <w:proofErr w:type="spellEnd"/>
      <w:r w:rsidRPr="00A72019">
        <w:t xml:space="preserve"> in the repeat-dose toxicity study. Statistically significant greater increases in bone slice area and b</w:t>
      </w:r>
      <w:r w:rsidR="00DC0A2E">
        <w:t>one mineral content but not</w:t>
      </w:r>
      <w:r w:rsidR="000D03A8" w:rsidRPr="000D03A8">
        <w:t xml:space="preserve"> </w:t>
      </w:r>
      <w:r w:rsidR="00DC0A2E">
        <w:t>BMD</w:t>
      </w:r>
      <w:r w:rsidRPr="00A72019">
        <w:t xml:space="preserve"> were observed with T</w:t>
      </w:r>
      <w:r w:rsidR="000D03A8">
        <w:t>errosa compare</w:t>
      </w:r>
      <w:r w:rsidR="001F7A82">
        <w:t>d</w:t>
      </w:r>
      <w:r w:rsidR="000D03A8">
        <w:t xml:space="preserve"> to</w:t>
      </w:r>
      <w:r w:rsidRPr="00A72019">
        <w:t xml:space="preserve"> EU</w:t>
      </w:r>
      <w:r w:rsidR="000F41DE">
        <w:noBreakHyphen/>
        <w:t>sourced</w:t>
      </w:r>
      <w:r w:rsidRPr="00A72019">
        <w:t xml:space="preserve"> </w:t>
      </w:r>
      <w:proofErr w:type="spellStart"/>
      <w:r w:rsidRPr="00A72019">
        <w:t>F</w:t>
      </w:r>
      <w:r w:rsidR="000D03A8">
        <w:t>orsteo</w:t>
      </w:r>
      <w:proofErr w:type="spellEnd"/>
      <w:r w:rsidR="000D03A8">
        <w:t xml:space="preserve"> in the pharmacology study. H</w:t>
      </w:r>
      <w:r w:rsidRPr="00A72019">
        <w:t>owever, this occurred in the context of apparent higher drug exposure, at only one of the tested dose levels, and the magnitude of the differences was modest. BMD is considered to be the most clinically relevant endpoint, and this was highly similar between teriparatide forms.</w:t>
      </w:r>
    </w:p>
    <w:p w14:paraId="7231088A" w14:textId="57340FBE" w:rsidR="00A72019" w:rsidRPr="00A72019" w:rsidRDefault="00A72019" w:rsidP="00A72019">
      <w:r w:rsidRPr="00A72019">
        <w:t>A definitive conclusion on the comparability of the pharmacokinetic profiles of the T</w:t>
      </w:r>
      <w:r w:rsidR="000D03A8">
        <w:t>errosa</w:t>
      </w:r>
      <w:r w:rsidRPr="00A72019">
        <w:t xml:space="preserve"> and EU</w:t>
      </w:r>
      <w:r w:rsidR="000F41DE">
        <w:noBreakHyphen/>
        <w:t>sourced</w:t>
      </w:r>
      <w:r w:rsidRPr="00A72019">
        <w:t xml:space="preserve"> </w:t>
      </w:r>
      <w:proofErr w:type="spellStart"/>
      <w:r w:rsidRPr="00A72019">
        <w:t>F</w:t>
      </w:r>
      <w:r w:rsidR="000D03A8">
        <w:t>orsteo</w:t>
      </w:r>
      <w:proofErr w:type="spellEnd"/>
      <w:r w:rsidRPr="00A72019">
        <w:t xml:space="preserve"> forms of teriparatide in rats cannot be made due to limited sampling and high inter-animal variation. With bioequivalence to be established from human data, this is not of concern.</w:t>
      </w:r>
    </w:p>
    <w:p w14:paraId="5E2186E6" w14:textId="502817E1" w:rsidR="00A72019" w:rsidRPr="00A72019" w:rsidRDefault="00A72019" w:rsidP="00A72019">
      <w:r w:rsidRPr="00A72019">
        <w:t>The nonclinical evaluator noted that multiple contraindications do not match those of the Australian PI</w:t>
      </w:r>
      <w:r w:rsidR="00337218">
        <w:t xml:space="preserve"> for </w:t>
      </w:r>
      <w:proofErr w:type="spellStart"/>
      <w:r w:rsidR="00337218">
        <w:t>Forteo</w:t>
      </w:r>
      <w:proofErr w:type="spellEnd"/>
      <w:r w:rsidRPr="00A72019">
        <w:t>.</w:t>
      </w:r>
      <w:r w:rsidR="00DA1A9F">
        <w:rPr>
          <w:rStyle w:val="FootnoteReference"/>
        </w:rPr>
        <w:footnoteReference w:id="6"/>
      </w:r>
    </w:p>
    <w:p w14:paraId="47410DA1" w14:textId="77777777" w:rsidR="008E7846" w:rsidRDefault="008E7846" w:rsidP="008E7846">
      <w:pPr>
        <w:pStyle w:val="Heading3"/>
      </w:pPr>
      <w:bookmarkStart w:id="36" w:name="_Toc247691530"/>
      <w:bookmarkStart w:id="37" w:name="_Toc314842513"/>
      <w:bookmarkStart w:id="38" w:name="_Toc63088096"/>
      <w:r>
        <w:t>Clinical</w:t>
      </w:r>
      <w:bookmarkEnd w:id="36"/>
      <w:bookmarkEnd w:id="37"/>
      <w:bookmarkEnd w:id="38"/>
    </w:p>
    <w:p w14:paraId="25B4BECB" w14:textId="7E18126E" w:rsidR="007B6132" w:rsidRPr="00E035CB" w:rsidRDefault="000D03A8" w:rsidP="000D03A8">
      <w:bookmarkStart w:id="39" w:name="_Toc314842514"/>
      <w:r w:rsidRPr="00E035CB">
        <w:t>The clinical dossier contains</w:t>
      </w:r>
      <w:r w:rsidR="000F41DE">
        <w:t>:</w:t>
      </w:r>
    </w:p>
    <w:p w14:paraId="6CE2FF40" w14:textId="0282A72F" w:rsidR="00E035CB" w:rsidRPr="00E035CB" w:rsidRDefault="000F41DE" w:rsidP="00E035CB">
      <w:pPr>
        <w:pStyle w:val="ListBullet"/>
      </w:pPr>
      <w:r>
        <w:t>o</w:t>
      </w:r>
      <w:r w:rsidR="00E035CB" w:rsidRPr="00E035CB">
        <w:t xml:space="preserve">ne Phase I </w:t>
      </w:r>
      <w:r w:rsidR="007F5B17">
        <w:t>comparative pharmacokinetics/pharmacodynamics</w:t>
      </w:r>
      <w:r w:rsidR="00E035CB" w:rsidRPr="00E035CB">
        <w:t xml:space="preserve"> study</w:t>
      </w:r>
      <w:r>
        <w:t>; and</w:t>
      </w:r>
    </w:p>
    <w:p w14:paraId="53B81C03" w14:textId="08E7C9C3" w:rsidR="00E035CB" w:rsidRPr="00E035CB" w:rsidRDefault="000F41DE" w:rsidP="00DD01EA">
      <w:pPr>
        <w:pStyle w:val="ListBullet"/>
      </w:pPr>
      <w:r>
        <w:t>o</w:t>
      </w:r>
      <w:r w:rsidR="00E035CB" w:rsidRPr="00E035CB">
        <w:t>ne Phase III comparative efficacy/safety study</w:t>
      </w:r>
      <w:r>
        <w:t>.</w:t>
      </w:r>
    </w:p>
    <w:p w14:paraId="30DBA71A" w14:textId="4C24C9DE" w:rsidR="000D03A8" w:rsidRDefault="000D03A8" w:rsidP="00E035CB">
      <w:pPr>
        <w:pStyle w:val="ListBullet"/>
        <w:numPr>
          <w:ilvl w:val="0"/>
          <w:numId w:val="0"/>
        </w:numPr>
      </w:pPr>
      <w:r>
        <w:t>The c</w:t>
      </w:r>
      <w:r w:rsidRPr="000D03A8">
        <w:t xml:space="preserve">linical evaluator raised no objections to the approval of the product. The benefit-risk balance for treatment with the biosimilar product by comparison with the existing available teriparatide product </w:t>
      </w:r>
      <w:proofErr w:type="spellStart"/>
      <w:r w:rsidRPr="000D03A8">
        <w:t>Forteo</w:t>
      </w:r>
      <w:proofErr w:type="spellEnd"/>
      <w:r w:rsidRPr="000D03A8">
        <w:t xml:space="preserve"> was considered neutral. The benefit-risk balance of teriparatide for the approved indications is unchanged. The submission included a single </w:t>
      </w:r>
      <w:r>
        <w:t>dose pharmaco</w:t>
      </w:r>
      <w:r w:rsidRPr="000D03A8">
        <w:t>k</w:t>
      </w:r>
      <w:r>
        <w:t>inetic (PK)</w:t>
      </w:r>
      <w:r w:rsidRPr="000D03A8">
        <w:t xml:space="preserve"> study and one pivotal study of efficacy and safety in patients with osteoporosis who were </w:t>
      </w:r>
      <w:r>
        <w:t xml:space="preserve">at high risk of fracture. </w:t>
      </w:r>
      <w:r>
        <w:fldChar w:fldCharType="begin"/>
      </w:r>
      <w:r>
        <w:instrText xml:space="preserve"> REF _Ref60740365 \h </w:instrText>
      </w:r>
      <w:r>
        <w:fldChar w:fldCharType="separate"/>
      </w:r>
      <w:r w:rsidR="00B72ABE" w:rsidRPr="000D03A8">
        <w:t xml:space="preserve">Table </w:t>
      </w:r>
      <w:r w:rsidR="00B72ABE">
        <w:rPr>
          <w:noProof/>
        </w:rPr>
        <w:t>3</w:t>
      </w:r>
      <w:r>
        <w:fldChar w:fldCharType="end"/>
      </w:r>
      <w:r w:rsidRPr="000D03A8">
        <w:t xml:space="preserve"> summarises the clinical development program for T</w:t>
      </w:r>
      <w:r>
        <w:t>errosa</w:t>
      </w:r>
      <w:r w:rsidRPr="000D03A8">
        <w:t>.</w:t>
      </w:r>
    </w:p>
    <w:p w14:paraId="75A64B43" w14:textId="03127BFD" w:rsidR="000D03A8" w:rsidRPr="000D03A8" w:rsidRDefault="000D03A8" w:rsidP="000D03A8">
      <w:pPr>
        <w:pStyle w:val="TableTitle"/>
      </w:pPr>
      <w:bookmarkStart w:id="40" w:name="_Ref60740365"/>
      <w:r w:rsidRPr="000D03A8">
        <w:t xml:space="preserve">Table </w:t>
      </w:r>
      <w:r w:rsidR="00F14D69">
        <w:fldChar w:fldCharType="begin"/>
      </w:r>
      <w:r w:rsidR="00F14D69">
        <w:instrText xml:space="preserve"> SEQ Table \* ARABIC </w:instrText>
      </w:r>
      <w:r w:rsidR="00F14D69">
        <w:fldChar w:fldCharType="separate"/>
      </w:r>
      <w:r w:rsidR="00B72ABE">
        <w:rPr>
          <w:noProof/>
        </w:rPr>
        <w:t>3</w:t>
      </w:r>
      <w:r w:rsidR="00F14D69">
        <w:rPr>
          <w:noProof/>
        </w:rPr>
        <w:fldChar w:fldCharType="end"/>
      </w:r>
      <w:bookmarkEnd w:id="40"/>
      <w:r w:rsidRPr="000D03A8">
        <w:t xml:space="preserve">: Clinical </w:t>
      </w:r>
      <w:r>
        <w:t>development program for Terrosa</w:t>
      </w:r>
    </w:p>
    <w:tbl>
      <w:tblPr>
        <w:tblStyle w:val="TableTGAblue"/>
        <w:tblW w:w="5000" w:type="pct"/>
        <w:tblLayout w:type="fixed"/>
        <w:tblLook w:val="04A0" w:firstRow="1" w:lastRow="0" w:firstColumn="1" w:lastColumn="0" w:noHBand="0" w:noVBand="1"/>
      </w:tblPr>
      <w:tblGrid>
        <w:gridCol w:w="1098"/>
        <w:gridCol w:w="1266"/>
        <w:gridCol w:w="1439"/>
        <w:gridCol w:w="1256"/>
        <w:gridCol w:w="1441"/>
        <w:gridCol w:w="1259"/>
        <w:gridCol w:w="961"/>
      </w:tblGrid>
      <w:tr w:rsidR="0082390B" w:rsidRPr="000A546D" w14:paraId="46C842C5" w14:textId="77777777" w:rsidTr="0091331D">
        <w:trPr>
          <w:cnfStyle w:val="100000000000" w:firstRow="1" w:lastRow="0" w:firstColumn="0" w:lastColumn="0" w:oddVBand="0" w:evenVBand="0" w:oddHBand="0" w:evenHBand="0" w:firstRowFirstColumn="0" w:firstRowLastColumn="0" w:lastRowFirstColumn="0" w:lastRowLastColumn="0"/>
        </w:trPr>
        <w:tc>
          <w:tcPr>
            <w:tcW w:w="630" w:type="pct"/>
            <w:tcBorders>
              <w:top w:val="single" w:sz="4" w:space="0" w:color="auto"/>
              <w:left w:val="single" w:sz="4" w:space="0" w:color="auto"/>
              <w:bottom w:val="single" w:sz="4" w:space="0" w:color="auto"/>
              <w:right w:val="single" w:sz="4" w:space="0" w:color="auto"/>
            </w:tcBorders>
          </w:tcPr>
          <w:p w14:paraId="07A239BC" w14:textId="77777777" w:rsidR="000D03A8" w:rsidRPr="000A546D" w:rsidRDefault="000D03A8" w:rsidP="0091331D">
            <w:pPr>
              <w:ind w:left="0" w:right="0"/>
              <w:rPr>
                <w:sz w:val="20"/>
                <w:szCs w:val="20"/>
              </w:rPr>
            </w:pPr>
            <w:r w:rsidRPr="000A546D">
              <w:rPr>
                <w:sz w:val="20"/>
                <w:szCs w:val="20"/>
              </w:rPr>
              <w:t>Study No.</w:t>
            </w:r>
          </w:p>
        </w:tc>
        <w:tc>
          <w:tcPr>
            <w:tcW w:w="726" w:type="pct"/>
            <w:tcBorders>
              <w:top w:val="single" w:sz="4" w:space="0" w:color="auto"/>
              <w:left w:val="single" w:sz="4" w:space="0" w:color="auto"/>
              <w:bottom w:val="single" w:sz="4" w:space="0" w:color="auto"/>
              <w:right w:val="single" w:sz="4" w:space="0" w:color="auto"/>
            </w:tcBorders>
          </w:tcPr>
          <w:p w14:paraId="758DA674" w14:textId="77777777" w:rsidR="000D03A8" w:rsidRPr="000A546D" w:rsidRDefault="000D03A8" w:rsidP="0091331D">
            <w:pPr>
              <w:ind w:left="0" w:right="0"/>
              <w:rPr>
                <w:sz w:val="20"/>
                <w:szCs w:val="20"/>
              </w:rPr>
            </w:pPr>
            <w:r w:rsidRPr="000A546D">
              <w:rPr>
                <w:sz w:val="20"/>
                <w:szCs w:val="20"/>
              </w:rPr>
              <w:t>Study type</w:t>
            </w:r>
          </w:p>
        </w:tc>
        <w:tc>
          <w:tcPr>
            <w:tcW w:w="825" w:type="pct"/>
            <w:tcBorders>
              <w:top w:val="single" w:sz="4" w:space="0" w:color="auto"/>
              <w:left w:val="single" w:sz="4" w:space="0" w:color="auto"/>
              <w:bottom w:val="single" w:sz="4" w:space="0" w:color="auto"/>
              <w:right w:val="single" w:sz="4" w:space="0" w:color="auto"/>
            </w:tcBorders>
          </w:tcPr>
          <w:p w14:paraId="5637A314" w14:textId="010C526B" w:rsidR="000D03A8" w:rsidRPr="000A546D" w:rsidRDefault="000D03A8" w:rsidP="0091331D">
            <w:pPr>
              <w:ind w:left="0" w:right="0"/>
              <w:rPr>
                <w:sz w:val="20"/>
                <w:szCs w:val="20"/>
              </w:rPr>
            </w:pPr>
            <w:r w:rsidRPr="000A546D">
              <w:rPr>
                <w:sz w:val="20"/>
                <w:szCs w:val="20"/>
              </w:rPr>
              <w:t>Subject</w:t>
            </w:r>
            <w:r w:rsidR="0082390B">
              <w:rPr>
                <w:sz w:val="20"/>
                <w:szCs w:val="20"/>
              </w:rPr>
              <w:t xml:space="preserve"> </w:t>
            </w:r>
            <w:r w:rsidRPr="000A546D">
              <w:rPr>
                <w:sz w:val="20"/>
                <w:szCs w:val="20"/>
              </w:rPr>
              <w:t>/</w:t>
            </w:r>
            <w:r w:rsidR="0082390B">
              <w:rPr>
                <w:sz w:val="20"/>
                <w:szCs w:val="20"/>
              </w:rPr>
              <w:t xml:space="preserve"> </w:t>
            </w:r>
            <w:r w:rsidRPr="000A546D">
              <w:rPr>
                <w:sz w:val="20"/>
                <w:szCs w:val="20"/>
              </w:rPr>
              <w:t>patient type</w:t>
            </w:r>
          </w:p>
        </w:tc>
        <w:tc>
          <w:tcPr>
            <w:tcW w:w="720" w:type="pct"/>
            <w:tcBorders>
              <w:top w:val="single" w:sz="4" w:space="0" w:color="auto"/>
              <w:left w:val="single" w:sz="4" w:space="0" w:color="auto"/>
              <w:bottom w:val="single" w:sz="4" w:space="0" w:color="auto"/>
              <w:right w:val="single" w:sz="4" w:space="0" w:color="auto"/>
            </w:tcBorders>
          </w:tcPr>
          <w:p w14:paraId="2F7828AF" w14:textId="5397E0F1" w:rsidR="000D03A8" w:rsidRPr="000A546D" w:rsidRDefault="000D03A8" w:rsidP="0091331D">
            <w:pPr>
              <w:ind w:left="0" w:right="0"/>
              <w:rPr>
                <w:sz w:val="20"/>
                <w:szCs w:val="20"/>
              </w:rPr>
            </w:pPr>
            <w:r w:rsidRPr="000A546D">
              <w:rPr>
                <w:sz w:val="20"/>
                <w:szCs w:val="20"/>
              </w:rPr>
              <w:t>T</w:t>
            </w:r>
            <w:r w:rsidR="0082390B" w:rsidRPr="000A546D">
              <w:rPr>
                <w:sz w:val="20"/>
                <w:szCs w:val="20"/>
              </w:rPr>
              <w:t>errosa</w:t>
            </w:r>
          </w:p>
        </w:tc>
        <w:tc>
          <w:tcPr>
            <w:tcW w:w="826" w:type="pct"/>
            <w:tcBorders>
              <w:top w:val="single" w:sz="4" w:space="0" w:color="auto"/>
              <w:left w:val="single" w:sz="4" w:space="0" w:color="auto"/>
              <w:bottom w:val="single" w:sz="4" w:space="0" w:color="auto"/>
              <w:right w:val="single" w:sz="4" w:space="0" w:color="auto"/>
            </w:tcBorders>
          </w:tcPr>
          <w:p w14:paraId="2FBD8310" w14:textId="714DFE00" w:rsidR="000D03A8" w:rsidRPr="0091331D" w:rsidRDefault="000D03A8" w:rsidP="0091331D">
            <w:pPr>
              <w:ind w:left="0" w:right="0"/>
              <w:rPr>
                <w:sz w:val="20"/>
                <w:szCs w:val="20"/>
                <w:vertAlign w:val="superscript"/>
              </w:rPr>
            </w:pPr>
            <w:r w:rsidRPr="000A546D">
              <w:rPr>
                <w:sz w:val="20"/>
                <w:szCs w:val="20"/>
              </w:rPr>
              <w:t xml:space="preserve">Comparator </w:t>
            </w:r>
          </w:p>
        </w:tc>
        <w:tc>
          <w:tcPr>
            <w:tcW w:w="722" w:type="pct"/>
            <w:tcBorders>
              <w:top w:val="single" w:sz="4" w:space="0" w:color="auto"/>
              <w:left w:val="single" w:sz="4" w:space="0" w:color="auto"/>
              <w:bottom w:val="single" w:sz="4" w:space="0" w:color="auto"/>
              <w:right w:val="single" w:sz="4" w:space="0" w:color="auto"/>
            </w:tcBorders>
          </w:tcPr>
          <w:p w14:paraId="1459CD37" w14:textId="77777777" w:rsidR="000D03A8" w:rsidRPr="000A546D" w:rsidRDefault="000D03A8" w:rsidP="0091331D">
            <w:pPr>
              <w:ind w:left="0" w:right="0"/>
              <w:rPr>
                <w:sz w:val="20"/>
                <w:szCs w:val="20"/>
              </w:rPr>
            </w:pPr>
            <w:r w:rsidRPr="000A546D">
              <w:rPr>
                <w:sz w:val="20"/>
                <w:szCs w:val="20"/>
              </w:rPr>
              <w:t>Treatment duration</w:t>
            </w:r>
          </w:p>
        </w:tc>
        <w:tc>
          <w:tcPr>
            <w:tcW w:w="551" w:type="pct"/>
            <w:tcBorders>
              <w:top w:val="single" w:sz="4" w:space="0" w:color="auto"/>
              <w:left w:val="single" w:sz="4" w:space="0" w:color="auto"/>
              <w:bottom w:val="single" w:sz="4" w:space="0" w:color="auto"/>
              <w:right w:val="single" w:sz="4" w:space="0" w:color="auto"/>
            </w:tcBorders>
          </w:tcPr>
          <w:p w14:paraId="542266A2" w14:textId="77777777" w:rsidR="000D03A8" w:rsidRPr="000A546D" w:rsidRDefault="000D03A8" w:rsidP="0091331D">
            <w:pPr>
              <w:ind w:left="0" w:right="0"/>
              <w:rPr>
                <w:sz w:val="20"/>
                <w:szCs w:val="20"/>
              </w:rPr>
            </w:pPr>
            <w:r w:rsidRPr="000A546D">
              <w:rPr>
                <w:sz w:val="20"/>
                <w:szCs w:val="20"/>
              </w:rPr>
              <w:t>No. treated</w:t>
            </w:r>
          </w:p>
        </w:tc>
      </w:tr>
      <w:tr w:rsidR="0082390B" w:rsidRPr="000A546D" w14:paraId="051F0B90" w14:textId="77777777" w:rsidTr="0091331D">
        <w:tc>
          <w:tcPr>
            <w:tcW w:w="630" w:type="pct"/>
            <w:tcBorders>
              <w:top w:val="single" w:sz="4" w:space="0" w:color="auto"/>
            </w:tcBorders>
          </w:tcPr>
          <w:p w14:paraId="0BB66B51" w14:textId="77777777" w:rsidR="000D03A8" w:rsidRPr="0082390B" w:rsidRDefault="000D03A8" w:rsidP="0091331D">
            <w:pPr>
              <w:ind w:left="0" w:right="0"/>
              <w:rPr>
                <w:sz w:val="20"/>
                <w:szCs w:val="20"/>
              </w:rPr>
            </w:pPr>
            <w:r w:rsidRPr="0082390B">
              <w:rPr>
                <w:sz w:val="20"/>
                <w:szCs w:val="20"/>
              </w:rPr>
              <w:t>RGB-10-001</w:t>
            </w:r>
          </w:p>
        </w:tc>
        <w:tc>
          <w:tcPr>
            <w:tcW w:w="726" w:type="pct"/>
            <w:tcBorders>
              <w:top w:val="single" w:sz="4" w:space="0" w:color="auto"/>
            </w:tcBorders>
          </w:tcPr>
          <w:p w14:paraId="703FBD8B" w14:textId="77777777" w:rsidR="000D03A8" w:rsidRPr="0082390B" w:rsidRDefault="000D03A8" w:rsidP="0091331D">
            <w:pPr>
              <w:ind w:left="0" w:right="0"/>
              <w:rPr>
                <w:sz w:val="20"/>
                <w:szCs w:val="20"/>
              </w:rPr>
            </w:pPr>
            <w:r w:rsidRPr="0082390B">
              <w:rPr>
                <w:sz w:val="20"/>
                <w:szCs w:val="20"/>
              </w:rPr>
              <w:t>Equivalence</w:t>
            </w:r>
          </w:p>
        </w:tc>
        <w:tc>
          <w:tcPr>
            <w:tcW w:w="825" w:type="pct"/>
            <w:tcBorders>
              <w:top w:val="single" w:sz="4" w:space="0" w:color="auto"/>
            </w:tcBorders>
          </w:tcPr>
          <w:p w14:paraId="58576366" w14:textId="5E9027DF" w:rsidR="000D03A8" w:rsidRPr="0082390B" w:rsidRDefault="000D03A8" w:rsidP="0091331D">
            <w:pPr>
              <w:ind w:left="0" w:right="0"/>
              <w:rPr>
                <w:sz w:val="20"/>
                <w:szCs w:val="20"/>
              </w:rPr>
            </w:pPr>
            <w:r w:rsidRPr="0082390B">
              <w:rPr>
                <w:sz w:val="20"/>
                <w:szCs w:val="20"/>
              </w:rPr>
              <w:t>Healthy adult female pre</w:t>
            </w:r>
            <w:r w:rsidR="0082390B">
              <w:rPr>
                <w:sz w:val="20"/>
                <w:szCs w:val="20"/>
              </w:rPr>
              <w:t>-</w:t>
            </w:r>
            <w:r w:rsidRPr="0082390B">
              <w:rPr>
                <w:sz w:val="20"/>
                <w:szCs w:val="20"/>
              </w:rPr>
              <w:t>menopausal subjects</w:t>
            </w:r>
          </w:p>
        </w:tc>
        <w:tc>
          <w:tcPr>
            <w:tcW w:w="720" w:type="pct"/>
            <w:tcBorders>
              <w:top w:val="single" w:sz="4" w:space="0" w:color="auto"/>
            </w:tcBorders>
          </w:tcPr>
          <w:p w14:paraId="2B8D1B18" w14:textId="65B199EF" w:rsidR="000D03A8" w:rsidRPr="0082390B" w:rsidRDefault="000D03A8" w:rsidP="0091331D">
            <w:pPr>
              <w:ind w:left="0" w:right="0"/>
              <w:rPr>
                <w:sz w:val="20"/>
                <w:szCs w:val="20"/>
              </w:rPr>
            </w:pPr>
            <w:r w:rsidRPr="0082390B">
              <w:rPr>
                <w:sz w:val="20"/>
                <w:szCs w:val="20"/>
              </w:rPr>
              <w:t xml:space="preserve">Single dose </w:t>
            </w:r>
            <w:r w:rsidR="00E21189" w:rsidRPr="0082390B">
              <w:rPr>
                <w:sz w:val="20"/>
                <w:szCs w:val="20"/>
              </w:rPr>
              <w:t>SC 20</w:t>
            </w:r>
            <w:r w:rsidR="0082390B">
              <w:rPr>
                <w:sz w:val="20"/>
                <w:szCs w:val="20"/>
              </w:rPr>
              <w:t> </w:t>
            </w:r>
            <w:r w:rsidR="00E21189" w:rsidRPr="0082390B">
              <w:rPr>
                <w:sz w:val="20"/>
                <w:szCs w:val="20"/>
              </w:rPr>
              <w:t>µg</w:t>
            </w:r>
            <w:r w:rsidR="0082390B">
              <w:rPr>
                <w:sz w:val="20"/>
                <w:szCs w:val="20"/>
              </w:rPr>
              <w:t xml:space="preserve"> </w:t>
            </w:r>
            <w:r w:rsidR="00E21189" w:rsidRPr="0082390B">
              <w:rPr>
                <w:sz w:val="20"/>
                <w:szCs w:val="20"/>
              </w:rPr>
              <w:t>/</w:t>
            </w:r>
            <w:r w:rsidR="0082390B">
              <w:rPr>
                <w:sz w:val="20"/>
                <w:szCs w:val="20"/>
              </w:rPr>
              <w:t xml:space="preserve"> </w:t>
            </w:r>
            <w:r w:rsidR="00E21189" w:rsidRPr="0082390B">
              <w:rPr>
                <w:sz w:val="20"/>
                <w:szCs w:val="20"/>
              </w:rPr>
              <w:t>80 µL</w:t>
            </w:r>
          </w:p>
        </w:tc>
        <w:tc>
          <w:tcPr>
            <w:tcW w:w="826" w:type="pct"/>
            <w:tcBorders>
              <w:top w:val="single" w:sz="4" w:space="0" w:color="auto"/>
            </w:tcBorders>
          </w:tcPr>
          <w:p w14:paraId="5F5535CB" w14:textId="5D089023" w:rsidR="000D03A8" w:rsidRPr="0082390B" w:rsidRDefault="000D03A8" w:rsidP="0091331D">
            <w:pPr>
              <w:ind w:left="0" w:right="0"/>
              <w:rPr>
                <w:sz w:val="20"/>
                <w:szCs w:val="20"/>
              </w:rPr>
            </w:pPr>
            <w:r w:rsidRPr="0082390B">
              <w:rPr>
                <w:sz w:val="20"/>
                <w:szCs w:val="20"/>
              </w:rPr>
              <w:t xml:space="preserve">Single dose </w:t>
            </w:r>
            <w:r w:rsidR="00E21189" w:rsidRPr="0082390B">
              <w:rPr>
                <w:sz w:val="20"/>
                <w:szCs w:val="20"/>
              </w:rPr>
              <w:t>SC 20</w:t>
            </w:r>
            <w:r w:rsidR="0082390B">
              <w:rPr>
                <w:sz w:val="20"/>
                <w:szCs w:val="20"/>
              </w:rPr>
              <w:t> </w:t>
            </w:r>
            <w:r w:rsidR="00E21189" w:rsidRPr="0082390B">
              <w:rPr>
                <w:sz w:val="20"/>
                <w:szCs w:val="20"/>
              </w:rPr>
              <w:t>µg/80 µL</w:t>
            </w:r>
          </w:p>
        </w:tc>
        <w:tc>
          <w:tcPr>
            <w:tcW w:w="722" w:type="pct"/>
            <w:tcBorders>
              <w:top w:val="single" w:sz="4" w:space="0" w:color="auto"/>
            </w:tcBorders>
          </w:tcPr>
          <w:p w14:paraId="62FD90EC" w14:textId="77777777" w:rsidR="000D03A8" w:rsidRPr="0082390B" w:rsidRDefault="000D03A8" w:rsidP="0091331D">
            <w:pPr>
              <w:ind w:left="0" w:right="0"/>
              <w:rPr>
                <w:sz w:val="20"/>
                <w:szCs w:val="20"/>
              </w:rPr>
            </w:pPr>
            <w:r w:rsidRPr="0082390B">
              <w:rPr>
                <w:sz w:val="20"/>
                <w:szCs w:val="20"/>
              </w:rPr>
              <w:t>Single dose</w:t>
            </w:r>
          </w:p>
        </w:tc>
        <w:tc>
          <w:tcPr>
            <w:tcW w:w="551" w:type="pct"/>
            <w:tcBorders>
              <w:top w:val="single" w:sz="4" w:space="0" w:color="auto"/>
            </w:tcBorders>
          </w:tcPr>
          <w:p w14:paraId="34ADA851" w14:textId="48C42F38" w:rsidR="000D03A8" w:rsidRPr="0082390B" w:rsidRDefault="001F7A82" w:rsidP="0091331D">
            <w:pPr>
              <w:ind w:left="0" w:right="0"/>
              <w:rPr>
                <w:sz w:val="20"/>
                <w:szCs w:val="20"/>
              </w:rPr>
            </w:pPr>
            <w:r w:rsidRPr="0082390B">
              <w:rPr>
                <w:sz w:val="20"/>
                <w:szCs w:val="20"/>
              </w:rPr>
              <w:t>54</w:t>
            </w:r>
          </w:p>
        </w:tc>
      </w:tr>
      <w:tr w:rsidR="0082390B" w:rsidRPr="000A546D" w14:paraId="6220BB14" w14:textId="77777777" w:rsidTr="0091331D">
        <w:tc>
          <w:tcPr>
            <w:tcW w:w="630" w:type="pct"/>
          </w:tcPr>
          <w:p w14:paraId="130B4884" w14:textId="1B979C9D" w:rsidR="000D03A8" w:rsidRPr="0082390B" w:rsidRDefault="000D03A8" w:rsidP="0091331D">
            <w:pPr>
              <w:ind w:left="0" w:right="0"/>
              <w:rPr>
                <w:sz w:val="20"/>
                <w:szCs w:val="20"/>
              </w:rPr>
            </w:pPr>
            <w:r w:rsidRPr="0082390B">
              <w:rPr>
                <w:sz w:val="20"/>
                <w:szCs w:val="20"/>
              </w:rPr>
              <w:t>RGB</w:t>
            </w:r>
            <w:r w:rsidR="0082390B">
              <w:rPr>
                <w:sz w:val="20"/>
                <w:szCs w:val="20"/>
              </w:rPr>
              <w:t>-</w:t>
            </w:r>
            <w:r w:rsidRPr="0082390B">
              <w:rPr>
                <w:sz w:val="20"/>
                <w:szCs w:val="20"/>
              </w:rPr>
              <w:t>1023O31</w:t>
            </w:r>
          </w:p>
        </w:tc>
        <w:tc>
          <w:tcPr>
            <w:tcW w:w="726" w:type="pct"/>
          </w:tcPr>
          <w:p w14:paraId="32E9A215" w14:textId="77777777" w:rsidR="000D03A8" w:rsidRPr="0082390B" w:rsidRDefault="000D03A8" w:rsidP="0091331D">
            <w:pPr>
              <w:ind w:left="0" w:right="0"/>
              <w:rPr>
                <w:sz w:val="20"/>
                <w:szCs w:val="20"/>
              </w:rPr>
            </w:pPr>
            <w:r w:rsidRPr="0082390B">
              <w:rPr>
                <w:sz w:val="20"/>
                <w:szCs w:val="20"/>
              </w:rPr>
              <w:t>Phase III</w:t>
            </w:r>
          </w:p>
        </w:tc>
        <w:tc>
          <w:tcPr>
            <w:tcW w:w="825" w:type="pct"/>
          </w:tcPr>
          <w:p w14:paraId="47FBC6F6" w14:textId="77777777" w:rsidR="000D03A8" w:rsidRPr="0082390B" w:rsidRDefault="000D03A8" w:rsidP="0091331D">
            <w:pPr>
              <w:ind w:left="0" w:right="0"/>
              <w:rPr>
                <w:sz w:val="20"/>
                <w:szCs w:val="20"/>
              </w:rPr>
            </w:pPr>
            <w:r w:rsidRPr="0082390B">
              <w:rPr>
                <w:sz w:val="20"/>
                <w:szCs w:val="20"/>
              </w:rPr>
              <w:t>Patients with osteoporosis</w:t>
            </w:r>
          </w:p>
        </w:tc>
        <w:tc>
          <w:tcPr>
            <w:tcW w:w="720" w:type="pct"/>
          </w:tcPr>
          <w:p w14:paraId="210CA236" w14:textId="69B88E65" w:rsidR="000D03A8" w:rsidRPr="0082390B" w:rsidRDefault="00E21189" w:rsidP="0091331D">
            <w:pPr>
              <w:ind w:left="0" w:right="0"/>
              <w:rPr>
                <w:sz w:val="20"/>
                <w:szCs w:val="20"/>
              </w:rPr>
            </w:pPr>
            <w:r w:rsidRPr="0082390B">
              <w:rPr>
                <w:sz w:val="20"/>
                <w:szCs w:val="20"/>
              </w:rPr>
              <w:t>SC 20 µg</w:t>
            </w:r>
            <w:r w:rsidR="0082390B">
              <w:rPr>
                <w:sz w:val="20"/>
                <w:szCs w:val="20"/>
              </w:rPr>
              <w:t xml:space="preserve"> </w:t>
            </w:r>
            <w:r w:rsidRPr="0082390B">
              <w:rPr>
                <w:sz w:val="20"/>
                <w:szCs w:val="20"/>
              </w:rPr>
              <w:t>/</w:t>
            </w:r>
            <w:r w:rsidR="0082390B">
              <w:rPr>
                <w:sz w:val="20"/>
                <w:szCs w:val="20"/>
              </w:rPr>
              <w:t xml:space="preserve"> </w:t>
            </w:r>
            <w:r w:rsidRPr="0082390B">
              <w:rPr>
                <w:sz w:val="20"/>
                <w:szCs w:val="20"/>
              </w:rPr>
              <w:t>80 µ</w:t>
            </w:r>
            <w:r w:rsidR="000D03A8" w:rsidRPr="0082390B">
              <w:rPr>
                <w:sz w:val="20"/>
                <w:szCs w:val="20"/>
              </w:rPr>
              <w:t xml:space="preserve">L daily </w:t>
            </w:r>
          </w:p>
        </w:tc>
        <w:tc>
          <w:tcPr>
            <w:tcW w:w="826" w:type="pct"/>
          </w:tcPr>
          <w:p w14:paraId="7CB7B918" w14:textId="3116BD9E" w:rsidR="000D03A8" w:rsidRPr="0082390B" w:rsidRDefault="00E21189" w:rsidP="0091331D">
            <w:pPr>
              <w:ind w:left="0" w:right="0"/>
              <w:rPr>
                <w:sz w:val="20"/>
                <w:szCs w:val="20"/>
              </w:rPr>
            </w:pPr>
            <w:r w:rsidRPr="0082390B">
              <w:rPr>
                <w:sz w:val="20"/>
                <w:szCs w:val="20"/>
              </w:rPr>
              <w:t>SC 20 µg</w:t>
            </w:r>
            <w:r w:rsidR="0082390B">
              <w:rPr>
                <w:sz w:val="20"/>
                <w:szCs w:val="20"/>
              </w:rPr>
              <w:t xml:space="preserve"> </w:t>
            </w:r>
            <w:r w:rsidRPr="0082390B">
              <w:rPr>
                <w:sz w:val="20"/>
                <w:szCs w:val="20"/>
              </w:rPr>
              <w:t>/</w:t>
            </w:r>
            <w:r w:rsidR="0082390B">
              <w:rPr>
                <w:sz w:val="20"/>
                <w:szCs w:val="20"/>
              </w:rPr>
              <w:t xml:space="preserve"> </w:t>
            </w:r>
            <w:r w:rsidRPr="0082390B">
              <w:rPr>
                <w:sz w:val="20"/>
                <w:szCs w:val="20"/>
              </w:rPr>
              <w:t>80</w:t>
            </w:r>
            <w:r w:rsidR="0082390B">
              <w:rPr>
                <w:sz w:val="20"/>
                <w:szCs w:val="20"/>
              </w:rPr>
              <w:t> </w:t>
            </w:r>
            <w:r w:rsidRPr="0082390B">
              <w:rPr>
                <w:sz w:val="20"/>
                <w:szCs w:val="20"/>
              </w:rPr>
              <w:t>µ</w:t>
            </w:r>
            <w:r w:rsidR="000D03A8" w:rsidRPr="0082390B">
              <w:rPr>
                <w:sz w:val="20"/>
                <w:szCs w:val="20"/>
              </w:rPr>
              <w:t>L daily</w:t>
            </w:r>
          </w:p>
        </w:tc>
        <w:tc>
          <w:tcPr>
            <w:tcW w:w="722" w:type="pct"/>
          </w:tcPr>
          <w:p w14:paraId="2F44D8DD" w14:textId="77777777" w:rsidR="000D03A8" w:rsidRPr="0082390B" w:rsidRDefault="000D03A8" w:rsidP="0091331D">
            <w:pPr>
              <w:ind w:left="0" w:right="0"/>
              <w:rPr>
                <w:sz w:val="20"/>
                <w:szCs w:val="20"/>
              </w:rPr>
            </w:pPr>
            <w:r w:rsidRPr="0082390B">
              <w:rPr>
                <w:sz w:val="20"/>
                <w:szCs w:val="20"/>
              </w:rPr>
              <w:t>52 weeks</w:t>
            </w:r>
          </w:p>
        </w:tc>
        <w:tc>
          <w:tcPr>
            <w:tcW w:w="551" w:type="pct"/>
          </w:tcPr>
          <w:p w14:paraId="7F405599" w14:textId="77777777" w:rsidR="000D03A8" w:rsidRPr="0082390B" w:rsidRDefault="000D03A8" w:rsidP="0091331D">
            <w:pPr>
              <w:ind w:left="0" w:right="0"/>
              <w:rPr>
                <w:sz w:val="20"/>
                <w:szCs w:val="20"/>
              </w:rPr>
            </w:pPr>
            <w:r w:rsidRPr="0082390B">
              <w:rPr>
                <w:sz w:val="20"/>
                <w:szCs w:val="20"/>
              </w:rPr>
              <w:t>250</w:t>
            </w:r>
          </w:p>
        </w:tc>
      </w:tr>
    </w:tbl>
    <w:p w14:paraId="15F6E28A" w14:textId="71B12388" w:rsidR="0082390B" w:rsidRPr="0082390B" w:rsidRDefault="0082390B" w:rsidP="0091331D">
      <w:pPr>
        <w:pStyle w:val="TableDescription"/>
      </w:pPr>
      <w:r>
        <w:t xml:space="preserve">Note: Comparator was </w:t>
      </w:r>
      <w:proofErr w:type="spellStart"/>
      <w:r>
        <w:t>Forsteo</w:t>
      </w:r>
      <w:proofErr w:type="spellEnd"/>
      <w:r>
        <w:t>.</w:t>
      </w:r>
    </w:p>
    <w:p w14:paraId="1CB5C8B5" w14:textId="651C9E6F" w:rsidR="000D03A8" w:rsidRDefault="000D03A8" w:rsidP="000D03A8">
      <w:pPr>
        <w:pStyle w:val="Heading4"/>
      </w:pPr>
      <w:r>
        <w:t>Pharmacology</w:t>
      </w:r>
    </w:p>
    <w:p w14:paraId="04E18473" w14:textId="77777777" w:rsidR="000D03A8" w:rsidRDefault="000D03A8" w:rsidP="000D03A8">
      <w:pPr>
        <w:pStyle w:val="Heading5"/>
      </w:pPr>
      <w:r>
        <w:t>Pharmacokinetics</w:t>
      </w:r>
    </w:p>
    <w:p w14:paraId="5AA2E832" w14:textId="79B8EB40" w:rsidR="000D03A8" w:rsidRDefault="000D03A8" w:rsidP="000D03A8">
      <w:r>
        <w:t>The bioequivalence of T</w:t>
      </w:r>
      <w:r w:rsidR="00805FFD">
        <w:t>errosa</w:t>
      </w:r>
      <w:r>
        <w:t xml:space="preserve"> and </w:t>
      </w:r>
      <w:proofErr w:type="spellStart"/>
      <w:r>
        <w:t>F</w:t>
      </w:r>
      <w:r w:rsidR="00805FFD">
        <w:t>orsteo</w:t>
      </w:r>
      <w:proofErr w:type="spellEnd"/>
      <w:r>
        <w:t xml:space="preserve"> was assessed in a randomised, double blind, active controlled, single centre, single fixed dose, two way crossover study (</w:t>
      </w:r>
      <w:r w:rsidR="00805FFD">
        <w:t>Study</w:t>
      </w:r>
      <w:r w:rsidR="0082390B">
        <w:t> </w:t>
      </w:r>
      <w:r>
        <w:t>RGB</w:t>
      </w:r>
      <w:r w:rsidR="0082390B">
        <w:noBreakHyphen/>
      </w:r>
      <w:r>
        <w:t>10</w:t>
      </w:r>
      <w:r w:rsidR="0082390B">
        <w:noBreakHyphen/>
      </w:r>
      <w:r>
        <w:t>001). Participants were health</w:t>
      </w:r>
      <w:r w:rsidR="001F7A82">
        <w:t>y</w:t>
      </w:r>
      <w:r>
        <w:t xml:space="preserve"> adul</w:t>
      </w:r>
      <w:r w:rsidR="00805FFD">
        <w:t xml:space="preserve">t premenopausal females aged 18 to </w:t>
      </w:r>
      <w:r>
        <w:t xml:space="preserve">55 years. There was a washout period of at least </w:t>
      </w:r>
      <w:r w:rsidR="001F7A82">
        <w:t xml:space="preserve">24 </w:t>
      </w:r>
      <w:r>
        <w:t>hours between treatments. Teriparatide concentrations were measured at 10, 20, 25, 30, 35, 40, 50, 60, 70, 80, 90, 120, 180, and 240 minutes post</w:t>
      </w:r>
      <w:r w:rsidR="00805FFD">
        <w:t>-dose (</w:t>
      </w:r>
      <w:r w:rsidR="0082390B">
        <w:t xml:space="preserve">see </w:t>
      </w:r>
      <w:r w:rsidR="00805FFD">
        <w:fldChar w:fldCharType="begin"/>
      </w:r>
      <w:r w:rsidR="00805FFD">
        <w:instrText xml:space="preserve"> REF _Ref60741062 \h </w:instrText>
      </w:r>
      <w:r w:rsidR="00805FFD">
        <w:fldChar w:fldCharType="separate"/>
      </w:r>
      <w:r w:rsidR="00B72ABE" w:rsidRPr="00805FFD">
        <w:t xml:space="preserve">Figure </w:t>
      </w:r>
      <w:r w:rsidR="00B72ABE">
        <w:rPr>
          <w:noProof/>
        </w:rPr>
        <w:t>2</w:t>
      </w:r>
      <w:r w:rsidR="00805FFD">
        <w:fldChar w:fldCharType="end"/>
      </w:r>
      <w:r w:rsidR="0082390B">
        <w:t>, below</w:t>
      </w:r>
      <w:r w:rsidR="00805FFD">
        <w:t>).</w:t>
      </w:r>
    </w:p>
    <w:p w14:paraId="36B2BDC0" w14:textId="234A6146" w:rsidR="000D03A8" w:rsidRDefault="000D03A8" w:rsidP="000D03A8">
      <w:r>
        <w:t xml:space="preserve">Terrosa and </w:t>
      </w:r>
      <w:proofErr w:type="spellStart"/>
      <w:r>
        <w:t>Forsteo</w:t>
      </w:r>
      <w:proofErr w:type="spellEnd"/>
      <w:r>
        <w:t xml:space="preserve"> were shown to be bioequivalent since the 94.12% </w:t>
      </w:r>
      <w:r w:rsidR="00805FFD">
        <w:t>confidence interval (</w:t>
      </w:r>
      <w:r>
        <w:t>CI</w:t>
      </w:r>
      <w:r w:rsidR="00805FFD">
        <w:t>)</w:t>
      </w:r>
      <w:r>
        <w:t xml:space="preserve"> for the ratio of means were w</w:t>
      </w:r>
      <w:r w:rsidR="00805FFD">
        <w:t xml:space="preserve">ell within the pre-specified 80 to </w:t>
      </w:r>
      <w:r>
        <w:t xml:space="preserve">125% limits. Both the peak level and </w:t>
      </w:r>
      <w:r w:rsidR="00805FFD">
        <w:t xml:space="preserve">total exposure appear between 8 to </w:t>
      </w:r>
      <w:r>
        <w:t>10% lower, and half-life 9% shorter, following T</w:t>
      </w:r>
      <w:r w:rsidR="00805FFD">
        <w:t>errosa</w:t>
      </w:r>
      <w:r>
        <w:t xml:space="preserve"> compared to </w:t>
      </w:r>
      <w:proofErr w:type="spellStart"/>
      <w:r>
        <w:t>Forsteo</w:t>
      </w:r>
      <w:proofErr w:type="spellEnd"/>
      <w:r>
        <w:t xml:space="preserve"> </w:t>
      </w:r>
      <w:r w:rsidR="00805FFD">
        <w:t>(</w:t>
      </w:r>
      <w:r w:rsidR="00805FFD">
        <w:fldChar w:fldCharType="begin"/>
      </w:r>
      <w:r w:rsidR="00805FFD">
        <w:instrText xml:space="preserve"> REF _Ref60740806 \h </w:instrText>
      </w:r>
      <w:r w:rsidR="00805FFD">
        <w:fldChar w:fldCharType="separate"/>
      </w:r>
      <w:r w:rsidR="00B72ABE" w:rsidRPr="00805FFD">
        <w:t xml:space="preserve">Table </w:t>
      </w:r>
      <w:r w:rsidR="00B72ABE">
        <w:rPr>
          <w:noProof/>
        </w:rPr>
        <w:t>4</w:t>
      </w:r>
      <w:r w:rsidR="00805FFD">
        <w:fldChar w:fldCharType="end"/>
      </w:r>
      <w:r>
        <w:t>). These differences were statistically significant but the products satisfy the criteria for bioequivalence.</w:t>
      </w:r>
    </w:p>
    <w:p w14:paraId="72712F5A" w14:textId="14BB728B" w:rsidR="00805FFD" w:rsidRDefault="00805FFD" w:rsidP="00805FFD">
      <w:pPr>
        <w:pStyle w:val="TableTitle"/>
      </w:pPr>
      <w:bookmarkStart w:id="41" w:name="_Ref60740806"/>
      <w:r w:rsidRPr="00805FFD">
        <w:t xml:space="preserve">Table </w:t>
      </w:r>
      <w:r w:rsidR="00F14D69">
        <w:fldChar w:fldCharType="begin"/>
      </w:r>
      <w:r w:rsidR="00F14D69">
        <w:instrText xml:space="preserve"> SEQ Table \* ARABIC </w:instrText>
      </w:r>
      <w:r w:rsidR="00F14D69">
        <w:fldChar w:fldCharType="separate"/>
      </w:r>
      <w:r w:rsidR="00B72ABE">
        <w:rPr>
          <w:noProof/>
        </w:rPr>
        <w:t>4</w:t>
      </w:r>
      <w:r w:rsidR="00F14D69">
        <w:rPr>
          <w:noProof/>
        </w:rPr>
        <w:fldChar w:fldCharType="end"/>
      </w:r>
      <w:bookmarkEnd w:id="41"/>
      <w:r>
        <w:t xml:space="preserve">: </w:t>
      </w:r>
      <w:r w:rsidR="00E20C17">
        <w:t xml:space="preserve">Study RGB-10-001 </w:t>
      </w:r>
      <w:r w:rsidRPr="00805FFD">
        <w:t xml:space="preserve">Summary of </w:t>
      </w:r>
      <w:r>
        <w:t>bioequivalence parameters for Terrosa</w:t>
      </w:r>
      <w:r w:rsidRPr="00805FFD">
        <w:t xml:space="preserve"> v</w:t>
      </w:r>
      <w:r>
        <w:t>er</w:t>
      </w:r>
      <w:r w:rsidRPr="00805FFD">
        <w:t>s</w:t>
      </w:r>
      <w:r>
        <w:t>us</w:t>
      </w:r>
      <w:r w:rsidRPr="00805FFD">
        <w:t xml:space="preserve"> </w:t>
      </w:r>
      <w:proofErr w:type="spellStart"/>
      <w:r w:rsidRPr="00805FFD">
        <w:t>F</w:t>
      </w:r>
      <w:r>
        <w:t>orsteo</w:t>
      </w:r>
      <w:proofErr w:type="spellEnd"/>
    </w:p>
    <w:p w14:paraId="2D038C12" w14:textId="04A5ABCE" w:rsidR="00805FFD" w:rsidRDefault="007F5B17" w:rsidP="00805FFD">
      <w:r w:rsidRPr="007F5B17">
        <w:rPr>
          <w:noProof/>
          <w:lang w:eastAsia="en-AU"/>
        </w:rPr>
        <w:drawing>
          <wp:inline distT="0" distB="0" distL="0" distR="0" wp14:anchorId="214A4DF9" wp14:editId="7239307F">
            <wp:extent cx="5400040" cy="1687830"/>
            <wp:effectExtent l="0" t="0" r="0" b="7620"/>
            <wp:docPr id="9" name="Picture 9" descr="Summary of bioequivalence parameters for Terrosa versus. Forst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00040" cy="1687830"/>
                    </a:xfrm>
                    <a:prstGeom prst="rect">
                      <a:avLst/>
                    </a:prstGeom>
                  </pic:spPr>
                </pic:pic>
              </a:graphicData>
            </a:graphic>
          </wp:inline>
        </w:drawing>
      </w:r>
    </w:p>
    <w:p w14:paraId="62BC9E34" w14:textId="438CE757" w:rsidR="007F5B17" w:rsidRDefault="00812667" w:rsidP="007F5B17">
      <w:pPr>
        <w:pStyle w:val="TableDescription"/>
      </w:pPr>
      <w:r>
        <w:t>Abbreviations</w:t>
      </w:r>
      <w:r w:rsidR="007F5B17">
        <w:t>: AUC</w:t>
      </w:r>
      <w:r w:rsidR="007F5B17" w:rsidRPr="007F5B17">
        <w:rPr>
          <w:vertAlign w:val="subscript"/>
        </w:rPr>
        <w:t>0-inf</w:t>
      </w:r>
      <w:r w:rsidR="007F5B17">
        <w:t xml:space="preserve"> = area under concentration-time curve from time zero to infinity; AUC</w:t>
      </w:r>
      <w:r w:rsidR="007F5B17" w:rsidRPr="007F5B17">
        <w:rPr>
          <w:vertAlign w:val="subscript"/>
        </w:rPr>
        <w:t>0-tlast</w:t>
      </w:r>
      <w:r w:rsidR="007F5B17">
        <w:t xml:space="preserve"> = area under concentration-time curve from time zero to last quantifiable concentration; CI = confidence interval; </w:t>
      </w:r>
      <w:proofErr w:type="spellStart"/>
      <w:r w:rsidR="007F5B17">
        <w:t>Cmax</w:t>
      </w:r>
      <w:proofErr w:type="spellEnd"/>
      <w:r w:rsidR="007F5B17">
        <w:t xml:space="preserve"> = maximum plasma concentration; t</w:t>
      </w:r>
      <w:r w:rsidR="007F5B17" w:rsidRPr="007F5B17">
        <w:rPr>
          <w:vertAlign w:val="subscript"/>
        </w:rPr>
        <w:t>½</w:t>
      </w:r>
      <w:r w:rsidR="007F5B17">
        <w:t xml:space="preserve"> = terminal half-life; </w:t>
      </w:r>
      <w:proofErr w:type="spellStart"/>
      <w:r w:rsidR="007F5B17">
        <w:t>t</w:t>
      </w:r>
      <w:r w:rsidR="007F5B17">
        <w:rPr>
          <w:vertAlign w:val="subscript"/>
        </w:rPr>
        <w:t>last</w:t>
      </w:r>
      <w:proofErr w:type="spellEnd"/>
      <w:r w:rsidR="007F5B17">
        <w:rPr>
          <w:vertAlign w:val="subscript"/>
        </w:rPr>
        <w:t xml:space="preserve"> </w:t>
      </w:r>
      <w:r w:rsidR="007F5B17">
        <w:t>= time at last measurable concentration</w:t>
      </w:r>
    </w:p>
    <w:p w14:paraId="3F70596F" w14:textId="1F303E6D" w:rsidR="00805FFD" w:rsidRDefault="00805FFD" w:rsidP="00805FFD">
      <w:pPr>
        <w:pStyle w:val="FigureTitle"/>
      </w:pPr>
      <w:bookmarkStart w:id="42" w:name="_Ref60741062"/>
      <w:r w:rsidRPr="00805FFD">
        <w:t xml:space="preserve">Figure </w:t>
      </w:r>
      <w:r w:rsidR="00F14D69">
        <w:fldChar w:fldCharType="begin"/>
      </w:r>
      <w:r w:rsidR="00F14D69">
        <w:instrText xml:space="preserve"> SEQ Figure \* ARABIC </w:instrText>
      </w:r>
      <w:r w:rsidR="00F14D69">
        <w:fldChar w:fldCharType="separate"/>
      </w:r>
      <w:r w:rsidR="00B72ABE">
        <w:rPr>
          <w:noProof/>
        </w:rPr>
        <w:t>2</w:t>
      </w:r>
      <w:r w:rsidR="00F14D69">
        <w:rPr>
          <w:noProof/>
        </w:rPr>
        <w:fldChar w:fldCharType="end"/>
      </w:r>
      <w:bookmarkEnd w:id="42"/>
      <w:r>
        <w:t xml:space="preserve">: </w:t>
      </w:r>
      <w:r w:rsidR="00E20C17">
        <w:t xml:space="preserve">Study RGB-10-001 </w:t>
      </w:r>
      <w:r>
        <w:t xml:space="preserve">Concentration time profile for Terrosa and </w:t>
      </w:r>
      <w:proofErr w:type="spellStart"/>
      <w:r>
        <w:t>Forsteo</w:t>
      </w:r>
      <w:proofErr w:type="spellEnd"/>
    </w:p>
    <w:p w14:paraId="561E832C" w14:textId="345A0EB4" w:rsidR="00805FFD" w:rsidRDefault="007B4EB6" w:rsidP="00F14D69">
      <w:r w:rsidRPr="007B4EB6">
        <w:rPr>
          <w:noProof/>
          <w:lang w:eastAsia="en-AU"/>
        </w:rPr>
        <w:drawing>
          <wp:inline distT="0" distB="0" distL="0" distR="0" wp14:anchorId="7DF2E39B" wp14:editId="0E03629A">
            <wp:extent cx="5258568" cy="3093057"/>
            <wp:effectExtent l="0" t="0" r="0" b="0"/>
            <wp:docPr id="11" name="Picture 11" descr="Concentration time profile for Terrosa and Forst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63669" cy="3096058"/>
                    </a:xfrm>
                    <a:prstGeom prst="rect">
                      <a:avLst/>
                    </a:prstGeom>
                  </pic:spPr>
                </pic:pic>
              </a:graphicData>
            </a:graphic>
          </wp:inline>
        </w:drawing>
      </w:r>
    </w:p>
    <w:p w14:paraId="2CC8C9B4" w14:textId="77777777" w:rsidR="00356755" w:rsidRDefault="00356755" w:rsidP="00356755">
      <w:pPr>
        <w:pStyle w:val="Heading4"/>
      </w:pPr>
      <w:r>
        <w:t>Efficacy</w:t>
      </w:r>
    </w:p>
    <w:p w14:paraId="2DEEDB27" w14:textId="26A55E32" w:rsidR="00356755" w:rsidRDefault="00356755" w:rsidP="00356755">
      <w:pPr>
        <w:pStyle w:val="Heading5"/>
      </w:pPr>
      <w:r>
        <w:t>Study RGB1023O31</w:t>
      </w:r>
    </w:p>
    <w:p w14:paraId="3F5A3C10" w14:textId="4028C486" w:rsidR="00356755" w:rsidRDefault="00356755" w:rsidP="00356755">
      <w:r>
        <w:t>Study RGB1023</w:t>
      </w:r>
      <w:r w:rsidR="00812667">
        <w:t>O31 was a multi-centre, randomis</w:t>
      </w:r>
      <w:r>
        <w:t xml:space="preserve">ed, active drug-controlled, </w:t>
      </w:r>
      <w:proofErr w:type="spellStart"/>
      <w:r>
        <w:t>rater</w:t>
      </w:r>
      <w:proofErr w:type="spellEnd"/>
      <w:r>
        <w:t xml:space="preserve">-blinded, parallel-group comparative study to evaluate efficacy and safety of 52 weeks of treatment with Terrosa compared to </w:t>
      </w:r>
      <w:proofErr w:type="spellStart"/>
      <w:r>
        <w:t>Forteo</w:t>
      </w:r>
      <w:proofErr w:type="spellEnd"/>
      <w:r>
        <w:t xml:space="preserve"> in patients with osteoporosis and at high risk of fracture. The study was conducted in Japan using a locally sourced </w:t>
      </w:r>
      <w:proofErr w:type="spellStart"/>
      <w:r>
        <w:t>Forteo</w:t>
      </w:r>
      <w:proofErr w:type="spellEnd"/>
      <w:r>
        <w:t xml:space="preserve"> reference product.</w:t>
      </w:r>
    </w:p>
    <w:p w14:paraId="03BF03F0" w14:textId="77777777" w:rsidR="00356755" w:rsidRDefault="00356755" w:rsidP="00356755">
      <w:r>
        <w:t>Study subjects were ambulatory outpatients with a diagnosis of primary osteoporosis and at high risk of fracture. Female patients were required to be at least 5 years menopausal. The criteria for high risk of fracture were:</w:t>
      </w:r>
    </w:p>
    <w:p w14:paraId="5206C4A9" w14:textId="6F9CB462" w:rsidR="00356755" w:rsidRDefault="00E20C17" w:rsidP="00DC0668">
      <w:pPr>
        <w:pStyle w:val="ListBullet"/>
      </w:pPr>
      <w:r>
        <w:t>patients</w:t>
      </w:r>
      <w:r w:rsidR="00356755">
        <w:t xml:space="preserve">, aged 55 years </w:t>
      </w:r>
      <w:r w:rsidR="00DC0668">
        <w:t xml:space="preserve">or older, with lumbar spine (L2 to </w:t>
      </w:r>
      <w:r w:rsidR="00356755">
        <w:t>L4) BMD &lt;</w:t>
      </w:r>
      <w:r w:rsidR="00DC0668">
        <w:t xml:space="preserve"> </w:t>
      </w:r>
      <w:r w:rsidR="00356755">
        <w:t xml:space="preserve">80% (-1.7 </w:t>
      </w:r>
      <w:r w:rsidR="00DC0668">
        <w:t>standard deviation (</w:t>
      </w:r>
      <w:r w:rsidR="00356755">
        <w:t>SD</w:t>
      </w:r>
      <w:r w:rsidR="00DC0668">
        <w:t>)</w:t>
      </w:r>
      <w:r w:rsidR="00356755">
        <w:t>) of young adult mean (YAM) with at least 1 vertebral body fragility fracture</w:t>
      </w:r>
      <w:r>
        <w:t>;</w:t>
      </w:r>
      <w:r w:rsidR="00356755">
        <w:t xml:space="preserve"> or</w:t>
      </w:r>
    </w:p>
    <w:p w14:paraId="68B36341" w14:textId="74206FCF" w:rsidR="00356755" w:rsidRDefault="00E20C17" w:rsidP="00DC0668">
      <w:pPr>
        <w:pStyle w:val="ListBullet"/>
      </w:pPr>
      <w:r>
        <w:t>patients</w:t>
      </w:r>
      <w:r w:rsidR="00356755">
        <w:t xml:space="preserve">, aged 65 years </w:t>
      </w:r>
      <w:r w:rsidR="00DC0668">
        <w:t xml:space="preserve">or older, with lumbar spine (L2 to </w:t>
      </w:r>
      <w:r w:rsidR="00356755">
        <w:t>L4) BMD &lt;</w:t>
      </w:r>
      <w:r w:rsidR="00DC0668">
        <w:t xml:space="preserve"> </w:t>
      </w:r>
      <w:r w:rsidR="00356755">
        <w:t>70% (-2.6 SD) of YAM; or</w:t>
      </w:r>
    </w:p>
    <w:p w14:paraId="44F3A8FA" w14:textId="191FD4AB" w:rsidR="00356755" w:rsidRDefault="00E20C17" w:rsidP="00DC0668">
      <w:pPr>
        <w:pStyle w:val="ListBullet"/>
      </w:pPr>
      <w:r>
        <w:t>patients</w:t>
      </w:r>
      <w:r w:rsidR="00356755">
        <w:t xml:space="preserve">, aged 55 years </w:t>
      </w:r>
      <w:r w:rsidR="00DC0668">
        <w:t xml:space="preserve">or older, with lumbar spine (L2 to </w:t>
      </w:r>
      <w:r w:rsidR="00356755">
        <w:t>L4) BMD &lt;</w:t>
      </w:r>
      <w:r w:rsidR="00DC0668">
        <w:t xml:space="preserve"> </w:t>
      </w:r>
      <w:r w:rsidR="00356755">
        <w:t>65% (-3.0 SD) of YAM.</w:t>
      </w:r>
    </w:p>
    <w:p w14:paraId="52A65C08" w14:textId="6CD69E6E" w:rsidR="00356755" w:rsidRDefault="00356755" w:rsidP="00356755">
      <w:r>
        <w:t>The test and reference treatments were T</w:t>
      </w:r>
      <w:r w:rsidR="00DC0668">
        <w:t>errosa</w:t>
      </w:r>
      <w:r>
        <w:t xml:space="preserve"> and </w:t>
      </w:r>
      <w:proofErr w:type="spellStart"/>
      <w:r>
        <w:t>F</w:t>
      </w:r>
      <w:r w:rsidR="00DC0668">
        <w:t>orteo</w:t>
      </w:r>
      <w:proofErr w:type="spellEnd"/>
      <w:r>
        <w:t>, respectively. Subjects self</w:t>
      </w:r>
      <w:r w:rsidR="00E20C17">
        <w:noBreakHyphen/>
      </w:r>
      <w:r>
        <w:t xml:space="preserve">administered 20 </w:t>
      </w:r>
      <w:r w:rsidR="00DC0668">
        <w:t>µg</w:t>
      </w:r>
      <w:r>
        <w:t xml:space="preserve"> of teriparatide daily via </w:t>
      </w:r>
      <w:r w:rsidR="00DC0668">
        <w:t>SC</w:t>
      </w:r>
      <w:r>
        <w:t xml:space="preserve"> injection for the 52 week</w:t>
      </w:r>
      <w:r w:rsidR="00DC0668">
        <w:t>s</w:t>
      </w:r>
      <w:r>
        <w:t xml:space="preserve"> treatment period. All patients received orally administered calcium and vitamin D.</w:t>
      </w:r>
    </w:p>
    <w:p w14:paraId="4093CA49" w14:textId="003B1E47" w:rsidR="00805FFD" w:rsidRDefault="00356755" w:rsidP="00356755">
      <w:r>
        <w:t xml:space="preserve">The primary efficacy endpoint </w:t>
      </w:r>
      <w:r w:rsidR="00B23B8A">
        <w:t>was the percentage change from B</w:t>
      </w:r>
      <w:r>
        <w:t xml:space="preserve">aseline </w:t>
      </w:r>
      <w:r w:rsidR="00DC0668">
        <w:t xml:space="preserve">to 52 weeks in lumbar spine (L2 to </w:t>
      </w:r>
      <w:r>
        <w:t>L4) BMD. Secondary efficac</w:t>
      </w:r>
      <w:r w:rsidR="00B23B8A">
        <w:t>y endpoints, all measured from B</w:t>
      </w:r>
      <w:r>
        <w:t>aseline at 52 weeks, included:</w:t>
      </w:r>
    </w:p>
    <w:p w14:paraId="5583D1A4" w14:textId="45EB7BD1" w:rsidR="00DC0668" w:rsidRPr="00DC0668" w:rsidRDefault="00DC0668" w:rsidP="00DC0668">
      <w:pPr>
        <w:pStyle w:val="ListBullet"/>
      </w:pPr>
      <w:r w:rsidRPr="00DC0668">
        <w:t>abso</w:t>
      </w:r>
      <w:r>
        <w:t xml:space="preserve">lute change in lumbar spine (L2 to </w:t>
      </w:r>
      <w:r w:rsidRPr="00DC0668">
        <w:t>L4) BMD</w:t>
      </w:r>
    </w:p>
    <w:p w14:paraId="3D0E6A61" w14:textId="6F344B71" w:rsidR="00DC0668" w:rsidRPr="00DC0668" w:rsidRDefault="00DC0668" w:rsidP="00DC0668">
      <w:pPr>
        <w:pStyle w:val="ListBullet"/>
      </w:pPr>
      <w:r>
        <w:t>%</w:t>
      </w:r>
      <w:r w:rsidRPr="00DC0668">
        <w:t xml:space="preserve"> and abso</w:t>
      </w:r>
      <w:r w:rsidR="005103E1">
        <w:t xml:space="preserve">lute change in lumbar spine (L1 to </w:t>
      </w:r>
      <w:r w:rsidRPr="00DC0668">
        <w:t>L4) BMD</w:t>
      </w:r>
    </w:p>
    <w:p w14:paraId="6D13D0FE" w14:textId="5564AF15" w:rsidR="00DC0668" w:rsidRPr="00DC0668" w:rsidRDefault="00DC0668" w:rsidP="00DC0668">
      <w:pPr>
        <w:pStyle w:val="ListBullet"/>
      </w:pPr>
      <w:r>
        <w:t>%</w:t>
      </w:r>
      <w:r w:rsidRPr="00DC0668">
        <w:t xml:space="preserve"> and absolute change in femoral neck BMD</w:t>
      </w:r>
    </w:p>
    <w:p w14:paraId="2C45A499" w14:textId="3F98FCE0" w:rsidR="00DC0668" w:rsidRPr="00DC0668" w:rsidRDefault="00DC0668" w:rsidP="00DC0668">
      <w:pPr>
        <w:pStyle w:val="ListBullet"/>
      </w:pPr>
      <w:r>
        <w:t xml:space="preserve">% </w:t>
      </w:r>
      <w:r w:rsidRPr="00DC0668">
        <w:t>and absolute change in proximal femoral BMD</w:t>
      </w:r>
    </w:p>
    <w:p w14:paraId="06C85308" w14:textId="2D363D8B" w:rsidR="00DC0668" w:rsidRPr="00DC0668" w:rsidRDefault="00DC0668" w:rsidP="00DC0668">
      <w:pPr>
        <w:pStyle w:val="ListBullet"/>
      </w:pPr>
      <w:r>
        <w:t>%</w:t>
      </w:r>
      <w:r w:rsidRPr="00DC0668">
        <w:t xml:space="preserve"> and absolute change in the b</w:t>
      </w:r>
      <w:r w:rsidR="00C93BF5">
        <w:t>one metabolic marker serum proc</w:t>
      </w:r>
      <w:r w:rsidRPr="00DC0668">
        <w:t>ol</w:t>
      </w:r>
      <w:r w:rsidR="00C93BF5">
        <w:t xml:space="preserve">lagen type I amino terminal </w:t>
      </w:r>
      <w:proofErr w:type="spellStart"/>
      <w:r w:rsidR="00C93BF5">
        <w:t>pro</w:t>
      </w:r>
      <w:r w:rsidRPr="00DC0668">
        <w:t>peptide</w:t>
      </w:r>
      <w:proofErr w:type="spellEnd"/>
      <w:r w:rsidRPr="00DC0668">
        <w:t xml:space="preserve"> (P1NPJ)</w:t>
      </w:r>
    </w:p>
    <w:p w14:paraId="3DF5C46E" w14:textId="0143F07F" w:rsidR="00DC0668" w:rsidRDefault="00DC0668" w:rsidP="00DC0668">
      <w:pPr>
        <w:pStyle w:val="ListBullet"/>
      </w:pPr>
      <w:r w:rsidRPr="00DC0668">
        <w:t>any incidence of vertebral or non-vertebral fractures</w:t>
      </w:r>
      <w:r w:rsidR="00E20C17">
        <w:t>.</w:t>
      </w:r>
    </w:p>
    <w:p w14:paraId="6FBF8527" w14:textId="134CAC46" w:rsidR="00DC0668" w:rsidRPr="00DC0668" w:rsidRDefault="00DC0668" w:rsidP="00DC0668">
      <w:r w:rsidRPr="00DC0668">
        <w:t>369 subjects were recruited, 119 were withdrawn at screening, and 250 subjects were randomised (125 to T</w:t>
      </w:r>
      <w:r>
        <w:t>errosa</w:t>
      </w:r>
      <w:r w:rsidR="00E20C17">
        <w:t xml:space="preserve"> (test)</w:t>
      </w:r>
      <w:r w:rsidRPr="00DC0668">
        <w:t xml:space="preserve"> and 125 to </w:t>
      </w:r>
      <w:proofErr w:type="spellStart"/>
      <w:r w:rsidRPr="00DC0668">
        <w:t>F</w:t>
      </w:r>
      <w:r>
        <w:t>orteo</w:t>
      </w:r>
      <w:proofErr w:type="spellEnd"/>
      <w:r w:rsidR="00E20C17">
        <w:t xml:space="preserve"> (reference product)</w:t>
      </w:r>
      <w:r w:rsidRPr="00DC0668">
        <w:t>). 219 subjects completed the study (107</w:t>
      </w:r>
      <w:r w:rsidR="00E20C17">
        <w:t> </w:t>
      </w:r>
      <w:r w:rsidRPr="00DC0668">
        <w:t>test, 112 reference). The remaining 31 (18 test, 13 reference) were withdrawn d</w:t>
      </w:r>
      <w:r w:rsidR="005103E1">
        <w:t xml:space="preserve">uring the treatment, mostly (26 out of </w:t>
      </w:r>
      <w:r w:rsidRPr="00DC0668">
        <w:t>31) for occurrence of an adverse event (AE) (15 test, 11 reference). 3 subjects (1 test, 2 reference</w:t>
      </w:r>
      <w:r>
        <w:t xml:space="preserve">) were withdrawn during the two </w:t>
      </w:r>
      <w:r w:rsidRPr="00DC0668">
        <w:t>week</w:t>
      </w:r>
      <w:r>
        <w:t>s</w:t>
      </w:r>
      <w:r w:rsidRPr="00DC0668">
        <w:t xml:space="preserve"> follow-up period after completing treatment. The full analysis set (FAS) comprised all 250 randomised and treated subjects. The per protocol set (PPS) included 218 subjects (1</w:t>
      </w:r>
      <w:r>
        <w:t>06 test, 112 reference).</w:t>
      </w:r>
    </w:p>
    <w:p w14:paraId="21641119" w14:textId="0F5E4384" w:rsidR="00DC0668" w:rsidRPr="00DC0668" w:rsidRDefault="00DC0668" w:rsidP="00DC0668">
      <w:r w:rsidRPr="00DC0668">
        <w:t xml:space="preserve">The </w:t>
      </w:r>
      <w:r w:rsidR="005103E1">
        <w:t xml:space="preserve">great majority of subjects (241 out of </w:t>
      </w:r>
      <w:r w:rsidR="00236964">
        <w:t>250, 96.4%) were female. At B</w:t>
      </w:r>
      <w:r w:rsidRPr="00DC0668">
        <w:t>aseline, mean age of the test su</w:t>
      </w:r>
      <w:r w:rsidR="005103E1">
        <w:t xml:space="preserve">bjects was 70.5 years (range 56 to </w:t>
      </w:r>
      <w:r w:rsidRPr="00DC0668">
        <w:t>70) and of the ref</w:t>
      </w:r>
      <w:r w:rsidR="005103E1">
        <w:t xml:space="preserve">erence subjects, 70.3 years (55 to </w:t>
      </w:r>
      <w:r w:rsidRPr="00DC0668">
        <w:t xml:space="preserve">69). Mean </w:t>
      </w:r>
      <w:r w:rsidR="005103E1">
        <w:t>body mass index (</w:t>
      </w:r>
      <w:r w:rsidRPr="00DC0668">
        <w:t>BMI</w:t>
      </w:r>
      <w:r w:rsidR="005103E1">
        <w:t>)</w:t>
      </w:r>
      <w:r w:rsidRPr="00DC0668">
        <w:t xml:space="preserve"> was similar between treatment arms. The groups were well matched in terms of years since menopause. A minority (24.8% test, 27.2% reference) had received prior treatment for osteoporosis, and very few (6 test, 5 reference) had specifically received bisphosphonate therapy. 51 (40.8%) of test and 38 (30.4%) of reference subjects had existing vertebral fractures.</w:t>
      </w:r>
    </w:p>
    <w:p w14:paraId="10BBCA36" w14:textId="3915EF2D" w:rsidR="00DC0668" w:rsidRDefault="005103E1" w:rsidP="00DC0668">
      <w:r>
        <w:t xml:space="preserve">The percent change (mean ± SD) in lumbar spine (L2 to </w:t>
      </w:r>
      <w:r w:rsidR="00DC0668" w:rsidRPr="00DC0668">
        <w:t>L4) BMD at Week 52 (last observation carried forward (LOCF) was 8.94% ± 6.19% in the T</w:t>
      </w:r>
      <w:r>
        <w:t>errosa</w:t>
      </w:r>
      <w:r w:rsidR="00DC0668" w:rsidRPr="00DC0668">
        <w:t xml:space="preserve"> group and 9.65% ± 6.22% in the </w:t>
      </w:r>
      <w:proofErr w:type="spellStart"/>
      <w:r w:rsidR="00DC0668" w:rsidRPr="00DC0668">
        <w:t>F</w:t>
      </w:r>
      <w:r>
        <w:t>orteo</w:t>
      </w:r>
      <w:proofErr w:type="spellEnd"/>
      <w:r w:rsidR="00DC0668" w:rsidRPr="00DC0668">
        <w:t xml:space="preserve"> group. The (adjusted) difference (two-sided 95% CI) in the mean between the T</w:t>
      </w:r>
      <w:r>
        <w:t>errosa</w:t>
      </w:r>
      <w:r w:rsidR="00DC0668" w:rsidRPr="00DC0668">
        <w:t xml:space="preserve"> and </w:t>
      </w:r>
      <w:proofErr w:type="spellStart"/>
      <w:r w:rsidR="00DC0668" w:rsidRPr="00DC0668">
        <w:t>F</w:t>
      </w:r>
      <w:r>
        <w:t>orteo</w:t>
      </w:r>
      <w:proofErr w:type="spellEnd"/>
      <w:r>
        <w:t xml:space="preserve"> groups was - 0.65% (- 2.17% to 0.87%)</w:t>
      </w:r>
      <w:r w:rsidR="00DC0668" w:rsidRPr="00DC0668">
        <w:t>. The two-sided 95% CI fell within the range of the pre-s</w:t>
      </w:r>
      <w:r>
        <w:t xml:space="preserve">pecified equivalence margin of ± </w:t>
      </w:r>
      <w:r w:rsidR="00DC0668" w:rsidRPr="00DC0668">
        <w:t>2.8%. This equivalence margin was determined by referring to the least significant change, which was considered as the detection limit of bone mass changes over time, described in the Japanese guidelines for prevention and treatment of osteoporosis. The clinical evaluator considered the choice of a 2.8% margin as conservative and appropriate.</w:t>
      </w:r>
    </w:p>
    <w:p w14:paraId="1985627F" w14:textId="2367BD57" w:rsidR="005103E1" w:rsidRDefault="005103E1" w:rsidP="005103E1">
      <w:r>
        <w:t xml:space="preserve">Over time, percent change in L2 to </w:t>
      </w:r>
      <w:r w:rsidRPr="005103E1">
        <w:t>L4 BMD increased progressively i</w:t>
      </w:r>
      <w:r>
        <w:t>n both groups from Baseline to Week</w:t>
      </w:r>
      <w:r w:rsidRPr="005103E1">
        <w:t xml:space="preserve"> 12, 24 and 52 in an appro</w:t>
      </w:r>
      <w:r w:rsidR="00B821AA">
        <w:t>ximately linear fashion (</w:t>
      </w:r>
      <w:r w:rsidR="00E20C17">
        <w:t xml:space="preserve">see </w:t>
      </w:r>
      <w:r w:rsidR="00B821AA">
        <w:fldChar w:fldCharType="begin"/>
      </w:r>
      <w:r w:rsidR="00B821AA">
        <w:instrText xml:space="preserve"> REF _Ref60746599 \h </w:instrText>
      </w:r>
      <w:r w:rsidR="00B821AA">
        <w:fldChar w:fldCharType="separate"/>
      </w:r>
      <w:r w:rsidR="00B72ABE" w:rsidRPr="005103E1">
        <w:t xml:space="preserve">Table </w:t>
      </w:r>
      <w:r w:rsidR="00B72ABE">
        <w:rPr>
          <w:noProof/>
        </w:rPr>
        <w:t>5</w:t>
      </w:r>
      <w:r w:rsidR="00B821AA">
        <w:fldChar w:fldCharType="end"/>
      </w:r>
      <w:r w:rsidR="00E20C17">
        <w:t>, below</w:t>
      </w:r>
      <w:r w:rsidRPr="005103E1">
        <w:t>). The results show a persistent difference between the percent increase in BMD between the two treatments, although not one increasing with time</w:t>
      </w:r>
      <w:r>
        <w:t>.</w:t>
      </w:r>
    </w:p>
    <w:p w14:paraId="6A427445" w14:textId="583695D0" w:rsidR="005103E1" w:rsidRDefault="005103E1" w:rsidP="005103E1">
      <w:pPr>
        <w:pStyle w:val="TableTitle"/>
      </w:pPr>
      <w:bookmarkStart w:id="43" w:name="_Ref60746599"/>
      <w:r w:rsidRPr="005103E1">
        <w:t xml:space="preserve">Table </w:t>
      </w:r>
      <w:r w:rsidR="00F14D69">
        <w:fldChar w:fldCharType="begin"/>
      </w:r>
      <w:r w:rsidR="00F14D69">
        <w:instrText xml:space="preserve"> SEQ Table \* ARABIC </w:instrText>
      </w:r>
      <w:r w:rsidR="00F14D69">
        <w:fldChar w:fldCharType="separate"/>
      </w:r>
      <w:r w:rsidR="00B72ABE">
        <w:rPr>
          <w:noProof/>
        </w:rPr>
        <w:t>5</w:t>
      </w:r>
      <w:r w:rsidR="00F14D69">
        <w:rPr>
          <w:noProof/>
        </w:rPr>
        <w:fldChar w:fldCharType="end"/>
      </w:r>
      <w:bookmarkEnd w:id="43"/>
      <w:r>
        <w:t xml:space="preserve">: </w:t>
      </w:r>
      <w:r w:rsidRPr="005103E1">
        <w:t>Study RGB1023O31</w:t>
      </w:r>
      <w:r>
        <w:t xml:space="preserve"> </w:t>
      </w:r>
      <w:r>
        <w:rPr>
          <w:lang w:eastAsia="ja-JP"/>
        </w:rPr>
        <w:t>C</w:t>
      </w:r>
      <w:r w:rsidRPr="00FB0285">
        <w:rPr>
          <w:lang w:eastAsia="ja-JP"/>
        </w:rPr>
        <w:t>hange</w:t>
      </w:r>
      <w:r>
        <w:rPr>
          <w:lang w:eastAsia="ja-JP"/>
        </w:rPr>
        <w:t xml:space="preserve"> in L2 to L4 bone mineral density from Baseline to W</w:t>
      </w:r>
      <w:r w:rsidRPr="00FB0285">
        <w:rPr>
          <w:lang w:eastAsia="ja-JP"/>
        </w:rPr>
        <w:t>eek 52</w:t>
      </w:r>
    </w:p>
    <w:p w14:paraId="175F2E1B" w14:textId="790207BE" w:rsidR="005103E1" w:rsidRDefault="0001135E" w:rsidP="005103E1">
      <w:r w:rsidRPr="0001135E">
        <w:rPr>
          <w:noProof/>
          <w:lang w:eastAsia="en-AU"/>
        </w:rPr>
        <w:drawing>
          <wp:inline distT="0" distB="0" distL="0" distR="0" wp14:anchorId="3E568727" wp14:editId="24EDE110">
            <wp:extent cx="5700727" cy="2297927"/>
            <wp:effectExtent l="0" t="0" r="0" b="7620"/>
            <wp:docPr id="12" name="Picture 12" descr="Study RGB1023O31 Change in L2 to L4 bone mineral density from Baseline to We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r="5763" b="18569"/>
                    <a:stretch/>
                  </pic:blipFill>
                  <pic:spPr bwMode="auto">
                    <a:xfrm>
                      <a:off x="0" y="0"/>
                      <a:ext cx="5706046" cy="2300071"/>
                    </a:xfrm>
                    <a:prstGeom prst="rect">
                      <a:avLst/>
                    </a:prstGeom>
                    <a:ln>
                      <a:noFill/>
                    </a:ln>
                    <a:extLst>
                      <a:ext uri="{53640926-AAD7-44D8-BBD7-CCE9431645EC}">
                        <a14:shadowObscured xmlns:a14="http://schemas.microsoft.com/office/drawing/2010/main"/>
                      </a:ext>
                    </a:extLst>
                  </pic:spPr>
                </pic:pic>
              </a:graphicData>
            </a:graphic>
          </wp:inline>
        </w:drawing>
      </w:r>
    </w:p>
    <w:p w14:paraId="5DF00C77" w14:textId="5A53DC2C" w:rsidR="0001135E" w:rsidRDefault="0001135E" w:rsidP="0001135E">
      <w:pPr>
        <w:pStyle w:val="TableDescription"/>
      </w:pPr>
      <w:r>
        <w:t>a = Mean percent change in lumbar spine (L2 to L4) BMD adjusted for baseline lumbar spine (L2 to L4) BMD and prior bisphosphonate status</w:t>
      </w:r>
    </w:p>
    <w:p w14:paraId="4AF6C18E" w14:textId="6C808076" w:rsidR="0001135E" w:rsidRDefault="0001135E" w:rsidP="0001135E">
      <w:pPr>
        <w:pStyle w:val="TableDescription"/>
      </w:pPr>
      <w:r>
        <w:t xml:space="preserve">b = RGB-10 Group – </w:t>
      </w:r>
      <w:proofErr w:type="spellStart"/>
      <w:r>
        <w:t>Forteo</w:t>
      </w:r>
      <w:proofErr w:type="spellEnd"/>
      <w:r>
        <w:t xml:space="preserve"> group</w:t>
      </w:r>
    </w:p>
    <w:p w14:paraId="7BD03A78" w14:textId="3A642CCE" w:rsidR="00B821AA" w:rsidRDefault="00B821AA" w:rsidP="00B821AA">
      <w:r>
        <w:t>Results for the absolute change in lumbar spine (L2 to L4) BMD showed a similar pattern to that for the primary efficacy parameter (</w:t>
      </w:r>
      <w:r w:rsidR="00E20C17">
        <w:t xml:space="preserve">see </w:t>
      </w:r>
      <w:r>
        <w:fldChar w:fldCharType="begin"/>
      </w:r>
      <w:r>
        <w:instrText xml:space="preserve"> REF _Ref60746627 \h </w:instrText>
      </w:r>
      <w:r>
        <w:fldChar w:fldCharType="separate"/>
      </w:r>
      <w:r w:rsidR="00B72ABE" w:rsidRPr="00B821AA">
        <w:t xml:space="preserve">Figure </w:t>
      </w:r>
      <w:r w:rsidR="00B72ABE">
        <w:rPr>
          <w:noProof/>
        </w:rPr>
        <w:t>3</w:t>
      </w:r>
      <w:r>
        <w:fldChar w:fldCharType="end"/>
      </w:r>
      <w:r w:rsidR="00E20C17">
        <w:t>, below</w:t>
      </w:r>
      <w:r>
        <w:t>). Results for the outcome measures for L1 to L4 BMD showed a pattern of change consistent with that observed for L2 to L4. There was no significant difference between the two groups, there was a small arithmetic difference between the groups of between 0.3</w:t>
      </w:r>
      <w:r w:rsidR="00334ECD">
        <w:t xml:space="preserve"> to </w:t>
      </w:r>
      <w:r>
        <w:t xml:space="preserve">0.5% slightly favouring the </w:t>
      </w:r>
      <w:proofErr w:type="spellStart"/>
      <w:r>
        <w:t>F</w:t>
      </w:r>
      <w:r w:rsidR="00C93BF5">
        <w:t>orteo</w:t>
      </w:r>
      <w:proofErr w:type="spellEnd"/>
      <w:r>
        <w:t xml:space="preserve"> group.</w:t>
      </w:r>
    </w:p>
    <w:p w14:paraId="7E601429" w14:textId="7F1AE875" w:rsidR="00B821AA" w:rsidRDefault="00B821AA" w:rsidP="00B821AA">
      <w:r>
        <w:t xml:space="preserve">Measurement of femoral neck and proximal femoral BMD showed increases of BMD over the treatment period which were of lesser magnitude, </w:t>
      </w:r>
      <w:r w:rsidR="00CB6671">
        <w:t>approximately 1% increase from B</w:t>
      </w:r>
      <w:r>
        <w:t>aseline, not significantly different between the groups but again with a slight arithmetic difference favouring the reference group.</w:t>
      </w:r>
    </w:p>
    <w:p w14:paraId="46F271CA" w14:textId="220FCCD0" w:rsidR="00B821AA" w:rsidRDefault="00CB6671" w:rsidP="00B821AA">
      <w:r>
        <w:t>Serum P1NP rose markedly from B</w:t>
      </w:r>
      <w:r w:rsidR="00B821AA">
        <w:t>aseline in both groups, at 52 weeks by a mean of 269.8% in the test group and 230.9 % in the reference group. The rise was progressive over time and showed marked inter-individual variation.</w:t>
      </w:r>
    </w:p>
    <w:p w14:paraId="3B83748A" w14:textId="0A8EB502" w:rsidR="00B821AA" w:rsidRDefault="00B821AA" w:rsidP="00B821AA">
      <w:r>
        <w:t>A small number of vertebral and non-vertebral fractures occurred during the treatment period, but there was no significant difference in the incidence of these between the test and reference groups. The total number of fractures of various types of classification was the same in each group.</w:t>
      </w:r>
    </w:p>
    <w:p w14:paraId="698B628F" w14:textId="6625E6E5" w:rsidR="00B821AA" w:rsidRDefault="00B821AA" w:rsidP="00B821AA">
      <w:pPr>
        <w:pStyle w:val="FigureTitle"/>
      </w:pPr>
      <w:bookmarkStart w:id="44" w:name="_Ref60746627"/>
      <w:r w:rsidRPr="00B821AA">
        <w:t xml:space="preserve">Figure </w:t>
      </w:r>
      <w:r w:rsidR="00F14D69">
        <w:fldChar w:fldCharType="begin"/>
      </w:r>
      <w:r w:rsidR="00F14D69">
        <w:instrText xml:space="preserve"> SEQ Figure \* ARABIC </w:instrText>
      </w:r>
      <w:r w:rsidR="00F14D69">
        <w:fldChar w:fldCharType="separate"/>
      </w:r>
      <w:r w:rsidR="00B72ABE">
        <w:rPr>
          <w:noProof/>
        </w:rPr>
        <w:t>3</w:t>
      </w:r>
      <w:r w:rsidR="00F14D69">
        <w:rPr>
          <w:noProof/>
        </w:rPr>
        <w:fldChar w:fldCharType="end"/>
      </w:r>
      <w:bookmarkEnd w:id="44"/>
      <w:r>
        <w:t xml:space="preserve">: </w:t>
      </w:r>
      <w:r w:rsidRPr="005103E1">
        <w:t>Study RGB1023O31</w:t>
      </w:r>
      <w:r>
        <w:t xml:space="preserve"> </w:t>
      </w:r>
      <w:r w:rsidRPr="00FB0285">
        <w:rPr>
          <w:lang w:eastAsia="ja-JP"/>
        </w:rPr>
        <w:t>Pattern of abs</w:t>
      </w:r>
      <w:r w:rsidR="00C93BF5">
        <w:rPr>
          <w:lang w:eastAsia="ja-JP"/>
        </w:rPr>
        <w:t>olute change in lumbar spine bone mineral density</w:t>
      </w:r>
    </w:p>
    <w:p w14:paraId="25A778F9" w14:textId="5D3F7141" w:rsidR="00B821AA" w:rsidRDefault="00196669" w:rsidP="00B821AA">
      <w:r w:rsidRPr="00196669">
        <w:rPr>
          <w:noProof/>
          <w:lang w:eastAsia="en-AU"/>
        </w:rPr>
        <w:drawing>
          <wp:inline distT="0" distB="0" distL="0" distR="0" wp14:anchorId="65E8AA85" wp14:editId="46663613">
            <wp:extent cx="4071068" cy="3724405"/>
            <wp:effectExtent l="0" t="0" r="5715" b="9525"/>
            <wp:docPr id="1" name="Picture 1" descr="Study RGB1023O31 Pattern of absolute change in lumbar spine bone mineral d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073690" cy="3726804"/>
                    </a:xfrm>
                    <a:prstGeom prst="rect">
                      <a:avLst/>
                    </a:prstGeom>
                  </pic:spPr>
                </pic:pic>
              </a:graphicData>
            </a:graphic>
          </wp:inline>
        </w:drawing>
      </w:r>
    </w:p>
    <w:p w14:paraId="2A432631" w14:textId="77777777" w:rsidR="00432773" w:rsidRDefault="00432773" w:rsidP="00432773">
      <w:pPr>
        <w:pStyle w:val="Heading4"/>
      </w:pPr>
      <w:r>
        <w:t>Safety</w:t>
      </w:r>
    </w:p>
    <w:p w14:paraId="6D1CFDD7" w14:textId="5544249A" w:rsidR="00432773" w:rsidRDefault="00432773" w:rsidP="00432773">
      <w:r>
        <w:t xml:space="preserve">Terrosa is yet to be marketed, therefore exposure is limited to the </w:t>
      </w:r>
      <w:r w:rsidR="00E20C17">
        <w:t>two</w:t>
      </w:r>
      <w:r>
        <w:t xml:space="preserve"> clinical studies presented in the submission. No integrated analysis of safety was performed. In Study</w:t>
      </w:r>
      <w:r w:rsidR="00E20C17">
        <w:t> </w:t>
      </w:r>
      <w:r>
        <w:t xml:space="preserve">RGB-10-001, the total exposure was </w:t>
      </w:r>
      <w:r w:rsidR="001F7A82">
        <w:t>54</w:t>
      </w:r>
      <w:r>
        <w:t xml:space="preserve"> patient days. In Study RGB1023O31, the total exposure was 39,383 patient days or 107.9 patient years.</w:t>
      </w:r>
    </w:p>
    <w:p w14:paraId="362D25C1" w14:textId="746E3166" w:rsidR="00B821AA" w:rsidRDefault="00432773" w:rsidP="00432773">
      <w:r>
        <w:t xml:space="preserve">In Study RGB-10-001, AEs reported in &gt; 10% of all subjects are shown in Table </w:t>
      </w:r>
      <w:r w:rsidR="00E20C17">
        <w:t>6, below</w:t>
      </w:r>
      <w:r>
        <w:t xml:space="preserve">. There was a clear trend for the AE are dependent on completion of the product (nausea, vomiting, dizziness, headache and </w:t>
      </w:r>
      <w:proofErr w:type="spellStart"/>
      <w:r>
        <w:t>presyncope</w:t>
      </w:r>
      <w:proofErr w:type="spellEnd"/>
      <w:r>
        <w:t>) to occ</w:t>
      </w:r>
      <w:r w:rsidR="004C1DBD">
        <w:t>ur less commonly with RGB-10</w:t>
      </w:r>
      <w:r>
        <w:t xml:space="preserve"> than with </w:t>
      </w:r>
      <w:proofErr w:type="spellStart"/>
      <w:r>
        <w:t>Forteo</w:t>
      </w:r>
      <w:proofErr w:type="spellEnd"/>
      <w:r>
        <w:t>. This could be related to the arithmetically lower exposure for Terrosa shown in PK Study RGB-10-001 for AEs that are PK dependent.</w:t>
      </w:r>
    </w:p>
    <w:p w14:paraId="5DCF640F" w14:textId="2EE5E952" w:rsidR="00432773" w:rsidRDefault="00432773" w:rsidP="00432773">
      <w:pPr>
        <w:pStyle w:val="TableTitle"/>
        <w:rPr>
          <w:lang w:eastAsia="ja-JP"/>
        </w:rPr>
      </w:pPr>
      <w:bookmarkStart w:id="45" w:name="_Ref60749024"/>
      <w:r w:rsidRPr="00432773">
        <w:t xml:space="preserve">Table </w:t>
      </w:r>
      <w:r w:rsidR="00F14D69">
        <w:fldChar w:fldCharType="begin"/>
      </w:r>
      <w:r w:rsidR="00F14D69">
        <w:instrText xml:space="preserve"> SEQ Table \* ARABIC </w:instrText>
      </w:r>
      <w:r w:rsidR="00F14D69">
        <w:fldChar w:fldCharType="separate"/>
      </w:r>
      <w:r w:rsidR="00B72ABE">
        <w:rPr>
          <w:noProof/>
        </w:rPr>
        <w:t>6</w:t>
      </w:r>
      <w:r w:rsidR="00F14D69">
        <w:rPr>
          <w:noProof/>
        </w:rPr>
        <w:fldChar w:fldCharType="end"/>
      </w:r>
      <w:bookmarkEnd w:id="45"/>
      <w:r>
        <w:t xml:space="preserve">: Study </w:t>
      </w:r>
      <w:r>
        <w:rPr>
          <w:lang w:eastAsia="ja-JP"/>
        </w:rPr>
        <w:t>RGB-10-001 Adverse events reported i</w:t>
      </w:r>
      <w:r w:rsidRPr="00703C67">
        <w:rPr>
          <w:lang w:eastAsia="ja-JP"/>
        </w:rPr>
        <w:t xml:space="preserve">n </w:t>
      </w:r>
      <w:r w:rsidR="00703C67" w:rsidRPr="00703C67">
        <w:rPr>
          <w:lang w:eastAsia="ja-JP"/>
        </w:rPr>
        <w:t>≥</w:t>
      </w:r>
      <w:r w:rsidRPr="00703C67">
        <w:rPr>
          <w:lang w:eastAsia="ja-JP"/>
        </w:rPr>
        <w:t xml:space="preserve"> 10</w:t>
      </w:r>
      <w:r>
        <w:rPr>
          <w:lang w:eastAsia="ja-JP"/>
        </w:rPr>
        <w:t>% of all subjects</w:t>
      </w:r>
    </w:p>
    <w:p w14:paraId="0BF65FA6" w14:textId="4B8B07E5" w:rsidR="00432773" w:rsidRDefault="007B4EB6" w:rsidP="00432773">
      <w:r w:rsidRPr="007B4EB6">
        <w:rPr>
          <w:noProof/>
          <w:lang w:eastAsia="en-AU"/>
        </w:rPr>
        <w:drawing>
          <wp:inline distT="0" distB="0" distL="0" distR="0" wp14:anchorId="2FBAC697" wp14:editId="5FB772D2">
            <wp:extent cx="5400040" cy="2464904"/>
            <wp:effectExtent l="0" t="0" r="0" b="0"/>
            <wp:docPr id="10" name="Picture 10" descr="Study RGB-10-001 Adverse events reported in ≥ 10% of all sub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b="5600"/>
                    <a:stretch/>
                  </pic:blipFill>
                  <pic:spPr bwMode="auto">
                    <a:xfrm>
                      <a:off x="0" y="0"/>
                      <a:ext cx="5400040" cy="2464904"/>
                    </a:xfrm>
                    <a:prstGeom prst="rect">
                      <a:avLst/>
                    </a:prstGeom>
                    <a:ln>
                      <a:noFill/>
                    </a:ln>
                    <a:extLst>
                      <a:ext uri="{53640926-AAD7-44D8-BBD7-CCE9431645EC}">
                        <a14:shadowObscured xmlns:a14="http://schemas.microsoft.com/office/drawing/2010/main"/>
                      </a:ext>
                    </a:extLst>
                  </pic:spPr>
                </pic:pic>
              </a:graphicData>
            </a:graphic>
          </wp:inline>
        </w:drawing>
      </w:r>
    </w:p>
    <w:p w14:paraId="3331F401" w14:textId="167EB5B9" w:rsidR="004C1DBD" w:rsidRDefault="004C1DBD" w:rsidP="004C1DBD">
      <w:r>
        <w:t>In Study RGB 1023O31 26.0% of subjects had received prior treatment for osteoporosis, 4.4% had received prior treatment with bisphosphonate. Subjects who had previously used another p</w:t>
      </w:r>
      <w:r w:rsidRPr="004C1DBD">
        <w:t xml:space="preserve">arathyroid hormone </w:t>
      </w:r>
      <w:r>
        <w:t xml:space="preserve">(PTH) preparation were excluded from the study. A high proportion of subjects in both test and reference groups reported some form of AE (85.6% in each group). The incidence of AE and their qualitative distribution was similar whether the trial subjects were administered teriparatide as the biosimilar RGB-10 product or the reference </w:t>
      </w:r>
      <w:proofErr w:type="spellStart"/>
      <w:r>
        <w:t>Forteo</w:t>
      </w:r>
      <w:proofErr w:type="spellEnd"/>
      <w:r>
        <w:t xml:space="preserve"> product.</w:t>
      </w:r>
    </w:p>
    <w:p w14:paraId="1E6AA494" w14:textId="133A7E5E" w:rsidR="004C1DBD" w:rsidRDefault="004C1DBD" w:rsidP="004C1DBD">
      <w:r>
        <w:t xml:space="preserve">No deaths occurred in either study. No serious adverse events (SAE) occurred during Study RGB-10-001. In Study RGB 1023O31, SAEs, other than death, during the treatment and the follow-up periods occurred in 2.4% (3 out of 125) of the subjects in the RGB-10 group and 4.8% (6 out of 125) of the subjects in the </w:t>
      </w:r>
      <w:proofErr w:type="spellStart"/>
      <w:r>
        <w:t>Forteo</w:t>
      </w:r>
      <w:proofErr w:type="spellEnd"/>
      <w:r>
        <w:t xml:space="preserve"> group. None of the SAEs were considered to</w:t>
      </w:r>
      <w:r w:rsidR="00703C67">
        <w:t xml:space="preserve"> be adverse drug reactions (ADR</w:t>
      </w:r>
      <w:r>
        <w:t>).</w:t>
      </w:r>
    </w:p>
    <w:p w14:paraId="7C388FEA" w14:textId="66892997" w:rsidR="004C1DBD" w:rsidRDefault="004C1DBD" w:rsidP="004C1DBD">
      <w:r>
        <w:t>In Study RGB 1023O31, anti-teriparatide antibody level w</w:t>
      </w:r>
      <w:r w:rsidR="00E51AB4">
        <w:t>as measured in all subjects at Baseline and W</w:t>
      </w:r>
      <w:r>
        <w:t xml:space="preserve">eek 52. No positive results were found in the </w:t>
      </w:r>
      <w:r w:rsidR="001F7A82">
        <w:t>RGB-10 ,</w:t>
      </w:r>
      <w:r w:rsidR="00E51AB4">
        <w:t xml:space="preserve">group, by comparison with 2 out of </w:t>
      </w:r>
      <w:r>
        <w:t xml:space="preserve">125 of the reference </w:t>
      </w:r>
      <w:proofErr w:type="spellStart"/>
      <w:r>
        <w:t>Forteo</w:t>
      </w:r>
      <w:proofErr w:type="spellEnd"/>
      <w:r>
        <w:t xml:space="preserve"> group, one o</w:t>
      </w:r>
      <w:r w:rsidR="00CB6671">
        <w:t>f whom also tested positive at B</w:t>
      </w:r>
      <w:r>
        <w:t>aseline</w:t>
      </w:r>
      <w:r w:rsidR="00E20C17">
        <w:t>.</w:t>
      </w:r>
    </w:p>
    <w:p w14:paraId="20F5EF28" w14:textId="132D9665" w:rsidR="004C1DBD" w:rsidRDefault="003134FD" w:rsidP="004C1DBD">
      <w:r>
        <w:t>In long term S</w:t>
      </w:r>
      <w:r w:rsidR="004C1DBD">
        <w:t xml:space="preserve">tudy RGB 1023O31, hypercalcaemia was observed in a single patient treated with RGB-10 and not at all in the reference group. The AE was classified as mild and recovered spontaneously. The </w:t>
      </w:r>
      <w:r w:rsidR="00E20C17">
        <w:t xml:space="preserve">clinical </w:t>
      </w:r>
      <w:r w:rsidR="00E51AB4">
        <w:t>study report (</w:t>
      </w:r>
      <w:r w:rsidR="004C1DBD">
        <w:t>CSR</w:t>
      </w:r>
      <w:r w:rsidR="00E51AB4">
        <w:t>)</w:t>
      </w:r>
      <w:r w:rsidR="004C1DBD">
        <w:t xml:space="preserve"> did not report</w:t>
      </w:r>
      <w:r w:rsidR="00E51AB4">
        <w:t xml:space="preserve"> any cases of hypocalcaemia or </w:t>
      </w:r>
      <w:r w:rsidR="004C1DBD">
        <w:t>decreased serum calcium.</w:t>
      </w:r>
    </w:p>
    <w:p w14:paraId="0314B454" w14:textId="58509FAC" w:rsidR="004C1DBD" w:rsidRPr="00B821AA" w:rsidRDefault="004C1DBD" w:rsidP="004C1DBD">
      <w:r>
        <w:t>The submitted clinical studies revealed no new safety signals attributable to the biosimilar product, nor does it show any difference in AEs between the two products over 52 weeks of treatment, except for a possible minor trend for non-serious adverse effects to be less common with Terrosa, p</w:t>
      </w:r>
      <w:r w:rsidR="00E51AB4">
        <w:t>erhaps attributable to the lesse</w:t>
      </w:r>
      <w:r>
        <w:t xml:space="preserve">r PK exposure figures found for that product. The </w:t>
      </w:r>
      <w:r w:rsidR="00E20C17">
        <w:t xml:space="preserve">clinical </w:t>
      </w:r>
      <w:r>
        <w:t xml:space="preserve">evaluator concluded that Terrosa is safe for use in the same clinical setting as applies to the existing product </w:t>
      </w:r>
      <w:proofErr w:type="spellStart"/>
      <w:r>
        <w:t>Forteo</w:t>
      </w:r>
      <w:proofErr w:type="spellEnd"/>
      <w:r>
        <w:t>.</w:t>
      </w:r>
    </w:p>
    <w:p w14:paraId="06976B03" w14:textId="51A9F415" w:rsidR="007D53B6" w:rsidRDefault="00386150" w:rsidP="00E51AB4">
      <w:pPr>
        <w:pStyle w:val="Heading3"/>
        <w:rPr>
          <w:lang w:eastAsia="en-AU"/>
        </w:rPr>
      </w:pPr>
      <w:bookmarkStart w:id="46" w:name="_Toc63088097"/>
      <w:r>
        <w:rPr>
          <w:lang w:eastAsia="en-AU"/>
        </w:rPr>
        <w:t>Risk m</w:t>
      </w:r>
      <w:r w:rsidR="008E7846">
        <w:rPr>
          <w:lang w:eastAsia="en-AU"/>
        </w:rPr>
        <w:t xml:space="preserve">anagement </w:t>
      </w:r>
      <w:r>
        <w:rPr>
          <w:lang w:eastAsia="en-AU"/>
        </w:rPr>
        <w:t>p</w:t>
      </w:r>
      <w:r w:rsidR="008E7846">
        <w:rPr>
          <w:lang w:eastAsia="en-AU"/>
        </w:rPr>
        <w:t>lan</w:t>
      </w:r>
      <w:bookmarkEnd w:id="39"/>
      <w:bookmarkEnd w:id="46"/>
    </w:p>
    <w:p w14:paraId="62DA20B9" w14:textId="46A0AE4E" w:rsidR="00E51AB4" w:rsidRDefault="00E51AB4" w:rsidP="007D53B6">
      <w:r>
        <w:t>The sponsor submitted EU-risk management plan (R</w:t>
      </w:r>
      <w:r w:rsidRPr="00E51AB4">
        <w:t>MP</w:t>
      </w:r>
      <w:r>
        <w:t>)</w:t>
      </w:r>
      <w:r w:rsidRPr="00E51AB4">
        <w:t xml:space="preserve"> version 2.0 (date</w:t>
      </w:r>
      <w:r w:rsidR="00E20C17">
        <w:t>d</w:t>
      </w:r>
      <w:r w:rsidRPr="00E51AB4">
        <w:t xml:space="preserve"> 28 June 2019; </w:t>
      </w:r>
      <w:r>
        <w:t>data lock point (</w:t>
      </w:r>
      <w:r w:rsidRPr="00E51AB4">
        <w:t>DLP</w:t>
      </w:r>
      <w:r>
        <w:t>)</w:t>
      </w:r>
      <w:r w:rsidRPr="00E51AB4">
        <w:t xml:space="preserve"> 8 April 2019) and A</w:t>
      </w:r>
      <w:r>
        <w:t xml:space="preserve">ustralia </w:t>
      </w:r>
      <w:r w:rsidR="00E20C17">
        <w:t>s</w:t>
      </w:r>
      <w:r>
        <w:t>pecific Annex (AS</w:t>
      </w:r>
      <w:r w:rsidRPr="00E51AB4">
        <w:t>A</w:t>
      </w:r>
      <w:r>
        <w:t>)</w:t>
      </w:r>
      <w:r w:rsidRPr="00E51AB4">
        <w:t xml:space="preserve"> version 1.0 (date</w:t>
      </w:r>
      <w:r w:rsidR="00E20C17">
        <w:t>d </w:t>
      </w:r>
      <w:r w:rsidRPr="00E51AB4">
        <w:t>7 November 2019) in support of this application</w:t>
      </w:r>
      <w:r>
        <w:t xml:space="preserve">. The sponsor then submitted </w:t>
      </w:r>
      <w:r w:rsidRPr="00E51AB4">
        <w:t>EU RMP version 2.1 (date 18 June 2020; DLP 10 June 2020) and an ASA version 2.0 (date 24 June 2020) with the response</w:t>
      </w:r>
      <w:r>
        <w:t xml:space="preserve"> to TGA questions</w:t>
      </w:r>
      <w:r w:rsidRPr="00E51AB4">
        <w:t>. T</w:t>
      </w:r>
      <w:r>
        <w:t>errosa</w:t>
      </w:r>
      <w:r w:rsidRPr="00E51AB4">
        <w:t xml:space="preserve"> will be self-administered by patients and the ASA states that the </w:t>
      </w:r>
      <w:r>
        <w:t>consumer medicine information (</w:t>
      </w:r>
      <w:r w:rsidRPr="00E51AB4">
        <w:t>CMI</w:t>
      </w:r>
      <w:r>
        <w:t>)</w:t>
      </w:r>
      <w:r w:rsidRPr="00E51AB4">
        <w:t xml:space="preserve"> and </w:t>
      </w:r>
      <w:r w:rsidR="000F1844">
        <w:t>instruction for use (</w:t>
      </w:r>
      <w:r w:rsidRPr="00E51AB4">
        <w:t>IFU</w:t>
      </w:r>
      <w:r w:rsidR="000F1844">
        <w:t>)</w:t>
      </w:r>
      <w:r w:rsidRPr="00E51AB4">
        <w:t xml:space="preserve"> will be included in each pack. The RMP evaluator considered the summary of saf</w:t>
      </w:r>
      <w:r w:rsidR="000F1844">
        <w:t>ety concerns acceptable (</w:t>
      </w:r>
      <w:r w:rsidR="000F1844">
        <w:fldChar w:fldCharType="begin"/>
      </w:r>
      <w:r w:rsidR="000F1844">
        <w:instrText xml:space="preserve"> REF _Ref60749024 \h </w:instrText>
      </w:r>
      <w:r w:rsidR="000F1844">
        <w:fldChar w:fldCharType="separate"/>
      </w:r>
      <w:r w:rsidR="00B72ABE" w:rsidRPr="00432773">
        <w:t xml:space="preserve">Table </w:t>
      </w:r>
      <w:r w:rsidR="00B72ABE">
        <w:rPr>
          <w:noProof/>
        </w:rPr>
        <w:t>6</w:t>
      </w:r>
      <w:r w:rsidR="000F1844">
        <w:fldChar w:fldCharType="end"/>
      </w:r>
      <w:r w:rsidRPr="00E51AB4">
        <w:t xml:space="preserve">). Routine pharmacovigilance and risk minimisation activities have been proposed. In addition, the </w:t>
      </w:r>
      <w:r w:rsidR="000F1844">
        <w:t>sponsor has proposed a patient consent f</w:t>
      </w:r>
      <w:r w:rsidRPr="00E51AB4">
        <w:t>orm to obtain informed consent, in order to ensure that the risks ass</w:t>
      </w:r>
      <w:r w:rsidR="000F1844">
        <w:t xml:space="preserve">ociated with the product and 24 </w:t>
      </w:r>
      <w:r w:rsidRPr="00E51AB4">
        <w:t>month</w:t>
      </w:r>
      <w:r w:rsidR="000F1844">
        <w:t>s</w:t>
      </w:r>
      <w:r w:rsidRPr="00E51AB4">
        <w:t xml:space="preserve"> lifetime limit on treatment is understood by the patient. This is consistent with the reference product </w:t>
      </w:r>
      <w:proofErr w:type="spellStart"/>
      <w:r w:rsidRPr="00E51AB4">
        <w:t>F</w:t>
      </w:r>
      <w:r w:rsidR="000F1844">
        <w:t>orteo</w:t>
      </w:r>
      <w:proofErr w:type="spellEnd"/>
      <w:r w:rsidRPr="00E51AB4">
        <w:t xml:space="preserve"> patient consent form requirements. The RMP evaluator has requested changes to the wording of the proposed consent form.</w:t>
      </w:r>
    </w:p>
    <w:p w14:paraId="79F10C28" w14:textId="5721F491" w:rsidR="007D53B6" w:rsidRDefault="007D53B6" w:rsidP="007D53B6">
      <w:r>
        <w:t>The summary of safety concerns and their associated risk monitoring and mitigation strat</w:t>
      </w:r>
      <w:r w:rsidR="000F1844">
        <w:t xml:space="preserve">egies are summarised in </w:t>
      </w:r>
      <w:r w:rsidR="000F1844">
        <w:fldChar w:fldCharType="begin"/>
      </w:r>
      <w:r w:rsidR="000F1844">
        <w:instrText xml:space="preserve"> REF _Ref60749153 \h </w:instrText>
      </w:r>
      <w:r w:rsidR="000F1844">
        <w:fldChar w:fldCharType="separate"/>
      </w:r>
      <w:r w:rsidR="00B72ABE" w:rsidRPr="000F1844">
        <w:t xml:space="preserve">Table </w:t>
      </w:r>
      <w:r w:rsidR="00B72ABE">
        <w:rPr>
          <w:noProof/>
        </w:rPr>
        <w:t>7</w:t>
      </w:r>
      <w:r w:rsidR="000F1844">
        <w:fldChar w:fldCharType="end"/>
      </w:r>
      <w:r>
        <w:t>.</w:t>
      </w:r>
      <w:r>
        <w:rPr>
          <w:rStyle w:val="FootnoteReference"/>
        </w:rPr>
        <w:footnoteReference w:id="7"/>
      </w:r>
    </w:p>
    <w:p w14:paraId="03300B81" w14:textId="08A5036F" w:rsidR="000F1844" w:rsidRDefault="000F1844" w:rsidP="000F1844">
      <w:pPr>
        <w:pStyle w:val="TableTitle"/>
      </w:pPr>
      <w:bookmarkStart w:id="47" w:name="_Ref60749153"/>
      <w:r w:rsidRPr="000F1844">
        <w:t xml:space="preserve">Table </w:t>
      </w:r>
      <w:r w:rsidR="00F14D69">
        <w:fldChar w:fldCharType="begin"/>
      </w:r>
      <w:r w:rsidR="00F14D69">
        <w:instrText xml:space="preserve"> SEQ Table \* ARABIC </w:instrText>
      </w:r>
      <w:r w:rsidR="00F14D69">
        <w:fldChar w:fldCharType="separate"/>
      </w:r>
      <w:r w:rsidR="00B72ABE">
        <w:rPr>
          <w:noProof/>
        </w:rPr>
        <w:t>7</w:t>
      </w:r>
      <w:r w:rsidR="00F14D69">
        <w:rPr>
          <w:noProof/>
        </w:rPr>
        <w:fldChar w:fldCharType="end"/>
      </w:r>
      <w:bookmarkEnd w:id="47"/>
      <w:r>
        <w:t>: Summary of safety concerns</w:t>
      </w:r>
    </w:p>
    <w:tbl>
      <w:tblPr>
        <w:tblStyle w:val="TableTGAblue"/>
        <w:tblW w:w="5000" w:type="pct"/>
        <w:tblLook w:val="04A0" w:firstRow="1" w:lastRow="0" w:firstColumn="1" w:lastColumn="0" w:noHBand="0" w:noVBand="1"/>
      </w:tblPr>
      <w:tblGrid>
        <w:gridCol w:w="1578"/>
        <w:gridCol w:w="1778"/>
        <w:gridCol w:w="1230"/>
        <w:gridCol w:w="1452"/>
        <w:gridCol w:w="1230"/>
        <w:gridCol w:w="1452"/>
      </w:tblGrid>
      <w:tr w:rsidR="000F1844" w:rsidRPr="000A546D" w14:paraId="3DA46D26" w14:textId="77777777" w:rsidTr="000F1844">
        <w:trPr>
          <w:cnfStyle w:val="100000000000" w:firstRow="1" w:lastRow="0" w:firstColumn="0" w:lastColumn="0" w:oddVBand="0" w:evenVBand="0" w:oddHBand="0" w:evenHBand="0" w:firstRowFirstColumn="0" w:firstRowLastColumn="0" w:lastRowFirstColumn="0" w:lastRowLastColumn="0"/>
          <w:trHeight w:val="131"/>
        </w:trPr>
        <w:tc>
          <w:tcPr>
            <w:tcW w:w="2078" w:type="pct"/>
            <w:gridSpan w:val="2"/>
            <w:vMerge w:val="restart"/>
            <w:tcBorders>
              <w:top w:val="single" w:sz="4" w:space="0" w:color="auto"/>
              <w:left w:val="single" w:sz="4" w:space="0" w:color="auto"/>
              <w:bottom w:val="single" w:sz="4" w:space="0" w:color="auto"/>
              <w:right w:val="single" w:sz="4" w:space="0" w:color="auto"/>
            </w:tcBorders>
          </w:tcPr>
          <w:p w14:paraId="4A99372D" w14:textId="77777777" w:rsidR="000F1844" w:rsidRPr="000A546D" w:rsidRDefault="000F1844" w:rsidP="00CB6671">
            <w:pPr>
              <w:rPr>
                <w:b w:val="0"/>
                <w:sz w:val="20"/>
                <w:szCs w:val="20"/>
              </w:rPr>
            </w:pPr>
            <w:r w:rsidRPr="000A546D">
              <w:rPr>
                <w:sz w:val="20"/>
                <w:szCs w:val="20"/>
              </w:rPr>
              <w:t>Summary of safety concerns</w:t>
            </w:r>
          </w:p>
        </w:tc>
        <w:tc>
          <w:tcPr>
            <w:tcW w:w="1497" w:type="pct"/>
            <w:gridSpan w:val="2"/>
            <w:tcBorders>
              <w:top w:val="single" w:sz="4" w:space="0" w:color="auto"/>
              <w:left w:val="single" w:sz="4" w:space="0" w:color="auto"/>
              <w:bottom w:val="single" w:sz="4" w:space="0" w:color="auto"/>
              <w:right w:val="single" w:sz="4" w:space="0" w:color="auto"/>
            </w:tcBorders>
          </w:tcPr>
          <w:p w14:paraId="72E68E17" w14:textId="77777777" w:rsidR="000F1844" w:rsidRPr="000A546D" w:rsidRDefault="000F1844" w:rsidP="00CB6671">
            <w:pPr>
              <w:rPr>
                <w:b w:val="0"/>
                <w:sz w:val="20"/>
                <w:szCs w:val="20"/>
              </w:rPr>
            </w:pPr>
            <w:r w:rsidRPr="000A546D">
              <w:rPr>
                <w:sz w:val="20"/>
                <w:szCs w:val="20"/>
              </w:rPr>
              <w:t>Pharmacovigilance</w:t>
            </w:r>
          </w:p>
        </w:tc>
        <w:tc>
          <w:tcPr>
            <w:tcW w:w="1425" w:type="pct"/>
            <w:gridSpan w:val="2"/>
            <w:tcBorders>
              <w:top w:val="single" w:sz="4" w:space="0" w:color="auto"/>
              <w:left w:val="single" w:sz="4" w:space="0" w:color="auto"/>
              <w:bottom w:val="single" w:sz="4" w:space="0" w:color="auto"/>
              <w:right w:val="single" w:sz="4" w:space="0" w:color="auto"/>
            </w:tcBorders>
          </w:tcPr>
          <w:p w14:paraId="11E5F2E8" w14:textId="77777777" w:rsidR="000F1844" w:rsidRPr="000A546D" w:rsidRDefault="000F1844" w:rsidP="00CB6671">
            <w:pPr>
              <w:rPr>
                <w:b w:val="0"/>
                <w:sz w:val="20"/>
                <w:szCs w:val="20"/>
              </w:rPr>
            </w:pPr>
            <w:r w:rsidRPr="000A546D">
              <w:rPr>
                <w:sz w:val="20"/>
                <w:szCs w:val="20"/>
              </w:rPr>
              <w:t>Risk Minimisation</w:t>
            </w:r>
          </w:p>
        </w:tc>
      </w:tr>
      <w:tr w:rsidR="000F1844" w:rsidRPr="000A546D" w14:paraId="366A4BAB" w14:textId="77777777" w:rsidTr="000F1844">
        <w:trPr>
          <w:trHeight w:val="150"/>
        </w:trPr>
        <w:tc>
          <w:tcPr>
            <w:tcW w:w="2078" w:type="pct"/>
            <w:gridSpan w:val="2"/>
            <w:vMerge/>
            <w:tcBorders>
              <w:top w:val="single" w:sz="4" w:space="0" w:color="auto"/>
              <w:left w:val="single" w:sz="4" w:space="0" w:color="auto"/>
              <w:bottom w:val="single" w:sz="4" w:space="0" w:color="auto"/>
              <w:right w:val="single" w:sz="4" w:space="0" w:color="auto"/>
            </w:tcBorders>
          </w:tcPr>
          <w:p w14:paraId="67FC0D7D" w14:textId="77777777" w:rsidR="000F1844" w:rsidRPr="000A546D" w:rsidRDefault="000F1844" w:rsidP="00CB6671">
            <w:pPr>
              <w:rPr>
                <w:sz w:val="20"/>
                <w:szCs w:val="20"/>
              </w:rPr>
            </w:pPr>
          </w:p>
        </w:tc>
        <w:tc>
          <w:tcPr>
            <w:tcW w:w="748" w:type="pct"/>
            <w:tcBorders>
              <w:top w:val="single" w:sz="4" w:space="0" w:color="auto"/>
              <w:left w:val="single" w:sz="4" w:space="0" w:color="auto"/>
              <w:bottom w:val="single" w:sz="4" w:space="0" w:color="auto"/>
              <w:right w:val="single" w:sz="4" w:space="0" w:color="auto"/>
            </w:tcBorders>
            <w:shd w:val="clear" w:color="auto" w:fill="006DA7"/>
          </w:tcPr>
          <w:p w14:paraId="4B9E6793" w14:textId="77777777" w:rsidR="000F1844" w:rsidRPr="000A546D" w:rsidRDefault="000F1844" w:rsidP="00CB6671">
            <w:pPr>
              <w:rPr>
                <w:color w:val="FFFFFF" w:themeColor="background1"/>
                <w:sz w:val="20"/>
                <w:szCs w:val="20"/>
              </w:rPr>
            </w:pPr>
            <w:r w:rsidRPr="000A546D">
              <w:rPr>
                <w:color w:val="FFFFFF" w:themeColor="background1"/>
                <w:sz w:val="20"/>
                <w:szCs w:val="20"/>
              </w:rPr>
              <w:t>Routine</w:t>
            </w:r>
          </w:p>
        </w:tc>
        <w:tc>
          <w:tcPr>
            <w:tcW w:w="749" w:type="pct"/>
            <w:tcBorders>
              <w:top w:val="single" w:sz="4" w:space="0" w:color="auto"/>
              <w:left w:val="single" w:sz="4" w:space="0" w:color="auto"/>
              <w:bottom w:val="single" w:sz="4" w:space="0" w:color="auto"/>
              <w:right w:val="single" w:sz="4" w:space="0" w:color="auto"/>
            </w:tcBorders>
            <w:shd w:val="clear" w:color="auto" w:fill="006DA7"/>
          </w:tcPr>
          <w:p w14:paraId="16F85336" w14:textId="77777777" w:rsidR="000F1844" w:rsidRPr="000A546D" w:rsidRDefault="000F1844" w:rsidP="00CB6671">
            <w:pPr>
              <w:rPr>
                <w:color w:val="FFFFFF" w:themeColor="background1"/>
                <w:sz w:val="20"/>
                <w:szCs w:val="20"/>
              </w:rPr>
            </w:pPr>
            <w:r w:rsidRPr="000A546D">
              <w:rPr>
                <w:color w:val="FFFFFF" w:themeColor="background1"/>
                <w:sz w:val="20"/>
                <w:szCs w:val="20"/>
              </w:rPr>
              <w:t>Additional</w:t>
            </w:r>
          </w:p>
        </w:tc>
        <w:tc>
          <w:tcPr>
            <w:tcW w:w="673" w:type="pct"/>
            <w:tcBorders>
              <w:top w:val="single" w:sz="4" w:space="0" w:color="auto"/>
              <w:left w:val="single" w:sz="4" w:space="0" w:color="auto"/>
              <w:bottom w:val="single" w:sz="4" w:space="0" w:color="auto"/>
              <w:right w:val="single" w:sz="4" w:space="0" w:color="auto"/>
            </w:tcBorders>
            <w:shd w:val="clear" w:color="auto" w:fill="006DA7"/>
          </w:tcPr>
          <w:p w14:paraId="4F9D0C2B" w14:textId="77777777" w:rsidR="000F1844" w:rsidRPr="000A546D" w:rsidRDefault="000F1844" w:rsidP="00CB6671">
            <w:pPr>
              <w:rPr>
                <w:color w:val="FFFFFF" w:themeColor="background1"/>
                <w:sz w:val="20"/>
                <w:szCs w:val="20"/>
              </w:rPr>
            </w:pPr>
            <w:r w:rsidRPr="000A546D">
              <w:rPr>
                <w:color w:val="FFFFFF" w:themeColor="background1"/>
                <w:sz w:val="20"/>
                <w:szCs w:val="20"/>
              </w:rPr>
              <w:t>Routine</w:t>
            </w:r>
          </w:p>
        </w:tc>
        <w:tc>
          <w:tcPr>
            <w:tcW w:w="751" w:type="pct"/>
            <w:tcBorders>
              <w:top w:val="single" w:sz="4" w:space="0" w:color="auto"/>
              <w:left w:val="single" w:sz="4" w:space="0" w:color="auto"/>
              <w:bottom w:val="single" w:sz="4" w:space="0" w:color="auto"/>
              <w:right w:val="single" w:sz="4" w:space="0" w:color="auto"/>
            </w:tcBorders>
            <w:shd w:val="clear" w:color="auto" w:fill="006DA7"/>
          </w:tcPr>
          <w:p w14:paraId="56E8A762" w14:textId="77777777" w:rsidR="000F1844" w:rsidRPr="000A546D" w:rsidRDefault="000F1844" w:rsidP="00CB6671">
            <w:pPr>
              <w:rPr>
                <w:color w:val="FFFFFF" w:themeColor="background1"/>
                <w:sz w:val="20"/>
                <w:szCs w:val="20"/>
              </w:rPr>
            </w:pPr>
            <w:r w:rsidRPr="000A546D">
              <w:rPr>
                <w:color w:val="FFFFFF" w:themeColor="background1"/>
                <w:sz w:val="20"/>
                <w:szCs w:val="20"/>
              </w:rPr>
              <w:t>Additional</w:t>
            </w:r>
          </w:p>
        </w:tc>
      </w:tr>
      <w:tr w:rsidR="000F1844" w:rsidRPr="000A546D" w14:paraId="4D50BFD6" w14:textId="77777777" w:rsidTr="000F1844">
        <w:trPr>
          <w:trHeight w:val="137"/>
        </w:trPr>
        <w:tc>
          <w:tcPr>
            <w:tcW w:w="806" w:type="pct"/>
            <w:tcBorders>
              <w:top w:val="single" w:sz="4" w:space="0" w:color="auto"/>
            </w:tcBorders>
          </w:tcPr>
          <w:p w14:paraId="26E5BCA2" w14:textId="77777777" w:rsidR="000F1844" w:rsidRPr="000A546D" w:rsidRDefault="000F1844" w:rsidP="00CB6671">
            <w:pPr>
              <w:rPr>
                <w:sz w:val="20"/>
                <w:szCs w:val="20"/>
              </w:rPr>
            </w:pPr>
            <w:r w:rsidRPr="000A546D">
              <w:rPr>
                <w:sz w:val="20"/>
                <w:szCs w:val="20"/>
              </w:rPr>
              <w:t>Important identified risks</w:t>
            </w:r>
          </w:p>
        </w:tc>
        <w:tc>
          <w:tcPr>
            <w:tcW w:w="1273" w:type="pct"/>
            <w:tcBorders>
              <w:top w:val="single" w:sz="4" w:space="0" w:color="auto"/>
            </w:tcBorders>
          </w:tcPr>
          <w:p w14:paraId="568260B3" w14:textId="77777777" w:rsidR="000F1844" w:rsidRPr="000A546D" w:rsidRDefault="000F1844" w:rsidP="00CB6671">
            <w:pPr>
              <w:rPr>
                <w:sz w:val="20"/>
                <w:szCs w:val="20"/>
              </w:rPr>
            </w:pPr>
            <w:r w:rsidRPr="000A546D">
              <w:rPr>
                <w:sz w:val="20"/>
                <w:szCs w:val="20"/>
              </w:rPr>
              <w:t>None</w:t>
            </w:r>
          </w:p>
        </w:tc>
        <w:tc>
          <w:tcPr>
            <w:tcW w:w="748" w:type="pct"/>
            <w:tcBorders>
              <w:top w:val="single" w:sz="4" w:space="0" w:color="auto"/>
            </w:tcBorders>
          </w:tcPr>
          <w:p w14:paraId="62C4A8AA" w14:textId="77777777" w:rsidR="000F1844" w:rsidRPr="000A546D" w:rsidRDefault="000F1844" w:rsidP="00CB6671">
            <w:pPr>
              <w:rPr>
                <w:color w:val="auto"/>
                <w:sz w:val="20"/>
                <w:szCs w:val="20"/>
              </w:rPr>
            </w:pPr>
          </w:p>
        </w:tc>
        <w:tc>
          <w:tcPr>
            <w:tcW w:w="749" w:type="pct"/>
            <w:tcBorders>
              <w:top w:val="single" w:sz="4" w:space="0" w:color="auto"/>
            </w:tcBorders>
          </w:tcPr>
          <w:p w14:paraId="2D876258" w14:textId="77777777" w:rsidR="000F1844" w:rsidRPr="000A546D" w:rsidRDefault="000F1844" w:rsidP="00CB6671">
            <w:pPr>
              <w:rPr>
                <w:color w:val="auto"/>
                <w:sz w:val="20"/>
                <w:szCs w:val="20"/>
              </w:rPr>
            </w:pPr>
          </w:p>
        </w:tc>
        <w:tc>
          <w:tcPr>
            <w:tcW w:w="673" w:type="pct"/>
            <w:tcBorders>
              <w:top w:val="single" w:sz="4" w:space="0" w:color="auto"/>
            </w:tcBorders>
          </w:tcPr>
          <w:p w14:paraId="3DD4829D" w14:textId="77777777" w:rsidR="000F1844" w:rsidRPr="000A546D" w:rsidRDefault="000F1844" w:rsidP="00CB6671">
            <w:pPr>
              <w:rPr>
                <w:color w:val="auto"/>
                <w:sz w:val="20"/>
                <w:szCs w:val="20"/>
              </w:rPr>
            </w:pPr>
          </w:p>
        </w:tc>
        <w:tc>
          <w:tcPr>
            <w:tcW w:w="751" w:type="pct"/>
            <w:tcBorders>
              <w:top w:val="single" w:sz="4" w:space="0" w:color="auto"/>
            </w:tcBorders>
          </w:tcPr>
          <w:p w14:paraId="1CA3A72A" w14:textId="77777777" w:rsidR="000F1844" w:rsidRPr="000A546D" w:rsidRDefault="000F1844" w:rsidP="00CB6671">
            <w:pPr>
              <w:rPr>
                <w:color w:val="auto"/>
                <w:sz w:val="20"/>
                <w:szCs w:val="20"/>
              </w:rPr>
            </w:pPr>
          </w:p>
        </w:tc>
      </w:tr>
      <w:tr w:rsidR="000F1844" w:rsidRPr="000A546D" w14:paraId="124BB259" w14:textId="77777777" w:rsidTr="000F1844">
        <w:trPr>
          <w:trHeight w:val="159"/>
        </w:trPr>
        <w:tc>
          <w:tcPr>
            <w:tcW w:w="806" w:type="pct"/>
          </w:tcPr>
          <w:p w14:paraId="2DDC5CD2" w14:textId="77777777" w:rsidR="000F1844" w:rsidRPr="000A546D" w:rsidRDefault="000F1844" w:rsidP="00CB6671">
            <w:pPr>
              <w:rPr>
                <w:color w:val="auto"/>
                <w:sz w:val="20"/>
                <w:szCs w:val="20"/>
              </w:rPr>
            </w:pPr>
            <w:r w:rsidRPr="000A546D">
              <w:rPr>
                <w:color w:val="auto"/>
                <w:sz w:val="20"/>
                <w:szCs w:val="20"/>
              </w:rPr>
              <w:t>Important potential risks</w:t>
            </w:r>
          </w:p>
        </w:tc>
        <w:tc>
          <w:tcPr>
            <w:tcW w:w="1273" w:type="pct"/>
          </w:tcPr>
          <w:p w14:paraId="79E1A33A" w14:textId="77777777" w:rsidR="000F1844" w:rsidRPr="000A546D" w:rsidRDefault="000F1844" w:rsidP="00CB6671">
            <w:pPr>
              <w:rPr>
                <w:color w:val="auto"/>
                <w:sz w:val="20"/>
                <w:szCs w:val="20"/>
              </w:rPr>
            </w:pPr>
            <w:r w:rsidRPr="000A546D">
              <w:rPr>
                <w:color w:val="auto"/>
                <w:sz w:val="20"/>
                <w:szCs w:val="20"/>
              </w:rPr>
              <w:t>Osteosarcoma</w:t>
            </w:r>
          </w:p>
        </w:tc>
        <w:tc>
          <w:tcPr>
            <w:tcW w:w="748" w:type="pct"/>
          </w:tcPr>
          <w:p w14:paraId="603FD816" w14:textId="77777777" w:rsidR="000F1844" w:rsidRPr="000A546D" w:rsidRDefault="000F1844" w:rsidP="00CB6671">
            <w:pPr>
              <w:rPr>
                <w:color w:val="auto"/>
                <w:sz w:val="20"/>
                <w:szCs w:val="20"/>
              </w:rPr>
            </w:pPr>
            <w:r w:rsidRPr="000A546D">
              <w:rPr>
                <w:color w:val="auto"/>
                <w:sz w:val="20"/>
                <w:szCs w:val="20"/>
              </w:rPr>
              <w:sym w:font="Wingdings" w:char="F0FC"/>
            </w:r>
            <w:r w:rsidRPr="000A546D">
              <w:rPr>
                <w:color w:val="auto"/>
                <w:sz w:val="20"/>
                <w:szCs w:val="20"/>
              </w:rPr>
              <w:t>*</w:t>
            </w:r>
          </w:p>
        </w:tc>
        <w:tc>
          <w:tcPr>
            <w:tcW w:w="749" w:type="pct"/>
          </w:tcPr>
          <w:p w14:paraId="0C51B31D" w14:textId="77777777" w:rsidR="000F1844" w:rsidRPr="000A546D" w:rsidRDefault="000F1844" w:rsidP="00CB6671">
            <w:pPr>
              <w:rPr>
                <w:color w:val="auto"/>
                <w:sz w:val="20"/>
                <w:szCs w:val="20"/>
              </w:rPr>
            </w:pPr>
            <w:r w:rsidRPr="000A546D">
              <w:rPr>
                <w:color w:val="auto"/>
                <w:sz w:val="20"/>
                <w:szCs w:val="20"/>
              </w:rPr>
              <w:t>–</w:t>
            </w:r>
          </w:p>
        </w:tc>
        <w:tc>
          <w:tcPr>
            <w:tcW w:w="673" w:type="pct"/>
          </w:tcPr>
          <w:p w14:paraId="35512153" w14:textId="77777777" w:rsidR="000F1844" w:rsidRPr="000A546D" w:rsidRDefault="000F1844" w:rsidP="00CB6671">
            <w:pPr>
              <w:rPr>
                <w:color w:val="auto"/>
                <w:sz w:val="20"/>
                <w:szCs w:val="20"/>
              </w:rPr>
            </w:pPr>
            <w:r w:rsidRPr="000A546D">
              <w:rPr>
                <w:color w:val="auto"/>
                <w:sz w:val="20"/>
                <w:szCs w:val="20"/>
              </w:rPr>
              <w:sym w:font="Wingdings" w:char="F0FC"/>
            </w:r>
          </w:p>
        </w:tc>
        <w:tc>
          <w:tcPr>
            <w:tcW w:w="751" w:type="pct"/>
          </w:tcPr>
          <w:p w14:paraId="04783310" w14:textId="77777777" w:rsidR="000F1844" w:rsidRPr="000A546D" w:rsidRDefault="000F1844" w:rsidP="00CB6671">
            <w:pPr>
              <w:rPr>
                <w:color w:val="auto"/>
                <w:sz w:val="20"/>
                <w:szCs w:val="20"/>
              </w:rPr>
            </w:pPr>
            <w:r w:rsidRPr="000A546D">
              <w:rPr>
                <w:color w:val="auto"/>
                <w:sz w:val="20"/>
                <w:szCs w:val="20"/>
              </w:rPr>
              <w:sym w:font="Wingdings" w:char="F0FC"/>
            </w:r>
            <w:r w:rsidRPr="000A546D">
              <w:rPr>
                <w:color w:val="auto"/>
                <w:sz w:val="20"/>
                <w:szCs w:val="20"/>
                <w:vertAlign w:val="superscript"/>
              </w:rPr>
              <w:t>#</w:t>
            </w:r>
          </w:p>
        </w:tc>
      </w:tr>
      <w:tr w:rsidR="000F1844" w:rsidRPr="000A546D" w14:paraId="432B7677" w14:textId="77777777" w:rsidTr="000F1844">
        <w:trPr>
          <w:trHeight w:val="178"/>
        </w:trPr>
        <w:tc>
          <w:tcPr>
            <w:tcW w:w="806" w:type="pct"/>
          </w:tcPr>
          <w:p w14:paraId="7D05C962" w14:textId="77777777" w:rsidR="000F1844" w:rsidRPr="000A546D" w:rsidRDefault="000F1844" w:rsidP="00CB6671">
            <w:pPr>
              <w:rPr>
                <w:color w:val="auto"/>
                <w:sz w:val="20"/>
                <w:szCs w:val="20"/>
              </w:rPr>
            </w:pPr>
            <w:r w:rsidRPr="000A546D">
              <w:rPr>
                <w:color w:val="auto"/>
                <w:sz w:val="20"/>
                <w:szCs w:val="20"/>
              </w:rPr>
              <w:t>Missing information</w:t>
            </w:r>
          </w:p>
        </w:tc>
        <w:tc>
          <w:tcPr>
            <w:tcW w:w="1273" w:type="pct"/>
          </w:tcPr>
          <w:p w14:paraId="620BB8A0" w14:textId="77777777" w:rsidR="000F1844" w:rsidRPr="000A546D" w:rsidRDefault="000F1844" w:rsidP="00CB6671">
            <w:pPr>
              <w:rPr>
                <w:color w:val="auto"/>
                <w:sz w:val="20"/>
                <w:szCs w:val="20"/>
              </w:rPr>
            </w:pPr>
            <w:r w:rsidRPr="000A546D">
              <w:rPr>
                <w:color w:val="auto"/>
                <w:sz w:val="20"/>
                <w:szCs w:val="20"/>
              </w:rPr>
              <w:t>None</w:t>
            </w:r>
          </w:p>
        </w:tc>
        <w:tc>
          <w:tcPr>
            <w:tcW w:w="748" w:type="pct"/>
          </w:tcPr>
          <w:p w14:paraId="76B6AE0F" w14:textId="77777777" w:rsidR="000F1844" w:rsidRPr="000A546D" w:rsidRDefault="000F1844" w:rsidP="00CB6671">
            <w:pPr>
              <w:rPr>
                <w:color w:val="auto"/>
                <w:sz w:val="20"/>
                <w:szCs w:val="20"/>
              </w:rPr>
            </w:pPr>
          </w:p>
        </w:tc>
        <w:tc>
          <w:tcPr>
            <w:tcW w:w="749" w:type="pct"/>
          </w:tcPr>
          <w:p w14:paraId="594070C8" w14:textId="77777777" w:rsidR="000F1844" w:rsidRPr="000A546D" w:rsidRDefault="000F1844" w:rsidP="00CB6671">
            <w:pPr>
              <w:rPr>
                <w:color w:val="auto"/>
                <w:sz w:val="20"/>
                <w:szCs w:val="20"/>
              </w:rPr>
            </w:pPr>
          </w:p>
        </w:tc>
        <w:tc>
          <w:tcPr>
            <w:tcW w:w="673" w:type="pct"/>
          </w:tcPr>
          <w:p w14:paraId="183381E6" w14:textId="77777777" w:rsidR="000F1844" w:rsidRPr="000A546D" w:rsidRDefault="000F1844" w:rsidP="00CB6671">
            <w:pPr>
              <w:rPr>
                <w:color w:val="auto"/>
                <w:sz w:val="20"/>
                <w:szCs w:val="20"/>
              </w:rPr>
            </w:pPr>
          </w:p>
        </w:tc>
        <w:tc>
          <w:tcPr>
            <w:tcW w:w="751" w:type="pct"/>
          </w:tcPr>
          <w:p w14:paraId="0B0B14D9" w14:textId="77777777" w:rsidR="000F1844" w:rsidRPr="000A546D" w:rsidRDefault="000F1844" w:rsidP="00CB6671">
            <w:pPr>
              <w:rPr>
                <w:color w:val="auto"/>
                <w:sz w:val="20"/>
                <w:szCs w:val="20"/>
              </w:rPr>
            </w:pPr>
          </w:p>
        </w:tc>
      </w:tr>
    </w:tbl>
    <w:p w14:paraId="02CE07E7" w14:textId="77777777" w:rsidR="00F14D69" w:rsidRDefault="000F1844" w:rsidP="000F1844">
      <w:pPr>
        <w:pStyle w:val="TableDescription"/>
      </w:pPr>
      <w:r w:rsidRPr="000F1844">
        <w:t>*Follow–up form</w:t>
      </w:r>
    </w:p>
    <w:p w14:paraId="5EDD8794" w14:textId="5D403214" w:rsidR="000F1844" w:rsidRDefault="000F1844" w:rsidP="000F1844">
      <w:pPr>
        <w:pStyle w:val="TableDescription"/>
      </w:pPr>
      <w:r>
        <w:t># Patient consent f</w:t>
      </w:r>
      <w:r w:rsidRPr="000F1844">
        <w:t>orm</w:t>
      </w:r>
    </w:p>
    <w:p w14:paraId="6877D914" w14:textId="35C44BFE" w:rsidR="000F1844" w:rsidRDefault="000F1844" w:rsidP="000F1844">
      <w:pPr>
        <w:pStyle w:val="Heading4"/>
      </w:pPr>
      <w:r>
        <w:t>RMP evaluator recommendations regarding conditions of registration</w:t>
      </w:r>
    </w:p>
    <w:p w14:paraId="4743A7B4" w14:textId="5BC9D998" w:rsidR="000F1844" w:rsidRDefault="000F1844" w:rsidP="000F1844">
      <w:pPr>
        <w:pStyle w:val="ListBullet"/>
      </w:pPr>
      <w:r>
        <w:t>The Terrosa EU-</w:t>
      </w:r>
      <w:r w:rsidR="00703C67">
        <w:t xml:space="preserve"> </w:t>
      </w:r>
      <w:r>
        <w:t xml:space="preserve">RMP (version 2.1, dated 18 June 2020; DLP 10 June 2020), with </w:t>
      </w:r>
      <w:r w:rsidR="00703C67">
        <w:t>ASA</w:t>
      </w:r>
      <w:r>
        <w:t xml:space="preserve"> (version 2.0, dated 24 June 2020), included with submission PM-2019-05333-1-5, and any subsequent revisions, as agreed with the TGA will be implemented in Australia.</w:t>
      </w:r>
    </w:p>
    <w:p w14:paraId="35CFCF56" w14:textId="32B89CC3" w:rsidR="000F1844" w:rsidRDefault="000F1844" w:rsidP="000F1844">
      <w:pPr>
        <w:pStyle w:val="ListBullet"/>
        <w:numPr>
          <w:ilvl w:val="0"/>
          <w:numId w:val="0"/>
        </w:numPr>
        <w:ind w:left="360"/>
      </w:pPr>
      <w:r>
        <w:t>An obligatory component of risk management plans is routine pharmacovigilance. Routine pharmacovigilance includes the submission of perio</w:t>
      </w:r>
      <w:r w:rsidR="00703C67">
        <w:t>dic safety update reports (PSUR</w:t>
      </w:r>
      <w:r w:rsidR="00334ECD">
        <w:t>s</w:t>
      </w:r>
      <w:r>
        <w:t>).</w:t>
      </w:r>
    </w:p>
    <w:p w14:paraId="54CFF7CF" w14:textId="77777777" w:rsidR="000F1844" w:rsidRDefault="000F1844" w:rsidP="000F1844">
      <w:pPr>
        <w:pStyle w:val="ListBullet"/>
        <w:numPr>
          <w:ilvl w:val="0"/>
          <w:numId w:val="0"/>
        </w:numPr>
        <w:ind w:left="360"/>
      </w:pPr>
      <w:r>
        <w:t>Reports are to be provided in line with the current published list of EU reference dates and frequency of submission of PSURs until the period covered by such reports is not less than three years from the date of this approval letter.</w:t>
      </w:r>
    </w:p>
    <w:p w14:paraId="3319DB06" w14:textId="474C4A6C" w:rsidR="000F1844" w:rsidRPr="000F1844" w:rsidRDefault="000F1844" w:rsidP="000F1844">
      <w:pPr>
        <w:pStyle w:val="ListBullet"/>
        <w:numPr>
          <w:ilvl w:val="0"/>
          <w:numId w:val="0"/>
        </w:numPr>
        <w:ind w:left="360"/>
      </w:pPr>
      <w: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5DCE0D54" w14:textId="77777777" w:rsidR="008E7846" w:rsidRDefault="00AA0ED0" w:rsidP="008E7846">
      <w:pPr>
        <w:pStyle w:val="Heading3"/>
      </w:pPr>
      <w:bookmarkStart w:id="48" w:name="_Toc247691531"/>
      <w:bookmarkStart w:id="49" w:name="_Toc314842515"/>
      <w:bookmarkStart w:id="50" w:name="_Toc196046505"/>
      <w:bookmarkStart w:id="51" w:name="_Toc196046949"/>
      <w:bookmarkStart w:id="52" w:name="_Toc63088098"/>
      <w:r>
        <w:t>Risk-benefit a</w:t>
      </w:r>
      <w:r w:rsidR="008E7846">
        <w:t>nalysis</w:t>
      </w:r>
      <w:bookmarkEnd w:id="48"/>
      <w:bookmarkEnd w:id="49"/>
      <w:bookmarkEnd w:id="52"/>
    </w:p>
    <w:p w14:paraId="44E2386A" w14:textId="77777777" w:rsidR="00D23139" w:rsidRDefault="007D53B6" w:rsidP="00D23139">
      <w:pPr>
        <w:pStyle w:val="Heading4"/>
      </w:pPr>
      <w:r>
        <w:t>Delegate’s considerations</w:t>
      </w:r>
    </w:p>
    <w:p w14:paraId="02E7F501" w14:textId="789B5D71" w:rsidR="000F1844" w:rsidRDefault="000F1844" w:rsidP="000F1844">
      <w:r>
        <w:t xml:space="preserve">This is the first application the TGA has received to register a biosimilar for </w:t>
      </w:r>
      <w:proofErr w:type="spellStart"/>
      <w:r>
        <w:t>Forteo</w:t>
      </w:r>
      <w:proofErr w:type="spellEnd"/>
      <w:r>
        <w:t xml:space="preserve"> (teriparatide). The data provided was adequate to support the registration of Terrosa as a biosimilar to </w:t>
      </w:r>
      <w:proofErr w:type="spellStart"/>
      <w:r>
        <w:t>Forteo</w:t>
      </w:r>
      <w:proofErr w:type="spellEnd"/>
      <w:r>
        <w:t xml:space="preserve">. Comparisons of the EU, Japanese and Australian reference products met the TGA’s reference medicines requirements. The nonclinical program did not identify any clinically relevant differences between Terrosa and EU </w:t>
      </w:r>
      <w:proofErr w:type="spellStart"/>
      <w:r>
        <w:t>Forsteo</w:t>
      </w:r>
      <w:proofErr w:type="spellEnd"/>
      <w:r>
        <w:t>.</w:t>
      </w:r>
    </w:p>
    <w:p w14:paraId="17AED812" w14:textId="1D172F8A" w:rsidR="000F1844" w:rsidRDefault="000F1844" w:rsidP="000F1844">
      <w:r>
        <w:t xml:space="preserve">There were concerns that whilst Terrosa and </w:t>
      </w:r>
      <w:proofErr w:type="spellStart"/>
      <w:r>
        <w:t>Forsteo</w:t>
      </w:r>
      <w:proofErr w:type="spellEnd"/>
      <w:r>
        <w:t xml:space="preserve"> met the criteria for bioequivalence (the 94.12% CI for the ratio of means fell within the pre-specified 80 to 125% limits), the results did not include unity and the PK parameters showed a slight arithmetic difference in favour of the reference product. Both the peak level and total exposure were between 8</w:t>
      </w:r>
      <w:r w:rsidR="00E20C17">
        <w:t>%</w:t>
      </w:r>
      <w:r>
        <w:t xml:space="preserve"> to 10% lower, and half-life some 9% shorter, following the </w:t>
      </w:r>
      <w:r w:rsidR="007E4020">
        <w:t xml:space="preserve">administration of </w:t>
      </w:r>
      <w:r>
        <w:t>T</w:t>
      </w:r>
      <w:r w:rsidR="003D2716">
        <w:t xml:space="preserve">errosa compared to </w:t>
      </w:r>
      <w:proofErr w:type="spellStart"/>
      <w:r w:rsidR="003D2716">
        <w:t>Forsteo</w:t>
      </w:r>
      <w:proofErr w:type="spellEnd"/>
      <w:r w:rsidR="003D2716">
        <w:t>. In S</w:t>
      </w:r>
      <w:r>
        <w:t>tudy RGB1023O31 this lower exposure did not translate to a clinically significant difference in efficacy.</w:t>
      </w:r>
    </w:p>
    <w:p w14:paraId="156DAA29" w14:textId="26730343" w:rsidR="000F1844" w:rsidRPr="00456765" w:rsidRDefault="000F1844" w:rsidP="000F1844">
      <w:r>
        <w:t>The submitted clinical studies revealed no new safety signals attributable to the biosimilar product. There was no difference in AEs between the two products over 52 weeks of treatment, apart from a minor trend for non-serious adverse effects to be less common with Terrosa. This may be attributable to th</w:t>
      </w:r>
      <w:r w:rsidR="003D2716">
        <w:t>e lower exposure identified in S</w:t>
      </w:r>
      <w:r>
        <w:t>tudy</w:t>
      </w:r>
      <w:r w:rsidR="007E4020">
        <w:t> </w:t>
      </w:r>
      <w:r>
        <w:t>RGB</w:t>
      </w:r>
      <w:r w:rsidR="007E4020">
        <w:noBreakHyphen/>
      </w:r>
      <w:r>
        <w:t>10</w:t>
      </w:r>
      <w:r w:rsidR="007E4020">
        <w:noBreakHyphen/>
      </w:r>
      <w:r>
        <w:t>001</w:t>
      </w:r>
      <w:r w:rsidR="003D2716">
        <w:t>.</w:t>
      </w:r>
    </w:p>
    <w:p w14:paraId="1B1D5859" w14:textId="77777777" w:rsidR="00D23139" w:rsidRDefault="00D23139" w:rsidP="00D23139">
      <w:pPr>
        <w:pStyle w:val="Heading4"/>
      </w:pPr>
      <w:r w:rsidRPr="00D23139">
        <w:t>Proposed action</w:t>
      </w:r>
    </w:p>
    <w:p w14:paraId="64E44FF4" w14:textId="45302643" w:rsidR="003D2716" w:rsidRDefault="003D2716" w:rsidP="003D2716">
      <w:r>
        <w:t xml:space="preserve">The Delegate </w:t>
      </w:r>
      <w:r w:rsidRPr="003D2716">
        <w:t>propose</w:t>
      </w:r>
      <w:r>
        <w:t>s</w:t>
      </w:r>
      <w:r w:rsidRPr="003D2716">
        <w:t xml:space="preserve"> to approve the registration of T</w:t>
      </w:r>
      <w:r>
        <w:t>errosa (teriparatide 250 µ</w:t>
      </w:r>
      <w:r w:rsidRPr="003D2716">
        <w:t xml:space="preserve">g/mL, solution for injection, cartridge) as a new biosimilar of the reference product </w:t>
      </w:r>
      <w:proofErr w:type="spellStart"/>
      <w:r w:rsidRPr="003D2716">
        <w:t>F</w:t>
      </w:r>
      <w:r>
        <w:t>orteo</w:t>
      </w:r>
      <w:proofErr w:type="spellEnd"/>
      <w:r>
        <w:t xml:space="preserve"> </w:t>
      </w:r>
      <w:r w:rsidRPr="003D2716">
        <w:t>(teriparatide). The evidence for comparability supports the use of T</w:t>
      </w:r>
      <w:r>
        <w:t>errosa</w:t>
      </w:r>
      <w:r w:rsidRPr="003D2716">
        <w:t xml:space="preserve"> for the proposed indications</w:t>
      </w:r>
      <w:r>
        <w:t>.</w:t>
      </w:r>
    </w:p>
    <w:p w14:paraId="591DAE8B" w14:textId="77777777" w:rsidR="007E4020" w:rsidRPr="007E4020" w:rsidRDefault="007E4020" w:rsidP="007E4020">
      <w:pPr>
        <w:keepNext/>
        <w:spacing w:before="360" w:after="0" w:line="220" w:lineRule="atLeast"/>
        <w:outlineLvl w:val="3"/>
        <w:rPr>
          <w:b/>
          <w:bCs/>
          <w:szCs w:val="21"/>
        </w:rPr>
      </w:pPr>
      <w:r w:rsidRPr="007E4020">
        <w:rPr>
          <w:b/>
          <w:bCs/>
          <w:szCs w:val="21"/>
        </w:rPr>
        <w:t>Advisory Committee considerations</w:t>
      </w:r>
      <w:r w:rsidRPr="007E4020">
        <w:rPr>
          <w:b/>
          <w:bCs/>
          <w:szCs w:val="21"/>
          <w:vertAlign w:val="superscript"/>
        </w:rPr>
        <w:footnoteReference w:id="8"/>
      </w:r>
    </w:p>
    <w:p w14:paraId="6338B0AE" w14:textId="6565EEFD" w:rsidR="007E4020" w:rsidRPr="00456765" w:rsidRDefault="007E4020" w:rsidP="003D2716">
      <w:r w:rsidRPr="007D53B6">
        <w:t>The Delegate did not refer this application to the Advisory Committee on Medicines (ACM) for advice.</w:t>
      </w:r>
    </w:p>
    <w:p w14:paraId="7230414D" w14:textId="77777777" w:rsidR="008E7846" w:rsidRPr="002E238E" w:rsidRDefault="008E7846" w:rsidP="008E7846">
      <w:pPr>
        <w:pStyle w:val="Heading3"/>
      </w:pPr>
      <w:bookmarkStart w:id="53" w:name="_Toc247691532"/>
      <w:bookmarkStart w:id="54" w:name="_Toc314842516"/>
      <w:bookmarkStart w:id="55" w:name="_Toc63088099"/>
      <w:bookmarkEnd w:id="29"/>
      <w:bookmarkEnd w:id="50"/>
      <w:bookmarkEnd w:id="51"/>
      <w:r>
        <w:t>Outcome</w:t>
      </w:r>
      <w:bookmarkEnd w:id="53"/>
      <w:bookmarkEnd w:id="54"/>
      <w:bookmarkEnd w:id="55"/>
    </w:p>
    <w:p w14:paraId="40461F4F" w14:textId="63147130" w:rsidR="00744121" w:rsidRDefault="00744121" w:rsidP="00744121">
      <w:bookmarkStart w:id="56" w:name="_Toc247691533"/>
      <w:bookmarkStart w:id="57" w:name="_Toc314842517"/>
      <w:r>
        <w:t xml:space="preserve">Based on a review of quality, safety and efficacy, the TGA approved the registration of </w:t>
      </w:r>
      <w:r w:rsidR="00304A9E" w:rsidRPr="003D2716">
        <w:t>T</w:t>
      </w:r>
      <w:r w:rsidR="00304A9E">
        <w:t>errosa (teriparatide) 250 µ</w:t>
      </w:r>
      <w:r w:rsidR="00304A9E" w:rsidRPr="003D2716">
        <w:t>g/mL, solution for injection, cartridge</w:t>
      </w:r>
      <w:r>
        <w:t xml:space="preserve">, indicated </w:t>
      </w:r>
      <w:r w:rsidR="00304A9E">
        <w:t>for</w:t>
      </w:r>
      <w:r>
        <w:t>:</w:t>
      </w:r>
    </w:p>
    <w:p w14:paraId="0629AE57" w14:textId="3DAE62FE" w:rsidR="00304A9E" w:rsidRPr="00304A9E" w:rsidRDefault="00304A9E" w:rsidP="00304A9E">
      <w:pPr>
        <w:ind w:left="720"/>
        <w:rPr>
          <w:i/>
        </w:rPr>
      </w:pPr>
      <w:r w:rsidRPr="00304A9E">
        <w:rPr>
          <w:i/>
        </w:rPr>
        <w:t>Terrosa is indicated for the treatment of osteoporosis in postmenopausal women and the treatment of primary osteoporosis in men when other agents are considered unsuitable and when there is a high risk of fractures.</w:t>
      </w:r>
    </w:p>
    <w:p w14:paraId="5D2BE8BF" w14:textId="3BFE20BA" w:rsidR="007D53B6" w:rsidRPr="00304A9E" w:rsidRDefault="00304A9E" w:rsidP="00304A9E">
      <w:pPr>
        <w:ind w:left="720"/>
        <w:rPr>
          <w:i/>
        </w:rPr>
      </w:pPr>
      <w:r w:rsidRPr="00304A9E">
        <w:rPr>
          <w:i/>
        </w:rPr>
        <w:t>Terrosa is indicated for the treatment of osteoporosis associated with sustained systemic glucocorticoid therapy in women and men at high risk for fracture.</w:t>
      </w:r>
    </w:p>
    <w:p w14:paraId="2C728B21" w14:textId="77777777" w:rsidR="00D23139" w:rsidRPr="00D23139" w:rsidRDefault="00D23139" w:rsidP="00D23139">
      <w:pPr>
        <w:pStyle w:val="Heading4"/>
      </w:pPr>
      <w:r w:rsidRPr="00D23139">
        <w:t>Specific conditions of registration applying to these goods</w:t>
      </w:r>
    </w:p>
    <w:p w14:paraId="770ABBA4" w14:textId="77777777" w:rsidR="00D71186" w:rsidRDefault="00D71186" w:rsidP="00D71186">
      <w:pPr>
        <w:pStyle w:val="ListBullet"/>
      </w:pPr>
      <w:r>
        <w:t>The Terrosa EU-RMP (version 2.1, dated 18 June 2020; DLP 10 June 2020), with ASA (version 2.0, dated 24 June 2020), included with submission PM-2019-05333-1-5, and any subsequent revisions, as agreed with the TGA will be implemented in Australia.</w:t>
      </w:r>
    </w:p>
    <w:p w14:paraId="7F9C3AAD" w14:textId="77777777" w:rsidR="00D71186" w:rsidRDefault="00D71186" w:rsidP="00D71186">
      <w:pPr>
        <w:pStyle w:val="ListBullet"/>
        <w:numPr>
          <w:ilvl w:val="0"/>
          <w:numId w:val="0"/>
        </w:numPr>
        <w:ind w:left="360"/>
      </w:pPr>
      <w:r>
        <w:t>An obligatory component of risk management plans is routine pharmacovigilance. Routine pharmacovigilance includes the submission of periodic safety update reports (PSURs).</w:t>
      </w:r>
    </w:p>
    <w:p w14:paraId="12896F18" w14:textId="77777777" w:rsidR="00D71186" w:rsidRDefault="00D71186" w:rsidP="00D71186">
      <w:pPr>
        <w:pStyle w:val="ListBullet"/>
        <w:numPr>
          <w:ilvl w:val="0"/>
          <w:numId w:val="0"/>
        </w:numPr>
        <w:ind w:left="360"/>
      </w:pPr>
      <w:r>
        <w:t>Reports are to be provided in line with the current published list of EU reference dates and frequency of submission of PSURs until the period covered by such reports is not less than three years from the date of this approval letter.</w:t>
      </w:r>
    </w:p>
    <w:p w14:paraId="6293A350" w14:textId="35C3F033" w:rsidR="00D71186" w:rsidRDefault="00D71186" w:rsidP="00D71186">
      <w:pPr>
        <w:pStyle w:val="ListBullet"/>
        <w:numPr>
          <w:ilvl w:val="0"/>
          <w:numId w:val="0"/>
        </w:numPr>
        <w:ind w:left="360"/>
      </w:pPr>
      <w: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56BAD18C" w14:textId="2DF058AF" w:rsidR="00D71186" w:rsidRDefault="00CB6671" w:rsidP="00D71186">
      <w:pPr>
        <w:pStyle w:val="ListBullet"/>
      </w:pPr>
      <w:r>
        <w:t>Laboratory testing and</w:t>
      </w:r>
      <w:r w:rsidR="00D71186">
        <w:t xml:space="preserve"> compliance with Certified Product Details</w:t>
      </w:r>
    </w:p>
    <w:p w14:paraId="57932EAD" w14:textId="1CE14FC8" w:rsidR="00D71186" w:rsidRDefault="00D71186" w:rsidP="00D71186">
      <w:pPr>
        <w:pStyle w:val="ListBullet2"/>
      </w:pPr>
      <w:r>
        <w:t>All batches of Terrosa supplied in Australia must comply with the product details and specifications approved during evaluation and detailed in the Certified Product Details (CPD).</w:t>
      </w:r>
    </w:p>
    <w:p w14:paraId="38E2963D" w14:textId="23A31B14" w:rsidR="00D71186" w:rsidRDefault="001D6CE4" w:rsidP="00D71186">
      <w:pPr>
        <w:pStyle w:val="ListBullet2"/>
      </w:pPr>
      <w:r>
        <w:t>When requested by the TGA, the s</w:t>
      </w:r>
      <w:r w:rsidR="00D71186">
        <w:t>ponsor should be prepared to provide product samples, specified reference materials and documentary evidence to enable the TGA to conduct laboratory testing on the Product. Outcomes of laboratory testing are published biannually in the TGA Database of Laboratory Testing Results http://www.tga.gov.au/ws-labs-index and periodically in testing reports on the TGA website.</w:t>
      </w:r>
    </w:p>
    <w:p w14:paraId="4DEFBB2B" w14:textId="77777777" w:rsidR="00D71186" w:rsidRDefault="00D71186" w:rsidP="00D71186">
      <w:pPr>
        <w:pStyle w:val="ListBullet"/>
      </w:pPr>
      <w:r>
        <w:t>Certified Product Details</w:t>
      </w:r>
    </w:p>
    <w:p w14:paraId="5DCA9CA2" w14:textId="2CDDDE45" w:rsidR="00D71186" w:rsidRDefault="00D71186" w:rsidP="00D71186">
      <w:pPr>
        <w:pStyle w:val="ListBullet2"/>
        <w:numPr>
          <w:ilvl w:val="0"/>
          <w:numId w:val="0"/>
        </w:numPr>
        <w:ind w:left="360"/>
      </w:pPr>
      <w:r>
        <w:t>The CPD, as described in Guidance 7: Certified Product Details of the Australian Regulatory Guidelines for Prescription Medicines (ARGPM) [http://www.tga.gov.au/industry/pm-argpm-guidance-7.htm], in PDF format, for the above products should be provided upon registration of these therapeutic goods. In addition, an updated CPD should be provided when changes to finished product specifications and test methods are approved in a Category 3 application or notified through a self-assessable change. The CPD should be emailed to Biochemistry.Testing@health.</w:t>
      </w:r>
      <w:r w:rsidR="00F74C66">
        <w:t>gov.au as a single PDF document.</w:t>
      </w:r>
    </w:p>
    <w:p w14:paraId="56A4CA9E" w14:textId="171F26E0" w:rsidR="00F74C66" w:rsidRPr="00D71186" w:rsidRDefault="00F74C66" w:rsidP="00F74C66">
      <w:pPr>
        <w:pStyle w:val="ListBullet"/>
      </w:pPr>
      <w:r w:rsidRPr="00F74C66">
        <w:t xml:space="preserve">For all injectable products </w:t>
      </w:r>
      <w:r>
        <w:t>the PI</w:t>
      </w:r>
      <w:r w:rsidRPr="00F74C66">
        <w:t xml:space="preserve"> must be included with the product as a package insert</w:t>
      </w:r>
      <w:r>
        <w:t>.</w:t>
      </w:r>
    </w:p>
    <w:p w14:paraId="176BF1FC" w14:textId="77777777" w:rsidR="008E7846" w:rsidRDefault="00A80B5B" w:rsidP="00D23139">
      <w:pPr>
        <w:pStyle w:val="Heading2"/>
      </w:pPr>
      <w:bookmarkStart w:id="58" w:name="_Toc63088100"/>
      <w:r>
        <w:t xml:space="preserve">Attachment 1. </w:t>
      </w:r>
      <w:r w:rsidR="008E7846">
        <w:t xml:space="preserve">Product </w:t>
      </w:r>
      <w:r w:rsidR="00AA0ED0">
        <w:t>I</w:t>
      </w:r>
      <w:r w:rsidR="008E7846">
        <w:t>nformation</w:t>
      </w:r>
      <w:bookmarkEnd w:id="56"/>
      <w:bookmarkEnd w:id="57"/>
      <w:bookmarkEnd w:id="58"/>
    </w:p>
    <w:p w14:paraId="232F20B9" w14:textId="26C7DD36" w:rsidR="00C80137" w:rsidRDefault="006136D7" w:rsidP="00C80137">
      <w:pPr>
        <w:rPr>
          <w:color w:val="000000"/>
          <w:lang w:eastAsia="en-AU"/>
        </w:rPr>
      </w:pPr>
      <w:r w:rsidRPr="002B3624">
        <w:t xml:space="preserve">The </w:t>
      </w:r>
      <w:r>
        <w:t>PI</w:t>
      </w:r>
      <w:r w:rsidRPr="002B3624">
        <w:t xml:space="preserve"> for </w:t>
      </w:r>
      <w:r w:rsidR="000F2D73" w:rsidRPr="000F2D73">
        <w:t>Terrosa</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3" w:history="1">
        <w:r w:rsidR="007C6B9B" w:rsidRPr="007C6B9B">
          <w:rPr>
            <w:rStyle w:val="Hyperlink"/>
          </w:rPr>
          <w:t>https://www.tga.gov.au/product-information-pi</w:t>
        </w:r>
      </w:hyperlink>
      <w:r w:rsidR="000F2D73">
        <w:t>&gt;.</w:t>
      </w:r>
    </w:p>
    <w:p w14:paraId="3C5D630C" w14:textId="56BF30F2" w:rsidR="00C80137" w:rsidRPr="001D043B" w:rsidRDefault="008E7846" w:rsidP="00E648FF">
      <w:pPr>
        <w:autoSpaceDE w:val="0"/>
        <w:autoSpaceDN w:val="0"/>
        <w:adjustRightInd w:val="0"/>
        <w:spacing w:after="0"/>
        <w:rPr>
          <w:lang w:eastAsia="ja-JP"/>
        </w:rPr>
        <w:sectPr w:rsidR="00C80137" w:rsidRPr="001D043B" w:rsidSect="00B452CE">
          <w:headerReference w:type="even" r:id="rId24"/>
          <w:headerReference w:type="default" r:id="rId25"/>
          <w:headerReference w:type="first" r:id="rId26"/>
          <w:footerReference w:type="first" r:id="rId27"/>
          <w:pgSz w:w="11906" w:h="16838" w:code="9"/>
          <w:pgMar w:top="834" w:right="1701" w:bottom="1191" w:left="1701" w:header="907" w:footer="216" w:gutter="0"/>
          <w:cols w:space="708"/>
          <w:docGrid w:linePitch="360"/>
        </w:sectPr>
      </w:pPr>
      <w:r w:rsidRPr="00C80137">
        <w:rPr>
          <w:b/>
        </w:rPr>
        <w:br w:type="page"/>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509CBD63" w14:textId="77777777" w:rsidTr="00A05FA4">
        <w:trPr>
          <w:trHeight w:hRule="exact" w:val="704"/>
        </w:trPr>
        <w:tc>
          <w:tcPr>
            <w:tcW w:w="9175" w:type="dxa"/>
          </w:tcPr>
          <w:p w14:paraId="65AD9E3F" w14:textId="77777777" w:rsidR="001C32CD" w:rsidRPr="00487162" w:rsidRDefault="001C32CD" w:rsidP="00A05FA4">
            <w:pPr>
              <w:pStyle w:val="TGASignoff"/>
            </w:pPr>
            <w:r w:rsidRPr="00487162">
              <w:t>Therapeutic Goods Administration</w:t>
            </w:r>
          </w:p>
        </w:tc>
      </w:tr>
      <w:tr w:rsidR="001C32CD" w:rsidRPr="004C239D" w14:paraId="3FC999E9" w14:textId="77777777" w:rsidTr="00A05FA4">
        <w:trPr>
          <w:trHeight w:val="1221"/>
        </w:trPr>
        <w:tc>
          <w:tcPr>
            <w:tcW w:w="9175" w:type="dxa"/>
            <w:tcMar>
              <w:top w:w="28" w:type="dxa"/>
            </w:tcMar>
          </w:tcPr>
          <w:p w14:paraId="281A6B63" w14:textId="77777777" w:rsidR="001C32CD" w:rsidRPr="00487162" w:rsidRDefault="001C32CD" w:rsidP="00A05FA4">
            <w:pPr>
              <w:pStyle w:val="Address"/>
            </w:pPr>
            <w:r w:rsidRPr="00487162">
              <w:t>PO Box 100 Woden ACT 2606 Australia</w:t>
            </w:r>
          </w:p>
          <w:p w14:paraId="18968870" w14:textId="5C7E1F8E" w:rsidR="001C32CD" w:rsidRPr="00487162" w:rsidRDefault="001C32CD" w:rsidP="00A05FA4">
            <w:pPr>
              <w:pStyle w:val="Address"/>
            </w:pPr>
            <w:r w:rsidRPr="00487162">
              <w:t xml:space="preserve">Email: </w:t>
            </w:r>
            <w:hyperlink r:id="rId28" w:history="1">
              <w:r w:rsidRPr="004C239D">
                <w:rPr>
                  <w:rStyle w:val="Hyperlink"/>
                </w:rPr>
                <w:t>info@tga.gov.au</w:t>
              </w:r>
            </w:hyperlink>
            <w:r w:rsidRPr="00487162">
              <w:t xml:space="preserve">  Phone: 1800 020 653  Fax: 02 6232 8605</w:t>
            </w:r>
          </w:p>
          <w:p w14:paraId="61FCF180" w14:textId="6D8D7A9A" w:rsidR="001C32CD" w:rsidRPr="004C239D" w:rsidRDefault="00F14D69" w:rsidP="00A05FA4">
            <w:pPr>
              <w:pStyle w:val="Address"/>
              <w:spacing w:line="260" w:lineRule="atLeast"/>
              <w:rPr>
                <w:b/>
                <w:color w:val="0000FF"/>
                <w:u w:val="single"/>
              </w:rPr>
            </w:pPr>
            <w:hyperlink r:id="rId29" w:history="1">
              <w:r w:rsidR="007C6B9B" w:rsidRPr="007C6B9B">
                <w:rPr>
                  <w:rStyle w:val="Hyperlink"/>
                  <w:b/>
                </w:rPr>
                <w:t>https://www.tga.gov.au</w:t>
              </w:r>
            </w:hyperlink>
          </w:p>
        </w:tc>
      </w:tr>
    </w:tbl>
    <w:p w14:paraId="34225464" w14:textId="77777777" w:rsidR="00774E1D" w:rsidRPr="008A5E0B" w:rsidRDefault="00774E1D" w:rsidP="004C239D"/>
    <w:sectPr w:rsidR="00774E1D" w:rsidRPr="008A5E0B" w:rsidSect="001C32CD">
      <w:headerReference w:type="even" r:id="rId30"/>
      <w:headerReference w:type="default" r:id="rId31"/>
      <w:footerReference w:type="default" r:id="rId32"/>
      <w:headerReference w:type="first" r:id="rId33"/>
      <w:footerReference w:type="first" r:id="rId34"/>
      <w:pgSz w:w="11906" w:h="16838" w:code="9"/>
      <w:pgMar w:top="13467" w:right="1701" w:bottom="426" w:left="1701" w:header="907"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7C9254" w16cid:durableId="23B13675"/>
  <w16cid:commentId w16cid:paraId="2D070DBB" w16cid:durableId="23AEADF8"/>
  <w16cid:commentId w16cid:paraId="15D48221" w16cid:durableId="23B13677"/>
  <w16cid:commentId w16cid:paraId="1B327D53" w16cid:durableId="23B08F47"/>
  <w16cid:commentId w16cid:paraId="32259FFE" w16cid:durableId="23B13679"/>
  <w16cid:commentId w16cid:paraId="1367AB83" w16cid:durableId="23B08D8C"/>
  <w16cid:commentId w16cid:paraId="783B2048" w16cid:durableId="23AEB56D"/>
  <w16cid:commentId w16cid:paraId="038032F5" w16cid:durableId="23B04F61"/>
  <w16cid:commentId w16cid:paraId="6C033013" w16cid:durableId="23B03FED"/>
  <w16cid:commentId w16cid:paraId="7DB12564" w16cid:durableId="23B0408C"/>
  <w16cid:commentId w16cid:paraId="55A983DF" w16cid:durableId="23B040BD"/>
  <w16cid:commentId w16cid:paraId="6D4B4579" w16cid:durableId="23B136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2F847" w14:textId="77777777" w:rsidR="00DF54C8" w:rsidRDefault="00DF54C8" w:rsidP="00C40A36">
      <w:pPr>
        <w:spacing w:after="0"/>
      </w:pPr>
      <w:r>
        <w:separator/>
      </w:r>
    </w:p>
  </w:endnote>
  <w:endnote w:type="continuationSeparator" w:id="0">
    <w:p w14:paraId="0F6CDB27" w14:textId="77777777" w:rsidR="00DF54C8" w:rsidRDefault="00DF54C8"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1102E" w14:textId="77777777" w:rsidR="00D3543E" w:rsidRDefault="00D35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DF54C8" w:rsidRPr="00487162" w14:paraId="72EBC52E" w14:textId="77777777" w:rsidTr="00DB750B">
      <w:trPr>
        <w:trHeight w:val="269"/>
      </w:trPr>
      <w:tc>
        <w:tcPr>
          <w:tcW w:w="7371" w:type="dxa"/>
          <w:tcMar>
            <w:top w:w="142" w:type="dxa"/>
            <w:bottom w:w="0" w:type="dxa"/>
          </w:tcMar>
        </w:tcPr>
        <w:p w14:paraId="66300099" w14:textId="44D636D0" w:rsidR="00DF54C8" w:rsidRPr="00487162" w:rsidRDefault="00DF54C8" w:rsidP="00DF54C8">
          <w:pPr>
            <w:pStyle w:val="Footer"/>
          </w:pPr>
          <w:r w:rsidRPr="00487162">
            <w:t>AusPA</w:t>
          </w:r>
          <w:r>
            <w:t>R - Terrosa – teriparatide</w:t>
          </w:r>
          <w:r w:rsidRPr="00460036">
            <w:t xml:space="preserve"> </w:t>
          </w:r>
          <w:r>
            <w:t xml:space="preserve">– </w:t>
          </w:r>
          <w:proofErr w:type="spellStart"/>
          <w:r>
            <w:t>Gedeon</w:t>
          </w:r>
          <w:proofErr w:type="spellEnd"/>
          <w:r>
            <w:t xml:space="preserve"> Richter Australia Pty Ltd PM-2019-05333-1-5</w:t>
          </w:r>
          <w:r>
            <w:br/>
            <w:t>FINAL 27 January 2021</w:t>
          </w:r>
        </w:p>
      </w:tc>
      <w:tc>
        <w:tcPr>
          <w:tcW w:w="1490" w:type="dxa"/>
          <w:tcMar>
            <w:top w:w="142" w:type="dxa"/>
            <w:bottom w:w="0" w:type="dxa"/>
          </w:tcMar>
        </w:tcPr>
        <w:p w14:paraId="5A93CB51" w14:textId="2637AE82" w:rsidR="00DF54C8" w:rsidRPr="00487162" w:rsidRDefault="00DF54C8" w:rsidP="00DB750B">
          <w:pPr>
            <w:pStyle w:val="Footer"/>
            <w:jc w:val="right"/>
          </w:pPr>
          <w:r w:rsidRPr="00487162">
            <w:t xml:space="preserve">Page </w:t>
          </w:r>
          <w:r>
            <w:fldChar w:fldCharType="begin"/>
          </w:r>
          <w:r>
            <w:instrText xml:space="preserve"> PAGE  \* Arabic </w:instrText>
          </w:r>
          <w:r>
            <w:fldChar w:fldCharType="separate"/>
          </w:r>
          <w:r w:rsidR="00F14D69">
            <w:rPr>
              <w:noProof/>
            </w:rPr>
            <w:t>21</w:t>
          </w:r>
          <w:r>
            <w:fldChar w:fldCharType="end"/>
          </w:r>
          <w:r w:rsidRPr="00487162">
            <w:t xml:space="preserve"> of </w:t>
          </w:r>
          <w:r w:rsidR="00F14D69">
            <w:fldChar w:fldCharType="begin"/>
          </w:r>
          <w:r w:rsidR="00F14D69">
            <w:instrText xml:space="preserve"> NUMPAGES  \* Arabic </w:instrText>
          </w:r>
          <w:r w:rsidR="00F14D69">
            <w:fldChar w:fldCharType="separate"/>
          </w:r>
          <w:r w:rsidR="00F14D69">
            <w:rPr>
              <w:noProof/>
            </w:rPr>
            <w:t>22</w:t>
          </w:r>
          <w:r w:rsidR="00F14D69">
            <w:rPr>
              <w:noProof/>
            </w:rPr>
            <w:fldChar w:fldCharType="end"/>
          </w:r>
        </w:p>
      </w:tc>
    </w:tr>
  </w:tbl>
  <w:p w14:paraId="59F85EFC" w14:textId="77777777" w:rsidR="00DF54C8" w:rsidRDefault="00DF54C8"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48E71" w14:textId="77777777" w:rsidR="00D3543E" w:rsidRDefault="00D354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DF54C8" w:rsidRPr="00487162" w14:paraId="230F3CC2" w14:textId="77777777" w:rsidTr="00E45619">
      <w:trPr>
        <w:trHeight w:val="269"/>
      </w:trPr>
      <w:tc>
        <w:tcPr>
          <w:tcW w:w="4519" w:type="dxa"/>
          <w:tcBorders>
            <w:top w:val="single" w:sz="4" w:space="0" w:color="auto"/>
          </w:tcBorders>
          <w:tcMar>
            <w:top w:w="142" w:type="dxa"/>
            <w:bottom w:w="0" w:type="dxa"/>
          </w:tcMar>
        </w:tcPr>
        <w:p w14:paraId="48D54218" w14:textId="77777777" w:rsidR="00DF54C8" w:rsidRPr="00487162" w:rsidRDefault="00DF54C8" w:rsidP="00FE1DEE">
          <w:pPr>
            <w:pStyle w:val="Footer"/>
          </w:pPr>
          <w:r w:rsidRPr="00487162">
            <w:t>Document title, Part #, Section # - Section title</w:t>
          </w:r>
        </w:p>
        <w:p w14:paraId="3855654A" w14:textId="77777777" w:rsidR="00DF54C8" w:rsidRPr="00487162" w:rsidRDefault="00DF54C8" w:rsidP="00FE1DEE">
          <w:pPr>
            <w:pStyle w:val="Footer"/>
          </w:pPr>
          <w:r w:rsidRPr="00487162">
            <w:t>V1.0 October 2010</w:t>
          </w:r>
        </w:p>
      </w:tc>
      <w:tc>
        <w:tcPr>
          <w:tcW w:w="4342" w:type="dxa"/>
          <w:tcBorders>
            <w:top w:val="single" w:sz="4" w:space="0" w:color="auto"/>
          </w:tcBorders>
          <w:tcMar>
            <w:top w:w="142" w:type="dxa"/>
            <w:bottom w:w="0" w:type="dxa"/>
          </w:tcMar>
        </w:tcPr>
        <w:p w14:paraId="3F1BA82B" w14:textId="77777777" w:rsidR="00DF54C8" w:rsidRPr="00487162" w:rsidRDefault="00DF54C8"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F14D69">
            <w:fldChar w:fldCharType="begin"/>
          </w:r>
          <w:r w:rsidR="00F14D69">
            <w:instrText xml:space="preserve"> NUMPAGES  </w:instrText>
          </w:r>
          <w:r w:rsidR="00F14D69">
            <w:fldChar w:fldCharType="separate"/>
          </w:r>
          <w:r>
            <w:rPr>
              <w:noProof/>
            </w:rPr>
            <w:t>2</w:t>
          </w:r>
          <w:r w:rsidR="00F14D69">
            <w:rPr>
              <w:noProof/>
            </w:rPr>
            <w:fldChar w:fldCharType="end"/>
          </w:r>
        </w:p>
      </w:tc>
    </w:tr>
  </w:tbl>
  <w:p w14:paraId="1A9AAEBA" w14:textId="77777777" w:rsidR="00DF54C8" w:rsidRDefault="00DF54C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5C463" w14:textId="77777777" w:rsidR="00DF54C8" w:rsidRPr="001C32CD" w:rsidRDefault="00DF54C8"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DF54C8" w14:paraId="2F904DF1" w14:textId="77777777" w:rsidTr="0010601F">
      <w:trPr>
        <w:trHeight w:val="108"/>
      </w:trPr>
      <w:tc>
        <w:tcPr>
          <w:tcW w:w="8875" w:type="dxa"/>
          <w:gridSpan w:val="2"/>
          <w:tcBorders>
            <w:bottom w:val="single" w:sz="4" w:space="0" w:color="auto"/>
          </w:tcBorders>
          <w:tcMar>
            <w:right w:w="284" w:type="dxa"/>
          </w:tcMar>
        </w:tcPr>
        <w:p w14:paraId="2789C173" w14:textId="77777777" w:rsidR="00DF54C8" w:rsidRDefault="00DF54C8" w:rsidP="006E08B3">
          <w:pPr>
            <w:pStyle w:val="Heading3"/>
          </w:pPr>
          <w:r>
            <w:t>Copyright</w:t>
          </w:r>
        </w:p>
        <w:p w14:paraId="6ACF2055" w14:textId="77777777" w:rsidR="00DF54C8" w:rsidRDefault="00DF54C8" w:rsidP="006E08B3">
          <w:r>
            <w:rPr>
              <w:rFonts w:cs="Arial"/>
            </w:rPr>
            <w:t>©</w:t>
          </w:r>
          <w:r>
            <w:t xml:space="preserve"> Commonwealth of Australia [add year]</w:t>
          </w:r>
        </w:p>
        <w:p w14:paraId="271848A1" w14:textId="77777777" w:rsidR="00DF54C8" w:rsidRDefault="00DF54C8" w:rsidP="006E08B3"/>
        <w:p w14:paraId="69A703C1" w14:textId="77777777" w:rsidR="00DF54C8" w:rsidRDefault="00DF54C8"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4747F6F4" w14:textId="77777777" w:rsidR="00DF54C8" w:rsidRDefault="00DF54C8" w:rsidP="006E08B3"/>
        <w:p w14:paraId="2ED9C170" w14:textId="77777777" w:rsidR="00DF54C8" w:rsidRDefault="00DF54C8" w:rsidP="006E08B3">
          <w:pPr>
            <w:pStyle w:val="Heading3"/>
          </w:pPr>
          <w:r>
            <w:t>Confidentiality</w:t>
          </w:r>
        </w:p>
        <w:p w14:paraId="72DEB482" w14:textId="77777777" w:rsidR="00DF54C8" w:rsidRDefault="00DF54C8"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64BFE2B9" w14:textId="77777777" w:rsidR="00DF54C8" w:rsidRDefault="00DF54C8" w:rsidP="006E08B3"/>
        <w:p w14:paraId="3069CB05" w14:textId="77777777" w:rsidR="00DF54C8" w:rsidRDefault="00DF54C8" w:rsidP="006E08B3">
          <w:r>
            <w:t>For submission made by individuals, all personal details, other than your name, will be removed from your submission before it is published on the TGA’s Internet site.</w:t>
          </w:r>
        </w:p>
        <w:p w14:paraId="659E434D" w14:textId="77777777" w:rsidR="00DF54C8" w:rsidRDefault="00DF54C8" w:rsidP="006E08B3"/>
        <w:p w14:paraId="0388BB91" w14:textId="77777777" w:rsidR="00DF54C8" w:rsidRDefault="00DF54C8"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DF54C8" w14:paraId="298044A2" w14:textId="77777777" w:rsidTr="0010601F">
      <w:trPr>
        <w:trHeight w:val="417"/>
      </w:trPr>
      <w:tc>
        <w:tcPr>
          <w:tcW w:w="4519" w:type="dxa"/>
          <w:tcBorders>
            <w:top w:val="single" w:sz="4" w:space="0" w:color="auto"/>
          </w:tcBorders>
          <w:tcMar>
            <w:top w:w="142" w:type="dxa"/>
            <w:bottom w:w="0" w:type="dxa"/>
          </w:tcMar>
        </w:tcPr>
        <w:p w14:paraId="4E0AED18" w14:textId="77777777" w:rsidR="00DF54C8" w:rsidRDefault="00DF54C8" w:rsidP="006E08B3">
          <w:r>
            <w:t>Document title, Part #, Section # - Section title</w:t>
          </w:r>
        </w:p>
        <w:p w14:paraId="143683B1" w14:textId="77777777" w:rsidR="00DF54C8" w:rsidRDefault="00DF54C8" w:rsidP="006E08B3">
          <w:r>
            <w:t>V1.0 October 2010</w:t>
          </w:r>
        </w:p>
      </w:tc>
      <w:tc>
        <w:tcPr>
          <w:tcW w:w="4356" w:type="dxa"/>
          <w:tcBorders>
            <w:top w:val="single" w:sz="4" w:space="0" w:color="auto"/>
          </w:tcBorders>
          <w:tcMar>
            <w:top w:w="142" w:type="dxa"/>
            <w:bottom w:w="0" w:type="dxa"/>
          </w:tcMar>
        </w:tcPr>
        <w:p w14:paraId="0A66EC34" w14:textId="7A2A25F7" w:rsidR="00DF54C8" w:rsidRDefault="00DF54C8" w:rsidP="006E08B3">
          <w:pPr>
            <w:jc w:val="right"/>
          </w:pPr>
          <w:r>
            <w:t xml:space="preserve">Page </w:t>
          </w:r>
          <w:r>
            <w:fldChar w:fldCharType="begin"/>
          </w:r>
          <w:r>
            <w:instrText xml:space="preserve"> PAGE   \* MERGEFORMAT </w:instrText>
          </w:r>
          <w:r>
            <w:fldChar w:fldCharType="separate"/>
          </w:r>
          <w:r>
            <w:rPr>
              <w:noProof/>
            </w:rPr>
            <w:t>i</w:t>
          </w:r>
          <w:r>
            <w:rPr>
              <w:noProof/>
            </w:rPr>
            <w:fldChar w:fldCharType="end"/>
          </w:r>
          <w:r>
            <w:t xml:space="preserve"> of </w:t>
          </w:r>
          <w:r w:rsidR="00F14D69">
            <w:fldChar w:fldCharType="begin"/>
          </w:r>
          <w:r w:rsidR="00F14D69">
            <w:instrText xml:space="preserve"> NUMPAGES  \* Arabic </w:instrText>
          </w:r>
          <w:r w:rsidR="00F14D69">
            <w:fldChar w:fldCharType="separate"/>
          </w:r>
          <w:r>
            <w:rPr>
              <w:noProof/>
            </w:rPr>
            <w:t>22</w:t>
          </w:r>
          <w:r w:rsidR="00F14D69">
            <w:rPr>
              <w:noProof/>
            </w:rPr>
            <w:fldChar w:fldCharType="end"/>
          </w:r>
          <w:r>
            <w:t xml:space="preserve">  </w:t>
          </w:r>
        </w:p>
      </w:tc>
    </w:tr>
  </w:tbl>
  <w:p w14:paraId="38D5C81A" w14:textId="77777777" w:rsidR="00DF54C8" w:rsidRDefault="00DF54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C4CEF" w14:textId="77777777" w:rsidR="00DF54C8" w:rsidRDefault="00DF54C8" w:rsidP="00C40A36">
      <w:pPr>
        <w:spacing w:after="0"/>
      </w:pPr>
      <w:r>
        <w:separator/>
      </w:r>
    </w:p>
  </w:footnote>
  <w:footnote w:type="continuationSeparator" w:id="0">
    <w:p w14:paraId="3C44B230" w14:textId="77777777" w:rsidR="00DF54C8" w:rsidRDefault="00DF54C8" w:rsidP="00C40A36">
      <w:pPr>
        <w:spacing w:after="0"/>
      </w:pPr>
      <w:r>
        <w:continuationSeparator/>
      </w:r>
    </w:p>
  </w:footnote>
  <w:footnote w:id="1">
    <w:p w14:paraId="75F49B5C" w14:textId="77777777" w:rsidR="00DF54C8" w:rsidRDefault="00DF54C8">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43F9145A" w14:textId="59803AD8" w:rsidR="00DF54C8" w:rsidRDefault="00DF54C8">
      <w:pPr>
        <w:pStyle w:val="FootnoteText"/>
      </w:pPr>
      <w:r>
        <w:rPr>
          <w:rStyle w:val="FootnoteReference"/>
        </w:rPr>
        <w:footnoteRef/>
      </w:r>
      <w:r>
        <w:t xml:space="preserve"> </w:t>
      </w:r>
      <w:proofErr w:type="spellStart"/>
      <w:r w:rsidRPr="00484C4C">
        <w:t>F</w:t>
      </w:r>
      <w:r>
        <w:t>orteo</w:t>
      </w:r>
      <w:proofErr w:type="spellEnd"/>
      <w:r w:rsidRPr="00484C4C">
        <w:t xml:space="preserve"> (teriparatide)</w:t>
      </w:r>
      <w:r>
        <w:t xml:space="preserve"> was first registered on the ARTG on the 22 May 2003 (ARTG number 80333).</w:t>
      </w:r>
    </w:p>
  </w:footnote>
  <w:footnote w:id="3">
    <w:p w14:paraId="206B1447" w14:textId="77777777" w:rsidR="00DF54C8" w:rsidRDefault="00DF54C8" w:rsidP="004679E7">
      <w:pPr>
        <w:pStyle w:val="FootnoteText"/>
      </w:pPr>
      <w:r>
        <w:rPr>
          <w:rStyle w:val="FootnoteReference"/>
        </w:rPr>
        <w:footnoteRef/>
      </w:r>
      <w:r>
        <w:t xml:space="preserve"> </w:t>
      </w:r>
      <w:proofErr w:type="spellStart"/>
      <w:r w:rsidRPr="00484C4C">
        <w:t>F</w:t>
      </w:r>
      <w:r>
        <w:t>orteo</w:t>
      </w:r>
      <w:proofErr w:type="spellEnd"/>
      <w:r w:rsidRPr="00484C4C">
        <w:t xml:space="preserve"> (teriparatide)</w:t>
      </w:r>
      <w:r>
        <w:t xml:space="preserve"> was first registered on the ARTG on the 22 May 2003 (ARTG number 80333).</w:t>
      </w:r>
    </w:p>
  </w:footnote>
  <w:footnote w:id="4">
    <w:p w14:paraId="4912AFB8" w14:textId="488D2632" w:rsidR="00DF54C8" w:rsidRPr="00DC7325" w:rsidRDefault="00DF54C8">
      <w:pPr>
        <w:pStyle w:val="FootnoteText"/>
        <w:rPr>
          <w:lang w:val="en-US"/>
        </w:rPr>
      </w:pPr>
      <w:r>
        <w:rPr>
          <w:rStyle w:val="FootnoteReference"/>
        </w:rPr>
        <w:footnoteRef/>
      </w:r>
      <w:r>
        <w:t xml:space="preserve"> </w:t>
      </w:r>
      <w:r w:rsidRPr="00644AEA">
        <w:t xml:space="preserve">A </w:t>
      </w:r>
      <w:r w:rsidRPr="00DC7325">
        <w:rPr>
          <w:b/>
        </w:rPr>
        <w:t>Category 3 application</w:t>
      </w:r>
      <w:r w:rsidRPr="00644AEA">
        <w:t xml:space="preserve"> relates to updates to the quality data of medicines already included on the Australian Register of Therapeutic Goods (ARTG) which, in the opinion of the TGA, do not need to be supported by clinical, non-clinical or bioequivalence data.</w:t>
      </w:r>
    </w:p>
  </w:footnote>
  <w:footnote w:id="5">
    <w:p w14:paraId="458EAB51" w14:textId="2A91A863" w:rsidR="00DF54C8" w:rsidRDefault="00DF54C8">
      <w:pPr>
        <w:pStyle w:val="FootnoteText"/>
      </w:pPr>
      <w:r>
        <w:rPr>
          <w:rStyle w:val="FootnoteReference"/>
        </w:rPr>
        <w:footnoteRef/>
      </w:r>
      <w:r>
        <w:t xml:space="preserve"> </w:t>
      </w:r>
      <w:r w:rsidRPr="00A72019">
        <w:t>EMEA/CHMP/BMWP/42832/2005 Rev</w:t>
      </w:r>
      <w:r>
        <w:t xml:space="preserve"> </w:t>
      </w:r>
      <w:r w:rsidRPr="00A72019">
        <w:t>1</w:t>
      </w:r>
      <w:r>
        <w:t xml:space="preserve">: </w:t>
      </w:r>
      <w:r w:rsidRPr="00644AEA">
        <w:t>Guideline on similar biological medicinal products containing biotechnology-derived proteins as active substance: non-clinical and clinical issues</w:t>
      </w:r>
      <w:r>
        <w:t>.</w:t>
      </w:r>
    </w:p>
  </w:footnote>
  <w:footnote w:id="6">
    <w:p w14:paraId="2D290216" w14:textId="37C284F1" w:rsidR="00DF54C8" w:rsidRDefault="00DF54C8">
      <w:pPr>
        <w:pStyle w:val="FootnoteText"/>
      </w:pPr>
      <w:r>
        <w:rPr>
          <w:rStyle w:val="FootnoteReference"/>
        </w:rPr>
        <w:footnoteRef/>
      </w:r>
      <w:r>
        <w:t xml:space="preserve"> </w:t>
      </w:r>
      <w:r>
        <w:rPr>
          <w:color w:val="262626"/>
          <w:lang w:val="en-US"/>
        </w:rPr>
        <w:t xml:space="preserve">The contraindication section was </w:t>
      </w:r>
      <w:proofErr w:type="spellStart"/>
      <w:r>
        <w:rPr>
          <w:color w:val="262626"/>
          <w:lang w:val="en-US"/>
        </w:rPr>
        <w:t>harmonised</w:t>
      </w:r>
      <w:proofErr w:type="spellEnd"/>
      <w:r>
        <w:rPr>
          <w:color w:val="262626"/>
          <w:lang w:val="en-US"/>
        </w:rPr>
        <w:t xml:space="preserve"> in line with the Australian PI for </w:t>
      </w:r>
      <w:proofErr w:type="spellStart"/>
      <w:r>
        <w:rPr>
          <w:color w:val="262626"/>
          <w:lang w:val="en-US"/>
        </w:rPr>
        <w:t>Forteo</w:t>
      </w:r>
      <w:proofErr w:type="spellEnd"/>
      <w:r>
        <w:rPr>
          <w:color w:val="262626"/>
          <w:lang w:val="en-US"/>
        </w:rPr>
        <w:t xml:space="preserve"> as requested by the TGA on 9 November 2020.</w:t>
      </w:r>
    </w:p>
  </w:footnote>
  <w:footnote w:id="7">
    <w:p w14:paraId="0D4F2E7A" w14:textId="77777777" w:rsidR="00DF54C8" w:rsidRDefault="00DF54C8" w:rsidP="007D53B6">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31B6AEF3" w14:textId="77777777" w:rsidR="00DF54C8" w:rsidRDefault="00DF54C8" w:rsidP="007D53B6">
      <w:pPr>
        <w:pStyle w:val="FootnoteText"/>
      </w:pPr>
      <w:r w:rsidRPr="007D53B6">
        <w:rPr>
          <w:i/>
        </w:rPr>
        <w:t>Routine pharmacovigilance</w:t>
      </w:r>
      <w:r>
        <w:t xml:space="preserve"> practices involve the following activities:</w:t>
      </w:r>
    </w:p>
    <w:p w14:paraId="486275B2" w14:textId="77777777" w:rsidR="00DF54C8" w:rsidRDefault="00DF54C8" w:rsidP="007D53B6">
      <w:pPr>
        <w:pStyle w:val="FootnoteText"/>
        <w:numPr>
          <w:ilvl w:val="0"/>
          <w:numId w:val="32"/>
        </w:numPr>
        <w:ind w:left="284" w:hanging="284"/>
      </w:pPr>
      <w:r>
        <w:t>All suspected adverse reactions that are reported to the personnel of the company are collected and collated in an accessible manner;</w:t>
      </w:r>
    </w:p>
    <w:p w14:paraId="044A0A34" w14:textId="77777777" w:rsidR="00DF54C8" w:rsidRDefault="00DF54C8" w:rsidP="007D53B6">
      <w:pPr>
        <w:pStyle w:val="FootnoteText"/>
        <w:numPr>
          <w:ilvl w:val="0"/>
          <w:numId w:val="32"/>
        </w:numPr>
        <w:ind w:left="284" w:hanging="284"/>
      </w:pPr>
      <w:r>
        <w:t>Reporting to regulatory authorities;</w:t>
      </w:r>
    </w:p>
    <w:p w14:paraId="27762CE2" w14:textId="77777777" w:rsidR="00DF54C8" w:rsidRDefault="00DF54C8" w:rsidP="007D53B6">
      <w:pPr>
        <w:pStyle w:val="FootnoteText"/>
        <w:numPr>
          <w:ilvl w:val="0"/>
          <w:numId w:val="32"/>
        </w:numPr>
        <w:ind w:left="284" w:hanging="284"/>
      </w:pPr>
      <w:r>
        <w:t>Continuous monitoring of the safety profiles of approved products including signal detection and updating of labelling;</w:t>
      </w:r>
    </w:p>
    <w:p w14:paraId="7BA49238" w14:textId="77777777" w:rsidR="00DF54C8" w:rsidRDefault="00DF54C8" w:rsidP="007D53B6">
      <w:pPr>
        <w:pStyle w:val="FootnoteText"/>
        <w:numPr>
          <w:ilvl w:val="0"/>
          <w:numId w:val="32"/>
        </w:numPr>
        <w:ind w:left="284" w:hanging="284"/>
      </w:pPr>
      <w:r>
        <w:t>Submission of PSURs;</w:t>
      </w:r>
    </w:p>
    <w:p w14:paraId="738A706B" w14:textId="77777777" w:rsidR="00DF54C8" w:rsidRDefault="00DF54C8" w:rsidP="007D53B6">
      <w:pPr>
        <w:pStyle w:val="FootnoteText"/>
        <w:numPr>
          <w:ilvl w:val="0"/>
          <w:numId w:val="32"/>
        </w:numPr>
        <w:ind w:left="284" w:hanging="284"/>
      </w:pPr>
      <w:r>
        <w:t>Meeting other local regulatory agency requirements.</w:t>
      </w:r>
    </w:p>
  </w:footnote>
  <w:footnote w:id="8">
    <w:p w14:paraId="62BDFAF6" w14:textId="77777777" w:rsidR="00DF54C8" w:rsidRDefault="00DF54C8" w:rsidP="007E4020">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2D51A1DC" w14:textId="77777777" w:rsidR="00DF54C8" w:rsidRPr="00456765" w:rsidRDefault="00DF54C8" w:rsidP="007E4020">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9425A" w14:textId="77777777" w:rsidR="00D3543E" w:rsidRDefault="00D35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1A10C" w14:textId="77777777" w:rsidR="00DF54C8" w:rsidRDefault="00DF54C8"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530EE" w14:textId="77777777" w:rsidR="00DF54C8" w:rsidRDefault="00DF54C8">
    <w:pPr>
      <w:rPr>
        <w:noProof/>
        <w:lang w:eastAsia="en-AU"/>
      </w:rPr>
    </w:pPr>
    <w:r w:rsidRPr="00347824">
      <w:rPr>
        <w:noProof/>
        <w:lang w:eastAsia="en-AU"/>
      </w:rPr>
      <w:drawing>
        <wp:anchor distT="0" distB="0" distL="114300" distR="114300" simplePos="0" relativeHeight="251658240" behindDoc="1" locked="0" layoutInCell="1" allowOverlap="1" wp14:anchorId="70530911" wp14:editId="3C8FB415">
          <wp:simplePos x="0" y="0"/>
          <wp:positionH relativeFrom="column">
            <wp:posOffset>-1089660</wp:posOffset>
          </wp:positionH>
          <wp:positionV relativeFrom="paragraph">
            <wp:posOffset>-585470</wp:posOffset>
          </wp:positionV>
          <wp:extent cx="7572375" cy="10706100"/>
          <wp:effectExtent l="19050" t="0" r="0" b="0"/>
          <wp:wrapNone/>
          <wp:docPr id="15"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5912E503" w14:textId="77777777" w:rsidR="00DF54C8" w:rsidRDefault="00DF54C8" w:rsidP="00593AD1">
    <w:pPr>
      <w:pStyle w:val="HeaderNoLine"/>
    </w:pPr>
    <w:r>
      <w:rPr>
        <w:noProof/>
        <w:lang w:eastAsia="en-AU"/>
      </w:rPr>
      <w:drawing>
        <wp:inline distT="0" distB="0" distL="0" distR="0" wp14:anchorId="6FFC5A79" wp14:editId="3F27D3C9">
          <wp:extent cx="5400675" cy="7639050"/>
          <wp:effectExtent l="0" t="0" r="9525" b="0"/>
          <wp:docPr id="16" name="Picture 16"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9D4A3" w14:textId="77777777" w:rsidR="00DF54C8" w:rsidRDefault="00DF54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D1D4A" w14:textId="77777777" w:rsidR="00DF54C8" w:rsidRDefault="00DF54C8">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35441" w14:textId="77777777" w:rsidR="00DF54C8" w:rsidRDefault="00DF54C8">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D1F77" w14:textId="77777777" w:rsidR="00DF54C8" w:rsidRDefault="00DF54C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1B099" w14:textId="77777777" w:rsidR="00DF54C8" w:rsidRDefault="00DF54C8"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3213E" w14:textId="77777777" w:rsidR="00DF54C8" w:rsidRDefault="00DF54C8" w:rsidP="006E08B3">
    <w:r>
      <w:t>Therapeutic Goods Administration</w:t>
    </w:r>
  </w:p>
  <w:p w14:paraId="4C6F2F60" w14:textId="77777777" w:rsidR="00DF54C8" w:rsidRDefault="00DF54C8"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F13E9"/>
    <w:multiLevelType w:val="multilevel"/>
    <w:tmpl w:val="EC22957C"/>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4F82843"/>
    <w:multiLevelType w:val="hybridMultilevel"/>
    <w:tmpl w:val="7CFEB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9"/>
  </w:num>
  <w:num w:numId="28">
    <w:abstractNumId w:val="12"/>
  </w:num>
  <w:num w:numId="29">
    <w:abstractNumId w:val="6"/>
  </w:num>
  <w:num w:numId="30">
    <w:abstractNumId w:val="8"/>
  </w:num>
  <w:num w:numId="31">
    <w:abstractNumId w:val="4"/>
  </w:num>
  <w:num w:numId="32">
    <w:abstractNumId w:val="1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09C"/>
    <w:rsid w:val="00002031"/>
    <w:rsid w:val="00004734"/>
    <w:rsid w:val="00006B22"/>
    <w:rsid w:val="00006FAB"/>
    <w:rsid w:val="0001135E"/>
    <w:rsid w:val="0001276A"/>
    <w:rsid w:val="000246AE"/>
    <w:rsid w:val="00025C67"/>
    <w:rsid w:val="00044772"/>
    <w:rsid w:val="0004541C"/>
    <w:rsid w:val="00047C9B"/>
    <w:rsid w:val="0005559E"/>
    <w:rsid w:val="00055B78"/>
    <w:rsid w:val="000604D6"/>
    <w:rsid w:val="000734D8"/>
    <w:rsid w:val="00077775"/>
    <w:rsid w:val="00090471"/>
    <w:rsid w:val="00096AA7"/>
    <w:rsid w:val="000A3AED"/>
    <w:rsid w:val="000A546D"/>
    <w:rsid w:val="000B3532"/>
    <w:rsid w:val="000B3A75"/>
    <w:rsid w:val="000C00C2"/>
    <w:rsid w:val="000C690F"/>
    <w:rsid w:val="000D03A8"/>
    <w:rsid w:val="000D1295"/>
    <w:rsid w:val="000D391B"/>
    <w:rsid w:val="000D3D6D"/>
    <w:rsid w:val="000D4FC7"/>
    <w:rsid w:val="000E6196"/>
    <w:rsid w:val="000F1844"/>
    <w:rsid w:val="000F2D73"/>
    <w:rsid w:val="000F41DE"/>
    <w:rsid w:val="000F4869"/>
    <w:rsid w:val="000F5B42"/>
    <w:rsid w:val="000F6E6F"/>
    <w:rsid w:val="0010601F"/>
    <w:rsid w:val="0010788A"/>
    <w:rsid w:val="00107A31"/>
    <w:rsid w:val="00110EA5"/>
    <w:rsid w:val="00112F56"/>
    <w:rsid w:val="00122C2E"/>
    <w:rsid w:val="00124ACD"/>
    <w:rsid w:val="00125318"/>
    <w:rsid w:val="001305A2"/>
    <w:rsid w:val="00133238"/>
    <w:rsid w:val="00133A1B"/>
    <w:rsid w:val="0014197B"/>
    <w:rsid w:val="001447CD"/>
    <w:rsid w:val="001516B1"/>
    <w:rsid w:val="001545EC"/>
    <w:rsid w:val="00154EBB"/>
    <w:rsid w:val="00156316"/>
    <w:rsid w:val="00161181"/>
    <w:rsid w:val="00162D14"/>
    <w:rsid w:val="00163780"/>
    <w:rsid w:val="00165389"/>
    <w:rsid w:val="001711B2"/>
    <w:rsid w:val="0017693F"/>
    <w:rsid w:val="0018110E"/>
    <w:rsid w:val="00181684"/>
    <w:rsid w:val="001843C6"/>
    <w:rsid w:val="001850E0"/>
    <w:rsid w:val="00196669"/>
    <w:rsid w:val="001A03AF"/>
    <w:rsid w:val="001A2158"/>
    <w:rsid w:val="001A525F"/>
    <w:rsid w:val="001B09F9"/>
    <w:rsid w:val="001B5C90"/>
    <w:rsid w:val="001B6448"/>
    <w:rsid w:val="001C32CD"/>
    <w:rsid w:val="001D2984"/>
    <w:rsid w:val="001D6CE4"/>
    <w:rsid w:val="001E07CF"/>
    <w:rsid w:val="001E59F1"/>
    <w:rsid w:val="001F2CEE"/>
    <w:rsid w:val="001F49EB"/>
    <w:rsid w:val="001F6CBA"/>
    <w:rsid w:val="001F7A82"/>
    <w:rsid w:val="00201D4E"/>
    <w:rsid w:val="002076C9"/>
    <w:rsid w:val="00220B8A"/>
    <w:rsid w:val="002257F3"/>
    <w:rsid w:val="00231B69"/>
    <w:rsid w:val="00233456"/>
    <w:rsid w:val="002339A5"/>
    <w:rsid w:val="00235671"/>
    <w:rsid w:val="00236964"/>
    <w:rsid w:val="0024209C"/>
    <w:rsid w:val="00250271"/>
    <w:rsid w:val="00257848"/>
    <w:rsid w:val="002578E8"/>
    <w:rsid w:val="0027084A"/>
    <w:rsid w:val="00280265"/>
    <w:rsid w:val="00286434"/>
    <w:rsid w:val="00286C59"/>
    <w:rsid w:val="00291957"/>
    <w:rsid w:val="00291E17"/>
    <w:rsid w:val="002942D1"/>
    <w:rsid w:val="0029501A"/>
    <w:rsid w:val="002968FD"/>
    <w:rsid w:val="002A3721"/>
    <w:rsid w:val="002A6B2A"/>
    <w:rsid w:val="002B1638"/>
    <w:rsid w:val="002B3624"/>
    <w:rsid w:val="002C2B2C"/>
    <w:rsid w:val="002D0952"/>
    <w:rsid w:val="002E40B3"/>
    <w:rsid w:val="002E4C9A"/>
    <w:rsid w:val="002F11F8"/>
    <w:rsid w:val="002F3F56"/>
    <w:rsid w:val="002F44B5"/>
    <w:rsid w:val="002F5122"/>
    <w:rsid w:val="00304A9E"/>
    <w:rsid w:val="00311AC0"/>
    <w:rsid w:val="003134FD"/>
    <w:rsid w:val="0031391A"/>
    <w:rsid w:val="003176FC"/>
    <w:rsid w:val="00324E45"/>
    <w:rsid w:val="0032583B"/>
    <w:rsid w:val="00327883"/>
    <w:rsid w:val="00334ECD"/>
    <w:rsid w:val="00335504"/>
    <w:rsid w:val="00337218"/>
    <w:rsid w:val="00340C18"/>
    <w:rsid w:val="003442FD"/>
    <w:rsid w:val="00347824"/>
    <w:rsid w:val="00350567"/>
    <w:rsid w:val="003521E8"/>
    <w:rsid w:val="00356755"/>
    <w:rsid w:val="003632E5"/>
    <w:rsid w:val="00370CE3"/>
    <w:rsid w:val="003728F3"/>
    <w:rsid w:val="003735BC"/>
    <w:rsid w:val="0037496E"/>
    <w:rsid w:val="00383221"/>
    <w:rsid w:val="00386150"/>
    <w:rsid w:val="003874CE"/>
    <w:rsid w:val="00390900"/>
    <w:rsid w:val="003A7F6C"/>
    <w:rsid w:val="003B4D60"/>
    <w:rsid w:val="003B7E39"/>
    <w:rsid w:val="003C58DC"/>
    <w:rsid w:val="003C6659"/>
    <w:rsid w:val="003D1E62"/>
    <w:rsid w:val="003D2716"/>
    <w:rsid w:val="003E0B99"/>
    <w:rsid w:val="003E2486"/>
    <w:rsid w:val="003E3208"/>
    <w:rsid w:val="003E4397"/>
    <w:rsid w:val="003F0B04"/>
    <w:rsid w:val="0040134E"/>
    <w:rsid w:val="004137DA"/>
    <w:rsid w:val="00432773"/>
    <w:rsid w:val="004334C7"/>
    <w:rsid w:val="00440A2D"/>
    <w:rsid w:val="00441C3F"/>
    <w:rsid w:val="00444D1A"/>
    <w:rsid w:val="0045186A"/>
    <w:rsid w:val="004564A7"/>
    <w:rsid w:val="00456765"/>
    <w:rsid w:val="00460036"/>
    <w:rsid w:val="004617BF"/>
    <w:rsid w:val="00463658"/>
    <w:rsid w:val="004637A0"/>
    <w:rsid w:val="004679E7"/>
    <w:rsid w:val="004722CC"/>
    <w:rsid w:val="00481C05"/>
    <w:rsid w:val="00484C4C"/>
    <w:rsid w:val="00490483"/>
    <w:rsid w:val="004936E4"/>
    <w:rsid w:val="00494E60"/>
    <w:rsid w:val="00497487"/>
    <w:rsid w:val="004A2771"/>
    <w:rsid w:val="004A6189"/>
    <w:rsid w:val="004A7390"/>
    <w:rsid w:val="004B7B76"/>
    <w:rsid w:val="004C1DBD"/>
    <w:rsid w:val="004C239D"/>
    <w:rsid w:val="004C2DCA"/>
    <w:rsid w:val="004C32A4"/>
    <w:rsid w:val="004C4FBE"/>
    <w:rsid w:val="004C61D2"/>
    <w:rsid w:val="004F0C4A"/>
    <w:rsid w:val="004F0F38"/>
    <w:rsid w:val="004F13D2"/>
    <w:rsid w:val="004F47D6"/>
    <w:rsid w:val="00500337"/>
    <w:rsid w:val="00501921"/>
    <w:rsid w:val="005103E1"/>
    <w:rsid w:val="00530354"/>
    <w:rsid w:val="0053625B"/>
    <w:rsid w:val="00542C79"/>
    <w:rsid w:val="005434C6"/>
    <w:rsid w:val="00543B39"/>
    <w:rsid w:val="00546154"/>
    <w:rsid w:val="00550096"/>
    <w:rsid w:val="00555280"/>
    <w:rsid w:val="00557FF9"/>
    <w:rsid w:val="00562327"/>
    <w:rsid w:val="00565E36"/>
    <w:rsid w:val="00567610"/>
    <w:rsid w:val="005711D5"/>
    <w:rsid w:val="005721EC"/>
    <w:rsid w:val="00576378"/>
    <w:rsid w:val="00577130"/>
    <w:rsid w:val="00577945"/>
    <w:rsid w:val="00577E38"/>
    <w:rsid w:val="00585322"/>
    <w:rsid w:val="005857C6"/>
    <w:rsid w:val="00592F6E"/>
    <w:rsid w:val="005930DB"/>
    <w:rsid w:val="00593AD1"/>
    <w:rsid w:val="005A68B6"/>
    <w:rsid w:val="005C5570"/>
    <w:rsid w:val="005C5B66"/>
    <w:rsid w:val="005C79A4"/>
    <w:rsid w:val="005D5442"/>
    <w:rsid w:val="005F4E53"/>
    <w:rsid w:val="00603F32"/>
    <w:rsid w:val="00605AD4"/>
    <w:rsid w:val="006136D7"/>
    <w:rsid w:val="00625A6E"/>
    <w:rsid w:val="00632398"/>
    <w:rsid w:val="00633F17"/>
    <w:rsid w:val="00640FC3"/>
    <w:rsid w:val="00642020"/>
    <w:rsid w:val="006430EE"/>
    <w:rsid w:val="00644AEA"/>
    <w:rsid w:val="0065337B"/>
    <w:rsid w:val="0065419D"/>
    <w:rsid w:val="006603BC"/>
    <w:rsid w:val="006604D8"/>
    <w:rsid w:val="00664A5B"/>
    <w:rsid w:val="0066735C"/>
    <w:rsid w:val="006763D2"/>
    <w:rsid w:val="00680C08"/>
    <w:rsid w:val="006916A0"/>
    <w:rsid w:val="006931B1"/>
    <w:rsid w:val="006A15C0"/>
    <w:rsid w:val="006A58A8"/>
    <w:rsid w:val="006B3006"/>
    <w:rsid w:val="006B3646"/>
    <w:rsid w:val="006C3E2A"/>
    <w:rsid w:val="006C642F"/>
    <w:rsid w:val="006C7790"/>
    <w:rsid w:val="006D03E5"/>
    <w:rsid w:val="006D3262"/>
    <w:rsid w:val="006D5D3E"/>
    <w:rsid w:val="006E08B3"/>
    <w:rsid w:val="006E2366"/>
    <w:rsid w:val="006F17AC"/>
    <w:rsid w:val="006F25B8"/>
    <w:rsid w:val="006F572E"/>
    <w:rsid w:val="00703C67"/>
    <w:rsid w:val="007046D6"/>
    <w:rsid w:val="007046E9"/>
    <w:rsid w:val="00705DB0"/>
    <w:rsid w:val="00722B57"/>
    <w:rsid w:val="00730F8A"/>
    <w:rsid w:val="00735A8C"/>
    <w:rsid w:val="00736BE4"/>
    <w:rsid w:val="0074253D"/>
    <w:rsid w:val="00744121"/>
    <w:rsid w:val="0074429B"/>
    <w:rsid w:val="00746782"/>
    <w:rsid w:val="007615BC"/>
    <w:rsid w:val="00762F05"/>
    <w:rsid w:val="007652FF"/>
    <w:rsid w:val="00770CAC"/>
    <w:rsid w:val="00770EF1"/>
    <w:rsid w:val="00773EF7"/>
    <w:rsid w:val="00774E1D"/>
    <w:rsid w:val="007765D8"/>
    <w:rsid w:val="0077675A"/>
    <w:rsid w:val="00780355"/>
    <w:rsid w:val="007819FD"/>
    <w:rsid w:val="00785717"/>
    <w:rsid w:val="00785721"/>
    <w:rsid w:val="007934B8"/>
    <w:rsid w:val="00793A59"/>
    <w:rsid w:val="007A46F5"/>
    <w:rsid w:val="007A6505"/>
    <w:rsid w:val="007B4EB6"/>
    <w:rsid w:val="007B6132"/>
    <w:rsid w:val="007B6E9F"/>
    <w:rsid w:val="007C1216"/>
    <w:rsid w:val="007C1AF7"/>
    <w:rsid w:val="007C6B9B"/>
    <w:rsid w:val="007D53B6"/>
    <w:rsid w:val="007E4020"/>
    <w:rsid w:val="007F5B17"/>
    <w:rsid w:val="00805D27"/>
    <w:rsid w:val="00805FFD"/>
    <w:rsid w:val="00806DCB"/>
    <w:rsid w:val="00812667"/>
    <w:rsid w:val="008211B6"/>
    <w:rsid w:val="00821776"/>
    <w:rsid w:val="0082390B"/>
    <w:rsid w:val="008321F5"/>
    <w:rsid w:val="00832369"/>
    <w:rsid w:val="00834660"/>
    <w:rsid w:val="00836BC2"/>
    <w:rsid w:val="0085156D"/>
    <w:rsid w:val="00852B28"/>
    <w:rsid w:val="0085641B"/>
    <w:rsid w:val="00857136"/>
    <w:rsid w:val="00875A6B"/>
    <w:rsid w:val="00885B11"/>
    <w:rsid w:val="00886D15"/>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E5B62"/>
    <w:rsid w:val="008E7846"/>
    <w:rsid w:val="008F02E5"/>
    <w:rsid w:val="008F1CCC"/>
    <w:rsid w:val="008F2967"/>
    <w:rsid w:val="008F6943"/>
    <w:rsid w:val="00902A21"/>
    <w:rsid w:val="0091331D"/>
    <w:rsid w:val="0091523F"/>
    <w:rsid w:val="00920330"/>
    <w:rsid w:val="009219D7"/>
    <w:rsid w:val="00922D53"/>
    <w:rsid w:val="00923B70"/>
    <w:rsid w:val="00924482"/>
    <w:rsid w:val="00930237"/>
    <w:rsid w:val="00937C17"/>
    <w:rsid w:val="00940A89"/>
    <w:rsid w:val="00941F77"/>
    <w:rsid w:val="00943DC0"/>
    <w:rsid w:val="00946EA5"/>
    <w:rsid w:val="00960520"/>
    <w:rsid w:val="00963C08"/>
    <w:rsid w:val="0096785B"/>
    <w:rsid w:val="009752A5"/>
    <w:rsid w:val="0098585A"/>
    <w:rsid w:val="00992E18"/>
    <w:rsid w:val="009A4CED"/>
    <w:rsid w:val="009A690D"/>
    <w:rsid w:val="009B1D12"/>
    <w:rsid w:val="009B416B"/>
    <w:rsid w:val="009C4BD5"/>
    <w:rsid w:val="009D7B77"/>
    <w:rsid w:val="009E0BB0"/>
    <w:rsid w:val="009E3FBB"/>
    <w:rsid w:val="009F7353"/>
    <w:rsid w:val="00A0022D"/>
    <w:rsid w:val="00A00DFB"/>
    <w:rsid w:val="00A0369F"/>
    <w:rsid w:val="00A04F85"/>
    <w:rsid w:val="00A05FA4"/>
    <w:rsid w:val="00A102E4"/>
    <w:rsid w:val="00A1219C"/>
    <w:rsid w:val="00A12C42"/>
    <w:rsid w:val="00A14DF7"/>
    <w:rsid w:val="00A22D57"/>
    <w:rsid w:val="00A3246D"/>
    <w:rsid w:val="00A36FA7"/>
    <w:rsid w:val="00A44DDB"/>
    <w:rsid w:val="00A475B7"/>
    <w:rsid w:val="00A47AF7"/>
    <w:rsid w:val="00A47C3E"/>
    <w:rsid w:val="00A50226"/>
    <w:rsid w:val="00A60BAD"/>
    <w:rsid w:val="00A72019"/>
    <w:rsid w:val="00A77F87"/>
    <w:rsid w:val="00A80B5B"/>
    <w:rsid w:val="00A84E36"/>
    <w:rsid w:val="00A964D1"/>
    <w:rsid w:val="00AA0ED0"/>
    <w:rsid w:val="00AC2B40"/>
    <w:rsid w:val="00AC2BB2"/>
    <w:rsid w:val="00AC2C3C"/>
    <w:rsid w:val="00AC512D"/>
    <w:rsid w:val="00AD0083"/>
    <w:rsid w:val="00AD3935"/>
    <w:rsid w:val="00AD58C2"/>
    <w:rsid w:val="00AE65EB"/>
    <w:rsid w:val="00AE67A7"/>
    <w:rsid w:val="00AF1D94"/>
    <w:rsid w:val="00AF60C5"/>
    <w:rsid w:val="00B009C6"/>
    <w:rsid w:val="00B01548"/>
    <w:rsid w:val="00B0706D"/>
    <w:rsid w:val="00B130C5"/>
    <w:rsid w:val="00B13EBD"/>
    <w:rsid w:val="00B21D29"/>
    <w:rsid w:val="00B23B8A"/>
    <w:rsid w:val="00B25034"/>
    <w:rsid w:val="00B33588"/>
    <w:rsid w:val="00B33863"/>
    <w:rsid w:val="00B37D17"/>
    <w:rsid w:val="00B4175E"/>
    <w:rsid w:val="00B41C85"/>
    <w:rsid w:val="00B452CE"/>
    <w:rsid w:val="00B54C25"/>
    <w:rsid w:val="00B72ABE"/>
    <w:rsid w:val="00B76B91"/>
    <w:rsid w:val="00B77EB1"/>
    <w:rsid w:val="00B811C6"/>
    <w:rsid w:val="00B821AA"/>
    <w:rsid w:val="00B855B0"/>
    <w:rsid w:val="00B92E08"/>
    <w:rsid w:val="00BC622A"/>
    <w:rsid w:val="00BE0A78"/>
    <w:rsid w:val="00BE79F0"/>
    <w:rsid w:val="00BF046D"/>
    <w:rsid w:val="00BF1190"/>
    <w:rsid w:val="00BF3774"/>
    <w:rsid w:val="00BF5D04"/>
    <w:rsid w:val="00C009AA"/>
    <w:rsid w:val="00C1164D"/>
    <w:rsid w:val="00C16861"/>
    <w:rsid w:val="00C341A2"/>
    <w:rsid w:val="00C346AB"/>
    <w:rsid w:val="00C35E7C"/>
    <w:rsid w:val="00C404A6"/>
    <w:rsid w:val="00C40A36"/>
    <w:rsid w:val="00C44419"/>
    <w:rsid w:val="00C45E7B"/>
    <w:rsid w:val="00C471B1"/>
    <w:rsid w:val="00C525A2"/>
    <w:rsid w:val="00C52E24"/>
    <w:rsid w:val="00C6316B"/>
    <w:rsid w:val="00C634A9"/>
    <w:rsid w:val="00C64586"/>
    <w:rsid w:val="00C6463A"/>
    <w:rsid w:val="00C70A36"/>
    <w:rsid w:val="00C70D53"/>
    <w:rsid w:val="00C719CB"/>
    <w:rsid w:val="00C73D0B"/>
    <w:rsid w:val="00C74F5C"/>
    <w:rsid w:val="00C772FF"/>
    <w:rsid w:val="00C80137"/>
    <w:rsid w:val="00C801AF"/>
    <w:rsid w:val="00C80256"/>
    <w:rsid w:val="00C93BF5"/>
    <w:rsid w:val="00C944B6"/>
    <w:rsid w:val="00C94CD4"/>
    <w:rsid w:val="00C9747E"/>
    <w:rsid w:val="00CA7790"/>
    <w:rsid w:val="00CB5384"/>
    <w:rsid w:val="00CB6671"/>
    <w:rsid w:val="00CB6BC0"/>
    <w:rsid w:val="00CC1B7C"/>
    <w:rsid w:val="00CC3853"/>
    <w:rsid w:val="00CC727F"/>
    <w:rsid w:val="00CD0FBA"/>
    <w:rsid w:val="00CF15C3"/>
    <w:rsid w:val="00CF186F"/>
    <w:rsid w:val="00CF2B6F"/>
    <w:rsid w:val="00CF2F3E"/>
    <w:rsid w:val="00CF58B6"/>
    <w:rsid w:val="00CF5DAD"/>
    <w:rsid w:val="00D0062D"/>
    <w:rsid w:val="00D017ED"/>
    <w:rsid w:val="00D040D3"/>
    <w:rsid w:val="00D04C65"/>
    <w:rsid w:val="00D153D8"/>
    <w:rsid w:val="00D201D2"/>
    <w:rsid w:val="00D224FE"/>
    <w:rsid w:val="00D23139"/>
    <w:rsid w:val="00D3543E"/>
    <w:rsid w:val="00D420D9"/>
    <w:rsid w:val="00D425BB"/>
    <w:rsid w:val="00D453FA"/>
    <w:rsid w:val="00D6493E"/>
    <w:rsid w:val="00D71186"/>
    <w:rsid w:val="00D7195D"/>
    <w:rsid w:val="00D7301E"/>
    <w:rsid w:val="00D83AE1"/>
    <w:rsid w:val="00D855D4"/>
    <w:rsid w:val="00D87445"/>
    <w:rsid w:val="00D902C9"/>
    <w:rsid w:val="00D93466"/>
    <w:rsid w:val="00DA1124"/>
    <w:rsid w:val="00DA1A9F"/>
    <w:rsid w:val="00DA332A"/>
    <w:rsid w:val="00DA64CB"/>
    <w:rsid w:val="00DB06B8"/>
    <w:rsid w:val="00DB6124"/>
    <w:rsid w:val="00DB750B"/>
    <w:rsid w:val="00DB75B7"/>
    <w:rsid w:val="00DC0668"/>
    <w:rsid w:val="00DC0A2E"/>
    <w:rsid w:val="00DC0A2F"/>
    <w:rsid w:val="00DC1948"/>
    <w:rsid w:val="00DC6E02"/>
    <w:rsid w:val="00DC7325"/>
    <w:rsid w:val="00DD01EA"/>
    <w:rsid w:val="00DD28CD"/>
    <w:rsid w:val="00DE02AE"/>
    <w:rsid w:val="00DE39D1"/>
    <w:rsid w:val="00DF1D7F"/>
    <w:rsid w:val="00DF4BE4"/>
    <w:rsid w:val="00DF54C8"/>
    <w:rsid w:val="00E02382"/>
    <w:rsid w:val="00E02FB4"/>
    <w:rsid w:val="00E035CB"/>
    <w:rsid w:val="00E13FC7"/>
    <w:rsid w:val="00E20571"/>
    <w:rsid w:val="00E20C17"/>
    <w:rsid w:val="00E21189"/>
    <w:rsid w:val="00E235F7"/>
    <w:rsid w:val="00E23659"/>
    <w:rsid w:val="00E239D4"/>
    <w:rsid w:val="00E26130"/>
    <w:rsid w:val="00E33D42"/>
    <w:rsid w:val="00E40B22"/>
    <w:rsid w:val="00E44ED1"/>
    <w:rsid w:val="00E45619"/>
    <w:rsid w:val="00E4588F"/>
    <w:rsid w:val="00E46DA3"/>
    <w:rsid w:val="00E51AB4"/>
    <w:rsid w:val="00E51BB1"/>
    <w:rsid w:val="00E52F86"/>
    <w:rsid w:val="00E55CB0"/>
    <w:rsid w:val="00E57B14"/>
    <w:rsid w:val="00E624A5"/>
    <w:rsid w:val="00E648FF"/>
    <w:rsid w:val="00E64BA4"/>
    <w:rsid w:val="00E7344E"/>
    <w:rsid w:val="00E75CCC"/>
    <w:rsid w:val="00E82665"/>
    <w:rsid w:val="00EB0798"/>
    <w:rsid w:val="00EB1E04"/>
    <w:rsid w:val="00EB3CAB"/>
    <w:rsid w:val="00EB40AD"/>
    <w:rsid w:val="00EB586E"/>
    <w:rsid w:val="00EB5FC8"/>
    <w:rsid w:val="00EC463D"/>
    <w:rsid w:val="00EC7A85"/>
    <w:rsid w:val="00ED2922"/>
    <w:rsid w:val="00ED3CAD"/>
    <w:rsid w:val="00ED5A41"/>
    <w:rsid w:val="00EE1DE8"/>
    <w:rsid w:val="00EE27C2"/>
    <w:rsid w:val="00EF4BAD"/>
    <w:rsid w:val="00EF59DC"/>
    <w:rsid w:val="00F018F2"/>
    <w:rsid w:val="00F033EC"/>
    <w:rsid w:val="00F04F68"/>
    <w:rsid w:val="00F12670"/>
    <w:rsid w:val="00F14B27"/>
    <w:rsid w:val="00F14D69"/>
    <w:rsid w:val="00F3148D"/>
    <w:rsid w:val="00F325C5"/>
    <w:rsid w:val="00F32FE0"/>
    <w:rsid w:val="00F35298"/>
    <w:rsid w:val="00F46C66"/>
    <w:rsid w:val="00F47333"/>
    <w:rsid w:val="00F47E37"/>
    <w:rsid w:val="00F53C07"/>
    <w:rsid w:val="00F54B65"/>
    <w:rsid w:val="00F63DBF"/>
    <w:rsid w:val="00F640B6"/>
    <w:rsid w:val="00F66DF2"/>
    <w:rsid w:val="00F74C66"/>
    <w:rsid w:val="00F80E40"/>
    <w:rsid w:val="00F848D9"/>
    <w:rsid w:val="00FA5069"/>
    <w:rsid w:val="00FA5B82"/>
    <w:rsid w:val="00FA639E"/>
    <w:rsid w:val="00FC1FCA"/>
    <w:rsid w:val="00FC25E4"/>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9BE84A"/>
  <w15:docId w15:val="{66FBB352-B664-473D-A735-D10BC70D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F14D69"/>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TabletextChar">
    <w:name w:val="Table text Char"/>
    <w:basedOn w:val="DefaultParagraphFont"/>
    <w:link w:val="Tabletext"/>
    <w:rsid w:val="000F1844"/>
    <w:rPr>
      <w:rFonts w:ascii="Cambria" w:eastAsia="Cambria" w:hAnsi="Cambria" w:cs="Times New Roman"/>
      <w:sz w:val="19"/>
    </w:rPr>
  </w:style>
  <w:style w:type="paragraph" w:styleId="ListParagraph">
    <w:name w:val="List Paragraph"/>
    <w:basedOn w:val="Normal"/>
    <w:uiPriority w:val="34"/>
    <w:rsid w:val="00E035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66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5.xm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image" Target="media/image6.png"/><Relationship Id="rId29"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footer" Target="footer5.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tga.gov.au/product-information-pi" TargetMode="External"/><Relationship Id="rId28" Type="http://schemas.openxmlformats.org/officeDocument/2006/relationships/hyperlink" Target="mailto:info@tga.gov.au"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YIN\AppData\Local\Hewlett-Packard\HP%20TRIM\TEMP\HPTRIM.80740\D19-5975236%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72FEF-53D6-453F-916D-216967222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streamlined.DOTX</Template>
  <TotalTime>10</TotalTime>
  <Pages>22</Pages>
  <Words>6062</Words>
  <Characters>34556</Characters>
  <Application>Microsoft Office Word</Application>
  <DocSecurity>0</DocSecurity>
  <Lines>287</Lines>
  <Paragraphs>81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Australian public assessment report for Teriparatide</vt:lpstr>
      <vt:lpstr>Australian public assessment report for</vt:lpstr>
    </vt:vector>
  </TitlesOfParts>
  <Company>Department of Health Therapeutic Goods Administration</Company>
  <LinksUpToDate>false</LinksUpToDate>
  <CharactersWithSpaces>40537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Teriparatide</dc:title>
  <dc:subject>prescription medicines</dc:subject>
  <dc:creator>Therapeutic Goods Administration</dc:creator>
  <cp:keywords/>
  <cp:lastPrinted>2019-08-14T04:30:00Z</cp:lastPrinted>
  <dcterms:created xsi:type="dcterms:W3CDTF">2021-02-01T04:58:00Z</dcterms:created>
  <dcterms:modified xsi:type="dcterms:W3CDTF">2021-02-01T05:08:00Z</dcterms:modified>
  <cp:category/>
</cp:coreProperties>
</file>