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C3285" w14:textId="77777777" w:rsidR="00FA22F4" w:rsidRPr="00E82473" w:rsidRDefault="00FA22F4" w:rsidP="00E82473">
      <w:pPr>
        <w:pStyle w:val="Title"/>
        <w:rPr>
          <w:rFonts w:ascii="Times New Roman" w:hAnsi="Times New Roman"/>
          <w:bCs/>
          <w:sz w:val="28"/>
          <w:szCs w:val="28"/>
          <w:lang w:eastAsia="en-GB"/>
        </w:rPr>
      </w:pPr>
      <w:r w:rsidRPr="00E82473">
        <w:rPr>
          <w:rFonts w:ascii="Times New Roman" w:hAnsi="Times New Roman"/>
          <w:bCs/>
          <w:sz w:val="28"/>
          <w:szCs w:val="28"/>
          <w:lang w:eastAsia="en-GB"/>
        </w:rPr>
        <w:t>AUSTRALIAN PRODUCT INFORMATION</w:t>
      </w:r>
    </w:p>
    <w:p w14:paraId="2D8AE007" w14:textId="15B98ACB" w:rsidR="00FA22F4" w:rsidRPr="00E82473" w:rsidRDefault="00FA22F4" w:rsidP="00E82473">
      <w:pPr>
        <w:tabs>
          <w:tab w:val="left" w:pos="3384"/>
        </w:tabs>
        <w:jc w:val="center"/>
        <w:rPr>
          <w:b/>
          <w:sz w:val="28"/>
          <w:szCs w:val="28"/>
          <w:lang w:val="en-GB"/>
        </w:rPr>
      </w:pPr>
    </w:p>
    <w:p w14:paraId="43C127E3" w14:textId="60B9A4EC" w:rsidR="00FA22F4" w:rsidRPr="00442E6E" w:rsidRDefault="00346DD6" w:rsidP="00442E6E">
      <w:pPr>
        <w:pStyle w:val="Title"/>
        <w:rPr>
          <w:b w:val="0"/>
          <w:bCs/>
          <w:sz w:val="28"/>
          <w:szCs w:val="28"/>
        </w:rPr>
      </w:pPr>
      <w:r w:rsidRPr="00442E6E">
        <w:rPr>
          <w:rFonts w:ascii="Times New Roman" w:hAnsi="Times New Roman"/>
          <w:bCs/>
          <w:sz w:val="28"/>
          <w:szCs w:val="28"/>
          <w:lang w:eastAsia="en-GB"/>
        </w:rPr>
        <w:t>TERROSA</w:t>
      </w:r>
      <w:r w:rsidR="007D5A84" w:rsidRPr="007D76AA">
        <w:rPr>
          <w:rFonts w:ascii="Times New Roman" w:hAnsi="Times New Roman"/>
          <w:bCs/>
          <w:sz w:val="28"/>
          <w:szCs w:val="28"/>
          <w:vertAlign w:val="superscript"/>
          <w:lang w:eastAsia="en-GB"/>
        </w:rPr>
        <w:t>®</w:t>
      </w:r>
      <w:r w:rsidR="00534077">
        <w:rPr>
          <w:rFonts w:ascii="Times New Roman" w:hAnsi="Times New Roman"/>
          <w:bCs/>
          <w:sz w:val="28"/>
          <w:szCs w:val="28"/>
          <w:lang w:eastAsia="en-GB"/>
        </w:rPr>
        <w:t xml:space="preserve"> </w:t>
      </w:r>
      <w:r w:rsidR="007D76AA">
        <w:rPr>
          <w:rFonts w:ascii="Times New Roman" w:hAnsi="Times New Roman"/>
          <w:bCs/>
          <w:sz w:val="28"/>
          <w:szCs w:val="28"/>
          <w:lang w:eastAsia="en-GB"/>
        </w:rPr>
        <w:t>(teriparatide</w:t>
      </w:r>
      <w:r w:rsidR="007463C2">
        <w:rPr>
          <w:rFonts w:ascii="Times New Roman" w:hAnsi="Times New Roman"/>
          <w:bCs/>
          <w:sz w:val="28"/>
          <w:szCs w:val="28"/>
          <w:lang w:eastAsia="en-GB"/>
        </w:rPr>
        <w:t xml:space="preserve"> (rbe)</w:t>
      </w:r>
      <w:r w:rsidR="007D76AA">
        <w:rPr>
          <w:rFonts w:ascii="Times New Roman" w:hAnsi="Times New Roman"/>
          <w:bCs/>
          <w:sz w:val="28"/>
          <w:szCs w:val="28"/>
          <w:lang w:eastAsia="en-GB"/>
        </w:rPr>
        <w:t>)</w:t>
      </w:r>
      <w:r w:rsidR="000F180C">
        <w:rPr>
          <w:rFonts w:ascii="Times New Roman" w:hAnsi="Times New Roman"/>
          <w:bCs/>
          <w:sz w:val="28"/>
          <w:szCs w:val="28"/>
          <w:lang w:eastAsia="en-GB"/>
        </w:rPr>
        <w:t xml:space="preserve"> </w:t>
      </w:r>
      <w:r w:rsidR="00BA7D7E" w:rsidRPr="00442E6E">
        <w:rPr>
          <w:rFonts w:ascii="Times New Roman" w:hAnsi="Times New Roman"/>
          <w:bCs/>
          <w:sz w:val="28"/>
          <w:szCs w:val="28"/>
          <w:lang w:eastAsia="en-GB"/>
        </w:rPr>
        <w:t>SOLUTION FOR INJECTION</w:t>
      </w:r>
    </w:p>
    <w:p w14:paraId="54B6D051" w14:textId="77777777" w:rsidR="00FA22F4" w:rsidRPr="00F073F8" w:rsidRDefault="00FA22F4" w:rsidP="00F073F8">
      <w:pPr>
        <w:rPr>
          <w:sz w:val="22"/>
          <w:szCs w:val="22"/>
          <w:lang w:val="en-GB"/>
        </w:rPr>
      </w:pPr>
    </w:p>
    <w:p w14:paraId="0462A8FE" w14:textId="77777777" w:rsidR="00FA22F4" w:rsidRPr="00E82473" w:rsidRDefault="00FA22F4" w:rsidP="00F073F8">
      <w:pPr>
        <w:pStyle w:val="Heading1"/>
        <w:jc w:val="left"/>
        <w:rPr>
          <w:rFonts w:ascii="Times New Roman" w:hAnsi="Times New Roman" w:cs="Times New Roman"/>
          <w:sz w:val="28"/>
          <w:szCs w:val="28"/>
        </w:rPr>
      </w:pPr>
      <w:bookmarkStart w:id="0" w:name="_1._NAME_OF"/>
      <w:bookmarkStart w:id="1" w:name="_ref1"/>
      <w:bookmarkStart w:id="2" w:name="_ref3"/>
      <w:bookmarkStart w:id="3" w:name="_ref5"/>
      <w:bookmarkEnd w:id="0"/>
      <w:bookmarkEnd w:id="1"/>
      <w:bookmarkEnd w:id="2"/>
      <w:bookmarkEnd w:id="3"/>
      <w:r w:rsidRPr="00E82473">
        <w:rPr>
          <w:rFonts w:ascii="Times New Roman" w:hAnsi="Times New Roman" w:cs="Times New Roman"/>
          <w:bCs/>
          <w:sz w:val="28"/>
          <w:szCs w:val="28"/>
          <w:lang w:val="en-AU" w:eastAsia="en-GB"/>
        </w:rPr>
        <w:t>1.</w:t>
      </w:r>
      <w:r w:rsidRPr="00E82473">
        <w:rPr>
          <w:rFonts w:ascii="Times New Roman" w:hAnsi="Times New Roman" w:cs="Times New Roman"/>
          <w:sz w:val="28"/>
          <w:szCs w:val="28"/>
        </w:rPr>
        <w:tab/>
      </w:r>
      <w:r w:rsidRPr="00E82473">
        <w:rPr>
          <w:rFonts w:ascii="Times New Roman" w:hAnsi="Times New Roman" w:cs="Times New Roman"/>
          <w:bCs/>
          <w:sz w:val="28"/>
          <w:szCs w:val="28"/>
          <w:lang w:val="en-AU" w:eastAsia="en-GB"/>
        </w:rPr>
        <w:t>NAME OF THE MEDICINE</w:t>
      </w:r>
    </w:p>
    <w:p w14:paraId="57F9CB86" w14:textId="77777777" w:rsidR="00FA22F4" w:rsidRPr="00F073F8" w:rsidRDefault="00FA22F4" w:rsidP="00F073F8">
      <w:pPr>
        <w:rPr>
          <w:sz w:val="22"/>
          <w:szCs w:val="22"/>
          <w:lang w:val="en-GB"/>
        </w:rPr>
      </w:pPr>
    </w:p>
    <w:p w14:paraId="2501B6D0" w14:textId="435B0BC7" w:rsidR="00FA22F4" w:rsidRPr="00F073F8" w:rsidRDefault="00830678" w:rsidP="00F073F8">
      <w:pPr>
        <w:widowControl w:val="0"/>
        <w:rPr>
          <w:sz w:val="22"/>
          <w:szCs w:val="22"/>
        </w:rPr>
      </w:pPr>
      <w:r w:rsidRPr="00F073F8">
        <w:rPr>
          <w:sz w:val="22"/>
          <w:szCs w:val="22"/>
        </w:rPr>
        <w:t xml:space="preserve">Teriparatide </w:t>
      </w:r>
      <w:r w:rsidR="00295C94">
        <w:rPr>
          <w:sz w:val="22"/>
          <w:szCs w:val="22"/>
        </w:rPr>
        <w:t>(rbe)</w:t>
      </w:r>
    </w:p>
    <w:p w14:paraId="1BEFD785" w14:textId="77777777" w:rsidR="004A5BC9" w:rsidRPr="00F073F8" w:rsidRDefault="004A5BC9" w:rsidP="00F073F8">
      <w:pPr>
        <w:rPr>
          <w:sz w:val="22"/>
          <w:szCs w:val="22"/>
        </w:rPr>
      </w:pPr>
    </w:p>
    <w:p w14:paraId="4F38D313" w14:textId="16DFA524" w:rsidR="004A5BC9" w:rsidRPr="00F073F8" w:rsidRDefault="004A5BC9" w:rsidP="00F073F8">
      <w:pPr>
        <w:rPr>
          <w:sz w:val="22"/>
          <w:szCs w:val="22"/>
        </w:rPr>
      </w:pPr>
      <w:r w:rsidRPr="00F073F8">
        <w:rPr>
          <w:sz w:val="22"/>
          <w:szCs w:val="22"/>
        </w:rPr>
        <w:t>TERROSA</w:t>
      </w:r>
      <w:r w:rsidR="00BD7BF2" w:rsidRPr="00F073F8">
        <w:rPr>
          <w:sz w:val="22"/>
          <w:szCs w:val="22"/>
          <w:vertAlign w:val="superscript"/>
        </w:rPr>
        <w:t>®</w:t>
      </w:r>
      <w:r w:rsidR="00DB4989" w:rsidRPr="00F073F8">
        <w:rPr>
          <w:sz w:val="22"/>
          <w:szCs w:val="22"/>
          <w:vertAlign w:val="subscript"/>
        </w:rPr>
        <w:t xml:space="preserve"> </w:t>
      </w:r>
      <w:r w:rsidR="00DB4989" w:rsidRPr="00F073F8">
        <w:rPr>
          <w:sz w:val="22"/>
          <w:szCs w:val="22"/>
        </w:rPr>
        <w:t>solution for injection</w:t>
      </w:r>
      <w:r w:rsidR="00BD7BF2" w:rsidRPr="00F073F8">
        <w:rPr>
          <w:sz w:val="22"/>
          <w:szCs w:val="22"/>
          <w:vertAlign w:val="superscript"/>
        </w:rPr>
        <w:t xml:space="preserve"> </w:t>
      </w:r>
      <w:r w:rsidRPr="00F073F8">
        <w:rPr>
          <w:sz w:val="22"/>
          <w:szCs w:val="22"/>
        </w:rPr>
        <w:t xml:space="preserve">is a biosimilar medicine to </w:t>
      </w:r>
      <w:r w:rsidR="00830D56" w:rsidRPr="00F073F8">
        <w:rPr>
          <w:sz w:val="22"/>
          <w:szCs w:val="22"/>
        </w:rPr>
        <w:t>FORTEO</w:t>
      </w:r>
      <w:r w:rsidR="00BD7BF2" w:rsidRPr="00F073F8">
        <w:rPr>
          <w:sz w:val="22"/>
          <w:szCs w:val="22"/>
          <w:vertAlign w:val="superscript"/>
        </w:rPr>
        <w:t>®</w:t>
      </w:r>
      <w:r w:rsidR="009424A7" w:rsidRPr="00F073F8">
        <w:rPr>
          <w:sz w:val="22"/>
          <w:szCs w:val="22"/>
          <w:vertAlign w:val="subscript"/>
        </w:rPr>
        <w:t xml:space="preserve"> </w:t>
      </w:r>
      <w:r w:rsidR="00DB4989" w:rsidRPr="00F073F8">
        <w:rPr>
          <w:sz w:val="22"/>
          <w:szCs w:val="22"/>
          <w:vertAlign w:val="superscript"/>
        </w:rPr>
        <w:t xml:space="preserve"> </w:t>
      </w:r>
      <w:r w:rsidR="00DB4989" w:rsidRPr="00F073F8">
        <w:rPr>
          <w:sz w:val="22"/>
          <w:szCs w:val="22"/>
        </w:rPr>
        <w:t xml:space="preserve">solution for injection. </w:t>
      </w:r>
      <w:r w:rsidRPr="00F073F8">
        <w:rPr>
          <w:sz w:val="22"/>
          <w:szCs w:val="22"/>
        </w:rPr>
        <w:t>The evidence for comparability supports the use of TERROSA</w:t>
      </w:r>
      <w:r w:rsidR="00F83A4A" w:rsidRPr="00F073F8">
        <w:rPr>
          <w:sz w:val="22"/>
          <w:szCs w:val="22"/>
          <w:vertAlign w:val="superscript"/>
        </w:rPr>
        <w:t>®</w:t>
      </w:r>
      <w:r w:rsidRPr="00F073F8">
        <w:rPr>
          <w:sz w:val="22"/>
          <w:szCs w:val="22"/>
        </w:rPr>
        <w:t xml:space="preserve"> for the listed indication</w:t>
      </w:r>
      <w:r w:rsidR="00FC1117" w:rsidRPr="00F073F8">
        <w:rPr>
          <w:sz w:val="22"/>
          <w:szCs w:val="22"/>
        </w:rPr>
        <w:t>s.</w:t>
      </w:r>
    </w:p>
    <w:p w14:paraId="1A9745BF" w14:textId="77777777" w:rsidR="004D51F9" w:rsidRDefault="004D51F9" w:rsidP="00F073F8">
      <w:pPr>
        <w:rPr>
          <w:bCs/>
          <w:sz w:val="22"/>
          <w:szCs w:val="22"/>
        </w:rPr>
      </w:pPr>
    </w:p>
    <w:p w14:paraId="02F16D42" w14:textId="77777777" w:rsidR="00E82473" w:rsidRPr="00442E6E" w:rsidRDefault="00E82473" w:rsidP="00F073F8">
      <w:pPr>
        <w:rPr>
          <w:bCs/>
          <w:sz w:val="22"/>
          <w:szCs w:val="22"/>
        </w:rPr>
      </w:pPr>
    </w:p>
    <w:p w14:paraId="385B6057" w14:textId="77777777" w:rsidR="00FA22F4" w:rsidRPr="00E82473" w:rsidRDefault="00FA22F4" w:rsidP="00F073F8">
      <w:pPr>
        <w:pStyle w:val="Heading1"/>
        <w:jc w:val="left"/>
        <w:rPr>
          <w:rFonts w:ascii="Times New Roman" w:hAnsi="Times New Roman" w:cs="Times New Roman"/>
          <w:sz w:val="28"/>
          <w:szCs w:val="28"/>
        </w:rPr>
      </w:pPr>
      <w:r w:rsidRPr="00E82473">
        <w:rPr>
          <w:rFonts w:ascii="Times New Roman" w:hAnsi="Times New Roman" w:cs="Times New Roman"/>
          <w:bCs/>
          <w:sz w:val="28"/>
          <w:szCs w:val="28"/>
          <w:lang w:val="en-AU" w:eastAsia="en-GB"/>
        </w:rPr>
        <w:t>2.</w:t>
      </w:r>
      <w:r w:rsidRPr="00E82473">
        <w:rPr>
          <w:rFonts w:ascii="Times New Roman" w:hAnsi="Times New Roman" w:cs="Times New Roman"/>
          <w:bCs/>
          <w:sz w:val="28"/>
          <w:szCs w:val="28"/>
          <w:lang w:val="en-AU" w:eastAsia="en-GB"/>
        </w:rPr>
        <w:tab/>
        <w:t>QUALITATIVE AND QUANTITATIVE COMPOSITION</w:t>
      </w:r>
    </w:p>
    <w:p w14:paraId="248BCD0A" w14:textId="77777777" w:rsidR="00830678" w:rsidRPr="00F073F8" w:rsidRDefault="00830678" w:rsidP="00F073F8">
      <w:pPr>
        <w:widowControl w:val="0"/>
        <w:rPr>
          <w:sz w:val="22"/>
          <w:szCs w:val="22"/>
          <w:lang w:val="en-GB"/>
        </w:rPr>
      </w:pPr>
    </w:p>
    <w:p w14:paraId="5B87C182" w14:textId="56F63301" w:rsidR="00E2792C" w:rsidRPr="00F073F8" w:rsidRDefault="00BA7D7E" w:rsidP="00F073F8">
      <w:pPr>
        <w:widowControl w:val="0"/>
        <w:rPr>
          <w:sz w:val="22"/>
          <w:szCs w:val="22"/>
        </w:rPr>
      </w:pPr>
      <w:r w:rsidRPr="00F073F8">
        <w:rPr>
          <w:sz w:val="22"/>
          <w:szCs w:val="22"/>
        </w:rPr>
        <w:t>The active ingredient for TERROSA solution for injection is teriparatide</w:t>
      </w:r>
      <w:r w:rsidR="009D7BDC" w:rsidRPr="00F073F8">
        <w:rPr>
          <w:sz w:val="22"/>
          <w:szCs w:val="22"/>
        </w:rPr>
        <w:t>.</w:t>
      </w:r>
    </w:p>
    <w:p w14:paraId="59855C14" w14:textId="77777777" w:rsidR="00E2792C" w:rsidRPr="00F073F8" w:rsidRDefault="00E2792C" w:rsidP="00F073F8">
      <w:pPr>
        <w:widowControl w:val="0"/>
        <w:rPr>
          <w:sz w:val="22"/>
          <w:szCs w:val="22"/>
        </w:rPr>
      </w:pPr>
    </w:p>
    <w:p w14:paraId="52B736C8" w14:textId="2EAB77E6" w:rsidR="0034564D" w:rsidRPr="00F073F8" w:rsidRDefault="00BA7D7E" w:rsidP="00F073F8">
      <w:pPr>
        <w:widowControl w:val="0"/>
        <w:rPr>
          <w:sz w:val="22"/>
          <w:szCs w:val="22"/>
        </w:rPr>
      </w:pPr>
      <w:r w:rsidRPr="00F073F8">
        <w:rPr>
          <w:sz w:val="22"/>
          <w:szCs w:val="22"/>
        </w:rPr>
        <w:t xml:space="preserve">TERROSA </w:t>
      </w:r>
      <w:r w:rsidR="00F83A4A" w:rsidRPr="00F073F8">
        <w:rPr>
          <w:sz w:val="22"/>
          <w:szCs w:val="22"/>
        </w:rPr>
        <w:t xml:space="preserve">solution for injection </w:t>
      </w:r>
      <w:r w:rsidRPr="00F073F8">
        <w:rPr>
          <w:sz w:val="22"/>
          <w:szCs w:val="22"/>
        </w:rPr>
        <w:t>contains</w:t>
      </w:r>
      <w:r w:rsidR="00B27574" w:rsidRPr="00F073F8">
        <w:rPr>
          <w:sz w:val="22"/>
          <w:szCs w:val="22"/>
        </w:rPr>
        <w:t xml:space="preserve"> </w:t>
      </w:r>
      <w:r w:rsidR="0086515A" w:rsidRPr="00F073F8">
        <w:rPr>
          <w:sz w:val="22"/>
          <w:szCs w:val="22"/>
        </w:rPr>
        <w:t>250</w:t>
      </w:r>
      <w:r w:rsidR="00F83A4A" w:rsidRPr="00F073F8">
        <w:rPr>
          <w:sz w:val="22"/>
          <w:szCs w:val="22"/>
        </w:rPr>
        <w:t> </w:t>
      </w:r>
      <w:r w:rsidR="005B116E" w:rsidRPr="00F073F8">
        <w:rPr>
          <w:sz w:val="22"/>
          <w:szCs w:val="22"/>
        </w:rPr>
        <w:t>micrograms</w:t>
      </w:r>
      <w:r w:rsidR="00B27574" w:rsidRPr="00F073F8">
        <w:rPr>
          <w:sz w:val="22"/>
          <w:szCs w:val="22"/>
        </w:rPr>
        <w:t xml:space="preserve"> </w:t>
      </w:r>
      <w:r w:rsidR="0086515A" w:rsidRPr="00F073F8">
        <w:rPr>
          <w:sz w:val="22"/>
          <w:szCs w:val="22"/>
        </w:rPr>
        <w:t xml:space="preserve">/mL </w:t>
      </w:r>
      <w:r w:rsidR="00B27574" w:rsidRPr="00F073F8">
        <w:rPr>
          <w:sz w:val="22"/>
          <w:szCs w:val="22"/>
        </w:rPr>
        <w:t>of teriparatide</w:t>
      </w:r>
      <w:r w:rsidR="009D7BDC" w:rsidRPr="00F073F8">
        <w:rPr>
          <w:sz w:val="22"/>
          <w:szCs w:val="22"/>
        </w:rPr>
        <w:t>.</w:t>
      </w:r>
    </w:p>
    <w:p w14:paraId="39C124A3" w14:textId="6E891E17" w:rsidR="0060080C" w:rsidRPr="00F073F8" w:rsidRDefault="0060080C" w:rsidP="00F073F8">
      <w:pPr>
        <w:widowControl w:val="0"/>
        <w:rPr>
          <w:sz w:val="22"/>
          <w:szCs w:val="22"/>
        </w:rPr>
      </w:pPr>
    </w:p>
    <w:p w14:paraId="6F37DFA9" w14:textId="1CCF135F" w:rsidR="000122CA" w:rsidRPr="00F073F8" w:rsidRDefault="000122CA" w:rsidP="00F073F8">
      <w:pPr>
        <w:widowControl w:val="0"/>
        <w:rPr>
          <w:sz w:val="22"/>
          <w:szCs w:val="22"/>
          <w:lang w:val="en-GB"/>
        </w:rPr>
      </w:pPr>
      <w:r w:rsidRPr="001A545F">
        <w:rPr>
          <w:sz w:val="22"/>
          <w:szCs w:val="22"/>
          <w:lang w:val="en-GB"/>
        </w:rPr>
        <w:t>Teriparatide</w:t>
      </w:r>
      <w:r w:rsidR="00213A16">
        <w:rPr>
          <w:sz w:val="22"/>
          <w:szCs w:val="22"/>
          <w:lang w:val="en-GB"/>
        </w:rPr>
        <w:t xml:space="preserve"> (rbe) is </w:t>
      </w:r>
      <w:r w:rsidRPr="001A545F">
        <w:rPr>
          <w:sz w:val="22"/>
          <w:szCs w:val="22"/>
          <w:lang w:val="en-GB"/>
        </w:rPr>
        <w:t xml:space="preserve">produced in </w:t>
      </w:r>
      <w:r w:rsidRPr="001A545F">
        <w:rPr>
          <w:i/>
          <w:sz w:val="22"/>
          <w:szCs w:val="22"/>
          <w:lang w:val="en-GB"/>
        </w:rPr>
        <w:t>E. coli</w:t>
      </w:r>
      <w:r w:rsidRPr="001A545F">
        <w:rPr>
          <w:sz w:val="22"/>
          <w:szCs w:val="22"/>
          <w:lang w:val="en-GB"/>
        </w:rPr>
        <w:t>, using recombinant DNA technology, is identical to the 34-N-terminal amino acid sequence of endogenous human parathyroid hormone.</w:t>
      </w:r>
    </w:p>
    <w:p w14:paraId="59BD6C00" w14:textId="77777777" w:rsidR="0034564D" w:rsidRPr="00F073F8" w:rsidRDefault="0034564D" w:rsidP="00F073F8">
      <w:pPr>
        <w:widowControl w:val="0"/>
        <w:rPr>
          <w:sz w:val="22"/>
          <w:szCs w:val="22"/>
          <w:lang w:val="en-GB"/>
        </w:rPr>
      </w:pPr>
    </w:p>
    <w:p w14:paraId="52E51191" w14:textId="7DEAD188" w:rsidR="0034564D" w:rsidRPr="00F073F8" w:rsidRDefault="0034564D" w:rsidP="00F073F8">
      <w:pPr>
        <w:widowControl w:val="0"/>
        <w:rPr>
          <w:sz w:val="22"/>
          <w:szCs w:val="22"/>
          <w:lang w:val="en-GB"/>
        </w:rPr>
      </w:pPr>
      <w:r w:rsidRPr="00F073F8">
        <w:rPr>
          <w:sz w:val="22"/>
          <w:szCs w:val="22"/>
        </w:rPr>
        <w:t xml:space="preserve">For the full list of excipients, see </w:t>
      </w:r>
      <w:hyperlink w:anchor="ref1" w:history="1">
        <w:r w:rsidR="00344F8D" w:rsidRPr="006F3AB0">
          <w:rPr>
            <w:rStyle w:val="Hyperlink"/>
            <w:sz w:val="22"/>
            <w:szCs w:val="22"/>
          </w:rPr>
          <w:t>S</w:t>
        </w:r>
        <w:r w:rsidRPr="006F3AB0">
          <w:rPr>
            <w:rStyle w:val="Hyperlink"/>
            <w:b/>
            <w:bCs/>
            <w:sz w:val="22"/>
            <w:szCs w:val="22"/>
          </w:rPr>
          <w:t>ection 6.1</w:t>
        </w:r>
        <w:r w:rsidR="00830678" w:rsidRPr="006F3AB0">
          <w:rPr>
            <w:rStyle w:val="Hyperlink"/>
            <w:b/>
            <w:bCs/>
            <w:sz w:val="22"/>
            <w:szCs w:val="22"/>
          </w:rPr>
          <w:t xml:space="preserve"> LIST OF EXCIPIENTS</w:t>
        </w:r>
        <w:r w:rsidR="00FC1117" w:rsidRPr="006F3AB0">
          <w:rPr>
            <w:rStyle w:val="Hyperlink"/>
            <w:b/>
            <w:bCs/>
            <w:sz w:val="22"/>
            <w:szCs w:val="22"/>
          </w:rPr>
          <w:t>.</w:t>
        </w:r>
      </w:hyperlink>
    </w:p>
    <w:p w14:paraId="55CCE89B" w14:textId="77777777" w:rsidR="00122880" w:rsidRPr="00F073F8" w:rsidRDefault="00122880" w:rsidP="00F073F8">
      <w:pPr>
        <w:widowControl w:val="0"/>
        <w:rPr>
          <w:sz w:val="22"/>
          <w:szCs w:val="22"/>
          <w:lang w:val="en-GB"/>
        </w:rPr>
      </w:pPr>
    </w:p>
    <w:p w14:paraId="45EDC53E" w14:textId="77777777" w:rsidR="00FA22F4" w:rsidRPr="00E82473" w:rsidRDefault="00FA22F4" w:rsidP="00F073F8">
      <w:pPr>
        <w:pStyle w:val="Heading1"/>
        <w:jc w:val="left"/>
        <w:rPr>
          <w:rFonts w:ascii="Times New Roman" w:hAnsi="Times New Roman" w:cs="Times New Roman"/>
          <w:bCs/>
          <w:sz w:val="28"/>
          <w:szCs w:val="28"/>
          <w:lang w:val="en-AU" w:eastAsia="en-GB"/>
        </w:rPr>
      </w:pPr>
      <w:r w:rsidRPr="00E82473">
        <w:rPr>
          <w:rFonts w:ascii="Times New Roman" w:hAnsi="Times New Roman" w:cs="Times New Roman"/>
          <w:bCs/>
          <w:sz w:val="28"/>
          <w:szCs w:val="28"/>
          <w:lang w:val="en-AU" w:eastAsia="en-GB"/>
        </w:rPr>
        <w:t>3.</w:t>
      </w:r>
      <w:r w:rsidRPr="00E82473">
        <w:rPr>
          <w:rFonts w:ascii="Times New Roman" w:hAnsi="Times New Roman" w:cs="Times New Roman"/>
          <w:bCs/>
          <w:sz w:val="28"/>
          <w:szCs w:val="28"/>
          <w:lang w:val="en-AU" w:eastAsia="en-GB"/>
        </w:rPr>
        <w:tab/>
        <w:t>PHARMACEUTICAL FORM</w:t>
      </w:r>
    </w:p>
    <w:p w14:paraId="4DB4B044" w14:textId="77777777" w:rsidR="00403790" w:rsidRPr="00F073F8" w:rsidRDefault="00403790" w:rsidP="00F073F8">
      <w:pPr>
        <w:widowControl w:val="0"/>
        <w:rPr>
          <w:sz w:val="22"/>
          <w:szCs w:val="22"/>
          <w:lang w:val="en-GB"/>
        </w:rPr>
      </w:pPr>
    </w:p>
    <w:p w14:paraId="0B33979B" w14:textId="27093FC0" w:rsidR="00F83A4A" w:rsidRPr="00F073F8" w:rsidRDefault="00F83A4A" w:rsidP="00F073F8">
      <w:pPr>
        <w:widowControl w:val="0"/>
        <w:rPr>
          <w:sz w:val="22"/>
          <w:szCs w:val="22"/>
        </w:rPr>
      </w:pPr>
      <w:r w:rsidRPr="00F073F8">
        <w:rPr>
          <w:sz w:val="22"/>
          <w:szCs w:val="22"/>
        </w:rPr>
        <w:t>Solution for injection.</w:t>
      </w:r>
    </w:p>
    <w:p w14:paraId="1D8B5B9B" w14:textId="77777777" w:rsidR="00F83A4A" w:rsidRPr="00F073F8" w:rsidRDefault="00F83A4A" w:rsidP="00F073F8">
      <w:pPr>
        <w:widowControl w:val="0"/>
        <w:rPr>
          <w:sz w:val="22"/>
          <w:szCs w:val="22"/>
          <w:lang w:val="en-GB"/>
        </w:rPr>
      </w:pPr>
    </w:p>
    <w:p w14:paraId="7FC720A0" w14:textId="6D78099C" w:rsidR="0034564D" w:rsidRPr="00F073F8" w:rsidRDefault="0086515A" w:rsidP="00F073F8">
      <w:pPr>
        <w:widowControl w:val="0"/>
        <w:rPr>
          <w:sz w:val="22"/>
          <w:szCs w:val="22"/>
        </w:rPr>
      </w:pPr>
      <w:r w:rsidRPr="00F073F8">
        <w:rPr>
          <w:sz w:val="22"/>
          <w:szCs w:val="22"/>
        </w:rPr>
        <w:t xml:space="preserve">TERROSA is </w:t>
      </w:r>
      <w:r w:rsidR="00266DC0" w:rsidRPr="00F073F8">
        <w:rPr>
          <w:sz w:val="22"/>
          <w:szCs w:val="22"/>
        </w:rPr>
        <w:t>a sterile, c</w:t>
      </w:r>
      <w:r w:rsidR="0034564D" w:rsidRPr="00F073F8">
        <w:rPr>
          <w:sz w:val="22"/>
          <w:szCs w:val="22"/>
        </w:rPr>
        <w:t xml:space="preserve">olourless, clear solution </w:t>
      </w:r>
      <w:r w:rsidR="00F050A9" w:rsidRPr="00F073F8">
        <w:rPr>
          <w:sz w:val="22"/>
          <w:szCs w:val="22"/>
        </w:rPr>
        <w:t xml:space="preserve">for injection </w:t>
      </w:r>
      <w:r w:rsidR="0034564D" w:rsidRPr="00F073F8">
        <w:rPr>
          <w:sz w:val="22"/>
          <w:szCs w:val="22"/>
        </w:rPr>
        <w:t>with a pH of 3.8</w:t>
      </w:r>
      <w:r w:rsidR="00403790" w:rsidRPr="00F073F8">
        <w:rPr>
          <w:sz w:val="22"/>
          <w:szCs w:val="22"/>
        </w:rPr>
        <w:t xml:space="preserve"> - </w:t>
      </w:r>
      <w:r w:rsidR="0034564D" w:rsidRPr="00F073F8">
        <w:rPr>
          <w:sz w:val="22"/>
          <w:szCs w:val="22"/>
        </w:rPr>
        <w:t>4.5.</w:t>
      </w:r>
    </w:p>
    <w:p w14:paraId="3AA962D4" w14:textId="77777777" w:rsidR="00122880" w:rsidRPr="00F073F8" w:rsidRDefault="00122880" w:rsidP="00F073F8">
      <w:pPr>
        <w:widowControl w:val="0"/>
        <w:rPr>
          <w:sz w:val="22"/>
          <w:szCs w:val="22"/>
          <w:lang w:val="en-GB"/>
        </w:rPr>
      </w:pPr>
    </w:p>
    <w:p w14:paraId="39A523B2" w14:textId="77777777" w:rsidR="00FA22F4" w:rsidRPr="00E82473" w:rsidRDefault="00FA22F4" w:rsidP="00F073F8">
      <w:pPr>
        <w:widowControl w:val="0"/>
        <w:rPr>
          <w:b/>
          <w:bCs/>
          <w:sz w:val="28"/>
          <w:szCs w:val="28"/>
        </w:rPr>
      </w:pPr>
      <w:r w:rsidRPr="00E82473">
        <w:rPr>
          <w:b/>
          <w:bCs/>
          <w:sz w:val="28"/>
          <w:szCs w:val="28"/>
        </w:rPr>
        <w:t>4.</w:t>
      </w:r>
      <w:r w:rsidRPr="00E82473">
        <w:rPr>
          <w:b/>
          <w:bCs/>
          <w:sz w:val="28"/>
          <w:szCs w:val="28"/>
        </w:rPr>
        <w:tab/>
        <w:t>CLINICAL PARTICULARS</w:t>
      </w:r>
    </w:p>
    <w:p w14:paraId="0F573C28" w14:textId="77777777" w:rsidR="00FA22F4" w:rsidRPr="00E82473" w:rsidRDefault="00FA22F4" w:rsidP="00F073F8">
      <w:pPr>
        <w:widowControl w:val="0"/>
        <w:rPr>
          <w:bCs/>
          <w:sz w:val="22"/>
          <w:szCs w:val="22"/>
        </w:rPr>
      </w:pPr>
    </w:p>
    <w:p w14:paraId="20AB91DD" w14:textId="239CBE4B" w:rsidR="00EF5169" w:rsidRPr="00E82473" w:rsidRDefault="00FA22F4" w:rsidP="00F073F8">
      <w:pPr>
        <w:pStyle w:val="Heading2"/>
        <w:jc w:val="left"/>
        <w:rPr>
          <w:rFonts w:ascii="Times New Roman" w:hAnsi="Times New Roman" w:cs="Times New Roman"/>
          <w:bCs/>
          <w:sz w:val="28"/>
          <w:szCs w:val="28"/>
          <w:lang w:val="en-AU" w:eastAsia="en-GB"/>
        </w:rPr>
      </w:pPr>
      <w:r w:rsidRPr="00E82473">
        <w:rPr>
          <w:rFonts w:ascii="Times New Roman" w:hAnsi="Times New Roman" w:cs="Times New Roman"/>
          <w:bCs/>
          <w:sz w:val="28"/>
          <w:szCs w:val="28"/>
          <w:lang w:val="en-AU" w:eastAsia="en-GB"/>
        </w:rPr>
        <w:t>4.1</w:t>
      </w:r>
      <w:r w:rsidRPr="00E82473">
        <w:rPr>
          <w:rFonts w:ascii="Times New Roman" w:hAnsi="Times New Roman" w:cs="Times New Roman"/>
          <w:bCs/>
          <w:sz w:val="28"/>
          <w:szCs w:val="28"/>
          <w:lang w:val="en-AU" w:eastAsia="en-GB"/>
        </w:rPr>
        <w:tab/>
      </w:r>
      <w:r w:rsidR="00AB7A2D" w:rsidRPr="00E82473">
        <w:rPr>
          <w:rFonts w:ascii="Times New Roman" w:hAnsi="Times New Roman" w:cs="Times New Roman"/>
          <w:bCs/>
          <w:sz w:val="28"/>
          <w:szCs w:val="28"/>
          <w:lang w:val="en-AU" w:eastAsia="en-GB"/>
        </w:rPr>
        <w:t xml:space="preserve">THERAPEUTIC </w:t>
      </w:r>
      <w:r w:rsidRPr="00E82473">
        <w:rPr>
          <w:rFonts w:ascii="Times New Roman" w:hAnsi="Times New Roman" w:cs="Times New Roman"/>
          <w:bCs/>
          <w:sz w:val="28"/>
          <w:szCs w:val="28"/>
          <w:lang w:val="en-AU" w:eastAsia="en-GB"/>
        </w:rPr>
        <w:t>INDICATIONS</w:t>
      </w:r>
    </w:p>
    <w:p w14:paraId="69E44030" w14:textId="77777777" w:rsidR="00AB7A2D" w:rsidRPr="00F073F8" w:rsidRDefault="00AB7A2D" w:rsidP="00F073F8">
      <w:pPr>
        <w:widowControl w:val="0"/>
        <w:rPr>
          <w:sz w:val="22"/>
          <w:szCs w:val="22"/>
        </w:rPr>
      </w:pPr>
    </w:p>
    <w:p w14:paraId="7107A220" w14:textId="36F57001" w:rsidR="00403790" w:rsidRPr="00F073F8" w:rsidRDefault="00346DD6" w:rsidP="00F073F8">
      <w:pPr>
        <w:widowControl w:val="0"/>
        <w:rPr>
          <w:sz w:val="22"/>
          <w:szCs w:val="22"/>
        </w:rPr>
      </w:pPr>
      <w:r w:rsidRPr="00F073F8">
        <w:rPr>
          <w:sz w:val="22"/>
          <w:szCs w:val="22"/>
        </w:rPr>
        <w:t>TERROSA</w:t>
      </w:r>
      <w:r w:rsidR="00AB7A2D" w:rsidRPr="00F073F8">
        <w:rPr>
          <w:sz w:val="22"/>
          <w:szCs w:val="22"/>
        </w:rPr>
        <w:t xml:space="preserve"> is indicated </w:t>
      </w:r>
      <w:r w:rsidR="009D2C84" w:rsidRPr="00F073F8">
        <w:rPr>
          <w:sz w:val="22"/>
          <w:szCs w:val="22"/>
        </w:rPr>
        <w:t>for the t</w:t>
      </w:r>
      <w:r w:rsidR="00EF5169" w:rsidRPr="00F073F8">
        <w:rPr>
          <w:sz w:val="22"/>
          <w:szCs w:val="22"/>
        </w:rPr>
        <w:t xml:space="preserve">reatment of osteoporosis in postmenopausal women and </w:t>
      </w:r>
      <w:r w:rsidR="00A55F36">
        <w:rPr>
          <w:sz w:val="22"/>
          <w:szCs w:val="22"/>
        </w:rPr>
        <w:t xml:space="preserve">the </w:t>
      </w:r>
      <w:r w:rsidR="00403790" w:rsidRPr="00F073F8">
        <w:rPr>
          <w:sz w:val="22"/>
          <w:szCs w:val="22"/>
        </w:rPr>
        <w:t xml:space="preserve">treatment of primary osteoporosis </w:t>
      </w:r>
      <w:r w:rsidR="00EF5169" w:rsidRPr="00F073F8">
        <w:rPr>
          <w:sz w:val="22"/>
          <w:szCs w:val="22"/>
        </w:rPr>
        <w:t>in men</w:t>
      </w:r>
      <w:r w:rsidR="00403790" w:rsidRPr="00F073F8">
        <w:rPr>
          <w:sz w:val="22"/>
          <w:szCs w:val="22"/>
        </w:rPr>
        <w:t xml:space="preserve"> when other agents are considered unsuitable and when there is a high risk of fracture</w:t>
      </w:r>
      <w:r w:rsidR="007D143A">
        <w:rPr>
          <w:sz w:val="22"/>
          <w:szCs w:val="22"/>
        </w:rPr>
        <w:t>s</w:t>
      </w:r>
      <w:r w:rsidR="00403790" w:rsidRPr="00F073F8">
        <w:rPr>
          <w:sz w:val="22"/>
          <w:szCs w:val="22"/>
        </w:rPr>
        <w:t>.</w:t>
      </w:r>
    </w:p>
    <w:p w14:paraId="19CDACDC" w14:textId="77777777" w:rsidR="00EF5169" w:rsidRPr="00F073F8" w:rsidRDefault="00EF5169" w:rsidP="00F073F8">
      <w:pPr>
        <w:widowControl w:val="0"/>
        <w:rPr>
          <w:sz w:val="22"/>
          <w:szCs w:val="22"/>
        </w:rPr>
      </w:pPr>
    </w:p>
    <w:p w14:paraId="31117FC7" w14:textId="4FE89D34" w:rsidR="00FA22F4" w:rsidRPr="00F073F8" w:rsidRDefault="00346DD6" w:rsidP="00F073F8">
      <w:pPr>
        <w:widowControl w:val="0"/>
        <w:rPr>
          <w:sz w:val="22"/>
          <w:szCs w:val="22"/>
        </w:rPr>
      </w:pPr>
      <w:r w:rsidRPr="00F073F8">
        <w:rPr>
          <w:sz w:val="22"/>
          <w:szCs w:val="22"/>
        </w:rPr>
        <w:t>TERROSA</w:t>
      </w:r>
      <w:r w:rsidR="00FF7519" w:rsidRPr="00F073F8">
        <w:rPr>
          <w:sz w:val="22"/>
          <w:szCs w:val="22"/>
        </w:rPr>
        <w:t xml:space="preserve"> </w:t>
      </w:r>
      <w:r w:rsidR="00A160EF" w:rsidRPr="00F073F8">
        <w:rPr>
          <w:sz w:val="22"/>
          <w:szCs w:val="22"/>
        </w:rPr>
        <w:t>is indicated for the t</w:t>
      </w:r>
      <w:r w:rsidR="00EF5169" w:rsidRPr="00F073F8">
        <w:rPr>
          <w:sz w:val="22"/>
          <w:szCs w:val="22"/>
        </w:rPr>
        <w:t xml:space="preserve">reatment of osteoporosis associated with sustained systemic glucocorticoid therapy in women and men at </w:t>
      </w:r>
      <w:r w:rsidR="00403790" w:rsidRPr="00F073F8">
        <w:rPr>
          <w:sz w:val="22"/>
          <w:szCs w:val="22"/>
        </w:rPr>
        <w:t>high risk for fracture</w:t>
      </w:r>
      <w:r w:rsidR="00B37281" w:rsidRPr="00F073F8">
        <w:rPr>
          <w:sz w:val="22"/>
          <w:szCs w:val="22"/>
        </w:rPr>
        <w:t>.</w:t>
      </w:r>
    </w:p>
    <w:p w14:paraId="3E235ED9" w14:textId="77777777" w:rsidR="002A2955" w:rsidRPr="00F073F8" w:rsidRDefault="002A2955" w:rsidP="00F073F8">
      <w:pPr>
        <w:widowControl w:val="0"/>
        <w:rPr>
          <w:sz w:val="22"/>
          <w:szCs w:val="22"/>
          <w:lang w:val="en-GB"/>
        </w:rPr>
      </w:pPr>
    </w:p>
    <w:p w14:paraId="01DF30ED" w14:textId="77777777" w:rsidR="00FA22F4" w:rsidRPr="00E82473" w:rsidRDefault="00FA22F4" w:rsidP="00F073F8">
      <w:pPr>
        <w:pStyle w:val="Heading2"/>
        <w:jc w:val="left"/>
        <w:rPr>
          <w:rFonts w:ascii="Times New Roman" w:hAnsi="Times New Roman" w:cs="Times New Roman"/>
          <w:bCs/>
          <w:sz w:val="28"/>
          <w:szCs w:val="28"/>
          <w:lang w:val="en-AU" w:eastAsia="en-GB"/>
        </w:rPr>
      </w:pPr>
      <w:r w:rsidRPr="00E82473">
        <w:rPr>
          <w:rFonts w:ascii="Times New Roman" w:hAnsi="Times New Roman" w:cs="Times New Roman"/>
          <w:bCs/>
          <w:sz w:val="28"/>
          <w:szCs w:val="28"/>
          <w:lang w:val="en-AU" w:eastAsia="en-GB"/>
        </w:rPr>
        <w:t>4.2</w:t>
      </w:r>
      <w:r w:rsidRPr="00E82473">
        <w:rPr>
          <w:rFonts w:ascii="Times New Roman" w:hAnsi="Times New Roman" w:cs="Times New Roman"/>
          <w:bCs/>
          <w:sz w:val="28"/>
          <w:szCs w:val="28"/>
          <w:lang w:val="en-AU" w:eastAsia="en-GB"/>
        </w:rPr>
        <w:tab/>
        <w:t>DOSE AND METHOD OF ADMINISTRATION</w:t>
      </w:r>
    </w:p>
    <w:p w14:paraId="6ABB8D90" w14:textId="77777777" w:rsidR="00FA22F4" w:rsidRPr="00F073F8" w:rsidRDefault="00FA22F4" w:rsidP="00F073F8">
      <w:pPr>
        <w:widowControl w:val="0"/>
        <w:rPr>
          <w:sz w:val="22"/>
          <w:szCs w:val="22"/>
          <w:lang w:val="en-GB"/>
        </w:rPr>
      </w:pPr>
    </w:p>
    <w:p w14:paraId="078813B7" w14:textId="1529DFAF" w:rsidR="006C1047" w:rsidRPr="00F073F8" w:rsidRDefault="00FA22F4" w:rsidP="00F073F8">
      <w:pPr>
        <w:pStyle w:val="Heading2"/>
        <w:jc w:val="left"/>
        <w:rPr>
          <w:rFonts w:ascii="Times New Roman" w:hAnsi="Times New Roman" w:cs="Times New Roman"/>
          <w:b w:val="0"/>
          <w:i/>
          <w:iCs/>
          <w:sz w:val="22"/>
          <w:szCs w:val="22"/>
          <w:lang w:val="en-AU" w:eastAsia="en-GB"/>
        </w:rPr>
      </w:pPr>
      <w:r w:rsidRPr="00F073F8">
        <w:rPr>
          <w:rFonts w:ascii="Times New Roman" w:hAnsi="Times New Roman" w:cs="Times New Roman"/>
          <w:b w:val="0"/>
          <w:i/>
          <w:iCs/>
          <w:sz w:val="22"/>
          <w:szCs w:val="22"/>
          <w:lang w:val="en-AU" w:eastAsia="en-GB"/>
        </w:rPr>
        <w:t>Dosage</w:t>
      </w:r>
    </w:p>
    <w:p w14:paraId="64C50A13" w14:textId="106E20FB" w:rsidR="008A1FC2" w:rsidRPr="0071129A" w:rsidRDefault="00403790" w:rsidP="00F073F8">
      <w:pPr>
        <w:widowControl w:val="0"/>
        <w:rPr>
          <w:strike/>
          <w:sz w:val="22"/>
          <w:szCs w:val="22"/>
        </w:rPr>
      </w:pPr>
      <w:r w:rsidRPr="00F073F8">
        <w:rPr>
          <w:sz w:val="22"/>
          <w:szCs w:val="22"/>
        </w:rPr>
        <w:t xml:space="preserve">The recommended dose </w:t>
      </w:r>
      <w:r w:rsidR="003C384F" w:rsidRPr="00F073F8">
        <w:rPr>
          <w:sz w:val="22"/>
          <w:szCs w:val="22"/>
        </w:rPr>
        <w:t xml:space="preserve">of </w:t>
      </w:r>
      <w:r w:rsidR="00346DD6" w:rsidRPr="00F073F8">
        <w:rPr>
          <w:sz w:val="22"/>
          <w:szCs w:val="22"/>
        </w:rPr>
        <w:t>TERROSA</w:t>
      </w:r>
      <w:r w:rsidR="003C384F" w:rsidRPr="00F073F8">
        <w:rPr>
          <w:sz w:val="22"/>
          <w:szCs w:val="22"/>
        </w:rPr>
        <w:t xml:space="preserve"> </w:t>
      </w:r>
      <w:r w:rsidRPr="00F073F8">
        <w:rPr>
          <w:sz w:val="22"/>
          <w:szCs w:val="22"/>
        </w:rPr>
        <w:t>is 20</w:t>
      </w:r>
      <w:r w:rsidR="000122CA" w:rsidRPr="00F073F8">
        <w:rPr>
          <w:sz w:val="22"/>
          <w:szCs w:val="22"/>
        </w:rPr>
        <w:t> </w:t>
      </w:r>
      <w:r w:rsidR="000A740C" w:rsidRPr="00F073F8">
        <w:rPr>
          <w:sz w:val="22"/>
          <w:szCs w:val="22"/>
        </w:rPr>
        <w:t>micrograms</w:t>
      </w:r>
      <w:r w:rsidR="00274C17" w:rsidRPr="00F073F8">
        <w:rPr>
          <w:sz w:val="22"/>
          <w:szCs w:val="22"/>
        </w:rPr>
        <w:t xml:space="preserve"> </w:t>
      </w:r>
      <w:r w:rsidR="000122CA" w:rsidRPr="00F073F8">
        <w:rPr>
          <w:sz w:val="22"/>
          <w:szCs w:val="22"/>
        </w:rPr>
        <w:t xml:space="preserve">administered </w:t>
      </w:r>
      <w:r w:rsidR="00274C17" w:rsidRPr="00F073F8">
        <w:rPr>
          <w:sz w:val="22"/>
          <w:szCs w:val="22"/>
        </w:rPr>
        <w:t xml:space="preserve">once </w:t>
      </w:r>
      <w:r w:rsidR="00267A2D">
        <w:rPr>
          <w:sz w:val="22"/>
          <w:szCs w:val="22"/>
        </w:rPr>
        <w:t>daily</w:t>
      </w:r>
      <w:r w:rsidR="00A93894">
        <w:rPr>
          <w:sz w:val="22"/>
          <w:szCs w:val="22"/>
        </w:rPr>
        <w:t xml:space="preserve"> by subcutaneous injection in the thigh or abdomen</w:t>
      </w:r>
      <w:r w:rsidR="005A42B1" w:rsidRPr="00B36A05">
        <w:rPr>
          <w:sz w:val="22"/>
          <w:szCs w:val="22"/>
        </w:rPr>
        <w:t xml:space="preserve">. </w:t>
      </w:r>
    </w:p>
    <w:p w14:paraId="2233A936" w14:textId="788BDF95" w:rsidR="00F36DFB" w:rsidRPr="00335EEA" w:rsidRDefault="00E4362F" w:rsidP="00D46619">
      <w:pPr>
        <w:pStyle w:val="Default"/>
        <w:rPr>
          <w:strike/>
          <w:sz w:val="22"/>
          <w:szCs w:val="22"/>
        </w:rPr>
      </w:pPr>
      <w:r w:rsidRPr="00742072">
        <w:rPr>
          <w:sz w:val="22"/>
          <w:szCs w:val="22"/>
        </w:rPr>
        <w:br/>
      </w:r>
      <w:r w:rsidR="00F36DFB" w:rsidRPr="00742072">
        <w:rPr>
          <w:sz w:val="22"/>
          <w:szCs w:val="22"/>
        </w:rPr>
        <w:t>Based on clinical experience, treatment with teriparatide is recommended for a lifetime duration of 24 months treatment (for post-treatment efficacy</w:t>
      </w:r>
      <w:r w:rsidR="00F36DFB" w:rsidRPr="00742072">
        <w:rPr>
          <w:b/>
          <w:sz w:val="22"/>
          <w:szCs w:val="22"/>
        </w:rPr>
        <w:t xml:space="preserve">, </w:t>
      </w:r>
      <w:r w:rsidR="00F36DFB" w:rsidRPr="00742072">
        <w:rPr>
          <w:sz w:val="22"/>
          <w:szCs w:val="22"/>
        </w:rPr>
        <w:t>see</w:t>
      </w:r>
      <w:r w:rsidR="00F36DFB" w:rsidRPr="00C115AF">
        <w:t xml:space="preserve"> </w:t>
      </w:r>
      <w:hyperlink w:anchor="ref3" w:history="1">
        <w:r w:rsidR="00C329E6" w:rsidRPr="00F57912">
          <w:rPr>
            <w:rStyle w:val="Hyperlink"/>
            <w:b/>
            <w:bCs/>
            <w:sz w:val="22"/>
            <w:szCs w:val="22"/>
          </w:rPr>
          <w:t>Section 5.1</w:t>
        </w:r>
        <w:r w:rsidR="00C329E6" w:rsidRPr="00F57912">
          <w:rPr>
            <w:rStyle w:val="Hyperlink"/>
            <w:sz w:val="22"/>
            <w:szCs w:val="22"/>
          </w:rPr>
          <w:t xml:space="preserve"> </w:t>
        </w:r>
        <w:r w:rsidR="00C329E6" w:rsidRPr="00F57912">
          <w:rPr>
            <w:rStyle w:val="Hyperlink"/>
            <w:b/>
            <w:bCs/>
            <w:sz w:val="22"/>
            <w:szCs w:val="22"/>
          </w:rPr>
          <w:t xml:space="preserve">PHARMACODYNAMIC </w:t>
        </w:r>
        <w:r w:rsidR="00C329E6" w:rsidRPr="00F57912">
          <w:rPr>
            <w:rStyle w:val="Hyperlink"/>
            <w:b/>
            <w:bCs/>
            <w:sz w:val="22"/>
            <w:szCs w:val="22"/>
          </w:rPr>
          <w:lastRenderedPageBreak/>
          <w:t>PROPERTIES</w:t>
        </w:r>
      </w:hyperlink>
      <w:r w:rsidR="00C329E6" w:rsidRPr="001B4397">
        <w:rPr>
          <w:b/>
          <w:bCs/>
          <w:sz w:val="22"/>
          <w:szCs w:val="22"/>
        </w:rPr>
        <w:t xml:space="preserve"> / Clinical trials</w:t>
      </w:r>
      <w:r w:rsidR="00C329E6" w:rsidRPr="00F073F8">
        <w:rPr>
          <w:sz w:val="22"/>
          <w:szCs w:val="22"/>
        </w:rPr>
        <w:t>)</w:t>
      </w:r>
      <w:r w:rsidR="00135D84">
        <w:rPr>
          <w:sz w:val="22"/>
          <w:szCs w:val="22"/>
        </w:rPr>
        <w:t>.</w:t>
      </w:r>
      <w:r w:rsidR="00C329E6">
        <w:rPr>
          <w:sz w:val="22"/>
          <w:szCs w:val="22"/>
        </w:rPr>
        <w:t xml:space="preserve"> </w:t>
      </w:r>
      <w:r w:rsidR="00D717E4" w:rsidRPr="00742072">
        <w:rPr>
          <w:sz w:val="22"/>
          <w:szCs w:val="22"/>
        </w:rPr>
        <w:t>TERROSA</w:t>
      </w:r>
      <w:r w:rsidR="00F36DFB" w:rsidRPr="00742072">
        <w:rPr>
          <w:sz w:val="22"/>
          <w:szCs w:val="22"/>
        </w:rPr>
        <w:t xml:space="preserve"> should be prescribed to patients with a full explanation and their informed consent on the lifetime duration of 24 months treatment</w:t>
      </w:r>
      <w:r w:rsidR="00FD1997">
        <w:t>.</w:t>
      </w:r>
    </w:p>
    <w:p w14:paraId="38CC1B13" w14:textId="77777777" w:rsidR="00D46619" w:rsidRDefault="00D46619" w:rsidP="00F073F8">
      <w:pPr>
        <w:widowControl w:val="0"/>
        <w:rPr>
          <w:sz w:val="22"/>
          <w:szCs w:val="22"/>
        </w:rPr>
      </w:pPr>
    </w:p>
    <w:p w14:paraId="7C8AE527" w14:textId="7084FC33" w:rsidR="00FA22F4" w:rsidRPr="00A6486A" w:rsidRDefault="00403790" w:rsidP="00F073F8">
      <w:pPr>
        <w:widowControl w:val="0"/>
        <w:rPr>
          <w:sz w:val="22"/>
          <w:szCs w:val="22"/>
        </w:rPr>
      </w:pPr>
      <w:r w:rsidRPr="00A6486A">
        <w:rPr>
          <w:sz w:val="22"/>
          <w:szCs w:val="22"/>
        </w:rPr>
        <w:t>Following cessation of teriparatide therapy, patients may be continued on other osteoporosis therapies.</w:t>
      </w:r>
    </w:p>
    <w:p w14:paraId="52841A20" w14:textId="30EB0DB9" w:rsidR="00E73F69" w:rsidRPr="00F073F8" w:rsidRDefault="00E73F69" w:rsidP="00F073F8">
      <w:pPr>
        <w:widowControl w:val="0"/>
        <w:rPr>
          <w:sz w:val="22"/>
          <w:szCs w:val="22"/>
        </w:rPr>
      </w:pPr>
    </w:p>
    <w:p w14:paraId="6EF6C005" w14:textId="02ECBFAA" w:rsidR="000122CA" w:rsidRPr="00EF38BC" w:rsidRDefault="00BF3659" w:rsidP="00F073F8">
      <w:pPr>
        <w:widowControl w:val="0"/>
        <w:rPr>
          <w:sz w:val="22"/>
          <w:szCs w:val="22"/>
        </w:rPr>
      </w:pPr>
      <w:r w:rsidRPr="00EF38BC">
        <w:rPr>
          <w:sz w:val="22"/>
          <w:szCs w:val="22"/>
        </w:rPr>
        <w:t>Calcium and vitamin D supplements are advised in patients with a low dietary intake of these nutrients</w:t>
      </w:r>
      <w:r w:rsidR="00A651E1" w:rsidRPr="00EF38BC">
        <w:rPr>
          <w:sz w:val="22"/>
          <w:szCs w:val="22"/>
        </w:rPr>
        <w:t>.</w:t>
      </w:r>
    </w:p>
    <w:p w14:paraId="367ED6E1" w14:textId="77777777" w:rsidR="00D717E4" w:rsidRDefault="00D717E4" w:rsidP="00F073F8"/>
    <w:p w14:paraId="3FE33CB2" w14:textId="2042A82D" w:rsidR="00E73F69" w:rsidRPr="00F073F8" w:rsidRDefault="00E73F69" w:rsidP="00F073F8">
      <w:pPr>
        <w:rPr>
          <w:sz w:val="22"/>
          <w:szCs w:val="22"/>
        </w:rPr>
      </w:pPr>
      <w:r w:rsidRPr="00F073F8">
        <w:rPr>
          <w:b/>
          <w:bCs/>
          <w:sz w:val="22"/>
          <w:szCs w:val="22"/>
        </w:rPr>
        <w:t>Use in Males</w:t>
      </w:r>
      <w:r w:rsidRPr="00F073F8">
        <w:rPr>
          <w:sz w:val="22"/>
          <w:szCs w:val="22"/>
        </w:rPr>
        <w:t xml:space="preserve"> – Primary or secondary hypogonadism should first be excluded and, if relevant, be treated (see </w:t>
      </w:r>
      <w:hyperlink w:anchor="ref3" w:history="1">
        <w:r w:rsidR="001B4397" w:rsidRPr="00F57912">
          <w:rPr>
            <w:rStyle w:val="Hyperlink"/>
            <w:b/>
            <w:bCs/>
            <w:sz w:val="22"/>
            <w:szCs w:val="22"/>
          </w:rPr>
          <w:t>S</w:t>
        </w:r>
        <w:r w:rsidRPr="00F57912">
          <w:rPr>
            <w:rStyle w:val="Hyperlink"/>
            <w:b/>
            <w:bCs/>
            <w:sz w:val="22"/>
            <w:szCs w:val="22"/>
          </w:rPr>
          <w:t>ection 5.1</w:t>
        </w:r>
        <w:r w:rsidRPr="00F57912">
          <w:rPr>
            <w:rStyle w:val="Hyperlink"/>
            <w:sz w:val="22"/>
            <w:szCs w:val="22"/>
          </w:rPr>
          <w:t xml:space="preserve"> </w:t>
        </w:r>
        <w:r w:rsidRPr="00F57912">
          <w:rPr>
            <w:rStyle w:val="Hyperlink"/>
            <w:b/>
            <w:bCs/>
            <w:sz w:val="22"/>
            <w:szCs w:val="22"/>
          </w:rPr>
          <w:t>PHARMACODYNAMIC PROPERTIES</w:t>
        </w:r>
      </w:hyperlink>
      <w:r w:rsidRPr="001B4397">
        <w:rPr>
          <w:b/>
          <w:bCs/>
          <w:sz w:val="22"/>
          <w:szCs w:val="22"/>
        </w:rPr>
        <w:t xml:space="preserve"> / Clinical trials</w:t>
      </w:r>
      <w:r w:rsidRPr="00F073F8">
        <w:rPr>
          <w:sz w:val="22"/>
          <w:szCs w:val="22"/>
        </w:rPr>
        <w:t>)</w:t>
      </w:r>
      <w:r w:rsidR="00FE2975">
        <w:rPr>
          <w:sz w:val="22"/>
          <w:szCs w:val="22"/>
        </w:rPr>
        <w:t>.</w:t>
      </w:r>
    </w:p>
    <w:p w14:paraId="7786149B" w14:textId="77777777" w:rsidR="00FA22F4" w:rsidRPr="00F073F8" w:rsidRDefault="00FA22F4" w:rsidP="00F073F8">
      <w:pPr>
        <w:widowControl w:val="0"/>
        <w:rPr>
          <w:sz w:val="22"/>
          <w:szCs w:val="22"/>
        </w:rPr>
      </w:pPr>
    </w:p>
    <w:p w14:paraId="164EE9F6" w14:textId="3CCA4466" w:rsidR="00CD6BDB" w:rsidRDefault="00FA22F4" w:rsidP="00450F24">
      <w:pPr>
        <w:pStyle w:val="Heading2"/>
        <w:jc w:val="left"/>
        <w:rPr>
          <w:rFonts w:ascii="Times New Roman" w:hAnsi="Times New Roman" w:cs="Times New Roman"/>
          <w:b w:val="0"/>
          <w:i/>
          <w:iCs/>
          <w:sz w:val="22"/>
          <w:szCs w:val="22"/>
          <w:lang w:val="en-AU" w:eastAsia="en-GB"/>
        </w:rPr>
      </w:pPr>
      <w:r w:rsidRPr="00F073F8">
        <w:rPr>
          <w:rFonts w:ascii="Times New Roman" w:hAnsi="Times New Roman" w:cs="Times New Roman"/>
          <w:b w:val="0"/>
          <w:i/>
          <w:iCs/>
          <w:sz w:val="22"/>
          <w:szCs w:val="22"/>
          <w:lang w:val="en-AU" w:eastAsia="en-GB"/>
        </w:rPr>
        <w:t>Method of administration</w:t>
      </w:r>
    </w:p>
    <w:p w14:paraId="36AEC92F" w14:textId="6A68D887" w:rsidR="00B5326B" w:rsidRDefault="00B5326B" w:rsidP="00B5326B"/>
    <w:p w14:paraId="5347A5AF" w14:textId="5298FA9D" w:rsidR="00B5326B" w:rsidRPr="008539F3" w:rsidRDefault="00B5326B" w:rsidP="00D717E4">
      <w:pPr>
        <w:rPr>
          <w:bCs/>
        </w:rPr>
      </w:pPr>
      <w:r w:rsidRPr="00083E2F">
        <w:rPr>
          <w:sz w:val="22"/>
          <w:szCs w:val="22"/>
        </w:rPr>
        <w:t>TERROSA is a clear and colourless solution for injection. TERROSA should not be used if the solution is cloudy, coloured or contains visible particles</w:t>
      </w:r>
      <w:r w:rsidR="00884027">
        <w:t>.</w:t>
      </w:r>
    </w:p>
    <w:p w14:paraId="19D96100" w14:textId="4659640D" w:rsidR="00CD6BDB" w:rsidRPr="0095316B" w:rsidRDefault="00CD6BDB" w:rsidP="008539F3">
      <w:pPr>
        <w:pStyle w:val="BodyText"/>
        <w:spacing w:before="120" w:after="0"/>
        <w:rPr>
          <w:rFonts w:ascii="Times New Roman" w:hAnsi="Times New Roman" w:cs="Times New Roman"/>
          <w:strike/>
          <w:lang w:val="en-AU" w:eastAsia="en-GB"/>
        </w:rPr>
      </w:pPr>
      <w:r w:rsidRPr="00F073F8">
        <w:rPr>
          <w:rFonts w:ascii="Times New Roman" w:hAnsi="Times New Roman" w:cs="Times New Roman"/>
          <w:lang w:val="en-AU" w:eastAsia="en-GB"/>
        </w:rPr>
        <w:t xml:space="preserve">TERROSA </w:t>
      </w:r>
      <w:r w:rsidR="00D73BDE">
        <w:rPr>
          <w:rFonts w:ascii="Times New Roman" w:hAnsi="Times New Roman" w:cs="Times New Roman"/>
          <w:lang w:val="en-AU" w:eastAsia="en-GB"/>
        </w:rPr>
        <w:t>Pen delivers</w:t>
      </w:r>
      <w:r w:rsidR="00F007B7">
        <w:rPr>
          <w:rFonts w:ascii="Times New Roman" w:hAnsi="Times New Roman" w:cs="Times New Roman"/>
          <w:lang w:val="en-AU" w:eastAsia="en-GB"/>
        </w:rPr>
        <w:t xml:space="preserve"> 20 micrograms of teriparatide per dose</w:t>
      </w:r>
      <w:r w:rsidR="00BA4184">
        <w:rPr>
          <w:rFonts w:ascii="Times New Roman" w:hAnsi="Times New Roman" w:cs="Times New Roman"/>
          <w:lang w:val="en-AU" w:eastAsia="en-GB"/>
        </w:rPr>
        <w:t>.</w:t>
      </w:r>
      <w:r w:rsidR="003E4BEA">
        <w:rPr>
          <w:rFonts w:ascii="Times New Roman" w:hAnsi="Times New Roman" w:cs="Times New Roman"/>
          <w:lang w:val="en-AU" w:eastAsia="en-GB"/>
        </w:rPr>
        <w:t xml:space="preserve"> </w:t>
      </w:r>
      <w:r w:rsidR="00F146DC">
        <w:rPr>
          <w:rFonts w:ascii="Times New Roman" w:hAnsi="Times New Roman" w:cs="Times New Roman"/>
          <w:lang w:val="en-AU" w:eastAsia="en-GB"/>
        </w:rPr>
        <w:t xml:space="preserve">Each cartridge contains dosing </w:t>
      </w:r>
      <w:r w:rsidR="003E4BEA">
        <w:rPr>
          <w:rFonts w:ascii="Times New Roman" w:hAnsi="Times New Roman" w:cs="Times New Roman"/>
          <w:lang w:val="en-AU" w:eastAsia="en-GB"/>
        </w:rPr>
        <w:t xml:space="preserve"> </w:t>
      </w:r>
      <w:r w:rsidR="00F007B7">
        <w:rPr>
          <w:rFonts w:ascii="Times New Roman" w:hAnsi="Times New Roman" w:cs="Times New Roman"/>
          <w:lang w:val="en-AU" w:eastAsia="en-GB"/>
        </w:rPr>
        <w:t xml:space="preserve"> for  28 </w:t>
      </w:r>
      <w:r w:rsidR="00D43582">
        <w:rPr>
          <w:rFonts w:ascii="Times New Roman" w:hAnsi="Times New Roman" w:cs="Times New Roman"/>
          <w:lang w:val="en-AU" w:eastAsia="en-GB"/>
        </w:rPr>
        <w:t xml:space="preserve">treatment </w:t>
      </w:r>
      <w:r w:rsidR="00F007B7">
        <w:rPr>
          <w:rFonts w:ascii="Times New Roman" w:hAnsi="Times New Roman" w:cs="Times New Roman"/>
          <w:lang w:val="en-AU" w:eastAsia="en-GB"/>
        </w:rPr>
        <w:t>days</w:t>
      </w:r>
      <w:r w:rsidR="00B21FF2">
        <w:rPr>
          <w:rFonts w:ascii="Times New Roman" w:hAnsi="Times New Roman" w:cs="Times New Roman"/>
          <w:lang w:val="en-AU" w:eastAsia="en-GB"/>
        </w:rPr>
        <w:t>.</w:t>
      </w:r>
      <w:r w:rsidR="00F007B7">
        <w:rPr>
          <w:rFonts w:ascii="Times New Roman" w:hAnsi="Times New Roman" w:cs="Times New Roman"/>
          <w:lang w:val="en-AU" w:eastAsia="en-GB"/>
        </w:rPr>
        <w:t xml:space="preserve"> </w:t>
      </w:r>
      <w:r w:rsidR="0081561F">
        <w:rPr>
          <w:rFonts w:ascii="Times New Roman" w:hAnsi="Times New Roman" w:cs="Times New Roman"/>
          <w:lang w:val="en-AU" w:eastAsia="en-GB"/>
        </w:rPr>
        <w:t>Patient must be ed</w:t>
      </w:r>
      <w:r w:rsidR="0008072D">
        <w:rPr>
          <w:rFonts w:ascii="Times New Roman" w:hAnsi="Times New Roman" w:cs="Times New Roman"/>
          <w:lang w:val="en-AU" w:eastAsia="en-GB"/>
        </w:rPr>
        <w:t xml:space="preserve">ucated </w:t>
      </w:r>
      <w:r w:rsidR="0081561F">
        <w:rPr>
          <w:rFonts w:ascii="Times New Roman" w:hAnsi="Times New Roman" w:cs="Times New Roman"/>
          <w:lang w:val="en-AU" w:eastAsia="en-GB"/>
        </w:rPr>
        <w:t xml:space="preserve"> to use the pro</w:t>
      </w:r>
      <w:r w:rsidR="00EE15D1">
        <w:rPr>
          <w:rFonts w:ascii="Times New Roman" w:hAnsi="Times New Roman" w:cs="Times New Roman"/>
          <w:lang w:val="en-AU" w:eastAsia="en-GB"/>
        </w:rPr>
        <w:t xml:space="preserve">per injection techniques. Please refer to the Instructions for Use.  TERROSA </w:t>
      </w:r>
      <w:r w:rsidRPr="00F073F8">
        <w:rPr>
          <w:rFonts w:ascii="Times New Roman" w:hAnsi="Times New Roman" w:cs="Times New Roman"/>
          <w:lang w:val="en-AU" w:eastAsia="en-GB"/>
        </w:rPr>
        <w:t xml:space="preserve">should be </w:t>
      </w:r>
      <w:r w:rsidRPr="00F073F8">
        <w:rPr>
          <w:rFonts w:ascii="Times New Roman" w:hAnsi="Times New Roman" w:cs="Times New Roman"/>
          <w:lang w:val="en-GB"/>
        </w:rPr>
        <w:t xml:space="preserve">exclusively </w:t>
      </w:r>
      <w:r w:rsidRPr="00F073F8">
        <w:rPr>
          <w:rFonts w:ascii="Times New Roman" w:hAnsi="Times New Roman" w:cs="Times New Roman"/>
          <w:lang w:val="en-AU" w:eastAsia="en-GB"/>
        </w:rPr>
        <w:t xml:space="preserve">administered with the dedicated, reusable, </w:t>
      </w:r>
      <w:proofErr w:type="spellStart"/>
      <w:r w:rsidRPr="00F073F8">
        <w:rPr>
          <w:rFonts w:ascii="Times New Roman" w:hAnsi="Times New Roman" w:cs="Times New Roman"/>
          <w:lang w:val="en-AU" w:eastAsia="en-GB"/>
        </w:rPr>
        <w:t>multidose</w:t>
      </w:r>
      <w:proofErr w:type="spellEnd"/>
      <w:r w:rsidRPr="00F073F8">
        <w:rPr>
          <w:rFonts w:ascii="Times New Roman" w:hAnsi="Times New Roman" w:cs="Times New Roman"/>
          <w:lang w:val="en-AU" w:eastAsia="en-GB"/>
        </w:rPr>
        <w:t xml:space="preserve"> medicine delivery system (“</w:t>
      </w:r>
      <w:r>
        <w:rPr>
          <w:rFonts w:ascii="Times New Roman" w:hAnsi="Times New Roman" w:cs="Times New Roman"/>
          <w:lang w:val="en-AU" w:eastAsia="en-GB"/>
        </w:rPr>
        <w:t>TERROSA P</w:t>
      </w:r>
      <w:r w:rsidRPr="00F073F8">
        <w:rPr>
          <w:rFonts w:ascii="Times New Roman" w:hAnsi="Times New Roman" w:cs="Times New Roman"/>
          <w:lang w:val="en-AU" w:eastAsia="en-GB"/>
        </w:rPr>
        <w:t>en”)</w:t>
      </w:r>
      <w:r w:rsidR="00EF1530">
        <w:rPr>
          <w:rFonts w:ascii="Times New Roman" w:hAnsi="Times New Roman" w:cs="Times New Roman"/>
          <w:lang w:val="en-AU" w:eastAsia="en-GB"/>
        </w:rPr>
        <w:t>.</w:t>
      </w:r>
      <w:r w:rsidRPr="00F073F8">
        <w:rPr>
          <w:rFonts w:ascii="Times New Roman" w:hAnsi="Times New Roman" w:cs="Times New Roman"/>
          <w:lang w:val="en-AU" w:eastAsia="en-GB"/>
        </w:rPr>
        <w:t xml:space="preserve"> </w:t>
      </w:r>
    </w:p>
    <w:p w14:paraId="436AEDD1" w14:textId="59913E35" w:rsidR="00CD6BDB" w:rsidRDefault="00CD6BDB" w:rsidP="008539F3">
      <w:pPr>
        <w:pStyle w:val="BodyText"/>
        <w:spacing w:before="120" w:after="0"/>
        <w:rPr>
          <w:rFonts w:ascii="Times New Roman" w:hAnsi="Times New Roman" w:cs="Times New Roman"/>
          <w:lang w:val="en-AU" w:eastAsia="en-GB"/>
        </w:rPr>
      </w:pPr>
      <w:r>
        <w:rPr>
          <w:rFonts w:ascii="Times New Roman" w:hAnsi="Times New Roman" w:cs="Times New Roman"/>
          <w:lang w:val="en-AU" w:eastAsia="en-GB"/>
        </w:rPr>
        <w:t xml:space="preserve">No </w:t>
      </w:r>
      <w:r w:rsidRPr="00F073F8">
        <w:rPr>
          <w:rFonts w:ascii="Times New Roman" w:hAnsi="Times New Roman" w:cs="Times New Roman"/>
          <w:lang w:val="en-AU" w:eastAsia="en-GB"/>
        </w:rPr>
        <w:t xml:space="preserve">needles </w:t>
      </w:r>
      <w:r>
        <w:rPr>
          <w:rFonts w:ascii="Times New Roman" w:hAnsi="Times New Roman" w:cs="Times New Roman"/>
          <w:lang w:val="en-AU" w:eastAsia="en-GB"/>
        </w:rPr>
        <w:t>are supplied with the</w:t>
      </w:r>
      <w:r w:rsidRPr="00F073F8">
        <w:rPr>
          <w:rFonts w:ascii="Times New Roman" w:hAnsi="Times New Roman" w:cs="Times New Roman"/>
          <w:lang w:val="en-AU" w:eastAsia="en-GB"/>
        </w:rPr>
        <w:t xml:space="preserve"> TERROSA</w:t>
      </w:r>
      <w:r>
        <w:rPr>
          <w:rFonts w:ascii="Times New Roman" w:hAnsi="Times New Roman" w:cs="Times New Roman"/>
          <w:lang w:val="en-AU" w:eastAsia="en-GB"/>
        </w:rPr>
        <w:t xml:space="preserve"> cartridge or the Pen</w:t>
      </w:r>
      <w:r w:rsidRPr="00F073F8">
        <w:rPr>
          <w:rFonts w:ascii="Times New Roman" w:hAnsi="Times New Roman" w:cs="Times New Roman"/>
          <w:lang w:val="en-AU" w:eastAsia="en-GB"/>
        </w:rPr>
        <w:t xml:space="preserve">. </w:t>
      </w:r>
      <w:r>
        <w:rPr>
          <w:rFonts w:ascii="Times New Roman" w:hAnsi="Times New Roman" w:cs="Times New Roman"/>
          <w:lang w:val="en-AU" w:eastAsia="en-GB"/>
        </w:rPr>
        <w:t xml:space="preserve"> Patient must purchase Becton Dickson or </w:t>
      </w:r>
      <w:proofErr w:type="spellStart"/>
      <w:r>
        <w:rPr>
          <w:rFonts w:ascii="Times New Roman" w:hAnsi="Times New Roman" w:cs="Times New Roman"/>
          <w:lang w:val="en-AU" w:eastAsia="en-GB"/>
        </w:rPr>
        <w:t>Ypsomed’s</w:t>
      </w:r>
      <w:proofErr w:type="spellEnd"/>
      <w:r>
        <w:rPr>
          <w:rFonts w:ascii="Times New Roman" w:hAnsi="Times New Roman" w:cs="Times New Roman"/>
          <w:lang w:val="en-AU" w:eastAsia="en-GB"/>
        </w:rPr>
        <w:t xml:space="preserve"> </w:t>
      </w:r>
      <w:r w:rsidR="000820AE">
        <w:rPr>
          <w:rFonts w:ascii="Times New Roman" w:hAnsi="Times New Roman" w:cs="Times New Roman"/>
          <w:lang w:val="en-AU" w:eastAsia="en-GB"/>
        </w:rPr>
        <w:t>29-31gauge</w:t>
      </w:r>
      <w:r>
        <w:rPr>
          <w:rFonts w:ascii="Times New Roman" w:hAnsi="Times New Roman" w:cs="Times New Roman"/>
          <w:lang w:val="en-AU" w:eastAsia="en-GB"/>
        </w:rPr>
        <w:t xml:space="preserve"> needles from their pharmacy. </w:t>
      </w:r>
    </w:p>
    <w:p w14:paraId="397ECF63" w14:textId="0DE1F717" w:rsidR="00CD6BDB" w:rsidRPr="0095316B" w:rsidRDefault="00CD6BDB" w:rsidP="008539F3">
      <w:pPr>
        <w:pStyle w:val="BodyText"/>
        <w:spacing w:before="120" w:after="0"/>
        <w:rPr>
          <w:rFonts w:ascii="Times New Roman" w:hAnsi="Times New Roman" w:cs="Times New Roman"/>
          <w:strike/>
          <w:lang w:val="en-AU" w:eastAsia="en-GB"/>
        </w:rPr>
      </w:pPr>
      <w:r w:rsidRPr="00F073F8">
        <w:rPr>
          <w:rFonts w:ascii="Times New Roman" w:hAnsi="Times New Roman" w:cs="Times New Roman"/>
        </w:rPr>
        <w:t xml:space="preserve">To prevent the possible transmission of disease, </w:t>
      </w:r>
      <w:r w:rsidRPr="00F073F8">
        <w:rPr>
          <w:rFonts w:ascii="Times New Roman" w:hAnsi="Times New Roman" w:cs="Times New Roman"/>
          <w:lang w:val="en-AU" w:eastAsia="en-GB"/>
        </w:rPr>
        <w:t>each cartridge and pen must be used by one patient</w:t>
      </w:r>
      <w:r w:rsidR="00BD16B9">
        <w:rPr>
          <w:rFonts w:ascii="Times New Roman" w:hAnsi="Times New Roman" w:cs="Times New Roman"/>
          <w:lang w:val="en-AU" w:eastAsia="en-GB"/>
        </w:rPr>
        <w:t xml:space="preserve"> </w:t>
      </w:r>
      <w:r w:rsidR="00BD16B9" w:rsidRPr="00F073F8">
        <w:rPr>
          <w:rFonts w:ascii="Times New Roman" w:hAnsi="Times New Roman" w:cs="Times New Roman"/>
          <w:lang w:val="en-AU" w:eastAsia="en-GB"/>
        </w:rPr>
        <w:t>only</w:t>
      </w:r>
      <w:r w:rsidR="00C0508F">
        <w:rPr>
          <w:rFonts w:ascii="Times New Roman" w:hAnsi="Times New Roman" w:cs="Times New Roman"/>
          <w:lang w:val="en-AU" w:eastAsia="en-GB"/>
        </w:rPr>
        <w:t>,</w:t>
      </w:r>
      <w:r w:rsidR="00BD16B9" w:rsidRPr="00F073F8">
        <w:rPr>
          <w:rFonts w:ascii="Times New Roman" w:hAnsi="Times New Roman" w:cs="Times New Roman"/>
        </w:rPr>
        <w:t xml:space="preserve"> </w:t>
      </w:r>
      <w:r w:rsidRPr="00F073F8">
        <w:rPr>
          <w:rFonts w:ascii="Times New Roman" w:hAnsi="Times New Roman" w:cs="Times New Roman"/>
        </w:rPr>
        <w:t>even if the needle is changed</w:t>
      </w:r>
      <w:r w:rsidRPr="00F073F8">
        <w:rPr>
          <w:rFonts w:ascii="Times New Roman" w:hAnsi="Times New Roman" w:cs="Times New Roman"/>
          <w:lang w:val="en-AU" w:eastAsia="en-GB"/>
        </w:rPr>
        <w:t xml:space="preserve">. </w:t>
      </w:r>
    </w:p>
    <w:p w14:paraId="50E6E2A7" w14:textId="77777777" w:rsidR="00CD6BDB" w:rsidRPr="00F073F8" w:rsidRDefault="00CD6BDB" w:rsidP="008539F3">
      <w:pPr>
        <w:pStyle w:val="BodyText"/>
        <w:spacing w:before="120" w:after="0"/>
        <w:rPr>
          <w:rFonts w:ascii="Times New Roman" w:hAnsi="Times New Roman" w:cs="Times New Roman"/>
          <w:lang w:val="en-AU" w:eastAsia="en-GB"/>
        </w:rPr>
      </w:pPr>
      <w:r w:rsidRPr="00F073F8">
        <w:rPr>
          <w:rFonts w:ascii="Times New Roman" w:hAnsi="Times New Roman" w:cs="Times New Roman"/>
          <w:lang w:val="en-AU" w:eastAsia="en-GB"/>
        </w:rPr>
        <w:t>Batch (Lot) number of the cartridge and the date of first injection should be recorded by the patient on a calendar.</w:t>
      </w:r>
    </w:p>
    <w:p w14:paraId="2ECA9E38" w14:textId="1EE1187D" w:rsidR="00CD6BDB" w:rsidRDefault="00CD6BDB" w:rsidP="008539F3">
      <w:pPr>
        <w:pStyle w:val="BodyText"/>
        <w:spacing w:before="120" w:after="0"/>
        <w:rPr>
          <w:rFonts w:ascii="Times New Roman" w:hAnsi="Times New Roman" w:cs="Times New Roman"/>
          <w:lang w:val="en-AU" w:eastAsia="en-GB"/>
        </w:rPr>
      </w:pPr>
      <w:r>
        <w:rPr>
          <w:rFonts w:ascii="Times New Roman" w:hAnsi="Times New Roman" w:cs="Times New Roman"/>
          <w:lang w:val="en-AU" w:eastAsia="en-GB"/>
        </w:rPr>
        <w:t>Patients must be reminded to retain their TERROSA pen for the total duration of their treatment</w:t>
      </w:r>
      <w:r w:rsidR="00934C17">
        <w:rPr>
          <w:rFonts w:ascii="Times New Roman" w:hAnsi="Times New Roman" w:cs="Times New Roman"/>
          <w:lang w:val="en-AU" w:eastAsia="en-GB"/>
        </w:rPr>
        <w:t>.</w:t>
      </w:r>
    </w:p>
    <w:p w14:paraId="0DE5C3C9" w14:textId="4A96B425" w:rsidR="00696587" w:rsidRPr="00A55390" w:rsidRDefault="00696587" w:rsidP="00860F7B">
      <w:pPr>
        <w:pStyle w:val="BodyText"/>
        <w:spacing w:before="120" w:after="0"/>
        <w:ind w:right="-190"/>
        <w:rPr>
          <w:rFonts w:ascii="Times New Roman" w:hAnsi="Times New Roman" w:cs="Times New Roman"/>
          <w:lang w:val="en-AU" w:eastAsia="en-GB"/>
        </w:rPr>
      </w:pPr>
      <w:r w:rsidRPr="00696587">
        <w:rPr>
          <w:rFonts w:ascii="Times New Roman" w:hAnsi="Times New Roman" w:cs="Times New Roman"/>
          <w:lang w:val="en-AU" w:eastAsia="en-GB"/>
        </w:rPr>
        <w:t>Data are not available on the safety or efficacy of intravenous or intramuscular injection of</w:t>
      </w:r>
      <w:r w:rsidR="004B3DE7">
        <w:rPr>
          <w:rFonts w:ascii="Times New Roman" w:hAnsi="Times New Roman" w:cs="Times New Roman"/>
          <w:lang w:val="en-AU" w:eastAsia="en-GB"/>
        </w:rPr>
        <w:t xml:space="preserve"> </w:t>
      </w:r>
      <w:r w:rsidR="00DC7A8C">
        <w:rPr>
          <w:rFonts w:ascii="Times New Roman" w:hAnsi="Times New Roman" w:cs="Times New Roman"/>
          <w:lang w:val="en-AU" w:eastAsia="en-GB"/>
        </w:rPr>
        <w:t>teripar</w:t>
      </w:r>
      <w:r w:rsidR="00CB0DC8">
        <w:rPr>
          <w:rFonts w:ascii="Times New Roman" w:hAnsi="Times New Roman" w:cs="Times New Roman"/>
          <w:lang w:val="en-AU" w:eastAsia="en-GB"/>
        </w:rPr>
        <w:t>a</w:t>
      </w:r>
      <w:r w:rsidR="00DC7A8C">
        <w:rPr>
          <w:rFonts w:ascii="Times New Roman" w:hAnsi="Times New Roman" w:cs="Times New Roman"/>
          <w:lang w:val="en-AU" w:eastAsia="en-GB"/>
        </w:rPr>
        <w:t>tide</w:t>
      </w:r>
      <w:r w:rsidR="004B3DE7">
        <w:rPr>
          <w:rFonts w:ascii="Times New Roman" w:hAnsi="Times New Roman" w:cs="Times New Roman"/>
          <w:lang w:val="en-AU" w:eastAsia="en-GB"/>
        </w:rPr>
        <w:t>.</w:t>
      </w:r>
    </w:p>
    <w:p w14:paraId="22D9E17E" w14:textId="77777777" w:rsidR="003B6A04" w:rsidRPr="003B6A04" w:rsidRDefault="003B6A04" w:rsidP="003B6A04"/>
    <w:p w14:paraId="290CC8B5" w14:textId="1331AD2D" w:rsidR="00FA22F4" w:rsidRPr="00E82473" w:rsidRDefault="00FA22F4" w:rsidP="00F073F8">
      <w:pPr>
        <w:pStyle w:val="Heading2"/>
        <w:jc w:val="left"/>
        <w:rPr>
          <w:rFonts w:ascii="Times New Roman" w:hAnsi="Times New Roman" w:cs="Times New Roman"/>
          <w:bCs/>
          <w:sz w:val="28"/>
          <w:szCs w:val="28"/>
          <w:lang w:val="en-AU" w:eastAsia="en-GB"/>
        </w:rPr>
      </w:pPr>
      <w:bookmarkStart w:id="4" w:name="ref7"/>
      <w:r w:rsidRPr="00E82473">
        <w:rPr>
          <w:rFonts w:ascii="Times New Roman" w:hAnsi="Times New Roman" w:cs="Times New Roman"/>
          <w:bCs/>
          <w:sz w:val="28"/>
          <w:szCs w:val="28"/>
          <w:lang w:val="en-AU" w:eastAsia="en-GB"/>
        </w:rPr>
        <w:t>4.3</w:t>
      </w:r>
      <w:bookmarkEnd w:id="4"/>
      <w:r w:rsidRPr="00E82473">
        <w:rPr>
          <w:rFonts w:ascii="Times New Roman" w:hAnsi="Times New Roman" w:cs="Times New Roman"/>
          <w:bCs/>
          <w:sz w:val="28"/>
          <w:szCs w:val="28"/>
          <w:lang w:val="en-AU" w:eastAsia="en-GB"/>
        </w:rPr>
        <w:tab/>
        <w:t>CONTRAINDICATIONS</w:t>
      </w:r>
    </w:p>
    <w:p w14:paraId="6A7C9CB8" w14:textId="77777777" w:rsidR="00FA22F4" w:rsidRPr="00F073F8" w:rsidRDefault="00FA22F4" w:rsidP="00F073F8">
      <w:pPr>
        <w:rPr>
          <w:sz w:val="22"/>
          <w:szCs w:val="22"/>
          <w:lang w:val="en-GB"/>
        </w:rPr>
      </w:pPr>
    </w:p>
    <w:p w14:paraId="7B82AD06" w14:textId="689B5913" w:rsidR="0067425F" w:rsidRPr="008539F3" w:rsidRDefault="000969FA" w:rsidP="00F37510">
      <w:pPr>
        <w:widowControl w:val="0"/>
        <w:tabs>
          <w:tab w:val="left" w:pos="0"/>
        </w:tabs>
        <w:rPr>
          <w:rStyle w:val="Hyperlink"/>
          <w:color w:val="auto"/>
          <w:sz w:val="22"/>
          <w:szCs w:val="22"/>
          <w:u w:val="none"/>
        </w:rPr>
      </w:pPr>
      <w:r>
        <w:rPr>
          <w:sz w:val="22"/>
          <w:szCs w:val="22"/>
        </w:rPr>
        <w:t>TERROSA should not be given to patients with h</w:t>
      </w:r>
      <w:r w:rsidR="0067425F" w:rsidRPr="00F073F8">
        <w:rPr>
          <w:sz w:val="22"/>
          <w:szCs w:val="22"/>
        </w:rPr>
        <w:t xml:space="preserve">ypersensitivity to </w:t>
      </w:r>
      <w:r>
        <w:rPr>
          <w:sz w:val="22"/>
          <w:szCs w:val="22"/>
        </w:rPr>
        <w:t xml:space="preserve">teriparatide </w:t>
      </w:r>
      <w:r w:rsidR="0067425F" w:rsidRPr="00F073F8">
        <w:rPr>
          <w:sz w:val="22"/>
          <w:szCs w:val="22"/>
        </w:rPr>
        <w:t xml:space="preserve">or to any of </w:t>
      </w:r>
      <w:r w:rsidR="0040036E">
        <w:rPr>
          <w:sz w:val="22"/>
          <w:szCs w:val="22"/>
        </w:rPr>
        <w:t>its</w:t>
      </w:r>
      <w:r w:rsidR="0067425F" w:rsidRPr="00F073F8">
        <w:rPr>
          <w:sz w:val="22"/>
          <w:szCs w:val="22"/>
        </w:rPr>
        <w:t xml:space="preserve"> excipients</w:t>
      </w:r>
      <w:r w:rsidR="005D4228">
        <w:rPr>
          <w:sz w:val="22"/>
          <w:szCs w:val="22"/>
        </w:rPr>
        <w:t>.</w:t>
      </w:r>
      <w:r w:rsidR="00A07C94">
        <w:rPr>
          <w:rStyle w:val="Hyperlink"/>
          <w:b/>
          <w:bCs/>
          <w:sz w:val="22"/>
          <w:szCs w:val="22"/>
        </w:rPr>
        <w:br/>
      </w:r>
    </w:p>
    <w:p w14:paraId="62D450FB" w14:textId="3CFE7C05" w:rsidR="00A07C94" w:rsidRPr="00ED7965" w:rsidRDefault="00A07C94" w:rsidP="00F37510">
      <w:pPr>
        <w:widowControl w:val="0"/>
        <w:tabs>
          <w:tab w:val="left" w:pos="0"/>
        </w:tabs>
        <w:rPr>
          <w:rStyle w:val="Hyperlink"/>
          <w:color w:val="000000" w:themeColor="text1"/>
          <w:sz w:val="22"/>
          <w:szCs w:val="22"/>
          <w:u w:val="none"/>
        </w:rPr>
      </w:pPr>
      <w:r w:rsidRPr="00ED7965">
        <w:rPr>
          <w:rStyle w:val="Hyperlink"/>
          <w:color w:val="000000" w:themeColor="text1"/>
          <w:sz w:val="22"/>
          <w:szCs w:val="22"/>
          <w:u w:val="none"/>
        </w:rPr>
        <w:t>Paget’s disease of the bone</w:t>
      </w:r>
      <w:r w:rsidR="000343DD">
        <w:rPr>
          <w:rStyle w:val="Hyperlink"/>
          <w:color w:val="000000" w:themeColor="text1"/>
          <w:sz w:val="22"/>
          <w:szCs w:val="22"/>
          <w:u w:val="none"/>
        </w:rPr>
        <w:t>.</w:t>
      </w:r>
    </w:p>
    <w:p w14:paraId="47E63013" w14:textId="77777777" w:rsidR="0067425F" w:rsidRPr="00F073F8" w:rsidRDefault="0067425F" w:rsidP="00F073F8">
      <w:pPr>
        <w:rPr>
          <w:sz w:val="22"/>
          <w:szCs w:val="22"/>
        </w:rPr>
      </w:pPr>
    </w:p>
    <w:p w14:paraId="7BE67D5C" w14:textId="1941571F" w:rsidR="00FA22F4" w:rsidRPr="00E82473" w:rsidRDefault="00FA22F4" w:rsidP="00F073F8">
      <w:pPr>
        <w:pStyle w:val="Heading2"/>
        <w:jc w:val="left"/>
        <w:rPr>
          <w:rFonts w:ascii="Times New Roman" w:hAnsi="Times New Roman" w:cs="Times New Roman"/>
          <w:bCs/>
          <w:sz w:val="28"/>
          <w:szCs w:val="28"/>
          <w:lang w:val="en-AU" w:eastAsia="en-GB"/>
        </w:rPr>
      </w:pPr>
      <w:bookmarkStart w:id="5" w:name="ref2"/>
      <w:r w:rsidRPr="00E82473">
        <w:rPr>
          <w:rFonts w:ascii="Times New Roman" w:hAnsi="Times New Roman" w:cs="Times New Roman"/>
          <w:bCs/>
          <w:sz w:val="28"/>
          <w:szCs w:val="28"/>
          <w:lang w:val="en-AU" w:eastAsia="en-GB"/>
        </w:rPr>
        <w:t>4.4</w:t>
      </w:r>
      <w:bookmarkEnd w:id="5"/>
      <w:r w:rsidRPr="00E82473">
        <w:rPr>
          <w:rFonts w:ascii="Times New Roman" w:hAnsi="Times New Roman" w:cs="Times New Roman"/>
          <w:bCs/>
          <w:sz w:val="28"/>
          <w:szCs w:val="28"/>
          <w:lang w:val="en-AU" w:eastAsia="en-GB"/>
        </w:rPr>
        <w:tab/>
        <w:t>SPECIAL WARNINGS AND PRECAUTIONS FOR USE</w:t>
      </w:r>
    </w:p>
    <w:p w14:paraId="15521E76" w14:textId="0A676199" w:rsidR="002D4004" w:rsidRPr="008539F3" w:rsidRDefault="002D4004" w:rsidP="00F073F8">
      <w:pPr>
        <w:pStyle w:val="Default"/>
        <w:rPr>
          <w:rStyle w:val="Hyperlink"/>
          <w:bCs/>
          <w:strike/>
          <w:color w:val="auto"/>
          <w:sz w:val="22"/>
          <w:szCs w:val="22"/>
          <w:u w:val="none"/>
        </w:rPr>
      </w:pPr>
    </w:p>
    <w:p w14:paraId="68CE0003" w14:textId="77777777" w:rsidR="003C74C5" w:rsidRPr="00F82FBC" w:rsidRDefault="003C74C5" w:rsidP="003C74C5">
      <w:pPr>
        <w:widowControl w:val="0"/>
        <w:rPr>
          <w:sz w:val="22"/>
          <w:szCs w:val="22"/>
        </w:rPr>
      </w:pPr>
      <w:r w:rsidRPr="00F82FBC">
        <w:rPr>
          <w:sz w:val="22"/>
          <w:szCs w:val="22"/>
        </w:rPr>
        <w:t>Potential risk of osteosarcoma</w:t>
      </w:r>
    </w:p>
    <w:p w14:paraId="41E36D86" w14:textId="20DA44D4" w:rsidR="003C74C5" w:rsidRPr="005D772C" w:rsidRDefault="003C74C5" w:rsidP="003C74C5">
      <w:pPr>
        <w:widowControl w:val="0"/>
        <w:rPr>
          <w:sz w:val="22"/>
          <w:szCs w:val="22"/>
        </w:rPr>
      </w:pPr>
      <w:r w:rsidRPr="005D772C">
        <w:rPr>
          <w:sz w:val="22"/>
          <w:szCs w:val="22"/>
        </w:rPr>
        <w:t>In male and female rats, teriparatide caused an increase in the incidence of osteosarcoma (a malignant bone tumour) that was dependent on dose and treatment duration.  Th</w:t>
      </w:r>
      <w:r w:rsidR="000C56A2" w:rsidRPr="005D772C">
        <w:rPr>
          <w:sz w:val="22"/>
          <w:szCs w:val="22"/>
        </w:rPr>
        <w:t>e</w:t>
      </w:r>
      <w:r w:rsidRPr="005D772C">
        <w:rPr>
          <w:sz w:val="22"/>
          <w:szCs w:val="22"/>
        </w:rPr>
        <w:t xml:space="preserve"> effect was observed at systemic exposures to teriparatide ranging from 3 to 60 times the exposure in humans given a 20 </w:t>
      </w:r>
      <w:r w:rsidR="000C56A2" w:rsidRPr="005D772C">
        <w:rPr>
          <w:sz w:val="22"/>
          <w:szCs w:val="22"/>
        </w:rPr>
        <w:t>micrograms</w:t>
      </w:r>
      <w:r w:rsidRPr="005D772C">
        <w:rPr>
          <w:sz w:val="22"/>
          <w:szCs w:val="22"/>
        </w:rPr>
        <w:t xml:space="preserve"> dose.</w:t>
      </w:r>
    </w:p>
    <w:p w14:paraId="4CED7FE0" w14:textId="77777777" w:rsidR="003C74C5" w:rsidRPr="005D772C" w:rsidRDefault="003C74C5" w:rsidP="003C74C5">
      <w:pPr>
        <w:widowControl w:val="0"/>
        <w:rPr>
          <w:sz w:val="22"/>
          <w:szCs w:val="22"/>
        </w:rPr>
      </w:pPr>
    </w:p>
    <w:p w14:paraId="4E4F982E" w14:textId="2BFCEB43" w:rsidR="003C74C5" w:rsidRPr="005D772C" w:rsidRDefault="003C74C5" w:rsidP="003C74C5">
      <w:pPr>
        <w:widowControl w:val="0"/>
        <w:rPr>
          <w:sz w:val="22"/>
          <w:szCs w:val="22"/>
        </w:rPr>
      </w:pPr>
      <w:r w:rsidRPr="005D772C">
        <w:rPr>
          <w:sz w:val="22"/>
          <w:szCs w:val="22"/>
        </w:rPr>
        <w:t xml:space="preserve">However, no increased risk was identified in a study which 30 monkeys were treated with teriparatide for </w:t>
      </w:r>
      <w:r w:rsidR="000C56A2" w:rsidRPr="005D772C">
        <w:rPr>
          <w:sz w:val="22"/>
          <w:szCs w:val="22"/>
        </w:rPr>
        <w:t>1</w:t>
      </w:r>
      <w:r w:rsidRPr="005D772C">
        <w:rPr>
          <w:sz w:val="22"/>
          <w:szCs w:val="22"/>
        </w:rPr>
        <w:t>8 months and observed for a further 3 years.  Post marketing data in humans has not identified increased risk.</w:t>
      </w:r>
    </w:p>
    <w:p w14:paraId="06E7D485" w14:textId="1BDE768A" w:rsidR="003C74C5" w:rsidRPr="008539F3" w:rsidRDefault="003C74C5" w:rsidP="003C74C5">
      <w:pPr>
        <w:widowControl w:val="0"/>
        <w:rPr>
          <w:sz w:val="22"/>
          <w:szCs w:val="22"/>
        </w:rPr>
      </w:pPr>
      <w:r>
        <w:rPr>
          <w:b/>
          <w:bCs/>
          <w:sz w:val="22"/>
          <w:szCs w:val="22"/>
        </w:rPr>
        <w:lastRenderedPageBreak/>
        <w:t>To minimise the potential risk of osteosarcoma( seen in the life-time rat studies)</w:t>
      </w:r>
      <w:r w:rsidR="0071129A">
        <w:rPr>
          <w:b/>
          <w:bCs/>
          <w:sz w:val="22"/>
          <w:szCs w:val="22"/>
        </w:rPr>
        <w:br/>
      </w:r>
    </w:p>
    <w:p w14:paraId="06D0A5A5" w14:textId="6B30EFA1" w:rsidR="003C74C5" w:rsidRDefault="003C74C5" w:rsidP="003C74C5">
      <w:pPr>
        <w:pStyle w:val="ListParagraph"/>
        <w:widowControl w:val="0"/>
        <w:numPr>
          <w:ilvl w:val="0"/>
          <w:numId w:val="10"/>
        </w:numPr>
        <w:rPr>
          <w:b/>
          <w:bCs/>
          <w:sz w:val="22"/>
          <w:szCs w:val="22"/>
        </w:rPr>
      </w:pPr>
      <w:r>
        <w:rPr>
          <w:b/>
          <w:bCs/>
          <w:sz w:val="22"/>
          <w:szCs w:val="22"/>
        </w:rPr>
        <w:t xml:space="preserve">The maximum </w:t>
      </w:r>
      <w:r w:rsidR="008A58C9">
        <w:rPr>
          <w:b/>
          <w:bCs/>
          <w:sz w:val="22"/>
          <w:szCs w:val="22"/>
        </w:rPr>
        <w:t>lifetime</w:t>
      </w:r>
      <w:r>
        <w:rPr>
          <w:b/>
          <w:bCs/>
          <w:sz w:val="22"/>
          <w:szCs w:val="22"/>
        </w:rPr>
        <w:t xml:space="preserve"> exposure to  </w:t>
      </w:r>
      <w:r w:rsidR="00592534">
        <w:rPr>
          <w:b/>
          <w:bCs/>
          <w:sz w:val="22"/>
          <w:szCs w:val="22"/>
        </w:rPr>
        <w:t xml:space="preserve">teriparatide </w:t>
      </w:r>
      <w:r>
        <w:rPr>
          <w:b/>
          <w:bCs/>
          <w:sz w:val="22"/>
          <w:szCs w:val="22"/>
        </w:rPr>
        <w:t>for an individual patient is 24 months.</w:t>
      </w:r>
    </w:p>
    <w:p w14:paraId="0D6F6EAE" w14:textId="004EDAB6" w:rsidR="003C74C5" w:rsidRPr="00FC71CA" w:rsidRDefault="003C74C5" w:rsidP="003C74C5">
      <w:pPr>
        <w:pStyle w:val="ListParagraph"/>
        <w:widowControl w:val="0"/>
        <w:numPr>
          <w:ilvl w:val="0"/>
          <w:numId w:val="10"/>
        </w:numPr>
        <w:rPr>
          <w:b/>
          <w:bCs/>
          <w:sz w:val="22"/>
          <w:szCs w:val="22"/>
        </w:rPr>
      </w:pPr>
      <w:r>
        <w:rPr>
          <w:b/>
          <w:bCs/>
          <w:sz w:val="22"/>
          <w:szCs w:val="22"/>
        </w:rPr>
        <w:t xml:space="preserve">Teriparatide should not be prescribed to patients where there is an increased background risk of osteosarcoma (Paget’s disease of bone, prior radiation therapy involving the skeleton, open epiphysis, unexplained elevations of alkaline phosphate) (see </w:t>
      </w:r>
      <w:hyperlink w:anchor="ref2" w:history="1">
        <w:r w:rsidRPr="007966EB">
          <w:rPr>
            <w:rStyle w:val="Hyperlink"/>
            <w:b/>
            <w:bCs/>
            <w:sz w:val="22"/>
            <w:szCs w:val="22"/>
          </w:rPr>
          <w:t>Section 4.4 SPECIAL WARNINGS AND PRECAUTIONS FOR USE</w:t>
        </w:r>
      </w:hyperlink>
      <w:r>
        <w:rPr>
          <w:b/>
          <w:bCs/>
          <w:sz w:val="22"/>
          <w:szCs w:val="22"/>
        </w:rPr>
        <w:t xml:space="preserve"> </w:t>
      </w:r>
      <w:hyperlink w:anchor="ref6" w:history="1">
        <w:r w:rsidRPr="004918D0">
          <w:rPr>
            <w:rStyle w:val="Hyperlink"/>
            <w:b/>
            <w:bCs/>
            <w:sz w:val="22"/>
            <w:szCs w:val="22"/>
          </w:rPr>
          <w:t>and Section 5.3 PRECLINICAL SAFTEY DATA</w:t>
        </w:r>
      </w:hyperlink>
      <w:r>
        <w:rPr>
          <w:b/>
          <w:bCs/>
          <w:sz w:val="22"/>
          <w:szCs w:val="22"/>
        </w:rPr>
        <w:t>/Carcinogenicity)</w:t>
      </w:r>
      <w:r w:rsidR="009372BD">
        <w:rPr>
          <w:b/>
          <w:bCs/>
          <w:sz w:val="22"/>
          <w:szCs w:val="22"/>
        </w:rPr>
        <w:t>.</w:t>
      </w:r>
    </w:p>
    <w:p w14:paraId="1D7F7029" w14:textId="77777777" w:rsidR="003C74C5" w:rsidRPr="008539F3" w:rsidRDefault="003C74C5" w:rsidP="003C74C5">
      <w:pPr>
        <w:widowControl w:val="0"/>
        <w:rPr>
          <w:sz w:val="22"/>
          <w:szCs w:val="22"/>
        </w:rPr>
      </w:pPr>
    </w:p>
    <w:p w14:paraId="3CFEA7B1" w14:textId="769D5228" w:rsidR="003C74C5" w:rsidRPr="004E7733" w:rsidRDefault="00771329" w:rsidP="00CE22ED">
      <w:pPr>
        <w:widowControl w:val="0"/>
        <w:rPr>
          <w:sz w:val="22"/>
          <w:szCs w:val="22"/>
        </w:rPr>
      </w:pPr>
      <w:r w:rsidRPr="004E7733">
        <w:rPr>
          <w:sz w:val="22"/>
          <w:szCs w:val="22"/>
        </w:rPr>
        <w:t xml:space="preserve">TERROSA </w:t>
      </w:r>
      <w:r w:rsidR="003C74C5" w:rsidRPr="004E7733">
        <w:rPr>
          <w:sz w:val="22"/>
          <w:szCs w:val="22"/>
        </w:rPr>
        <w:t xml:space="preserve">should be prescribed to patients with a full explanation and their informed consent on the lifetime duration of 24 months </w:t>
      </w:r>
      <w:r w:rsidR="00BD16B9">
        <w:rPr>
          <w:sz w:val="22"/>
          <w:szCs w:val="22"/>
        </w:rPr>
        <w:t>treatment</w:t>
      </w:r>
      <w:r w:rsidR="003C74C5" w:rsidRPr="004E7733">
        <w:rPr>
          <w:sz w:val="22"/>
          <w:szCs w:val="22"/>
        </w:rPr>
        <w:t>.</w:t>
      </w:r>
    </w:p>
    <w:p w14:paraId="10740021" w14:textId="77777777" w:rsidR="003C74C5" w:rsidRPr="008539F3" w:rsidRDefault="003C74C5" w:rsidP="00CE22ED">
      <w:pPr>
        <w:widowControl w:val="0"/>
        <w:rPr>
          <w:sz w:val="22"/>
          <w:szCs w:val="22"/>
        </w:rPr>
      </w:pPr>
    </w:p>
    <w:p w14:paraId="4D35A8C3" w14:textId="77777777" w:rsidR="003C74C5" w:rsidRPr="004E7733" w:rsidRDefault="003C74C5" w:rsidP="008539F3">
      <w:pPr>
        <w:rPr>
          <w:sz w:val="22"/>
          <w:szCs w:val="22"/>
        </w:rPr>
      </w:pPr>
      <w:r w:rsidRPr="000820AE">
        <w:rPr>
          <w:b/>
          <w:bCs/>
          <w:i/>
          <w:iCs/>
          <w:sz w:val="22"/>
          <w:szCs w:val="22"/>
        </w:rPr>
        <w:t>Information for patients</w:t>
      </w:r>
      <w:r w:rsidRPr="004E7733">
        <w:rPr>
          <w:sz w:val="22"/>
          <w:szCs w:val="22"/>
        </w:rPr>
        <w:t xml:space="preserve"> – For safe and effective use of TERROSA, the physician should inform the patient on the following:</w:t>
      </w:r>
      <w:r w:rsidRPr="004E7733">
        <w:rPr>
          <w:sz w:val="22"/>
          <w:szCs w:val="22"/>
        </w:rPr>
        <w:br/>
      </w:r>
    </w:p>
    <w:p w14:paraId="3B17DE0F" w14:textId="185A7F5E" w:rsidR="002D4004" w:rsidRPr="004E7733" w:rsidRDefault="003C74C5" w:rsidP="00CE22ED">
      <w:pPr>
        <w:pStyle w:val="Default"/>
        <w:rPr>
          <w:lang w:val="en-AU"/>
        </w:rPr>
      </w:pPr>
      <w:r w:rsidRPr="000B2BA7">
        <w:rPr>
          <w:b/>
          <w:bCs/>
          <w:i/>
          <w:iCs/>
          <w:sz w:val="22"/>
          <w:szCs w:val="22"/>
          <w:lang w:val="en-AU"/>
        </w:rPr>
        <w:t>General</w:t>
      </w:r>
      <w:r w:rsidRPr="004E7733">
        <w:rPr>
          <w:i/>
          <w:iCs/>
          <w:lang w:val="en-AU"/>
        </w:rPr>
        <w:t xml:space="preserve"> </w:t>
      </w:r>
      <w:r w:rsidRPr="004E7733">
        <w:rPr>
          <w:lang w:val="en-AU"/>
        </w:rPr>
        <w:t xml:space="preserve">– </w:t>
      </w:r>
      <w:r w:rsidRPr="004F4F4B">
        <w:rPr>
          <w:color w:val="auto"/>
          <w:sz w:val="22"/>
          <w:szCs w:val="22"/>
          <w:lang w:val="en-AU"/>
        </w:rPr>
        <w:t>Patients will need to read the</w:t>
      </w:r>
      <w:r w:rsidR="0037624D" w:rsidRPr="004F4F4B">
        <w:rPr>
          <w:color w:val="auto"/>
          <w:sz w:val="22"/>
          <w:szCs w:val="22"/>
          <w:lang w:val="en-AU"/>
        </w:rPr>
        <w:t xml:space="preserve"> </w:t>
      </w:r>
      <w:r w:rsidRPr="004F4F4B">
        <w:rPr>
          <w:color w:val="auto"/>
          <w:sz w:val="22"/>
          <w:szCs w:val="22"/>
          <w:lang w:val="en-AU"/>
        </w:rPr>
        <w:t>Consumer Medicine Information leaflet and pen Instruction for Use before starting therapy</w:t>
      </w:r>
      <w:r w:rsidR="00A04BCF" w:rsidRPr="004F4F4B">
        <w:rPr>
          <w:color w:val="auto"/>
          <w:sz w:val="22"/>
          <w:szCs w:val="22"/>
          <w:lang w:val="en-AU"/>
        </w:rPr>
        <w:t xml:space="preserve"> with TERROSA</w:t>
      </w:r>
      <w:r w:rsidRPr="004F4F4B">
        <w:rPr>
          <w:color w:val="auto"/>
          <w:sz w:val="22"/>
          <w:szCs w:val="22"/>
          <w:lang w:val="en-AU"/>
        </w:rPr>
        <w:t xml:space="preserve"> </w:t>
      </w:r>
      <w:r w:rsidR="003B1972" w:rsidRPr="004F4F4B">
        <w:rPr>
          <w:color w:val="auto"/>
          <w:sz w:val="22"/>
          <w:szCs w:val="22"/>
          <w:lang w:val="en-AU"/>
        </w:rPr>
        <w:t>and re-read them each time the prescription is renewed.</w:t>
      </w:r>
    </w:p>
    <w:p w14:paraId="6A3194E9" w14:textId="0B2AAF86" w:rsidR="003B1972" w:rsidRPr="008539F3" w:rsidRDefault="003B1972" w:rsidP="00CE22ED">
      <w:pPr>
        <w:pStyle w:val="Default"/>
        <w:rPr>
          <w:sz w:val="22"/>
          <w:szCs w:val="22"/>
          <w:lang w:val="en-AU"/>
        </w:rPr>
      </w:pPr>
    </w:p>
    <w:p w14:paraId="73EB6CE3" w14:textId="77777777" w:rsidR="003B1972" w:rsidRPr="008539F3" w:rsidRDefault="003B1972" w:rsidP="008539F3">
      <w:pPr>
        <w:pStyle w:val="BodyText"/>
        <w:rPr>
          <w:rFonts w:ascii="Times New Roman" w:hAnsi="Times New Roman" w:cs="Times New Roman"/>
          <w:lang w:val="en-AU" w:eastAsia="en-GB"/>
        </w:rPr>
      </w:pPr>
      <w:r w:rsidRPr="004F4F4B">
        <w:rPr>
          <w:rFonts w:ascii="Times New Roman" w:hAnsi="Times New Roman" w:cs="Times New Roman"/>
          <w:b/>
          <w:bCs/>
          <w:lang w:val="en-AU" w:eastAsia="en-GB"/>
        </w:rPr>
        <w:t>Osteosarcoma in rats</w:t>
      </w:r>
      <w:r w:rsidRPr="004E7733">
        <w:rPr>
          <w:rFonts w:ascii="Times New Roman" w:hAnsi="Times New Roman" w:cs="Times New Roman"/>
          <w:lang w:val="en-AU" w:eastAsia="en-GB"/>
        </w:rPr>
        <w:t xml:space="preserve"> – Patients should be made aware that teriparatide caused osteosarcoma in rats and that the clinical relevance of these findings is unknown</w:t>
      </w:r>
      <w:r w:rsidRPr="00FC71CA">
        <w:rPr>
          <w:rFonts w:ascii="Times New Roman" w:hAnsi="Times New Roman" w:cs="Times New Roman"/>
          <w:b/>
          <w:bCs/>
          <w:lang w:val="en-AU" w:eastAsia="en-GB"/>
        </w:rPr>
        <w:t>.</w:t>
      </w:r>
    </w:p>
    <w:p w14:paraId="7F9C6B56" w14:textId="39E50CA3" w:rsidR="003B1972" w:rsidRPr="002D4004" w:rsidRDefault="003B1972" w:rsidP="00CE22ED">
      <w:pPr>
        <w:pStyle w:val="Default"/>
        <w:rPr>
          <w:bCs/>
          <w:sz w:val="22"/>
          <w:szCs w:val="22"/>
        </w:rPr>
      </w:pPr>
      <w:r w:rsidRPr="00FC71CA">
        <w:rPr>
          <w:b/>
          <w:bCs/>
          <w:sz w:val="22"/>
          <w:szCs w:val="22"/>
        </w:rPr>
        <w:t xml:space="preserve">Consent form – </w:t>
      </w:r>
      <w:r w:rsidRPr="00C90D30">
        <w:rPr>
          <w:b/>
          <w:bCs/>
          <w:sz w:val="22"/>
          <w:szCs w:val="22"/>
        </w:rPr>
        <w:t xml:space="preserve">Use of </w:t>
      </w:r>
      <w:r w:rsidR="00A529DC" w:rsidRPr="00C90D30">
        <w:rPr>
          <w:b/>
          <w:bCs/>
          <w:sz w:val="22"/>
          <w:szCs w:val="22"/>
        </w:rPr>
        <w:t>teriparatide is</w:t>
      </w:r>
      <w:r w:rsidRPr="00C90D30">
        <w:rPr>
          <w:b/>
          <w:bCs/>
          <w:sz w:val="22"/>
          <w:szCs w:val="22"/>
        </w:rPr>
        <w:t xml:space="preserve"> restricted to 24 months lifetime duration.</w:t>
      </w:r>
    </w:p>
    <w:p w14:paraId="66ACA730" w14:textId="77777777" w:rsidR="006B6F4F" w:rsidRPr="00C95F19" w:rsidRDefault="006B6F4F" w:rsidP="00CE22ED">
      <w:pPr>
        <w:pStyle w:val="Default"/>
        <w:widowControl w:val="0"/>
        <w:rPr>
          <w:bCs/>
          <w:iCs/>
          <w:color w:val="auto"/>
          <w:sz w:val="22"/>
          <w:szCs w:val="22"/>
          <w:lang w:val="en-AU"/>
        </w:rPr>
      </w:pPr>
    </w:p>
    <w:p w14:paraId="204514EA" w14:textId="47A02B5F" w:rsidR="00EF5169" w:rsidRPr="00F073F8" w:rsidRDefault="00EE3D01" w:rsidP="00CE22ED">
      <w:pPr>
        <w:pStyle w:val="Default"/>
        <w:widowControl w:val="0"/>
        <w:rPr>
          <w:b/>
          <w:bCs/>
          <w:i/>
          <w:iCs/>
          <w:color w:val="auto"/>
          <w:sz w:val="22"/>
          <w:szCs w:val="22"/>
          <w:lang w:val="en-AU"/>
        </w:rPr>
      </w:pPr>
      <w:r w:rsidRPr="00F073F8">
        <w:rPr>
          <w:b/>
          <w:bCs/>
          <w:i/>
          <w:iCs/>
          <w:color w:val="auto"/>
          <w:sz w:val="22"/>
          <w:szCs w:val="22"/>
          <w:lang w:val="en-AU"/>
        </w:rPr>
        <w:t>Hypercalcaemia</w:t>
      </w:r>
    </w:p>
    <w:p w14:paraId="1540069D" w14:textId="520ED7F8" w:rsidR="00EF5169" w:rsidRPr="00F073F8" w:rsidRDefault="0049114A" w:rsidP="00CE22ED">
      <w:pPr>
        <w:pStyle w:val="Default"/>
        <w:widowControl w:val="0"/>
        <w:rPr>
          <w:color w:val="auto"/>
          <w:sz w:val="22"/>
          <w:szCs w:val="22"/>
          <w:lang w:val="en-AU"/>
        </w:rPr>
      </w:pPr>
      <w:r w:rsidRPr="00F073F8">
        <w:rPr>
          <w:color w:val="auto"/>
          <w:sz w:val="22"/>
          <w:szCs w:val="22"/>
          <w:lang w:val="en-AU"/>
        </w:rPr>
        <w:t>Teriparatide</w:t>
      </w:r>
      <w:r w:rsidR="003B2446" w:rsidRPr="00F073F8">
        <w:rPr>
          <w:color w:val="auto"/>
          <w:sz w:val="22"/>
          <w:szCs w:val="22"/>
          <w:lang w:val="en-AU"/>
        </w:rPr>
        <w:t xml:space="preserve"> </w:t>
      </w:r>
      <w:r w:rsidRPr="00F073F8">
        <w:rPr>
          <w:color w:val="auto"/>
          <w:sz w:val="22"/>
          <w:szCs w:val="22"/>
          <w:lang w:val="en-AU"/>
        </w:rPr>
        <w:t xml:space="preserve">has not been studied in </w:t>
      </w:r>
      <w:r w:rsidR="00D330DA" w:rsidRPr="00F073F8">
        <w:rPr>
          <w:color w:val="auto"/>
          <w:sz w:val="22"/>
          <w:szCs w:val="22"/>
          <w:lang w:val="en-AU"/>
        </w:rPr>
        <w:t>patients</w:t>
      </w:r>
      <w:r w:rsidRPr="00F073F8">
        <w:rPr>
          <w:color w:val="auto"/>
          <w:sz w:val="22"/>
          <w:szCs w:val="22"/>
          <w:lang w:val="en-AU"/>
        </w:rPr>
        <w:t xml:space="preserve"> with pre-e</w:t>
      </w:r>
      <w:r w:rsidR="009246E7" w:rsidRPr="00F073F8">
        <w:rPr>
          <w:color w:val="auto"/>
          <w:sz w:val="22"/>
          <w:szCs w:val="22"/>
          <w:lang w:val="en-AU"/>
        </w:rPr>
        <w:t xml:space="preserve">xisting </w:t>
      </w:r>
      <w:r w:rsidR="00D330DA" w:rsidRPr="00F073F8">
        <w:rPr>
          <w:color w:val="auto"/>
          <w:sz w:val="22"/>
          <w:szCs w:val="22"/>
          <w:lang w:val="en-AU"/>
        </w:rPr>
        <w:t>hypercalcaemia</w:t>
      </w:r>
      <w:r w:rsidR="009246E7" w:rsidRPr="00F073F8">
        <w:rPr>
          <w:color w:val="auto"/>
          <w:sz w:val="22"/>
          <w:szCs w:val="22"/>
          <w:lang w:val="en-AU"/>
        </w:rPr>
        <w:t xml:space="preserve">. </w:t>
      </w:r>
      <w:r w:rsidR="00EE3D01" w:rsidRPr="00F073F8">
        <w:rPr>
          <w:color w:val="auto"/>
          <w:sz w:val="22"/>
          <w:szCs w:val="22"/>
          <w:lang w:val="en-AU"/>
        </w:rPr>
        <w:t>These patients</w:t>
      </w:r>
      <w:r w:rsidR="009246E7" w:rsidRPr="00F073F8">
        <w:rPr>
          <w:color w:val="auto"/>
          <w:sz w:val="22"/>
          <w:szCs w:val="22"/>
          <w:lang w:val="en-AU"/>
        </w:rPr>
        <w:t xml:space="preserve"> should be excluded from treatment with </w:t>
      </w:r>
      <w:r w:rsidR="00842E4A" w:rsidRPr="00F073F8">
        <w:rPr>
          <w:color w:val="auto"/>
          <w:sz w:val="22"/>
          <w:szCs w:val="22"/>
          <w:lang w:val="en-AU"/>
        </w:rPr>
        <w:t xml:space="preserve">teriparatide </w:t>
      </w:r>
      <w:r w:rsidR="009246E7" w:rsidRPr="00F073F8">
        <w:rPr>
          <w:color w:val="auto"/>
          <w:sz w:val="22"/>
          <w:szCs w:val="22"/>
          <w:lang w:val="en-AU"/>
        </w:rPr>
        <w:t>because of the possibility of ex</w:t>
      </w:r>
      <w:r w:rsidR="00D330DA" w:rsidRPr="00F073F8">
        <w:rPr>
          <w:color w:val="auto"/>
          <w:sz w:val="22"/>
          <w:szCs w:val="22"/>
          <w:lang w:val="en-AU"/>
        </w:rPr>
        <w:t>acerbating hypercal</w:t>
      </w:r>
      <w:r w:rsidR="00EE3D01" w:rsidRPr="00F073F8">
        <w:rPr>
          <w:color w:val="auto"/>
          <w:sz w:val="22"/>
          <w:szCs w:val="22"/>
          <w:lang w:val="en-AU"/>
        </w:rPr>
        <w:t>cae</w:t>
      </w:r>
      <w:r w:rsidR="00D330DA" w:rsidRPr="00F073F8">
        <w:rPr>
          <w:color w:val="auto"/>
          <w:sz w:val="22"/>
          <w:szCs w:val="22"/>
          <w:lang w:val="en-AU"/>
        </w:rPr>
        <w:t xml:space="preserve">mia. </w:t>
      </w:r>
      <w:r w:rsidR="00EF5169" w:rsidRPr="00F073F8">
        <w:rPr>
          <w:color w:val="auto"/>
          <w:sz w:val="22"/>
          <w:szCs w:val="22"/>
          <w:lang w:val="en-AU"/>
        </w:rPr>
        <w:t xml:space="preserve">In </w:t>
      </w:r>
      <w:proofErr w:type="spellStart"/>
      <w:r w:rsidR="00EF5169" w:rsidRPr="00F073F8">
        <w:rPr>
          <w:color w:val="auto"/>
          <w:sz w:val="22"/>
          <w:szCs w:val="22"/>
          <w:lang w:val="en-AU"/>
        </w:rPr>
        <w:t>normocalcaemic</w:t>
      </w:r>
      <w:proofErr w:type="spellEnd"/>
      <w:r w:rsidR="00EF5169" w:rsidRPr="00F073F8">
        <w:rPr>
          <w:color w:val="auto"/>
          <w:sz w:val="22"/>
          <w:szCs w:val="22"/>
          <w:lang w:val="en-AU"/>
        </w:rPr>
        <w:t xml:space="preserve"> patients, slight and transient elevations of serum calcium concentrations have been observed following teriparatide injection. Serum calcium concentrations reach a maximum between 4 and 6</w:t>
      </w:r>
      <w:r w:rsidR="00D73F96" w:rsidRPr="00F073F8">
        <w:rPr>
          <w:color w:val="auto"/>
          <w:sz w:val="22"/>
          <w:szCs w:val="22"/>
          <w:lang w:val="en-AU"/>
        </w:rPr>
        <w:t> </w:t>
      </w:r>
      <w:r w:rsidR="00EF5169" w:rsidRPr="00F073F8">
        <w:rPr>
          <w:color w:val="auto"/>
          <w:sz w:val="22"/>
          <w:szCs w:val="22"/>
          <w:lang w:val="en-AU"/>
        </w:rPr>
        <w:t>hours and return to baseline by 16 to 24</w:t>
      </w:r>
      <w:r w:rsidR="00D73F96" w:rsidRPr="00F073F8">
        <w:rPr>
          <w:color w:val="auto"/>
          <w:sz w:val="22"/>
          <w:szCs w:val="22"/>
          <w:lang w:val="en-AU"/>
        </w:rPr>
        <w:t> </w:t>
      </w:r>
      <w:r w:rsidR="00EF5169" w:rsidRPr="00F073F8">
        <w:rPr>
          <w:color w:val="auto"/>
          <w:sz w:val="22"/>
          <w:szCs w:val="22"/>
          <w:lang w:val="en-AU"/>
        </w:rPr>
        <w:t xml:space="preserve">hours after each dose of </w:t>
      </w:r>
      <w:r w:rsidR="00867C02" w:rsidRPr="00F073F8">
        <w:rPr>
          <w:color w:val="auto"/>
          <w:sz w:val="22"/>
          <w:szCs w:val="22"/>
          <w:lang w:val="en-AU"/>
        </w:rPr>
        <w:t>teriparatide.</w:t>
      </w:r>
      <w:r w:rsidR="008B6587" w:rsidRPr="00F073F8">
        <w:rPr>
          <w:color w:val="auto"/>
          <w:sz w:val="22"/>
          <w:szCs w:val="22"/>
          <w:lang w:val="en-AU"/>
        </w:rPr>
        <w:t xml:space="preserve"> </w:t>
      </w:r>
      <w:r w:rsidR="00EF5169" w:rsidRPr="00F073F8">
        <w:rPr>
          <w:color w:val="auto"/>
          <w:sz w:val="22"/>
          <w:szCs w:val="22"/>
          <w:lang w:val="en-AU"/>
        </w:rPr>
        <w:t xml:space="preserve"> Routine calcium monitoring during therapy is not required.</w:t>
      </w:r>
    </w:p>
    <w:p w14:paraId="7F209A7C" w14:textId="77777777" w:rsidR="00F0449B" w:rsidRPr="008539F3" w:rsidRDefault="00F0449B" w:rsidP="00F073F8">
      <w:pPr>
        <w:pStyle w:val="Default"/>
        <w:widowControl w:val="0"/>
        <w:rPr>
          <w:color w:val="auto"/>
          <w:sz w:val="22"/>
          <w:szCs w:val="22"/>
          <w:lang w:val="en-AU"/>
        </w:rPr>
      </w:pPr>
    </w:p>
    <w:p w14:paraId="41F0A356" w14:textId="335280B6" w:rsidR="00DB0E93" w:rsidRPr="00F073F8" w:rsidRDefault="00DB0E93" w:rsidP="00F073F8">
      <w:pPr>
        <w:pStyle w:val="Default"/>
        <w:widowControl w:val="0"/>
        <w:rPr>
          <w:b/>
          <w:bCs/>
          <w:i/>
          <w:iCs/>
          <w:color w:val="auto"/>
          <w:sz w:val="22"/>
          <w:szCs w:val="22"/>
          <w:lang w:val="en-AU"/>
        </w:rPr>
      </w:pPr>
      <w:r w:rsidRPr="00F073F8">
        <w:rPr>
          <w:b/>
          <w:bCs/>
          <w:i/>
          <w:iCs/>
          <w:color w:val="auto"/>
          <w:sz w:val="22"/>
          <w:szCs w:val="22"/>
          <w:lang w:val="en-AU"/>
        </w:rPr>
        <w:t xml:space="preserve">Bone </w:t>
      </w:r>
      <w:r w:rsidR="00C014BA" w:rsidRPr="00F073F8">
        <w:rPr>
          <w:b/>
          <w:bCs/>
          <w:i/>
          <w:iCs/>
          <w:color w:val="auto"/>
          <w:sz w:val="22"/>
          <w:szCs w:val="22"/>
          <w:lang w:val="en-AU"/>
        </w:rPr>
        <w:t>d</w:t>
      </w:r>
      <w:r w:rsidRPr="00F073F8">
        <w:rPr>
          <w:b/>
          <w:bCs/>
          <w:i/>
          <w:iCs/>
          <w:color w:val="auto"/>
          <w:sz w:val="22"/>
          <w:szCs w:val="22"/>
          <w:lang w:val="en-AU"/>
        </w:rPr>
        <w:t>isorders other than osteoporosis</w:t>
      </w:r>
    </w:p>
    <w:p w14:paraId="6A18A839" w14:textId="554F68A7" w:rsidR="00AA4A52" w:rsidRPr="00F073F8" w:rsidRDefault="0065583C" w:rsidP="00F073F8">
      <w:pPr>
        <w:pStyle w:val="Default"/>
        <w:widowControl w:val="0"/>
        <w:rPr>
          <w:color w:val="auto"/>
          <w:sz w:val="22"/>
          <w:szCs w:val="22"/>
          <w:lang w:val="en-AU"/>
        </w:rPr>
      </w:pPr>
      <w:r w:rsidRPr="00F073F8">
        <w:rPr>
          <w:color w:val="auto"/>
          <w:sz w:val="22"/>
          <w:szCs w:val="22"/>
          <w:lang w:val="en-AU"/>
        </w:rPr>
        <w:t>Patient with</w:t>
      </w:r>
      <w:r w:rsidR="009A33B3" w:rsidRPr="00F073F8">
        <w:rPr>
          <w:color w:val="auto"/>
          <w:sz w:val="22"/>
          <w:szCs w:val="22"/>
          <w:lang w:val="en-AU"/>
        </w:rPr>
        <w:t xml:space="preserve"> </w:t>
      </w:r>
      <w:r w:rsidR="008A37B0" w:rsidRPr="00F073F8">
        <w:rPr>
          <w:sz w:val="22"/>
          <w:szCs w:val="22"/>
          <w:lang w:val="en-AU"/>
        </w:rPr>
        <w:t xml:space="preserve">metabolic bone diseases </w:t>
      </w:r>
      <w:r w:rsidR="00F208F4" w:rsidRPr="00F073F8">
        <w:rPr>
          <w:sz w:val="22"/>
          <w:szCs w:val="22"/>
          <w:lang w:val="en-AU"/>
        </w:rPr>
        <w:t>other than primary osteoporosis</w:t>
      </w:r>
      <w:r w:rsidR="00F72444">
        <w:rPr>
          <w:sz w:val="22"/>
          <w:szCs w:val="22"/>
          <w:lang w:val="en-AU"/>
        </w:rPr>
        <w:t>(</w:t>
      </w:r>
      <w:r w:rsidR="00F208F4" w:rsidRPr="00F073F8">
        <w:rPr>
          <w:sz w:val="22"/>
          <w:szCs w:val="22"/>
          <w:lang w:val="en-AU"/>
        </w:rPr>
        <w:t xml:space="preserve"> </w:t>
      </w:r>
      <w:r w:rsidR="008A37B0" w:rsidRPr="00F073F8">
        <w:rPr>
          <w:sz w:val="22"/>
          <w:szCs w:val="22"/>
          <w:lang w:val="en-AU" w:eastAsia="en-US"/>
        </w:rPr>
        <w:t>including</w:t>
      </w:r>
      <w:r w:rsidR="008A37B0" w:rsidRPr="00F073F8">
        <w:rPr>
          <w:sz w:val="22"/>
          <w:szCs w:val="22"/>
          <w:lang w:val="en-AU"/>
        </w:rPr>
        <w:t xml:space="preserve"> hyperparathyroidism and Paget’s disease of the bone</w:t>
      </w:r>
      <w:r w:rsidR="006477F2" w:rsidRPr="00F073F8">
        <w:rPr>
          <w:sz w:val="22"/>
          <w:szCs w:val="22"/>
          <w:lang w:val="en-AU"/>
        </w:rPr>
        <w:t xml:space="preserve">, </w:t>
      </w:r>
      <w:hyperlink w:anchor="ref7" w:history="1">
        <w:r w:rsidR="00801868" w:rsidRPr="0028216C">
          <w:rPr>
            <w:rStyle w:val="Hyperlink"/>
            <w:sz w:val="22"/>
            <w:szCs w:val="22"/>
            <w:lang w:val="en-AU"/>
          </w:rPr>
          <w:t>(</w:t>
        </w:r>
        <w:r w:rsidR="006477F2" w:rsidRPr="0028216C">
          <w:rPr>
            <w:rStyle w:val="Hyperlink"/>
            <w:sz w:val="22"/>
            <w:szCs w:val="22"/>
          </w:rPr>
          <w:t xml:space="preserve">see </w:t>
        </w:r>
        <w:r w:rsidR="006477F2" w:rsidRPr="0028216C">
          <w:rPr>
            <w:rStyle w:val="Hyperlink"/>
            <w:b/>
            <w:bCs/>
            <w:sz w:val="22"/>
            <w:szCs w:val="22"/>
          </w:rPr>
          <w:t>Section 4</w:t>
        </w:r>
        <w:r w:rsidR="00CE4FAB" w:rsidRPr="0028216C">
          <w:rPr>
            <w:rStyle w:val="Hyperlink"/>
            <w:b/>
            <w:bCs/>
            <w:sz w:val="22"/>
            <w:szCs w:val="22"/>
          </w:rPr>
          <w:t>.3</w:t>
        </w:r>
        <w:r w:rsidR="006477F2" w:rsidRPr="0028216C">
          <w:rPr>
            <w:rStyle w:val="Hyperlink"/>
            <w:b/>
            <w:bCs/>
            <w:sz w:val="22"/>
            <w:szCs w:val="22"/>
          </w:rPr>
          <w:t xml:space="preserve"> CONTRAINDICATIONS</w:t>
        </w:r>
      </w:hyperlink>
      <w:r w:rsidR="008A37B0" w:rsidRPr="0028216C">
        <w:rPr>
          <w:sz w:val="22"/>
          <w:szCs w:val="22"/>
          <w:lang w:val="en-AU"/>
        </w:rPr>
        <w:t>)</w:t>
      </w:r>
      <w:r w:rsidR="008A37B0" w:rsidRPr="00F073F8">
        <w:rPr>
          <w:sz w:val="22"/>
          <w:szCs w:val="22"/>
          <w:lang w:val="en-AU"/>
        </w:rPr>
        <w:t xml:space="preserve"> </w:t>
      </w:r>
      <w:r w:rsidR="00860FAE" w:rsidRPr="00F073F8">
        <w:rPr>
          <w:sz w:val="22"/>
          <w:szCs w:val="22"/>
          <w:lang w:val="en-AU"/>
        </w:rPr>
        <w:t>and</w:t>
      </w:r>
      <w:r w:rsidR="00B660BF" w:rsidRPr="00F073F8">
        <w:rPr>
          <w:sz w:val="22"/>
          <w:szCs w:val="22"/>
          <w:lang w:val="en-AU"/>
        </w:rPr>
        <w:t xml:space="preserve"> those with </w:t>
      </w:r>
      <w:r w:rsidR="00B660BF" w:rsidRPr="00F073F8">
        <w:rPr>
          <w:color w:val="auto"/>
          <w:sz w:val="22"/>
          <w:szCs w:val="22"/>
          <w:lang w:val="en-AU"/>
        </w:rPr>
        <w:t>u</w:t>
      </w:r>
      <w:r w:rsidR="008A37B0" w:rsidRPr="00F073F8">
        <w:rPr>
          <w:color w:val="auto"/>
          <w:sz w:val="22"/>
          <w:szCs w:val="22"/>
          <w:lang w:val="en-AU"/>
        </w:rPr>
        <w:t>nexplained elevations of alkaline phosphatase</w:t>
      </w:r>
      <w:r w:rsidR="00C014BA" w:rsidRPr="00F073F8">
        <w:rPr>
          <w:color w:val="auto"/>
          <w:sz w:val="22"/>
          <w:szCs w:val="22"/>
          <w:lang w:val="en-AU"/>
        </w:rPr>
        <w:t xml:space="preserve"> </w:t>
      </w:r>
      <w:r w:rsidR="001272E2" w:rsidRPr="00F073F8">
        <w:rPr>
          <w:color w:val="auto"/>
          <w:sz w:val="22"/>
          <w:szCs w:val="22"/>
          <w:lang w:val="en-AU"/>
        </w:rPr>
        <w:t xml:space="preserve">should be </w:t>
      </w:r>
      <w:r w:rsidR="00720ECE">
        <w:rPr>
          <w:color w:val="auto"/>
          <w:sz w:val="22"/>
          <w:szCs w:val="22"/>
          <w:lang w:val="en-AU"/>
        </w:rPr>
        <w:t xml:space="preserve">excluded from treatment with </w:t>
      </w:r>
      <w:r w:rsidR="001272E2" w:rsidRPr="00F073F8">
        <w:rPr>
          <w:color w:val="auto"/>
          <w:sz w:val="22"/>
          <w:szCs w:val="22"/>
          <w:lang w:val="en-AU"/>
        </w:rPr>
        <w:t>teriparatide</w:t>
      </w:r>
      <w:r w:rsidR="005618BA">
        <w:rPr>
          <w:color w:val="auto"/>
          <w:sz w:val="22"/>
          <w:szCs w:val="22"/>
          <w:lang w:val="en-AU"/>
        </w:rPr>
        <w:t>.</w:t>
      </w:r>
      <w:r w:rsidR="0082090D">
        <w:rPr>
          <w:color w:val="auto"/>
          <w:sz w:val="22"/>
          <w:szCs w:val="22"/>
          <w:lang w:val="en-AU"/>
        </w:rPr>
        <w:t xml:space="preserve"> </w:t>
      </w:r>
      <w:r w:rsidR="00EB6567">
        <w:rPr>
          <w:color w:val="auto"/>
          <w:sz w:val="22"/>
          <w:szCs w:val="22"/>
          <w:lang w:val="en-AU"/>
        </w:rPr>
        <w:t>Patients</w:t>
      </w:r>
      <w:r w:rsidR="0082090D">
        <w:rPr>
          <w:color w:val="auto"/>
          <w:sz w:val="22"/>
          <w:szCs w:val="22"/>
          <w:lang w:val="en-AU"/>
        </w:rPr>
        <w:t xml:space="preserve"> with skeletal malignancies or bone meta</w:t>
      </w:r>
      <w:r w:rsidR="00121E26">
        <w:rPr>
          <w:color w:val="auto"/>
          <w:sz w:val="22"/>
          <w:szCs w:val="22"/>
          <w:lang w:val="en-AU"/>
        </w:rPr>
        <w:t xml:space="preserve">stases should </w:t>
      </w:r>
      <w:r w:rsidR="00EB6567">
        <w:rPr>
          <w:color w:val="auto"/>
          <w:sz w:val="22"/>
          <w:szCs w:val="22"/>
          <w:lang w:val="en-AU"/>
        </w:rPr>
        <w:t>also</w:t>
      </w:r>
      <w:r w:rsidR="00121E26">
        <w:rPr>
          <w:color w:val="auto"/>
          <w:sz w:val="22"/>
          <w:szCs w:val="22"/>
          <w:lang w:val="en-AU"/>
        </w:rPr>
        <w:t xml:space="preserve"> be excluded from treatment with teriparatide. </w:t>
      </w:r>
    </w:p>
    <w:p w14:paraId="0195D588" w14:textId="77777777" w:rsidR="00CA1C39" w:rsidRPr="008539F3" w:rsidRDefault="00CA1C39" w:rsidP="00F073F8">
      <w:pPr>
        <w:pStyle w:val="Default"/>
        <w:widowControl w:val="0"/>
        <w:rPr>
          <w:color w:val="auto"/>
          <w:sz w:val="22"/>
          <w:szCs w:val="22"/>
          <w:lang w:val="en-AU"/>
        </w:rPr>
      </w:pPr>
    </w:p>
    <w:p w14:paraId="04D017B6" w14:textId="5ADD9479" w:rsidR="00EF5169" w:rsidRPr="00F073F8" w:rsidRDefault="00EF5169" w:rsidP="00F073F8">
      <w:pPr>
        <w:pStyle w:val="Default"/>
        <w:widowControl w:val="0"/>
        <w:rPr>
          <w:b/>
          <w:bCs/>
          <w:i/>
          <w:iCs/>
          <w:color w:val="auto"/>
          <w:sz w:val="22"/>
          <w:szCs w:val="22"/>
          <w:lang w:val="en-AU"/>
        </w:rPr>
      </w:pPr>
      <w:proofErr w:type="spellStart"/>
      <w:r w:rsidRPr="00F073F8">
        <w:rPr>
          <w:b/>
          <w:bCs/>
          <w:i/>
          <w:iCs/>
          <w:color w:val="auto"/>
          <w:sz w:val="22"/>
          <w:szCs w:val="22"/>
          <w:lang w:val="en-AU"/>
        </w:rPr>
        <w:t>Urolithiasis</w:t>
      </w:r>
      <w:proofErr w:type="spellEnd"/>
    </w:p>
    <w:p w14:paraId="3E2A5724" w14:textId="567D4C27" w:rsidR="00EF5169" w:rsidRPr="00F073F8" w:rsidRDefault="00EF5169" w:rsidP="00F073F8">
      <w:pPr>
        <w:pStyle w:val="Default"/>
        <w:widowControl w:val="0"/>
        <w:rPr>
          <w:color w:val="auto"/>
          <w:sz w:val="22"/>
          <w:szCs w:val="22"/>
          <w:lang w:val="en-AU"/>
        </w:rPr>
      </w:pPr>
      <w:r w:rsidRPr="00F073F8">
        <w:rPr>
          <w:color w:val="auto"/>
          <w:sz w:val="22"/>
          <w:szCs w:val="22"/>
          <w:lang w:val="en-AU"/>
        </w:rPr>
        <w:t>Teriparatide</w:t>
      </w:r>
      <w:r w:rsidR="002C012B" w:rsidRPr="00F073F8">
        <w:rPr>
          <w:color w:val="auto"/>
          <w:sz w:val="22"/>
          <w:szCs w:val="22"/>
          <w:lang w:val="en-AU"/>
        </w:rPr>
        <w:t xml:space="preserve"> </w:t>
      </w:r>
      <w:r w:rsidRPr="00F073F8">
        <w:rPr>
          <w:color w:val="auto"/>
          <w:sz w:val="22"/>
          <w:szCs w:val="22"/>
          <w:lang w:val="en-AU"/>
        </w:rPr>
        <w:t xml:space="preserve">has not been studied in patients with active </w:t>
      </w:r>
      <w:proofErr w:type="spellStart"/>
      <w:r w:rsidRPr="00F073F8">
        <w:rPr>
          <w:color w:val="auto"/>
          <w:sz w:val="22"/>
          <w:szCs w:val="22"/>
          <w:lang w:val="en-AU"/>
        </w:rPr>
        <w:t>urolithiasis</w:t>
      </w:r>
      <w:proofErr w:type="spellEnd"/>
      <w:r w:rsidRPr="00F073F8">
        <w:rPr>
          <w:color w:val="auto"/>
          <w:sz w:val="22"/>
          <w:szCs w:val="22"/>
          <w:lang w:val="en-AU"/>
        </w:rPr>
        <w:t xml:space="preserve">. Teriparatide should be used with caution in patients with active or recent </w:t>
      </w:r>
      <w:proofErr w:type="spellStart"/>
      <w:r w:rsidRPr="00F073F8">
        <w:rPr>
          <w:color w:val="auto"/>
          <w:sz w:val="22"/>
          <w:szCs w:val="22"/>
          <w:lang w:val="en-AU"/>
        </w:rPr>
        <w:t>urolithiasis</w:t>
      </w:r>
      <w:proofErr w:type="spellEnd"/>
      <w:r w:rsidRPr="00F073F8">
        <w:rPr>
          <w:color w:val="auto"/>
          <w:sz w:val="22"/>
          <w:szCs w:val="22"/>
          <w:lang w:val="en-AU"/>
        </w:rPr>
        <w:t xml:space="preserve"> because of the potential to exacerbate this condition.</w:t>
      </w:r>
    </w:p>
    <w:p w14:paraId="795DD87E" w14:textId="77777777" w:rsidR="00EF5169" w:rsidRPr="00F073F8" w:rsidRDefault="00EF5169" w:rsidP="00F073F8">
      <w:pPr>
        <w:pStyle w:val="Default"/>
        <w:widowControl w:val="0"/>
        <w:rPr>
          <w:sz w:val="22"/>
          <w:szCs w:val="22"/>
        </w:rPr>
      </w:pPr>
    </w:p>
    <w:p w14:paraId="20474081" w14:textId="6CCBEC89" w:rsidR="00EF5169" w:rsidRPr="00F073F8" w:rsidRDefault="00104BDF" w:rsidP="00F073F8">
      <w:pPr>
        <w:pStyle w:val="Default"/>
        <w:widowControl w:val="0"/>
        <w:rPr>
          <w:b/>
          <w:bCs/>
          <w:i/>
          <w:iCs/>
          <w:color w:val="auto"/>
          <w:sz w:val="22"/>
          <w:szCs w:val="22"/>
          <w:lang w:val="en-AU"/>
        </w:rPr>
      </w:pPr>
      <w:r>
        <w:rPr>
          <w:b/>
          <w:bCs/>
          <w:i/>
          <w:iCs/>
          <w:color w:val="auto"/>
          <w:sz w:val="22"/>
          <w:szCs w:val="22"/>
          <w:lang w:val="en-AU"/>
        </w:rPr>
        <w:t>H</w:t>
      </w:r>
      <w:r w:rsidR="00EF5169" w:rsidRPr="00F073F8">
        <w:rPr>
          <w:b/>
          <w:bCs/>
          <w:i/>
          <w:iCs/>
          <w:color w:val="auto"/>
          <w:sz w:val="22"/>
          <w:szCs w:val="22"/>
          <w:lang w:val="en-AU"/>
        </w:rPr>
        <w:t>ypotension</w:t>
      </w:r>
    </w:p>
    <w:p w14:paraId="68824989" w14:textId="7589DB68" w:rsidR="00EF5169" w:rsidRPr="00F073F8" w:rsidRDefault="00EF5169" w:rsidP="00F073F8">
      <w:pPr>
        <w:pStyle w:val="Default"/>
        <w:widowControl w:val="0"/>
        <w:rPr>
          <w:sz w:val="22"/>
          <w:szCs w:val="22"/>
        </w:rPr>
      </w:pPr>
      <w:r w:rsidRPr="00F073F8">
        <w:rPr>
          <w:color w:val="auto"/>
          <w:sz w:val="22"/>
          <w:szCs w:val="22"/>
          <w:lang w:val="en-AU"/>
        </w:rPr>
        <w:t>In short-term clinical studies with teriparatide</w:t>
      </w:r>
      <w:r w:rsidR="002C012B" w:rsidRPr="00F073F8">
        <w:rPr>
          <w:color w:val="auto"/>
          <w:sz w:val="22"/>
          <w:szCs w:val="22"/>
          <w:lang w:val="en-AU"/>
        </w:rPr>
        <w:t xml:space="preserve"> </w:t>
      </w:r>
      <w:r w:rsidRPr="00F073F8">
        <w:rPr>
          <w:color w:val="auto"/>
          <w:sz w:val="22"/>
          <w:szCs w:val="22"/>
          <w:lang w:val="en-AU"/>
        </w:rPr>
        <w:t>isolated episodes of transient orthostatic hypotension were observed. Typically, an event began within 4</w:t>
      </w:r>
      <w:r w:rsidR="006477F2" w:rsidRPr="00F073F8">
        <w:rPr>
          <w:color w:val="auto"/>
          <w:sz w:val="22"/>
          <w:szCs w:val="22"/>
          <w:lang w:val="en-AU"/>
        </w:rPr>
        <w:t> </w:t>
      </w:r>
      <w:r w:rsidRPr="00F073F8">
        <w:rPr>
          <w:color w:val="auto"/>
          <w:sz w:val="22"/>
          <w:szCs w:val="22"/>
          <w:lang w:val="en-AU"/>
        </w:rPr>
        <w:t>hours of dosing and spontaneously resolved within a few minutes to a few hours.</w:t>
      </w:r>
      <w:r w:rsidR="00317613" w:rsidRPr="00F073F8">
        <w:rPr>
          <w:color w:val="auto"/>
          <w:sz w:val="22"/>
          <w:szCs w:val="22"/>
          <w:lang w:val="en-AU"/>
        </w:rPr>
        <w:t xml:space="preserve"> </w:t>
      </w:r>
      <w:r w:rsidRPr="00F073F8">
        <w:rPr>
          <w:color w:val="auto"/>
          <w:sz w:val="22"/>
          <w:szCs w:val="22"/>
          <w:lang w:val="en-AU"/>
        </w:rPr>
        <w:t>When transient orthostatic hypotension occurred, it happened within the first several doses, was relieved by placing subjects in a reclining position, and did not preclude continued treatment</w:t>
      </w:r>
      <w:r w:rsidRPr="00F073F8">
        <w:rPr>
          <w:sz w:val="22"/>
          <w:szCs w:val="22"/>
        </w:rPr>
        <w:t>.</w:t>
      </w:r>
    </w:p>
    <w:p w14:paraId="662BCFCE" w14:textId="6C076C04" w:rsidR="00EF5169" w:rsidRDefault="00EF5169" w:rsidP="00F073F8">
      <w:pPr>
        <w:pStyle w:val="Default"/>
        <w:widowControl w:val="0"/>
        <w:rPr>
          <w:sz w:val="22"/>
          <w:szCs w:val="22"/>
        </w:rPr>
      </w:pPr>
    </w:p>
    <w:p w14:paraId="73C7CC36" w14:textId="77777777" w:rsidR="00860F7B" w:rsidRPr="00F073F8" w:rsidRDefault="00860F7B" w:rsidP="00F073F8">
      <w:pPr>
        <w:pStyle w:val="Default"/>
        <w:widowControl w:val="0"/>
        <w:rPr>
          <w:sz w:val="22"/>
          <w:szCs w:val="22"/>
        </w:rPr>
      </w:pPr>
    </w:p>
    <w:p w14:paraId="39CFF3D8" w14:textId="77777777" w:rsidR="00FA22F4" w:rsidRPr="00F073F8" w:rsidRDefault="00FA22F4" w:rsidP="00F073F8">
      <w:pPr>
        <w:pStyle w:val="Default"/>
        <w:widowControl w:val="0"/>
        <w:rPr>
          <w:b/>
          <w:bCs/>
          <w:i/>
          <w:iCs/>
          <w:color w:val="auto"/>
          <w:sz w:val="22"/>
          <w:szCs w:val="22"/>
          <w:lang w:val="en-AU"/>
        </w:rPr>
      </w:pPr>
      <w:r w:rsidRPr="00F073F8">
        <w:rPr>
          <w:b/>
          <w:bCs/>
          <w:i/>
          <w:iCs/>
          <w:color w:val="auto"/>
          <w:sz w:val="22"/>
          <w:szCs w:val="22"/>
          <w:lang w:val="en-AU"/>
        </w:rPr>
        <w:t>Use in the elderly</w:t>
      </w:r>
    </w:p>
    <w:p w14:paraId="79CA6F6B" w14:textId="79397099" w:rsidR="00FA22F4" w:rsidRPr="00F073F8" w:rsidRDefault="001526F7" w:rsidP="00F073F8">
      <w:pPr>
        <w:widowControl w:val="0"/>
        <w:rPr>
          <w:sz w:val="22"/>
          <w:szCs w:val="22"/>
        </w:rPr>
      </w:pPr>
      <w:r w:rsidRPr="00F073F8">
        <w:rPr>
          <w:sz w:val="22"/>
          <w:szCs w:val="22"/>
        </w:rPr>
        <w:t>No difference in teriparatide</w:t>
      </w:r>
      <w:r w:rsidR="00280C06" w:rsidRPr="00F073F8">
        <w:rPr>
          <w:sz w:val="22"/>
          <w:szCs w:val="22"/>
        </w:rPr>
        <w:t xml:space="preserve"> </w:t>
      </w:r>
      <w:r w:rsidRPr="00F073F8">
        <w:rPr>
          <w:sz w:val="22"/>
          <w:szCs w:val="22"/>
        </w:rPr>
        <w:t>pharmacokinetics were detected with regard to age (range 31 to 85</w:t>
      </w:r>
      <w:r w:rsidR="005E5EC5" w:rsidRPr="00F073F8">
        <w:rPr>
          <w:sz w:val="22"/>
          <w:szCs w:val="22"/>
        </w:rPr>
        <w:t> </w:t>
      </w:r>
      <w:r w:rsidRPr="00F073F8">
        <w:rPr>
          <w:sz w:val="22"/>
          <w:szCs w:val="22"/>
        </w:rPr>
        <w:t>years). Dosage adjustment based on age is not required</w:t>
      </w:r>
      <w:r w:rsidR="001A1AED">
        <w:rPr>
          <w:sz w:val="22"/>
          <w:szCs w:val="22"/>
        </w:rPr>
        <w:t>.</w:t>
      </w:r>
    </w:p>
    <w:p w14:paraId="25032C7C" w14:textId="77777777" w:rsidR="0071129A" w:rsidRPr="008539F3" w:rsidRDefault="0071129A" w:rsidP="00F073F8">
      <w:pPr>
        <w:pStyle w:val="Default"/>
        <w:widowControl w:val="0"/>
        <w:rPr>
          <w:color w:val="auto"/>
          <w:sz w:val="22"/>
          <w:szCs w:val="22"/>
          <w:lang w:val="en-AU"/>
        </w:rPr>
      </w:pPr>
    </w:p>
    <w:p w14:paraId="2A71243B" w14:textId="2755E371" w:rsidR="00FA22F4" w:rsidRPr="00F073F8" w:rsidRDefault="00FA22F4" w:rsidP="00F073F8">
      <w:pPr>
        <w:pStyle w:val="Default"/>
        <w:widowControl w:val="0"/>
        <w:rPr>
          <w:b/>
          <w:bCs/>
          <w:i/>
          <w:iCs/>
          <w:color w:val="auto"/>
          <w:sz w:val="22"/>
          <w:szCs w:val="22"/>
          <w:lang w:val="en-AU"/>
        </w:rPr>
      </w:pPr>
      <w:r w:rsidRPr="00F073F8">
        <w:rPr>
          <w:b/>
          <w:bCs/>
          <w:i/>
          <w:iCs/>
          <w:color w:val="auto"/>
          <w:sz w:val="22"/>
          <w:szCs w:val="22"/>
          <w:lang w:val="en-AU"/>
        </w:rPr>
        <w:t>Paediatric use</w:t>
      </w:r>
    </w:p>
    <w:p w14:paraId="5187C4E6" w14:textId="2A74133A" w:rsidR="00FA22F4" w:rsidRPr="00F073F8" w:rsidRDefault="00DB02D9" w:rsidP="00F073F8">
      <w:pPr>
        <w:pStyle w:val="Default"/>
        <w:widowControl w:val="0"/>
        <w:rPr>
          <w:color w:val="auto"/>
          <w:sz w:val="22"/>
          <w:szCs w:val="22"/>
          <w:lang w:val="en-AU"/>
        </w:rPr>
      </w:pPr>
      <w:r w:rsidRPr="00F073F8">
        <w:rPr>
          <w:color w:val="auto"/>
          <w:sz w:val="22"/>
          <w:szCs w:val="22"/>
          <w:lang w:val="en-AU"/>
        </w:rPr>
        <w:t xml:space="preserve">Teriparatide has not been studied in paediatric population. </w:t>
      </w:r>
      <w:r w:rsidR="00C65E1A" w:rsidRPr="00F073F8">
        <w:rPr>
          <w:sz w:val="22"/>
          <w:szCs w:val="22"/>
          <w:lang w:val="en-AU"/>
        </w:rPr>
        <w:t>Teriparatide should not be used in paediatric patients</w:t>
      </w:r>
      <w:r w:rsidR="001A1AED">
        <w:rPr>
          <w:sz w:val="22"/>
          <w:szCs w:val="22"/>
          <w:lang w:val="en-AU"/>
        </w:rPr>
        <w:t xml:space="preserve"> </w:t>
      </w:r>
      <w:r w:rsidR="00C65E1A" w:rsidRPr="00F073F8">
        <w:rPr>
          <w:sz w:val="22"/>
          <w:szCs w:val="22"/>
          <w:lang w:val="en-AU"/>
        </w:rPr>
        <w:t>or young adults with open epiphyses</w:t>
      </w:r>
      <w:r w:rsidR="005E5EC5" w:rsidRPr="00F073F8">
        <w:rPr>
          <w:sz w:val="22"/>
          <w:szCs w:val="22"/>
          <w:lang w:val="en-AU"/>
        </w:rPr>
        <w:t>.</w:t>
      </w:r>
    </w:p>
    <w:p w14:paraId="7C5A0229" w14:textId="77777777" w:rsidR="00907394" w:rsidRPr="008539F3" w:rsidRDefault="00907394" w:rsidP="00F073F8">
      <w:pPr>
        <w:pStyle w:val="Default"/>
        <w:widowControl w:val="0"/>
        <w:rPr>
          <w:color w:val="auto"/>
          <w:sz w:val="22"/>
          <w:szCs w:val="22"/>
          <w:lang w:val="en-AU"/>
        </w:rPr>
      </w:pPr>
    </w:p>
    <w:p w14:paraId="7BED0D61" w14:textId="58096AFB" w:rsidR="00FA22F4" w:rsidRPr="00F073F8" w:rsidRDefault="00FA22F4" w:rsidP="00F073F8">
      <w:pPr>
        <w:pStyle w:val="Default"/>
        <w:widowControl w:val="0"/>
        <w:rPr>
          <w:b/>
          <w:bCs/>
          <w:color w:val="auto"/>
          <w:sz w:val="22"/>
          <w:szCs w:val="22"/>
          <w:lang w:val="en-AU"/>
        </w:rPr>
      </w:pPr>
      <w:r w:rsidRPr="00F073F8">
        <w:rPr>
          <w:b/>
          <w:bCs/>
          <w:color w:val="auto"/>
          <w:sz w:val="22"/>
          <w:szCs w:val="22"/>
          <w:lang w:val="en-AU"/>
        </w:rPr>
        <w:t>Effects on laboratory tests</w:t>
      </w:r>
    </w:p>
    <w:p w14:paraId="28496600" w14:textId="0EB033FB" w:rsidR="006C2487" w:rsidRPr="00F073F8" w:rsidRDefault="003C1172" w:rsidP="00F073F8">
      <w:pPr>
        <w:pStyle w:val="Heading2"/>
        <w:jc w:val="left"/>
        <w:rPr>
          <w:rFonts w:ascii="Times New Roman" w:hAnsi="Times New Roman" w:cs="Times New Roman"/>
          <w:b w:val="0"/>
          <w:bCs/>
          <w:sz w:val="22"/>
          <w:szCs w:val="22"/>
          <w:lang w:val="en-AU"/>
        </w:rPr>
      </w:pPr>
      <w:r w:rsidRPr="00F073F8">
        <w:rPr>
          <w:rFonts w:ascii="Times New Roman" w:hAnsi="Times New Roman" w:cs="Times New Roman"/>
          <w:i/>
          <w:iCs/>
          <w:sz w:val="22"/>
          <w:szCs w:val="22"/>
          <w:lang w:val="en-AU"/>
        </w:rPr>
        <w:t>Serum calcium</w:t>
      </w:r>
      <w:r w:rsidR="00DB2BA4" w:rsidRPr="00F073F8">
        <w:rPr>
          <w:rFonts w:ascii="Times New Roman" w:hAnsi="Times New Roman" w:cs="Times New Roman"/>
          <w:sz w:val="22"/>
          <w:szCs w:val="22"/>
          <w:lang w:val="en-AU"/>
        </w:rPr>
        <w:t xml:space="preserve"> </w:t>
      </w:r>
      <w:r w:rsidR="00DB2BA4" w:rsidRPr="00F073F8">
        <w:rPr>
          <w:rFonts w:ascii="Times New Roman" w:hAnsi="Times New Roman" w:cs="Times New Roman"/>
          <w:b w:val="0"/>
          <w:bCs/>
          <w:sz w:val="22"/>
          <w:szCs w:val="22"/>
          <w:lang w:val="en-AU"/>
        </w:rPr>
        <w:t>–</w:t>
      </w:r>
      <w:r w:rsidR="00AE1D73" w:rsidRPr="00F073F8">
        <w:rPr>
          <w:rFonts w:ascii="Times New Roman" w:hAnsi="Times New Roman" w:cs="Times New Roman"/>
          <w:b w:val="0"/>
          <w:bCs/>
          <w:sz w:val="22"/>
          <w:szCs w:val="22"/>
          <w:lang w:val="en-AU"/>
        </w:rPr>
        <w:t>Teriparatide transiently increases serum calcium, with</w:t>
      </w:r>
      <w:r w:rsidRPr="00F073F8">
        <w:rPr>
          <w:rFonts w:ascii="Times New Roman" w:hAnsi="Times New Roman" w:cs="Times New Roman"/>
          <w:b w:val="0"/>
          <w:bCs/>
          <w:sz w:val="22"/>
          <w:szCs w:val="22"/>
          <w:lang w:val="en-AU"/>
        </w:rPr>
        <w:t xml:space="preserve"> a maximum </w:t>
      </w:r>
      <w:r w:rsidR="005E5EC5" w:rsidRPr="00F073F8">
        <w:rPr>
          <w:rFonts w:ascii="Times New Roman" w:hAnsi="Times New Roman" w:cs="Times New Roman"/>
          <w:b w:val="0"/>
          <w:bCs/>
          <w:sz w:val="22"/>
          <w:szCs w:val="22"/>
          <w:lang w:val="en-AU"/>
        </w:rPr>
        <w:t>effect observed at approximately</w:t>
      </w:r>
      <w:r w:rsidRPr="00F073F8">
        <w:rPr>
          <w:rFonts w:ascii="Times New Roman" w:hAnsi="Times New Roman" w:cs="Times New Roman"/>
          <w:b w:val="0"/>
          <w:bCs/>
          <w:sz w:val="22"/>
          <w:szCs w:val="22"/>
          <w:lang w:val="en-AU"/>
        </w:rPr>
        <w:t xml:space="preserve"> 4 </w:t>
      </w:r>
      <w:r w:rsidR="00154964">
        <w:rPr>
          <w:rFonts w:ascii="Times New Roman" w:hAnsi="Times New Roman" w:cs="Times New Roman"/>
          <w:b w:val="0"/>
          <w:bCs/>
          <w:sz w:val="22"/>
          <w:szCs w:val="22"/>
          <w:lang w:val="en-AU"/>
        </w:rPr>
        <w:t>to</w:t>
      </w:r>
      <w:r w:rsidR="00154964" w:rsidRPr="00F073F8">
        <w:rPr>
          <w:rFonts w:ascii="Times New Roman" w:hAnsi="Times New Roman" w:cs="Times New Roman"/>
          <w:b w:val="0"/>
          <w:bCs/>
          <w:sz w:val="22"/>
          <w:szCs w:val="22"/>
          <w:lang w:val="en-AU"/>
        </w:rPr>
        <w:t xml:space="preserve"> </w:t>
      </w:r>
      <w:r w:rsidRPr="00F073F8">
        <w:rPr>
          <w:rFonts w:ascii="Times New Roman" w:hAnsi="Times New Roman" w:cs="Times New Roman"/>
          <w:b w:val="0"/>
          <w:bCs/>
          <w:sz w:val="22"/>
          <w:szCs w:val="22"/>
          <w:lang w:val="en-AU"/>
        </w:rPr>
        <w:t>6</w:t>
      </w:r>
      <w:r w:rsidR="005E5EC5" w:rsidRPr="00F073F8">
        <w:rPr>
          <w:rFonts w:ascii="Times New Roman" w:hAnsi="Times New Roman" w:cs="Times New Roman"/>
          <w:b w:val="0"/>
          <w:bCs/>
          <w:sz w:val="22"/>
          <w:szCs w:val="22"/>
          <w:lang w:val="en-AU"/>
        </w:rPr>
        <w:t> </w:t>
      </w:r>
      <w:r w:rsidRPr="00F073F8">
        <w:rPr>
          <w:rFonts w:ascii="Times New Roman" w:hAnsi="Times New Roman" w:cs="Times New Roman"/>
          <w:b w:val="0"/>
          <w:bCs/>
          <w:sz w:val="22"/>
          <w:szCs w:val="22"/>
          <w:lang w:val="en-AU"/>
        </w:rPr>
        <w:t>hours</w:t>
      </w:r>
      <w:r w:rsidR="005E5EC5" w:rsidRPr="00F073F8">
        <w:rPr>
          <w:rFonts w:ascii="Times New Roman" w:hAnsi="Times New Roman" w:cs="Times New Roman"/>
          <w:b w:val="0"/>
          <w:bCs/>
          <w:sz w:val="22"/>
          <w:szCs w:val="22"/>
          <w:lang w:val="en-AU"/>
        </w:rPr>
        <w:t xml:space="preserve"> post-dose.</w:t>
      </w:r>
      <w:r w:rsidRPr="00F073F8">
        <w:rPr>
          <w:rFonts w:ascii="Times New Roman" w:hAnsi="Times New Roman" w:cs="Times New Roman"/>
          <w:b w:val="0"/>
          <w:bCs/>
          <w:sz w:val="22"/>
          <w:szCs w:val="22"/>
          <w:lang w:val="en-AU"/>
        </w:rPr>
        <w:t xml:space="preserve"> </w:t>
      </w:r>
      <w:r w:rsidR="005E5EC5" w:rsidRPr="00C95F19">
        <w:rPr>
          <w:rFonts w:ascii="Times New Roman" w:hAnsi="Times New Roman" w:cs="Times New Roman"/>
          <w:b w:val="0"/>
          <w:sz w:val="22"/>
          <w:szCs w:val="22"/>
        </w:rPr>
        <w:t xml:space="preserve">By 16 hours post-dose, serum calcium generally has </w:t>
      </w:r>
      <w:r w:rsidRPr="00F073F8">
        <w:rPr>
          <w:rFonts w:ascii="Times New Roman" w:hAnsi="Times New Roman" w:cs="Times New Roman"/>
          <w:b w:val="0"/>
          <w:bCs/>
          <w:sz w:val="22"/>
          <w:szCs w:val="22"/>
          <w:lang w:val="en-AU"/>
        </w:rPr>
        <w:t>return</w:t>
      </w:r>
      <w:r w:rsidR="005E5EC5" w:rsidRPr="00F073F8">
        <w:rPr>
          <w:rFonts w:ascii="Times New Roman" w:hAnsi="Times New Roman" w:cs="Times New Roman"/>
          <w:b w:val="0"/>
          <w:bCs/>
          <w:sz w:val="22"/>
          <w:szCs w:val="22"/>
          <w:lang w:val="en-AU"/>
        </w:rPr>
        <w:t>ed</w:t>
      </w:r>
      <w:r w:rsidRPr="00F073F8">
        <w:rPr>
          <w:rFonts w:ascii="Times New Roman" w:hAnsi="Times New Roman" w:cs="Times New Roman"/>
          <w:b w:val="0"/>
          <w:bCs/>
          <w:sz w:val="22"/>
          <w:szCs w:val="22"/>
          <w:lang w:val="en-AU"/>
        </w:rPr>
        <w:t xml:space="preserve"> to</w:t>
      </w:r>
      <w:r w:rsidR="005E5EC5" w:rsidRPr="00F073F8">
        <w:rPr>
          <w:rFonts w:ascii="Times New Roman" w:hAnsi="Times New Roman" w:cs="Times New Roman"/>
          <w:b w:val="0"/>
          <w:bCs/>
          <w:sz w:val="22"/>
          <w:szCs w:val="22"/>
          <w:lang w:val="en-AU"/>
        </w:rPr>
        <w:t>, or near,</w:t>
      </w:r>
      <w:r w:rsidRPr="00F073F8">
        <w:rPr>
          <w:rFonts w:ascii="Times New Roman" w:hAnsi="Times New Roman" w:cs="Times New Roman"/>
          <w:b w:val="0"/>
          <w:bCs/>
          <w:sz w:val="22"/>
          <w:szCs w:val="22"/>
          <w:lang w:val="en-AU"/>
        </w:rPr>
        <w:t xml:space="preserve"> baseline</w:t>
      </w:r>
      <w:r w:rsidR="005E5EC5" w:rsidRPr="00F073F8">
        <w:rPr>
          <w:rFonts w:ascii="Times New Roman" w:hAnsi="Times New Roman" w:cs="Times New Roman"/>
          <w:b w:val="0"/>
          <w:bCs/>
          <w:sz w:val="22"/>
          <w:szCs w:val="22"/>
          <w:lang w:val="en-AU"/>
        </w:rPr>
        <w:t>.</w:t>
      </w:r>
      <w:r w:rsidRPr="00F073F8">
        <w:rPr>
          <w:rFonts w:ascii="Times New Roman" w:hAnsi="Times New Roman" w:cs="Times New Roman"/>
          <w:b w:val="0"/>
          <w:bCs/>
          <w:sz w:val="22"/>
          <w:szCs w:val="22"/>
          <w:lang w:val="en-AU"/>
        </w:rPr>
        <w:t xml:space="preserve"> </w:t>
      </w:r>
      <w:r w:rsidR="005E5EC5" w:rsidRPr="00F073F8">
        <w:rPr>
          <w:rFonts w:ascii="Times New Roman" w:hAnsi="Times New Roman" w:cs="Times New Roman"/>
          <w:sz w:val="22"/>
          <w:szCs w:val="22"/>
        </w:rPr>
        <w:t xml:space="preserve"> </w:t>
      </w:r>
      <w:r w:rsidR="005E5EC5" w:rsidRPr="00C95F19">
        <w:rPr>
          <w:rFonts w:ascii="Times New Roman" w:hAnsi="Times New Roman" w:cs="Times New Roman"/>
          <w:b w:val="0"/>
          <w:sz w:val="22"/>
          <w:szCs w:val="22"/>
        </w:rPr>
        <w:t>These effects should be kept in mind because serum calcium concentrations observed within 16 hours after a dose may reflect the pharmacologic effect of teriparatide</w:t>
      </w:r>
      <w:r w:rsidR="00596464">
        <w:rPr>
          <w:rFonts w:ascii="Times New Roman" w:hAnsi="Times New Roman" w:cs="Times New Roman"/>
          <w:b w:val="0"/>
          <w:sz w:val="22"/>
          <w:szCs w:val="22"/>
        </w:rPr>
        <w:t xml:space="preserve">. </w:t>
      </w:r>
      <w:r w:rsidR="005E5EC5" w:rsidRPr="00F073F8">
        <w:rPr>
          <w:rFonts w:ascii="Times New Roman" w:hAnsi="Times New Roman" w:cs="Times New Roman"/>
          <w:b w:val="0"/>
          <w:bCs/>
          <w:sz w:val="22"/>
          <w:szCs w:val="22"/>
          <w:lang w:val="en-AU"/>
        </w:rPr>
        <w:t>Persistent hypercalcaemia was not observed in clinical trials with teriparatide</w:t>
      </w:r>
      <w:r w:rsidR="00D052EB">
        <w:rPr>
          <w:rFonts w:ascii="Times New Roman" w:hAnsi="Times New Roman" w:cs="Times New Roman"/>
          <w:b w:val="0"/>
          <w:bCs/>
          <w:sz w:val="22"/>
          <w:szCs w:val="22"/>
          <w:lang w:val="en-AU"/>
        </w:rPr>
        <w:t>.</w:t>
      </w:r>
      <w:r w:rsidR="005E5EC5" w:rsidRPr="00F073F8">
        <w:rPr>
          <w:rFonts w:ascii="Times New Roman" w:hAnsi="Times New Roman" w:cs="Times New Roman"/>
          <w:b w:val="0"/>
          <w:bCs/>
          <w:sz w:val="22"/>
          <w:szCs w:val="22"/>
          <w:lang w:val="en-AU"/>
        </w:rPr>
        <w:t xml:space="preserve"> </w:t>
      </w:r>
      <w:r w:rsidR="00694A21" w:rsidRPr="00F073F8">
        <w:rPr>
          <w:rFonts w:ascii="Times New Roman" w:hAnsi="Times New Roman" w:cs="Times New Roman"/>
          <w:b w:val="0"/>
          <w:bCs/>
          <w:sz w:val="22"/>
          <w:szCs w:val="22"/>
          <w:lang w:val="en-AU"/>
        </w:rPr>
        <w:t xml:space="preserve">If persistent hypercalcaemia is detected, treatment with teriparatide should be </w:t>
      </w:r>
      <w:r w:rsidR="005E5EC5" w:rsidRPr="00F073F8">
        <w:rPr>
          <w:rFonts w:ascii="Times New Roman" w:hAnsi="Times New Roman" w:cs="Times New Roman"/>
          <w:b w:val="0"/>
          <w:bCs/>
          <w:sz w:val="22"/>
          <w:szCs w:val="22"/>
          <w:lang w:val="en-AU"/>
        </w:rPr>
        <w:t xml:space="preserve">discontinued </w:t>
      </w:r>
      <w:r w:rsidR="00516DC2" w:rsidRPr="00F073F8">
        <w:rPr>
          <w:rFonts w:ascii="Times New Roman" w:hAnsi="Times New Roman" w:cs="Times New Roman"/>
          <w:b w:val="0"/>
          <w:bCs/>
          <w:sz w:val="22"/>
          <w:szCs w:val="22"/>
          <w:lang w:val="en-AU"/>
        </w:rPr>
        <w:t>pending further evaluation of the cause of hypercalcaemia. Patients known to have an underlying hypercalcaemia</w:t>
      </w:r>
      <w:r w:rsidR="00D43720" w:rsidRPr="00F073F8">
        <w:rPr>
          <w:rFonts w:ascii="Times New Roman" w:hAnsi="Times New Roman" w:cs="Times New Roman"/>
          <w:b w:val="0"/>
          <w:bCs/>
          <w:sz w:val="22"/>
          <w:szCs w:val="22"/>
          <w:lang w:val="en-AU"/>
        </w:rPr>
        <w:t xml:space="preserve"> disorder</w:t>
      </w:r>
      <w:r w:rsidR="00B66127" w:rsidRPr="00F073F8">
        <w:rPr>
          <w:rFonts w:ascii="Times New Roman" w:hAnsi="Times New Roman" w:cs="Times New Roman"/>
          <w:b w:val="0"/>
          <w:bCs/>
          <w:sz w:val="22"/>
          <w:szCs w:val="22"/>
          <w:lang w:val="en-AU"/>
        </w:rPr>
        <w:t xml:space="preserve">, such as </w:t>
      </w:r>
      <w:r w:rsidR="005E5EC5" w:rsidRPr="00F073F8">
        <w:rPr>
          <w:rFonts w:ascii="Times New Roman" w:hAnsi="Times New Roman" w:cs="Times New Roman"/>
          <w:b w:val="0"/>
          <w:sz w:val="22"/>
          <w:szCs w:val="22"/>
        </w:rPr>
        <w:t xml:space="preserve">primary </w:t>
      </w:r>
      <w:r w:rsidR="00B66127" w:rsidRPr="00F073F8">
        <w:rPr>
          <w:rFonts w:ascii="Times New Roman" w:hAnsi="Times New Roman" w:cs="Times New Roman"/>
          <w:b w:val="0"/>
          <w:bCs/>
          <w:sz w:val="22"/>
          <w:szCs w:val="22"/>
          <w:lang w:val="en-AU"/>
        </w:rPr>
        <w:t>hyper</w:t>
      </w:r>
      <w:r w:rsidR="005E5EC5" w:rsidRPr="00F073F8">
        <w:rPr>
          <w:rFonts w:ascii="Times New Roman" w:hAnsi="Times New Roman" w:cs="Times New Roman"/>
          <w:b w:val="0"/>
          <w:bCs/>
          <w:sz w:val="22"/>
          <w:szCs w:val="22"/>
          <w:lang w:val="en-AU"/>
        </w:rPr>
        <w:t>para</w:t>
      </w:r>
      <w:r w:rsidR="00B66127" w:rsidRPr="00F073F8">
        <w:rPr>
          <w:rFonts w:ascii="Times New Roman" w:hAnsi="Times New Roman" w:cs="Times New Roman"/>
          <w:b w:val="0"/>
          <w:bCs/>
          <w:sz w:val="22"/>
          <w:szCs w:val="22"/>
          <w:lang w:val="en-AU"/>
        </w:rPr>
        <w:t xml:space="preserve">thyroidism, should not be treated with teriparatide (see </w:t>
      </w:r>
      <w:hyperlink w:anchor="ref2" w:history="1">
        <w:r w:rsidR="00BA19BB" w:rsidRPr="00167F17">
          <w:rPr>
            <w:rStyle w:val="Hyperlink"/>
            <w:rFonts w:ascii="Times New Roman" w:hAnsi="Times New Roman"/>
            <w:sz w:val="22"/>
            <w:szCs w:val="22"/>
            <w:lang w:val="en-AU"/>
          </w:rPr>
          <w:t>S</w:t>
        </w:r>
        <w:r w:rsidR="00B66127" w:rsidRPr="00167F17">
          <w:rPr>
            <w:rStyle w:val="Hyperlink"/>
            <w:rFonts w:ascii="Times New Roman" w:hAnsi="Times New Roman"/>
            <w:sz w:val="22"/>
            <w:szCs w:val="22"/>
            <w:lang w:val="en-AU"/>
          </w:rPr>
          <w:t>ection 4.4</w:t>
        </w:r>
        <w:r w:rsidR="00B66127" w:rsidRPr="00167F17">
          <w:rPr>
            <w:rStyle w:val="Hyperlink"/>
            <w:rFonts w:ascii="Times New Roman" w:hAnsi="Times New Roman"/>
            <w:b w:val="0"/>
            <w:bCs/>
            <w:sz w:val="22"/>
            <w:szCs w:val="22"/>
            <w:lang w:val="en-AU"/>
          </w:rPr>
          <w:t xml:space="preserve"> </w:t>
        </w:r>
        <w:r w:rsidR="006C2487" w:rsidRPr="00167F17">
          <w:rPr>
            <w:rStyle w:val="Hyperlink"/>
            <w:rFonts w:ascii="Times New Roman" w:hAnsi="Times New Roman"/>
            <w:sz w:val="22"/>
            <w:szCs w:val="22"/>
            <w:lang w:val="en-AU"/>
          </w:rPr>
          <w:t>SPECIAL WARNINGS AND PRECAUTIONS FOR USE</w:t>
        </w:r>
      </w:hyperlink>
      <w:r w:rsidR="00BB5537" w:rsidRPr="00F073F8">
        <w:rPr>
          <w:rFonts w:ascii="Times New Roman" w:hAnsi="Times New Roman" w:cs="Times New Roman"/>
          <w:sz w:val="22"/>
          <w:szCs w:val="22"/>
          <w:lang w:val="en-AU"/>
        </w:rPr>
        <w:t xml:space="preserve"> </w:t>
      </w:r>
      <w:r w:rsidR="006C2487" w:rsidRPr="00F073F8">
        <w:rPr>
          <w:rFonts w:ascii="Times New Roman" w:hAnsi="Times New Roman" w:cs="Times New Roman"/>
          <w:sz w:val="22"/>
          <w:szCs w:val="22"/>
          <w:lang w:val="en-AU"/>
        </w:rPr>
        <w:t>/</w:t>
      </w:r>
      <w:r w:rsidR="00BB5537" w:rsidRPr="00F073F8">
        <w:rPr>
          <w:rFonts w:ascii="Times New Roman" w:hAnsi="Times New Roman" w:cs="Times New Roman"/>
          <w:sz w:val="22"/>
          <w:szCs w:val="22"/>
          <w:lang w:val="en-AU"/>
        </w:rPr>
        <w:t xml:space="preserve"> </w:t>
      </w:r>
      <w:r w:rsidR="006C2487" w:rsidRPr="00F073F8">
        <w:rPr>
          <w:rFonts w:ascii="Times New Roman" w:hAnsi="Times New Roman" w:cs="Times New Roman"/>
          <w:b w:val="0"/>
          <w:bCs/>
          <w:sz w:val="22"/>
          <w:szCs w:val="22"/>
          <w:lang w:val="en-AU"/>
        </w:rPr>
        <w:t>Hypercalcaemi</w:t>
      </w:r>
      <w:r w:rsidR="00BB5537" w:rsidRPr="00F073F8">
        <w:rPr>
          <w:rFonts w:ascii="Times New Roman" w:hAnsi="Times New Roman" w:cs="Times New Roman"/>
          <w:b w:val="0"/>
          <w:bCs/>
          <w:sz w:val="22"/>
          <w:szCs w:val="22"/>
          <w:lang w:val="en-AU"/>
        </w:rPr>
        <w:t>a</w:t>
      </w:r>
      <w:r w:rsidR="006C2487" w:rsidRPr="00F073F8">
        <w:rPr>
          <w:rFonts w:ascii="Times New Roman" w:hAnsi="Times New Roman" w:cs="Times New Roman"/>
          <w:sz w:val="22"/>
          <w:szCs w:val="22"/>
          <w:lang w:val="en-AU"/>
        </w:rPr>
        <w:t>)</w:t>
      </w:r>
      <w:r w:rsidR="00BB5537" w:rsidRPr="00F073F8">
        <w:rPr>
          <w:rFonts w:ascii="Times New Roman" w:hAnsi="Times New Roman" w:cs="Times New Roman"/>
          <w:sz w:val="22"/>
          <w:szCs w:val="22"/>
          <w:lang w:val="en-AU"/>
        </w:rPr>
        <w:t>.</w:t>
      </w:r>
    </w:p>
    <w:p w14:paraId="1E7D847D" w14:textId="21AF2E1F" w:rsidR="00E80723" w:rsidRPr="00F073F8" w:rsidRDefault="00E80723" w:rsidP="00F073F8">
      <w:pPr>
        <w:pStyle w:val="Default"/>
        <w:widowControl w:val="0"/>
        <w:rPr>
          <w:bCs/>
          <w:color w:val="auto"/>
          <w:sz w:val="22"/>
          <w:szCs w:val="22"/>
          <w:lang w:val="en-AU" w:eastAsia="en-US"/>
        </w:rPr>
      </w:pPr>
    </w:p>
    <w:p w14:paraId="5BF27C41" w14:textId="3255D307" w:rsidR="007B42B0" w:rsidRPr="00F073F8" w:rsidRDefault="00D052EB" w:rsidP="00F073F8">
      <w:pPr>
        <w:pStyle w:val="Default"/>
        <w:widowControl w:val="0"/>
        <w:rPr>
          <w:bCs/>
          <w:color w:val="auto"/>
          <w:sz w:val="22"/>
          <w:szCs w:val="22"/>
          <w:lang w:val="en-AU" w:eastAsia="en-US"/>
        </w:rPr>
      </w:pPr>
      <w:r>
        <w:rPr>
          <w:bCs/>
          <w:color w:val="auto"/>
          <w:sz w:val="22"/>
          <w:szCs w:val="22"/>
          <w:lang w:val="en-AU" w:eastAsia="en-US"/>
        </w:rPr>
        <w:t>Teriparatide has not bee</w:t>
      </w:r>
      <w:r w:rsidR="00475883">
        <w:rPr>
          <w:bCs/>
          <w:color w:val="auto"/>
          <w:sz w:val="22"/>
          <w:szCs w:val="22"/>
          <w:lang w:val="en-AU" w:eastAsia="en-US"/>
        </w:rPr>
        <w:t xml:space="preserve">n studied in </w:t>
      </w:r>
      <w:r w:rsidR="00181BD7" w:rsidRPr="00F073F8">
        <w:rPr>
          <w:bCs/>
          <w:color w:val="auto"/>
          <w:sz w:val="22"/>
          <w:szCs w:val="22"/>
          <w:lang w:val="en-AU" w:eastAsia="en-US"/>
        </w:rPr>
        <w:t>non-</w:t>
      </w:r>
      <w:r w:rsidR="009102CA" w:rsidRPr="00F073F8">
        <w:rPr>
          <w:bCs/>
          <w:color w:val="auto"/>
          <w:sz w:val="22"/>
          <w:szCs w:val="22"/>
          <w:lang w:val="en-AU" w:eastAsia="en-US"/>
        </w:rPr>
        <w:t xml:space="preserve">ambulant patients, </w:t>
      </w:r>
      <w:r w:rsidR="00382B52" w:rsidRPr="00F073F8">
        <w:rPr>
          <w:bCs/>
          <w:color w:val="auto"/>
          <w:sz w:val="22"/>
          <w:szCs w:val="22"/>
          <w:lang w:val="en-AU" w:eastAsia="en-US"/>
        </w:rPr>
        <w:t xml:space="preserve">thus </w:t>
      </w:r>
      <w:r w:rsidR="009102CA" w:rsidRPr="00F073F8">
        <w:rPr>
          <w:bCs/>
          <w:color w:val="auto"/>
          <w:sz w:val="22"/>
          <w:szCs w:val="22"/>
          <w:lang w:val="en-AU" w:eastAsia="en-US"/>
        </w:rPr>
        <w:t>monitor</w:t>
      </w:r>
      <w:r w:rsidR="00382B52" w:rsidRPr="00F073F8">
        <w:rPr>
          <w:bCs/>
          <w:color w:val="auto"/>
          <w:sz w:val="22"/>
          <w:szCs w:val="22"/>
          <w:lang w:val="en-AU" w:eastAsia="en-US"/>
        </w:rPr>
        <w:t>ing</w:t>
      </w:r>
      <w:r w:rsidR="009102CA" w:rsidRPr="00F073F8">
        <w:rPr>
          <w:bCs/>
          <w:color w:val="auto"/>
          <w:sz w:val="22"/>
          <w:szCs w:val="22"/>
          <w:lang w:val="en-AU" w:eastAsia="en-US"/>
        </w:rPr>
        <w:t xml:space="preserve"> </w:t>
      </w:r>
      <w:r w:rsidR="00382B52" w:rsidRPr="00F073F8">
        <w:rPr>
          <w:bCs/>
          <w:color w:val="auto"/>
          <w:sz w:val="22"/>
          <w:szCs w:val="22"/>
          <w:lang w:val="en-AU" w:eastAsia="en-US"/>
        </w:rPr>
        <w:t xml:space="preserve">of </w:t>
      </w:r>
      <w:r w:rsidR="009102CA" w:rsidRPr="00F073F8">
        <w:rPr>
          <w:bCs/>
          <w:color w:val="auto"/>
          <w:sz w:val="22"/>
          <w:szCs w:val="22"/>
          <w:lang w:val="en-AU" w:eastAsia="en-US"/>
        </w:rPr>
        <w:t xml:space="preserve">serum calcium </w:t>
      </w:r>
      <w:r w:rsidR="00382B52" w:rsidRPr="00F073F8">
        <w:rPr>
          <w:sz w:val="22"/>
          <w:szCs w:val="22"/>
        </w:rPr>
        <w:t xml:space="preserve">may be appropriate </w:t>
      </w:r>
      <w:r w:rsidR="00DB2BA4" w:rsidRPr="00F073F8">
        <w:rPr>
          <w:bCs/>
          <w:color w:val="auto"/>
          <w:sz w:val="22"/>
          <w:szCs w:val="22"/>
          <w:lang w:val="en-AU" w:eastAsia="en-US"/>
        </w:rPr>
        <w:t xml:space="preserve">when a previously ambulant patient is </w:t>
      </w:r>
      <w:r w:rsidR="003459D9" w:rsidRPr="00F073F8">
        <w:rPr>
          <w:bCs/>
          <w:color w:val="auto"/>
          <w:sz w:val="22"/>
          <w:szCs w:val="22"/>
          <w:lang w:val="en-AU" w:eastAsia="en-US"/>
        </w:rPr>
        <w:t>confined</w:t>
      </w:r>
      <w:r w:rsidR="00DB2BA4" w:rsidRPr="00F073F8">
        <w:rPr>
          <w:bCs/>
          <w:color w:val="auto"/>
          <w:sz w:val="22"/>
          <w:szCs w:val="22"/>
          <w:lang w:val="en-AU" w:eastAsia="en-US"/>
        </w:rPr>
        <w:t xml:space="preserve"> to bed.</w:t>
      </w:r>
    </w:p>
    <w:p w14:paraId="36B340A2" w14:textId="15C36A6F" w:rsidR="00DB2BA4" w:rsidRPr="00F073F8" w:rsidRDefault="00DB2BA4" w:rsidP="00F073F8">
      <w:pPr>
        <w:pStyle w:val="Default"/>
        <w:widowControl w:val="0"/>
        <w:rPr>
          <w:bCs/>
          <w:color w:val="auto"/>
          <w:sz w:val="22"/>
          <w:szCs w:val="22"/>
          <w:lang w:val="en-AU" w:eastAsia="en-US"/>
        </w:rPr>
      </w:pPr>
    </w:p>
    <w:p w14:paraId="04D6E72A" w14:textId="776ECF26" w:rsidR="00DB2BA4" w:rsidRPr="00F073F8" w:rsidRDefault="00DB2BA4" w:rsidP="00F073F8">
      <w:pPr>
        <w:pStyle w:val="Default"/>
        <w:widowControl w:val="0"/>
        <w:rPr>
          <w:color w:val="auto"/>
          <w:sz w:val="22"/>
          <w:szCs w:val="22"/>
          <w:lang w:val="en-AU"/>
        </w:rPr>
      </w:pPr>
      <w:r w:rsidRPr="00F073F8">
        <w:rPr>
          <w:b/>
          <w:i/>
          <w:iCs/>
          <w:color w:val="auto"/>
          <w:sz w:val="22"/>
          <w:szCs w:val="22"/>
          <w:lang w:val="en-AU" w:eastAsia="en-US"/>
        </w:rPr>
        <w:t xml:space="preserve">Urinary </w:t>
      </w:r>
      <w:r w:rsidR="004700B1" w:rsidRPr="00F073F8">
        <w:rPr>
          <w:b/>
          <w:i/>
          <w:iCs/>
          <w:color w:val="auto"/>
          <w:sz w:val="22"/>
          <w:szCs w:val="22"/>
          <w:lang w:val="en-AU" w:eastAsia="en-US"/>
        </w:rPr>
        <w:t>c</w:t>
      </w:r>
      <w:r w:rsidRPr="00F073F8">
        <w:rPr>
          <w:b/>
          <w:i/>
          <w:iCs/>
          <w:color w:val="auto"/>
          <w:sz w:val="22"/>
          <w:szCs w:val="22"/>
          <w:lang w:val="en-AU" w:eastAsia="en-US"/>
        </w:rPr>
        <w:t>alcium</w:t>
      </w:r>
      <w:r w:rsidRPr="00F073F8">
        <w:rPr>
          <w:b/>
          <w:color w:val="auto"/>
          <w:sz w:val="22"/>
          <w:szCs w:val="22"/>
          <w:lang w:val="en-AU" w:eastAsia="en-US"/>
        </w:rPr>
        <w:t xml:space="preserve"> </w:t>
      </w:r>
      <w:r w:rsidRPr="00F073F8">
        <w:rPr>
          <w:b/>
          <w:bCs/>
          <w:sz w:val="22"/>
          <w:szCs w:val="22"/>
          <w:lang w:val="en-AU"/>
        </w:rPr>
        <w:t xml:space="preserve">– </w:t>
      </w:r>
      <w:r w:rsidR="003459D9" w:rsidRPr="00F073F8">
        <w:rPr>
          <w:color w:val="auto"/>
          <w:sz w:val="22"/>
          <w:szCs w:val="22"/>
          <w:lang w:val="en-AU"/>
        </w:rPr>
        <w:t>Teriparatide may cause small increases in urinary calcium excretion</w:t>
      </w:r>
      <w:r w:rsidR="00382B52" w:rsidRPr="00F073F8">
        <w:rPr>
          <w:color w:val="auto"/>
          <w:sz w:val="22"/>
          <w:szCs w:val="22"/>
          <w:lang w:val="en-AU"/>
        </w:rPr>
        <w:t>.</w:t>
      </w:r>
      <w:r w:rsidR="003459D9" w:rsidRPr="00F073F8">
        <w:rPr>
          <w:color w:val="auto"/>
          <w:sz w:val="22"/>
          <w:szCs w:val="22"/>
          <w:lang w:val="en-AU"/>
        </w:rPr>
        <w:t xml:space="preserve"> </w:t>
      </w:r>
      <w:r w:rsidR="00382B52" w:rsidRPr="00F073F8">
        <w:rPr>
          <w:sz w:val="22"/>
          <w:szCs w:val="22"/>
        </w:rPr>
        <w:t xml:space="preserve">However, in the clinical trials, </w:t>
      </w:r>
      <w:r w:rsidR="003459D9" w:rsidRPr="00F073F8">
        <w:rPr>
          <w:color w:val="auto"/>
          <w:sz w:val="22"/>
          <w:szCs w:val="22"/>
          <w:lang w:val="en-AU"/>
        </w:rPr>
        <w:t xml:space="preserve">the incidence of </w:t>
      </w:r>
      <w:proofErr w:type="spellStart"/>
      <w:r w:rsidR="003459D9" w:rsidRPr="00F073F8">
        <w:rPr>
          <w:color w:val="auto"/>
          <w:sz w:val="22"/>
          <w:szCs w:val="22"/>
          <w:lang w:val="en-AU"/>
        </w:rPr>
        <w:t>hypercalciuria</w:t>
      </w:r>
      <w:proofErr w:type="spellEnd"/>
      <w:r w:rsidR="003459D9" w:rsidRPr="00F073F8">
        <w:rPr>
          <w:color w:val="auto"/>
          <w:sz w:val="22"/>
          <w:szCs w:val="22"/>
          <w:lang w:val="en-AU"/>
        </w:rPr>
        <w:t xml:space="preserve"> </w:t>
      </w:r>
      <w:r w:rsidR="00382B52" w:rsidRPr="00F073F8">
        <w:rPr>
          <w:sz w:val="22"/>
          <w:szCs w:val="22"/>
        </w:rPr>
        <w:t xml:space="preserve">in teriparatide patients </w:t>
      </w:r>
      <w:r w:rsidR="003459D9" w:rsidRPr="00F073F8">
        <w:rPr>
          <w:color w:val="auto"/>
          <w:sz w:val="22"/>
          <w:szCs w:val="22"/>
          <w:lang w:val="en-AU"/>
        </w:rPr>
        <w:t>did not differ from that in the placebo-treated patients</w:t>
      </w:r>
      <w:r w:rsidR="00F40107" w:rsidRPr="00F073F8">
        <w:rPr>
          <w:color w:val="auto"/>
          <w:sz w:val="22"/>
          <w:szCs w:val="22"/>
          <w:lang w:val="en-AU"/>
        </w:rPr>
        <w:t>.</w:t>
      </w:r>
    </w:p>
    <w:p w14:paraId="232AFF61" w14:textId="4393E37F" w:rsidR="00F40107" w:rsidRPr="00F073F8" w:rsidRDefault="00F40107" w:rsidP="00F073F8">
      <w:pPr>
        <w:pStyle w:val="Default"/>
        <w:widowControl w:val="0"/>
        <w:rPr>
          <w:color w:val="auto"/>
          <w:sz w:val="22"/>
          <w:szCs w:val="22"/>
          <w:lang w:val="en-AU"/>
        </w:rPr>
      </w:pPr>
    </w:p>
    <w:p w14:paraId="1B8B6AA0" w14:textId="0B6067F3" w:rsidR="00F40107" w:rsidRPr="00F073F8" w:rsidRDefault="00F40107" w:rsidP="00F073F8">
      <w:pPr>
        <w:pStyle w:val="Default"/>
        <w:widowControl w:val="0"/>
        <w:rPr>
          <w:i/>
          <w:iCs/>
          <w:color w:val="auto"/>
          <w:sz w:val="22"/>
          <w:szCs w:val="22"/>
          <w:lang w:val="en-AU"/>
        </w:rPr>
      </w:pPr>
      <w:r w:rsidRPr="00F073F8">
        <w:rPr>
          <w:b/>
          <w:bCs/>
          <w:i/>
          <w:iCs/>
          <w:color w:val="auto"/>
          <w:sz w:val="22"/>
          <w:szCs w:val="22"/>
          <w:lang w:val="en-AU"/>
        </w:rPr>
        <w:t>Renal function</w:t>
      </w:r>
      <w:r w:rsidR="00595093" w:rsidRPr="00F073F8">
        <w:rPr>
          <w:i/>
          <w:iCs/>
          <w:color w:val="auto"/>
          <w:sz w:val="22"/>
          <w:szCs w:val="22"/>
          <w:lang w:val="en-AU"/>
        </w:rPr>
        <w:t xml:space="preserve"> </w:t>
      </w:r>
      <w:r w:rsidR="00595093" w:rsidRPr="00F073F8">
        <w:rPr>
          <w:b/>
          <w:bCs/>
          <w:sz w:val="22"/>
          <w:szCs w:val="22"/>
          <w:lang w:val="en-AU"/>
        </w:rPr>
        <w:t xml:space="preserve">– </w:t>
      </w:r>
      <w:r w:rsidR="00394D7F" w:rsidRPr="00F073F8">
        <w:rPr>
          <w:sz w:val="22"/>
          <w:szCs w:val="22"/>
          <w:lang w:val="en-AU"/>
        </w:rPr>
        <w:t>No significant adverse renal effects were observed in long-term clinical studies. Assessments included</w:t>
      </w:r>
      <w:r w:rsidR="00D80EA8" w:rsidRPr="00F073F8">
        <w:rPr>
          <w:sz w:val="22"/>
          <w:szCs w:val="22"/>
          <w:lang w:val="en-AU"/>
        </w:rPr>
        <w:t xml:space="preserve"> creatinine clearance, creatinine, </w:t>
      </w:r>
      <w:r w:rsidR="005F790C" w:rsidRPr="00F073F8">
        <w:rPr>
          <w:sz w:val="22"/>
          <w:szCs w:val="22"/>
          <w:lang w:val="en-AU"/>
        </w:rPr>
        <w:t xml:space="preserve">and electrolytes in serum, </w:t>
      </w:r>
      <w:r w:rsidR="00D80EA8" w:rsidRPr="00F073F8">
        <w:rPr>
          <w:sz w:val="22"/>
          <w:szCs w:val="22"/>
          <w:lang w:val="en-AU"/>
        </w:rPr>
        <w:t>measurements of blood urea nitrogen (BUN)</w:t>
      </w:r>
      <w:r w:rsidR="005F790C" w:rsidRPr="00F073F8">
        <w:rPr>
          <w:sz w:val="22"/>
          <w:szCs w:val="22"/>
          <w:lang w:val="en-AU"/>
        </w:rPr>
        <w:t>,</w:t>
      </w:r>
      <w:r w:rsidR="00C7427E">
        <w:rPr>
          <w:sz w:val="22"/>
          <w:szCs w:val="22"/>
          <w:lang w:val="en-AU"/>
        </w:rPr>
        <w:t xml:space="preserve"> creatinine, and electrolytes in serum,</w:t>
      </w:r>
      <w:r w:rsidR="005F790C" w:rsidRPr="00F073F8">
        <w:rPr>
          <w:sz w:val="22"/>
          <w:szCs w:val="22"/>
          <w:lang w:val="en-AU"/>
        </w:rPr>
        <w:t xml:space="preserve"> urine specific gravity and pH </w:t>
      </w:r>
      <w:r w:rsidR="00382B52" w:rsidRPr="00F073F8">
        <w:rPr>
          <w:sz w:val="22"/>
          <w:szCs w:val="22"/>
          <w:lang w:val="en-AU"/>
        </w:rPr>
        <w:t xml:space="preserve">and </w:t>
      </w:r>
      <w:r w:rsidR="004D50E2" w:rsidRPr="00F073F8">
        <w:rPr>
          <w:sz w:val="22"/>
          <w:szCs w:val="22"/>
          <w:lang w:val="en-AU"/>
        </w:rPr>
        <w:t>examination of urine sediment.</w:t>
      </w:r>
      <w:r w:rsidR="002350D0" w:rsidRPr="00F073F8">
        <w:rPr>
          <w:sz w:val="22"/>
          <w:szCs w:val="22"/>
          <w:lang w:val="en-AU"/>
        </w:rPr>
        <w:t xml:space="preserve"> Long</w:t>
      </w:r>
      <w:r w:rsidR="00382B52" w:rsidRPr="00F073F8">
        <w:rPr>
          <w:sz w:val="22"/>
          <w:szCs w:val="22"/>
          <w:lang w:val="en-AU"/>
        </w:rPr>
        <w:t>-</w:t>
      </w:r>
      <w:r w:rsidR="002350D0" w:rsidRPr="00F073F8">
        <w:rPr>
          <w:sz w:val="22"/>
          <w:szCs w:val="22"/>
          <w:lang w:val="en-AU"/>
        </w:rPr>
        <w:t xml:space="preserve">term evaluation of patients with severe renal insufficiency, patients undergoing </w:t>
      </w:r>
      <w:r w:rsidR="001C73A3" w:rsidRPr="00F073F8">
        <w:rPr>
          <w:sz w:val="22"/>
          <w:szCs w:val="22"/>
          <w:lang w:val="en-AU"/>
        </w:rPr>
        <w:t>acute or chronic dialysis, or patient who have a functioning renal transplan</w:t>
      </w:r>
      <w:r w:rsidR="00711417" w:rsidRPr="00F073F8">
        <w:rPr>
          <w:sz w:val="22"/>
          <w:szCs w:val="22"/>
          <w:lang w:val="en-AU"/>
        </w:rPr>
        <w:t>t has not been performed.</w:t>
      </w:r>
    </w:p>
    <w:p w14:paraId="4F2BCDCB" w14:textId="128F9B6B" w:rsidR="00F40107" w:rsidRPr="00C95F19" w:rsidRDefault="00F40107" w:rsidP="00F073F8">
      <w:pPr>
        <w:pStyle w:val="Default"/>
        <w:widowControl w:val="0"/>
        <w:rPr>
          <w:iCs/>
          <w:color w:val="auto"/>
          <w:sz w:val="22"/>
          <w:szCs w:val="22"/>
          <w:highlight w:val="yellow"/>
          <w:lang w:val="en-AU"/>
        </w:rPr>
      </w:pPr>
    </w:p>
    <w:p w14:paraId="2A4A1B29" w14:textId="3BD55DF5" w:rsidR="002800DF" w:rsidRPr="00F073F8" w:rsidRDefault="002800DF" w:rsidP="00F073F8">
      <w:pPr>
        <w:pStyle w:val="Default"/>
        <w:widowControl w:val="0"/>
        <w:rPr>
          <w:i/>
          <w:iCs/>
          <w:color w:val="auto"/>
          <w:sz w:val="22"/>
          <w:szCs w:val="22"/>
          <w:lang w:val="en-AU"/>
        </w:rPr>
      </w:pPr>
      <w:r w:rsidRPr="00F073F8">
        <w:rPr>
          <w:b/>
          <w:bCs/>
          <w:i/>
          <w:iCs/>
          <w:color w:val="auto"/>
          <w:sz w:val="22"/>
          <w:szCs w:val="22"/>
          <w:lang w:val="en-AU"/>
        </w:rPr>
        <w:t xml:space="preserve">Serum </w:t>
      </w:r>
      <w:r w:rsidR="004700B1" w:rsidRPr="00F073F8">
        <w:rPr>
          <w:b/>
          <w:bCs/>
          <w:i/>
          <w:iCs/>
          <w:color w:val="auto"/>
          <w:sz w:val="22"/>
          <w:szCs w:val="22"/>
          <w:lang w:val="en-AU"/>
        </w:rPr>
        <w:t>u</w:t>
      </w:r>
      <w:r w:rsidRPr="00F073F8">
        <w:rPr>
          <w:b/>
          <w:bCs/>
          <w:i/>
          <w:iCs/>
          <w:color w:val="auto"/>
          <w:sz w:val="22"/>
          <w:szCs w:val="22"/>
          <w:lang w:val="en-AU"/>
        </w:rPr>
        <w:t xml:space="preserve">ric </w:t>
      </w:r>
      <w:r w:rsidR="004700B1" w:rsidRPr="00F073F8">
        <w:rPr>
          <w:b/>
          <w:bCs/>
          <w:i/>
          <w:iCs/>
          <w:color w:val="auto"/>
          <w:sz w:val="22"/>
          <w:szCs w:val="22"/>
          <w:lang w:val="en-AU"/>
        </w:rPr>
        <w:t>a</w:t>
      </w:r>
      <w:r w:rsidRPr="00F073F8">
        <w:rPr>
          <w:b/>
          <w:bCs/>
          <w:i/>
          <w:iCs/>
          <w:color w:val="auto"/>
          <w:sz w:val="22"/>
          <w:szCs w:val="22"/>
          <w:lang w:val="en-AU"/>
        </w:rPr>
        <w:t>cid</w:t>
      </w:r>
      <w:r w:rsidR="003047EA" w:rsidRPr="00F073F8">
        <w:rPr>
          <w:i/>
          <w:iCs/>
          <w:color w:val="auto"/>
          <w:sz w:val="22"/>
          <w:szCs w:val="22"/>
          <w:lang w:val="en-AU"/>
        </w:rPr>
        <w:t xml:space="preserve"> </w:t>
      </w:r>
      <w:r w:rsidR="003047EA" w:rsidRPr="00F073F8">
        <w:rPr>
          <w:b/>
          <w:bCs/>
          <w:sz w:val="22"/>
          <w:szCs w:val="22"/>
          <w:lang w:val="en-AU"/>
        </w:rPr>
        <w:t>–</w:t>
      </w:r>
      <w:r w:rsidR="003047EA" w:rsidRPr="00F073F8">
        <w:rPr>
          <w:sz w:val="22"/>
          <w:szCs w:val="22"/>
          <w:lang w:val="en-AU"/>
        </w:rPr>
        <w:t xml:space="preserve"> Teriparatide may cause small increase in serum </w:t>
      </w:r>
      <w:r w:rsidR="00A326EE" w:rsidRPr="00F073F8">
        <w:rPr>
          <w:sz w:val="22"/>
          <w:szCs w:val="22"/>
          <w:lang w:val="en-AU"/>
        </w:rPr>
        <w:t xml:space="preserve">uric acid concentrations. In clinical trials, 2.8% of </w:t>
      </w:r>
      <w:r w:rsidR="00FC68AF">
        <w:rPr>
          <w:sz w:val="22"/>
          <w:szCs w:val="22"/>
          <w:lang w:val="en-AU"/>
        </w:rPr>
        <w:t xml:space="preserve">teriparatide </w:t>
      </w:r>
      <w:r w:rsidR="00A326EE" w:rsidRPr="00F073F8">
        <w:rPr>
          <w:sz w:val="22"/>
          <w:szCs w:val="22"/>
          <w:lang w:val="en-AU"/>
        </w:rPr>
        <w:t xml:space="preserve">patients </w:t>
      </w:r>
      <w:r w:rsidR="00501A86" w:rsidRPr="00F073F8">
        <w:rPr>
          <w:sz w:val="22"/>
          <w:szCs w:val="22"/>
          <w:lang w:val="en-AU"/>
        </w:rPr>
        <w:t xml:space="preserve">had an elevated serum uric acid compared to 0.7% of placebo patients. However, the </w:t>
      </w:r>
      <w:proofErr w:type="spellStart"/>
      <w:r w:rsidR="009A22C5" w:rsidRPr="00F073F8">
        <w:rPr>
          <w:sz w:val="22"/>
          <w:szCs w:val="22"/>
          <w:lang w:val="en-AU"/>
        </w:rPr>
        <w:t>hyperuricaemia</w:t>
      </w:r>
      <w:proofErr w:type="spellEnd"/>
      <w:r w:rsidR="009A22C5" w:rsidRPr="00F073F8">
        <w:rPr>
          <w:sz w:val="22"/>
          <w:szCs w:val="22"/>
          <w:lang w:val="en-AU"/>
        </w:rPr>
        <w:t xml:space="preserve"> did not result in an increase in gout, </w:t>
      </w:r>
      <w:proofErr w:type="spellStart"/>
      <w:r w:rsidR="009A22C5" w:rsidRPr="00F073F8">
        <w:rPr>
          <w:sz w:val="22"/>
          <w:szCs w:val="22"/>
          <w:lang w:val="en-AU"/>
        </w:rPr>
        <w:t>urolithiasis</w:t>
      </w:r>
      <w:proofErr w:type="spellEnd"/>
      <w:r w:rsidR="009A22C5" w:rsidRPr="00F073F8">
        <w:rPr>
          <w:sz w:val="22"/>
          <w:szCs w:val="22"/>
          <w:lang w:val="en-AU"/>
        </w:rPr>
        <w:t xml:space="preserve"> or arthralgia</w:t>
      </w:r>
      <w:r w:rsidR="00EC193C" w:rsidRPr="00F073F8">
        <w:rPr>
          <w:sz w:val="22"/>
          <w:szCs w:val="22"/>
          <w:lang w:val="en-AU"/>
        </w:rPr>
        <w:t>.</w:t>
      </w:r>
    </w:p>
    <w:p w14:paraId="6CD62EDA" w14:textId="6FD042C0" w:rsidR="002800DF" w:rsidRPr="00F073F8" w:rsidRDefault="002800DF" w:rsidP="00F073F8">
      <w:pPr>
        <w:pStyle w:val="Default"/>
        <w:widowControl w:val="0"/>
        <w:rPr>
          <w:i/>
          <w:iCs/>
          <w:color w:val="auto"/>
          <w:sz w:val="22"/>
          <w:szCs w:val="22"/>
          <w:highlight w:val="yellow"/>
          <w:lang w:val="en-AU"/>
        </w:rPr>
      </w:pPr>
    </w:p>
    <w:p w14:paraId="239DACC6" w14:textId="0D0A0404" w:rsidR="002800DF" w:rsidRPr="00F073F8" w:rsidRDefault="002800DF" w:rsidP="00F073F8">
      <w:pPr>
        <w:pStyle w:val="Default"/>
        <w:widowControl w:val="0"/>
        <w:rPr>
          <w:i/>
          <w:iCs/>
          <w:color w:val="auto"/>
          <w:sz w:val="22"/>
          <w:szCs w:val="22"/>
          <w:lang w:val="en-AU"/>
        </w:rPr>
      </w:pPr>
      <w:r w:rsidRPr="00F073F8">
        <w:rPr>
          <w:b/>
          <w:bCs/>
          <w:i/>
          <w:iCs/>
          <w:color w:val="auto"/>
          <w:sz w:val="22"/>
          <w:szCs w:val="22"/>
          <w:lang w:val="en-AU"/>
        </w:rPr>
        <w:t>Anti-PTH antibody formation</w:t>
      </w:r>
      <w:r w:rsidR="00EC193C" w:rsidRPr="00F073F8">
        <w:rPr>
          <w:i/>
          <w:iCs/>
          <w:color w:val="auto"/>
          <w:sz w:val="22"/>
          <w:szCs w:val="22"/>
          <w:lang w:val="en-AU"/>
        </w:rPr>
        <w:t xml:space="preserve"> </w:t>
      </w:r>
      <w:r w:rsidR="00EC193C" w:rsidRPr="00F073F8">
        <w:rPr>
          <w:b/>
          <w:bCs/>
          <w:sz w:val="22"/>
          <w:szCs w:val="22"/>
          <w:lang w:val="en-AU"/>
        </w:rPr>
        <w:t xml:space="preserve">– </w:t>
      </w:r>
      <w:r w:rsidR="00776B8D" w:rsidRPr="00F073F8">
        <w:rPr>
          <w:sz w:val="22"/>
          <w:szCs w:val="22"/>
          <w:lang w:val="en-AU"/>
        </w:rPr>
        <w:t>Anti-PHT antibodies, while apparently clinically irrelevant and only occurring in small number of individuals treated with teriparatide</w:t>
      </w:r>
      <w:r w:rsidR="00314A68" w:rsidRPr="00F073F8">
        <w:rPr>
          <w:sz w:val="22"/>
          <w:szCs w:val="22"/>
          <w:lang w:val="en-AU"/>
        </w:rPr>
        <w:t>, have the potential to interfere with the serum PTH estimations.</w:t>
      </w:r>
    </w:p>
    <w:p w14:paraId="6BFE1DC3" w14:textId="77777777" w:rsidR="002A7634" w:rsidRPr="00F073F8" w:rsidRDefault="002A7634" w:rsidP="00F073F8">
      <w:pPr>
        <w:pStyle w:val="Default"/>
        <w:widowControl w:val="0"/>
        <w:rPr>
          <w:i/>
          <w:iCs/>
          <w:color w:val="auto"/>
          <w:sz w:val="22"/>
          <w:szCs w:val="22"/>
          <w:lang w:val="en-AU"/>
        </w:rPr>
      </w:pPr>
    </w:p>
    <w:p w14:paraId="3F9B975E" w14:textId="68A8E03D" w:rsidR="00FD2557" w:rsidRPr="00F073F8" w:rsidRDefault="002800DF" w:rsidP="00F073F8">
      <w:pPr>
        <w:rPr>
          <w:color w:val="000000"/>
          <w:sz w:val="22"/>
          <w:szCs w:val="22"/>
        </w:rPr>
      </w:pPr>
      <w:r w:rsidRPr="00F073F8">
        <w:rPr>
          <w:b/>
          <w:bCs/>
          <w:i/>
          <w:iCs/>
          <w:sz w:val="22"/>
          <w:szCs w:val="22"/>
        </w:rPr>
        <w:t>PTH receptors</w:t>
      </w:r>
      <w:r w:rsidR="00314A68" w:rsidRPr="00F073F8">
        <w:rPr>
          <w:i/>
          <w:iCs/>
          <w:sz w:val="22"/>
          <w:szCs w:val="22"/>
        </w:rPr>
        <w:t xml:space="preserve"> </w:t>
      </w:r>
      <w:r w:rsidR="00EC193C" w:rsidRPr="00F073F8">
        <w:rPr>
          <w:b/>
          <w:bCs/>
          <w:sz w:val="22"/>
          <w:szCs w:val="22"/>
        </w:rPr>
        <w:t>–</w:t>
      </w:r>
      <w:r w:rsidR="00314A68" w:rsidRPr="00F073F8">
        <w:rPr>
          <w:b/>
          <w:bCs/>
          <w:sz w:val="22"/>
          <w:szCs w:val="22"/>
        </w:rPr>
        <w:t xml:space="preserve"> </w:t>
      </w:r>
      <w:r w:rsidR="00FD2557" w:rsidRPr="00F073F8">
        <w:rPr>
          <w:color w:val="000000"/>
          <w:sz w:val="22"/>
          <w:szCs w:val="22"/>
        </w:rPr>
        <w:t xml:space="preserve">As is generally known, PTH/PTH-related peptide receptors are on multiple tissues. There was no increase in non-osseous tumours in the two 24-month (lifetime) rat studies and in the two 18-month primate studies. There was no increase in incidence of any specific cancer or cancer overall in 2074 patients in long-term clinical studies or in </w:t>
      </w:r>
      <w:r w:rsidR="00CF5D1D" w:rsidRPr="00F073F8">
        <w:rPr>
          <w:color w:val="000000"/>
          <w:sz w:val="22"/>
          <w:szCs w:val="22"/>
        </w:rPr>
        <w:t>follow-up</w:t>
      </w:r>
      <w:r w:rsidR="00FD2557" w:rsidRPr="00F073F8">
        <w:rPr>
          <w:color w:val="000000"/>
          <w:sz w:val="22"/>
          <w:szCs w:val="22"/>
        </w:rPr>
        <w:t xml:space="preserve"> studies conducted in a number of these patients for a median of 18 months after teriparatide</w:t>
      </w:r>
      <w:r w:rsidR="00CF5D1D" w:rsidRPr="00F073F8">
        <w:rPr>
          <w:color w:val="000000"/>
          <w:sz w:val="22"/>
          <w:szCs w:val="22"/>
        </w:rPr>
        <w:t xml:space="preserve"> </w:t>
      </w:r>
      <w:r w:rsidR="00FD2557" w:rsidRPr="00F073F8">
        <w:rPr>
          <w:color w:val="000000"/>
          <w:sz w:val="22"/>
          <w:szCs w:val="22"/>
        </w:rPr>
        <w:t>treatment. Osteosarcoma is a very rare cancer that occurs in 4 out of every million people each year. None of the patients in the clinical trials</w:t>
      </w:r>
      <w:r w:rsidR="00CF5D1D" w:rsidRPr="00F073F8">
        <w:rPr>
          <w:color w:val="000000"/>
          <w:sz w:val="22"/>
          <w:szCs w:val="22"/>
        </w:rPr>
        <w:t xml:space="preserve"> </w:t>
      </w:r>
      <w:r w:rsidR="00FD2557" w:rsidRPr="00F073F8">
        <w:rPr>
          <w:color w:val="000000"/>
          <w:sz w:val="22"/>
          <w:szCs w:val="22"/>
        </w:rPr>
        <w:t>or post-treatment follow-up developed osteosarcomas</w:t>
      </w:r>
      <w:r w:rsidR="00637F6F" w:rsidRPr="00F073F8">
        <w:rPr>
          <w:color w:val="000000"/>
          <w:sz w:val="22"/>
          <w:szCs w:val="22"/>
        </w:rPr>
        <w:t>.</w:t>
      </w:r>
    </w:p>
    <w:p w14:paraId="0B275214" w14:textId="77777777" w:rsidR="00FA22F4" w:rsidRPr="00F073F8" w:rsidRDefault="00FA22F4" w:rsidP="00F073F8">
      <w:pPr>
        <w:rPr>
          <w:sz w:val="22"/>
          <w:szCs w:val="22"/>
          <w:lang w:val="en-GB"/>
        </w:rPr>
      </w:pPr>
    </w:p>
    <w:p w14:paraId="14C198AC" w14:textId="2F7693F9" w:rsidR="00637F6F" w:rsidRPr="003D13DC" w:rsidRDefault="00637F6F" w:rsidP="00F073F8">
      <w:pPr>
        <w:rPr>
          <w:sz w:val="22"/>
          <w:szCs w:val="22"/>
        </w:rPr>
      </w:pPr>
      <w:r w:rsidRPr="00C95F19">
        <w:rPr>
          <w:b/>
          <w:i/>
          <w:iCs/>
          <w:sz w:val="22"/>
          <w:szCs w:val="22"/>
        </w:rPr>
        <w:t>Other</w:t>
      </w:r>
      <w:r w:rsidRPr="00F073F8">
        <w:rPr>
          <w:i/>
          <w:iCs/>
          <w:sz w:val="22"/>
          <w:szCs w:val="22"/>
        </w:rPr>
        <w:t xml:space="preserve"> </w:t>
      </w:r>
      <w:r w:rsidRPr="00F073F8">
        <w:rPr>
          <w:sz w:val="22"/>
          <w:szCs w:val="22"/>
        </w:rPr>
        <w:t>– New or worsened spinal stenosis was observed in 2 (0.3%) patients who received placebo, 3 (0.4%) patients who received teriparatide 20 microgram</w:t>
      </w:r>
      <w:r w:rsidR="00660E51">
        <w:rPr>
          <w:sz w:val="22"/>
          <w:szCs w:val="22"/>
        </w:rPr>
        <w:t>s</w:t>
      </w:r>
      <w:r w:rsidRPr="00F073F8">
        <w:rPr>
          <w:sz w:val="22"/>
          <w:szCs w:val="22"/>
        </w:rPr>
        <w:t xml:space="preserve">, and 3 (0.4%) patients who received </w:t>
      </w:r>
      <w:r w:rsidR="001776E8">
        <w:rPr>
          <w:sz w:val="22"/>
          <w:szCs w:val="22"/>
        </w:rPr>
        <w:t xml:space="preserve">teriparatide </w:t>
      </w:r>
      <w:r w:rsidRPr="00F073F8">
        <w:rPr>
          <w:sz w:val="22"/>
          <w:szCs w:val="22"/>
        </w:rPr>
        <w:t>40 microgram</w:t>
      </w:r>
      <w:r w:rsidR="00660E51">
        <w:rPr>
          <w:sz w:val="22"/>
          <w:szCs w:val="22"/>
        </w:rPr>
        <w:t>s</w:t>
      </w:r>
      <w:r w:rsidRPr="00F073F8">
        <w:rPr>
          <w:sz w:val="22"/>
          <w:szCs w:val="22"/>
        </w:rPr>
        <w:t>. One patient who received teriparatide 20 microgram</w:t>
      </w:r>
      <w:r w:rsidR="00660E51">
        <w:rPr>
          <w:sz w:val="22"/>
          <w:szCs w:val="22"/>
        </w:rPr>
        <w:t>s</w:t>
      </w:r>
      <w:r w:rsidRPr="00F073F8">
        <w:rPr>
          <w:sz w:val="22"/>
          <w:szCs w:val="22"/>
        </w:rPr>
        <w:t xml:space="preserve"> had worsening conductive hearing loss. One patient who received teriparatide 40 microgram</w:t>
      </w:r>
      <w:r w:rsidR="00660E51">
        <w:rPr>
          <w:sz w:val="22"/>
          <w:szCs w:val="22"/>
        </w:rPr>
        <w:t>s</w:t>
      </w:r>
      <w:r w:rsidRPr="00F073F8">
        <w:rPr>
          <w:sz w:val="22"/>
          <w:szCs w:val="22"/>
        </w:rPr>
        <w:t xml:space="preserve"> required removal of a bone spur and another patient receiving teriparatide 40 microgram</w:t>
      </w:r>
      <w:r w:rsidR="00660E51">
        <w:rPr>
          <w:sz w:val="22"/>
          <w:szCs w:val="22"/>
        </w:rPr>
        <w:t>s</w:t>
      </w:r>
      <w:r w:rsidRPr="00F073F8">
        <w:rPr>
          <w:sz w:val="22"/>
          <w:szCs w:val="22"/>
        </w:rPr>
        <w:t xml:space="preserve"> required surgical removal of a hyperostosis.</w:t>
      </w:r>
    </w:p>
    <w:p w14:paraId="5C5AF73F" w14:textId="77777777" w:rsidR="00907394" w:rsidRPr="008539F3" w:rsidRDefault="00907394" w:rsidP="00F073F8">
      <w:pPr>
        <w:pStyle w:val="Heading2"/>
        <w:ind w:left="720" w:hanging="720"/>
        <w:jc w:val="left"/>
        <w:rPr>
          <w:rFonts w:ascii="Times New Roman" w:hAnsi="Times New Roman" w:cs="Times New Roman"/>
          <w:b w:val="0"/>
          <w:sz w:val="22"/>
          <w:szCs w:val="22"/>
          <w:lang w:val="en-AU" w:eastAsia="en-GB"/>
        </w:rPr>
      </w:pPr>
    </w:p>
    <w:p w14:paraId="7E849025" w14:textId="2411DD13" w:rsidR="00FA22F4" w:rsidRPr="00E82473" w:rsidRDefault="00FA22F4" w:rsidP="00F073F8">
      <w:pPr>
        <w:pStyle w:val="Heading2"/>
        <w:ind w:left="720" w:hanging="720"/>
        <w:jc w:val="left"/>
        <w:rPr>
          <w:rFonts w:ascii="Times New Roman" w:hAnsi="Times New Roman" w:cs="Times New Roman"/>
          <w:bCs/>
          <w:sz w:val="28"/>
          <w:szCs w:val="28"/>
          <w:lang w:val="en-AU" w:eastAsia="en-GB"/>
        </w:rPr>
      </w:pPr>
      <w:r w:rsidRPr="00E82473">
        <w:rPr>
          <w:rFonts w:ascii="Times New Roman" w:hAnsi="Times New Roman" w:cs="Times New Roman"/>
          <w:bCs/>
          <w:sz w:val="28"/>
          <w:szCs w:val="28"/>
          <w:lang w:val="en-AU" w:eastAsia="en-GB"/>
        </w:rPr>
        <w:t>4.5</w:t>
      </w:r>
      <w:r w:rsidRPr="00E82473">
        <w:rPr>
          <w:rFonts w:ascii="Times New Roman" w:hAnsi="Times New Roman" w:cs="Times New Roman"/>
          <w:bCs/>
          <w:sz w:val="28"/>
          <w:szCs w:val="28"/>
          <w:lang w:val="en-AU" w:eastAsia="en-GB"/>
        </w:rPr>
        <w:tab/>
        <w:t>INTERACTIONS WITH OTHER MEDICINES AND OTHER FORMS OF INTERACTIONS</w:t>
      </w:r>
    </w:p>
    <w:p w14:paraId="3E9AD533" w14:textId="77777777" w:rsidR="00317613" w:rsidRPr="00F073F8" w:rsidRDefault="00317613" w:rsidP="00F073F8">
      <w:pPr>
        <w:pStyle w:val="Default"/>
        <w:widowControl w:val="0"/>
        <w:rPr>
          <w:sz w:val="22"/>
          <w:szCs w:val="22"/>
        </w:rPr>
      </w:pPr>
    </w:p>
    <w:p w14:paraId="6BF5998F" w14:textId="73178588" w:rsidR="00637F6F" w:rsidRPr="00F073F8" w:rsidRDefault="00637F6F" w:rsidP="00F073F8">
      <w:pPr>
        <w:pStyle w:val="Default"/>
        <w:widowControl w:val="0"/>
        <w:rPr>
          <w:sz w:val="22"/>
          <w:szCs w:val="22"/>
        </w:rPr>
      </w:pPr>
      <w:r w:rsidRPr="00F073F8">
        <w:rPr>
          <w:sz w:val="22"/>
          <w:szCs w:val="22"/>
        </w:rPr>
        <w:t>No clinically relevant drug interactions have been identified in studies administering teriparatide 40 microgram</w:t>
      </w:r>
      <w:r w:rsidR="00660E51">
        <w:rPr>
          <w:sz w:val="22"/>
          <w:szCs w:val="22"/>
        </w:rPr>
        <w:t>s</w:t>
      </w:r>
      <w:r w:rsidRPr="00F073F8">
        <w:rPr>
          <w:sz w:val="22"/>
          <w:szCs w:val="22"/>
        </w:rPr>
        <w:t xml:space="preserve"> (twice the recommended dose of teriparatide).</w:t>
      </w:r>
    </w:p>
    <w:p w14:paraId="2994A1D2" w14:textId="77777777" w:rsidR="00637F6F" w:rsidRPr="00F073F8" w:rsidRDefault="00637F6F" w:rsidP="00F073F8">
      <w:pPr>
        <w:pStyle w:val="Default"/>
        <w:widowControl w:val="0"/>
        <w:rPr>
          <w:sz w:val="22"/>
          <w:szCs w:val="22"/>
        </w:rPr>
      </w:pPr>
    </w:p>
    <w:p w14:paraId="7303DEE8" w14:textId="31C3C908" w:rsidR="00637F6F" w:rsidRPr="008539F3" w:rsidRDefault="00637F6F" w:rsidP="00F073F8">
      <w:pPr>
        <w:pStyle w:val="Default"/>
        <w:widowControl w:val="0"/>
        <w:rPr>
          <w:b/>
          <w:bCs/>
          <w:i/>
          <w:iCs/>
          <w:sz w:val="22"/>
          <w:szCs w:val="22"/>
        </w:rPr>
      </w:pPr>
      <w:r w:rsidRPr="008539F3">
        <w:rPr>
          <w:b/>
          <w:bCs/>
          <w:i/>
          <w:iCs/>
          <w:sz w:val="22"/>
          <w:szCs w:val="22"/>
        </w:rPr>
        <w:t>Digoxin</w:t>
      </w:r>
    </w:p>
    <w:p w14:paraId="54F1E5CF" w14:textId="5C1FCCC9" w:rsidR="00EF5169" w:rsidRPr="00F073F8" w:rsidRDefault="00EF5169" w:rsidP="00F073F8">
      <w:pPr>
        <w:pStyle w:val="Default"/>
        <w:widowControl w:val="0"/>
        <w:rPr>
          <w:sz w:val="22"/>
          <w:szCs w:val="22"/>
          <w:lang w:val="en-AU"/>
        </w:rPr>
      </w:pPr>
      <w:r w:rsidRPr="00F073F8">
        <w:rPr>
          <w:sz w:val="22"/>
          <w:szCs w:val="22"/>
          <w:lang w:val="en-AU"/>
        </w:rPr>
        <w:t>In a study of 15 healthy subjects administered digoxin daily to steady state, a single teriparatide</w:t>
      </w:r>
      <w:r w:rsidR="00FF0DB0" w:rsidRPr="00F073F8">
        <w:rPr>
          <w:sz w:val="22"/>
          <w:szCs w:val="22"/>
          <w:lang w:val="en-AU"/>
        </w:rPr>
        <w:t xml:space="preserve"> </w:t>
      </w:r>
      <w:r w:rsidRPr="00F073F8">
        <w:rPr>
          <w:sz w:val="22"/>
          <w:szCs w:val="22"/>
          <w:lang w:val="en-AU"/>
        </w:rPr>
        <w:t>dose did not alter the cardiac effect of digoxin</w:t>
      </w:r>
      <w:r w:rsidR="00F7586E" w:rsidRPr="00F073F8">
        <w:rPr>
          <w:sz w:val="22"/>
          <w:szCs w:val="22"/>
          <w:lang w:val="en-AU"/>
        </w:rPr>
        <w:t xml:space="preserve"> </w:t>
      </w:r>
      <w:r w:rsidR="00637F6F" w:rsidRPr="00F073F8">
        <w:rPr>
          <w:sz w:val="22"/>
          <w:szCs w:val="22"/>
        </w:rPr>
        <w:t>on the systolic time interval (from electrocardiographic Q-wave onset to aortic valve closure, a measure of digoxin’s calcium-mediated cardiac effect</w:t>
      </w:r>
      <w:r w:rsidRPr="00F073F8">
        <w:rPr>
          <w:sz w:val="22"/>
          <w:szCs w:val="22"/>
          <w:lang w:val="en-AU"/>
        </w:rPr>
        <w:t>. However, sporadic case reports have suggested that hypercalcaemia may predispose patients to digitalis toxicity.</w:t>
      </w:r>
      <w:r w:rsidR="00317613" w:rsidRPr="00F073F8">
        <w:rPr>
          <w:sz w:val="22"/>
          <w:szCs w:val="22"/>
          <w:lang w:val="en-AU"/>
        </w:rPr>
        <w:t xml:space="preserve"> </w:t>
      </w:r>
      <w:r w:rsidRPr="00F073F8">
        <w:rPr>
          <w:sz w:val="22"/>
          <w:szCs w:val="22"/>
          <w:lang w:val="en-AU"/>
        </w:rPr>
        <w:t>Because teriparatide transiently increases serum calcium, teriparatide should be used with caution in patients taking digitalis.</w:t>
      </w:r>
    </w:p>
    <w:p w14:paraId="5F0A1FB2" w14:textId="77777777" w:rsidR="00EF5169" w:rsidRPr="00F073F8" w:rsidRDefault="00EF5169" w:rsidP="00F073F8">
      <w:pPr>
        <w:pStyle w:val="Default"/>
        <w:widowControl w:val="0"/>
        <w:rPr>
          <w:sz w:val="22"/>
          <w:szCs w:val="22"/>
          <w:lang w:val="en-AU"/>
        </w:rPr>
      </w:pPr>
    </w:p>
    <w:p w14:paraId="2E2A7C1C" w14:textId="75C8654B" w:rsidR="00637F6F" w:rsidRPr="008539F3" w:rsidRDefault="00637F6F" w:rsidP="00F073F8">
      <w:pPr>
        <w:pStyle w:val="Default"/>
        <w:widowControl w:val="0"/>
        <w:rPr>
          <w:b/>
          <w:bCs/>
          <w:i/>
          <w:iCs/>
          <w:sz w:val="22"/>
          <w:szCs w:val="22"/>
        </w:rPr>
      </w:pPr>
      <w:r w:rsidRPr="008539F3">
        <w:rPr>
          <w:b/>
          <w:bCs/>
          <w:i/>
          <w:iCs/>
          <w:sz w:val="22"/>
          <w:szCs w:val="22"/>
        </w:rPr>
        <w:t>Hydrochlorothiazide</w:t>
      </w:r>
    </w:p>
    <w:p w14:paraId="1384F9E1" w14:textId="4EE780B5" w:rsidR="00EF5169" w:rsidRPr="00F073F8" w:rsidRDefault="00637F6F" w:rsidP="00F073F8">
      <w:pPr>
        <w:pStyle w:val="Default"/>
        <w:widowControl w:val="0"/>
        <w:rPr>
          <w:sz w:val="22"/>
          <w:szCs w:val="22"/>
        </w:rPr>
      </w:pPr>
      <w:r w:rsidRPr="00F073F8">
        <w:rPr>
          <w:sz w:val="22"/>
          <w:szCs w:val="22"/>
        </w:rPr>
        <w:t>In a study of healthy subjects, the co-administration of 25 mg hydrochlorothiazide with teriparatide did not affect the serum calcium response to teriparatide 40 microgram</w:t>
      </w:r>
      <w:r w:rsidR="00660E51">
        <w:rPr>
          <w:sz w:val="22"/>
          <w:szCs w:val="22"/>
        </w:rPr>
        <w:t>s</w:t>
      </w:r>
      <w:r w:rsidRPr="00F073F8">
        <w:rPr>
          <w:sz w:val="22"/>
          <w:szCs w:val="22"/>
        </w:rPr>
        <w:t>. The 24-hour urine excretion of calcium was reduced by a clinically insignificant amount (15%).</w:t>
      </w:r>
    </w:p>
    <w:p w14:paraId="183A3E4E" w14:textId="77777777" w:rsidR="00637F6F" w:rsidRPr="00F073F8" w:rsidRDefault="00637F6F" w:rsidP="00F073F8">
      <w:pPr>
        <w:pStyle w:val="Default"/>
        <w:widowControl w:val="0"/>
        <w:rPr>
          <w:sz w:val="22"/>
          <w:szCs w:val="22"/>
          <w:lang w:val="en-AU"/>
        </w:rPr>
      </w:pPr>
    </w:p>
    <w:p w14:paraId="5C3255E4" w14:textId="77777777" w:rsidR="00773ADE" w:rsidRPr="008539F3" w:rsidRDefault="00773ADE" w:rsidP="00F073F8">
      <w:pPr>
        <w:pStyle w:val="Default"/>
        <w:widowControl w:val="0"/>
        <w:rPr>
          <w:b/>
          <w:bCs/>
          <w:i/>
          <w:iCs/>
          <w:sz w:val="22"/>
          <w:szCs w:val="22"/>
          <w:lang w:val="en-AU"/>
        </w:rPr>
      </w:pPr>
      <w:proofErr w:type="spellStart"/>
      <w:r w:rsidRPr="008539F3">
        <w:rPr>
          <w:b/>
          <w:bCs/>
          <w:i/>
          <w:iCs/>
          <w:sz w:val="22"/>
          <w:szCs w:val="22"/>
          <w:lang w:val="en-AU"/>
        </w:rPr>
        <w:t>Frusemide</w:t>
      </w:r>
      <w:proofErr w:type="spellEnd"/>
    </w:p>
    <w:p w14:paraId="36C3DD33" w14:textId="5F29D6B4" w:rsidR="00773ADE" w:rsidRPr="00A55F36" w:rsidRDefault="00773ADE" w:rsidP="00F073F8">
      <w:pPr>
        <w:pStyle w:val="Default"/>
        <w:widowControl w:val="0"/>
        <w:rPr>
          <w:sz w:val="22"/>
          <w:szCs w:val="22"/>
          <w:lang w:val="en-AU"/>
        </w:rPr>
      </w:pPr>
      <w:r w:rsidRPr="00A55F36">
        <w:rPr>
          <w:sz w:val="22"/>
          <w:szCs w:val="22"/>
          <w:lang w:val="en-AU"/>
        </w:rPr>
        <w:t xml:space="preserve">In a study of healthy subjects and patients with mild, moderate and severe renal insufficiency (creatinine clearance 13 to 72 mL/min), co-administration of intravenous </w:t>
      </w:r>
      <w:proofErr w:type="spellStart"/>
      <w:r w:rsidRPr="00A55F36">
        <w:rPr>
          <w:sz w:val="22"/>
          <w:szCs w:val="22"/>
          <w:lang w:val="en-AU"/>
        </w:rPr>
        <w:t>frusemide</w:t>
      </w:r>
      <w:proofErr w:type="spellEnd"/>
      <w:r w:rsidRPr="00A55F36">
        <w:rPr>
          <w:sz w:val="22"/>
          <w:szCs w:val="22"/>
          <w:lang w:val="en-AU"/>
        </w:rPr>
        <w:t xml:space="preserve"> (20 to 100 mg) with </w:t>
      </w:r>
      <w:r w:rsidR="00090F24" w:rsidRPr="00A55F36">
        <w:rPr>
          <w:sz w:val="22"/>
          <w:szCs w:val="22"/>
          <w:lang w:val="en-AU"/>
        </w:rPr>
        <w:t>teriparatide 40 microgram</w:t>
      </w:r>
      <w:r w:rsidR="002D411A">
        <w:rPr>
          <w:sz w:val="22"/>
          <w:szCs w:val="22"/>
          <w:lang w:val="en-AU"/>
        </w:rPr>
        <w:t>s</w:t>
      </w:r>
      <w:r w:rsidR="00090F24" w:rsidRPr="00A55F36">
        <w:rPr>
          <w:sz w:val="22"/>
          <w:szCs w:val="22"/>
          <w:lang w:val="en-AU"/>
        </w:rPr>
        <w:t xml:space="preserve"> </w:t>
      </w:r>
      <w:r w:rsidRPr="00A55F36">
        <w:rPr>
          <w:sz w:val="22"/>
          <w:szCs w:val="22"/>
          <w:lang w:val="en-AU"/>
        </w:rPr>
        <w:t>resulted in small, clinically insignificant increases in serum calcium (2%) and in 24-hour urine calcium (37%).</w:t>
      </w:r>
    </w:p>
    <w:p w14:paraId="79E57631" w14:textId="77777777" w:rsidR="00090F24" w:rsidRPr="00A55F36" w:rsidRDefault="00090F24" w:rsidP="00F073F8">
      <w:pPr>
        <w:pStyle w:val="Default"/>
        <w:widowControl w:val="0"/>
        <w:rPr>
          <w:sz w:val="22"/>
          <w:szCs w:val="22"/>
          <w:lang w:val="en-AU"/>
        </w:rPr>
      </w:pPr>
    </w:p>
    <w:p w14:paraId="5BA6B383" w14:textId="77777777" w:rsidR="00090F24" w:rsidRPr="008539F3" w:rsidRDefault="00090F24" w:rsidP="00F073F8">
      <w:pPr>
        <w:autoSpaceDE w:val="0"/>
        <w:autoSpaceDN w:val="0"/>
        <w:adjustRightInd w:val="0"/>
        <w:rPr>
          <w:rFonts w:eastAsiaTheme="minorHAnsi"/>
          <w:b/>
          <w:bCs/>
          <w:i/>
          <w:iCs/>
          <w:color w:val="000000"/>
          <w:sz w:val="22"/>
          <w:szCs w:val="22"/>
          <w:lang w:eastAsia="en-US"/>
        </w:rPr>
      </w:pPr>
      <w:r w:rsidRPr="008539F3">
        <w:rPr>
          <w:rFonts w:eastAsiaTheme="minorHAnsi"/>
          <w:b/>
          <w:bCs/>
          <w:i/>
          <w:iCs/>
          <w:color w:val="000000"/>
          <w:sz w:val="22"/>
          <w:szCs w:val="22"/>
          <w:lang w:eastAsia="en-US"/>
        </w:rPr>
        <w:t>Calcium channel antagonists</w:t>
      </w:r>
    </w:p>
    <w:p w14:paraId="3EA7E8E5" w14:textId="2690F7CA" w:rsidR="00090F24" w:rsidRPr="00A55F36" w:rsidRDefault="00090F24" w:rsidP="00F073F8">
      <w:pPr>
        <w:autoSpaceDE w:val="0"/>
        <w:autoSpaceDN w:val="0"/>
        <w:adjustRightInd w:val="0"/>
        <w:rPr>
          <w:rFonts w:eastAsiaTheme="minorHAnsi"/>
          <w:color w:val="000000"/>
          <w:sz w:val="22"/>
          <w:szCs w:val="22"/>
          <w:lang w:eastAsia="en-US"/>
        </w:rPr>
      </w:pPr>
      <w:r w:rsidRPr="00A55F36">
        <w:rPr>
          <w:rFonts w:eastAsiaTheme="minorHAnsi"/>
          <w:color w:val="000000"/>
          <w:sz w:val="22"/>
          <w:szCs w:val="22"/>
          <w:lang w:eastAsia="en-US"/>
        </w:rPr>
        <w:t xml:space="preserve">In a study of women with hypertension treated with an extended release preparation of either diltiazem, </w:t>
      </w:r>
      <w:proofErr w:type="spellStart"/>
      <w:r w:rsidRPr="00A55F36">
        <w:rPr>
          <w:rFonts w:eastAsiaTheme="minorHAnsi"/>
          <w:color w:val="000000"/>
          <w:sz w:val="22"/>
          <w:szCs w:val="22"/>
          <w:lang w:eastAsia="en-US"/>
        </w:rPr>
        <w:t>nifedipine</w:t>
      </w:r>
      <w:proofErr w:type="spellEnd"/>
      <w:r w:rsidRPr="00A55F36">
        <w:rPr>
          <w:rFonts w:eastAsiaTheme="minorHAnsi"/>
          <w:color w:val="000000"/>
          <w:sz w:val="22"/>
          <w:szCs w:val="22"/>
          <w:lang w:eastAsia="en-US"/>
        </w:rPr>
        <w:t xml:space="preserve"> or </w:t>
      </w:r>
      <w:proofErr w:type="spellStart"/>
      <w:r w:rsidRPr="00A55F36">
        <w:rPr>
          <w:rFonts w:eastAsiaTheme="minorHAnsi"/>
          <w:color w:val="000000"/>
          <w:sz w:val="22"/>
          <w:szCs w:val="22"/>
          <w:lang w:eastAsia="en-US"/>
        </w:rPr>
        <w:t>felodipine</w:t>
      </w:r>
      <w:proofErr w:type="spellEnd"/>
      <w:r w:rsidRPr="00A55F36">
        <w:rPr>
          <w:rFonts w:eastAsiaTheme="minorHAnsi"/>
          <w:color w:val="000000"/>
          <w:sz w:val="22"/>
          <w:szCs w:val="22"/>
          <w:lang w:eastAsia="en-US"/>
        </w:rPr>
        <w:t xml:space="preserve">, the blood pressure observed after injection of </w:t>
      </w:r>
      <w:r w:rsidRPr="00A55F36">
        <w:rPr>
          <w:sz w:val="22"/>
          <w:szCs w:val="22"/>
        </w:rPr>
        <w:t>teriparatide 40 microgram</w:t>
      </w:r>
      <w:r w:rsidR="002D411A">
        <w:rPr>
          <w:sz w:val="22"/>
          <w:szCs w:val="22"/>
        </w:rPr>
        <w:t>s</w:t>
      </w:r>
      <w:r w:rsidRPr="00A55F36">
        <w:rPr>
          <w:sz w:val="22"/>
          <w:szCs w:val="22"/>
        </w:rPr>
        <w:t xml:space="preserve"> </w:t>
      </w:r>
      <w:r w:rsidRPr="00A55F36">
        <w:rPr>
          <w:rFonts w:eastAsiaTheme="minorHAnsi"/>
          <w:color w:val="000000"/>
          <w:sz w:val="22"/>
          <w:szCs w:val="22"/>
          <w:lang w:eastAsia="en-US"/>
        </w:rPr>
        <w:t xml:space="preserve">was similar when administered alone or in combination with the long-acting calcium channel antagonists. </w:t>
      </w:r>
    </w:p>
    <w:p w14:paraId="5E43BB7A" w14:textId="77777777" w:rsidR="00090F24" w:rsidRPr="00A55F36" w:rsidRDefault="00090F24" w:rsidP="00F073F8">
      <w:pPr>
        <w:autoSpaceDE w:val="0"/>
        <w:autoSpaceDN w:val="0"/>
        <w:adjustRightInd w:val="0"/>
        <w:rPr>
          <w:rFonts w:eastAsiaTheme="minorHAnsi"/>
          <w:color w:val="000000"/>
          <w:sz w:val="22"/>
          <w:szCs w:val="22"/>
          <w:lang w:eastAsia="en-US"/>
        </w:rPr>
      </w:pPr>
    </w:p>
    <w:p w14:paraId="4B7AE288" w14:textId="77777777" w:rsidR="00090F24" w:rsidRPr="008539F3" w:rsidRDefault="00090F24" w:rsidP="00F073F8">
      <w:pPr>
        <w:pStyle w:val="Default"/>
        <w:widowControl w:val="0"/>
        <w:rPr>
          <w:rFonts w:eastAsiaTheme="minorHAnsi"/>
          <w:b/>
          <w:bCs/>
          <w:i/>
          <w:iCs/>
          <w:sz w:val="22"/>
          <w:szCs w:val="22"/>
          <w:lang w:val="en-AU" w:eastAsia="en-US"/>
        </w:rPr>
      </w:pPr>
      <w:r w:rsidRPr="008539F3">
        <w:rPr>
          <w:rFonts w:eastAsiaTheme="minorHAnsi"/>
          <w:b/>
          <w:bCs/>
          <w:i/>
          <w:iCs/>
          <w:sz w:val="22"/>
          <w:szCs w:val="22"/>
          <w:lang w:val="en-AU" w:eastAsia="en-US"/>
        </w:rPr>
        <w:t>Atenolol</w:t>
      </w:r>
    </w:p>
    <w:p w14:paraId="72F4351A" w14:textId="73FD171D" w:rsidR="00090F24" w:rsidRPr="00A55F36" w:rsidRDefault="00090F24" w:rsidP="00F073F8">
      <w:pPr>
        <w:pStyle w:val="Default"/>
        <w:widowControl w:val="0"/>
        <w:rPr>
          <w:sz w:val="22"/>
          <w:szCs w:val="22"/>
          <w:lang w:val="en-AU"/>
        </w:rPr>
      </w:pPr>
      <w:r w:rsidRPr="00A55F36">
        <w:rPr>
          <w:rFonts w:eastAsiaTheme="minorHAnsi"/>
          <w:sz w:val="22"/>
          <w:szCs w:val="22"/>
          <w:lang w:val="en-AU" w:eastAsia="en-US"/>
        </w:rPr>
        <w:t xml:space="preserve">In a study of women with hypertension treated with atenolol, the blood pressure observed after injection of </w:t>
      </w:r>
      <w:r w:rsidRPr="00A55F36">
        <w:rPr>
          <w:sz w:val="22"/>
          <w:szCs w:val="22"/>
          <w:lang w:val="en-AU"/>
        </w:rPr>
        <w:t>teriparatide 40 microgram</w:t>
      </w:r>
      <w:r w:rsidR="002D411A">
        <w:rPr>
          <w:sz w:val="22"/>
          <w:szCs w:val="22"/>
          <w:lang w:val="en-AU"/>
        </w:rPr>
        <w:t>s</w:t>
      </w:r>
      <w:r w:rsidRPr="00A55F36">
        <w:rPr>
          <w:sz w:val="22"/>
          <w:szCs w:val="22"/>
          <w:lang w:val="en-AU"/>
        </w:rPr>
        <w:t xml:space="preserve"> </w:t>
      </w:r>
      <w:r w:rsidRPr="00A55F36">
        <w:rPr>
          <w:rFonts w:eastAsiaTheme="minorHAnsi"/>
          <w:sz w:val="22"/>
          <w:szCs w:val="22"/>
          <w:lang w:val="en-AU" w:eastAsia="en-US"/>
        </w:rPr>
        <w:t>was similar when administered alone or in combination with atenolol.</w:t>
      </w:r>
    </w:p>
    <w:p w14:paraId="1DA617AA" w14:textId="77777777" w:rsidR="00090F24" w:rsidRPr="00A55F36" w:rsidRDefault="00090F24" w:rsidP="00F073F8">
      <w:pPr>
        <w:pStyle w:val="Default"/>
        <w:widowControl w:val="0"/>
        <w:rPr>
          <w:sz w:val="22"/>
          <w:szCs w:val="22"/>
          <w:lang w:val="en-AU"/>
        </w:rPr>
      </w:pPr>
    </w:p>
    <w:p w14:paraId="442A9B6F" w14:textId="5089B177" w:rsidR="00090F24" w:rsidRPr="008539F3" w:rsidRDefault="00090F24" w:rsidP="00F073F8">
      <w:pPr>
        <w:pStyle w:val="Default"/>
        <w:widowControl w:val="0"/>
        <w:rPr>
          <w:b/>
          <w:bCs/>
          <w:i/>
          <w:iCs/>
          <w:sz w:val="22"/>
          <w:szCs w:val="22"/>
          <w:lang w:val="en-AU"/>
        </w:rPr>
      </w:pPr>
      <w:proofErr w:type="spellStart"/>
      <w:r w:rsidRPr="008539F3">
        <w:rPr>
          <w:b/>
          <w:bCs/>
          <w:i/>
          <w:iCs/>
          <w:sz w:val="22"/>
          <w:szCs w:val="22"/>
          <w:lang w:val="en-AU"/>
        </w:rPr>
        <w:t>Raloxifene</w:t>
      </w:r>
      <w:proofErr w:type="spellEnd"/>
    </w:p>
    <w:p w14:paraId="576261C9" w14:textId="173856FF" w:rsidR="00C0432E" w:rsidRPr="00A55F36" w:rsidRDefault="00CD4192" w:rsidP="00F073F8">
      <w:pPr>
        <w:pStyle w:val="Default"/>
        <w:widowControl w:val="0"/>
        <w:rPr>
          <w:sz w:val="22"/>
          <w:szCs w:val="22"/>
          <w:lang w:val="en-AU"/>
        </w:rPr>
      </w:pPr>
      <w:r w:rsidRPr="00A55F36">
        <w:rPr>
          <w:sz w:val="22"/>
          <w:szCs w:val="22"/>
          <w:lang w:val="en-AU"/>
        </w:rPr>
        <w:t>In a study of healthy postmenopausal women, the c</w:t>
      </w:r>
      <w:r w:rsidR="00EF5169" w:rsidRPr="00A55F36">
        <w:rPr>
          <w:sz w:val="22"/>
          <w:szCs w:val="22"/>
          <w:lang w:val="en-AU"/>
        </w:rPr>
        <w:t xml:space="preserve">o-administration of </w:t>
      </w:r>
      <w:proofErr w:type="spellStart"/>
      <w:r w:rsidR="00EF5169" w:rsidRPr="00A55F36">
        <w:rPr>
          <w:sz w:val="22"/>
          <w:szCs w:val="22"/>
          <w:lang w:val="en-AU"/>
        </w:rPr>
        <w:t>raloxifene</w:t>
      </w:r>
      <w:proofErr w:type="spellEnd"/>
      <w:r w:rsidR="00EF5169" w:rsidRPr="00A55F36">
        <w:rPr>
          <w:sz w:val="22"/>
          <w:szCs w:val="22"/>
          <w:lang w:val="en-AU"/>
        </w:rPr>
        <w:t xml:space="preserve"> or hormone replacement therapy</w:t>
      </w:r>
      <w:r w:rsidR="00F7586E" w:rsidRPr="00A55F36">
        <w:rPr>
          <w:sz w:val="22"/>
          <w:szCs w:val="22"/>
          <w:lang w:val="en-AU"/>
        </w:rPr>
        <w:t xml:space="preserve"> </w:t>
      </w:r>
      <w:r w:rsidR="00EF5169" w:rsidRPr="00A55F36">
        <w:rPr>
          <w:sz w:val="22"/>
          <w:szCs w:val="22"/>
          <w:lang w:val="en-AU"/>
        </w:rPr>
        <w:t>with teriparatide</w:t>
      </w:r>
      <w:r w:rsidR="00DD62C2" w:rsidRPr="00A55F36">
        <w:rPr>
          <w:sz w:val="22"/>
          <w:szCs w:val="22"/>
          <w:lang w:val="en-AU"/>
        </w:rPr>
        <w:t xml:space="preserve"> </w:t>
      </w:r>
      <w:r w:rsidR="00090F24" w:rsidRPr="00A55F36">
        <w:rPr>
          <w:sz w:val="22"/>
          <w:szCs w:val="22"/>
          <w:lang w:val="en-AU"/>
        </w:rPr>
        <w:t>40 microgram</w:t>
      </w:r>
      <w:r w:rsidR="002D411A">
        <w:rPr>
          <w:sz w:val="22"/>
          <w:szCs w:val="22"/>
          <w:lang w:val="en-AU"/>
        </w:rPr>
        <w:t>s</w:t>
      </w:r>
      <w:r w:rsidR="00090F24" w:rsidRPr="00A55F36">
        <w:rPr>
          <w:sz w:val="22"/>
          <w:szCs w:val="22"/>
          <w:lang w:val="en-AU"/>
        </w:rPr>
        <w:t xml:space="preserve"> </w:t>
      </w:r>
      <w:r w:rsidR="00EF5169" w:rsidRPr="00A55F36">
        <w:rPr>
          <w:sz w:val="22"/>
          <w:szCs w:val="22"/>
          <w:lang w:val="en-AU"/>
        </w:rPr>
        <w:t>did not alter the effects of teriparatide on serum or urine calcium</w:t>
      </w:r>
      <w:r w:rsidR="000F6759" w:rsidRPr="00A55F36">
        <w:rPr>
          <w:sz w:val="22"/>
          <w:szCs w:val="22"/>
          <w:lang w:val="en-AU"/>
        </w:rPr>
        <w:t xml:space="preserve"> or on clinical adverse events.</w:t>
      </w:r>
      <w:r w:rsidR="00166023" w:rsidRPr="00A55F36">
        <w:rPr>
          <w:sz w:val="22"/>
          <w:szCs w:val="22"/>
          <w:lang w:val="en-AU"/>
        </w:rPr>
        <w:t xml:space="preserve"> </w:t>
      </w:r>
    </w:p>
    <w:p w14:paraId="7B1580D1" w14:textId="77777777" w:rsidR="00C0432E" w:rsidRPr="00A55F36" w:rsidRDefault="00C0432E" w:rsidP="00F073F8">
      <w:pPr>
        <w:pStyle w:val="Default"/>
        <w:widowControl w:val="0"/>
        <w:rPr>
          <w:sz w:val="22"/>
          <w:szCs w:val="22"/>
          <w:lang w:val="en-AU"/>
        </w:rPr>
      </w:pPr>
    </w:p>
    <w:p w14:paraId="3BEAB4A0" w14:textId="77777777" w:rsidR="00090F24" w:rsidRPr="008539F3" w:rsidRDefault="00090F24" w:rsidP="00F073F8">
      <w:pPr>
        <w:pStyle w:val="Default"/>
        <w:widowControl w:val="0"/>
        <w:rPr>
          <w:b/>
          <w:bCs/>
          <w:i/>
          <w:iCs/>
          <w:sz w:val="22"/>
          <w:szCs w:val="22"/>
          <w:lang w:val="en-AU"/>
        </w:rPr>
      </w:pPr>
      <w:r w:rsidRPr="008539F3">
        <w:rPr>
          <w:b/>
          <w:bCs/>
          <w:i/>
          <w:iCs/>
          <w:sz w:val="22"/>
          <w:szCs w:val="22"/>
          <w:lang w:val="en-AU"/>
        </w:rPr>
        <w:t xml:space="preserve">Anti-coagulants </w:t>
      </w:r>
    </w:p>
    <w:p w14:paraId="238F40FC" w14:textId="1CFAFAB2" w:rsidR="00FA22F4" w:rsidRPr="00A55F36" w:rsidRDefault="00090F24" w:rsidP="00F073F8">
      <w:pPr>
        <w:pStyle w:val="Default"/>
        <w:widowControl w:val="0"/>
        <w:rPr>
          <w:sz w:val="22"/>
          <w:szCs w:val="22"/>
          <w:lang w:val="en-AU"/>
        </w:rPr>
      </w:pPr>
      <w:r w:rsidRPr="00A55F36">
        <w:rPr>
          <w:sz w:val="22"/>
          <w:szCs w:val="22"/>
          <w:lang w:val="en-AU"/>
        </w:rPr>
        <w:t>While this has not been studied, co-administration of anti-coagulants would not be expected to alter the effects of teriparatide.</w:t>
      </w:r>
      <w:r w:rsidR="0033506C" w:rsidRPr="00A55F36">
        <w:rPr>
          <w:sz w:val="22"/>
          <w:szCs w:val="22"/>
          <w:lang w:val="en-AU"/>
        </w:rPr>
        <w:t xml:space="preserve"> Patients co-administering anti-coagulants and teriparatide need to </w:t>
      </w:r>
      <w:r w:rsidR="00AF75FC" w:rsidRPr="00A55F36">
        <w:rPr>
          <w:sz w:val="22"/>
          <w:szCs w:val="22"/>
          <w:lang w:val="en-AU"/>
        </w:rPr>
        <w:t xml:space="preserve">be advised to take appropriate </w:t>
      </w:r>
      <w:r w:rsidR="0033506C" w:rsidRPr="00A55F36">
        <w:rPr>
          <w:sz w:val="22"/>
          <w:szCs w:val="22"/>
          <w:lang w:val="en-AU"/>
        </w:rPr>
        <w:t>precaution</w:t>
      </w:r>
      <w:r w:rsidR="00AF75FC" w:rsidRPr="00A55F36">
        <w:rPr>
          <w:sz w:val="22"/>
          <w:szCs w:val="22"/>
          <w:lang w:val="en-AU"/>
        </w:rPr>
        <w:t>s against the formation of haematomas at the injection site.</w:t>
      </w:r>
    </w:p>
    <w:p w14:paraId="1A2221A8" w14:textId="31047014" w:rsidR="00166023" w:rsidRDefault="00166023" w:rsidP="00F073F8">
      <w:pPr>
        <w:rPr>
          <w:sz w:val="22"/>
          <w:szCs w:val="22"/>
        </w:rPr>
      </w:pPr>
    </w:p>
    <w:p w14:paraId="69F99980" w14:textId="77777777" w:rsidR="00FA22F4" w:rsidRPr="00E82473" w:rsidRDefault="00FA22F4" w:rsidP="00F073F8">
      <w:pPr>
        <w:pStyle w:val="Heading2"/>
        <w:jc w:val="left"/>
        <w:rPr>
          <w:rFonts w:ascii="Times New Roman" w:hAnsi="Times New Roman" w:cs="Times New Roman"/>
          <w:bCs/>
          <w:sz w:val="28"/>
          <w:szCs w:val="28"/>
        </w:rPr>
      </w:pPr>
      <w:r w:rsidRPr="00E82473">
        <w:rPr>
          <w:rFonts w:ascii="Times New Roman" w:hAnsi="Times New Roman" w:cs="Times New Roman"/>
          <w:bCs/>
          <w:sz w:val="28"/>
          <w:szCs w:val="28"/>
          <w:lang w:val="en-AU" w:eastAsia="en-GB"/>
        </w:rPr>
        <w:t>4.6</w:t>
      </w:r>
      <w:r w:rsidRPr="00E82473">
        <w:rPr>
          <w:rFonts w:ascii="Times New Roman" w:hAnsi="Times New Roman" w:cs="Times New Roman"/>
          <w:bCs/>
          <w:sz w:val="28"/>
          <w:szCs w:val="28"/>
          <w:lang w:val="en-AU" w:eastAsia="en-GB"/>
        </w:rPr>
        <w:tab/>
        <w:t>FERTILITY, PREGNANCY AND LACTATION</w:t>
      </w:r>
    </w:p>
    <w:p w14:paraId="2782C128" w14:textId="77777777" w:rsidR="00317613" w:rsidRPr="00C95F19" w:rsidRDefault="00317613" w:rsidP="00F073F8">
      <w:pPr>
        <w:widowControl w:val="0"/>
        <w:rPr>
          <w:bCs/>
          <w:sz w:val="22"/>
          <w:szCs w:val="22"/>
          <w:lang w:val="en-GB"/>
        </w:rPr>
      </w:pPr>
    </w:p>
    <w:p w14:paraId="5E38E675" w14:textId="77777777" w:rsidR="00317613" w:rsidRPr="00F073F8" w:rsidRDefault="00317613" w:rsidP="00F073F8">
      <w:pPr>
        <w:pStyle w:val="Default"/>
        <w:widowControl w:val="0"/>
        <w:rPr>
          <w:b/>
          <w:bCs/>
          <w:i/>
          <w:iCs/>
          <w:color w:val="auto"/>
          <w:sz w:val="22"/>
          <w:szCs w:val="22"/>
          <w:lang w:val="en-AU"/>
        </w:rPr>
      </w:pPr>
      <w:r w:rsidRPr="00F073F8">
        <w:rPr>
          <w:b/>
          <w:bCs/>
          <w:i/>
          <w:iCs/>
          <w:color w:val="auto"/>
          <w:sz w:val="22"/>
          <w:szCs w:val="22"/>
          <w:lang w:val="en-AU"/>
        </w:rPr>
        <w:t>Effects on fertility</w:t>
      </w:r>
    </w:p>
    <w:p w14:paraId="54B5D72A" w14:textId="676E24BD" w:rsidR="00572EB1" w:rsidRDefault="00F7586E" w:rsidP="00F073F8">
      <w:pPr>
        <w:pStyle w:val="Default"/>
        <w:widowControl w:val="0"/>
        <w:rPr>
          <w:sz w:val="22"/>
          <w:szCs w:val="22"/>
        </w:rPr>
      </w:pPr>
      <w:r w:rsidRPr="001A0B0D">
        <w:rPr>
          <w:sz w:val="22"/>
          <w:szCs w:val="22"/>
        </w:rPr>
        <w:t>Teriparatide had no adverse effects on fertility of male or female rats at doses up to 300 microgram</w:t>
      </w:r>
      <w:r w:rsidR="00425917">
        <w:rPr>
          <w:sz w:val="22"/>
          <w:szCs w:val="22"/>
        </w:rPr>
        <w:t>s</w:t>
      </w:r>
      <w:r w:rsidRPr="001A0B0D">
        <w:rPr>
          <w:sz w:val="22"/>
          <w:szCs w:val="22"/>
        </w:rPr>
        <w:t xml:space="preserve">/kg/day </w:t>
      </w:r>
      <w:proofErr w:type="spellStart"/>
      <w:r w:rsidR="00572EB1">
        <w:rPr>
          <w:sz w:val="22"/>
          <w:szCs w:val="22"/>
        </w:rPr>
        <w:t>s.c.</w:t>
      </w:r>
      <w:proofErr w:type="spellEnd"/>
      <w:r w:rsidR="00572EB1" w:rsidRPr="001A0B0D">
        <w:rPr>
          <w:sz w:val="22"/>
          <w:szCs w:val="22"/>
        </w:rPr>
        <w:t xml:space="preserve"> </w:t>
      </w:r>
      <w:r w:rsidRPr="001A0B0D">
        <w:rPr>
          <w:sz w:val="22"/>
          <w:szCs w:val="22"/>
        </w:rPr>
        <w:t xml:space="preserve">(about 120 times the human dose based on body surface area). In juvenile rats, treatment with teriparatide was associated with degeneration of the testes at doses </w:t>
      </w:r>
    </w:p>
    <w:p w14:paraId="11D9073A" w14:textId="40305149" w:rsidR="00317613" w:rsidRPr="00F073F8" w:rsidRDefault="005845B6" w:rsidP="00F073F8">
      <w:pPr>
        <w:pStyle w:val="Default"/>
        <w:widowControl w:val="0"/>
        <w:rPr>
          <w:sz w:val="22"/>
          <w:szCs w:val="22"/>
        </w:rPr>
      </w:pPr>
      <w:r w:rsidRPr="001A0B0D">
        <w:rPr>
          <w:sz w:val="22"/>
          <w:szCs w:val="22"/>
        </w:rPr>
        <w:t>≥</w:t>
      </w:r>
      <w:r w:rsidR="00F7586E" w:rsidRPr="001A0B0D">
        <w:rPr>
          <w:sz w:val="22"/>
          <w:szCs w:val="22"/>
        </w:rPr>
        <w:t>10</w:t>
      </w:r>
      <w:r w:rsidRPr="001A0B0D">
        <w:rPr>
          <w:sz w:val="22"/>
          <w:szCs w:val="22"/>
        </w:rPr>
        <w:t> microgram</w:t>
      </w:r>
      <w:r w:rsidR="00425917">
        <w:rPr>
          <w:sz w:val="22"/>
          <w:szCs w:val="22"/>
        </w:rPr>
        <w:t>s</w:t>
      </w:r>
      <w:r w:rsidR="00F7586E" w:rsidRPr="001A0B0D">
        <w:rPr>
          <w:sz w:val="22"/>
          <w:szCs w:val="22"/>
        </w:rPr>
        <w:t xml:space="preserve">/kg/day </w:t>
      </w:r>
      <w:proofErr w:type="spellStart"/>
      <w:r w:rsidR="00572EB1">
        <w:rPr>
          <w:sz w:val="22"/>
          <w:szCs w:val="22"/>
        </w:rPr>
        <w:t>s.c.</w:t>
      </w:r>
      <w:proofErr w:type="spellEnd"/>
      <w:r w:rsidR="00572EB1" w:rsidRPr="001A0B0D">
        <w:rPr>
          <w:sz w:val="22"/>
          <w:szCs w:val="22"/>
        </w:rPr>
        <w:t xml:space="preserve"> </w:t>
      </w:r>
      <w:r w:rsidR="00F7586E" w:rsidRPr="001A0B0D">
        <w:rPr>
          <w:sz w:val="22"/>
          <w:szCs w:val="22"/>
        </w:rPr>
        <w:t>(about 4 times the human dose based on body surface area). Teriparatide should not be used in paediatric patients or young adults</w:t>
      </w:r>
      <w:r w:rsidR="00FB60C7">
        <w:rPr>
          <w:sz w:val="22"/>
          <w:szCs w:val="22"/>
        </w:rPr>
        <w:t xml:space="preserve"> </w:t>
      </w:r>
      <w:r w:rsidR="00F7586E" w:rsidRPr="001A0B0D">
        <w:rPr>
          <w:sz w:val="22"/>
          <w:szCs w:val="22"/>
        </w:rPr>
        <w:t xml:space="preserve">(see </w:t>
      </w:r>
      <w:hyperlink w:anchor="ref2" w:history="1">
        <w:r w:rsidR="001B4397" w:rsidRPr="00167F17">
          <w:rPr>
            <w:rStyle w:val="Hyperlink"/>
            <w:b/>
            <w:bCs/>
            <w:sz w:val="22"/>
            <w:szCs w:val="22"/>
          </w:rPr>
          <w:t>Section 4.4</w:t>
        </w:r>
        <w:r w:rsidR="00F7586E" w:rsidRPr="00167F17">
          <w:rPr>
            <w:rStyle w:val="Hyperlink"/>
            <w:b/>
            <w:bCs/>
            <w:sz w:val="22"/>
            <w:szCs w:val="22"/>
          </w:rPr>
          <w:t xml:space="preserve"> SPECIAL WARNINGS AND PRECAUTIONS FOR USE</w:t>
        </w:r>
      </w:hyperlink>
      <w:r w:rsidR="00F7586E" w:rsidRPr="001A0B0D">
        <w:rPr>
          <w:sz w:val="22"/>
          <w:szCs w:val="22"/>
        </w:rPr>
        <w:t>).</w:t>
      </w:r>
    </w:p>
    <w:p w14:paraId="414A1008" w14:textId="77777777" w:rsidR="005845B6" w:rsidRPr="00C95F19" w:rsidRDefault="005845B6" w:rsidP="00F073F8">
      <w:pPr>
        <w:pStyle w:val="Default"/>
        <w:widowControl w:val="0"/>
        <w:rPr>
          <w:iCs/>
          <w:color w:val="auto"/>
          <w:sz w:val="22"/>
          <w:szCs w:val="22"/>
          <w:lang w:val="en-AU"/>
        </w:rPr>
      </w:pPr>
    </w:p>
    <w:p w14:paraId="4DF6E61B" w14:textId="77777777" w:rsidR="00317613" w:rsidRPr="001545E6" w:rsidRDefault="00317613" w:rsidP="00F073F8">
      <w:pPr>
        <w:pStyle w:val="Default"/>
        <w:widowControl w:val="0"/>
        <w:rPr>
          <w:b/>
          <w:bCs/>
          <w:i/>
          <w:iCs/>
          <w:color w:val="auto"/>
          <w:sz w:val="22"/>
          <w:szCs w:val="22"/>
          <w:lang w:val="en-AU"/>
        </w:rPr>
      </w:pPr>
      <w:r w:rsidRPr="001545E6">
        <w:rPr>
          <w:b/>
          <w:bCs/>
          <w:i/>
          <w:iCs/>
          <w:color w:val="auto"/>
          <w:sz w:val="22"/>
          <w:szCs w:val="22"/>
          <w:lang w:val="en-AU"/>
        </w:rPr>
        <w:t>Use in pregnancy</w:t>
      </w:r>
    </w:p>
    <w:p w14:paraId="06E93D68" w14:textId="6A33829B" w:rsidR="005C44AA" w:rsidRPr="002D0C10" w:rsidRDefault="00317613" w:rsidP="002D0C10">
      <w:pPr>
        <w:pStyle w:val="Default"/>
        <w:widowControl w:val="0"/>
        <w:rPr>
          <w:sz w:val="22"/>
          <w:szCs w:val="22"/>
          <w:lang w:val="en-AU"/>
        </w:rPr>
      </w:pPr>
      <w:r w:rsidRPr="00B534CC">
        <w:rPr>
          <w:sz w:val="22"/>
          <w:szCs w:val="22"/>
          <w:lang w:val="en-AU"/>
        </w:rPr>
        <w:t xml:space="preserve">Use in Pregnancy (Category </w:t>
      </w:r>
      <w:r w:rsidR="00283838" w:rsidRPr="00B534CC">
        <w:rPr>
          <w:sz w:val="22"/>
          <w:szCs w:val="22"/>
          <w:lang w:val="en-AU"/>
        </w:rPr>
        <w:t>B3)</w:t>
      </w:r>
    </w:p>
    <w:p w14:paraId="7D327A8F" w14:textId="7B31D78F" w:rsidR="005845B6" w:rsidRPr="003115FD" w:rsidRDefault="005845B6" w:rsidP="00F073F8">
      <w:pPr>
        <w:autoSpaceDE w:val="0"/>
        <w:autoSpaceDN w:val="0"/>
        <w:adjustRightInd w:val="0"/>
        <w:rPr>
          <w:rFonts w:eastAsiaTheme="minorHAnsi"/>
          <w:color w:val="000000"/>
          <w:sz w:val="22"/>
          <w:szCs w:val="22"/>
          <w:lang w:eastAsia="en-US"/>
        </w:rPr>
      </w:pPr>
      <w:r w:rsidRPr="005C44AA">
        <w:rPr>
          <w:rFonts w:eastAsiaTheme="minorHAnsi"/>
          <w:color w:val="000000"/>
          <w:sz w:val="22"/>
          <w:szCs w:val="22"/>
          <w:lang w:eastAsia="en-US"/>
        </w:rPr>
        <w:t>In pregnant rats given subcutaneous teriparatide doses up to 1000 </w:t>
      </w:r>
      <w:r w:rsidRPr="005C44AA">
        <w:rPr>
          <w:sz w:val="22"/>
          <w:szCs w:val="22"/>
        </w:rPr>
        <w:t>microgram</w:t>
      </w:r>
      <w:r w:rsidR="001974CF">
        <w:rPr>
          <w:sz w:val="22"/>
          <w:szCs w:val="22"/>
        </w:rPr>
        <w:t>s</w:t>
      </w:r>
      <w:r w:rsidRPr="005C44AA">
        <w:rPr>
          <w:rFonts w:eastAsiaTheme="minorHAnsi"/>
          <w:color w:val="000000"/>
          <w:sz w:val="22"/>
          <w:szCs w:val="22"/>
          <w:lang w:eastAsia="en-US"/>
        </w:rPr>
        <w:t>/kg/day, there were n</w:t>
      </w:r>
      <w:r w:rsidRPr="00985CC1">
        <w:rPr>
          <w:rFonts w:eastAsiaTheme="minorHAnsi"/>
          <w:color w:val="000000"/>
          <w:sz w:val="22"/>
          <w:szCs w:val="22"/>
          <w:lang w:eastAsia="en-US"/>
        </w:rPr>
        <w:t xml:space="preserve">o findings. In pregnant mice given subcutaneous doses of </w:t>
      </w:r>
      <w:r w:rsidRPr="007B2C97">
        <w:rPr>
          <w:sz w:val="22"/>
          <w:szCs w:val="22"/>
        </w:rPr>
        <w:t>≥</w:t>
      </w:r>
      <w:r w:rsidRPr="001B6D91">
        <w:rPr>
          <w:rFonts w:eastAsiaTheme="minorHAnsi"/>
          <w:color w:val="000000"/>
          <w:sz w:val="22"/>
          <w:szCs w:val="22"/>
          <w:lang w:eastAsia="en-US"/>
        </w:rPr>
        <w:t>30 </w:t>
      </w:r>
      <w:r w:rsidRPr="001B6D91">
        <w:rPr>
          <w:sz w:val="22"/>
          <w:szCs w:val="22"/>
        </w:rPr>
        <w:t>microgram</w:t>
      </w:r>
      <w:r w:rsidR="001974CF">
        <w:rPr>
          <w:sz w:val="22"/>
          <w:szCs w:val="22"/>
        </w:rPr>
        <w:t>s</w:t>
      </w:r>
      <w:r w:rsidRPr="00264319">
        <w:rPr>
          <w:rFonts w:eastAsiaTheme="minorHAnsi"/>
          <w:color w:val="000000"/>
          <w:sz w:val="22"/>
          <w:szCs w:val="22"/>
          <w:lang w:eastAsia="en-US"/>
        </w:rPr>
        <w:t xml:space="preserve">/kg/day (6 times the human dose based on body surface area) from gestation Day 6 through 15, the </w:t>
      </w:r>
      <w:r w:rsidR="00884604">
        <w:rPr>
          <w:rFonts w:eastAsiaTheme="minorHAnsi"/>
          <w:color w:val="000000"/>
          <w:sz w:val="22"/>
          <w:szCs w:val="22"/>
          <w:lang w:eastAsia="en-US"/>
        </w:rPr>
        <w:t xml:space="preserve">foetuses </w:t>
      </w:r>
      <w:r w:rsidRPr="00264319">
        <w:rPr>
          <w:rFonts w:eastAsiaTheme="minorHAnsi"/>
          <w:color w:val="000000"/>
          <w:sz w:val="22"/>
          <w:szCs w:val="22"/>
          <w:lang w:eastAsia="en-US"/>
        </w:rPr>
        <w:t xml:space="preserve">showed an increased incidence of skeletal deviations or variations (interrupted </w:t>
      </w:r>
      <w:r w:rsidRPr="003115FD">
        <w:rPr>
          <w:rFonts w:eastAsiaTheme="minorHAnsi"/>
          <w:color w:val="000000"/>
          <w:sz w:val="22"/>
          <w:szCs w:val="22"/>
          <w:lang w:eastAsia="en-US"/>
        </w:rPr>
        <w:t xml:space="preserve">rib, extra vertebra or rib). </w:t>
      </w:r>
    </w:p>
    <w:p w14:paraId="12D77E70" w14:textId="77777777" w:rsidR="00C53971" w:rsidRDefault="00C53971" w:rsidP="00F073F8">
      <w:pPr>
        <w:autoSpaceDE w:val="0"/>
        <w:autoSpaceDN w:val="0"/>
        <w:adjustRightInd w:val="0"/>
        <w:rPr>
          <w:rFonts w:eastAsiaTheme="minorHAnsi"/>
          <w:color w:val="000000"/>
          <w:sz w:val="22"/>
          <w:szCs w:val="22"/>
          <w:lang w:eastAsia="en-US"/>
        </w:rPr>
      </w:pPr>
    </w:p>
    <w:p w14:paraId="1494CC85" w14:textId="19221271" w:rsidR="005845B6" w:rsidRPr="003115FD" w:rsidRDefault="005845B6" w:rsidP="00F073F8">
      <w:pPr>
        <w:autoSpaceDE w:val="0"/>
        <w:autoSpaceDN w:val="0"/>
        <w:adjustRightInd w:val="0"/>
        <w:rPr>
          <w:rFonts w:eastAsiaTheme="minorHAnsi"/>
          <w:color w:val="000000"/>
          <w:sz w:val="22"/>
          <w:szCs w:val="22"/>
          <w:lang w:eastAsia="en-US"/>
        </w:rPr>
      </w:pPr>
      <w:r w:rsidRPr="00C53971">
        <w:rPr>
          <w:rFonts w:eastAsiaTheme="minorHAnsi"/>
          <w:color w:val="000000"/>
          <w:sz w:val="22"/>
          <w:szCs w:val="22"/>
          <w:lang w:eastAsia="en-US"/>
        </w:rPr>
        <w:t>Deve</w:t>
      </w:r>
      <w:r w:rsidRPr="005C44AA">
        <w:rPr>
          <w:rFonts w:eastAsiaTheme="minorHAnsi"/>
          <w:color w:val="000000"/>
          <w:sz w:val="22"/>
          <w:szCs w:val="22"/>
          <w:lang w:eastAsia="en-US"/>
        </w:rPr>
        <w:t>lopmental effects in a perinatal/postnatal study in pregnant rats given subcutaneous doses of teriparatide from gestation Day 6 through postpartum Day 20 included mild growth retardation in female offspring at doses of 225</w:t>
      </w:r>
      <w:r w:rsidRPr="00985CC1">
        <w:rPr>
          <w:rFonts w:eastAsiaTheme="minorHAnsi"/>
          <w:color w:val="000000"/>
          <w:sz w:val="22"/>
          <w:szCs w:val="22"/>
          <w:lang w:eastAsia="en-US"/>
        </w:rPr>
        <w:t> microgram</w:t>
      </w:r>
      <w:r w:rsidR="001974CF">
        <w:rPr>
          <w:rFonts w:eastAsiaTheme="minorHAnsi"/>
          <w:color w:val="000000"/>
          <w:sz w:val="22"/>
          <w:szCs w:val="22"/>
          <w:lang w:eastAsia="en-US"/>
        </w:rPr>
        <w:t>s</w:t>
      </w:r>
      <w:r w:rsidRPr="00985CC1">
        <w:rPr>
          <w:rFonts w:eastAsiaTheme="minorHAnsi"/>
          <w:color w:val="000000"/>
          <w:sz w:val="22"/>
          <w:szCs w:val="22"/>
          <w:lang w:eastAsia="en-US"/>
        </w:rPr>
        <w:t>/kg/day (approximately 95 times the human dose based on BSA) and in male offspring at 1000 microgram</w:t>
      </w:r>
      <w:r w:rsidR="001974CF">
        <w:rPr>
          <w:rFonts w:eastAsiaTheme="minorHAnsi"/>
          <w:color w:val="000000"/>
          <w:sz w:val="22"/>
          <w:szCs w:val="22"/>
          <w:lang w:eastAsia="en-US"/>
        </w:rPr>
        <w:t>s</w:t>
      </w:r>
      <w:r w:rsidRPr="00985CC1">
        <w:rPr>
          <w:rFonts w:eastAsiaTheme="minorHAnsi"/>
          <w:color w:val="000000"/>
          <w:sz w:val="22"/>
          <w:szCs w:val="22"/>
          <w:lang w:eastAsia="en-US"/>
        </w:rPr>
        <w:t>/kg/day (420 times the human dose based on BSA). There was also reduced motor activity in both male and female offspring at 1000 microgram</w:t>
      </w:r>
      <w:r w:rsidR="001974CF">
        <w:rPr>
          <w:rFonts w:eastAsiaTheme="minorHAnsi"/>
          <w:color w:val="000000"/>
          <w:sz w:val="22"/>
          <w:szCs w:val="22"/>
          <w:lang w:eastAsia="en-US"/>
        </w:rPr>
        <w:t>s</w:t>
      </w:r>
      <w:r w:rsidRPr="00985CC1">
        <w:rPr>
          <w:rFonts w:eastAsiaTheme="minorHAnsi"/>
          <w:color w:val="000000"/>
          <w:sz w:val="22"/>
          <w:szCs w:val="22"/>
          <w:lang w:eastAsia="en-US"/>
        </w:rPr>
        <w:t>/kg/day.</w:t>
      </w:r>
      <w:r w:rsidRPr="001B6D91">
        <w:rPr>
          <w:rFonts w:eastAsiaTheme="minorHAnsi"/>
          <w:color w:val="000000"/>
          <w:sz w:val="22"/>
          <w:szCs w:val="22"/>
          <w:lang w:eastAsia="en-US"/>
        </w:rPr>
        <w:t xml:space="preserve"> There were no developmental or re</w:t>
      </w:r>
      <w:r w:rsidRPr="00264319">
        <w:rPr>
          <w:rFonts w:eastAsiaTheme="minorHAnsi"/>
          <w:color w:val="000000"/>
          <w:sz w:val="22"/>
          <w:szCs w:val="22"/>
          <w:lang w:eastAsia="en-US"/>
        </w:rPr>
        <w:t>productive effects in rats at a dose of 30 microgram</w:t>
      </w:r>
      <w:r w:rsidR="001974CF">
        <w:rPr>
          <w:rFonts w:eastAsiaTheme="minorHAnsi"/>
          <w:color w:val="000000"/>
          <w:sz w:val="22"/>
          <w:szCs w:val="22"/>
          <w:lang w:eastAsia="en-US"/>
        </w:rPr>
        <w:t>s</w:t>
      </w:r>
      <w:r w:rsidRPr="00264319">
        <w:rPr>
          <w:rFonts w:eastAsiaTheme="minorHAnsi"/>
          <w:color w:val="000000"/>
          <w:sz w:val="22"/>
          <w:szCs w:val="22"/>
          <w:lang w:eastAsia="en-US"/>
        </w:rPr>
        <w:t xml:space="preserve">/kg (12 times the human dose based on BSA). </w:t>
      </w:r>
      <w:r w:rsidR="004C53BF" w:rsidRPr="003115FD">
        <w:rPr>
          <w:rFonts w:eastAsiaTheme="minorHAnsi"/>
          <w:color w:val="000000"/>
          <w:sz w:val="22"/>
          <w:szCs w:val="22"/>
          <w:lang w:eastAsia="en-US"/>
        </w:rPr>
        <w:br/>
      </w:r>
    </w:p>
    <w:p w14:paraId="35A53381" w14:textId="4227930B" w:rsidR="00EF5169" w:rsidRPr="002D0C10" w:rsidRDefault="005845B6" w:rsidP="00F073F8">
      <w:pPr>
        <w:widowControl w:val="0"/>
        <w:rPr>
          <w:rFonts w:eastAsiaTheme="minorHAnsi"/>
          <w:color w:val="000000"/>
          <w:sz w:val="22"/>
          <w:szCs w:val="22"/>
          <w:lang w:eastAsia="en-US"/>
        </w:rPr>
      </w:pPr>
      <w:r w:rsidRPr="001A0B79">
        <w:rPr>
          <w:rFonts w:eastAsiaTheme="minorHAnsi"/>
          <w:color w:val="000000"/>
          <w:sz w:val="22"/>
          <w:szCs w:val="22"/>
          <w:lang w:eastAsia="en-US"/>
        </w:rPr>
        <w:t xml:space="preserve">The effects of teriparatide </w:t>
      </w:r>
      <w:r w:rsidRPr="00A33D87">
        <w:rPr>
          <w:rFonts w:eastAsiaTheme="minorHAnsi"/>
          <w:color w:val="000000"/>
          <w:sz w:val="22"/>
          <w:szCs w:val="22"/>
          <w:lang w:eastAsia="en-US"/>
        </w:rPr>
        <w:t>on the human</w:t>
      </w:r>
      <w:r w:rsidR="003A671A">
        <w:rPr>
          <w:rFonts w:eastAsiaTheme="minorHAnsi"/>
          <w:color w:val="000000"/>
          <w:sz w:val="22"/>
          <w:szCs w:val="22"/>
          <w:lang w:eastAsia="en-US"/>
        </w:rPr>
        <w:t xml:space="preserve"> </w:t>
      </w:r>
      <w:r w:rsidRPr="00A33D87">
        <w:rPr>
          <w:rFonts w:eastAsiaTheme="minorHAnsi"/>
          <w:color w:val="000000"/>
          <w:sz w:val="22"/>
          <w:szCs w:val="22"/>
          <w:lang w:eastAsia="en-US"/>
        </w:rPr>
        <w:t>have not been studied.</w:t>
      </w:r>
      <w:r w:rsidRPr="00A33D87">
        <w:rPr>
          <w:rFonts w:eastAsiaTheme="minorHAnsi"/>
          <w:color w:val="000000"/>
          <w:sz w:val="22"/>
          <w:szCs w:val="22"/>
          <w:lang w:val="hu-HU" w:eastAsia="en-US"/>
        </w:rPr>
        <w:t xml:space="preserve"> </w:t>
      </w:r>
      <w:r w:rsidR="00A33D87" w:rsidRPr="002D0C10">
        <w:rPr>
          <w:rFonts w:eastAsiaTheme="minorHAnsi"/>
          <w:color w:val="000000"/>
          <w:sz w:val="22"/>
          <w:szCs w:val="22"/>
          <w:lang w:eastAsia="en-US"/>
        </w:rPr>
        <w:t>TERROSA should not be used in pregnant women. Women of childbearing potential should use effective methods of contracepti</w:t>
      </w:r>
      <w:r w:rsidR="00625FC9">
        <w:rPr>
          <w:rFonts w:eastAsiaTheme="minorHAnsi"/>
          <w:color w:val="000000"/>
          <w:sz w:val="22"/>
          <w:szCs w:val="22"/>
          <w:lang w:eastAsia="en-US"/>
        </w:rPr>
        <w:t>on</w:t>
      </w:r>
      <w:r w:rsidR="00A33D87" w:rsidRPr="002D0C10">
        <w:rPr>
          <w:rFonts w:eastAsiaTheme="minorHAnsi"/>
          <w:color w:val="000000"/>
          <w:sz w:val="22"/>
          <w:szCs w:val="22"/>
          <w:lang w:eastAsia="en-US"/>
        </w:rPr>
        <w:t xml:space="preserve"> during use of TERROSA.  If pregnancy occurs TERROSA should be discontinued.  </w:t>
      </w:r>
    </w:p>
    <w:p w14:paraId="03382282" w14:textId="77777777" w:rsidR="005845B6" w:rsidRPr="007B7E68" w:rsidRDefault="005845B6" w:rsidP="00F073F8">
      <w:pPr>
        <w:widowControl w:val="0"/>
        <w:rPr>
          <w:sz w:val="22"/>
          <w:szCs w:val="22"/>
        </w:rPr>
      </w:pPr>
    </w:p>
    <w:p w14:paraId="1DB59B68" w14:textId="77777777" w:rsidR="00EF5169" w:rsidRPr="00F073F8" w:rsidRDefault="00317613" w:rsidP="00F073F8">
      <w:pPr>
        <w:pStyle w:val="Default"/>
        <w:widowControl w:val="0"/>
        <w:rPr>
          <w:b/>
          <w:bCs/>
          <w:i/>
          <w:iCs/>
          <w:color w:val="auto"/>
          <w:sz w:val="22"/>
          <w:szCs w:val="22"/>
          <w:lang w:val="en-AU"/>
        </w:rPr>
      </w:pPr>
      <w:r w:rsidRPr="00F073F8">
        <w:rPr>
          <w:b/>
          <w:bCs/>
          <w:i/>
          <w:iCs/>
          <w:color w:val="auto"/>
          <w:sz w:val="22"/>
          <w:szCs w:val="22"/>
          <w:lang w:val="en-AU"/>
        </w:rPr>
        <w:t>Use in lactation</w:t>
      </w:r>
    </w:p>
    <w:p w14:paraId="5B179974" w14:textId="72D2F7F6" w:rsidR="00EF5169" w:rsidRPr="002D0C10" w:rsidRDefault="00EF5169" w:rsidP="00F073F8">
      <w:pPr>
        <w:widowControl w:val="0"/>
        <w:rPr>
          <w:color w:val="000000"/>
          <w:sz w:val="22"/>
          <w:szCs w:val="22"/>
        </w:rPr>
      </w:pPr>
      <w:r w:rsidRPr="00F073F8">
        <w:rPr>
          <w:color w:val="000000"/>
          <w:sz w:val="22"/>
          <w:szCs w:val="22"/>
        </w:rPr>
        <w:t>It is not known whether teriparatide is excreted in human milk.</w:t>
      </w:r>
      <w:r w:rsidR="005C44AA">
        <w:rPr>
          <w:color w:val="000000"/>
          <w:sz w:val="22"/>
          <w:szCs w:val="22"/>
        </w:rPr>
        <w:t xml:space="preserve"> </w:t>
      </w:r>
      <w:r w:rsidR="005C44AA" w:rsidRPr="002D0C10">
        <w:rPr>
          <w:color w:val="000000"/>
          <w:sz w:val="22"/>
          <w:szCs w:val="22"/>
        </w:rPr>
        <w:t xml:space="preserve">TERROSA </w:t>
      </w:r>
      <w:r w:rsidR="00F8342B" w:rsidRPr="002D0C10">
        <w:rPr>
          <w:color w:val="000000"/>
          <w:sz w:val="22"/>
          <w:szCs w:val="22"/>
        </w:rPr>
        <w:t>should not be administered to women who are breast-feeding their children.</w:t>
      </w:r>
    </w:p>
    <w:p w14:paraId="1F89136A" w14:textId="77777777" w:rsidR="005D0534" w:rsidRPr="00F073F8" w:rsidRDefault="005D0534" w:rsidP="00F073F8">
      <w:pPr>
        <w:widowControl w:val="0"/>
        <w:rPr>
          <w:sz w:val="22"/>
          <w:szCs w:val="22"/>
          <w:lang w:val="en-GB"/>
        </w:rPr>
      </w:pPr>
    </w:p>
    <w:p w14:paraId="0E6870F3" w14:textId="77777777" w:rsidR="00FA22F4" w:rsidRPr="00E82473" w:rsidRDefault="00FA22F4" w:rsidP="00F073F8">
      <w:pPr>
        <w:pStyle w:val="Heading2"/>
        <w:jc w:val="left"/>
        <w:rPr>
          <w:rFonts w:ascii="Times New Roman" w:hAnsi="Times New Roman" w:cs="Times New Roman"/>
          <w:bCs/>
          <w:sz w:val="28"/>
          <w:szCs w:val="28"/>
          <w:lang w:val="en-AU" w:eastAsia="en-GB"/>
        </w:rPr>
      </w:pPr>
      <w:r w:rsidRPr="00E82473">
        <w:rPr>
          <w:rFonts w:ascii="Times New Roman" w:hAnsi="Times New Roman" w:cs="Times New Roman"/>
          <w:bCs/>
          <w:sz w:val="28"/>
          <w:szCs w:val="28"/>
          <w:lang w:val="en-AU" w:eastAsia="en-GB"/>
        </w:rPr>
        <w:t>4.7</w:t>
      </w:r>
      <w:r w:rsidRPr="00E82473">
        <w:rPr>
          <w:rFonts w:ascii="Times New Roman" w:hAnsi="Times New Roman" w:cs="Times New Roman"/>
          <w:bCs/>
          <w:sz w:val="28"/>
          <w:szCs w:val="28"/>
          <w:lang w:val="en-AU" w:eastAsia="en-GB"/>
        </w:rPr>
        <w:tab/>
        <w:t>EFFECTS ON ABILITY TO DRIVE AND USE MACHINES</w:t>
      </w:r>
    </w:p>
    <w:p w14:paraId="57C1C822" w14:textId="77777777" w:rsidR="00FA22F4" w:rsidRPr="00F073F8" w:rsidRDefault="00FA22F4" w:rsidP="00F073F8">
      <w:pPr>
        <w:widowControl w:val="0"/>
        <w:rPr>
          <w:sz w:val="22"/>
          <w:szCs w:val="22"/>
          <w:lang w:val="en-GB"/>
        </w:rPr>
      </w:pPr>
    </w:p>
    <w:p w14:paraId="4027A07C" w14:textId="1E606E08" w:rsidR="00EF5169" w:rsidRPr="00F073F8" w:rsidRDefault="00EF5169" w:rsidP="00F073F8">
      <w:pPr>
        <w:widowControl w:val="0"/>
        <w:rPr>
          <w:sz w:val="22"/>
          <w:szCs w:val="22"/>
        </w:rPr>
      </w:pPr>
      <w:r w:rsidRPr="00F073F8">
        <w:rPr>
          <w:sz w:val="22"/>
          <w:szCs w:val="22"/>
        </w:rPr>
        <w:t>Teriparatide has no or negligible influence on the ability to drive and use machines. Transient, orthostatic hypotension or dizziness was observed in some patients. These patients should refrain from driving or the use of machines until symptoms have subsided.</w:t>
      </w:r>
    </w:p>
    <w:p w14:paraId="2318DA90" w14:textId="77777777" w:rsidR="005D0534" w:rsidRPr="00F073F8" w:rsidRDefault="005D0534" w:rsidP="00F073F8">
      <w:pPr>
        <w:widowControl w:val="0"/>
        <w:rPr>
          <w:sz w:val="22"/>
          <w:szCs w:val="22"/>
          <w:lang w:val="en-GB"/>
        </w:rPr>
      </w:pPr>
    </w:p>
    <w:p w14:paraId="4AB08A42" w14:textId="520CA061" w:rsidR="00354856" w:rsidRPr="00874B18" w:rsidRDefault="00FA22F4" w:rsidP="00874B18">
      <w:pPr>
        <w:pStyle w:val="Heading2"/>
        <w:jc w:val="left"/>
        <w:rPr>
          <w:rFonts w:ascii="Times New Roman" w:hAnsi="Times New Roman" w:cs="Times New Roman"/>
          <w:bCs/>
          <w:sz w:val="28"/>
          <w:szCs w:val="28"/>
          <w:lang w:val="en-AU" w:eastAsia="en-GB"/>
        </w:rPr>
      </w:pPr>
      <w:bookmarkStart w:id="6" w:name="ref5"/>
      <w:r w:rsidRPr="00E82473">
        <w:rPr>
          <w:rFonts w:ascii="Times New Roman" w:hAnsi="Times New Roman" w:cs="Times New Roman"/>
          <w:bCs/>
          <w:sz w:val="28"/>
          <w:szCs w:val="28"/>
          <w:lang w:val="en-AU" w:eastAsia="en-GB"/>
        </w:rPr>
        <w:t>4.8</w:t>
      </w:r>
      <w:bookmarkEnd w:id="6"/>
      <w:r w:rsidRPr="00E82473">
        <w:rPr>
          <w:rFonts w:ascii="Times New Roman" w:hAnsi="Times New Roman" w:cs="Times New Roman"/>
          <w:bCs/>
          <w:sz w:val="28"/>
          <w:szCs w:val="28"/>
          <w:lang w:val="en-AU" w:eastAsia="en-GB"/>
        </w:rPr>
        <w:tab/>
        <w:t>ADVERSE EFFECTS (UNDESIRABLE EFFECTS)</w:t>
      </w:r>
    </w:p>
    <w:p w14:paraId="494BD9EB" w14:textId="77777777" w:rsidR="00621FB0" w:rsidRPr="00F073F8" w:rsidRDefault="00621FB0" w:rsidP="00F073F8">
      <w:pPr>
        <w:widowControl w:val="0"/>
        <w:rPr>
          <w:sz w:val="22"/>
          <w:szCs w:val="22"/>
        </w:rPr>
      </w:pPr>
    </w:p>
    <w:p w14:paraId="273FD3E1" w14:textId="0340DDD9" w:rsidR="00EF5169" w:rsidRPr="00F073F8" w:rsidRDefault="00D743A6" w:rsidP="00F073F8">
      <w:pPr>
        <w:widowControl w:val="0"/>
        <w:rPr>
          <w:i/>
          <w:iCs/>
          <w:sz w:val="22"/>
          <w:szCs w:val="22"/>
        </w:rPr>
      </w:pPr>
      <w:r w:rsidRPr="00F073F8">
        <w:rPr>
          <w:b/>
          <w:bCs/>
          <w:i/>
          <w:iCs/>
          <w:sz w:val="22"/>
          <w:szCs w:val="22"/>
        </w:rPr>
        <w:t xml:space="preserve">Adverse effects observed with </w:t>
      </w:r>
      <w:proofErr w:type="spellStart"/>
      <w:r w:rsidR="00E305B9">
        <w:rPr>
          <w:b/>
          <w:bCs/>
          <w:i/>
          <w:iCs/>
          <w:sz w:val="22"/>
          <w:szCs w:val="22"/>
        </w:rPr>
        <w:t>Forteo</w:t>
      </w:r>
      <w:proofErr w:type="spellEnd"/>
    </w:p>
    <w:p w14:paraId="449FF94B" w14:textId="303D9AA3" w:rsidR="00DF43AE" w:rsidRPr="00F073F8" w:rsidRDefault="005547A7" w:rsidP="00F073F8">
      <w:pPr>
        <w:rPr>
          <w:sz w:val="22"/>
          <w:szCs w:val="22"/>
        </w:rPr>
      </w:pPr>
      <w:r w:rsidRPr="00F073F8">
        <w:rPr>
          <w:sz w:val="22"/>
          <w:szCs w:val="22"/>
        </w:rPr>
        <w:t>The safety of teriparatide has been evaluated in 21 clinical trials in over 2800 women and men. Four long-term, Phase 3 clinical trials included one large placebo-controlled, double-blind multinational trial with 1637 postmenopausal women, one placebo-controlled, double-blind multinational trial with 437 men and two active-controlled trials including 393 postmenopausal women. Teriparatide doses ranged from 5 to 100</w:t>
      </w:r>
      <w:r w:rsidR="003B6F55" w:rsidRPr="00F073F8">
        <w:rPr>
          <w:sz w:val="22"/>
          <w:szCs w:val="22"/>
        </w:rPr>
        <w:t> microgram</w:t>
      </w:r>
      <w:r w:rsidR="00BA14BF">
        <w:rPr>
          <w:sz w:val="22"/>
          <w:szCs w:val="22"/>
        </w:rPr>
        <w:t>s</w:t>
      </w:r>
      <w:r w:rsidRPr="00F073F8">
        <w:rPr>
          <w:sz w:val="22"/>
          <w:szCs w:val="22"/>
        </w:rPr>
        <w:t>/day in short-term trials and 20 to 40</w:t>
      </w:r>
      <w:r w:rsidR="003B6F55" w:rsidRPr="00F073F8">
        <w:rPr>
          <w:sz w:val="22"/>
          <w:szCs w:val="22"/>
        </w:rPr>
        <w:t> microgram</w:t>
      </w:r>
      <w:r w:rsidR="00BA14BF">
        <w:rPr>
          <w:sz w:val="22"/>
          <w:szCs w:val="22"/>
        </w:rPr>
        <w:t>s</w:t>
      </w:r>
      <w:r w:rsidRPr="00F073F8">
        <w:rPr>
          <w:sz w:val="22"/>
          <w:szCs w:val="22"/>
        </w:rPr>
        <w:t>/day in the long-term trials. A total of 1970 of the patients studied received teriparatide, including 738 patients at 20</w:t>
      </w:r>
      <w:r w:rsidR="003B6F55" w:rsidRPr="00F073F8">
        <w:rPr>
          <w:sz w:val="22"/>
          <w:szCs w:val="22"/>
        </w:rPr>
        <w:t> </w:t>
      </w:r>
      <w:r w:rsidR="00E305B9">
        <w:rPr>
          <w:sz w:val="22"/>
          <w:szCs w:val="22"/>
        </w:rPr>
        <w:t>micrograms</w:t>
      </w:r>
      <w:r w:rsidRPr="00F073F8">
        <w:rPr>
          <w:sz w:val="22"/>
          <w:szCs w:val="22"/>
        </w:rPr>
        <w:t>/day and 1107 patients at 40</w:t>
      </w:r>
      <w:r w:rsidR="003B6F55" w:rsidRPr="00F073F8">
        <w:rPr>
          <w:sz w:val="22"/>
          <w:szCs w:val="22"/>
        </w:rPr>
        <w:t> </w:t>
      </w:r>
      <w:r w:rsidR="00E305B9">
        <w:rPr>
          <w:sz w:val="22"/>
          <w:szCs w:val="22"/>
        </w:rPr>
        <w:t>micrograms</w:t>
      </w:r>
      <w:r w:rsidRPr="00F073F8">
        <w:rPr>
          <w:sz w:val="22"/>
          <w:szCs w:val="22"/>
        </w:rPr>
        <w:t>/day. In the long-term clinical trials, 1137 patients were exposed to teriparatide for greater than 1</w:t>
      </w:r>
      <w:r w:rsidR="003B6F55" w:rsidRPr="00F073F8">
        <w:rPr>
          <w:sz w:val="22"/>
          <w:szCs w:val="22"/>
        </w:rPr>
        <w:t> </w:t>
      </w:r>
      <w:r w:rsidRPr="00F073F8">
        <w:rPr>
          <w:sz w:val="22"/>
          <w:szCs w:val="22"/>
        </w:rPr>
        <w:t>year (500 at 20</w:t>
      </w:r>
      <w:r w:rsidR="003B6F55" w:rsidRPr="00F073F8">
        <w:rPr>
          <w:sz w:val="22"/>
          <w:szCs w:val="22"/>
        </w:rPr>
        <w:t> </w:t>
      </w:r>
      <w:r w:rsidR="00E305B9">
        <w:rPr>
          <w:sz w:val="22"/>
          <w:szCs w:val="22"/>
        </w:rPr>
        <w:t>micrograms</w:t>
      </w:r>
      <w:r w:rsidRPr="00F073F8">
        <w:rPr>
          <w:sz w:val="22"/>
          <w:szCs w:val="22"/>
        </w:rPr>
        <w:t>/day and 637 at 40</w:t>
      </w:r>
      <w:r w:rsidR="003B6F55" w:rsidRPr="00F073F8">
        <w:rPr>
          <w:sz w:val="22"/>
          <w:szCs w:val="22"/>
        </w:rPr>
        <w:t> </w:t>
      </w:r>
      <w:r w:rsidR="00E305B9">
        <w:rPr>
          <w:sz w:val="22"/>
          <w:szCs w:val="22"/>
        </w:rPr>
        <w:t>micrograms</w:t>
      </w:r>
      <w:r w:rsidRPr="00F073F8">
        <w:rPr>
          <w:sz w:val="22"/>
          <w:szCs w:val="22"/>
        </w:rPr>
        <w:t>/day). The maximum exposure duration to teriparatide was 2</w:t>
      </w:r>
      <w:r w:rsidR="003B6F55" w:rsidRPr="00F073F8">
        <w:rPr>
          <w:sz w:val="22"/>
          <w:szCs w:val="22"/>
        </w:rPr>
        <w:t> </w:t>
      </w:r>
      <w:r w:rsidRPr="00F073F8">
        <w:rPr>
          <w:sz w:val="22"/>
          <w:szCs w:val="22"/>
        </w:rPr>
        <w:t xml:space="preserve">years. Adverse events associated with </w:t>
      </w:r>
      <w:proofErr w:type="spellStart"/>
      <w:r w:rsidR="00830D56" w:rsidRPr="00F073F8">
        <w:rPr>
          <w:sz w:val="22"/>
          <w:szCs w:val="22"/>
        </w:rPr>
        <w:t>Forteo</w:t>
      </w:r>
      <w:proofErr w:type="spellEnd"/>
      <w:r w:rsidRPr="00F073F8">
        <w:rPr>
          <w:sz w:val="22"/>
          <w:szCs w:val="22"/>
        </w:rPr>
        <w:t xml:space="preserve"> were usually mild and generally did not require discontinuation of therapy. </w:t>
      </w:r>
    </w:p>
    <w:p w14:paraId="4CE05253" w14:textId="789199C3" w:rsidR="00390C6C" w:rsidRPr="00F073F8" w:rsidRDefault="005547A7" w:rsidP="00F073F8">
      <w:pPr>
        <w:rPr>
          <w:sz w:val="22"/>
          <w:szCs w:val="22"/>
        </w:rPr>
      </w:pPr>
      <w:r w:rsidRPr="00F073F8">
        <w:rPr>
          <w:sz w:val="22"/>
          <w:szCs w:val="22"/>
        </w:rPr>
        <w:t xml:space="preserve">In the two Phase 3, placebo-controlled clinical trials in men and postmenopausal women, early discontinuation due to an adverse event occurred in 5.6% of patients on placebo and 7.1% of patients on </w:t>
      </w:r>
      <w:proofErr w:type="spellStart"/>
      <w:r w:rsidR="00E305B9">
        <w:rPr>
          <w:sz w:val="22"/>
          <w:szCs w:val="22"/>
        </w:rPr>
        <w:t>Forteo</w:t>
      </w:r>
      <w:proofErr w:type="spellEnd"/>
      <w:r w:rsidRPr="00F073F8">
        <w:rPr>
          <w:sz w:val="22"/>
          <w:szCs w:val="22"/>
        </w:rPr>
        <w:t xml:space="preserve">. Adverse events considered to be related to </w:t>
      </w:r>
      <w:proofErr w:type="spellStart"/>
      <w:r w:rsidR="00830D56" w:rsidRPr="00F073F8">
        <w:rPr>
          <w:sz w:val="22"/>
          <w:szCs w:val="22"/>
        </w:rPr>
        <w:t>Forteo</w:t>
      </w:r>
      <w:proofErr w:type="spellEnd"/>
      <w:r w:rsidRPr="00F073F8">
        <w:rPr>
          <w:sz w:val="22"/>
          <w:szCs w:val="22"/>
        </w:rPr>
        <w:t xml:space="preserve"> therapy were nausea and leg cramps. </w:t>
      </w:r>
    </w:p>
    <w:p w14:paraId="5BA36047" w14:textId="77777777" w:rsidR="00390C6C" w:rsidRPr="00F073F8" w:rsidRDefault="00390C6C" w:rsidP="00F073F8">
      <w:pPr>
        <w:rPr>
          <w:sz w:val="22"/>
          <w:szCs w:val="22"/>
        </w:rPr>
      </w:pPr>
    </w:p>
    <w:p w14:paraId="5A135013" w14:textId="7FCD9D68" w:rsidR="005547A7" w:rsidRPr="00F073F8" w:rsidRDefault="005547A7" w:rsidP="00F073F8">
      <w:pPr>
        <w:rPr>
          <w:sz w:val="22"/>
          <w:szCs w:val="22"/>
        </w:rPr>
      </w:pPr>
      <w:r w:rsidRPr="00F073F8">
        <w:rPr>
          <w:b/>
          <w:bCs/>
          <w:sz w:val="22"/>
          <w:szCs w:val="22"/>
        </w:rPr>
        <w:t>Table 1</w:t>
      </w:r>
      <w:r w:rsidRPr="00F073F8">
        <w:rPr>
          <w:sz w:val="22"/>
          <w:szCs w:val="22"/>
        </w:rPr>
        <w:t xml:space="preserve"> lists adverse events occurring in the Phase </w:t>
      </w:r>
      <w:r w:rsidR="0069470E" w:rsidRPr="00F073F8">
        <w:rPr>
          <w:sz w:val="22"/>
          <w:szCs w:val="22"/>
        </w:rPr>
        <w:t>III</w:t>
      </w:r>
      <w:r w:rsidRPr="00F073F8">
        <w:rPr>
          <w:sz w:val="22"/>
          <w:szCs w:val="22"/>
        </w:rPr>
        <w:t xml:space="preserve">, placebo-controlled clinical trials in postmenopausal women and in men at a frequency </w:t>
      </w:r>
      <w:r w:rsidRPr="00F073F8">
        <w:rPr>
          <w:sz w:val="22"/>
          <w:szCs w:val="22"/>
        </w:rPr>
        <w:sym w:font="Symbol" w:char="F0B3"/>
      </w:r>
      <w:r w:rsidRPr="00F073F8">
        <w:rPr>
          <w:sz w:val="22"/>
          <w:szCs w:val="22"/>
        </w:rPr>
        <w:t xml:space="preserve">2.0% in the </w:t>
      </w:r>
      <w:proofErr w:type="spellStart"/>
      <w:r w:rsidR="00E305B9">
        <w:rPr>
          <w:sz w:val="22"/>
          <w:szCs w:val="22"/>
        </w:rPr>
        <w:t>Forteo</w:t>
      </w:r>
      <w:proofErr w:type="spellEnd"/>
      <w:r w:rsidRPr="00F073F8">
        <w:rPr>
          <w:sz w:val="22"/>
          <w:szCs w:val="22"/>
        </w:rPr>
        <w:t xml:space="preserve"> groups and in more </w:t>
      </w:r>
      <w:proofErr w:type="spellStart"/>
      <w:r w:rsidR="00830D56" w:rsidRPr="00F073F8">
        <w:rPr>
          <w:sz w:val="22"/>
          <w:szCs w:val="22"/>
        </w:rPr>
        <w:t>Forteo</w:t>
      </w:r>
      <w:proofErr w:type="spellEnd"/>
      <w:r w:rsidRPr="00F073F8">
        <w:rPr>
          <w:sz w:val="22"/>
          <w:szCs w:val="22"/>
        </w:rPr>
        <w:t>-treated patients than in placebo-treated patients. Adverse events are shown without attributing causality</w:t>
      </w:r>
    </w:p>
    <w:p w14:paraId="70B72287" w14:textId="77777777" w:rsidR="000B087E" w:rsidRPr="00F073F8" w:rsidRDefault="000B087E" w:rsidP="00F073F8">
      <w:pPr>
        <w:rPr>
          <w:sz w:val="22"/>
          <w:szCs w:val="22"/>
        </w:rPr>
      </w:pPr>
    </w:p>
    <w:p w14:paraId="24628493" w14:textId="555C1D88" w:rsidR="00E82473" w:rsidRDefault="00390C6C" w:rsidP="00881708">
      <w:pPr>
        <w:ind w:left="68"/>
        <w:jc w:val="center"/>
        <w:rPr>
          <w:b/>
          <w:bCs/>
          <w:sz w:val="22"/>
          <w:szCs w:val="22"/>
        </w:rPr>
      </w:pPr>
      <w:r w:rsidRPr="00F073F8">
        <w:rPr>
          <w:b/>
          <w:bCs/>
          <w:sz w:val="22"/>
          <w:szCs w:val="22"/>
        </w:rPr>
        <w:t xml:space="preserve">Table 1. Adverse events that occurred in placebo-controlled osteoporosis clinical trials at a frequency of at least 2% in the </w:t>
      </w:r>
      <w:proofErr w:type="spellStart"/>
      <w:r w:rsidR="00E305B9">
        <w:rPr>
          <w:b/>
          <w:bCs/>
          <w:sz w:val="22"/>
          <w:szCs w:val="22"/>
        </w:rPr>
        <w:t>Forteo</w:t>
      </w:r>
      <w:proofErr w:type="spellEnd"/>
      <w:r w:rsidRPr="00F073F8">
        <w:rPr>
          <w:b/>
          <w:bCs/>
          <w:sz w:val="22"/>
          <w:szCs w:val="22"/>
        </w:rPr>
        <w:t>-treated patients (20</w:t>
      </w:r>
      <w:r w:rsidR="00DF43AE" w:rsidRPr="00F073F8">
        <w:rPr>
          <w:b/>
          <w:bCs/>
          <w:sz w:val="22"/>
          <w:szCs w:val="22"/>
        </w:rPr>
        <w:t> </w:t>
      </w:r>
      <w:r w:rsidR="00E305B9" w:rsidRPr="008539F3">
        <w:rPr>
          <w:b/>
          <w:bCs/>
          <w:sz w:val="22"/>
          <w:szCs w:val="22"/>
        </w:rPr>
        <w:t>micrograms</w:t>
      </w:r>
      <w:r w:rsidRPr="00F073F8">
        <w:rPr>
          <w:b/>
          <w:bCs/>
          <w:sz w:val="22"/>
          <w:szCs w:val="22"/>
        </w:rPr>
        <w:t xml:space="preserve">/day) and in more </w:t>
      </w:r>
      <w:proofErr w:type="spellStart"/>
      <w:r w:rsidR="00E305B9">
        <w:rPr>
          <w:b/>
          <w:bCs/>
          <w:sz w:val="22"/>
          <w:szCs w:val="22"/>
        </w:rPr>
        <w:t>Forteo</w:t>
      </w:r>
      <w:proofErr w:type="spellEnd"/>
      <w:r w:rsidRPr="00F073F8">
        <w:rPr>
          <w:b/>
          <w:bCs/>
          <w:sz w:val="22"/>
          <w:szCs w:val="22"/>
        </w:rPr>
        <w:t>-treated patients than placebo-treated patients</w:t>
      </w:r>
    </w:p>
    <w:p w14:paraId="4D51F396" w14:textId="7284D40A" w:rsidR="00390C6C" w:rsidRPr="00F073F8" w:rsidRDefault="00390C6C" w:rsidP="00881708">
      <w:pPr>
        <w:jc w:val="center"/>
        <w:rPr>
          <w:b/>
          <w:bCs/>
          <w:sz w:val="22"/>
          <w:szCs w:val="22"/>
        </w:rPr>
      </w:pPr>
      <w:r w:rsidRPr="00F073F8">
        <w:rPr>
          <w:b/>
          <w:bCs/>
          <w:sz w:val="22"/>
          <w:szCs w:val="22"/>
        </w:rPr>
        <w:t>Adverse events are shown without attributing causality.</w:t>
      </w:r>
    </w:p>
    <w:tbl>
      <w:tblPr>
        <w:tblStyle w:val="TableGrid"/>
        <w:tblW w:w="0" w:type="auto"/>
        <w:jc w:val="center"/>
        <w:tblLook w:val="04A0" w:firstRow="1" w:lastRow="0" w:firstColumn="1" w:lastColumn="0" w:noHBand="0" w:noVBand="1"/>
      </w:tblPr>
      <w:tblGrid>
        <w:gridCol w:w="5098"/>
        <w:gridCol w:w="1560"/>
        <w:gridCol w:w="1608"/>
      </w:tblGrid>
      <w:tr w:rsidR="00DF43AE" w:rsidRPr="00F073F8" w14:paraId="2A17263D" w14:textId="77777777" w:rsidTr="008539F3">
        <w:trPr>
          <w:tblHeader/>
          <w:jc w:val="center"/>
        </w:trPr>
        <w:tc>
          <w:tcPr>
            <w:tcW w:w="5098" w:type="dxa"/>
            <w:vMerge w:val="restart"/>
          </w:tcPr>
          <w:p w14:paraId="6E8516F8" w14:textId="77777777" w:rsidR="00DF43AE" w:rsidRPr="00F073F8" w:rsidRDefault="00DF43AE" w:rsidP="00F073F8">
            <w:pPr>
              <w:rPr>
                <w:b/>
                <w:bCs/>
                <w:sz w:val="22"/>
                <w:szCs w:val="22"/>
              </w:rPr>
            </w:pPr>
          </w:p>
        </w:tc>
        <w:tc>
          <w:tcPr>
            <w:tcW w:w="1560" w:type="dxa"/>
            <w:tcBorders>
              <w:right w:val="nil"/>
            </w:tcBorders>
          </w:tcPr>
          <w:p w14:paraId="02CF0D1A" w14:textId="1CB68B77" w:rsidR="00DF43AE" w:rsidRPr="00F073F8" w:rsidRDefault="00DF43AE" w:rsidP="00F073F8">
            <w:pPr>
              <w:rPr>
                <w:b/>
                <w:bCs/>
                <w:sz w:val="22"/>
                <w:szCs w:val="22"/>
              </w:rPr>
            </w:pPr>
            <w:proofErr w:type="spellStart"/>
            <w:r w:rsidRPr="00F073F8">
              <w:rPr>
                <w:b/>
                <w:bCs/>
                <w:sz w:val="22"/>
                <w:szCs w:val="22"/>
              </w:rPr>
              <w:t>Forteo</w:t>
            </w:r>
            <w:proofErr w:type="spellEnd"/>
          </w:p>
        </w:tc>
        <w:tc>
          <w:tcPr>
            <w:tcW w:w="1608" w:type="dxa"/>
            <w:tcBorders>
              <w:left w:val="nil"/>
            </w:tcBorders>
          </w:tcPr>
          <w:p w14:paraId="5C364C3A" w14:textId="006EED4A" w:rsidR="00DF43AE" w:rsidRPr="00F073F8" w:rsidRDefault="00DF43AE" w:rsidP="00F073F8">
            <w:pPr>
              <w:rPr>
                <w:b/>
                <w:bCs/>
                <w:sz w:val="22"/>
                <w:szCs w:val="22"/>
              </w:rPr>
            </w:pPr>
            <w:r w:rsidRPr="00F073F8">
              <w:rPr>
                <w:b/>
                <w:bCs/>
                <w:sz w:val="22"/>
                <w:szCs w:val="22"/>
              </w:rPr>
              <w:t>Placebo</w:t>
            </w:r>
          </w:p>
        </w:tc>
      </w:tr>
      <w:tr w:rsidR="00DF43AE" w:rsidRPr="00F073F8" w14:paraId="1E0215EA" w14:textId="77777777" w:rsidTr="008539F3">
        <w:trPr>
          <w:tblHeader/>
          <w:jc w:val="center"/>
        </w:trPr>
        <w:tc>
          <w:tcPr>
            <w:tcW w:w="5098" w:type="dxa"/>
            <w:vMerge/>
          </w:tcPr>
          <w:p w14:paraId="32ED3C18" w14:textId="6AE1C9D7" w:rsidR="00DF43AE" w:rsidRPr="00F073F8" w:rsidRDefault="00DF43AE" w:rsidP="00F073F8">
            <w:pPr>
              <w:rPr>
                <w:b/>
                <w:bCs/>
                <w:sz w:val="22"/>
                <w:szCs w:val="22"/>
              </w:rPr>
            </w:pPr>
          </w:p>
        </w:tc>
        <w:tc>
          <w:tcPr>
            <w:tcW w:w="1560" w:type="dxa"/>
          </w:tcPr>
          <w:p w14:paraId="52273139" w14:textId="41FCB40A" w:rsidR="00DF43AE" w:rsidRPr="00F073F8" w:rsidRDefault="00DF43AE" w:rsidP="00F073F8">
            <w:pPr>
              <w:rPr>
                <w:sz w:val="22"/>
                <w:szCs w:val="22"/>
              </w:rPr>
            </w:pPr>
            <w:r w:rsidRPr="00F073F8">
              <w:rPr>
                <w:sz w:val="22"/>
                <w:szCs w:val="22"/>
              </w:rPr>
              <w:t>N=691</w:t>
            </w:r>
          </w:p>
        </w:tc>
        <w:tc>
          <w:tcPr>
            <w:tcW w:w="1608" w:type="dxa"/>
          </w:tcPr>
          <w:p w14:paraId="449833A5" w14:textId="3ECC0EB4" w:rsidR="00DF43AE" w:rsidRPr="00F073F8" w:rsidRDefault="00DF43AE" w:rsidP="00F073F8">
            <w:pPr>
              <w:rPr>
                <w:sz w:val="22"/>
                <w:szCs w:val="22"/>
              </w:rPr>
            </w:pPr>
            <w:r w:rsidRPr="00F073F8">
              <w:rPr>
                <w:sz w:val="22"/>
                <w:szCs w:val="22"/>
              </w:rPr>
              <w:t>N=691</w:t>
            </w:r>
          </w:p>
        </w:tc>
      </w:tr>
      <w:tr w:rsidR="008D78AF" w:rsidRPr="00F073F8" w14:paraId="2CE8B477" w14:textId="77777777" w:rsidTr="008539F3">
        <w:trPr>
          <w:tblHeader/>
          <w:jc w:val="center"/>
        </w:trPr>
        <w:tc>
          <w:tcPr>
            <w:tcW w:w="5098" w:type="dxa"/>
          </w:tcPr>
          <w:p w14:paraId="0F826502" w14:textId="73092E78" w:rsidR="008D78AF" w:rsidRPr="00F073F8" w:rsidRDefault="008D78AF" w:rsidP="00F073F8">
            <w:pPr>
              <w:rPr>
                <w:b/>
                <w:bCs/>
                <w:sz w:val="22"/>
                <w:szCs w:val="22"/>
              </w:rPr>
            </w:pPr>
            <w:r w:rsidRPr="00F073F8">
              <w:rPr>
                <w:b/>
                <w:bCs/>
                <w:sz w:val="22"/>
                <w:szCs w:val="22"/>
              </w:rPr>
              <w:t>Event Classification</w:t>
            </w:r>
          </w:p>
        </w:tc>
        <w:tc>
          <w:tcPr>
            <w:tcW w:w="1560" w:type="dxa"/>
          </w:tcPr>
          <w:p w14:paraId="1869ABE3" w14:textId="4248AB0D" w:rsidR="008D78AF" w:rsidRPr="00F073F8" w:rsidRDefault="008D78AF" w:rsidP="00F073F8">
            <w:pPr>
              <w:rPr>
                <w:sz w:val="22"/>
                <w:szCs w:val="22"/>
              </w:rPr>
            </w:pPr>
            <w:r w:rsidRPr="00F073F8">
              <w:rPr>
                <w:sz w:val="22"/>
                <w:szCs w:val="22"/>
              </w:rPr>
              <w:t>%</w:t>
            </w:r>
          </w:p>
        </w:tc>
        <w:tc>
          <w:tcPr>
            <w:tcW w:w="1608" w:type="dxa"/>
          </w:tcPr>
          <w:p w14:paraId="28F3D2BF" w14:textId="78D6FC7E" w:rsidR="008D78AF" w:rsidRPr="00F073F8" w:rsidRDefault="008D78AF" w:rsidP="00F073F8">
            <w:pPr>
              <w:rPr>
                <w:sz w:val="22"/>
                <w:szCs w:val="22"/>
              </w:rPr>
            </w:pPr>
            <w:r w:rsidRPr="00F073F8">
              <w:rPr>
                <w:sz w:val="22"/>
                <w:szCs w:val="22"/>
              </w:rPr>
              <w:t>%</w:t>
            </w:r>
          </w:p>
        </w:tc>
      </w:tr>
      <w:tr w:rsidR="00197101" w:rsidRPr="00F073F8" w14:paraId="26AD5A18" w14:textId="77777777" w:rsidTr="008539F3">
        <w:trPr>
          <w:jc w:val="center"/>
        </w:trPr>
        <w:tc>
          <w:tcPr>
            <w:tcW w:w="5098" w:type="dxa"/>
          </w:tcPr>
          <w:p w14:paraId="6296014A" w14:textId="4A447DF7" w:rsidR="00197101" w:rsidRPr="00F073F8" w:rsidRDefault="00197101" w:rsidP="00F073F8">
            <w:pPr>
              <w:rPr>
                <w:b/>
                <w:bCs/>
                <w:sz w:val="22"/>
                <w:szCs w:val="22"/>
              </w:rPr>
            </w:pPr>
            <w:r w:rsidRPr="00F073F8">
              <w:rPr>
                <w:b/>
                <w:bCs/>
                <w:sz w:val="22"/>
                <w:szCs w:val="22"/>
              </w:rPr>
              <w:t>BODY AS A WHOLE</w:t>
            </w:r>
          </w:p>
        </w:tc>
        <w:tc>
          <w:tcPr>
            <w:tcW w:w="1560" w:type="dxa"/>
          </w:tcPr>
          <w:p w14:paraId="2FBC63AD" w14:textId="77777777" w:rsidR="00197101" w:rsidRPr="00F073F8" w:rsidRDefault="00197101" w:rsidP="00F073F8">
            <w:pPr>
              <w:rPr>
                <w:sz w:val="22"/>
                <w:szCs w:val="22"/>
              </w:rPr>
            </w:pPr>
          </w:p>
        </w:tc>
        <w:tc>
          <w:tcPr>
            <w:tcW w:w="1608" w:type="dxa"/>
          </w:tcPr>
          <w:p w14:paraId="6948BDFC" w14:textId="77777777" w:rsidR="00197101" w:rsidRPr="00F073F8" w:rsidRDefault="00197101" w:rsidP="00F073F8">
            <w:pPr>
              <w:rPr>
                <w:sz w:val="22"/>
                <w:szCs w:val="22"/>
              </w:rPr>
            </w:pPr>
          </w:p>
        </w:tc>
      </w:tr>
      <w:tr w:rsidR="00197101" w:rsidRPr="00F073F8" w14:paraId="14C17A5A" w14:textId="77777777" w:rsidTr="008539F3">
        <w:trPr>
          <w:jc w:val="center"/>
        </w:trPr>
        <w:tc>
          <w:tcPr>
            <w:tcW w:w="5098" w:type="dxa"/>
          </w:tcPr>
          <w:p w14:paraId="222C2DEB" w14:textId="65075CE0" w:rsidR="00197101" w:rsidRPr="00F073F8" w:rsidRDefault="00B07A89" w:rsidP="00F073F8">
            <w:pPr>
              <w:rPr>
                <w:sz w:val="22"/>
                <w:szCs w:val="22"/>
              </w:rPr>
            </w:pPr>
            <w:r w:rsidRPr="00F073F8">
              <w:rPr>
                <w:sz w:val="22"/>
                <w:szCs w:val="22"/>
              </w:rPr>
              <w:t>Pain</w:t>
            </w:r>
          </w:p>
        </w:tc>
        <w:tc>
          <w:tcPr>
            <w:tcW w:w="1560" w:type="dxa"/>
          </w:tcPr>
          <w:p w14:paraId="13EA63FE" w14:textId="5CA919F3" w:rsidR="00197101" w:rsidRPr="00F073F8" w:rsidRDefault="00B07A89" w:rsidP="00F073F8">
            <w:pPr>
              <w:rPr>
                <w:sz w:val="22"/>
                <w:szCs w:val="22"/>
              </w:rPr>
            </w:pPr>
            <w:r w:rsidRPr="00F073F8">
              <w:rPr>
                <w:sz w:val="22"/>
                <w:szCs w:val="22"/>
              </w:rPr>
              <w:t>21.3</w:t>
            </w:r>
          </w:p>
        </w:tc>
        <w:tc>
          <w:tcPr>
            <w:tcW w:w="1608" w:type="dxa"/>
          </w:tcPr>
          <w:p w14:paraId="220AD606" w14:textId="3DCA0998" w:rsidR="00197101" w:rsidRPr="00F073F8" w:rsidRDefault="00B07A89" w:rsidP="00F073F8">
            <w:pPr>
              <w:rPr>
                <w:sz w:val="22"/>
                <w:szCs w:val="22"/>
              </w:rPr>
            </w:pPr>
            <w:r w:rsidRPr="00F073F8">
              <w:rPr>
                <w:sz w:val="22"/>
                <w:szCs w:val="22"/>
              </w:rPr>
              <w:t>20.5</w:t>
            </w:r>
          </w:p>
        </w:tc>
      </w:tr>
      <w:tr w:rsidR="00197101" w:rsidRPr="00F073F8" w14:paraId="387F45CA" w14:textId="77777777" w:rsidTr="008539F3">
        <w:trPr>
          <w:jc w:val="center"/>
        </w:trPr>
        <w:tc>
          <w:tcPr>
            <w:tcW w:w="5098" w:type="dxa"/>
          </w:tcPr>
          <w:p w14:paraId="6256FAC6" w14:textId="03454E7C" w:rsidR="00197101" w:rsidRPr="00F073F8" w:rsidRDefault="00B07A89" w:rsidP="00F073F8">
            <w:pPr>
              <w:rPr>
                <w:sz w:val="22"/>
                <w:szCs w:val="22"/>
              </w:rPr>
            </w:pPr>
            <w:r w:rsidRPr="00F073F8">
              <w:rPr>
                <w:sz w:val="22"/>
                <w:szCs w:val="22"/>
              </w:rPr>
              <w:t>Headache</w:t>
            </w:r>
          </w:p>
        </w:tc>
        <w:tc>
          <w:tcPr>
            <w:tcW w:w="1560" w:type="dxa"/>
          </w:tcPr>
          <w:p w14:paraId="3DDF5D17" w14:textId="65509C7B" w:rsidR="00197101" w:rsidRPr="00F073F8" w:rsidRDefault="00B07A89" w:rsidP="00F073F8">
            <w:pPr>
              <w:rPr>
                <w:sz w:val="22"/>
                <w:szCs w:val="22"/>
              </w:rPr>
            </w:pPr>
            <w:r w:rsidRPr="00F073F8">
              <w:rPr>
                <w:sz w:val="22"/>
                <w:szCs w:val="22"/>
              </w:rPr>
              <w:t>7.5</w:t>
            </w:r>
          </w:p>
        </w:tc>
        <w:tc>
          <w:tcPr>
            <w:tcW w:w="1608" w:type="dxa"/>
          </w:tcPr>
          <w:p w14:paraId="3D03090E" w14:textId="0B364147" w:rsidR="00197101" w:rsidRPr="00F073F8" w:rsidRDefault="00B07A89" w:rsidP="00F073F8">
            <w:pPr>
              <w:rPr>
                <w:sz w:val="22"/>
                <w:szCs w:val="22"/>
              </w:rPr>
            </w:pPr>
            <w:r w:rsidRPr="00F073F8">
              <w:rPr>
                <w:sz w:val="22"/>
                <w:szCs w:val="22"/>
              </w:rPr>
              <w:t>7.4</w:t>
            </w:r>
          </w:p>
        </w:tc>
      </w:tr>
      <w:tr w:rsidR="00197101" w:rsidRPr="00F073F8" w14:paraId="6875DD9F" w14:textId="77777777" w:rsidTr="008539F3">
        <w:trPr>
          <w:jc w:val="center"/>
        </w:trPr>
        <w:tc>
          <w:tcPr>
            <w:tcW w:w="5098" w:type="dxa"/>
          </w:tcPr>
          <w:p w14:paraId="660CF573" w14:textId="040B7AA0" w:rsidR="00197101" w:rsidRPr="00F073F8" w:rsidRDefault="00B07A89" w:rsidP="00F073F8">
            <w:pPr>
              <w:rPr>
                <w:sz w:val="22"/>
                <w:szCs w:val="22"/>
              </w:rPr>
            </w:pPr>
            <w:r w:rsidRPr="00F073F8">
              <w:rPr>
                <w:sz w:val="22"/>
                <w:szCs w:val="22"/>
              </w:rPr>
              <w:t>Asthenia</w:t>
            </w:r>
          </w:p>
        </w:tc>
        <w:tc>
          <w:tcPr>
            <w:tcW w:w="1560" w:type="dxa"/>
          </w:tcPr>
          <w:p w14:paraId="1A31211C" w14:textId="4C37F8DF" w:rsidR="00197101" w:rsidRPr="00F073F8" w:rsidRDefault="00B07A89" w:rsidP="00F073F8">
            <w:pPr>
              <w:rPr>
                <w:sz w:val="22"/>
                <w:szCs w:val="22"/>
              </w:rPr>
            </w:pPr>
            <w:r w:rsidRPr="00F073F8">
              <w:rPr>
                <w:sz w:val="22"/>
                <w:szCs w:val="22"/>
              </w:rPr>
              <w:t>8.7</w:t>
            </w:r>
          </w:p>
        </w:tc>
        <w:tc>
          <w:tcPr>
            <w:tcW w:w="1608" w:type="dxa"/>
          </w:tcPr>
          <w:p w14:paraId="69CFEAF6" w14:textId="22C7D1D2" w:rsidR="00197101" w:rsidRPr="00F073F8" w:rsidRDefault="00F17873" w:rsidP="00F073F8">
            <w:pPr>
              <w:rPr>
                <w:sz w:val="22"/>
                <w:szCs w:val="22"/>
              </w:rPr>
            </w:pPr>
            <w:r w:rsidRPr="00F073F8">
              <w:rPr>
                <w:sz w:val="22"/>
                <w:szCs w:val="22"/>
              </w:rPr>
              <w:t>6.8</w:t>
            </w:r>
          </w:p>
        </w:tc>
      </w:tr>
      <w:tr w:rsidR="00197101" w:rsidRPr="00F073F8" w14:paraId="57020261" w14:textId="77777777" w:rsidTr="008539F3">
        <w:trPr>
          <w:jc w:val="center"/>
        </w:trPr>
        <w:tc>
          <w:tcPr>
            <w:tcW w:w="5098" w:type="dxa"/>
          </w:tcPr>
          <w:p w14:paraId="146DB34D" w14:textId="4428DD67" w:rsidR="00197101" w:rsidRPr="00F073F8" w:rsidRDefault="00B07A89" w:rsidP="00F073F8">
            <w:pPr>
              <w:rPr>
                <w:sz w:val="22"/>
                <w:szCs w:val="22"/>
              </w:rPr>
            </w:pPr>
            <w:r w:rsidRPr="00F073F8">
              <w:rPr>
                <w:sz w:val="22"/>
                <w:szCs w:val="22"/>
              </w:rPr>
              <w:t>Neck Pain</w:t>
            </w:r>
          </w:p>
        </w:tc>
        <w:tc>
          <w:tcPr>
            <w:tcW w:w="1560" w:type="dxa"/>
          </w:tcPr>
          <w:p w14:paraId="4F845B9A" w14:textId="09838FC1" w:rsidR="00197101" w:rsidRPr="00F073F8" w:rsidRDefault="00F17873" w:rsidP="00F073F8">
            <w:pPr>
              <w:rPr>
                <w:sz w:val="22"/>
                <w:szCs w:val="22"/>
              </w:rPr>
            </w:pPr>
            <w:r w:rsidRPr="00F073F8">
              <w:rPr>
                <w:sz w:val="22"/>
                <w:szCs w:val="22"/>
              </w:rPr>
              <w:t>3.0</w:t>
            </w:r>
          </w:p>
        </w:tc>
        <w:tc>
          <w:tcPr>
            <w:tcW w:w="1608" w:type="dxa"/>
          </w:tcPr>
          <w:p w14:paraId="23BAF97D" w14:textId="68B4343A" w:rsidR="00197101" w:rsidRPr="00F073F8" w:rsidRDefault="00F17873" w:rsidP="00F073F8">
            <w:pPr>
              <w:rPr>
                <w:sz w:val="22"/>
                <w:szCs w:val="22"/>
              </w:rPr>
            </w:pPr>
            <w:r w:rsidRPr="00F073F8">
              <w:rPr>
                <w:sz w:val="22"/>
                <w:szCs w:val="22"/>
              </w:rPr>
              <w:t>2.7</w:t>
            </w:r>
          </w:p>
        </w:tc>
      </w:tr>
      <w:tr w:rsidR="00197101" w:rsidRPr="00F073F8" w14:paraId="295B060E" w14:textId="77777777" w:rsidTr="008539F3">
        <w:trPr>
          <w:jc w:val="center"/>
        </w:trPr>
        <w:tc>
          <w:tcPr>
            <w:tcW w:w="5098" w:type="dxa"/>
          </w:tcPr>
          <w:p w14:paraId="2B262E35" w14:textId="303EAC25" w:rsidR="00197101" w:rsidRPr="00F073F8" w:rsidRDefault="00F17873" w:rsidP="00F073F8">
            <w:pPr>
              <w:rPr>
                <w:b/>
                <w:bCs/>
                <w:sz w:val="22"/>
                <w:szCs w:val="22"/>
              </w:rPr>
            </w:pPr>
            <w:r w:rsidRPr="00F073F8">
              <w:rPr>
                <w:b/>
                <w:bCs/>
                <w:sz w:val="22"/>
                <w:szCs w:val="22"/>
              </w:rPr>
              <w:t>CARDIOVASCULAR</w:t>
            </w:r>
          </w:p>
        </w:tc>
        <w:tc>
          <w:tcPr>
            <w:tcW w:w="1560" w:type="dxa"/>
          </w:tcPr>
          <w:p w14:paraId="72C7795F" w14:textId="77777777" w:rsidR="00197101" w:rsidRPr="00F073F8" w:rsidRDefault="00197101" w:rsidP="00F073F8">
            <w:pPr>
              <w:rPr>
                <w:sz w:val="22"/>
                <w:szCs w:val="22"/>
              </w:rPr>
            </w:pPr>
          </w:p>
        </w:tc>
        <w:tc>
          <w:tcPr>
            <w:tcW w:w="1608" w:type="dxa"/>
          </w:tcPr>
          <w:p w14:paraId="698834B5" w14:textId="77777777" w:rsidR="00197101" w:rsidRPr="00F073F8" w:rsidRDefault="00197101" w:rsidP="00F073F8">
            <w:pPr>
              <w:rPr>
                <w:sz w:val="22"/>
                <w:szCs w:val="22"/>
              </w:rPr>
            </w:pPr>
          </w:p>
        </w:tc>
      </w:tr>
      <w:tr w:rsidR="00197101" w:rsidRPr="00F073F8" w14:paraId="41D7055A" w14:textId="77777777" w:rsidTr="008539F3">
        <w:trPr>
          <w:jc w:val="center"/>
        </w:trPr>
        <w:tc>
          <w:tcPr>
            <w:tcW w:w="5098" w:type="dxa"/>
          </w:tcPr>
          <w:p w14:paraId="2CF1AB0D" w14:textId="52D6E2E9" w:rsidR="00197101" w:rsidRPr="00F073F8" w:rsidRDefault="00F17873" w:rsidP="00F073F8">
            <w:pPr>
              <w:rPr>
                <w:sz w:val="22"/>
                <w:szCs w:val="22"/>
              </w:rPr>
            </w:pPr>
            <w:r w:rsidRPr="00F073F8">
              <w:rPr>
                <w:sz w:val="22"/>
                <w:szCs w:val="22"/>
              </w:rPr>
              <w:t>Hypertension</w:t>
            </w:r>
          </w:p>
        </w:tc>
        <w:tc>
          <w:tcPr>
            <w:tcW w:w="1560" w:type="dxa"/>
          </w:tcPr>
          <w:p w14:paraId="4E3BDC33" w14:textId="7AE62C73" w:rsidR="00197101" w:rsidRPr="00F073F8" w:rsidRDefault="00CE5C91" w:rsidP="00F073F8">
            <w:pPr>
              <w:rPr>
                <w:sz w:val="22"/>
                <w:szCs w:val="22"/>
              </w:rPr>
            </w:pPr>
            <w:r w:rsidRPr="00F073F8">
              <w:rPr>
                <w:sz w:val="22"/>
                <w:szCs w:val="22"/>
              </w:rPr>
              <w:t>7.1</w:t>
            </w:r>
          </w:p>
        </w:tc>
        <w:tc>
          <w:tcPr>
            <w:tcW w:w="1608" w:type="dxa"/>
          </w:tcPr>
          <w:p w14:paraId="697B7F7E" w14:textId="28F5A059" w:rsidR="00197101" w:rsidRPr="00F073F8" w:rsidRDefault="00CE5C91" w:rsidP="00F073F8">
            <w:pPr>
              <w:rPr>
                <w:sz w:val="22"/>
                <w:szCs w:val="22"/>
              </w:rPr>
            </w:pPr>
            <w:r w:rsidRPr="00F073F8">
              <w:rPr>
                <w:sz w:val="22"/>
                <w:szCs w:val="22"/>
              </w:rPr>
              <w:t>6.8</w:t>
            </w:r>
          </w:p>
        </w:tc>
      </w:tr>
      <w:tr w:rsidR="00F17873" w:rsidRPr="00F073F8" w14:paraId="3192BDE0" w14:textId="77777777" w:rsidTr="008539F3">
        <w:trPr>
          <w:jc w:val="center"/>
        </w:trPr>
        <w:tc>
          <w:tcPr>
            <w:tcW w:w="5098" w:type="dxa"/>
          </w:tcPr>
          <w:p w14:paraId="68885E24" w14:textId="7F28780B" w:rsidR="00F17873" w:rsidRPr="00F073F8" w:rsidRDefault="00F17873" w:rsidP="00F073F8">
            <w:pPr>
              <w:rPr>
                <w:sz w:val="22"/>
                <w:szCs w:val="22"/>
              </w:rPr>
            </w:pPr>
            <w:r w:rsidRPr="00F073F8">
              <w:rPr>
                <w:sz w:val="22"/>
                <w:szCs w:val="22"/>
              </w:rPr>
              <w:t>Angina Pectoris</w:t>
            </w:r>
          </w:p>
        </w:tc>
        <w:tc>
          <w:tcPr>
            <w:tcW w:w="1560" w:type="dxa"/>
          </w:tcPr>
          <w:p w14:paraId="5290703B" w14:textId="03322FEA" w:rsidR="00F17873" w:rsidRPr="00F073F8" w:rsidRDefault="00CE5C91" w:rsidP="00F073F8">
            <w:pPr>
              <w:rPr>
                <w:sz w:val="22"/>
                <w:szCs w:val="22"/>
              </w:rPr>
            </w:pPr>
            <w:r w:rsidRPr="00F073F8">
              <w:rPr>
                <w:sz w:val="22"/>
                <w:szCs w:val="22"/>
              </w:rPr>
              <w:t>2.5</w:t>
            </w:r>
          </w:p>
        </w:tc>
        <w:tc>
          <w:tcPr>
            <w:tcW w:w="1608" w:type="dxa"/>
          </w:tcPr>
          <w:p w14:paraId="0A2E6985" w14:textId="55485120" w:rsidR="00F17873" w:rsidRPr="00F073F8" w:rsidRDefault="00CE5C91" w:rsidP="00F073F8">
            <w:pPr>
              <w:rPr>
                <w:sz w:val="22"/>
                <w:szCs w:val="22"/>
              </w:rPr>
            </w:pPr>
            <w:r w:rsidRPr="00F073F8">
              <w:rPr>
                <w:sz w:val="22"/>
                <w:szCs w:val="22"/>
              </w:rPr>
              <w:t>1.6</w:t>
            </w:r>
          </w:p>
        </w:tc>
      </w:tr>
      <w:tr w:rsidR="00CE5C91" w:rsidRPr="00F073F8" w14:paraId="2EB7C5B0" w14:textId="77777777" w:rsidTr="008539F3">
        <w:trPr>
          <w:jc w:val="center"/>
        </w:trPr>
        <w:tc>
          <w:tcPr>
            <w:tcW w:w="5098" w:type="dxa"/>
          </w:tcPr>
          <w:p w14:paraId="45C439B2" w14:textId="09DF18FC" w:rsidR="00CE5C91" w:rsidRPr="00F073F8" w:rsidRDefault="00CE5C91" w:rsidP="00F073F8">
            <w:pPr>
              <w:rPr>
                <w:sz w:val="22"/>
                <w:szCs w:val="22"/>
              </w:rPr>
            </w:pPr>
            <w:r w:rsidRPr="00F073F8">
              <w:rPr>
                <w:sz w:val="22"/>
                <w:szCs w:val="22"/>
              </w:rPr>
              <w:t>Syncope</w:t>
            </w:r>
          </w:p>
        </w:tc>
        <w:tc>
          <w:tcPr>
            <w:tcW w:w="1560" w:type="dxa"/>
          </w:tcPr>
          <w:p w14:paraId="13E630DE" w14:textId="499839F2" w:rsidR="00CE5C91" w:rsidRPr="00F073F8" w:rsidRDefault="00CE5C91" w:rsidP="00F073F8">
            <w:pPr>
              <w:rPr>
                <w:sz w:val="22"/>
                <w:szCs w:val="22"/>
              </w:rPr>
            </w:pPr>
            <w:r w:rsidRPr="00F073F8">
              <w:rPr>
                <w:sz w:val="22"/>
                <w:szCs w:val="22"/>
              </w:rPr>
              <w:t>2.6</w:t>
            </w:r>
          </w:p>
        </w:tc>
        <w:tc>
          <w:tcPr>
            <w:tcW w:w="1608" w:type="dxa"/>
          </w:tcPr>
          <w:p w14:paraId="00ED67E7" w14:textId="6368CB90" w:rsidR="00CE5C91" w:rsidRPr="00F073F8" w:rsidRDefault="00CE5C91" w:rsidP="00F073F8">
            <w:pPr>
              <w:rPr>
                <w:sz w:val="22"/>
                <w:szCs w:val="22"/>
              </w:rPr>
            </w:pPr>
            <w:r w:rsidRPr="00F073F8">
              <w:rPr>
                <w:sz w:val="22"/>
                <w:szCs w:val="22"/>
              </w:rPr>
              <w:t>1.4</w:t>
            </w:r>
          </w:p>
        </w:tc>
      </w:tr>
      <w:tr w:rsidR="008F145E" w:rsidRPr="00F073F8" w14:paraId="197707FD" w14:textId="77777777" w:rsidTr="008539F3">
        <w:trPr>
          <w:jc w:val="center"/>
        </w:trPr>
        <w:tc>
          <w:tcPr>
            <w:tcW w:w="5098" w:type="dxa"/>
          </w:tcPr>
          <w:p w14:paraId="5C0B8072" w14:textId="4A4360C1" w:rsidR="008F145E" w:rsidRPr="00F073F8" w:rsidRDefault="008F145E" w:rsidP="00F073F8">
            <w:pPr>
              <w:rPr>
                <w:b/>
                <w:bCs/>
                <w:sz w:val="22"/>
                <w:szCs w:val="22"/>
              </w:rPr>
            </w:pPr>
            <w:r w:rsidRPr="00F073F8">
              <w:rPr>
                <w:b/>
                <w:bCs/>
                <w:sz w:val="22"/>
                <w:szCs w:val="22"/>
              </w:rPr>
              <w:t>DIGESTIVE SYSTEM</w:t>
            </w:r>
          </w:p>
        </w:tc>
        <w:tc>
          <w:tcPr>
            <w:tcW w:w="1560" w:type="dxa"/>
          </w:tcPr>
          <w:p w14:paraId="404B6DD4" w14:textId="77777777" w:rsidR="008F145E" w:rsidRPr="00F073F8" w:rsidRDefault="008F145E" w:rsidP="00F073F8">
            <w:pPr>
              <w:rPr>
                <w:sz w:val="22"/>
                <w:szCs w:val="22"/>
              </w:rPr>
            </w:pPr>
          </w:p>
        </w:tc>
        <w:tc>
          <w:tcPr>
            <w:tcW w:w="1608" w:type="dxa"/>
          </w:tcPr>
          <w:p w14:paraId="28C144BE" w14:textId="77777777" w:rsidR="008F145E" w:rsidRPr="00F073F8" w:rsidRDefault="008F145E" w:rsidP="00F073F8">
            <w:pPr>
              <w:rPr>
                <w:sz w:val="22"/>
                <w:szCs w:val="22"/>
              </w:rPr>
            </w:pPr>
          </w:p>
        </w:tc>
      </w:tr>
      <w:tr w:rsidR="008F145E" w:rsidRPr="00F073F8" w14:paraId="4BFA5A44" w14:textId="77777777" w:rsidTr="008539F3">
        <w:trPr>
          <w:jc w:val="center"/>
        </w:trPr>
        <w:tc>
          <w:tcPr>
            <w:tcW w:w="5098" w:type="dxa"/>
          </w:tcPr>
          <w:p w14:paraId="44B94FB0" w14:textId="4546907F" w:rsidR="008F145E" w:rsidRPr="00F073F8" w:rsidRDefault="008F145E" w:rsidP="00F073F8">
            <w:pPr>
              <w:rPr>
                <w:sz w:val="22"/>
                <w:szCs w:val="22"/>
              </w:rPr>
            </w:pPr>
            <w:r w:rsidRPr="00F073F8">
              <w:rPr>
                <w:sz w:val="22"/>
                <w:szCs w:val="22"/>
              </w:rPr>
              <w:t>Nausea</w:t>
            </w:r>
          </w:p>
        </w:tc>
        <w:tc>
          <w:tcPr>
            <w:tcW w:w="1560" w:type="dxa"/>
          </w:tcPr>
          <w:p w14:paraId="1432F7A5" w14:textId="6D36497B" w:rsidR="008F145E" w:rsidRPr="00F073F8" w:rsidRDefault="008F145E" w:rsidP="00F073F8">
            <w:pPr>
              <w:rPr>
                <w:sz w:val="22"/>
                <w:szCs w:val="22"/>
              </w:rPr>
            </w:pPr>
            <w:r w:rsidRPr="00F073F8">
              <w:rPr>
                <w:sz w:val="22"/>
                <w:szCs w:val="22"/>
              </w:rPr>
              <w:t>8.5</w:t>
            </w:r>
          </w:p>
        </w:tc>
        <w:tc>
          <w:tcPr>
            <w:tcW w:w="1608" w:type="dxa"/>
          </w:tcPr>
          <w:p w14:paraId="02532D37" w14:textId="1A134B47" w:rsidR="008F145E" w:rsidRPr="00F073F8" w:rsidRDefault="00A90D32" w:rsidP="00F073F8">
            <w:pPr>
              <w:rPr>
                <w:sz w:val="22"/>
                <w:szCs w:val="22"/>
              </w:rPr>
            </w:pPr>
            <w:r w:rsidRPr="00F073F8">
              <w:rPr>
                <w:sz w:val="22"/>
                <w:szCs w:val="22"/>
              </w:rPr>
              <w:t>6.7</w:t>
            </w:r>
          </w:p>
        </w:tc>
      </w:tr>
      <w:tr w:rsidR="00A90D32" w:rsidRPr="00F073F8" w14:paraId="65975EFA" w14:textId="77777777" w:rsidTr="008539F3">
        <w:trPr>
          <w:jc w:val="center"/>
        </w:trPr>
        <w:tc>
          <w:tcPr>
            <w:tcW w:w="5098" w:type="dxa"/>
          </w:tcPr>
          <w:p w14:paraId="68B04643" w14:textId="1192727F" w:rsidR="00A90D32" w:rsidRPr="00F073F8" w:rsidRDefault="00A90D32" w:rsidP="00F073F8">
            <w:pPr>
              <w:rPr>
                <w:sz w:val="22"/>
                <w:szCs w:val="22"/>
              </w:rPr>
            </w:pPr>
            <w:r w:rsidRPr="00F073F8">
              <w:rPr>
                <w:sz w:val="22"/>
                <w:szCs w:val="22"/>
              </w:rPr>
              <w:t>Constipation</w:t>
            </w:r>
          </w:p>
        </w:tc>
        <w:tc>
          <w:tcPr>
            <w:tcW w:w="1560" w:type="dxa"/>
          </w:tcPr>
          <w:p w14:paraId="4D847731" w14:textId="497733AC" w:rsidR="00A90D32" w:rsidRPr="00F073F8" w:rsidRDefault="00A90D32" w:rsidP="00F073F8">
            <w:pPr>
              <w:rPr>
                <w:sz w:val="22"/>
                <w:szCs w:val="22"/>
              </w:rPr>
            </w:pPr>
            <w:r w:rsidRPr="00F073F8">
              <w:rPr>
                <w:sz w:val="22"/>
                <w:szCs w:val="22"/>
              </w:rPr>
              <w:t>5.4</w:t>
            </w:r>
          </w:p>
        </w:tc>
        <w:tc>
          <w:tcPr>
            <w:tcW w:w="1608" w:type="dxa"/>
          </w:tcPr>
          <w:p w14:paraId="6DDD807E" w14:textId="218F6ABD" w:rsidR="00A90D32" w:rsidRPr="00F073F8" w:rsidRDefault="00A90D32" w:rsidP="00F073F8">
            <w:pPr>
              <w:rPr>
                <w:sz w:val="22"/>
                <w:szCs w:val="22"/>
              </w:rPr>
            </w:pPr>
            <w:r w:rsidRPr="00F073F8">
              <w:rPr>
                <w:sz w:val="22"/>
                <w:szCs w:val="22"/>
              </w:rPr>
              <w:t>4.5</w:t>
            </w:r>
          </w:p>
        </w:tc>
      </w:tr>
      <w:tr w:rsidR="00A90D32" w:rsidRPr="00F073F8" w14:paraId="04DB59AC" w14:textId="77777777" w:rsidTr="008539F3">
        <w:trPr>
          <w:jc w:val="center"/>
        </w:trPr>
        <w:tc>
          <w:tcPr>
            <w:tcW w:w="5098" w:type="dxa"/>
          </w:tcPr>
          <w:p w14:paraId="79AFE340" w14:textId="00C3FD2C" w:rsidR="00A90D32" w:rsidRPr="00F073F8" w:rsidRDefault="00A90D32" w:rsidP="00F073F8">
            <w:pPr>
              <w:rPr>
                <w:sz w:val="22"/>
                <w:szCs w:val="22"/>
              </w:rPr>
            </w:pPr>
            <w:r w:rsidRPr="00F073F8">
              <w:rPr>
                <w:sz w:val="22"/>
                <w:szCs w:val="22"/>
              </w:rPr>
              <w:t>Diarrhoea</w:t>
            </w:r>
          </w:p>
        </w:tc>
        <w:tc>
          <w:tcPr>
            <w:tcW w:w="1560" w:type="dxa"/>
          </w:tcPr>
          <w:p w14:paraId="6BADFB6B" w14:textId="267A0B45" w:rsidR="00A90D32" w:rsidRPr="00F073F8" w:rsidRDefault="00A90D32" w:rsidP="00F073F8">
            <w:pPr>
              <w:rPr>
                <w:sz w:val="22"/>
                <w:szCs w:val="22"/>
              </w:rPr>
            </w:pPr>
            <w:r w:rsidRPr="00F073F8">
              <w:rPr>
                <w:sz w:val="22"/>
                <w:szCs w:val="22"/>
              </w:rPr>
              <w:t>5.1</w:t>
            </w:r>
          </w:p>
        </w:tc>
        <w:tc>
          <w:tcPr>
            <w:tcW w:w="1608" w:type="dxa"/>
          </w:tcPr>
          <w:p w14:paraId="0C932ABD" w14:textId="0347470A" w:rsidR="00A90D32" w:rsidRPr="00F073F8" w:rsidRDefault="00A90D32" w:rsidP="00F073F8">
            <w:pPr>
              <w:rPr>
                <w:sz w:val="22"/>
                <w:szCs w:val="22"/>
              </w:rPr>
            </w:pPr>
            <w:r w:rsidRPr="00F073F8">
              <w:rPr>
                <w:sz w:val="22"/>
                <w:szCs w:val="22"/>
              </w:rPr>
              <w:t>4.6</w:t>
            </w:r>
          </w:p>
        </w:tc>
      </w:tr>
      <w:tr w:rsidR="00A90D32" w:rsidRPr="00F073F8" w14:paraId="1FC275D1" w14:textId="77777777" w:rsidTr="008539F3">
        <w:trPr>
          <w:jc w:val="center"/>
        </w:trPr>
        <w:tc>
          <w:tcPr>
            <w:tcW w:w="5098" w:type="dxa"/>
          </w:tcPr>
          <w:p w14:paraId="0530480D" w14:textId="6A29E023" w:rsidR="00A90D32" w:rsidRPr="00F073F8" w:rsidRDefault="00A90D32" w:rsidP="00F073F8">
            <w:pPr>
              <w:rPr>
                <w:sz w:val="22"/>
                <w:szCs w:val="22"/>
              </w:rPr>
            </w:pPr>
            <w:r w:rsidRPr="00F073F8">
              <w:rPr>
                <w:sz w:val="22"/>
                <w:szCs w:val="22"/>
              </w:rPr>
              <w:t>Dysp</w:t>
            </w:r>
            <w:r w:rsidR="00CF1544" w:rsidRPr="00F073F8">
              <w:rPr>
                <w:sz w:val="22"/>
                <w:szCs w:val="22"/>
              </w:rPr>
              <w:t>epsia</w:t>
            </w:r>
          </w:p>
        </w:tc>
        <w:tc>
          <w:tcPr>
            <w:tcW w:w="1560" w:type="dxa"/>
          </w:tcPr>
          <w:p w14:paraId="2848D7DE" w14:textId="3D5DEF8C" w:rsidR="00A90D32" w:rsidRPr="00F073F8" w:rsidRDefault="00CF1544" w:rsidP="00F073F8">
            <w:pPr>
              <w:rPr>
                <w:sz w:val="22"/>
                <w:szCs w:val="22"/>
              </w:rPr>
            </w:pPr>
            <w:r w:rsidRPr="00F073F8">
              <w:rPr>
                <w:sz w:val="22"/>
                <w:szCs w:val="22"/>
              </w:rPr>
              <w:t>5.2</w:t>
            </w:r>
          </w:p>
        </w:tc>
        <w:tc>
          <w:tcPr>
            <w:tcW w:w="1608" w:type="dxa"/>
          </w:tcPr>
          <w:p w14:paraId="0D8E1B85" w14:textId="353C389A" w:rsidR="00A90D32" w:rsidRPr="00F073F8" w:rsidRDefault="00CF1544" w:rsidP="00F073F8">
            <w:pPr>
              <w:rPr>
                <w:sz w:val="22"/>
                <w:szCs w:val="22"/>
              </w:rPr>
            </w:pPr>
            <w:r w:rsidRPr="00F073F8">
              <w:rPr>
                <w:sz w:val="22"/>
                <w:szCs w:val="22"/>
              </w:rPr>
              <w:t>4.1</w:t>
            </w:r>
          </w:p>
        </w:tc>
      </w:tr>
      <w:tr w:rsidR="00CF1544" w:rsidRPr="00F073F8" w14:paraId="56F22F43" w14:textId="77777777" w:rsidTr="008539F3">
        <w:trPr>
          <w:jc w:val="center"/>
        </w:trPr>
        <w:tc>
          <w:tcPr>
            <w:tcW w:w="5098" w:type="dxa"/>
          </w:tcPr>
          <w:p w14:paraId="3AD1C4E5" w14:textId="5DCBFAF5" w:rsidR="00CF1544" w:rsidRPr="00F073F8" w:rsidRDefault="00CF1544" w:rsidP="00F073F8">
            <w:pPr>
              <w:rPr>
                <w:sz w:val="22"/>
                <w:szCs w:val="22"/>
              </w:rPr>
            </w:pPr>
            <w:r w:rsidRPr="00F073F8">
              <w:rPr>
                <w:sz w:val="22"/>
                <w:szCs w:val="22"/>
              </w:rPr>
              <w:t>Vomiting</w:t>
            </w:r>
          </w:p>
        </w:tc>
        <w:tc>
          <w:tcPr>
            <w:tcW w:w="1560" w:type="dxa"/>
          </w:tcPr>
          <w:p w14:paraId="1C7B5A2A" w14:textId="5E97FB31" w:rsidR="00CF1544" w:rsidRPr="00F073F8" w:rsidRDefault="00CF1544" w:rsidP="00F073F8">
            <w:pPr>
              <w:rPr>
                <w:sz w:val="22"/>
                <w:szCs w:val="22"/>
              </w:rPr>
            </w:pPr>
            <w:r w:rsidRPr="00F073F8">
              <w:rPr>
                <w:sz w:val="22"/>
                <w:szCs w:val="22"/>
              </w:rPr>
              <w:t>3.0</w:t>
            </w:r>
          </w:p>
        </w:tc>
        <w:tc>
          <w:tcPr>
            <w:tcW w:w="1608" w:type="dxa"/>
          </w:tcPr>
          <w:p w14:paraId="433EAFFC" w14:textId="30966231" w:rsidR="00CF1544" w:rsidRPr="00F073F8" w:rsidRDefault="00CF1544" w:rsidP="00F073F8">
            <w:pPr>
              <w:rPr>
                <w:sz w:val="22"/>
                <w:szCs w:val="22"/>
              </w:rPr>
            </w:pPr>
            <w:r w:rsidRPr="00F073F8">
              <w:rPr>
                <w:sz w:val="22"/>
                <w:szCs w:val="22"/>
              </w:rPr>
              <w:t>2.3</w:t>
            </w:r>
          </w:p>
        </w:tc>
      </w:tr>
      <w:tr w:rsidR="00CF1544" w:rsidRPr="00F073F8" w14:paraId="17B5032E" w14:textId="77777777" w:rsidTr="008539F3">
        <w:trPr>
          <w:jc w:val="center"/>
        </w:trPr>
        <w:tc>
          <w:tcPr>
            <w:tcW w:w="5098" w:type="dxa"/>
          </w:tcPr>
          <w:p w14:paraId="7F3A0B42" w14:textId="7F61C528" w:rsidR="00CF1544" w:rsidRPr="00F073F8" w:rsidRDefault="00CF1544" w:rsidP="00F073F8">
            <w:pPr>
              <w:rPr>
                <w:sz w:val="22"/>
                <w:szCs w:val="22"/>
              </w:rPr>
            </w:pPr>
            <w:r w:rsidRPr="00F073F8">
              <w:rPr>
                <w:sz w:val="22"/>
                <w:szCs w:val="22"/>
              </w:rPr>
              <w:t xml:space="preserve">Gastrointestinal </w:t>
            </w:r>
            <w:r w:rsidR="007911F9" w:rsidRPr="00F073F8">
              <w:rPr>
                <w:sz w:val="22"/>
                <w:szCs w:val="22"/>
              </w:rPr>
              <w:t>d</w:t>
            </w:r>
            <w:r w:rsidRPr="00F073F8">
              <w:rPr>
                <w:sz w:val="22"/>
                <w:szCs w:val="22"/>
              </w:rPr>
              <w:t>isorder</w:t>
            </w:r>
          </w:p>
        </w:tc>
        <w:tc>
          <w:tcPr>
            <w:tcW w:w="1560" w:type="dxa"/>
          </w:tcPr>
          <w:p w14:paraId="70CECC66" w14:textId="612B9085" w:rsidR="00CF1544" w:rsidRPr="00F073F8" w:rsidRDefault="00CF1544" w:rsidP="00F073F8">
            <w:pPr>
              <w:rPr>
                <w:sz w:val="22"/>
                <w:szCs w:val="22"/>
              </w:rPr>
            </w:pPr>
            <w:r w:rsidRPr="00F073F8">
              <w:rPr>
                <w:sz w:val="22"/>
                <w:szCs w:val="22"/>
              </w:rPr>
              <w:t>2.3</w:t>
            </w:r>
          </w:p>
        </w:tc>
        <w:tc>
          <w:tcPr>
            <w:tcW w:w="1608" w:type="dxa"/>
          </w:tcPr>
          <w:p w14:paraId="488454C6" w14:textId="1E20A423" w:rsidR="00CF1544" w:rsidRPr="00F073F8" w:rsidRDefault="00CF1544" w:rsidP="00F073F8">
            <w:pPr>
              <w:rPr>
                <w:sz w:val="22"/>
                <w:szCs w:val="22"/>
              </w:rPr>
            </w:pPr>
            <w:r w:rsidRPr="00F073F8">
              <w:rPr>
                <w:sz w:val="22"/>
                <w:szCs w:val="22"/>
              </w:rPr>
              <w:t>2.0</w:t>
            </w:r>
          </w:p>
        </w:tc>
      </w:tr>
      <w:tr w:rsidR="00CF1544" w:rsidRPr="00F073F8" w14:paraId="2DE23C25" w14:textId="77777777" w:rsidTr="008539F3">
        <w:trPr>
          <w:jc w:val="center"/>
        </w:trPr>
        <w:tc>
          <w:tcPr>
            <w:tcW w:w="5098" w:type="dxa"/>
          </w:tcPr>
          <w:p w14:paraId="4A589E85" w14:textId="49C679E5" w:rsidR="00CF1544" w:rsidRPr="00F073F8" w:rsidRDefault="00CF1544" w:rsidP="00F073F8">
            <w:pPr>
              <w:rPr>
                <w:sz w:val="22"/>
                <w:szCs w:val="22"/>
              </w:rPr>
            </w:pPr>
            <w:r w:rsidRPr="00F073F8">
              <w:rPr>
                <w:sz w:val="22"/>
                <w:szCs w:val="22"/>
              </w:rPr>
              <w:t>Tooth disorder</w:t>
            </w:r>
          </w:p>
        </w:tc>
        <w:tc>
          <w:tcPr>
            <w:tcW w:w="1560" w:type="dxa"/>
          </w:tcPr>
          <w:p w14:paraId="44C63679" w14:textId="172E1190" w:rsidR="00CF1544" w:rsidRPr="00F073F8" w:rsidRDefault="00B07FEB" w:rsidP="00F073F8">
            <w:pPr>
              <w:rPr>
                <w:sz w:val="22"/>
                <w:szCs w:val="22"/>
              </w:rPr>
            </w:pPr>
            <w:r w:rsidRPr="00F073F8">
              <w:rPr>
                <w:sz w:val="22"/>
                <w:szCs w:val="22"/>
              </w:rPr>
              <w:t>2.0</w:t>
            </w:r>
          </w:p>
        </w:tc>
        <w:tc>
          <w:tcPr>
            <w:tcW w:w="1608" w:type="dxa"/>
          </w:tcPr>
          <w:p w14:paraId="032497DA" w14:textId="118CFFAD" w:rsidR="00CF1544" w:rsidRPr="00F073F8" w:rsidRDefault="00B07FEB" w:rsidP="00F073F8">
            <w:pPr>
              <w:rPr>
                <w:sz w:val="22"/>
                <w:szCs w:val="22"/>
              </w:rPr>
            </w:pPr>
            <w:r w:rsidRPr="00F073F8">
              <w:rPr>
                <w:sz w:val="22"/>
                <w:szCs w:val="22"/>
              </w:rPr>
              <w:t>1.3</w:t>
            </w:r>
          </w:p>
        </w:tc>
      </w:tr>
      <w:tr w:rsidR="00B07FEB" w:rsidRPr="00F073F8" w14:paraId="69F35F97" w14:textId="77777777" w:rsidTr="008539F3">
        <w:trPr>
          <w:jc w:val="center"/>
        </w:trPr>
        <w:tc>
          <w:tcPr>
            <w:tcW w:w="5098" w:type="dxa"/>
          </w:tcPr>
          <w:p w14:paraId="08E604A1" w14:textId="06C1E5B9" w:rsidR="00B07FEB" w:rsidRPr="00F073F8" w:rsidRDefault="00B07FEB" w:rsidP="00F073F8">
            <w:pPr>
              <w:rPr>
                <w:b/>
                <w:bCs/>
                <w:sz w:val="22"/>
                <w:szCs w:val="22"/>
              </w:rPr>
            </w:pPr>
            <w:r w:rsidRPr="00F073F8">
              <w:rPr>
                <w:b/>
                <w:bCs/>
                <w:sz w:val="22"/>
                <w:szCs w:val="22"/>
              </w:rPr>
              <w:t>MUSCULOSKELETAL</w:t>
            </w:r>
          </w:p>
        </w:tc>
        <w:tc>
          <w:tcPr>
            <w:tcW w:w="1560" w:type="dxa"/>
          </w:tcPr>
          <w:p w14:paraId="7B4C5958" w14:textId="77777777" w:rsidR="00B07FEB" w:rsidRPr="00F073F8" w:rsidRDefault="00B07FEB" w:rsidP="00F073F8">
            <w:pPr>
              <w:rPr>
                <w:sz w:val="22"/>
                <w:szCs w:val="22"/>
              </w:rPr>
            </w:pPr>
          </w:p>
        </w:tc>
        <w:tc>
          <w:tcPr>
            <w:tcW w:w="1608" w:type="dxa"/>
          </w:tcPr>
          <w:p w14:paraId="3B0C8266" w14:textId="77777777" w:rsidR="00B07FEB" w:rsidRPr="00F073F8" w:rsidRDefault="00B07FEB" w:rsidP="00F073F8">
            <w:pPr>
              <w:rPr>
                <w:sz w:val="22"/>
                <w:szCs w:val="22"/>
              </w:rPr>
            </w:pPr>
          </w:p>
        </w:tc>
      </w:tr>
      <w:tr w:rsidR="00B07FEB" w:rsidRPr="00F073F8" w14:paraId="78B57E35" w14:textId="77777777" w:rsidTr="008539F3">
        <w:trPr>
          <w:jc w:val="center"/>
        </w:trPr>
        <w:tc>
          <w:tcPr>
            <w:tcW w:w="5098" w:type="dxa"/>
          </w:tcPr>
          <w:p w14:paraId="348ADDD8" w14:textId="690880BD" w:rsidR="00B07FEB" w:rsidRPr="00F073F8" w:rsidRDefault="00B07FEB" w:rsidP="00F073F8">
            <w:pPr>
              <w:rPr>
                <w:sz w:val="22"/>
                <w:szCs w:val="22"/>
              </w:rPr>
            </w:pPr>
            <w:r w:rsidRPr="00F073F8">
              <w:rPr>
                <w:sz w:val="22"/>
                <w:szCs w:val="22"/>
              </w:rPr>
              <w:t>Arthralgia</w:t>
            </w:r>
          </w:p>
        </w:tc>
        <w:tc>
          <w:tcPr>
            <w:tcW w:w="1560" w:type="dxa"/>
          </w:tcPr>
          <w:p w14:paraId="4E6D76D1" w14:textId="3554893C" w:rsidR="00B07FEB" w:rsidRPr="00F073F8" w:rsidRDefault="00B07FEB" w:rsidP="00F073F8">
            <w:pPr>
              <w:rPr>
                <w:sz w:val="22"/>
                <w:szCs w:val="22"/>
              </w:rPr>
            </w:pPr>
            <w:r w:rsidRPr="00F073F8">
              <w:rPr>
                <w:sz w:val="22"/>
                <w:szCs w:val="22"/>
              </w:rPr>
              <w:t>10.1</w:t>
            </w:r>
          </w:p>
        </w:tc>
        <w:tc>
          <w:tcPr>
            <w:tcW w:w="1608" w:type="dxa"/>
          </w:tcPr>
          <w:p w14:paraId="5874177A" w14:textId="1BB67731" w:rsidR="00B07FEB" w:rsidRPr="00F073F8" w:rsidRDefault="00B07FEB" w:rsidP="00F073F8">
            <w:pPr>
              <w:rPr>
                <w:sz w:val="22"/>
                <w:szCs w:val="22"/>
              </w:rPr>
            </w:pPr>
            <w:r w:rsidRPr="00F073F8">
              <w:rPr>
                <w:sz w:val="22"/>
                <w:szCs w:val="22"/>
              </w:rPr>
              <w:t>8.4</w:t>
            </w:r>
          </w:p>
        </w:tc>
      </w:tr>
      <w:tr w:rsidR="00B07FEB" w:rsidRPr="00F073F8" w14:paraId="1A23E97E" w14:textId="77777777" w:rsidTr="008539F3">
        <w:trPr>
          <w:jc w:val="center"/>
        </w:trPr>
        <w:tc>
          <w:tcPr>
            <w:tcW w:w="5098" w:type="dxa"/>
          </w:tcPr>
          <w:p w14:paraId="3FCB1D8D" w14:textId="649A4F0D" w:rsidR="00B07FEB" w:rsidRPr="00F073F8" w:rsidRDefault="00B07FEB" w:rsidP="00F073F8">
            <w:pPr>
              <w:rPr>
                <w:sz w:val="22"/>
                <w:szCs w:val="22"/>
              </w:rPr>
            </w:pPr>
            <w:r w:rsidRPr="00F073F8">
              <w:rPr>
                <w:sz w:val="22"/>
                <w:szCs w:val="22"/>
              </w:rPr>
              <w:t xml:space="preserve">Leg </w:t>
            </w:r>
            <w:r w:rsidR="007911F9" w:rsidRPr="00F073F8">
              <w:rPr>
                <w:sz w:val="22"/>
                <w:szCs w:val="22"/>
              </w:rPr>
              <w:t>c</w:t>
            </w:r>
            <w:r w:rsidRPr="00F073F8">
              <w:rPr>
                <w:sz w:val="22"/>
                <w:szCs w:val="22"/>
              </w:rPr>
              <w:t>ramps</w:t>
            </w:r>
          </w:p>
        </w:tc>
        <w:tc>
          <w:tcPr>
            <w:tcW w:w="1560" w:type="dxa"/>
          </w:tcPr>
          <w:p w14:paraId="6E397500" w14:textId="58A52C36" w:rsidR="00B07FEB" w:rsidRPr="00F073F8" w:rsidRDefault="007911F9" w:rsidP="00F073F8">
            <w:pPr>
              <w:rPr>
                <w:sz w:val="22"/>
                <w:szCs w:val="22"/>
              </w:rPr>
            </w:pPr>
            <w:r w:rsidRPr="00F073F8">
              <w:rPr>
                <w:sz w:val="22"/>
                <w:szCs w:val="22"/>
              </w:rPr>
              <w:t>2.6</w:t>
            </w:r>
          </w:p>
        </w:tc>
        <w:tc>
          <w:tcPr>
            <w:tcW w:w="1608" w:type="dxa"/>
          </w:tcPr>
          <w:p w14:paraId="2D4A657B" w14:textId="0BBFB271" w:rsidR="00B07FEB" w:rsidRPr="00F073F8" w:rsidRDefault="007911F9" w:rsidP="00F073F8">
            <w:pPr>
              <w:rPr>
                <w:sz w:val="22"/>
                <w:szCs w:val="22"/>
              </w:rPr>
            </w:pPr>
            <w:r w:rsidRPr="00F073F8">
              <w:rPr>
                <w:sz w:val="22"/>
                <w:szCs w:val="22"/>
              </w:rPr>
              <w:t>1.3</w:t>
            </w:r>
          </w:p>
        </w:tc>
      </w:tr>
      <w:tr w:rsidR="007911F9" w:rsidRPr="00F073F8" w14:paraId="1C21ACCC" w14:textId="77777777" w:rsidTr="008539F3">
        <w:trPr>
          <w:jc w:val="center"/>
        </w:trPr>
        <w:tc>
          <w:tcPr>
            <w:tcW w:w="5098" w:type="dxa"/>
          </w:tcPr>
          <w:p w14:paraId="632CCC27" w14:textId="232B6059" w:rsidR="007911F9" w:rsidRPr="00F073F8" w:rsidRDefault="007911F9" w:rsidP="00F073F8">
            <w:pPr>
              <w:rPr>
                <w:b/>
                <w:bCs/>
                <w:sz w:val="22"/>
                <w:szCs w:val="22"/>
              </w:rPr>
            </w:pPr>
            <w:r w:rsidRPr="00F073F8">
              <w:rPr>
                <w:b/>
                <w:bCs/>
                <w:sz w:val="22"/>
                <w:szCs w:val="22"/>
              </w:rPr>
              <w:t>NERVOUS SYSTEM</w:t>
            </w:r>
          </w:p>
        </w:tc>
        <w:tc>
          <w:tcPr>
            <w:tcW w:w="1560" w:type="dxa"/>
          </w:tcPr>
          <w:p w14:paraId="48A0DCD8" w14:textId="77777777" w:rsidR="007911F9" w:rsidRPr="00F073F8" w:rsidRDefault="007911F9" w:rsidP="00F073F8">
            <w:pPr>
              <w:rPr>
                <w:sz w:val="22"/>
                <w:szCs w:val="22"/>
              </w:rPr>
            </w:pPr>
          </w:p>
        </w:tc>
        <w:tc>
          <w:tcPr>
            <w:tcW w:w="1608" w:type="dxa"/>
          </w:tcPr>
          <w:p w14:paraId="5E451ACA" w14:textId="77777777" w:rsidR="007911F9" w:rsidRPr="00F073F8" w:rsidRDefault="007911F9" w:rsidP="00F073F8">
            <w:pPr>
              <w:rPr>
                <w:sz w:val="22"/>
                <w:szCs w:val="22"/>
              </w:rPr>
            </w:pPr>
          </w:p>
        </w:tc>
      </w:tr>
      <w:tr w:rsidR="007911F9" w:rsidRPr="00F073F8" w14:paraId="5EBD0CD7" w14:textId="77777777" w:rsidTr="008539F3">
        <w:trPr>
          <w:jc w:val="center"/>
        </w:trPr>
        <w:tc>
          <w:tcPr>
            <w:tcW w:w="5098" w:type="dxa"/>
          </w:tcPr>
          <w:p w14:paraId="1BCE43D6" w14:textId="16A48F73" w:rsidR="007911F9" w:rsidRPr="00F073F8" w:rsidRDefault="007911F9" w:rsidP="00F073F8">
            <w:pPr>
              <w:rPr>
                <w:sz w:val="22"/>
                <w:szCs w:val="22"/>
              </w:rPr>
            </w:pPr>
            <w:r w:rsidRPr="00F073F8">
              <w:rPr>
                <w:sz w:val="22"/>
                <w:szCs w:val="22"/>
              </w:rPr>
              <w:t>Dizziness</w:t>
            </w:r>
          </w:p>
        </w:tc>
        <w:tc>
          <w:tcPr>
            <w:tcW w:w="1560" w:type="dxa"/>
          </w:tcPr>
          <w:p w14:paraId="530D1C38" w14:textId="667E3397" w:rsidR="007911F9" w:rsidRPr="00F073F8" w:rsidRDefault="007911F9" w:rsidP="00F073F8">
            <w:pPr>
              <w:rPr>
                <w:sz w:val="22"/>
                <w:szCs w:val="22"/>
              </w:rPr>
            </w:pPr>
            <w:r w:rsidRPr="00F073F8">
              <w:rPr>
                <w:sz w:val="22"/>
                <w:szCs w:val="22"/>
              </w:rPr>
              <w:t>8.0</w:t>
            </w:r>
          </w:p>
        </w:tc>
        <w:tc>
          <w:tcPr>
            <w:tcW w:w="1608" w:type="dxa"/>
          </w:tcPr>
          <w:p w14:paraId="39006204" w14:textId="253AD7F7" w:rsidR="007911F9" w:rsidRPr="00F073F8" w:rsidRDefault="006045D7" w:rsidP="00F073F8">
            <w:pPr>
              <w:rPr>
                <w:sz w:val="22"/>
                <w:szCs w:val="22"/>
              </w:rPr>
            </w:pPr>
            <w:r w:rsidRPr="00F073F8">
              <w:rPr>
                <w:sz w:val="22"/>
                <w:szCs w:val="22"/>
              </w:rPr>
              <w:t>5.4</w:t>
            </w:r>
          </w:p>
        </w:tc>
      </w:tr>
      <w:tr w:rsidR="006045D7" w:rsidRPr="00F073F8" w14:paraId="35837CE9" w14:textId="77777777" w:rsidTr="008539F3">
        <w:trPr>
          <w:jc w:val="center"/>
        </w:trPr>
        <w:tc>
          <w:tcPr>
            <w:tcW w:w="5098" w:type="dxa"/>
          </w:tcPr>
          <w:p w14:paraId="3F23B026" w14:textId="446E9FA4" w:rsidR="006045D7" w:rsidRPr="00F073F8" w:rsidRDefault="006045D7" w:rsidP="00F073F8">
            <w:pPr>
              <w:rPr>
                <w:sz w:val="22"/>
                <w:szCs w:val="22"/>
              </w:rPr>
            </w:pPr>
            <w:r w:rsidRPr="00F073F8">
              <w:rPr>
                <w:sz w:val="22"/>
                <w:szCs w:val="22"/>
              </w:rPr>
              <w:t>Depression</w:t>
            </w:r>
          </w:p>
        </w:tc>
        <w:tc>
          <w:tcPr>
            <w:tcW w:w="1560" w:type="dxa"/>
          </w:tcPr>
          <w:p w14:paraId="57297892" w14:textId="3A5611F7" w:rsidR="006045D7" w:rsidRPr="00F073F8" w:rsidRDefault="006045D7" w:rsidP="00F073F8">
            <w:pPr>
              <w:rPr>
                <w:sz w:val="22"/>
                <w:szCs w:val="22"/>
              </w:rPr>
            </w:pPr>
            <w:r w:rsidRPr="00F073F8">
              <w:rPr>
                <w:sz w:val="22"/>
                <w:szCs w:val="22"/>
              </w:rPr>
              <w:t>4.1</w:t>
            </w:r>
          </w:p>
        </w:tc>
        <w:tc>
          <w:tcPr>
            <w:tcW w:w="1608" w:type="dxa"/>
          </w:tcPr>
          <w:p w14:paraId="6D035FEA" w14:textId="6C4ED14E" w:rsidR="006045D7" w:rsidRPr="00F073F8" w:rsidRDefault="006045D7" w:rsidP="00F073F8">
            <w:pPr>
              <w:rPr>
                <w:sz w:val="22"/>
                <w:szCs w:val="22"/>
              </w:rPr>
            </w:pPr>
            <w:r w:rsidRPr="00F073F8">
              <w:rPr>
                <w:sz w:val="22"/>
                <w:szCs w:val="22"/>
              </w:rPr>
              <w:t>2.7</w:t>
            </w:r>
          </w:p>
        </w:tc>
      </w:tr>
      <w:tr w:rsidR="006045D7" w:rsidRPr="00F073F8" w14:paraId="5845F8CB" w14:textId="77777777" w:rsidTr="008539F3">
        <w:trPr>
          <w:jc w:val="center"/>
        </w:trPr>
        <w:tc>
          <w:tcPr>
            <w:tcW w:w="5098" w:type="dxa"/>
          </w:tcPr>
          <w:p w14:paraId="0F7DFD9A" w14:textId="6CAF7418" w:rsidR="006045D7" w:rsidRPr="00F073F8" w:rsidRDefault="006045D7" w:rsidP="00F073F8">
            <w:pPr>
              <w:rPr>
                <w:sz w:val="22"/>
                <w:szCs w:val="22"/>
              </w:rPr>
            </w:pPr>
            <w:r w:rsidRPr="00F073F8">
              <w:rPr>
                <w:sz w:val="22"/>
                <w:szCs w:val="22"/>
              </w:rPr>
              <w:t>Insomnia</w:t>
            </w:r>
          </w:p>
        </w:tc>
        <w:tc>
          <w:tcPr>
            <w:tcW w:w="1560" w:type="dxa"/>
          </w:tcPr>
          <w:p w14:paraId="6F76B271" w14:textId="512970CF" w:rsidR="006045D7" w:rsidRPr="00F073F8" w:rsidRDefault="006045D7" w:rsidP="00F073F8">
            <w:pPr>
              <w:rPr>
                <w:sz w:val="22"/>
                <w:szCs w:val="22"/>
              </w:rPr>
            </w:pPr>
            <w:r w:rsidRPr="00F073F8">
              <w:rPr>
                <w:sz w:val="22"/>
                <w:szCs w:val="22"/>
              </w:rPr>
              <w:t>4.3</w:t>
            </w:r>
          </w:p>
        </w:tc>
        <w:tc>
          <w:tcPr>
            <w:tcW w:w="1608" w:type="dxa"/>
          </w:tcPr>
          <w:p w14:paraId="37A88D6A" w14:textId="104285E2" w:rsidR="006045D7" w:rsidRPr="00F073F8" w:rsidRDefault="006045D7" w:rsidP="00F073F8">
            <w:pPr>
              <w:rPr>
                <w:sz w:val="22"/>
                <w:szCs w:val="22"/>
              </w:rPr>
            </w:pPr>
            <w:r w:rsidRPr="00F073F8">
              <w:rPr>
                <w:sz w:val="22"/>
                <w:szCs w:val="22"/>
              </w:rPr>
              <w:t>3.6</w:t>
            </w:r>
          </w:p>
        </w:tc>
      </w:tr>
      <w:tr w:rsidR="006045D7" w:rsidRPr="00F073F8" w14:paraId="21089ECD" w14:textId="77777777" w:rsidTr="008539F3">
        <w:trPr>
          <w:jc w:val="center"/>
        </w:trPr>
        <w:tc>
          <w:tcPr>
            <w:tcW w:w="5098" w:type="dxa"/>
          </w:tcPr>
          <w:p w14:paraId="7D679A5A" w14:textId="32B31803" w:rsidR="006045D7" w:rsidRPr="00F073F8" w:rsidRDefault="006045D7" w:rsidP="00F073F8">
            <w:pPr>
              <w:rPr>
                <w:sz w:val="22"/>
                <w:szCs w:val="22"/>
              </w:rPr>
            </w:pPr>
            <w:r w:rsidRPr="00F073F8">
              <w:rPr>
                <w:sz w:val="22"/>
                <w:szCs w:val="22"/>
              </w:rPr>
              <w:t>Vertigo</w:t>
            </w:r>
          </w:p>
        </w:tc>
        <w:tc>
          <w:tcPr>
            <w:tcW w:w="1560" w:type="dxa"/>
          </w:tcPr>
          <w:p w14:paraId="0A996B28" w14:textId="711D6FAD" w:rsidR="006045D7" w:rsidRPr="00F073F8" w:rsidRDefault="00CE47BC" w:rsidP="00F073F8">
            <w:pPr>
              <w:rPr>
                <w:sz w:val="22"/>
                <w:szCs w:val="22"/>
              </w:rPr>
            </w:pPr>
            <w:r w:rsidRPr="00F073F8">
              <w:rPr>
                <w:sz w:val="22"/>
                <w:szCs w:val="22"/>
              </w:rPr>
              <w:t>3.8</w:t>
            </w:r>
          </w:p>
        </w:tc>
        <w:tc>
          <w:tcPr>
            <w:tcW w:w="1608" w:type="dxa"/>
          </w:tcPr>
          <w:p w14:paraId="3AB085C5" w14:textId="3B5E57A8" w:rsidR="006045D7" w:rsidRPr="00F073F8" w:rsidRDefault="00CE47BC" w:rsidP="00F073F8">
            <w:pPr>
              <w:rPr>
                <w:sz w:val="22"/>
                <w:szCs w:val="22"/>
              </w:rPr>
            </w:pPr>
            <w:r w:rsidRPr="00F073F8">
              <w:rPr>
                <w:sz w:val="22"/>
                <w:szCs w:val="22"/>
              </w:rPr>
              <w:t>2.7</w:t>
            </w:r>
          </w:p>
        </w:tc>
      </w:tr>
      <w:tr w:rsidR="00CE47BC" w:rsidRPr="00F073F8" w14:paraId="03D496C8" w14:textId="77777777" w:rsidTr="008539F3">
        <w:trPr>
          <w:jc w:val="center"/>
        </w:trPr>
        <w:tc>
          <w:tcPr>
            <w:tcW w:w="5098" w:type="dxa"/>
          </w:tcPr>
          <w:p w14:paraId="4E8491A3" w14:textId="46B6FA78" w:rsidR="00CE47BC" w:rsidRPr="00F073F8" w:rsidRDefault="00CE47BC" w:rsidP="00F073F8">
            <w:pPr>
              <w:rPr>
                <w:b/>
                <w:bCs/>
                <w:sz w:val="22"/>
                <w:szCs w:val="22"/>
              </w:rPr>
            </w:pPr>
            <w:r w:rsidRPr="00F073F8">
              <w:rPr>
                <w:b/>
                <w:bCs/>
                <w:sz w:val="22"/>
                <w:szCs w:val="22"/>
              </w:rPr>
              <w:t>RESPIRATORY SYSTEM</w:t>
            </w:r>
          </w:p>
        </w:tc>
        <w:tc>
          <w:tcPr>
            <w:tcW w:w="1560" w:type="dxa"/>
          </w:tcPr>
          <w:p w14:paraId="4ED3FE65" w14:textId="77777777" w:rsidR="00CE47BC" w:rsidRPr="00F073F8" w:rsidRDefault="00CE47BC" w:rsidP="00F073F8">
            <w:pPr>
              <w:rPr>
                <w:sz w:val="22"/>
                <w:szCs w:val="22"/>
              </w:rPr>
            </w:pPr>
          </w:p>
        </w:tc>
        <w:tc>
          <w:tcPr>
            <w:tcW w:w="1608" w:type="dxa"/>
          </w:tcPr>
          <w:p w14:paraId="35D33CE9" w14:textId="77777777" w:rsidR="00CE47BC" w:rsidRPr="00F073F8" w:rsidRDefault="00CE47BC" w:rsidP="00F073F8">
            <w:pPr>
              <w:rPr>
                <w:sz w:val="22"/>
                <w:szCs w:val="22"/>
              </w:rPr>
            </w:pPr>
          </w:p>
        </w:tc>
      </w:tr>
      <w:tr w:rsidR="00CE47BC" w:rsidRPr="00F073F8" w14:paraId="0344F9AF" w14:textId="77777777" w:rsidTr="008539F3">
        <w:trPr>
          <w:jc w:val="center"/>
        </w:trPr>
        <w:tc>
          <w:tcPr>
            <w:tcW w:w="5098" w:type="dxa"/>
          </w:tcPr>
          <w:p w14:paraId="23E1B8BC" w14:textId="2B33D14A" w:rsidR="00CE47BC" w:rsidRPr="00F073F8" w:rsidRDefault="00CE47BC" w:rsidP="00F073F8">
            <w:pPr>
              <w:rPr>
                <w:sz w:val="22"/>
                <w:szCs w:val="22"/>
              </w:rPr>
            </w:pPr>
            <w:r w:rsidRPr="00F073F8">
              <w:rPr>
                <w:sz w:val="22"/>
                <w:szCs w:val="22"/>
              </w:rPr>
              <w:t>Rhinitis</w:t>
            </w:r>
          </w:p>
        </w:tc>
        <w:tc>
          <w:tcPr>
            <w:tcW w:w="1560" w:type="dxa"/>
          </w:tcPr>
          <w:p w14:paraId="2578BD05" w14:textId="2DB50BF7" w:rsidR="00CE47BC" w:rsidRPr="00F073F8" w:rsidRDefault="00CE47BC" w:rsidP="00F073F8">
            <w:pPr>
              <w:rPr>
                <w:sz w:val="22"/>
                <w:szCs w:val="22"/>
              </w:rPr>
            </w:pPr>
            <w:r w:rsidRPr="00F073F8">
              <w:rPr>
                <w:sz w:val="22"/>
                <w:szCs w:val="22"/>
              </w:rPr>
              <w:t>9.6</w:t>
            </w:r>
          </w:p>
        </w:tc>
        <w:tc>
          <w:tcPr>
            <w:tcW w:w="1608" w:type="dxa"/>
          </w:tcPr>
          <w:p w14:paraId="23F82F8D" w14:textId="5DD61BAB" w:rsidR="00CE47BC" w:rsidRPr="00F073F8" w:rsidRDefault="00CE47BC" w:rsidP="00F073F8">
            <w:pPr>
              <w:rPr>
                <w:sz w:val="22"/>
                <w:szCs w:val="22"/>
              </w:rPr>
            </w:pPr>
            <w:r w:rsidRPr="00F073F8">
              <w:rPr>
                <w:sz w:val="22"/>
                <w:szCs w:val="22"/>
              </w:rPr>
              <w:t>8.8</w:t>
            </w:r>
          </w:p>
        </w:tc>
      </w:tr>
      <w:tr w:rsidR="00CE47BC" w:rsidRPr="00F073F8" w14:paraId="7F00E1A2" w14:textId="77777777" w:rsidTr="008539F3">
        <w:trPr>
          <w:jc w:val="center"/>
        </w:trPr>
        <w:tc>
          <w:tcPr>
            <w:tcW w:w="5098" w:type="dxa"/>
          </w:tcPr>
          <w:p w14:paraId="29ED101D" w14:textId="56779619" w:rsidR="00CE47BC" w:rsidRPr="00F073F8" w:rsidRDefault="00CE47BC" w:rsidP="00F073F8">
            <w:pPr>
              <w:rPr>
                <w:sz w:val="22"/>
                <w:szCs w:val="22"/>
              </w:rPr>
            </w:pPr>
            <w:r w:rsidRPr="00F073F8">
              <w:rPr>
                <w:sz w:val="22"/>
                <w:szCs w:val="22"/>
              </w:rPr>
              <w:t>Cough increased</w:t>
            </w:r>
          </w:p>
        </w:tc>
        <w:tc>
          <w:tcPr>
            <w:tcW w:w="1560" w:type="dxa"/>
          </w:tcPr>
          <w:p w14:paraId="068FDF29" w14:textId="7DC1C38A" w:rsidR="00CE47BC" w:rsidRPr="00F073F8" w:rsidRDefault="00CE47BC" w:rsidP="00F073F8">
            <w:pPr>
              <w:rPr>
                <w:sz w:val="22"/>
                <w:szCs w:val="22"/>
              </w:rPr>
            </w:pPr>
            <w:r w:rsidRPr="00F073F8">
              <w:rPr>
                <w:sz w:val="22"/>
                <w:szCs w:val="22"/>
              </w:rPr>
              <w:t>6.4</w:t>
            </w:r>
          </w:p>
        </w:tc>
        <w:tc>
          <w:tcPr>
            <w:tcW w:w="1608" w:type="dxa"/>
          </w:tcPr>
          <w:p w14:paraId="5870EB54" w14:textId="579DC5EC" w:rsidR="00CE47BC" w:rsidRPr="00F073F8" w:rsidRDefault="007D73B9" w:rsidP="00F073F8">
            <w:pPr>
              <w:rPr>
                <w:sz w:val="22"/>
                <w:szCs w:val="22"/>
              </w:rPr>
            </w:pPr>
            <w:r w:rsidRPr="00F073F8">
              <w:rPr>
                <w:sz w:val="22"/>
                <w:szCs w:val="22"/>
              </w:rPr>
              <w:t>5.5</w:t>
            </w:r>
          </w:p>
        </w:tc>
      </w:tr>
      <w:tr w:rsidR="007D73B9" w:rsidRPr="00F073F8" w14:paraId="6ED03A9D" w14:textId="77777777" w:rsidTr="008539F3">
        <w:trPr>
          <w:jc w:val="center"/>
        </w:trPr>
        <w:tc>
          <w:tcPr>
            <w:tcW w:w="5098" w:type="dxa"/>
          </w:tcPr>
          <w:p w14:paraId="066BF810" w14:textId="76DECDC5" w:rsidR="007D73B9" w:rsidRPr="00F073F8" w:rsidRDefault="007D73B9" w:rsidP="00F073F8">
            <w:pPr>
              <w:rPr>
                <w:sz w:val="22"/>
                <w:szCs w:val="22"/>
              </w:rPr>
            </w:pPr>
            <w:r w:rsidRPr="00F073F8">
              <w:rPr>
                <w:sz w:val="22"/>
                <w:szCs w:val="22"/>
              </w:rPr>
              <w:t>Pharyngitis</w:t>
            </w:r>
          </w:p>
        </w:tc>
        <w:tc>
          <w:tcPr>
            <w:tcW w:w="1560" w:type="dxa"/>
          </w:tcPr>
          <w:p w14:paraId="77182080" w14:textId="52543C84" w:rsidR="007D73B9" w:rsidRPr="00F073F8" w:rsidRDefault="007D73B9" w:rsidP="00F073F8">
            <w:pPr>
              <w:rPr>
                <w:sz w:val="22"/>
                <w:szCs w:val="22"/>
              </w:rPr>
            </w:pPr>
            <w:r w:rsidRPr="00F073F8">
              <w:rPr>
                <w:sz w:val="22"/>
                <w:szCs w:val="22"/>
              </w:rPr>
              <w:t>5.5</w:t>
            </w:r>
          </w:p>
        </w:tc>
        <w:tc>
          <w:tcPr>
            <w:tcW w:w="1608" w:type="dxa"/>
          </w:tcPr>
          <w:p w14:paraId="73A3D285" w14:textId="1E6171B4" w:rsidR="007D73B9" w:rsidRPr="00F073F8" w:rsidRDefault="007D73B9" w:rsidP="00F073F8">
            <w:pPr>
              <w:rPr>
                <w:sz w:val="22"/>
                <w:szCs w:val="22"/>
              </w:rPr>
            </w:pPr>
            <w:r w:rsidRPr="00F073F8">
              <w:rPr>
                <w:sz w:val="22"/>
                <w:szCs w:val="22"/>
              </w:rPr>
              <w:t>4.8</w:t>
            </w:r>
          </w:p>
        </w:tc>
      </w:tr>
      <w:tr w:rsidR="007D73B9" w:rsidRPr="00F073F8" w14:paraId="13B405BB" w14:textId="77777777" w:rsidTr="008539F3">
        <w:trPr>
          <w:jc w:val="center"/>
        </w:trPr>
        <w:tc>
          <w:tcPr>
            <w:tcW w:w="5098" w:type="dxa"/>
          </w:tcPr>
          <w:p w14:paraId="4038BA7D" w14:textId="0525AFEB" w:rsidR="007D73B9" w:rsidRPr="00F073F8" w:rsidRDefault="007D73B9" w:rsidP="00F073F8">
            <w:pPr>
              <w:rPr>
                <w:sz w:val="22"/>
                <w:szCs w:val="22"/>
              </w:rPr>
            </w:pPr>
            <w:r w:rsidRPr="00F073F8">
              <w:rPr>
                <w:sz w:val="22"/>
                <w:szCs w:val="22"/>
              </w:rPr>
              <w:t>Dyspnoea</w:t>
            </w:r>
          </w:p>
        </w:tc>
        <w:tc>
          <w:tcPr>
            <w:tcW w:w="1560" w:type="dxa"/>
          </w:tcPr>
          <w:p w14:paraId="5B571B2F" w14:textId="78C2C352" w:rsidR="007D73B9" w:rsidRPr="00F073F8" w:rsidRDefault="007D73B9" w:rsidP="00F073F8">
            <w:pPr>
              <w:rPr>
                <w:sz w:val="22"/>
                <w:szCs w:val="22"/>
              </w:rPr>
            </w:pPr>
            <w:r w:rsidRPr="00F073F8">
              <w:rPr>
                <w:sz w:val="22"/>
                <w:szCs w:val="22"/>
              </w:rPr>
              <w:t>3.6</w:t>
            </w:r>
          </w:p>
        </w:tc>
        <w:tc>
          <w:tcPr>
            <w:tcW w:w="1608" w:type="dxa"/>
          </w:tcPr>
          <w:p w14:paraId="37BAC8BE" w14:textId="68D64785" w:rsidR="007D73B9" w:rsidRPr="00F073F8" w:rsidRDefault="007D73B9" w:rsidP="00F073F8">
            <w:pPr>
              <w:rPr>
                <w:sz w:val="22"/>
                <w:szCs w:val="22"/>
              </w:rPr>
            </w:pPr>
            <w:r w:rsidRPr="00F073F8">
              <w:rPr>
                <w:sz w:val="22"/>
                <w:szCs w:val="22"/>
              </w:rPr>
              <w:t>2.6</w:t>
            </w:r>
          </w:p>
        </w:tc>
      </w:tr>
      <w:tr w:rsidR="007D73B9" w:rsidRPr="00F073F8" w14:paraId="4179BCD0" w14:textId="77777777" w:rsidTr="008539F3">
        <w:trPr>
          <w:jc w:val="center"/>
        </w:trPr>
        <w:tc>
          <w:tcPr>
            <w:tcW w:w="5098" w:type="dxa"/>
          </w:tcPr>
          <w:p w14:paraId="6DCF3865" w14:textId="2937CBED" w:rsidR="007D73B9" w:rsidRPr="00F073F8" w:rsidRDefault="007D73B9" w:rsidP="00F073F8">
            <w:pPr>
              <w:rPr>
                <w:sz w:val="22"/>
                <w:szCs w:val="22"/>
              </w:rPr>
            </w:pPr>
            <w:r w:rsidRPr="00F073F8">
              <w:rPr>
                <w:sz w:val="22"/>
                <w:szCs w:val="22"/>
              </w:rPr>
              <w:t>P</w:t>
            </w:r>
            <w:r w:rsidR="007C11E3" w:rsidRPr="00F073F8">
              <w:rPr>
                <w:sz w:val="22"/>
                <w:szCs w:val="22"/>
              </w:rPr>
              <w:t>neumonia</w:t>
            </w:r>
          </w:p>
        </w:tc>
        <w:tc>
          <w:tcPr>
            <w:tcW w:w="1560" w:type="dxa"/>
          </w:tcPr>
          <w:p w14:paraId="41B35BE0" w14:textId="6025AF86" w:rsidR="007D73B9" w:rsidRPr="00F073F8" w:rsidRDefault="007C11E3" w:rsidP="00F073F8">
            <w:pPr>
              <w:rPr>
                <w:sz w:val="22"/>
                <w:szCs w:val="22"/>
              </w:rPr>
            </w:pPr>
            <w:r w:rsidRPr="00F073F8">
              <w:rPr>
                <w:sz w:val="22"/>
                <w:szCs w:val="22"/>
              </w:rPr>
              <w:t>3.9</w:t>
            </w:r>
          </w:p>
        </w:tc>
        <w:tc>
          <w:tcPr>
            <w:tcW w:w="1608" w:type="dxa"/>
          </w:tcPr>
          <w:p w14:paraId="18D86A7B" w14:textId="65B4055A" w:rsidR="007D73B9" w:rsidRPr="00F073F8" w:rsidRDefault="007C11E3" w:rsidP="00F073F8">
            <w:pPr>
              <w:rPr>
                <w:sz w:val="22"/>
                <w:szCs w:val="22"/>
              </w:rPr>
            </w:pPr>
            <w:r w:rsidRPr="00F073F8">
              <w:rPr>
                <w:sz w:val="22"/>
                <w:szCs w:val="22"/>
              </w:rPr>
              <w:t>3.3</w:t>
            </w:r>
          </w:p>
        </w:tc>
      </w:tr>
      <w:tr w:rsidR="007C11E3" w:rsidRPr="00F073F8" w14:paraId="04E276BC" w14:textId="77777777" w:rsidTr="008539F3">
        <w:trPr>
          <w:jc w:val="center"/>
        </w:trPr>
        <w:tc>
          <w:tcPr>
            <w:tcW w:w="5098" w:type="dxa"/>
          </w:tcPr>
          <w:p w14:paraId="49C8200F" w14:textId="55DF576E" w:rsidR="007C11E3" w:rsidRPr="00F073F8" w:rsidRDefault="007C11E3" w:rsidP="00F073F8">
            <w:pPr>
              <w:rPr>
                <w:b/>
                <w:bCs/>
                <w:sz w:val="22"/>
                <w:szCs w:val="22"/>
              </w:rPr>
            </w:pPr>
            <w:r w:rsidRPr="00F073F8">
              <w:rPr>
                <w:b/>
                <w:bCs/>
                <w:sz w:val="22"/>
                <w:szCs w:val="22"/>
              </w:rPr>
              <w:t>SKIN AND APPENDAGES</w:t>
            </w:r>
          </w:p>
        </w:tc>
        <w:tc>
          <w:tcPr>
            <w:tcW w:w="1560" w:type="dxa"/>
          </w:tcPr>
          <w:p w14:paraId="1D82C67A" w14:textId="77777777" w:rsidR="007C11E3" w:rsidRPr="00F073F8" w:rsidRDefault="007C11E3" w:rsidP="00F073F8">
            <w:pPr>
              <w:rPr>
                <w:sz w:val="22"/>
                <w:szCs w:val="22"/>
              </w:rPr>
            </w:pPr>
          </w:p>
        </w:tc>
        <w:tc>
          <w:tcPr>
            <w:tcW w:w="1608" w:type="dxa"/>
          </w:tcPr>
          <w:p w14:paraId="3D0506CB" w14:textId="77777777" w:rsidR="007C11E3" w:rsidRPr="00F073F8" w:rsidRDefault="007C11E3" w:rsidP="00F073F8">
            <w:pPr>
              <w:rPr>
                <w:sz w:val="22"/>
                <w:szCs w:val="22"/>
              </w:rPr>
            </w:pPr>
          </w:p>
        </w:tc>
      </w:tr>
      <w:tr w:rsidR="007C11E3" w:rsidRPr="00F073F8" w14:paraId="5F5BB163" w14:textId="77777777" w:rsidTr="008539F3">
        <w:trPr>
          <w:jc w:val="center"/>
        </w:trPr>
        <w:tc>
          <w:tcPr>
            <w:tcW w:w="5098" w:type="dxa"/>
          </w:tcPr>
          <w:p w14:paraId="70A16E9B" w14:textId="205308BB" w:rsidR="007C11E3" w:rsidRPr="00F073F8" w:rsidRDefault="007C11E3" w:rsidP="00F073F8">
            <w:pPr>
              <w:rPr>
                <w:sz w:val="22"/>
                <w:szCs w:val="22"/>
              </w:rPr>
            </w:pPr>
            <w:r w:rsidRPr="00F073F8">
              <w:rPr>
                <w:sz w:val="22"/>
                <w:szCs w:val="22"/>
              </w:rPr>
              <w:t>Rash</w:t>
            </w:r>
          </w:p>
        </w:tc>
        <w:tc>
          <w:tcPr>
            <w:tcW w:w="1560" w:type="dxa"/>
          </w:tcPr>
          <w:p w14:paraId="7C1D292A" w14:textId="06559B3F" w:rsidR="007C11E3" w:rsidRPr="00F073F8" w:rsidRDefault="007C11E3" w:rsidP="00F073F8">
            <w:pPr>
              <w:rPr>
                <w:sz w:val="22"/>
                <w:szCs w:val="22"/>
              </w:rPr>
            </w:pPr>
            <w:r w:rsidRPr="00F073F8">
              <w:rPr>
                <w:sz w:val="22"/>
                <w:szCs w:val="22"/>
              </w:rPr>
              <w:t>4.9</w:t>
            </w:r>
          </w:p>
        </w:tc>
        <w:tc>
          <w:tcPr>
            <w:tcW w:w="1608" w:type="dxa"/>
          </w:tcPr>
          <w:p w14:paraId="05C13004" w14:textId="71EAEA75" w:rsidR="007C11E3" w:rsidRPr="00F073F8" w:rsidRDefault="007C11E3" w:rsidP="00F073F8">
            <w:pPr>
              <w:rPr>
                <w:sz w:val="22"/>
                <w:szCs w:val="22"/>
              </w:rPr>
            </w:pPr>
            <w:r w:rsidRPr="00F073F8">
              <w:rPr>
                <w:sz w:val="22"/>
                <w:szCs w:val="22"/>
              </w:rPr>
              <w:t>4.5</w:t>
            </w:r>
          </w:p>
        </w:tc>
      </w:tr>
      <w:tr w:rsidR="007C11E3" w:rsidRPr="00F073F8" w14:paraId="695618C5" w14:textId="77777777" w:rsidTr="008539F3">
        <w:trPr>
          <w:jc w:val="center"/>
        </w:trPr>
        <w:tc>
          <w:tcPr>
            <w:tcW w:w="5098" w:type="dxa"/>
          </w:tcPr>
          <w:p w14:paraId="4B3BC02D" w14:textId="65FB306F" w:rsidR="007C11E3" w:rsidRPr="00F073F8" w:rsidRDefault="00A7020D" w:rsidP="00F073F8">
            <w:pPr>
              <w:rPr>
                <w:sz w:val="22"/>
                <w:szCs w:val="22"/>
              </w:rPr>
            </w:pPr>
            <w:r w:rsidRPr="00F073F8">
              <w:rPr>
                <w:sz w:val="22"/>
                <w:szCs w:val="22"/>
              </w:rPr>
              <w:t>Sweating</w:t>
            </w:r>
          </w:p>
        </w:tc>
        <w:tc>
          <w:tcPr>
            <w:tcW w:w="1560" w:type="dxa"/>
          </w:tcPr>
          <w:p w14:paraId="4E4865C0" w14:textId="306FFCFD" w:rsidR="007C11E3" w:rsidRPr="00F073F8" w:rsidRDefault="00A7020D" w:rsidP="00F073F8">
            <w:pPr>
              <w:rPr>
                <w:sz w:val="22"/>
                <w:szCs w:val="22"/>
              </w:rPr>
            </w:pPr>
            <w:r w:rsidRPr="00F073F8">
              <w:rPr>
                <w:sz w:val="22"/>
                <w:szCs w:val="22"/>
              </w:rPr>
              <w:t>2.2</w:t>
            </w:r>
          </w:p>
        </w:tc>
        <w:tc>
          <w:tcPr>
            <w:tcW w:w="1608" w:type="dxa"/>
          </w:tcPr>
          <w:p w14:paraId="4A7443B3" w14:textId="69642AA3" w:rsidR="007C11E3" w:rsidRPr="00F073F8" w:rsidRDefault="00A7020D" w:rsidP="00F073F8">
            <w:pPr>
              <w:rPr>
                <w:sz w:val="22"/>
                <w:szCs w:val="22"/>
              </w:rPr>
            </w:pPr>
            <w:r w:rsidRPr="00F073F8">
              <w:rPr>
                <w:sz w:val="22"/>
                <w:szCs w:val="22"/>
              </w:rPr>
              <w:t>1.7</w:t>
            </w:r>
          </w:p>
        </w:tc>
      </w:tr>
      <w:tr w:rsidR="007C11E3" w:rsidRPr="00F073F8" w14:paraId="5791C670" w14:textId="77777777" w:rsidTr="008539F3">
        <w:trPr>
          <w:jc w:val="center"/>
        </w:trPr>
        <w:tc>
          <w:tcPr>
            <w:tcW w:w="5098" w:type="dxa"/>
          </w:tcPr>
          <w:p w14:paraId="2F2680F7" w14:textId="1AF2B912" w:rsidR="007C11E3" w:rsidRPr="00F073F8" w:rsidRDefault="00A7020D" w:rsidP="00F073F8">
            <w:pPr>
              <w:rPr>
                <w:b/>
                <w:bCs/>
                <w:sz w:val="22"/>
                <w:szCs w:val="22"/>
              </w:rPr>
            </w:pPr>
            <w:r w:rsidRPr="00F073F8">
              <w:rPr>
                <w:b/>
                <w:bCs/>
                <w:sz w:val="22"/>
                <w:szCs w:val="22"/>
              </w:rPr>
              <w:t>LABORATORY VALUES</w:t>
            </w:r>
          </w:p>
        </w:tc>
        <w:tc>
          <w:tcPr>
            <w:tcW w:w="1560" w:type="dxa"/>
          </w:tcPr>
          <w:p w14:paraId="732E5C4B" w14:textId="77777777" w:rsidR="007C11E3" w:rsidRPr="00F073F8" w:rsidRDefault="007C11E3" w:rsidP="00F073F8">
            <w:pPr>
              <w:rPr>
                <w:sz w:val="22"/>
                <w:szCs w:val="22"/>
              </w:rPr>
            </w:pPr>
          </w:p>
        </w:tc>
        <w:tc>
          <w:tcPr>
            <w:tcW w:w="1608" w:type="dxa"/>
          </w:tcPr>
          <w:p w14:paraId="54979DE9" w14:textId="77777777" w:rsidR="007C11E3" w:rsidRPr="00F073F8" w:rsidRDefault="007C11E3" w:rsidP="00F073F8">
            <w:pPr>
              <w:rPr>
                <w:sz w:val="22"/>
                <w:szCs w:val="22"/>
              </w:rPr>
            </w:pPr>
          </w:p>
        </w:tc>
      </w:tr>
      <w:tr w:rsidR="007C11E3" w:rsidRPr="00F073F8" w14:paraId="066CD81B" w14:textId="77777777" w:rsidTr="008539F3">
        <w:trPr>
          <w:jc w:val="center"/>
        </w:trPr>
        <w:tc>
          <w:tcPr>
            <w:tcW w:w="5098" w:type="dxa"/>
          </w:tcPr>
          <w:p w14:paraId="667AE065" w14:textId="357B31E7" w:rsidR="007C11E3" w:rsidRPr="00F073F8" w:rsidRDefault="00A7020D" w:rsidP="00F073F8">
            <w:pPr>
              <w:rPr>
                <w:sz w:val="22"/>
                <w:szCs w:val="22"/>
              </w:rPr>
            </w:pPr>
            <w:proofErr w:type="spellStart"/>
            <w:r w:rsidRPr="00F073F8">
              <w:rPr>
                <w:sz w:val="22"/>
                <w:szCs w:val="22"/>
              </w:rPr>
              <w:t>Hyperuricaemia</w:t>
            </w:r>
            <w:proofErr w:type="spellEnd"/>
          </w:p>
        </w:tc>
        <w:tc>
          <w:tcPr>
            <w:tcW w:w="1560" w:type="dxa"/>
          </w:tcPr>
          <w:p w14:paraId="12FF6F6A" w14:textId="6EB5B8C3" w:rsidR="007C11E3" w:rsidRPr="00F073F8" w:rsidRDefault="00A7020D" w:rsidP="00F073F8">
            <w:pPr>
              <w:rPr>
                <w:sz w:val="22"/>
                <w:szCs w:val="22"/>
              </w:rPr>
            </w:pPr>
            <w:r w:rsidRPr="00F073F8">
              <w:rPr>
                <w:sz w:val="22"/>
                <w:szCs w:val="22"/>
              </w:rPr>
              <w:t>2.8</w:t>
            </w:r>
          </w:p>
        </w:tc>
        <w:tc>
          <w:tcPr>
            <w:tcW w:w="1608" w:type="dxa"/>
          </w:tcPr>
          <w:p w14:paraId="6C61FE7C" w14:textId="32762C3A" w:rsidR="007C11E3" w:rsidRPr="00F073F8" w:rsidRDefault="00A7020D" w:rsidP="00F073F8">
            <w:pPr>
              <w:rPr>
                <w:sz w:val="22"/>
                <w:szCs w:val="22"/>
              </w:rPr>
            </w:pPr>
            <w:r w:rsidRPr="00F073F8">
              <w:rPr>
                <w:sz w:val="22"/>
                <w:szCs w:val="22"/>
              </w:rPr>
              <w:t>0.7</w:t>
            </w:r>
          </w:p>
        </w:tc>
      </w:tr>
    </w:tbl>
    <w:p w14:paraId="7BDCF311" w14:textId="6665CA62" w:rsidR="00390C6C" w:rsidRPr="00F073F8" w:rsidRDefault="00390C6C" w:rsidP="00F073F8">
      <w:pPr>
        <w:rPr>
          <w:bCs/>
          <w:sz w:val="22"/>
          <w:szCs w:val="22"/>
        </w:rPr>
      </w:pPr>
    </w:p>
    <w:p w14:paraId="61FA2E55" w14:textId="43CC0B4E" w:rsidR="00DF43AE" w:rsidRPr="00F073F8" w:rsidRDefault="00DF43AE" w:rsidP="00F073F8">
      <w:pPr>
        <w:rPr>
          <w:sz w:val="22"/>
          <w:szCs w:val="22"/>
        </w:rPr>
      </w:pPr>
      <w:r w:rsidRPr="00F073F8">
        <w:rPr>
          <w:sz w:val="22"/>
          <w:szCs w:val="22"/>
        </w:rPr>
        <w:t xml:space="preserve">NOTE: The incidence of hypertension, syncope, dyspepsia, rhinitis and pharyngitis in patients treated with FORTEO </w:t>
      </w:r>
      <w:r w:rsidR="00E305B9" w:rsidRPr="00F073F8">
        <w:rPr>
          <w:sz w:val="22"/>
          <w:szCs w:val="22"/>
        </w:rPr>
        <w:t xml:space="preserve"> </w:t>
      </w:r>
      <w:r w:rsidRPr="00F073F8">
        <w:rPr>
          <w:sz w:val="22"/>
          <w:szCs w:val="22"/>
        </w:rPr>
        <w:t>40 </w:t>
      </w:r>
      <w:r w:rsidR="00E305B9">
        <w:rPr>
          <w:sz w:val="22"/>
          <w:szCs w:val="22"/>
        </w:rPr>
        <w:t>micrograms</w:t>
      </w:r>
      <w:r w:rsidRPr="00F073F8">
        <w:rPr>
          <w:sz w:val="22"/>
          <w:szCs w:val="22"/>
        </w:rPr>
        <w:t>/day (twice the recommended dose) was lower than the incidence in placebo-treated patients.</w:t>
      </w:r>
    </w:p>
    <w:p w14:paraId="41A585B5" w14:textId="77777777" w:rsidR="00D06B43" w:rsidRPr="008539F3" w:rsidRDefault="00D06B43" w:rsidP="00F073F8">
      <w:pPr>
        <w:rPr>
          <w:sz w:val="22"/>
          <w:szCs w:val="22"/>
        </w:rPr>
      </w:pPr>
    </w:p>
    <w:p w14:paraId="0B7A7610" w14:textId="1C55F081" w:rsidR="00EF5169" w:rsidRPr="002F0457" w:rsidRDefault="003D7913" w:rsidP="00F073F8">
      <w:pPr>
        <w:pStyle w:val="Default"/>
        <w:widowControl w:val="0"/>
        <w:rPr>
          <w:i/>
          <w:iCs/>
          <w:color w:val="auto"/>
          <w:sz w:val="22"/>
          <w:szCs w:val="22"/>
          <w:lang w:val="en-AU"/>
        </w:rPr>
      </w:pPr>
      <w:r w:rsidRPr="002F0457">
        <w:rPr>
          <w:i/>
          <w:iCs/>
          <w:sz w:val="22"/>
          <w:szCs w:val="22"/>
        </w:rPr>
        <w:t>Immunogenicity</w:t>
      </w:r>
      <w:r w:rsidR="002F0457" w:rsidRPr="002F0457">
        <w:rPr>
          <w:i/>
          <w:iCs/>
          <w:sz w:val="22"/>
          <w:szCs w:val="22"/>
        </w:rPr>
        <w:t>:</w:t>
      </w:r>
    </w:p>
    <w:p w14:paraId="5708E005" w14:textId="4D49B159" w:rsidR="00AA0443" w:rsidRDefault="00EF5169" w:rsidP="00F073F8">
      <w:pPr>
        <w:pStyle w:val="Default"/>
        <w:widowControl w:val="0"/>
        <w:rPr>
          <w:color w:val="000000" w:themeColor="text1"/>
          <w:sz w:val="22"/>
          <w:szCs w:val="22"/>
          <w:lang w:val="en-AU"/>
        </w:rPr>
      </w:pPr>
      <w:r w:rsidRPr="00F073F8">
        <w:rPr>
          <w:color w:val="auto"/>
          <w:sz w:val="22"/>
          <w:szCs w:val="22"/>
          <w:lang w:val="en-AU"/>
        </w:rPr>
        <w:t>In a large clinical trial, antibodies that cross-reacted with teriparatide were detected in 2.8% of women receiving</w:t>
      </w:r>
      <w:r w:rsidR="0053096E">
        <w:rPr>
          <w:color w:val="auto"/>
          <w:sz w:val="22"/>
          <w:szCs w:val="22"/>
          <w:lang w:val="en-AU"/>
        </w:rPr>
        <w:t xml:space="preserve"> </w:t>
      </w:r>
      <w:proofErr w:type="spellStart"/>
      <w:r w:rsidR="00E305B9">
        <w:rPr>
          <w:color w:val="auto"/>
          <w:sz w:val="22"/>
          <w:szCs w:val="22"/>
          <w:lang w:val="en-AU"/>
        </w:rPr>
        <w:t>Forteo</w:t>
      </w:r>
      <w:proofErr w:type="spellEnd"/>
      <w:r w:rsidRPr="00F073F8">
        <w:rPr>
          <w:color w:val="auto"/>
          <w:sz w:val="22"/>
          <w:szCs w:val="22"/>
          <w:lang w:val="en-AU"/>
        </w:rPr>
        <w:t>.</w:t>
      </w:r>
      <w:r w:rsidR="005C2A0E" w:rsidRPr="00F073F8">
        <w:rPr>
          <w:color w:val="auto"/>
          <w:sz w:val="22"/>
          <w:szCs w:val="22"/>
          <w:lang w:val="en-AU"/>
        </w:rPr>
        <w:t xml:space="preserve"> </w:t>
      </w:r>
      <w:r w:rsidRPr="00F073F8">
        <w:rPr>
          <w:color w:val="auto"/>
          <w:sz w:val="22"/>
          <w:szCs w:val="22"/>
          <w:lang w:val="en-AU"/>
        </w:rPr>
        <w:t>Generally, antibodies were first detected following 12</w:t>
      </w:r>
      <w:r w:rsidR="00DF43AE" w:rsidRPr="00F073F8">
        <w:rPr>
          <w:color w:val="auto"/>
          <w:sz w:val="22"/>
          <w:szCs w:val="22"/>
          <w:lang w:val="en-AU"/>
        </w:rPr>
        <w:t> </w:t>
      </w:r>
      <w:r w:rsidRPr="00F073F8">
        <w:rPr>
          <w:color w:val="auto"/>
          <w:sz w:val="22"/>
          <w:szCs w:val="22"/>
          <w:lang w:val="en-AU"/>
        </w:rPr>
        <w:t>months of treatment and diminished after withdrawal of therapy.</w:t>
      </w:r>
      <w:r w:rsidR="000C384E" w:rsidRPr="00F073F8">
        <w:rPr>
          <w:color w:val="auto"/>
          <w:sz w:val="22"/>
          <w:szCs w:val="22"/>
          <w:lang w:val="en-AU"/>
        </w:rPr>
        <w:t xml:space="preserve"> </w:t>
      </w:r>
      <w:r w:rsidRPr="00F073F8">
        <w:rPr>
          <w:color w:val="auto"/>
          <w:sz w:val="22"/>
          <w:szCs w:val="22"/>
          <w:lang w:val="en-AU"/>
        </w:rPr>
        <w:t xml:space="preserve">There </w:t>
      </w:r>
      <w:r w:rsidR="00DF43AE" w:rsidRPr="00F073F8">
        <w:rPr>
          <w:color w:val="auto"/>
          <w:sz w:val="22"/>
          <w:szCs w:val="22"/>
          <w:lang w:val="en-AU"/>
        </w:rPr>
        <w:t xml:space="preserve">were </w:t>
      </w:r>
      <w:r w:rsidRPr="00F073F8">
        <w:rPr>
          <w:color w:val="auto"/>
          <w:sz w:val="22"/>
          <w:szCs w:val="22"/>
          <w:lang w:val="en-AU"/>
        </w:rPr>
        <w:t>no hypersensitivity reactions, allergic reactions, effects on serum calcium, or effects on Bone Mineral Density (BMD) response</w:t>
      </w:r>
      <w:r w:rsidR="00DF43AE" w:rsidRPr="00F073F8">
        <w:rPr>
          <w:sz w:val="22"/>
          <w:szCs w:val="22"/>
        </w:rPr>
        <w:t xml:space="preserve"> response, </w:t>
      </w:r>
      <w:r w:rsidR="00DF43AE" w:rsidRPr="00EF7916">
        <w:rPr>
          <w:color w:val="000000" w:themeColor="text1"/>
          <w:sz w:val="22"/>
          <w:szCs w:val="22"/>
        </w:rPr>
        <w:t>which indicates that the antibodies did not cause any clinically significant adverse effects</w:t>
      </w:r>
      <w:r w:rsidRPr="00EF7916">
        <w:rPr>
          <w:color w:val="000000" w:themeColor="text1"/>
          <w:sz w:val="22"/>
          <w:szCs w:val="22"/>
          <w:lang w:val="en-AU"/>
        </w:rPr>
        <w:t>.</w:t>
      </w:r>
    </w:p>
    <w:p w14:paraId="1F258DE2" w14:textId="77777777" w:rsidR="00F143EB" w:rsidRDefault="00F143EB" w:rsidP="00F073F8">
      <w:pPr>
        <w:pStyle w:val="Default"/>
        <w:widowControl w:val="0"/>
        <w:rPr>
          <w:color w:val="000000" w:themeColor="text1"/>
          <w:sz w:val="22"/>
          <w:szCs w:val="22"/>
          <w:lang w:val="en-AU"/>
        </w:rPr>
      </w:pPr>
    </w:p>
    <w:p w14:paraId="7B541E61" w14:textId="77777777" w:rsidR="00AA0443" w:rsidRPr="0095316B" w:rsidRDefault="00AA0443" w:rsidP="00AA0443">
      <w:pPr>
        <w:autoSpaceDE w:val="0"/>
        <w:autoSpaceDN w:val="0"/>
        <w:adjustRightInd w:val="0"/>
        <w:rPr>
          <w:rFonts w:eastAsiaTheme="minorHAnsi"/>
          <w:color w:val="000000"/>
          <w:sz w:val="22"/>
          <w:szCs w:val="22"/>
          <w:lang w:eastAsia="en-US"/>
        </w:rPr>
      </w:pPr>
      <w:r w:rsidRPr="0095316B">
        <w:rPr>
          <w:rFonts w:eastAsiaTheme="minorHAnsi"/>
          <w:i/>
          <w:iCs/>
          <w:color w:val="000000"/>
          <w:sz w:val="22"/>
          <w:szCs w:val="22"/>
          <w:lang w:eastAsia="en-US"/>
        </w:rPr>
        <w:t xml:space="preserve">Spontaneous data </w:t>
      </w:r>
    </w:p>
    <w:p w14:paraId="798B9806" w14:textId="4805474C" w:rsidR="00AA0443" w:rsidRPr="00123705" w:rsidRDefault="00AA0443" w:rsidP="00AA0443">
      <w:pPr>
        <w:pStyle w:val="Default"/>
        <w:widowControl w:val="0"/>
        <w:rPr>
          <w:color w:val="000000" w:themeColor="text1"/>
          <w:sz w:val="22"/>
          <w:szCs w:val="22"/>
          <w:lang w:val="en-AU"/>
        </w:rPr>
      </w:pPr>
      <w:r w:rsidRPr="0095316B">
        <w:rPr>
          <w:rFonts w:eastAsiaTheme="minorHAnsi"/>
          <w:sz w:val="22"/>
          <w:szCs w:val="22"/>
          <w:lang w:val="en-AU" w:eastAsia="en-US"/>
        </w:rPr>
        <w:t>The following table (</w:t>
      </w:r>
      <w:r w:rsidRPr="0095316B">
        <w:rPr>
          <w:rFonts w:eastAsiaTheme="minorHAnsi"/>
          <w:b/>
          <w:bCs/>
          <w:sz w:val="22"/>
          <w:szCs w:val="22"/>
          <w:lang w:val="en-AU" w:eastAsia="en-US"/>
        </w:rPr>
        <w:t>Table 2</w:t>
      </w:r>
      <w:r w:rsidRPr="0095316B">
        <w:rPr>
          <w:rFonts w:eastAsiaTheme="minorHAnsi"/>
          <w:sz w:val="22"/>
          <w:szCs w:val="22"/>
          <w:lang w:val="en-AU" w:eastAsia="en-US"/>
        </w:rPr>
        <w:t>) of adverse reactions is based on post-marketing spontaneous reports since market introduction. The following convention has been used for the</w:t>
      </w:r>
      <w:r w:rsidR="00123705" w:rsidRPr="0095316B">
        <w:rPr>
          <w:rFonts w:eastAsiaTheme="minorHAnsi"/>
          <w:sz w:val="22"/>
          <w:szCs w:val="22"/>
          <w:lang w:val="en-AU" w:eastAsia="en-US"/>
        </w:rPr>
        <w:t xml:space="preserve"> classification of the adverse reactions: very common (&gt;1/10), common (&gt;1/100, &lt;1/10), uncommon (&gt;1/1000, &lt;1/100), rare (&gt;1/10,000. &lt;1/1000), very rare (&lt;1/10,000).</w:t>
      </w:r>
    </w:p>
    <w:p w14:paraId="58773B04" w14:textId="77777777" w:rsidR="00503B9C" w:rsidRPr="008539F3" w:rsidRDefault="00503B9C" w:rsidP="00AA0443">
      <w:pPr>
        <w:pStyle w:val="Default"/>
        <w:widowControl w:val="0"/>
        <w:rPr>
          <w:rFonts w:eastAsiaTheme="minorHAnsi"/>
          <w:sz w:val="22"/>
          <w:szCs w:val="22"/>
          <w:lang w:val="en-AU" w:eastAsia="en-US"/>
        </w:rPr>
      </w:pPr>
    </w:p>
    <w:p w14:paraId="67534C17" w14:textId="2539B2D8" w:rsidR="00AA0443" w:rsidRPr="0095316B" w:rsidRDefault="00AA0443" w:rsidP="00AA0443">
      <w:pPr>
        <w:pStyle w:val="Default"/>
        <w:widowControl w:val="0"/>
        <w:rPr>
          <w:rFonts w:eastAsiaTheme="minorHAnsi"/>
          <w:b/>
          <w:bCs/>
          <w:sz w:val="22"/>
          <w:szCs w:val="22"/>
          <w:lang w:val="en-AU" w:eastAsia="en-US"/>
        </w:rPr>
      </w:pPr>
      <w:r w:rsidRPr="0095316B">
        <w:rPr>
          <w:rFonts w:eastAsiaTheme="minorHAnsi"/>
          <w:b/>
          <w:bCs/>
          <w:sz w:val="22"/>
          <w:szCs w:val="22"/>
          <w:lang w:val="en-AU" w:eastAsia="en-US"/>
        </w:rPr>
        <w:t>Table 2</w:t>
      </w:r>
      <w:r w:rsidR="00066146">
        <w:rPr>
          <w:rFonts w:eastAsiaTheme="minorHAnsi"/>
          <w:b/>
          <w:bCs/>
          <w:sz w:val="22"/>
          <w:szCs w:val="22"/>
          <w:lang w:val="en-AU" w:eastAsia="en-US"/>
        </w:rPr>
        <w:t>.</w:t>
      </w:r>
      <w:r w:rsidRPr="0095316B">
        <w:rPr>
          <w:rFonts w:eastAsiaTheme="minorHAnsi"/>
          <w:b/>
          <w:bCs/>
          <w:sz w:val="22"/>
          <w:szCs w:val="22"/>
          <w:lang w:val="en-AU" w:eastAsia="en-US"/>
        </w:rPr>
        <w:t xml:space="preserve"> Tabulated list of Spontaneously Reported Adverse Reactions</w:t>
      </w:r>
    </w:p>
    <w:tbl>
      <w:tblPr>
        <w:tblStyle w:val="TableGrid"/>
        <w:tblW w:w="0" w:type="auto"/>
        <w:tblLook w:val="04A0" w:firstRow="1" w:lastRow="0" w:firstColumn="1" w:lastColumn="0" w:noHBand="0" w:noVBand="1"/>
      </w:tblPr>
      <w:tblGrid>
        <w:gridCol w:w="4177"/>
        <w:gridCol w:w="4177"/>
      </w:tblGrid>
      <w:tr w:rsidR="00AA0443" w:rsidRPr="0039269B" w14:paraId="71748BDD" w14:textId="77777777" w:rsidTr="0011173E">
        <w:tc>
          <w:tcPr>
            <w:tcW w:w="4177" w:type="dxa"/>
          </w:tcPr>
          <w:p w14:paraId="019B026C" w14:textId="77777777" w:rsidR="00AA0443" w:rsidRPr="0039269B" w:rsidRDefault="00AA0443" w:rsidP="0011173E">
            <w:pPr>
              <w:pStyle w:val="Default"/>
              <w:rPr>
                <w:rFonts w:eastAsiaTheme="minorHAnsi"/>
                <w:sz w:val="22"/>
                <w:szCs w:val="22"/>
                <w:lang w:val="hu-HU" w:eastAsia="en-US"/>
              </w:rPr>
            </w:pPr>
            <w:r w:rsidRPr="0039269B">
              <w:rPr>
                <w:b/>
                <w:bCs/>
                <w:sz w:val="22"/>
                <w:szCs w:val="22"/>
              </w:rPr>
              <w:t xml:space="preserve">System Organ Class </w:t>
            </w:r>
          </w:p>
        </w:tc>
        <w:tc>
          <w:tcPr>
            <w:tcW w:w="4177" w:type="dxa"/>
          </w:tcPr>
          <w:p w14:paraId="32B8AA93" w14:textId="77777777" w:rsidR="00AA0443" w:rsidRPr="0039269B" w:rsidRDefault="00AA0443" w:rsidP="0011173E">
            <w:pPr>
              <w:pStyle w:val="Default"/>
              <w:rPr>
                <w:sz w:val="22"/>
                <w:szCs w:val="22"/>
              </w:rPr>
            </w:pPr>
            <w:r w:rsidRPr="0039269B">
              <w:rPr>
                <w:b/>
                <w:bCs/>
                <w:sz w:val="22"/>
                <w:szCs w:val="22"/>
              </w:rPr>
              <w:t xml:space="preserve">Adverse Reactions </w:t>
            </w:r>
          </w:p>
        </w:tc>
      </w:tr>
      <w:tr w:rsidR="003E6D24" w:rsidRPr="0039269B" w14:paraId="223F4A27" w14:textId="77777777" w:rsidTr="0011173E">
        <w:tc>
          <w:tcPr>
            <w:tcW w:w="4177" w:type="dxa"/>
          </w:tcPr>
          <w:p w14:paraId="44EDDC6C" w14:textId="22D3802C" w:rsidR="003E6D24" w:rsidRPr="0039269B" w:rsidRDefault="003E6D24" w:rsidP="003E6D24">
            <w:pPr>
              <w:pStyle w:val="Default"/>
              <w:rPr>
                <w:sz w:val="22"/>
                <w:szCs w:val="22"/>
              </w:rPr>
            </w:pPr>
            <w:r w:rsidRPr="0039269B">
              <w:rPr>
                <w:sz w:val="22"/>
                <w:szCs w:val="22"/>
              </w:rPr>
              <w:t xml:space="preserve">General Disorders and Administration Site Conditions </w:t>
            </w:r>
          </w:p>
        </w:tc>
        <w:tc>
          <w:tcPr>
            <w:tcW w:w="4177" w:type="dxa"/>
          </w:tcPr>
          <w:p w14:paraId="26E8D607" w14:textId="77777777" w:rsidR="003E6D24" w:rsidRPr="0039269B" w:rsidRDefault="003E6D24" w:rsidP="003E6D24">
            <w:pPr>
              <w:pStyle w:val="Default"/>
              <w:rPr>
                <w:sz w:val="22"/>
                <w:szCs w:val="22"/>
              </w:rPr>
            </w:pPr>
            <w:r w:rsidRPr="0039269B">
              <w:rPr>
                <w:i/>
                <w:iCs/>
                <w:sz w:val="22"/>
                <w:szCs w:val="22"/>
              </w:rPr>
              <w:t>Common</w:t>
            </w:r>
            <w:r w:rsidRPr="0039269B">
              <w:rPr>
                <w:sz w:val="22"/>
                <w:szCs w:val="22"/>
              </w:rPr>
              <w:t xml:space="preserve">: Mild and transient injection site events, including pain, swelling, erythema, localised bruising, pruritus and minor bleeding at injection site. </w:t>
            </w:r>
          </w:p>
          <w:p w14:paraId="742DF5E5" w14:textId="4D678D4E" w:rsidR="003E6D24" w:rsidRPr="0039269B" w:rsidRDefault="003E6D24" w:rsidP="003E6D24">
            <w:pPr>
              <w:pStyle w:val="Default"/>
              <w:rPr>
                <w:i/>
                <w:iCs/>
                <w:sz w:val="22"/>
                <w:szCs w:val="22"/>
              </w:rPr>
            </w:pPr>
            <w:r w:rsidRPr="0039269B">
              <w:rPr>
                <w:i/>
                <w:iCs/>
                <w:sz w:val="22"/>
                <w:szCs w:val="22"/>
              </w:rPr>
              <w:t>Rare</w:t>
            </w:r>
            <w:r w:rsidRPr="0039269B">
              <w:rPr>
                <w:sz w:val="22"/>
                <w:szCs w:val="22"/>
              </w:rPr>
              <w:t xml:space="preserve">: Possible allergic events soon after injection: acute dyspnoea, </w:t>
            </w:r>
            <w:proofErr w:type="spellStart"/>
            <w:r w:rsidRPr="0039269B">
              <w:rPr>
                <w:sz w:val="22"/>
                <w:szCs w:val="22"/>
              </w:rPr>
              <w:t>oro</w:t>
            </w:r>
            <w:proofErr w:type="spellEnd"/>
            <w:r w:rsidRPr="0039269B">
              <w:rPr>
                <w:sz w:val="22"/>
                <w:szCs w:val="22"/>
              </w:rPr>
              <w:t xml:space="preserve">/facial oedema, generalised </w:t>
            </w:r>
            <w:proofErr w:type="spellStart"/>
            <w:r w:rsidRPr="0039269B">
              <w:rPr>
                <w:sz w:val="22"/>
                <w:szCs w:val="22"/>
              </w:rPr>
              <w:t>urticaria</w:t>
            </w:r>
            <w:proofErr w:type="spellEnd"/>
            <w:r w:rsidRPr="0039269B">
              <w:rPr>
                <w:sz w:val="22"/>
                <w:szCs w:val="22"/>
              </w:rPr>
              <w:t xml:space="preserve">, chest pain, anaphylaxis. </w:t>
            </w:r>
          </w:p>
        </w:tc>
      </w:tr>
      <w:tr w:rsidR="00AA0443" w:rsidRPr="0039269B" w14:paraId="625A5742" w14:textId="77777777" w:rsidTr="0011173E">
        <w:tc>
          <w:tcPr>
            <w:tcW w:w="4177" w:type="dxa"/>
          </w:tcPr>
          <w:p w14:paraId="1F26870C" w14:textId="77777777" w:rsidR="00AA0443" w:rsidRPr="0039269B" w:rsidRDefault="00AA0443" w:rsidP="0011173E">
            <w:pPr>
              <w:pStyle w:val="Default"/>
              <w:rPr>
                <w:sz w:val="22"/>
                <w:szCs w:val="22"/>
              </w:rPr>
            </w:pPr>
            <w:r w:rsidRPr="0039269B">
              <w:rPr>
                <w:sz w:val="22"/>
                <w:szCs w:val="22"/>
              </w:rPr>
              <w:t xml:space="preserve">Metabolism and Nutrition Disorders </w:t>
            </w:r>
          </w:p>
        </w:tc>
        <w:tc>
          <w:tcPr>
            <w:tcW w:w="4177" w:type="dxa"/>
          </w:tcPr>
          <w:p w14:paraId="2417ACDB" w14:textId="77777777" w:rsidR="00AA0443" w:rsidRPr="0039269B" w:rsidRDefault="00AA0443" w:rsidP="0011173E">
            <w:pPr>
              <w:pStyle w:val="Default"/>
              <w:rPr>
                <w:sz w:val="22"/>
                <w:szCs w:val="22"/>
              </w:rPr>
            </w:pPr>
            <w:r w:rsidRPr="0039269B">
              <w:rPr>
                <w:i/>
                <w:iCs/>
                <w:sz w:val="22"/>
                <w:szCs w:val="22"/>
              </w:rPr>
              <w:t>Uncommon</w:t>
            </w:r>
            <w:r w:rsidRPr="0039269B">
              <w:rPr>
                <w:sz w:val="22"/>
                <w:szCs w:val="22"/>
              </w:rPr>
              <w:t>: Hypercalcaemia greater than 2.76 </w:t>
            </w:r>
            <w:proofErr w:type="spellStart"/>
            <w:r w:rsidRPr="0039269B">
              <w:rPr>
                <w:sz w:val="22"/>
                <w:szCs w:val="22"/>
              </w:rPr>
              <w:t>mmol</w:t>
            </w:r>
            <w:proofErr w:type="spellEnd"/>
            <w:r w:rsidRPr="0039269B">
              <w:rPr>
                <w:sz w:val="22"/>
                <w:szCs w:val="22"/>
              </w:rPr>
              <w:t>/L (11 mg/</w:t>
            </w:r>
            <w:proofErr w:type="spellStart"/>
            <w:r w:rsidRPr="0039269B">
              <w:rPr>
                <w:sz w:val="22"/>
                <w:szCs w:val="22"/>
              </w:rPr>
              <w:t>dL</w:t>
            </w:r>
            <w:proofErr w:type="spellEnd"/>
            <w:r w:rsidRPr="0039269B">
              <w:rPr>
                <w:sz w:val="22"/>
                <w:szCs w:val="22"/>
              </w:rPr>
              <w:t xml:space="preserve">). </w:t>
            </w:r>
          </w:p>
          <w:p w14:paraId="3B4F0AB3" w14:textId="77777777" w:rsidR="00AA0443" w:rsidRPr="0039269B" w:rsidRDefault="00AA0443" w:rsidP="0011173E">
            <w:pPr>
              <w:pStyle w:val="Default"/>
              <w:widowControl w:val="0"/>
              <w:rPr>
                <w:rFonts w:eastAsiaTheme="minorHAnsi"/>
                <w:sz w:val="22"/>
                <w:szCs w:val="22"/>
                <w:lang w:val="hu-HU" w:eastAsia="en-US"/>
              </w:rPr>
            </w:pPr>
            <w:r w:rsidRPr="0039269B">
              <w:rPr>
                <w:i/>
                <w:iCs/>
                <w:sz w:val="22"/>
                <w:szCs w:val="22"/>
              </w:rPr>
              <w:t>Rare</w:t>
            </w:r>
            <w:r w:rsidRPr="0039269B">
              <w:rPr>
                <w:sz w:val="22"/>
                <w:szCs w:val="22"/>
              </w:rPr>
              <w:t>: hypercalcaemia greater than 3.25 </w:t>
            </w:r>
            <w:proofErr w:type="spellStart"/>
            <w:r w:rsidRPr="0039269B">
              <w:rPr>
                <w:sz w:val="22"/>
                <w:szCs w:val="22"/>
              </w:rPr>
              <w:t>mmol</w:t>
            </w:r>
            <w:proofErr w:type="spellEnd"/>
            <w:r w:rsidRPr="0039269B">
              <w:rPr>
                <w:sz w:val="22"/>
                <w:szCs w:val="22"/>
              </w:rPr>
              <w:t>/L (13 mg/</w:t>
            </w:r>
            <w:proofErr w:type="spellStart"/>
            <w:r w:rsidRPr="0039269B">
              <w:rPr>
                <w:sz w:val="22"/>
                <w:szCs w:val="22"/>
              </w:rPr>
              <w:t>dL</w:t>
            </w:r>
            <w:proofErr w:type="spellEnd"/>
            <w:r w:rsidRPr="0039269B">
              <w:rPr>
                <w:sz w:val="22"/>
                <w:szCs w:val="22"/>
              </w:rPr>
              <w:t xml:space="preserve">). </w:t>
            </w:r>
          </w:p>
        </w:tc>
      </w:tr>
      <w:tr w:rsidR="00AA0443" w:rsidRPr="0039269B" w14:paraId="6283460C" w14:textId="77777777" w:rsidTr="0011173E">
        <w:tc>
          <w:tcPr>
            <w:tcW w:w="4177" w:type="dxa"/>
          </w:tcPr>
          <w:p w14:paraId="3ED25DD6" w14:textId="77777777" w:rsidR="00AA0443" w:rsidRPr="0039269B" w:rsidRDefault="00AA0443" w:rsidP="0011173E">
            <w:pPr>
              <w:pStyle w:val="Default"/>
              <w:rPr>
                <w:sz w:val="22"/>
                <w:szCs w:val="22"/>
              </w:rPr>
            </w:pPr>
            <w:r w:rsidRPr="0039269B">
              <w:rPr>
                <w:sz w:val="22"/>
                <w:szCs w:val="22"/>
              </w:rPr>
              <w:t xml:space="preserve">Musculoskeletal and Connective Tissue and Bone Disorders </w:t>
            </w:r>
          </w:p>
        </w:tc>
        <w:tc>
          <w:tcPr>
            <w:tcW w:w="4177" w:type="dxa"/>
          </w:tcPr>
          <w:p w14:paraId="2766B2EF" w14:textId="77777777" w:rsidR="00AA0443" w:rsidRPr="0039269B" w:rsidRDefault="00AA0443" w:rsidP="0011173E">
            <w:pPr>
              <w:pStyle w:val="Default"/>
              <w:rPr>
                <w:sz w:val="22"/>
                <w:szCs w:val="22"/>
              </w:rPr>
            </w:pPr>
            <w:r w:rsidRPr="0039269B">
              <w:rPr>
                <w:i/>
                <w:iCs/>
                <w:sz w:val="22"/>
                <w:szCs w:val="22"/>
              </w:rPr>
              <w:t>Common</w:t>
            </w:r>
            <w:r w:rsidRPr="0039269B">
              <w:rPr>
                <w:sz w:val="22"/>
                <w:szCs w:val="22"/>
              </w:rPr>
              <w:t xml:space="preserve">: Muscle spasms, such as leg or back, sometimes shortly after the first dose. </w:t>
            </w:r>
          </w:p>
          <w:p w14:paraId="29EB4CA6" w14:textId="77777777" w:rsidR="00AA0443" w:rsidRPr="0039269B" w:rsidRDefault="00AA0443" w:rsidP="0011173E">
            <w:pPr>
              <w:pStyle w:val="Default"/>
              <w:rPr>
                <w:sz w:val="22"/>
                <w:szCs w:val="22"/>
              </w:rPr>
            </w:pPr>
            <w:r w:rsidRPr="0039269B">
              <w:rPr>
                <w:i/>
                <w:iCs/>
                <w:sz w:val="22"/>
                <w:szCs w:val="22"/>
              </w:rPr>
              <w:t>Uncommon</w:t>
            </w:r>
            <w:r w:rsidRPr="0039269B">
              <w:rPr>
                <w:sz w:val="22"/>
                <w:szCs w:val="22"/>
              </w:rPr>
              <w:t xml:space="preserve">: myalgia, arthralgia. </w:t>
            </w:r>
          </w:p>
          <w:p w14:paraId="42E83D45" w14:textId="77777777" w:rsidR="00AA0443" w:rsidRPr="0039269B" w:rsidRDefault="00AA0443" w:rsidP="0011173E">
            <w:pPr>
              <w:pStyle w:val="Default"/>
              <w:widowControl w:val="0"/>
              <w:rPr>
                <w:rFonts w:eastAsiaTheme="minorHAnsi"/>
                <w:sz w:val="22"/>
                <w:szCs w:val="22"/>
                <w:lang w:val="hu-HU" w:eastAsia="en-US"/>
              </w:rPr>
            </w:pPr>
            <w:r w:rsidRPr="0039269B">
              <w:rPr>
                <w:i/>
                <w:iCs/>
                <w:sz w:val="22"/>
                <w:szCs w:val="22"/>
              </w:rPr>
              <w:t>Very rare</w:t>
            </w:r>
            <w:r w:rsidRPr="0039269B">
              <w:rPr>
                <w:sz w:val="22"/>
                <w:szCs w:val="22"/>
              </w:rPr>
              <w:t xml:space="preserve">: Serious back spasms </w:t>
            </w:r>
          </w:p>
        </w:tc>
      </w:tr>
    </w:tbl>
    <w:p w14:paraId="50932E22" w14:textId="77777777" w:rsidR="00AB7A8E" w:rsidRPr="00EF7916" w:rsidRDefault="00AB7A8E" w:rsidP="00F073F8">
      <w:pPr>
        <w:pStyle w:val="Default"/>
        <w:widowControl w:val="0"/>
        <w:rPr>
          <w:color w:val="000000" w:themeColor="text1"/>
          <w:sz w:val="22"/>
          <w:szCs w:val="22"/>
          <w:lang w:val="en-AU"/>
        </w:rPr>
      </w:pPr>
    </w:p>
    <w:p w14:paraId="3858E7CA" w14:textId="77777777" w:rsidR="00123705" w:rsidRPr="0039269B" w:rsidRDefault="00123705" w:rsidP="00123705">
      <w:pPr>
        <w:pStyle w:val="Default"/>
        <w:widowControl w:val="0"/>
        <w:rPr>
          <w:sz w:val="22"/>
          <w:szCs w:val="22"/>
        </w:rPr>
      </w:pPr>
      <w:r w:rsidRPr="0039269B">
        <w:rPr>
          <w:sz w:val="22"/>
          <w:szCs w:val="22"/>
        </w:rPr>
        <w:t>There has been a report of metastatic osteosarcoma with subsequent fatal outcome in a 72 year old woman with osteoporosis and low back pain who had received teriparatide for 14 months prior to presentation. Causality cannot be established on the basis of this single case and a surveillance program continues. Osteosarcoma occurs at a rate of approximately 4 in one million per year (1 in 250,000 per year) in the general population over 60 years old and at the same rate in women over the age of 70 years. At present it is not known if humans treated with teriparatide have an increased risk of osteosarcoma. However post-marketing data in humans has not identified an increased risk.</w:t>
      </w:r>
    </w:p>
    <w:p w14:paraId="4524FDF9" w14:textId="5BDE0E47" w:rsidR="002611E0" w:rsidRPr="00243854" w:rsidRDefault="001E59D5" w:rsidP="00F073F8">
      <w:pPr>
        <w:rPr>
          <w:b/>
          <w:bCs/>
          <w:i/>
          <w:iCs/>
          <w:strike/>
          <w:sz w:val="22"/>
          <w:szCs w:val="22"/>
        </w:rPr>
      </w:pPr>
      <w:r w:rsidRPr="00243854">
        <w:rPr>
          <w:b/>
          <w:bCs/>
          <w:i/>
          <w:iCs/>
          <w:sz w:val="22"/>
          <w:szCs w:val="22"/>
        </w:rPr>
        <w:t xml:space="preserve">Comparability of Terrosa with </w:t>
      </w:r>
      <w:proofErr w:type="spellStart"/>
      <w:r w:rsidRPr="00243854">
        <w:rPr>
          <w:b/>
          <w:bCs/>
          <w:i/>
          <w:iCs/>
          <w:sz w:val="22"/>
          <w:szCs w:val="22"/>
        </w:rPr>
        <w:t>Forteo</w:t>
      </w:r>
      <w:proofErr w:type="spellEnd"/>
    </w:p>
    <w:p w14:paraId="0BE6C6A8" w14:textId="428AC269" w:rsidR="005854EB" w:rsidRPr="00243854" w:rsidRDefault="003F13DF" w:rsidP="00F073F8">
      <w:pPr>
        <w:rPr>
          <w:sz w:val="22"/>
          <w:szCs w:val="22"/>
        </w:rPr>
      </w:pPr>
      <w:r w:rsidRPr="00243854">
        <w:rPr>
          <w:sz w:val="22"/>
          <w:szCs w:val="22"/>
        </w:rPr>
        <w:t>In the clinical</w:t>
      </w:r>
      <w:r>
        <w:rPr>
          <w:sz w:val="22"/>
          <w:szCs w:val="22"/>
        </w:rPr>
        <w:t xml:space="preserve"> trials of TER</w:t>
      </w:r>
      <w:r w:rsidR="00487EF2">
        <w:rPr>
          <w:sz w:val="22"/>
          <w:szCs w:val="22"/>
        </w:rPr>
        <w:t xml:space="preserve">ROSA 54 healthy premenopausal females and 125 patients with </w:t>
      </w:r>
      <w:r w:rsidR="00C47EFC">
        <w:rPr>
          <w:sz w:val="22"/>
          <w:szCs w:val="22"/>
        </w:rPr>
        <w:t xml:space="preserve">osteoporosis </w:t>
      </w:r>
      <w:r w:rsidR="005854EB">
        <w:rPr>
          <w:sz w:val="22"/>
          <w:szCs w:val="22"/>
        </w:rPr>
        <w:t>at high risk of facture, a total of 179 subjects were exposed to TERROSA</w:t>
      </w:r>
      <w:r w:rsidR="00444A50">
        <w:rPr>
          <w:sz w:val="22"/>
          <w:szCs w:val="22"/>
        </w:rPr>
        <w:t xml:space="preserve"> and </w:t>
      </w:r>
      <w:r w:rsidR="00830CFF">
        <w:rPr>
          <w:sz w:val="22"/>
          <w:szCs w:val="22"/>
        </w:rPr>
        <w:t>the safety profile for TERROSA was consistent with that observed for FORTEO.</w:t>
      </w:r>
    </w:p>
    <w:p w14:paraId="24989E86" w14:textId="77777777" w:rsidR="005C0581" w:rsidRPr="008539F3" w:rsidRDefault="005C0581" w:rsidP="00F073F8">
      <w:pPr>
        <w:rPr>
          <w:sz w:val="22"/>
          <w:szCs w:val="22"/>
        </w:rPr>
      </w:pPr>
    </w:p>
    <w:p w14:paraId="389CA5A3" w14:textId="096FE45E" w:rsidR="00250E2F" w:rsidRPr="00F073F8" w:rsidRDefault="00B96379" w:rsidP="00F073F8">
      <w:pPr>
        <w:rPr>
          <w:b/>
          <w:bCs/>
          <w:i/>
          <w:iCs/>
          <w:sz w:val="22"/>
          <w:szCs w:val="22"/>
        </w:rPr>
      </w:pPr>
      <w:r w:rsidRPr="00F073F8">
        <w:rPr>
          <w:b/>
          <w:bCs/>
          <w:i/>
          <w:iCs/>
          <w:sz w:val="22"/>
          <w:szCs w:val="22"/>
        </w:rPr>
        <w:t>Immunogenicity</w:t>
      </w:r>
    </w:p>
    <w:p w14:paraId="60663C08" w14:textId="410590D1" w:rsidR="00F12CFB" w:rsidRPr="00F073F8" w:rsidRDefault="00643F46" w:rsidP="00F073F8">
      <w:pPr>
        <w:rPr>
          <w:sz w:val="22"/>
          <w:szCs w:val="22"/>
        </w:rPr>
      </w:pPr>
      <w:r w:rsidRPr="00F073F8">
        <w:rPr>
          <w:sz w:val="22"/>
          <w:szCs w:val="22"/>
        </w:rPr>
        <w:t xml:space="preserve">Comparative immunogenicity data </w:t>
      </w:r>
      <w:r w:rsidR="00BC6EA9">
        <w:rPr>
          <w:sz w:val="22"/>
          <w:szCs w:val="22"/>
        </w:rPr>
        <w:t xml:space="preserve">was generated in </w:t>
      </w:r>
      <w:r w:rsidR="000D2F84" w:rsidRPr="00F073F8">
        <w:rPr>
          <w:sz w:val="22"/>
          <w:szCs w:val="22"/>
        </w:rPr>
        <w:t xml:space="preserve">the </w:t>
      </w:r>
      <w:r w:rsidRPr="00F073F8">
        <w:rPr>
          <w:sz w:val="22"/>
          <w:szCs w:val="22"/>
        </w:rPr>
        <w:t xml:space="preserve">Phase III comparative clinical study (Study RGB1023O31) of TERROSA and </w:t>
      </w:r>
      <w:proofErr w:type="spellStart"/>
      <w:r w:rsidR="00E305B9">
        <w:rPr>
          <w:sz w:val="22"/>
          <w:szCs w:val="22"/>
        </w:rPr>
        <w:t>Forteo</w:t>
      </w:r>
      <w:proofErr w:type="spellEnd"/>
      <w:r w:rsidRPr="00F073F8">
        <w:rPr>
          <w:sz w:val="22"/>
          <w:szCs w:val="22"/>
        </w:rPr>
        <w:t>.</w:t>
      </w:r>
      <w:r w:rsidR="00F12CFB" w:rsidRPr="00F073F8">
        <w:rPr>
          <w:sz w:val="22"/>
          <w:szCs w:val="22"/>
        </w:rPr>
        <w:t xml:space="preserve"> </w:t>
      </w:r>
      <w:r w:rsidR="000C3045">
        <w:rPr>
          <w:sz w:val="22"/>
          <w:szCs w:val="22"/>
        </w:rPr>
        <w:t>A</w:t>
      </w:r>
      <w:r w:rsidR="000C3045" w:rsidRPr="00F073F8">
        <w:rPr>
          <w:sz w:val="22"/>
          <w:szCs w:val="22"/>
        </w:rPr>
        <w:t>nti</w:t>
      </w:r>
      <w:r w:rsidR="00F12CFB" w:rsidRPr="00F073F8">
        <w:rPr>
          <w:sz w:val="22"/>
          <w:szCs w:val="22"/>
        </w:rPr>
        <w:t xml:space="preserve">-teriparatide antibody </w:t>
      </w:r>
      <w:r w:rsidR="00F12CFB" w:rsidRPr="001E4B55">
        <w:rPr>
          <w:sz w:val="22"/>
          <w:szCs w:val="22"/>
        </w:rPr>
        <w:t>level</w:t>
      </w:r>
      <w:r w:rsidR="00B27DBF">
        <w:rPr>
          <w:sz w:val="22"/>
          <w:szCs w:val="22"/>
        </w:rPr>
        <w:t>s</w:t>
      </w:r>
      <w:r w:rsidR="00F12CFB" w:rsidRPr="0095316B">
        <w:rPr>
          <w:strike/>
          <w:sz w:val="22"/>
          <w:szCs w:val="22"/>
        </w:rPr>
        <w:t xml:space="preserve"> </w:t>
      </w:r>
      <w:r w:rsidR="00F12CFB" w:rsidRPr="00F073F8">
        <w:rPr>
          <w:sz w:val="22"/>
          <w:szCs w:val="22"/>
        </w:rPr>
        <w:t xml:space="preserve"> </w:t>
      </w:r>
      <w:r w:rsidR="001E4B55">
        <w:rPr>
          <w:sz w:val="22"/>
          <w:szCs w:val="22"/>
        </w:rPr>
        <w:t xml:space="preserve">were </w:t>
      </w:r>
      <w:r w:rsidR="000C3045">
        <w:rPr>
          <w:sz w:val="22"/>
          <w:szCs w:val="22"/>
        </w:rPr>
        <w:t xml:space="preserve">investigated at </w:t>
      </w:r>
      <w:r w:rsidR="00F12CFB" w:rsidRPr="00F073F8">
        <w:rPr>
          <w:sz w:val="22"/>
          <w:szCs w:val="22"/>
        </w:rPr>
        <w:t>baseline and Week 52 or at the time of discontinuation</w:t>
      </w:r>
      <w:r w:rsidR="000C3045">
        <w:rPr>
          <w:sz w:val="22"/>
          <w:szCs w:val="22"/>
        </w:rPr>
        <w:t xml:space="preserve"> to provide</w:t>
      </w:r>
      <w:r w:rsidR="00F7551B">
        <w:rPr>
          <w:sz w:val="22"/>
          <w:szCs w:val="22"/>
        </w:rPr>
        <w:t xml:space="preserve"> comparative data on the immunogenic  potential of TERROSA</w:t>
      </w:r>
      <w:r w:rsidR="00243854">
        <w:rPr>
          <w:sz w:val="22"/>
          <w:szCs w:val="22"/>
        </w:rPr>
        <w:t xml:space="preserve"> </w:t>
      </w:r>
      <w:r w:rsidR="002340DC">
        <w:rPr>
          <w:sz w:val="22"/>
          <w:szCs w:val="22"/>
        </w:rPr>
        <w:t xml:space="preserve">No subjects in the TERROSA group and 2 subjects (1.6%) in the </w:t>
      </w:r>
      <w:proofErr w:type="spellStart"/>
      <w:r w:rsidR="002340DC">
        <w:rPr>
          <w:sz w:val="22"/>
          <w:szCs w:val="22"/>
        </w:rPr>
        <w:t>Forteo</w:t>
      </w:r>
      <w:proofErr w:type="spellEnd"/>
      <w:r w:rsidR="002340DC">
        <w:rPr>
          <w:sz w:val="22"/>
          <w:szCs w:val="22"/>
        </w:rPr>
        <w:t xml:space="preserve"> group were positive for anti</w:t>
      </w:r>
      <w:r w:rsidR="00D707A0">
        <w:rPr>
          <w:sz w:val="22"/>
          <w:szCs w:val="22"/>
        </w:rPr>
        <w:t>-teri</w:t>
      </w:r>
      <w:r w:rsidR="002340DC">
        <w:rPr>
          <w:sz w:val="22"/>
          <w:szCs w:val="22"/>
        </w:rPr>
        <w:t>paratide</w:t>
      </w:r>
      <w:r w:rsidR="00D707A0">
        <w:rPr>
          <w:sz w:val="22"/>
          <w:szCs w:val="22"/>
        </w:rPr>
        <w:t xml:space="preserve"> antibody. The immunogenic potential of TERROSA did not exceed that of the reference product </w:t>
      </w:r>
      <w:proofErr w:type="spellStart"/>
      <w:r w:rsidR="00D707A0">
        <w:rPr>
          <w:sz w:val="22"/>
          <w:szCs w:val="22"/>
        </w:rPr>
        <w:t>Fo</w:t>
      </w:r>
      <w:r w:rsidR="008F643D">
        <w:rPr>
          <w:sz w:val="22"/>
          <w:szCs w:val="22"/>
        </w:rPr>
        <w:t>r</w:t>
      </w:r>
      <w:r w:rsidR="00D707A0">
        <w:rPr>
          <w:sz w:val="22"/>
          <w:szCs w:val="22"/>
        </w:rPr>
        <w:t>teo</w:t>
      </w:r>
      <w:proofErr w:type="spellEnd"/>
      <w:r w:rsidR="00200355">
        <w:rPr>
          <w:sz w:val="22"/>
          <w:szCs w:val="22"/>
        </w:rPr>
        <w:t>.</w:t>
      </w:r>
      <w:r w:rsidR="00243854">
        <w:rPr>
          <w:sz w:val="22"/>
          <w:szCs w:val="22"/>
        </w:rPr>
        <w:t xml:space="preserve"> </w:t>
      </w:r>
      <w:r w:rsidR="00AC30BE">
        <w:rPr>
          <w:sz w:val="22"/>
          <w:szCs w:val="22"/>
        </w:rPr>
        <w:t xml:space="preserve">For study details please </w:t>
      </w:r>
      <w:hyperlink w:anchor="ref3" w:history="1">
        <w:r w:rsidR="00AC30BE" w:rsidRPr="00F57912">
          <w:rPr>
            <w:rStyle w:val="Hyperlink"/>
            <w:b/>
            <w:bCs/>
            <w:sz w:val="22"/>
            <w:szCs w:val="22"/>
          </w:rPr>
          <w:t xml:space="preserve">see </w:t>
        </w:r>
        <w:r w:rsidR="00382E46" w:rsidRPr="00F57912">
          <w:rPr>
            <w:rStyle w:val="Hyperlink"/>
            <w:b/>
            <w:bCs/>
            <w:sz w:val="22"/>
            <w:szCs w:val="22"/>
          </w:rPr>
          <w:t>Section 5.1 PHARMACODYNAMIC PROPERTIES</w:t>
        </w:r>
      </w:hyperlink>
      <w:r w:rsidR="00382E46" w:rsidRPr="00F96404">
        <w:rPr>
          <w:sz w:val="22"/>
          <w:szCs w:val="22"/>
        </w:rPr>
        <w:t>.</w:t>
      </w:r>
    </w:p>
    <w:p w14:paraId="347B5B67" w14:textId="3F8F29F1" w:rsidR="004155B8" w:rsidRDefault="004155B8" w:rsidP="00F073F8">
      <w:pPr>
        <w:rPr>
          <w:sz w:val="22"/>
          <w:szCs w:val="22"/>
        </w:rPr>
      </w:pPr>
    </w:p>
    <w:p w14:paraId="569FF2F9" w14:textId="77777777" w:rsidR="00DA623C" w:rsidRPr="00F073F8" w:rsidRDefault="00DA623C" w:rsidP="00DA623C">
      <w:pPr>
        <w:rPr>
          <w:b/>
          <w:bCs/>
          <w:i/>
          <w:iCs/>
          <w:sz w:val="22"/>
          <w:szCs w:val="22"/>
        </w:rPr>
      </w:pPr>
      <w:r w:rsidRPr="00F073F8">
        <w:rPr>
          <w:b/>
          <w:bCs/>
          <w:i/>
          <w:iCs/>
          <w:sz w:val="22"/>
          <w:szCs w:val="22"/>
        </w:rPr>
        <w:t>Reporting suspected adverse effects</w:t>
      </w:r>
    </w:p>
    <w:p w14:paraId="51390F46" w14:textId="3E2B0DAA" w:rsidR="00DA623C" w:rsidRPr="00F073F8" w:rsidRDefault="00DA623C" w:rsidP="00DA623C">
      <w:pPr>
        <w:rPr>
          <w:sz w:val="22"/>
          <w:szCs w:val="22"/>
        </w:rPr>
      </w:pPr>
      <w:r w:rsidRPr="00F073F8">
        <w:rPr>
          <w:sz w:val="22"/>
          <w:szCs w:val="22"/>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1" w:history="1">
        <w:r w:rsidRPr="00F073F8">
          <w:rPr>
            <w:rStyle w:val="Hyperlink"/>
            <w:sz w:val="22"/>
            <w:szCs w:val="22"/>
          </w:rPr>
          <w:t>www.tga.gov.au/reporting-problems</w:t>
        </w:r>
      </w:hyperlink>
      <w:r w:rsidR="00F53EC1">
        <w:rPr>
          <w:rStyle w:val="Hyperlink"/>
          <w:sz w:val="22"/>
          <w:szCs w:val="22"/>
        </w:rPr>
        <w:t>.</w:t>
      </w:r>
    </w:p>
    <w:p w14:paraId="1BAFCD91" w14:textId="68BA7A95" w:rsidR="00AA1315" w:rsidRDefault="00AA1315" w:rsidP="00F073F8">
      <w:pPr>
        <w:rPr>
          <w:sz w:val="22"/>
          <w:szCs w:val="22"/>
          <w:lang w:val="en-GB" w:eastAsia="en-US"/>
        </w:rPr>
      </w:pPr>
    </w:p>
    <w:p w14:paraId="741C76AC" w14:textId="23E28DBF" w:rsidR="00FA22F4" w:rsidRPr="00A55F36" w:rsidRDefault="00FA22F4" w:rsidP="00F073F8">
      <w:pPr>
        <w:pStyle w:val="Heading2"/>
        <w:jc w:val="left"/>
        <w:rPr>
          <w:rFonts w:ascii="Times New Roman" w:hAnsi="Times New Roman" w:cs="Times New Roman"/>
          <w:sz w:val="28"/>
          <w:szCs w:val="28"/>
        </w:rPr>
      </w:pPr>
      <w:r w:rsidRPr="00A55F36">
        <w:rPr>
          <w:rFonts w:ascii="Times New Roman" w:hAnsi="Times New Roman" w:cs="Times New Roman"/>
          <w:sz w:val="28"/>
          <w:szCs w:val="28"/>
        </w:rPr>
        <w:t>4.9</w:t>
      </w:r>
      <w:r w:rsidRPr="00A55F36">
        <w:rPr>
          <w:rFonts w:ascii="Times New Roman" w:hAnsi="Times New Roman" w:cs="Times New Roman"/>
          <w:sz w:val="28"/>
          <w:szCs w:val="28"/>
        </w:rPr>
        <w:tab/>
        <w:t>OVERDOSE</w:t>
      </w:r>
    </w:p>
    <w:p w14:paraId="03019482" w14:textId="77777777" w:rsidR="005C2A0E" w:rsidRPr="00F073F8" w:rsidRDefault="005C2A0E" w:rsidP="00F073F8">
      <w:pPr>
        <w:rPr>
          <w:sz w:val="22"/>
          <w:szCs w:val="22"/>
          <w:lang w:val="en-GB"/>
        </w:rPr>
      </w:pPr>
    </w:p>
    <w:p w14:paraId="6EAAE19E" w14:textId="77777777" w:rsidR="0034564D" w:rsidRPr="008539F3" w:rsidRDefault="0034564D" w:rsidP="00F073F8">
      <w:pPr>
        <w:rPr>
          <w:b/>
          <w:i/>
          <w:iCs/>
          <w:sz w:val="22"/>
          <w:szCs w:val="22"/>
        </w:rPr>
      </w:pPr>
      <w:r w:rsidRPr="008539F3">
        <w:rPr>
          <w:b/>
          <w:i/>
          <w:iCs/>
          <w:sz w:val="22"/>
          <w:szCs w:val="22"/>
        </w:rPr>
        <w:t>Signs and symptoms</w:t>
      </w:r>
    </w:p>
    <w:p w14:paraId="2C9E528D" w14:textId="2B7CD8A4" w:rsidR="0034564D" w:rsidRPr="00C97599" w:rsidRDefault="00DE49E3" w:rsidP="00A55F36">
      <w:pPr>
        <w:pStyle w:val="Default"/>
        <w:rPr>
          <w:sz w:val="22"/>
          <w:szCs w:val="22"/>
          <w:lang w:val="en-AU"/>
        </w:rPr>
      </w:pPr>
      <w:r w:rsidRPr="00C97599">
        <w:rPr>
          <w:rFonts w:eastAsiaTheme="minorHAnsi"/>
          <w:sz w:val="22"/>
          <w:szCs w:val="22"/>
          <w:lang w:val="en-AU" w:eastAsia="en-US"/>
        </w:rPr>
        <w:t>No cases of overdose were reported during clinical trials. Teriparatide has been safely administered in single doses of up to 100 </w:t>
      </w:r>
      <w:r w:rsidR="00F978AA" w:rsidRPr="00C97599">
        <w:rPr>
          <w:rFonts w:eastAsiaTheme="minorHAnsi"/>
          <w:sz w:val="22"/>
          <w:szCs w:val="22"/>
          <w:lang w:val="en-AU" w:eastAsia="en-US"/>
        </w:rPr>
        <w:t>micrograms</w:t>
      </w:r>
      <w:r w:rsidRPr="00C97599">
        <w:rPr>
          <w:rFonts w:eastAsiaTheme="minorHAnsi"/>
          <w:sz w:val="22"/>
          <w:szCs w:val="22"/>
          <w:lang w:val="en-AU" w:eastAsia="en-US"/>
        </w:rPr>
        <w:t>. In a clinical study, doses of 60 </w:t>
      </w:r>
      <w:r w:rsidR="00E305B9">
        <w:rPr>
          <w:rFonts w:eastAsiaTheme="minorHAnsi"/>
          <w:sz w:val="22"/>
          <w:szCs w:val="22"/>
          <w:lang w:val="en-AU" w:eastAsia="en-US"/>
        </w:rPr>
        <w:t>micrograms</w:t>
      </w:r>
      <w:r w:rsidRPr="00C97599">
        <w:rPr>
          <w:rFonts w:eastAsiaTheme="minorHAnsi"/>
          <w:sz w:val="22"/>
          <w:szCs w:val="22"/>
          <w:lang w:val="en-AU" w:eastAsia="en-US"/>
        </w:rPr>
        <w:t xml:space="preserve">/day for 6 weeks were safely tolerated. </w:t>
      </w:r>
      <w:r w:rsidR="0034564D" w:rsidRPr="00C97599">
        <w:rPr>
          <w:sz w:val="22"/>
          <w:szCs w:val="22"/>
          <w:lang w:val="en-AU"/>
        </w:rPr>
        <w:t xml:space="preserve">The effects of overdose that might be expected include delayed hypercalcaemia and risk of orthostatic hypotension. Nausea, vomiting, dizziness, and headache </w:t>
      </w:r>
      <w:r w:rsidRPr="00C97599">
        <w:rPr>
          <w:sz w:val="22"/>
          <w:szCs w:val="22"/>
          <w:lang w:val="en-AU"/>
        </w:rPr>
        <w:t xml:space="preserve">might </w:t>
      </w:r>
      <w:r w:rsidR="0034564D" w:rsidRPr="00C97599">
        <w:rPr>
          <w:sz w:val="22"/>
          <w:szCs w:val="22"/>
          <w:lang w:val="en-AU"/>
        </w:rPr>
        <w:t>also occur.</w:t>
      </w:r>
    </w:p>
    <w:p w14:paraId="50D1C835" w14:textId="77777777" w:rsidR="0034564D" w:rsidRPr="00F073F8" w:rsidRDefault="0034564D" w:rsidP="00F073F8">
      <w:pPr>
        <w:rPr>
          <w:sz w:val="22"/>
          <w:szCs w:val="22"/>
          <w:lang w:val="en-GB"/>
        </w:rPr>
      </w:pPr>
    </w:p>
    <w:p w14:paraId="1AFA830E" w14:textId="77777777" w:rsidR="0034564D" w:rsidRPr="008539F3" w:rsidRDefault="0034564D" w:rsidP="00F073F8">
      <w:pPr>
        <w:rPr>
          <w:b/>
          <w:i/>
          <w:iCs/>
          <w:sz w:val="22"/>
          <w:szCs w:val="22"/>
          <w:lang w:val="en-GB"/>
        </w:rPr>
      </w:pPr>
      <w:r w:rsidRPr="008539F3">
        <w:rPr>
          <w:b/>
          <w:i/>
          <w:iCs/>
          <w:sz w:val="22"/>
          <w:szCs w:val="22"/>
          <w:lang w:val="en-GB"/>
        </w:rPr>
        <w:t>Overdose experience based on post-marketing spontaneous reports</w:t>
      </w:r>
    </w:p>
    <w:p w14:paraId="178275D9" w14:textId="4F866325" w:rsidR="0034564D" w:rsidRPr="00F073F8" w:rsidRDefault="0034564D" w:rsidP="00F073F8">
      <w:pPr>
        <w:rPr>
          <w:sz w:val="22"/>
          <w:szCs w:val="22"/>
          <w:lang w:val="en-GB"/>
        </w:rPr>
      </w:pPr>
      <w:r w:rsidRPr="00F073F8">
        <w:rPr>
          <w:sz w:val="22"/>
          <w:szCs w:val="22"/>
        </w:rPr>
        <w:t>In post-marketing spontaneous reports, there have been cases of medication error where the entir</w:t>
      </w:r>
      <w:r w:rsidR="005C2A0E" w:rsidRPr="00F073F8">
        <w:rPr>
          <w:sz w:val="22"/>
          <w:szCs w:val="22"/>
        </w:rPr>
        <w:t>e contents (up to 800 µg</w:t>
      </w:r>
      <w:r w:rsidRPr="00F073F8">
        <w:rPr>
          <w:sz w:val="22"/>
          <w:szCs w:val="22"/>
        </w:rPr>
        <w:t>) of a teriparatide pen have been administered as a single dose. Transient events reported have included nausea, weakness/lethargy and hypotension.</w:t>
      </w:r>
      <w:r w:rsidR="005C2A0E" w:rsidRPr="00F073F8">
        <w:rPr>
          <w:sz w:val="22"/>
          <w:szCs w:val="22"/>
        </w:rPr>
        <w:t xml:space="preserve"> </w:t>
      </w:r>
      <w:r w:rsidRPr="00F073F8">
        <w:rPr>
          <w:sz w:val="22"/>
          <w:szCs w:val="22"/>
        </w:rPr>
        <w:t>In some cases, no adverse events occurred as a result of the overdose. No fatalities associated with overdose have been reported</w:t>
      </w:r>
      <w:r w:rsidRPr="00F073F8">
        <w:rPr>
          <w:sz w:val="22"/>
          <w:szCs w:val="22"/>
          <w:lang w:val="en-GB"/>
        </w:rPr>
        <w:t>.</w:t>
      </w:r>
    </w:p>
    <w:p w14:paraId="02EFBD6F" w14:textId="3A445CB2" w:rsidR="0034564D" w:rsidRPr="00F073F8" w:rsidRDefault="00DE49E3" w:rsidP="00F073F8">
      <w:pPr>
        <w:rPr>
          <w:sz w:val="22"/>
          <w:szCs w:val="22"/>
        </w:rPr>
      </w:pPr>
      <w:r w:rsidRPr="00F073F8">
        <w:rPr>
          <w:sz w:val="22"/>
          <w:szCs w:val="22"/>
        </w:rPr>
        <w:t xml:space="preserve">In single-dose rodent studies using subcutaneous injection of teriparatide, no mortality was seen in </w:t>
      </w:r>
      <w:r w:rsidR="00A67F7B">
        <w:rPr>
          <w:sz w:val="22"/>
          <w:szCs w:val="22"/>
        </w:rPr>
        <w:t>r</w:t>
      </w:r>
      <w:r w:rsidRPr="00F073F8">
        <w:rPr>
          <w:sz w:val="22"/>
          <w:szCs w:val="22"/>
        </w:rPr>
        <w:t>ats given doses of 1000</w:t>
      </w:r>
      <w:r w:rsidRPr="00F073F8">
        <w:rPr>
          <w:rFonts w:eastAsiaTheme="minorHAnsi"/>
          <w:sz w:val="22"/>
          <w:szCs w:val="22"/>
          <w:lang w:val="hu-HU" w:eastAsia="en-US"/>
        </w:rPr>
        <w:t> </w:t>
      </w:r>
      <w:r w:rsidR="00E305B9">
        <w:rPr>
          <w:rFonts w:eastAsiaTheme="minorHAnsi"/>
          <w:sz w:val="22"/>
          <w:szCs w:val="22"/>
          <w:lang w:val="hu-HU" w:eastAsia="en-US"/>
        </w:rPr>
        <w:t>micrograms</w:t>
      </w:r>
      <w:r w:rsidRPr="00F073F8">
        <w:rPr>
          <w:sz w:val="22"/>
          <w:szCs w:val="22"/>
        </w:rPr>
        <w:t>/kg (526 times the human dose based on body surface area) or in mice given 10,000</w:t>
      </w:r>
      <w:r w:rsidRPr="00F073F8">
        <w:rPr>
          <w:rFonts w:eastAsiaTheme="minorHAnsi"/>
          <w:sz w:val="22"/>
          <w:szCs w:val="22"/>
          <w:lang w:val="hu-HU" w:eastAsia="en-US"/>
        </w:rPr>
        <w:t> </w:t>
      </w:r>
      <w:r w:rsidR="00E305B9">
        <w:rPr>
          <w:rFonts w:eastAsiaTheme="minorHAnsi"/>
          <w:sz w:val="22"/>
          <w:szCs w:val="22"/>
          <w:lang w:val="hu-HU" w:eastAsia="en-US"/>
        </w:rPr>
        <w:t>micrograms</w:t>
      </w:r>
      <w:r w:rsidRPr="00F073F8">
        <w:rPr>
          <w:sz w:val="22"/>
          <w:szCs w:val="22"/>
        </w:rPr>
        <w:t>/kg (2635 times the human dose).</w:t>
      </w:r>
    </w:p>
    <w:p w14:paraId="48F20563" w14:textId="77777777" w:rsidR="00DE49E3" w:rsidRPr="00F073F8" w:rsidRDefault="00DE49E3" w:rsidP="00F073F8">
      <w:pPr>
        <w:rPr>
          <w:sz w:val="22"/>
          <w:szCs w:val="22"/>
          <w:lang w:val="en-GB"/>
        </w:rPr>
      </w:pPr>
    </w:p>
    <w:p w14:paraId="4242F642" w14:textId="77777777" w:rsidR="0034564D" w:rsidRPr="008539F3" w:rsidRDefault="0034564D" w:rsidP="00F073F8">
      <w:pPr>
        <w:rPr>
          <w:b/>
          <w:i/>
          <w:iCs/>
          <w:sz w:val="22"/>
          <w:szCs w:val="22"/>
          <w:lang w:val="en-GB"/>
        </w:rPr>
      </w:pPr>
      <w:r w:rsidRPr="008539F3">
        <w:rPr>
          <w:b/>
          <w:i/>
          <w:iCs/>
          <w:sz w:val="22"/>
          <w:szCs w:val="22"/>
          <w:lang w:val="en-GB"/>
        </w:rPr>
        <w:t>Overdose management</w:t>
      </w:r>
    </w:p>
    <w:p w14:paraId="1DEE1EE4" w14:textId="77777777" w:rsidR="0034564D" w:rsidRPr="00F073F8" w:rsidRDefault="0034564D" w:rsidP="00F073F8">
      <w:pPr>
        <w:rPr>
          <w:sz w:val="22"/>
          <w:szCs w:val="22"/>
        </w:rPr>
      </w:pPr>
      <w:r w:rsidRPr="00F073F8">
        <w:rPr>
          <w:sz w:val="22"/>
          <w:szCs w:val="22"/>
        </w:rPr>
        <w:t>There is no specific antidote for teriparatide. Treatment of suspected overdose should include transitory discontinuation of teriparatide, monitoring of serum calcium, and implementation of appropriate supportive measures, such as hydration.</w:t>
      </w:r>
    </w:p>
    <w:p w14:paraId="5323E44C" w14:textId="77777777" w:rsidR="00FA22F4" w:rsidRPr="00F073F8" w:rsidRDefault="00FA22F4" w:rsidP="00F073F8">
      <w:pPr>
        <w:rPr>
          <w:sz w:val="22"/>
          <w:szCs w:val="22"/>
        </w:rPr>
      </w:pPr>
    </w:p>
    <w:p w14:paraId="5BD0C7B4" w14:textId="7A37E063" w:rsidR="00FA22F4" w:rsidRPr="00F073F8" w:rsidRDefault="00FA22F4" w:rsidP="00F073F8">
      <w:pPr>
        <w:rPr>
          <w:sz w:val="22"/>
          <w:szCs w:val="22"/>
        </w:rPr>
      </w:pPr>
      <w:r w:rsidRPr="00F073F8">
        <w:rPr>
          <w:sz w:val="22"/>
          <w:szCs w:val="22"/>
        </w:rPr>
        <w:t xml:space="preserve">For information on the management of overdose, contact the Poisons Information </w:t>
      </w:r>
      <w:r w:rsidR="000C384E" w:rsidRPr="00F073F8">
        <w:rPr>
          <w:sz w:val="22"/>
          <w:szCs w:val="22"/>
        </w:rPr>
        <w:t>Centre on 13 11 26 (Australia).</w:t>
      </w:r>
    </w:p>
    <w:p w14:paraId="0F55FD1F" w14:textId="77777777" w:rsidR="00DE49E3" w:rsidRPr="00F073F8" w:rsidRDefault="00DE49E3" w:rsidP="00235DDB">
      <w:pPr>
        <w:pageBreakBefore/>
        <w:rPr>
          <w:sz w:val="22"/>
          <w:szCs w:val="22"/>
          <w:lang w:val="en-GB"/>
        </w:rPr>
      </w:pPr>
    </w:p>
    <w:p w14:paraId="173A7224" w14:textId="522C2A3E" w:rsidR="00FA22F4" w:rsidRPr="00A55F36" w:rsidRDefault="00FA22F4" w:rsidP="00F073F8">
      <w:pPr>
        <w:pStyle w:val="Heading1"/>
        <w:jc w:val="left"/>
        <w:rPr>
          <w:rFonts w:ascii="Times New Roman" w:hAnsi="Times New Roman" w:cs="Times New Roman"/>
          <w:sz w:val="28"/>
          <w:szCs w:val="28"/>
        </w:rPr>
      </w:pPr>
      <w:r w:rsidRPr="00A55F36">
        <w:rPr>
          <w:rFonts w:ascii="Times New Roman" w:hAnsi="Times New Roman" w:cs="Times New Roman"/>
          <w:sz w:val="28"/>
          <w:szCs w:val="28"/>
        </w:rPr>
        <w:t>5.</w:t>
      </w:r>
      <w:r w:rsidRPr="00A55F36">
        <w:rPr>
          <w:rFonts w:ascii="Times New Roman" w:hAnsi="Times New Roman" w:cs="Times New Roman"/>
          <w:sz w:val="28"/>
          <w:szCs w:val="28"/>
        </w:rPr>
        <w:tab/>
        <w:t>PHARMACOLOGICAL PROPERTIES</w:t>
      </w:r>
    </w:p>
    <w:p w14:paraId="38397FDB" w14:textId="77777777" w:rsidR="00FA22F4" w:rsidRPr="00F073F8" w:rsidRDefault="00FA22F4" w:rsidP="00F073F8">
      <w:pPr>
        <w:rPr>
          <w:sz w:val="22"/>
          <w:szCs w:val="22"/>
          <w:lang w:val="en-GB"/>
        </w:rPr>
      </w:pPr>
    </w:p>
    <w:p w14:paraId="10EAD7EB" w14:textId="1F71F612" w:rsidR="00FA22F4" w:rsidRPr="00A55F36" w:rsidRDefault="00FA22F4" w:rsidP="00F073F8">
      <w:pPr>
        <w:pStyle w:val="Heading2"/>
        <w:jc w:val="left"/>
        <w:rPr>
          <w:rFonts w:ascii="Times New Roman" w:hAnsi="Times New Roman" w:cs="Times New Roman"/>
          <w:sz w:val="28"/>
          <w:szCs w:val="28"/>
        </w:rPr>
      </w:pPr>
      <w:bookmarkStart w:id="7" w:name="ref3"/>
      <w:bookmarkEnd w:id="7"/>
      <w:r w:rsidRPr="00A55F36">
        <w:rPr>
          <w:rFonts w:ascii="Times New Roman" w:hAnsi="Times New Roman" w:cs="Times New Roman"/>
          <w:sz w:val="28"/>
          <w:szCs w:val="28"/>
        </w:rPr>
        <w:t>5.1</w:t>
      </w:r>
      <w:r w:rsidRPr="00A55F36">
        <w:rPr>
          <w:rFonts w:ascii="Times New Roman" w:hAnsi="Times New Roman" w:cs="Times New Roman"/>
          <w:sz w:val="28"/>
          <w:szCs w:val="28"/>
        </w:rPr>
        <w:tab/>
      </w:r>
      <w:r w:rsidR="00E82473" w:rsidRPr="00A55F36">
        <w:rPr>
          <w:rFonts w:ascii="Times New Roman" w:hAnsi="Times New Roman" w:cs="Times New Roman"/>
          <w:sz w:val="28"/>
          <w:szCs w:val="28"/>
        </w:rPr>
        <w:t>PHARMACODYNAMIC PROPERTIES</w:t>
      </w:r>
    </w:p>
    <w:p w14:paraId="0B614605" w14:textId="77777777" w:rsidR="000F6759" w:rsidRPr="00F073F8" w:rsidRDefault="000F6759" w:rsidP="00F073F8">
      <w:pPr>
        <w:rPr>
          <w:sz w:val="22"/>
          <w:szCs w:val="22"/>
          <w:lang w:val="en-GB"/>
        </w:rPr>
      </w:pPr>
    </w:p>
    <w:p w14:paraId="68A65BC2" w14:textId="17B16FDA" w:rsidR="00DE49E3" w:rsidRPr="00F073F8" w:rsidRDefault="00DE49E3" w:rsidP="00C436F0">
      <w:pPr>
        <w:ind w:right="-48"/>
        <w:rPr>
          <w:sz w:val="22"/>
          <w:szCs w:val="22"/>
        </w:rPr>
      </w:pPr>
      <w:r w:rsidRPr="00F073F8">
        <w:rPr>
          <w:sz w:val="22"/>
          <w:szCs w:val="22"/>
        </w:rPr>
        <w:t xml:space="preserve">Osteoporosis is characterised by low bone mass and </w:t>
      </w:r>
      <w:proofErr w:type="spellStart"/>
      <w:r w:rsidRPr="00F073F8">
        <w:rPr>
          <w:sz w:val="22"/>
          <w:szCs w:val="22"/>
        </w:rPr>
        <w:t>microarchitectural</w:t>
      </w:r>
      <w:proofErr w:type="spellEnd"/>
      <w:r w:rsidRPr="00F073F8">
        <w:rPr>
          <w:sz w:val="22"/>
          <w:szCs w:val="22"/>
        </w:rPr>
        <w:t xml:space="preserve"> deterioration of bone tissue, leading to bone fragility and an increase in the risk of vertebral and non-vertebral fractures. The diagnosis of osteoporosis may be confirmed by the finding of low bone mass or the presence or history of osteoporotic fracture. While non-vertebral fractures are usually clinically apparent, vertebral fractures also may be manifested by back pain, height loss or kyphosis.</w:t>
      </w:r>
    </w:p>
    <w:p w14:paraId="0D1CC84E" w14:textId="77777777" w:rsidR="00DE49E3" w:rsidRPr="00F073F8" w:rsidRDefault="00DE49E3" w:rsidP="00F073F8">
      <w:pPr>
        <w:rPr>
          <w:sz w:val="22"/>
          <w:szCs w:val="22"/>
          <w:lang w:val="en-GB"/>
        </w:rPr>
      </w:pPr>
    </w:p>
    <w:p w14:paraId="429CB1D5" w14:textId="77777777" w:rsidR="00FA22F4" w:rsidRPr="008539F3" w:rsidRDefault="00FA22F4" w:rsidP="00F073F8">
      <w:pPr>
        <w:pStyle w:val="Heading2"/>
        <w:jc w:val="left"/>
        <w:rPr>
          <w:rFonts w:ascii="Times New Roman" w:hAnsi="Times New Roman" w:cs="Times New Roman"/>
          <w:i/>
          <w:iCs/>
          <w:sz w:val="22"/>
          <w:szCs w:val="22"/>
        </w:rPr>
      </w:pPr>
      <w:r w:rsidRPr="008539F3">
        <w:rPr>
          <w:rFonts w:ascii="Times New Roman" w:hAnsi="Times New Roman" w:cs="Times New Roman"/>
          <w:i/>
          <w:iCs/>
          <w:sz w:val="22"/>
          <w:szCs w:val="22"/>
        </w:rPr>
        <w:t>Mechanism of action</w:t>
      </w:r>
    </w:p>
    <w:p w14:paraId="6AF1AEFB" w14:textId="10F0AEB0" w:rsidR="00DE49E3" w:rsidRDefault="00EF5169" w:rsidP="00F073F8">
      <w:pPr>
        <w:rPr>
          <w:sz w:val="22"/>
          <w:szCs w:val="22"/>
        </w:rPr>
      </w:pPr>
      <w:r w:rsidRPr="00F073F8">
        <w:rPr>
          <w:sz w:val="22"/>
          <w:szCs w:val="22"/>
        </w:rPr>
        <w:t>Endogenous 84-amino-acid parathyroid hormone (PTH) is the primary regulator of calcium and phosphate metabolism in bone and kidney. Teriparatide is the active fragment (1-34) of endogenous human parathyroid hormone</w:t>
      </w:r>
      <w:r w:rsidR="00DE49E3" w:rsidRPr="00F073F8">
        <w:rPr>
          <w:sz w:val="22"/>
          <w:szCs w:val="22"/>
        </w:rPr>
        <w:t>, manufactured using recombinant DNA technology</w:t>
      </w:r>
      <w:r w:rsidRPr="00F073F8">
        <w:rPr>
          <w:sz w:val="22"/>
          <w:szCs w:val="22"/>
        </w:rPr>
        <w:t>.</w:t>
      </w:r>
    </w:p>
    <w:p w14:paraId="4B668DE5" w14:textId="77777777" w:rsidR="00D33B49" w:rsidRPr="00F073F8" w:rsidRDefault="00D33B49" w:rsidP="00F073F8">
      <w:pPr>
        <w:rPr>
          <w:sz w:val="22"/>
          <w:szCs w:val="22"/>
        </w:rPr>
      </w:pPr>
    </w:p>
    <w:p w14:paraId="7BFDA383" w14:textId="394D31F7" w:rsidR="00C01503" w:rsidRPr="00F073F8" w:rsidRDefault="003046EB" w:rsidP="00C436F0">
      <w:pPr>
        <w:ind w:right="-332"/>
        <w:rPr>
          <w:sz w:val="22"/>
          <w:szCs w:val="22"/>
        </w:rPr>
      </w:pPr>
      <w:r w:rsidRPr="00F073F8">
        <w:rPr>
          <w:sz w:val="22"/>
          <w:szCs w:val="22"/>
        </w:rPr>
        <w:t xml:space="preserve">Physiological actions of PTH include regulation of bone metabolism, renal tubular reabsorption of calcium and phosphate, and intestinal calcium absorption. The biological actions of PTH and teriparatide are mediated through binding to specific PTH cell surface receptors. </w:t>
      </w:r>
      <w:r w:rsidR="00FE4719" w:rsidRPr="002D0C10">
        <w:rPr>
          <w:sz w:val="22"/>
          <w:szCs w:val="22"/>
        </w:rPr>
        <w:t>Teriparatide binds to these receptors w</w:t>
      </w:r>
      <w:r w:rsidR="00493F6E" w:rsidRPr="002D0C10">
        <w:rPr>
          <w:sz w:val="22"/>
          <w:szCs w:val="22"/>
        </w:rPr>
        <w:t xml:space="preserve">ith similar affinity as </w:t>
      </w:r>
      <w:r w:rsidR="00962C0C" w:rsidRPr="002D0C10">
        <w:rPr>
          <w:sz w:val="22"/>
          <w:szCs w:val="22"/>
        </w:rPr>
        <w:t>PTH and</w:t>
      </w:r>
      <w:r w:rsidR="00493F6E" w:rsidRPr="002D0C10">
        <w:rPr>
          <w:sz w:val="22"/>
          <w:szCs w:val="22"/>
        </w:rPr>
        <w:t xml:space="preserve"> has the same actions in bone and kidney as PTH.</w:t>
      </w:r>
      <w:r w:rsidR="00493F6E">
        <w:rPr>
          <w:sz w:val="22"/>
          <w:szCs w:val="22"/>
        </w:rPr>
        <w:t xml:space="preserve"> </w:t>
      </w:r>
      <w:r w:rsidR="00C01503" w:rsidRPr="00F073F8">
        <w:rPr>
          <w:sz w:val="22"/>
          <w:szCs w:val="22"/>
        </w:rPr>
        <w:t>Like endogenous PTH, teriparatide is not expected to accumulate in bone or other tissues</w:t>
      </w:r>
      <w:r w:rsidRPr="00F073F8">
        <w:rPr>
          <w:sz w:val="22"/>
          <w:szCs w:val="22"/>
        </w:rPr>
        <w:t>.</w:t>
      </w:r>
    </w:p>
    <w:p w14:paraId="2CBD63D3" w14:textId="1C259985" w:rsidR="002D68B8" w:rsidRPr="00F073F8" w:rsidRDefault="002D68B8" w:rsidP="00F073F8">
      <w:pPr>
        <w:rPr>
          <w:sz w:val="22"/>
          <w:szCs w:val="22"/>
          <w:lang w:val="en-GB"/>
        </w:rPr>
      </w:pPr>
    </w:p>
    <w:p w14:paraId="697F4B65" w14:textId="39D27E00" w:rsidR="00523543" w:rsidRPr="008539F3" w:rsidRDefault="00523543" w:rsidP="00F073F8">
      <w:pPr>
        <w:rPr>
          <w:b/>
          <w:bCs/>
          <w:i/>
          <w:iCs/>
          <w:sz w:val="22"/>
          <w:szCs w:val="22"/>
        </w:rPr>
      </w:pPr>
      <w:r w:rsidRPr="008539F3">
        <w:rPr>
          <w:b/>
          <w:bCs/>
          <w:i/>
          <w:iCs/>
          <w:sz w:val="22"/>
          <w:szCs w:val="22"/>
        </w:rPr>
        <w:t>Pharmacodynamic effects</w:t>
      </w:r>
      <w:r w:rsidR="00AE3EA4" w:rsidRPr="008539F3">
        <w:rPr>
          <w:b/>
          <w:bCs/>
          <w:i/>
          <w:iCs/>
          <w:sz w:val="22"/>
          <w:szCs w:val="22"/>
        </w:rPr>
        <w:t xml:space="preserve"> </w:t>
      </w:r>
    </w:p>
    <w:p w14:paraId="7C60C093" w14:textId="3F50E0F9" w:rsidR="00ED1A85" w:rsidRDefault="0078098F" w:rsidP="00C436F0">
      <w:pPr>
        <w:ind w:right="-332"/>
        <w:rPr>
          <w:sz w:val="22"/>
          <w:szCs w:val="22"/>
        </w:rPr>
      </w:pPr>
      <w:r w:rsidRPr="00F073F8">
        <w:rPr>
          <w:sz w:val="22"/>
          <w:szCs w:val="22"/>
        </w:rPr>
        <w:t>The skeletal effects of teriparatide depend upon the pattern of systemic exposure. Once daily administration of teriparatide increases apposition of new bone on trabecular and cortical (</w:t>
      </w:r>
      <w:proofErr w:type="spellStart"/>
      <w:r w:rsidRPr="00F073F8">
        <w:rPr>
          <w:sz w:val="22"/>
          <w:szCs w:val="22"/>
        </w:rPr>
        <w:t>endosteal</w:t>
      </w:r>
      <w:proofErr w:type="spellEnd"/>
      <w:r w:rsidRPr="00F073F8">
        <w:rPr>
          <w:sz w:val="22"/>
          <w:szCs w:val="22"/>
        </w:rPr>
        <w:t xml:space="preserve"> and periosteal) bone surfaces by preferential stimulation of osteoblastic activity over </w:t>
      </w:r>
      <w:proofErr w:type="spellStart"/>
      <w:r w:rsidRPr="00F073F8">
        <w:rPr>
          <w:sz w:val="22"/>
          <w:szCs w:val="22"/>
        </w:rPr>
        <w:t>osteoclastic</w:t>
      </w:r>
      <w:proofErr w:type="spellEnd"/>
      <w:r w:rsidRPr="00F073F8">
        <w:rPr>
          <w:sz w:val="22"/>
          <w:szCs w:val="22"/>
        </w:rPr>
        <w:t xml:space="preserve"> activity. In contrast, continuous excess of endogenous PTH, as </w:t>
      </w:r>
      <w:r w:rsidR="00300351" w:rsidRPr="00F073F8">
        <w:rPr>
          <w:sz w:val="22"/>
          <w:szCs w:val="22"/>
        </w:rPr>
        <w:t xml:space="preserve">occurs in hyperparathyroidism, may be detrimental to the skeleton because bone resorption may be stimulated more than bone formation. </w:t>
      </w:r>
    </w:p>
    <w:p w14:paraId="1CD379AA" w14:textId="77777777" w:rsidR="00C634A1" w:rsidRPr="00F073F8" w:rsidRDefault="00C634A1" w:rsidP="00F073F8">
      <w:pPr>
        <w:rPr>
          <w:sz w:val="22"/>
          <w:szCs w:val="22"/>
        </w:rPr>
      </w:pPr>
    </w:p>
    <w:p w14:paraId="07F185D9" w14:textId="7C6A4D88" w:rsidR="00300351" w:rsidRPr="00F073F8" w:rsidRDefault="00300351" w:rsidP="00C436F0">
      <w:pPr>
        <w:ind w:right="-474"/>
        <w:rPr>
          <w:sz w:val="22"/>
          <w:szCs w:val="22"/>
        </w:rPr>
      </w:pPr>
      <w:r w:rsidRPr="00F073F8">
        <w:rPr>
          <w:sz w:val="22"/>
          <w:szCs w:val="22"/>
        </w:rPr>
        <w:t>In monkey studies, teriparatide</w:t>
      </w:r>
      <w:r w:rsidR="00007440" w:rsidRPr="00F073F8">
        <w:rPr>
          <w:sz w:val="22"/>
          <w:szCs w:val="22"/>
        </w:rPr>
        <w:t xml:space="preserve"> </w:t>
      </w:r>
      <w:r w:rsidRPr="00F073F8">
        <w:rPr>
          <w:sz w:val="22"/>
          <w:szCs w:val="22"/>
        </w:rPr>
        <w:t>improved trabecular microarchitecture and increased bone mass and strength by stimulating new bone formation in both cancellous and cortical bone. In humans, teriparatide affects calcium and phosphorus metabolism in a pattern consistent with the known actions of endogenous PTH.</w:t>
      </w:r>
    </w:p>
    <w:p w14:paraId="0E4DD5A5" w14:textId="77777777" w:rsidR="0034564D" w:rsidRPr="00F073F8" w:rsidRDefault="0034564D" w:rsidP="00F073F8">
      <w:pPr>
        <w:rPr>
          <w:sz w:val="22"/>
          <w:szCs w:val="22"/>
          <w:lang w:val="en-GB"/>
        </w:rPr>
      </w:pPr>
    </w:p>
    <w:p w14:paraId="5B74FB4C" w14:textId="6AD66AD5" w:rsidR="00C633B1" w:rsidRPr="008539F3" w:rsidRDefault="002D68B8" w:rsidP="00F073F8">
      <w:pPr>
        <w:pStyle w:val="Heading2"/>
        <w:jc w:val="left"/>
        <w:rPr>
          <w:rFonts w:ascii="Times New Roman" w:hAnsi="Times New Roman" w:cs="Times New Roman"/>
          <w:bCs/>
          <w:i/>
          <w:sz w:val="22"/>
          <w:szCs w:val="22"/>
        </w:rPr>
      </w:pPr>
      <w:r w:rsidRPr="008539F3">
        <w:rPr>
          <w:rFonts w:ascii="Times New Roman" w:hAnsi="Times New Roman" w:cs="Times New Roman"/>
          <w:bCs/>
          <w:i/>
          <w:sz w:val="22"/>
          <w:szCs w:val="22"/>
        </w:rPr>
        <w:t>Clinical trials</w:t>
      </w:r>
      <w:r w:rsidR="00CC5D0C" w:rsidRPr="008539F3">
        <w:rPr>
          <w:rFonts w:ascii="Times New Roman" w:hAnsi="Times New Roman" w:cs="Times New Roman"/>
          <w:bCs/>
          <w:i/>
          <w:sz w:val="22"/>
          <w:szCs w:val="22"/>
        </w:rPr>
        <w:t xml:space="preserve"> </w:t>
      </w:r>
    </w:p>
    <w:p w14:paraId="2A13C00F" w14:textId="77777777" w:rsidR="00E73F69" w:rsidRPr="00A55F36" w:rsidRDefault="00E73F69" w:rsidP="003D1043"/>
    <w:p w14:paraId="066A18A9" w14:textId="07775BEB" w:rsidR="00E73F69" w:rsidRPr="00A55F36" w:rsidRDefault="00CC5D0C" w:rsidP="00F073F8">
      <w:pPr>
        <w:pStyle w:val="Heading2"/>
        <w:jc w:val="left"/>
        <w:rPr>
          <w:rFonts w:ascii="Times New Roman" w:hAnsi="Times New Roman" w:cs="Times New Roman"/>
          <w:b w:val="0"/>
          <w:sz w:val="22"/>
          <w:szCs w:val="22"/>
          <w:u w:val="single"/>
        </w:rPr>
      </w:pPr>
      <w:r w:rsidRPr="00A55F36">
        <w:rPr>
          <w:rFonts w:ascii="Times New Roman" w:hAnsi="Times New Roman" w:cs="Times New Roman"/>
          <w:b w:val="0"/>
          <w:sz w:val="22"/>
          <w:szCs w:val="22"/>
          <w:u w:val="single"/>
        </w:rPr>
        <w:t xml:space="preserve">Clinical trials with </w:t>
      </w:r>
      <w:proofErr w:type="spellStart"/>
      <w:r w:rsidRPr="00A55F36">
        <w:rPr>
          <w:rFonts w:ascii="Times New Roman" w:hAnsi="Times New Roman" w:cs="Times New Roman"/>
          <w:b w:val="0"/>
          <w:sz w:val="22"/>
          <w:szCs w:val="22"/>
          <w:u w:val="single"/>
        </w:rPr>
        <w:t>Forteo</w:t>
      </w:r>
      <w:proofErr w:type="spellEnd"/>
      <w:r w:rsidR="007E7742">
        <w:rPr>
          <w:rFonts w:ascii="Times New Roman" w:hAnsi="Times New Roman" w:cs="Times New Roman"/>
          <w:b w:val="0"/>
          <w:sz w:val="22"/>
          <w:szCs w:val="22"/>
          <w:u w:val="single"/>
        </w:rPr>
        <w:t xml:space="preserve"> </w:t>
      </w:r>
    </w:p>
    <w:p w14:paraId="2FBCFBA2" w14:textId="000E3971" w:rsidR="00CC5D0C" w:rsidRDefault="00CC5D0C" w:rsidP="00F073F8">
      <w:pPr>
        <w:rPr>
          <w:sz w:val="22"/>
          <w:szCs w:val="22"/>
          <w:lang w:val="en-GB" w:eastAsia="en-US"/>
        </w:rPr>
      </w:pPr>
    </w:p>
    <w:p w14:paraId="2E91346D" w14:textId="0E368C54" w:rsidR="00080DB2" w:rsidRDefault="00080DB2" w:rsidP="00C436F0">
      <w:pPr>
        <w:ind w:right="-615"/>
        <w:rPr>
          <w:sz w:val="23"/>
          <w:szCs w:val="23"/>
        </w:rPr>
      </w:pPr>
      <w:r w:rsidRPr="00F5043D">
        <w:rPr>
          <w:sz w:val="22"/>
          <w:szCs w:val="22"/>
        </w:rPr>
        <w:t xml:space="preserve">The clinical program included treatment studies in women and men with osteoporosis. Postmenopausal women were treated for up to 24 months to evaluate effects on vertebral fractures. Men were treated for up to 14 months to evaluate the effect on BMD. Of the women and men who participated in the </w:t>
      </w:r>
      <w:proofErr w:type="spellStart"/>
      <w:r w:rsidRPr="00F5043D">
        <w:rPr>
          <w:sz w:val="22"/>
          <w:szCs w:val="22"/>
        </w:rPr>
        <w:t>Forteo</w:t>
      </w:r>
      <w:proofErr w:type="spellEnd"/>
      <w:r w:rsidRPr="00F5043D">
        <w:rPr>
          <w:sz w:val="22"/>
          <w:szCs w:val="22"/>
        </w:rPr>
        <w:t xml:space="preserve"> treatment studies, 1930 have been systematically observed for 18 months in a post treatment follow-up study</w:t>
      </w:r>
      <w:r>
        <w:rPr>
          <w:sz w:val="23"/>
          <w:szCs w:val="23"/>
        </w:rPr>
        <w:t>.</w:t>
      </w:r>
    </w:p>
    <w:p w14:paraId="5DB22D08" w14:textId="67ABAC91" w:rsidR="00425DFB" w:rsidRPr="008539F3" w:rsidRDefault="00425DFB" w:rsidP="00F073F8">
      <w:pPr>
        <w:rPr>
          <w:sz w:val="22"/>
          <w:szCs w:val="22"/>
        </w:rPr>
      </w:pPr>
    </w:p>
    <w:p w14:paraId="281DF73F" w14:textId="6548AB07" w:rsidR="00425DFB" w:rsidRDefault="00425DFB" w:rsidP="00A4279C">
      <w:pPr>
        <w:pStyle w:val="Heading3"/>
        <w:rPr>
          <w:rFonts w:ascii="Times New Roman" w:eastAsia="Times New Roman" w:hAnsi="Times New Roman" w:cs="Times New Roman"/>
          <w:b/>
          <w:bCs/>
          <w:color w:val="auto"/>
          <w:sz w:val="23"/>
          <w:szCs w:val="23"/>
        </w:rPr>
      </w:pPr>
      <w:r w:rsidRPr="0095316B">
        <w:rPr>
          <w:rFonts w:ascii="Times New Roman" w:eastAsia="Times New Roman" w:hAnsi="Times New Roman" w:cs="Times New Roman"/>
          <w:b/>
          <w:bCs/>
          <w:color w:val="auto"/>
          <w:sz w:val="23"/>
          <w:szCs w:val="23"/>
        </w:rPr>
        <w:t>Treatment of postmenopausal women with osteoporosis</w:t>
      </w:r>
    </w:p>
    <w:p w14:paraId="2FD6211B" w14:textId="77777777" w:rsidR="00606C03" w:rsidRPr="008539F3" w:rsidRDefault="00606C03" w:rsidP="00606C03">
      <w:pPr>
        <w:rPr>
          <w:sz w:val="22"/>
          <w:szCs w:val="22"/>
        </w:rPr>
      </w:pPr>
    </w:p>
    <w:p w14:paraId="249BF63C" w14:textId="42A4712D" w:rsidR="00425DFB" w:rsidRPr="00F5043D" w:rsidRDefault="00425DFB" w:rsidP="008539F3">
      <w:pPr>
        <w:pStyle w:val="BodyText"/>
        <w:rPr>
          <w:rFonts w:ascii="Times New Roman" w:hAnsi="Times New Roman" w:cs="Times New Roman"/>
          <w:lang w:val="en-AU" w:eastAsia="en-GB"/>
        </w:rPr>
      </w:pPr>
      <w:r w:rsidRPr="00F5043D">
        <w:rPr>
          <w:rFonts w:ascii="Times New Roman" w:hAnsi="Times New Roman" w:cs="Times New Roman"/>
          <w:lang w:val="en-AU" w:eastAsia="en-GB"/>
        </w:rPr>
        <w:t>The pivotal study included 1637 postmenopausal women (mean age 69.5 years). At baseline, ninety percent of the patients had one or more vertebral fractures. All patients received 1000 mg of calcium per day and at least 400 IU of vitamin D per day. Results from a treatment period of up to 24 months (median 19 months), with teriparatide, demonstrate significant anti-fracture efficacy.</w:t>
      </w:r>
    </w:p>
    <w:p w14:paraId="184DB6B9" w14:textId="5F18717E" w:rsidR="00425DFB" w:rsidRPr="00F5043D" w:rsidRDefault="00425DFB" w:rsidP="008539F3">
      <w:pPr>
        <w:pStyle w:val="BodyText"/>
        <w:rPr>
          <w:rFonts w:ascii="Times New Roman" w:hAnsi="Times New Roman" w:cs="Times New Roman"/>
          <w:lang w:val="en-AU" w:eastAsia="en-GB"/>
        </w:rPr>
      </w:pPr>
      <w:r w:rsidRPr="00D72F34">
        <w:rPr>
          <w:rFonts w:ascii="Times New Roman" w:hAnsi="Times New Roman" w:cs="Times New Roman"/>
          <w:b/>
          <w:bCs/>
          <w:i/>
          <w:iCs/>
          <w:lang w:val="en-AU" w:eastAsia="en-GB"/>
        </w:rPr>
        <w:t>Effect on Vertebral fractures</w:t>
      </w:r>
      <w:r w:rsidRPr="00F5043D">
        <w:rPr>
          <w:rFonts w:ascii="Times New Roman" w:hAnsi="Times New Roman" w:cs="Times New Roman"/>
          <w:i/>
          <w:iCs/>
          <w:lang w:val="en-AU" w:eastAsia="en-GB"/>
        </w:rPr>
        <w:t>:</w:t>
      </w:r>
      <w:r w:rsidRPr="00F5043D">
        <w:rPr>
          <w:rFonts w:ascii="Times New Roman" w:hAnsi="Times New Roman" w:cs="Times New Roman"/>
          <w:lang w:val="en-AU" w:eastAsia="en-GB"/>
        </w:rPr>
        <w:t xml:space="preserve"> Teriparatide, relative to placebo, given for a median of 19 months, significantly reduced the risk and severity of new vertebral fractures in postmenopausal women with osteoporosis. The relative risk for the incidence of 1 or more new vertebral fractures was reduced by 65 % and multiple fractures by 77 % with teriparatide treatment (</w:t>
      </w:r>
      <w:r w:rsidR="0030263A" w:rsidRPr="008539F3">
        <w:rPr>
          <w:rFonts w:ascii="Times New Roman" w:hAnsi="Times New Roman" w:cs="Times New Roman"/>
          <w:b/>
          <w:bCs/>
          <w:lang w:val="en-AU" w:eastAsia="en-GB"/>
        </w:rPr>
        <w:t>Table</w:t>
      </w:r>
      <w:r w:rsidR="0030263A">
        <w:rPr>
          <w:rFonts w:ascii="Times New Roman" w:hAnsi="Times New Roman" w:cs="Times New Roman"/>
          <w:b/>
          <w:bCs/>
          <w:lang w:val="en-AU" w:eastAsia="en-GB"/>
        </w:rPr>
        <w:t> </w:t>
      </w:r>
      <w:r w:rsidRPr="008539F3">
        <w:rPr>
          <w:rFonts w:ascii="Times New Roman" w:hAnsi="Times New Roman" w:cs="Times New Roman"/>
          <w:b/>
          <w:bCs/>
          <w:lang w:val="en-AU" w:eastAsia="en-GB"/>
        </w:rPr>
        <w:t>3</w:t>
      </w:r>
      <w:r w:rsidRPr="00F5043D">
        <w:rPr>
          <w:rFonts w:ascii="Times New Roman" w:hAnsi="Times New Roman" w:cs="Times New Roman"/>
          <w:lang w:val="en-AU" w:eastAsia="en-GB"/>
        </w:rPr>
        <w:t xml:space="preserve"> includes data on absolute risk reduction). Eleven women would need to be treated with teriparatide for a median of 19 months to prevent one or more new vertebral fractures.</w:t>
      </w:r>
    </w:p>
    <w:p w14:paraId="78679F36" w14:textId="77777777" w:rsidR="00425DFB" w:rsidRPr="00F5043D" w:rsidRDefault="00425DFB" w:rsidP="008539F3">
      <w:pPr>
        <w:pStyle w:val="BodyText"/>
        <w:rPr>
          <w:rFonts w:ascii="Times New Roman" w:hAnsi="Times New Roman" w:cs="Times New Roman"/>
          <w:lang w:val="en-AU" w:eastAsia="en-GB"/>
        </w:rPr>
      </w:pPr>
      <w:r w:rsidRPr="00D72F34">
        <w:rPr>
          <w:rFonts w:ascii="Times New Roman" w:hAnsi="Times New Roman" w:cs="Times New Roman"/>
          <w:b/>
          <w:bCs/>
          <w:i/>
          <w:iCs/>
          <w:lang w:val="en-AU" w:eastAsia="en-GB"/>
        </w:rPr>
        <w:t>Effect on Non-vertebral fractures:</w:t>
      </w:r>
      <w:r w:rsidRPr="00F5043D">
        <w:rPr>
          <w:rFonts w:ascii="Times New Roman" w:hAnsi="Times New Roman" w:cs="Times New Roman"/>
          <w:lang w:val="en-AU" w:eastAsia="en-GB"/>
        </w:rPr>
        <w:t xml:space="preserve"> Teriparatide significantly reduced (by 53%) the overall incidence of non-vertebral fragility fractures including wrist, ribs, ankle, </w:t>
      </w:r>
      <w:proofErr w:type="spellStart"/>
      <w:r w:rsidRPr="00F5043D">
        <w:rPr>
          <w:rFonts w:ascii="Times New Roman" w:hAnsi="Times New Roman" w:cs="Times New Roman"/>
          <w:lang w:val="en-AU" w:eastAsia="en-GB"/>
        </w:rPr>
        <w:t>humerus</w:t>
      </w:r>
      <w:proofErr w:type="spellEnd"/>
      <w:r w:rsidRPr="00F5043D">
        <w:rPr>
          <w:rFonts w:ascii="Times New Roman" w:hAnsi="Times New Roman" w:cs="Times New Roman"/>
          <w:lang w:val="en-AU" w:eastAsia="en-GB"/>
        </w:rPr>
        <w:t>, hip, foot, pelvis and others (</w:t>
      </w:r>
      <w:r w:rsidRPr="00485507">
        <w:rPr>
          <w:rFonts w:ascii="Times New Roman" w:hAnsi="Times New Roman" w:cs="Times New Roman"/>
          <w:b/>
          <w:bCs/>
          <w:lang w:val="en-AU" w:eastAsia="en-GB"/>
        </w:rPr>
        <w:t>see Figure 1).</w:t>
      </w:r>
    </w:p>
    <w:p w14:paraId="40082C04" w14:textId="77777777" w:rsidR="00425DFB" w:rsidRDefault="00425DFB" w:rsidP="00F073F8">
      <w:pPr>
        <w:rPr>
          <w:sz w:val="23"/>
          <w:szCs w:val="23"/>
        </w:rPr>
      </w:pPr>
    </w:p>
    <w:p w14:paraId="5626633E" w14:textId="1585A3B7" w:rsidR="00080DB2" w:rsidRDefault="00D67265" w:rsidP="00F073F8">
      <w:pPr>
        <w:rPr>
          <w:sz w:val="22"/>
          <w:szCs w:val="22"/>
          <w:lang w:val="en-GB" w:eastAsia="en-US"/>
        </w:rPr>
      </w:pPr>
      <w:r w:rsidRPr="00D67265">
        <w:rPr>
          <w:noProof/>
          <w:sz w:val="22"/>
          <w:szCs w:val="22"/>
          <w:lang w:eastAsia="en-AU"/>
        </w:rPr>
        <w:drawing>
          <wp:inline distT="0" distB="0" distL="0" distR="0" wp14:anchorId="6D795B5F" wp14:editId="77E9D012">
            <wp:extent cx="5311140" cy="3143250"/>
            <wp:effectExtent l="0" t="0" r="0" b="6350"/>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311140" cy="3143250"/>
                    </a:xfrm>
                    <a:prstGeom prst="rect">
                      <a:avLst/>
                    </a:prstGeom>
                  </pic:spPr>
                </pic:pic>
              </a:graphicData>
            </a:graphic>
          </wp:inline>
        </w:drawing>
      </w:r>
    </w:p>
    <w:p w14:paraId="7956E3C3" w14:textId="702EDE5A" w:rsidR="007B2F06" w:rsidRPr="00FA53FF" w:rsidRDefault="007B2F06" w:rsidP="008539F3">
      <w:pPr>
        <w:pStyle w:val="BodyText"/>
        <w:spacing w:before="90"/>
        <w:rPr>
          <w:rFonts w:ascii="Times New Roman" w:hAnsi="Times New Roman" w:cs="Times New Roman"/>
          <w:lang w:val="en-AU" w:eastAsia="en-GB"/>
        </w:rPr>
      </w:pPr>
      <w:r w:rsidRPr="00D72F34">
        <w:rPr>
          <w:rFonts w:ascii="Times New Roman" w:hAnsi="Times New Roman" w:cs="Times New Roman"/>
          <w:b/>
          <w:bCs/>
          <w:i/>
          <w:iCs/>
          <w:sz w:val="23"/>
          <w:szCs w:val="23"/>
          <w:lang w:val="en-AU" w:eastAsia="en-GB"/>
        </w:rPr>
        <w:t>Effect on BMD</w:t>
      </w:r>
      <w:r w:rsidRPr="003D13DC">
        <w:rPr>
          <w:rFonts w:ascii="Times New Roman" w:hAnsi="Times New Roman" w:cs="Times New Roman"/>
          <w:sz w:val="23"/>
          <w:szCs w:val="23"/>
          <w:lang w:val="en-AU" w:eastAsia="en-GB"/>
        </w:rPr>
        <w:t xml:space="preserve">: </w:t>
      </w:r>
      <w:r w:rsidRPr="00FA53FF">
        <w:rPr>
          <w:rFonts w:ascii="Times New Roman" w:hAnsi="Times New Roman" w:cs="Times New Roman"/>
          <w:lang w:val="en-AU" w:eastAsia="en-GB"/>
        </w:rPr>
        <w:t xml:space="preserve">Teriparatide rapidly increased lumbar spine BMD. Significant increases were seen as early as 3 months and continued throughout the treatment period, as shown in </w:t>
      </w:r>
      <w:r w:rsidRPr="00D826DD">
        <w:rPr>
          <w:rFonts w:ascii="Times New Roman" w:hAnsi="Times New Roman" w:cs="Times New Roman"/>
          <w:b/>
          <w:bCs/>
          <w:lang w:val="en-AU" w:eastAsia="en-GB"/>
        </w:rPr>
        <w:t>Figure 2.</w:t>
      </w:r>
      <w:r w:rsidRPr="00FA53FF">
        <w:rPr>
          <w:rFonts w:ascii="Times New Roman" w:hAnsi="Times New Roman" w:cs="Times New Roman"/>
          <w:lang w:val="en-AU" w:eastAsia="en-GB"/>
        </w:rPr>
        <w:t xml:space="preserve"> After a median treatment period of 19 months, BMD had increased 9 % and 4 % in the lumbar spine and total hip, respectively, compared with placebo (p&lt;0.001).</w:t>
      </w:r>
      <w:r w:rsidR="00F5043D" w:rsidRPr="00FA53FF">
        <w:rPr>
          <w:rFonts w:ascii="Times New Roman" w:hAnsi="Times New Roman" w:cs="Times New Roman"/>
          <w:lang w:val="en-AU" w:eastAsia="en-GB"/>
        </w:rPr>
        <w:t xml:space="preserve"> </w:t>
      </w:r>
      <w:r w:rsidRPr="00FA53FF">
        <w:rPr>
          <w:rFonts w:ascii="Times New Roman" w:hAnsi="Times New Roman" w:cs="Times New Roman"/>
          <w:lang w:val="en-AU" w:eastAsia="en-GB"/>
        </w:rPr>
        <w:t>Teriparatide was effective regardless of age, baseline rate of bone turnover and baseline</w:t>
      </w:r>
      <w:r w:rsidRPr="003D13DC">
        <w:rPr>
          <w:rFonts w:ascii="Times New Roman" w:hAnsi="Times New Roman" w:cs="Times New Roman"/>
          <w:sz w:val="23"/>
          <w:szCs w:val="23"/>
          <w:lang w:val="en-AU" w:eastAsia="en-GB"/>
        </w:rPr>
        <w:t xml:space="preserve"> </w:t>
      </w:r>
      <w:r w:rsidRPr="00FA53FF">
        <w:rPr>
          <w:rFonts w:ascii="Times New Roman" w:hAnsi="Times New Roman" w:cs="Times New Roman"/>
          <w:lang w:val="en-AU" w:eastAsia="en-GB"/>
        </w:rPr>
        <w:t>BMD.</w:t>
      </w:r>
    </w:p>
    <w:p w14:paraId="495E29C1" w14:textId="1676021C" w:rsidR="00791054" w:rsidRDefault="007B2F06">
      <w:pPr>
        <w:rPr>
          <w:i/>
          <w:iCs/>
          <w:sz w:val="22"/>
          <w:szCs w:val="22"/>
          <w:u w:val="single"/>
        </w:rPr>
      </w:pPr>
      <w:r w:rsidRPr="007B7257">
        <w:rPr>
          <w:i/>
          <w:iCs/>
          <w:noProof/>
          <w:sz w:val="22"/>
          <w:szCs w:val="22"/>
          <w:u w:val="single"/>
          <w:lang w:eastAsia="en-AU"/>
        </w:rPr>
        <w:drawing>
          <wp:inline distT="0" distB="0" distL="0" distR="0" wp14:anchorId="5A432781" wp14:editId="130294A5">
            <wp:extent cx="5171846" cy="3942574"/>
            <wp:effectExtent l="0" t="0" r="0" b="127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176539" cy="3946151"/>
                    </a:xfrm>
                    <a:prstGeom prst="rect">
                      <a:avLst/>
                    </a:prstGeom>
                  </pic:spPr>
                </pic:pic>
              </a:graphicData>
            </a:graphic>
          </wp:inline>
        </w:drawing>
      </w:r>
    </w:p>
    <w:p w14:paraId="3823D326" w14:textId="152CCD9A" w:rsidR="007B2F06" w:rsidRPr="00FA53FF" w:rsidRDefault="007B2F06" w:rsidP="008539F3">
      <w:pPr>
        <w:pStyle w:val="BodyText"/>
        <w:spacing w:before="90"/>
        <w:rPr>
          <w:rFonts w:ascii="Times New Roman" w:hAnsi="Times New Roman" w:cs="Times New Roman"/>
          <w:lang w:val="en-AU" w:eastAsia="en-GB"/>
        </w:rPr>
      </w:pPr>
      <w:r w:rsidRPr="00D72F34">
        <w:rPr>
          <w:rFonts w:ascii="Times New Roman" w:hAnsi="Times New Roman" w:cs="Times New Roman"/>
          <w:b/>
          <w:bCs/>
          <w:i/>
          <w:iCs/>
          <w:lang w:val="en-AU" w:eastAsia="en-GB"/>
        </w:rPr>
        <w:t>Effect on Back Pain</w:t>
      </w:r>
      <w:r w:rsidRPr="00FA53FF">
        <w:rPr>
          <w:rFonts w:ascii="Times New Roman" w:hAnsi="Times New Roman" w:cs="Times New Roman"/>
          <w:i/>
          <w:iCs/>
          <w:lang w:val="en-AU" w:eastAsia="en-GB"/>
        </w:rPr>
        <w:t>:</w:t>
      </w:r>
      <w:r w:rsidRPr="00FA53FF">
        <w:rPr>
          <w:rFonts w:ascii="Times New Roman" w:hAnsi="Times New Roman" w:cs="Times New Roman"/>
          <w:lang w:val="en-AU" w:eastAsia="en-GB"/>
        </w:rPr>
        <w:t xml:space="preserve"> Teriparatide significantly reduced the incidence and severity of back pain. In women with postmenopausal osteoporosis, there was a significant (p = 0.017) 26% reduction in the spontaneous reports of new or worsened back pain compared to placebo.</w:t>
      </w:r>
    </w:p>
    <w:p w14:paraId="26182DDB" w14:textId="54A941E4" w:rsidR="007B2F06" w:rsidRPr="00FA53FF" w:rsidRDefault="007B2F06" w:rsidP="008539F3">
      <w:pPr>
        <w:pStyle w:val="BodyText"/>
        <w:spacing w:before="90"/>
        <w:rPr>
          <w:rFonts w:ascii="Times New Roman" w:hAnsi="Times New Roman" w:cs="Times New Roman"/>
          <w:lang w:val="en-AU" w:eastAsia="en-GB"/>
        </w:rPr>
      </w:pPr>
      <w:r w:rsidRPr="00D72F34">
        <w:rPr>
          <w:rFonts w:ascii="Times New Roman" w:hAnsi="Times New Roman" w:cs="Times New Roman"/>
          <w:b/>
          <w:bCs/>
          <w:i/>
          <w:iCs/>
          <w:lang w:val="en-AU" w:eastAsia="en-GB"/>
        </w:rPr>
        <w:t>Effects on Height Loss</w:t>
      </w:r>
      <w:r w:rsidRPr="00FA53FF">
        <w:rPr>
          <w:rFonts w:ascii="Times New Roman" w:hAnsi="Times New Roman" w:cs="Times New Roman"/>
          <w:i/>
          <w:iCs/>
          <w:lang w:val="en-AU" w:eastAsia="en-GB"/>
        </w:rPr>
        <w:t>:</w:t>
      </w:r>
      <w:r w:rsidRPr="00FA53FF">
        <w:rPr>
          <w:rFonts w:ascii="Times New Roman" w:hAnsi="Times New Roman" w:cs="Times New Roman"/>
          <w:lang w:val="en-AU" w:eastAsia="en-GB"/>
        </w:rPr>
        <w:t xml:space="preserve"> For the 86 postmenopausal women who experienced vertebral fractures, those treated with teriparatide had significantly less height loss when compared to placebo (p = 0.001).</w:t>
      </w:r>
    </w:p>
    <w:p w14:paraId="08A3F2DE" w14:textId="3AEE58FF" w:rsidR="007B2F06" w:rsidRPr="00FA53FF" w:rsidRDefault="007B2F06" w:rsidP="00C436F0">
      <w:pPr>
        <w:pStyle w:val="BodyText"/>
        <w:spacing w:before="90"/>
        <w:ind w:right="-332"/>
        <w:rPr>
          <w:rFonts w:ascii="Times New Roman" w:hAnsi="Times New Roman" w:cs="Times New Roman"/>
          <w:lang w:val="en-AU" w:eastAsia="en-GB"/>
        </w:rPr>
      </w:pPr>
      <w:r w:rsidRPr="00D72F34">
        <w:rPr>
          <w:rFonts w:ascii="Times New Roman" w:hAnsi="Times New Roman" w:cs="Times New Roman"/>
          <w:b/>
          <w:bCs/>
          <w:i/>
          <w:iCs/>
          <w:lang w:val="en-AU" w:eastAsia="en-GB"/>
        </w:rPr>
        <w:t>Bone Histology</w:t>
      </w:r>
      <w:r w:rsidRPr="00FA53FF">
        <w:rPr>
          <w:rFonts w:ascii="Times New Roman" w:hAnsi="Times New Roman" w:cs="Times New Roman"/>
          <w:i/>
          <w:iCs/>
          <w:lang w:val="en-AU" w:eastAsia="en-GB"/>
        </w:rPr>
        <w:t>:</w:t>
      </w:r>
      <w:r w:rsidRPr="00FA53FF">
        <w:rPr>
          <w:rFonts w:ascii="Times New Roman" w:hAnsi="Times New Roman" w:cs="Times New Roman"/>
          <w:lang w:val="en-AU" w:eastAsia="en-GB"/>
        </w:rPr>
        <w:t xml:space="preserve"> The effects of teriparatide on bone histology were evaluated in iliac crest biopsies of 61 postmenopausal women treated for up to 24 months with placebo or teriparatide 20 </w:t>
      </w:r>
      <w:r w:rsidR="00D826DD">
        <w:rPr>
          <w:rFonts w:ascii="Times New Roman" w:hAnsi="Times New Roman" w:cs="Times New Roman"/>
          <w:lang w:val="en-AU" w:eastAsia="en-GB"/>
        </w:rPr>
        <w:t>micrograms</w:t>
      </w:r>
      <w:r w:rsidRPr="00FA53FF">
        <w:rPr>
          <w:rFonts w:ascii="Times New Roman" w:hAnsi="Times New Roman" w:cs="Times New Roman"/>
          <w:lang w:val="en-AU" w:eastAsia="en-GB"/>
        </w:rPr>
        <w:t xml:space="preserve"> or 40 </w:t>
      </w:r>
      <w:r w:rsidR="00D826DD">
        <w:rPr>
          <w:rFonts w:ascii="Times New Roman" w:hAnsi="Times New Roman" w:cs="Times New Roman"/>
          <w:lang w:val="en-AU" w:eastAsia="en-GB"/>
        </w:rPr>
        <w:t xml:space="preserve">micrograms </w:t>
      </w:r>
      <w:r w:rsidRPr="00FA53FF">
        <w:rPr>
          <w:rFonts w:ascii="Times New Roman" w:hAnsi="Times New Roman" w:cs="Times New Roman"/>
          <w:lang w:val="en-AU" w:eastAsia="en-GB"/>
        </w:rPr>
        <w:t>per day. The increases in BMD and resistance to fracture achieved with teriparatide occurred without evidence of cellular toxicity or adverse effects on bone architecture or mineralisation. The findings in human bone samples paralleled those seen in preclinical primate studies.</w:t>
      </w:r>
    </w:p>
    <w:p w14:paraId="1DD24FFD" w14:textId="70170412" w:rsidR="00892CFA" w:rsidRPr="005B0886" w:rsidRDefault="00892CFA" w:rsidP="00892CFA">
      <w:pPr>
        <w:pStyle w:val="Heading3"/>
        <w:spacing w:before="143"/>
        <w:ind w:left="117"/>
        <w:rPr>
          <w:rFonts w:ascii="Times New Roman" w:eastAsia="Times New Roman" w:hAnsi="Times New Roman" w:cs="Times New Roman"/>
          <w:b/>
          <w:bCs/>
          <w:color w:val="auto"/>
          <w:sz w:val="22"/>
          <w:szCs w:val="22"/>
        </w:rPr>
      </w:pPr>
      <w:r w:rsidRPr="005B0886">
        <w:rPr>
          <w:rFonts w:ascii="Times New Roman" w:eastAsia="Times New Roman" w:hAnsi="Times New Roman" w:cs="Times New Roman"/>
          <w:b/>
          <w:bCs/>
          <w:color w:val="auto"/>
          <w:sz w:val="22"/>
          <w:szCs w:val="22"/>
        </w:rPr>
        <w:t xml:space="preserve">Table </w:t>
      </w:r>
      <w:r w:rsidR="00B3135A">
        <w:rPr>
          <w:rFonts w:ascii="Times New Roman" w:eastAsia="Times New Roman" w:hAnsi="Times New Roman" w:cs="Times New Roman"/>
          <w:b/>
          <w:bCs/>
          <w:color w:val="auto"/>
          <w:sz w:val="22"/>
          <w:szCs w:val="22"/>
        </w:rPr>
        <w:t>3</w:t>
      </w:r>
      <w:r w:rsidR="00F7441A">
        <w:rPr>
          <w:rFonts w:ascii="Times New Roman" w:eastAsia="Times New Roman" w:hAnsi="Times New Roman" w:cs="Times New Roman"/>
          <w:b/>
          <w:bCs/>
          <w:color w:val="auto"/>
          <w:sz w:val="22"/>
          <w:szCs w:val="22"/>
        </w:rPr>
        <w:t>.</w:t>
      </w:r>
      <w:r w:rsidRPr="005B0886">
        <w:rPr>
          <w:rFonts w:ascii="Times New Roman" w:eastAsia="Times New Roman" w:hAnsi="Times New Roman" w:cs="Times New Roman"/>
          <w:b/>
          <w:bCs/>
          <w:color w:val="auto"/>
          <w:sz w:val="22"/>
          <w:szCs w:val="22"/>
        </w:rPr>
        <w:t xml:space="preserve"> Vertebral Fracture Incidence in Postmenopausal Women</w:t>
      </w:r>
    </w:p>
    <w:tbl>
      <w:tblPr>
        <w:tblW w:w="0" w:type="auto"/>
        <w:tblInd w:w="1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92"/>
        <w:gridCol w:w="1277"/>
        <w:gridCol w:w="1279"/>
        <w:gridCol w:w="1133"/>
      </w:tblGrid>
      <w:tr w:rsidR="00892CFA" w14:paraId="7FFC1FD6" w14:textId="77777777" w:rsidTr="009D738D">
        <w:trPr>
          <w:trHeight w:val="551"/>
        </w:trPr>
        <w:tc>
          <w:tcPr>
            <w:tcW w:w="6481" w:type="dxa"/>
            <w:gridSpan w:val="4"/>
          </w:tcPr>
          <w:p w14:paraId="200BCE75" w14:textId="77777777" w:rsidR="00892CFA" w:rsidRPr="005B0886" w:rsidRDefault="00892CFA" w:rsidP="009D738D">
            <w:pPr>
              <w:pStyle w:val="TableParagraph"/>
              <w:spacing w:line="275" w:lineRule="exact"/>
              <w:ind w:left="107"/>
              <w:rPr>
                <w:lang w:eastAsia="en-GB"/>
              </w:rPr>
            </w:pPr>
            <w:r w:rsidRPr="005B0886">
              <w:rPr>
                <w:lang w:eastAsia="en-GB"/>
              </w:rPr>
              <w:t>Vertebral Fracture Incidence in Postmenopausal Women:</w:t>
            </w:r>
          </w:p>
        </w:tc>
      </w:tr>
      <w:tr w:rsidR="00892CFA" w14:paraId="2AA0417C" w14:textId="77777777" w:rsidTr="009D738D">
        <w:trPr>
          <w:trHeight w:val="1081"/>
        </w:trPr>
        <w:tc>
          <w:tcPr>
            <w:tcW w:w="2792" w:type="dxa"/>
          </w:tcPr>
          <w:p w14:paraId="065E63EF" w14:textId="77777777" w:rsidR="00892CFA" w:rsidRDefault="00892CFA" w:rsidP="009D738D">
            <w:pPr>
              <w:pStyle w:val="TableParagraph"/>
              <w:rPr>
                <w:lang w:eastAsia="en-GB"/>
              </w:rPr>
            </w:pPr>
          </w:p>
        </w:tc>
        <w:tc>
          <w:tcPr>
            <w:tcW w:w="1277" w:type="dxa"/>
          </w:tcPr>
          <w:p w14:paraId="6E2C7FCB" w14:textId="77777777" w:rsidR="00892CFA" w:rsidRPr="005B0886" w:rsidRDefault="00892CFA" w:rsidP="009D738D">
            <w:pPr>
              <w:pStyle w:val="TableParagraph"/>
              <w:spacing w:before="1"/>
              <w:ind w:left="105" w:right="328"/>
              <w:jc w:val="both"/>
              <w:rPr>
                <w:lang w:eastAsia="en-GB"/>
              </w:rPr>
            </w:pPr>
            <w:r w:rsidRPr="005B0886">
              <w:rPr>
                <w:lang w:eastAsia="en-GB"/>
              </w:rPr>
              <w:t>Placebo (N=448) (%)</w:t>
            </w:r>
          </w:p>
        </w:tc>
        <w:tc>
          <w:tcPr>
            <w:tcW w:w="1279" w:type="dxa"/>
          </w:tcPr>
          <w:p w14:paraId="3C2F82E3" w14:textId="77777777" w:rsidR="00892CFA" w:rsidRPr="005B0886" w:rsidRDefault="00892CFA" w:rsidP="009D738D">
            <w:pPr>
              <w:pStyle w:val="TableParagraph"/>
              <w:ind w:left="107" w:right="159"/>
              <w:rPr>
                <w:lang w:eastAsia="en-GB"/>
              </w:rPr>
            </w:pPr>
            <w:r w:rsidRPr="005B0886">
              <w:rPr>
                <w:lang w:eastAsia="en-GB"/>
              </w:rPr>
              <w:t>Teriparatide (N=444) (%)</w:t>
            </w:r>
          </w:p>
        </w:tc>
        <w:tc>
          <w:tcPr>
            <w:tcW w:w="1133" w:type="dxa"/>
          </w:tcPr>
          <w:p w14:paraId="05BD06ED" w14:textId="77777777" w:rsidR="00892CFA" w:rsidRDefault="00892CFA" w:rsidP="009D738D">
            <w:pPr>
              <w:pStyle w:val="TableParagraph"/>
              <w:spacing w:before="1"/>
              <w:ind w:left="105" w:right="103"/>
              <w:rPr>
                <w:lang w:eastAsia="en-GB"/>
              </w:rPr>
            </w:pPr>
            <w:r w:rsidRPr="005B0886">
              <w:rPr>
                <w:lang w:eastAsia="en-GB"/>
              </w:rPr>
              <w:t xml:space="preserve">Abs. Risk </w:t>
            </w:r>
            <w:r>
              <w:rPr>
                <w:lang w:eastAsia="en-GB"/>
              </w:rPr>
              <w:t>Reduction</w:t>
            </w:r>
          </w:p>
          <w:p w14:paraId="3FBF5803" w14:textId="77777777" w:rsidR="00892CFA" w:rsidRPr="005B0886" w:rsidRDefault="00892CFA" w:rsidP="009D738D">
            <w:pPr>
              <w:pStyle w:val="TableParagraph"/>
              <w:spacing w:line="256" w:lineRule="exact"/>
              <w:ind w:left="105"/>
              <w:rPr>
                <w:lang w:eastAsia="en-GB"/>
              </w:rPr>
            </w:pPr>
            <w:r w:rsidRPr="005B0886">
              <w:rPr>
                <w:lang w:eastAsia="en-GB"/>
              </w:rPr>
              <w:t>(%)</w:t>
            </w:r>
          </w:p>
        </w:tc>
      </w:tr>
      <w:tr w:rsidR="00892CFA" w14:paraId="4BBE87A5" w14:textId="77777777" w:rsidTr="009D738D">
        <w:trPr>
          <w:trHeight w:val="294"/>
        </w:trPr>
        <w:tc>
          <w:tcPr>
            <w:tcW w:w="2792" w:type="dxa"/>
          </w:tcPr>
          <w:p w14:paraId="60FCF615" w14:textId="0F0CD32F" w:rsidR="00892CFA" w:rsidRPr="005B0886" w:rsidRDefault="00892CFA" w:rsidP="009D738D">
            <w:pPr>
              <w:pStyle w:val="TableParagraph"/>
              <w:spacing w:before="17" w:line="258" w:lineRule="exact"/>
              <w:ind w:left="107"/>
              <w:rPr>
                <w:lang w:eastAsia="en-GB"/>
              </w:rPr>
            </w:pPr>
            <w:r w:rsidRPr="005B0886">
              <w:rPr>
                <w:lang w:eastAsia="en-GB"/>
              </w:rPr>
              <w:t>New fracture (</w:t>
            </w:r>
            <w:r w:rsidR="004A51AC" w:rsidRPr="00F073F8">
              <w:rPr>
                <w:lang w:eastAsia="en-GB"/>
              </w:rPr>
              <w:t>≥</w:t>
            </w:r>
            <w:r w:rsidRPr="005B0886">
              <w:rPr>
                <w:lang w:eastAsia="en-GB"/>
              </w:rPr>
              <w:t>1)</w:t>
            </w:r>
          </w:p>
        </w:tc>
        <w:tc>
          <w:tcPr>
            <w:tcW w:w="1277" w:type="dxa"/>
          </w:tcPr>
          <w:p w14:paraId="63795AC5" w14:textId="77777777" w:rsidR="00892CFA" w:rsidRPr="005B0886" w:rsidRDefault="00892CFA" w:rsidP="009D738D">
            <w:pPr>
              <w:pStyle w:val="TableParagraph"/>
              <w:spacing w:line="275" w:lineRule="exact"/>
              <w:ind w:left="105"/>
              <w:rPr>
                <w:lang w:eastAsia="en-GB"/>
              </w:rPr>
            </w:pPr>
            <w:r w:rsidRPr="005B0886">
              <w:rPr>
                <w:lang w:eastAsia="en-GB"/>
              </w:rPr>
              <w:t>14.3</w:t>
            </w:r>
          </w:p>
        </w:tc>
        <w:tc>
          <w:tcPr>
            <w:tcW w:w="1279" w:type="dxa"/>
          </w:tcPr>
          <w:p w14:paraId="419C1AEC" w14:textId="77777777" w:rsidR="00892CFA" w:rsidRPr="005B0886" w:rsidRDefault="00892CFA" w:rsidP="009D738D">
            <w:pPr>
              <w:pStyle w:val="TableParagraph"/>
              <w:spacing w:line="275" w:lineRule="exact"/>
              <w:ind w:left="107"/>
              <w:rPr>
                <w:lang w:eastAsia="en-GB"/>
              </w:rPr>
            </w:pPr>
            <w:r w:rsidRPr="005B0886">
              <w:rPr>
                <w:lang w:eastAsia="en-GB"/>
              </w:rPr>
              <w:t xml:space="preserve">5.0 </w:t>
            </w:r>
            <w:r w:rsidRPr="005B0886">
              <w:rPr>
                <w:vertAlign w:val="superscript"/>
                <w:lang w:eastAsia="en-GB"/>
              </w:rPr>
              <w:t>a</w:t>
            </w:r>
          </w:p>
        </w:tc>
        <w:tc>
          <w:tcPr>
            <w:tcW w:w="1133" w:type="dxa"/>
          </w:tcPr>
          <w:p w14:paraId="1CC1A408" w14:textId="77777777" w:rsidR="00892CFA" w:rsidRPr="005B0886" w:rsidRDefault="00892CFA" w:rsidP="009D738D">
            <w:pPr>
              <w:pStyle w:val="TableParagraph"/>
              <w:spacing w:line="275" w:lineRule="exact"/>
              <w:ind w:left="105"/>
              <w:rPr>
                <w:lang w:eastAsia="en-GB"/>
              </w:rPr>
            </w:pPr>
            <w:r w:rsidRPr="005B0886">
              <w:rPr>
                <w:lang w:eastAsia="en-GB"/>
              </w:rPr>
              <w:t>9.3</w:t>
            </w:r>
          </w:p>
        </w:tc>
      </w:tr>
      <w:tr w:rsidR="00892CFA" w14:paraId="7DE37C2B" w14:textId="77777777" w:rsidTr="009D738D">
        <w:trPr>
          <w:trHeight w:val="292"/>
        </w:trPr>
        <w:tc>
          <w:tcPr>
            <w:tcW w:w="2792" w:type="dxa"/>
          </w:tcPr>
          <w:p w14:paraId="67669C61" w14:textId="06C6A501" w:rsidR="00892CFA" w:rsidRPr="005B0886" w:rsidRDefault="00892CFA" w:rsidP="009D738D">
            <w:pPr>
              <w:pStyle w:val="TableParagraph"/>
              <w:spacing w:before="14" w:line="258" w:lineRule="exact"/>
              <w:ind w:left="107"/>
              <w:rPr>
                <w:lang w:eastAsia="en-GB"/>
              </w:rPr>
            </w:pPr>
            <w:r w:rsidRPr="005B0886">
              <w:rPr>
                <w:lang w:eastAsia="en-GB"/>
              </w:rPr>
              <w:t>Multiple fractures (</w:t>
            </w:r>
            <w:r w:rsidR="004A51AC" w:rsidRPr="00F073F8">
              <w:rPr>
                <w:lang w:eastAsia="en-GB"/>
              </w:rPr>
              <w:t>≥</w:t>
            </w:r>
            <w:r w:rsidRPr="005B0886">
              <w:rPr>
                <w:lang w:eastAsia="en-GB"/>
              </w:rPr>
              <w:t>2)</w:t>
            </w:r>
          </w:p>
        </w:tc>
        <w:tc>
          <w:tcPr>
            <w:tcW w:w="1277" w:type="dxa"/>
          </w:tcPr>
          <w:p w14:paraId="668A3477" w14:textId="77777777" w:rsidR="00892CFA" w:rsidRPr="005B0886" w:rsidRDefault="00892CFA" w:rsidP="009D738D">
            <w:pPr>
              <w:pStyle w:val="TableParagraph"/>
              <w:spacing w:line="272" w:lineRule="exact"/>
              <w:ind w:left="105"/>
              <w:rPr>
                <w:lang w:eastAsia="en-GB"/>
              </w:rPr>
            </w:pPr>
            <w:r w:rsidRPr="005B0886">
              <w:rPr>
                <w:lang w:eastAsia="en-GB"/>
              </w:rPr>
              <w:t>4.9</w:t>
            </w:r>
          </w:p>
        </w:tc>
        <w:tc>
          <w:tcPr>
            <w:tcW w:w="1279" w:type="dxa"/>
          </w:tcPr>
          <w:p w14:paraId="5F0BA367" w14:textId="77777777" w:rsidR="00892CFA" w:rsidRPr="005B0886" w:rsidRDefault="00892CFA" w:rsidP="009D738D">
            <w:pPr>
              <w:pStyle w:val="TableParagraph"/>
              <w:spacing w:line="272" w:lineRule="exact"/>
              <w:ind w:left="107"/>
              <w:rPr>
                <w:lang w:eastAsia="en-GB"/>
              </w:rPr>
            </w:pPr>
            <w:r w:rsidRPr="005B0886">
              <w:rPr>
                <w:lang w:eastAsia="en-GB"/>
              </w:rPr>
              <w:t xml:space="preserve">1.1 </w:t>
            </w:r>
            <w:r w:rsidRPr="005B0886">
              <w:rPr>
                <w:vertAlign w:val="superscript"/>
                <w:lang w:eastAsia="en-GB"/>
              </w:rPr>
              <w:t>a</w:t>
            </w:r>
          </w:p>
        </w:tc>
        <w:tc>
          <w:tcPr>
            <w:tcW w:w="1133" w:type="dxa"/>
          </w:tcPr>
          <w:p w14:paraId="5C888F04" w14:textId="77777777" w:rsidR="00892CFA" w:rsidRPr="005B0886" w:rsidRDefault="00892CFA" w:rsidP="009D738D">
            <w:pPr>
              <w:pStyle w:val="TableParagraph"/>
              <w:spacing w:line="272" w:lineRule="exact"/>
              <w:ind w:left="105"/>
              <w:rPr>
                <w:lang w:eastAsia="en-GB"/>
              </w:rPr>
            </w:pPr>
            <w:r w:rsidRPr="005B0886">
              <w:rPr>
                <w:lang w:eastAsia="en-GB"/>
              </w:rPr>
              <w:t>3.8</w:t>
            </w:r>
          </w:p>
        </w:tc>
      </w:tr>
      <w:tr w:rsidR="00892CFA" w14:paraId="1408D16A" w14:textId="77777777" w:rsidTr="009D738D">
        <w:trPr>
          <w:trHeight w:val="570"/>
        </w:trPr>
        <w:tc>
          <w:tcPr>
            <w:tcW w:w="2792" w:type="dxa"/>
          </w:tcPr>
          <w:p w14:paraId="1B1F7728" w14:textId="77777777" w:rsidR="00892CFA" w:rsidRPr="005B0886" w:rsidRDefault="00892CFA" w:rsidP="009D738D">
            <w:pPr>
              <w:pStyle w:val="TableParagraph"/>
              <w:spacing w:before="1"/>
              <w:ind w:left="107"/>
              <w:rPr>
                <w:lang w:eastAsia="en-GB"/>
              </w:rPr>
            </w:pPr>
            <w:r w:rsidRPr="005B0886">
              <w:rPr>
                <w:lang w:eastAsia="en-GB"/>
              </w:rPr>
              <w:t>Moderate or severe</w:t>
            </w:r>
          </w:p>
          <w:p w14:paraId="212B04FC" w14:textId="6C5E4DA2" w:rsidR="00892CFA" w:rsidRPr="005B0886" w:rsidRDefault="00892CFA" w:rsidP="009D738D">
            <w:pPr>
              <w:pStyle w:val="TableParagraph"/>
              <w:spacing w:before="16" w:line="258" w:lineRule="exact"/>
              <w:ind w:left="95"/>
              <w:rPr>
                <w:lang w:eastAsia="en-GB"/>
              </w:rPr>
            </w:pPr>
            <w:r w:rsidRPr="005B0886">
              <w:rPr>
                <w:lang w:eastAsia="en-GB"/>
              </w:rPr>
              <w:t>fracture (</w:t>
            </w:r>
            <w:r w:rsidR="004A51AC" w:rsidRPr="00F073F8">
              <w:rPr>
                <w:lang w:eastAsia="en-GB"/>
              </w:rPr>
              <w:t>≥</w:t>
            </w:r>
            <w:r w:rsidRPr="005B0886">
              <w:rPr>
                <w:lang w:eastAsia="en-GB"/>
              </w:rPr>
              <w:t>1)</w:t>
            </w:r>
          </w:p>
        </w:tc>
        <w:tc>
          <w:tcPr>
            <w:tcW w:w="1277" w:type="dxa"/>
          </w:tcPr>
          <w:p w14:paraId="0A6B0E05" w14:textId="77777777" w:rsidR="00892CFA" w:rsidRPr="005B0886" w:rsidRDefault="00892CFA" w:rsidP="009D738D">
            <w:pPr>
              <w:pStyle w:val="TableParagraph"/>
              <w:spacing w:before="1"/>
              <w:ind w:left="105"/>
              <w:rPr>
                <w:lang w:eastAsia="en-GB"/>
              </w:rPr>
            </w:pPr>
            <w:r w:rsidRPr="005B0886">
              <w:rPr>
                <w:lang w:eastAsia="en-GB"/>
              </w:rPr>
              <w:t>9.4</w:t>
            </w:r>
          </w:p>
        </w:tc>
        <w:tc>
          <w:tcPr>
            <w:tcW w:w="1279" w:type="dxa"/>
          </w:tcPr>
          <w:p w14:paraId="48057A75" w14:textId="77777777" w:rsidR="00892CFA" w:rsidRPr="005B0886" w:rsidRDefault="00892CFA" w:rsidP="009D738D">
            <w:pPr>
              <w:pStyle w:val="TableParagraph"/>
              <w:spacing w:line="277" w:lineRule="exact"/>
              <w:ind w:left="107"/>
              <w:rPr>
                <w:lang w:eastAsia="en-GB"/>
              </w:rPr>
            </w:pPr>
            <w:r w:rsidRPr="005B0886">
              <w:rPr>
                <w:lang w:eastAsia="en-GB"/>
              </w:rPr>
              <w:t xml:space="preserve">0.9 </w:t>
            </w:r>
            <w:r w:rsidRPr="005B0886">
              <w:rPr>
                <w:vertAlign w:val="superscript"/>
                <w:lang w:eastAsia="en-GB"/>
              </w:rPr>
              <w:t>a</w:t>
            </w:r>
          </w:p>
        </w:tc>
        <w:tc>
          <w:tcPr>
            <w:tcW w:w="1133" w:type="dxa"/>
          </w:tcPr>
          <w:p w14:paraId="1537AD87" w14:textId="77777777" w:rsidR="00892CFA" w:rsidRPr="005B0886" w:rsidRDefault="00892CFA" w:rsidP="009D738D">
            <w:pPr>
              <w:pStyle w:val="TableParagraph"/>
              <w:spacing w:before="1"/>
              <w:ind w:left="105"/>
              <w:rPr>
                <w:lang w:eastAsia="en-GB"/>
              </w:rPr>
            </w:pPr>
            <w:r w:rsidRPr="005B0886">
              <w:rPr>
                <w:lang w:eastAsia="en-GB"/>
              </w:rPr>
              <w:t>8.5</w:t>
            </w:r>
          </w:p>
        </w:tc>
      </w:tr>
    </w:tbl>
    <w:p w14:paraId="75636CC7" w14:textId="21BD7E3C" w:rsidR="005B0886" w:rsidRPr="005D0534" w:rsidRDefault="00892CFA" w:rsidP="005D0534">
      <w:pPr>
        <w:pStyle w:val="BodyText"/>
        <w:spacing w:before="18"/>
        <w:ind w:left="1278"/>
        <w:rPr>
          <w:rFonts w:ascii="Times New Roman" w:hAnsi="Times New Roman" w:cs="Times New Roman"/>
          <w:lang w:val="en-AU" w:eastAsia="en-GB"/>
        </w:rPr>
      </w:pPr>
      <w:r>
        <w:rPr>
          <w:vertAlign w:val="superscript"/>
        </w:rPr>
        <w:t>a</w:t>
      </w:r>
      <w:r>
        <w:t xml:space="preserve"> </w:t>
      </w:r>
      <w:r w:rsidRPr="0095316B">
        <w:rPr>
          <w:rFonts w:ascii="Times New Roman" w:hAnsi="Times New Roman" w:cs="Times New Roman"/>
          <w:lang w:val="en-AU" w:eastAsia="en-GB"/>
        </w:rPr>
        <w:t>p</w:t>
      </w:r>
      <w:r w:rsidR="00336643" w:rsidRPr="0095316B">
        <w:rPr>
          <w:rFonts w:ascii="Times New Roman" w:hAnsi="Times New Roman" w:cs="Times New Roman"/>
          <w:lang w:val="en-AU" w:eastAsia="en-GB"/>
        </w:rPr>
        <w:t>≤</w:t>
      </w:r>
      <w:r w:rsidRPr="0095316B">
        <w:rPr>
          <w:rFonts w:ascii="Times New Roman" w:hAnsi="Times New Roman" w:cs="Times New Roman"/>
          <w:lang w:val="en-AU" w:eastAsia="en-GB"/>
        </w:rPr>
        <w:t>0.001 compared with placebo</w:t>
      </w:r>
    </w:p>
    <w:p w14:paraId="783163F6" w14:textId="0CC825EB" w:rsidR="00892CFA" w:rsidRPr="005B0886" w:rsidRDefault="00892CFA" w:rsidP="008539F3">
      <w:pPr>
        <w:pStyle w:val="BodyText"/>
        <w:rPr>
          <w:rFonts w:ascii="Times New Roman" w:hAnsi="Times New Roman" w:cs="Times New Roman"/>
          <w:lang w:val="en-AU" w:eastAsia="en-GB"/>
        </w:rPr>
      </w:pPr>
      <w:r w:rsidRPr="005B0886">
        <w:rPr>
          <w:rFonts w:ascii="Times New Roman" w:hAnsi="Times New Roman" w:cs="Times New Roman"/>
          <w:i/>
          <w:iCs/>
          <w:lang w:val="en-AU" w:eastAsia="en-GB"/>
        </w:rPr>
        <w:t>Post-treatment Fracture Efficacy:</w:t>
      </w:r>
      <w:r w:rsidRPr="005B0886">
        <w:rPr>
          <w:rFonts w:ascii="Times New Roman" w:hAnsi="Times New Roman" w:cs="Times New Roman"/>
          <w:lang w:val="en-AU" w:eastAsia="en-GB"/>
        </w:rPr>
        <w:t xml:space="preserve"> Following treatment with teriparatide, 1262 postmenopausal women from the pivotal trial enrolled in a post-treatment follow-up study. After 18 months, approximately 50 % of the women in each former treatment group had begun an approved osteoporosis therapy (not including teriparatide) at the discretion of their physician. All women were offered 1000 mg of calcium per day and at least 400 IU of vitamin D per day.</w:t>
      </w:r>
    </w:p>
    <w:p w14:paraId="1222D6DD" w14:textId="59B7BCE0" w:rsidR="00892CFA" w:rsidRPr="005B0886" w:rsidRDefault="00892CFA" w:rsidP="008539F3">
      <w:pPr>
        <w:pStyle w:val="BodyText"/>
        <w:rPr>
          <w:rFonts w:ascii="Times New Roman" w:hAnsi="Times New Roman" w:cs="Times New Roman"/>
          <w:lang w:val="en-AU" w:eastAsia="en-GB"/>
        </w:rPr>
      </w:pPr>
      <w:r w:rsidRPr="005B0886">
        <w:rPr>
          <w:rFonts w:ascii="Times New Roman" w:hAnsi="Times New Roman" w:cs="Times New Roman"/>
          <w:lang w:val="en-AU" w:eastAsia="en-GB"/>
        </w:rPr>
        <w:t xml:space="preserve">During a median of 18 months following discontinuation of teriparatide treatment, there was a significant 40 % reduction in relative risk for new vertebral fractures in women previously treated with teriparatide, compared to placebo. (The relative risk reduction was similar for women with and without osteoporosis treatment, 41 % and 37 %, respectively). During the same observation period, there was a 42 % risk reduction for </w:t>
      </w:r>
      <w:proofErr w:type="spellStart"/>
      <w:r w:rsidRPr="005B0886">
        <w:rPr>
          <w:rFonts w:ascii="Times New Roman" w:hAnsi="Times New Roman" w:cs="Times New Roman"/>
          <w:lang w:val="en-AU" w:eastAsia="en-GB"/>
        </w:rPr>
        <w:t>nonvertebral</w:t>
      </w:r>
      <w:proofErr w:type="spellEnd"/>
      <w:r w:rsidRPr="005B0886">
        <w:rPr>
          <w:rFonts w:ascii="Times New Roman" w:hAnsi="Times New Roman" w:cs="Times New Roman"/>
          <w:lang w:val="en-AU" w:eastAsia="en-GB"/>
        </w:rPr>
        <w:t xml:space="preserve"> fragility fractures in women previously treated with teriparatide, compared with placebo.</w:t>
      </w:r>
    </w:p>
    <w:p w14:paraId="66162A0E" w14:textId="7E8FE0FA" w:rsidR="00892CFA" w:rsidRPr="005B0886" w:rsidRDefault="00892CFA" w:rsidP="008539F3">
      <w:pPr>
        <w:pStyle w:val="BodyText"/>
        <w:rPr>
          <w:rFonts w:ascii="Times New Roman" w:hAnsi="Times New Roman" w:cs="Times New Roman"/>
          <w:lang w:val="en-AU" w:eastAsia="en-GB"/>
        </w:rPr>
      </w:pPr>
      <w:r w:rsidRPr="005B0886">
        <w:rPr>
          <w:rFonts w:ascii="Times New Roman" w:hAnsi="Times New Roman" w:cs="Times New Roman"/>
          <w:lang w:val="en-AU" w:eastAsia="en-GB"/>
        </w:rPr>
        <w:t>Data from this study demonstrate that regardless of the follow-up treatment options, fracture risk was reduced for women previously treated with teriparatide.</w:t>
      </w:r>
    </w:p>
    <w:p w14:paraId="7278872D" w14:textId="6D0472A4" w:rsidR="00892CFA" w:rsidRPr="005B0886" w:rsidRDefault="00892CFA" w:rsidP="008539F3">
      <w:pPr>
        <w:pStyle w:val="BodyText"/>
        <w:rPr>
          <w:rFonts w:ascii="Times New Roman" w:hAnsi="Times New Roman" w:cs="Times New Roman"/>
          <w:lang w:val="en-AU" w:eastAsia="en-GB"/>
        </w:rPr>
      </w:pPr>
      <w:r w:rsidRPr="005B0886">
        <w:rPr>
          <w:rFonts w:ascii="Times New Roman" w:hAnsi="Times New Roman" w:cs="Times New Roman"/>
          <w:lang w:val="en-AU" w:eastAsia="en-GB"/>
        </w:rPr>
        <w:t xml:space="preserve">A 24-month, randomised, double-blind, comparator-controlled Phase 4 study included 1,360 postmenopausal women with established osteoporosis. 680 subjects were randomised to FORTEO and 680 subjects were randomised to oral </w:t>
      </w:r>
      <w:proofErr w:type="spellStart"/>
      <w:r w:rsidRPr="005B0886">
        <w:rPr>
          <w:rFonts w:ascii="Times New Roman" w:hAnsi="Times New Roman" w:cs="Times New Roman"/>
          <w:lang w:val="en-AU" w:eastAsia="en-GB"/>
        </w:rPr>
        <w:t>risedronate</w:t>
      </w:r>
      <w:proofErr w:type="spellEnd"/>
      <w:r w:rsidRPr="005B0886">
        <w:rPr>
          <w:rFonts w:ascii="Times New Roman" w:hAnsi="Times New Roman" w:cs="Times New Roman"/>
          <w:lang w:val="en-AU" w:eastAsia="en-GB"/>
        </w:rPr>
        <w:t xml:space="preserve"> 35 mg/week. At baseline, the women had a mean age of 72.1 years and a median of 2 prevalent vertebral fractures;</w:t>
      </w:r>
      <w:r w:rsidR="00E46A24" w:rsidRPr="005B0886">
        <w:rPr>
          <w:rFonts w:ascii="Times New Roman" w:hAnsi="Times New Roman" w:cs="Times New Roman"/>
          <w:lang w:val="en-AU" w:eastAsia="en-GB"/>
        </w:rPr>
        <w:t xml:space="preserve"> </w:t>
      </w:r>
      <w:r w:rsidRPr="005B0886">
        <w:rPr>
          <w:rFonts w:ascii="Times New Roman" w:hAnsi="Times New Roman" w:cs="Times New Roman"/>
          <w:lang w:val="en-AU" w:eastAsia="en-GB"/>
        </w:rPr>
        <w:t xml:space="preserve">57.9 % of patients had received previous bisphosphonate therapy and 18.8 % took concomitant glucocorticoids during the study. 1,013 (74.5 %) patients completed the 24- month follow-up. The mean (median) cumulative dose of glucocorticoid was 474.3 (66.2) mg in the teriparatide arm and 898.0 (100.0) mg in the </w:t>
      </w:r>
      <w:proofErr w:type="spellStart"/>
      <w:r w:rsidRPr="005B0886">
        <w:rPr>
          <w:rFonts w:ascii="Times New Roman" w:hAnsi="Times New Roman" w:cs="Times New Roman"/>
          <w:lang w:val="en-AU" w:eastAsia="en-GB"/>
        </w:rPr>
        <w:t>risedronate</w:t>
      </w:r>
      <w:proofErr w:type="spellEnd"/>
      <w:r w:rsidRPr="005B0886">
        <w:rPr>
          <w:rFonts w:ascii="Times New Roman" w:hAnsi="Times New Roman" w:cs="Times New Roman"/>
          <w:lang w:val="en-AU" w:eastAsia="en-GB"/>
        </w:rPr>
        <w:t xml:space="preserve"> arm. The mean (median) vitamin D intake for the teriparatide arm was 1408.4 IU/day (1380.4 IU/day) and for the </w:t>
      </w:r>
      <w:proofErr w:type="spellStart"/>
      <w:r w:rsidRPr="005B0886">
        <w:rPr>
          <w:rFonts w:ascii="Times New Roman" w:hAnsi="Times New Roman" w:cs="Times New Roman"/>
          <w:lang w:val="en-AU" w:eastAsia="en-GB"/>
        </w:rPr>
        <w:t>risedronate</w:t>
      </w:r>
      <w:proofErr w:type="spellEnd"/>
      <w:r w:rsidRPr="005B0886">
        <w:rPr>
          <w:rFonts w:ascii="Times New Roman" w:hAnsi="Times New Roman" w:cs="Times New Roman"/>
          <w:lang w:val="en-AU" w:eastAsia="en-GB"/>
        </w:rPr>
        <w:t xml:space="preserve"> arm was 1206.4 IU/day (900 IU/day). For those subjects who had baseline and follow-up spine radiographs, the incidence of new vertebral fractures was 28/516 (5.4 %) in FORTEO and 64/533 (12.0 %) in </w:t>
      </w:r>
      <w:proofErr w:type="spellStart"/>
      <w:r w:rsidRPr="005B0886">
        <w:rPr>
          <w:rFonts w:ascii="Times New Roman" w:hAnsi="Times New Roman" w:cs="Times New Roman"/>
          <w:lang w:val="en-AU" w:eastAsia="en-GB"/>
        </w:rPr>
        <w:t>risedronate</w:t>
      </w:r>
      <w:proofErr w:type="spellEnd"/>
      <w:r w:rsidRPr="005B0886">
        <w:rPr>
          <w:rFonts w:ascii="Times New Roman" w:hAnsi="Times New Roman" w:cs="Times New Roman"/>
          <w:lang w:val="en-AU" w:eastAsia="en-GB"/>
        </w:rPr>
        <w:t xml:space="preserve">-treated patients, relative risk (95 % CI) = 0.44 (0.29-0.68), P&lt;0.0001. The cumulative incidence of pooled clinical fractures (clinical vertebral and </w:t>
      </w:r>
      <w:r w:rsidR="00962C0C" w:rsidRPr="005B0886">
        <w:rPr>
          <w:rFonts w:ascii="Times New Roman" w:hAnsi="Times New Roman" w:cs="Times New Roman"/>
          <w:lang w:val="en-AU" w:eastAsia="en-GB"/>
        </w:rPr>
        <w:t>non-vertebral</w:t>
      </w:r>
      <w:r w:rsidRPr="005B0886">
        <w:rPr>
          <w:rFonts w:ascii="Times New Roman" w:hAnsi="Times New Roman" w:cs="Times New Roman"/>
          <w:lang w:val="en-AU" w:eastAsia="en-GB"/>
        </w:rPr>
        <w:t xml:space="preserve"> fractures) was 4.8 % in FORTEO and 9.8 % in </w:t>
      </w:r>
      <w:proofErr w:type="spellStart"/>
      <w:r w:rsidRPr="005B0886">
        <w:rPr>
          <w:rFonts w:ascii="Times New Roman" w:hAnsi="Times New Roman" w:cs="Times New Roman"/>
          <w:lang w:val="en-AU" w:eastAsia="en-GB"/>
        </w:rPr>
        <w:t>risedronate</w:t>
      </w:r>
      <w:proofErr w:type="spellEnd"/>
      <w:r w:rsidRPr="005B0886">
        <w:rPr>
          <w:rFonts w:ascii="Times New Roman" w:hAnsi="Times New Roman" w:cs="Times New Roman"/>
          <w:lang w:val="en-AU" w:eastAsia="en-GB"/>
        </w:rPr>
        <w:t>- treated patients, hazard ratio (95 % CI) = 0.48 (0.32-0.74), P=0.0009.</w:t>
      </w:r>
    </w:p>
    <w:p w14:paraId="74591D58" w14:textId="0929A462" w:rsidR="00892CFA" w:rsidRPr="008E5BEF" w:rsidRDefault="00892CFA" w:rsidP="008539F3">
      <w:pPr>
        <w:pStyle w:val="BodyText"/>
        <w:rPr>
          <w:rFonts w:ascii="Times New Roman" w:hAnsi="Times New Roman" w:cs="Times New Roman"/>
          <w:lang w:val="en-AU" w:eastAsia="en-GB"/>
        </w:rPr>
      </w:pPr>
      <w:r w:rsidRPr="005B0886">
        <w:rPr>
          <w:rFonts w:ascii="Times New Roman" w:hAnsi="Times New Roman" w:cs="Times New Roman"/>
          <w:lang w:val="en-AU" w:eastAsia="en-GB"/>
        </w:rPr>
        <w:t>In an open-label study, 503 postmenopausal women with severe osteoporosis and a fragility fracture within the previous 3 years (83 % had received previous osteoporosis therapy)</w:t>
      </w:r>
      <w:r w:rsidR="00D05F10" w:rsidRPr="005B0886">
        <w:rPr>
          <w:rFonts w:ascii="Times New Roman" w:hAnsi="Times New Roman" w:cs="Times New Roman"/>
          <w:lang w:val="en-AU" w:eastAsia="en-GB"/>
        </w:rPr>
        <w:t xml:space="preserve"> </w:t>
      </w:r>
      <w:r w:rsidRPr="005B0886">
        <w:rPr>
          <w:rFonts w:ascii="Times New Roman" w:hAnsi="Times New Roman" w:cs="Times New Roman"/>
          <w:lang w:val="en-AU" w:eastAsia="en-GB"/>
        </w:rPr>
        <w:t>were treated with FORTEO for up to 24 months. At 24 months, the mean increase from baseline in lumbar spine, total hip and femoral neck BMD was 10.5 %, 2.6 % and 3.9 % respectively. The mean increase in BMD from 18 to 24 months was 1.4 %, 1.2 % and 1.6 % at the lumbar spine, total hip and femoral neck, respectively</w:t>
      </w:r>
      <w:r w:rsidRPr="00425020">
        <w:rPr>
          <w:rFonts w:ascii="Times New Roman" w:hAnsi="Times New Roman" w:cs="Times New Roman"/>
          <w:sz w:val="23"/>
          <w:szCs w:val="23"/>
          <w:lang w:val="en-AU" w:eastAsia="en-GB"/>
        </w:rPr>
        <w:t>.</w:t>
      </w:r>
    </w:p>
    <w:p w14:paraId="48558A9F" w14:textId="77777777" w:rsidR="00D90ABE" w:rsidRDefault="00D90ABE" w:rsidP="00F073F8">
      <w:pPr>
        <w:rPr>
          <w:sz w:val="22"/>
          <w:szCs w:val="22"/>
          <w:u w:val="single"/>
        </w:rPr>
      </w:pPr>
    </w:p>
    <w:p w14:paraId="4D1FB751" w14:textId="16A4B8E3" w:rsidR="00E84F12" w:rsidRPr="008E5BEF" w:rsidRDefault="00DF0829" w:rsidP="00F073F8">
      <w:pPr>
        <w:rPr>
          <w:b/>
          <w:bCs/>
          <w:sz w:val="22"/>
          <w:szCs w:val="22"/>
        </w:rPr>
      </w:pPr>
      <w:r w:rsidRPr="008E5BEF">
        <w:rPr>
          <w:b/>
          <w:bCs/>
          <w:sz w:val="22"/>
          <w:szCs w:val="22"/>
        </w:rPr>
        <w:t xml:space="preserve">Male Osteoporosis </w:t>
      </w:r>
    </w:p>
    <w:p w14:paraId="49819E64" w14:textId="5E651586" w:rsidR="00257ADA" w:rsidRPr="00F073F8" w:rsidRDefault="00DF0829" w:rsidP="00F073F8">
      <w:pPr>
        <w:rPr>
          <w:sz w:val="22"/>
          <w:szCs w:val="22"/>
        </w:rPr>
      </w:pPr>
      <w:r w:rsidRPr="00F073F8">
        <w:rPr>
          <w:sz w:val="22"/>
          <w:szCs w:val="22"/>
        </w:rPr>
        <w:t xml:space="preserve">The efficacy of teriparatide was demonstrated in a double-blind, placebo-controlled clinical study in 437 men with either </w:t>
      </w:r>
      <w:proofErr w:type="spellStart"/>
      <w:r w:rsidRPr="00F073F8">
        <w:rPr>
          <w:sz w:val="22"/>
          <w:szCs w:val="22"/>
        </w:rPr>
        <w:t>hypogonadal</w:t>
      </w:r>
      <w:proofErr w:type="spellEnd"/>
      <w:r w:rsidRPr="00F073F8">
        <w:rPr>
          <w:sz w:val="22"/>
          <w:szCs w:val="22"/>
        </w:rPr>
        <w:t xml:space="preserve"> or idiopathic osteoporosis. All patients received 1000 mg of calcium per day and at least 400 IU of vitamin D per day and were treated for up to 14 months. </w:t>
      </w:r>
    </w:p>
    <w:p w14:paraId="60FD282E" w14:textId="77777777" w:rsidR="00257ADA" w:rsidRPr="00F073F8" w:rsidRDefault="00257ADA" w:rsidP="00F073F8">
      <w:pPr>
        <w:rPr>
          <w:sz w:val="22"/>
          <w:szCs w:val="22"/>
        </w:rPr>
      </w:pPr>
    </w:p>
    <w:p w14:paraId="45443B98" w14:textId="66F78CD2" w:rsidR="00257ADA" w:rsidRPr="00F073F8" w:rsidRDefault="00DF0829" w:rsidP="00F073F8">
      <w:pPr>
        <w:rPr>
          <w:sz w:val="22"/>
          <w:szCs w:val="22"/>
        </w:rPr>
      </w:pPr>
      <w:r w:rsidRPr="00F073F8">
        <w:rPr>
          <w:sz w:val="22"/>
          <w:szCs w:val="22"/>
        </w:rPr>
        <w:t xml:space="preserve">In this study, teriparatide rapidly increased lumbar spine BMD in men, with significant increases as early as 3 months. This increase continued throughout the treatment period, as shown in </w:t>
      </w:r>
      <w:r w:rsidRPr="00A36A5C">
        <w:rPr>
          <w:b/>
          <w:bCs/>
          <w:sz w:val="22"/>
          <w:szCs w:val="22"/>
        </w:rPr>
        <w:t>Figure</w:t>
      </w:r>
      <w:r w:rsidR="00823AE9" w:rsidRPr="00A36A5C">
        <w:rPr>
          <w:b/>
          <w:bCs/>
          <w:sz w:val="22"/>
          <w:szCs w:val="22"/>
        </w:rPr>
        <w:t xml:space="preserve"> 3</w:t>
      </w:r>
      <w:r w:rsidRPr="00A36A5C">
        <w:rPr>
          <w:b/>
          <w:bCs/>
          <w:sz w:val="22"/>
          <w:szCs w:val="22"/>
        </w:rPr>
        <w:t>.</w:t>
      </w:r>
      <w:r w:rsidRPr="00F073F8">
        <w:rPr>
          <w:sz w:val="22"/>
          <w:szCs w:val="22"/>
        </w:rPr>
        <w:t xml:space="preserve"> After a median treatment period of 11 months, BMD in the spine had (on average) increased by 5 % and in the hip by 1 %, compared to placebo. Increases in BMD were similar in men with </w:t>
      </w:r>
      <w:proofErr w:type="spellStart"/>
      <w:r w:rsidRPr="00F073F8">
        <w:rPr>
          <w:sz w:val="22"/>
          <w:szCs w:val="22"/>
        </w:rPr>
        <w:t>hypogonadal</w:t>
      </w:r>
      <w:proofErr w:type="spellEnd"/>
      <w:r w:rsidRPr="00F073F8">
        <w:rPr>
          <w:sz w:val="22"/>
          <w:szCs w:val="22"/>
        </w:rPr>
        <w:t xml:space="preserve"> or idiopathic osteoporosis. Teriparatide was effective regardless of age, baseline rate of bone turnover and baseline BMD. </w:t>
      </w:r>
    </w:p>
    <w:p w14:paraId="05A67C8B" w14:textId="77777777" w:rsidR="00257ADA" w:rsidRPr="00F073F8" w:rsidRDefault="00257ADA" w:rsidP="00F073F8">
      <w:pPr>
        <w:rPr>
          <w:sz w:val="22"/>
          <w:szCs w:val="22"/>
        </w:rPr>
      </w:pPr>
    </w:p>
    <w:p w14:paraId="2C5CFAE2" w14:textId="65AF002C" w:rsidR="00DF0829" w:rsidRPr="00F073F8" w:rsidRDefault="00DF0829" w:rsidP="00F073F8">
      <w:pPr>
        <w:rPr>
          <w:sz w:val="22"/>
          <w:szCs w:val="22"/>
        </w:rPr>
      </w:pPr>
      <w:r w:rsidRPr="00F073F8">
        <w:rPr>
          <w:sz w:val="22"/>
          <w:szCs w:val="22"/>
        </w:rPr>
        <w:t xml:space="preserve">All male patients presenting with osteoporosis should be checked for primary or secondary hypogonadism, investigated and treated appropriately as a prerequisite. </w:t>
      </w:r>
    </w:p>
    <w:p w14:paraId="4BE6F634" w14:textId="76800353" w:rsidR="00E84F12" w:rsidRPr="00F073F8" w:rsidRDefault="00E84F12" w:rsidP="00F073F8">
      <w:pPr>
        <w:rPr>
          <w:sz w:val="22"/>
          <w:szCs w:val="22"/>
        </w:rPr>
      </w:pPr>
    </w:p>
    <w:p w14:paraId="3CBE5162" w14:textId="19DF06E8" w:rsidR="00CC5D0C" w:rsidRPr="00F073F8" w:rsidRDefault="00E84F12" w:rsidP="00EF3F88">
      <w:pPr>
        <w:jc w:val="center"/>
        <w:rPr>
          <w:sz w:val="22"/>
          <w:szCs w:val="22"/>
        </w:rPr>
      </w:pPr>
      <w:r w:rsidRPr="00F073F8">
        <w:rPr>
          <w:b/>
          <w:bCs/>
          <w:sz w:val="22"/>
          <w:szCs w:val="22"/>
        </w:rPr>
        <w:t xml:space="preserve">Figure </w:t>
      </w:r>
      <w:r w:rsidR="000F73A8">
        <w:rPr>
          <w:b/>
          <w:bCs/>
          <w:sz w:val="22"/>
          <w:szCs w:val="22"/>
        </w:rPr>
        <w:t>3</w:t>
      </w:r>
      <w:r w:rsidR="00081917">
        <w:rPr>
          <w:b/>
          <w:bCs/>
          <w:sz w:val="22"/>
          <w:szCs w:val="22"/>
        </w:rPr>
        <w:t>.</w:t>
      </w:r>
      <w:r w:rsidR="00CD2FA4">
        <w:rPr>
          <w:sz w:val="22"/>
          <w:szCs w:val="22"/>
        </w:rPr>
        <w:t xml:space="preserve"> </w:t>
      </w:r>
      <w:r w:rsidRPr="00F073F8">
        <w:rPr>
          <w:b/>
          <w:bCs/>
          <w:sz w:val="22"/>
          <w:szCs w:val="22"/>
        </w:rPr>
        <w:t>Time Course of Change in Lumbar Spine BMD in Osteoporotic Men Treated with Teriparatide 20 µg</w:t>
      </w:r>
      <w:r w:rsidR="00D1012A" w:rsidRPr="00F073F8">
        <w:rPr>
          <w:b/>
          <w:bCs/>
          <w:sz w:val="22"/>
          <w:szCs w:val="22"/>
        </w:rPr>
        <w:t xml:space="preserve"> </w:t>
      </w:r>
      <w:r w:rsidRPr="00F073F8">
        <w:rPr>
          <w:b/>
          <w:bCs/>
          <w:sz w:val="22"/>
          <w:szCs w:val="22"/>
        </w:rPr>
        <w:t>or Placebo</w:t>
      </w:r>
    </w:p>
    <w:p w14:paraId="690C918F" w14:textId="19988FBB" w:rsidR="0053065E" w:rsidRPr="00F073F8" w:rsidRDefault="0053065E" w:rsidP="00F073F8">
      <w:pPr>
        <w:ind w:left="1440" w:hanging="1440"/>
        <w:rPr>
          <w:sz w:val="22"/>
          <w:szCs w:val="22"/>
        </w:rPr>
      </w:pPr>
      <w:r w:rsidRPr="00F073F8">
        <w:rPr>
          <w:b/>
          <w:bCs/>
          <w:sz w:val="22"/>
          <w:szCs w:val="22"/>
        </w:rPr>
        <w:tab/>
      </w:r>
      <w:r w:rsidRPr="00F073F8">
        <w:rPr>
          <w:sz w:val="22"/>
          <w:szCs w:val="22"/>
        </w:rPr>
        <w:t>(p&lt;</w:t>
      </w:r>
      <w:r w:rsidR="000F5506" w:rsidRPr="00F073F8">
        <w:rPr>
          <w:sz w:val="22"/>
          <w:szCs w:val="22"/>
        </w:rPr>
        <w:t>0.001 for teriparatide with placebo at each post-baseline time point)</w:t>
      </w:r>
    </w:p>
    <w:p w14:paraId="721B8EEC" w14:textId="4BA144BA" w:rsidR="00E73F69" w:rsidRPr="00F073F8" w:rsidRDefault="00DF0829" w:rsidP="00F073F8">
      <w:pPr>
        <w:rPr>
          <w:sz w:val="22"/>
          <w:szCs w:val="22"/>
          <w:lang w:val="en-GB" w:eastAsia="en-US"/>
        </w:rPr>
      </w:pPr>
      <w:r w:rsidRPr="00F073F8">
        <w:rPr>
          <w:noProof/>
          <w:sz w:val="22"/>
          <w:szCs w:val="22"/>
          <w:lang w:eastAsia="en-AU"/>
        </w:rPr>
        <w:drawing>
          <wp:inline distT="0" distB="0" distL="0" distR="0" wp14:anchorId="55CAA426" wp14:editId="0C68C0EA">
            <wp:extent cx="5435600" cy="3383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435600" cy="3383280"/>
                    </a:xfrm>
                    <a:prstGeom prst="rect">
                      <a:avLst/>
                    </a:prstGeom>
                  </pic:spPr>
                </pic:pic>
              </a:graphicData>
            </a:graphic>
          </wp:inline>
        </w:drawing>
      </w:r>
    </w:p>
    <w:p w14:paraId="09E99CDF" w14:textId="77777777" w:rsidR="00E73F69" w:rsidRPr="00A55F36" w:rsidRDefault="00E73F69" w:rsidP="003D1043"/>
    <w:p w14:paraId="4E2F1A95" w14:textId="77777777" w:rsidR="00FB5DAD" w:rsidRPr="008E5BEF" w:rsidRDefault="00FB5DAD" w:rsidP="00F073F8">
      <w:pPr>
        <w:rPr>
          <w:b/>
          <w:bCs/>
          <w:sz w:val="22"/>
          <w:szCs w:val="22"/>
        </w:rPr>
      </w:pPr>
      <w:r w:rsidRPr="008E5BEF">
        <w:rPr>
          <w:b/>
          <w:bCs/>
          <w:sz w:val="22"/>
          <w:szCs w:val="22"/>
        </w:rPr>
        <w:t>Glucocorticoid-induced osteoporosis</w:t>
      </w:r>
    </w:p>
    <w:p w14:paraId="6E8696C7" w14:textId="65844621" w:rsidR="00C82223" w:rsidRDefault="00C82223" w:rsidP="00F073F8">
      <w:pPr>
        <w:rPr>
          <w:sz w:val="22"/>
          <w:szCs w:val="22"/>
        </w:rPr>
      </w:pPr>
      <w:r w:rsidRPr="00F073F8">
        <w:rPr>
          <w:sz w:val="22"/>
          <w:szCs w:val="22"/>
        </w:rPr>
        <w:t xml:space="preserve">The efficacy of </w:t>
      </w:r>
      <w:proofErr w:type="spellStart"/>
      <w:r w:rsidRPr="00F073F8">
        <w:rPr>
          <w:sz w:val="22"/>
          <w:szCs w:val="22"/>
        </w:rPr>
        <w:t>Forteo</w:t>
      </w:r>
      <w:proofErr w:type="spellEnd"/>
      <w:r w:rsidRPr="00F073F8">
        <w:rPr>
          <w:sz w:val="22"/>
          <w:szCs w:val="22"/>
        </w:rPr>
        <w:t xml:space="preserve"> in men and women (N=428) receiving sustained systemic glucocorticoid therapy (equivalent to 5 mg or greater of prednisone for at least 3 months) was demonstrated in a 36 month (18-month primary phase plus 18-month continuation phase), randomised, double-blind, comparator-controlled study (alendronate 10 mg/day). Twenty-eight percent of patients had one or more radiographic vertebral fractures at baseline. All patients were offered 1000 mg calcium per day and 800 IU vitamin D per day. </w:t>
      </w:r>
    </w:p>
    <w:p w14:paraId="1E83570D" w14:textId="77777777" w:rsidR="00F65A5D" w:rsidRPr="00F073F8" w:rsidRDefault="00F65A5D" w:rsidP="00F073F8">
      <w:pPr>
        <w:rPr>
          <w:sz w:val="22"/>
          <w:szCs w:val="22"/>
        </w:rPr>
      </w:pPr>
    </w:p>
    <w:p w14:paraId="2936A466" w14:textId="77777777" w:rsidR="0025389A" w:rsidRDefault="00C82223" w:rsidP="00F073F8">
      <w:pPr>
        <w:rPr>
          <w:sz w:val="22"/>
          <w:szCs w:val="22"/>
        </w:rPr>
      </w:pPr>
      <w:r w:rsidRPr="00F073F8">
        <w:rPr>
          <w:sz w:val="22"/>
          <w:szCs w:val="22"/>
        </w:rPr>
        <w:t xml:space="preserve">This study included postmenopausal women (N=277), premenopausal women (N=67), and men (N=83). At baseline, the postmenopausal women had a mean age of 61 years, mean lumbar spine BMD T score (number of standard deviations above or below the mean in healthy young women) of −2.7, median prednisone equivalent dose of 7.5 mg/day, and 34 % had one or more radiographic vertebral fractures; premenopausal women had a mean age of 37 years, mean lumbar spine BMD </w:t>
      </w:r>
    </w:p>
    <w:p w14:paraId="50B6A253" w14:textId="77777777" w:rsidR="00CB4C24" w:rsidRDefault="00C82223" w:rsidP="00F073F8">
      <w:pPr>
        <w:rPr>
          <w:sz w:val="22"/>
          <w:szCs w:val="22"/>
        </w:rPr>
      </w:pPr>
      <w:r w:rsidRPr="00F073F8">
        <w:rPr>
          <w:sz w:val="22"/>
          <w:szCs w:val="22"/>
        </w:rPr>
        <w:t xml:space="preserve">T score of −2.5, median prednisone equivalent dose of 10 mg/day, and 9 % had one or more radiographic vertebral fractures; and men had a mean age of 57 years, mean lumbar spine BMD </w:t>
      </w:r>
    </w:p>
    <w:p w14:paraId="3C534242" w14:textId="38CDF82D" w:rsidR="00C82223" w:rsidRDefault="00C82223" w:rsidP="00F073F8">
      <w:pPr>
        <w:rPr>
          <w:sz w:val="22"/>
          <w:szCs w:val="22"/>
        </w:rPr>
      </w:pPr>
      <w:r w:rsidRPr="00F073F8">
        <w:rPr>
          <w:sz w:val="22"/>
          <w:szCs w:val="22"/>
        </w:rPr>
        <w:t xml:space="preserve">T score of −2.2, median prednisone equivalent dose of 10 mg/day, and 24 % had one or more radiographic vertebral fractures. </w:t>
      </w:r>
    </w:p>
    <w:p w14:paraId="3C00B62C" w14:textId="77777777" w:rsidR="00D46A5A" w:rsidRPr="00F073F8" w:rsidRDefault="00D46A5A" w:rsidP="00F073F8">
      <w:pPr>
        <w:rPr>
          <w:sz w:val="22"/>
          <w:szCs w:val="22"/>
        </w:rPr>
      </w:pPr>
    </w:p>
    <w:p w14:paraId="6121C274" w14:textId="70DFB42F" w:rsidR="00C82223" w:rsidRDefault="00C82223" w:rsidP="00F073F8">
      <w:pPr>
        <w:rPr>
          <w:sz w:val="22"/>
          <w:szCs w:val="22"/>
        </w:rPr>
      </w:pPr>
      <w:r w:rsidRPr="00C536FE">
        <w:rPr>
          <w:b/>
          <w:bCs/>
          <w:i/>
          <w:sz w:val="22"/>
          <w:szCs w:val="22"/>
        </w:rPr>
        <w:t>Effects on Vertebral and Non-vertebral BMD</w:t>
      </w:r>
      <w:r w:rsidRPr="00A55F36">
        <w:rPr>
          <w:i/>
          <w:sz w:val="22"/>
          <w:szCs w:val="22"/>
        </w:rPr>
        <w:t>:</w:t>
      </w:r>
      <w:r w:rsidRPr="00F073F8">
        <w:rPr>
          <w:sz w:val="22"/>
          <w:szCs w:val="22"/>
        </w:rPr>
        <w:t xml:space="preserve"> The primary objective was the change in lumbar spine BMD from baseline to the 18-month endpoint (last observation carried forward) in men and women combined. Sixty-nine percent of patients completed the 18- month primary phase. At the </w:t>
      </w:r>
      <w:r w:rsidR="00762C80" w:rsidRPr="00F073F8">
        <w:rPr>
          <w:sz w:val="22"/>
          <w:szCs w:val="22"/>
        </w:rPr>
        <w:t>18-month</w:t>
      </w:r>
      <w:r w:rsidRPr="00F073F8">
        <w:rPr>
          <w:sz w:val="22"/>
          <w:szCs w:val="22"/>
        </w:rPr>
        <w:t xml:space="preserve"> endpoint (men and women combined), </w:t>
      </w:r>
      <w:proofErr w:type="spellStart"/>
      <w:r w:rsidRPr="00F073F8">
        <w:rPr>
          <w:sz w:val="22"/>
          <w:szCs w:val="22"/>
        </w:rPr>
        <w:t>F</w:t>
      </w:r>
      <w:r w:rsidR="00F658EA" w:rsidRPr="00F073F8">
        <w:rPr>
          <w:sz w:val="22"/>
          <w:szCs w:val="22"/>
        </w:rPr>
        <w:t>orteo</w:t>
      </w:r>
      <w:proofErr w:type="spellEnd"/>
      <w:r w:rsidRPr="00F073F8">
        <w:rPr>
          <w:sz w:val="22"/>
          <w:szCs w:val="22"/>
        </w:rPr>
        <w:t xml:space="preserve"> increased lumbar spine BMD (7.2 %) significantly more than alendronate (3.4 %) (p&lt;0.001). </w:t>
      </w:r>
    </w:p>
    <w:p w14:paraId="51105773" w14:textId="77777777" w:rsidR="003F3744" w:rsidRPr="00F073F8" w:rsidRDefault="003F3744" w:rsidP="00F073F8">
      <w:pPr>
        <w:rPr>
          <w:sz w:val="22"/>
          <w:szCs w:val="22"/>
        </w:rPr>
      </w:pPr>
    </w:p>
    <w:p w14:paraId="6871394A" w14:textId="387F92E1" w:rsidR="00CE22ED" w:rsidRPr="00F073F8" w:rsidRDefault="00C82223" w:rsidP="00F073F8">
      <w:pPr>
        <w:rPr>
          <w:sz w:val="22"/>
          <w:szCs w:val="22"/>
        </w:rPr>
      </w:pPr>
      <w:r w:rsidRPr="00F073F8">
        <w:rPr>
          <w:b/>
          <w:bCs/>
          <w:sz w:val="22"/>
          <w:szCs w:val="22"/>
        </w:rPr>
        <w:t xml:space="preserve">Figure </w:t>
      </w:r>
      <w:r w:rsidR="00240A9E">
        <w:rPr>
          <w:b/>
          <w:bCs/>
          <w:sz w:val="22"/>
          <w:szCs w:val="22"/>
        </w:rPr>
        <w:t>4</w:t>
      </w:r>
      <w:r w:rsidRPr="00F073F8">
        <w:rPr>
          <w:sz w:val="22"/>
          <w:szCs w:val="22"/>
        </w:rPr>
        <w:t xml:space="preserve"> shows the time course of mean percent change from baseline in lumbar spine BMD through 36</w:t>
      </w:r>
      <w:r w:rsidR="00382801">
        <w:rPr>
          <w:sz w:val="22"/>
          <w:szCs w:val="22"/>
        </w:rPr>
        <w:t> </w:t>
      </w:r>
      <w:r w:rsidRPr="00F073F8">
        <w:rPr>
          <w:sz w:val="22"/>
          <w:szCs w:val="22"/>
        </w:rPr>
        <w:t xml:space="preserve">months for men and women combined. There was a significant difference between groups at all measured </w:t>
      </w:r>
      <w:proofErr w:type="spellStart"/>
      <w:r w:rsidRPr="00F073F8">
        <w:rPr>
          <w:sz w:val="22"/>
          <w:szCs w:val="22"/>
        </w:rPr>
        <w:t>timepoints</w:t>
      </w:r>
      <w:proofErr w:type="spellEnd"/>
      <w:r w:rsidRPr="00F073F8">
        <w:rPr>
          <w:sz w:val="22"/>
          <w:szCs w:val="22"/>
        </w:rPr>
        <w:t xml:space="preserve"> and endpoint. At 36 months (</w:t>
      </w:r>
      <w:r w:rsidR="00382801" w:rsidRPr="00EF3F88">
        <w:rPr>
          <w:b/>
          <w:bCs/>
          <w:sz w:val="22"/>
          <w:szCs w:val="22"/>
        </w:rPr>
        <w:t>F</w:t>
      </w:r>
      <w:r w:rsidRPr="00EF3F88">
        <w:rPr>
          <w:b/>
          <w:bCs/>
          <w:sz w:val="22"/>
          <w:szCs w:val="22"/>
        </w:rPr>
        <w:t>i</w:t>
      </w:r>
      <w:r w:rsidRPr="008539F3">
        <w:rPr>
          <w:b/>
          <w:bCs/>
          <w:sz w:val="22"/>
          <w:szCs w:val="22"/>
        </w:rPr>
        <w:t>gure 4</w:t>
      </w:r>
      <w:r w:rsidRPr="00F073F8">
        <w:rPr>
          <w:sz w:val="22"/>
          <w:szCs w:val="22"/>
        </w:rPr>
        <w:t xml:space="preserve">) the mean percent change from baseline in lumbar spine BMD was 11.0 % in the </w:t>
      </w:r>
      <w:proofErr w:type="spellStart"/>
      <w:r w:rsidRPr="00F073F8">
        <w:rPr>
          <w:sz w:val="22"/>
          <w:szCs w:val="22"/>
        </w:rPr>
        <w:t>F</w:t>
      </w:r>
      <w:r w:rsidR="00F658EA" w:rsidRPr="00F073F8">
        <w:rPr>
          <w:sz w:val="22"/>
          <w:szCs w:val="22"/>
        </w:rPr>
        <w:t>orteo</w:t>
      </w:r>
      <w:proofErr w:type="spellEnd"/>
      <w:r w:rsidRPr="00F073F8">
        <w:rPr>
          <w:sz w:val="22"/>
          <w:szCs w:val="22"/>
        </w:rPr>
        <w:t xml:space="preserve"> group versus 5.3 % in the alendronate group, a difference of 5.7 % (p&lt;0.001). </w:t>
      </w:r>
    </w:p>
    <w:p w14:paraId="0F7B0E13" w14:textId="77777777" w:rsidR="00CE22ED" w:rsidRDefault="00CE22ED" w:rsidP="00CE22ED">
      <w:pPr>
        <w:ind w:left="1500" w:hanging="1500"/>
        <w:rPr>
          <w:b/>
          <w:bCs/>
          <w:sz w:val="22"/>
          <w:szCs w:val="22"/>
        </w:rPr>
      </w:pPr>
    </w:p>
    <w:p w14:paraId="4FE2FC11" w14:textId="025F5BFB" w:rsidR="00CE22ED" w:rsidRPr="00F073F8" w:rsidRDefault="00CE22ED" w:rsidP="008539F3">
      <w:pPr>
        <w:jc w:val="center"/>
        <w:rPr>
          <w:sz w:val="22"/>
          <w:szCs w:val="22"/>
        </w:rPr>
      </w:pPr>
      <w:r w:rsidRPr="00F073F8">
        <w:rPr>
          <w:b/>
          <w:bCs/>
          <w:sz w:val="22"/>
          <w:szCs w:val="22"/>
        </w:rPr>
        <w:t xml:space="preserve">Figure </w:t>
      </w:r>
      <w:r>
        <w:rPr>
          <w:b/>
          <w:bCs/>
          <w:sz w:val="22"/>
          <w:szCs w:val="22"/>
        </w:rPr>
        <w:t>4.</w:t>
      </w:r>
      <w:r w:rsidR="00CD2FA4">
        <w:rPr>
          <w:sz w:val="22"/>
          <w:szCs w:val="22"/>
        </w:rPr>
        <w:t xml:space="preserve"> </w:t>
      </w:r>
      <w:r w:rsidRPr="00F073F8">
        <w:rPr>
          <w:b/>
          <w:bCs/>
          <w:sz w:val="22"/>
          <w:szCs w:val="22"/>
        </w:rPr>
        <w:t>Percent Change in Lumbar Spine BMD (LS Mean ± SE) in Men and Women with Glucocorticoid-Induced Osteoporosis</w:t>
      </w:r>
    </w:p>
    <w:p w14:paraId="223E5BCF" w14:textId="4D54D503" w:rsidR="00CE22ED" w:rsidRPr="00F073F8" w:rsidRDefault="002C3D0E" w:rsidP="00F073F8">
      <w:pPr>
        <w:rPr>
          <w:sz w:val="22"/>
          <w:szCs w:val="22"/>
        </w:rPr>
      </w:pPr>
      <w:r w:rsidRPr="00F073F8">
        <w:rPr>
          <w:noProof/>
          <w:sz w:val="22"/>
          <w:szCs w:val="22"/>
          <w:lang w:eastAsia="en-AU"/>
        </w:rPr>
        <w:drawing>
          <wp:inline distT="0" distB="0" distL="0" distR="0" wp14:anchorId="3E50B5E3" wp14:editId="057EA3A1">
            <wp:extent cx="5449824" cy="346040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8674" cy="3466021"/>
                    </a:xfrm>
                    <a:prstGeom prst="rect">
                      <a:avLst/>
                    </a:prstGeom>
                  </pic:spPr>
                </pic:pic>
              </a:graphicData>
            </a:graphic>
          </wp:inline>
        </w:drawing>
      </w:r>
    </w:p>
    <w:p w14:paraId="42128D6A" w14:textId="2AF14DDF" w:rsidR="000E1082" w:rsidRDefault="00970183">
      <w:pPr>
        <w:rPr>
          <w:sz w:val="22"/>
          <w:szCs w:val="22"/>
        </w:rPr>
      </w:pPr>
      <w:r w:rsidRPr="006836CE">
        <w:rPr>
          <w:b/>
          <w:bCs/>
          <w:sz w:val="22"/>
          <w:szCs w:val="22"/>
        </w:rPr>
        <w:t>Table</w:t>
      </w:r>
      <w:r w:rsidR="000E2795" w:rsidRPr="006836CE">
        <w:rPr>
          <w:b/>
          <w:bCs/>
          <w:sz w:val="22"/>
          <w:szCs w:val="22"/>
        </w:rPr>
        <w:t xml:space="preserve"> 4</w:t>
      </w:r>
      <w:r w:rsidRPr="00C536FE">
        <w:rPr>
          <w:sz w:val="22"/>
          <w:szCs w:val="22"/>
        </w:rPr>
        <w:t xml:space="preserve"> </w:t>
      </w:r>
      <w:r w:rsidR="00CB3FC1" w:rsidRPr="00C536FE">
        <w:rPr>
          <w:sz w:val="22"/>
          <w:szCs w:val="22"/>
        </w:rPr>
        <w:t>presents the mean percent change in lumber spine BMD in the women only subgroup.</w:t>
      </w:r>
    </w:p>
    <w:p w14:paraId="6FD45A67" w14:textId="7EB0E8C4" w:rsidR="00532BCB" w:rsidRPr="000E1082" w:rsidRDefault="00532BCB" w:rsidP="0053091D">
      <w:pPr>
        <w:pStyle w:val="Heading3"/>
        <w:ind w:left="119" w:right="544"/>
        <w:rPr>
          <w:rFonts w:ascii="Times New Roman" w:eastAsia="Times New Roman" w:hAnsi="Times New Roman" w:cs="Times New Roman"/>
          <w:b/>
          <w:bCs/>
          <w:color w:val="auto"/>
          <w:sz w:val="22"/>
          <w:szCs w:val="22"/>
        </w:rPr>
      </w:pPr>
      <w:r w:rsidRPr="000E1082">
        <w:rPr>
          <w:rFonts w:ascii="Times New Roman" w:eastAsia="Times New Roman" w:hAnsi="Times New Roman" w:cs="Times New Roman"/>
          <w:b/>
          <w:bCs/>
          <w:color w:val="auto"/>
          <w:sz w:val="22"/>
          <w:szCs w:val="22"/>
        </w:rPr>
        <w:t xml:space="preserve">Table </w:t>
      </w:r>
      <w:r w:rsidR="00715A77">
        <w:rPr>
          <w:rFonts w:ascii="Times New Roman" w:eastAsia="Times New Roman" w:hAnsi="Times New Roman" w:cs="Times New Roman"/>
          <w:b/>
          <w:bCs/>
          <w:color w:val="auto"/>
          <w:sz w:val="22"/>
          <w:szCs w:val="22"/>
        </w:rPr>
        <w:t>4.</w:t>
      </w:r>
      <w:r w:rsidR="0053091D">
        <w:rPr>
          <w:rFonts w:ascii="Times New Roman" w:eastAsia="Times New Roman" w:hAnsi="Times New Roman" w:cs="Times New Roman"/>
          <w:b/>
          <w:bCs/>
          <w:color w:val="auto"/>
          <w:sz w:val="22"/>
          <w:szCs w:val="22"/>
        </w:rPr>
        <w:t xml:space="preserve"> </w:t>
      </w:r>
      <w:r w:rsidRPr="000E1082">
        <w:rPr>
          <w:rFonts w:ascii="Times New Roman" w:eastAsia="Times New Roman" w:hAnsi="Times New Roman" w:cs="Times New Roman"/>
          <w:b/>
          <w:bCs/>
          <w:color w:val="auto"/>
          <w:sz w:val="22"/>
          <w:szCs w:val="22"/>
        </w:rPr>
        <w:t>Mean Percent Change from Baseline in Lumbar Spine BMD in Women with Glucocorticoid-induced Osteoporosis</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691"/>
        <w:gridCol w:w="2742"/>
        <w:gridCol w:w="1812"/>
      </w:tblGrid>
      <w:tr w:rsidR="00532BCB" w:rsidRPr="000E1082" w14:paraId="60E84E1A" w14:textId="77777777" w:rsidTr="009D738D">
        <w:trPr>
          <w:trHeight w:val="275"/>
        </w:trPr>
        <w:tc>
          <w:tcPr>
            <w:tcW w:w="1812" w:type="dxa"/>
          </w:tcPr>
          <w:p w14:paraId="654277FA" w14:textId="77777777" w:rsidR="00532BCB" w:rsidRPr="000E1082" w:rsidRDefault="00532BCB" w:rsidP="008539F3">
            <w:pPr>
              <w:pStyle w:val="TableParagraph"/>
              <w:keepNext/>
              <w:spacing w:line="256" w:lineRule="exact"/>
              <w:ind w:left="107"/>
              <w:jc w:val="center"/>
              <w:rPr>
                <w:lang w:eastAsia="en-GB"/>
              </w:rPr>
            </w:pPr>
            <w:proofErr w:type="spellStart"/>
            <w:r w:rsidRPr="000E1082">
              <w:rPr>
                <w:lang w:eastAsia="en-GB"/>
              </w:rPr>
              <w:t>Timepoint</w:t>
            </w:r>
            <w:proofErr w:type="spellEnd"/>
          </w:p>
        </w:tc>
        <w:tc>
          <w:tcPr>
            <w:tcW w:w="2691" w:type="dxa"/>
          </w:tcPr>
          <w:p w14:paraId="42018BBC" w14:textId="77777777" w:rsidR="00532BCB" w:rsidRPr="000E1082" w:rsidRDefault="00532BCB" w:rsidP="008539F3">
            <w:pPr>
              <w:pStyle w:val="TableParagraph"/>
              <w:keepNext/>
              <w:spacing w:line="256" w:lineRule="exact"/>
              <w:ind w:left="878"/>
              <w:rPr>
                <w:lang w:eastAsia="en-GB"/>
              </w:rPr>
            </w:pPr>
            <w:r w:rsidRPr="000E1082">
              <w:rPr>
                <w:lang w:eastAsia="en-GB"/>
              </w:rPr>
              <w:t>FORTEO</w:t>
            </w:r>
          </w:p>
        </w:tc>
        <w:tc>
          <w:tcPr>
            <w:tcW w:w="2742" w:type="dxa"/>
          </w:tcPr>
          <w:p w14:paraId="505A83F0" w14:textId="77777777" w:rsidR="00532BCB" w:rsidRPr="000E1082" w:rsidRDefault="00532BCB" w:rsidP="008539F3">
            <w:pPr>
              <w:pStyle w:val="TableParagraph"/>
              <w:keepNext/>
              <w:spacing w:line="256" w:lineRule="exact"/>
              <w:ind w:left="811"/>
              <w:rPr>
                <w:lang w:eastAsia="en-GB"/>
              </w:rPr>
            </w:pPr>
            <w:r w:rsidRPr="000E1082">
              <w:rPr>
                <w:lang w:eastAsia="en-GB"/>
              </w:rPr>
              <w:t>alendronate</w:t>
            </w:r>
          </w:p>
        </w:tc>
        <w:tc>
          <w:tcPr>
            <w:tcW w:w="1812" w:type="dxa"/>
          </w:tcPr>
          <w:p w14:paraId="3B846375" w14:textId="77777777" w:rsidR="00532BCB" w:rsidRPr="000E1082" w:rsidRDefault="00532BCB" w:rsidP="008539F3">
            <w:pPr>
              <w:pStyle w:val="TableParagraph"/>
              <w:keepNext/>
              <w:rPr>
                <w:lang w:eastAsia="en-GB"/>
              </w:rPr>
            </w:pPr>
          </w:p>
        </w:tc>
      </w:tr>
      <w:tr w:rsidR="00532BCB" w:rsidRPr="000E1082" w14:paraId="57AAAAAB" w14:textId="77777777" w:rsidTr="008539F3">
        <w:tc>
          <w:tcPr>
            <w:tcW w:w="1812" w:type="dxa"/>
          </w:tcPr>
          <w:p w14:paraId="399E9F5E" w14:textId="03C15CED" w:rsidR="00532BCB" w:rsidRPr="000E1082" w:rsidRDefault="00532BCB" w:rsidP="008539F3">
            <w:pPr>
              <w:pStyle w:val="TableParagraph"/>
              <w:keepNext/>
              <w:spacing w:before="83" w:line="312" w:lineRule="auto"/>
              <w:ind w:left="149" w:right="92"/>
              <w:jc w:val="center"/>
              <w:rPr>
                <w:lang w:eastAsia="en-GB"/>
              </w:rPr>
            </w:pPr>
            <w:r w:rsidRPr="000E1082">
              <w:rPr>
                <w:lang w:eastAsia="en-GB"/>
              </w:rPr>
              <w:t>(% change from baseline</w:t>
            </w:r>
            <w:r w:rsidR="00F37308">
              <w:rPr>
                <w:lang w:eastAsia="en-GB"/>
              </w:rPr>
              <w:t xml:space="preserve"> </w:t>
            </w:r>
            <w:r w:rsidRPr="000E1082">
              <w:rPr>
                <w:lang w:eastAsia="en-GB"/>
              </w:rPr>
              <w:t>at)</w:t>
            </w:r>
          </w:p>
        </w:tc>
        <w:tc>
          <w:tcPr>
            <w:tcW w:w="2691" w:type="dxa"/>
          </w:tcPr>
          <w:p w14:paraId="1554BBE8" w14:textId="77777777" w:rsidR="00532BCB" w:rsidRPr="000E1082" w:rsidRDefault="00532BCB" w:rsidP="008539F3">
            <w:pPr>
              <w:pStyle w:val="TableParagraph"/>
              <w:keepNext/>
              <w:spacing w:before="83"/>
              <w:ind w:left="427"/>
              <w:rPr>
                <w:lang w:eastAsia="en-GB"/>
              </w:rPr>
            </w:pPr>
            <w:r w:rsidRPr="000E1082">
              <w:rPr>
                <w:lang w:eastAsia="en-GB"/>
              </w:rPr>
              <w:t xml:space="preserve">LS Mean ± </w:t>
            </w:r>
            <w:proofErr w:type="spellStart"/>
            <w:r w:rsidRPr="000E1082">
              <w:rPr>
                <w:lang w:eastAsia="en-GB"/>
              </w:rPr>
              <w:t>Std</w:t>
            </w:r>
            <w:proofErr w:type="spellEnd"/>
            <w:r w:rsidRPr="000E1082">
              <w:rPr>
                <w:lang w:eastAsia="en-GB"/>
              </w:rPr>
              <w:t xml:space="preserve"> Error</w:t>
            </w:r>
          </w:p>
        </w:tc>
        <w:tc>
          <w:tcPr>
            <w:tcW w:w="2742" w:type="dxa"/>
          </w:tcPr>
          <w:p w14:paraId="6EB97631" w14:textId="77777777" w:rsidR="00532BCB" w:rsidRPr="000E1082" w:rsidRDefault="00532BCB" w:rsidP="008539F3">
            <w:pPr>
              <w:pStyle w:val="TableParagraph"/>
              <w:keepNext/>
              <w:spacing w:before="83"/>
              <w:ind w:left="451"/>
              <w:rPr>
                <w:lang w:eastAsia="en-GB"/>
              </w:rPr>
            </w:pPr>
            <w:r w:rsidRPr="000E1082">
              <w:rPr>
                <w:lang w:eastAsia="en-GB"/>
              </w:rPr>
              <w:t xml:space="preserve">LS Mean ± </w:t>
            </w:r>
            <w:proofErr w:type="spellStart"/>
            <w:r w:rsidRPr="000E1082">
              <w:rPr>
                <w:lang w:eastAsia="en-GB"/>
              </w:rPr>
              <w:t>Std</w:t>
            </w:r>
            <w:proofErr w:type="spellEnd"/>
            <w:r w:rsidRPr="000E1082">
              <w:rPr>
                <w:lang w:eastAsia="en-GB"/>
              </w:rPr>
              <w:t xml:space="preserve"> Error</w:t>
            </w:r>
          </w:p>
        </w:tc>
        <w:tc>
          <w:tcPr>
            <w:tcW w:w="1812" w:type="dxa"/>
          </w:tcPr>
          <w:p w14:paraId="5BF81782" w14:textId="77777777" w:rsidR="00532BCB" w:rsidRPr="000E1082" w:rsidRDefault="00532BCB" w:rsidP="008539F3">
            <w:pPr>
              <w:pStyle w:val="TableParagraph"/>
              <w:keepNext/>
              <w:spacing w:before="83"/>
              <w:ind w:left="294"/>
              <w:jc w:val="center"/>
              <w:rPr>
                <w:lang w:eastAsia="en-GB"/>
              </w:rPr>
            </w:pPr>
            <w:r w:rsidRPr="000E1082">
              <w:rPr>
                <w:lang w:eastAsia="en-GB"/>
              </w:rPr>
              <w:t>p-Value</w:t>
            </w:r>
          </w:p>
        </w:tc>
      </w:tr>
      <w:tr w:rsidR="00532BCB" w:rsidRPr="000E1082" w14:paraId="7F789F7A" w14:textId="77777777" w:rsidTr="009D738D">
        <w:trPr>
          <w:trHeight w:val="362"/>
        </w:trPr>
        <w:tc>
          <w:tcPr>
            <w:tcW w:w="1812" w:type="dxa"/>
          </w:tcPr>
          <w:p w14:paraId="49625729" w14:textId="77777777" w:rsidR="00532BCB" w:rsidRPr="000E1082" w:rsidRDefault="00532BCB" w:rsidP="008539F3">
            <w:pPr>
              <w:pStyle w:val="TableParagraph"/>
              <w:keepNext/>
              <w:spacing w:before="86" w:line="257" w:lineRule="exact"/>
              <w:ind w:right="624"/>
              <w:jc w:val="right"/>
              <w:rPr>
                <w:lang w:eastAsia="en-GB"/>
              </w:rPr>
            </w:pPr>
            <w:r w:rsidRPr="000E1082">
              <w:rPr>
                <w:lang w:eastAsia="en-GB"/>
              </w:rPr>
              <w:t>Endpoint</w:t>
            </w:r>
          </w:p>
        </w:tc>
        <w:tc>
          <w:tcPr>
            <w:tcW w:w="2691" w:type="dxa"/>
          </w:tcPr>
          <w:p w14:paraId="5CB68F18" w14:textId="77777777" w:rsidR="00532BCB" w:rsidRPr="000E1082" w:rsidRDefault="00532BCB" w:rsidP="008539F3">
            <w:pPr>
              <w:pStyle w:val="TableParagraph"/>
              <w:keepNext/>
              <w:spacing w:before="86" w:line="257" w:lineRule="exact"/>
              <w:ind w:left="1013"/>
              <w:rPr>
                <w:lang w:eastAsia="en-GB"/>
              </w:rPr>
            </w:pPr>
            <w:r w:rsidRPr="000E1082">
              <w:rPr>
                <w:lang w:eastAsia="en-GB"/>
              </w:rPr>
              <w:t>8.6 ± 0.9</w:t>
            </w:r>
          </w:p>
        </w:tc>
        <w:tc>
          <w:tcPr>
            <w:tcW w:w="2742" w:type="dxa"/>
          </w:tcPr>
          <w:p w14:paraId="629C6555" w14:textId="77777777" w:rsidR="00532BCB" w:rsidRPr="000E1082" w:rsidRDefault="00532BCB" w:rsidP="008539F3">
            <w:pPr>
              <w:pStyle w:val="TableParagraph"/>
              <w:keepNext/>
              <w:spacing w:before="86" w:line="257" w:lineRule="exact"/>
              <w:ind w:left="1036"/>
              <w:rPr>
                <w:lang w:eastAsia="en-GB"/>
              </w:rPr>
            </w:pPr>
            <w:r w:rsidRPr="000E1082">
              <w:rPr>
                <w:lang w:eastAsia="en-GB"/>
              </w:rPr>
              <w:t>4.0 ± 0.9</w:t>
            </w:r>
          </w:p>
        </w:tc>
        <w:tc>
          <w:tcPr>
            <w:tcW w:w="1812" w:type="dxa"/>
          </w:tcPr>
          <w:p w14:paraId="24E85103" w14:textId="77777777" w:rsidR="00532BCB" w:rsidRPr="000E1082" w:rsidRDefault="00532BCB" w:rsidP="008539F3">
            <w:pPr>
              <w:pStyle w:val="TableParagraph"/>
              <w:keepNext/>
              <w:spacing w:before="86" w:line="257" w:lineRule="exact"/>
              <w:ind w:right="434"/>
              <w:jc w:val="right"/>
              <w:rPr>
                <w:lang w:eastAsia="en-GB"/>
              </w:rPr>
            </w:pPr>
            <w:r w:rsidRPr="000E1082">
              <w:rPr>
                <w:lang w:eastAsia="en-GB"/>
              </w:rPr>
              <w:t>&lt; 0.001</w:t>
            </w:r>
          </w:p>
        </w:tc>
      </w:tr>
      <w:tr w:rsidR="00532BCB" w:rsidRPr="000E1082" w14:paraId="04B8ECA6" w14:textId="77777777" w:rsidTr="009D738D">
        <w:trPr>
          <w:trHeight w:val="359"/>
        </w:trPr>
        <w:tc>
          <w:tcPr>
            <w:tcW w:w="1812" w:type="dxa"/>
          </w:tcPr>
          <w:p w14:paraId="518AFEC9" w14:textId="77777777" w:rsidR="00532BCB" w:rsidRPr="000E1082" w:rsidRDefault="00532BCB" w:rsidP="008539F3">
            <w:pPr>
              <w:pStyle w:val="TableParagraph"/>
              <w:keepNext/>
              <w:spacing w:before="83" w:line="257" w:lineRule="exact"/>
              <w:ind w:right="564"/>
              <w:jc w:val="right"/>
              <w:rPr>
                <w:lang w:eastAsia="en-GB"/>
              </w:rPr>
            </w:pPr>
            <w:r w:rsidRPr="000E1082">
              <w:rPr>
                <w:lang w:eastAsia="en-GB"/>
              </w:rPr>
              <w:t>Month 36</w:t>
            </w:r>
          </w:p>
        </w:tc>
        <w:tc>
          <w:tcPr>
            <w:tcW w:w="2691" w:type="dxa"/>
          </w:tcPr>
          <w:p w14:paraId="5C5D3B69" w14:textId="77777777" w:rsidR="00532BCB" w:rsidRPr="000E1082" w:rsidRDefault="00532BCB" w:rsidP="008539F3">
            <w:pPr>
              <w:pStyle w:val="TableParagraph"/>
              <w:keepNext/>
              <w:spacing w:before="83" w:line="257" w:lineRule="exact"/>
              <w:ind w:left="953"/>
              <w:rPr>
                <w:lang w:eastAsia="en-GB"/>
              </w:rPr>
            </w:pPr>
            <w:r w:rsidRPr="000E1082">
              <w:rPr>
                <w:lang w:eastAsia="en-GB"/>
              </w:rPr>
              <w:t>10.3 ± 0.8</w:t>
            </w:r>
          </w:p>
        </w:tc>
        <w:tc>
          <w:tcPr>
            <w:tcW w:w="2742" w:type="dxa"/>
          </w:tcPr>
          <w:p w14:paraId="7FBD158A" w14:textId="77777777" w:rsidR="00532BCB" w:rsidRPr="000E1082" w:rsidRDefault="00532BCB" w:rsidP="008539F3">
            <w:pPr>
              <w:pStyle w:val="TableParagraph"/>
              <w:keepNext/>
              <w:spacing w:before="83" w:line="257" w:lineRule="exact"/>
              <w:ind w:left="1036"/>
              <w:rPr>
                <w:lang w:eastAsia="en-GB"/>
              </w:rPr>
            </w:pPr>
            <w:r w:rsidRPr="000E1082">
              <w:rPr>
                <w:lang w:eastAsia="en-GB"/>
              </w:rPr>
              <w:t>4.9 ± 0.8</w:t>
            </w:r>
          </w:p>
        </w:tc>
        <w:tc>
          <w:tcPr>
            <w:tcW w:w="1812" w:type="dxa"/>
          </w:tcPr>
          <w:p w14:paraId="13F04CA4" w14:textId="77777777" w:rsidR="00532BCB" w:rsidRPr="000E1082" w:rsidRDefault="00532BCB" w:rsidP="008539F3">
            <w:pPr>
              <w:pStyle w:val="TableParagraph"/>
              <w:keepNext/>
              <w:spacing w:before="83" w:line="257" w:lineRule="exact"/>
              <w:ind w:right="434"/>
              <w:jc w:val="right"/>
              <w:rPr>
                <w:lang w:eastAsia="en-GB"/>
              </w:rPr>
            </w:pPr>
            <w:r w:rsidRPr="000E1082">
              <w:rPr>
                <w:lang w:eastAsia="en-GB"/>
              </w:rPr>
              <w:t>&lt; 0.001</w:t>
            </w:r>
          </w:p>
        </w:tc>
      </w:tr>
      <w:tr w:rsidR="00532BCB" w:rsidRPr="000E1082" w14:paraId="17E9E4FE" w14:textId="77777777" w:rsidTr="009D738D">
        <w:trPr>
          <w:trHeight w:val="359"/>
        </w:trPr>
        <w:tc>
          <w:tcPr>
            <w:tcW w:w="1812" w:type="dxa"/>
          </w:tcPr>
          <w:p w14:paraId="455B5134" w14:textId="77777777" w:rsidR="00532BCB" w:rsidRPr="000E1082" w:rsidRDefault="00532BCB" w:rsidP="008539F3">
            <w:pPr>
              <w:pStyle w:val="TableParagraph"/>
              <w:keepNext/>
              <w:spacing w:before="83" w:line="257" w:lineRule="exact"/>
              <w:ind w:right="564"/>
              <w:jc w:val="right"/>
              <w:rPr>
                <w:lang w:eastAsia="en-GB"/>
              </w:rPr>
            </w:pPr>
            <w:r w:rsidRPr="000E1082">
              <w:rPr>
                <w:lang w:eastAsia="en-GB"/>
              </w:rPr>
              <w:t>Month 24</w:t>
            </w:r>
          </w:p>
        </w:tc>
        <w:tc>
          <w:tcPr>
            <w:tcW w:w="2691" w:type="dxa"/>
          </w:tcPr>
          <w:p w14:paraId="5B471ADF" w14:textId="77777777" w:rsidR="00532BCB" w:rsidRPr="000E1082" w:rsidRDefault="00532BCB" w:rsidP="008539F3">
            <w:pPr>
              <w:pStyle w:val="TableParagraph"/>
              <w:keepNext/>
              <w:spacing w:before="83" w:line="257" w:lineRule="exact"/>
              <w:ind w:left="1013"/>
              <w:rPr>
                <w:lang w:eastAsia="en-GB"/>
              </w:rPr>
            </w:pPr>
            <w:r w:rsidRPr="000E1082">
              <w:rPr>
                <w:lang w:eastAsia="en-GB"/>
              </w:rPr>
              <w:t>9.3 ± 0.7</w:t>
            </w:r>
          </w:p>
        </w:tc>
        <w:tc>
          <w:tcPr>
            <w:tcW w:w="2742" w:type="dxa"/>
          </w:tcPr>
          <w:p w14:paraId="51DEB4D4" w14:textId="77777777" w:rsidR="00532BCB" w:rsidRPr="000E1082" w:rsidRDefault="00532BCB" w:rsidP="008539F3">
            <w:pPr>
              <w:pStyle w:val="TableParagraph"/>
              <w:keepNext/>
              <w:spacing w:before="83" w:line="257" w:lineRule="exact"/>
              <w:ind w:left="1036"/>
              <w:rPr>
                <w:lang w:eastAsia="en-GB"/>
              </w:rPr>
            </w:pPr>
            <w:r w:rsidRPr="000E1082">
              <w:rPr>
                <w:lang w:eastAsia="en-GB"/>
              </w:rPr>
              <w:t>5.0 ± 0.7</w:t>
            </w:r>
          </w:p>
        </w:tc>
        <w:tc>
          <w:tcPr>
            <w:tcW w:w="1812" w:type="dxa"/>
          </w:tcPr>
          <w:p w14:paraId="67CBFE5B" w14:textId="77777777" w:rsidR="00532BCB" w:rsidRPr="000E1082" w:rsidRDefault="00532BCB" w:rsidP="008539F3">
            <w:pPr>
              <w:pStyle w:val="TableParagraph"/>
              <w:keepNext/>
              <w:spacing w:before="83" w:line="257" w:lineRule="exact"/>
              <w:ind w:right="434"/>
              <w:jc w:val="right"/>
              <w:rPr>
                <w:lang w:eastAsia="en-GB"/>
              </w:rPr>
            </w:pPr>
            <w:r w:rsidRPr="000E1082">
              <w:rPr>
                <w:lang w:eastAsia="en-GB"/>
              </w:rPr>
              <w:t>&lt; 0.001</w:t>
            </w:r>
          </w:p>
        </w:tc>
      </w:tr>
      <w:tr w:rsidR="00532BCB" w:rsidRPr="000E1082" w14:paraId="3B6DAEAA" w14:textId="77777777" w:rsidTr="009D738D">
        <w:trPr>
          <w:trHeight w:val="359"/>
        </w:trPr>
        <w:tc>
          <w:tcPr>
            <w:tcW w:w="1812" w:type="dxa"/>
          </w:tcPr>
          <w:p w14:paraId="0302A863" w14:textId="77777777" w:rsidR="00532BCB" w:rsidRPr="000E1082" w:rsidRDefault="00532BCB" w:rsidP="008539F3">
            <w:pPr>
              <w:pStyle w:val="TableParagraph"/>
              <w:keepNext/>
              <w:spacing w:before="83" w:line="257" w:lineRule="exact"/>
              <w:ind w:right="564"/>
              <w:jc w:val="right"/>
              <w:rPr>
                <w:lang w:eastAsia="en-GB"/>
              </w:rPr>
            </w:pPr>
            <w:r w:rsidRPr="000E1082">
              <w:rPr>
                <w:lang w:eastAsia="en-GB"/>
              </w:rPr>
              <w:t>Month 18</w:t>
            </w:r>
          </w:p>
        </w:tc>
        <w:tc>
          <w:tcPr>
            <w:tcW w:w="2691" w:type="dxa"/>
          </w:tcPr>
          <w:p w14:paraId="180295B7" w14:textId="77777777" w:rsidR="00532BCB" w:rsidRPr="000E1082" w:rsidRDefault="00532BCB" w:rsidP="008539F3">
            <w:pPr>
              <w:pStyle w:val="TableParagraph"/>
              <w:keepNext/>
              <w:spacing w:before="83" w:line="257" w:lineRule="exact"/>
              <w:ind w:left="1013"/>
              <w:rPr>
                <w:lang w:eastAsia="en-GB"/>
              </w:rPr>
            </w:pPr>
            <w:r w:rsidRPr="000E1082">
              <w:rPr>
                <w:lang w:eastAsia="en-GB"/>
              </w:rPr>
              <w:t>7.8 ± 0.6</w:t>
            </w:r>
          </w:p>
        </w:tc>
        <w:tc>
          <w:tcPr>
            <w:tcW w:w="2742" w:type="dxa"/>
          </w:tcPr>
          <w:p w14:paraId="3636465B" w14:textId="77777777" w:rsidR="00532BCB" w:rsidRPr="000E1082" w:rsidRDefault="00532BCB" w:rsidP="008539F3">
            <w:pPr>
              <w:pStyle w:val="TableParagraph"/>
              <w:keepNext/>
              <w:spacing w:before="83" w:line="257" w:lineRule="exact"/>
              <w:ind w:left="1036"/>
              <w:rPr>
                <w:lang w:eastAsia="en-GB"/>
              </w:rPr>
            </w:pPr>
            <w:r w:rsidRPr="000E1082">
              <w:rPr>
                <w:lang w:eastAsia="en-GB"/>
              </w:rPr>
              <w:t>3.4 ± 0.6</w:t>
            </w:r>
          </w:p>
        </w:tc>
        <w:tc>
          <w:tcPr>
            <w:tcW w:w="1812" w:type="dxa"/>
          </w:tcPr>
          <w:p w14:paraId="5B35D65E" w14:textId="77777777" w:rsidR="00532BCB" w:rsidRPr="000E1082" w:rsidRDefault="00532BCB" w:rsidP="008539F3">
            <w:pPr>
              <w:pStyle w:val="TableParagraph"/>
              <w:keepNext/>
              <w:spacing w:before="83" w:line="257" w:lineRule="exact"/>
              <w:ind w:right="434"/>
              <w:jc w:val="right"/>
              <w:rPr>
                <w:lang w:eastAsia="en-GB"/>
              </w:rPr>
            </w:pPr>
            <w:r w:rsidRPr="000E1082">
              <w:rPr>
                <w:lang w:eastAsia="en-GB"/>
              </w:rPr>
              <w:t>&lt; 0.001</w:t>
            </w:r>
          </w:p>
        </w:tc>
      </w:tr>
      <w:tr w:rsidR="00532BCB" w:rsidRPr="000E1082" w14:paraId="54C7022A" w14:textId="77777777" w:rsidTr="009D738D">
        <w:trPr>
          <w:trHeight w:val="359"/>
        </w:trPr>
        <w:tc>
          <w:tcPr>
            <w:tcW w:w="1812" w:type="dxa"/>
          </w:tcPr>
          <w:p w14:paraId="79D2736A" w14:textId="77777777" w:rsidR="00532BCB" w:rsidRPr="000E1082" w:rsidRDefault="00532BCB" w:rsidP="008539F3">
            <w:pPr>
              <w:pStyle w:val="TableParagraph"/>
              <w:keepNext/>
              <w:spacing w:before="83" w:line="257" w:lineRule="exact"/>
              <w:ind w:right="564"/>
              <w:jc w:val="right"/>
              <w:rPr>
                <w:lang w:eastAsia="en-GB"/>
              </w:rPr>
            </w:pPr>
            <w:r w:rsidRPr="000E1082">
              <w:rPr>
                <w:lang w:eastAsia="en-GB"/>
              </w:rPr>
              <w:t>Month 12</w:t>
            </w:r>
          </w:p>
        </w:tc>
        <w:tc>
          <w:tcPr>
            <w:tcW w:w="2691" w:type="dxa"/>
          </w:tcPr>
          <w:p w14:paraId="19A2AA89" w14:textId="77777777" w:rsidR="00532BCB" w:rsidRPr="000E1082" w:rsidRDefault="00532BCB" w:rsidP="008539F3">
            <w:pPr>
              <w:pStyle w:val="TableParagraph"/>
              <w:keepNext/>
              <w:spacing w:before="83" w:line="257" w:lineRule="exact"/>
              <w:ind w:left="1013"/>
              <w:rPr>
                <w:lang w:eastAsia="en-GB"/>
              </w:rPr>
            </w:pPr>
            <w:r w:rsidRPr="000E1082">
              <w:rPr>
                <w:lang w:eastAsia="en-GB"/>
              </w:rPr>
              <w:t>6.5 ± 0.5</w:t>
            </w:r>
          </w:p>
        </w:tc>
        <w:tc>
          <w:tcPr>
            <w:tcW w:w="2742" w:type="dxa"/>
          </w:tcPr>
          <w:p w14:paraId="10751B85" w14:textId="77777777" w:rsidR="00532BCB" w:rsidRPr="000E1082" w:rsidRDefault="00532BCB" w:rsidP="008539F3">
            <w:pPr>
              <w:pStyle w:val="TableParagraph"/>
              <w:keepNext/>
              <w:spacing w:before="83" w:line="257" w:lineRule="exact"/>
              <w:ind w:left="1036"/>
              <w:rPr>
                <w:lang w:eastAsia="en-GB"/>
              </w:rPr>
            </w:pPr>
            <w:r w:rsidRPr="000E1082">
              <w:rPr>
                <w:lang w:eastAsia="en-GB"/>
              </w:rPr>
              <w:t>3.0 ± 0.5</w:t>
            </w:r>
          </w:p>
        </w:tc>
        <w:tc>
          <w:tcPr>
            <w:tcW w:w="1812" w:type="dxa"/>
          </w:tcPr>
          <w:p w14:paraId="77AD774F" w14:textId="77777777" w:rsidR="00532BCB" w:rsidRPr="000E1082" w:rsidRDefault="00532BCB" w:rsidP="008539F3">
            <w:pPr>
              <w:pStyle w:val="TableParagraph"/>
              <w:keepNext/>
              <w:spacing w:before="83" w:line="257" w:lineRule="exact"/>
              <w:ind w:right="434"/>
              <w:jc w:val="right"/>
              <w:rPr>
                <w:lang w:eastAsia="en-GB"/>
              </w:rPr>
            </w:pPr>
            <w:r w:rsidRPr="000E1082">
              <w:rPr>
                <w:lang w:eastAsia="en-GB"/>
              </w:rPr>
              <w:t>&lt; 0.001</w:t>
            </w:r>
          </w:p>
        </w:tc>
      </w:tr>
      <w:tr w:rsidR="00532BCB" w:rsidRPr="000E1082" w14:paraId="7F8D20DF" w14:textId="77777777" w:rsidTr="009D738D">
        <w:trPr>
          <w:trHeight w:val="359"/>
        </w:trPr>
        <w:tc>
          <w:tcPr>
            <w:tcW w:w="1812" w:type="dxa"/>
          </w:tcPr>
          <w:p w14:paraId="71AAF7D2" w14:textId="57405FE7" w:rsidR="00532BCB" w:rsidRPr="000E1082" w:rsidRDefault="00D36DA7" w:rsidP="008539F3">
            <w:pPr>
              <w:pStyle w:val="TableParagraph"/>
              <w:keepNext/>
              <w:spacing w:before="83" w:line="257" w:lineRule="exact"/>
              <w:ind w:left="294"/>
              <w:rPr>
                <w:lang w:eastAsia="en-GB"/>
              </w:rPr>
            </w:pPr>
            <w:r>
              <w:rPr>
                <w:lang w:eastAsia="en-GB"/>
              </w:rPr>
              <w:t xml:space="preserve">  </w:t>
            </w:r>
            <w:r w:rsidR="00532BCB" w:rsidRPr="000E1082">
              <w:rPr>
                <w:lang w:eastAsia="en-GB"/>
              </w:rPr>
              <w:t>Month 6</w:t>
            </w:r>
          </w:p>
        </w:tc>
        <w:tc>
          <w:tcPr>
            <w:tcW w:w="2691" w:type="dxa"/>
          </w:tcPr>
          <w:p w14:paraId="46F22914" w14:textId="77777777" w:rsidR="00532BCB" w:rsidRPr="000E1082" w:rsidRDefault="00532BCB" w:rsidP="008539F3">
            <w:pPr>
              <w:pStyle w:val="TableParagraph"/>
              <w:keepNext/>
              <w:spacing w:before="83" w:line="257" w:lineRule="exact"/>
              <w:ind w:left="1013"/>
              <w:rPr>
                <w:lang w:eastAsia="en-GB"/>
              </w:rPr>
            </w:pPr>
            <w:r w:rsidRPr="000E1082">
              <w:rPr>
                <w:lang w:eastAsia="en-GB"/>
              </w:rPr>
              <w:t>4.0 ± 0.5</w:t>
            </w:r>
          </w:p>
        </w:tc>
        <w:tc>
          <w:tcPr>
            <w:tcW w:w="2742" w:type="dxa"/>
          </w:tcPr>
          <w:p w14:paraId="531EAC6C" w14:textId="77777777" w:rsidR="00532BCB" w:rsidRPr="000E1082" w:rsidRDefault="00532BCB" w:rsidP="008539F3">
            <w:pPr>
              <w:pStyle w:val="TableParagraph"/>
              <w:keepNext/>
              <w:spacing w:before="83" w:line="257" w:lineRule="exact"/>
              <w:ind w:left="1036"/>
              <w:rPr>
                <w:lang w:eastAsia="en-GB"/>
              </w:rPr>
            </w:pPr>
            <w:r w:rsidRPr="000E1082">
              <w:rPr>
                <w:lang w:eastAsia="en-GB"/>
              </w:rPr>
              <w:t>2.0 ± 0.5</w:t>
            </w:r>
          </w:p>
        </w:tc>
        <w:tc>
          <w:tcPr>
            <w:tcW w:w="1812" w:type="dxa"/>
          </w:tcPr>
          <w:p w14:paraId="5AC98200" w14:textId="77777777" w:rsidR="00532BCB" w:rsidRPr="000E1082" w:rsidRDefault="00532BCB" w:rsidP="008539F3">
            <w:pPr>
              <w:pStyle w:val="TableParagraph"/>
              <w:keepNext/>
              <w:spacing w:before="83" w:line="257" w:lineRule="exact"/>
              <w:ind w:right="434"/>
              <w:jc w:val="right"/>
              <w:rPr>
                <w:lang w:eastAsia="en-GB"/>
              </w:rPr>
            </w:pPr>
            <w:r w:rsidRPr="000E1082">
              <w:rPr>
                <w:lang w:eastAsia="en-GB"/>
              </w:rPr>
              <w:t>&lt; 0.001</w:t>
            </w:r>
          </w:p>
        </w:tc>
      </w:tr>
      <w:tr w:rsidR="00532BCB" w:rsidRPr="000E1082" w14:paraId="562CB0C4" w14:textId="77777777" w:rsidTr="009D738D">
        <w:trPr>
          <w:trHeight w:val="361"/>
        </w:trPr>
        <w:tc>
          <w:tcPr>
            <w:tcW w:w="1812" w:type="dxa"/>
          </w:tcPr>
          <w:p w14:paraId="64331A46" w14:textId="77777777" w:rsidR="00532BCB" w:rsidRPr="000E1082" w:rsidRDefault="00532BCB" w:rsidP="009D738D">
            <w:pPr>
              <w:pStyle w:val="TableParagraph"/>
              <w:spacing w:before="85" w:line="257" w:lineRule="exact"/>
              <w:ind w:right="624"/>
              <w:jc w:val="right"/>
              <w:rPr>
                <w:lang w:eastAsia="en-GB"/>
              </w:rPr>
            </w:pPr>
            <w:r w:rsidRPr="000E1082">
              <w:rPr>
                <w:lang w:eastAsia="en-GB"/>
              </w:rPr>
              <w:t>Month 3</w:t>
            </w:r>
          </w:p>
        </w:tc>
        <w:tc>
          <w:tcPr>
            <w:tcW w:w="2691" w:type="dxa"/>
          </w:tcPr>
          <w:p w14:paraId="1783D4A9" w14:textId="77777777" w:rsidR="00532BCB" w:rsidRPr="000E1082" w:rsidRDefault="00532BCB" w:rsidP="009D738D">
            <w:pPr>
              <w:pStyle w:val="TableParagraph"/>
              <w:spacing w:before="85" w:line="257" w:lineRule="exact"/>
              <w:ind w:left="1013"/>
              <w:rPr>
                <w:lang w:eastAsia="en-GB"/>
              </w:rPr>
            </w:pPr>
            <w:r w:rsidRPr="000E1082">
              <w:rPr>
                <w:lang w:eastAsia="en-GB"/>
              </w:rPr>
              <w:t>2.3 ± 0.5</w:t>
            </w:r>
          </w:p>
        </w:tc>
        <w:tc>
          <w:tcPr>
            <w:tcW w:w="2742" w:type="dxa"/>
          </w:tcPr>
          <w:p w14:paraId="37821A15" w14:textId="77777777" w:rsidR="00532BCB" w:rsidRPr="000E1082" w:rsidRDefault="00532BCB" w:rsidP="009D738D">
            <w:pPr>
              <w:pStyle w:val="TableParagraph"/>
              <w:spacing w:before="85" w:line="257" w:lineRule="exact"/>
              <w:ind w:left="1036"/>
              <w:rPr>
                <w:lang w:eastAsia="en-GB"/>
              </w:rPr>
            </w:pPr>
            <w:r w:rsidRPr="000E1082">
              <w:rPr>
                <w:lang w:eastAsia="en-GB"/>
              </w:rPr>
              <w:t>1.6 ± 0.5</w:t>
            </w:r>
          </w:p>
        </w:tc>
        <w:tc>
          <w:tcPr>
            <w:tcW w:w="1812" w:type="dxa"/>
          </w:tcPr>
          <w:p w14:paraId="152F646F" w14:textId="77777777" w:rsidR="00532BCB" w:rsidRPr="000E1082" w:rsidRDefault="00532BCB" w:rsidP="009D738D">
            <w:pPr>
              <w:pStyle w:val="TableParagraph"/>
              <w:spacing w:before="85" w:line="257" w:lineRule="exact"/>
              <w:ind w:left="729"/>
              <w:rPr>
                <w:lang w:eastAsia="en-GB"/>
              </w:rPr>
            </w:pPr>
            <w:r w:rsidRPr="000E1082">
              <w:rPr>
                <w:lang w:eastAsia="en-GB"/>
              </w:rPr>
              <w:t>0.118</w:t>
            </w:r>
          </w:p>
        </w:tc>
      </w:tr>
    </w:tbl>
    <w:p w14:paraId="3ED2FBA3" w14:textId="6506DA6B" w:rsidR="00D46A5A" w:rsidRPr="000E1082" w:rsidRDefault="00D46A5A" w:rsidP="003D1043">
      <w:pPr>
        <w:rPr>
          <w:sz w:val="22"/>
          <w:szCs w:val="22"/>
        </w:rPr>
      </w:pPr>
    </w:p>
    <w:p w14:paraId="5D06CD61" w14:textId="77777777" w:rsidR="005058F1" w:rsidRPr="000E1082" w:rsidRDefault="005058F1" w:rsidP="008539F3">
      <w:pPr>
        <w:pStyle w:val="BodyText"/>
        <w:spacing w:before="67"/>
        <w:rPr>
          <w:rFonts w:ascii="Times New Roman" w:hAnsi="Times New Roman" w:cs="Times New Roman"/>
          <w:lang w:val="en-AU" w:eastAsia="en-GB"/>
        </w:rPr>
      </w:pPr>
      <w:r w:rsidRPr="000E1082">
        <w:rPr>
          <w:rFonts w:ascii="Times New Roman" w:hAnsi="Times New Roman" w:cs="Times New Roman"/>
          <w:lang w:val="en-AU" w:eastAsia="en-GB"/>
        </w:rPr>
        <w:t xml:space="preserve">In men and women combined, changes from baseline in femoral neck BMD were significantly greater in the FORTEO compared with the alendronate group at all </w:t>
      </w:r>
      <w:proofErr w:type="spellStart"/>
      <w:r w:rsidRPr="000E1082">
        <w:rPr>
          <w:rFonts w:ascii="Times New Roman" w:hAnsi="Times New Roman" w:cs="Times New Roman"/>
          <w:lang w:val="en-AU" w:eastAsia="en-GB"/>
        </w:rPr>
        <w:t>timepoints</w:t>
      </w:r>
      <w:proofErr w:type="spellEnd"/>
      <w:r w:rsidRPr="000E1082">
        <w:rPr>
          <w:rFonts w:ascii="Times New Roman" w:hAnsi="Times New Roman" w:cs="Times New Roman"/>
          <w:lang w:val="en-AU" w:eastAsia="en-GB"/>
        </w:rPr>
        <w:t xml:space="preserve"> and at endpoint (</w:t>
      </w:r>
      <w:r w:rsidRPr="0095316B">
        <w:rPr>
          <w:rFonts w:ascii="Times New Roman" w:hAnsi="Times New Roman" w:cs="Times New Roman"/>
          <w:b/>
          <w:bCs/>
          <w:lang w:val="en-AU" w:eastAsia="en-GB"/>
        </w:rPr>
        <w:t xml:space="preserve">Figure 5). </w:t>
      </w:r>
      <w:r w:rsidRPr="000E1082">
        <w:rPr>
          <w:rFonts w:ascii="Times New Roman" w:hAnsi="Times New Roman" w:cs="Times New Roman"/>
          <w:lang w:val="en-AU" w:eastAsia="en-GB"/>
        </w:rPr>
        <w:t>The mean percent change in femoral neck BMD from baseline to endpoint was 5.1 % in the FORTEO group compared with 2.6 % in the alendronate group, (p&lt;0.001).</w:t>
      </w:r>
    </w:p>
    <w:p w14:paraId="086E5B7E" w14:textId="77777777" w:rsidR="00CE22ED" w:rsidRPr="0095316B" w:rsidRDefault="00CE22ED" w:rsidP="008539F3">
      <w:pPr>
        <w:pStyle w:val="Heading3"/>
        <w:keepNext w:val="0"/>
        <w:ind w:left="119" w:right="403"/>
        <w:jc w:val="center"/>
        <w:rPr>
          <w:rFonts w:ascii="Times New Roman" w:eastAsia="Times New Roman" w:hAnsi="Times New Roman" w:cs="Times New Roman"/>
          <w:b/>
          <w:bCs/>
          <w:color w:val="auto"/>
          <w:sz w:val="22"/>
          <w:szCs w:val="22"/>
        </w:rPr>
      </w:pPr>
      <w:r w:rsidRPr="0095316B">
        <w:rPr>
          <w:rFonts w:ascii="Times New Roman" w:eastAsia="Times New Roman" w:hAnsi="Times New Roman" w:cs="Times New Roman"/>
          <w:b/>
          <w:bCs/>
          <w:color w:val="auto"/>
          <w:sz w:val="22"/>
          <w:szCs w:val="22"/>
        </w:rPr>
        <w:t>Figure 5</w:t>
      </w:r>
      <w:r>
        <w:rPr>
          <w:rFonts w:ascii="Times New Roman" w:eastAsia="Times New Roman" w:hAnsi="Times New Roman" w:cs="Times New Roman"/>
          <w:b/>
          <w:bCs/>
          <w:color w:val="auto"/>
          <w:sz w:val="22"/>
          <w:szCs w:val="22"/>
        </w:rPr>
        <w:t>.</w:t>
      </w:r>
      <w:r w:rsidRPr="0095316B">
        <w:rPr>
          <w:rFonts w:ascii="Times New Roman" w:eastAsia="Times New Roman" w:hAnsi="Times New Roman" w:cs="Times New Roman"/>
          <w:b/>
          <w:bCs/>
          <w:color w:val="auto"/>
          <w:sz w:val="22"/>
          <w:szCs w:val="22"/>
        </w:rPr>
        <w:t xml:space="preserve"> Mean Percent Change from Baseline in Femoral Neck BMD (LS Mean ± SE) in Men and Women with Glucocorticoid-Induced Osteoporosis</w:t>
      </w:r>
    </w:p>
    <w:p w14:paraId="52F6287E" w14:textId="0BB36E0F" w:rsidR="005058F1" w:rsidRDefault="005E2BFD" w:rsidP="00CE22ED">
      <w:r w:rsidRPr="005E2BFD">
        <w:rPr>
          <w:noProof/>
          <w:lang w:eastAsia="en-AU"/>
        </w:rPr>
        <w:drawing>
          <wp:inline distT="0" distB="0" distL="0" distR="0" wp14:anchorId="2DAA9851" wp14:editId="6538052D">
            <wp:extent cx="5765800" cy="3251200"/>
            <wp:effectExtent l="0" t="0" r="0" b="0"/>
            <wp:docPr id="31" name="Picture 31" descr="A picture containing 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 diagra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65800" cy="3251200"/>
                    </a:xfrm>
                    <a:prstGeom prst="rect">
                      <a:avLst/>
                    </a:prstGeom>
                  </pic:spPr>
                </pic:pic>
              </a:graphicData>
            </a:graphic>
          </wp:inline>
        </w:drawing>
      </w:r>
    </w:p>
    <w:p w14:paraId="17B5818E" w14:textId="77777777" w:rsidR="00FD6FE2" w:rsidRPr="00FD6FE2" w:rsidRDefault="00FD6FE2" w:rsidP="00FD6FE2"/>
    <w:p w14:paraId="0F9B6F70" w14:textId="6F426AAE" w:rsidR="00557B36" w:rsidRPr="006D4AE8" w:rsidRDefault="005E2BFD" w:rsidP="008539F3">
      <w:pPr>
        <w:pStyle w:val="BodyText"/>
        <w:spacing w:before="1"/>
        <w:rPr>
          <w:rFonts w:ascii="Times New Roman" w:hAnsi="Times New Roman" w:cs="Times New Roman"/>
          <w:lang w:val="en-AU" w:eastAsia="en-GB"/>
        </w:rPr>
      </w:pPr>
      <w:r w:rsidRPr="006D4AE8">
        <w:rPr>
          <w:rFonts w:ascii="Times New Roman" w:hAnsi="Times New Roman" w:cs="Times New Roman"/>
          <w:lang w:val="en-AU" w:eastAsia="en-GB"/>
        </w:rPr>
        <w:t xml:space="preserve">In men and women combined, changes from baseline in total hip BMD were significantly greater in the FORTEO group compared with the </w:t>
      </w:r>
      <w:r w:rsidR="003E7BAF" w:rsidRPr="006D4AE8">
        <w:rPr>
          <w:rFonts w:ascii="Times New Roman" w:hAnsi="Times New Roman" w:cs="Times New Roman"/>
          <w:lang w:val="en-AU" w:eastAsia="en-GB"/>
        </w:rPr>
        <w:t>alendronate</w:t>
      </w:r>
      <w:r w:rsidRPr="006D4AE8">
        <w:rPr>
          <w:rFonts w:ascii="Times New Roman" w:hAnsi="Times New Roman" w:cs="Times New Roman"/>
          <w:lang w:val="en-AU" w:eastAsia="en-GB"/>
        </w:rPr>
        <w:t xml:space="preserve"> group at all </w:t>
      </w:r>
      <w:proofErr w:type="spellStart"/>
      <w:r w:rsidRPr="006D4AE8">
        <w:rPr>
          <w:rFonts w:ascii="Times New Roman" w:hAnsi="Times New Roman" w:cs="Times New Roman"/>
          <w:lang w:val="en-AU" w:eastAsia="en-GB"/>
        </w:rPr>
        <w:t>timepoints</w:t>
      </w:r>
      <w:proofErr w:type="spellEnd"/>
      <w:r w:rsidRPr="006D4AE8">
        <w:rPr>
          <w:rFonts w:ascii="Times New Roman" w:hAnsi="Times New Roman" w:cs="Times New Roman"/>
          <w:lang w:val="en-AU" w:eastAsia="en-GB"/>
        </w:rPr>
        <w:t xml:space="preserve"> and at endpoint (</w:t>
      </w:r>
      <w:r w:rsidRPr="00A75FEB">
        <w:rPr>
          <w:rFonts w:ascii="Times New Roman" w:hAnsi="Times New Roman" w:cs="Times New Roman"/>
          <w:b/>
          <w:bCs/>
          <w:lang w:val="en-AU" w:eastAsia="en-GB"/>
        </w:rPr>
        <w:t>Figure 6).</w:t>
      </w:r>
      <w:r w:rsidRPr="006D4AE8">
        <w:rPr>
          <w:rFonts w:ascii="Times New Roman" w:hAnsi="Times New Roman" w:cs="Times New Roman"/>
          <w:lang w:val="en-AU" w:eastAsia="en-GB"/>
        </w:rPr>
        <w:t xml:space="preserve"> The mean increase in total hip BMD from baseline to endpoint was 4.4</w:t>
      </w:r>
      <w:r w:rsidR="00306B35" w:rsidRPr="006D4AE8">
        <w:rPr>
          <w:rFonts w:ascii="Times New Roman" w:hAnsi="Times New Roman" w:cs="Times New Roman"/>
          <w:lang w:val="en-AU" w:eastAsia="en-GB"/>
        </w:rPr>
        <w:t xml:space="preserve"> </w:t>
      </w:r>
      <w:r w:rsidRPr="006D4AE8">
        <w:rPr>
          <w:rFonts w:ascii="Times New Roman" w:hAnsi="Times New Roman" w:cs="Times New Roman"/>
          <w:lang w:val="en-AU" w:eastAsia="en-GB"/>
        </w:rPr>
        <w:t>% in the FORTEO group versus 2.2 % in the alendronate group (p&lt;0.001).</w:t>
      </w:r>
    </w:p>
    <w:p w14:paraId="16B0EEC0" w14:textId="77777777" w:rsidR="00CD2FA4" w:rsidRPr="00D2194D" w:rsidRDefault="00CD2FA4" w:rsidP="008539F3">
      <w:pPr>
        <w:keepNext/>
        <w:jc w:val="center"/>
      </w:pPr>
      <w:bookmarkStart w:id="8" w:name="_Hlk57014113"/>
      <w:r w:rsidRPr="00D57407">
        <w:rPr>
          <w:b/>
          <w:bCs/>
          <w:sz w:val="22"/>
          <w:szCs w:val="22"/>
        </w:rPr>
        <w:t>Figure 6</w:t>
      </w:r>
      <w:r>
        <w:rPr>
          <w:b/>
          <w:bCs/>
          <w:sz w:val="22"/>
          <w:szCs w:val="22"/>
        </w:rPr>
        <w:t>.</w:t>
      </w:r>
      <w:r w:rsidRPr="00D57407">
        <w:rPr>
          <w:b/>
          <w:bCs/>
          <w:sz w:val="22"/>
          <w:szCs w:val="22"/>
        </w:rPr>
        <w:t xml:space="preserve"> Mean Percent Change from Baseline in Total Hip BMD (LS Mean ± SE) in Men and Women with Glucocorticoid-Induced Osteoporosis</w:t>
      </w:r>
    </w:p>
    <w:bookmarkEnd w:id="8"/>
    <w:p w14:paraId="0C9F7D51" w14:textId="0E3ECAA3" w:rsidR="00395266" w:rsidRPr="00D2194D" w:rsidRDefault="00B30C3B" w:rsidP="00C436F0">
      <w:r w:rsidRPr="00B30C3B">
        <w:rPr>
          <w:noProof/>
          <w:lang w:eastAsia="en-AU"/>
        </w:rPr>
        <w:drawing>
          <wp:inline distT="0" distB="0" distL="0" distR="0" wp14:anchorId="3F043438" wp14:editId="7021B04B">
            <wp:extent cx="4795553" cy="2991917"/>
            <wp:effectExtent l="0" t="0" r="508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4814152" cy="3003521"/>
                    </a:xfrm>
                    <a:prstGeom prst="rect">
                      <a:avLst/>
                    </a:prstGeom>
                  </pic:spPr>
                </pic:pic>
              </a:graphicData>
            </a:graphic>
          </wp:inline>
        </w:drawing>
      </w:r>
    </w:p>
    <w:p w14:paraId="13F8D429" w14:textId="21A5AFEC" w:rsidR="00B30C3B" w:rsidRPr="006D4AE8" w:rsidRDefault="00B30C3B" w:rsidP="00C436F0">
      <w:r w:rsidRPr="006D4AE8">
        <w:t>In premenopausal women, the increase in BMD from baseline to endpoint at 36 months was significantly greater in the FORTEO group compared with the alendronate group at the lumbar spine (4.6 % versus −0.9 %; p=0.017) and total hip (4.8 % versus 1.5 %; p=0.026). However, no significant effect on fracture rates was demonstrated in premenopausal women.</w:t>
      </w:r>
    </w:p>
    <w:p w14:paraId="4BEFE18A" w14:textId="77777777" w:rsidR="00B30C3B" w:rsidRPr="006D4AE8" w:rsidRDefault="00B30C3B" w:rsidP="00C436F0"/>
    <w:p w14:paraId="09B640EC" w14:textId="4E3A57DC" w:rsidR="00B30C3B" w:rsidRPr="006D4AE8" w:rsidRDefault="00B30C3B" w:rsidP="00C436F0">
      <w:r w:rsidRPr="00A6129C">
        <w:rPr>
          <w:b/>
          <w:bCs/>
          <w:i/>
          <w:iCs/>
        </w:rPr>
        <w:t>Analysis of vertebral and non-vertebral fractures</w:t>
      </w:r>
      <w:r w:rsidRPr="006D4AE8">
        <w:t>: At 18 months, analysis of spinal X-rays from 165 alendronate patients and 171 FORTEO patients showed that 10 patients in the alendronate group (6.1 %) had experienced a new vertebral fracture compared with 1 patient in the FORTEO group (0.6 %). In addition, 9 patients in the alendronate group (4.2</w:t>
      </w:r>
      <w:r w:rsidR="00306B35" w:rsidRPr="006D4AE8">
        <w:t xml:space="preserve"> </w:t>
      </w:r>
      <w:r w:rsidRPr="006D4AE8">
        <w:t xml:space="preserve">%) had experienced a </w:t>
      </w:r>
      <w:proofErr w:type="spellStart"/>
      <w:r w:rsidRPr="006D4AE8">
        <w:t>nonvertebral</w:t>
      </w:r>
      <w:proofErr w:type="spellEnd"/>
      <w:r w:rsidRPr="006D4AE8">
        <w:t xml:space="preserve"> fracture compared with 12 patients in the FORTEO group (5.6 %).</w:t>
      </w:r>
    </w:p>
    <w:p w14:paraId="14044DC9" w14:textId="77777777" w:rsidR="003E7BAF" w:rsidRDefault="003E7BAF" w:rsidP="00C436F0"/>
    <w:p w14:paraId="7D1FDB33" w14:textId="425D15FD" w:rsidR="00B30C3B" w:rsidRPr="00E745DD" w:rsidRDefault="00B30C3B" w:rsidP="008539F3">
      <w:pPr>
        <w:pStyle w:val="Heading3"/>
        <w:rPr>
          <w:rFonts w:ascii="Times New Roman" w:eastAsia="Times New Roman" w:hAnsi="Times New Roman" w:cs="Times New Roman"/>
          <w:color w:val="auto"/>
          <w:sz w:val="22"/>
          <w:szCs w:val="22"/>
        </w:rPr>
      </w:pPr>
      <w:r w:rsidRPr="008539F3">
        <w:rPr>
          <w:rFonts w:ascii="Times New Roman" w:eastAsia="Times New Roman" w:hAnsi="Times New Roman" w:cs="Times New Roman"/>
          <w:b/>
          <w:bCs/>
          <w:color w:val="auto"/>
          <w:sz w:val="22"/>
          <w:szCs w:val="22"/>
        </w:rPr>
        <w:t xml:space="preserve">Table </w:t>
      </w:r>
      <w:r w:rsidR="001B335B" w:rsidRPr="008539F3">
        <w:rPr>
          <w:rFonts w:ascii="Times New Roman" w:eastAsia="Times New Roman" w:hAnsi="Times New Roman" w:cs="Times New Roman"/>
          <w:b/>
          <w:bCs/>
          <w:color w:val="auto"/>
          <w:sz w:val="22"/>
          <w:szCs w:val="22"/>
        </w:rPr>
        <w:t>5</w:t>
      </w:r>
      <w:r w:rsidRPr="00E745DD">
        <w:rPr>
          <w:rFonts w:ascii="Times New Roman" w:eastAsia="Times New Roman" w:hAnsi="Times New Roman" w:cs="Times New Roman"/>
          <w:color w:val="auto"/>
          <w:sz w:val="22"/>
          <w:szCs w:val="22"/>
        </w:rPr>
        <w:t xml:space="preserve"> below summarises the incident fractures at 36 months in men and women combined.</w:t>
      </w:r>
    </w:p>
    <w:p w14:paraId="4A292737" w14:textId="77777777" w:rsidR="00B30C3B" w:rsidRPr="006D4AE8" w:rsidRDefault="00B30C3B" w:rsidP="00C436F0"/>
    <w:p w14:paraId="6C9DDCD3" w14:textId="753894B1" w:rsidR="00DC019C" w:rsidRPr="00DC019C" w:rsidRDefault="00B30C3B" w:rsidP="009F71F6">
      <w:pPr>
        <w:pStyle w:val="Heading3"/>
        <w:ind w:left="117" w:right="402"/>
      </w:pPr>
      <w:r w:rsidRPr="00D9510C">
        <w:rPr>
          <w:rFonts w:ascii="Times New Roman" w:eastAsia="Times New Roman" w:hAnsi="Times New Roman" w:cs="Times New Roman"/>
          <w:b/>
          <w:bCs/>
          <w:color w:val="auto"/>
          <w:sz w:val="22"/>
          <w:szCs w:val="22"/>
        </w:rPr>
        <w:t xml:space="preserve">Table </w:t>
      </w:r>
      <w:r w:rsidR="0061619A">
        <w:rPr>
          <w:rFonts w:ascii="Times New Roman" w:eastAsia="Times New Roman" w:hAnsi="Times New Roman" w:cs="Times New Roman"/>
          <w:b/>
          <w:bCs/>
          <w:color w:val="auto"/>
          <w:sz w:val="22"/>
          <w:szCs w:val="22"/>
        </w:rPr>
        <w:t>5.</w:t>
      </w:r>
      <w:r w:rsidR="003016EF">
        <w:rPr>
          <w:rFonts w:ascii="Times New Roman" w:eastAsia="Times New Roman" w:hAnsi="Times New Roman" w:cs="Times New Roman"/>
          <w:b/>
          <w:bCs/>
          <w:color w:val="auto"/>
          <w:sz w:val="22"/>
          <w:szCs w:val="22"/>
        </w:rPr>
        <w:t xml:space="preserve"> </w:t>
      </w:r>
      <w:r w:rsidRPr="00D9510C">
        <w:rPr>
          <w:rFonts w:ascii="Times New Roman" w:eastAsia="Times New Roman" w:hAnsi="Times New Roman" w:cs="Times New Roman"/>
          <w:b/>
          <w:bCs/>
          <w:color w:val="auto"/>
          <w:sz w:val="22"/>
          <w:szCs w:val="22"/>
        </w:rPr>
        <w:t>Incident fractures at 36 months in men and women combined</w:t>
      </w:r>
      <w:r w:rsidRPr="00D9510C">
        <w:rPr>
          <w:b/>
          <w:bCs/>
        </w:rPr>
        <w:t>.</w:t>
      </w:r>
      <w:r w:rsidR="009F71F6" w:rsidRPr="00DC019C">
        <w:t xml:space="preserve"> </w:t>
      </w:r>
    </w:p>
    <w:tbl>
      <w:tblPr>
        <w:tblW w:w="0" w:type="auto"/>
        <w:tblInd w:w="259" w:type="dxa"/>
        <w:tblLayout w:type="fixed"/>
        <w:tblCellMar>
          <w:left w:w="0" w:type="dxa"/>
          <w:right w:w="0" w:type="dxa"/>
        </w:tblCellMar>
        <w:tblLook w:val="01E0" w:firstRow="1" w:lastRow="1" w:firstColumn="1" w:lastColumn="1" w:noHBand="0" w:noVBand="0"/>
      </w:tblPr>
      <w:tblGrid>
        <w:gridCol w:w="3910"/>
        <w:gridCol w:w="1797"/>
        <w:gridCol w:w="1834"/>
        <w:gridCol w:w="1111"/>
      </w:tblGrid>
      <w:tr w:rsidR="00B30C3B" w14:paraId="7F8E5295" w14:textId="77777777" w:rsidTr="009D738D">
        <w:trPr>
          <w:trHeight w:val="278"/>
        </w:trPr>
        <w:tc>
          <w:tcPr>
            <w:tcW w:w="3910" w:type="dxa"/>
            <w:tcBorders>
              <w:top w:val="single" w:sz="4" w:space="0" w:color="000000"/>
            </w:tcBorders>
          </w:tcPr>
          <w:p w14:paraId="39BE0464" w14:textId="77777777" w:rsidR="00B30C3B" w:rsidRDefault="00B30C3B" w:rsidP="008539F3">
            <w:pPr>
              <w:pStyle w:val="TableParagraph"/>
              <w:keepNext/>
              <w:rPr>
                <w:sz w:val="20"/>
              </w:rPr>
            </w:pPr>
          </w:p>
        </w:tc>
        <w:tc>
          <w:tcPr>
            <w:tcW w:w="1797" w:type="dxa"/>
            <w:tcBorders>
              <w:top w:val="single" w:sz="4" w:space="0" w:color="000000"/>
            </w:tcBorders>
          </w:tcPr>
          <w:p w14:paraId="49BB48BE" w14:textId="77777777" w:rsidR="00B30C3B" w:rsidRDefault="00B30C3B" w:rsidP="008539F3">
            <w:pPr>
              <w:pStyle w:val="TableParagraph"/>
              <w:keepNext/>
              <w:spacing w:before="29" w:line="229" w:lineRule="exact"/>
              <w:ind w:left="587"/>
              <w:rPr>
                <w:b/>
                <w:sz w:val="20"/>
              </w:rPr>
            </w:pPr>
            <w:r>
              <w:rPr>
                <w:b/>
                <w:sz w:val="20"/>
              </w:rPr>
              <w:t>PTH20</w:t>
            </w:r>
          </w:p>
        </w:tc>
        <w:tc>
          <w:tcPr>
            <w:tcW w:w="1834" w:type="dxa"/>
            <w:tcBorders>
              <w:top w:val="single" w:sz="4" w:space="0" w:color="000000"/>
            </w:tcBorders>
          </w:tcPr>
          <w:p w14:paraId="30E287C0" w14:textId="77777777" w:rsidR="00B30C3B" w:rsidRDefault="00B30C3B" w:rsidP="008539F3">
            <w:pPr>
              <w:pStyle w:val="TableParagraph"/>
              <w:keepNext/>
              <w:spacing w:before="29" w:line="229" w:lineRule="exact"/>
              <w:ind w:left="648"/>
              <w:rPr>
                <w:b/>
                <w:sz w:val="20"/>
              </w:rPr>
            </w:pPr>
            <w:r>
              <w:rPr>
                <w:b/>
                <w:sz w:val="20"/>
              </w:rPr>
              <w:t>ALN10</w:t>
            </w:r>
          </w:p>
        </w:tc>
        <w:tc>
          <w:tcPr>
            <w:tcW w:w="1111" w:type="dxa"/>
            <w:tcBorders>
              <w:top w:val="single" w:sz="4" w:space="0" w:color="000000"/>
            </w:tcBorders>
          </w:tcPr>
          <w:p w14:paraId="7D7EABB6" w14:textId="77777777" w:rsidR="00B30C3B" w:rsidRDefault="00B30C3B" w:rsidP="008539F3">
            <w:pPr>
              <w:pStyle w:val="TableParagraph"/>
              <w:keepNext/>
              <w:rPr>
                <w:sz w:val="20"/>
              </w:rPr>
            </w:pPr>
          </w:p>
        </w:tc>
      </w:tr>
      <w:tr w:rsidR="00B30C3B" w14:paraId="0C63CAE2" w14:textId="77777777" w:rsidTr="009D738D">
        <w:trPr>
          <w:trHeight w:val="239"/>
        </w:trPr>
        <w:tc>
          <w:tcPr>
            <w:tcW w:w="3910" w:type="dxa"/>
            <w:tcBorders>
              <w:bottom w:val="single" w:sz="4" w:space="0" w:color="000000"/>
            </w:tcBorders>
          </w:tcPr>
          <w:p w14:paraId="12032CDF" w14:textId="77777777" w:rsidR="00B30C3B" w:rsidRDefault="00B30C3B" w:rsidP="008539F3">
            <w:pPr>
              <w:pStyle w:val="TableParagraph"/>
              <w:keepNext/>
              <w:rPr>
                <w:sz w:val="16"/>
              </w:rPr>
            </w:pPr>
          </w:p>
        </w:tc>
        <w:tc>
          <w:tcPr>
            <w:tcW w:w="1797" w:type="dxa"/>
            <w:tcBorders>
              <w:bottom w:val="single" w:sz="4" w:space="0" w:color="000000"/>
            </w:tcBorders>
          </w:tcPr>
          <w:p w14:paraId="1EDD1B8A" w14:textId="77777777" w:rsidR="00B30C3B" w:rsidRDefault="00B30C3B" w:rsidP="008539F3">
            <w:pPr>
              <w:pStyle w:val="TableParagraph"/>
              <w:keepNext/>
              <w:spacing w:before="10" w:line="210" w:lineRule="exact"/>
              <w:ind w:left="547"/>
              <w:rPr>
                <w:b/>
                <w:sz w:val="20"/>
              </w:rPr>
            </w:pPr>
            <w:r>
              <w:rPr>
                <w:b/>
                <w:sz w:val="20"/>
              </w:rPr>
              <w:t>n/N (%)</w:t>
            </w:r>
          </w:p>
        </w:tc>
        <w:tc>
          <w:tcPr>
            <w:tcW w:w="1834" w:type="dxa"/>
            <w:tcBorders>
              <w:bottom w:val="single" w:sz="4" w:space="0" w:color="000000"/>
            </w:tcBorders>
          </w:tcPr>
          <w:p w14:paraId="23763D46" w14:textId="77777777" w:rsidR="00B30C3B" w:rsidRDefault="00B30C3B" w:rsidP="008539F3">
            <w:pPr>
              <w:pStyle w:val="TableParagraph"/>
              <w:keepNext/>
              <w:spacing w:before="10" w:line="210" w:lineRule="exact"/>
              <w:ind w:left="612"/>
              <w:rPr>
                <w:b/>
                <w:sz w:val="20"/>
              </w:rPr>
            </w:pPr>
            <w:r>
              <w:rPr>
                <w:b/>
                <w:sz w:val="20"/>
              </w:rPr>
              <w:t>n/N (%)</w:t>
            </w:r>
          </w:p>
        </w:tc>
        <w:tc>
          <w:tcPr>
            <w:tcW w:w="1111" w:type="dxa"/>
            <w:tcBorders>
              <w:bottom w:val="single" w:sz="4" w:space="0" w:color="000000"/>
            </w:tcBorders>
          </w:tcPr>
          <w:p w14:paraId="0A196C7E" w14:textId="77777777" w:rsidR="00B30C3B" w:rsidRDefault="00B30C3B" w:rsidP="008539F3">
            <w:pPr>
              <w:pStyle w:val="TableParagraph"/>
              <w:keepNext/>
              <w:spacing w:before="10" w:line="210" w:lineRule="exact"/>
              <w:ind w:left="247" w:right="179"/>
              <w:jc w:val="center"/>
              <w:rPr>
                <w:b/>
                <w:sz w:val="20"/>
              </w:rPr>
            </w:pPr>
            <w:r>
              <w:rPr>
                <w:b/>
                <w:sz w:val="20"/>
              </w:rPr>
              <w:t>P-value</w:t>
            </w:r>
          </w:p>
        </w:tc>
      </w:tr>
      <w:tr w:rsidR="00B30C3B" w14:paraId="12FB8D4A" w14:textId="77777777" w:rsidTr="009D738D">
        <w:trPr>
          <w:trHeight w:val="278"/>
        </w:trPr>
        <w:tc>
          <w:tcPr>
            <w:tcW w:w="3910" w:type="dxa"/>
            <w:tcBorders>
              <w:top w:val="single" w:sz="4" w:space="0" w:color="000000"/>
            </w:tcBorders>
          </w:tcPr>
          <w:p w14:paraId="6B6B00EA" w14:textId="77777777" w:rsidR="00B30C3B" w:rsidRDefault="00B30C3B" w:rsidP="008539F3">
            <w:pPr>
              <w:pStyle w:val="TableParagraph"/>
              <w:keepNext/>
              <w:spacing w:before="26" w:line="232" w:lineRule="exact"/>
              <w:ind w:left="253"/>
              <w:rPr>
                <w:sz w:val="16"/>
              </w:rPr>
            </w:pPr>
            <w:r>
              <w:rPr>
                <w:sz w:val="20"/>
              </w:rPr>
              <w:t xml:space="preserve">≥1 Vertebral and/or </w:t>
            </w:r>
            <w:proofErr w:type="spellStart"/>
            <w:r>
              <w:rPr>
                <w:sz w:val="20"/>
              </w:rPr>
              <w:t>nonvertebral</w:t>
            </w:r>
            <w:proofErr w:type="spellEnd"/>
            <w:r>
              <w:rPr>
                <w:sz w:val="20"/>
              </w:rPr>
              <w:t xml:space="preserve"> fracture </w:t>
            </w:r>
            <w:r>
              <w:rPr>
                <w:position w:val="4"/>
                <w:sz w:val="16"/>
              </w:rPr>
              <w:t>a</w:t>
            </w:r>
          </w:p>
        </w:tc>
        <w:tc>
          <w:tcPr>
            <w:tcW w:w="1797" w:type="dxa"/>
            <w:tcBorders>
              <w:top w:val="single" w:sz="4" w:space="0" w:color="000000"/>
            </w:tcBorders>
          </w:tcPr>
          <w:p w14:paraId="030EEF6C" w14:textId="77777777" w:rsidR="00B30C3B" w:rsidRDefault="00B30C3B" w:rsidP="008539F3">
            <w:pPr>
              <w:pStyle w:val="TableParagraph"/>
              <w:keepNext/>
              <w:spacing w:before="29" w:line="229" w:lineRule="exact"/>
              <w:ind w:right="289"/>
              <w:jc w:val="right"/>
              <w:rPr>
                <w:sz w:val="20"/>
              </w:rPr>
            </w:pPr>
            <w:r>
              <w:rPr>
                <w:sz w:val="20"/>
              </w:rPr>
              <w:t>19/214 (8.9%)</w:t>
            </w:r>
          </w:p>
        </w:tc>
        <w:tc>
          <w:tcPr>
            <w:tcW w:w="1834" w:type="dxa"/>
            <w:tcBorders>
              <w:top w:val="single" w:sz="4" w:space="0" w:color="000000"/>
            </w:tcBorders>
          </w:tcPr>
          <w:p w14:paraId="6F03B09D" w14:textId="77777777" w:rsidR="00B30C3B" w:rsidRDefault="00B30C3B" w:rsidP="008539F3">
            <w:pPr>
              <w:pStyle w:val="TableParagraph"/>
              <w:keepNext/>
              <w:spacing w:before="29" w:line="229" w:lineRule="exact"/>
              <w:ind w:right="261"/>
              <w:jc w:val="right"/>
              <w:rPr>
                <w:sz w:val="20"/>
              </w:rPr>
            </w:pPr>
            <w:r>
              <w:rPr>
                <w:sz w:val="20"/>
              </w:rPr>
              <w:t>27/214 (12.6%)</w:t>
            </w:r>
          </w:p>
        </w:tc>
        <w:tc>
          <w:tcPr>
            <w:tcW w:w="1111" w:type="dxa"/>
            <w:tcBorders>
              <w:top w:val="single" w:sz="4" w:space="0" w:color="000000"/>
            </w:tcBorders>
          </w:tcPr>
          <w:p w14:paraId="7B9B6195" w14:textId="77777777" w:rsidR="00B30C3B" w:rsidRDefault="00B30C3B" w:rsidP="008539F3">
            <w:pPr>
              <w:pStyle w:val="TableParagraph"/>
              <w:keepNext/>
              <w:spacing w:before="29" w:line="229" w:lineRule="exact"/>
              <w:ind w:left="247" w:right="166"/>
              <w:jc w:val="center"/>
              <w:rPr>
                <w:sz w:val="20"/>
              </w:rPr>
            </w:pPr>
            <w:r>
              <w:rPr>
                <w:sz w:val="20"/>
              </w:rPr>
              <w:t>0.212</w:t>
            </w:r>
          </w:p>
        </w:tc>
      </w:tr>
      <w:tr w:rsidR="00B30C3B" w14:paraId="4CD0A71E" w14:textId="77777777" w:rsidTr="009D738D">
        <w:trPr>
          <w:trHeight w:val="255"/>
        </w:trPr>
        <w:tc>
          <w:tcPr>
            <w:tcW w:w="3910" w:type="dxa"/>
          </w:tcPr>
          <w:p w14:paraId="5768029C" w14:textId="77777777" w:rsidR="00B30C3B" w:rsidRDefault="00B30C3B" w:rsidP="008539F3">
            <w:pPr>
              <w:pStyle w:val="TableParagraph"/>
              <w:keepNext/>
              <w:spacing w:before="10" w:line="226" w:lineRule="exact"/>
              <w:ind w:left="253"/>
              <w:rPr>
                <w:sz w:val="20"/>
              </w:rPr>
            </w:pPr>
            <w:r>
              <w:rPr>
                <w:sz w:val="20"/>
              </w:rPr>
              <w:t>≥1 Vertebral fracture</w:t>
            </w:r>
          </w:p>
        </w:tc>
        <w:tc>
          <w:tcPr>
            <w:tcW w:w="1797" w:type="dxa"/>
          </w:tcPr>
          <w:p w14:paraId="4C38F363" w14:textId="77777777" w:rsidR="00B30C3B" w:rsidRDefault="00B30C3B" w:rsidP="008539F3">
            <w:pPr>
              <w:pStyle w:val="TableParagraph"/>
              <w:keepNext/>
              <w:spacing w:before="10" w:line="226" w:lineRule="exact"/>
              <w:ind w:right="289"/>
              <w:jc w:val="right"/>
              <w:rPr>
                <w:sz w:val="20"/>
              </w:rPr>
            </w:pPr>
            <w:r>
              <w:rPr>
                <w:sz w:val="20"/>
              </w:rPr>
              <w:t>3/173 (1.7%)</w:t>
            </w:r>
          </w:p>
        </w:tc>
        <w:tc>
          <w:tcPr>
            <w:tcW w:w="1834" w:type="dxa"/>
          </w:tcPr>
          <w:p w14:paraId="3FDDF934" w14:textId="77777777" w:rsidR="00B30C3B" w:rsidRDefault="00B30C3B" w:rsidP="008539F3">
            <w:pPr>
              <w:pStyle w:val="TableParagraph"/>
              <w:keepNext/>
              <w:spacing w:before="10" w:line="226" w:lineRule="exact"/>
              <w:ind w:right="260"/>
              <w:jc w:val="right"/>
              <w:rPr>
                <w:sz w:val="20"/>
              </w:rPr>
            </w:pPr>
            <w:r>
              <w:rPr>
                <w:sz w:val="20"/>
              </w:rPr>
              <w:t>13/169 (7.7%)</w:t>
            </w:r>
          </w:p>
        </w:tc>
        <w:tc>
          <w:tcPr>
            <w:tcW w:w="1111" w:type="dxa"/>
          </w:tcPr>
          <w:p w14:paraId="41AE0A5F" w14:textId="77777777" w:rsidR="00B30C3B" w:rsidRDefault="00B30C3B" w:rsidP="008539F3">
            <w:pPr>
              <w:pStyle w:val="TableParagraph"/>
              <w:keepNext/>
              <w:spacing w:before="10" w:line="226" w:lineRule="exact"/>
              <w:ind w:left="245" w:right="179"/>
              <w:jc w:val="center"/>
              <w:rPr>
                <w:sz w:val="20"/>
              </w:rPr>
            </w:pPr>
            <w:r>
              <w:rPr>
                <w:sz w:val="20"/>
              </w:rPr>
              <w:t>0.007</w:t>
            </w:r>
          </w:p>
        </w:tc>
      </w:tr>
      <w:tr w:rsidR="00B30C3B" w14:paraId="4B8DE59B" w14:textId="77777777" w:rsidTr="009D738D">
        <w:trPr>
          <w:trHeight w:val="262"/>
        </w:trPr>
        <w:tc>
          <w:tcPr>
            <w:tcW w:w="3910" w:type="dxa"/>
          </w:tcPr>
          <w:p w14:paraId="7BA8041C" w14:textId="77777777" w:rsidR="00B30C3B" w:rsidRDefault="00B30C3B" w:rsidP="008539F3">
            <w:pPr>
              <w:pStyle w:val="TableParagraph"/>
              <w:keepNext/>
              <w:spacing w:before="10" w:line="232" w:lineRule="exact"/>
              <w:ind w:left="253"/>
              <w:rPr>
                <w:sz w:val="16"/>
              </w:rPr>
            </w:pPr>
            <w:r>
              <w:rPr>
                <w:sz w:val="20"/>
              </w:rPr>
              <w:t xml:space="preserve">≥1 Clinical Vertebral fracture </w:t>
            </w:r>
            <w:r>
              <w:rPr>
                <w:position w:val="4"/>
                <w:sz w:val="16"/>
              </w:rPr>
              <w:t>b</w:t>
            </w:r>
          </w:p>
        </w:tc>
        <w:tc>
          <w:tcPr>
            <w:tcW w:w="1797" w:type="dxa"/>
          </w:tcPr>
          <w:p w14:paraId="77B29AAF" w14:textId="77777777" w:rsidR="00B30C3B" w:rsidRDefault="00B30C3B" w:rsidP="008539F3">
            <w:pPr>
              <w:pStyle w:val="TableParagraph"/>
              <w:keepNext/>
              <w:spacing w:before="13" w:line="229" w:lineRule="exact"/>
              <w:ind w:right="327"/>
              <w:jc w:val="center"/>
              <w:rPr>
                <w:sz w:val="20"/>
              </w:rPr>
            </w:pPr>
            <w:r>
              <w:rPr>
                <w:w w:val="99"/>
                <w:sz w:val="20"/>
              </w:rPr>
              <w:t>0</w:t>
            </w:r>
          </w:p>
        </w:tc>
        <w:tc>
          <w:tcPr>
            <w:tcW w:w="1834" w:type="dxa"/>
          </w:tcPr>
          <w:p w14:paraId="19E516CD" w14:textId="77777777" w:rsidR="00B30C3B" w:rsidRDefault="00B30C3B" w:rsidP="008539F3">
            <w:pPr>
              <w:pStyle w:val="TableParagraph"/>
              <w:keepNext/>
              <w:spacing w:before="13" w:line="229" w:lineRule="exact"/>
              <w:ind w:right="260"/>
              <w:jc w:val="right"/>
              <w:rPr>
                <w:sz w:val="20"/>
              </w:rPr>
            </w:pPr>
            <w:r>
              <w:rPr>
                <w:sz w:val="20"/>
              </w:rPr>
              <w:t>4/169 (2.4%)</w:t>
            </w:r>
          </w:p>
        </w:tc>
        <w:tc>
          <w:tcPr>
            <w:tcW w:w="1111" w:type="dxa"/>
          </w:tcPr>
          <w:p w14:paraId="04A86741" w14:textId="77777777" w:rsidR="00B30C3B" w:rsidRDefault="00B30C3B" w:rsidP="008539F3">
            <w:pPr>
              <w:pStyle w:val="TableParagraph"/>
              <w:keepNext/>
              <w:spacing w:before="13" w:line="229" w:lineRule="exact"/>
              <w:ind w:left="245" w:right="179"/>
              <w:jc w:val="center"/>
              <w:rPr>
                <w:sz w:val="20"/>
              </w:rPr>
            </w:pPr>
            <w:r>
              <w:rPr>
                <w:sz w:val="20"/>
              </w:rPr>
              <w:t>0.037</w:t>
            </w:r>
          </w:p>
        </w:tc>
      </w:tr>
      <w:tr w:rsidR="00B30C3B" w14:paraId="56AECB6A" w14:textId="77777777" w:rsidTr="009D738D">
        <w:trPr>
          <w:trHeight w:val="239"/>
        </w:trPr>
        <w:tc>
          <w:tcPr>
            <w:tcW w:w="3910" w:type="dxa"/>
            <w:tcBorders>
              <w:bottom w:val="single" w:sz="4" w:space="0" w:color="000000"/>
            </w:tcBorders>
          </w:tcPr>
          <w:p w14:paraId="1DAE3F9B" w14:textId="77777777" w:rsidR="00B30C3B" w:rsidRDefault="00B30C3B" w:rsidP="008539F3">
            <w:pPr>
              <w:pStyle w:val="TableParagraph"/>
              <w:keepNext/>
              <w:spacing w:before="10" w:line="210" w:lineRule="exact"/>
              <w:ind w:left="253"/>
              <w:rPr>
                <w:sz w:val="20"/>
              </w:rPr>
            </w:pPr>
            <w:r>
              <w:rPr>
                <w:sz w:val="20"/>
              </w:rPr>
              <w:t xml:space="preserve">≥1 </w:t>
            </w:r>
            <w:proofErr w:type="spellStart"/>
            <w:r>
              <w:rPr>
                <w:sz w:val="20"/>
              </w:rPr>
              <w:t>Nonvertebral</w:t>
            </w:r>
            <w:proofErr w:type="spellEnd"/>
            <w:r>
              <w:rPr>
                <w:sz w:val="20"/>
              </w:rPr>
              <w:t xml:space="preserve"> fracture</w:t>
            </w:r>
          </w:p>
        </w:tc>
        <w:tc>
          <w:tcPr>
            <w:tcW w:w="1797" w:type="dxa"/>
            <w:tcBorders>
              <w:bottom w:val="single" w:sz="4" w:space="0" w:color="000000"/>
            </w:tcBorders>
          </w:tcPr>
          <w:p w14:paraId="40CADE0C" w14:textId="77777777" w:rsidR="00B30C3B" w:rsidRDefault="00B30C3B" w:rsidP="008539F3">
            <w:pPr>
              <w:pStyle w:val="TableParagraph"/>
              <w:keepNext/>
              <w:spacing w:before="10" w:line="210" w:lineRule="exact"/>
              <w:ind w:right="289"/>
              <w:jc w:val="right"/>
              <w:rPr>
                <w:sz w:val="20"/>
              </w:rPr>
            </w:pPr>
            <w:r>
              <w:rPr>
                <w:sz w:val="20"/>
              </w:rPr>
              <w:t>16/214 (7.5%)</w:t>
            </w:r>
          </w:p>
        </w:tc>
        <w:tc>
          <w:tcPr>
            <w:tcW w:w="1834" w:type="dxa"/>
            <w:tcBorders>
              <w:bottom w:val="single" w:sz="4" w:space="0" w:color="000000"/>
            </w:tcBorders>
          </w:tcPr>
          <w:p w14:paraId="41B549CD" w14:textId="77777777" w:rsidR="00B30C3B" w:rsidRDefault="00B30C3B" w:rsidP="008539F3">
            <w:pPr>
              <w:pStyle w:val="TableParagraph"/>
              <w:keepNext/>
              <w:spacing w:before="10" w:line="210" w:lineRule="exact"/>
              <w:ind w:right="260"/>
              <w:jc w:val="right"/>
              <w:rPr>
                <w:sz w:val="20"/>
              </w:rPr>
            </w:pPr>
            <w:r>
              <w:rPr>
                <w:sz w:val="20"/>
              </w:rPr>
              <w:t>15/214 (7.0%)</w:t>
            </w:r>
          </w:p>
        </w:tc>
        <w:tc>
          <w:tcPr>
            <w:tcW w:w="1111" w:type="dxa"/>
            <w:tcBorders>
              <w:bottom w:val="single" w:sz="4" w:space="0" w:color="000000"/>
            </w:tcBorders>
          </w:tcPr>
          <w:p w14:paraId="62DD1656" w14:textId="11734138" w:rsidR="002216F9" w:rsidRDefault="00B30C3B" w:rsidP="00C436F0">
            <w:pPr>
              <w:pStyle w:val="TableParagraph"/>
              <w:keepNext/>
              <w:spacing w:before="10" w:line="210" w:lineRule="exact"/>
              <w:ind w:left="245" w:right="179"/>
              <w:jc w:val="center"/>
              <w:rPr>
                <w:sz w:val="20"/>
              </w:rPr>
            </w:pPr>
            <w:r>
              <w:rPr>
                <w:sz w:val="20"/>
              </w:rPr>
              <w:t>0.843</w:t>
            </w:r>
          </w:p>
        </w:tc>
      </w:tr>
    </w:tbl>
    <w:p w14:paraId="0ABE8A1C" w14:textId="77777777" w:rsidR="00B30C3B" w:rsidRPr="006D4AE8" w:rsidRDefault="00B30C3B" w:rsidP="008539F3">
      <w:pPr>
        <w:keepNext/>
        <w:spacing w:before="1"/>
        <w:ind w:left="117" w:right="622"/>
        <w:rPr>
          <w:sz w:val="22"/>
          <w:szCs w:val="22"/>
        </w:rPr>
      </w:pPr>
      <w:r w:rsidRPr="006D4AE8">
        <w:rPr>
          <w:sz w:val="22"/>
          <w:szCs w:val="22"/>
        </w:rPr>
        <w:t xml:space="preserve">Note: For vertebral fractures only those patients with baseline and </w:t>
      </w:r>
      <w:proofErr w:type="spellStart"/>
      <w:r w:rsidRPr="006D4AE8">
        <w:rPr>
          <w:sz w:val="22"/>
          <w:szCs w:val="22"/>
        </w:rPr>
        <w:t>postbaseline</w:t>
      </w:r>
      <w:proofErr w:type="spellEnd"/>
      <w:r w:rsidRPr="006D4AE8">
        <w:rPr>
          <w:sz w:val="22"/>
          <w:szCs w:val="22"/>
        </w:rPr>
        <w:t xml:space="preserve"> spinal radiographs were included in the analysis.</w:t>
      </w:r>
    </w:p>
    <w:p w14:paraId="4AC51D87" w14:textId="77777777" w:rsidR="00B30C3B" w:rsidRPr="006D4AE8" w:rsidRDefault="00B30C3B" w:rsidP="008539F3">
      <w:pPr>
        <w:keepNext/>
        <w:spacing w:before="1"/>
        <w:ind w:left="117" w:right="622"/>
        <w:rPr>
          <w:sz w:val="22"/>
          <w:szCs w:val="22"/>
        </w:rPr>
      </w:pPr>
      <w:r w:rsidRPr="00195A53">
        <w:rPr>
          <w:sz w:val="22"/>
          <w:szCs w:val="22"/>
          <w:vertAlign w:val="superscript"/>
        </w:rPr>
        <w:t>a</w:t>
      </w:r>
      <w:r w:rsidRPr="006D4AE8">
        <w:rPr>
          <w:sz w:val="22"/>
          <w:szCs w:val="22"/>
        </w:rPr>
        <w:t xml:space="preserve"> </w:t>
      </w:r>
      <w:r w:rsidRPr="000A1F7D">
        <w:rPr>
          <w:sz w:val="20"/>
          <w:szCs w:val="20"/>
        </w:rPr>
        <w:t xml:space="preserve">One alendronate patient experienced both a vertebral fracture and a </w:t>
      </w:r>
      <w:proofErr w:type="spellStart"/>
      <w:r w:rsidRPr="000A1F7D">
        <w:rPr>
          <w:sz w:val="20"/>
          <w:szCs w:val="20"/>
        </w:rPr>
        <w:t>nonvertebral</w:t>
      </w:r>
      <w:proofErr w:type="spellEnd"/>
      <w:r w:rsidRPr="000A1F7D">
        <w:rPr>
          <w:sz w:val="20"/>
          <w:szCs w:val="20"/>
        </w:rPr>
        <w:t xml:space="preserve"> fracture.</w:t>
      </w:r>
    </w:p>
    <w:p w14:paraId="3C57E449" w14:textId="412F2931" w:rsidR="00B30C3B" w:rsidRPr="000A1F7D" w:rsidRDefault="00B30C3B" w:rsidP="00A75FEB">
      <w:pPr>
        <w:spacing w:before="1"/>
        <w:ind w:left="117" w:right="622"/>
        <w:rPr>
          <w:sz w:val="20"/>
          <w:szCs w:val="20"/>
        </w:rPr>
      </w:pPr>
      <w:r w:rsidRPr="000A1F7D">
        <w:rPr>
          <w:position w:val="4"/>
          <w:sz w:val="16"/>
          <w:szCs w:val="32"/>
          <w:vertAlign w:val="superscript"/>
        </w:rPr>
        <w:t>b</w:t>
      </w:r>
      <w:r w:rsidRPr="000A1F7D">
        <w:rPr>
          <w:position w:val="4"/>
          <w:sz w:val="16"/>
          <w:szCs w:val="32"/>
        </w:rPr>
        <w:t xml:space="preserve"> </w:t>
      </w:r>
      <w:r>
        <w:rPr>
          <w:sz w:val="20"/>
        </w:rPr>
        <w:t xml:space="preserve">Clinical vertebral fracture was defined as a radiographically confirmed fracture that was </w:t>
      </w:r>
      <w:r w:rsidRPr="000A1F7D">
        <w:rPr>
          <w:sz w:val="20"/>
          <w:szCs w:val="20"/>
        </w:rPr>
        <w:t>associated with symptoms such as back pain.</w:t>
      </w:r>
    </w:p>
    <w:p w14:paraId="2F40F7E5" w14:textId="77777777" w:rsidR="00A6129C" w:rsidRPr="00A75FEB" w:rsidRDefault="00A6129C" w:rsidP="00A75FEB">
      <w:pPr>
        <w:spacing w:before="1"/>
        <w:ind w:left="117" w:right="622"/>
        <w:rPr>
          <w:sz w:val="22"/>
          <w:szCs w:val="22"/>
        </w:rPr>
      </w:pPr>
    </w:p>
    <w:p w14:paraId="41753608" w14:textId="1F55ED92" w:rsidR="00A2028D" w:rsidRPr="006D4AE8" w:rsidRDefault="00B30C3B" w:rsidP="008539F3">
      <w:pPr>
        <w:pStyle w:val="BodyText"/>
        <w:spacing w:before="1"/>
        <w:rPr>
          <w:rFonts w:ascii="Times New Roman" w:hAnsi="Times New Roman" w:cs="Times New Roman"/>
          <w:lang w:val="en-AU" w:eastAsia="en-GB"/>
        </w:rPr>
      </w:pPr>
      <w:r w:rsidRPr="00A6129C">
        <w:rPr>
          <w:rFonts w:ascii="Times New Roman" w:hAnsi="Times New Roman" w:cs="Times New Roman"/>
          <w:b/>
          <w:bCs/>
          <w:i/>
          <w:iCs/>
          <w:lang w:val="en-AU" w:eastAsia="en-GB"/>
        </w:rPr>
        <w:t>Effects on Markers of Bone Turnover</w:t>
      </w:r>
      <w:r w:rsidRPr="00A6129C">
        <w:rPr>
          <w:rFonts w:ascii="Times New Roman" w:hAnsi="Times New Roman" w:cs="Times New Roman"/>
          <w:b/>
          <w:bCs/>
          <w:lang w:val="en-AU" w:eastAsia="en-GB"/>
        </w:rPr>
        <w:t>:</w:t>
      </w:r>
      <w:r w:rsidRPr="006D4AE8">
        <w:rPr>
          <w:rFonts w:ascii="Times New Roman" w:hAnsi="Times New Roman" w:cs="Times New Roman"/>
          <w:lang w:val="en-AU" w:eastAsia="en-GB"/>
        </w:rPr>
        <w:t xml:space="preserve"> In patients with glucocorticoid-induced osteoporosis, daily administration of FORTEO stimulated new bone formation as shown by increases from baseline in the serum concentration of biochemical markers of bone formation including bone-specific alkaline phosphatase (BSAP), procollagen I </w:t>
      </w:r>
      <w:proofErr w:type="spellStart"/>
      <w:r w:rsidRPr="006D4AE8">
        <w:rPr>
          <w:rFonts w:ascii="Times New Roman" w:hAnsi="Times New Roman" w:cs="Times New Roman"/>
          <w:lang w:val="en-AU" w:eastAsia="en-GB"/>
        </w:rPr>
        <w:t>carboxy</w:t>
      </w:r>
      <w:proofErr w:type="spellEnd"/>
      <w:r w:rsidRPr="006D4AE8">
        <w:rPr>
          <w:rFonts w:ascii="Times New Roman" w:hAnsi="Times New Roman" w:cs="Times New Roman"/>
          <w:lang w:val="en-AU" w:eastAsia="en-GB"/>
        </w:rPr>
        <w:t xml:space="preserve">- terminal </w:t>
      </w:r>
      <w:proofErr w:type="spellStart"/>
      <w:r w:rsidRPr="006D4AE8">
        <w:rPr>
          <w:rFonts w:ascii="Times New Roman" w:hAnsi="Times New Roman" w:cs="Times New Roman"/>
          <w:lang w:val="en-AU" w:eastAsia="en-GB"/>
        </w:rPr>
        <w:t>propeptide</w:t>
      </w:r>
      <w:proofErr w:type="spellEnd"/>
      <w:r w:rsidRPr="006D4AE8">
        <w:rPr>
          <w:rFonts w:ascii="Times New Roman" w:hAnsi="Times New Roman" w:cs="Times New Roman"/>
          <w:lang w:val="en-AU" w:eastAsia="en-GB"/>
        </w:rPr>
        <w:t xml:space="preserve"> (PICP), and amino-terminal </w:t>
      </w:r>
      <w:proofErr w:type="spellStart"/>
      <w:r w:rsidRPr="006D4AE8">
        <w:rPr>
          <w:rFonts w:ascii="Times New Roman" w:hAnsi="Times New Roman" w:cs="Times New Roman"/>
          <w:lang w:val="en-AU" w:eastAsia="en-GB"/>
        </w:rPr>
        <w:t>propeptide</w:t>
      </w:r>
      <w:proofErr w:type="spellEnd"/>
      <w:r w:rsidRPr="006D4AE8">
        <w:rPr>
          <w:rFonts w:ascii="Times New Roman" w:hAnsi="Times New Roman" w:cs="Times New Roman"/>
          <w:lang w:val="en-AU" w:eastAsia="en-GB"/>
        </w:rPr>
        <w:t xml:space="preserve"> of type I collagen (PINP) (</w:t>
      </w:r>
      <w:r w:rsidRPr="00216D75">
        <w:rPr>
          <w:rFonts w:ascii="Times New Roman" w:hAnsi="Times New Roman" w:cs="Times New Roman"/>
          <w:b/>
          <w:bCs/>
          <w:lang w:val="en-AU" w:eastAsia="en-GB"/>
        </w:rPr>
        <w:t>see</w:t>
      </w:r>
      <w:r w:rsidRPr="006D4AE8">
        <w:rPr>
          <w:rFonts w:ascii="Times New Roman" w:hAnsi="Times New Roman" w:cs="Times New Roman"/>
          <w:lang w:val="en-AU" w:eastAsia="en-GB"/>
        </w:rPr>
        <w:t xml:space="preserve"> </w:t>
      </w:r>
      <w:r w:rsidRPr="004D3AE1">
        <w:rPr>
          <w:rFonts w:ascii="Times New Roman" w:hAnsi="Times New Roman" w:cs="Times New Roman"/>
          <w:b/>
          <w:bCs/>
          <w:lang w:val="en-AU" w:eastAsia="en-GB"/>
        </w:rPr>
        <w:t xml:space="preserve">Table </w:t>
      </w:r>
      <w:r w:rsidR="00A31A32">
        <w:rPr>
          <w:rFonts w:ascii="Times New Roman" w:hAnsi="Times New Roman" w:cs="Times New Roman"/>
          <w:b/>
          <w:bCs/>
          <w:lang w:val="en-AU" w:eastAsia="en-GB"/>
        </w:rPr>
        <w:t>6</w:t>
      </w:r>
      <w:r w:rsidRPr="004D3AE1">
        <w:rPr>
          <w:rFonts w:ascii="Times New Roman" w:hAnsi="Times New Roman" w:cs="Times New Roman"/>
          <w:b/>
          <w:bCs/>
          <w:lang w:val="en-AU" w:eastAsia="en-GB"/>
        </w:rPr>
        <w:t>).</w:t>
      </w:r>
      <w:r w:rsidRPr="006D4AE8">
        <w:rPr>
          <w:rFonts w:ascii="Times New Roman" w:hAnsi="Times New Roman" w:cs="Times New Roman"/>
          <w:lang w:val="en-AU" w:eastAsia="en-GB"/>
        </w:rPr>
        <w:t xml:space="preserve"> FORTEO also stimulated bone resorption as shown by increases from baseline in serum concentrations of C- terminal </w:t>
      </w:r>
      <w:proofErr w:type="spellStart"/>
      <w:r w:rsidRPr="006D4AE8">
        <w:rPr>
          <w:rFonts w:ascii="Times New Roman" w:hAnsi="Times New Roman" w:cs="Times New Roman"/>
          <w:lang w:val="en-AU" w:eastAsia="en-GB"/>
        </w:rPr>
        <w:t>telopeptide</w:t>
      </w:r>
      <w:proofErr w:type="spellEnd"/>
      <w:r w:rsidRPr="006D4AE8">
        <w:rPr>
          <w:rFonts w:ascii="Times New Roman" w:hAnsi="Times New Roman" w:cs="Times New Roman"/>
          <w:lang w:val="en-AU" w:eastAsia="en-GB"/>
        </w:rPr>
        <w:t xml:space="preserve"> of type I collagen (CTX). Alendronate 10 mg/day induced decreases from baseline in the serum concentration of BSAP, PICP, PINP and CTX (</w:t>
      </w:r>
      <w:r w:rsidRPr="0095316B">
        <w:rPr>
          <w:rFonts w:ascii="Times New Roman" w:hAnsi="Times New Roman" w:cs="Times New Roman"/>
          <w:b/>
          <w:bCs/>
          <w:lang w:val="en-AU" w:eastAsia="en-GB"/>
        </w:rPr>
        <w:t xml:space="preserve">see Table </w:t>
      </w:r>
      <w:r w:rsidR="00A31A32">
        <w:rPr>
          <w:rFonts w:ascii="Times New Roman" w:hAnsi="Times New Roman" w:cs="Times New Roman"/>
          <w:b/>
          <w:bCs/>
          <w:lang w:val="en-AU" w:eastAsia="en-GB"/>
        </w:rPr>
        <w:t>6</w:t>
      </w:r>
      <w:r w:rsidRPr="0095316B">
        <w:rPr>
          <w:rFonts w:ascii="Times New Roman" w:hAnsi="Times New Roman" w:cs="Times New Roman"/>
          <w:b/>
          <w:bCs/>
          <w:lang w:val="en-AU" w:eastAsia="en-GB"/>
        </w:rPr>
        <w:t>).</w:t>
      </w:r>
      <w:r w:rsidRPr="006D4AE8">
        <w:rPr>
          <w:rFonts w:ascii="Times New Roman" w:hAnsi="Times New Roman" w:cs="Times New Roman"/>
          <w:lang w:val="en-AU" w:eastAsia="en-GB"/>
        </w:rPr>
        <w:t xml:space="preserve"> The effects of FORTEO on bone turnover markers in patients with glucocorticoid-induced osteoporosis were qualitatively similar to the effects in postmenopausal women with osteoporosis not taking glucocorticoids.</w:t>
      </w:r>
    </w:p>
    <w:p w14:paraId="3430D48F" w14:textId="5F525485" w:rsidR="00B30C3B" w:rsidRPr="00653D9F" w:rsidRDefault="00B30C3B" w:rsidP="00653D9F">
      <w:pPr>
        <w:pStyle w:val="Heading3"/>
        <w:ind w:left="117" w:right="622"/>
        <w:rPr>
          <w:rFonts w:ascii="Times New Roman" w:eastAsia="Times New Roman" w:hAnsi="Times New Roman" w:cs="Times New Roman"/>
          <w:b/>
          <w:bCs/>
          <w:color w:val="auto"/>
          <w:sz w:val="22"/>
          <w:szCs w:val="22"/>
        </w:rPr>
      </w:pPr>
      <w:r w:rsidRPr="004D3AE1">
        <w:rPr>
          <w:rFonts w:ascii="Times New Roman" w:eastAsia="Times New Roman" w:hAnsi="Times New Roman" w:cs="Times New Roman"/>
          <w:b/>
          <w:bCs/>
          <w:color w:val="auto"/>
          <w:sz w:val="22"/>
          <w:szCs w:val="22"/>
        </w:rPr>
        <w:t xml:space="preserve">Table </w:t>
      </w:r>
      <w:r w:rsidR="0086465C">
        <w:rPr>
          <w:rFonts w:ascii="Times New Roman" w:eastAsia="Times New Roman" w:hAnsi="Times New Roman" w:cs="Times New Roman"/>
          <w:b/>
          <w:bCs/>
          <w:color w:val="auto"/>
          <w:sz w:val="22"/>
          <w:szCs w:val="22"/>
        </w:rPr>
        <w:t>6.</w:t>
      </w:r>
      <w:r w:rsidR="00AA3CD1">
        <w:rPr>
          <w:rFonts w:ascii="Times New Roman" w:eastAsia="Times New Roman" w:hAnsi="Times New Roman" w:cs="Times New Roman"/>
          <w:b/>
          <w:bCs/>
          <w:color w:val="auto"/>
          <w:sz w:val="22"/>
          <w:szCs w:val="22"/>
        </w:rPr>
        <w:t xml:space="preserve"> </w:t>
      </w:r>
      <w:r w:rsidRPr="004D3AE1">
        <w:rPr>
          <w:rFonts w:ascii="Times New Roman" w:eastAsia="Times New Roman" w:hAnsi="Times New Roman" w:cs="Times New Roman"/>
          <w:b/>
          <w:bCs/>
          <w:color w:val="auto"/>
          <w:sz w:val="22"/>
          <w:szCs w:val="22"/>
        </w:rPr>
        <w:t>Median Percent Changes</w:t>
      </w:r>
      <w:r w:rsidR="00D3201D" w:rsidRPr="004D3AE1">
        <w:rPr>
          <w:rFonts w:ascii="Times New Roman" w:eastAsia="Times New Roman" w:hAnsi="Times New Roman" w:cs="Times New Roman"/>
          <w:b/>
          <w:bCs/>
          <w:color w:val="auto"/>
          <w:sz w:val="22"/>
          <w:szCs w:val="22"/>
        </w:rPr>
        <w:t xml:space="preserve"> </w:t>
      </w:r>
      <w:r w:rsidR="00D3201D" w:rsidRPr="0095316B">
        <w:rPr>
          <w:rFonts w:ascii="Times New Roman" w:eastAsia="Times New Roman" w:hAnsi="Times New Roman" w:cs="Times New Roman"/>
          <w:b/>
          <w:bCs/>
          <w:color w:val="auto"/>
          <w:sz w:val="22"/>
          <w:szCs w:val="22"/>
          <w:vertAlign w:val="superscript"/>
        </w:rPr>
        <w:t xml:space="preserve">a, b </w:t>
      </w:r>
      <w:r w:rsidRPr="0095316B">
        <w:rPr>
          <w:rFonts w:ascii="Times New Roman" w:eastAsia="Times New Roman" w:hAnsi="Times New Roman" w:cs="Times New Roman"/>
          <w:b/>
          <w:bCs/>
          <w:color w:val="auto"/>
          <w:sz w:val="22"/>
          <w:szCs w:val="22"/>
          <w:vertAlign w:val="superscript"/>
        </w:rPr>
        <w:t xml:space="preserve"> </w:t>
      </w:r>
      <w:r w:rsidRPr="004D3AE1">
        <w:rPr>
          <w:rFonts w:ascii="Times New Roman" w:eastAsia="Times New Roman" w:hAnsi="Times New Roman" w:cs="Times New Roman"/>
          <w:b/>
          <w:bCs/>
          <w:color w:val="auto"/>
          <w:sz w:val="22"/>
          <w:szCs w:val="22"/>
        </w:rPr>
        <w:t>from Baseline in Bone Biomarkers in Patients with Glucocorticoid-Induced Osteoporosis</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152"/>
        <w:gridCol w:w="755"/>
        <w:gridCol w:w="1149"/>
        <w:gridCol w:w="756"/>
        <w:gridCol w:w="1149"/>
        <w:gridCol w:w="758"/>
        <w:gridCol w:w="1150"/>
        <w:gridCol w:w="756"/>
      </w:tblGrid>
      <w:tr w:rsidR="00B30C3B" w:rsidRPr="00443CEF" w14:paraId="2DF9C5C8" w14:textId="77777777" w:rsidTr="009D738D">
        <w:trPr>
          <w:trHeight w:val="275"/>
        </w:trPr>
        <w:tc>
          <w:tcPr>
            <w:tcW w:w="1202" w:type="dxa"/>
          </w:tcPr>
          <w:p w14:paraId="50574592" w14:textId="77777777" w:rsidR="00B30C3B" w:rsidRPr="00443CEF" w:rsidRDefault="00B30C3B" w:rsidP="009D738D">
            <w:pPr>
              <w:pStyle w:val="TableParagraph"/>
              <w:rPr>
                <w:lang w:eastAsia="en-GB"/>
              </w:rPr>
            </w:pPr>
          </w:p>
        </w:tc>
        <w:tc>
          <w:tcPr>
            <w:tcW w:w="1907" w:type="dxa"/>
            <w:gridSpan w:val="2"/>
          </w:tcPr>
          <w:p w14:paraId="3F14C0CA" w14:textId="77777777" w:rsidR="00B30C3B" w:rsidRPr="00443CEF" w:rsidRDefault="00B30C3B" w:rsidP="009D738D">
            <w:pPr>
              <w:pStyle w:val="TableParagraph"/>
              <w:spacing w:line="256" w:lineRule="exact"/>
              <w:ind w:left="345"/>
              <w:rPr>
                <w:lang w:eastAsia="en-GB"/>
              </w:rPr>
            </w:pPr>
            <w:r w:rsidRPr="00443CEF">
              <w:rPr>
                <w:lang w:eastAsia="en-GB"/>
              </w:rPr>
              <w:t>PINP µcg/L</w:t>
            </w:r>
          </w:p>
        </w:tc>
        <w:tc>
          <w:tcPr>
            <w:tcW w:w="1905" w:type="dxa"/>
            <w:gridSpan w:val="2"/>
          </w:tcPr>
          <w:p w14:paraId="1A34DB8E" w14:textId="77777777" w:rsidR="00B30C3B" w:rsidRPr="00443CEF" w:rsidRDefault="00B30C3B" w:rsidP="009D738D">
            <w:pPr>
              <w:pStyle w:val="TableParagraph"/>
              <w:spacing w:line="256" w:lineRule="exact"/>
              <w:ind w:left="323"/>
              <w:rPr>
                <w:lang w:eastAsia="en-GB"/>
              </w:rPr>
            </w:pPr>
            <w:r w:rsidRPr="00443CEF">
              <w:rPr>
                <w:lang w:eastAsia="en-GB"/>
              </w:rPr>
              <w:t>BSAP µcg/L</w:t>
            </w:r>
          </w:p>
        </w:tc>
        <w:tc>
          <w:tcPr>
            <w:tcW w:w="1907" w:type="dxa"/>
            <w:gridSpan w:val="2"/>
          </w:tcPr>
          <w:p w14:paraId="78D785B6" w14:textId="77777777" w:rsidR="00B30C3B" w:rsidRPr="00443CEF" w:rsidRDefault="00B30C3B" w:rsidP="009D738D">
            <w:pPr>
              <w:pStyle w:val="TableParagraph"/>
              <w:spacing w:line="256" w:lineRule="exact"/>
              <w:ind w:left="350"/>
              <w:rPr>
                <w:lang w:eastAsia="en-GB"/>
              </w:rPr>
            </w:pPr>
            <w:r w:rsidRPr="00443CEF">
              <w:rPr>
                <w:lang w:eastAsia="en-GB"/>
              </w:rPr>
              <w:t>PICP µcg/L</w:t>
            </w:r>
          </w:p>
        </w:tc>
        <w:tc>
          <w:tcPr>
            <w:tcW w:w="1906" w:type="dxa"/>
            <w:gridSpan w:val="2"/>
          </w:tcPr>
          <w:p w14:paraId="7F31A0FB" w14:textId="77777777" w:rsidR="00B30C3B" w:rsidRPr="00443CEF" w:rsidRDefault="00B30C3B" w:rsidP="009D738D">
            <w:pPr>
              <w:pStyle w:val="TableParagraph"/>
              <w:spacing w:line="256" w:lineRule="exact"/>
              <w:ind w:left="301"/>
              <w:rPr>
                <w:lang w:eastAsia="en-GB"/>
              </w:rPr>
            </w:pPr>
            <w:r w:rsidRPr="00443CEF">
              <w:rPr>
                <w:lang w:eastAsia="en-GB"/>
              </w:rPr>
              <w:t xml:space="preserve">CTX </w:t>
            </w:r>
            <w:proofErr w:type="spellStart"/>
            <w:r w:rsidRPr="00443CEF">
              <w:rPr>
                <w:lang w:eastAsia="en-GB"/>
              </w:rPr>
              <w:t>pmol</w:t>
            </w:r>
            <w:proofErr w:type="spellEnd"/>
            <w:r w:rsidRPr="00443CEF">
              <w:rPr>
                <w:lang w:eastAsia="en-GB"/>
              </w:rPr>
              <w:t>/L</w:t>
            </w:r>
          </w:p>
        </w:tc>
      </w:tr>
      <w:tr w:rsidR="00B30C3B" w:rsidRPr="00443CEF" w14:paraId="3738187F" w14:textId="77777777" w:rsidTr="009D738D">
        <w:trPr>
          <w:trHeight w:val="551"/>
        </w:trPr>
        <w:tc>
          <w:tcPr>
            <w:tcW w:w="1202" w:type="dxa"/>
          </w:tcPr>
          <w:p w14:paraId="6225423A" w14:textId="77777777" w:rsidR="00B30C3B" w:rsidRPr="00443CEF" w:rsidRDefault="00B30C3B" w:rsidP="009D738D">
            <w:pPr>
              <w:pStyle w:val="TableParagraph"/>
              <w:spacing w:before="2" w:line="276" w:lineRule="exact"/>
              <w:ind w:left="107"/>
              <w:rPr>
                <w:lang w:eastAsia="en-GB"/>
              </w:rPr>
            </w:pPr>
            <w:r w:rsidRPr="00443CEF">
              <w:rPr>
                <w:lang w:eastAsia="en-GB"/>
              </w:rPr>
              <w:t>Treatment Duration</w:t>
            </w:r>
          </w:p>
        </w:tc>
        <w:tc>
          <w:tcPr>
            <w:tcW w:w="1152" w:type="dxa"/>
          </w:tcPr>
          <w:p w14:paraId="4A6A8A3B" w14:textId="77777777" w:rsidR="00B30C3B" w:rsidRPr="00443CEF" w:rsidRDefault="00B30C3B" w:rsidP="009D738D">
            <w:pPr>
              <w:pStyle w:val="TableParagraph"/>
              <w:spacing w:line="275" w:lineRule="exact"/>
              <w:ind w:left="87" w:right="81"/>
              <w:jc w:val="center"/>
              <w:rPr>
                <w:lang w:eastAsia="en-GB"/>
              </w:rPr>
            </w:pPr>
            <w:r w:rsidRPr="00443CEF">
              <w:rPr>
                <w:lang w:eastAsia="en-GB"/>
              </w:rPr>
              <w:t>FORTEO</w:t>
            </w:r>
          </w:p>
        </w:tc>
        <w:tc>
          <w:tcPr>
            <w:tcW w:w="755" w:type="dxa"/>
          </w:tcPr>
          <w:p w14:paraId="7445C722" w14:textId="77777777" w:rsidR="00B30C3B" w:rsidRPr="00443CEF" w:rsidRDefault="00B30C3B" w:rsidP="009D738D">
            <w:pPr>
              <w:pStyle w:val="TableParagraph"/>
              <w:spacing w:line="275" w:lineRule="exact"/>
              <w:ind w:left="109" w:right="102"/>
              <w:jc w:val="center"/>
              <w:rPr>
                <w:lang w:eastAsia="en-GB"/>
              </w:rPr>
            </w:pPr>
            <w:r w:rsidRPr="00443CEF">
              <w:rPr>
                <w:lang w:eastAsia="en-GB"/>
              </w:rPr>
              <w:t>ALN</w:t>
            </w:r>
          </w:p>
        </w:tc>
        <w:tc>
          <w:tcPr>
            <w:tcW w:w="1149" w:type="dxa"/>
          </w:tcPr>
          <w:p w14:paraId="33F54B0E" w14:textId="77777777" w:rsidR="00B30C3B" w:rsidRPr="00443CEF" w:rsidRDefault="00B30C3B" w:rsidP="009D738D">
            <w:pPr>
              <w:pStyle w:val="TableParagraph"/>
              <w:spacing w:line="275" w:lineRule="exact"/>
              <w:ind w:left="109"/>
              <w:rPr>
                <w:lang w:eastAsia="en-GB"/>
              </w:rPr>
            </w:pPr>
            <w:r w:rsidRPr="00443CEF">
              <w:rPr>
                <w:lang w:eastAsia="en-GB"/>
              </w:rPr>
              <w:t>FORTEO</w:t>
            </w:r>
          </w:p>
        </w:tc>
        <w:tc>
          <w:tcPr>
            <w:tcW w:w="756" w:type="dxa"/>
          </w:tcPr>
          <w:p w14:paraId="644D1A8C" w14:textId="77777777" w:rsidR="00B30C3B" w:rsidRPr="00443CEF" w:rsidRDefault="00B30C3B" w:rsidP="009D738D">
            <w:pPr>
              <w:pStyle w:val="TableParagraph"/>
              <w:spacing w:line="275" w:lineRule="exact"/>
              <w:ind w:right="119"/>
              <w:jc w:val="right"/>
              <w:rPr>
                <w:lang w:eastAsia="en-GB"/>
              </w:rPr>
            </w:pPr>
            <w:r w:rsidRPr="00443CEF">
              <w:rPr>
                <w:lang w:eastAsia="en-GB"/>
              </w:rPr>
              <w:t>ALN</w:t>
            </w:r>
          </w:p>
        </w:tc>
        <w:tc>
          <w:tcPr>
            <w:tcW w:w="1149" w:type="dxa"/>
          </w:tcPr>
          <w:p w14:paraId="7D004B1E" w14:textId="77777777" w:rsidR="00B30C3B" w:rsidRPr="00443CEF" w:rsidRDefault="00B30C3B" w:rsidP="009D738D">
            <w:pPr>
              <w:pStyle w:val="TableParagraph"/>
              <w:spacing w:line="275" w:lineRule="exact"/>
              <w:ind w:left="110"/>
              <w:rPr>
                <w:lang w:eastAsia="en-GB"/>
              </w:rPr>
            </w:pPr>
            <w:r w:rsidRPr="00443CEF">
              <w:rPr>
                <w:lang w:eastAsia="en-GB"/>
              </w:rPr>
              <w:t>FORTEO</w:t>
            </w:r>
          </w:p>
        </w:tc>
        <w:tc>
          <w:tcPr>
            <w:tcW w:w="758" w:type="dxa"/>
          </w:tcPr>
          <w:p w14:paraId="0F4EAB12" w14:textId="77777777" w:rsidR="00B30C3B" w:rsidRPr="00443CEF" w:rsidRDefault="00B30C3B" w:rsidP="009D738D">
            <w:pPr>
              <w:pStyle w:val="TableParagraph"/>
              <w:spacing w:line="275" w:lineRule="exact"/>
              <w:ind w:right="120"/>
              <w:jc w:val="right"/>
              <w:rPr>
                <w:lang w:eastAsia="en-GB"/>
              </w:rPr>
            </w:pPr>
            <w:r w:rsidRPr="00443CEF">
              <w:rPr>
                <w:lang w:eastAsia="en-GB"/>
              </w:rPr>
              <w:t>ALN</w:t>
            </w:r>
          </w:p>
        </w:tc>
        <w:tc>
          <w:tcPr>
            <w:tcW w:w="1150" w:type="dxa"/>
          </w:tcPr>
          <w:p w14:paraId="58059E0A" w14:textId="77777777" w:rsidR="00B30C3B" w:rsidRPr="00443CEF" w:rsidRDefault="00B30C3B" w:rsidP="009D738D">
            <w:pPr>
              <w:pStyle w:val="TableParagraph"/>
              <w:spacing w:line="275" w:lineRule="exact"/>
              <w:ind w:left="111"/>
              <w:rPr>
                <w:lang w:eastAsia="en-GB"/>
              </w:rPr>
            </w:pPr>
            <w:r w:rsidRPr="00443CEF">
              <w:rPr>
                <w:lang w:eastAsia="en-GB"/>
              </w:rPr>
              <w:t>FORTEO</w:t>
            </w:r>
          </w:p>
        </w:tc>
        <w:tc>
          <w:tcPr>
            <w:tcW w:w="756" w:type="dxa"/>
          </w:tcPr>
          <w:p w14:paraId="6A8CD0EE" w14:textId="77777777" w:rsidR="00B30C3B" w:rsidRPr="00443CEF" w:rsidRDefault="00B30C3B" w:rsidP="009D738D">
            <w:pPr>
              <w:pStyle w:val="TableParagraph"/>
              <w:spacing w:line="275" w:lineRule="exact"/>
              <w:ind w:left="112" w:right="99"/>
              <w:jc w:val="center"/>
              <w:rPr>
                <w:lang w:eastAsia="en-GB"/>
              </w:rPr>
            </w:pPr>
            <w:r w:rsidRPr="00443CEF">
              <w:rPr>
                <w:lang w:eastAsia="en-GB"/>
              </w:rPr>
              <w:t>ALN</w:t>
            </w:r>
          </w:p>
        </w:tc>
      </w:tr>
      <w:tr w:rsidR="00B30C3B" w:rsidRPr="00443CEF" w14:paraId="23324494" w14:textId="77777777" w:rsidTr="009D738D">
        <w:trPr>
          <w:trHeight w:val="273"/>
        </w:trPr>
        <w:tc>
          <w:tcPr>
            <w:tcW w:w="1202" w:type="dxa"/>
          </w:tcPr>
          <w:p w14:paraId="7E109866" w14:textId="77777777" w:rsidR="00B30C3B" w:rsidRPr="00443CEF" w:rsidRDefault="00B30C3B" w:rsidP="009D738D">
            <w:pPr>
              <w:pStyle w:val="TableParagraph"/>
              <w:spacing w:line="253" w:lineRule="exact"/>
              <w:ind w:left="107"/>
              <w:rPr>
                <w:lang w:eastAsia="en-GB"/>
              </w:rPr>
            </w:pPr>
            <w:r w:rsidRPr="00443CEF">
              <w:rPr>
                <w:lang w:eastAsia="en-GB"/>
              </w:rPr>
              <w:t>1 month</w:t>
            </w:r>
          </w:p>
        </w:tc>
        <w:tc>
          <w:tcPr>
            <w:tcW w:w="1152" w:type="dxa"/>
          </w:tcPr>
          <w:p w14:paraId="5DB38035" w14:textId="77777777" w:rsidR="00B30C3B" w:rsidRPr="00443CEF" w:rsidRDefault="00B30C3B" w:rsidP="009D738D">
            <w:pPr>
              <w:pStyle w:val="TableParagraph"/>
              <w:spacing w:line="253" w:lineRule="exact"/>
              <w:ind w:left="86" w:right="81"/>
              <w:jc w:val="center"/>
              <w:rPr>
                <w:lang w:eastAsia="en-GB"/>
              </w:rPr>
            </w:pPr>
            <w:r w:rsidRPr="00443CEF">
              <w:rPr>
                <w:lang w:eastAsia="en-GB"/>
              </w:rPr>
              <w:t>65</w:t>
            </w:r>
          </w:p>
        </w:tc>
        <w:tc>
          <w:tcPr>
            <w:tcW w:w="755" w:type="dxa"/>
          </w:tcPr>
          <w:p w14:paraId="4A4A5489" w14:textId="77777777" w:rsidR="00B30C3B" w:rsidRPr="00443CEF" w:rsidRDefault="00B30C3B" w:rsidP="009D738D">
            <w:pPr>
              <w:pStyle w:val="TableParagraph"/>
              <w:spacing w:line="253" w:lineRule="exact"/>
              <w:ind w:left="109" w:right="97"/>
              <w:jc w:val="center"/>
              <w:rPr>
                <w:lang w:eastAsia="en-GB"/>
              </w:rPr>
            </w:pPr>
            <w:r w:rsidRPr="00443CEF">
              <w:rPr>
                <w:lang w:eastAsia="en-GB"/>
              </w:rPr>
              <w:t>-18</w:t>
            </w:r>
          </w:p>
        </w:tc>
        <w:tc>
          <w:tcPr>
            <w:tcW w:w="1149" w:type="dxa"/>
          </w:tcPr>
          <w:p w14:paraId="2099D919" w14:textId="77777777" w:rsidR="00B30C3B" w:rsidRPr="00443CEF" w:rsidRDefault="00B30C3B" w:rsidP="009D738D">
            <w:pPr>
              <w:pStyle w:val="TableParagraph"/>
              <w:spacing w:line="253" w:lineRule="exact"/>
              <w:ind w:left="392" w:right="381"/>
              <w:jc w:val="center"/>
              <w:rPr>
                <w:lang w:eastAsia="en-GB"/>
              </w:rPr>
            </w:pPr>
            <w:r w:rsidRPr="00443CEF">
              <w:rPr>
                <w:lang w:eastAsia="en-GB"/>
              </w:rPr>
              <w:t>19</w:t>
            </w:r>
          </w:p>
        </w:tc>
        <w:tc>
          <w:tcPr>
            <w:tcW w:w="756" w:type="dxa"/>
          </w:tcPr>
          <w:p w14:paraId="492A58F1" w14:textId="77777777" w:rsidR="00B30C3B" w:rsidRPr="00443CEF" w:rsidRDefault="00B30C3B" w:rsidP="009D738D">
            <w:pPr>
              <w:pStyle w:val="TableParagraph"/>
              <w:spacing w:line="253" w:lineRule="exact"/>
              <w:ind w:left="112" w:right="97"/>
              <w:jc w:val="center"/>
              <w:rPr>
                <w:lang w:eastAsia="en-GB"/>
              </w:rPr>
            </w:pPr>
            <w:r w:rsidRPr="00443CEF">
              <w:rPr>
                <w:lang w:eastAsia="en-GB"/>
              </w:rPr>
              <w:t>-5</w:t>
            </w:r>
          </w:p>
        </w:tc>
        <w:tc>
          <w:tcPr>
            <w:tcW w:w="1149" w:type="dxa"/>
          </w:tcPr>
          <w:p w14:paraId="78A2EC9D" w14:textId="77777777" w:rsidR="00B30C3B" w:rsidRPr="00443CEF" w:rsidRDefault="00B30C3B" w:rsidP="009D738D">
            <w:pPr>
              <w:pStyle w:val="TableParagraph"/>
              <w:spacing w:line="253" w:lineRule="exact"/>
              <w:ind w:left="394" w:right="381"/>
              <w:jc w:val="center"/>
              <w:rPr>
                <w:lang w:eastAsia="en-GB"/>
              </w:rPr>
            </w:pPr>
            <w:r w:rsidRPr="00443CEF">
              <w:rPr>
                <w:lang w:eastAsia="en-GB"/>
              </w:rPr>
              <w:t>36</w:t>
            </w:r>
          </w:p>
        </w:tc>
        <w:tc>
          <w:tcPr>
            <w:tcW w:w="758" w:type="dxa"/>
          </w:tcPr>
          <w:p w14:paraId="1D5C45CA" w14:textId="77777777" w:rsidR="00B30C3B" w:rsidRPr="00443CEF" w:rsidRDefault="00B30C3B" w:rsidP="009D738D">
            <w:pPr>
              <w:pStyle w:val="TableParagraph"/>
              <w:spacing w:line="253" w:lineRule="exact"/>
              <w:ind w:left="221"/>
              <w:rPr>
                <w:lang w:eastAsia="en-GB"/>
              </w:rPr>
            </w:pPr>
            <w:r w:rsidRPr="00443CEF">
              <w:rPr>
                <w:lang w:eastAsia="en-GB"/>
              </w:rPr>
              <w:t>-12</w:t>
            </w:r>
          </w:p>
        </w:tc>
        <w:tc>
          <w:tcPr>
            <w:tcW w:w="1150" w:type="dxa"/>
          </w:tcPr>
          <w:p w14:paraId="77EE0882" w14:textId="77777777" w:rsidR="00B30C3B" w:rsidRPr="00443CEF" w:rsidRDefault="00B30C3B" w:rsidP="009D738D">
            <w:pPr>
              <w:pStyle w:val="TableParagraph"/>
              <w:spacing w:line="253" w:lineRule="exact"/>
              <w:ind w:left="437" w:right="422"/>
              <w:jc w:val="center"/>
              <w:rPr>
                <w:lang w:eastAsia="en-GB"/>
              </w:rPr>
            </w:pPr>
            <w:r w:rsidRPr="00443CEF">
              <w:rPr>
                <w:lang w:eastAsia="en-GB"/>
              </w:rPr>
              <w:t>12</w:t>
            </w:r>
          </w:p>
        </w:tc>
        <w:tc>
          <w:tcPr>
            <w:tcW w:w="756" w:type="dxa"/>
          </w:tcPr>
          <w:p w14:paraId="01C950ED" w14:textId="77777777" w:rsidR="00B30C3B" w:rsidRPr="00443CEF" w:rsidRDefault="00B30C3B" w:rsidP="009D738D">
            <w:pPr>
              <w:pStyle w:val="TableParagraph"/>
              <w:spacing w:line="253" w:lineRule="exact"/>
              <w:ind w:left="112" w:right="95"/>
              <w:jc w:val="center"/>
              <w:rPr>
                <w:lang w:eastAsia="en-GB"/>
              </w:rPr>
            </w:pPr>
            <w:r w:rsidRPr="00443CEF">
              <w:rPr>
                <w:lang w:eastAsia="en-GB"/>
              </w:rPr>
              <w:t>-46</w:t>
            </w:r>
          </w:p>
        </w:tc>
      </w:tr>
      <w:tr w:rsidR="00B30C3B" w:rsidRPr="00443CEF" w14:paraId="33961714" w14:textId="77777777" w:rsidTr="009D738D">
        <w:trPr>
          <w:trHeight w:val="277"/>
        </w:trPr>
        <w:tc>
          <w:tcPr>
            <w:tcW w:w="1202" w:type="dxa"/>
          </w:tcPr>
          <w:p w14:paraId="5A7DA940" w14:textId="19F4BC4C" w:rsidR="00B30C3B" w:rsidRPr="00443CEF" w:rsidRDefault="00B30C3B" w:rsidP="009D738D">
            <w:pPr>
              <w:pStyle w:val="TableParagraph"/>
              <w:spacing w:before="1" w:line="257" w:lineRule="exact"/>
              <w:ind w:left="107"/>
              <w:rPr>
                <w:lang w:eastAsia="en-GB"/>
              </w:rPr>
            </w:pPr>
            <w:r w:rsidRPr="00443CEF">
              <w:rPr>
                <w:lang w:eastAsia="en-GB"/>
              </w:rPr>
              <w:t>6 month</w:t>
            </w:r>
            <w:r w:rsidR="001F7A3F">
              <w:rPr>
                <w:lang w:eastAsia="en-GB"/>
              </w:rPr>
              <w:t>s</w:t>
            </w:r>
          </w:p>
        </w:tc>
        <w:tc>
          <w:tcPr>
            <w:tcW w:w="1152" w:type="dxa"/>
          </w:tcPr>
          <w:p w14:paraId="21D2D1AC" w14:textId="77777777" w:rsidR="00B30C3B" w:rsidRPr="00443CEF" w:rsidRDefault="00B30C3B" w:rsidP="009D738D">
            <w:pPr>
              <w:pStyle w:val="TableParagraph"/>
              <w:spacing w:before="1" w:line="257" w:lineRule="exact"/>
              <w:ind w:left="86" w:right="81"/>
              <w:jc w:val="center"/>
              <w:rPr>
                <w:lang w:eastAsia="en-GB"/>
              </w:rPr>
            </w:pPr>
            <w:r w:rsidRPr="00443CEF">
              <w:rPr>
                <w:lang w:eastAsia="en-GB"/>
              </w:rPr>
              <w:t>67</w:t>
            </w:r>
          </w:p>
        </w:tc>
        <w:tc>
          <w:tcPr>
            <w:tcW w:w="755" w:type="dxa"/>
          </w:tcPr>
          <w:p w14:paraId="2FC269A9" w14:textId="77777777" w:rsidR="00B30C3B" w:rsidRPr="00443CEF" w:rsidRDefault="00B30C3B" w:rsidP="009D738D">
            <w:pPr>
              <w:pStyle w:val="TableParagraph"/>
              <w:spacing w:before="1" w:line="257" w:lineRule="exact"/>
              <w:ind w:left="109" w:right="97"/>
              <w:jc w:val="center"/>
              <w:rPr>
                <w:lang w:eastAsia="en-GB"/>
              </w:rPr>
            </w:pPr>
            <w:r w:rsidRPr="00443CEF">
              <w:rPr>
                <w:lang w:eastAsia="en-GB"/>
              </w:rPr>
              <w:t>-50</w:t>
            </w:r>
          </w:p>
        </w:tc>
        <w:tc>
          <w:tcPr>
            <w:tcW w:w="1149" w:type="dxa"/>
          </w:tcPr>
          <w:p w14:paraId="505C3862" w14:textId="77777777" w:rsidR="00B30C3B" w:rsidRPr="00443CEF" w:rsidRDefault="00B30C3B" w:rsidP="009D738D">
            <w:pPr>
              <w:pStyle w:val="TableParagraph"/>
              <w:spacing w:before="1" w:line="257" w:lineRule="exact"/>
              <w:ind w:left="392" w:right="381"/>
              <w:jc w:val="center"/>
              <w:rPr>
                <w:lang w:eastAsia="en-GB"/>
              </w:rPr>
            </w:pPr>
            <w:r w:rsidRPr="00443CEF">
              <w:rPr>
                <w:lang w:eastAsia="en-GB"/>
              </w:rPr>
              <w:t>31</w:t>
            </w:r>
          </w:p>
        </w:tc>
        <w:tc>
          <w:tcPr>
            <w:tcW w:w="756" w:type="dxa"/>
          </w:tcPr>
          <w:p w14:paraId="7CEBE615" w14:textId="77777777" w:rsidR="00B30C3B" w:rsidRPr="00443CEF" w:rsidRDefault="00B30C3B" w:rsidP="009D738D">
            <w:pPr>
              <w:pStyle w:val="TableParagraph"/>
              <w:spacing w:before="1" w:line="257" w:lineRule="exact"/>
              <w:ind w:left="220"/>
              <w:rPr>
                <w:lang w:eastAsia="en-GB"/>
              </w:rPr>
            </w:pPr>
            <w:r w:rsidRPr="00443CEF">
              <w:rPr>
                <w:lang w:eastAsia="en-GB"/>
              </w:rPr>
              <w:t>-20</w:t>
            </w:r>
          </w:p>
        </w:tc>
        <w:tc>
          <w:tcPr>
            <w:tcW w:w="1149" w:type="dxa"/>
          </w:tcPr>
          <w:p w14:paraId="00E6B5B5" w14:textId="77777777" w:rsidR="00B30C3B" w:rsidRPr="00443CEF" w:rsidRDefault="00B30C3B" w:rsidP="009D738D">
            <w:pPr>
              <w:pStyle w:val="TableParagraph"/>
              <w:spacing w:before="1" w:line="257" w:lineRule="exact"/>
              <w:ind w:left="13"/>
              <w:jc w:val="center"/>
              <w:rPr>
                <w:lang w:eastAsia="en-GB"/>
              </w:rPr>
            </w:pPr>
            <w:r w:rsidRPr="00443CEF">
              <w:rPr>
                <w:lang w:eastAsia="en-GB"/>
              </w:rPr>
              <w:t>0</w:t>
            </w:r>
          </w:p>
        </w:tc>
        <w:tc>
          <w:tcPr>
            <w:tcW w:w="758" w:type="dxa"/>
          </w:tcPr>
          <w:p w14:paraId="2DD5A0D2" w14:textId="77777777" w:rsidR="00B30C3B" w:rsidRPr="00443CEF" w:rsidRDefault="00B30C3B" w:rsidP="009D738D">
            <w:pPr>
              <w:pStyle w:val="TableParagraph"/>
              <w:spacing w:before="1" w:line="257" w:lineRule="exact"/>
              <w:ind w:left="221"/>
              <w:rPr>
                <w:lang w:eastAsia="en-GB"/>
              </w:rPr>
            </w:pPr>
            <w:r w:rsidRPr="00443CEF">
              <w:rPr>
                <w:lang w:eastAsia="en-GB"/>
              </w:rPr>
              <w:t>-27</w:t>
            </w:r>
          </w:p>
        </w:tc>
        <w:tc>
          <w:tcPr>
            <w:tcW w:w="1150" w:type="dxa"/>
          </w:tcPr>
          <w:p w14:paraId="77875760" w14:textId="77777777" w:rsidR="00B30C3B" w:rsidRPr="00443CEF" w:rsidRDefault="00B30C3B" w:rsidP="009D738D">
            <w:pPr>
              <w:pStyle w:val="TableParagraph"/>
              <w:spacing w:before="1" w:line="257" w:lineRule="exact"/>
              <w:ind w:left="437" w:right="422"/>
              <w:jc w:val="center"/>
              <w:rPr>
                <w:lang w:eastAsia="en-GB"/>
              </w:rPr>
            </w:pPr>
            <w:r w:rsidRPr="00443CEF">
              <w:rPr>
                <w:lang w:eastAsia="en-GB"/>
              </w:rPr>
              <w:t>45</w:t>
            </w:r>
          </w:p>
        </w:tc>
        <w:tc>
          <w:tcPr>
            <w:tcW w:w="756" w:type="dxa"/>
          </w:tcPr>
          <w:p w14:paraId="1E300755" w14:textId="77777777" w:rsidR="00B30C3B" w:rsidRPr="00443CEF" w:rsidRDefault="00B30C3B" w:rsidP="009D738D">
            <w:pPr>
              <w:pStyle w:val="TableParagraph"/>
              <w:spacing w:before="1" w:line="257" w:lineRule="exact"/>
              <w:ind w:left="112" w:right="95"/>
              <w:jc w:val="center"/>
              <w:rPr>
                <w:lang w:eastAsia="en-GB"/>
              </w:rPr>
            </w:pPr>
            <w:r w:rsidRPr="00443CEF">
              <w:rPr>
                <w:lang w:eastAsia="en-GB"/>
              </w:rPr>
              <w:t>-56</w:t>
            </w:r>
          </w:p>
        </w:tc>
      </w:tr>
      <w:tr w:rsidR="00B30C3B" w:rsidRPr="00443CEF" w14:paraId="55FD686F" w14:textId="77777777" w:rsidTr="009D738D">
        <w:trPr>
          <w:trHeight w:val="275"/>
        </w:trPr>
        <w:tc>
          <w:tcPr>
            <w:tcW w:w="1202" w:type="dxa"/>
          </w:tcPr>
          <w:p w14:paraId="200033E2" w14:textId="5CE866D5" w:rsidR="00B30C3B" w:rsidRPr="00443CEF" w:rsidRDefault="00B30C3B" w:rsidP="009D738D">
            <w:pPr>
              <w:pStyle w:val="TableParagraph"/>
              <w:spacing w:line="256" w:lineRule="exact"/>
              <w:ind w:left="107"/>
              <w:rPr>
                <w:lang w:eastAsia="en-GB"/>
              </w:rPr>
            </w:pPr>
            <w:r w:rsidRPr="00443CEF">
              <w:rPr>
                <w:lang w:eastAsia="en-GB"/>
              </w:rPr>
              <w:t>18 month</w:t>
            </w:r>
            <w:r w:rsidR="001F7A3F">
              <w:rPr>
                <w:lang w:eastAsia="en-GB"/>
              </w:rPr>
              <w:t>s</w:t>
            </w:r>
          </w:p>
        </w:tc>
        <w:tc>
          <w:tcPr>
            <w:tcW w:w="1152" w:type="dxa"/>
          </w:tcPr>
          <w:p w14:paraId="42D321DE" w14:textId="77777777" w:rsidR="00B30C3B" w:rsidRPr="00443CEF" w:rsidRDefault="00B30C3B" w:rsidP="009D738D">
            <w:pPr>
              <w:pStyle w:val="TableParagraph"/>
              <w:spacing w:line="256" w:lineRule="exact"/>
              <w:ind w:left="86" w:right="81"/>
              <w:jc w:val="center"/>
              <w:rPr>
                <w:lang w:eastAsia="en-GB"/>
              </w:rPr>
            </w:pPr>
            <w:r w:rsidRPr="00443CEF">
              <w:rPr>
                <w:lang w:eastAsia="en-GB"/>
              </w:rPr>
              <w:t>36</w:t>
            </w:r>
          </w:p>
        </w:tc>
        <w:tc>
          <w:tcPr>
            <w:tcW w:w="755" w:type="dxa"/>
          </w:tcPr>
          <w:p w14:paraId="38C72767" w14:textId="77777777" w:rsidR="00B30C3B" w:rsidRPr="00443CEF" w:rsidRDefault="00B30C3B" w:rsidP="009D738D">
            <w:pPr>
              <w:pStyle w:val="TableParagraph"/>
              <w:spacing w:line="256" w:lineRule="exact"/>
              <w:ind w:left="109" w:right="97"/>
              <w:jc w:val="center"/>
              <w:rPr>
                <w:lang w:eastAsia="en-GB"/>
              </w:rPr>
            </w:pPr>
            <w:r w:rsidRPr="00443CEF">
              <w:rPr>
                <w:lang w:eastAsia="en-GB"/>
              </w:rPr>
              <w:t>-48</w:t>
            </w:r>
          </w:p>
        </w:tc>
        <w:tc>
          <w:tcPr>
            <w:tcW w:w="1149" w:type="dxa"/>
          </w:tcPr>
          <w:p w14:paraId="4B3F6785" w14:textId="77777777" w:rsidR="00B30C3B" w:rsidRPr="00443CEF" w:rsidRDefault="00B30C3B" w:rsidP="009D738D">
            <w:pPr>
              <w:pStyle w:val="TableParagraph"/>
              <w:spacing w:line="256" w:lineRule="exact"/>
              <w:ind w:left="392" w:right="381"/>
              <w:jc w:val="center"/>
              <w:rPr>
                <w:lang w:eastAsia="en-GB"/>
              </w:rPr>
            </w:pPr>
            <w:r w:rsidRPr="00443CEF">
              <w:rPr>
                <w:lang w:eastAsia="en-GB"/>
              </w:rPr>
              <w:t>16</w:t>
            </w:r>
          </w:p>
        </w:tc>
        <w:tc>
          <w:tcPr>
            <w:tcW w:w="756" w:type="dxa"/>
          </w:tcPr>
          <w:p w14:paraId="5A732FA2" w14:textId="77777777" w:rsidR="00B30C3B" w:rsidRPr="00443CEF" w:rsidRDefault="00B30C3B" w:rsidP="009D738D">
            <w:pPr>
              <w:pStyle w:val="TableParagraph"/>
              <w:spacing w:line="256" w:lineRule="exact"/>
              <w:ind w:left="220"/>
              <w:rPr>
                <w:lang w:eastAsia="en-GB"/>
              </w:rPr>
            </w:pPr>
            <w:r w:rsidRPr="00443CEF">
              <w:rPr>
                <w:lang w:eastAsia="en-GB"/>
              </w:rPr>
              <w:t>-21</w:t>
            </w:r>
          </w:p>
        </w:tc>
        <w:tc>
          <w:tcPr>
            <w:tcW w:w="1149" w:type="dxa"/>
          </w:tcPr>
          <w:p w14:paraId="0FF73D49" w14:textId="77777777" w:rsidR="00B30C3B" w:rsidRPr="00443CEF" w:rsidRDefault="00B30C3B" w:rsidP="009D738D">
            <w:pPr>
              <w:pStyle w:val="TableParagraph"/>
              <w:spacing w:line="256" w:lineRule="exact"/>
              <w:ind w:left="397" w:right="381"/>
              <w:jc w:val="center"/>
              <w:rPr>
                <w:lang w:eastAsia="en-GB"/>
              </w:rPr>
            </w:pPr>
            <w:r w:rsidRPr="00443CEF">
              <w:rPr>
                <w:lang w:eastAsia="en-GB"/>
              </w:rPr>
              <w:t>-11</w:t>
            </w:r>
          </w:p>
        </w:tc>
        <w:tc>
          <w:tcPr>
            <w:tcW w:w="758" w:type="dxa"/>
          </w:tcPr>
          <w:p w14:paraId="1AF6CE6C" w14:textId="77777777" w:rsidR="00B30C3B" w:rsidRPr="00443CEF" w:rsidRDefault="00B30C3B" w:rsidP="009D738D">
            <w:pPr>
              <w:pStyle w:val="TableParagraph"/>
              <w:spacing w:line="256" w:lineRule="exact"/>
              <w:ind w:left="221"/>
              <w:rPr>
                <w:lang w:eastAsia="en-GB"/>
              </w:rPr>
            </w:pPr>
            <w:r w:rsidRPr="00443CEF">
              <w:rPr>
                <w:lang w:eastAsia="en-GB"/>
              </w:rPr>
              <w:t>-28</w:t>
            </w:r>
          </w:p>
        </w:tc>
        <w:tc>
          <w:tcPr>
            <w:tcW w:w="1150" w:type="dxa"/>
          </w:tcPr>
          <w:p w14:paraId="0959C1DB" w14:textId="77777777" w:rsidR="00B30C3B" w:rsidRPr="00443CEF" w:rsidRDefault="00B30C3B" w:rsidP="009D738D">
            <w:pPr>
              <w:pStyle w:val="TableParagraph"/>
              <w:spacing w:line="256" w:lineRule="exact"/>
              <w:ind w:left="15"/>
              <w:jc w:val="center"/>
              <w:rPr>
                <w:lang w:eastAsia="en-GB"/>
              </w:rPr>
            </w:pPr>
            <w:r w:rsidRPr="00443CEF">
              <w:rPr>
                <w:lang w:eastAsia="en-GB"/>
              </w:rPr>
              <w:t>9</w:t>
            </w:r>
          </w:p>
        </w:tc>
        <w:tc>
          <w:tcPr>
            <w:tcW w:w="756" w:type="dxa"/>
          </w:tcPr>
          <w:p w14:paraId="536EA003" w14:textId="77777777" w:rsidR="00B30C3B" w:rsidRPr="00443CEF" w:rsidRDefault="00B30C3B" w:rsidP="009D738D">
            <w:pPr>
              <w:pStyle w:val="TableParagraph"/>
              <w:spacing w:line="256" w:lineRule="exact"/>
              <w:ind w:left="112" w:right="95"/>
              <w:jc w:val="center"/>
              <w:rPr>
                <w:lang w:eastAsia="en-GB"/>
              </w:rPr>
            </w:pPr>
            <w:r w:rsidRPr="00443CEF">
              <w:rPr>
                <w:lang w:eastAsia="en-GB"/>
              </w:rPr>
              <w:t>-64</w:t>
            </w:r>
          </w:p>
        </w:tc>
      </w:tr>
      <w:tr w:rsidR="00B30C3B" w:rsidRPr="00443CEF" w14:paraId="58C2AF71" w14:textId="77777777" w:rsidTr="009D738D">
        <w:trPr>
          <w:trHeight w:val="359"/>
        </w:trPr>
        <w:tc>
          <w:tcPr>
            <w:tcW w:w="1202" w:type="dxa"/>
          </w:tcPr>
          <w:p w14:paraId="759C3FE4" w14:textId="5ABDCE32" w:rsidR="00B30C3B" w:rsidRPr="00443CEF" w:rsidRDefault="00B30C3B" w:rsidP="009D738D">
            <w:pPr>
              <w:pStyle w:val="TableParagraph"/>
              <w:spacing w:line="275" w:lineRule="exact"/>
              <w:ind w:left="107"/>
              <w:rPr>
                <w:lang w:eastAsia="en-GB"/>
              </w:rPr>
            </w:pPr>
            <w:r w:rsidRPr="00443CEF">
              <w:rPr>
                <w:lang w:eastAsia="en-GB"/>
              </w:rPr>
              <w:t>36 month</w:t>
            </w:r>
            <w:r w:rsidR="001F7A3F">
              <w:rPr>
                <w:lang w:eastAsia="en-GB"/>
              </w:rPr>
              <w:t>s</w:t>
            </w:r>
          </w:p>
        </w:tc>
        <w:tc>
          <w:tcPr>
            <w:tcW w:w="1152" w:type="dxa"/>
          </w:tcPr>
          <w:p w14:paraId="064BF84E" w14:textId="77777777" w:rsidR="00B30C3B" w:rsidRPr="00443CEF" w:rsidRDefault="00B30C3B" w:rsidP="009D738D">
            <w:pPr>
              <w:pStyle w:val="TableParagraph"/>
              <w:spacing w:before="39"/>
              <w:ind w:left="86" w:right="81"/>
              <w:jc w:val="center"/>
              <w:rPr>
                <w:lang w:eastAsia="en-GB"/>
              </w:rPr>
            </w:pPr>
            <w:r w:rsidRPr="00443CEF">
              <w:rPr>
                <w:lang w:eastAsia="en-GB"/>
              </w:rPr>
              <w:t>38</w:t>
            </w:r>
          </w:p>
        </w:tc>
        <w:tc>
          <w:tcPr>
            <w:tcW w:w="755" w:type="dxa"/>
          </w:tcPr>
          <w:p w14:paraId="2B818029" w14:textId="77777777" w:rsidR="00B30C3B" w:rsidRPr="00443CEF" w:rsidRDefault="00B30C3B" w:rsidP="009D738D">
            <w:pPr>
              <w:pStyle w:val="TableParagraph"/>
              <w:spacing w:before="39"/>
              <w:ind w:left="109" w:right="97"/>
              <w:jc w:val="center"/>
              <w:rPr>
                <w:lang w:eastAsia="en-GB"/>
              </w:rPr>
            </w:pPr>
            <w:r w:rsidRPr="00443CEF">
              <w:rPr>
                <w:lang w:eastAsia="en-GB"/>
              </w:rPr>
              <w:t>-40</w:t>
            </w:r>
          </w:p>
        </w:tc>
        <w:tc>
          <w:tcPr>
            <w:tcW w:w="1149" w:type="dxa"/>
          </w:tcPr>
          <w:p w14:paraId="221E64BC" w14:textId="77777777" w:rsidR="00B30C3B" w:rsidRPr="00443CEF" w:rsidRDefault="00B30C3B" w:rsidP="009D738D">
            <w:pPr>
              <w:pStyle w:val="TableParagraph"/>
              <w:spacing w:before="83" w:line="257" w:lineRule="exact"/>
              <w:ind w:left="548"/>
              <w:rPr>
                <w:lang w:eastAsia="en-GB"/>
              </w:rPr>
            </w:pPr>
            <w:r w:rsidRPr="00443CEF">
              <w:rPr>
                <w:lang w:eastAsia="en-GB"/>
              </w:rPr>
              <w:t>22</w:t>
            </w:r>
          </w:p>
        </w:tc>
        <w:tc>
          <w:tcPr>
            <w:tcW w:w="756" w:type="dxa"/>
          </w:tcPr>
          <w:p w14:paraId="030B50D9" w14:textId="77777777" w:rsidR="00B30C3B" w:rsidRPr="00443CEF" w:rsidRDefault="00B30C3B" w:rsidP="009D738D">
            <w:pPr>
              <w:pStyle w:val="TableParagraph"/>
              <w:spacing w:before="83" w:line="257" w:lineRule="exact"/>
              <w:ind w:right="110"/>
              <w:jc w:val="right"/>
              <w:rPr>
                <w:lang w:eastAsia="en-GB"/>
              </w:rPr>
            </w:pPr>
            <w:r w:rsidRPr="00443CEF">
              <w:rPr>
                <w:lang w:eastAsia="en-GB"/>
              </w:rPr>
              <w:t>-18</w:t>
            </w:r>
          </w:p>
        </w:tc>
        <w:tc>
          <w:tcPr>
            <w:tcW w:w="1149" w:type="dxa"/>
          </w:tcPr>
          <w:p w14:paraId="6429526C" w14:textId="77777777" w:rsidR="00B30C3B" w:rsidRPr="00443CEF" w:rsidRDefault="00B30C3B" w:rsidP="009D738D">
            <w:pPr>
              <w:pStyle w:val="TableParagraph"/>
              <w:spacing w:before="83" w:line="257" w:lineRule="exact"/>
              <w:ind w:left="511"/>
              <w:rPr>
                <w:lang w:eastAsia="en-GB"/>
              </w:rPr>
            </w:pPr>
            <w:r w:rsidRPr="00443CEF">
              <w:rPr>
                <w:lang w:eastAsia="en-GB"/>
              </w:rPr>
              <w:t>-11</w:t>
            </w:r>
          </w:p>
        </w:tc>
        <w:tc>
          <w:tcPr>
            <w:tcW w:w="758" w:type="dxa"/>
          </w:tcPr>
          <w:p w14:paraId="204BDEEB" w14:textId="77777777" w:rsidR="00B30C3B" w:rsidRPr="00443CEF" w:rsidRDefault="00B30C3B" w:rsidP="009D738D">
            <w:pPr>
              <w:pStyle w:val="TableParagraph"/>
              <w:spacing w:before="83" w:line="257" w:lineRule="exact"/>
              <w:ind w:right="111"/>
              <w:jc w:val="right"/>
              <w:rPr>
                <w:lang w:eastAsia="en-GB"/>
              </w:rPr>
            </w:pPr>
            <w:r w:rsidRPr="00443CEF">
              <w:rPr>
                <w:lang w:eastAsia="en-GB"/>
              </w:rPr>
              <w:t>-26</w:t>
            </w:r>
          </w:p>
        </w:tc>
        <w:tc>
          <w:tcPr>
            <w:tcW w:w="1150" w:type="dxa"/>
          </w:tcPr>
          <w:p w14:paraId="19B39425" w14:textId="77777777" w:rsidR="00B30C3B" w:rsidRPr="00443CEF" w:rsidRDefault="00B30C3B" w:rsidP="009D738D">
            <w:pPr>
              <w:pStyle w:val="TableParagraph"/>
              <w:spacing w:before="83" w:line="257" w:lineRule="exact"/>
              <w:ind w:left="203"/>
              <w:jc w:val="center"/>
              <w:rPr>
                <w:lang w:eastAsia="en-GB"/>
              </w:rPr>
            </w:pPr>
            <w:r w:rsidRPr="00443CEF">
              <w:rPr>
                <w:lang w:eastAsia="en-GB"/>
              </w:rPr>
              <w:t>5</w:t>
            </w:r>
          </w:p>
        </w:tc>
        <w:tc>
          <w:tcPr>
            <w:tcW w:w="756" w:type="dxa"/>
          </w:tcPr>
          <w:p w14:paraId="194720D1" w14:textId="77777777" w:rsidR="00B30C3B" w:rsidRPr="00443CEF" w:rsidRDefault="00B30C3B" w:rsidP="009D738D">
            <w:pPr>
              <w:pStyle w:val="TableParagraph"/>
              <w:spacing w:before="39"/>
              <w:ind w:left="112" w:right="95"/>
              <w:jc w:val="center"/>
              <w:rPr>
                <w:lang w:eastAsia="en-GB"/>
              </w:rPr>
            </w:pPr>
            <w:r w:rsidRPr="00443CEF">
              <w:rPr>
                <w:lang w:eastAsia="en-GB"/>
              </w:rPr>
              <w:t>-55</w:t>
            </w:r>
          </w:p>
        </w:tc>
      </w:tr>
    </w:tbl>
    <w:p w14:paraId="1C5443DB" w14:textId="1A1F7E94" w:rsidR="00B30C3B" w:rsidRPr="008539F3" w:rsidRDefault="00B30C3B" w:rsidP="008539F3">
      <w:pPr>
        <w:ind w:left="142" w:right="622"/>
        <w:rPr>
          <w:sz w:val="20"/>
          <w:szCs w:val="20"/>
        </w:rPr>
      </w:pPr>
      <w:proofErr w:type="spellStart"/>
      <w:r w:rsidRPr="008539F3">
        <w:rPr>
          <w:sz w:val="20"/>
          <w:szCs w:val="20"/>
          <w:vertAlign w:val="superscript"/>
        </w:rPr>
        <w:t>a</w:t>
      </w:r>
      <w:proofErr w:type="spellEnd"/>
      <w:r w:rsidRPr="008539F3">
        <w:rPr>
          <w:sz w:val="20"/>
          <w:szCs w:val="20"/>
        </w:rPr>
        <w:t xml:space="preserve"> The median percent changes in FORTEO-treated patients were significantly different (p&lt;0.01) compared with alendronate-treated (ALN) patients for each biomarker at </w:t>
      </w:r>
      <w:proofErr w:type="spellStart"/>
      <w:r w:rsidRPr="008539F3">
        <w:rPr>
          <w:sz w:val="20"/>
          <w:szCs w:val="20"/>
        </w:rPr>
        <w:t>all time</w:t>
      </w:r>
      <w:proofErr w:type="spellEnd"/>
      <w:r w:rsidRPr="008539F3">
        <w:rPr>
          <w:sz w:val="20"/>
          <w:szCs w:val="20"/>
        </w:rPr>
        <w:t xml:space="preserve"> points.</w:t>
      </w:r>
      <w:r w:rsidR="00653D9F" w:rsidRPr="008539F3">
        <w:rPr>
          <w:sz w:val="20"/>
          <w:szCs w:val="20"/>
        </w:rPr>
        <w:br/>
      </w:r>
      <w:r w:rsidRPr="008539F3">
        <w:rPr>
          <w:sz w:val="20"/>
          <w:szCs w:val="20"/>
          <w:vertAlign w:val="superscript"/>
        </w:rPr>
        <w:t>b</w:t>
      </w:r>
      <w:r w:rsidRPr="008539F3">
        <w:rPr>
          <w:sz w:val="20"/>
          <w:szCs w:val="20"/>
        </w:rPr>
        <w:t xml:space="preserve"> Values represent median percent changes with n=44 to 99 among the 4 biomarkers at the different time points.</w:t>
      </w:r>
    </w:p>
    <w:p w14:paraId="70074BDD" w14:textId="7AD92D9E" w:rsidR="003157F5" w:rsidRPr="00D071F2" w:rsidRDefault="00C923F6" w:rsidP="00F073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22"/>
          <w:szCs w:val="22"/>
        </w:rPr>
      </w:pPr>
      <w:r w:rsidRPr="00D071F2">
        <w:rPr>
          <w:b/>
          <w:bCs/>
          <w:sz w:val="22"/>
          <w:szCs w:val="22"/>
        </w:rPr>
        <w:t>Comparability of TERROSA with FORTEO</w:t>
      </w:r>
    </w:p>
    <w:p w14:paraId="7DDF5CC5" w14:textId="77777777" w:rsidR="00481530" w:rsidRPr="00F073F8" w:rsidRDefault="00481530" w:rsidP="00F073F8">
      <w:pPr>
        <w:rPr>
          <w:sz w:val="22"/>
          <w:szCs w:val="22"/>
        </w:rPr>
      </w:pPr>
    </w:p>
    <w:p w14:paraId="7CF6EB52" w14:textId="747F5190" w:rsidR="00481530" w:rsidRDefault="00D1012A" w:rsidP="00F073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22"/>
          <w:szCs w:val="22"/>
          <w:u w:val="single"/>
        </w:rPr>
      </w:pPr>
      <w:r w:rsidRPr="00F073F8">
        <w:rPr>
          <w:b/>
          <w:bCs/>
          <w:sz w:val="22"/>
          <w:szCs w:val="22"/>
          <w:u w:val="single"/>
        </w:rPr>
        <w:t xml:space="preserve">Study </w:t>
      </w:r>
      <w:r w:rsidR="00481530" w:rsidRPr="00F073F8">
        <w:rPr>
          <w:b/>
          <w:bCs/>
          <w:sz w:val="22"/>
          <w:szCs w:val="22"/>
          <w:u w:val="single"/>
        </w:rPr>
        <w:t>RGB1023O31</w:t>
      </w:r>
    </w:p>
    <w:p w14:paraId="5F09E915" w14:textId="273D956A" w:rsidR="00983984" w:rsidRPr="00983984" w:rsidRDefault="00983984" w:rsidP="00983984">
      <w:r w:rsidRPr="00D071F2">
        <w:rPr>
          <w:sz w:val="22"/>
          <w:szCs w:val="22"/>
        </w:rPr>
        <w:t xml:space="preserve">Therapeutic equivalence of TERROSA and FORTEO was demonstrated in a Japanese, multicentre, randomised, non-inferiority, active drug controlled, </w:t>
      </w:r>
      <w:proofErr w:type="spellStart"/>
      <w:r w:rsidRPr="00D071F2">
        <w:rPr>
          <w:sz w:val="22"/>
          <w:szCs w:val="22"/>
        </w:rPr>
        <w:t>rater</w:t>
      </w:r>
      <w:proofErr w:type="spellEnd"/>
      <w:r w:rsidRPr="00D071F2">
        <w:rPr>
          <w:sz w:val="22"/>
          <w:szCs w:val="22"/>
        </w:rPr>
        <w:t>-blinded, parallel-group comparative phase III study in men</w:t>
      </w:r>
      <w:r w:rsidRPr="00983984">
        <w:rPr>
          <w:rFonts w:ascii="Calibri" w:hAnsi="Calibri" w:cs="Calibri"/>
          <w:i/>
          <w:iCs/>
          <w:color w:val="000000"/>
          <w:sz w:val="22"/>
          <w:szCs w:val="22"/>
        </w:rPr>
        <w:t xml:space="preserve"> </w:t>
      </w:r>
      <w:r w:rsidRPr="00D071F2">
        <w:rPr>
          <w:sz w:val="22"/>
          <w:szCs w:val="22"/>
        </w:rPr>
        <w:t xml:space="preserve">and post-menopausal women with osteoporosis at high risk of fracture (a total of 250 subjects). Subjects were administered TERROSA or FORTEO (teriparatide 20 μg/80 </w:t>
      </w:r>
      <w:proofErr w:type="spellStart"/>
      <w:r w:rsidRPr="00D071F2">
        <w:rPr>
          <w:sz w:val="22"/>
          <w:szCs w:val="22"/>
        </w:rPr>
        <w:t>μL</w:t>
      </w:r>
      <w:proofErr w:type="spellEnd"/>
      <w:r w:rsidRPr="00D071F2">
        <w:rPr>
          <w:sz w:val="22"/>
          <w:szCs w:val="22"/>
        </w:rPr>
        <w:t xml:space="preserve"> solution for injection) daily via </w:t>
      </w:r>
      <w:proofErr w:type="spellStart"/>
      <w:r w:rsidRPr="00D071F2">
        <w:rPr>
          <w:sz w:val="22"/>
          <w:szCs w:val="22"/>
        </w:rPr>
        <w:t>s.c.</w:t>
      </w:r>
      <w:proofErr w:type="spellEnd"/>
      <w:r w:rsidRPr="00D071F2">
        <w:rPr>
          <w:sz w:val="22"/>
          <w:szCs w:val="22"/>
        </w:rPr>
        <w:t xml:space="preserve"> injection for 52 weeks</w:t>
      </w:r>
    </w:p>
    <w:p w14:paraId="01019194" w14:textId="30BB77ED" w:rsidR="0011173E" w:rsidRPr="00D071F2" w:rsidRDefault="0011173E" w:rsidP="0011173E">
      <w:pPr>
        <w:rPr>
          <w:strike/>
          <w:sz w:val="22"/>
          <w:szCs w:val="22"/>
        </w:rPr>
      </w:pPr>
      <w:r>
        <w:rPr>
          <w:sz w:val="22"/>
          <w:szCs w:val="22"/>
        </w:rPr>
        <w:t>The</w:t>
      </w:r>
      <w:r w:rsidRPr="003A2892">
        <w:rPr>
          <w:sz w:val="22"/>
          <w:szCs w:val="22"/>
        </w:rPr>
        <w:t xml:space="preserve"> percent change (mean ± standard deviation [SD]) in lumbar spine</w:t>
      </w:r>
      <w:r>
        <w:rPr>
          <w:sz w:val="22"/>
          <w:szCs w:val="22"/>
        </w:rPr>
        <w:t xml:space="preserve"> </w:t>
      </w:r>
      <w:r w:rsidRPr="003A2892">
        <w:rPr>
          <w:sz w:val="22"/>
          <w:szCs w:val="22"/>
        </w:rPr>
        <w:t>(L2-L4) BMD at Week 52</w:t>
      </w:r>
      <w:r>
        <w:rPr>
          <w:sz w:val="22"/>
          <w:szCs w:val="22"/>
        </w:rPr>
        <w:t>, which served as the primary endpoint of the study,</w:t>
      </w:r>
      <w:r w:rsidRPr="003A2892">
        <w:rPr>
          <w:sz w:val="22"/>
          <w:szCs w:val="22"/>
        </w:rPr>
        <w:t xml:space="preserve"> was 8.94% ± 6.19% in the </w:t>
      </w:r>
      <w:r>
        <w:rPr>
          <w:sz w:val="22"/>
          <w:szCs w:val="22"/>
        </w:rPr>
        <w:t>TERROSA</w:t>
      </w:r>
      <w:r w:rsidRPr="003A2892">
        <w:rPr>
          <w:sz w:val="22"/>
          <w:szCs w:val="22"/>
        </w:rPr>
        <w:t xml:space="preserve"> group and 9.65% ± 6.22% in the</w:t>
      </w:r>
      <w:r>
        <w:rPr>
          <w:sz w:val="22"/>
          <w:szCs w:val="22"/>
        </w:rPr>
        <w:t xml:space="preserve"> </w:t>
      </w:r>
      <w:proofErr w:type="spellStart"/>
      <w:r w:rsidRPr="003A2892">
        <w:rPr>
          <w:sz w:val="22"/>
          <w:szCs w:val="22"/>
        </w:rPr>
        <w:t>Forteo</w:t>
      </w:r>
      <w:proofErr w:type="spellEnd"/>
      <w:r w:rsidRPr="003A2892">
        <w:rPr>
          <w:sz w:val="22"/>
          <w:szCs w:val="22"/>
        </w:rPr>
        <w:t xml:space="preserve"> group. The (adjusted) difference in the mean between the</w:t>
      </w:r>
      <w:r>
        <w:rPr>
          <w:sz w:val="22"/>
          <w:szCs w:val="22"/>
        </w:rPr>
        <w:t xml:space="preserve"> TERROSA</w:t>
      </w:r>
      <w:r w:rsidRPr="003A2892">
        <w:rPr>
          <w:sz w:val="22"/>
          <w:szCs w:val="22"/>
        </w:rPr>
        <w:t xml:space="preserve"> and </w:t>
      </w:r>
      <w:proofErr w:type="spellStart"/>
      <w:r w:rsidRPr="003A2892">
        <w:rPr>
          <w:sz w:val="22"/>
          <w:szCs w:val="22"/>
        </w:rPr>
        <w:t>Forteo</w:t>
      </w:r>
      <w:proofErr w:type="spellEnd"/>
      <w:r w:rsidRPr="003A2892">
        <w:rPr>
          <w:sz w:val="22"/>
          <w:szCs w:val="22"/>
        </w:rPr>
        <w:t xml:space="preserve"> groups</w:t>
      </w:r>
      <w:r>
        <w:rPr>
          <w:sz w:val="22"/>
          <w:szCs w:val="22"/>
        </w:rPr>
        <w:t xml:space="preserve"> </w:t>
      </w:r>
      <w:r w:rsidRPr="003A2892">
        <w:rPr>
          <w:sz w:val="22"/>
          <w:szCs w:val="22"/>
        </w:rPr>
        <w:t>was −0.65% (2-sided 95% CI: −2.17% to 0.87%). The 2-sided 95% CI was within the range of</w:t>
      </w:r>
      <w:r>
        <w:rPr>
          <w:sz w:val="22"/>
          <w:szCs w:val="22"/>
        </w:rPr>
        <w:t xml:space="preserve"> </w:t>
      </w:r>
      <w:r w:rsidRPr="003A2892">
        <w:rPr>
          <w:sz w:val="22"/>
          <w:szCs w:val="22"/>
        </w:rPr>
        <w:t>the pre-specified equivalence margin (± 2.</w:t>
      </w:r>
      <w:r w:rsidRPr="006A3C3D">
        <w:rPr>
          <w:sz w:val="22"/>
          <w:szCs w:val="22"/>
        </w:rPr>
        <w:t>8</w:t>
      </w:r>
      <w:r w:rsidR="00D071F2">
        <w:rPr>
          <w:sz w:val="22"/>
          <w:szCs w:val="22"/>
        </w:rPr>
        <w:t>).</w:t>
      </w:r>
    </w:p>
    <w:p w14:paraId="343A9729" w14:textId="77777777" w:rsidR="0011173E" w:rsidRDefault="0011173E" w:rsidP="0011173E">
      <w:pPr>
        <w:rPr>
          <w:sz w:val="22"/>
          <w:szCs w:val="22"/>
        </w:rPr>
      </w:pPr>
    </w:p>
    <w:p w14:paraId="46C5C2CE" w14:textId="77777777" w:rsidR="0011173E" w:rsidRDefault="0011173E" w:rsidP="0011173E">
      <w:pPr>
        <w:rPr>
          <w:sz w:val="22"/>
          <w:szCs w:val="22"/>
        </w:rPr>
      </w:pPr>
      <w:r w:rsidRPr="003A2892">
        <w:rPr>
          <w:sz w:val="22"/>
          <w:szCs w:val="22"/>
        </w:rPr>
        <w:t xml:space="preserve">There were no substantial differences between the </w:t>
      </w:r>
      <w:r>
        <w:rPr>
          <w:sz w:val="22"/>
          <w:szCs w:val="22"/>
        </w:rPr>
        <w:t>TERROSA</w:t>
      </w:r>
      <w:r w:rsidRPr="003A2892">
        <w:rPr>
          <w:sz w:val="22"/>
          <w:szCs w:val="22"/>
        </w:rPr>
        <w:t xml:space="preserve"> and the </w:t>
      </w:r>
      <w:proofErr w:type="spellStart"/>
      <w:r w:rsidRPr="003A2892">
        <w:rPr>
          <w:sz w:val="22"/>
          <w:szCs w:val="22"/>
        </w:rPr>
        <w:t>Forteo</w:t>
      </w:r>
      <w:proofErr w:type="spellEnd"/>
      <w:r w:rsidRPr="003A2892">
        <w:rPr>
          <w:sz w:val="22"/>
          <w:szCs w:val="22"/>
        </w:rPr>
        <w:t xml:space="preserve"> groups in terms of</w:t>
      </w:r>
      <w:r>
        <w:rPr>
          <w:sz w:val="22"/>
          <w:szCs w:val="22"/>
        </w:rPr>
        <w:t xml:space="preserve"> </w:t>
      </w:r>
      <w:r w:rsidRPr="003A2892">
        <w:rPr>
          <w:sz w:val="22"/>
          <w:szCs w:val="22"/>
        </w:rPr>
        <w:t>the secondary endpoints of the absolute change in lumbar spine (L2-L4) BMD, the percent and</w:t>
      </w:r>
      <w:r>
        <w:rPr>
          <w:sz w:val="22"/>
          <w:szCs w:val="22"/>
        </w:rPr>
        <w:t xml:space="preserve"> </w:t>
      </w:r>
      <w:r w:rsidRPr="003A2892">
        <w:rPr>
          <w:sz w:val="22"/>
          <w:szCs w:val="22"/>
        </w:rPr>
        <w:t>absolute changes in lumbar spine (L1-L4) BMD, femoral neck BMD and proximal femoral</w:t>
      </w:r>
      <w:r>
        <w:rPr>
          <w:sz w:val="22"/>
          <w:szCs w:val="22"/>
        </w:rPr>
        <w:t xml:space="preserve"> </w:t>
      </w:r>
      <w:r w:rsidRPr="003A2892">
        <w:rPr>
          <w:sz w:val="22"/>
          <w:szCs w:val="22"/>
        </w:rPr>
        <w:t>BMD, the percent and absolute changes in bone metabolic marker of P1NP and the incidence</w:t>
      </w:r>
      <w:r>
        <w:rPr>
          <w:sz w:val="22"/>
          <w:szCs w:val="22"/>
        </w:rPr>
        <w:t xml:space="preserve"> of </w:t>
      </w:r>
      <w:r w:rsidRPr="003A2892">
        <w:rPr>
          <w:sz w:val="22"/>
          <w:szCs w:val="22"/>
        </w:rPr>
        <w:t>vertebral or non-vertebral fractures.</w:t>
      </w:r>
    </w:p>
    <w:p w14:paraId="3AA0D31A" w14:textId="77777777" w:rsidR="008656BC" w:rsidRPr="008539F3" w:rsidRDefault="008656BC" w:rsidP="002C3BE0">
      <w:pPr>
        <w:rPr>
          <w:color w:val="000000" w:themeColor="text1"/>
          <w:sz w:val="22"/>
          <w:szCs w:val="22"/>
        </w:rPr>
      </w:pPr>
    </w:p>
    <w:p w14:paraId="17ACFDCA" w14:textId="5F5D2C1E" w:rsidR="00FA22F4" w:rsidRPr="00A55F36" w:rsidRDefault="00FA22F4" w:rsidP="00F073F8">
      <w:pPr>
        <w:pStyle w:val="Heading2"/>
        <w:jc w:val="left"/>
        <w:rPr>
          <w:rFonts w:ascii="Times New Roman" w:hAnsi="Times New Roman" w:cs="Times New Roman"/>
          <w:sz w:val="28"/>
          <w:szCs w:val="28"/>
        </w:rPr>
      </w:pPr>
      <w:bookmarkStart w:id="9" w:name="ref4"/>
      <w:r w:rsidRPr="00A55F36">
        <w:rPr>
          <w:rFonts w:ascii="Times New Roman" w:hAnsi="Times New Roman" w:cs="Times New Roman"/>
          <w:sz w:val="28"/>
          <w:szCs w:val="28"/>
        </w:rPr>
        <w:t>5.2</w:t>
      </w:r>
      <w:bookmarkEnd w:id="9"/>
      <w:r w:rsidRPr="00A55F36">
        <w:rPr>
          <w:rFonts w:ascii="Times New Roman" w:hAnsi="Times New Roman" w:cs="Times New Roman"/>
          <w:sz w:val="28"/>
          <w:szCs w:val="28"/>
        </w:rPr>
        <w:tab/>
        <w:t>PHARMACOKINETIC PROPERTIES</w:t>
      </w:r>
    </w:p>
    <w:p w14:paraId="0689A8B2" w14:textId="77777777" w:rsidR="001447F7" w:rsidRPr="00A55F36" w:rsidRDefault="001447F7" w:rsidP="00F073F8">
      <w:pPr>
        <w:rPr>
          <w:sz w:val="22"/>
          <w:szCs w:val="22"/>
          <w:lang w:val="en-GB"/>
        </w:rPr>
      </w:pPr>
    </w:p>
    <w:p w14:paraId="49421A4D" w14:textId="2961C050" w:rsidR="00BE6304" w:rsidRPr="005F4D54" w:rsidRDefault="00FA22F4" w:rsidP="00166867">
      <w:pPr>
        <w:rPr>
          <w:b/>
          <w:i/>
          <w:iCs/>
          <w:sz w:val="22"/>
          <w:szCs w:val="22"/>
          <w:lang w:val="en-GB"/>
        </w:rPr>
      </w:pPr>
      <w:r w:rsidRPr="005F4D54">
        <w:rPr>
          <w:b/>
          <w:i/>
          <w:iCs/>
          <w:sz w:val="22"/>
          <w:szCs w:val="22"/>
          <w:lang w:val="en-GB"/>
        </w:rPr>
        <w:t>Absorption</w:t>
      </w:r>
    </w:p>
    <w:p w14:paraId="4A29700F" w14:textId="22198CFA" w:rsidR="001A4138" w:rsidRPr="0095316B" w:rsidRDefault="001A4138" w:rsidP="00166867">
      <w:pPr>
        <w:pStyle w:val="BodyText"/>
        <w:rPr>
          <w:rFonts w:ascii="Times New Roman" w:hAnsi="Times New Roman" w:cs="Times New Roman"/>
          <w:lang w:val="en-AU" w:eastAsia="en-GB"/>
        </w:rPr>
      </w:pPr>
      <w:r w:rsidRPr="0095316B">
        <w:rPr>
          <w:rFonts w:ascii="Times New Roman" w:hAnsi="Times New Roman" w:cs="Times New Roman"/>
          <w:lang w:val="en-AU" w:eastAsia="en-GB"/>
        </w:rPr>
        <w:t>After subcutaneous (SC) injection, teriparatide has an absolute bioavailability of 95 % (95% CI 0.824 – 1.07). Absorption and elimination are rapid. The half-life of teriparatide in serum is 5 minutes when administered by intravenous injection and approximately 1 hour when administered by subcutaneous injection. The longer half-life following subcutaneous administration reflects the time required for absorption from the injection site.</w:t>
      </w:r>
    </w:p>
    <w:p w14:paraId="6C383AF4" w14:textId="1921D065" w:rsidR="00FA22F4" w:rsidRPr="00166867" w:rsidRDefault="001A4138" w:rsidP="008539F3">
      <w:pPr>
        <w:pStyle w:val="BodyText"/>
        <w:spacing w:after="0"/>
        <w:rPr>
          <w:rFonts w:ascii="Times New Roman" w:hAnsi="Times New Roman" w:cs="Times New Roman"/>
          <w:lang w:val="en-AU" w:eastAsia="en-GB"/>
        </w:rPr>
      </w:pPr>
      <w:r w:rsidRPr="0095316B">
        <w:rPr>
          <w:rFonts w:ascii="Times New Roman" w:hAnsi="Times New Roman" w:cs="Times New Roman"/>
          <w:lang w:val="en-AU" w:eastAsia="en-GB"/>
        </w:rPr>
        <w:t xml:space="preserve">Following a subcutaneous injection of a 20 </w:t>
      </w:r>
      <w:r w:rsidR="006F6218">
        <w:rPr>
          <w:rFonts w:ascii="Times New Roman" w:hAnsi="Times New Roman" w:cs="Times New Roman"/>
          <w:lang w:val="en-AU" w:eastAsia="en-GB"/>
        </w:rPr>
        <w:t>microgram</w:t>
      </w:r>
      <w:r w:rsidRPr="0095316B">
        <w:rPr>
          <w:rFonts w:ascii="Times New Roman" w:hAnsi="Times New Roman" w:cs="Times New Roman"/>
          <w:lang w:val="en-AU" w:eastAsia="en-GB"/>
        </w:rPr>
        <w:t xml:space="preserve"> dose, peak molar concentrations of teriparatide briefly exceed the upper limit of normal for endogenous PTH [65 </w:t>
      </w:r>
      <w:proofErr w:type="spellStart"/>
      <w:r w:rsidRPr="0095316B">
        <w:rPr>
          <w:rFonts w:ascii="Times New Roman" w:hAnsi="Times New Roman" w:cs="Times New Roman"/>
          <w:lang w:val="en-AU" w:eastAsia="en-GB"/>
        </w:rPr>
        <w:t>pg</w:t>
      </w:r>
      <w:proofErr w:type="spellEnd"/>
      <w:r w:rsidRPr="0095316B">
        <w:rPr>
          <w:rFonts w:ascii="Times New Roman" w:hAnsi="Times New Roman" w:cs="Times New Roman"/>
          <w:lang w:val="en-AU" w:eastAsia="en-GB"/>
        </w:rPr>
        <w:t xml:space="preserve">/mL (7.0 </w:t>
      </w:r>
      <w:proofErr w:type="spellStart"/>
      <w:r w:rsidRPr="0095316B">
        <w:rPr>
          <w:rFonts w:ascii="Times New Roman" w:hAnsi="Times New Roman" w:cs="Times New Roman"/>
          <w:lang w:val="en-AU" w:eastAsia="en-GB"/>
        </w:rPr>
        <w:t>pM</w:t>
      </w:r>
      <w:proofErr w:type="spellEnd"/>
      <w:r w:rsidRPr="0095316B">
        <w:rPr>
          <w:rFonts w:ascii="Times New Roman" w:hAnsi="Times New Roman" w:cs="Times New Roman"/>
          <w:lang w:val="en-AU" w:eastAsia="en-GB"/>
        </w:rPr>
        <w:t>)] by 4- to 5-fold for about 30 minutes and then decline to non-quantifiable concentrations within 3 hours. The mean systemic exposure (endogenous PTH and teriparatide) over 24 hours does not exceed the upper limit of normal and is below the levels found in patients with mild hyperparathyroidism.</w:t>
      </w:r>
    </w:p>
    <w:p w14:paraId="649E4D2F" w14:textId="77777777" w:rsidR="00BE6304" w:rsidRDefault="00BE6304" w:rsidP="00F073F8">
      <w:pPr>
        <w:rPr>
          <w:bCs/>
          <w:i/>
          <w:iCs/>
          <w:sz w:val="22"/>
          <w:szCs w:val="22"/>
          <w:lang w:val="en-GB"/>
        </w:rPr>
      </w:pPr>
    </w:p>
    <w:p w14:paraId="443A88C5" w14:textId="18E35771" w:rsidR="00FA22F4" w:rsidRPr="000A27E0" w:rsidRDefault="00FA22F4" w:rsidP="00F073F8">
      <w:pPr>
        <w:rPr>
          <w:b/>
          <w:i/>
          <w:iCs/>
          <w:sz w:val="22"/>
          <w:szCs w:val="22"/>
          <w:lang w:val="en-GB"/>
        </w:rPr>
      </w:pPr>
      <w:r w:rsidRPr="000A27E0">
        <w:rPr>
          <w:b/>
          <w:i/>
          <w:iCs/>
          <w:sz w:val="22"/>
          <w:szCs w:val="22"/>
          <w:lang w:val="en-GB"/>
        </w:rPr>
        <w:t>Distribution</w:t>
      </w:r>
    </w:p>
    <w:p w14:paraId="018ACE64" w14:textId="34AE51DC" w:rsidR="00FA22F4" w:rsidRDefault="001A4138" w:rsidP="008539F3">
      <w:pPr>
        <w:pStyle w:val="BodyText"/>
        <w:spacing w:after="0"/>
        <w:rPr>
          <w:rFonts w:ascii="Times New Roman" w:hAnsi="Times New Roman" w:cs="Times New Roman"/>
          <w:lang w:val="en-AU" w:eastAsia="en-GB"/>
        </w:rPr>
      </w:pPr>
      <w:r w:rsidRPr="00E1745F">
        <w:rPr>
          <w:rFonts w:ascii="Times New Roman" w:hAnsi="Times New Roman" w:cs="Times New Roman"/>
          <w:lang w:val="en-AU" w:eastAsia="en-GB"/>
        </w:rPr>
        <w:t>Volume of distribution is approximately 1.7 L/kg. Between-subject variability in systemic clearance and volume of distribution is 25 % to 50 %.</w:t>
      </w:r>
    </w:p>
    <w:p w14:paraId="1E873399" w14:textId="77777777" w:rsidR="007B1072" w:rsidRPr="004104BB" w:rsidRDefault="007B1072" w:rsidP="008539F3">
      <w:pPr>
        <w:pStyle w:val="BodyText"/>
        <w:spacing w:after="0"/>
        <w:rPr>
          <w:rFonts w:ascii="Times New Roman" w:hAnsi="Times New Roman" w:cs="Times New Roman"/>
          <w:lang w:val="en-AU" w:eastAsia="en-GB"/>
        </w:rPr>
      </w:pPr>
    </w:p>
    <w:p w14:paraId="451C8D26" w14:textId="77777777" w:rsidR="00827DAE" w:rsidRPr="008539F3" w:rsidRDefault="00FA22F4" w:rsidP="00F073F8">
      <w:pPr>
        <w:rPr>
          <w:b/>
          <w:i/>
          <w:iCs/>
          <w:color w:val="000000" w:themeColor="text1"/>
          <w:sz w:val="22"/>
          <w:szCs w:val="22"/>
          <w:lang w:val="en-GB"/>
        </w:rPr>
      </w:pPr>
      <w:r w:rsidRPr="008539F3">
        <w:rPr>
          <w:b/>
          <w:i/>
          <w:iCs/>
          <w:color w:val="000000" w:themeColor="text1"/>
          <w:sz w:val="22"/>
          <w:szCs w:val="22"/>
          <w:lang w:val="en-GB"/>
        </w:rPr>
        <w:t>Metabolism</w:t>
      </w:r>
    </w:p>
    <w:p w14:paraId="1F432397" w14:textId="77777777" w:rsidR="00611608" w:rsidRPr="00E1745F" w:rsidRDefault="00611608" w:rsidP="008539F3">
      <w:pPr>
        <w:pStyle w:val="BodyText"/>
        <w:spacing w:after="0"/>
        <w:rPr>
          <w:rFonts w:ascii="Times New Roman" w:hAnsi="Times New Roman" w:cs="Times New Roman"/>
          <w:lang w:val="en-AU" w:eastAsia="en-GB"/>
        </w:rPr>
      </w:pPr>
      <w:r w:rsidRPr="00E1745F">
        <w:rPr>
          <w:rFonts w:ascii="Times New Roman" w:hAnsi="Times New Roman" w:cs="Times New Roman"/>
          <w:lang w:val="en-AU" w:eastAsia="en-GB"/>
        </w:rPr>
        <w:t>No metabolism studies have been performed with teriparatide. However, the mechanisms of metabolism of PTH(1-34) and intact PTH have been extensively described. Metabolism of parathyroid hormone is believed to occur predominantly in liver and kidney.</w:t>
      </w:r>
    </w:p>
    <w:p w14:paraId="07DFB212" w14:textId="77777777" w:rsidR="004104BB" w:rsidRDefault="004104BB" w:rsidP="00F073F8">
      <w:pPr>
        <w:rPr>
          <w:bCs/>
          <w:i/>
          <w:iCs/>
          <w:sz w:val="22"/>
          <w:szCs w:val="22"/>
          <w:lang w:val="en-GB"/>
        </w:rPr>
      </w:pPr>
    </w:p>
    <w:p w14:paraId="2DFD48B6" w14:textId="58EFF039" w:rsidR="00FA22F4" w:rsidRPr="008539F3" w:rsidRDefault="00FA22F4" w:rsidP="00F073F8">
      <w:pPr>
        <w:rPr>
          <w:b/>
          <w:i/>
          <w:iCs/>
          <w:sz w:val="22"/>
          <w:szCs w:val="22"/>
          <w:lang w:val="en-GB"/>
        </w:rPr>
      </w:pPr>
      <w:r w:rsidRPr="008539F3">
        <w:rPr>
          <w:b/>
          <w:i/>
          <w:iCs/>
          <w:sz w:val="22"/>
          <w:szCs w:val="22"/>
          <w:lang w:val="en-GB"/>
        </w:rPr>
        <w:t>Excretion</w:t>
      </w:r>
    </w:p>
    <w:p w14:paraId="68DB294F" w14:textId="152A564E" w:rsidR="00827DAE" w:rsidRDefault="00827DAE" w:rsidP="00F073F8">
      <w:pPr>
        <w:rPr>
          <w:sz w:val="22"/>
          <w:szCs w:val="22"/>
        </w:rPr>
      </w:pPr>
      <w:r w:rsidRPr="00F073F8">
        <w:rPr>
          <w:sz w:val="22"/>
          <w:szCs w:val="22"/>
        </w:rPr>
        <w:t>Teriparatide is eliminated through hepatic and extra-hepatic clearance (approximately 62 L/hr in women and 94 L/hr in men).</w:t>
      </w:r>
      <w:r w:rsidR="00FF09CF" w:rsidRPr="00FF09CF">
        <w:rPr>
          <w:sz w:val="23"/>
          <w:szCs w:val="23"/>
        </w:rPr>
        <w:t xml:space="preserve"> </w:t>
      </w:r>
      <w:r w:rsidR="00FF09CF">
        <w:rPr>
          <w:sz w:val="23"/>
          <w:szCs w:val="23"/>
        </w:rPr>
        <w:t>No excretion studies have been performed with teriparatide. However, the mechanism of elimination of PTH(1-34) and intact PTH have been extensively described.</w:t>
      </w:r>
    </w:p>
    <w:p w14:paraId="097CFBAC" w14:textId="1A3FC0BD" w:rsidR="00FF09CF" w:rsidRDefault="00FF09CF" w:rsidP="00F073F8">
      <w:pPr>
        <w:rPr>
          <w:sz w:val="22"/>
          <w:szCs w:val="22"/>
        </w:rPr>
      </w:pPr>
    </w:p>
    <w:p w14:paraId="1AD1C9F6" w14:textId="77777777" w:rsidR="00C436F0" w:rsidRPr="00F073F8" w:rsidRDefault="00C436F0" w:rsidP="00F073F8">
      <w:pPr>
        <w:rPr>
          <w:sz w:val="22"/>
          <w:szCs w:val="22"/>
        </w:rPr>
      </w:pPr>
    </w:p>
    <w:p w14:paraId="52D7A059" w14:textId="352F57BD" w:rsidR="00611608" w:rsidRPr="008539F3" w:rsidRDefault="00611608" w:rsidP="00F073F8">
      <w:pPr>
        <w:rPr>
          <w:b/>
          <w:bCs/>
          <w:i/>
          <w:iCs/>
          <w:sz w:val="22"/>
          <w:szCs w:val="22"/>
          <w:lang w:val="en-GB"/>
        </w:rPr>
      </w:pPr>
      <w:r w:rsidRPr="008539F3">
        <w:rPr>
          <w:b/>
          <w:bCs/>
          <w:i/>
        </w:rPr>
        <w:t>Patient characteristics</w:t>
      </w:r>
    </w:p>
    <w:p w14:paraId="5DDE83B7" w14:textId="77777777" w:rsidR="004104BB" w:rsidRDefault="004104BB" w:rsidP="00F073F8">
      <w:pPr>
        <w:rPr>
          <w:i/>
        </w:rPr>
      </w:pPr>
    </w:p>
    <w:p w14:paraId="586BBFF4" w14:textId="414469B0" w:rsidR="00827DAE" w:rsidRPr="00F52B50" w:rsidRDefault="00F52B50" w:rsidP="00F073F8">
      <w:pPr>
        <w:rPr>
          <w:i/>
        </w:rPr>
      </w:pPr>
      <w:r w:rsidRPr="00F52B50">
        <w:rPr>
          <w:bCs/>
          <w:i/>
          <w:iCs/>
          <w:sz w:val="22"/>
          <w:szCs w:val="22"/>
          <w:lang w:val="en-GB"/>
        </w:rPr>
        <w:t>Geriatrics</w:t>
      </w:r>
    </w:p>
    <w:p w14:paraId="38AFE874" w14:textId="77777777" w:rsidR="00827DAE" w:rsidRPr="00BE6304" w:rsidRDefault="00827DAE" w:rsidP="00F073F8">
      <w:pPr>
        <w:rPr>
          <w:sz w:val="22"/>
          <w:szCs w:val="22"/>
        </w:rPr>
      </w:pPr>
      <w:r w:rsidRPr="00BE6304">
        <w:rPr>
          <w:sz w:val="22"/>
          <w:szCs w:val="22"/>
        </w:rPr>
        <w:t>No differences in teriparatide pharmacokinetics were detected with regard to age (range 31 to 85 years). Dosage adjustment based on age is not required.</w:t>
      </w:r>
    </w:p>
    <w:p w14:paraId="4F758ACC" w14:textId="77777777" w:rsidR="00FA22F4" w:rsidRDefault="00FA22F4" w:rsidP="00F073F8">
      <w:pPr>
        <w:rPr>
          <w:sz w:val="22"/>
          <w:szCs w:val="22"/>
        </w:rPr>
      </w:pPr>
    </w:p>
    <w:p w14:paraId="2AC1C1E5" w14:textId="2D82CC56" w:rsidR="00FF09CF" w:rsidRPr="00A55F36" w:rsidRDefault="00FF09CF" w:rsidP="00FF09CF">
      <w:pPr>
        <w:autoSpaceDE w:val="0"/>
        <w:autoSpaceDN w:val="0"/>
        <w:adjustRightInd w:val="0"/>
        <w:rPr>
          <w:rFonts w:eastAsiaTheme="minorHAnsi"/>
          <w:color w:val="000000"/>
          <w:sz w:val="23"/>
          <w:szCs w:val="23"/>
          <w:lang w:eastAsia="en-US"/>
        </w:rPr>
      </w:pPr>
      <w:r w:rsidRPr="00A55F36">
        <w:rPr>
          <w:rFonts w:eastAsiaTheme="minorHAnsi"/>
          <w:i/>
          <w:iCs/>
          <w:color w:val="000000"/>
          <w:sz w:val="23"/>
          <w:szCs w:val="23"/>
          <w:lang w:eastAsia="en-US"/>
        </w:rPr>
        <w:t>Gender</w:t>
      </w:r>
    </w:p>
    <w:p w14:paraId="66382676" w14:textId="77777777" w:rsidR="00FF09CF" w:rsidRPr="00A55F36" w:rsidRDefault="00FF09CF" w:rsidP="00FF09CF">
      <w:pPr>
        <w:autoSpaceDE w:val="0"/>
        <w:autoSpaceDN w:val="0"/>
        <w:adjustRightInd w:val="0"/>
        <w:rPr>
          <w:rFonts w:eastAsiaTheme="minorHAnsi"/>
          <w:color w:val="000000"/>
          <w:sz w:val="23"/>
          <w:szCs w:val="23"/>
          <w:lang w:eastAsia="en-US"/>
        </w:rPr>
      </w:pPr>
      <w:r w:rsidRPr="00A55F36">
        <w:rPr>
          <w:rFonts w:eastAsiaTheme="minorHAnsi"/>
          <w:color w:val="000000"/>
          <w:sz w:val="23"/>
          <w:szCs w:val="23"/>
          <w:lang w:eastAsia="en-US"/>
        </w:rPr>
        <w:t xml:space="preserve">Systemic exposure to teriparatide is approximately 20 % to 30 % lower in men than in women. There were, however, no gender differences with respect to safety, tolerability or pharmacodynamic responses. Dosage adjustment based on gender is not required. </w:t>
      </w:r>
    </w:p>
    <w:p w14:paraId="28106B9A" w14:textId="77777777" w:rsidR="00FF09CF" w:rsidRPr="00D84710" w:rsidRDefault="00FF09CF" w:rsidP="00FF09CF">
      <w:pPr>
        <w:autoSpaceDE w:val="0"/>
        <w:autoSpaceDN w:val="0"/>
        <w:adjustRightInd w:val="0"/>
        <w:rPr>
          <w:rFonts w:eastAsiaTheme="minorHAnsi"/>
          <w:color w:val="000000"/>
          <w:sz w:val="22"/>
          <w:szCs w:val="22"/>
          <w:lang w:eastAsia="en-US"/>
        </w:rPr>
      </w:pPr>
    </w:p>
    <w:p w14:paraId="13286685" w14:textId="0DE5D82F" w:rsidR="00FF09CF" w:rsidRPr="00A55F36" w:rsidRDefault="00FF09CF" w:rsidP="00FF09CF">
      <w:pPr>
        <w:autoSpaceDE w:val="0"/>
        <w:autoSpaceDN w:val="0"/>
        <w:adjustRightInd w:val="0"/>
        <w:rPr>
          <w:rFonts w:eastAsiaTheme="minorHAnsi"/>
          <w:color w:val="000000"/>
          <w:sz w:val="23"/>
          <w:szCs w:val="23"/>
          <w:lang w:eastAsia="en-US"/>
        </w:rPr>
      </w:pPr>
      <w:r w:rsidRPr="00A55F36">
        <w:rPr>
          <w:rFonts w:eastAsiaTheme="minorHAnsi"/>
          <w:i/>
          <w:iCs/>
          <w:color w:val="000000"/>
          <w:sz w:val="23"/>
          <w:szCs w:val="23"/>
          <w:lang w:eastAsia="en-US"/>
        </w:rPr>
        <w:t>Renal</w:t>
      </w:r>
      <w:r w:rsidR="00F850DD">
        <w:rPr>
          <w:rFonts w:eastAsiaTheme="minorHAnsi"/>
          <w:i/>
          <w:iCs/>
          <w:color w:val="000000"/>
          <w:sz w:val="23"/>
          <w:szCs w:val="23"/>
          <w:lang w:eastAsia="en-US"/>
        </w:rPr>
        <w:t xml:space="preserve"> </w:t>
      </w:r>
      <w:r w:rsidR="00C37B30">
        <w:rPr>
          <w:rFonts w:eastAsiaTheme="minorHAnsi"/>
          <w:i/>
          <w:iCs/>
          <w:color w:val="000000"/>
          <w:sz w:val="23"/>
          <w:szCs w:val="23"/>
          <w:lang w:eastAsia="en-US"/>
        </w:rPr>
        <w:t>i</w:t>
      </w:r>
      <w:r w:rsidRPr="00A55F36">
        <w:rPr>
          <w:rFonts w:eastAsiaTheme="minorHAnsi"/>
          <w:i/>
          <w:iCs/>
          <w:color w:val="000000"/>
          <w:sz w:val="23"/>
          <w:szCs w:val="23"/>
          <w:lang w:eastAsia="en-US"/>
        </w:rPr>
        <w:t xml:space="preserve">mpairment </w:t>
      </w:r>
    </w:p>
    <w:p w14:paraId="0FF1B424" w14:textId="3C159F0F" w:rsidR="00FF09CF" w:rsidRPr="008539F3" w:rsidRDefault="00FF09CF" w:rsidP="00FF09CF">
      <w:pPr>
        <w:autoSpaceDE w:val="0"/>
        <w:autoSpaceDN w:val="0"/>
        <w:adjustRightInd w:val="0"/>
        <w:rPr>
          <w:rFonts w:eastAsiaTheme="minorHAnsi"/>
          <w:color w:val="000000"/>
          <w:sz w:val="22"/>
          <w:szCs w:val="22"/>
          <w:lang w:eastAsia="en-US"/>
        </w:rPr>
      </w:pPr>
      <w:r w:rsidRPr="00A55F36">
        <w:rPr>
          <w:rFonts w:eastAsiaTheme="minorHAnsi"/>
          <w:color w:val="000000"/>
          <w:sz w:val="23"/>
          <w:szCs w:val="23"/>
          <w:lang w:eastAsia="en-US"/>
        </w:rPr>
        <w:t xml:space="preserve">No clinically relevant pharmacokinetic or safety differences were identified in patients with mild, moderate or severe chronic renal impairment administered a single dose of teriparatide. Dosage adjustment, based on renal function, is not required. </w:t>
      </w:r>
      <w:r w:rsidR="009D738D">
        <w:rPr>
          <w:rFonts w:eastAsiaTheme="minorHAnsi"/>
          <w:color w:val="000000"/>
          <w:sz w:val="23"/>
          <w:szCs w:val="23"/>
          <w:lang w:eastAsia="en-US"/>
        </w:rPr>
        <w:br/>
      </w:r>
    </w:p>
    <w:p w14:paraId="64C96FEB" w14:textId="421940A8" w:rsidR="00FF09CF" w:rsidRDefault="00FF09CF" w:rsidP="00FF09CF">
      <w:pPr>
        <w:autoSpaceDE w:val="0"/>
        <w:autoSpaceDN w:val="0"/>
        <w:adjustRightInd w:val="0"/>
        <w:rPr>
          <w:rFonts w:eastAsiaTheme="minorHAnsi"/>
          <w:color w:val="000000"/>
          <w:sz w:val="16"/>
          <w:szCs w:val="16"/>
          <w:lang w:eastAsia="en-US"/>
        </w:rPr>
      </w:pPr>
      <w:r w:rsidRPr="00A55F36">
        <w:rPr>
          <w:rFonts w:eastAsiaTheme="minorHAnsi"/>
          <w:color w:val="000000"/>
          <w:sz w:val="23"/>
          <w:szCs w:val="23"/>
          <w:lang w:eastAsia="en-US"/>
        </w:rPr>
        <w:t xml:space="preserve">However, patients with renal impairment had reduced calcaemic and </w:t>
      </w:r>
      <w:proofErr w:type="spellStart"/>
      <w:r w:rsidRPr="00A55F36">
        <w:rPr>
          <w:rFonts w:eastAsiaTheme="minorHAnsi"/>
          <w:color w:val="000000"/>
          <w:sz w:val="23"/>
          <w:szCs w:val="23"/>
          <w:lang w:eastAsia="en-US"/>
        </w:rPr>
        <w:t>calciuric</w:t>
      </w:r>
      <w:proofErr w:type="spellEnd"/>
      <w:r w:rsidRPr="00A55F36">
        <w:rPr>
          <w:rFonts w:eastAsiaTheme="minorHAnsi"/>
          <w:color w:val="000000"/>
          <w:sz w:val="23"/>
          <w:szCs w:val="23"/>
          <w:lang w:eastAsia="en-US"/>
        </w:rPr>
        <w:t xml:space="preserve"> responses to teriparatide. Long-term safety and efficacy have not been evaluated in patients with serum creatinine concentrations &gt;177 </w:t>
      </w:r>
      <w:proofErr w:type="spellStart"/>
      <w:r w:rsidRPr="00A55F36">
        <w:rPr>
          <w:rFonts w:eastAsiaTheme="minorHAnsi"/>
          <w:color w:val="000000"/>
          <w:sz w:val="23"/>
          <w:szCs w:val="23"/>
          <w:lang w:eastAsia="en-US"/>
        </w:rPr>
        <w:t>micromol</w:t>
      </w:r>
      <w:proofErr w:type="spellEnd"/>
      <w:r w:rsidRPr="00A55F36">
        <w:rPr>
          <w:rFonts w:eastAsiaTheme="minorHAnsi"/>
          <w:color w:val="000000"/>
          <w:sz w:val="23"/>
          <w:szCs w:val="23"/>
          <w:lang w:eastAsia="en-US"/>
        </w:rPr>
        <w:t>/L</w:t>
      </w:r>
      <w:r w:rsidRPr="00A55F36">
        <w:rPr>
          <w:rFonts w:eastAsiaTheme="minorHAnsi"/>
          <w:color w:val="000000"/>
          <w:sz w:val="16"/>
          <w:szCs w:val="16"/>
          <w:lang w:eastAsia="en-US"/>
        </w:rPr>
        <w:t xml:space="preserve"> </w:t>
      </w:r>
    </w:p>
    <w:p w14:paraId="5DD23A48" w14:textId="6512C069" w:rsidR="001278F9" w:rsidRPr="008539F3" w:rsidRDefault="001278F9" w:rsidP="00FF09CF">
      <w:pPr>
        <w:autoSpaceDE w:val="0"/>
        <w:autoSpaceDN w:val="0"/>
        <w:adjustRightInd w:val="0"/>
        <w:rPr>
          <w:rFonts w:eastAsiaTheme="minorHAnsi"/>
          <w:color w:val="000000"/>
          <w:sz w:val="22"/>
          <w:szCs w:val="22"/>
          <w:lang w:eastAsia="en-US"/>
        </w:rPr>
      </w:pPr>
    </w:p>
    <w:p w14:paraId="572127EA" w14:textId="0854D943" w:rsidR="008A5DB2" w:rsidRPr="008A5DB2" w:rsidRDefault="008A5DB2" w:rsidP="001278F9">
      <w:pPr>
        <w:autoSpaceDE w:val="0"/>
        <w:autoSpaceDN w:val="0"/>
        <w:adjustRightInd w:val="0"/>
        <w:rPr>
          <w:rFonts w:eastAsiaTheme="minorHAnsi"/>
          <w:i/>
          <w:iCs/>
          <w:sz w:val="23"/>
          <w:szCs w:val="23"/>
          <w:lang w:eastAsia="en-US"/>
        </w:rPr>
      </w:pPr>
      <w:r w:rsidRPr="008A5DB2">
        <w:rPr>
          <w:rFonts w:eastAsiaTheme="minorHAnsi"/>
          <w:i/>
          <w:iCs/>
          <w:sz w:val="23"/>
          <w:szCs w:val="23"/>
          <w:lang w:eastAsia="en-US"/>
        </w:rPr>
        <w:t>Heart failure</w:t>
      </w:r>
    </w:p>
    <w:p w14:paraId="2D568DC4" w14:textId="392612D7" w:rsidR="001278F9" w:rsidRPr="00A55F36" w:rsidRDefault="001278F9" w:rsidP="001278F9">
      <w:pPr>
        <w:autoSpaceDE w:val="0"/>
        <w:autoSpaceDN w:val="0"/>
        <w:adjustRightInd w:val="0"/>
        <w:rPr>
          <w:rFonts w:eastAsiaTheme="minorHAnsi"/>
          <w:sz w:val="23"/>
          <w:szCs w:val="23"/>
          <w:lang w:eastAsia="en-US"/>
        </w:rPr>
      </w:pPr>
      <w:r w:rsidRPr="00A55F36">
        <w:rPr>
          <w:rFonts w:eastAsiaTheme="minorHAnsi"/>
          <w:sz w:val="23"/>
          <w:szCs w:val="23"/>
          <w:lang w:eastAsia="en-US"/>
        </w:rPr>
        <w:t>No clinically relevant pharmacokinetic, blood pressure, pulse rate or other safety differences were identified in patients with stable heart failure (New York Heart Association Class I to III and additional evidence of cardiac dysfunction) administered two 20 </w:t>
      </w:r>
      <w:r w:rsidR="00E305B9">
        <w:rPr>
          <w:rFonts w:eastAsiaTheme="minorHAnsi"/>
          <w:sz w:val="23"/>
          <w:szCs w:val="23"/>
          <w:lang w:eastAsia="en-US"/>
        </w:rPr>
        <w:t>micrograms</w:t>
      </w:r>
      <w:r w:rsidRPr="00A55F36">
        <w:rPr>
          <w:rFonts w:eastAsiaTheme="minorHAnsi"/>
          <w:sz w:val="23"/>
          <w:szCs w:val="23"/>
          <w:lang w:eastAsia="en-US"/>
        </w:rPr>
        <w:t xml:space="preserve"> doses of teriparatide. Dosage adjustment based on the presence of mild or moderate heart failure is not required. There are no data from patients with severe heart failure. </w:t>
      </w:r>
    </w:p>
    <w:p w14:paraId="6C896D2B" w14:textId="77777777" w:rsidR="001278F9" w:rsidRPr="008539F3" w:rsidRDefault="001278F9" w:rsidP="001278F9">
      <w:pPr>
        <w:autoSpaceDE w:val="0"/>
        <w:autoSpaceDN w:val="0"/>
        <w:adjustRightInd w:val="0"/>
        <w:rPr>
          <w:rFonts w:eastAsiaTheme="minorHAnsi"/>
          <w:sz w:val="22"/>
          <w:szCs w:val="22"/>
          <w:lang w:eastAsia="en-US"/>
        </w:rPr>
      </w:pPr>
    </w:p>
    <w:p w14:paraId="6F2E0A12" w14:textId="318C21DC" w:rsidR="001278F9" w:rsidRPr="00A55F36" w:rsidRDefault="001278F9" w:rsidP="008539F3">
      <w:pPr>
        <w:keepNext/>
        <w:autoSpaceDE w:val="0"/>
        <w:autoSpaceDN w:val="0"/>
        <w:adjustRightInd w:val="0"/>
        <w:rPr>
          <w:rFonts w:eastAsiaTheme="minorHAnsi"/>
          <w:sz w:val="23"/>
          <w:szCs w:val="23"/>
          <w:lang w:eastAsia="en-US"/>
        </w:rPr>
      </w:pPr>
      <w:r w:rsidRPr="00A55F36">
        <w:rPr>
          <w:rFonts w:eastAsiaTheme="minorHAnsi"/>
          <w:i/>
          <w:iCs/>
          <w:sz w:val="23"/>
          <w:szCs w:val="23"/>
          <w:lang w:eastAsia="en-US"/>
        </w:rPr>
        <w:t>Hepatic impairment</w:t>
      </w:r>
    </w:p>
    <w:p w14:paraId="3F878F68" w14:textId="49108733" w:rsidR="00454FAC" w:rsidRPr="00D2194D" w:rsidRDefault="001278F9" w:rsidP="00D2194D">
      <w:pPr>
        <w:rPr>
          <w:rFonts w:eastAsiaTheme="minorHAnsi"/>
          <w:sz w:val="23"/>
          <w:szCs w:val="23"/>
          <w:lang w:eastAsia="en-US"/>
        </w:rPr>
      </w:pPr>
      <w:r w:rsidRPr="00A55F36">
        <w:rPr>
          <w:rFonts w:eastAsiaTheme="minorHAnsi"/>
          <w:sz w:val="23"/>
          <w:szCs w:val="23"/>
          <w:lang w:eastAsia="en-US"/>
        </w:rPr>
        <w:t xml:space="preserve">Safety and efficacy have not been evaluated in patients with hepatic impairment. Preclinical data indicate that hepatic </w:t>
      </w:r>
      <w:proofErr w:type="spellStart"/>
      <w:r w:rsidRPr="00A55F36">
        <w:rPr>
          <w:rFonts w:eastAsiaTheme="minorHAnsi"/>
          <w:sz w:val="23"/>
          <w:szCs w:val="23"/>
          <w:lang w:eastAsia="en-US"/>
        </w:rPr>
        <w:t>Kupffer</w:t>
      </w:r>
      <w:proofErr w:type="spellEnd"/>
      <w:r w:rsidRPr="00A55F36">
        <w:rPr>
          <w:rFonts w:eastAsiaTheme="minorHAnsi"/>
          <w:sz w:val="23"/>
          <w:szCs w:val="23"/>
          <w:lang w:eastAsia="en-US"/>
        </w:rPr>
        <w:t xml:space="preserve"> cells are the primary site of metabolism for teriparatide. It is unlikely that disease states in which hepatocyte function is impaired will have a clinically significant effect on systemic exposure to teriparatide).</w:t>
      </w:r>
    </w:p>
    <w:p w14:paraId="1956CEC3" w14:textId="77777777" w:rsidR="00830395" w:rsidRPr="008539F3" w:rsidRDefault="00830395" w:rsidP="00F073F8">
      <w:pPr>
        <w:rPr>
          <w:bCs/>
          <w:sz w:val="22"/>
          <w:szCs w:val="22"/>
          <w:lang w:val="en-GB"/>
        </w:rPr>
      </w:pPr>
    </w:p>
    <w:p w14:paraId="7725973B" w14:textId="038D125B" w:rsidR="00AE2388" w:rsidRPr="00D859BA" w:rsidRDefault="00006618" w:rsidP="00C874AA">
      <w:pPr>
        <w:rPr>
          <w:strike/>
          <w:sz w:val="22"/>
          <w:szCs w:val="22"/>
        </w:rPr>
      </w:pPr>
      <w:r w:rsidRPr="00F073F8">
        <w:rPr>
          <w:b/>
          <w:sz w:val="22"/>
          <w:szCs w:val="22"/>
          <w:lang w:val="en-GB"/>
        </w:rPr>
        <w:t>Comparative bioavailability (Bioequivalence)</w:t>
      </w:r>
      <w:r w:rsidR="00661A2B">
        <w:rPr>
          <w:b/>
          <w:sz w:val="22"/>
          <w:szCs w:val="22"/>
          <w:lang w:val="en-GB"/>
        </w:rPr>
        <w:br/>
      </w:r>
      <w:r w:rsidR="0085437E" w:rsidRPr="00F073F8">
        <w:rPr>
          <w:sz w:val="22"/>
          <w:szCs w:val="22"/>
        </w:rPr>
        <w:t>The pharmacokinetic equivalence of</w:t>
      </w:r>
      <w:r w:rsidR="0093622E" w:rsidRPr="00F073F8">
        <w:rPr>
          <w:sz w:val="22"/>
          <w:szCs w:val="22"/>
        </w:rPr>
        <w:t xml:space="preserve"> the biosimilar </w:t>
      </w:r>
      <w:r w:rsidR="001D3483" w:rsidRPr="00F073F8">
        <w:rPr>
          <w:sz w:val="22"/>
          <w:szCs w:val="22"/>
        </w:rPr>
        <w:t xml:space="preserve">TERROSA </w:t>
      </w:r>
      <w:r w:rsidR="0093622E" w:rsidRPr="00F073F8">
        <w:rPr>
          <w:sz w:val="22"/>
          <w:szCs w:val="22"/>
        </w:rPr>
        <w:t xml:space="preserve">with </w:t>
      </w:r>
      <w:r w:rsidR="001B1A61" w:rsidRPr="00F073F8">
        <w:rPr>
          <w:sz w:val="22"/>
          <w:szCs w:val="22"/>
        </w:rPr>
        <w:t xml:space="preserve">the reference </w:t>
      </w:r>
      <w:proofErr w:type="spellStart"/>
      <w:r w:rsidR="00830D56" w:rsidRPr="00F073F8">
        <w:rPr>
          <w:sz w:val="22"/>
          <w:szCs w:val="22"/>
        </w:rPr>
        <w:t>For</w:t>
      </w:r>
      <w:r w:rsidR="00B00B21">
        <w:rPr>
          <w:sz w:val="22"/>
          <w:szCs w:val="22"/>
        </w:rPr>
        <w:t>s</w:t>
      </w:r>
      <w:r w:rsidR="00830D56" w:rsidRPr="00F073F8">
        <w:rPr>
          <w:sz w:val="22"/>
          <w:szCs w:val="22"/>
        </w:rPr>
        <w:t>teo</w:t>
      </w:r>
      <w:proofErr w:type="spellEnd"/>
      <w:r w:rsidR="00D325EC" w:rsidRPr="00F073F8">
        <w:rPr>
          <w:sz w:val="22"/>
          <w:szCs w:val="22"/>
        </w:rPr>
        <w:t xml:space="preserve"> </w:t>
      </w:r>
      <w:r w:rsidR="003F5908">
        <w:rPr>
          <w:sz w:val="22"/>
          <w:szCs w:val="22"/>
        </w:rPr>
        <w:t>(</w:t>
      </w:r>
      <w:r w:rsidR="00CA1E22">
        <w:rPr>
          <w:sz w:val="22"/>
          <w:szCs w:val="22"/>
        </w:rPr>
        <w:t>EU trade name for teripa</w:t>
      </w:r>
      <w:r w:rsidR="00F63E0D">
        <w:rPr>
          <w:sz w:val="22"/>
          <w:szCs w:val="22"/>
        </w:rPr>
        <w:t xml:space="preserve">ratide) </w:t>
      </w:r>
      <w:r w:rsidR="0085437E" w:rsidRPr="00F073F8">
        <w:rPr>
          <w:sz w:val="22"/>
          <w:szCs w:val="22"/>
        </w:rPr>
        <w:t>was demonstrated in a double-blind, randomised, 2-way crossover Phase I study</w:t>
      </w:r>
      <w:r w:rsidR="00B65DB2">
        <w:rPr>
          <w:sz w:val="22"/>
          <w:szCs w:val="22"/>
        </w:rPr>
        <w:t xml:space="preserve"> RGB10</w:t>
      </w:r>
      <w:r w:rsidR="00A775D7">
        <w:rPr>
          <w:sz w:val="22"/>
          <w:szCs w:val="22"/>
        </w:rPr>
        <w:t xml:space="preserve">-001 </w:t>
      </w:r>
      <w:r w:rsidR="005341F5">
        <w:rPr>
          <w:sz w:val="22"/>
          <w:szCs w:val="22"/>
        </w:rPr>
        <w:t>i</w:t>
      </w:r>
      <w:r w:rsidR="005341F5" w:rsidRPr="00D859BA">
        <w:rPr>
          <w:sz w:val="22"/>
          <w:szCs w:val="22"/>
        </w:rPr>
        <w:t>n 5</w:t>
      </w:r>
      <w:r w:rsidR="00D859BA">
        <w:rPr>
          <w:sz w:val="22"/>
          <w:szCs w:val="22"/>
        </w:rPr>
        <w:t>4</w:t>
      </w:r>
      <w:r w:rsidR="005341F5" w:rsidRPr="00D859BA">
        <w:rPr>
          <w:sz w:val="22"/>
          <w:szCs w:val="22"/>
        </w:rPr>
        <w:t xml:space="preserve"> healthy female volunteers.</w:t>
      </w:r>
      <w:r w:rsidR="005341F5">
        <w:rPr>
          <w:sz w:val="22"/>
          <w:szCs w:val="22"/>
        </w:rPr>
        <w:t xml:space="preserve"> The </w:t>
      </w:r>
      <w:r w:rsidR="00F27BB2">
        <w:rPr>
          <w:sz w:val="22"/>
          <w:szCs w:val="22"/>
        </w:rPr>
        <w:t xml:space="preserve">pharmacokinetic parameters are summarised in </w:t>
      </w:r>
      <w:r w:rsidR="00F27BB2" w:rsidRPr="00C008AC">
        <w:rPr>
          <w:b/>
          <w:bCs/>
          <w:sz w:val="22"/>
          <w:szCs w:val="22"/>
        </w:rPr>
        <w:t>Table</w:t>
      </w:r>
      <w:r w:rsidR="002B7B4A">
        <w:rPr>
          <w:b/>
          <w:bCs/>
          <w:sz w:val="22"/>
          <w:szCs w:val="22"/>
        </w:rPr>
        <w:t xml:space="preserve"> </w:t>
      </w:r>
      <w:r w:rsidR="00C008AC" w:rsidRPr="00C008AC">
        <w:rPr>
          <w:b/>
          <w:bCs/>
          <w:sz w:val="22"/>
          <w:szCs w:val="22"/>
        </w:rPr>
        <w:t>7</w:t>
      </w:r>
      <w:r w:rsidR="00C008AC">
        <w:rPr>
          <w:sz w:val="22"/>
          <w:szCs w:val="22"/>
        </w:rPr>
        <w:t>.</w:t>
      </w:r>
      <w:r w:rsidR="00F27BB2">
        <w:rPr>
          <w:sz w:val="22"/>
          <w:szCs w:val="22"/>
        </w:rPr>
        <w:t xml:space="preserve"> </w:t>
      </w:r>
    </w:p>
    <w:p w14:paraId="32B2D1C1" w14:textId="11259DE7" w:rsidR="00104BE8" w:rsidRDefault="00104BE8" w:rsidP="00C874AA">
      <w:pPr>
        <w:rPr>
          <w:sz w:val="22"/>
          <w:szCs w:val="22"/>
        </w:rPr>
      </w:pPr>
    </w:p>
    <w:p w14:paraId="5E4DF72D" w14:textId="54F65F2F" w:rsidR="00104BE8" w:rsidRPr="00AF0D56" w:rsidRDefault="00104BE8" w:rsidP="00104BE8">
      <w:pPr>
        <w:rPr>
          <w:sz w:val="22"/>
          <w:szCs w:val="22"/>
        </w:rPr>
      </w:pPr>
      <w:r w:rsidRPr="00A775D7">
        <w:rPr>
          <w:b/>
          <w:bCs/>
          <w:sz w:val="22"/>
          <w:szCs w:val="22"/>
        </w:rPr>
        <w:t>Table</w:t>
      </w:r>
      <w:r w:rsidR="003A74E5">
        <w:rPr>
          <w:b/>
          <w:bCs/>
          <w:sz w:val="22"/>
          <w:szCs w:val="22"/>
        </w:rPr>
        <w:t xml:space="preserve"> </w:t>
      </w:r>
      <w:r w:rsidR="00BB2908">
        <w:rPr>
          <w:b/>
          <w:bCs/>
          <w:sz w:val="22"/>
          <w:szCs w:val="22"/>
        </w:rPr>
        <w:t>7.</w:t>
      </w:r>
      <w:r w:rsidRPr="00A775D7">
        <w:rPr>
          <w:b/>
          <w:bCs/>
          <w:sz w:val="22"/>
          <w:szCs w:val="22"/>
        </w:rPr>
        <w:t xml:space="preserve"> The statistical comparisons of plasma teriparatide pharmacokinetic parameters </w:t>
      </w:r>
      <w:r w:rsidRPr="00AF0D56">
        <w:rPr>
          <w:b/>
          <w:bCs/>
          <w:sz w:val="22"/>
          <w:szCs w:val="22"/>
        </w:rPr>
        <w:t xml:space="preserve">after each treatment </w:t>
      </w:r>
    </w:p>
    <w:tbl>
      <w:tblPr>
        <w:tblStyle w:val="TableGrid"/>
        <w:tblW w:w="0" w:type="auto"/>
        <w:tblLook w:val="04A0" w:firstRow="1" w:lastRow="0" w:firstColumn="1" w:lastColumn="0" w:noHBand="0" w:noVBand="1"/>
      </w:tblPr>
      <w:tblGrid>
        <w:gridCol w:w="1885"/>
        <w:gridCol w:w="990"/>
        <w:gridCol w:w="990"/>
        <w:gridCol w:w="1084"/>
        <w:gridCol w:w="2033"/>
        <w:gridCol w:w="1378"/>
      </w:tblGrid>
      <w:tr w:rsidR="00104BE8" w:rsidRPr="00104BE8" w14:paraId="64472000" w14:textId="77777777" w:rsidTr="008F013E">
        <w:tc>
          <w:tcPr>
            <w:tcW w:w="1885" w:type="dxa"/>
            <w:vAlign w:val="center"/>
          </w:tcPr>
          <w:p w14:paraId="3D0F2D37" w14:textId="77777777" w:rsidR="00104BE8" w:rsidRPr="00A775D7" w:rsidRDefault="00104BE8" w:rsidP="008F013E">
            <w:pPr>
              <w:rPr>
                <w:b/>
                <w:sz w:val="22"/>
                <w:szCs w:val="22"/>
                <w:lang w:val="en-GB"/>
              </w:rPr>
            </w:pPr>
            <w:r w:rsidRPr="00A775D7">
              <w:rPr>
                <w:b/>
                <w:sz w:val="22"/>
                <w:szCs w:val="22"/>
                <w:lang w:val="en-GB"/>
              </w:rPr>
              <w:t>Parameters</w:t>
            </w:r>
          </w:p>
        </w:tc>
        <w:tc>
          <w:tcPr>
            <w:tcW w:w="990" w:type="dxa"/>
            <w:vAlign w:val="center"/>
          </w:tcPr>
          <w:p w14:paraId="0A466057" w14:textId="77777777" w:rsidR="00104BE8" w:rsidRPr="00A775D7" w:rsidRDefault="00104BE8" w:rsidP="008F013E">
            <w:pPr>
              <w:rPr>
                <w:b/>
                <w:sz w:val="22"/>
                <w:szCs w:val="22"/>
                <w:lang w:val="en-GB"/>
              </w:rPr>
            </w:pPr>
            <w:r w:rsidRPr="00A775D7">
              <w:rPr>
                <w:b/>
                <w:sz w:val="22"/>
                <w:szCs w:val="22"/>
                <w:lang w:val="en-GB"/>
              </w:rPr>
              <w:t>Terrosa</w:t>
            </w:r>
          </w:p>
        </w:tc>
        <w:tc>
          <w:tcPr>
            <w:tcW w:w="990" w:type="dxa"/>
            <w:vAlign w:val="center"/>
          </w:tcPr>
          <w:p w14:paraId="48EA966A" w14:textId="77777777" w:rsidR="00104BE8" w:rsidRPr="00A775D7" w:rsidRDefault="00104BE8" w:rsidP="008F013E">
            <w:pPr>
              <w:rPr>
                <w:b/>
                <w:sz w:val="22"/>
                <w:szCs w:val="22"/>
                <w:lang w:val="en-GB"/>
              </w:rPr>
            </w:pPr>
            <w:proofErr w:type="spellStart"/>
            <w:r w:rsidRPr="00A775D7">
              <w:rPr>
                <w:b/>
                <w:sz w:val="22"/>
                <w:szCs w:val="22"/>
                <w:lang w:val="en-GB"/>
              </w:rPr>
              <w:t>Forsteo</w:t>
            </w:r>
            <w:proofErr w:type="spellEnd"/>
          </w:p>
        </w:tc>
        <w:tc>
          <w:tcPr>
            <w:tcW w:w="990" w:type="dxa"/>
            <w:vAlign w:val="center"/>
          </w:tcPr>
          <w:p w14:paraId="6A992BCF" w14:textId="77777777" w:rsidR="00104BE8" w:rsidRPr="00A775D7" w:rsidRDefault="00104BE8" w:rsidP="008F013E">
            <w:pPr>
              <w:rPr>
                <w:b/>
                <w:sz w:val="22"/>
                <w:szCs w:val="22"/>
                <w:lang w:val="en-GB"/>
              </w:rPr>
            </w:pPr>
            <w:r w:rsidRPr="00A775D7">
              <w:rPr>
                <w:b/>
                <w:sz w:val="22"/>
                <w:szCs w:val="22"/>
                <w:lang w:val="en-GB"/>
              </w:rPr>
              <w:t>GMR*%</w:t>
            </w:r>
          </w:p>
        </w:tc>
        <w:tc>
          <w:tcPr>
            <w:tcW w:w="2033" w:type="dxa"/>
            <w:vAlign w:val="center"/>
          </w:tcPr>
          <w:p w14:paraId="11329319" w14:textId="77777777" w:rsidR="00104BE8" w:rsidRPr="00A775D7" w:rsidRDefault="00104BE8" w:rsidP="008F013E">
            <w:pPr>
              <w:rPr>
                <w:b/>
                <w:sz w:val="22"/>
                <w:szCs w:val="22"/>
                <w:lang w:val="en-GB"/>
              </w:rPr>
            </w:pPr>
            <w:r w:rsidRPr="00A775D7">
              <w:rPr>
                <w:b/>
                <w:sz w:val="22"/>
                <w:szCs w:val="22"/>
                <w:lang w:val="en-GB"/>
              </w:rPr>
              <w:t>94.12% confidence interval</w:t>
            </w:r>
          </w:p>
        </w:tc>
        <w:tc>
          <w:tcPr>
            <w:tcW w:w="1378" w:type="dxa"/>
            <w:vAlign w:val="center"/>
          </w:tcPr>
          <w:p w14:paraId="5C41D2F6" w14:textId="77777777" w:rsidR="00104BE8" w:rsidRPr="00A775D7" w:rsidRDefault="00104BE8" w:rsidP="008F013E">
            <w:pPr>
              <w:rPr>
                <w:b/>
                <w:sz w:val="22"/>
                <w:szCs w:val="22"/>
                <w:lang w:val="en-GB"/>
              </w:rPr>
            </w:pPr>
            <w:proofErr w:type="spellStart"/>
            <w:r w:rsidRPr="00A775D7">
              <w:rPr>
                <w:b/>
                <w:sz w:val="22"/>
                <w:szCs w:val="22"/>
                <w:lang w:val="en-GB"/>
              </w:rPr>
              <w:t>Intrasubject</w:t>
            </w:r>
            <w:proofErr w:type="spellEnd"/>
            <w:r w:rsidRPr="00A775D7">
              <w:rPr>
                <w:b/>
                <w:sz w:val="22"/>
                <w:szCs w:val="22"/>
                <w:lang w:val="en-GB"/>
              </w:rPr>
              <w:t xml:space="preserve"> CV</w:t>
            </w:r>
          </w:p>
        </w:tc>
      </w:tr>
      <w:tr w:rsidR="00104BE8" w:rsidRPr="00104BE8" w14:paraId="1A1F5119" w14:textId="77777777" w:rsidTr="008F013E">
        <w:tc>
          <w:tcPr>
            <w:tcW w:w="1885" w:type="dxa"/>
          </w:tcPr>
          <w:p w14:paraId="17A38AC7" w14:textId="77777777" w:rsidR="00104BE8" w:rsidRPr="00A775D7" w:rsidRDefault="00104BE8" w:rsidP="008F013E">
            <w:pPr>
              <w:rPr>
                <w:sz w:val="22"/>
                <w:szCs w:val="22"/>
                <w:lang w:val="en-GB"/>
              </w:rPr>
            </w:pPr>
            <w:proofErr w:type="spellStart"/>
            <w:r w:rsidRPr="00A775D7">
              <w:rPr>
                <w:sz w:val="22"/>
                <w:szCs w:val="22"/>
                <w:lang w:val="en-GB"/>
              </w:rPr>
              <w:t>C</w:t>
            </w:r>
            <w:r w:rsidRPr="00A775D7">
              <w:rPr>
                <w:sz w:val="22"/>
                <w:szCs w:val="22"/>
                <w:vertAlign w:val="subscript"/>
                <w:lang w:val="en-GB"/>
              </w:rPr>
              <w:t>max</w:t>
            </w:r>
            <w:proofErr w:type="spellEnd"/>
            <w:r w:rsidRPr="00A775D7">
              <w:rPr>
                <w:sz w:val="22"/>
                <w:szCs w:val="22"/>
                <w:lang w:val="en-GB"/>
              </w:rPr>
              <w:t xml:space="preserve"> (</w:t>
            </w:r>
            <w:proofErr w:type="spellStart"/>
            <w:r w:rsidRPr="00A775D7">
              <w:rPr>
                <w:sz w:val="22"/>
                <w:szCs w:val="22"/>
                <w:lang w:val="en-GB"/>
              </w:rPr>
              <w:t>pg</w:t>
            </w:r>
            <w:proofErr w:type="spellEnd"/>
            <w:r w:rsidRPr="00A775D7">
              <w:rPr>
                <w:sz w:val="22"/>
                <w:szCs w:val="22"/>
                <w:lang w:val="en-GB"/>
              </w:rPr>
              <w:t>/mL)</w:t>
            </w:r>
          </w:p>
        </w:tc>
        <w:tc>
          <w:tcPr>
            <w:tcW w:w="990" w:type="dxa"/>
            <w:vAlign w:val="center"/>
          </w:tcPr>
          <w:p w14:paraId="780FA18C" w14:textId="77777777" w:rsidR="00104BE8" w:rsidRPr="00A775D7" w:rsidRDefault="00104BE8" w:rsidP="008F013E">
            <w:pPr>
              <w:rPr>
                <w:sz w:val="22"/>
                <w:szCs w:val="22"/>
                <w:lang w:val="en-GB"/>
              </w:rPr>
            </w:pPr>
            <w:r w:rsidRPr="00A775D7">
              <w:rPr>
                <w:sz w:val="22"/>
                <w:szCs w:val="22"/>
                <w:lang w:val="en-GB"/>
              </w:rPr>
              <w:t>83.192</w:t>
            </w:r>
          </w:p>
        </w:tc>
        <w:tc>
          <w:tcPr>
            <w:tcW w:w="990" w:type="dxa"/>
            <w:vAlign w:val="center"/>
          </w:tcPr>
          <w:p w14:paraId="0AB56CFA" w14:textId="77777777" w:rsidR="00104BE8" w:rsidRPr="00A775D7" w:rsidRDefault="00104BE8" w:rsidP="008F013E">
            <w:pPr>
              <w:rPr>
                <w:sz w:val="22"/>
                <w:szCs w:val="22"/>
                <w:lang w:val="en-GB"/>
              </w:rPr>
            </w:pPr>
            <w:r w:rsidRPr="00A775D7">
              <w:rPr>
                <w:sz w:val="22"/>
                <w:szCs w:val="22"/>
                <w:lang w:val="en-GB"/>
              </w:rPr>
              <w:t>90.179</w:t>
            </w:r>
          </w:p>
        </w:tc>
        <w:tc>
          <w:tcPr>
            <w:tcW w:w="990" w:type="dxa"/>
            <w:vAlign w:val="center"/>
          </w:tcPr>
          <w:p w14:paraId="6D2262B2" w14:textId="77777777" w:rsidR="00104BE8" w:rsidRPr="00A775D7" w:rsidRDefault="00104BE8" w:rsidP="008F013E">
            <w:pPr>
              <w:rPr>
                <w:sz w:val="22"/>
                <w:szCs w:val="22"/>
                <w:lang w:val="en-GB"/>
              </w:rPr>
            </w:pPr>
            <w:r w:rsidRPr="00A775D7">
              <w:rPr>
                <w:sz w:val="22"/>
                <w:szCs w:val="22"/>
                <w:lang w:val="en-GB"/>
              </w:rPr>
              <w:t>92.25</w:t>
            </w:r>
          </w:p>
        </w:tc>
        <w:tc>
          <w:tcPr>
            <w:tcW w:w="2033" w:type="dxa"/>
            <w:vAlign w:val="center"/>
          </w:tcPr>
          <w:p w14:paraId="5B31497D" w14:textId="77777777" w:rsidR="00104BE8" w:rsidRPr="00A775D7" w:rsidRDefault="00104BE8" w:rsidP="008F013E">
            <w:pPr>
              <w:rPr>
                <w:sz w:val="22"/>
                <w:szCs w:val="22"/>
                <w:lang w:val="en-GB"/>
              </w:rPr>
            </w:pPr>
            <w:r w:rsidRPr="00A775D7">
              <w:rPr>
                <w:sz w:val="22"/>
                <w:szCs w:val="22"/>
                <w:lang w:val="en-GB"/>
              </w:rPr>
              <w:t>85.51 – 99.52</w:t>
            </w:r>
          </w:p>
        </w:tc>
        <w:tc>
          <w:tcPr>
            <w:tcW w:w="1378" w:type="dxa"/>
            <w:vAlign w:val="center"/>
          </w:tcPr>
          <w:p w14:paraId="0CDD1FF2" w14:textId="77777777" w:rsidR="00104BE8" w:rsidRPr="00A775D7" w:rsidRDefault="00104BE8" w:rsidP="008F013E">
            <w:pPr>
              <w:rPr>
                <w:sz w:val="22"/>
                <w:szCs w:val="22"/>
                <w:lang w:val="en-GB"/>
              </w:rPr>
            </w:pPr>
            <w:r w:rsidRPr="00A775D7">
              <w:rPr>
                <w:sz w:val="22"/>
                <w:szCs w:val="22"/>
                <w:lang w:val="en-GB"/>
              </w:rPr>
              <w:t>19.37</w:t>
            </w:r>
          </w:p>
        </w:tc>
      </w:tr>
      <w:tr w:rsidR="00104BE8" w:rsidRPr="00104BE8" w14:paraId="20A53968" w14:textId="77777777" w:rsidTr="008F013E">
        <w:tc>
          <w:tcPr>
            <w:tcW w:w="1885" w:type="dxa"/>
          </w:tcPr>
          <w:p w14:paraId="3E76D8D1" w14:textId="77777777" w:rsidR="00104BE8" w:rsidRPr="00A775D7" w:rsidRDefault="00104BE8" w:rsidP="008F013E">
            <w:pPr>
              <w:rPr>
                <w:sz w:val="22"/>
                <w:szCs w:val="22"/>
                <w:lang w:val="en-GB"/>
              </w:rPr>
            </w:pPr>
            <w:r w:rsidRPr="00A775D7">
              <w:rPr>
                <w:sz w:val="22"/>
                <w:szCs w:val="22"/>
                <w:lang w:val="en-GB"/>
              </w:rPr>
              <w:t>AUC</w:t>
            </w:r>
            <w:r w:rsidRPr="00A775D7">
              <w:rPr>
                <w:sz w:val="22"/>
                <w:szCs w:val="22"/>
                <w:vertAlign w:val="subscript"/>
                <w:lang w:val="en-GB"/>
              </w:rPr>
              <w:t xml:space="preserve">0-tlast </w:t>
            </w:r>
            <w:r w:rsidRPr="00A775D7">
              <w:rPr>
                <w:sz w:val="22"/>
                <w:szCs w:val="22"/>
                <w:lang w:val="en-GB"/>
              </w:rPr>
              <w:t>(</w:t>
            </w:r>
            <w:proofErr w:type="spellStart"/>
            <w:r w:rsidRPr="00A775D7">
              <w:rPr>
                <w:sz w:val="22"/>
                <w:szCs w:val="22"/>
                <w:lang w:val="en-GB"/>
              </w:rPr>
              <w:t>pg</w:t>
            </w:r>
            <w:proofErr w:type="spellEnd"/>
            <w:r w:rsidRPr="00A775D7">
              <w:rPr>
                <w:sz w:val="22"/>
                <w:szCs w:val="22"/>
                <w:lang w:val="en-GB"/>
              </w:rPr>
              <w:t>*hr/mL)</w:t>
            </w:r>
          </w:p>
        </w:tc>
        <w:tc>
          <w:tcPr>
            <w:tcW w:w="990" w:type="dxa"/>
            <w:vAlign w:val="center"/>
          </w:tcPr>
          <w:p w14:paraId="70688E42" w14:textId="77777777" w:rsidR="00104BE8" w:rsidRPr="00A775D7" w:rsidRDefault="00104BE8" w:rsidP="008F013E">
            <w:pPr>
              <w:rPr>
                <w:sz w:val="22"/>
                <w:szCs w:val="22"/>
                <w:lang w:val="en-GB"/>
              </w:rPr>
            </w:pPr>
            <w:r w:rsidRPr="00A775D7">
              <w:rPr>
                <w:sz w:val="22"/>
                <w:szCs w:val="22"/>
                <w:lang w:val="en-GB"/>
              </w:rPr>
              <w:t>92.443</w:t>
            </w:r>
          </w:p>
        </w:tc>
        <w:tc>
          <w:tcPr>
            <w:tcW w:w="990" w:type="dxa"/>
            <w:vAlign w:val="center"/>
          </w:tcPr>
          <w:p w14:paraId="76266CFD" w14:textId="77777777" w:rsidR="00104BE8" w:rsidRPr="00A775D7" w:rsidRDefault="00104BE8" w:rsidP="008F013E">
            <w:pPr>
              <w:rPr>
                <w:sz w:val="22"/>
                <w:szCs w:val="22"/>
                <w:lang w:val="en-GB"/>
              </w:rPr>
            </w:pPr>
            <w:r w:rsidRPr="00A775D7">
              <w:rPr>
                <w:sz w:val="22"/>
                <w:szCs w:val="22"/>
                <w:lang w:val="en-GB"/>
              </w:rPr>
              <w:t>100.857</w:t>
            </w:r>
          </w:p>
        </w:tc>
        <w:tc>
          <w:tcPr>
            <w:tcW w:w="990" w:type="dxa"/>
            <w:vAlign w:val="center"/>
          </w:tcPr>
          <w:p w14:paraId="3B301F38" w14:textId="77777777" w:rsidR="00104BE8" w:rsidRPr="00A775D7" w:rsidRDefault="00104BE8" w:rsidP="008F013E">
            <w:pPr>
              <w:rPr>
                <w:sz w:val="22"/>
                <w:szCs w:val="22"/>
                <w:lang w:val="en-GB"/>
              </w:rPr>
            </w:pPr>
            <w:r w:rsidRPr="00A775D7">
              <w:rPr>
                <w:sz w:val="22"/>
                <w:szCs w:val="22"/>
                <w:lang w:val="en-GB"/>
              </w:rPr>
              <w:t>91.66</w:t>
            </w:r>
          </w:p>
        </w:tc>
        <w:tc>
          <w:tcPr>
            <w:tcW w:w="2033" w:type="dxa"/>
            <w:vAlign w:val="center"/>
          </w:tcPr>
          <w:p w14:paraId="402A842E" w14:textId="77777777" w:rsidR="00104BE8" w:rsidRPr="00A775D7" w:rsidRDefault="00104BE8" w:rsidP="008F013E">
            <w:pPr>
              <w:rPr>
                <w:sz w:val="22"/>
                <w:szCs w:val="22"/>
                <w:lang w:val="en-GB"/>
              </w:rPr>
            </w:pPr>
            <w:r w:rsidRPr="00A775D7">
              <w:rPr>
                <w:sz w:val="22"/>
                <w:szCs w:val="22"/>
                <w:lang w:val="en-GB"/>
              </w:rPr>
              <w:t>85.20 – 98.60</w:t>
            </w:r>
          </w:p>
        </w:tc>
        <w:tc>
          <w:tcPr>
            <w:tcW w:w="1378" w:type="dxa"/>
            <w:vAlign w:val="center"/>
          </w:tcPr>
          <w:p w14:paraId="3A1DB493" w14:textId="77777777" w:rsidR="00104BE8" w:rsidRPr="00A775D7" w:rsidRDefault="00104BE8" w:rsidP="008F013E">
            <w:pPr>
              <w:rPr>
                <w:sz w:val="22"/>
                <w:szCs w:val="22"/>
                <w:lang w:val="en-GB"/>
              </w:rPr>
            </w:pPr>
            <w:r w:rsidRPr="00A775D7">
              <w:rPr>
                <w:sz w:val="22"/>
                <w:szCs w:val="22"/>
                <w:lang w:val="en-GB"/>
              </w:rPr>
              <w:t>18.63</w:t>
            </w:r>
          </w:p>
        </w:tc>
      </w:tr>
      <w:tr w:rsidR="00104BE8" w:rsidRPr="00104BE8" w14:paraId="47D11B03" w14:textId="77777777" w:rsidTr="008F013E">
        <w:tc>
          <w:tcPr>
            <w:tcW w:w="1885" w:type="dxa"/>
          </w:tcPr>
          <w:p w14:paraId="7D9801A0" w14:textId="77777777" w:rsidR="00104BE8" w:rsidRPr="00A775D7" w:rsidRDefault="00104BE8" w:rsidP="008F013E">
            <w:pPr>
              <w:rPr>
                <w:sz w:val="22"/>
                <w:szCs w:val="22"/>
                <w:lang w:val="de-DE"/>
              </w:rPr>
            </w:pPr>
            <w:r w:rsidRPr="00A775D7">
              <w:rPr>
                <w:sz w:val="22"/>
                <w:szCs w:val="22"/>
                <w:lang w:val="de-DE"/>
              </w:rPr>
              <w:t>AUC</w:t>
            </w:r>
            <w:r w:rsidRPr="00A775D7">
              <w:rPr>
                <w:sz w:val="22"/>
                <w:szCs w:val="22"/>
                <w:vertAlign w:val="subscript"/>
                <w:lang w:val="de-DE"/>
              </w:rPr>
              <w:t xml:space="preserve">0-inf </w:t>
            </w:r>
            <w:r w:rsidRPr="00A775D7">
              <w:rPr>
                <w:sz w:val="22"/>
                <w:szCs w:val="22"/>
                <w:lang w:val="de-DE"/>
              </w:rPr>
              <w:t>(pg*hr/mL)</w:t>
            </w:r>
          </w:p>
        </w:tc>
        <w:tc>
          <w:tcPr>
            <w:tcW w:w="990" w:type="dxa"/>
            <w:vAlign w:val="center"/>
          </w:tcPr>
          <w:p w14:paraId="4B8355D4" w14:textId="77777777" w:rsidR="00104BE8" w:rsidRPr="00A775D7" w:rsidRDefault="00104BE8" w:rsidP="008F013E">
            <w:pPr>
              <w:rPr>
                <w:sz w:val="22"/>
                <w:szCs w:val="22"/>
                <w:lang w:val="en-GB"/>
              </w:rPr>
            </w:pPr>
            <w:r w:rsidRPr="00A775D7">
              <w:rPr>
                <w:sz w:val="22"/>
                <w:szCs w:val="22"/>
                <w:lang w:val="en-GB"/>
              </w:rPr>
              <w:t>103.886</w:t>
            </w:r>
          </w:p>
        </w:tc>
        <w:tc>
          <w:tcPr>
            <w:tcW w:w="990" w:type="dxa"/>
            <w:vAlign w:val="center"/>
          </w:tcPr>
          <w:p w14:paraId="088085DA" w14:textId="77777777" w:rsidR="00104BE8" w:rsidRPr="00A775D7" w:rsidRDefault="00104BE8" w:rsidP="008F013E">
            <w:pPr>
              <w:rPr>
                <w:sz w:val="22"/>
                <w:szCs w:val="22"/>
                <w:lang w:val="en-GB"/>
              </w:rPr>
            </w:pPr>
            <w:r w:rsidRPr="00A775D7">
              <w:rPr>
                <w:sz w:val="22"/>
                <w:szCs w:val="22"/>
                <w:lang w:val="en-GB"/>
              </w:rPr>
              <w:t>115.657</w:t>
            </w:r>
          </w:p>
        </w:tc>
        <w:tc>
          <w:tcPr>
            <w:tcW w:w="990" w:type="dxa"/>
            <w:vAlign w:val="center"/>
          </w:tcPr>
          <w:p w14:paraId="459BBBE2" w14:textId="77777777" w:rsidR="00104BE8" w:rsidRPr="00A775D7" w:rsidRDefault="00104BE8" w:rsidP="008F013E">
            <w:pPr>
              <w:rPr>
                <w:sz w:val="22"/>
                <w:szCs w:val="22"/>
                <w:lang w:val="en-GB"/>
              </w:rPr>
            </w:pPr>
            <w:r w:rsidRPr="00A775D7">
              <w:rPr>
                <w:sz w:val="22"/>
                <w:szCs w:val="22"/>
                <w:lang w:val="en-GB"/>
              </w:rPr>
              <w:t>89.82</w:t>
            </w:r>
          </w:p>
        </w:tc>
        <w:tc>
          <w:tcPr>
            <w:tcW w:w="2033" w:type="dxa"/>
            <w:vAlign w:val="center"/>
          </w:tcPr>
          <w:p w14:paraId="0283B615" w14:textId="77777777" w:rsidR="00104BE8" w:rsidRPr="00A775D7" w:rsidRDefault="00104BE8" w:rsidP="008F013E">
            <w:pPr>
              <w:rPr>
                <w:sz w:val="22"/>
                <w:szCs w:val="22"/>
                <w:lang w:val="en-GB"/>
              </w:rPr>
            </w:pPr>
            <w:r w:rsidRPr="00A775D7">
              <w:rPr>
                <w:sz w:val="22"/>
                <w:szCs w:val="22"/>
                <w:lang w:val="en-GB"/>
              </w:rPr>
              <w:t>83.75 – 96.33</w:t>
            </w:r>
          </w:p>
        </w:tc>
        <w:tc>
          <w:tcPr>
            <w:tcW w:w="1378" w:type="dxa"/>
            <w:vAlign w:val="center"/>
          </w:tcPr>
          <w:p w14:paraId="11ECE31A" w14:textId="77777777" w:rsidR="00104BE8" w:rsidRPr="00A775D7" w:rsidRDefault="00104BE8" w:rsidP="008F013E">
            <w:pPr>
              <w:rPr>
                <w:sz w:val="22"/>
                <w:szCs w:val="22"/>
                <w:lang w:val="en-GB"/>
              </w:rPr>
            </w:pPr>
            <w:r w:rsidRPr="00A775D7">
              <w:rPr>
                <w:sz w:val="22"/>
                <w:szCs w:val="22"/>
                <w:lang w:val="en-GB"/>
              </w:rPr>
              <w:t>17.48</w:t>
            </w:r>
          </w:p>
        </w:tc>
      </w:tr>
    </w:tbl>
    <w:p w14:paraId="08D0DADA" w14:textId="77777777" w:rsidR="00B352AB" w:rsidRPr="00F073F8" w:rsidRDefault="00B352AB" w:rsidP="00F073F8">
      <w:pPr>
        <w:rPr>
          <w:sz w:val="22"/>
          <w:szCs w:val="22"/>
          <w:lang w:val="en-GB"/>
        </w:rPr>
      </w:pPr>
    </w:p>
    <w:p w14:paraId="319A9A94" w14:textId="629200B3" w:rsidR="00507F08" w:rsidRPr="000E3257" w:rsidRDefault="00507F08" w:rsidP="00F073F8">
      <w:pPr>
        <w:rPr>
          <w:strike/>
          <w:sz w:val="22"/>
          <w:szCs w:val="22"/>
        </w:rPr>
      </w:pPr>
    </w:p>
    <w:p w14:paraId="6B5A9A16" w14:textId="519FFBE6" w:rsidR="00FA22F4" w:rsidRPr="00A55F36" w:rsidRDefault="00FA22F4" w:rsidP="00F073F8">
      <w:pPr>
        <w:pStyle w:val="Heading2"/>
        <w:jc w:val="left"/>
        <w:rPr>
          <w:rFonts w:ascii="Times New Roman" w:hAnsi="Times New Roman" w:cs="Times New Roman"/>
          <w:sz w:val="28"/>
          <w:szCs w:val="28"/>
        </w:rPr>
      </w:pPr>
      <w:bookmarkStart w:id="10" w:name="ref6"/>
      <w:r w:rsidRPr="00A55F36">
        <w:rPr>
          <w:rFonts w:ascii="Times New Roman" w:hAnsi="Times New Roman" w:cs="Times New Roman"/>
          <w:sz w:val="28"/>
          <w:szCs w:val="28"/>
        </w:rPr>
        <w:t>5.3</w:t>
      </w:r>
      <w:bookmarkEnd w:id="10"/>
      <w:r w:rsidRPr="00A55F36">
        <w:rPr>
          <w:rFonts w:ascii="Times New Roman" w:hAnsi="Times New Roman" w:cs="Times New Roman"/>
          <w:sz w:val="28"/>
          <w:szCs w:val="28"/>
        </w:rPr>
        <w:tab/>
        <w:t>PRECLINICAL SAFETY DATA</w:t>
      </w:r>
    </w:p>
    <w:p w14:paraId="5C29DB49" w14:textId="77777777" w:rsidR="00857D25" w:rsidRPr="00F073F8" w:rsidRDefault="00857D25" w:rsidP="00F073F8">
      <w:pPr>
        <w:rPr>
          <w:sz w:val="22"/>
          <w:szCs w:val="22"/>
        </w:rPr>
      </w:pPr>
    </w:p>
    <w:p w14:paraId="08FA0ADC" w14:textId="231778A7" w:rsidR="00357022" w:rsidRPr="008539F3" w:rsidRDefault="00827DAE" w:rsidP="00F073F8">
      <w:pPr>
        <w:rPr>
          <w:b/>
          <w:i/>
          <w:iCs/>
          <w:sz w:val="22"/>
          <w:szCs w:val="22"/>
          <w:lang w:val="en-GB"/>
        </w:rPr>
      </w:pPr>
      <w:r w:rsidRPr="008539F3">
        <w:rPr>
          <w:b/>
          <w:i/>
          <w:iCs/>
          <w:sz w:val="22"/>
          <w:szCs w:val="22"/>
          <w:lang w:val="en-GB"/>
        </w:rPr>
        <w:t>Genotoxicity</w:t>
      </w:r>
    </w:p>
    <w:p w14:paraId="660740DC" w14:textId="65009F50" w:rsidR="0034564D" w:rsidRPr="00324DC0" w:rsidRDefault="00103241" w:rsidP="00F073F8">
      <w:pPr>
        <w:rPr>
          <w:sz w:val="22"/>
          <w:szCs w:val="22"/>
        </w:rPr>
      </w:pPr>
      <w:r w:rsidRPr="00324DC0">
        <w:rPr>
          <w:sz w:val="22"/>
          <w:szCs w:val="22"/>
        </w:rPr>
        <w:t>Teriparatide was not genotoxic in assays for gene mutations (Ames test and mouse lymphoma assay in vitro) and chromosomal damage (Chinese hamster ovary cells in vitro and the mouse micronucleus test in vivo).</w:t>
      </w:r>
    </w:p>
    <w:p w14:paraId="38F7BB9A" w14:textId="77777777" w:rsidR="00103241" w:rsidRPr="00F073F8" w:rsidRDefault="00103241" w:rsidP="00F073F8">
      <w:pPr>
        <w:rPr>
          <w:sz w:val="22"/>
          <w:szCs w:val="22"/>
          <w:lang w:val="en-GB"/>
        </w:rPr>
      </w:pPr>
    </w:p>
    <w:p w14:paraId="2783CABA" w14:textId="567C6613" w:rsidR="00357022" w:rsidRPr="008539F3" w:rsidRDefault="00827DAE" w:rsidP="00F073F8">
      <w:pPr>
        <w:rPr>
          <w:b/>
          <w:i/>
          <w:iCs/>
          <w:sz w:val="22"/>
          <w:szCs w:val="22"/>
          <w:lang w:val="en-GB"/>
        </w:rPr>
      </w:pPr>
      <w:r w:rsidRPr="008539F3">
        <w:rPr>
          <w:b/>
          <w:i/>
          <w:iCs/>
          <w:sz w:val="22"/>
          <w:szCs w:val="22"/>
          <w:lang w:val="en-GB"/>
        </w:rPr>
        <w:t>Carcinogenicity</w:t>
      </w:r>
    </w:p>
    <w:p w14:paraId="5DA541B5" w14:textId="4AAB3E04" w:rsidR="00E82FA5" w:rsidRDefault="00F0483E" w:rsidP="00F0483E">
      <w:pPr>
        <w:rPr>
          <w:sz w:val="22"/>
          <w:szCs w:val="22"/>
        </w:rPr>
      </w:pPr>
      <w:r w:rsidRPr="00324DC0">
        <w:rPr>
          <w:sz w:val="22"/>
          <w:szCs w:val="22"/>
        </w:rPr>
        <w:t xml:space="preserve">Two carcinogenicity bioassays were conducted in rats. In the first study, male and female rats were given daily subcutaneous teriparatide injections of 5, 30, or 75 </w:t>
      </w:r>
      <w:r w:rsidR="003210B3">
        <w:rPr>
          <w:sz w:val="22"/>
          <w:szCs w:val="22"/>
        </w:rPr>
        <w:t>micro</w:t>
      </w:r>
      <w:r w:rsidRPr="00324DC0">
        <w:rPr>
          <w:sz w:val="22"/>
          <w:szCs w:val="22"/>
        </w:rPr>
        <w:t>g</w:t>
      </w:r>
      <w:r w:rsidR="003210B3">
        <w:rPr>
          <w:sz w:val="22"/>
          <w:szCs w:val="22"/>
        </w:rPr>
        <w:t>rams</w:t>
      </w:r>
      <w:r w:rsidRPr="00324DC0">
        <w:rPr>
          <w:sz w:val="22"/>
          <w:szCs w:val="22"/>
        </w:rPr>
        <w:t>/kg/day for</w:t>
      </w:r>
      <w:r w:rsidR="004D5A79">
        <w:rPr>
          <w:sz w:val="22"/>
          <w:szCs w:val="22"/>
        </w:rPr>
        <w:t xml:space="preserve"> </w:t>
      </w:r>
      <w:r w:rsidRPr="00324DC0">
        <w:rPr>
          <w:sz w:val="22"/>
          <w:szCs w:val="22"/>
        </w:rPr>
        <w:t xml:space="preserve">24 months from 2 months of age. These doses resulted in systemic exposures that </w:t>
      </w:r>
      <w:r w:rsidR="00327AD2" w:rsidRPr="00324DC0">
        <w:rPr>
          <w:sz w:val="22"/>
          <w:szCs w:val="22"/>
        </w:rPr>
        <w:t>were,</w:t>
      </w:r>
      <w:r w:rsidR="00327AD2">
        <w:rPr>
          <w:sz w:val="22"/>
          <w:szCs w:val="22"/>
        </w:rPr>
        <w:t xml:space="preserve"> </w:t>
      </w:r>
      <w:r w:rsidR="00327AD2" w:rsidRPr="00324DC0">
        <w:rPr>
          <w:sz w:val="22"/>
          <w:szCs w:val="22"/>
        </w:rPr>
        <w:t>respectively</w:t>
      </w:r>
      <w:r w:rsidRPr="00324DC0">
        <w:rPr>
          <w:sz w:val="22"/>
          <w:szCs w:val="22"/>
        </w:rPr>
        <w:t xml:space="preserve">, 3, 20, and 60 </w:t>
      </w:r>
      <w:r w:rsidR="00327AD2">
        <w:rPr>
          <w:sz w:val="22"/>
          <w:szCs w:val="22"/>
        </w:rPr>
        <w:t>t</w:t>
      </w:r>
      <w:r w:rsidRPr="00324DC0">
        <w:rPr>
          <w:sz w:val="22"/>
          <w:szCs w:val="22"/>
        </w:rPr>
        <w:t>imes higher than the systemic exposure observed in humans following a subcutaneous dose of 20</w:t>
      </w:r>
      <w:r w:rsidR="00CD3F78">
        <w:rPr>
          <w:sz w:val="22"/>
          <w:szCs w:val="22"/>
        </w:rPr>
        <w:t xml:space="preserve"> </w:t>
      </w:r>
      <w:r w:rsidR="00290C58">
        <w:rPr>
          <w:sz w:val="22"/>
          <w:szCs w:val="22"/>
        </w:rPr>
        <w:t>micro</w:t>
      </w:r>
      <w:r w:rsidRPr="00324DC0">
        <w:rPr>
          <w:sz w:val="22"/>
          <w:szCs w:val="22"/>
        </w:rPr>
        <w:t>g</w:t>
      </w:r>
      <w:r w:rsidR="00290C58">
        <w:rPr>
          <w:sz w:val="22"/>
          <w:szCs w:val="22"/>
        </w:rPr>
        <w:t>rams</w:t>
      </w:r>
      <w:r w:rsidRPr="00324DC0">
        <w:rPr>
          <w:sz w:val="22"/>
          <w:szCs w:val="22"/>
        </w:rPr>
        <w:t xml:space="preserve"> (based on AUC comparison). Teriparatide treatment</w:t>
      </w:r>
      <w:r w:rsidR="009E380A" w:rsidRPr="00324DC0">
        <w:rPr>
          <w:sz w:val="22"/>
          <w:szCs w:val="22"/>
        </w:rPr>
        <w:t xml:space="preserve"> </w:t>
      </w:r>
      <w:r w:rsidRPr="00324DC0">
        <w:rPr>
          <w:sz w:val="22"/>
          <w:szCs w:val="22"/>
        </w:rPr>
        <w:t>resulted in a marked dose-related increase in the incidence of osteosarcoma, a rare</w:t>
      </w:r>
      <w:r w:rsidR="009E380A" w:rsidRPr="00324DC0">
        <w:rPr>
          <w:sz w:val="22"/>
          <w:szCs w:val="22"/>
        </w:rPr>
        <w:t xml:space="preserve"> </w:t>
      </w:r>
      <w:r w:rsidRPr="00324DC0">
        <w:rPr>
          <w:sz w:val="22"/>
          <w:szCs w:val="22"/>
        </w:rPr>
        <w:t>malignant bone tumour, in both male and female rats. Osteosarcomas were observed at all</w:t>
      </w:r>
      <w:r w:rsidR="009E380A" w:rsidRPr="00324DC0">
        <w:rPr>
          <w:sz w:val="22"/>
          <w:szCs w:val="22"/>
        </w:rPr>
        <w:t xml:space="preserve"> </w:t>
      </w:r>
      <w:r w:rsidRPr="00324DC0">
        <w:rPr>
          <w:sz w:val="22"/>
          <w:szCs w:val="22"/>
        </w:rPr>
        <w:t>doses, occurred after 17 to 20 months of treatment, and reached an incidence of 38% to</w:t>
      </w:r>
      <w:r w:rsidR="009E380A" w:rsidRPr="00324DC0">
        <w:rPr>
          <w:sz w:val="22"/>
          <w:szCs w:val="22"/>
        </w:rPr>
        <w:t xml:space="preserve"> </w:t>
      </w:r>
      <w:r w:rsidRPr="00324DC0">
        <w:rPr>
          <w:sz w:val="22"/>
          <w:szCs w:val="22"/>
        </w:rPr>
        <w:t xml:space="preserve">52% in the high-dose groups. </w:t>
      </w:r>
    </w:p>
    <w:p w14:paraId="0B964B62" w14:textId="0FA8CFE0" w:rsidR="00F0483E" w:rsidRPr="00324DC0" w:rsidRDefault="00F0483E" w:rsidP="00F0483E">
      <w:pPr>
        <w:rPr>
          <w:sz w:val="22"/>
          <w:szCs w:val="22"/>
        </w:rPr>
      </w:pPr>
      <w:r w:rsidRPr="00324DC0">
        <w:rPr>
          <w:sz w:val="22"/>
          <w:szCs w:val="22"/>
        </w:rPr>
        <w:t>Teriparatide also caused increased incidences of</w:t>
      </w:r>
      <w:r w:rsidR="00290C58">
        <w:rPr>
          <w:sz w:val="22"/>
          <w:szCs w:val="22"/>
        </w:rPr>
        <w:t xml:space="preserve"> </w:t>
      </w:r>
      <w:r w:rsidRPr="00324DC0">
        <w:rPr>
          <w:sz w:val="22"/>
          <w:szCs w:val="22"/>
        </w:rPr>
        <w:t xml:space="preserve"> </w:t>
      </w:r>
      <w:proofErr w:type="spellStart"/>
      <w:r w:rsidRPr="00324DC0">
        <w:rPr>
          <w:sz w:val="22"/>
          <w:szCs w:val="22"/>
        </w:rPr>
        <w:t>osteoblastoma</w:t>
      </w:r>
      <w:proofErr w:type="spellEnd"/>
      <w:r w:rsidRPr="00324DC0">
        <w:rPr>
          <w:sz w:val="22"/>
          <w:szCs w:val="22"/>
        </w:rPr>
        <w:t xml:space="preserve"> and </w:t>
      </w:r>
      <w:proofErr w:type="spellStart"/>
      <w:r w:rsidRPr="00324DC0">
        <w:rPr>
          <w:sz w:val="22"/>
          <w:szCs w:val="22"/>
        </w:rPr>
        <w:t>osteoma</w:t>
      </w:r>
      <w:proofErr w:type="spellEnd"/>
      <w:r w:rsidRPr="00324DC0">
        <w:rPr>
          <w:sz w:val="22"/>
          <w:szCs w:val="22"/>
        </w:rPr>
        <w:t xml:space="preserve"> in both sexes. No osteosarcomas, </w:t>
      </w:r>
      <w:proofErr w:type="spellStart"/>
      <w:r w:rsidRPr="00324DC0">
        <w:rPr>
          <w:sz w:val="22"/>
          <w:szCs w:val="22"/>
        </w:rPr>
        <w:t>osteoblastomas</w:t>
      </w:r>
      <w:proofErr w:type="spellEnd"/>
      <w:r w:rsidRPr="00324DC0">
        <w:rPr>
          <w:sz w:val="22"/>
          <w:szCs w:val="22"/>
        </w:rPr>
        <w:t xml:space="preserve"> or </w:t>
      </w:r>
      <w:proofErr w:type="spellStart"/>
      <w:r w:rsidRPr="00324DC0">
        <w:rPr>
          <w:sz w:val="22"/>
          <w:szCs w:val="22"/>
        </w:rPr>
        <w:t>osteomas</w:t>
      </w:r>
      <w:proofErr w:type="spellEnd"/>
      <w:r w:rsidRPr="00324DC0">
        <w:rPr>
          <w:sz w:val="22"/>
          <w:szCs w:val="22"/>
        </w:rPr>
        <w:t xml:space="preserve"> were observed in untreated control rats. The bone tumours in rats occurred in association with a large increase in bone mass and focal osteoblast hyperplasia.</w:t>
      </w:r>
    </w:p>
    <w:p w14:paraId="083321C2" w14:textId="77777777" w:rsidR="00ED75F7" w:rsidRPr="00324DC0" w:rsidRDefault="00ED75F7" w:rsidP="00F0483E">
      <w:pPr>
        <w:rPr>
          <w:sz w:val="22"/>
          <w:szCs w:val="22"/>
        </w:rPr>
      </w:pPr>
    </w:p>
    <w:p w14:paraId="136C4D7E" w14:textId="74E75C12" w:rsidR="00E03DAF" w:rsidRPr="00324DC0" w:rsidRDefault="00F0483E" w:rsidP="00E03DAF">
      <w:pPr>
        <w:rPr>
          <w:sz w:val="22"/>
          <w:szCs w:val="22"/>
        </w:rPr>
      </w:pPr>
      <w:r w:rsidRPr="00324DC0">
        <w:rPr>
          <w:sz w:val="22"/>
          <w:szCs w:val="22"/>
        </w:rPr>
        <w:t>The second 2-year study was carried out in order to determine the effect of treatment duration and animal age on the development of bone tumours. Female rats were treated for</w:t>
      </w:r>
      <w:r w:rsidR="00594786" w:rsidRPr="00324DC0">
        <w:rPr>
          <w:sz w:val="22"/>
          <w:szCs w:val="22"/>
        </w:rPr>
        <w:t xml:space="preserve"> </w:t>
      </w:r>
      <w:r w:rsidRPr="00324DC0">
        <w:rPr>
          <w:sz w:val="22"/>
          <w:szCs w:val="22"/>
        </w:rPr>
        <w:t>different periods between 2 and 26 months of age with subcutaneous doses of 5 and</w:t>
      </w:r>
      <w:r w:rsidR="00327AD2">
        <w:rPr>
          <w:sz w:val="22"/>
          <w:szCs w:val="22"/>
        </w:rPr>
        <w:t xml:space="preserve"> </w:t>
      </w:r>
      <w:r w:rsidRPr="00324DC0">
        <w:rPr>
          <w:sz w:val="22"/>
          <w:szCs w:val="22"/>
        </w:rPr>
        <w:t xml:space="preserve">30 </w:t>
      </w:r>
      <w:r w:rsidR="004E06D6">
        <w:rPr>
          <w:sz w:val="22"/>
          <w:szCs w:val="22"/>
        </w:rPr>
        <w:t>micro</w:t>
      </w:r>
      <w:r w:rsidRPr="00324DC0">
        <w:rPr>
          <w:sz w:val="22"/>
          <w:szCs w:val="22"/>
        </w:rPr>
        <w:t>g</w:t>
      </w:r>
      <w:r w:rsidR="004E06D6">
        <w:rPr>
          <w:sz w:val="22"/>
          <w:szCs w:val="22"/>
        </w:rPr>
        <w:t>rams</w:t>
      </w:r>
      <w:r w:rsidRPr="00324DC0">
        <w:rPr>
          <w:sz w:val="22"/>
          <w:szCs w:val="22"/>
        </w:rPr>
        <w:t>/kg (equivalent to 3 and 20 times the human exposure at the 20</w:t>
      </w:r>
      <w:r w:rsidR="004F4B62">
        <w:rPr>
          <w:sz w:val="22"/>
          <w:szCs w:val="22"/>
        </w:rPr>
        <w:t xml:space="preserve"> micro</w:t>
      </w:r>
      <w:r w:rsidRPr="00324DC0">
        <w:rPr>
          <w:sz w:val="22"/>
          <w:szCs w:val="22"/>
        </w:rPr>
        <w:t>g</w:t>
      </w:r>
      <w:r w:rsidR="004F4B62">
        <w:rPr>
          <w:sz w:val="22"/>
          <w:szCs w:val="22"/>
        </w:rPr>
        <w:t>rams</w:t>
      </w:r>
      <w:r w:rsidRPr="00324DC0">
        <w:rPr>
          <w:sz w:val="22"/>
          <w:szCs w:val="22"/>
        </w:rPr>
        <w:t xml:space="preserve"> dose, based on AUC). The study showed that the occurrence of osteosarcoma, </w:t>
      </w:r>
      <w:proofErr w:type="spellStart"/>
      <w:r w:rsidRPr="00324DC0">
        <w:rPr>
          <w:sz w:val="22"/>
          <w:szCs w:val="22"/>
        </w:rPr>
        <w:t>osteoblastoma</w:t>
      </w:r>
      <w:proofErr w:type="spellEnd"/>
      <w:r w:rsidRPr="00324DC0">
        <w:rPr>
          <w:sz w:val="22"/>
          <w:szCs w:val="22"/>
        </w:rPr>
        <w:t xml:space="preserve"> and </w:t>
      </w:r>
      <w:proofErr w:type="spellStart"/>
      <w:r w:rsidRPr="00324DC0">
        <w:rPr>
          <w:sz w:val="22"/>
          <w:szCs w:val="22"/>
        </w:rPr>
        <w:t>osteoma</w:t>
      </w:r>
      <w:proofErr w:type="spellEnd"/>
      <w:r w:rsidR="00594786" w:rsidRPr="00324DC0">
        <w:rPr>
          <w:sz w:val="22"/>
          <w:szCs w:val="22"/>
        </w:rPr>
        <w:t xml:space="preserve"> </w:t>
      </w:r>
      <w:r w:rsidRPr="00324DC0">
        <w:rPr>
          <w:sz w:val="22"/>
          <w:szCs w:val="22"/>
        </w:rPr>
        <w:t>was dependent upon dose and duration of exposure. Bone tumours were observed when</w:t>
      </w:r>
      <w:r w:rsidR="00E03DAF" w:rsidRPr="00324DC0">
        <w:rPr>
          <w:sz w:val="22"/>
          <w:szCs w:val="22"/>
        </w:rPr>
        <w:t xml:space="preserve"> immature 2-month old rats were treated with 30 </w:t>
      </w:r>
      <w:r w:rsidR="004F4B62">
        <w:rPr>
          <w:sz w:val="22"/>
          <w:szCs w:val="22"/>
        </w:rPr>
        <w:t>micro</w:t>
      </w:r>
      <w:r w:rsidR="00E03DAF" w:rsidRPr="00324DC0">
        <w:rPr>
          <w:sz w:val="22"/>
          <w:szCs w:val="22"/>
        </w:rPr>
        <w:t>g</w:t>
      </w:r>
      <w:r w:rsidR="004F4B62">
        <w:rPr>
          <w:sz w:val="22"/>
          <w:szCs w:val="22"/>
        </w:rPr>
        <w:t>rams</w:t>
      </w:r>
      <w:r w:rsidR="00E03DAF" w:rsidRPr="00324DC0">
        <w:rPr>
          <w:sz w:val="22"/>
          <w:szCs w:val="22"/>
        </w:rPr>
        <w:t>/kg/day for 6 or 24 months. Bone tumours were also observed when mature 6-month old rats were treated with</w:t>
      </w:r>
      <w:r w:rsidR="004F4B62">
        <w:rPr>
          <w:sz w:val="22"/>
          <w:szCs w:val="22"/>
        </w:rPr>
        <w:t xml:space="preserve"> </w:t>
      </w:r>
      <w:r w:rsidR="00E03DAF" w:rsidRPr="00324DC0">
        <w:rPr>
          <w:sz w:val="22"/>
          <w:szCs w:val="22"/>
        </w:rPr>
        <w:t xml:space="preserve">30 </w:t>
      </w:r>
      <w:r w:rsidR="00D62870">
        <w:rPr>
          <w:sz w:val="22"/>
          <w:szCs w:val="22"/>
        </w:rPr>
        <w:t>micrograms</w:t>
      </w:r>
      <w:r w:rsidR="00E03DAF" w:rsidRPr="00324DC0">
        <w:rPr>
          <w:sz w:val="22"/>
          <w:szCs w:val="22"/>
        </w:rPr>
        <w:t xml:space="preserve">/kg/day for 6 or 20 months. Tumours were not detected when mature 6-month old rats were treated with 5 </w:t>
      </w:r>
      <w:r w:rsidR="00D62870">
        <w:rPr>
          <w:sz w:val="22"/>
          <w:szCs w:val="22"/>
        </w:rPr>
        <w:t>micro</w:t>
      </w:r>
      <w:r w:rsidR="00E03DAF" w:rsidRPr="00324DC0">
        <w:rPr>
          <w:sz w:val="22"/>
          <w:szCs w:val="22"/>
        </w:rPr>
        <w:t>g</w:t>
      </w:r>
      <w:r w:rsidR="00D62870">
        <w:rPr>
          <w:sz w:val="22"/>
          <w:szCs w:val="22"/>
        </w:rPr>
        <w:t>rams</w:t>
      </w:r>
      <w:r w:rsidR="00E03DAF" w:rsidRPr="00324DC0">
        <w:rPr>
          <w:sz w:val="22"/>
          <w:szCs w:val="22"/>
        </w:rPr>
        <w:t>/kg/day for 6 or 20 months. The results did not demonstrate a difference in susceptibility to bone tumour formation, associated with teriparatide treatment, between mature and immature rats. The relevance of these rat findings to humans is uncertain.</w:t>
      </w:r>
    </w:p>
    <w:p w14:paraId="00804C3E" w14:textId="77777777" w:rsidR="00CB0408" w:rsidRPr="00324DC0" w:rsidRDefault="00CB0408" w:rsidP="007B7E68">
      <w:pPr>
        <w:rPr>
          <w:sz w:val="22"/>
          <w:szCs w:val="22"/>
        </w:rPr>
      </w:pPr>
    </w:p>
    <w:p w14:paraId="3480C9DB" w14:textId="68A6BE70" w:rsidR="00E03DAF" w:rsidRPr="00324DC0" w:rsidRDefault="00E03DAF" w:rsidP="007B7E68">
      <w:pPr>
        <w:rPr>
          <w:sz w:val="22"/>
          <w:szCs w:val="22"/>
        </w:rPr>
      </w:pPr>
      <w:r w:rsidRPr="00324DC0">
        <w:rPr>
          <w:sz w:val="22"/>
          <w:szCs w:val="22"/>
        </w:rPr>
        <w:t xml:space="preserve">No bone neoplasms or </w:t>
      </w:r>
      <w:proofErr w:type="spellStart"/>
      <w:r w:rsidRPr="00324DC0">
        <w:rPr>
          <w:sz w:val="22"/>
          <w:szCs w:val="22"/>
        </w:rPr>
        <w:t>preneoplastic</w:t>
      </w:r>
      <w:proofErr w:type="spellEnd"/>
      <w:r w:rsidRPr="00324DC0">
        <w:rPr>
          <w:sz w:val="22"/>
          <w:szCs w:val="22"/>
        </w:rPr>
        <w:t xml:space="preserve"> lesions were found in monkeys treated with teriparatide </w:t>
      </w:r>
      <w:proofErr w:type="spellStart"/>
      <w:r w:rsidR="00E305B9" w:rsidRPr="00324DC0">
        <w:rPr>
          <w:sz w:val="22"/>
          <w:szCs w:val="22"/>
        </w:rPr>
        <w:t>s.c.</w:t>
      </w:r>
      <w:proofErr w:type="spellEnd"/>
      <w:r w:rsidRPr="00324DC0">
        <w:rPr>
          <w:sz w:val="22"/>
          <w:szCs w:val="22"/>
        </w:rPr>
        <w:t xml:space="preserve"> for 18 months, and then observed for a further 3 years, at a dose yielding</w:t>
      </w:r>
      <w:r w:rsidR="00510627">
        <w:rPr>
          <w:sz w:val="22"/>
          <w:szCs w:val="22"/>
        </w:rPr>
        <w:t xml:space="preserve"> </w:t>
      </w:r>
      <w:r w:rsidRPr="00324DC0">
        <w:rPr>
          <w:sz w:val="22"/>
          <w:szCs w:val="22"/>
        </w:rPr>
        <w:t>5- fold clinical exposure levels (based on AUC data</w:t>
      </w:r>
      <w:bookmarkStart w:id="11" w:name="_bookmark1"/>
      <w:bookmarkEnd w:id="11"/>
      <w:r w:rsidRPr="00324DC0">
        <w:rPr>
          <w:sz w:val="22"/>
          <w:szCs w:val="22"/>
        </w:rPr>
        <w:t>).</w:t>
      </w:r>
    </w:p>
    <w:p w14:paraId="5AA4200E" w14:textId="65A82271" w:rsidR="00103241" w:rsidRDefault="00103241" w:rsidP="00F073F8">
      <w:pPr>
        <w:rPr>
          <w:sz w:val="22"/>
          <w:szCs w:val="22"/>
          <w:lang w:val="en-GB"/>
        </w:rPr>
      </w:pPr>
    </w:p>
    <w:p w14:paraId="210942ED" w14:textId="77777777" w:rsidR="00FA22F4" w:rsidRPr="00A55F36" w:rsidRDefault="00FA22F4" w:rsidP="00F073F8">
      <w:pPr>
        <w:pStyle w:val="Heading1"/>
        <w:jc w:val="left"/>
        <w:rPr>
          <w:rFonts w:ascii="Times New Roman" w:hAnsi="Times New Roman" w:cs="Times New Roman"/>
          <w:sz w:val="28"/>
          <w:szCs w:val="28"/>
        </w:rPr>
      </w:pPr>
      <w:r w:rsidRPr="00A55F36">
        <w:rPr>
          <w:rFonts w:ascii="Times New Roman" w:hAnsi="Times New Roman" w:cs="Times New Roman"/>
          <w:sz w:val="28"/>
          <w:szCs w:val="28"/>
        </w:rPr>
        <w:t>6.</w:t>
      </w:r>
      <w:r w:rsidRPr="00A55F36">
        <w:rPr>
          <w:rFonts w:ascii="Times New Roman" w:hAnsi="Times New Roman" w:cs="Times New Roman"/>
          <w:sz w:val="28"/>
          <w:szCs w:val="28"/>
        </w:rPr>
        <w:tab/>
        <w:t>PHARMACEUTICAL PARTICULARS</w:t>
      </w:r>
    </w:p>
    <w:p w14:paraId="7B593325" w14:textId="77777777" w:rsidR="00FA22F4" w:rsidRPr="00A55F36" w:rsidRDefault="00FA22F4" w:rsidP="00F073F8">
      <w:pPr>
        <w:rPr>
          <w:sz w:val="28"/>
          <w:szCs w:val="28"/>
          <w:lang w:val="en-GB"/>
        </w:rPr>
      </w:pPr>
    </w:p>
    <w:p w14:paraId="280C035C" w14:textId="178FE9D3" w:rsidR="00FA22F4" w:rsidRPr="00A55F36" w:rsidRDefault="00FA22F4" w:rsidP="00F073F8">
      <w:pPr>
        <w:pStyle w:val="Heading2"/>
        <w:jc w:val="left"/>
        <w:rPr>
          <w:rFonts w:ascii="Times New Roman" w:hAnsi="Times New Roman" w:cs="Times New Roman"/>
          <w:sz w:val="28"/>
          <w:szCs w:val="28"/>
        </w:rPr>
      </w:pPr>
      <w:bookmarkStart w:id="12" w:name="ref1"/>
      <w:r w:rsidRPr="009F4BCF">
        <w:rPr>
          <w:rFonts w:ascii="Times New Roman" w:hAnsi="Times New Roman" w:cs="Times New Roman"/>
          <w:sz w:val="28"/>
          <w:szCs w:val="28"/>
        </w:rPr>
        <w:t>6</w:t>
      </w:r>
      <w:r w:rsidRPr="00A55F36">
        <w:rPr>
          <w:rFonts w:ascii="Times New Roman" w:hAnsi="Times New Roman" w:cs="Times New Roman"/>
          <w:sz w:val="28"/>
          <w:szCs w:val="28"/>
        </w:rPr>
        <w:t>.1</w:t>
      </w:r>
      <w:bookmarkEnd w:id="12"/>
      <w:r w:rsidRPr="00A55F36">
        <w:rPr>
          <w:rFonts w:ascii="Times New Roman" w:hAnsi="Times New Roman" w:cs="Times New Roman"/>
          <w:sz w:val="28"/>
          <w:szCs w:val="28"/>
        </w:rPr>
        <w:tab/>
      </w:r>
      <w:r w:rsidRPr="007544D7">
        <w:rPr>
          <w:rFonts w:ascii="Times New Roman" w:hAnsi="Times New Roman" w:cs="Times New Roman"/>
          <w:sz w:val="28"/>
          <w:szCs w:val="28"/>
        </w:rPr>
        <w:t>LIST OF EXCIPIENTS</w:t>
      </w:r>
    </w:p>
    <w:p w14:paraId="40D32234" w14:textId="77777777" w:rsidR="00357022" w:rsidRPr="00F073F8" w:rsidRDefault="00357022" w:rsidP="00F073F8">
      <w:pPr>
        <w:rPr>
          <w:sz w:val="22"/>
          <w:szCs w:val="22"/>
        </w:rPr>
      </w:pPr>
    </w:p>
    <w:p w14:paraId="6FE9B011" w14:textId="7795971D" w:rsidR="0034564D" w:rsidRPr="00F073F8" w:rsidRDefault="0034564D" w:rsidP="00F073F8">
      <w:pPr>
        <w:rPr>
          <w:sz w:val="22"/>
          <w:szCs w:val="22"/>
        </w:rPr>
      </w:pPr>
      <w:r w:rsidRPr="00F073F8">
        <w:rPr>
          <w:sz w:val="22"/>
          <w:szCs w:val="22"/>
        </w:rPr>
        <w:t>Glacial acetic acid</w:t>
      </w:r>
    </w:p>
    <w:p w14:paraId="73147F99" w14:textId="77777777" w:rsidR="0034564D" w:rsidRPr="00F073F8" w:rsidRDefault="0034564D" w:rsidP="00F073F8">
      <w:pPr>
        <w:rPr>
          <w:sz w:val="22"/>
          <w:szCs w:val="22"/>
        </w:rPr>
      </w:pPr>
      <w:r w:rsidRPr="00F073F8">
        <w:rPr>
          <w:sz w:val="22"/>
          <w:szCs w:val="22"/>
        </w:rPr>
        <w:t>Mannitol</w:t>
      </w:r>
    </w:p>
    <w:p w14:paraId="7470017F" w14:textId="77777777" w:rsidR="0034564D" w:rsidRPr="00F073F8" w:rsidRDefault="0034564D" w:rsidP="00F073F8">
      <w:pPr>
        <w:rPr>
          <w:sz w:val="22"/>
          <w:szCs w:val="22"/>
        </w:rPr>
      </w:pPr>
      <w:proofErr w:type="spellStart"/>
      <w:r w:rsidRPr="00F073F8">
        <w:rPr>
          <w:sz w:val="22"/>
          <w:szCs w:val="22"/>
        </w:rPr>
        <w:t>Metacresol</w:t>
      </w:r>
      <w:proofErr w:type="spellEnd"/>
    </w:p>
    <w:p w14:paraId="07F65B27" w14:textId="77777777" w:rsidR="0034564D" w:rsidRPr="00F073F8" w:rsidRDefault="0034564D" w:rsidP="00F073F8">
      <w:pPr>
        <w:rPr>
          <w:sz w:val="22"/>
          <w:szCs w:val="22"/>
        </w:rPr>
      </w:pPr>
      <w:r w:rsidRPr="00F073F8">
        <w:rPr>
          <w:sz w:val="22"/>
          <w:szCs w:val="22"/>
        </w:rPr>
        <w:t xml:space="preserve">Sodium acetate </w:t>
      </w:r>
      <w:proofErr w:type="spellStart"/>
      <w:r w:rsidRPr="00F073F8">
        <w:rPr>
          <w:sz w:val="22"/>
          <w:szCs w:val="22"/>
        </w:rPr>
        <w:t>trihydrate</w:t>
      </w:r>
      <w:proofErr w:type="spellEnd"/>
    </w:p>
    <w:p w14:paraId="11139DF2" w14:textId="77777777" w:rsidR="0034564D" w:rsidRPr="00F073F8" w:rsidRDefault="0034564D" w:rsidP="00F073F8">
      <w:pPr>
        <w:rPr>
          <w:sz w:val="22"/>
          <w:szCs w:val="22"/>
        </w:rPr>
      </w:pPr>
      <w:r w:rsidRPr="00F073F8">
        <w:rPr>
          <w:sz w:val="22"/>
          <w:szCs w:val="22"/>
        </w:rPr>
        <w:t>Hydrochloric acid (for pH adjustment)</w:t>
      </w:r>
    </w:p>
    <w:p w14:paraId="389EF7EC" w14:textId="77777777" w:rsidR="0034564D" w:rsidRPr="00F073F8" w:rsidRDefault="0034564D" w:rsidP="00F073F8">
      <w:pPr>
        <w:rPr>
          <w:sz w:val="22"/>
          <w:szCs w:val="22"/>
        </w:rPr>
      </w:pPr>
      <w:r w:rsidRPr="00F073F8">
        <w:rPr>
          <w:sz w:val="22"/>
          <w:szCs w:val="22"/>
        </w:rPr>
        <w:t>Sodium hydroxide (for pH adjustment)</w:t>
      </w:r>
    </w:p>
    <w:p w14:paraId="4599FC9D" w14:textId="77777777" w:rsidR="0034564D" w:rsidRPr="00F073F8" w:rsidRDefault="0034564D" w:rsidP="00F073F8">
      <w:pPr>
        <w:rPr>
          <w:sz w:val="22"/>
          <w:szCs w:val="22"/>
        </w:rPr>
      </w:pPr>
      <w:r w:rsidRPr="00F073F8">
        <w:rPr>
          <w:sz w:val="22"/>
          <w:szCs w:val="22"/>
        </w:rPr>
        <w:t>Water for injections</w:t>
      </w:r>
    </w:p>
    <w:p w14:paraId="3F7CF1BF" w14:textId="77777777" w:rsidR="00827DAE" w:rsidRPr="00F073F8" w:rsidRDefault="00827DAE" w:rsidP="00F073F8">
      <w:pPr>
        <w:widowControl w:val="0"/>
        <w:rPr>
          <w:sz w:val="22"/>
          <w:szCs w:val="22"/>
        </w:rPr>
      </w:pPr>
    </w:p>
    <w:p w14:paraId="3752F6A4" w14:textId="77777777" w:rsidR="00317613" w:rsidRPr="00F073F8" w:rsidRDefault="00317613" w:rsidP="00F073F8">
      <w:pPr>
        <w:widowControl w:val="0"/>
        <w:rPr>
          <w:sz w:val="22"/>
          <w:szCs w:val="22"/>
        </w:rPr>
      </w:pPr>
      <w:r w:rsidRPr="00F073F8">
        <w:rPr>
          <w:sz w:val="22"/>
          <w:szCs w:val="22"/>
        </w:rPr>
        <w:t xml:space="preserve">This medicinal product contains less than 1 </w:t>
      </w:r>
      <w:proofErr w:type="spellStart"/>
      <w:r w:rsidRPr="00F073F8">
        <w:rPr>
          <w:sz w:val="22"/>
          <w:szCs w:val="22"/>
        </w:rPr>
        <w:t>mmol</w:t>
      </w:r>
      <w:proofErr w:type="spellEnd"/>
      <w:r w:rsidRPr="00F073F8">
        <w:rPr>
          <w:sz w:val="22"/>
          <w:szCs w:val="22"/>
        </w:rPr>
        <w:t xml:space="preserve"> sodium (23 mg) per dosage unit, that is to say essentially “sodium-free”.</w:t>
      </w:r>
    </w:p>
    <w:p w14:paraId="04CCCBA5" w14:textId="35A43EC3" w:rsidR="00FA22F4" w:rsidRDefault="00FA22F4" w:rsidP="00F073F8">
      <w:pPr>
        <w:widowControl w:val="0"/>
        <w:rPr>
          <w:sz w:val="22"/>
          <w:szCs w:val="22"/>
          <w:lang w:val="en-GB"/>
        </w:rPr>
      </w:pPr>
    </w:p>
    <w:p w14:paraId="3FAD3928" w14:textId="77777777" w:rsidR="00FA22F4" w:rsidRPr="00A55F36" w:rsidRDefault="00FA22F4" w:rsidP="00F073F8">
      <w:pPr>
        <w:pStyle w:val="Heading2"/>
        <w:jc w:val="left"/>
        <w:rPr>
          <w:rFonts w:ascii="Times New Roman" w:hAnsi="Times New Roman" w:cs="Times New Roman"/>
          <w:sz w:val="28"/>
          <w:szCs w:val="28"/>
        </w:rPr>
      </w:pPr>
      <w:r w:rsidRPr="00A55F36">
        <w:rPr>
          <w:rFonts w:ascii="Times New Roman" w:hAnsi="Times New Roman" w:cs="Times New Roman"/>
          <w:sz w:val="28"/>
          <w:szCs w:val="28"/>
        </w:rPr>
        <w:t>6.2</w:t>
      </w:r>
      <w:r w:rsidRPr="00A55F36">
        <w:rPr>
          <w:rFonts w:ascii="Times New Roman" w:hAnsi="Times New Roman" w:cs="Times New Roman"/>
          <w:sz w:val="28"/>
          <w:szCs w:val="28"/>
        </w:rPr>
        <w:tab/>
        <w:t>INCOMPATIBILITIES</w:t>
      </w:r>
    </w:p>
    <w:p w14:paraId="7376808E" w14:textId="77777777" w:rsidR="00BA5731" w:rsidRPr="00F073F8" w:rsidRDefault="00BA5731" w:rsidP="00F073F8">
      <w:pPr>
        <w:widowControl w:val="0"/>
        <w:rPr>
          <w:sz w:val="22"/>
          <w:szCs w:val="22"/>
          <w:lang w:val="en-GB"/>
        </w:rPr>
      </w:pPr>
    </w:p>
    <w:p w14:paraId="242EBD4D" w14:textId="77777777" w:rsidR="0034564D" w:rsidRPr="00F073F8" w:rsidRDefault="0034564D" w:rsidP="00C436F0">
      <w:pPr>
        <w:ind w:right="-332"/>
        <w:rPr>
          <w:sz w:val="22"/>
          <w:szCs w:val="22"/>
        </w:rPr>
      </w:pPr>
      <w:r w:rsidRPr="00F073F8">
        <w:rPr>
          <w:sz w:val="22"/>
          <w:szCs w:val="22"/>
        </w:rPr>
        <w:t>In the absence of compatibility studies, this medicinal product must not be mixed with other medicinal products.</w:t>
      </w:r>
    </w:p>
    <w:p w14:paraId="76A988C3" w14:textId="77777777" w:rsidR="002A5E1A" w:rsidRPr="00F073F8" w:rsidRDefault="002A5E1A" w:rsidP="00F073F8">
      <w:pPr>
        <w:rPr>
          <w:sz w:val="22"/>
          <w:szCs w:val="22"/>
        </w:rPr>
      </w:pPr>
    </w:p>
    <w:p w14:paraId="7B4683A6" w14:textId="77777777" w:rsidR="00FA22F4" w:rsidRPr="00F073F8" w:rsidRDefault="00FA22F4" w:rsidP="00F073F8">
      <w:pPr>
        <w:pStyle w:val="Heading2"/>
        <w:jc w:val="left"/>
        <w:rPr>
          <w:rFonts w:ascii="Times New Roman" w:hAnsi="Times New Roman" w:cs="Times New Roman"/>
          <w:sz w:val="22"/>
          <w:szCs w:val="22"/>
        </w:rPr>
      </w:pPr>
      <w:r w:rsidRPr="00F073F8">
        <w:rPr>
          <w:rFonts w:ascii="Times New Roman" w:hAnsi="Times New Roman" w:cs="Times New Roman"/>
          <w:sz w:val="22"/>
          <w:szCs w:val="22"/>
        </w:rPr>
        <w:t>6.3</w:t>
      </w:r>
      <w:r w:rsidRPr="00F073F8">
        <w:rPr>
          <w:rFonts w:ascii="Times New Roman" w:hAnsi="Times New Roman" w:cs="Times New Roman"/>
          <w:sz w:val="22"/>
          <w:szCs w:val="22"/>
        </w:rPr>
        <w:tab/>
        <w:t>SHELF LIFE</w:t>
      </w:r>
    </w:p>
    <w:p w14:paraId="5B35800C" w14:textId="77777777" w:rsidR="00BA5731" w:rsidRPr="00F073F8" w:rsidRDefault="00BA5731" w:rsidP="00F073F8">
      <w:pPr>
        <w:widowControl w:val="0"/>
        <w:rPr>
          <w:sz w:val="22"/>
          <w:szCs w:val="22"/>
          <w:lang w:val="en-GB"/>
        </w:rPr>
      </w:pPr>
    </w:p>
    <w:p w14:paraId="2E7E393B" w14:textId="77777777" w:rsidR="0034564D" w:rsidRPr="00F073F8" w:rsidRDefault="00BA5731" w:rsidP="00F073F8">
      <w:pPr>
        <w:rPr>
          <w:sz w:val="22"/>
          <w:szCs w:val="22"/>
        </w:rPr>
      </w:pPr>
      <w:r w:rsidRPr="00F073F8">
        <w:rPr>
          <w:sz w:val="22"/>
          <w:szCs w:val="22"/>
        </w:rPr>
        <w:t xml:space="preserve">2 </w:t>
      </w:r>
      <w:r w:rsidR="0034564D" w:rsidRPr="00F073F8">
        <w:rPr>
          <w:sz w:val="22"/>
          <w:szCs w:val="22"/>
        </w:rPr>
        <w:t>years.</w:t>
      </w:r>
    </w:p>
    <w:p w14:paraId="3B66635A" w14:textId="77777777" w:rsidR="0034564D" w:rsidRPr="00F073F8" w:rsidRDefault="0034564D" w:rsidP="00F073F8">
      <w:pPr>
        <w:rPr>
          <w:sz w:val="22"/>
          <w:szCs w:val="22"/>
        </w:rPr>
      </w:pPr>
    </w:p>
    <w:p w14:paraId="723C6619" w14:textId="4D4FB745" w:rsidR="00BA5731" w:rsidRPr="00F073F8" w:rsidRDefault="0034564D" w:rsidP="00F073F8">
      <w:pPr>
        <w:rPr>
          <w:sz w:val="22"/>
          <w:szCs w:val="22"/>
        </w:rPr>
      </w:pPr>
      <w:r w:rsidRPr="00F073F8">
        <w:rPr>
          <w:sz w:val="22"/>
          <w:szCs w:val="22"/>
        </w:rPr>
        <w:t xml:space="preserve">Chemical in-use stability has been </w:t>
      </w:r>
      <w:r w:rsidR="00BA5731" w:rsidRPr="00F073F8">
        <w:rPr>
          <w:sz w:val="22"/>
          <w:szCs w:val="22"/>
        </w:rPr>
        <w:t xml:space="preserve">demonstrated for 28 days at </w:t>
      </w:r>
      <w:r w:rsidR="00CE10FD" w:rsidRPr="00F073F8">
        <w:rPr>
          <w:sz w:val="22"/>
          <w:szCs w:val="22"/>
        </w:rPr>
        <w:t>2ºC to 8ºC</w:t>
      </w:r>
      <w:r w:rsidRPr="00F073F8">
        <w:rPr>
          <w:sz w:val="22"/>
          <w:szCs w:val="22"/>
        </w:rPr>
        <w:t>.</w:t>
      </w:r>
    </w:p>
    <w:p w14:paraId="0B420A9B" w14:textId="77777777" w:rsidR="002A5E1A" w:rsidRPr="00F073F8" w:rsidRDefault="002A5E1A" w:rsidP="00F073F8">
      <w:pPr>
        <w:widowControl w:val="0"/>
        <w:rPr>
          <w:sz w:val="22"/>
          <w:szCs w:val="22"/>
          <w:lang w:val="en-GB"/>
        </w:rPr>
      </w:pPr>
    </w:p>
    <w:p w14:paraId="4B532888" w14:textId="77777777" w:rsidR="00FA22F4" w:rsidRPr="00F073F8" w:rsidRDefault="00FA22F4" w:rsidP="00F073F8">
      <w:pPr>
        <w:pStyle w:val="Heading2"/>
        <w:jc w:val="left"/>
        <w:rPr>
          <w:rFonts w:ascii="Times New Roman" w:hAnsi="Times New Roman" w:cs="Times New Roman"/>
          <w:sz w:val="22"/>
          <w:szCs w:val="22"/>
        </w:rPr>
      </w:pPr>
      <w:r w:rsidRPr="00F073F8">
        <w:rPr>
          <w:rFonts w:ascii="Times New Roman" w:hAnsi="Times New Roman" w:cs="Times New Roman"/>
          <w:sz w:val="22"/>
          <w:szCs w:val="22"/>
        </w:rPr>
        <w:t>6.4</w:t>
      </w:r>
      <w:r w:rsidRPr="00F073F8">
        <w:rPr>
          <w:rFonts w:ascii="Times New Roman" w:hAnsi="Times New Roman" w:cs="Times New Roman"/>
          <w:sz w:val="22"/>
          <w:szCs w:val="22"/>
        </w:rPr>
        <w:tab/>
        <w:t>SPECIAL PRECAUTIONS FOR STORAGE</w:t>
      </w:r>
    </w:p>
    <w:p w14:paraId="5046BA54" w14:textId="77777777" w:rsidR="00BA5731" w:rsidRPr="00F073F8" w:rsidRDefault="00BA5731" w:rsidP="00F073F8">
      <w:pPr>
        <w:widowControl w:val="0"/>
        <w:rPr>
          <w:sz w:val="22"/>
          <w:szCs w:val="22"/>
          <w:lang w:val="en-GB"/>
        </w:rPr>
      </w:pPr>
    </w:p>
    <w:p w14:paraId="7A8F9441" w14:textId="50C3122C" w:rsidR="00003C0B" w:rsidRPr="00F073F8" w:rsidRDefault="00BA5731" w:rsidP="00F073F8">
      <w:pPr>
        <w:rPr>
          <w:sz w:val="22"/>
          <w:szCs w:val="22"/>
        </w:rPr>
      </w:pPr>
      <w:r w:rsidRPr="00F073F8">
        <w:rPr>
          <w:sz w:val="22"/>
          <w:szCs w:val="22"/>
        </w:rPr>
        <w:t xml:space="preserve">Store </w:t>
      </w:r>
      <w:r w:rsidR="00AF6A7D" w:rsidRPr="00F073F8">
        <w:rPr>
          <w:sz w:val="22"/>
          <w:szCs w:val="22"/>
        </w:rPr>
        <w:t>at</w:t>
      </w:r>
      <w:r w:rsidRPr="00F073F8">
        <w:rPr>
          <w:sz w:val="22"/>
          <w:szCs w:val="22"/>
        </w:rPr>
        <w:t xml:space="preserve"> 2ºC </w:t>
      </w:r>
      <w:r w:rsidR="00CE10FD" w:rsidRPr="00F073F8">
        <w:rPr>
          <w:sz w:val="22"/>
          <w:szCs w:val="22"/>
        </w:rPr>
        <w:t>to</w:t>
      </w:r>
      <w:r w:rsidRPr="00F073F8">
        <w:rPr>
          <w:sz w:val="22"/>
          <w:szCs w:val="22"/>
        </w:rPr>
        <w:t xml:space="preserve"> 8º</w:t>
      </w:r>
      <w:r w:rsidR="0034564D" w:rsidRPr="00F073F8">
        <w:rPr>
          <w:sz w:val="22"/>
          <w:szCs w:val="22"/>
        </w:rPr>
        <w:t>C</w:t>
      </w:r>
      <w:r w:rsidR="00AF6A7D" w:rsidRPr="00F073F8">
        <w:rPr>
          <w:sz w:val="22"/>
          <w:szCs w:val="22"/>
        </w:rPr>
        <w:t>. Refrigerate. Do not freeze</w:t>
      </w:r>
      <w:r w:rsidR="0034564D" w:rsidRPr="00F073F8">
        <w:rPr>
          <w:sz w:val="22"/>
          <w:szCs w:val="22"/>
        </w:rPr>
        <w:t xml:space="preserve">. </w:t>
      </w:r>
      <w:r w:rsidRPr="00F073F8">
        <w:rPr>
          <w:sz w:val="22"/>
          <w:szCs w:val="22"/>
        </w:rPr>
        <w:t xml:space="preserve"> </w:t>
      </w:r>
    </w:p>
    <w:p w14:paraId="1B75D150" w14:textId="77777777" w:rsidR="002A0070" w:rsidRPr="00F073F8" w:rsidRDefault="002A0070" w:rsidP="00F073F8">
      <w:pPr>
        <w:rPr>
          <w:sz w:val="22"/>
          <w:szCs w:val="22"/>
        </w:rPr>
      </w:pPr>
    </w:p>
    <w:p w14:paraId="446708F3" w14:textId="59909A21" w:rsidR="0034564D" w:rsidRPr="00F073F8" w:rsidRDefault="0034564D" w:rsidP="00F073F8">
      <w:pPr>
        <w:rPr>
          <w:sz w:val="22"/>
          <w:szCs w:val="22"/>
        </w:rPr>
      </w:pPr>
      <w:r w:rsidRPr="00F073F8">
        <w:rPr>
          <w:sz w:val="22"/>
          <w:szCs w:val="22"/>
        </w:rPr>
        <w:t xml:space="preserve">After insertion of the cartridge into the pen, the </w:t>
      </w:r>
      <w:r w:rsidR="00003C0B" w:rsidRPr="00F073F8">
        <w:rPr>
          <w:sz w:val="22"/>
          <w:szCs w:val="22"/>
        </w:rPr>
        <w:t>dose can be used immediately following removal from the refrigerator</w:t>
      </w:r>
      <w:r w:rsidR="00B673F3" w:rsidRPr="00F073F8">
        <w:rPr>
          <w:sz w:val="22"/>
          <w:szCs w:val="22"/>
        </w:rPr>
        <w:t xml:space="preserve">. The </w:t>
      </w:r>
      <w:r w:rsidRPr="00F073F8">
        <w:rPr>
          <w:sz w:val="22"/>
          <w:szCs w:val="22"/>
        </w:rPr>
        <w:t>combined pen and cartridge should be returned to the refrigerator immediately after use.</w:t>
      </w:r>
      <w:r w:rsidR="00A24BA9" w:rsidRPr="00F073F8">
        <w:rPr>
          <w:sz w:val="22"/>
          <w:szCs w:val="22"/>
        </w:rPr>
        <w:t xml:space="preserve">  Do not use TERROSA if it has been frozen.</w:t>
      </w:r>
    </w:p>
    <w:p w14:paraId="3FCF235A" w14:textId="77777777" w:rsidR="00BA5731" w:rsidRPr="00F073F8" w:rsidRDefault="00BA5731" w:rsidP="00F073F8">
      <w:pPr>
        <w:rPr>
          <w:sz w:val="22"/>
          <w:szCs w:val="22"/>
        </w:rPr>
      </w:pPr>
    </w:p>
    <w:p w14:paraId="088BFBB5" w14:textId="0FD0FA36" w:rsidR="0034564D" w:rsidRPr="00F073F8" w:rsidRDefault="0034564D" w:rsidP="00F073F8">
      <w:pPr>
        <w:rPr>
          <w:sz w:val="22"/>
          <w:szCs w:val="22"/>
        </w:rPr>
      </w:pPr>
      <w:r w:rsidRPr="00F073F8">
        <w:rPr>
          <w:sz w:val="22"/>
          <w:szCs w:val="22"/>
        </w:rPr>
        <w:t>Keep the cartridge in the outer carton</w:t>
      </w:r>
      <w:r w:rsidRPr="00F073F8" w:rsidDel="009F12CB">
        <w:rPr>
          <w:sz w:val="22"/>
          <w:szCs w:val="22"/>
        </w:rPr>
        <w:t xml:space="preserve"> </w:t>
      </w:r>
      <w:r w:rsidRPr="00F073F8">
        <w:rPr>
          <w:sz w:val="22"/>
          <w:szCs w:val="22"/>
        </w:rPr>
        <w:t>in order to protect from light.</w:t>
      </w:r>
    </w:p>
    <w:p w14:paraId="7D43F138" w14:textId="77777777" w:rsidR="0034564D" w:rsidRPr="00F073F8" w:rsidRDefault="0034564D" w:rsidP="00F073F8">
      <w:pPr>
        <w:rPr>
          <w:sz w:val="22"/>
          <w:szCs w:val="22"/>
        </w:rPr>
      </w:pPr>
    </w:p>
    <w:p w14:paraId="3289E077" w14:textId="77777777" w:rsidR="0034564D" w:rsidRPr="00F073F8" w:rsidRDefault="0034564D" w:rsidP="00F073F8">
      <w:pPr>
        <w:rPr>
          <w:sz w:val="22"/>
          <w:szCs w:val="22"/>
        </w:rPr>
      </w:pPr>
      <w:r w:rsidRPr="00F073F8">
        <w:rPr>
          <w:sz w:val="22"/>
          <w:szCs w:val="22"/>
        </w:rPr>
        <w:t xml:space="preserve">Do not store the injection device with the needle attached. </w:t>
      </w:r>
      <w:r w:rsidR="00BA5731" w:rsidRPr="00F073F8">
        <w:rPr>
          <w:sz w:val="22"/>
          <w:szCs w:val="22"/>
        </w:rPr>
        <w:t xml:space="preserve"> </w:t>
      </w:r>
      <w:r w:rsidRPr="00F073F8">
        <w:rPr>
          <w:sz w:val="22"/>
          <w:szCs w:val="22"/>
        </w:rPr>
        <w:t>Do not remove the cartridge from the pen after first use.</w:t>
      </w:r>
    </w:p>
    <w:p w14:paraId="6E74F717" w14:textId="77777777" w:rsidR="0034564D" w:rsidRPr="00F073F8" w:rsidRDefault="0034564D" w:rsidP="00F073F8">
      <w:pPr>
        <w:rPr>
          <w:sz w:val="22"/>
          <w:szCs w:val="22"/>
        </w:rPr>
      </w:pPr>
    </w:p>
    <w:p w14:paraId="264C1953" w14:textId="725F2FE6" w:rsidR="00AD0147" w:rsidRDefault="00BA5731" w:rsidP="00F073F8">
      <w:pPr>
        <w:rPr>
          <w:sz w:val="22"/>
          <w:szCs w:val="22"/>
        </w:rPr>
      </w:pPr>
      <w:r w:rsidRPr="00F073F8">
        <w:rPr>
          <w:sz w:val="22"/>
          <w:szCs w:val="22"/>
        </w:rPr>
        <w:t>From a microbiological point of view, once opened, the product may be stored for a maximum of 28 days within its shelf life at 2ºC to 8ºC</w:t>
      </w:r>
      <w:r w:rsidR="00CE10FD" w:rsidRPr="00F073F8">
        <w:rPr>
          <w:sz w:val="22"/>
          <w:szCs w:val="22"/>
        </w:rPr>
        <w:t xml:space="preserve"> Refrigerate. Do not freeze</w:t>
      </w:r>
      <w:r w:rsidRPr="00F073F8">
        <w:rPr>
          <w:sz w:val="22"/>
          <w:szCs w:val="22"/>
        </w:rPr>
        <w:t>.</w:t>
      </w:r>
    </w:p>
    <w:p w14:paraId="59DB8C9D" w14:textId="77777777" w:rsidR="002A5E1A" w:rsidRDefault="002A5E1A" w:rsidP="00F073F8">
      <w:pPr>
        <w:rPr>
          <w:sz w:val="22"/>
          <w:szCs w:val="22"/>
        </w:rPr>
      </w:pPr>
    </w:p>
    <w:p w14:paraId="15F0D720" w14:textId="3BE618A5" w:rsidR="00AD0147" w:rsidRPr="00F073F8" w:rsidRDefault="00AD0147" w:rsidP="00F073F8">
      <w:pPr>
        <w:rPr>
          <w:sz w:val="22"/>
          <w:szCs w:val="22"/>
        </w:rPr>
      </w:pPr>
      <w:r>
        <w:rPr>
          <w:sz w:val="22"/>
          <w:szCs w:val="22"/>
        </w:rPr>
        <w:t>TERROSA should not be used if the solution is cloudy, coloured or contains visible particle.</w:t>
      </w:r>
    </w:p>
    <w:p w14:paraId="712B9E50" w14:textId="77777777" w:rsidR="00FA22F4" w:rsidRPr="00F073F8" w:rsidRDefault="00FA22F4" w:rsidP="00F073F8">
      <w:pPr>
        <w:widowControl w:val="0"/>
        <w:rPr>
          <w:sz w:val="22"/>
          <w:szCs w:val="22"/>
          <w:lang w:val="en-GB"/>
        </w:rPr>
      </w:pPr>
    </w:p>
    <w:p w14:paraId="17AF8FB2" w14:textId="12E16F6F" w:rsidR="00BA5731" w:rsidRPr="00F073F8" w:rsidRDefault="00FA22F4" w:rsidP="00F073F8">
      <w:pPr>
        <w:pStyle w:val="Heading2"/>
        <w:jc w:val="left"/>
        <w:rPr>
          <w:rFonts w:ascii="Times New Roman" w:hAnsi="Times New Roman" w:cs="Times New Roman"/>
          <w:sz w:val="22"/>
          <w:szCs w:val="22"/>
        </w:rPr>
      </w:pPr>
      <w:r w:rsidRPr="00F073F8">
        <w:rPr>
          <w:rFonts w:ascii="Times New Roman" w:hAnsi="Times New Roman" w:cs="Times New Roman"/>
          <w:sz w:val="22"/>
          <w:szCs w:val="22"/>
        </w:rPr>
        <w:t>6.5</w:t>
      </w:r>
      <w:r w:rsidRPr="00F073F8">
        <w:rPr>
          <w:rFonts w:ascii="Times New Roman" w:hAnsi="Times New Roman" w:cs="Times New Roman"/>
          <w:sz w:val="22"/>
          <w:szCs w:val="22"/>
        </w:rPr>
        <w:tab/>
        <w:t>NATURE AND CONTENTS OF CONTAINER</w:t>
      </w:r>
    </w:p>
    <w:p w14:paraId="4F2FCB43" w14:textId="77777777" w:rsidR="00357022" w:rsidRPr="00F073F8" w:rsidRDefault="00357022" w:rsidP="00F073F8">
      <w:pPr>
        <w:rPr>
          <w:sz w:val="22"/>
          <w:szCs w:val="22"/>
        </w:rPr>
      </w:pPr>
    </w:p>
    <w:p w14:paraId="45286BF1" w14:textId="6AF3C517" w:rsidR="0034564D" w:rsidRPr="00F073F8" w:rsidRDefault="00BA5731" w:rsidP="00F073F8">
      <w:pPr>
        <w:rPr>
          <w:sz w:val="22"/>
          <w:szCs w:val="22"/>
        </w:rPr>
      </w:pPr>
      <w:r w:rsidRPr="00F073F8">
        <w:rPr>
          <w:sz w:val="22"/>
          <w:szCs w:val="22"/>
        </w:rPr>
        <w:t xml:space="preserve">3 </w:t>
      </w:r>
      <w:r w:rsidR="0034564D" w:rsidRPr="00F073F8">
        <w:rPr>
          <w:sz w:val="22"/>
          <w:szCs w:val="22"/>
        </w:rPr>
        <w:t>mL cartridge (</w:t>
      </w:r>
      <w:proofErr w:type="spellStart"/>
      <w:r w:rsidR="0034564D" w:rsidRPr="00F073F8">
        <w:rPr>
          <w:sz w:val="22"/>
          <w:szCs w:val="22"/>
        </w:rPr>
        <w:t>siliconised</w:t>
      </w:r>
      <w:proofErr w:type="spellEnd"/>
      <w:r w:rsidR="0034564D" w:rsidRPr="00F073F8">
        <w:rPr>
          <w:sz w:val="22"/>
          <w:szCs w:val="22"/>
        </w:rPr>
        <w:t xml:space="preserve"> Type I glass), with a plunger stopper and disc seal (aluminium and rubber liner seals), packed in a plastic tray sealed with lid foil and packed in a carton.</w:t>
      </w:r>
    </w:p>
    <w:p w14:paraId="7469431E" w14:textId="0540D86D" w:rsidR="008779B2" w:rsidRPr="00F073F8" w:rsidRDefault="008779B2" w:rsidP="00F073F8">
      <w:pPr>
        <w:rPr>
          <w:sz w:val="22"/>
          <w:szCs w:val="22"/>
        </w:rPr>
      </w:pPr>
    </w:p>
    <w:p w14:paraId="23BB9143" w14:textId="1336227F" w:rsidR="008779B2" w:rsidRPr="00F073F8" w:rsidRDefault="008779B2" w:rsidP="00F073F8">
      <w:pPr>
        <w:rPr>
          <w:sz w:val="22"/>
          <w:szCs w:val="22"/>
        </w:rPr>
      </w:pPr>
      <w:r w:rsidRPr="00F073F8">
        <w:rPr>
          <w:sz w:val="22"/>
          <w:szCs w:val="22"/>
        </w:rPr>
        <w:t>One cartridge of 2.4 mL of solution for injection contains 600 micrograms of teriparatide (corresponding to 250 micrograms /mL).</w:t>
      </w:r>
    </w:p>
    <w:p w14:paraId="3AC1D2F2" w14:textId="77777777" w:rsidR="0034564D" w:rsidRPr="00F073F8" w:rsidRDefault="0034564D" w:rsidP="00F073F8">
      <w:pPr>
        <w:rPr>
          <w:sz w:val="22"/>
          <w:szCs w:val="22"/>
        </w:rPr>
      </w:pPr>
    </w:p>
    <w:p w14:paraId="38C651F3" w14:textId="7572DA9B" w:rsidR="0034564D" w:rsidRDefault="00BA5731" w:rsidP="00F073F8">
      <w:pPr>
        <w:rPr>
          <w:sz w:val="22"/>
          <w:szCs w:val="22"/>
        </w:rPr>
      </w:pPr>
      <w:r w:rsidRPr="00F073F8">
        <w:rPr>
          <w:sz w:val="22"/>
          <w:szCs w:val="22"/>
        </w:rPr>
        <w:t xml:space="preserve">Each cartridge contains 2.4 </w:t>
      </w:r>
      <w:r w:rsidR="0034564D" w:rsidRPr="00F073F8">
        <w:rPr>
          <w:sz w:val="22"/>
          <w:szCs w:val="22"/>
        </w:rPr>
        <w:t xml:space="preserve">mL of solution corresponding to </w:t>
      </w:r>
      <w:r w:rsidRPr="00F073F8">
        <w:rPr>
          <w:sz w:val="22"/>
          <w:szCs w:val="22"/>
        </w:rPr>
        <w:t xml:space="preserve">28 doses of 20 </w:t>
      </w:r>
      <w:r w:rsidR="00000119">
        <w:rPr>
          <w:sz w:val="22"/>
          <w:szCs w:val="22"/>
        </w:rPr>
        <w:t>micro</w:t>
      </w:r>
      <w:r w:rsidRPr="00F073F8">
        <w:rPr>
          <w:sz w:val="22"/>
          <w:szCs w:val="22"/>
        </w:rPr>
        <w:t>g</w:t>
      </w:r>
      <w:r w:rsidR="00000119">
        <w:rPr>
          <w:sz w:val="22"/>
          <w:szCs w:val="22"/>
        </w:rPr>
        <w:t>rams</w:t>
      </w:r>
      <w:r w:rsidRPr="00F073F8">
        <w:rPr>
          <w:sz w:val="22"/>
          <w:szCs w:val="22"/>
        </w:rPr>
        <w:t xml:space="preserve"> (per 80 </w:t>
      </w:r>
      <w:proofErr w:type="spellStart"/>
      <w:r w:rsidR="00000119">
        <w:rPr>
          <w:sz w:val="22"/>
          <w:szCs w:val="22"/>
        </w:rPr>
        <w:t>microlit</w:t>
      </w:r>
      <w:r w:rsidR="0085168D">
        <w:rPr>
          <w:sz w:val="22"/>
          <w:szCs w:val="22"/>
        </w:rPr>
        <w:t>re</w:t>
      </w:r>
      <w:r w:rsidR="00000119">
        <w:rPr>
          <w:sz w:val="22"/>
          <w:szCs w:val="22"/>
        </w:rPr>
        <w:t>s</w:t>
      </w:r>
      <w:proofErr w:type="spellEnd"/>
      <w:r w:rsidR="0034564D" w:rsidRPr="00F073F8">
        <w:rPr>
          <w:sz w:val="22"/>
          <w:szCs w:val="22"/>
        </w:rPr>
        <w:t>).</w:t>
      </w:r>
    </w:p>
    <w:p w14:paraId="2B42AE6C" w14:textId="77777777" w:rsidR="00BA5731" w:rsidRPr="00F073F8" w:rsidRDefault="00BA5731" w:rsidP="00F073F8">
      <w:pPr>
        <w:widowControl w:val="0"/>
        <w:rPr>
          <w:sz w:val="22"/>
          <w:szCs w:val="22"/>
          <w:lang w:val="en-GB"/>
        </w:rPr>
      </w:pPr>
    </w:p>
    <w:p w14:paraId="382A223A" w14:textId="77777777" w:rsidR="0034564D" w:rsidRPr="00F073F8" w:rsidRDefault="00BA5731" w:rsidP="00F073F8">
      <w:pPr>
        <w:widowControl w:val="0"/>
        <w:rPr>
          <w:b/>
          <w:sz w:val="22"/>
          <w:szCs w:val="22"/>
          <w:lang w:val="en-GB"/>
        </w:rPr>
      </w:pPr>
      <w:r w:rsidRPr="00F073F8">
        <w:rPr>
          <w:b/>
          <w:sz w:val="22"/>
          <w:szCs w:val="22"/>
          <w:lang w:val="en-GB"/>
        </w:rPr>
        <w:t>Pack sizes</w:t>
      </w:r>
    </w:p>
    <w:p w14:paraId="6C088E27" w14:textId="77777777" w:rsidR="00357022" w:rsidRPr="00F073F8" w:rsidRDefault="00357022" w:rsidP="00F073F8">
      <w:pPr>
        <w:widowControl w:val="0"/>
        <w:rPr>
          <w:sz w:val="22"/>
          <w:szCs w:val="22"/>
        </w:rPr>
      </w:pPr>
    </w:p>
    <w:p w14:paraId="436FDF5D" w14:textId="7A9B46DB" w:rsidR="0034564D" w:rsidRPr="00F073F8" w:rsidRDefault="00346DD6" w:rsidP="00F073F8">
      <w:pPr>
        <w:widowControl w:val="0"/>
        <w:rPr>
          <w:sz w:val="22"/>
          <w:szCs w:val="22"/>
        </w:rPr>
      </w:pPr>
      <w:r w:rsidRPr="00F073F8">
        <w:rPr>
          <w:sz w:val="22"/>
          <w:szCs w:val="22"/>
        </w:rPr>
        <w:t>TERROSA</w:t>
      </w:r>
      <w:r w:rsidR="000F6759" w:rsidRPr="00F073F8">
        <w:rPr>
          <w:sz w:val="22"/>
          <w:szCs w:val="22"/>
        </w:rPr>
        <w:t xml:space="preserve"> 20</w:t>
      </w:r>
      <w:r w:rsidR="00B47771">
        <w:rPr>
          <w:strike/>
          <w:sz w:val="22"/>
          <w:szCs w:val="22"/>
        </w:rPr>
        <w:t xml:space="preserve"> </w:t>
      </w:r>
      <w:r w:rsidR="008B72B7">
        <w:rPr>
          <w:sz w:val="22"/>
          <w:szCs w:val="22"/>
        </w:rPr>
        <w:t>micro</w:t>
      </w:r>
      <w:r w:rsidR="00BA5731" w:rsidRPr="00F073F8">
        <w:rPr>
          <w:sz w:val="22"/>
          <w:szCs w:val="22"/>
        </w:rPr>
        <w:t>g</w:t>
      </w:r>
      <w:r w:rsidR="008B72B7">
        <w:rPr>
          <w:sz w:val="22"/>
          <w:szCs w:val="22"/>
        </w:rPr>
        <w:t>rams</w:t>
      </w:r>
      <w:r w:rsidR="00BA5731" w:rsidRPr="00F073F8">
        <w:rPr>
          <w:sz w:val="22"/>
          <w:szCs w:val="22"/>
        </w:rPr>
        <w:t xml:space="preserve">/80 </w:t>
      </w:r>
      <w:proofErr w:type="spellStart"/>
      <w:r w:rsidR="008B72B7">
        <w:rPr>
          <w:sz w:val="22"/>
          <w:szCs w:val="22"/>
        </w:rPr>
        <w:t>microlit</w:t>
      </w:r>
      <w:r w:rsidR="00B52B5C">
        <w:rPr>
          <w:sz w:val="22"/>
          <w:szCs w:val="22"/>
        </w:rPr>
        <w:t>re</w:t>
      </w:r>
      <w:r w:rsidR="008B72B7">
        <w:rPr>
          <w:sz w:val="22"/>
          <w:szCs w:val="22"/>
        </w:rPr>
        <w:t>s</w:t>
      </w:r>
      <w:proofErr w:type="spellEnd"/>
      <w:r w:rsidR="0034564D" w:rsidRPr="00F073F8">
        <w:rPr>
          <w:sz w:val="22"/>
          <w:szCs w:val="22"/>
        </w:rPr>
        <w:t xml:space="preserve"> solution for injection:</w:t>
      </w:r>
    </w:p>
    <w:p w14:paraId="5B2BB0E8" w14:textId="77777777" w:rsidR="0034564D" w:rsidRPr="00F073F8" w:rsidRDefault="0034564D" w:rsidP="00F073F8">
      <w:pPr>
        <w:widowControl w:val="0"/>
        <w:rPr>
          <w:sz w:val="22"/>
          <w:szCs w:val="22"/>
        </w:rPr>
      </w:pPr>
    </w:p>
    <w:p w14:paraId="32E9AE9E" w14:textId="76DA2C2A" w:rsidR="0034564D" w:rsidRDefault="00346DD6" w:rsidP="00C436F0">
      <w:pPr>
        <w:widowControl w:val="0"/>
        <w:ind w:right="-899"/>
        <w:rPr>
          <w:sz w:val="22"/>
          <w:szCs w:val="22"/>
        </w:rPr>
      </w:pPr>
      <w:r w:rsidRPr="001F35CA">
        <w:rPr>
          <w:sz w:val="22"/>
          <w:szCs w:val="22"/>
        </w:rPr>
        <w:t>TERROSA</w:t>
      </w:r>
      <w:r w:rsidR="0034564D" w:rsidRPr="001F35CA">
        <w:rPr>
          <w:sz w:val="22"/>
          <w:szCs w:val="22"/>
        </w:rPr>
        <w:t xml:space="preserve"> cartridge and pen pack</w:t>
      </w:r>
      <w:r w:rsidR="00BC7DA1">
        <w:rPr>
          <w:sz w:val="22"/>
          <w:szCs w:val="22"/>
        </w:rPr>
        <w:t xml:space="preserve"> for </w:t>
      </w:r>
      <w:r w:rsidR="00353B8E">
        <w:rPr>
          <w:sz w:val="22"/>
          <w:szCs w:val="22"/>
        </w:rPr>
        <w:t xml:space="preserve">commencement </w:t>
      </w:r>
      <w:r w:rsidR="00BC7DA1">
        <w:rPr>
          <w:sz w:val="22"/>
          <w:szCs w:val="22"/>
        </w:rPr>
        <w:t>of treatment</w:t>
      </w:r>
      <w:r w:rsidR="0034564D" w:rsidRPr="001F35CA">
        <w:rPr>
          <w:sz w:val="22"/>
          <w:szCs w:val="22"/>
        </w:rPr>
        <w:t>:</w:t>
      </w:r>
      <w:r w:rsidR="00C436F0">
        <w:rPr>
          <w:sz w:val="22"/>
          <w:szCs w:val="22"/>
        </w:rPr>
        <w:t xml:space="preserve"> </w:t>
      </w:r>
      <w:r w:rsidR="0034564D" w:rsidRPr="001F35CA">
        <w:rPr>
          <w:sz w:val="22"/>
          <w:szCs w:val="22"/>
        </w:rPr>
        <w:t xml:space="preserve">1 carton of </w:t>
      </w:r>
      <w:r w:rsidRPr="001F35CA">
        <w:rPr>
          <w:sz w:val="22"/>
          <w:szCs w:val="22"/>
        </w:rPr>
        <w:t>TERROSA</w:t>
      </w:r>
      <w:r w:rsidR="0034564D" w:rsidRPr="001F35CA">
        <w:rPr>
          <w:sz w:val="22"/>
          <w:szCs w:val="22"/>
        </w:rPr>
        <w:t xml:space="preserve"> cartridge (containing 1 cartridge) and 1 carton of </w:t>
      </w:r>
      <w:r w:rsidRPr="001F35CA">
        <w:rPr>
          <w:sz w:val="22"/>
          <w:szCs w:val="22"/>
        </w:rPr>
        <w:t>TERROSA</w:t>
      </w:r>
      <w:r w:rsidR="0034564D" w:rsidRPr="001F35CA">
        <w:rPr>
          <w:sz w:val="22"/>
          <w:szCs w:val="22"/>
        </w:rPr>
        <w:t xml:space="preserve"> Pen (containing 1 pen)</w:t>
      </w:r>
      <w:r w:rsidR="006240D6">
        <w:rPr>
          <w:sz w:val="22"/>
          <w:szCs w:val="22"/>
        </w:rPr>
        <w:t xml:space="preserve"> as a SINGLE pack</w:t>
      </w:r>
      <w:r w:rsidR="0034564D" w:rsidRPr="001F35CA">
        <w:rPr>
          <w:sz w:val="22"/>
          <w:szCs w:val="22"/>
        </w:rPr>
        <w:t>.</w:t>
      </w:r>
      <w:r w:rsidR="004B78DC">
        <w:rPr>
          <w:sz w:val="22"/>
          <w:szCs w:val="22"/>
        </w:rPr>
        <w:t xml:space="preserve"> </w:t>
      </w:r>
    </w:p>
    <w:p w14:paraId="0594EB5F" w14:textId="3D164B9E" w:rsidR="00000825" w:rsidRDefault="00000825" w:rsidP="00F073F8">
      <w:pPr>
        <w:widowControl w:val="0"/>
        <w:rPr>
          <w:sz w:val="22"/>
          <w:szCs w:val="22"/>
        </w:rPr>
      </w:pPr>
    </w:p>
    <w:p w14:paraId="5686DC0A" w14:textId="64A0B5FC" w:rsidR="00324DC0" w:rsidRDefault="00000825" w:rsidP="002A5E1A">
      <w:pPr>
        <w:widowControl w:val="0"/>
        <w:rPr>
          <w:sz w:val="22"/>
          <w:szCs w:val="22"/>
        </w:rPr>
      </w:pPr>
      <w:r>
        <w:rPr>
          <w:sz w:val="22"/>
          <w:szCs w:val="22"/>
        </w:rPr>
        <w:t>Also available as packs of 1 cartridge or 3 cartridges for trea</w:t>
      </w:r>
      <w:r w:rsidR="00DD20CF">
        <w:rPr>
          <w:sz w:val="22"/>
          <w:szCs w:val="22"/>
        </w:rPr>
        <w:t>tment continuation.</w:t>
      </w:r>
    </w:p>
    <w:p w14:paraId="13E55758" w14:textId="27D94DB5" w:rsidR="00BA5731" w:rsidRPr="00F073F8" w:rsidRDefault="00FA22F4" w:rsidP="00F073F8">
      <w:pPr>
        <w:pStyle w:val="Heading2"/>
        <w:jc w:val="left"/>
        <w:rPr>
          <w:rFonts w:ascii="Times New Roman" w:hAnsi="Times New Roman" w:cs="Times New Roman"/>
          <w:sz w:val="22"/>
          <w:szCs w:val="22"/>
        </w:rPr>
      </w:pPr>
      <w:r w:rsidRPr="00F073F8">
        <w:rPr>
          <w:rFonts w:ascii="Times New Roman" w:hAnsi="Times New Roman" w:cs="Times New Roman"/>
          <w:sz w:val="22"/>
          <w:szCs w:val="22"/>
        </w:rPr>
        <w:t>6.6</w:t>
      </w:r>
      <w:r w:rsidRPr="00F073F8">
        <w:rPr>
          <w:rFonts w:ascii="Times New Roman" w:hAnsi="Times New Roman" w:cs="Times New Roman"/>
          <w:sz w:val="22"/>
          <w:szCs w:val="22"/>
        </w:rPr>
        <w:tab/>
        <w:t>SPECIAL PRECAUTIONS FOR DISPOSAL</w:t>
      </w:r>
    </w:p>
    <w:p w14:paraId="204C4D9A" w14:textId="77777777" w:rsidR="00357022" w:rsidRPr="00F073F8" w:rsidRDefault="00357022" w:rsidP="00F073F8">
      <w:pPr>
        <w:widowControl w:val="0"/>
        <w:rPr>
          <w:sz w:val="22"/>
          <w:szCs w:val="22"/>
        </w:rPr>
      </w:pPr>
    </w:p>
    <w:p w14:paraId="5D4BFB5C" w14:textId="58FA5482" w:rsidR="002A0E26" w:rsidRDefault="00386441" w:rsidP="00F073F8">
      <w:pPr>
        <w:widowControl w:val="0"/>
        <w:rPr>
          <w:sz w:val="22"/>
          <w:szCs w:val="22"/>
        </w:rPr>
      </w:pPr>
      <w:r w:rsidRPr="00F073F8">
        <w:rPr>
          <w:sz w:val="22"/>
          <w:szCs w:val="22"/>
        </w:rPr>
        <w:t xml:space="preserve">TERROSA cartridge is for </w:t>
      </w:r>
      <w:proofErr w:type="spellStart"/>
      <w:r w:rsidRPr="00F073F8">
        <w:rPr>
          <w:sz w:val="22"/>
          <w:szCs w:val="22"/>
        </w:rPr>
        <w:t>multidose</w:t>
      </w:r>
      <w:proofErr w:type="spellEnd"/>
      <w:r w:rsidRPr="00F073F8">
        <w:rPr>
          <w:sz w:val="22"/>
          <w:szCs w:val="22"/>
        </w:rPr>
        <w:t xml:space="preserve"> use</w:t>
      </w:r>
      <w:r w:rsidR="002A0E26" w:rsidRPr="00F073F8">
        <w:rPr>
          <w:sz w:val="22"/>
          <w:szCs w:val="22"/>
        </w:rPr>
        <w:t xml:space="preserve">. After 28 days </w:t>
      </w:r>
      <w:r w:rsidR="00E61B6D" w:rsidRPr="00F073F8">
        <w:rPr>
          <w:sz w:val="22"/>
          <w:szCs w:val="22"/>
        </w:rPr>
        <w:t xml:space="preserve">of treatment </w:t>
      </w:r>
      <w:r w:rsidR="002A0E26" w:rsidRPr="00F073F8">
        <w:rPr>
          <w:sz w:val="22"/>
          <w:szCs w:val="22"/>
        </w:rPr>
        <w:t>the cartridge must be removed from the TERROSA pen injector (re-usable)</w:t>
      </w:r>
      <w:r w:rsidR="00E61B6D" w:rsidRPr="00F073F8">
        <w:rPr>
          <w:sz w:val="22"/>
          <w:szCs w:val="22"/>
        </w:rPr>
        <w:t xml:space="preserve"> and disposed</w:t>
      </w:r>
      <w:r w:rsidR="002A0E26" w:rsidRPr="00F073F8">
        <w:rPr>
          <w:sz w:val="22"/>
          <w:szCs w:val="22"/>
        </w:rPr>
        <w:t>.</w:t>
      </w:r>
    </w:p>
    <w:p w14:paraId="1688F7CA" w14:textId="3B7F810E" w:rsidR="00355E5D" w:rsidRDefault="00355E5D" w:rsidP="00F073F8">
      <w:pPr>
        <w:widowControl w:val="0"/>
        <w:rPr>
          <w:sz w:val="22"/>
          <w:szCs w:val="22"/>
        </w:rPr>
      </w:pPr>
    </w:p>
    <w:p w14:paraId="2586CAE8" w14:textId="00E791F8" w:rsidR="00355E5D" w:rsidRPr="00F073F8" w:rsidRDefault="00864D6F" w:rsidP="00F073F8">
      <w:pPr>
        <w:widowControl w:val="0"/>
        <w:rPr>
          <w:sz w:val="22"/>
          <w:szCs w:val="22"/>
        </w:rPr>
      </w:pPr>
      <w:r>
        <w:rPr>
          <w:sz w:val="22"/>
          <w:szCs w:val="22"/>
        </w:rPr>
        <w:t>Patient must retain the</w:t>
      </w:r>
      <w:r w:rsidR="00BC5C2C">
        <w:rPr>
          <w:sz w:val="22"/>
          <w:szCs w:val="22"/>
        </w:rPr>
        <w:t>ir</w:t>
      </w:r>
      <w:r>
        <w:rPr>
          <w:sz w:val="22"/>
          <w:szCs w:val="22"/>
        </w:rPr>
        <w:t xml:space="preserve"> TERROSA pen injector </w:t>
      </w:r>
      <w:r w:rsidR="00E65FF1">
        <w:rPr>
          <w:sz w:val="22"/>
          <w:szCs w:val="22"/>
        </w:rPr>
        <w:t xml:space="preserve">for the duration of their treatment.  TERROSA pen has a shelf-life of 2 years </w:t>
      </w:r>
      <w:r w:rsidR="00636066">
        <w:rPr>
          <w:sz w:val="22"/>
          <w:szCs w:val="22"/>
        </w:rPr>
        <w:t>and is dispose of after 2 years of use.</w:t>
      </w:r>
    </w:p>
    <w:p w14:paraId="726B22DD" w14:textId="77777777" w:rsidR="006C798C" w:rsidRPr="00F073F8" w:rsidRDefault="006C798C" w:rsidP="00F073F8">
      <w:pPr>
        <w:widowControl w:val="0"/>
        <w:rPr>
          <w:sz w:val="22"/>
          <w:szCs w:val="22"/>
        </w:rPr>
      </w:pPr>
    </w:p>
    <w:p w14:paraId="2BF8DA1C" w14:textId="04D42690" w:rsidR="006C798C" w:rsidRPr="00F073F8" w:rsidRDefault="002A0E26" w:rsidP="00F073F8">
      <w:pPr>
        <w:widowControl w:val="0"/>
        <w:rPr>
          <w:sz w:val="22"/>
          <w:szCs w:val="22"/>
        </w:rPr>
      </w:pPr>
      <w:r w:rsidRPr="00F073F8">
        <w:rPr>
          <w:sz w:val="22"/>
          <w:szCs w:val="22"/>
        </w:rPr>
        <w:t>In Australia</w:t>
      </w:r>
      <w:r w:rsidR="0057289C" w:rsidRPr="00F073F8">
        <w:rPr>
          <w:sz w:val="22"/>
          <w:szCs w:val="22"/>
        </w:rPr>
        <w:t xml:space="preserve"> any unused medicine or waste should be disposed of by taking to your local pharmacy</w:t>
      </w:r>
      <w:r w:rsidR="006C798C" w:rsidRPr="00F073F8">
        <w:rPr>
          <w:sz w:val="22"/>
          <w:szCs w:val="22"/>
        </w:rPr>
        <w:t xml:space="preserve">. </w:t>
      </w:r>
    </w:p>
    <w:p w14:paraId="0F5CEE3B" w14:textId="77777777" w:rsidR="002A5E1A" w:rsidRPr="00F073F8" w:rsidRDefault="002A5E1A" w:rsidP="00F073F8">
      <w:pPr>
        <w:widowControl w:val="0"/>
        <w:rPr>
          <w:sz w:val="22"/>
          <w:szCs w:val="22"/>
          <w:lang w:val="en-GB"/>
        </w:rPr>
      </w:pPr>
    </w:p>
    <w:p w14:paraId="34451E7F" w14:textId="611FC0C2" w:rsidR="00BA5731" w:rsidRPr="00F073F8" w:rsidRDefault="00FA22F4" w:rsidP="00F073F8">
      <w:pPr>
        <w:pStyle w:val="Heading2"/>
        <w:jc w:val="left"/>
        <w:rPr>
          <w:rFonts w:ascii="Times New Roman" w:hAnsi="Times New Roman" w:cs="Times New Roman"/>
          <w:sz w:val="22"/>
          <w:szCs w:val="22"/>
        </w:rPr>
      </w:pPr>
      <w:r w:rsidRPr="00F073F8">
        <w:rPr>
          <w:rFonts w:ascii="Times New Roman" w:hAnsi="Times New Roman" w:cs="Times New Roman"/>
          <w:sz w:val="22"/>
          <w:szCs w:val="22"/>
        </w:rPr>
        <w:t>6.7</w:t>
      </w:r>
      <w:r w:rsidRPr="00F073F8">
        <w:rPr>
          <w:rFonts w:ascii="Times New Roman" w:hAnsi="Times New Roman" w:cs="Times New Roman"/>
          <w:sz w:val="22"/>
          <w:szCs w:val="22"/>
        </w:rPr>
        <w:tab/>
        <w:t>PHYSICOCHEMICAL PROPERTIES</w:t>
      </w:r>
    </w:p>
    <w:p w14:paraId="0EB86A01" w14:textId="77777777" w:rsidR="00357022" w:rsidRPr="00F073F8" w:rsidRDefault="00357022" w:rsidP="00F073F8">
      <w:pPr>
        <w:widowControl w:val="0"/>
        <w:rPr>
          <w:sz w:val="22"/>
          <w:szCs w:val="22"/>
        </w:rPr>
      </w:pPr>
    </w:p>
    <w:p w14:paraId="5AAFB34B" w14:textId="29286BB3" w:rsidR="00BA5731" w:rsidRPr="00F073F8" w:rsidRDefault="00BA5731" w:rsidP="00F073F8">
      <w:pPr>
        <w:widowControl w:val="0"/>
        <w:rPr>
          <w:sz w:val="22"/>
          <w:szCs w:val="22"/>
        </w:rPr>
      </w:pPr>
      <w:proofErr w:type="spellStart"/>
      <w:r w:rsidRPr="00F073F8">
        <w:rPr>
          <w:sz w:val="22"/>
          <w:szCs w:val="22"/>
        </w:rPr>
        <w:t>Pharmacotherapeutic</w:t>
      </w:r>
      <w:proofErr w:type="spellEnd"/>
      <w:r w:rsidRPr="00F073F8">
        <w:rPr>
          <w:sz w:val="22"/>
          <w:szCs w:val="22"/>
        </w:rPr>
        <w:t xml:space="preserve"> group: Calcium homeostasis, parathyroid hormones and analogues, ATC code: H05AA02</w:t>
      </w:r>
      <w:r w:rsidR="00241CBB" w:rsidRPr="00F073F8">
        <w:rPr>
          <w:sz w:val="22"/>
          <w:szCs w:val="22"/>
        </w:rPr>
        <w:t>.</w:t>
      </w:r>
    </w:p>
    <w:p w14:paraId="790025E4" w14:textId="15BA8495" w:rsidR="00241CBB" w:rsidRPr="00F073F8" w:rsidRDefault="00241CBB" w:rsidP="00F073F8">
      <w:pPr>
        <w:widowControl w:val="0"/>
        <w:rPr>
          <w:sz w:val="22"/>
          <w:szCs w:val="22"/>
        </w:rPr>
      </w:pPr>
    </w:p>
    <w:p w14:paraId="2F7CF935" w14:textId="04DFE676" w:rsidR="00241CBB" w:rsidRPr="00F073F8" w:rsidRDefault="00241CBB" w:rsidP="00F073F8">
      <w:pPr>
        <w:widowControl w:val="0"/>
        <w:rPr>
          <w:sz w:val="22"/>
          <w:szCs w:val="22"/>
        </w:rPr>
      </w:pPr>
      <w:r w:rsidRPr="00F073F8">
        <w:rPr>
          <w:sz w:val="22"/>
          <w:szCs w:val="22"/>
        </w:rPr>
        <w:t>Teriparatide has a molecular weight of 4115.1309 Dalton. In other sources, the mass for teriparatide is given with 4118</w:t>
      </w:r>
      <w:r w:rsidR="009F71F6">
        <w:rPr>
          <w:sz w:val="22"/>
          <w:szCs w:val="22"/>
        </w:rPr>
        <w:t> </w:t>
      </w:r>
      <w:r w:rsidRPr="00F073F8">
        <w:rPr>
          <w:sz w:val="22"/>
          <w:szCs w:val="22"/>
        </w:rPr>
        <w:t>Da</w:t>
      </w:r>
    </w:p>
    <w:p w14:paraId="217E3730" w14:textId="77777777" w:rsidR="00FA22F4" w:rsidRPr="00F073F8" w:rsidRDefault="00FA22F4" w:rsidP="00F073F8">
      <w:pPr>
        <w:rPr>
          <w:sz w:val="22"/>
          <w:szCs w:val="22"/>
          <w:lang w:val="en-GB"/>
        </w:rPr>
      </w:pPr>
    </w:p>
    <w:p w14:paraId="0217F858" w14:textId="77777777" w:rsidR="00BA5731" w:rsidRPr="00F073F8" w:rsidRDefault="00BA5731" w:rsidP="00F073F8">
      <w:pPr>
        <w:rPr>
          <w:b/>
          <w:bCs/>
          <w:sz w:val="22"/>
          <w:szCs w:val="22"/>
        </w:rPr>
      </w:pPr>
      <w:bookmarkStart w:id="13" w:name="_GoBack"/>
      <w:r w:rsidRPr="00F073F8">
        <w:rPr>
          <w:b/>
          <w:bCs/>
          <w:sz w:val="22"/>
          <w:szCs w:val="22"/>
        </w:rPr>
        <w:t>Chemical structure</w:t>
      </w:r>
    </w:p>
    <w:bookmarkEnd w:id="13"/>
    <w:p w14:paraId="6C9EFB84" w14:textId="77777777" w:rsidR="00BA5731" w:rsidRPr="00F073F8" w:rsidRDefault="00BA5731" w:rsidP="00F073F8">
      <w:pPr>
        <w:widowControl w:val="0"/>
        <w:rPr>
          <w:sz w:val="22"/>
          <w:szCs w:val="22"/>
          <w:lang w:val="en-GB"/>
        </w:rPr>
      </w:pPr>
      <w:r w:rsidRPr="00F073F8">
        <w:rPr>
          <w:sz w:val="22"/>
          <w:szCs w:val="22"/>
        </w:rPr>
        <w:t xml:space="preserve">Teriparatide, </w:t>
      </w:r>
      <w:proofErr w:type="spellStart"/>
      <w:r w:rsidRPr="00F073F8">
        <w:rPr>
          <w:sz w:val="22"/>
          <w:szCs w:val="22"/>
        </w:rPr>
        <w:t>rhPTH</w:t>
      </w:r>
      <w:proofErr w:type="spellEnd"/>
      <w:r w:rsidRPr="00F073F8">
        <w:rPr>
          <w:sz w:val="22"/>
          <w:szCs w:val="22"/>
        </w:rPr>
        <w:t>(1-34), produced in E. coli, using recombinant DNA technology, is identical to the 34-N-terminal amino acid sequence of endogenous human parathyroid hormone</w:t>
      </w:r>
      <w:r w:rsidRPr="00F073F8">
        <w:rPr>
          <w:sz w:val="22"/>
          <w:szCs w:val="22"/>
          <w:lang w:val="en-GB"/>
        </w:rPr>
        <w:t>.</w:t>
      </w:r>
    </w:p>
    <w:p w14:paraId="2A23F5F6" w14:textId="77777777" w:rsidR="00BA5731" w:rsidRPr="00F073F8" w:rsidRDefault="00BA5731" w:rsidP="00F073F8">
      <w:pPr>
        <w:rPr>
          <w:sz w:val="22"/>
          <w:szCs w:val="22"/>
          <w:lang w:val="en-GB"/>
        </w:rPr>
      </w:pPr>
    </w:p>
    <w:p w14:paraId="409FA447" w14:textId="21F43632" w:rsidR="00BA5731" w:rsidRPr="00F073F8" w:rsidRDefault="00775140" w:rsidP="00F073F8">
      <w:pPr>
        <w:rPr>
          <w:sz w:val="22"/>
          <w:szCs w:val="22"/>
          <w:lang w:val="en-GB"/>
        </w:rPr>
      </w:pPr>
      <w:r w:rsidRPr="00F073F8">
        <w:rPr>
          <w:noProof/>
          <w:sz w:val="22"/>
          <w:szCs w:val="22"/>
          <w:lang w:eastAsia="en-AU"/>
        </w:rPr>
        <w:drawing>
          <wp:inline distT="0" distB="0" distL="0" distR="0" wp14:anchorId="30CFE5BF" wp14:editId="3EE5F9C4">
            <wp:extent cx="3686861" cy="2279636"/>
            <wp:effectExtent l="0" t="0" r="0" b="6985"/>
            <wp:docPr id="1" name="Kép 1" descr="C:\Users\enyedik\Desktop\573028fdbf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yedik\Desktop\573028fdbffb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007" cy="2296421"/>
                    </a:xfrm>
                    <a:prstGeom prst="rect">
                      <a:avLst/>
                    </a:prstGeom>
                    <a:noFill/>
                    <a:ln>
                      <a:noFill/>
                    </a:ln>
                  </pic:spPr>
                </pic:pic>
              </a:graphicData>
            </a:graphic>
          </wp:inline>
        </w:drawing>
      </w:r>
    </w:p>
    <w:p w14:paraId="476DFD54" w14:textId="327AA613" w:rsidR="00BA5731" w:rsidRPr="00F073F8" w:rsidRDefault="000C05E9" w:rsidP="00F073F8">
      <w:pPr>
        <w:rPr>
          <w:sz w:val="22"/>
          <w:szCs w:val="22"/>
        </w:rPr>
      </w:pPr>
      <w:r w:rsidRPr="00F073F8">
        <w:rPr>
          <w:sz w:val="22"/>
          <w:szCs w:val="22"/>
        </w:rPr>
        <w:t xml:space="preserve">TERROSA is manufactured </w:t>
      </w:r>
      <w:r w:rsidR="00BA0FA7" w:rsidRPr="00F073F8">
        <w:rPr>
          <w:sz w:val="22"/>
          <w:szCs w:val="22"/>
        </w:rPr>
        <w:t>using recombinant DNA technology</w:t>
      </w:r>
    </w:p>
    <w:p w14:paraId="619C4892" w14:textId="77777777" w:rsidR="00FA22F4" w:rsidRPr="00F073F8" w:rsidRDefault="00FA22F4" w:rsidP="00F073F8">
      <w:pPr>
        <w:rPr>
          <w:sz w:val="22"/>
          <w:szCs w:val="22"/>
          <w:lang w:val="en-GB"/>
        </w:rPr>
      </w:pPr>
    </w:p>
    <w:p w14:paraId="4398E6B3" w14:textId="77777777" w:rsidR="00FA22F4" w:rsidRPr="00F073F8" w:rsidRDefault="00BA5731" w:rsidP="00F073F8">
      <w:pPr>
        <w:rPr>
          <w:b/>
          <w:bCs/>
          <w:sz w:val="22"/>
          <w:szCs w:val="22"/>
        </w:rPr>
      </w:pPr>
      <w:r w:rsidRPr="00F073F8">
        <w:rPr>
          <w:b/>
          <w:bCs/>
          <w:sz w:val="22"/>
          <w:szCs w:val="22"/>
        </w:rPr>
        <w:t>CAS number</w:t>
      </w:r>
    </w:p>
    <w:p w14:paraId="5BD73CD0" w14:textId="2CE7EC0F" w:rsidR="00FA22F4" w:rsidRPr="00F073F8" w:rsidRDefault="000C05E9" w:rsidP="00F073F8">
      <w:pPr>
        <w:rPr>
          <w:sz w:val="22"/>
          <w:szCs w:val="22"/>
        </w:rPr>
      </w:pPr>
      <w:r w:rsidRPr="00F073F8">
        <w:rPr>
          <w:sz w:val="22"/>
          <w:szCs w:val="22"/>
        </w:rPr>
        <w:t>The C</w:t>
      </w:r>
      <w:r w:rsidR="00335F86" w:rsidRPr="00F073F8">
        <w:rPr>
          <w:sz w:val="22"/>
          <w:szCs w:val="22"/>
        </w:rPr>
        <w:t>hemical Abstract Service (CAS) Registry N</w:t>
      </w:r>
      <w:r w:rsidRPr="00F073F8">
        <w:rPr>
          <w:sz w:val="22"/>
          <w:szCs w:val="22"/>
        </w:rPr>
        <w:t xml:space="preserve">umber for teriparatide is </w:t>
      </w:r>
      <w:r w:rsidR="00AF0D63" w:rsidRPr="00F073F8">
        <w:rPr>
          <w:sz w:val="22"/>
          <w:szCs w:val="22"/>
        </w:rPr>
        <w:t>52232-67-4</w:t>
      </w:r>
    </w:p>
    <w:p w14:paraId="60824F74" w14:textId="77777777" w:rsidR="002A5E1A" w:rsidRPr="00F073F8" w:rsidRDefault="002A5E1A" w:rsidP="00F073F8">
      <w:pPr>
        <w:rPr>
          <w:sz w:val="22"/>
          <w:szCs w:val="22"/>
          <w:lang w:val="en-GB"/>
        </w:rPr>
      </w:pPr>
    </w:p>
    <w:p w14:paraId="0A18F749" w14:textId="77777777" w:rsidR="00FA22F4" w:rsidRPr="00F073F8" w:rsidRDefault="00FA22F4" w:rsidP="00F073F8">
      <w:pPr>
        <w:pStyle w:val="Heading1"/>
        <w:jc w:val="left"/>
        <w:rPr>
          <w:rFonts w:ascii="Times New Roman" w:hAnsi="Times New Roman" w:cs="Times New Roman"/>
          <w:bCs/>
          <w:sz w:val="22"/>
          <w:szCs w:val="22"/>
          <w:lang w:val="en-AU" w:eastAsia="en-GB"/>
        </w:rPr>
      </w:pPr>
      <w:r w:rsidRPr="00F073F8">
        <w:rPr>
          <w:rFonts w:ascii="Times New Roman" w:hAnsi="Times New Roman" w:cs="Times New Roman"/>
          <w:bCs/>
          <w:sz w:val="22"/>
          <w:szCs w:val="22"/>
          <w:lang w:val="en-AU" w:eastAsia="en-GB"/>
        </w:rPr>
        <w:t>7.</w:t>
      </w:r>
      <w:r w:rsidRPr="00F073F8">
        <w:rPr>
          <w:rFonts w:ascii="Times New Roman" w:hAnsi="Times New Roman" w:cs="Times New Roman"/>
          <w:bCs/>
          <w:sz w:val="22"/>
          <w:szCs w:val="22"/>
          <w:lang w:val="en-AU" w:eastAsia="en-GB"/>
        </w:rPr>
        <w:tab/>
        <w:t>MEDICINE SCHEDULE (POISONS STANDARD)</w:t>
      </w:r>
    </w:p>
    <w:p w14:paraId="7AD36F67" w14:textId="77777777" w:rsidR="00FA22F4" w:rsidRPr="00F073F8" w:rsidRDefault="00FA22F4" w:rsidP="00F073F8">
      <w:pPr>
        <w:rPr>
          <w:sz w:val="22"/>
          <w:szCs w:val="22"/>
          <w:lang w:val="en-GB"/>
        </w:rPr>
      </w:pPr>
    </w:p>
    <w:p w14:paraId="1C65B1FD" w14:textId="1FFEBD9D" w:rsidR="00FA22F4" w:rsidRPr="00F073F8" w:rsidRDefault="00FA22F4" w:rsidP="00F073F8">
      <w:pPr>
        <w:rPr>
          <w:sz w:val="22"/>
          <w:szCs w:val="22"/>
        </w:rPr>
      </w:pPr>
      <w:r w:rsidRPr="00F073F8">
        <w:rPr>
          <w:sz w:val="22"/>
          <w:szCs w:val="22"/>
        </w:rPr>
        <w:t xml:space="preserve">Schedule </w:t>
      </w:r>
      <w:r w:rsidR="00AF0D63" w:rsidRPr="00F073F8">
        <w:rPr>
          <w:sz w:val="22"/>
          <w:szCs w:val="22"/>
        </w:rPr>
        <w:t>4</w:t>
      </w:r>
      <w:r w:rsidR="00483D91">
        <w:rPr>
          <w:sz w:val="22"/>
          <w:szCs w:val="22"/>
        </w:rPr>
        <w:t xml:space="preserve"> </w:t>
      </w:r>
      <w:r w:rsidR="000F6759" w:rsidRPr="00F073F8">
        <w:rPr>
          <w:sz w:val="22"/>
          <w:szCs w:val="22"/>
        </w:rPr>
        <w:t>PRESCRIPTION ONLY MEDICINE</w:t>
      </w:r>
    </w:p>
    <w:p w14:paraId="39C2FC78" w14:textId="77777777" w:rsidR="002A5E1A" w:rsidRPr="008539F3" w:rsidRDefault="002A5E1A" w:rsidP="00F073F8">
      <w:pPr>
        <w:rPr>
          <w:sz w:val="22"/>
          <w:szCs w:val="22"/>
        </w:rPr>
      </w:pPr>
    </w:p>
    <w:p w14:paraId="535C1D95" w14:textId="77777777" w:rsidR="00FA22F4" w:rsidRPr="00442E6E" w:rsidRDefault="00FA22F4" w:rsidP="00F073F8">
      <w:pPr>
        <w:rPr>
          <w:b/>
          <w:bCs/>
          <w:sz w:val="22"/>
          <w:szCs w:val="22"/>
          <w:lang w:val="de-DE"/>
        </w:rPr>
      </w:pPr>
      <w:r w:rsidRPr="00442E6E">
        <w:rPr>
          <w:b/>
          <w:bCs/>
          <w:sz w:val="22"/>
          <w:szCs w:val="22"/>
          <w:lang w:val="de-DE"/>
        </w:rPr>
        <w:t>8</w:t>
      </w:r>
      <w:r w:rsidRPr="00442E6E">
        <w:rPr>
          <w:b/>
          <w:bCs/>
          <w:sz w:val="22"/>
          <w:szCs w:val="22"/>
          <w:lang w:val="de-DE"/>
        </w:rPr>
        <w:tab/>
        <w:t>SPONSOR:</w:t>
      </w:r>
    </w:p>
    <w:p w14:paraId="0FE7B7DF" w14:textId="77777777" w:rsidR="00AF0D63" w:rsidRPr="00442E6E" w:rsidRDefault="00AF0D63" w:rsidP="00F073F8">
      <w:pPr>
        <w:rPr>
          <w:sz w:val="22"/>
          <w:szCs w:val="22"/>
          <w:lang w:val="de-DE"/>
        </w:rPr>
      </w:pPr>
    </w:p>
    <w:p w14:paraId="47859837" w14:textId="77777777" w:rsidR="00FA22F4" w:rsidRPr="00C436F0" w:rsidRDefault="00830678" w:rsidP="00F073F8">
      <w:pPr>
        <w:rPr>
          <w:sz w:val="20"/>
          <w:szCs w:val="20"/>
          <w:lang w:val="de-DE"/>
        </w:rPr>
      </w:pPr>
      <w:r w:rsidRPr="00C436F0">
        <w:rPr>
          <w:sz w:val="20"/>
          <w:szCs w:val="20"/>
          <w:lang w:val="de-DE"/>
        </w:rPr>
        <w:t>Gedeon Richter Australia Pty Ltd</w:t>
      </w:r>
    </w:p>
    <w:p w14:paraId="6B2D4447" w14:textId="77777777" w:rsidR="00830678" w:rsidRPr="00C436F0" w:rsidRDefault="00AF0D63" w:rsidP="00F073F8">
      <w:pPr>
        <w:rPr>
          <w:sz w:val="20"/>
          <w:szCs w:val="20"/>
        </w:rPr>
      </w:pPr>
      <w:r w:rsidRPr="00C436F0">
        <w:rPr>
          <w:sz w:val="20"/>
          <w:szCs w:val="20"/>
        </w:rPr>
        <w:t xml:space="preserve">Units 33-34, 23 </w:t>
      </w:r>
      <w:proofErr w:type="spellStart"/>
      <w:r w:rsidRPr="00C436F0">
        <w:rPr>
          <w:sz w:val="20"/>
          <w:szCs w:val="20"/>
        </w:rPr>
        <w:t>N</w:t>
      </w:r>
      <w:r w:rsidR="00830678" w:rsidRPr="00C436F0">
        <w:rPr>
          <w:sz w:val="20"/>
          <w:szCs w:val="20"/>
        </w:rPr>
        <w:t>arabang</w:t>
      </w:r>
      <w:proofErr w:type="spellEnd"/>
      <w:r w:rsidR="00830678" w:rsidRPr="00C436F0">
        <w:rPr>
          <w:sz w:val="20"/>
          <w:szCs w:val="20"/>
        </w:rPr>
        <w:t xml:space="preserve"> Way</w:t>
      </w:r>
    </w:p>
    <w:p w14:paraId="79414F6A" w14:textId="6E02AA8B" w:rsidR="002A0070" w:rsidRPr="00C436F0" w:rsidRDefault="00830678" w:rsidP="00F073F8">
      <w:pPr>
        <w:rPr>
          <w:sz w:val="20"/>
          <w:szCs w:val="20"/>
        </w:rPr>
      </w:pPr>
      <w:r w:rsidRPr="00C436F0">
        <w:rPr>
          <w:sz w:val="20"/>
          <w:szCs w:val="20"/>
        </w:rPr>
        <w:t>Belrose</w:t>
      </w:r>
      <w:r w:rsidR="00DD1EA7" w:rsidRPr="00C436F0">
        <w:rPr>
          <w:sz w:val="20"/>
          <w:szCs w:val="20"/>
        </w:rPr>
        <w:t xml:space="preserve"> </w:t>
      </w:r>
      <w:r w:rsidRPr="00C436F0">
        <w:rPr>
          <w:sz w:val="20"/>
          <w:szCs w:val="20"/>
        </w:rPr>
        <w:t>NSW 2085</w:t>
      </w:r>
      <w:r w:rsidR="00C03174" w:rsidRPr="00C436F0">
        <w:rPr>
          <w:sz w:val="20"/>
          <w:szCs w:val="20"/>
        </w:rPr>
        <w:t>, AUSTRALIA</w:t>
      </w:r>
    </w:p>
    <w:p w14:paraId="7A999B79" w14:textId="584F6778" w:rsidR="00FA22F4" w:rsidRPr="00C436F0" w:rsidRDefault="00DD1EA7" w:rsidP="00F073F8">
      <w:pPr>
        <w:rPr>
          <w:sz w:val="20"/>
          <w:szCs w:val="20"/>
        </w:rPr>
      </w:pPr>
      <w:r w:rsidRPr="00C436F0">
        <w:rPr>
          <w:sz w:val="20"/>
          <w:szCs w:val="20"/>
        </w:rPr>
        <w:t>Phone:  1300 GEDEON (1300 433 366)</w:t>
      </w:r>
    </w:p>
    <w:p w14:paraId="6224D2E6" w14:textId="77777777" w:rsidR="00FA22F4" w:rsidRPr="00F073F8" w:rsidRDefault="00FA22F4" w:rsidP="00F073F8">
      <w:pPr>
        <w:pStyle w:val="Heading1"/>
        <w:jc w:val="left"/>
        <w:rPr>
          <w:rFonts w:ascii="Times New Roman" w:hAnsi="Times New Roman" w:cs="Times New Roman"/>
          <w:bCs/>
          <w:sz w:val="22"/>
          <w:szCs w:val="22"/>
          <w:lang w:val="en-AU" w:eastAsia="en-GB"/>
        </w:rPr>
      </w:pPr>
      <w:r w:rsidRPr="00F073F8">
        <w:rPr>
          <w:rFonts w:ascii="Times New Roman" w:hAnsi="Times New Roman" w:cs="Times New Roman"/>
          <w:bCs/>
          <w:sz w:val="22"/>
          <w:szCs w:val="22"/>
          <w:lang w:val="en-AU" w:eastAsia="en-GB"/>
        </w:rPr>
        <w:t>9.</w:t>
      </w:r>
      <w:r w:rsidRPr="00F073F8">
        <w:rPr>
          <w:rFonts w:ascii="Times New Roman" w:hAnsi="Times New Roman" w:cs="Times New Roman"/>
          <w:bCs/>
          <w:sz w:val="22"/>
          <w:szCs w:val="22"/>
          <w:lang w:val="en-AU" w:eastAsia="en-GB"/>
        </w:rPr>
        <w:tab/>
        <w:t>DATE OF FIRST APPROVAL</w:t>
      </w:r>
    </w:p>
    <w:p w14:paraId="7224CB3C" w14:textId="143609E3" w:rsidR="00FA22F4" w:rsidRPr="00F073F8" w:rsidRDefault="00FA22F4" w:rsidP="00F073F8">
      <w:pPr>
        <w:rPr>
          <w:sz w:val="22"/>
          <w:szCs w:val="22"/>
          <w:lang w:val="en-GB"/>
        </w:rPr>
      </w:pPr>
      <w:r w:rsidRPr="00F073F8">
        <w:rPr>
          <w:sz w:val="22"/>
          <w:szCs w:val="22"/>
          <w:lang w:val="en-GB"/>
        </w:rPr>
        <w:tab/>
      </w:r>
      <w:r w:rsidR="00AF0D63" w:rsidRPr="00F073F8">
        <w:rPr>
          <w:sz w:val="22"/>
          <w:szCs w:val="22"/>
        </w:rPr>
        <w:t>XXXX</w:t>
      </w:r>
    </w:p>
    <w:p w14:paraId="6FDD24A5" w14:textId="321D8BA7" w:rsidR="00FA22F4" w:rsidRDefault="00FA22F4" w:rsidP="003D1043"/>
    <w:p w14:paraId="328362E1" w14:textId="77777777" w:rsidR="00081BD7" w:rsidRPr="00F073F8" w:rsidRDefault="00081BD7" w:rsidP="003D1043"/>
    <w:p w14:paraId="11D3CD2C" w14:textId="77777777" w:rsidR="00FA22F4" w:rsidRPr="00F073F8" w:rsidRDefault="00FA22F4" w:rsidP="00F073F8">
      <w:pPr>
        <w:pStyle w:val="Heading1"/>
        <w:jc w:val="left"/>
        <w:rPr>
          <w:rFonts w:ascii="Times New Roman" w:hAnsi="Times New Roman" w:cs="Times New Roman"/>
          <w:bCs/>
          <w:sz w:val="22"/>
          <w:szCs w:val="22"/>
          <w:lang w:val="en-AU" w:eastAsia="en-GB"/>
        </w:rPr>
      </w:pPr>
      <w:r w:rsidRPr="00F073F8">
        <w:rPr>
          <w:rFonts w:ascii="Times New Roman" w:hAnsi="Times New Roman" w:cs="Times New Roman"/>
          <w:bCs/>
          <w:sz w:val="22"/>
          <w:szCs w:val="22"/>
          <w:lang w:val="en-AU" w:eastAsia="en-GB"/>
        </w:rPr>
        <w:t>10</w:t>
      </w:r>
      <w:r w:rsidRPr="00F073F8">
        <w:rPr>
          <w:rFonts w:ascii="Times New Roman" w:hAnsi="Times New Roman" w:cs="Times New Roman"/>
          <w:bCs/>
          <w:sz w:val="22"/>
          <w:szCs w:val="22"/>
          <w:lang w:val="en-AU" w:eastAsia="en-GB"/>
        </w:rPr>
        <w:tab/>
        <w:t>DATE OF REVISION</w:t>
      </w:r>
    </w:p>
    <w:p w14:paraId="508C3BE1" w14:textId="32CF7C19" w:rsidR="00A7589D" w:rsidRPr="00F073F8" w:rsidRDefault="00FA22F4" w:rsidP="00F073F8">
      <w:pPr>
        <w:rPr>
          <w:sz w:val="22"/>
          <w:szCs w:val="22"/>
          <w:lang w:val="en-GB"/>
        </w:rPr>
      </w:pPr>
      <w:r w:rsidRPr="00F073F8">
        <w:rPr>
          <w:sz w:val="22"/>
          <w:szCs w:val="22"/>
          <w:lang w:val="en-GB"/>
        </w:rPr>
        <w:tab/>
      </w:r>
      <w:r w:rsidR="0034564D" w:rsidRPr="00F073F8">
        <w:rPr>
          <w:sz w:val="22"/>
          <w:szCs w:val="22"/>
        </w:rPr>
        <w:t>N/A</w:t>
      </w:r>
    </w:p>
    <w:p w14:paraId="2E068D68" w14:textId="75752A13" w:rsidR="00A7589D" w:rsidRDefault="00A7589D" w:rsidP="003D1043"/>
    <w:p w14:paraId="66F7FDA9" w14:textId="06074E1E" w:rsidR="00FA22F4" w:rsidRDefault="00FA22F4" w:rsidP="00C56727">
      <w:pPr>
        <w:pStyle w:val="Heading1"/>
        <w:jc w:val="left"/>
        <w:rPr>
          <w:rFonts w:ascii="Times New Roman" w:hAnsi="Times New Roman" w:cs="Times New Roman"/>
          <w:bCs/>
          <w:sz w:val="22"/>
          <w:szCs w:val="22"/>
          <w:lang w:val="en-AU" w:eastAsia="en-GB"/>
        </w:rPr>
      </w:pPr>
      <w:r w:rsidRPr="00F073F8">
        <w:rPr>
          <w:rFonts w:ascii="Times New Roman" w:hAnsi="Times New Roman" w:cs="Times New Roman"/>
          <w:bCs/>
          <w:sz w:val="22"/>
          <w:szCs w:val="22"/>
          <w:lang w:val="en-AU" w:eastAsia="en-GB"/>
        </w:rPr>
        <w:t>SUMMARY TABLE OF CHANGES</w:t>
      </w:r>
    </w:p>
    <w:p w14:paraId="614C94D0" w14:textId="77777777" w:rsidR="00D06B43" w:rsidRPr="00D06B43" w:rsidRDefault="00D06B43" w:rsidP="00D06B43"/>
    <w:tbl>
      <w:tblPr>
        <w:tblW w:w="8261" w:type="dxa"/>
        <w:tblLook w:val="04A0" w:firstRow="1" w:lastRow="0" w:firstColumn="1" w:lastColumn="0" w:noHBand="0" w:noVBand="1"/>
      </w:tblPr>
      <w:tblGrid>
        <w:gridCol w:w="1526"/>
        <w:gridCol w:w="6735"/>
      </w:tblGrid>
      <w:tr w:rsidR="00FA22F4" w:rsidRPr="00F073F8" w14:paraId="37D75E29" w14:textId="77777777" w:rsidTr="00827DAE">
        <w:trPr>
          <w:trHeight w:val="18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2CB39C0" w14:textId="77777777" w:rsidR="00FA22F4" w:rsidRPr="00F073F8" w:rsidRDefault="00FA22F4" w:rsidP="00F073F8">
            <w:pPr>
              <w:rPr>
                <w:b/>
                <w:sz w:val="22"/>
                <w:szCs w:val="22"/>
                <w:lang w:val="en-GB"/>
              </w:rPr>
            </w:pPr>
            <w:r w:rsidRPr="00F073F8">
              <w:rPr>
                <w:b/>
                <w:sz w:val="22"/>
                <w:szCs w:val="22"/>
                <w:lang w:val="en-GB"/>
              </w:rPr>
              <w:t>Section changed</w:t>
            </w:r>
          </w:p>
        </w:tc>
        <w:tc>
          <w:tcPr>
            <w:tcW w:w="6735" w:type="dxa"/>
            <w:tcBorders>
              <w:top w:val="single" w:sz="4" w:space="0" w:color="auto"/>
              <w:left w:val="single" w:sz="4" w:space="0" w:color="auto"/>
              <w:bottom w:val="single" w:sz="4" w:space="0" w:color="auto"/>
              <w:right w:val="single" w:sz="4" w:space="0" w:color="auto"/>
            </w:tcBorders>
            <w:shd w:val="clear" w:color="auto" w:fill="auto"/>
          </w:tcPr>
          <w:p w14:paraId="5973502B" w14:textId="77777777" w:rsidR="00FA22F4" w:rsidRPr="00F073F8" w:rsidRDefault="00FA22F4" w:rsidP="00F073F8">
            <w:pPr>
              <w:rPr>
                <w:b/>
                <w:sz w:val="22"/>
                <w:szCs w:val="22"/>
                <w:lang w:val="en-GB"/>
              </w:rPr>
            </w:pPr>
            <w:r w:rsidRPr="00F073F8">
              <w:rPr>
                <w:b/>
                <w:sz w:val="22"/>
                <w:szCs w:val="22"/>
                <w:lang w:val="en-GB"/>
              </w:rPr>
              <w:t>Summary of new information</w:t>
            </w:r>
          </w:p>
        </w:tc>
      </w:tr>
      <w:tr w:rsidR="00FA22F4" w:rsidRPr="00F073F8" w14:paraId="0DD37C35" w14:textId="77777777" w:rsidTr="00827DAE">
        <w:trPr>
          <w:trHeight w:val="18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C440AE2" w14:textId="77777777" w:rsidR="00FA22F4" w:rsidRPr="00F073F8" w:rsidRDefault="00FA22F4" w:rsidP="00F073F8">
            <w:pPr>
              <w:rPr>
                <w:sz w:val="22"/>
                <w:szCs w:val="22"/>
                <w:lang w:val="en-GB"/>
              </w:rPr>
            </w:pPr>
            <w:r w:rsidRPr="00F073F8">
              <w:rPr>
                <w:sz w:val="22"/>
                <w:szCs w:val="22"/>
                <w:lang w:val="en-GB"/>
              </w:rPr>
              <w:t>Whole document</w:t>
            </w:r>
          </w:p>
        </w:tc>
        <w:tc>
          <w:tcPr>
            <w:tcW w:w="6735" w:type="dxa"/>
            <w:tcBorders>
              <w:top w:val="single" w:sz="4" w:space="0" w:color="auto"/>
              <w:left w:val="single" w:sz="4" w:space="0" w:color="auto"/>
              <w:bottom w:val="single" w:sz="4" w:space="0" w:color="auto"/>
              <w:right w:val="single" w:sz="4" w:space="0" w:color="auto"/>
            </w:tcBorders>
            <w:shd w:val="clear" w:color="auto" w:fill="auto"/>
          </w:tcPr>
          <w:p w14:paraId="39625E96" w14:textId="77777777" w:rsidR="00FA22F4" w:rsidRPr="00F073F8" w:rsidRDefault="0034564D" w:rsidP="00F073F8">
            <w:pPr>
              <w:rPr>
                <w:sz w:val="22"/>
                <w:szCs w:val="22"/>
                <w:lang w:val="en-GB"/>
              </w:rPr>
            </w:pPr>
            <w:r w:rsidRPr="00F073F8">
              <w:rPr>
                <w:sz w:val="22"/>
                <w:szCs w:val="22"/>
                <w:lang w:val="en-GB"/>
              </w:rPr>
              <w:t>New document</w:t>
            </w:r>
          </w:p>
        </w:tc>
      </w:tr>
    </w:tbl>
    <w:p w14:paraId="129ADA3A" w14:textId="77777777" w:rsidR="00AF0D63" w:rsidRPr="00F073F8" w:rsidRDefault="00AF0D63" w:rsidP="00C56727">
      <w:pPr>
        <w:rPr>
          <w:sz w:val="22"/>
          <w:szCs w:val="22"/>
        </w:rPr>
      </w:pPr>
    </w:p>
    <w:sectPr w:rsidR="00AF0D63" w:rsidRPr="00F073F8" w:rsidSect="003B6A04">
      <w:headerReference w:type="even" r:id="rId19"/>
      <w:headerReference w:type="default" r:id="rId20"/>
      <w:footerReference w:type="even" r:id="rId21"/>
      <w:footerReference w:type="default" r:id="rId22"/>
      <w:headerReference w:type="first" r:id="rId23"/>
      <w:footerReference w:type="first" r:id="rId24"/>
      <w:pgSz w:w="11904" w:h="16836"/>
      <w:pgMar w:top="1440" w:right="1440" w:bottom="1440" w:left="1440" w:header="720" w:footer="2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F16E3" w14:textId="77777777" w:rsidR="00860F7B" w:rsidRDefault="00860F7B" w:rsidP="0034564D">
      <w:r>
        <w:separator/>
      </w:r>
    </w:p>
    <w:p w14:paraId="29ADE526" w14:textId="77777777" w:rsidR="00860F7B" w:rsidRDefault="00860F7B"/>
  </w:endnote>
  <w:endnote w:type="continuationSeparator" w:id="0">
    <w:p w14:paraId="23A2EB37" w14:textId="77777777" w:rsidR="00860F7B" w:rsidRDefault="00860F7B" w:rsidP="0034564D">
      <w:r>
        <w:continuationSeparator/>
      </w:r>
    </w:p>
    <w:p w14:paraId="3C26710D" w14:textId="77777777" w:rsidR="00860F7B" w:rsidRDefault="00860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 55 Roman">
    <w:altName w:val="Arial"/>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4DE38" w14:textId="77777777" w:rsidR="00860F7B" w:rsidRDefault="00860F7B" w:rsidP="00827D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8E05FB" w14:textId="77777777" w:rsidR="00860F7B" w:rsidRDefault="00860F7B" w:rsidP="00827DAE">
    <w:pPr>
      <w:pStyle w:val="Footer"/>
      <w:ind w:right="360"/>
    </w:pPr>
  </w:p>
  <w:p w14:paraId="6D7FF55F" w14:textId="77777777" w:rsidR="00860F7B" w:rsidRDefault="00860F7B"/>
  <w:p w14:paraId="3C8AAAD3" w14:textId="77777777" w:rsidR="00860F7B" w:rsidRDefault="00860F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F578" w14:textId="354932AC" w:rsidR="00860F7B" w:rsidRDefault="00860F7B" w:rsidP="00827D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5DDB">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35DDB">
      <w:rPr>
        <w:rStyle w:val="PageNumber"/>
        <w:noProof/>
      </w:rPr>
      <w:t>23</w:t>
    </w:r>
    <w:r>
      <w:rPr>
        <w:rStyle w:val="PageNumber"/>
      </w:rPr>
      <w:fldChar w:fldCharType="end"/>
    </w:r>
  </w:p>
  <w:p w14:paraId="2365B3F8" w14:textId="50A3D718" w:rsidR="00860F7B" w:rsidRDefault="00860F7B" w:rsidP="00827DAE">
    <w:pPr>
      <w:pStyle w:val="Footer"/>
      <w:ind w:right="360"/>
      <w:rPr>
        <w:sz w:val="18"/>
        <w:szCs w:val="18"/>
      </w:rPr>
    </w:pPr>
    <w:proofErr w:type="spellStart"/>
    <w:r>
      <w:rPr>
        <w:sz w:val="18"/>
        <w:szCs w:val="18"/>
      </w:rPr>
      <w:t>terrosa</w:t>
    </w:r>
    <w:proofErr w:type="spellEnd"/>
    <w:r>
      <w:rPr>
        <w:sz w:val="18"/>
        <w:szCs w:val="18"/>
      </w:rPr>
      <w:t>-draft pi-v7</w:t>
    </w:r>
    <w:r w:rsidDel="00537F93">
      <w:rPr>
        <w:sz w:val="18"/>
        <w:szCs w:val="18"/>
      </w:rPr>
      <w:t xml:space="preserve"> </w:t>
    </w:r>
    <w:r>
      <w:rPr>
        <w:sz w:val="18"/>
        <w:szCs w:val="18"/>
      </w:rPr>
      <w:t>-annotated-231120</w:t>
    </w:r>
  </w:p>
  <w:p w14:paraId="4739A609" w14:textId="77777777" w:rsidR="00860F7B" w:rsidRDefault="00860F7B" w:rsidP="00827DAE">
    <w:pPr>
      <w:pStyle w:val="Footer"/>
      <w:ind w:right="360"/>
      <w:rPr>
        <w:sz w:val="18"/>
        <w:szCs w:val="18"/>
      </w:rPr>
    </w:pPr>
  </w:p>
  <w:p w14:paraId="12AA7DA1" w14:textId="77777777" w:rsidR="00860F7B" w:rsidRPr="00525B09" w:rsidRDefault="00860F7B" w:rsidP="00827DAE">
    <w:pPr>
      <w:pStyle w:val="Footer"/>
      <w:ind w:right="360"/>
      <w:rPr>
        <w:sz w:val="18"/>
        <w:szCs w:val="18"/>
      </w:rPr>
    </w:pPr>
  </w:p>
  <w:p w14:paraId="29EF17F3" w14:textId="77777777" w:rsidR="00860F7B" w:rsidRDefault="00860F7B"/>
  <w:p w14:paraId="3AB15B1B" w14:textId="77777777" w:rsidR="00860F7B" w:rsidRDefault="00860F7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7796" w14:textId="77777777" w:rsidR="00860F7B" w:rsidRDefault="00860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D02CB" w14:textId="77777777" w:rsidR="00860F7B" w:rsidRDefault="00860F7B" w:rsidP="0034564D">
      <w:r>
        <w:separator/>
      </w:r>
    </w:p>
    <w:p w14:paraId="487120B4" w14:textId="77777777" w:rsidR="00860F7B" w:rsidRDefault="00860F7B"/>
  </w:footnote>
  <w:footnote w:type="continuationSeparator" w:id="0">
    <w:p w14:paraId="27BEAB31" w14:textId="77777777" w:rsidR="00860F7B" w:rsidRDefault="00860F7B" w:rsidP="0034564D">
      <w:r>
        <w:continuationSeparator/>
      </w:r>
    </w:p>
    <w:p w14:paraId="58BA4D0B" w14:textId="77777777" w:rsidR="00860F7B" w:rsidRDefault="00860F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8E353" w14:textId="77777777" w:rsidR="00860F7B" w:rsidRDefault="00860F7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C5AC50" w14:textId="77777777" w:rsidR="00860F7B" w:rsidRDefault="00860F7B">
    <w:pPr>
      <w:pStyle w:val="Header"/>
    </w:pPr>
  </w:p>
  <w:p w14:paraId="43D913E2" w14:textId="77777777" w:rsidR="00860F7B" w:rsidRDefault="00860F7B"/>
  <w:p w14:paraId="4D7E2281" w14:textId="77777777" w:rsidR="00860F7B" w:rsidRDefault="00860F7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707C" w14:textId="17754292" w:rsidR="00860F7B" w:rsidRPr="007235E3" w:rsidRDefault="00860F7B" w:rsidP="00860F7B">
    <w:pPr>
      <w:pStyle w:val="Header"/>
      <w:rPr>
        <w:rFonts w:ascii="Calibri" w:hAnsi="Calibri"/>
        <w:lang w:val="hu-HU"/>
      </w:rPr>
    </w:pPr>
  </w:p>
  <w:tbl>
    <w:tblPr>
      <w:tblStyle w:val="TableGrid"/>
      <w:tblW w:w="0" w:type="auto"/>
      <w:shd w:val="clear" w:color="auto" w:fill="E4F2E0"/>
      <w:tblLook w:val="04A0" w:firstRow="1" w:lastRow="0" w:firstColumn="1" w:lastColumn="0" w:noHBand="0" w:noVBand="1"/>
    </w:tblPr>
    <w:tblGrid>
      <w:gridCol w:w="8720"/>
    </w:tblGrid>
    <w:tr w:rsidR="00860F7B" w:rsidRPr="000B2145" w14:paraId="2E6B3058" w14:textId="77777777" w:rsidTr="00860F7B">
      <w:trPr>
        <w:trHeight w:val="1012"/>
      </w:trPr>
      <w:tc>
        <w:tcPr>
          <w:tcW w:w="8720" w:type="dxa"/>
          <w:shd w:val="clear" w:color="auto" w:fill="E4F2E0"/>
        </w:tcPr>
        <w:p w14:paraId="5A37EC25" w14:textId="03726910" w:rsidR="00860F7B" w:rsidRPr="000B2145" w:rsidRDefault="00860F7B" w:rsidP="00860F7B">
          <w:pPr>
            <w:pStyle w:val="Footer"/>
            <w:tabs>
              <w:tab w:val="center" w:pos="4513"/>
              <w:tab w:val="right" w:pos="9026"/>
            </w:tabs>
            <w:rPr>
              <w:b/>
              <w:sz w:val="18"/>
              <w:szCs w:val="18"/>
            </w:rPr>
          </w:pPr>
          <w:r w:rsidRPr="00EA0C3C">
            <w:rPr>
              <w:b/>
              <w:sz w:val="18"/>
              <w:szCs w:val="18"/>
            </w:rPr>
            <w:t>Attachment 1:</w:t>
          </w:r>
          <w:r>
            <w:t xml:space="preserve"> </w:t>
          </w:r>
          <w:r w:rsidRPr="00355F4A">
            <w:rPr>
              <w:b/>
              <w:sz w:val="18"/>
              <w:szCs w:val="18"/>
            </w:rPr>
            <w:t xml:space="preserve">AusPAR - Terrosa – teriparatide – </w:t>
          </w:r>
          <w:proofErr w:type="spellStart"/>
          <w:r w:rsidRPr="00355F4A">
            <w:rPr>
              <w:b/>
              <w:sz w:val="18"/>
              <w:szCs w:val="18"/>
            </w:rPr>
            <w:t>Gedeon</w:t>
          </w:r>
          <w:proofErr w:type="spellEnd"/>
          <w:r w:rsidRPr="00355F4A">
            <w:rPr>
              <w:b/>
              <w:sz w:val="18"/>
              <w:szCs w:val="18"/>
            </w:rPr>
            <w:t xml:space="preserve"> Richter Australia Pty Ltd PM-2019-05333-1-5</w:t>
          </w:r>
          <w:r>
            <w:rPr>
              <w:b/>
              <w:sz w:val="18"/>
              <w:szCs w:val="18"/>
            </w:rPr>
            <w:t xml:space="preserve"> </w:t>
          </w:r>
          <w:r w:rsidRPr="00355F4A">
            <w:rPr>
              <w:b/>
              <w:sz w:val="18"/>
              <w:szCs w:val="18"/>
            </w:rPr>
            <w:t>FINAL 27 January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50860168" w14:textId="77777777" w:rsidR="00860F7B" w:rsidRDefault="00860F7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4B63A" w14:textId="77777777" w:rsidR="00860F7B" w:rsidRDefault="00860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62E67142"/>
    <w:lvl w:ilvl="0">
      <w:start w:val="1"/>
      <w:numFmt w:val="bullet"/>
      <w:pStyle w:val="ListParagraph1"/>
      <w:lvlText w:val=""/>
      <w:lvlJc w:val="left"/>
      <w:pPr>
        <w:ind w:left="720" w:hanging="360"/>
      </w:pPr>
      <w:rPr>
        <w:rFonts w:ascii="Symbol" w:hAnsi="Symbol" w:hint="default"/>
      </w:rPr>
    </w:lvl>
  </w:abstractNum>
  <w:abstractNum w:abstractNumId="1" w15:restartNumberingAfterBreak="0">
    <w:nsid w:val="0EA34635"/>
    <w:multiLevelType w:val="hybridMultilevel"/>
    <w:tmpl w:val="463C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C7F88"/>
    <w:multiLevelType w:val="hybridMultilevel"/>
    <w:tmpl w:val="2B689CF6"/>
    <w:lvl w:ilvl="0" w:tplc="14B826EA">
      <w:start w:val="19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D5DC8"/>
    <w:multiLevelType w:val="hybridMultilevel"/>
    <w:tmpl w:val="B8CCEF98"/>
    <w:lvl w:ilvl="0" w:tplc="F4C81FD6">
      <w:start w:val="19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C1E18"/>
    <w:multiLevelType w:val="singleLevel"/>
    <w:tmpl w:val="FFFFFFFF"/>
    <w:lvl w:ilvl="0">
      <w:start w:val="1"/>
      <w:numFmt w:val="bullet"/>
      <w:lvlText w:val=""/>
      <w:legacy w:legacy="1" w:legacySpace="0" w:legacyIndent="283"/>
      <w:lvlJc w:val="left"/>
      <w:pPr>
        <w:ind w:left="1276" w:hanging="283"/>
      </w:pPr>
      <w:rPr>
        <w:rFonts w:ascii="Symbol" w:hAnsi="Symbol" w:hint="default"/>
      </w:rPr>
    </w:lvl>
  </w:abstractNum>
  <w:abstractNum w:abstractNumId="5" w15:restartNumberingAfterBreak="0">
    <w:nsid w:val="3B213231"/>
    <w:multiLevelType w:val="hybridMultilevel"/>
    <w:tmpl w:val="8D543FD0"/>
    <w:lvl w:ilvl="0" w:tplc="FFFFFFFF">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53132BA"/>
    <w:multiLevelType w:val="multilevel"/>
    <w:tmpl w:val="6F3E2544"/>
    <w:lvl w:ilvl="0">
      <w:start w:val="8"/>
      <w:numFmt w:val="decimal"/>
      <w:lvlText w:val="%1"/>
      <w:lvlJc w:val="left"/>
      <w:pPr>
        <w:ind w:left="380" w:hanging="380"/>
      </w:pPr>
      <w:rPr>
        <w:rFonts w:hint="default"/>
      </w:rPr>
    </w:lvl>
    <w:lvl w:ilvl="1">
      <w:start w:val="94"/>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8356B41"/>
    <w:multiLevelType w:val="hybridMultilevel"/>
    <w:tmpl w:val="8BAE2DF6"/>
    <w:lvl w:ilvl="0" w:tplc="128266DC">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229A3"/>
    <w:multiLevelType w:val="multilevel"/>
    <w:tmpl w:val="D6A4DC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936757"/>
    <w:multiLevelType w:val="hybridMultilevel"/>
    <w:tmpl w:val="9B10359A"/>
    <w:lvl w:ilvl="0" w:tplc="0C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4"/>
  </w:num>
  <w:num w:numId="2">
    <w:abstractNumId w:val="8"/>
  </w:num>
  <w:num w:numId="3">
    <w:abstractNumId w:val="5"/>
  </w:num>
  <w:num w:numId="4">
    <w:abstractNumId w:val="3"/>
  </w:num>
  <w:num w:numId="5">
    <w:abstractNumId w:val="2"/>
  </w:num>
  <w:num w:numId="6">
    <w:abstractNumId w:val="7"/>
  </w:num>
  <w:num w:numId="7">
    <w:abstractNumId w:val="6"/>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09B"/>
    <w:rsid w:val="00000119"/>
    <w:rsid w:val="00000784"/>
    <w:rsid w:val="00000825"/>
    <w:rsid w:val="00001128"/>
    <w:rsid w:val="00001962"/>
    <w:rsid w:val="00003C0B"/>
    <w:rsid w:val="00004972"/>
    <w:rsid w:val="00004D70"/>
    <w:rsid w:val="00005E5A"/>
    <w:rsid w:val="00006618"/>
    <w:rsid w:val="000066E0"/>
    <w:rsid w:val="00006FCC"/>
    <w:rsid w:val="00007440"/>
    <w:rsid w:val="00007B19"/>
    <w:rsid w:val="0001026B"/>
    <w:rsid w:val="000122CA"/>
    <w:rsid w:val="000132E5"/>
    <w:rsid w:val="00015446"/>
    <w:rsid w:val="00015648"/>
    <w:rsid w:val="0001631E"/>
    <w:rsid w:val="00017DF8"/>
    <w:rsid w:val="000214BD"/>
    <w:rsid w:val="000218D0"/>
    <w:rsid w:val="000249B4"/>
    <w:rsid w:val="00025A9E"/>
    <w:rsid w:val="00026841"/>
    <w:rsid w:val="00033313"/>
    <w:rsid w:val="0003383F"/>
    <w:rsid w:val="00033ED5"/>
    <w:rsid w:val="00033F6D"/>
    <w:rsid w:val="00034047"/>
    <w:rsid w:val="000343DD"/>
    <w:rsid w:val="00036A2B"/>
    <w:rsid w:val="000433A1"/>
    <w:rsid w:val="000448D8"/>
    <w:rsid w:val="00047347"/>
    <w:rsid w:val="000475D9"/>
    <w:rsid w:val="00050325"/>
    <w:rsid w:val="0005140C"/>
    <w:rsid w:val="0005281C"/>
    <w:rsid w:val="00053913"/>
    <w:rsid w:val="0005562E"/>
    <w:rsid w:val="000558BC"/>
    <w:rsid w:val="000562E5"/>
    <w:rsid w:val="0005770D"/>
    <w:rsid w:val="00062019"/>
    <w:rsid w:val="0006470D"/>
    <w:rsid w:val="00065185"/>
    <w:rsid w:val="00066146"/>
    <w:rsid w:val="000663DA"/>
    <w:rsid w:val="000701B4"/>
    <w:rsid w:val="00070A59"/>
    <w:rsid w:val="00072123"/>
    <w:rsid w:val="0007361A"/>
    <w:rsid w:val="00074056"/>
    <w:rsid w:val="000747D3"/>
    <w:rsid w:val="00080657"/>
    <w:rsid w:val="0008072D"/>
    <w:rsid w:val="00080DB2"/>
    <w:rsid w:val="00081917"/>
    <w:rsid w:val="00081BD7"/>
    <w:rsid w:val="000820AE"/>
    <w:rsid w:val="00082A2B"/>
    <w:rsid w:val="000837B7"/>
    <w:rsid w:val="00083811"/>
    <w:rsid w:val="00083DB1"/>
    <w:rsid w:val="00083E2F"/>
    <w:rsid w:val="00084707"/>
    <w:rsid w:val="00085263"/>
    <w:rsid w:val="00087089"/>
    <w:rsid w:val="00087CA3"/>
    <w:rsid w:val="00090588"/>
    <w:rsid w:val="00090723"/>
    <w:rsid w:val="00090F24"/>
    <w:rsid w:val="0009441D"/>
    <w:rsid w:val="00094B26"/>
    <w:rsid w:val="00094BB9"/>
    <w:rsid w:val="00094FA9"/>
    <w:rsid w:val="00096153"/>
    <w:rsid w:val="000969FA"/>
    <w:rsid w:val="000A0DF3"/>
    <w:rsid w:val="000A1F7D"/>
    <w:rsid w:val="000A21BE"/>
    <w:rsid w:val="000A27E0"/>
    <w:rsid w:val="000A2E63"/>
    <w:rsid w:val="000A398F"/>
    <w:rsid w:val="000A3991"/>
    <w:rsid w:val="000A740C"/>
    <w:rsid w:val="000B087E"/>
    <w:rsid w:val="000B2553"/>
    <w:rsid w:val="000B2BA7"/>
    <w:rsid w:val="000B443A"/>
    <w:rsid w:val="000B4559"/>
    <w:rsid w:val="000B47E3"/>
    <w:rsid w:val="000B752D"/>
    <w:rsid w:val="000C05E9"/>
    <w:rsid w:val="000C3045"/>
    <w:rsid w:val="000C384E"/>
    <w:rsid w:val="000C56A2"/>
    <w:rsid w:val="000C71B5"/>
    <w:rsid w:val="000C7760"/>
    <w:rsid w:val="000D05F7"/>
    <w:rsid w:val="000D2F84"/>
    <w:rsid w:val="000D6105"/>
    <w:rsid w:val="000E0277"/>
    <w:rsid w:val="000E037D"/>
    <w:rsid w:val="000E1082"/>
    <w:rsid w:val="000E2795"/>
    <w:rsid w:val="000E3257"/>
    <w:rsid w:val="000E37AB"/>
    <w:rsid w:val="000F0728"/>
    <w:rsid w:val="000F1732"/>
    <w:rsid w:val="000F180C"/>
    <w:rsid w:val="000F21EB"/>
    <w:rsid w:val="000F459B"/>
    <w:rsid w:val="000F5506"/>
    <w:rsid w:val="000F6759"/>
    <w:rsid w:val="000F73A8"/>
    <w:rsid w:val="0010071D"/>
    <w:rsid w:val="00100E9D"/>
    <w:rsid w:val="00102758"/>
    <w:rsid w:val="00102F71"/>
    <w:rsid w:val="00103241"/>
    <w:rsid w:val="00104BDF"/>
    <w:rsid w:val="00104BE8"/>
    <w:rsid w:val="00106405"/>
    <w:rsid w:val="00107C30"/>
    <w:rsid w:val="0011173E"/>
    <w:rsid w:val="00112D63"/>
    <w:rsid w:val="0011394B"/>
    <w:rsid w:val="00114440"/>
    <w:rsid w:val="00115746"/>
    <w:rsid w:val="001171E8"/>
    <w:rsid w:val="00117B0F"/>
    <w:rsid w:val="00121E26"/>
    <w:rsid w:val="00122880"/>
    <w:rsid w:val="00122FF9"/>
    <w:rsid w:val="00123705"/>
    <w:rsid w:val="00125579"/>
    <w:rsid w:val="00125823"/>
    <w:rsid w:val="001272E2"/>
    <w:rsid w:val="001278F9"/>
    <w:rsid w:val="00127C62"/>
    <w:rsid w:val="00130533"/>
    <w:rsid w:val="0013083F"/>
    <w:rsid w:val="00131396"/>
    <w:rsid w:val="00132344"/>
    <w:rsid w:val="00132861"/>
    <w:rsid w:val="00133C63"/>
    <w:rsid w:val="00133D75"/>
    <w:rsid w:val="0013467D"/>
    <w:rsid w:val="00135D84"/>
    <w:rsid w:val="00135ECE"/>
    <w:rsid w:val="00137D98"/>
    <w:rsid w:val="00141B12"/>
    <w:rsid w:val="0014403F"/>
    <w:rsid w:val="00144753"/>
    <w:rsid w:val="001447F7"/>
    <w:rsid w:val="001473E0"/>
    <w:rsid w:val="00150364"/>
    <w:rsid w:val="0015046D"/>
    <w:rsid w:val="00152457"/>
    <w:rsid w:val="001526F7"/>
    <w:rsid w:val="001533F9"/>
    <w:rsid w:val="0015361B"/>
    <w:rsid w:val="00153B63"/>
    <w:rsid w:val="001545E6"/>
    <w:rsid w:val="00154964"/>
    <w:rsid w:val="00154A59"/>
    <w:rsid w:val="00154DF9"/>
    <w:rsid w:val="001559CB"/>
    <w:rsid w:val="00156B49"/>
    <w:rsid w:val="00156DF4"/>
    <w:rsid w:val="0016058D"/>
    <w:rsid w:val="00163BEF"/>
    <w:rsid w:val="00166023"/>
    <w:rsid w:val="00166867"/>
    <w:rsid w:val="00166FE3"/>
    <w:rsid w:val="00167F17"/>
    <w:rsid w:val="00176B80"/>
    <w:rsid w:val="00176B8F"/>
    <w:rsid w:val="001774F9"/>
    <w:rsid w:val="001776E8"/>
    <w:rsid w:val="00177ABA"/>
    <w:rsid w:val="00177CDE"/>
    <w:rsid w:val="00181BD7"/>
    <w:rsid w:val="00181FA6"/>
    <w:rsid w:val="00182578"/>
    <w:rsid w:val="00184359"/>
    <w:rsid w:val="00184CCF"/>
    <w:rsid w:val="001858FC"/>
    <w:rsid w:val="00186969"/>
    <w:rsid w:val="00187A0E"/>
    <w:rsid w:val="00190791"/>
    <w:rsid w:val="00192C64"/>
    <w:rsid w:val="00193E89"/>
    <w:rsid w:val="00194819"/>
    <w:rsid w:val="0019529B"/>
    <w:rsid w:val="00195A53"/>
    <w:rsid w:val="00197101"/>
    <w:rsid w:val="001974CF"/>
    <w:rsid w:val="001A0B0D"/>
    <w:rsid w:val="001A0B79"/>
    <w:rsid w:val="001A1131"/>
    <w:rsid w:val="001A1AED"/>
    <w:rsid w:val="001A200F"/>
    <w:rsid w:val="001A2A66"/>
    <w:rsid w:val="001A340B"/>
    <w:rsid w:val="001A353F"/>
    <w:rsid w:val="001A3DCD"/>
    <w:rsid w:val="001A4138"/>
    <w:rsid w:val="001A4A5D"/>
    <w:rsid w:val="001A545F"/>
    <w:rsid w:val="001A69D7"/>
    <w:rsid w:val="001A6D31"/>
    <w:rsid w:val="001A70E3"/>
    <w:rsid w:val="001A7364"/>
    <w:rsid w:val="001A7C02"/>
    <w:rsid w:val="001B11A7"/>
    <w:rsid w:val="001B1A61"/>
    <w:rsid w:val="001B2D83"/>
    <w:rsid w:val="001B335B"/>
    <w:rsid w:val="001B3470"/>
    <w:rsid w:val="001B4397"/>
    <w:rsid w:val="001B578A"/>
    <w:rsid w:val="001B6D91"/>
    <w:rsid w:val="001C0A48"/>
    <w:rsid w:val="001C0CCE"/>
    <w:rsid w:val="001C2987"/>
    <w:rsid w:val="001C2A10"/>
    <w:rsid w:val="001C59DD"/>
    <w:rsid w:val="001C73A3"/>
    <w:rsid w:val="001D008A"/>
    <w:rsid w:val="001D061A"/>
    <w:rsid w:val="001D0805"/>
    <w:rsid w:val="001D1F18"/>
    <w:rsid w:val="001D2845"/>
    <w:rsid w:val="001D3483"/>
    <w:rsid w:val="001D35A3"/>
    <w:rsid w:val="001D3ECC"/>
    <w:rsid w:val="001D4CBF"/>
    <w:rsid w:val="001D7050"/>
    <w:rsid w:val="001E08CA"/>
    <w:rsid w:val="001E4B55"/>
    <w:rsid w:val="001E4DB2"/>
    <w:rsid w:val="001E59D5"/>
    <w:rsid w:val="001F0A74"/>
    <w:rsid w:val="001F0EA0"/>
    <w:rsid w:val="001F285B"/>
    <w:rsid w:val="001F3292"/>
    <w:rsid w:val="001F35CA"/>
    <w:rsid w:val="001F3A8E"/>
    <w:rsid w:val="001F5603"/>
    <w:rsid w:val="001F5859"/>
    <w:rsid w:val="001F5FBE"/>
    <w:rsid w:val="001F765A"/>
    <w:rsid w:val="001F7A3F"/>
    <w:rsid w:val="00200355"/>
    <w:rsid w:val="00202632"/>
    <w:rsid w:val="002039D5"/>
    <w:rsid w:val="00203B6D"/>
    <w:rsid w:val="00206501"/>
    <w:rsid w:val="0020685C"/>
    <w:rsid w:val="00207B19"/>
    <w:rsid w:val="0021008E"/>
    <w:rsid w:val="002106D5"/>
    <w:rsid w:val="0021241D"/>
    <w:rsid w:val="00213A16"/>
    <w:rsid w:val="00213C84"/>
    <w:rsid w:val="00214DF6"/>
    <w:rsid w:val="00216D75"/>
    <w:rsid w:val="00221145"/>
    <w:rsid w:val="002216F9"/>
    <w:rsid w:val="00223F19"/>
    <w:rsid w:val="002244D9"/>
    <w:rsid w:val="00224D3B"/>
    <w:rsid w:val="00230407"/>
    <w:rsid w:val="00233464"/>
    <w:rsid w:val="002340DC"/>
    <w:rsid w:val="00234746"/>
    <w:rsid w:val="002350D0"/>
    <w:rsid w:val="0023553E"/>
    <w:rsid w:val="0023577B"/>
    <w:rsid w:val="00235DDB"/>
    <w:rsid w:val="0023629E"/>
    <w:rsid w:val="00236DC6"/>
    <w:rsid w:val="002375FA"/>
    <w:rsid w:val="00240A9E"/>
    <w:rsid w:val="00241CBB"/>
    <w:rsid w:val="0024202E"/>
    <w:rsid w:val="00243854"/>
    <w:rsid w:val="00246E73"/>
    <w:rsid w:val="00247EA6"/>
    <w:rsid w:val="00250B9A"/>
    <w:rsid w:val="00250BE3"/>
    <w:rsid w:val="00250DDA"/>
    <w:rsid w:val="00250E2F"/>
    <w:rsid w:val="00251766"/>
    <w:rsid w:val="00251AC1"/>
    <w:rsid w:val="002527FB"/>
    <w:rsid w:val="002529EE"/>
    <w:rsid w:val="0025389A"/>
    <w:rsid w:val="00254B3E"/>
    <w:rsid w:val="00254C7A"/>
    <w:rsid w:val="0025555C"/>
    <w:rsid w:val="00255D87"/>
    <w:rsid w:val="00255DD7"/>
    <w:rsid w:val="00256313"/>
    <w:rsid w:val="00257ADA"/>
    <w:rsid w:val="00257B62"/>
    <w:rsid w:val="002602F6"/>
    <w:rsid w:val="00261134"/>
    <w:rsid w:val="002611E0"/>
    <w:rsid w:val="00261A6D"/>
    <w:rsid w:val="00263200"/>
    <w:rsid w:val="00263EDD"/>
    <w:rsid w:val="00264319"/>
    <w:rsid w:val="00266827"/>
    <w:rsid w:val="00266DC0"/>
    <w:rsid w:val="00267A2D"/>
    <w:rsid w:val="00272619"/>
    <w:rsid w:val="00273411"/>
    <w:rsid w:val="00274C17"/>
    <w:rsid w:val="00274CF4"/>
    <w:rsid w:val="00275DFE"/>
    <w:rsid w:val="0027630A"/>
    <w:rsid w:val="00276527"/>
    <w:rsid w:val="002800DF"/>
    <w:rsid w:val="00280C06"/>
    <w:rsid w:val="002810A2"/>
    <w:rsid w:val="0028216C"/>
    <w:rsid w:val="00283838"/>
    <w:rsid w:val="002838B3"/>
    <w:rsid w:val="002839D2"/>
    <w:rsid w:val="00283A50"/>
    <w:rsid w:val="00283E3A"/>
    <w:rsid w:val="00284B49"/>
    <w:rsid w:val="00284D40"/>
    <w:rsid w:val="002855E0"/>
    <w:rsid w:val="00286E8F"/>
    <w:rsid w:val="00286F8D"/>
    <w:rsid w:val="00290B8D"/>
    <w:rsid w:val="00290C58"/>
    <w:rsid w:val="00290F3E"/>
    <w:rsid w:val="002926D8"/>
    <w:rsid w:val="002943D4"/>
    <w:rsid w:val="00294A32"/>
    <w:rsid w:val="00295C94"/>
    <w:rsid w:val="00295D9A"/>
    <w:rsid w:val="002967C7"/>
    <w:rsid w:val="002A0070"/>
    <w:rsid w:val="002A0E26"/>
    <w:rsid w:val="002A270C"/>
    <w:rsid w:val="002A2955"/>
    <w:rsid w:val="002A4965"/>
    <w:rsid w:val="002A5E1A"/>
    <w:rsid w:val="002A7634"/>
    <w:rsid w:val="002B0B19"/>
    <w:rsid w:val="002B24CF"/>
    <w:rsid w:val="002B2CD9"/>
    <w:rsid w:val="002B2CF1"/>
    <w:rsid w:val="002B403B"/>
    <w:rsid w:val="002B7B4A"/>
    <w:rsid w:val="002C012B"/>
    <w:rsid w:val="002C058B"/>
    <w:rsid w:val="002C3BE0"/>
    <w:rsid w:val="002C3D0E"/>
    <w:rsid w:val="002C5958"/>
    <w:rsid w:val="002C70F2"/>
    <w:rsid w:val="002D0338"/>
    <w:rsid w:val="002D0C10"/>
    <w:rsid w:val="002D3E79"/>
    <w:rsid w:val="002D4004"/>
    <w:rsid w:val="002D411A"/>
    <w:rsid w:val="002D4494"/>
    <w:rsid w:val="002D4DEA"/>
    <w:rsid w:val="002D68B8"/>
    <w:rsid w:val="002D6F87"/>
    <w:rsid w:val="002D704A"/>
    <w:rsid w:val="002D71E2"/>
    <w:rsid w:val="002E0CDC"/>
    <w:rsid w:val="002E17AC"/>
    <w:rsid w:val="002E2D04"/>
    <w:rsid w:val="002E4C14"/>
    <w:rsid w:val="002E5559"/>
    <w:rsid w:val="002E6CFA"/>
    <w:rsid w:val="002F0457"/>
    <w:rsid w:val="002F139D"/>
    <w:rsid w:val="002F1855"/>
    <w:rsid w:val="002F2832"/>
    <w:rsid w:val="002F335E"/>
    <w:rsid w:val="002F33ED"/>
    <w:rsid w:val="002F46CC"/>
    <w:rsid w:val="002F570D"/>
    <w:rsid w:val="002F69A8"/>
    <w:rsid w:val="002F6C96"/>
    <w:rsid w:val="002F6DD0"/>
    <w:rsid w:val="00300351"/>
    <w:rsid w:val="00300F4F"/>
    <w:rsid w:val="003016EF"/>
    <w:rsid w:val="003019FC"/>
    <w:rsid w:val="00301CCF"/>
    <w:rsid w:val="00302409"/>
    <w:rsid w:val="0030263A"/>
    <w:rsid w:val="00302DC2"/>
    <w:rsid w:val="00302F6A"/>
    <w:rsid w:val="0030311F"/>
    <w:rsid w:val="003033BF"/>
    <w:rsid w:val="0030442C"/>
    <w:rsid w:val="003046EB"/>
    <w:rsid w:val="003047EA"/>
    <w:rsid w:val="00306B35"/>
    <w:rsid w:val="003071FC"/>
    <w:rsid w:val="003112DC"/>
    <w:rsid w:val="003115FD"/>
    <w:rsid w:val="00312B0E"/>
    <w:rsid w:val="00313424"/>
    <w:rsid w:val="00314A68"/>
    <w:rsid w:val="003157F5"/>
    <w:rsid w:val="00317054"/>
    <w:rsid w:val="00317613"/>
    <w:rsid w:val="003210B3"/>
    <w:rsid w:val="003228CD"/>
    <w:rsid w:val="00324734"/>
    <w:rsid w:val="00324DC0"/>
    <w:rsid w:val="00326116"/>
    <w:rsid w:val="00327AD2"/>
    <w:rsid w:val="00332219"/>
    <w:rsid w:val="0033298C"/>
    <w:rsid w:val="003338BA"/>
    <w:rsid w:val="003338CA"/>
    <w:rsid w:val="00334042"/>
    <w:rsid w:val="003347AD"/>
    <w:rsid w:val="00334B3B"/>
    <w:rsid w:val="0033506C"/>
    <w:rsid w:val="00335EEA"/>
    <w:rsid w:val="00335F26"/>
    <w:rsid w:val="00335F86"/>
    <w:rsid w:val="00336643"/>
    <w:rsid w:val="003406AC"/>
    <w:rsid w:val="00340879"/>
    <w:rsid w:val="00344F8D"/>
    <w:rsid w:val="0034564D"/>
    <w:rsid w:val="003459D9"/>
    <w:rsid w:val="00346DD6"/>
    <w:rsid w:val="00347CDB"/>
    <w:rsid w:val="00347D19"/>
    <w:rsid w:val="00350439"/>
    <w:rsid w:val="00352421"/>
    <w:rsid w:val="00353B8E"/>
    <w:rsid w:val="00354856"/>
    <w:rsid w:val="00355E5D"/>
    <w:rsid w:val="0035679D"/>
    <w:rsid w:val="00356FFF"/>
    <w:rsid w:val="00357022"/>
    <w:rsid w:val="00360309"/>
    <w:rsid w:val="003619BE"/>
    <w:rsid w:val="00364888"/>
    <w:rsid w:val="00364A82"/>
    <w:rsid w:val="0036573C"/>
    <w:rsid w:val="00365986"/>
    <w:rsid w:val="00365FAA"/>
    <w:rsid w:val="00366E8E"/>
    <w:rsid w:val="00367629"/>
    <w:rsid w:val="0037149F"/>
    <w:rsid w:val="00371C90"/>
    <w:rsid w:val="00371E82"/>
    <w:rsid w:val="0037387B"/>
    <w:rsid w:val="0037624D"/>
    <w:rsid w:val="003762FB"/>
    <w:rsid w:val="00381D5D"/>
    <w:rsid w:val="00382801"/>
    <w:rsid w:val="00382A80"/>
    <w:rsid w:val="00382B52"/>
    <w:rsid w:val="00382E46"/>
    <w:rsid w:val="00383B1B"/>
    <w:rsid w:val="00385A16"/>
    <w:rsid w:val="00386441"/>
    <w:rsid w:val="00387B82"/>
    <w:rsid w:val="003906AB"/>
    <w:rsid w:val="00390C6C"/>
    <w:rsid w:val="0039153F"/>
    <w:rsid w:val="00391859"/>
    <w:rsid w:val="003925F9"/>
    <w:rsid w:val="003929AD"/>
    <w:rsid w:val="00394D7F"/>
    <w:rsid w:val="003950D2"/>
    <w:rsid w:val="00395266"/>
    <w:rsid w:val="00395544"/>
    <w:rsid w:val="00396555"/>
    <w:rsid w:val="00396EFA"/>
    <w:rsid w:val="003979D3"/>
    <w:rsid w:val="00397A43"/>
    <w:rsid w:val="003A0C74"/>
    <w:rsid w:val="003A2FCC"/>
    <w:rsid w:val="003A4E99"/>
    <w:rsid w:val="003A59C4"/>
    <w:rsid w:val="003A5C25"/>
    <w:rsid w:val="003A671A"/>
    <w:rsid w:val="003A74E5"/>
    <w:rsid w:val="003A78CE"/>
    <w:rsid w:val="003B0A21"/>
    <w:rsid w:val="003B1972"/>
    <w:rsid w:val="003B2446"/>
    <w:rsid w:val="003B3BFF"/>
    <w:rsid w:val="003B4355"/>
    <w:rsid w:val="003B5570"/>
    <w:rsid w:val="003B6A04"/>
    <w:rsid w:val="003B6F55"/>
    <w:rsid w:val="003C02BC"/>
    <w:rsid w:val="003C080C"/>
    <w:rsid w:val="003C1172"/>
    <w:rsid w:val="003C3224"/>
    <w:rsid w:val="003C384F"/>
    <w:rsid w:val="003C5B85"/>
    <w:rsid w:val="003C74C5"/>
    <w:rsid w:val="003D0389"/>
    <w:rsid w:val="003D1043"/>
    <w:rsid w:val="003D13DC"/>
    <w:rsid w:val="003D1627"/>
    <w:rsid w:val="003D3C88"/>
    <w:rsid w:val="003D3D1E"/>
    <w:rsid w:val="003D502C"/>
    <w:rsid w:val="003D6D6F"/>
    <w:rsid w:val="003D7913"/>
    <w:rsid w:val="003D791A"/>
    <w:rsid w:val="003D7D50"/>
    <w:rsid w:val="003E1227"/>
    <w:rsid w:val="003E491D"/>
    <w:rsid w:val="003E4BEA"/>
    <w:rsid w:val="003E59AA"/>
    <w:rsid w:val="003E68F9"/>
    <w:rsid w:val="003E6D24"/>
    <w:rsid w:val="003E7361"/>
    <w:rsid w:val="003E743C"/>
    <w:rsid w:val="003E7BAF"/>
    <w:rsid w:val="003E7DA9"/>
    <w:rsid w:val="003F13DF"/>
    <w:rsid w:val="003F3744"/>
    <w:rsid w:val="003F56F7"/>
    <w:rsid w:val="003F57BD"/>
    <w:rsid w:val="003F5908"/>
    <w:rsid w:val="003F62CF"/>
    <w:rsid w:val="003F68BE"/>
    <w:rsid w:val="003F68C8"/>
    <w:rsid w:val="0040036E"/>
    <w:rsid w:val="00400B7C"/>
    <w:rsid w:val="004035EB"/>
    <w:rsid w:val="00403790"/>
    <w:rsid w:val="00403C38"/>
    <w:rsid w:val="00404159"/>
    <w:rsid w:val="00404B05"/>
    <w:rsid w:val="00404E22"/>
    <w:rsid w:val="00405AD2"/>
    <w:rsid w:val="00405D76"/>
    <w:rsid w:val="004104BB"/>
    <w:rsid w:val="004115D3"/>
    <w:rsid w:val="00414368"/>
    <w:rsid w:val="004145FB"/>
    <w:rsid w:val="004155B8"/>
    <w:rsid w:val="00415E55"/>
    <w:rsid w:val="00417404"/>
    <w:rsid w:val="004204B7"/>
    <w:rsid w:val="004205D5"/>
    <w:rsid w:val="00422326"/>
    <w:rsid w:val="00424F1E"/>
    <w:rsid w:val="00425020"/>
    <w:rsid w:val="004254EB"/>
    <w:rsid w:val="00425501"/>
    <w:rsid w:val="00425917"/>
    <w:rsid w:val="00425DFB"/>
    <w:rsid w:val="0042693E"/>
    <w:rsid w:val="00427EAA"/>
    <w:rsid w:val="00432124"/>
    <w:rsid w:val="00437C60"/>
    <w:rsid w:val="0044020E"/>
    <w:rsid w:val="004407DF"/>
    <w:rsid w:val="00442E6E"/>
    <w:rsid w:val="004430ED"/>
    <w:rsid w:val="00443CEF"/>
    <w:rsid w:val="00444788"/>
    <w:rsid w:val="00444A50"/>
    <w:rsid w:val="004458EF"/>
    <w:rsid w:val="004479C1"/>
    <w:rsid w:val="00447E87"/>
    <w:rsid w:val="00450162"/>
    <w:rsid w:val="00450F24"/>
    <w:rsid w:val="00454C95"/>
    <w:rsid w:val="00454FAC"/>
    <w:rsid w:val="00457BB5"/>
    <w:rsid w:val="00460DF1"/>
    <w:rsid w:val="00461651"/>
    <w:rsid w:val="00463B49"/>
    <w:rsid w:val="0046416A"/>
    <w:rsid w:val="00465EB6"/>
    <w:rsid w:val="00467397"/>
    <w:rsid w:val="004700B1"/>
    <w:rsid w:val="004714E2"/>
    <w:rsid w:val="00472C87"/>
    <w:rsid w:val="00474755"/>
    <w:rsid w:val="0047532F"/>
    <w:rsid w:val="00475883"/>
    <w:rsid w:val="00475A16"/>
    <w:rsid w:val="00481216"/>
    <w:rsid w:val="00481530"/>
    <w:rsid w:val="00483D91"/>
    <w:rsid w:val="00484BFC"/>
    <w:rsid w:val="0048532A"/>
    <w:rsid w:val="00485507"/>
    <w:rsid w:val="00485683"/>
    <w:rsid w:val="00486984"/>
    <w:rsid w:val="00487E4A"/>
    <w:rsid w:val="00487EF2"/>
    <w:rsid w:val="0049114A"/>
    <w:rsid w:val="00491754"/>
    <w:rsid w:val="004918D0"/>
    <w:rsid w:val="004936BC"/>
    <w:rsid w:val="0049389B"/>
    <w:rsid w:val="00493D24"/>
    <w:rsid w:val="00493F6E"/>
    <w:rsid w:val="004956A4"/>
    <w:rsid w:val="004974FD"/>
    <w:rsid w:val="004A015C"/>
    <w:rsid w:val="004A4977"/>
    <w:rsid w:val="004A4B79"/>
    <w:rsid w:val="004A51AC"/>
    <w:rsid w:val="004A5BC9"/>
    <w:rsid w:val="004A6009"/>
    <w:rsid w:val="004A687D"/>
    <w:rsid w:val="004A6F35"/>
    <w:rsid w:val="004A7D25"/>
    <w:rsid w:val="004B0BA4"/>
    <w:rsid w:val="004B3DE7"/>
    <w:rsid w:val="004B4DCE"/>
    <w:rsid w:val="004B78DC"/>
    <w:rsid w:val="004C11D8"/>
    <w:rsid w:val="004C270E"/>
    <w:rsid w:val="004C3275"/>
    <w:rsid w:val="004C47F1"/>
    <w:rsid w:val="004C49E8"/>
    <w:rsid w:val="004C51A6"/>
    <w:rsid w:val="004C53BF"/>
    <w:rsid w:val="004C7208"/>
    <w:rsid w:val="004C7C7D"/>
    <w:rsid w:val="004D023B"/>
    <w:rsid w:val="004D1B23"/>
    <w:rsid w:val="004D3AE1"/>
    <w:rsid w:val="004D467F"/>
    <w:rsid w:val="004D48BC"/>
    <w:rsid w:val="004D50E2"/>
    <w:rsid w:val="004D51F9"/>
    <w:rsid w:val="004D5A79"/>
    <w:rsid w:val="004D5F4F"/>
    <w:rsid w:val="004E06D6"/>
    <w:rsid w:val="004E128B"/>
    <w:rsid w:val="004E5CA6"/>
    <w:rsid w:val="004E6335"/>
    <w:rsid w:val="004E7733"/>
    <w:rsid w:val="004F016A"/>
    <w:rsid w:val="004F07AF"/>
    <w:rsid w:val="004F2BFF"/>
    <w:rsid w:val="004F2DBA"/>
    <w:rsid w:val="004F4B3D"/>
    <w:rsid w:val="004F4B62"/>
    <w:rsid w:val="004F4F4B"/>
    <w:rsid w:val="004F53C2"/>
    <w:rsid w:val="004F5B4E"/>
    <w:rsid w:val="004F5E81"/>
    <w:rsid w:val="004F620A"/>
    <w:rsid w:val="004F6F15"/>
    <w:rsid w:val="004F714A"/>
    <w:rsid w:val="004F73D4"/>
    <w:rsid w:val="004F79A0"/>
    <w:rsid w:val="0050045A"/>
    <w:rsid w:val="0050157D"/>
    <w:rsid w:val="00501826"/>
    <w:rsid w:val="00501A86"/>
    <w:rsid w:val="00501BBC"/>
    <w:rsid w:val="00501BD6"/>
    <w:rsid w:val="00502AA8"/>
    <w:rsid w:val="005037E8"/>
    <w:rsid w:val="00503B9C"/>
    <w:rsid w:val="005040AA"/>
    <w:rsid w:val="0050478A"/>
    <w:rsid w:val="00504F69"/>
    <w:rsid w:val="005051CE"/>
    <w:rsid w:val="00505380"/>
    <w:rsid w:val="005058F1"/>
    <w:rsid w:val="00506402"/>
    <w:rsid w:val="0050691C"/>
    <w:rsid w:val="00506E06"/>
    <w:rsid w:val="00507347"/>
    <w:rsid w:val="00507F08"/>
    <w:rsid w:val="00510627"/>
    <w:rsid w:val="00510DCF"/>
    <w:rsid w:val="0051217B"/>
    <w:rsid w:val="00512D12"/>
    <w:rsid w:val="005133A6"/>
    <w:rsid w:val="00516DC2"/>
    <w:rsid w:val="00516F55"/>
    <w:rsid w:val="005173A3"/>
    <w:rsid w:val="00517752"/>
    <w:rsid w:val="005177C3"/>
    <w:rsid w:val="00517C58"/>
    <w:rsid w:val="00520311"/>
    <w:rsid w:val="00523543"/>
    <w:rsid w:val="00524EB1"/>
    <w:rsid w:val="005275D5"/>
    <w:rsid w:val="0053065E"/>
    <w:rsid w:val="0053091D"/>
    <w:rsid w:val="0053096E"/>
    <w:rsid w:val="005327AC"/>
    <w:rsid w:val="00532A7E"/>
    <w:rsid w:val="00532BCB"/>
    <w:rsid w:val="00534077"/>
    <w:rsid w:val="005341F5"/>
    <w:rsid w:val="005358E2"/>
    <w:rsid w:val="00535A4C"/>
    <w:rsid w:val="00536FB3"/>
    <w:rsid w:val="005374DB"/>
    <w:rsid w:val="00537F93"/>
    <w:rsid w:val="005427B6"/>
    <w:rsid w:val="00544309"/>
    <w:rsid w:val="005453D8"/>
    <w:rsid w:val="0054547D"/>
    <w:rsid w:val="00545D43"/>
    <w:rsid w:val="0054642B"/>
    <w:rsid w:val="00550579"/>
    <w:rsid w:val="005547A7"/>
    <w:rsid w:val="005573E8"/>
    <w:rsid w:val="00557B36"/>
    <w:rsid w:val="00560A3A"/>
    <w:rsid w:val="005618BA"/>
    <w:rsid w:val="00561FDE"/>
    <w:rsid w:val="005632F5"/>
    <w:rsid w:val="005644DB"/>
    <w:rsid w:val="00566FF6"/>
    <w:rsid w:val="00570F9A"/>
    <w:rsid w:val="0057289C"/>
    <w:rsid w:val="00572EB1"/>
    <w:rsid w:val="005744CF"/>
    <w:rsid w:val="00574C13"/>
    <w:rsid w:val="00576D23"/>
    <w:rsid w:val="00577F33"/>
    <w:rsid w:val="005802C3"/>
    <w:rsid w:val="005806B9"/>
    <w:rsid w:val="00580936"/>
    <w:rsid w:val="005820B6"/>
    <w:rsid w:val="00582388"/>
    <w:rsid w:val="00582CF3"/>
    <w:rsid w:val="00582D8C"/>
    <w:rsid w:val="005845B6"/>
    <w:rsid w:val="00584646"/>
    <w:rsid w:val="005852AB"/>
    <w:rsid w:val="005854EB"/>
    <w:rsid w:val="0058551A"/>
    <w:rsid w:val="0058729D"/>
    <w:rsid w:val="00587415"/>
    <w:rsid w:val="005914A8"/>
    <w:rsid w:val="00591E0C"/>
    <w:rsid w:val="00592534"/>
    <w:rsid w:val="00593975"/>
    <w:rsid w:val="0059437F"/>
    <w:rsid w:val="00594560"/>
    <w:rsid w:val="00594786"/>
    <w:rsid w:val="00595093"/>
    <w:rsid w:val="00596464"/>
    <w:rsid w:val="00596FC6"/>
    <w:rsid w:val="00597B92"/>
    <w:rsid w:val="00597F0E"/>
    <w:rsid w:val="005A1D32"/>
    <w:rsid w:val="005A3244"/>
    <w:rsid w:val="005A3B65"/>
    <w:rsid w:val="005A42B1"/>
    <w:rsid w:val="005A46AF"/>
    <w:rsid w:val="005A6406"/>
    <w:rsid w:val="005A728E"/>
    <w:rsid w:val="005B0886"/>
    <w:rsid w:val="005B0EEB"/>
    <w:rsid w:val="005B116E"/>
    <w:rsid w:val="005B1878"/>
    <w:rsid w:val="005B4294"/>
    <w:rsid w:val="005B5519"/>
    <w:rsid w:val="005B62AC"/>
    <w:rsid w:val="005B6624"/>
    <w:rsid w:val="005C0581"/>
    <w:rsid w:val="005C0B69"/>
    <w:rsid w:val="005C0BF3"/>
    <w:rsid w:val="005C0D5B"/>
    <w:rsid w:val="005C1B35"/>
    <w:rsid w:val="005C2155"/>
    <w:rsid w:val="005C2A0E"/>
    <w:rsid w:val="005C2D6B"/>
    <w:rsid w:val="005C3C5C"/>
    <w:rsid w:val="005C44AA"/>
    <w:rsid w:val="005C4EC4"/>
    <w:rsid w:val="005C738F"/>
    <w:rsid w:val="005D0534"/>
    <w:rsid w:val="005D0E30"/>
    <w:rsid w:val="005D126A"/>
    <w:rsid w:val="005D160F"/>
    <w:rsid w:val="005D1947"/>
    <w:rsid w:val="005D2850"/>
    <w:rsid w:val="005D2D8A"/>
    <w:rsid w:val="005D3A61"/>
    <w:rsid w:val="005D4228"/>
    <w:rsid w:val="005D4E14"/>
    <w:rsid w:val="005D55CA"/>
    <w:rsid w:val="005D604C"/>
    <w:rsid w:val="005D6DA9"/>
    <w:rsid w:val="005D772C"/>
    <w:rsid w:val="005D7D76"/>
    <w:rsid w:val="005E2BFD"/>
    <w:rsid w:val="005E3179"/>
    <w:rsid w:val="005E5EC5"/>
    <w:rsid w:val="005E7F53"/>
    <w:rsid w:val="005F1C95"/>
    <w:rsid w:val="005F341C"/>
    <w:rsid w:val="005F4D54"/>
    <w:rsid w:val="005F50E0"/>
    <w:rsid w:val="005F6972"/>
    <w:rsid w:val="005F790C"/>
    <w:rsid w:val="0060080C"/>
    <w:rsid w:val="0060103B"/>
    <w:rsid w:val="006011B3"/>
    <w:rsid w:val="00601A34"/>
    <w:rsid w:val="00602D7F"/>
    <w:rsid w:val="00603A81"/>
    <w:rsid w:val="006045D7"/>
    <w:rsid w:val="006051A7"/>
    <w:rsid w:val="00605D14"/>
    <w:rsid w:val="00606C03"/>
    <w:rsid w:val="00607BB0"/>
    <w:rsid w:val="006107D1"/>
    <w:rsid w:val="00610B4A"/>
    <w:rsid w:val="00611229"/>
    <w:rsid w:val="00611608"/>
    <w:rsid w:val="00615B27"/>
    <w:rsid w:val="0061619A"/>
    <w:rsid w:val="006206A2"/>
    <w:rsid w:val="006208A1"/>
    <w:rsid w:val="00621864"/>
    <w:rsid w:val="00621F52"/>
    <w:rsid w:val="00621FB0"/>
    <w:rsid w:val="00622228"/>
    <w:rsid w:val="00622F39"/>
    <w:rsid w:val="006240D6"/>
    <w:rsid w:val="006246B2"/>
    <w:rsid w:val="00624F83"/>
    <w:rsid w:val="006251D6"/>
    <w:rsid w:val="0062544A"/>
    <w:rsid w:val="00625FC9"/>
    <w:rsid w:val="00626E68"/>
    <w:rsid w:val="00630E9C"/>
    <w:rsid w:val="00631284"/>
    <w:rsid w:val="006320DB"/>
    <w:rsid w:val="00635FDA"/>
    <w:rsid w:val="00636066"/>
    <w:rsid w:val="006361AC"/>
    <w:rsid w:val="00637F6F"/>
    <w:rsid w:val="00643F46"/>
    <w:rsid w:val="006477F2"/>
    <w:rsid w:val="00647E86"/>
    <w:rsid w:val="00650B8F"/>
    <w:rsid w:val="00651265"/>
    <w:rsid w:val="006515B5"/>
    <w:rsid w:val="00653D9F"/>
    <w:rsid w:val="0065583C"/>
    <w:rsid w:val="00655DE3"/>
    <w:rsid w:val="006607A9"/>
    <w:rsid w:val="00660E51"/>
    <w:rsid w:val="00661A2B"/>
    <w:rsid w:val="00661BE6"/>
    <w:rsid w:val="00661F63"/>
    <w:rsid w:val="00662B0F"/>
    <w:rsid w:val="0066380D"/>
    <w:rsid w:val="00663840"/>
    <w:rsid w:val="00664379"/>
    <w:rsid w:val="006674A8"/>
    <w:rsid w:val="00667661"/>
    <w:rsid w:val="0066777B"/>
    <w:rsid w:val="006712C6"/>
    <w:rsid w:val="0067425F"/>
    <w:rsid w:val="00674A40"/>
    <w:rsid w:val="00676D85"/>
    <w:rsid w:val="006779AD"/>
    <w:rsid w:val="006824D4"/>
    <w:rsid w:val="006836CE"/>
    <w:rsid w:val="00685E12"/>
    <w:rsid w:val="00687107"/>
    <w:rsid w:val="00687EB3"/>
    <w:rsid w:val="00692263"/>
    <w:rsid w:val="006940B3"/>
    <w:rsid w:val="0069416E"/>
    <w:rsid w:val="0069470E"/>
    <w:rsid w:val="00694A21"/>
    <w:rsid w:val="00694E4C"/>
    <w:rsid w:val="00695CEB"/>
    <w:rsid w:val="00696587"/>
    <w:rsid w:val="006A07D8"/>
    <w:rsid w:val="006A13FB"/>
    <w:rsid w:val="006A19BE"/>
    <w:rsid w:val="006A2841"/>
    <w:rsid w:val="006A2C28"/>
    <w:rsid w:val="006A3C3D"/>
    <w:rsid w:val="006A3F00"/>
    <w:rsid w:val="006A4543"/>
    <w:rsid w:val="006A46F5"/>
    <w:rsid w:val="006A5155"/>
    <w:rsid w:val="006B2545"/>
    <w:rsid w:val="006B57C4"/>
    <w:rsid w:val="006B6524"/>
    <w:rsid w:val="006B6C38"/>
    <w:rsid w:val="006B6F4F"/>
    <w:rsid w:val="006B70DC"/>
    <w:rsid w:val="006B713F"/>
    <w:rsid w:val="006B7607"/>
    <w:rsid w:val="006C0DAB"/>
    <w:rsid w:val="006C1047"/>
    <w:rsid w:val="006C11AF"/>
    <w:rsid w:val="006C2487"/>
    <w:rsid w:val="006C420E"/>
    <w:rsid w:val="006C5881"/>
    <w:rsid w:val="006C6FF1"/>
    <w:rsid w:val="006C798C"/>
    <w:rsid w:val="006C7E54"/>
    <w:rsid w:val="006D006E"/>
    <w:rsid w:val="006D1CE0"/>
    <w:rsid w:val="006D2ABA"/>
    <w:rsid w:val="006D2C76"/>
    <w:rsid w:val="006D3792"/>
    <w:rsid w:val="006D4AE8"/>
    <w:rsid w:val="006D61B2"/>
    <w:rsid w:val="006E1506"/>
    <w:rsid w:val="006E1FD5"/>
    <w:rsid w:val="006E230B"/>
    <w:rsid w:val="006E26E4"/>
    <w:rsid w:val="006E28FF"/>
    <w:rsid w:val="006E2FDE"/>
    <w:rsid w:val="006E4C0F"/>
    <w:rsid w:val="006E56B2"/>
    <w:rsid w:val="006F1961"/>
    <w:rsid w:val="006F36EB"/>
    <w:rsid w:val="006F3AB0"/>
    <w:rsid w:val="006F450C"/>
    <w:rsid w:val="006F4988"/>
    <w:rsid w:val="006F6218"/>
    <w:rsid w:val="00700273"/>
    <w:rsid w:val="007010DD"/>
    <w:rsid w:val="00702B06"/>
    <w:rsid w:val="00702D9A"/>
    <w:rsid w:val="00703846"/>
    <w:rsid w:val="0070384D"/>
    <w:rsid w:val="007039C6"/>
    <w:rsid w:val="00704DB1"/>
    <w:rsid w:val="0070690B"/>
    <w:rsid w:val="00707919"/>
    <w:rsid w:val="007079E6"/>
    <w:rsid w:val="00710058"/>
    <w:rsid w:val="0071129A"/>
    <w:rsid w:val="00711417"/>
    <w:rsid w:val="007124A4"/>
    <w:rsid w:val="00713428"/>
    <w:rsid w:val="00715A77"/>
    <w:rsid w:val="00715DBB"/>
    <w:rsid w:val="00716D37"/>
    <w:rsid w:val="0071789A"/>
    <w:rsid w:val="00717CAF"/>
    <w:rsid w:val="007202EF"/>
    <w:rsid w:val="00720C7E"/>
    <w:rsid w:val="00720ECE"/>
    <w:rsid w:val="0072278A"/>
    <w:rsid w:val="00725968"/>
    <w:rsid w:val="007265EA"/>
    <w:rsid w:val="00726C8D"/>
    <w:rsid w:val="00727135"/>
    <w:rsid w:val="00727586"/>
    <w:rsid w:val="00727FD4"/>
    <w:rsid w:val="0073014E"/>
    <w:rsid w:val="0073194D"/>
    <w:rsid w:val="00731E56"/>
    <w:rsid w:val="00735E75"/>
    <w:rsid w:val="00736135"/>
    <w:rsid w:val="00737784"/>
    <w:rsid w:val="007378B9"/>
    <w:rsid w:val="00737E71"/>
    <w:rsid w:val="00741D21"/>
    <w:rsid w:val="00742072"/>
    <w:rsid w:val="0074356E"/>
    <w:rsid w:val="007463C2"/>
    <w:rsid w:val="00747468"/>
    <w:rsid w:val="007500DC"/>
    <w:rsid w:val="00750E0D"/>
    <w:rsid w:val="00753EC2"/>
    <w:rsid w:val="00753FF5"/>
    <w:rsid w:val="007544D7"/>
    <w:rsid w:val="007608FB"/>
    <w:rsid w:val="007628FA"/>
    <w:rsid w:val="00762C80"/>
    <w:rsid w:val="00762D64"/>
    <w:rsid w:val="007657C8"/>
    <w:rsid w:val="0076772F"/>
    <w:rsid w:val="00771329"/>
    <w:rsid w:val="00772276"/>
    <w:rsid w:val="007727E6"/>
    <w:rsid w:val="00773675"/>
    <w:rsid w:val="00773ADE"/>
    <w:rsid w:val="007748DC"/>
    <w:rsid w:val="007749A4"/>
    <w:rsid w:val="00775140"/>
    <w:rsid w:val="007753F4"/>
    <w:rsid w:val="0077609F"/>
    <w:rsid w:val="00776B8D"/>
    <w:rsid w:val="007770C9"/>
    <w:rsid w:val="00777F25"/>
    <w:rsid w:val="007800F3"/>
    <w:rsid w:val="007807D0"/>
    <w:rsid w:val="007808D2"/>
    <w:rsid w:val="0078098F"/>
    <w:rsid w:val="00780BCA"/>
    <w:rsid w:val="007810C6"/>
    <w:rsid w:val="0078151F"/>
    <w:rsid w:val="007820E2"/>
    <w:rsid w:val="00782735"/>
    <w:rsid w:val="00784A74"/>
    <w:rsid w:val="00784D68"/>
    <w:rsid w:val="00790A5A"/>
    <w:rsid w:val="00791054"/>
    <w:rsid w:val="007911F9"/>
    <w:rsid w:val="00791450"/>
    <w:rsid w:val="007924BA"/>
    <w:rsid w:val="0079502D"/>
    <w:rsid w:val="007966EB"/>
    <w:rsid w:val="007A2000"/>
    <w:rsid w:val="007A2083"/>
    <w:rsid w:val="007A5D9D"/>
    <w:rsid w:val="007A6258"/>
    <w:rsid w:val="007A6BE3"/>
    <w:rsid w:val="007B1072"/>
    <w:rsid w:val="007B2C97"/>
    <w:rsid w:val="007B2F06"/>
    <w:rsid w:val="007B364E"/>
    <w:rsid w:val="007B4098"/>
    <w:rsid w:val="007B42B0"/>
    <w:rsid w:val="007B7257"/>
    <w:rsid w:val="007B7E68"/>
    <w:rsid w:val="007C016A"/>
    <w:rsid w:val="007C11E3"/>
    <w:rsid w:val="007C3F9E"/>
    <w:rsid w:val="007C5690"/>
    <w:rsid w:val="007C58EA"/>
    <w:rsid w:val="007C7606"/>
    <w:rsid w:val="007D143A"/>
    <w:rsid w:val="007D22A8"/>
    <w:rsid w:val="007D34AB"/>
    <w:rsid w:val="007D4D10"/>
    <w:rsid w:val="007D53EC"/>
    <w:rsid w:val="007D5A84"/>
    <w:rsid w:val="007D5E19"/>
    <w:rsid w:val="007D6707"/>
    <w:rsid w:val="007D735B"/>
    <w:rsid w:val="007D73B9"/>
    <w:rsid w:val="007D76AA"/>
    <w:rsid w:val="007D7F78"/>
    <w:rsid w:val="007E0A8F"/>
    <w:rsid w:val="007E1DE6"/>
    <w:rsid w:val="007E2F53"/>
    <w:rsid w:val="007E31DB"/>
    <w:rsid w:val="007E38DC"/>
    <w:rsid w:val="007E42A7"/>
    <w:rsid w:val="007E54F0"/>
    <w:rsid w:val="007E7742"/>
    <w:rsid w:val="007F2BF7"/>
    <w:rsid w:val="007F449C"/>
    <w:rsid w:val="007F4E81"/>
    <w:rsid w:val="007F63D4"/>
    <w:rsid w:val="007F6C30"/>
    <w:rsid w:val="008007A7"/>
    <w:rsid w:val="00800A6F"/>
    <w:rsid w:val="00800DF4"/>
    <w:rsid w:val="00801868"/>
    <w:rsid w:val="00802D60"/>
    <w:rsid w:val="00803050"/>
    <w:rsid w:val="008031CE"/>
    <w:rsid w:val="00803446"/>
    <w:rsid w:val="008049EA"/>
    <w:rsid w:val="00804EA5"/>
    <w:rsid w:val="00807FF2"/>
    <w:rsid w:val="008111F7"/>
    <w:rsid w:val="0081167D"/>
    <w:rsid w:val="00811770"/>
    <w:rsid w:val="00813590"/>
    <w:rsid w:val="00813FCA"/>
    <w:rsid w:val="008148B4"/>
    <w:rsid w:val="00815480"/>
    <w:rsid w:val="0081561F"/>
    <w:rsid w:val="00815940"/>
    <w:rsid w:val="00816E4E"/>
    <w:rsid w:val="008207DC"/>
    <w:rsid w:val="0082090D"/>
    <w:rsid w:val="00820EFA"/>
    <w:rsid w:val="00821E41"/>
    <w:rsid w:val="00822265"/>
    <w:rsid w:val="008232D9"/>
    <w:rsid w:val="00823AE9"/>
    <w:rsid w:val="00824413"/>
    <w:rsid w:val="008247C9"/>
    <w:rsid w:val="00825732"/>
    <w:rsid w:val="00825861"/>
    <w:rsid w:val="008267BA"/>
    <w:rsid w:val="00826895"/>
    <w:rsid w:val="00827DAE"/>
    <w:rsid w:val="00830395"/>
    <w:rsid w:val="00830608"/>
    <w:rsid w:val="00830678"/>
    <w:rsid w:val="00830CCB"/>
    <w:rsid w:val="00830CFF"/>
    <w:rsid w:val="00830D56"/>
    <w:rsid w:val="00831A37"/>
    <w:rsid w:val="008332AB"/>
    <w:rsid w:val="008354BB"/>
    <w:rsid w:val="00835B6A"/>
    <w:rsid w:val="008360C7"/>
    <w:rsid w:val="00836383"/>
    <w:rsid w:val="00836B71"/>
    <w:rsid w:val="00840581"/>
    <w:rsid w:val="00842E4A"/>
    <w:rsid w:val="00843924"/>
    <w:rsid w:val="00845645"/>
    <w:rsid w:val="00845EFE"/>
    <w:rsid w:val="00846460"/>
    <w:rsid w:val="0084686A"/>
    <w:rsid w:val="0084694D"/>
    <w:rsid w:val="00850388"/>
    <w:rsid w:val="0085168D"/>
    <w:rsid w:val="00851A55"/>
    <w:rsid w:val="00852BFC"/>
    <w:rsid w:val="00852F1A"/>
    <w:rsid w:val="008539F3"/>
    <w:rsid w:val="0085437E"/>
    <w:rsid w:val="008570EE"/>
    <w:rsid w:val="008573E4"/>
    <w:rsid w:val="0085748C"/>
    <w:rsid w:val="00857D25"/>
    <w:rsid w:val="00860F7B"/>
    <w:rsid w:val="00860FAE"/>
    <w:rsid w:val="00861A2B"/>
    <w:rsid w:val="008629FE"/>
    <w:rsid w:val="00863830"/>
    <w:rsid w:val="0086465C"/>
    <w:rsid w:val="00864AAB"/>
    <w:rsid w:val="00864D0F"/>
    <w:rsid w:val="00864D6F"/>
    <w:rsid w:val="0086515A"/>
    <w:rsid w:val="008656BC"/>
    <w:rsid w:val="008677E2"/>
    <w:rsid w:val="008678E7"/>
    <w:rsid w:val="00867C02"/>
    <w:rsid w:val="00867E77"/>
    <w:rsid w:val="008704C2"/>
    <w:rsid w:val="0087424B"/>
    <w:rsid w:val="00874B18"/>
    <w:rsid w:val="00874DC3"/>
    <w:rsid w:val="00874FB8"/>
    <w:rsid w:val="0087572E"/>
    <w:rsid w:val="008759BB"/>
    <w:rsid w:val="008771DA"/>
    <w:rsid w:val="008779B2"/>
    <w:rsid w:val="00877B7A"/>
    <w:rsid w:val="00881708"/>
    <w:rsid w:val="008817D3"/>
    <w:rsid w:val="0088325A"/>
    <w:rsid w:val="0088362C"/>
    <w:rsid w:val="00884027"/>
    <w:rsid w:val="00884187"/>
    <w:rsid w:val="00884604"/>
    <w:rsid w:val="008851B1"/>
    <w:rsid w:val="0088615A"/>
    <w:rsid w:val="00887A2C"/>
    <w:rsid w:val="00887D5E"/>
    <w:rsid w:val="008906D5"/>
    <w:rsid w:val="00890CFE"/>
    <w:rsid w:val="00891A15"/>
    <w:rsid w:val="0089251A"/>
    <w:rsid w:val="00892CFA"/>
    <w:rsid w:val="00893F98"/>
    <w:rsid w:val="008972A4"/>
    <w:rsid w:val="008973CB"/>
    <w:rsid w:val="008A1FC2"/>
    <w:rsid w:val="008A2A3E"/>
    <w:rsid w:val="008A2EDE"/>
    <w:rsid w:val="008A37B0"/>
    <w:rsid w:val="008A41FD"/>
    <w:rsid w:val="008A5627"/>
    <w:rsid w:val="008A58C9"/>
    <w:rsid w:val="008A5DB2"/>
    <w:rsid w:val="008A608C"/>
    <w:rsid w:val="008A63F5"/>
    <w:rsid w:val="008A790E"/>
    <w:rsid w:val="008B0453"/>
    <w:rsid w:val="008B07D2"/>
    <w:rsid w:val="008B29C8"/>
    <w:rsid w:val="008B2E87"/>
    <w:rsid w:val="008B4345"/>
    <w:rsid w:val="008B4520"/>
    <w:rsid w:val="008B61C3"/>
    <w:rsid w:val="008B6587"/>
    <w:rsid w:val="008B72B7"/>
    <w:rsid w:val="008B7875"/>
    <w:rsid w:val="008B78F6"/>
    <w:rsid w:val="008B7A67"/>
    <w:rsid w:val="008B7D17"/>
    <w:rsid w:val="008C08D2"/>
    <w:rsid w:val="008C3235"/>
    <w:rsid w:val="008C38A0"/>
    <w:rsid w:val="008C4984"/>
    <w:rsid w:val="008C6003"/>
    <w:rsid w:val="008C6073"/>
    <w:rsid w:val="008C7114"/>
    <w:rsid w:val="008C765A"/>
    <w:rsid w:val="008D32ED"/>
    <w:rsid w:val="008D4FF6"/>
    <w:rsid w:val="008D78AF"/>
    <w:rsid w:val="008E1232"/>
    <w:rsid w:val="008E1E04"/>
    <w:rsid w:val="008E2065"/>
    <w:rsid w:val="008E3368"/>
    <w:rsid w:val="008E3E7E"/>
    <w:rsid w:val="008E3FE9"/>
    <w:rsid w:val="008E4DC7"/>
    <w:rsid w:val="008E5BEF"/>
    <w:rsid w:val="008E5FAB"/>
    <w:rsid w:val="008F013E"/>
    <w:rsid w:val="008F0528"/>
    <w:rsid w:val="008F145E"/>
    <w:rsid w:val="008F31C3"/>
    <w:rsid w:val="008F37CD"/>
    <w:rsid w:val="008F39B8"/>
    <w:rsid w:val="008F3A7A"/>
    <w:rsid w:val="008F43BE"/>
    <w:rsid w:val="008F643D"/>
    <w:rsid w:val="008F7B5D"/>
    <w:rsid w:val="00902CCB"/>
    <w:rsid w:val="00902D57"/>
    <w:rsid w:val="00903B47"/>
    <w:rsid w:val="00903B48"/>
    <w:rsid w:val="00907394"/>
    <w:rsid w:val="009102CA"/>
    <w:rsid w:val="00910885"/>
    <w:rsid w:val="00911832"/>
    <w:rsid w:val="00911AB8"/>
    <w:rsid w:val="00911D84"/>
    <w:rsid w:val="00911D9B"/>
    <w:rsid w:val="0091441E"/>
    <w:rsid w:val="009147D0"/>
    <w:rsid w:val="00915151"/>
    <w:rsid w:val="00916438"/>
    <w:rsid w:val="00916476"/>
    <w:rsid w:val="009170BF"/>
    <w:rsid w:val="009220B2"/>
    <w:rsid w:val="00923EAD"/>
    <w:rsid w:val="009246E7"/>
    <w:rsid w:val="0092514B"/>
    <w:rsid w:val="00926A0A"/>
    <w:rsid w:val="00931166"/>
    <w:rsid w:val="009332E4"/>
    <w:rsid w:val="0093331E"/>
    <w:rsid w:val="00933357"/>
    <w:rsid w:val="009340EA"/>
    <w:rsid w:val="0093429C"/>
    <w:rsid w:val="00934506"/>
    <w:rsid w:val="00934C17"/>
    <w:rsid w:val="0093622E"/>
    <w:rsid w:val="009372BD"/>
    <w:rsid w:val="009372FB"/>
    <w:rsid w:val="0094147C"/>
    <w:rsid w:val="009424A7"/>
    <w:rsid w:val="00943D93"/>
    <w:rsid w:val="00944061"/>
    <w:rsid w:val="00944401"/>
    <w:rsid w:val="00944ECC"/>
    <w:rsid w:val="00945E8D"/>
    <w:rsid w:val="0095079A"/>
    <w:rsid w:val="00951075"/>
    <w:rsid w:val="0095316B"/>
    <w:rsid w:val="00954CA7"/>
    <w:rsid w:val="00955EA4"/>
    <w:rsid w:val="00957656"/>
    <w:rsid w:val="00957861"/>
    <w:rsid w:val="00957A1B"/>
    <w:rsid w:val="00957B07"/>
    <w:rsid w:val="00957DC6"/>
    <w:rsid w:val="0096155C"/>
    <w:rsid w:val="00962C0C"/>
    <w:rsid w:val="00965C89"/>
    <w:rsid w:val="00965E27"/>
    <w:rsid w:val="0096623F"/>
    <w:rsid w:val="00967607"/>
    <w:rsid w:val="009679EF"/>
    <w:rsid w:val="009700FB"/>
    <w:rsid w:val="00970183"/>
    <w:rsid w:val="009707D2"/>
    <w:rsid w:val="009723E7"/>
    <w:rsid w:val="009736F8"/>
    <w:rsid w:val="009738F8"/>
    <w:rsid w:val="00974D62"/>
    <w:rsid w:val="00976DA3"/>
    <w:rsid w:val="009776FA"/>
    <w:rsid w:val="00982ACD"/>
    <w:rsid w:val="00983253"/>
    <w:rsid w:val="00983984"/>
    <w:rsid w:val="00983ADC"/>
    <w:rsid w:val="00983F1C"/>
    <w:rsid w:val="00984CC7"/>
    <w:rsid w:val="009850A3"/>
    <w:rsid w:val="00985CC1"/>
    <w:rsid w:val="00986434"/>
    <w:rsid w:val="00987B13"/>
    <w:rsid w:val="00987C3A"/>
    <w:rsid w:val="0099179D"/>
    <w:rsid w:val="00994082"/>
    <w:rsid w:val="00994243"/>
    <w:rsid w:val="00994965"/>
    <w:rsid w:val="0099611B"/>
    <w:rsid w:val="00997660"/>
    <w:rsid w:val="00997EE8"/>
    <w:rsid w:val="009A1B34"/>
    <w:rsid w:val="009A22C5"/>
    <w:rsid w:val="009A33B3"/>
    <w:rsid w:val="009A37EE"/>
    <w:rsid w:val="009A472A"/>
    <w:rsid w:val="009A6A49"/>
    <w:rsid w:val="009A7BC1"/>
    <w:rsid w:val="009B1EFE"/>
    <w:rsid w:val="009B528F"/>
    <w:rsid w:val="009B6295"/>
    <w:rsid w:val="009C13D5"/>
    <w:rsid w:val="009C2C0D"/>
    <w:rsid w:val="009C3D64"/>
    <w:rsid w:val="009C57F8"/>
    <w:rsid w:val="009C5E5E"/>
    <w:rsid w:val="009C7392"/>
    <w:rsid w:val="009C7743"/>
    <w:rsid w:val="009D0432"/>
    <w:rsid w:val="009D147D"/>
    <w:rsid w:val="009D2C84"/>
    <w:rsid w:val="009D4A77"/>
    <w:rsid w:val="009D738D"/>
    <w:rsid w:val="009D7BDC"/>
    <w:rsid w:val="009E0AFD"/>
    <w:rsid w:val="009E177B"/>
    <w:rsid w:val="009E2632"/>
    <w:rsid w:val="009E35C9"/>
    <w:rsid w:val="009E380A"/>
    <w:rsid w:val="009E4055"/>
    <w:rsid w:val="009E4D0A"/>
    <w:rsid w:val="009E5106"/>
    <w:rsid w:val="009E6BDF"/>
    <w:rsid w:val="009E7856"/>
    <w:rsid w:val="009E7C55"/>
    <w:rsid w:val="009F10A7"/>
    <w:rsid w:val="009F1CC6"/>
    <w:rsid w:val="009F48C0"/>
    <w:rsid w:val="009F4BCF"/>
    <w:rsid w:val="009F4FF6"/>
    <w:rsid w:val="009F515D"/>
    <w:rsid w:val="009F6C44"/>
    <w:rsid w:val="009F71F6"/>
    <w:rsid w:val="00A00BDE"/>
    <w:rsid w:val="00A0442E"/>
    <w:rsid w:val="00A0446F"/>
    <w:rsid w:val="00A044C2"/>
    <w:rsid w:val="00A04BCF"/>
    <w:rsid w:val="00A07A55"/>
    <w:rsid w:val="00A07C94"/>
    <w:rsid w:val="00A119EF"/>
    <w:rsid w:val="00A12CAA"/>
    <w:rsid w:val="00A13315"/>
    <w:rsid w:val="00A1443D"/>
    <w:rsid w:val="00A15371"/>
    <w:rsid w:val="00A15E24"/>
    <w:rsid w:val="00A160EF"/>
    <w:rsid w:val="00A163B6"/>
    <w:rsid w:val="00A17310"/>
    <w:rsid w:val="00A2028D"/>
    <w:rsid w:val="00A20D1B"/>
    <w:rsid w:val="00A2114B"/>
    <w:rsid w:val="00A21600"/>
    <w:rsid w:val="00A24BA9"/>
    <w:rsid w:val="00A2570F"/>
    <w:rsid w:val="00A25EA3"/>
    <w:rsid w:val="00A278FE"/>
    <w:rsid w:val="00A31A32"/>
    <w:rsid w:val="00A31C16"/>
    <w:rsid w:val="00A326EE"/>
    <w:rsid w:val="00A33D87"/>
    <w:rsid w:val="00A34588"/>
    <w:rsid w:val="00A36A5C"/>
    <w:rsid w:val="00A36FD9"/>
    <w:rsid w:val="00A4161E"/>
    <w:rsid w:val="00A4279C"/>
    <w:rsid w:val="00A501B9"/>
    <w:rsid w:val="00A515F2"/>
    <w:rsid w:val="00A516CB"/>
    <w:rsid w:val="00A529DC"/>
    <w:rsid w:val="00A52C56"/>
    <w:rsid w:val="00A54A19"/>
    <w:rsid w:val="00A55390"/>
    <w:rsid w:val="00A55ABC"/>
    <w:rsid w:val="00A55F36"/>
    <w:rsid w:val="00A55F65"/>
    <w:rsid w:val="00A5664A"/>
    <w:rsid w:val="00A601F2"/>
    <w:rsid w:val="00A60E93"/>
    <w:rsid w:val="00A6129C"/>
    <w:rsid w:val="00A62601"/>
    <w:rsid w:val="00A628BD"/>
    <w:rsid w:val="00A62F6E"/>
    <w:rsid w:val="00A639B3"/>
    <w:rsid w:val="00A6486A"/>
    <w:rsid w:val="00A651E1"/>
    <w:rsid w:val="00A65602"/>
    <w:rsid w:val="00A66A9B"/>
    <w:rsid w:val="00A679F1"/>
    <w:rsid w:val="00A67F7B"/>
    <w:rsid w:val="00A7020D"/>
    <w:rsid w:val="00A7144F"/>
    <w:rsid w:val="00A7249E"/>
    <w:rsid w:val="00A73102"/>
    <w:rsid w:val="00A7589D"/>
    <w:rsid w:val="00A75AF7"/>
    <w:rsid w:val="00A75FEB"/>
    <w:rsid w:val="00A775D7"/>
    <w:rsid w:val="00A779B4"/>
    <w:rsid w:val="00A77FBE"/>
    <w:rsid w:val="00A80495"/>
    <w:rsid w:val="00A8070A"/>
    <w:rsid w:val="00A819C2"/>
    <w:rsid w:val="00A8207C"/>
    <w:rsid w:val="00A82871"/>
    <w:rsid w:val="00A83A91"/>
    <w:rsid w:val="00A83F79"/>
    <w:rsid w:val="00A8492D"/>
    <w:rsid w:val="00A85798"/>
    <w:rsid w:val="00A85C07"/>
    <w:rsid w:val="00A87138"/>
    <w:rsid w:val="00A87201"/>
    <w:rsid w:val="00A878DA"/>
    <w:rsid w:val="00A8797E"/>
    <w:rsid w:val="00A87C2D"/>
    <w:rsid w:val="00A90D32"/>
    <w:rsid w:val="00A90F69"/>
    <w:rsid w:val="00A92EA0"/>
    <w:rsid w:val="00A93703"/>
    <w:rsid w:val="00A93894"/>
    <w:rsid w:val="00A94C6A"/>
    <w:rsid w:val="00A94DE6"/>
    <w:rsid w:val="00AA0443"/>
    <w:rsid w:val="00AA1137"/>
    <w:rsid w:val="00AA1315"/>
    <w:rsid w:val="00AA166D"/>
    <w:rsid w:val="00AA1E7B"/>
    <w:rsid w:val="00AA2F40"/>
    <w:rsid w:val="00AA3C14"/>
    <w:rsid w:val="00AA3CD1"/>
    <w:rsid w:val="00AA4A52"/>
    <w:rsid w:val="00AA4B0C"/>
    <w:rsid w:val="00AA4C10"/>
    <w:rsid w:val="00AA677B"/>
    <w:rsid w:val="00AB16A1"/>
    <w:rsid w:val="00AB1F4E"/>
    <w:rsid w:val="00AB3F52"/>
    <w:rsid w:val="00AB46F3"/>
    <w:rsid w:val="00AB5330"/>
    <w:rsid w:val="00AB67FD"/>
    <w:rsid w:val="00AB705A"/>
    <w:rsid w:val="00AB73C4"/>
    <w:rsid w:val="00AB79C4"/>
    <w:rsid w:val="00AB7A2D"/>
    <w:rsid w:val="00AB7A8E"/>
    <w:rsid w:val="00AC21EB"/>
    <w:rsid w:val="00AC2ECD"/>
    <w:rsid w:val="00AC30BE"/>
    <w:rsid w:val="00AC4752"/>
    <w:rsid w:val="00AC5E94"/>
    <w:rsid w:val="00AC62A9"/>
    <w:rsid w:val="00AC63D4"/>
    <w:rsid w:val="00AC69B1"/>
    <w:rsid w:val="00AC7963"/>
    <w:rsid w:val="00AD0147"/>
    <w:rsid w:val="00AD0BC3"/>
    <w:rsid w:val="00AD2009"/>
    <w:rsid w:val="00AD5620"/>
    <w:rsid w:val="00AD6FEE"/>
    <w:rsid w:val="00AD7825"/>
    <w:rsid w:val="00AE0F8E"/>
    <w:rsid w:val="00AE1D73"/>
    <w:rsid w:val="00AE2388"/>
    <w:rsid w:val="00AE324F"/>
    <w:rsid w:val="00AE3EA4"/>
    <w:rsid w:val="00AE4C81"/>
    <w:rsid w:val="00AE65E8"/>
    <w:rsid w:val="00AE6C56"/>
    <w:rsid w:val="00AE761E"/>
    <w:rsid w:val="00AF004B"/>
    <w:rsid w:val="00AF02BE"/>
    <w:rsid w:val="00AF0D56"/>
    <w:rsid w:val="00AF0D63"/>
    <w:rsid w:val="00AF2D3A"/>
    <w:rsid w:val="00AF4436"/>
    <w:rsid w:val="00AF63F6"/>
    <w:rsid w:val="00AF6A7D"/>
    <w:rsid w:val="00AF75FC"/>
    <w:rsid w:val="00B0018E"/>
    <w:rsid w:val="00B00AA8"/>
    <w:rsid w:val="00B00B21"/>
    <w:rsid w:val="00B0258B"/>
    <w:rsid w:val="00B02CA0"/>
    <w:rsid w:val="00B04C86"/>
    <w:rsid w:val="00B051F0"/>
    <w:rsid w:val="00B06152"/>
    <w:rsid w:val="00B07A89"/>
    <w:rsid w:val="00B07FEB"/>
    <w:rsid w:val="00B112E2"/>
    <w:rsid w:val="00B11C01"/>
    <w:rsid w:val="00B1247D"/>
    <w:rsid w:val="00B13711"/>
    <w:rsid w:val="00B13908"/>
    <w:rsid w:val="00B1481C"/>
    <w:rsid w:val="00B15DCB"/>
    <w:rsid w:val="00B20C53"/>
    <w:rsid w:val="00B217BD"/>
    <w:rsid w:val="00B21D9C"/>
    <w:rsid w:val="00B21FF2"/>
    <w:rsid w:val="00B227F4"/>
    <w:rsid w:val="00B23896"/>
    <w:rsid w:val="00B23DA8"/>
    <w:rsid w:val="00B25823"/>
    <w:rsid w:val="00B27574"/>
    <w:rsid w:val="00B27DBF"/>
    <w:rsid w:val="00B30C3B"/>
    <w:rsid w:val="00B3135A"/>
    <w:rsid w:val="00B32069"/>
    <w:rsid w:val="00B332CA"/>
    <w:rsid w:val="00B33470"/>
    <w:rsid w:val="00B352AB"/>
    <w:rsid w:val="00B353D0"/>
    <w:rsid w:val="00B36A05"/>
    <w:rsid w:val="00B36EFD"/>
    <w:rsid w:val="00B37281"/>
    <w:rsid w:val="00B37B94"/>
    <w:rsid w:val="00B37F55"/>
    <w:rsid w:val="00B411BD"/>
    <w:rsid w:val="00B425B7"/>
    <w:rsid w:val="00B4404D"/>
    <w:rsid w:val="00B45C3B"/>
    <w:rsid w:val="00B47771"/>
    <w:rsid w:val="00B51478"/>
    <w:rsid w:val="00B5153B"/>
    <w:rsid w:val="00B51B78"/>
    <w:rsid w:val="00B52945"/>
    <w:rsid w:val="00B52B5C"/>
    <w:rsid w:val="00B5326B"/>
    <w:rsid w:val="00B534CC"/>
    <w:rsid w:val="00B54374"/>
    <w:rsid w:val="00B561D9"/>
    <w:rsid w:val="00B57E71"/>
    <w:rsid w:val="00B60314"/>
    <w:rsid w:val="00B606BA"/>
    <w:rsid w:val="00B60C56"/>
    <w:rsid w:val="00B61AFC"/>
    <w:rsid w:val="00B61C7E"/>
    <w:rsid w:val="00B62679"/>
    <w:rsid w:val="00B642C8"/>
    <w:rsid w:val="00B65DB2"/>
    <w:rsid w:val="00B660BF"/>
    <w:rsid w:val="00B66127"/>
    <w:rsid w:val="00B66BE7"/>
    <w:rsid w:val="00B67148"/>
    <w:rsid w:val="00B673F3"/>
    <w:rsid w:val="00B719CC"/>
    <w:rsid w:val="00B73411"/>
    <w:rsid w:val="00B73E63"/>
    <w:rsid w:val="00B74C9A"/>
    <w:rsid w:val="00B758F4"/>
    <w:rsid w:val="00B779C0"/>
    <w:rsid w:val="00B81916"/>
    <w:rsid w:val="00B827C6"/>
    <w:rsid w:val="00B83B97"/>
    <w:rsid w:val="00B8742A"/>
    <w:rsid w:val="00B91FA2"/>
    <w:rsid w:val="00B924DD"/>
    <w:rsid w:val="00B92816"/>
    <w:rsid w:val="00B928BE"/>
    <w:rsid w:val="00B95930"/>
    <w:rsid w:val="00B96379"/>
    <w:rsid w:val="00B96A93"/>
    <w:rsid w:val="00B96C58"/>
    <w:rsid w:val="00BA0FA7"/>
    <w:rsid w:val="00BA14BF"/>
    <w:rsid w:val="00BA19BB"/>
    <w:rsid w:val="00BA2C61"/>
    <w:rsid w:val="00BA3605"/>
    <w:rsid w:val="00BA3DFA"/>
    <w:rsid w:val="00BA4184"/>
    <w:rsid w:val="00BA49A4"/>
    <w:rsid w:val="00BA5731"/>
    <w:rsid w:val="00BA5D2C"/>
    <w:rsid w:val="00BA5E2D"/>
    <w:rsid w:val="00BA6B62"/>
    <w:rsid w:val="00BA7D7E"/>
    <w:rsid w:val="00BB0935"/>
    <w:rsid w:val="00BB13A5"/>
    <w:rsid w:val="00BB1910"/>
    <w:rsid w:val="00BB1D53"/>
    <w:rsid w:val="00BB1F18"/>
    <w:rsid w:val="00BB1F3C"/>
    <w:rsid w:val="00BB2908"/>
    <w:rsid w:val="00BB37E6"/>
    <w:rsid w:val="00BB435C"/>
    <w:rsid w:val="00BB495A"/>
    <w:rsid w:val="00BB528D"/>
    <w:rsid w:val="00BB5537"/>
    <w:rsid w:val="00BB5F9F"/>
    <w:rsid w:val="00BB5FE9"/>
    <w:rsid w:val="00BB6CD4"/>
    <w:rsid w:val="00BB6E11"/>
    <w:rsid w:val="00BC1492"/>
    <w:rsid w:val="00BC156B"/>
    <w:rsid w:val="00BC2E02"/>
    <w:rsid w:val="00BC3D40"/>
    <w:rsid w:val="00BC5C2C"/>
    <w:rsid w:val="00BC6EA9"/>
    <w:rsid w:val="00BC7D00"/>
    <w:rsid w:val="00BC7DA1"/>
    <w:rsid w:val="00BD11CB"/>
    <w:rsid w:val="00BD16B9"/>
    <w:rsid w:val="00BD64AD"/>
    <w:rsid w:val="00BD66FF"/>
    <w:rsid w:val="00BD7BF2"/>
    <w:rsid w:val="00BD7C40"/>
    <w:rsid w:val="00BD7EED"/>
    <w:rsid w:val="00BE0D6F"/>
    <w:rsid w:val="00BE10E8"/>
    <w:rsid w:val="00BE3815"/>
    <w:rsid w:val="00BE420A"/>
    <w:rsid w:val="00BE6304"/>
    <w:rsid w:val="00BE7BFA"/>
    <w:rsid w:val="00BF3659"/>
    <w:rsid w:val="00BF40CC"/>
    <w:rsid w:val="00BF5321"/>
    <w:rsid w:val="00BF5C72"/>
    <w:rsid w:val="00BF7F40"/>
    <w:rsid w:val="00C00677"/>
    <w:rsid w:val="00C008AC"/>
    <w:rsid w:val="00C01482"/>
    <w:rsid w:val="00C014BA"/>
    <w:rsid w:val="00C01503"/>
    <w:rsid w:val="00C026E7"/>
    <w:rsid w:val="00C02DDC"/>
    <w:rsid w:val="00C03174"/>
    <w:rsid w:val="00C0328E"/>
    <w:rsid w:val="00C037CD"/>
    <w:rsid w:val="00C0432E"/>
    <w:rsid w:val="00C0508F"/>
    <w:rsid w:val="00C06047"/>
    <w:rsid w:val="00C07389"/>
    <w:rsid w:val="00C115AF"/>
    <w:rsid w:val="00C115F9"/>
    <w:rsid w:val="00C11764"/>
    <w:rsid w:val="00C12976"/>
    <w:rsid w:val="00C162C3"/>
    <w:rsid w:val="00C16369"/>
    <w:rsid w:val="00C163B4"/>
    <w:rsid w:val="00C1696F"/>
    <w:rsid w:val="00C173BC"/>
    <w:rsid w:val="00C20A02"/>
    <w:rsid w:val="00C222DA"/>
    <w:rsid w:val="00C2253F"/>
    <w:rsid w:val="00C23BD3"/>
    <w:rsid w:val="00C241E5"/>
    <w:rsid w:val="00C2513A"/>
    <w:rsid w:val="00C26460"/>
    <w:rsid w:val="00C27460"/>
    <w:rsid w:val="00C27BEE"/>
    <w:rsid w:val="00C3083D"/>
    <w:rsid w:val="00C30AE2"/>
    <w:rsid w:val="00C30BB5"/>
    <w:rsid w:val="00C30D40"/>
    <w:rsid w:val="00C314BD"/>
    <w:rsid w:val="00C329E6"/>
    <w:rsid w:val="00C338B4"/>
    <w:rsid w:val="00C345DF"/>
    <w:rsid w:val="00C349F9"/>
    <w:rsid w:val="00C3560D"/>
    <w:rsid w:val="00C357E5"/>
    <w:rsid w:val="00C37B30"/>
    <w:rsid w:val="00C40200"/>
    <w:rsid w:val="00C42C00"/>
    <w:rsid w:val="00C436F0"/>
    <w:rsid w:val="00C43BFB"/>
    <w:rsid w:val="00C43E49"/>
    <w:rsid w:val="00C4452C"/>
    <w:rsid w:val="00C448B6"/>
    <w:rsid w:val="00C44DFA"/>
    <w:rsid w:val="00C46908"/>
    <w:rsid w:val="00C476AB"/>
    <w:rsid w:val="00C47EFC"/>
    <w:rsid w:val="00C5150C"/>
    <w:rsid w:val="00C519BE"/>
    <w:rsid w:val="00C51F41"/>
    <w:rsid w:val="00C51F7A"/>
    <w:rsid w:val="00C536FE"/>
    <w:rsid w:val="00C537EB"/>
    <w:rsid w:val="00C53971"/>
    <w:rsid w:val="00C5484D"/>
    <w:rsid w:val="00C56727"/>
    <w:rsid w:val="00C60A48"/>
    <w:rsid w:val="00C61B56"/>
    <w:rsid w:val="00C61B60"/>
    <w:rsid w:val="00C633B1"/>
    <w:rsid w:val="00C634A1"/>
    <w:rsid w:val="00C64EC4"/>
    <w:rsid w:val="00C65E1A"/>
    <w:rsid w:val="00C660DC"/>
    <w:rsid w:val="00C66C3E"/>
    <w:rsid w:val="00C66D18"/>
    <w:rsid w:val="00C671E2"/>
    <w:rsid w:val="00C67BE9"/>
    <w:rsid w:val="00C70868"/>
    <w:rsid w:val="00C712C8"/>
    <w:rsid w:val="00C7223B"/>
    <w:rsid w:val="00C730BE"/>
    <w:rsid w:val="00C73374"/>
    <w:rsid w:val="00C7427E"/>
    <w:rsid w:val="00C75BF8"/>
    <w:rsid w:val="00C76A0B"/>
    <w:rsid w:val="00C77178"/>
    <w:rsid w:val="00C77A32"/>
    <w:rsid w:val="00C818FB"/>
    <w:rsid w:val="00C82223"/>
    <w:rsid w:val="00C82CD0"/>
    <w:rsid w:val="00C83B78"/>
    <w:rsid w:val="00C86ECE"/>
    <w:rsid w:val="00C874AA"/>
    <w:rsid w:val="00C87DFF"/>
    <w:rsid w:val="00C90319"/>
    <w:rsid w:val="00C90B02"/>
    <w:rsid w:val="00C90D30"/>
    <w:rsid w:val="00C90F20"/>
    <w:rsid w:val="00C923F6"/>
    <w:rsid w:val="00C92FF1"/>
    <w:rsid w:val="00C932F6"/>
    <w:rsid w:val="00C942A9"/>
    <w:rsid w:val="00C95D47"/>
    <w:rsid w:val="00C95F19"/>
    <w:rsid w:val="00C96750"/>
    <w:rsid w:val="00C96F7D"/>
    <w:rsid w:val="00C97599"/>
    <w:rsid w:val="00CA0013"/>
    <w:rsid w:val="00CA043B"/>
    <w:rsid w:val="00CA06F2"/>
    <w:rsid w:val="00CA1C39"/>
    <w:rsid w:val="00CA1E22"/>
    <w:rsid w:val="00CA2851"/>
    <w:rsid w:val="00CA30EB"/>
    <w:rsid w:val="00CA30F2"/>
    <w:rsid w:val="00CA3C73"/>
    <w:rsid w:val="00CB0408"/>
    <w:rsid w:val="00CB0C08"/>
    <w:rsid w:val="00CB0DC8"/>
    <w:rsid w:val="00CB158A"/>
    <w:rsid w:val="00CB3FC1"/>
    <w:rsid w:val="00CB4C24"/>
    <w:rsid w:val="00CC1568"/>
    <w:rsid w:val="00CC33E6"/>
    <w:rsid w:val="00CC5D0C"/>
    <w:rsid w:val="00CC7797"/>
    <w:rsid w:val="00CD2B67"/>
    <w:rsid w:val="00CD2FA4"/>
    <w:rsid w:val="00CD3962"/>
    <w:rsid w:val="00CD3DFC"/>
    <w:rsid w:val="00CD3F78"/>
    <w:rsid w:val="00CD4192"/>
    <w:rsid w:val="00CD6063"/>
    <w:rsid w:val="00CD6BDB"/>
    <w:rsid w:val="00CD6D91"/>
    <w:rsid w:val="00CD7A75"/>
    <w:rsid w:val="00CE0CC1"/>
    <w:rsid w:val="00CE10FD"/>
    <w:rsid w:val="00CE18CF"/>
    <w:rsid w:val="00CE1C7D"/>
    <w:rsid w:val="00CE22ED"/>
    <w:rsid w:val="00CE27A7"/>
    <w:rsid w:val="00CE3F15"/>
    <w:rsid w:val="00CE47BC"/>
    <w:rsid w:val="00CE4EC4"/>
    <w:rsid w:val="00CE4FAB"/>
    <w:rsid w:val="00CE5C91"/>
    <w:rsid w:val="00CE649F"/>
    <w:rsid w:val="00CF0FCC"/>
    <w:rsid w:val="00CF1544"/>
    <w:rsid w:val="00CF1C4A"/>
    <w:rsid w:val="00CF3E5B"/>
    <w:rsid w:val="00CF40E0"/>
    <w:rsid w:val="00CF474A"/>
    <w:rsid w:val="00CF52CF"/>
    <w:rsid w:val="00CF5D1D"/>
    <w:rsid w:val="00CF5D34"/>
    <w:rsid w:val="00CF7761"/>
    <w:rsid w:val="00CF778E"/>
    <w:rsid w:val="00D0028C"/>
    <w:rsid w:val="00D00A06"/>
    <w:rsid w:val="00D00B28"/>
    <w:rsid w:val="00D0114C"/>
    <w:rsid w:val="00D01B0C"/>
    <w:rsid w:val="00D044EE"/>
    <w:rsid w:val="00D04D76"/>
    <w:rsid w:val="00D04F17"/>
    <w:rsid w:val="00D052EB"/>
    <w:rsid w:val="00D057EA"/>
    <w:rsid w:val="00D05F10"/>
    <w:rsid w:val="00D05FF8"/>
    <w:rsid w:val="00D06B43"/>
    <w:rsid w:val="00D071F2"/>
    <w:rsid w:val="00D1012A"/>
    <w:rsid w:val="00D118BA"/>
    <w:rsid w:val="00D1263F"/>
    <w:rsid w:val="00D138E2"/>
    <w:rsid w:val="00D13E80"/>
    <w:rsid w:val="00D14833"/>
    <w:rsid w:val="00D149E4"/>
    <w:rsid w:val="00D14CFD"/>
    <w:rsid w:val="00D16E5A"/>
    <w:rsid w:val="00D17DAF"/>
    <w:rsid w:val="00D17ED6"/>
    <w:rsid w:val="00D20181"/>
    <w:rsid w:val="00D206C3"/>
    <w:rsid w:val="00D206DC"/>
    <w:rsid w:val="00D20E06"/>
    <w:rsid w:val="00D218F7"/>
    <w:rsid w:val="00D2194D"/>
    <w:rsid w:val="00D2284A"/>
    <w:rsid w:val="00D24E69"/>
    <w:rsid w:val="00D30005"/>
    <w:rsid w:val="00D3032A"/>
    <w:rsid w:val="00D308DA"/>
    <w:rsid w:val="00D31734"/>
    <w:rsid w:val="00D3201C"/>
    <w:rsid w:val="00D3201D"/>
    <w:rsid w:val="00D3227D"/>
    <w:rsid w:val="00D325EC"/>
    <w:rsid w:val="00D330DA"/>
    <w:rsid w:val="00D33B49"/>
    <w:rsid w:val="00D35060"/>
    <w:rsid w:val="00D36DA7"/>
    <w:rsid w:val="00D37391"/>
    <w:rsid w:val="00D40812"/>
    <w:rsid w:val="00D413A8"/>
    <w:rsid w:val="00D425D5"/>
    <w:rsid w:val="00D42A98"/>
    <w:rsid w:val="00D434B1"/>
    <w:rsid w:val="00D43582"/>
    <w:rsid w:val="00D43720"/>
    <w:rsid w:val="00D44681"/>
    <w:rsid w:val="00D46619"/>
    <w:rsid w:val="00D466B6"/>
    <w:rsid w:val="00D46A5A"/>
    <w:rsid w:val="00D52720"/>
    <w:rsid w:val="00D533B2"/>
    <w:rsid w:val="00D54473"/>
    <w:rsid w:val="00D55773"/>
    <w:rsid w:val="00D57407"/>
    <w:rsid w:val="00D57C66"/>
    <w:rsid w:val="00D614CC"/>
    <w:rsid w:val="00D62870"/>
    <w:rsid w:val="00D645A1"/>
    <w:rsid w:val="00D64C6B"/>
    <w:rsid w:val="00D653BB"/>
    <w:rsid w:val="00D66CAF"/>
    <w:rsid w:val="00D67265"/>
    <w:rsid w:val="00D707A0"/>
    <w:rsid w:val="00D71616"/>
    <w:rsid w:val="00D717E4"/>
    <w:rsid w:val="00D725F3"/>
    <w:rsid w:val="00D728F6"/>
    <w:rsid w:val="00D72F34"/>
    <w:rsid w:val="00D73BDE"/>
    <w:rsid w:val="00D73F96"/>
    <w:rsid w:val="00D743A6"/>
    <w:rsid w:val="00D75FB8"/>
    <w:rsid w:val="00D77B25"/>
    <w:rsid w:val="00D804BB"/>
    <w:rsid w:val="00D80EA8"/>
    <w:rsid w:val="00D815CC"/>
    <w:rsid w:val="00D826DD"/>
    <w:rsid w:val="00D82816"/>
    <w:rsid w:val="00D83023"/>
    <w:rsid w:val="00D83E9F"/>
    <w:rsid w:val="00D84710"/>
    <w:rsid w:val="00D859BA"/>
    <w:rsid w:val="00D86380"/>
    <w:rsid w:val="00D86433"/>
    <w:rsid w:val="00D90ABE"/>
    <w:rsid w:val="00D926D3"/>
    <w:rsid w:val="00D92D3B"/>
    <w:rsid w:val="00D93D72"/>
    <w:rsid w:val="00D94FCD"/>
    <w:rsid w:val="00D9510C"/>
    <w:rsid w:val="00D954F8"/>
    <w:rsid w:val="00D9666F"/>
    <w:rsid w:val="00D96A4D"/>
    <w:rsid w:val="00D97D79"/>
    <w:rsid w:val="00D97D8D"/>
    <w:rsid w:val="00DA202C"/>
    <w:rsid w:val="00DA3116"/>
    <w:rsid w:val="00DA3A7B"/>
    <w:rsid w:val="00DA5147"/>
    <w:rsid w:val="00DA623C"/>
    <w:rsid w:val="00DA64D1"/>
    <w:rsid w:val="00DA6A4F"/>
    <w:rsid w:val="00DA6E21"/>
    <w:rsid w:val="00DB02D9"/>
    <w:rsid w:val="00DB0E93"/>
    <w:rsid w:val="00DB2BA4"/>
    <w:rsid w:val="00DB4721"/>
    <w:rsid w:val="00DB4989"/>
    <w:rsid w:val="00DB6AC0"/>
    <w:rsid w:val="00DB7F4C"/>
    <w:rsid w:val="00DC019C"/>
    <w:rsid w:val="00DC0C96"/>
    <w:rsid w:val="00DC3908"/>
    <w:rsid w:val="00DC7A8C"/>
    <w:rsid w:val="00DD066C"/>
    <w:rsid w:val="00DD1428"/>
    <w:rsid w:val="00DD1A3A"/>
    <w:rsid w:val="00DD1EA7"/>
    <w:rsid w:val="00DD20CF"/>
    <w:rsid w:val="00DD21C5"/>
    <w:rsid w:val="00DD3A87"/>
    <w:rsid w:val="00DD3F02"/>
    <w:rsid w:val="00DD43EB"/>
    <w:rsid w:val="00DD62C2"/>
    <w:rsid w:val="00DD73C1"/>
    <w:rsid w:val="00DE0B40"/>
    <w:rsid w:val="00DE1F37"/>
    <w:rsid w:val="00DE2868"/>
    <w:rsid w:val="00DE2AF7"/>
    <w:rsid w:val="00DE331F"/>
    <w:rsid w:val="00DE39C1"/>
    <w:rsid w:val="00DE49E3"/>
    <w:rsid w:val="00DE67D3"/>
    <w:rsid w:val="00DF0804"/>
    <w:rsid w:val="00DF0829"/>
    <w:rsid w:val="00DF0BAD"/>
    <w:rsid w:val="00DF0C9E"/>
    <w:rsid w:val="00DF15B3"/>
    <w:rsid w:val="00DF1CC6"/>
    <w:rsid w:val="00DF2543"/>
    <w:rsid w:val="00DF3AF9"/>
    <w:rsid w:val="00DF43AE"/>
    <w:rsid w:val="00DF4605"/>
    <w:rsid w:val="00DF5064"/>
    <w:rsid w:val="00DF54A5"/>
    <w:rsid w:val="00DF5DC6"/>
    <w:rsid w:val="00E0184C"/>
    <w:rsid w:val="00E01FE5"/>
    <w:rsid w:val="00E03DAF"/>
    <w:rsid w:val="00E03DCF"/>
    <w:rsid w:val="00E03F42"/>
    <w:rsid w:val="00E048EC"/>
    <w:rsid w:val="00E05D47"/>
    <w:rsid w:val="00E074DA"/>
    <w:rsid w:val="00E13037"/>
    <w:rsid w:val="00E1384C"/>
    <w:rsid w:val="00E16212"/>
    <w:rsid w:val="00E1745F"/>
    <w:rsid w:val="00E213E1"/>
    <w:rsid w:val="00E216F7"/>
    <w:rsid w:val="00E22737"/>
    <w:rsid w:val="00E22E2B"/>
    <w:rsid w:val="00E24266"/>
    <w:rsid w:val="00E2675D"/>
    <w:rsid w:val="00E2792C"/>
    <w:rsid w:val="00E305B9"/>
    <w:rsid w:val="00E31C2C"/>
    <w:rsid w:val="00E3268A"/>
    <w:rsid w:val="00E33CC8"/>
    <w:rsid w:val="00E353EF"/>
    <w:rsid w:val="00E35595"/>
    <w:rsid w:val="00E36110"/>
    <w:rsid w:val="00E361ED"/>
    <w:rsid w:val="00E37047"/>
    <w:rsid w:val="00E40674"/>
    <w:rsid w:val="00E41361"/>
    <w:rsid w:val="00E4362F"/>
    <w:rsid w:val="00E44E27"/>
    <w:rsid w:val="00E4604D"/>
    <w:rsid w:val="00E461B7"/>
    <w:rsid w:val="00E46A24"/>
    <w:rsid w:val="00E5130C"/>
    <w:rsid w:val="00E53AC4"/>
    <w:rsid w:val="00E55762"/>
    <w:rsid w:val="00E575D2"/>
    <w:rsid w:val="00E57D12"/>
    <w:rsid w:val="00E57F97"/>
    <w:rsid w:val="00E60B4B"/>
    <w:rsid w:val="00E61B6D"/>
    <w:rsid w:val="00E646A3"/>
    <w:rsid w:val="00E65FF1"/>
    <w:rsid w:val="00E70073"/>
    <w:rsid w:val="00E71733"/>
    <w:rsid w:val="00E7273E"/>
    <w:rsid w:val="00E72918"/>
    <w:rsid w:val="00E72DDD"/>
    <w:rsid w:val="00E72F3E"/>
    <w:rsid w:val="00E73F69"/>
    <w:rsid w:val="00E745DD"/>
    <w:rsid w:val="00E75BE5"/>
    <w:rsid w:val="00E77835"/>
    <w:rsid w:val="00E80723"/>
    <w:rsid w:val="00E82473"/>
    <w:rsid w:val="00E82FA5"/>
    <w:rsid w:val="00E84441"/>
    <w:rsid w:val="00E84F01"/>
    <w:rsid w:val="00E84F12"/>
    <w:rsid w:val="00E92465"/>
    <w:rsid w:val="00E931BA"/>
    <w:rsid w:val="00E9684A"/>
    <w:rsid w:val="00E974E1"/>
    <w:rsid w:val="00E97CCA"/>
    <w:rsid w:val="00EA0754"/>
    <w:rsid w:val="00EA18D1"/>
    <w:rsid w:val="00EA2EF3"/>
    <w:rsid w:val="00EA45FD"/>
    <w:rsid w:val="00EA7D23"/>
    <w:rsid w:val="00EA7DAD"/>
    <w:rsid w:val="00EB0053"/>
    <w:rsid w:val="00EB046E"/>
    <w:rsid w:val="00EB0A04"/>
    <w:rsid w:val="00EB1121"/>
    <w:rsid w:val="00EB48C3"/>
    <w:rsid w:val="00EB6567"/>
    <w:rsid w:val="00EB65F1"/>
    <w:rsid w:val="00EB7AAA"/>
    <w:rsid w:val="00EC030A"/>
    <w:rsid w:val="00EC07C2"/>
    <w:rsid w:val="00EC193C"/>
    <w:rsid w:val="00EC3099"/>
    <w:rsid w:val="00EC61A6"/>
    <w:rsid w:val="00EC6DD6"/>
    <w:rsid w:val="00ED0318"/>
    <w:rsid w:val="00ED0899"/>
    <w:rsid w:val="00ED16B6"/>
    <w:rsid w:val="00ED1A85"/>
    <w:rsid w:val="00ED3603"/>
    <w:rsid w:val="00ED4E50"/>
    <w:rsid w:val="00ED75F7"/>
    <w:rsid w:val="00ED7965"/>
    <w:rsid w:val="00EE0F3F"/>
    <w:rsid w:val="00EE1182"/>
    <w:rsid w:val="00EE15D1"/>
    <w:rsid w:val="00EE27C5"/>
    <w:rsid w:val="00EE2C73"/>
    <w:rsid w:val="00EE33A2"/>
    <w:rsid w:val="00EE3CFB"/>
    <w:rsid w:val="00EE3D01"/>
    <w:rsid w:val="00EE776C"/>
    <w:rsid w:val="00EF0658"/>
    <w:rsid w:val="00EF1530"/>
    <w:rsid w:val="00EF2780"/>
    <w:rsid w:val="00EF37F8"/>
    <w:rsid w:val="00EF38BC"/>
    <w:rsid w:val="00EF3F88"/>
    <w:rsid w:val="00EF490D"/>
    <w:rsid w:val="00EF5169"/>
    <w:rsid w:val="00EF64C9"/>
    <w:rsid w:val="00EF6F1B"/>
    <w:rsid w:val="00EF7724"/>
    <w:rsid w:val="00EF7916"/>
    <w:rsid w:val="00F007B7"/>
    <w:rsid w:val="00F019C6"/>
    <w:rsid w:val="00F02795"/>
    <w:rsid w:val="00F03FE6"/>
    <w:rsid w:val="00F0449B"/>
    <w:rsid w:val="00F0483E"/>
    <w:rsid w:val="00F050A9"/>
    <w:rsid w:val="00F073F8"/>
    <w:rsid w:val="00F10AC9"/>
    <w:rsid w:val="00F12CFB"/>
    <w:rsid w:val="00F140E3"/>
    <w:rsid w:val="00F143EB"/>
    <w:rsid w:val="00F146DC"/>
    <w:rsid w:val="00F157DD"/>
    <w:rsid w:val="00F15E8D"/>
    <w:rsid w:val="00F16276"/>
    <w:rsid w:val="00F16547"/>
    <w:rsid w:val="00F16AB3"/>
    <w:rsid w:val="00F17873"/>
    <w:rsid w:val="00F208F4"/>
    <w:rsid w:val="00F25E64"/>
    <w:rsid w:val="00F27779"/>
    <w:rsid w:val="00F27BB2"/>
    <w:rsid w:val="00F3393F"/>
    <w:rsid w:val="00F3602E"/>
    <w:rsid w:val="00F36DFB"/>
    <w:rsid w:val="00F37308"/>
    <w:rsid w:val="00F37510"/>
    <w:rsid w:val="00F379AE"/>
    <w:rsid w:val="00F40107"/>
    <w:rsid w:val="00F415B0"/>
    <w:rsid w:val="00F4186D"/>
    <w:rsid w:val="00F42110"/>
    <w:rsid w:val="00F42AB1"/>
    <w:rsid w:val="00F432F3"/>
    <w:rsid w:val="00F456E2"/>
    <w:rsid w:val="00F5043D"/>
    <w:rsid w:val="00F518DC"/>
    <w:rsid w:val="00F51C62"/>
    <w:rsid w:val="00F5238F"/>
    <w:rsid w:val="00F52B50"/>
    <w:rsid w:val="00F53D61"/>
    <w:rsid w:val="00F53EC1"/>
    <w:rsid w:val="00F545A7"/>
    <w:rsid w:val="00F54A6D"/>
    <w:rsid w:val="00F559B6"/>
    <w:rsid w:val="00F55ACC"/>
    <w:rsid w:val="00F55D1D"/>
    <w:rsid w:val="00F57912"/>
    <w:rsid w:val="00F57F8B"/>
    <w:rsid w:val="00F60312"/>
    <w:rsid w:val="00F61E9F"/>
    <w:rsid w:val="00F63E0D"/>
    <w:rsid w:val="00F658EA"/>
    <w:rsid w:val="00F65A5D"/>
    <w:rsid w:val="00F668AD"/>
    <w:rsid w:val="00F66A4C"/>
    <w:rsid w:val="00F67C30"/>
    <w:rsid w:val="00F72444"/>
    <w:rsid w:val="00F7441A"/>
    <w:rsid w:val="00F7551B"/>
    <w:rsid w:val="00F756A5"/>
    <w:rsid w:val="00F7586E"/>
    <w:rsid w:val="00F761C8"/>
    <w:rsid w:val="00F765A2"/>
    <w:rsid w:val="00F80F9C"/>
    <w:rsid w:val="00F8122B"/>
    <w:rsid w:val="00F82FBC"/>
    <w:rsid w:val="00F8342B"/>
    <w:rsid w:val="00F83A4A"/>
    <w:rsid w:val="00F850DD"/>
    <w:rsid w:val="00F853C0"/>
    <w:rsid w:val="00F867A9"/>
    <w:rsid w:val="00F87348"/>
    <w:rsid w:val="00F87471"/>
    <w:rsid w:val="00F90F5C"/>
    <w:rsid w:val="00F915E4"/>
    <w:rsid w:val="00F91A7E"/>
    <w:rsid w:val="00F93D2C"/>
    <w:rsid w:val="00F94E86"/>
    <w:rsid w:val="00F95DCE"/>
    <w:rsid w:val="00F96404"/>
    <w:rsid w:val="00F97228"/>
    <w:rsid w:val="00F97456"/>
    <w:rsid w:val="00F978AA"/>
    <w:rsid w:val="00FA0E31"/>
    <w:rsid w:val="00FA17E2"/>
    <w:rsid w:val="00FA22F4"/>
    <w:rsid w:val="00FA23BF"/>
    <w:rsid w:val="00FA402F"/>
    <w:rsid w:val="00FA53FF"/>
    <w:rsid w:val="00FA586E"/>
    <w:rsid w:val="00FB226E"/>
    <w:rsid w:val="00FB2672"/>
    <w:rsid w:val="00FB33BF"/>
    <w:rsid w:val="00FB48B7"/>
    <w:rsid w:val="00FB58AD"/>
    <w:rsid w:val="00FB5DAD"/>
    <w:rsid w:val="00FB60C7"/>
    <w:rsid w:val="00FB74C5"/>
    <w:rsid w:val="00FB7663"/>
    <w:rsid w:val="00FB7C88"/>
    <w:rsid w:val="00FC0112"/>
    <w:rsid w:val="00FC08F8"/>
    <w:rsid w:val="00FC10B9"/>
    <w:rsid w:val="00FC1117"/>
    <w:rsid w:val="00FC250A"/>
    <w:rsid w:val="00FC369D"/>
    <w:rsid w:val="00FC51FB"/>
    <w:rsid w:val="00FC61BB"/>
    <w:rsid w:val="00FC64B5"/>
    <w:rsid w:val="00FC68AF"/>
    <w:rsid w:val="00FC77BD"/>
    <w:rsid w:val="00FD0A73"/>
    <w:rsid w:val="00FD1179"/>
    <w:rsid w:val="00FD1997"/>
    <w:rsid w:val="00FD2557"/>
    <w:rsid w:val="00FD3CAE"/>
    <w:rsid w:val="00FD4763"/>
    <w:rsid w:val="00FD4B39"/>
    <w:rsid w:val="00FD5489"/>
    <w:rsid w:val="00FD6AB2"/>
    <w:rsid w:val="00FD6FE2"/>
    <w:rsid w:val="00FE0006"/>
    <w:rsid w:val="00FE009E"/>
    <w:rsid w:val="00FE0F8D"/>
    <w:rsid w:val="00FE1CD4"/>
    <w:rsid w:val="00FE2975"/>
    <w:rsid w:val="00FE3A3B"/>
    <w:rsid w:val="00FE45EF"/>
    <w:rsid w:val="00FE4719"/>
    <w:rsid w:val="00FE709B"/>
    <w:rsid w:val="00FF01BF"/>
    <w:rsid w:val="00FF07FD"/>
    <w:rsid w:val="00FF09CF"/>
    <w:rsid w:val="00FF0DB0"/>
    <w:rsid w:val="00FF15EE"/>
    <w:rsid w:val="00FF1C6F"/>
    <w:rsid w:val="00FF1F71"/>
    <w:rsid w:val="00FF41E9"/>
    <w:rsid w:val="00FF4B13"/>
    <w:rsid w:val="00FF58F6"/>
    <w:rsid w:val="00FF7519"/>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724E84"/>
  <w15:chartTrackingRefBased/>
  <w15:docId w15:val="{C2230EB1-FF34-4C4D-BAC7-05765890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E4A"/>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D51F9"/>
    <w:pPr>
      <w:keepNext/>
      <w:jc w:val="both"/>
      <w:outlineLvl w:val="0"/>
    </w:pPr>
    <w:rPr>
      <w:rFonts w:ascii="Arial" w:hAnsi="Arial" w:cs="Arial"/>
      <w:b/>
      <w:lang w:val="en-GB" w:eastAsia="en-US"/>
    </w:rPr>
  </w:style>
  <w:style w:type="paragraph" w:styleId="Heading2">
    <w:name w:val="heading 2"/>
    <w:basedOn w:val="Normal"/>
    <w:next w:val="Normal"/>
    <w:link w:val="Heading2Char"/>
    <w:qFormat/>
    <w:rsid w:val="004D51F9"/>
    <w:pPr>
      <w:keepNext/>
      <w:jc w:val="both"/>
      <w:outlineLvl w:val="1"/>
    </w:pPr>
    <w:rPr>
      <w:rFonts w:ascii="Arial" w:hAnsi="Arial" w:cs="Arial"/>
      <w:b/>
      <w:szCs w:val="20"/>
      <w:lang w:val="en-GB" w:eastAsia="en-US"/>
    </w:rPr>
  </w:style>
  <w:style w:type="paragraph" w:styleId="Heading3">
    <w:name w:val="heading 3"/>
    <w:basedOn w:val="Normal"/>
    <w:next w:val="Normal"/>
    <w:link w:val="Heading3Char"/>
    <w:uiPriority w:val="9"/>
    <w:unhideWhenUsed/>
    <w:qFormat/>
    <w:rsid w:val="00425DF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1F9"/>
    <w:rPr>
      <w:rFonts w:ascii="Arial" w:eastAsia="Times New Roman" w:hAnsi="Arial" w:cs="Arial"/>
      <w:b/>
      <w:sz w:val="24"/>
      <w:szCs w:val="24"/>
      <w:lang w:val="en-GB"/>
    </w:rPr>
  </w:style>
  <w:style w:type="character" w:customStyle="1" w:styleId="Heading2Char">
    <w:name w:val="Heading 2 Char"/>
    <w:basedOn w:val="DefaultParagraphFont"/>
    <w:link w:val="Heading2"/>
    <w:rsid w:val="004D51F9"/>
    <w:rPr>
      <w:rFonts w:ascii="Arial" w:eastAsia="Times New Roman" w:hAnsi="Arial" w:cs="Arial"/>
      <w:b/>
      <w:sz w:val="24"/>
      <w:szCs w:val="20"/>
      <w:lang w:val="en-GB"/>
    </w:rPr>
  </w:style>
  <w:style w:type="paragraph" w:styleId="Footer">
    <w:name w:val="footer"/>
    <w:basedOn w:val="Normal"/>
    <w:link w:val="FooterChar"/>
    <w:rsid w:val="00FA22F4"/>
    <w:pPr>
      <w:tabs>
        <w:tab w:val="center" w:pos="4320"/>
        <w:tab w:val="right" w:pos="8640"/>
      </w:tabs>
    </w:pPr>
    <w:rPr>
      <w:rFonts w:ascii="CG Times (W1)" w:hAnsi="CG Times (W1)"/>
      <w:sz w:val="20"/>
      <w:szCs w:val="20"/>
      <w:lang w:eastAsia="en-US"/>
    </w:rPr>
  </w:style>
  <w:style w:type="character" w:customStyle="1" w:styleId="FooterChar">
    <w:name w:val="Footer Char"/>
    <w:basedOn w:val="DefaultParagraphFont"/>
    <w:link w:val="Footer"/>
    <w:rsid w:val="00FA22F4"/>
    <w:rPr>
      <w:rFonts w:ascii="CG Times (W1)" w:eastAsia="Times New Roman" w:hAnsi="CG Times (W1)" w:cs="Times New Roman"/>
      <w:sz w:val="20"/>
      <w:szCs w:val="20"/>
    </w:rPr>
  </w:style>
  <w:style w:type="paragraph" w:styleId="Header">
    <w:name w:val="header"/>
    <w:basedOn w:val="Normal"/>
    <w:link w:val="HeaderChar"/>
    <w:rsid w:val="00FA22F4"/>
    <w:pPr>
      <w:tabs>
        <w:tab w:val="center" w:pos="4320"/>
        <w:tab w:val="right" w:pos="8640"/>
      </w:tabs>
    </w:pPr>
    <w:rPr>
      <w:rFonts w:ascii="CG Times (W1)" w:hAnsi="CG Times (W1)"/>
      <w:sz w:val="20"/>
      <w:szCs w:val="20"/>
      <w:lang w:eastAsia="en-US"/>
    </w:rPr>
  </w:style>
  <w:style w:type="character" w:customStyle="1" w:styleId="HeaderChar">
    <w:name w:val="Header Char"/>
    <w:basedOn w:val="DefaultParagraphFont"/>
    <w:link w:val="Header"/>
    <w:rsid w:val="00FA22F4"/>
    <w:rPr>
      <w:rFonts w:ascii="CG Times (W1)" w:eastAsia="Times New Roman" w:hAnsi="CG Times (W1)" w:cs="Times New Roman"/>
      <w:sz w:val="20"/>
      <w:szCs w:val="20"/>
    </w:rPr>
  </w:style>
  <w:style w:type="paragraph" w:styleId="Title">
    <w:name w:val="Title"/>
    <w:basedOn w:val="Normal"/>
    <w:link w:val="TitleChar"/>
    <w:qFormat/>
    <w:rsid w:val="00FA22F4"/>
    <w:pPr>
      <w:jc w:val="center"/>
    </w:pPr>
    <w:rPr>
      <w:rFonts w:ascii="Helvetica 55 Roman" w:hAnsi="Helvetica 55 Roman"/>
      <w:b/>
      <w:szCs w:val="20"/>
      <w:lang w:eastAsia="en-US"/>
    </w:rPr>
  </w:style>
  <w:style w:type="character" w:customStyle="1" w:styleId="TitleChar">
    <w:name w:val="Title Char"/>
    <w:basedOn w:val="DefaultParagraphFont"/>
    <w:link w:val="Title"/>
    <w:rsid w:val="00FA22F4"/>
    <w:rPr>
      <w:rFonts w:ascii="Helvetica 55 Roman" w:eastAsia="Times New Roman" w:hAnsi="Helvetica 55 Roman" w:cs="Times New Roman"/>
      <w:b/>
      <w:sz w:val="24"/>
      <w:szCs w:val="20"/>
    </w:rPr>
  </w:style>
  <w:style w:type="paragraph" w:styleId="BodyText2">
    <w:name w:val="Body Text 2"/>
    <w:basedOn w:val="Normal"/>
    <w:link w:val="BodyText2Char"/>
    <w:rsid w:val="00FA22F4"/>
    <w:rPr>
      <w:rFonts w:ascii="Helvetica 55 Roman" w:hAnsi="Helvetica 55 Roman"/>
      <w:szCs w:val="20"/>
      <w:lang w:eastAsia="en-US"/>
    </w:rPr>
  </w:style>
  <w:style w:type="character" w:customStyle="1" w:styleId="BodyText2Char">
    <w:name w:val="Body Text 2 Char"/>
    <w:basedOn w:val="DefaultParagraphFont"/>
    <w:link w:val="BodyText2"/>
    <w:rsid w:val="00FA22F4"/>
    <w:rPr>
      <w:rFonts w:ascii="Helvetica 55 Roman" w:eastAsia="Times New Roman" w:hAnsi="Helvetica 55 Roman" w:cs="Times New Roman"/>
      <w:sz w:val="24"/>
      <w:szCs w:val="20"/>
    </w:rPr>
  </w:style>
  <w:style w:type="character" w:styleId="PageNumber">
    <w:name w:val="page number"/>
    <w:basedOn w:val="DefaultParagraphFont"/>
    <w:rsid w:val="00FA22F4"/>
  </w:style>
  <w:style w:type="character" w:styleId="CommentReference">
    <w:name w:val="annotation reference"/>
    <w:uiPriority w:val="99"/>
    <w:semiHidden/>
    <w:unhideWhenUsed/>
    <w:rsid w:val="00FA22F4"/>
    <w:rPr>
      <w:sz w:val="16"/>
      <w:szCs w:val="16"/>
    </w:rPr>
  </w:style>
  <w:style w:type="paragraph" w:styleId="CommentText">
    <w:name w:val="annotation text"/>
    <w:basedOn w:val="Normal"/>
    <w:link w:val="CommentTextChar"/>
    <w:uiPriority w:val="99"/>
    <w:semiHidden/>
    <w:unhideWhenUsed/>
    <w:rsid w:val="00FA22F4"/>
    <w:rPr>
      <w:rFonts w:ascii="CG Times (W1)" w:hAnsi="CG Times (W1)"/>
      <w:sz w:val="20"/>
      <w:szCs w:val="20"/>
      <w:lang w:eastAsia="en-US"/>
    </w:rPr>
  </w:style>
  <w:style w:type="character" w:customStyle="1" w:styleId="CommentTextChar">
    <w:name w:val="Comment Text Char"/>
    <w:basedOn w:val="DefaultParagraphFont"/>
    <w:link w:val="CommentText"/>
    <w:uiPriority w:val="99"/>
    <w:semiHidden/>
    <w:rsid w:val="00FA22F4"/>
    <w:rPr>
      <w:rFonts w:ascii="CG Times (W1)" w:eastAsia="Times New Roman" w:hAnsi="CG Times (W1)" w:cs="Times New Roman"/>
      <w:sz w:val="20"/>
      <w:szCs w:val="20"/>
    </w:rPr>
  </w:style>
  <w:style w:type="paragraph" w:styleId="BalloonText">
    <w:name w:val="Balloon Text"/>
    <w:basedOn w:val="Normal"/>
    <w:link w:val="BalloonTextChar"/>
    <w:uiPriority w:val="99"/>
    <w:semiHidden/>
    <w:unhideWhenUsed/>
    <w:rsid w:val="00FA22F4"/>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FA22F4"/>
    <w:rPr>
      <w:rFonts w:ascii="Segoe UI" w:eastAsia="Times New Roman" w:hAnsi="Segoe UI" w:cs="Segoe UI"/>
      <w:sz w:val="18"/>
      <w:szCs w:val="18"/>
    </w:rPr>
  </w:style>
  <w:style w:type="paragraph" w:customStyle="1" w:styleId="Default">
    <w:name w:val="Default"/>
    <w:rsid w:val="00EF5169"/>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Hyperlink">
    <w:name w:val="Hyperlink"/>
    <w:rsid w:val="00EF5169"/>
    <w:rPr>
      <w:rFonts w:cs="Times New Roman"/>
      <w:color w:val="0000FF"/>
      <w:u w:val="single"/>
    </w:rPr>
  </w:style>
  <w:style w:type="character" w:styleId="Emphasis">
    <w:name w:val="Emphasis"/>
    <w:qFormat/>
    <w:rsid w:val="00EF5169"/>
    <w:rPr>
      <w:rFonts w:cs="Times New Roman"/>
      <w:i/>
      <w:iCs/>
    </w:rPr>
  </w:style>
  <w:style w:type="paragraph" w:customStyle="1" w:styleId="TitleA">
    <w:name w:val="Title A"/>
    <w:basedOn w:val="Heading1"/>
    <w:qFormat/>
    <w:rsid w:val="00EF5169"/>
    <w:pPr>
      <w:keepNext w:val="0"/>
      <w:widowControl w:val="0"/>
      <w:snapToGrid w:val="0"/>
      <w:jc w:val="center"/>
    </w:pPr>
    <w:rPr>
      <w:rFonts w:ascii="Times New Roman" w:hAnsi="Times New Roman"/>
      <w:bCs/>
      <w:noProof/>
      <w:kern w:val="36"/>
      <w:sz w:val="22"/>
      <w:szCs w:val="22"/>
      <w:lang w:eastAsia="en-AU"/>
    </w:rPr>
  </w:style>
  <w:style w:type="paragraph" w:styleId="CommentSubject">
    <w:name w:val="annotation subject"/>
    <w:basedOn w:val="CommentText"/>
    <w:next w:val="CommentText"/>
    <w:link w:val="CommentSubjectChar"/>
    <w:uiPriority w:val="99"/>
    <w:semiHidden/>
    <w:unhideWhenUsed/>
    <w:rsid w:val="00403790"/>
    <w:rPr>
      <w:b/>
      <w:bCs/>
    </w:rPr>
  </w:style>
  <w:style w:type="character" w:customStyle="1" w:styleId="CommentSubjectChar">
    <w:name w:val="Comment Subject Char"/>
    <w:basedOn w:val="CommentTextChar"/>
    <w:link w:val="CommentSubject"/>
    <w:uiPriority w:val="99"/>
    <w:semiHidden/>
    <w:rsid w:val="00403790"/>
    <w:rPr>
      <w:rFonts w:ascii="CG Times (W1)" w:eastAsia="Times New Roman" w:hAnsi="CG Times (W1)" w:cs="Times New Roman"/>
      <w:b/>
      <w:bCs/>
      <w:sz w:val="20"/>
      <w:szCs w:val="20"/>
    </w:rPr>
  </w:style>
  <w:style w:type="paragraph" w:styleId="Revision">
    <w:name w:val="Revision"/>
    <w:hidden/>
    <w:uiPriority w:val="99"/>
    <w:semiHidden/>
    <w:rsid w:val="000F6759"/>
    <w:rPr>
      <w:rFonts w:ascii="CG Times (W1)" w:eastAsia="Times New Roman" w:hAnsi="CG Times (W1)" w:cs="Times New Roman"/>
      <w:sz w:val="20"/>
      <w:szCs w:val="20"/>
    </w:rPr>
  </w:style>
  <w:style w:type="table" w:styleId="TableGrid">
    <w:name w:val="Table Grid"/>
    <w:basedOn w:val="TableNormal"/>
    <w:uiPriority w:val="59"/>
    <w:rsid w:val="00D75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622E"/>
    <w:rPr>
      <w:color w:val="808080"/>
    </w:rPr>
  </w:style>
  <w:style w:type="paragraph" w:styleId="ListParagraph">
    <w:name w:val="List Paragraph"/>
    <w:basedOn w:val="Normal"/>
    <w:uiPriority w:val="34"/>
    <w:qFormat/>
    <w:rsid w:val="001D3483"/>
    <w:pPr>
      <w:ind w:left="720"/>
      <w:contextualSpacing/>
    </w:pPr>
  </w:style>
  <w:style w:type="character" w:customStyle="1" w:styleId="UnresolvedMention1">
    <w:name w:val="Unresolved Mention1"/>
    <w:basedOn w:val="DefaultParagraphFont"/>
    <w:uiPriority w:val="99"/>
    <w:semiHidden/>
    <w:unhideWhenUsed/>
    <w:rsid w:val="008F3A7A"/>
    <w:rPr>
      <w:color w:val="605E5C"/>
      <w:shd w:val="clear" w:color="auto" w:fill="E1DFDD"/>
    </w:rPr>
  </w:style>
  <w:style w:type="paragraph" w:styleId="NormalWeb">
    <w:name w:val="Normal (Web)"/>
    <w:basedOn w:val="Normal"/>
    <w:uiPriority w:val="99"/>
    <w:unhideWhenUsed/>
    <w:rsid w:val="00FA402F"/>
    <w:pPr>
      <w:spacing w:before="100" w:beforeAutospacing="1" w:after="100" w:afterAutospacing="1"/>
    </w:pPr>
  </w:style>
  <w:style w:type="paragraph" w:styleId="Caption">
    <w:name w:val="caption"/>
    <w:basedOn w:val="Normal"/>
    <w:next w:val="Normal"/>
    <w:uiPriority w:val="9"/>
    <w:unhideWhenUsed/>
    <w:qFormat/>
    <w:rsid w:val="00884187"/>
    <w:pPr>
      <w:keepNext/>
      <w:keepLines/>
      <w:widowControl w:val="0"/>
      <w:spacing w:after="120"/>
      <w:ind w:left="1440" w:hanging="1440"/>
    </w:pPr>
    <w:rPr>
      <w:rFonts w:ascii="Arial" w:hAnsi="Arial" w:cs="Arial"/>
      <w:b/>
      <w:sz w:val="22"/>
      <w:szCs w:val="22"/>
      <w:lang w:val="en-CA" w:eastAsia="en-CA"/>
    </w:rPr>
  </w:style>
  <w:style w:type="paragraph" w:styleId="BodyText">
    <w:name w:val="Body Text"/>
    <w:basedOn w:val="Normal"/>
    <w:link w:val="BodyTextChar"/>
    <w:rsid w:val="008759BB"/>
    <w:pPr>
      <w:widowControl w:val="0"/>
      <w:spacing w:after="120"/>
    </w:pPr>
    <w:rPr>
      <w:rFonts w:ascii="Arial" w:hAnsi="Arial" w:cs="Arial"/>
      <w:sz w:val="22"/>
      <w:szCs w:val="22"/>
      <w:lang w:val="en-CA" w:eastAsia="en-CA"/>
    </w:rPr>
  </w:style>
  <w:style w:type="character" w:customStyle="1" w:styleId="BodyTextChar">
    <w:name w:val="Body Text Char"/>
    <w:basedOn w:val="DefaultParagraphFont"/>
    <w:link w:val="BodyText"/>
    <w:rsid w:val="008759BB"/>
    <w:rPr>
      <w:rFonts w:ascii="Arial" w:eastAsia="Times New Roman" w:hAnsi="Arial" w:cs="Arial"/>
      <w:lang w:val="en-CA" w:eastAsia="en-CA"/>
    </w:rPr>
  </w:style>
  <w:style w:type="paragraph" w:customStyle="1" w:styleId="ListParagraph1">
    <w:name w:val="List Paragraph1"/>
    <w:basedOn w:val="Normal"/>
    <w:qFormat/>
    <w:rsid w:val="004407DF"/>
    <w:pPr>
      <w:widowControl w:val="0"/>
      <w:numPr>
        <w:numId w:val="9"/>
      </w:numPr>
      <w:spacing w:before="120" w:after="120"/>
    </w:pPr>
    <w:rPr>
      <w:rFonts w:ascii="Arial" w:hAnsi="Arial" w:cs="Arial"/>
      <w:sz w:val="22"/>
      <w:szCs w:val="22"/>
      <w:lang w:val="en-CA" w:eastAsia="en-CA"/>
    </w:rPr>
  </w:style>
  <w:style w:type="character" w:customStyle="1" w:styleId="UnresolvedMention2">
    <w:name w:val="Unresolved Mention2"/>
    <w:basedOn w:val="DefaultParagraphFont"/>
    <w:uiPriority w:val="99"/>
    <w:semiHidden/>
    <w:unhideWhenUsed/>
    <w:rsid w:val="00E461B7"/>
    <w:rPr>
      <w:color w:val="605E5C"/>
      <w:shd w:val="clear" w:color="auto" w:fill="E1DFDD"/>
    </w:rPr>
  </w:style>
  <w:style w:type="character" w:styleId="FollowedHyperlink">
    <w:name w:val="FollowedHyperlink"/>
    <w:basedOn w:val="DefaultParagraphFont"/>
    <w:uiPriority w:val="99"/>
    <w:semiHidden/>
    <w:unhideWhenUsed/>
    <w:rsid w:val="00E461B7"/>
    <w:rPr>
      <w:color w:val="954F72" w:themeColor="followedHyperlink"/>
      <w:u w:val="single"/>
    </w:rPr>
  </w:style>
  <w:style w:type="character" w:customStyle="1" w:styleId="UnresolvedMention">
    <w:name w:val="Unresolved Mention"/>
    <w:basedOn w:val="DefaultParagraphFont"/>
    <w:uiPriority w:val="99"/>
    <w:semiHidden/>
    <w:unhideWhenUsed/>
    <w:rsid w:val="003929AD"/>
    <w:rPr>
      <w:color w:val="605E5C"/>
      <w:shd w:val="clear" w:color="auto" w:fill="E1DFDD"/>
    </w:rPr>
  </w:style>
  <w:style w:type="character" w:customStyle="1" w:styleId="Heading3Char">
    <w:name w:val="Heading 3 Char"/>
    <w:basedOn w:val="DefaultParagraphFont"/>
    <w:link w:val="Heading3"/>
    <w:uiPriority w:val="9"/>
    <w:rsid w:val="00425DFB"/>
    <w:rPr>
      <w:rFonts w:asciiTheme="majorHAnsi" w:eastAsiaTheme="majorEastAsia" w:hAnsiTheme="majorHAnsi" w:cstheme="majorBidi"/>
      <w:color w:val="1F4D78" w:themeColor="accent1" w:themeShade="7F"/>
      <w:sz w:val="24"/>
      <w:szCs w:val="24"/>
      <w:lang w:eastAsia="en-GB"/>
    </w:rPr>
  </w:style>
  <w:style w:type="paragraph" w:customStyle="1" w:styleId="TableParagraph">
    <w:name w:val="Table Paragraph"/>
    <w:basedOn w:val="Normal"/>
    <w:uiPriority w:val="1"/>
    <w:qFormat/>
    <w:rsid w:val="00283A50"/>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9468">
      <w:bodyDiv w:val="1"/>
      <w:marLeft w:val="0"/>
      <w:marRight w:val="0"/>
      <w:marTop w:val="0"/>
      <w:marBottom w:val="0"/>
      <w:divBdr>
        <w:top w:val="none" w:sz="0" w:space="0" w:color="auto"/>
        <w:left w:val="none" w:sz="0" w:space="0" w:color="auto"/>
        <w:bottom w:val="none" w:sz="0" w:space="0" w:color="auto"/>
        <w:right w:val="none" w:sz="0" w:space="0" w:color="auto"/>
      </w:divBdr>
    </w:div>
    <w:div w:id="60180385">
      <w:bodyDiv w:val="1"/>
      <w:marLeft w:val="0"/>
      <w:marRight w:val="0"/>
      <w:marTop w:val="0"/>
      <w:marBottom w:val="0"/>
      <w:divBdr>
        <w:top w:val="none" w:sz="0" w:space="0" w:color="auto"/>
        <w:left w:val="none" w:sz="0" w:space="0" w:color="auto"/>
        <w:bottom w:val="none" w:sz="0" w:space="0" w:color="auto"/>
        <w:right w:val="none" w:sz="0" w:space="0" w:color="auto"/>
      </w:divBdr>
    </w:div>
    <w:div w:id="95517924">
      <w:bodyDiv w:val="1"/>
      <w:marLeft w:val="0"/>
      <w:marRight w:val="0"/>
      <w:marTop w:val="0"/>
      <w:marBottom w:val="0"/>
      <w:divBdr>
        <w:top w:val="none" w:sz="0" w:space="0" w:color="auto"/>
        <w:left w:val="none" w:sz="0" w:space="0" w:color="auto"/>
        <w:bottom w:val="none" w:sz="0" w:space="0" w:color="auto"/>
        <w:right w:val="none" w:sz="0" w:space="0" w:color="auto"/>
      </w:divBdr>
    </w:div>
    <w:div w:id="142357457">
      <w:bodyDiv w:val="1"/>
      <w:marLeft w:val="0"/>
      <w:marRight w:val="0"/>
      <w:marTop w:val="0"/>
      <w:marBottom w:val="0"/>
      <w:divBdr>
        <w:top w:val="none" w:sz="0" w:space="0" w:color="auto"/>
        <w:left w:val="none" w:sz="0" w:space="0" w:color="auto"/>
        <w:bottom w:val="none" w:sz="0" w:space="0" w:color="auto"/>
        <w:right w:val="none" w:sz="0" w:space="0" w:color="auto"/>
      </w:divBdr>
    </w:div>
    <w:div w:id="190147418">
      <w:bodyDiv w:val="1"/>
      <w:marLeft w:val="0"/>
      <w:marRight w:val="0"/>
      <w:marTop w:val="0"/>
      <w:marBottom w:val="0"/>
      <w:divBdr>
        <w:top w:val="none" w:sz="0" w:space="0" w:color="auto"/>
        <w:left w:val="none" w:sz="0" w:space="0" w:color="auto"/>
        <w:bottom w:val="none" w:sz="0" w:space="0" w:color="auto"/>
        <w:right w:val="none" w:sz="0" w:space="0" w:color="auto"/>
      </w:divBdr>
    </w:div>
    <w:div w:id="191842893">
      <w:bodyDiv w:val="1"/>
      <w:marLeft w:val="0"/>
      <w:marRight w:val="0"/>
      <w:marTop w:val="0"/>
      <w:marBottom w:val="0"/>
      <w:divBdr>
        <w:top w:val="none" w:sz="0" w:space="0" w:color="auto"/>
        <w:left w:val="none" w:sz="0" w:space="0" w:color="auto"/>
        <w:bottom w:val="none" w:sz="0" w:space="0" w:color="auto"/>
        <w:right w:val="none" w:sz="0" w:space="0" w:color="auto"/>
      </w:divBdr>
    </w:div>
    <w:div w:id="196965761">
      <w:bodyDiv w:val="1"/>
      <w:marLeft w:val="0"/>
      <w:marRight w:val="0"/>
      <w:marTop w:val="0"/>
      <w:marBottom w:val="0"/>
      <w:divBdr>
        <w:top w:val="none" w:sz="0" w:space="0" w:color="auto"/>
        <w:left w:val="none" w:sz="0" w:space="0" w:color="auto"/>
        <w:bottom w:val="none" w:sz="0" w:space="0" w:color="auto"/>
        <w:right w:val="none" w:sz="0" w:space="0" w:color="auto"/>
      </w:divBdr>
    </w:div>
    <w:div w:id="228854787">
      <w:bodyDiv w:val="1"/>
      <w:marLeft w:val="0"/>
      <w:marRight w:val="0"/>
      <w:marTop w:val="0"/>
      <w:marBottom w:val="0"/>
      <w:divBdr>
        <w:top w:val="none" w:sz="0" w:space="0" w:color="auto"/>
        <w:left w:val="none" w:sz="0" w:space="0" w:color="auto"/>
        <w:bottom w:val="none" w:sz="0" w:space="0" w:color="auto"/>
        <w:right w:val="none" w:sz="0" w:space="0" w:color="auto"/>
      </w:divBdr>
    </w:div>
    <w:div w:id="242760239">
      <w:bodyDiv w:val="1"/>
      <w:marLeft w:val="0"/>
      <w:marRight w:val="0"/>
      <w:marTop w:val="0"/>
      <w:marBottom w:val="0"/>
      <w:divBdr>
        <w:top w:val="none" w:sz="0" w:space="0" w:color="auto"/>
        <w:left w:val="none" w:sz="0" w:space="0" w:color="auto"/>
        <w:bottom w:val="none" w:sz="0" w:space="0" w:color="auto"/>
        <w:right w:val="none" w:sz="0" w:space="0" w:color="auto"/>
      </w:divBdr>
    </w:div>
    <w:div w:id="275841751">
      <w:bodyDiv w:val="1"/>
      <w:marLeft w:val="0"/>
      <w:marRight w:val="0"/>
      <w:marTop w:val="0"/>
      <w:marBottom w:val="0"/>
      <w:divBdr>
        <w:top w:val="none" w:sz="0" w:space="0" w:color="auto"/>
        <w:left w:val="none" w:sz="0" w:space="0" w:color="auto"/>
        <w:bottom w:val="none" w:sz="0" w:space="0" w:color="auto"/>
        <w:right w:val="none" w:sz="0" w:space="0" w:color="auto"/>
      </w:divBdr>
    </w:div>
    <w:div w:id="305430109">
      <w:bodyDiv w:val="1"/>
      <w:marLeft w:val="0"/>
      <w:marRight w:val="0"/>
      <w:marTop w:val="0"/>
      <w:marBottom w:val="0"/>
      <w:divBdr>
        <w:top w:val="none" w:sz="0" w:space="0" w:color="auto"/>
        <w:left w:val="none" w:sz="0" w:space="0" w:color="auto"/>
        <w:bottom w:val="none" w:sz="0" w:space="0" w:color="auto"/>
        <w:right w:val="none" w:sz="0" w:space="0" w:color="auto"/>
      </w:divBdr>
    </w:div>
    <w:div w:id="365251138">
      <w:bodyDiv w:val="1"/>
      <w:marLeft w:val="0"/>
      <w:marRight w:val="0"/>
      <w:marTop w:val="0"/>
      <w:marBottom w:val="0"/>
      <w:divBdr>
        <w:top w:val="none" w:sz="0" w:space="0" w:color="auto"/>
        <w:left w:val="none" w:sz="0" w:space="0" w:color="auto"/>
        <w:bottom w:val="none" w:sz="0" w:space="0" w:color="auto"/>
        <w:right w:val="none" w:sz="0" w:space="0" w:color="auto"/>
      </w:divBdr>
      <w:divsChild>
        <w:div w:id="1016687868">
          <w:marLeft w:val="0"/>
          <w:marRight w:val="0"/>
          <w:marTop w:val="0"/>
          <w:marBottom w:val="0"/>
          <w:divBdr>
            <w:top w:val="none" w:sz="0" w:space="0" w:color="auto"/>
            <w:left w:val="none" w:sz="0" w:space="0" w:color="auto"/>
            <w:bottom w:val="none" w:sz="0" w:space="0" w:color="auto"/>
            <w:right w:val="none" w:sz="0" w:space="0" w:color="auto"/>
          </w:divBdr>
          <w:divsChild>
            <w:div w:id="1140881054">
              <w:marLeft w:val="0"/>
              <w:marRight w:val="0"/>
              <w:marTop w:val="0"/>
              <w:marBottom w:val="0"/>
              <w:divBdr>
                <w:top w:val="none" w:sz="0" w:space="0" w:color="auto"/>
                <w:left w:val="none" w:sz="0" w:space="0" w:color="auto"/>
                <w:bottom w:val="none" w:sz="0" w:space="0" w:color="auto"/>
                <w:right w:val="none" w:sz="0" w:space="0" w:color="auto"/>
              </w:divBdr>
              <w:divsChild>
                <w:div w:id="18480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6816">
      <w:bodyDiv w:val="1"/>
      <w:marLeft w:val="0"/>
      <w:marRight w:val="0"/>
      <w:marTop w:val="0"/>
      <w:marBottom w:val="0"/>
      <w:divBdr>
        <w:top w:val="none" w:sz="0" w:space="0" w:color="auto"/>
        <w:left w:val="none" w:sz="0" w:space="0" w:color="auto"/>
        <w:bottom w:val="none" w:sz="0" w:space="0" w:color="auto"/>
        <w:right w:val="none" w:sz="0" w:space="0" w:color="auto"/>
      </w:divBdr>
    </w:div>
    <w:div w:id="483276674">
      <w:bodyDiv w:val="1"/>
      <w:marLeft w:val="0"/>
      <w:marRight w:val="0"/>
      <w:marTop w:val="0"/>
      <w:marBottom w:val="0"/>
      <w:divBdr>
        <w:top w:val="none" w:sz="0" w:space="0" w:color="auto"/>
        <w:left w:val="none" w:sz="0" w:space="0" w:color="auto"/>
        <w:bottom w:val="none" w:sz="0" w:space="0" w:color="auto"/>
        <w:right w:val="none" w:sz="0" w:space="0" w:color="auto"/>
      </w:divBdr>
    </w:div>
    <w:div w:id="532497393">
      <w:bodyDiv w:val="1"/>
      <w:marLeft w:val="0"/>
      <w:marRight w:val="0"/>
      <w:marTop w:val="0"/>
      <w:marBottom w:val="0"/>
      <w:divBdr>
        <w:top w:val="none" w:sz="0" w:space="0" w:color="auto"/>
        <w:left w:val="none" w:sz="0" w:space="0" w:color="auto"/>
        <w:bottom w:val="none" w:sz="0" w:space="0" w:color="auto"/>
        <w:right w:val="none" w:sz="0" w:space="0" w:color="auto"/>
      </w:divBdr>
    </w:div>
    <w:div w:id="599992885">
      <w:bodyDiv w:val="1"/>
      <w:marLeft w:val="0"/>
      <w:marRight w:val="0"/>
      <w:marTop w:val="0"/>
      <w:marBottom w:val="0"/>
      <w:divBdr>
        <w:top w:val="none" w:sz="0" w:space="0" w:color="auto"/>
        <w:left w:val="none" w:sz="0" w:space="0" w:color="auto"/>
        <w:bottom w:val="none" w:sz="0" w:space="0" w:color="auto"/>
        <w:right w:val="none" w:sz="0" w:space="0" w:color="auto"/>
      </w:divBdr>
    </w:div>
    <w:div w:id="601914765">
      <w:bodyDiv w:val="1"/>
      <w:marLeft w:val="0"/>
      <w:marRight w:val="0"/>
      <w:marTop w:val="0"/>
      <w:marBottom w:val="0"/>
      <w:divBdr>
        <w:top w:val="none" w:sz="0" w:space="0" w:color="auto"/>
        <w:left w:val="none" w:sz="0" w:space="0" w:color="auto"/>
        <w:bottom w:val="none" w:sz="0" w:space="0" w:color="auto"/>
        <w:right w:val="none" w:sz="0" w:space="0" w:color="auto"/>
      </w:divBdr>
    </w:div>
    <w:div w:id="610162700">
      <w:bodyDiv w:val="1"/>
      <w:marLeft w:val="0"/>
      <w:marRight w:val="0"/>
      <w:marTop w:val="0"/>
      <w:marBottom w:val="0"/>
      <w:divBdr>
        <w:top w:val="none" w:sz="0" w:space="0" w:color="auto"/>
        <w:left w:val="none" w:sz="0" w:space="0" w:color="auto"/>
        <w:bottom w:val="none" w:sz="0" w:space="0" w:color="auto"/>
        <w:right w:val="none" w:sz="0" w:space="0" w:color="auto"/>
      </w:divBdr>
    </w:div>
    <w:div w:id="682821185">
      <w:bodyDiv w:val="1"/>
      <w:marLeft w:val="0"/>
      <w:marRight w:val="0"/>
      <w:marTop w:val="0"/>
      <w:marBottom w:val="0"/>
      <w:divBdr>
        <w:top w:val="none" w:sz="0" w:space="0" w:color="auto"/>
        <w:left w:val="none" w:sz="0" w:space="0" w:color="auto"/>
        <w:bottom w:val="none" w:sz="0" w:space="0" w:color="auto"/>
        <w:right w:val="none" w:sz="0" w:space="0" w:color="auto"/>
      </w:divBdr>
    </w:div>
    <w:div w:id="696128590">
      <w:bodyDiv w:val="1"/>
      <w:marLeft w:val="0"/>
      <w:marRight w:val="0"/>
      <w:marTop w:val="0"/>
      <w:marBottom w:val="0"/>
      <w:divBdr>
        <w:top w:val="none" w:sz="0" w:space="0" w:color="auto"/>
        <w:left w:val="none" w:sz="0" w:space="0" w:color="auto"/>
        <w:bottom w:val="none" w:sz="0" w:space="0" w:color="auto"/>
        <w:right w:val="none" w:sz="0" w:space="0" w:color="auto"/>
      </w:divBdr>
    </w:div>
    <w:div w:id="699475506">
      <w:bodyDiv w:val="1"/>
      <w:marLeft w:val="0"/>
      <w:marRight w:val="0"/>
      <w:marTop w:val="0"/>
      <w:marBottom w:val="0"/>
      <w:divBdr>
        <w:top w:val="none" w:sz="0" w:space="0" w:color="auto"/>
        <w:left w:val="none" w:sz="0" w:space="0" w:color="auto"/>
        <w:bottom w:val="none" w:sz="0" w:space="0" w:color="auto"/>
        <w:right w:val="none" w:sz="0" w:space="0" w:color="auto"/>
      </w:divBdr>
    </w:div>
    <w:div w:id="701783481">
      <w:bodyDiv w:val="1"/>
      <w:marLeft w:val="0"/>
      <w:marRight w:val="0"/>
      <w:marTop w:val="0"/>
      <w:marBottom w:val="0"/>
      <w:divBdr>
        <w:top w:val="none" w:sz="0" w:space="0" w:color="auto"/>
        <w:left w:val="none" w:sz="0" w:space="0" w:color="auto"/>
        <w:bottom w:val="none" w:sz="0" w:space="0" w:color="auto"/>
        <w:right w:val="none" w:sz="0" w:space="0" w:color="auto"/>
      </w:divBdr>
    </w:div>
    <w:div w:id="740829204">
      <w:bodyDiv w:val="1"/>
      <w:marLeft w:val="0"/>
      <w:marRight w:val="0"/>
      <w:marTop w:val="0"/>
      <w:marBottom w:val="0"/>
      <w:divBdr>
        <w:top w:val="none" w:sz="0" w:space="0" w:color="auto"/>
        <w:left w:val="none" w:sz="0" w:space="0" w:color="auto"/>
        <w:bottom w:val="none" w:sz="0" w:space="0" w:color="auto"/>
        <w:right w:val="none" w:sz="0" w:space="0" w:color="auto"/>
      </w:divBdr>
    </w:div>
    <w:div w:id="747312810">
      <w:bodyDiv w:val="1"/>
      <w:marLeft w:val="0"/>
      <w:marRight w:val="0"/>
      <w:marTop w:val="0"/>
      <w:marBottom w:val="0"/>
      <w:divBdr>
        <w:top w:val="none" w:sz="0" w:space="0" w:color="auto"/>
        <w:left w:val="none" w:sz="0" w:space="0" w:color="auto"/>
        <w:bottom w:val="none" w:sz="0" w:space="0" w:color="auto"/>
        <w:right w:val="none" w:sz="0" w:space="0" w:color="auto"/>
      </w:divBdr>
    </w:div>
    <w:div w:id="755706044">
      <w:bodyDiv w:val="1"/>
      <w:marLeft w:val="0"/>
      <w:marRight w:val="0"/>
      <w:marTop w:val="0"/>
      <w:marBottom w:val="0"/>
      <w:divBdr>
        <w:top w:val="none" w:sz="0" w:space="0" w:color="auto"/>
        <w:left w:val="none" w:sz="0" w:space="0" w:color="auto"/>
        <w:bottom w:val="none" w:sz="0" w:space="0" w:color="auto"/>
        <w:right w:val="none" w:sz="0" w:space="0" w:color="auto"/>
      </w:divBdr>
    </w:div>
    <w:div w:id="806165980">
      <w:bodyDiv w:val="1"/>
      <w:marLeft w:val="0"/>
      <w:marRight w:val="0"/>
      <w:marTop w:val="0"/>
      <w:marBottom w:val="0"/>
      <w:divBdr>
        <w:top w:val="none" w:sz="0" w:space="0" w:color="auto"/>
        <w:left w:val="none" w:sz="0" w:space="0" w:color="auto"/>
        <w:bottom w:val="none" w:sz="0" w:space="0" w:color="auto"/>
        <w:right w:val="none" w:sz="0" w:space="0" w:color="auto"/>
      </w:divBdr>
    </w:div>
    <w:div w:id="821386707">
      <w:bodyDiv w:val="1"/>
      <w:marLeft w:val="0"/>
      <w:marRight w:val="0"/>
      <w:marTop w:val="0"/>
      <w:marBottom w:val="0"/>
      <w:divBdr>
        <w:top w:val="none" w:sz="0" w:space="0" w:color="auto"/>
        <w:left w:val="none" w:sz="0" w:space="0" w:color="auto"/>
        <w:bottom w:val="none" w:sz="0" w:space="0" w:color="auto"/>
        <w:right w:val="none" w:sz="0" w:space="0" w:color="auto"/>
      </w:divBdr>
    </w:div>
    <w:div w:id="855652511">
      <w:bodyDiv w:val="1"/>
      <w:marLeft w:val="0"/>
      <w:marRight w:val="0"/>
      <w:marTop w:val="0"/>
      <w:marBottom w:val="0"/>
      <w:divBdr>
        <w:top w:val="none" w:sz="0" w:space="0" w:color="auto"/>
        <w:left w:val="none" w:sz="0" w:space="0" w:color="auto"/>
        <w:bottom w:val="none" w:sz="0" w:space="0" w:color="auto"/>
        <w:right w:val="none" w:sz="0" w:space="0" w:color="auto"/>
      </w:divBdr>
    </w:div>
    <w:div w:id="860358203">
      <w:bodyDiv w:val="1"/>
      <w:marLeft w:val="0"/>
      <w:marRight w:val="0"/>
      <w:marTop w:val="0"/>
      <w:marBottom w:val="0"/>
      <w:divBdr>
        <w:top w:val="none" w:sz="0" w:space="0" w:color="auto"/>
        <w:left w:val="none" w:sz="0" w:space="0" w:color="auto"/>
        <w:bottom w:val="none" w:sz="0" w:space="0" w:color="auto"/>
        <w:right w:val="none" w:sz="0" w:space="0" w:color="auto"/>
      </w:divBdr>
    </w:div>
    <w:div w:id="886139572">
      <w:bodyDiv w:val="1"/>
      <w:marLeft w:val="0"/>
      <w:marRight w:val="0"/>
      <w:marTop w:val="0"/>
      <w:marBottom w:val="0"/>
      <w:divBdr>
        <w:top w:val="none" w:sz="0" w:space="0" w:color="auto"/>
        <w:left w:val="none" w:sz="0" w:space="0" w:color="auto"/>
        <w:bottom w:val="none" w:sz="0" w:space="0" w:color="auto"/>
        <w:right w:val="none" w:sz="0" w:space="0" w:color="auto"/>
      </w:divBdr>
    </w:div>
    <w:div w:id="894589970">
      <w:bodyDiv w:val="1"/>
      <w:marLeft w:val="0"/>
      <w:marRight w:val="0"/>
      <w:marTop w:val="0"/>
      <w:marBottom w:val="0"/>
      <w:divBdr>
        <w:top w:val="none" w:sz="0" w:space="0" w:color="auto"/>
        <w:left w:val="none" w:sz="0" w:space="0" w:color="auto"/>
        <w:bottom w:val="none" w:sz="0" w:space="0" w:color="auto"/>
        <w:right w:val="none" w:sz="0" w:space="0" w:color="auto"/>
      </w:divBdr>
    </w:div>
    <w:div w:id="937372898">
      <w:bodyDiv w:val="1"/>
      <w:marLeft w:val="0"/>
      <w:marRight w:val="0"/>
      <w:marTop w:val="0"/>
      <w:marBottom w:val="0"/>
      <w:divBdr>
        <w:top w:val="none" w:sz="0" w:space="0" w:color="auto"/>
        <w:left w:val="none" w:sz="0" w:space="0" w:color="auto"/>
        <w:bottom w:val="none" w:sz="0" w:space="0" w:color="auto"/>
        <w:right w:val="none" w:sz="0" w:space="0" w:color="auto"/>
      </w:divBdr>
    </w:div>
    <w:div w:id="938949631">
      <w:bodyDiv w:val="1"/>
      <w:marLeft w:val="0"/>
      <w:marRight w:val="0"/>
      <w:marTop w:val="0"/>
      <w:marBottom w:val="0"/>
      <w:divBdr>
        <w:top w:val="none" w:sz="0" w:space="0" w:color="auto"/>
        <w:left w:val="none" w:sz="0" w:space="0" w:color="auto"/>
        <w:bottom w:val="none" w:sz="0" w:space="0" w:color="auto"/>
        <w:right w:val="none" w:sz="0" w:space="0" w:color="auto"/>
      </w:divBdr>
    </w:div>
    <w:div w:id="955914165">
      <w:bodyDiv w:val="1"/>
      <w:marLeft w:val="0"/>
      <w:marRight w:val="0"/>
      <w:marTop w:val="0"/>
      <w:marBottom w:val="0"/>
      <w:divBdr>
        <w:top w:val="none" w:sz="0" w:space="0" w:color="auto"/>
        <w:left w:val="none" w:sz="0" w:space="0" w:color="auto"/>
        <w:bottom w:val="none" w:sz="0" w:space="0" w:color="auto"/>
        <w:right w:val="none" w:sz="0" w:space="0" w:color="auto"/>
      </w:divBdr>
    </w:div>
    <w:div w:id="1010303184">
      <w:bodyDiv w:val="1"/>
      <w:marLeft w:val="0"/>
      <w:marRight w:val="0"/>
      <w:marTop w:val="0"/>
      <w:marBottom w:val="0"/>
      <w:divBdr>
        <w:top w:val="none" w:sz="0" w:space="0" w:color="auto"/>
        <w:left w:val="none" w:sz="0" w:space="0" w:color="auto"/>
        <w:bottom w:val="none" w:sz="0" w:space="0" w:color="auto"/>
        <w:right w:val="none" w:sz="0" w:space="0" w:color="auto"/>
      </w:divBdr>
    </w:div>
    <w:div w:id="1057627760">
      <w:bodyDiv w:val="1"/>
      <w:marLeft w:val="0"/>
      <w:marRight w:val="0"/>
      <w:marTop w:val="0"/>
      <w:marBottom w:val="0"/>
      <w:divBdr>
        <w:top w:val="none" w:sz="0" w:space="0" w:color="auto"/>
        <w:left w:val="none" w:sz="0" w:space="0" w:color="auto"/>
        <w:bottom w:val="none" w:sz="0" w:space="0" w:color="auto"/>
        <w:right w:val="none" w:sz="0" w:space="0" w:color="auto"/>
      </w:divBdr>
    </w:div>
    <w:div w:id="1097598000">
      <w:bodyDiv w:val="1"/>
      <w:marLeft w:val="0"/>
      <w:marRight w:val="0"/>
      <w:marTop w:val="0"/>
      <w:marBottom w:val="0"/>
      <w:divBdr>
        <w:top w:val="none" w:sz="0" w:space="0" w:color="auto"/>
        <w:left w:val="none" w:sz="0" w:space="0" w:color="auto"/>
        <w:bottom w:val="none" w:sz="0" w:space="0" w:color="auto"/>
        <w:right w:val="none" w:sz="0" w:space="0" w:color="auto"/>
      </w:divBdr>
    </w:div>
    <w:div w:id="1101687160">
      <w:bodyDiv w:val="1"/>
      <w:marLeft w:val="0"/>
      <w:marRight w:val="0"/>
      <w:marTop w:val="0"/>
      <w:marBottom w:val="0"/>
      <w:divBdr>
        <w:top w:val="none" w:sz="0" w:space="0" w:color="auto"/>
        <w:left w:val="none" w:sz="0" w:space="0" w:color="auto"/>
        <w:bottom w:val="none" w:sz="0" w:space="0" w:color="auto"/>
        <w:right w:val="none" w:sz="0" w:space="0" w:color="auto"/>
      </w:divBdr>
    </w:div>
    <w:div w:id="1105226677">
      <w:bodyDiv w:val="1"/>
      <w:marLeft w:val="0"/>
      <w:marRight w:val="0"/>
      <w:marTop w:val="0"/>
      <w:marBottom w:val="0"/>
      <w:divBdr>
        <w:top w:val="none" w:sz="0" w:space="0" w:color="auto"/>
        <w:left w:val="none" w:sz="0" w:space="0" w:color="auto"/>
        <w:bottom w:val="none" w:sz="0" w:space="0" w:color="auto"/>
        <w:right w:val="none" w:sz="0" w:space="0" w:color="auto"/>
      </w:divBdr>
    </w:div>
    <w:div w:id="1179271193">
      <w:bodyDiv w:val="1"/>
      <w:marLeft w:val="0"/>
      <w:marRight w:val="0"/>
      <w:marTop w:val="0"/>
      <w:marBottom w:val="0"/>
      <w:divBdr>
        <w:top w:val="none" w:sz="0" w:space="0" w:color="auto"/>
        <w:left w:val="none" w:sz="0" w:space="0" w:color="auto"/>
        <w:bottom w:val="none" w:sz="0" w:space="0" w:color="auto"/>
        <w:right w:val="none" w:sz="0" w:space="0" w:color="auto"/>
      </w:divBdr>
    </w:div>
    <w:div w:id="1196576900">
      <w:bodyDiv w:val="1"/>
      <w:marLeft w:val="0"/>
      <w:marRight w:val="0"/>
      <w:marTop w:val="0"/>
      <w:marBottom w:val="0"/>
      <w:divBdr>
        <w:top w:val="none" w:sz="0" w:space="0" w:color="auto"/>
        <w:left w:val="none" w:sz="0" w:space="0" w:color="auto"/>
        <w:bottom w:val="none" w:sz="0" w:space="0" w:color="auto"/>
        <w:right w:val="none" w:sz="0" w:space="0" w:color="auto"/>
      </w:divBdr>
    </w:div>
    <w:div w:id="1198856732">
      <w:bodyDiv w:val="1"/>
      <w:marLeft w:val="0"/>
      <w:marRight w:val="0"/>
      <w:marTop w:val="0"/>
      <w:marBottom w:val="0"/>
      <w:divBdr>
        <w:top w:val="none" w:sz="0" w:space="0" w:color="auto"/>
        <w:left w:val="none" w:sz="0" w:space="0" w:color="auto"/>
        <w:bottom w:val="none" w:sz="0" w:space="0" w:color="auto"/>
        <w:right w:val="none" w:sz="0" w:space="0" w:color="auto"/>
      </w:divBdr>
    </w:div>
    <w:div w:id="1242332315">
      <w:bodyDiv w:val="1"/>
      <w:marLeft w:val="0"/>
      <w:marRight w:val="0"/>
      <w:marTop w:val="0"/>
      <w:marBottom w:val="0"/>
      <w:divBdr>
        <w:top w:val="none" w:sz="0" w:space="0" w:color="auto"/>
        <w:left w:val="none" w:sz="0" w:space="0" w:color="auto"/>
        <w:bottom w:val="none" w:sz="0" w:space="0" w:color="auto"/>
        <w:right w:val="none" w:sz="0" w:space="0" w:color="auto"/>
      </w:divBdr>
    </w:div>
    <w:div w:id="1246038375">
      <w:bodyDiv w:val="1"/>
      <w:marLeft w:val="0"/>
      <w:marRight w:val="0"/>
      <w:marTop w:val="0"/>
      <w:marBottom w:val="0"/>
      <w:divBdr>
        <w:top w:val="none" w:sz="0" w:space="0" w:color="auto"/>
        <w:left w:val="none" w:sz="0" w:space="0" w:color="auto"/>
        <w:bottom w:val="none" w:sz="0" w:space="0" w:color="auto"/>
        <w:right w:val="none" w:sz="0" w:space="0" w:color="auto"/>
      </w:divBdr>
    </w:div>
    <w:div w:id="1274675234">
      <w:bodyDiv w:val="1"/>
      <w:marLeft w:val="0"/>
      <w:marRight w:val="0"/>
      <w:marTop w:val="0"/>
      <w:marBottom w:val="0"/>
      <w:divBdr>
        <w:top w:val="none" w:sz="0" w:space="0" w:color="auto"/>
        <w:left w:val="none" w:sz="0" w:space="0" w:color="auto"/>
        <w:bottom w:val="none" w:sz="0" w:space="0" w:color="auto"/>
        <w:right w:val="none" w:sz="0" w:space="0" w:color="auto"/>
      </w:divBdr>
    </w:div>
    <w:div w:id="1400402159">
      <w:bodyDiv w:val="1"/>
      <w:marLeft w:val="0"/>
      <w:marRight w:val="0"/>
      <w:marTop w:val="0"/>
      <w:marBottom w:val="0"/>
      <w:divBdr>
        <w:top w:val="none" w:sz="0" w:space="0" w:color="auto"/>
        <w:left w:val="none" w:sz="0" w:space="0" w:color="auto"/>
        <w:bottom w:val="none" w:sz="0" w:space="0" w:color="auto"/>
        <w:right w:val="none" w:sz="0" w:space="0" w:color="auto"/>
      </w:divBdr>
    </w:div>
    <w:div w:id="1473671713">
      <w:bodyDiv w:val="1"/>
      <w:marLeft w:val="0"/>
      <w:marRight w:val="0"/>
      <w:marTop w:val="0"/>
      <w:marBottom w:val="0"/>
      <w:divBdr>
        <w:top w:val="none" w:sz="0" w:space="0" w:color="auto"/>
        <w:left w:val="none" w:sz="0" w:space="0" w:color="auto"/>
        <w:bottom w:val="none" w:sz="0" w:space="0" w:color="auto"/>
        <w:right w:val="none" w:sz="0" w:space="0" w:color="auto"/>
      </w:divBdr>
    </w:div>
    <w:div w:id="1553884475">
      <w:bodyDiv w:val="1"/>
      <w:marLeft w:val="0"/>
      <w:marRight w:val="0"/>
      <w:marTop w:val="0"/>
      <w:marBottom w:val="0"/>
      <w:divBdr>
        <w:top w:val="none" w:sz="0" w:space="0" w:color="auto"/>
        <w:left w:val="none" w:sz="0" w:space="0" w:color="auto"/>
        <w:bottom w:val="none" w:sz="0" w:space="0" w:color="auto"/>
        <w:right w:val="none" w:sz="0" w:space="0" w:color="auto"/>
      </w:divBdr>
    </w:div>
    <w:div w:id="1567645766">
      <w:bodyDiv w:val="1"/>
      <w:marLeft w:val="0"/>
      <w:marRight w:val="0"/>
      <w:marTop w:val="0"/>
      <w:marBottom w:val="0"/>
      <w:divBdr>
        <w:top w:val="none" w:sz="0" w:space="0" w:color="auto"/>
        <w:left w:val="none" w:sz="0" w:space="0" w:color="auto"/>
        <w:bottom w:val="none" w:sz="0" w:space="0" w:color="auto"/>
        <w:right w:val="none" w:sz="0" w:space="0" w:color="auto"/>
      </w:divBdr>
    </w:div>
    <w:div w:id="1577327056">
      <w:bodyDiv w:val="1"/>
      <w:marLeft w:val="0"/>
      <w:marRight w:val="0"/>
      <w:marTop w:val="0"/>
      <w:marBottom w:val="0"/>
      <w:divBdr>
        <w:top w:val="none" w:sz="0" w:space="0" w:color="auto"/>
        <w:left w:val="none" w:sz="0" w:space="0" w:color="auto"/>
        <w:bottom w:val="none" w:sz="0" w:space="0" w:color="auto"/>
        <w:right w:val="none" w:sz="0" w:space="0" w:color="auto"/>
      </w:divBdr>
    </w:div>
    <w:div w:id="1650793264">
      <w:bodyDiv w:val="1"/>
      <w:marLeft w:val="0"/>
      <w:marRight w:val="0"/>
      <w:marTop w:val="0"/>
      <w:marBottom w:val="0"/>
      <w:divBdr>
        <w:top w:val="none" w:sz="0" w:space="0" w:color="auto"/>
        <w:left w:val="none" w:sz="0" w:space="0" w:color="auto"/>
        <w:bottom w:val="none" w:sz="0" w:space="0" w:color="auto"/>
        <w:right w:val="none" w:sz="0" w:space="0" w:color="auto"/>
      </w:divBdr>
    </w:div>
    <w:div w:id="1691372161">
      <w:bodyDiv w:val="1"/>
      <w:marLeft w:val="0"/>
      <w:marRight w:val="0"/>
      <w:marTop w:val="0"/>
      <w:marBottom w:val="0"/>
      <w:divBdr>
        <w:top w:val="none" w:sz="0" w:space="0" w:color="auto"/>
        <w:left w:val="none" w:sz="0" w:space="0" w:color="auto"/>
        <w:bottom w:val="none" w:sz="0" w:space="0" w:color="auto"/>
        <w:right w:val="none" w:sz="0" w:space="0" w:color="auto"/>
      </w:divBdr>
    </w:div>
    <w:div w:id="1727989147">
      <w:bodyDiv w:val="1"/>
      <w:marLeft w:val="0"/>
      <w:marRight w:val="0"/>
      <w:marTop w:val="0"/>
      <w:marBottom w:val="0"/>
      <w:divBdr>
        <w:top w:val="none" w:sz="0" w:space="0" w:color="auto"/>
        <w:left w:val="none" w:sz="0" w:space="0" w:color="auto"/>
        <w:bottom w:val="none" w:sz="0" w:space="0" w:color="auto"/>
        <w:right w:val="none" w:sz="0" w:space="0" w:color="auto"/>
      </w:divBdr>
    </w:div>
    <w:div w:id="1768386579">
      <w:bodyDiv w:val="1"/>
      <w:marLeft w:val="0"/>
      <w:marRight w:val="0"/>
      <w:marTop w:val="0"/>
      <w:marBottom w:val="0"/>
      <w:divBdr>
        <w:top w:val="none" w:sz="0" w:space="0" w:color="auto"/>
        <w:left w:val="none" w:sz="0" w:space="0" w:color="auto"/>
        <w:bottom w:val="none" w:sz="0" w:space="0" w:color="auto"/>
        <w:right w:val="none" w:sz="0" w:space="0" w:color="auto"/>
      </w:divBdr>
    </w:div>
    <w:div w:id="1784181156">
      <w:bodyDiv w:val="1"/>
      <w:marLeft w:val="0"/>
      <w:marRight w:val="0"/>
      <w:marTop w:val="0"/>
      <w:marBottom w:val="0"/>
      <w:divBdr>
        <w:top w:val="none" w:sz="0" w:space="0" w:color="auto"/>
        <w:left w:val="none" w:sz="0" w:space="0" w:color="auto"/>
        <w:bottom w:val="none" w:sz="0" w:space="0" w:color="auto"/>
        <w:right w:val="none" w:sz="0" w:space="0" w:color="auto"/>
      </w:divBdr>
      <w:divsChild>
        <w:div w:id="840437757">
          <w:marLeft w:val="0"/>
          <w:marRight w:val="0"/>
          <w:marTop w:val="0"/>
          <w:marBottom w:val="0"/>
          <w:divBdr>
            <w:top w:val="none" w:sz="0" w:space="0" w:color="auto"/>
            <w:left w:val="none" w:sz="0" w:space="0" w:color="auto"/>
            <w:bottom w:val="none" w:sz="0" w:space="0" w:color="auto"/>
            <w:right w:val="none" w:sz="0" w:space="0" w:color="auto"/>
          </w:divBdr>
          <w:divsChild>
            <w:div w:id="2104448548">
              <w:marLeft w:val="0"/>
              <w:marRight w:val="0"/>
              <w:marTop w:val="0"/>
              <w:marBottom w:val="0"/>
              <w:divBdr>
                <w:top w:val="none" w:sz="0" w:space="0" w:color="auto"/>
                <w:left w:val="none" w:sz="0" w:space="0" w:color="auto"/>
                <w:bottom w:val="none" w:sz="0" w:space="0" w:color="auto"/>
                <w:right w:val="none" w:sz="0" w:space="0" w:color="auto"/>
              </w:divBdr>
              <w:divsChild>
                <w:div w:id="1508055852">
                  <w:marLeft w:val="0"/>
                  <w:marRight w:val="0"/>
                  <w:marTop w:val="0"/>
                  <w:marBottom w:val="0"/>
                  <w:divBdr>
                    <w:top w:val="none" w:sz="0" w:space="0" w:color="auto"/>
                    <w:left w:val="none" w:sz="0" w:space="0" w:color="auto"/>
                    <w:bottom w:val="none" w:sz="0" w:space="0" w:color="auto"/>
                    <w:right w:val="none" w:sz="0" w:space="0" w:color="auto"/>
                  </w:divBdr>
                  <w:divsChild>
                    <w:div w:id="10352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8995">
      <w:bodyDiv w:val="1"/>
      <w:marLeft w:val="0"/>
      <w:marRight w:val="0"/>
      <w:marTop w:val="0"/>
      <w:marBottom w:val="0"/>
      <w:divBdr>
        <w:top w:val="none" w:sz="0" w:space="0" w:color="auto"/>
        <w:left w:val="none" w:sz="0" w:space="0" w:color="auto"/>
        <w:bottom w:val="none" w:sz="0" w:space="0" w:color="auto"/>
        <w:right w:val="none" w:sz="0" w:space="0" w:color="auto"/>
      </w:divBdr>
    </w:div>
    <w:div w:id="1793401027">
      <w:bodyDiv w:val="1"/>
      <w:marLeft w:val="0"/>
      <w:marRight w:val="0"/>
      <w:marTop w:val="0"/>
      <w:marBottom w:val="0"/>
      <w:divBdr>
        <w:top w:val="none" w:sz="0" w:space="0" w:color="auto"/>
        <w:left w:val="none" w:sz="0" w:space="0" w:color="auto"/>
        <w:bottom w:val="none" w:sz="0" w:space="0" w:color="auto"/>
        <w:right w:val="none" w:sz="0" w:space="0" w:color="auto"/>
      </w:divBdr>
    </w:div>
    <w:div w:id="1882328781">
      <w:bodyDiv w:val="1"/>
      <w:marLeft w:val="0"/>
      <w:marRight w:val="0"/>
      <w:marTop w:val="0"/>
      <w:marBottom w:val="0"/>
      <w:divBdr>
        <w:top w:val="none" w:sz="0" w:space="0" w:color="auto"/>
        <w:left w:val="none" w:sz="0" w:space="0" w:color="auto"/>
        <w:bottom w:val="none" w:sz="0" w:space="0" w:color="auto"/>
        <w:right w:val="none" w:sz="0" w:space="0" w:color="auto"/>
      </w:divBdr>
      <w:divsChild>
        <w:div w:id="722485706">
          <w:marLeft w:val="0"/>
          <w:marRight w:val="0"/>
          <w:marTop w:val="0"/>
          <w:marBottom w:val="0"/>
          <w:divBdr>
            <w:top w:val="none" w:sz="0" w:space="0" w:color="auto"/>
            <w:left w:val="none" w:sz="0" w:space="0" w:color="auto"/>
            <w:bottom w:val="none" w:sz="0" w:space="0" w:color="auto"/>
            <w:right w:val="none" w:sz="0" w:space="0" w:color="auto"/>
          </w:divBdr>
          <w:divsChild>
            <w:div w:id="1476145050">
              <w:marLeft w:val="0"/>
              <w:marRight w:val="0"/>
              <w:marTop w:val="0"/>
              <w:marBottom w:val="0"/>
              <w:divBdr>
                <w:top w:val="none" w:sz="0" w:space="0" w:color="auto"/>
                <w:left w:val="none" w:sz="0" w:space="0" w:color="auto"/>
                <w:bottom w:val="none" w:sz="0" w:space="0" w:color="auto"/>
                <w:right w:val="none" w:sz="0" w:space="0" w:color="auto"/>
              </w:divBdr>
              <w:divsChild>
                <w:div w:id="8782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59240">
      <w:bodyDiv w:val="1"/>
      <w:marLeft w:val="0"/>
      <w:marRight w:val="0"/>
      <w:marTop w:val="0"/>
      <w:marBottom w:val="0"/>
      <w:divBdr>
        <w:top w:val="none" w:sz="0" w:space="0" w:color="auto"/>
        <w:left w:val="none" w:sz="0" w:space="0" w:color="auto"/>
        <w:bottom w:val="none" w:sz="0" w:space="0" w:color="auto"/>
        <w:right w:val="none" w:sz="0" w:space="0" w:color="auto"/>
      </w:divBdr>
    </w:div>
    <w:div w:id="1930653491">
      <w:bodyDiv w:val="1"/>
      <w:marLeft w:val="0"/>
      <w:marRight w:val="0"/>
      <w:marTop w:val="0"/>
      <w:marBottom w:val="0"/>
      <w:divBdr>
        <w:top w:val="none" w:sz="0" w:space="0" w:color="auto"/>
        <w:left w:val="none" w:sz="0" w:space="0" w:color="auto"/>
        <w:bottom w:val="none" w:sz="0" w:space="0" w:color="auto"/>
        <w:right w:val="none" w:sz="0" w:space="0" w:color="auto"/>
      </w:divBdr>
    </w:div>
    <w:div w:id="1970430279">
      <w:bodyDiv w:val="1"/>
      <w:marLeft w:val="0"/>
      <w:marRight w:val="0"/>
      <w:marTop w:val="0"/>
      <w:marBottom w:val="0"/>
      <w:divBdr>
        <w:top w:val="none" w:sz="0" w:space="0" w:color="auto"/>
        <w:left w:val="none" w:sz="0" w:space="0" w:color="auto"/>
        <w:bottom w:val="none" w:sz="0" w:space="0" w:color="auto"/>
        <w:right w:val="none" w:sz="0" w:space="0" w:color="auto"/>
      </w:divBdr>
    </w:div>
    <w:div w:id="2006662309">
      <w:bodyDiv w:val="1"/>
      <w:marLeft w:val="0"/>
      <w:marRight w:val="0"/>
      <w:marTop w:val="0"/>
      <w:marBottom w:val="0"/>
      <w:divBdr>
        <w:top w:val="none" w:sz="0" w:space="0" w:color="auto"/>
        <w:left w:val="none" w:sz="0" w:space="0" w:color="auto"/>
        <w:bottom w:val="none" w:sz="0" w:space="0" w:color="auto"/>
        <w:right w:val="none" w:sz="0" w:space="0" w:color="auto"/>
      </w:divBdr>
    </w:div>
    <w:div w:id="2009406975">
      <w:bodyDiv w:val="1"/>
      <w:marLeft w:val="0"/>
      <w:marRight w:val="0"/>
      <w:marTop w:val="0"/>
      <w:marBottom w:val="0"/>
      <w:divBdr>
        <w:top w:val="none" w:sz="0" w:space="0" w:color="auto"/>
        <w:left w:val="none" w:sz="0" w:space="0" w:color="auto"/>
        <w:bottom w:val="none" w:sz="0" w:space="0" w:color="auto"/>
        <w:right w:val="none" w:sz="0" w:space="0" w:color="auto"/>
      </w:divBdr>
    </w:div>
    <w:div w:id="2014188972">
      <w:bodyDiv w:val="1"/>
      <w:marLeft w:val="0"/>
      <w:marRight w:val="0"/>
      <w:marTop w:val="0"/>
      <w:marBottom w:val="0"/>
      <w:divBdr>
        <w:top w:val="none" w:sz="0" w:space="0" w:color="auto"/>
        <w:left w:val="none" w:sz="0" w:space="0" w:color="auto"/>
        <w:bottom w:val="none" w:sz="0" w:space="0" w:color="auto"/>
        <w:right w:val="none" w:sz="0" w:space="0" w:color="auto"/>
      </w:divBdr>
    </w:div>
    <w:div w:id="2038264533">
      <w:bodyDiv w:val="1"/>
      <w:marLeft w:val="0"/>
      <w:marRight w:val="0"/>
      <w:marTop w:val="0"/>
      <w:marBottom w:val="0"/>
      <w:divBdr>
        <w:top w:val="none" w:sz="0" w:space="0" w:color="auto"/>
        <w:left w:val="none" w:sz="0" w:space="0" w:color="auto"/>
        <w:bottom w:val="none" w:sz="0" w:space="0" w:color="auto"/>
        <w:right w:val="none" w:sz="0" w:space="0" w:color="auto"/>
      </w:divBdr>
    </w:div>
    <w:div w:id="2076588310">
      <w:bodyDiv w:val="1"/>
      <w:marLeft w:val="0"/>
      <w:marRight w:val="0"/>
      <w:marTop w:val="0"/>
      <w:marBottom w:val="0"/>
      <w:divBdr>
        <w:top w:val="none" w:sz="0" w:space="0" w:color="auto"/>
        <w:left w:val="none" w:sz="0" w:space="0" w:color="auto"/>
        <w:bottom w:val="none" w:sz="0" w:space="0" w:color="auto"/>
        <w:right w:val="none" w:sz="0" w:space="0" w:color="auto"/>
      </w:divBdr>
    </w:div>
    <w:div w:id="2079280083">
      <w:bodyDiv w:val="1"/>
      <w:marLeft w:val="0"/>
      <w:marRight w:val="0"/>
      <w:marTop w:val="0"/>
      <w:marBottom w:val="0"/>
      <w:divBdr>
        <w:top w:val="none" w:sz="0" w:space="0" w:color="auto"/>
        <w:left w:val="none" w:sz="0" w:space="0" w:color="auto"/>
        <w:bottom w:val="none" w:sz="0" w:space="0" w:color="auto"/>
        <w:right w:val="none" w:sz="0" w:space="0" w:color="auto"/>
      </w:divBdr>
    </w:div>
    <w:div w:id="2080253014">
      <w:bodyDiv w:val="1"/>
      <w:marLeft w:val="0"/>
      <w:marRight w:val="0"/>
      <w:marTop w:val="0"/>
      <w:marBottom w:val="0"/>
      <w:divBdr>
        <w:top w:val="none" w:sz="0" w:space="0" w:color="auto"/>
        <w:left w:val="none" w:sz="0" w:space="0" w:color="auto"/>
        <w:bottom w:val="none" w:sz="0" w:space="0" w:color="auto"/>
        <w:right w:val="none" w:sz="0" w:space="0" w:color="auto"/>
      </w:divBdr>
    </w:div>
    <w:div w:id="211119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06BA4A883694449F9284194D1E7CB4" ma:contentTypeVersion="1" ma:contentTypeDescription="Create a new document." ma:contentTypeScope="" ma:versionID="c50433d678a97f1622c9fcccf7efcc57">
  <xsd:schema xmlns:xsd="http://www.w3.org/2001/XMLSchema" xmlns:xs="http://www.w3.org/2001/XMLSchema" xmlns:p="http://schemas.microsoft.com/office/2006/metadata/properties" xmlns:ns2="87504ce8-ee9e-4ce1-b5e0-0054d569ea45" targetNamespace="http://schemas.microsoft.com/office/2006/metadata/properties" ma:root="true" ma:fieldsID="3e84b7ed174adbd60261aa4791eff916" ns2:_="">
    <xsd:import namespace="87504ce8-ee9e-4ce1-b5e0-0054d569ea4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04ce8-ee9e-4ce1-b5e0-0054d569ea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6C4AB-DC22-425A-AA6C-5922637C1CF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7504ce8-ee9e-4ce1-b5e0-0054d569ea45"/>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F650712-3746-4A7F-9484-A5CB7D8BCB12}">
  <ds:schemaRefs>
    <ds:schemaRef ds:uri="http://schemas.microsoft.com/sharepoint/v3/contenttype/forms"/>
  </ds:schemaRefs>
</ds:datastoreItem>
</file>

<file path=customXml/itemProps3.xml><?xml version="1.0" encoding="utf-8"?>
<ds:datastoreItem xmlns:ds="http://schemas.openxmlformats.org/officeDocument/2006/customXml" ds:itemID="{6FB9FFC3-A83B-4C18-A8D8-70795746E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04ce8-ee9e-4ce1-b5e0-0054d569e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67C6E-6872-4948-B0DF-1AE079FD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7910</Words>
  <Characters>44614</Characters>
  <Application>Microsoft Office Word</Application>
  <DocSecurity>0</DocSecurity>
  <Lines>1174</Lines>
  <Paragraphs>632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Attachment: Product Information for Teriparatide</vt:lpstr>
      <vt:lpstr/>
    </vt:vector>
  </TitlesOfParts>
  <Manager/>
  <Company/>
  <LinksUpToDate>false</LinksUpToDate>
  <CharactersWithSpaces>51892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Teriparatide</dc:title>
  <dc:subject>prescription medicines</dc:subject>
  <dc:creator>Gedeon Richter Australia Pty Ltd</dc:creator>
  <cp:keywords/>
  <dc:description/>
  <cp:lastPrinted>2020-11-09T01:18:00Z</cp:lastPrinted>
  <dcterms:created xsi:type="dcterms:W3CDTF">2021-02-01T23:02:00Z</dcterms:created>
  <dcterms:modified xsi:type="dcterms:W3CDTF">2021-02-01T23:31:00Z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0x010100B106BA4A883694449F9284194D1E7CB4</vt:lpwstr>
  </property>
</Properties>
</file>