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851" w:rsidRPr="00CD5B69" w:rsidRDefault="003B7851" w:rsidP="005B2BC7">
      <w:pPr>
        <w:pStyle w:val="Title"/>
      </w:pPr>
      <w:bookmarkStart w:id="0" w:name="_Toc307918082"/>
      <w:r w:rsidRPr="00CD5B69">
        <w:t>product information</w:t>
      </w:r>
    </w:p>
    <w:p w:rsidR="003B7851" w:rsidRPr="00CD5B69" w:rsidRDefault="00092AA1" w:rsidP="003B7851">
      <w:pPr>
        <w:pStyle w:val="Heading1"/>
        <w:pageBreakBefore w:val="0"/>
        <w:numPr>
          <w:ilvl w:val="0"/>
          <w:numId w:val="0"/>
        </w:numPr>
        <w:jc w:val="center"/>
      </w:pPr>
      <w:r w:rsidRPr="00CD5B69">
        <w:t>AUBAGIO</w:t>
      </w:r>
    </w:p>
    <w:p w:rsidR="008E3DEC" w:rsidRPr="00CD5B69" w:rsidRDefault="008E3DEC" w:rsidP="008E3DEC">
      <w:pPr>
        <w:pStyle w:val="Heading1"/>
        <w:pageBreakBefore w:val="0"/>
        <w:numPr>
          <w:ilvl w:val="0"/>
          <w:numId w:val="0"/>
        </w:numPr>
      </w:pPr>
      <w:r w:rsidRPr="00CD5B69">
        <w:t>name of the medicine</w:t>
      </w:r>
      <w:bookmarkEnd w:id="0"/>
    </w:p>
    <w:p w:rsidR="008E3DEC" w:rsidRPr="00CD5B69" w:rsidRDefault="006F1E4F" w:rsidP="008E3DEC">
      <w:pPr>
        <w:pStyle w:val="Heading2"/>
        <w:numPr>
          <w:ilvl w:val="0"/>
          <w:numId w:val="0"/>
        </w:numPr>
      </w:pPr>
      <w:bookmarkStart w:id="1" w:name="_Toc307918083"/>
      <w:r w:rsidRPr="00CD5B69">
        <w:t>australian approved name</w:t>
      </w:r>
      <w:bookmarkEnd w:id="1"/>
    </w:p>
    <w:p w:rsidR="008E3DEC" w:rsidRPr="00CD5B69" w:rsidRDefault="008E3DEC" w:rsidP="008E3DEC">
      <w:pPr>
        <w:rPr>
          <w:color w:val="auto"/>
        </w:rPr>
      </w:pPr>
      <w:r w:rsidRPr="00CD5B69">
        <w:rPr>
          <w:color w:val="auto"/>
        </w:rPr>
        <w:t>Teriflunomide</w:t>
      </w:r>
    </w:p>
    <w:p w:rsidR="001A1310" w:rsidRPr="00CD5B69" w:rsidRDefault="001A1310" w:rsidP="001A1310">
      <w:pPr>
        <w:pStyle w:val="Heading2"/>
        <w:numPr>
          <w:ilvl w:val="0"/>
          <w:numId w:val="0"/>
        </w:numPr>
      </w:pPr>
      <w:bookmarkStart w:id="2" w:name="_Toc307918084"/>
      <w:r w:rsidRPr="00CD5B69">
        <w:t>chemical structure</w:t>
      </w:r>
      <w:bookmarkEnd w:id="2"/>
    </w:p>
    <w:p w:rsidR="001A1310" w:rsidRPr="00CD5B69" w:rsidRDefault="001A1310" w:rsidP="001A1310">
      <w:pPr>
        <w:rPr>
          <w:color w:val="auto"/>
        </w:rPr>
      </w:pPr>
      <w:r w:rsidRPr="00CD5B69">
        <w:rPr>
          <w:color w:val="auto"/>
        </w:rPr>
        <w:t>The chemical structure of teriflunomide is</w:t>
      </w:r>
    </w:p>
    <w:p w:rsidR="001A1310" w:rsidRPr="00CD5B69" w:rsidRDefault="005B2BC7" w:rsidP="001A1310">
      <w:pPr>
        <w:rPr>
          <w:rFonts w:ascii="Arial" w:hAnsi="Arial" w:cs="Arial"/>
          <w:color w:val="auto"/>
        </w:rPr>
      </w:pPr>
      <w:r w:rsidRPr="00CD5B69">
        <w:rPr>
          <w:rFonts w:ascii="Arial" w:hAnsi="Arial" w:cs="Arial"/>
          <w:color w:val="auto"/>
        </w:rPr>
        <w:object w:dxaOrig="208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chemical structure of Aubagio/Teriflunomide" style="width:121.5pt;height:70.5pt" o:ole="">
            <v:imagedata r:id="rId7" o:title=""/>
          </v:shape>
          <o:OLEObject Type="Embed" ProgID="ISISServer" ShapeID="_x0000_i1025" DrawAspect="Content" ObjectID="_1440243809" r:id="rId8"/>
        </w:object>
      </w:r>
    </w:p>
    <w:p w:rsidR="004340C2" w:rsidRPr="00CD5B69" w:rsidRDefault="004340C2" w:rsidP="001A1310">
      <w:pPr>
        <w:rPr>
          <w:color w:val="auto"/>
          <w:vertAlign w:val="subscript"/>
          <w:lang w:val="pt-BR"/>
        </w:rPr>
      </w:pPr>
      <w:r w:rsidRPr="00CD5B69">
        <w:rPr>
          <w:color w:val="auto"/>
          <w:lang w:val="pt-BR"/>
        </w:rPr>
        <w:t>Molecular formula: C</w:t>
      </w:r>
      <w:r w:rsidRPr="00CD5B69">
        <w:rPr>
          <w:color w:val="auto"/>
          <w:vertAlign w:val="subscript"/>
          <w:lang w:val="pt-BR"/>
        </w:rPr>
        <w:t>12</w:t>
      </w:r>
      <w:r w:rsidRPr="00CD5B69">
        <w:rPr>
          <w:color w:val="auto"/>
          <w:lang w:val="pt-BR"/>
        </w:rPr>
        <w:t>H</w:t>
      </w:r>
      <w:r w:rsidRPr="00CD5B69">
        <w:rPr>
          <w:color w:val="auto"/>
          <w:vertAlign w:val="subscript"/>
          <w:lang w:val="pt-BR"/>
        </w:rPr>
        <w:t>9</w:t>
      </w:r>
      <w:r w:rsidRPr="00CD5B69">
        <w:rPr>
          <w:color w:val="auto"/>
          <w:lang w:val="pt-BR"/>
        </w:rPr>
        <w:t>F</w:t>
      </w:r>
      <w:r w:rsidRPr="00CD5B69">
        <w:rPr>
          <w:color w:val="auto"/>
          <w:vertAlign w:val="subscript"/>
          <w:lang w:val="pt-BR"/>
        </w:rPr>
        <w:t>3</w:t>
      </w:r>
      <w:r w:rsidRPr="00CD5B69">
        <w:rPr>
          <w:color w:val="auto"/>
          <w:lang w:val="pt-BR"/>
        </w:rPr>
        <w:t>N</w:t>
      </w:r>
      <w:r w:rsidRPr="00CD5B69">
        <w:rPr>
          <w:color w:val="auto"/>
          <w:vertAlign w:val="subscript"/>
          <w:lang w:val="pt-BR"/>
        </w:rPr>
        <w:t>2</w:t>
      </w:r>
      <w:r w:rsidRPr="00CD5B69">
        <w:rPr>
          <w:color w:val="auto"/>
          <w:lang w:val="pt-BR"/>
        </w:rPr>
        <w:t>O</w:t>
      </w:r>
      <w:r w:rsidRPr="00CD5B69">
        <w:rPr>
          <w:color w:val="auto"/>
          <w:vertAlign w:val="subscript"/>
          <w:lang w:val="pt-BR"/>
        </w:rPr>
        <w:t>2</w:t>
      </w:r>
    </w:p>
    <w:p w:rsidR="004340C2" w:rsidRPr="00CD5B69" w:rsidRDefault="004340C2" w:rsidP="001A1310">
      <w:pPr>
        <w:rPr>
          <w:color w:val="auto"/>
          <w:lang w:val="pt-BR"/>
        </w:rPr>
      </w:pPr>
      <w:r w:rsidRPr="00CD5B69">
        <w:rPr>
          <w:color w:val="auto"/>
          <w:lang w:val="pt-BR"/>
        </w:rPr>
        <w:t>Molecular weight: 270.21</w:t>
      </w:r>
    </w:p>
    <w:p w:rsidR="004340C2" w:rsidRPr="00CD5B69" w:rsidRDefault="004340C2" w:rsidP="001A1310">
      <w:pPr>
        <w:rPr>
          <w:color w:val="auto"/>
          <w:lang w:val="pt-BR"/>
        </w:rPr>
      </w:pPr>
      <w:r w:rsidRPr="00CD5B69">
        <w:rPr>
          <w:color w:val="auto"/>
          <w:lang w:val="pt-BR"/>
        </w:rPr>
        <w:t>Chemical name: (Z)-2-Cyano-3-hydroxy-but-2-enoic acid-(4-trifluoromethylphenyl)-amide</w:t>
      </w:r>
    </w:p>
    <w:p w:rsidR="00012F18" w:rsidRPr="00CD5B69" w:rsidRDefault="00012F18" w:rsidP="00012F18">
      <w:pPr>
        <w:pStyle w:val="Heading2"/>
        <w:numPr>
          <w:ilvl w:val="0"/>
          <w:numId w:val="0"/>
        </w:numPr>
        <w:rPr>
          <w:lang w:val="pt-BR"/>
        </w:rPr>
      </w:pPr>
      <w:bookmarkStart w:id="3" w:name="_Toc307918085"/>
      <w:r w:rsidRPr="00CD5B69">
        <w:rPr>
          <w:lang w:val="pt-BR"/>
        </w:rPr>
        <w:t xml:space="preserve">CAS Registry number: </w:t>
      </w:r>
      <w:r w:rsidRPr="00CD5B69">
        <w:rPr>
          <w:rFonts w:ascii="Times New Roman" w:hAnsi="Times New Roman" w:cs="Times New Roman"/>
          <w:b w:val="0"/>
          <w:sz w:val="24"/>
          <w:szCs w:val="24"/>
          <w:lang w:val="pt-BR"/>
        </w:rPr>
        <w:t>163451-81-8</w:t>
      </w:r>
      <w:bookmarkEnd w:id="3"/>
    </w:p>
    <w:p w:rsidR="001A1310" w:rsidRPr="00CD5B69" w:rsidRDefault="001A1310" w:rsidP="001A1310">
      <w:pPr>
        <w:pStyle w:val="Heading1"/>
        <w:pageBreakBefore w:val="0"/>
        <w:numPr>
          <w:ilvl w:val="0"/>
          <w:numId w:val="0"/>
        </w:numPr>
        <w:rPr>
          <w:lang w:val="pt-BR"/>
        </w:rPr>
      </w:pPr>
      <w:bookmarkStart w:id="4" w:name="_Toc307918086"/>
      <w:r w:rsidRPr="00CD5B69">
        <w:rPr>
          <w:lang w:val="pt-BR"/>
        </w:rPr>
        <w:t>description</w:t>
      </w:r>
      <w:bookmarkEnd w:id="4"/>
    </w:p>
    <w:p w:rsidR="001A1310" w:rsidRPr="00CD5B69" w:rsidRDefault="001A1310" w:rsidP="001A1310">
      <w:pPr>
        <w:rPr>
          <w:color w:val="auto"/>
          <w:lang w:val="pt-BR"/>
        </w:rPr>
      </w:pPr>
      <w:r w:rsidRPr="00CD5B69">
        <w:rPr>
          <w:color w:val="auto"/>
          <w:lang w:val="pt-BR"/>
        </w:rPr>
        <w:t xml:space="preserve">Teriflunomide, is an oral </w:t>
      </w:r>
      <w:r w:rsidR="009415E1" w:rsidRPr="00CD5B69">
        <w:rPr>
          <w:i/>
          <w:color w:val="auto"/>
          <w:lang w:val="pt-BR"/>
        </w:rPr>
        <w:t>de novo</w:t>
      </w:r>
      <w:r w:rsidRPr="00CD5B69">
        <w:rPr>
          <w:color w:val="auto"/>
          <w:lang w:val="pt-BR"/>
        </w:rPr>
        <w:t xml:space="preserve"> pyrimidine synthesis inhib</w:t>
      </w:r>
      <w:r w:rsidR="00EE6950" w:rsidRPr="00CD5B69">
        <w:rPr>
          <w:color w:val="auto"/>
          <w:lang w:val="pt-BR"/>
        </w:rPr>
        <w:t xml:space="preserve">itor of the </w:t>
      </w:r>
      <w:r w:rsidR="005A219D" w:rsidRPr="00CD5B69">
        <w:rPr>
          <w:color w:val="auto"/>
          <w:lang w:val="pt-BR"/>
        </w:rPr>
        <w:t>dihydroorotate dehydrogenase (</w:t>
      </w:r>
      <w:r w:rsidR="00EE6950" w:rsidRPr="00CD5B69">
        <w:rPr>
          <w:color w:val="auto"/>
          <w:lang w:val="pt-BR"/>
        </w:rPr>
        <w:t>DHO-DH</w:t>
      </w:r>
      <w:r w:rsidR="005A219D" w:rsidRPr="00CD5B69">
        <w:rPr>
          <w:color w:val="auto"/>
          <w:lang w:val="pt-BR"/>
        </w:rPr>
        <w:t>)</w:t>
      </w:r>
      <w:r w:rsidR="00EE6950" w:rsidRPr="00CD5B69">
        <w:rPr>
          <w:color w:val="auto"/>
          <w:lang w:val="pt-BR"/>
        </w:rPr>
        <w:t xml:space="preserve"> enzyme</w:t>
      </w:r>
      <w:r w:rsidR="00B94F75" w:rsidRPr="00CD5B69">
        <w:rPr>
          <w:color w:val="auto"/>
          <w:lang w:val="pt-BR"/>
        </w:rPr>
        <w:t>.</w:t>
      </w:r>
      <w:r w:rsidR="00EE6950" w:rsidRPr="00CD5B69">
        <w:rPr>
          <w:color w:val="auto"/>
          <w:lang w:val="pt-BR"/>
        </w:rPr>
        <w:t xml:space="preserve"> </w:t>
      </w:r>
    </w:p>
    <w:p w:rsidR="004340C2" w:rsidRPr="00CD5B69" w:rsidRDefault="004340C2" w:rsidP="00EE6950">
      <w:pPr>
        <w:autoSpaceDE w:val="0"/>
        <w:autoSpaceDN w:val="0"/>
        <w:adjustRightInd w:val="0"/>
        <w:spacing w:before="0"/>
        <w:rPr>
          <w:color w:val="auto"/>
          <w:lang w:val="pt-BR"/>
        </w:rPr>
      </w:pPr>
    </w:p>
    <w:p w:rsidR="00EE6950" w:rsidRPr="00CD5B69" w:rsidRDefault="001A1310" w:rsidP="00EE6950">
      <w:pPr>
        <w:autoSpaceDE w:val="0"/>
        <w:autoSpaceDN w:val="0"/>
        <w:adjustRightInd w:val="0"/>
        <w:spacing w:before="0"/>
        <w:rPr>
          <w:color w:val="auto"/>
          <w:lang w:eastAsia="ja-JP"/>
        </w:rPr>
      </w:pPr>
      <w:r w:rsidRPr="00CD5B69">
        <w:rPr>
          <w:color w:val="auto"/>
        </w:rPr>
        <w:t xml:space="preserve">Teriflunomide is a white to almost white powder that is sparingly soluble in acetone, slightly soluble in polyethylene glycol and ethanol, very slightly soluble in isopropanol and practically </w:t>
      </w:r>
      <w:r w:rsidRPr="00CD5B69">
        <w:rPr>
          <w:color w:val="auto"/>
        </w:rPr>
        <w:lastRenderedPageBreak/>
        <w:t>insoluble in water.</w:t>
      </w:r>
      <w:r w:rsidR="00370A94" w:rsidRPr="00CD5B69">
        <w:rPr>
          <w:color w:val="auto"/>
          <w:lang w:eastAsia="ja-JP"/>
        </w:rPr>
        <w:t xml:space="preserve"> </w:t>
      </w:r>
      <w:r w:rsidR="00370A94" w:rsidRPr="00CD5B69">
        <w:rPr>
          <w:color w:val="auto"/>
          <w:u w:color="0000FF"/>
          <w:lang w:eastAsia="ja-JP"/>
        </w:rPr>
        <w:t>Teriflunomide has a pKa of 3.1 at room temperature and its aqueous solubility is pH dependent and decreases with lowering pH. Teriflunomide is Class 2 in the Biopharmaceutics Classification System.</w:t>
      </w:r>
    </w:p>
    <w:p w:rsidR="00EE6950" w:rsidRPr="00CD5B69" w:rsidRDefault="00EE6950" w:rsidP="00EE6950">
      <w:pPr>
        <w:autoSpaceDE w:val="0"/>
        <w:autoSpaceDN w:val="0"/>
        <w:adjustRightInd w:val="0"/>
        <w:spacing w:before="0"/>
        <w:rPr>
          <w:color w:val="auto"/>
          <w:lang w:eastAsia="ja-JP"/>
        </w:rPr>
      </w:pPr>
    </w:p>
    <w:p w:rsidR="00EE6950" w:rsidRPr="00CD5B69" w:rsidRDefault="00EE6950" w:rsidP="00EE6950">
      <w:pPr>
        <w:autoSpaceDE w:val="0"/>
        <w:autoSpaceDN w:val="0"/>
        <w:adjustRightInd w:val="0"/>
        <w:spacing w:before="0"/>
        <w:rPr>
          <w:color w:val="auto"/>
          <w:lang w:eastAsia="ja-JP"/>
        </w:rPr>
      </w:pPr>
      <w:r w:rsidRPr="00CD5B69">
        <w:rPr>
          <w:color w:val="auto"/>
          <w:lang w:eastAsia="ja-JP"/>
        </w:rPr>
        <w:t xml:space="preserve">Teriflunomide is formulated as film-coated tablets for oral administration. </w:t>
      </w:r>
      <w:r w:rsidR="006F1E4F" w:rsidRPr="00CD5B69">
        <w:rPr>
          <w:color w:val="auto"/>
          <w:lang w:eastAsia="ja-JP"/>
        </w:rPr>
        <w:t>Each</w:t>
      </w:r>
      <w:r w:rsidRPr="00CD5B69">
        <w:rPr>
          <w:color w:val="auto"/>
          <w:lang w:eastAsia="ja-JP"/>
        </w:rPr>
        <w:t xml:space="preserve"> </w:t>
      </w:r>
      <w:r w:rsidR="006F1E4F" w:rsidRPr="00CD5B69">
        <w:rPr>
          <w:color w:val="auto"/>
          <w:lang w:eastAsia="ja-JP"/>
        </w:rPr>
        <w:t>tablet</w:t>
      </w:r>
      <w:r w:rsidRPr="00CD5B69">
        <w:rPr>
          <w:color w:val="auto"/>
          <w:lang w:eastAsia="ja-JP"/>
        </w:rPr>
        <w:t xml:space="preserve"> contain</w:t>
      </w:r>
      <w:r w:rsidR="006F1E4F" w:rsidRPr="00CD5B69">
        <w:rPr>
          <w:color w:val="auto"/>
          <w:lang w:eastAsia="ja-JP"/>
        </w:rPr>
        <w:t>s</w:t>
      </w:r>
      <w:r w:rsidRPr="00CD5B69">
        <w:rPr>
          <w:color w:val="auto"/>
          <w:lang w:eastAsia="ja-JP"/>
        </w:rPr>
        <w:t xml:space="preserve"> 14 mg of teriflunomide and the following inactive ingredients: lactose, </w:t>
      </w:r>
      <w:r w:rsidR="00A75D3C" w:rsidRPr="00CD5B69">
        <w:rPr>
          <w:color w:val="auto"/>
          <w:lang w:eastAsia="ja-JP"/>
        </w:rPr>
        <w:t>maize</w:t>
      </w:r>
      <w:r w:rsidR="006F1E4F" w:rsidRPr="00CD5B69">
        <w:rPr>
          <w:color w:val="auto"/>
          <w:lang w:eastAsia="ja-JP"/>
        </w:rPr>
        <w:t xml:space="preserve"> starch</w:t>
      </w:r>
      <w:r w:rsidRPr="00CD5B69">
        <w:rPr>
          <w:color w:val="auto"/>
          <w:lang w:eastAsia="ja-JP"/>
        </w:rPr>
        <w:t xml:space="preserve">, hydroxypropylcellulose, </w:t>
      </w:r>
      <w:r w:rsidR="00A75D3C" w:rsidRPr="00CD5B69">
        <w:rPr>
          <w:color w:val="auto"/>
          <w:lang w:eastAsia="ja-JP"/>
        </w:rPr>
        <w:t>microcrystalline</w:t>
      </w:r>
      <w:r w:rsidR="006F1E4F" w:rsidRPr="00CD5B69">
        <w:rPr>
          <w:color w:val="auto"/>
          <w:lang w:eastAsia="ja-JP"/>
        </w:rPr>
        <w:t xml:space="preserve"> cellulose</w:t>
      </w:r>
      <w:r w:rsidRPr="00CD5B69">
        <w:rPr>
          <w:color w:val="auto"/>
          <w:lang w:eastAsia="ja-JP"/>
        </w:rPr>
        <w:t>, sodium starch glycol</w:t>
      </w:r>
      <w:r w:rsidR="00370A94" w:rsidRPr="00CD5B69">
        <w:rPr>
          <w:color w:val="auto"/>
          <w:u w:color="0000FF"/>
          <w:lang w:eastAsia="ja-JP"/>
        </w:rPr>
        <w:t>l</w:t>
      </w:r>
      <w:r w:rsidRPr="00CD5B69">
        <w:rPr>
          <w:color w:val="auto"/>
          <w:lang w:eastAsia="ja-JP"/>
        </w:rPr>
        <w:t xml:space="preserve">ate, and magnesium stearate. The film coating </w:t>
      </w:r>
      <w:r w:rsidR="006F1E4F" w:rsidRPr="00CD5B69">
        <w:rPr>
          <w:color w:val="auto"/>
          <w:lang w:eastAsia="ja-JP"/>
        </w:rPr>
        <w:t>(</w:t>
      </w:r>
      <w:r w:rsidR="006F1E4F" w:rsidRPr="00CD5B69">
        <w:rPr>
          <w:color w:val="auto"/>
          <w:u w:color="0000FF"/>
          <w:lang w:eastAsia="ja-JP"/>
        </w:rPr>
        <w:t>OPADRY</w:t>
      </w:r>
      <w:r w:rsidR="00370A94" w:rsidRPr="00CD5B69">
        <w:rPr>
          <w:color w:val="auto"/>
          <w:u w:color="0000FF"/>
          <w:lang w:eastAsia="ja-JP"/>
        </w:rPr>
        <w:t xml:space="preserve"> complete film coating system 03F20651 BLUE</w:t>
      </w:r>
      <w:r w:rsidR="006F1E4F" w:rsidRPr="00CD5B69">
        <w:rPr>
          <w:color w:val="auto"/>
          <w:lang w:eastAsia="ja-JP"/>
        </w:rPr>
        <w:t xml:space="preserve">) </w:t>
      </w:r>
      <w:r w:rsidRPr="00CD5B69">
        <w:rPr>
          <w:color w:val="auto"/>
          <w:lang w:eastAsia="ja-JP"/>
        </w:rPr>
        <w:t xml:space="preserve">is made of hypromellose, titanium dioxide, </w:t>
      </w:r>
      <w:r w:rsidR="00370A94" w:rsidRPr="00CD5B69">
        <w:rPr>
          <w:color w:val="auto"/>
          <w:u w:color="0000FF"/>
          <w:lang w:eastAsia="ja-JP"/>
        </w:rPr>
        <w:t>purified</w:t>
      </w:r>
      <w:r w:rsidR="00370A94" w:rsidRPr="00CD5B69">
        <w:rPr>
          <w:color w:val="auto"/>
          <w:lang w:eastAsia="ja-JP"/>
        </w:rPr>
        <w:t xml:space="preserve"> </w:t>
      </w:r>
      <w:r w:rsidRPr="00CD5B69">
        <w:rPr>
          <w:color w:val="auto"/>
          <w:lang w:eastAsia="ja-JP"/>
        </w:rPr>
        <w:t xml:space="preserve">talc, </w:t>
      </w:r>
      <w:r w:rsidR="00A75D3C" w:rsidRPr="00CD5B69">
        <w:rPr>
          <w:color w:val="auto"/>
          <w:lang w:eastAsia="ja-JP"/>
        </w:rPr>
        <w:t>macrogol</w:t>
      </w:r>
      <w:r w:rsidR="00370A94" w:rsidRPr="00CD5B69">
        <w:rPr>
          <w:color w:val="auto"/>
          <w:lang w:eastAsia="ja-JP"/>
        </w:rPr>
        <w:t xml:space="preserve"> </w:t>
      </w:r>
      <w:r w:rsidR="00370A94" w:rsidRPr="00CD5B69">
        <w:rPr>
          <w:color w:val="auto"/>
          <w:u w:color="0000FF"/>
          <w:lang w:eastAsia="ja-JP"/>
        </w:rPr>
        <w:t>8000</w:t>
      </w:r>
      <w:r w:rsidRPr="00CD5B69">
        <w:rPr>
          <w:color w:val="auto"/>
          <w:u w:color="0000FF"/>
          <w:lang w:eastAsia="ja-JP"/>
        </w:rPr>
        <w:t xml:space="preserve"> </w:t>
      </w:r>
      <w:r w:rsidRPr="00CD5B69">
        <w:rPr>
          <w:color w:val="auto"/>
          <w:lang w:eastAsia="ja-JP"/>
        </w:rPr>
        <w:t>and indigo carmine alumin</w:t>
      </w:r>
      <w:r w:rsidR="005443EC" w:rsidRPr="00CD5B69">
        <w:rPr>
          <w:color w:val="auto"/>
          <w:lang w:eastAsia="ja-JP"/>
        </w:rPr>
        <w:t>i</w:t>
      </w:r>
      <w:r w:rsidRPr="00CD5B69">
        <w:rPr>
          <w:color w:val="auto"/>
          <w:lang w:eastAsia="ja-JP"/>
        </w:rPr>
        <w:t>um lake.</w:t>
      </w:r>
    </w:p>
    <w:p w:rsidR="00A76ABC" w:rsidRPr="00CD5B69" w:rsidRDefault="00A76ABC" w:rsidP="001A1310">
      <w:pPr>
        <w:pStyle w:val="Heading1"/>
        <w:pageBreakBefore w:val="0"/>
        <w:numPr>
          <w:ilvl w:val="0"/>
          <w:numId w:val="0"/>
        </w:numPr>
      </w:pPr>
      <w:bookmarkStart w:id="5" w:name="_Toc307918087"/>
      <w:r w:rsidRPr="00CD5B69">
        <w:t>pharmacology</w:t>
      </w:r>
      <w:bookmarkEnd w:id="5"/>
    </w:p>
    <w:p w:rsidR="001C1A4F" w:rsidRPr="00CD5B69" w:rsidRDefault="001C1A4F" w:rsidP="001C1A4F">
      <w:pPr>
        <w:pStyle w:val="Heading2"/>
        <w:numPr>
          <w:ilvl w:val="0"/>
          <w:numId w:val="0"/>
        </w:numPr>
      </w:pPr>
      <w:bookmarkStart w:id="6" w:name="_Toc307918088"/>
      <w:r w:rsidRPr="00CD5B69">
        <w:t>pharmacodynamics</w:t>
      </w:r>
      <w:bookmarkEnd w:id="6"/>
    </w:p>
    <w:p w:rsidR="001C1A4F" w:rsidRPr="00CD5B69" w:rsidRDefault="001C1A4F" w:rsidP="001C1A4F">
      <w:pPr>
        <w:pStyle w:val="Heading3"/>
        <w:numPr>
          <w:ilvl w:val="0"/>
          <w:numId w:val="0"/>
        </w:numPr>
      </w:pPr>
      <w:bookmarkStart w:id="7" w:name="_Toc307918089"/>
      <w:r w:rsidRPr="00CD5B69">
        <w:t>Mechanism of Action</w:t>
      </w:r>
      <w:bookmarkEnd w:id="7"/>
    </w:p>
    <w:p w:rsidR="001C1A4F" w:rsidRPr="00CD5B69" w:rsidRDefault="001C1A4F" w:rsidP="001C1A4F">
      <w:pPr>
        <w:rPr>
          <w:color w:val="auto"/>
        </w:rPr>
      </w:pPr>
      <w:r w:rsidRPr="00CD5B69">
        <w:rPr>
          <w:color w:val="auto"/>
        </w:rPr>
        <w:t xml:space="preserve">Teriflunomide is an immunomodulatory agent with anti-inflammatory properties that selectively and reversibly inhibits the mitochondrial enzyme dihydroorotate dehydrogenase (DHO-DH), required for the </w:t>
      </w:r>
      <w:r w:rsidR="009415E1" w:rsidRPr="00CD5B69">
        <w:rPr>
          <w:i/>
          <w:color w:val="auto"/>
        </w:rPr>
        <w:t>de novo</w:t>
      </w:r>
      <w:r w:rsidRPr="00CD5B69">
        <w:rPr>
          <w:color w:val="auto"/>
        </w:rPr>
        <w:t xml:space="preserve"> pyrimidine synthesis. As a consequence teriflunomide blocks the activation and proliferation of stimulated lymphocytes which need </w:t>
      </w:r>
      <w:r w:rsidR="009415E1" w:rsidRPr="00CD5B69">
        <w:rPr>
          <w:i/>
          <w:color w:val="auto"/>
        </w:rPr>
        <w:t>de novo</w:t>
      </w:r>
      <w:r w:rsidRPr="00CD5B69">
        <w:rPr>
          <w:color w:val="auto"/>
        </w:rPr>
        <w:t xml:space="preserve"> synthesis of pyrimidine to expand. Slowly dividing or resting cells which rely on the salvage pathway for pyrimidine synthesis are unaffected by teriflunomide. The exact mechanism by which teriflunomide exerts its therapeutic effect in MS is not fully understood, but may include reduced number of activated lymphocytes in CNS. It is likely that teriflunomide diminishes in periphery the numbers of activated lymphocytes available to migrate into the CNS. </w:t>
      </w:r>
    </w:p>
    <w:p w:rsidR="00820CFD" w:rsidRPr="00CD5B69" w:rsidRDefault="00820CFD" w:rsidP="00820CFD">
      <w:pPr>
        <w:pStyle w:val="Heading4"/>
        <w:numPr>
          <w:ilvl w:val="0"/>
          <w:numId w:val="0"/>
        </w:numPr>
      </w:pPr>
      <w:bookmarkStart w:id="8" w:name="_Toc307918090"/>
      <w:r w:rsidRPr="00CD5B69">
        <w:t>Immune system</w:t>
      </w:r>
      <w:bookmarkEnd w:id="8"/>
    </w:p>
    <w:p w:rsidR="00820CFD" w:rsidRPr="00CD5B69" w:rsidRDefault="00820CFD" w:rsidP="00820CFD">
      <w:pPr>
        <w:pStyle w:val="Heading5"/>
        <w:numPr>
          <w:ilvl w:val="0"/>
          <w:numId w:val="0"/>
        </w:numPr>
      </w:pPr>
      <w:r w:rsidRPr="00CD5B69">
        <w:t>Effects on immune cell numbers in the blood</w:t>
      </w:r>
    </w:p>
    <w:p w:rsidR="00820CFD" w:rsidRPr="00CD5B69" w:rsidRDefault="00820CFD" w:rsidP="00820CFD">
      <w:pPr>
        <w:rPr>
          <w:color w:val="auto"/>
        </w:rPr>
      </w:pPr>
      <w:r w:rsidRPr="00CD5B69">
        <w:rPr>
          <w:color w:val="auto"/>
        </w:rPr>
        <w:t xml:space="preserve">In the </w:t>
      </w:r>
      <w:r w:rsidR="00592D46" w:rsidRPr="00CD5B69">
        <w:rPr>
          <w:color w:val="auto"/>
        </w:rPr>
        <w:t>placebo controlled</w:t>
      </w:r>
      <w:r w:rsidRPr="00CD5B69">
        <w:rPr>
          <w:color w:val="auto"/>
        </w:rPr>
        <w:t xml:space="preserve"> studies, teriflunomide 14 mg once a day led to a mild mean reduction in lymphocyte count, of 0.3 x 10</w:t>
      </w:r>
      <w:r w:rsidRPr="00CD5B69">
        <w:rPr>
          <w:color w:val="auto"/>
          <w:vertAlign w:val="superscript"/>
        </w:rPr>
        <w:t>9</w:t>
      </w:r>
      <w:r w:rsidRPr="00CD5B69">
        <w:rPr>
          <w:color w:val="auto"/>
        </w:rPr>
        <w:t>/L,</w:t>
      </w:r>
      <w:r w:rsidR="00912FF3" w:rsidRPr="00CD5B69">
        <w:rPr>
          <w:color w:val="auto"/>
        </w:rPr>
        <w:t xml:space="preserve"> most of</w:t>
      </w:r>
      <w:r w:rsidRPr="00CD5B69">
        <w:rPr>
          <w:color w:val="auto"/>
        </w:rPr>
        <w:t xml:space="preserve"> which occurred over the first 3 months of treatment following which levels were </w:t>
      </w:r>
      <w:r w:rsidR="00A505E0" w:rsidRPr="00CD5B69">
        <w:rPr>
          <w:color w:val="auto"/>
        </w:rPr>
        <w:t xml:space="preserve">maintained </w:t>
      </w:r>
      <w:r w:rsidR="00AF659C" w:rsidRPr="00CD5B69">
        <w:rPr>
          <w:color w:val="auto"/>
        </w:rPr>
        <w:t>until the end of the treatment</w:t>
      </w:r>
      <w:r w:rsidR="00027755" w:rsidRPr="00CD5B69">
        <w:rPr>
          <w:color w:val="auto"/>
        </w:rPr>
        <w:t>.</w:t>
      </w:r>
      <w:r w:rsidR="00835F98" w:rsidRPr="00CD5B69">
        <w:rPr>
          <w:color w:val="auto"/>
        </w:rPr>
        <w:t xml:space="preserve"> </w:t>
      </w:r>
    </w:p>
    <w:p w:rsidR="001C1A4F" w:rsidRPr="00CD5B69" w:rsidRDefault="001C1A4F" w:rsidP="001C1A4F">
      <w:pPr>
        <w:pStyle w:val="Heading4"/>
        <w:numPr>
          <w:ilvl w:val="0"/>
          <w:numId w:val="0"/>
        </w:numPr>
      </w:pPr>
      <w:bookmarkStart w:id="9" w:name="_Toc307918091"/>
      <w:r w:rsidRPr="00CD5B69">
        <w:t>Potential to prolong the QT interval</w:t>
      </w:r>
      <w:bookmarkEnd w:id="9"/>
    </w:p>
    <w:p w:rsidR="001C1A4F" w:rsidRPr="00CD5B69" w:rsidRDefault="001C1A4F" w:rsidP="001C1A4F">
      <w:pPr>
        <w:rPr>
          <w:color w:val="auto"/>
        </w:rPr>
      </w:pPr>
      <w:r w:rsidRPr="00CD5B69">
        <w:rPr>
          <w:color w:val="auto"/>
        </w:rPr>
        <w:t xml:space="preserve">In a placebo controlled thorough QT study performed in healthy subjects, teriflunomide at mean steady state concentrations did not show any potential for prolonging the QTcF interval compared with placebo: the largest time matched mean difference between teriflunomide and placebo was </w:t>
      </w:r>
      <w:r w:rsidR="00912FF3" w:rsidRPr="00CD5B69">
        <w:rPr>
          <w:color w:val="auto"/>
        </w:rPr>
        <w:lastRenderedPageBreak/>
        <w:t>3.46</w:t>
      </w:r>
      <w:r w:rsidRPr="00CD5B69">
        <w:rPr>
          <w:color w:val="auto"/>
        </w:rPr>
        <w:t xml:space="preserve"> ms with the upper bound of the 90% CI being 6.45 ms. In addition, no QTcF values were ≥480 ms and no changes from baseline were &gt;60 ms. </w:t>
      </w:r>
    </w:p>
    <w:p w:rsidR="001C1A4F" w:rsidRPr="00CD5B69" w:rsidRDefault="001C1A4F" w:rsidP="005701C5">
      <w:pPr>
        <w:pStyle w:val="Heading4"/>
        <w:numPr>
          <w:ilvl w:val="0"/>
          <w:numId w:val="0"/>
        </w:numPr>
      </w:pPr>
      <w:bookmarkStart w:id="10" w:name="_Toc307918092"/>
      <w:r w:rsidRPr="00CD5B69">
        <w:t>Effect on renal tubular functions</w:t>
      </w:r>
      <w:bookmarkEnd w:id="10"/>
    </w:p>
    <w:p w:rsidR="001C1A4F" w:rsidRPr="00CD5B69" w:rsidRDefault="001C1A4F" w:rsidP="001C1A4F">
      <w:pPr>
        <w:rPr>
          <w:color w:val="auto"/>
        </w:rPr>
      </w:pPr>
      <w:r w:rsidRPr="00CD5B69">
        <w:rPr>
          <w:color w:val="auto"/>
        </w:rPr>
        <w:t xml:space="preserve">In the </w:t>
      </w:r>
      <w:r w:rsidR="00592D46" w:rsidRPr="00CD5B69">
        <w:rPr>
          <w:color w:val="auto"/>
        </w:rPr>
        <w:t>placebo controlled</w:t>
      </w:r>
      <w:r w:rsidRPr="00CD5B69">
        <w:rPr>
          <w:color w:val="auto"/>
        </w:rPr>
        <w:t xml:space="preserve"> studies, mean decreases in serum uric acid at a range of 20 to 30% were observed in patients treated with teriflunomide compared to placebo. Mean decrease in serum phosphorus was 10% in the teriflunomide group compared to placebo. These effects are considered to be related to increase in renal tubular excretion and not related to changes in glomerular functions.</w:t>
      </w:r>
    </w:p>
    <w:p w:rsidR="00A76ABC" w:rsidRPr="00CD5B69" w:rsidRDefault="00A76ABC" w:rsidP="00EE6950">
      <w:pPr>
        <w:pStyle w:val="Heading2"/>
        <w:numPr>
          <w:ilvl w:val="0"/>
          <w:numId w:val="0"/>
        </w:numPr>
      </w:pPr>
      <w:bookmarkStart w:id="11" w:name="_Toc307918093"/>
      <w:r w:rsidRPr="00CD5B69">
        <w:t>pharmacokinetics</w:t>
      </w:r>
      <w:bookmarkEnd w:id="11"/>
    </w:p>
    <w:p w:rsidR="001D79DD" w:rsidRPr="00CD5B69" w:rsidRDefault="001D79DD" w:rsidP="001D79DD">
      <w:pPr>
        <w:pStyle w:val="Heading3"/>
        <w:numPr>
          <w:ilvl w:val="0"/>
          <w:numId w:val="0"/>
        </w:numPr>
      </w:pPr>
      <w:bookmarkStart w:id="12" w:name="_Toc307918094"/>
      <w:r w:rsidRPr="00CD5B69">
        <w:t>Absorption</w:t>
      </w:r>
      <w:bookmarkEnd w:id="12"/>
    </w:p>
    <w:p w:rsidR="00FB51F4" w:rsidRPr="00CD5B69" w:rsidRDefault="001D79DD" w:rsidP="001D79DD">
      <w:pPr>
        <w:rPr>
          <w:color w:val="auto"/>
        </w:rPr>
      </w:pPr>
      <w:r w:rsidRPr="00CD5B69">
        <w:rPr>
          <w:color w:val="auto"/>
        </w:rPr>
        <w:t>Median time to reach maximum plasma concentrations occurs between 1 to 4 hours post-dose following repeated oral administration of teriflunomide, with high bioavailability (~100%)</w:t>
      </w:r>
      <w:r w:rsidR="00912FF3" w:rsidRPr="00CD5B69">
        <w:rPr>
          <w:color w:val="auto"/>
        </w:rPr>
        <w:t xml:space="preserve"> determined by cross study comparison</w:t>
      </w:r>
      <w:r w:rsidRPr="00CD5B69">
        <w:rPr>
          <w:color w:val="auto"/>
        </w:rPr>
        <w:t xml:space="preserve">. Food </w:t>
      </w:r>
      <w:r w:rsidR="00912FF3" w:rsidRPr="00CD5B69">
        <w:rPr>
          <w:color w:val="auto"/>
        </w:rPr>
        <w:t>produced a statistically significant decrease in C</w:t>
      </w:r>
      <w:r w:rsidR="00912FF3" w:rsidRPr="00CD5B69">
        <w:rPr>
          <w:color w:val="auto"/>
          <w:vertAlign w:val="subscript"/>
        </w:rPr>
        <w:t>max</w:t>
      </w:r>
      <w:r w:rsidR="00912FF3" w:rsidRPr="00CD5B69">
        <w:rPr>
          <w:color w:val="auto"/>
        </w:rPr>
        <w:t xml:space="preserve"> (18%) and an increase in t</w:t>
      </w:r>
      <w:r w:rsidR="00912FF3" w:rsidRPr="00CD5B69">
        <w:rPr>
          <w:color w:val="auto"/>
          <w:vertAlign w:val="subscript"/>
        </w:rPr>
        <w:t xml:space="preserve">max </w:t>
      </w:r>
      <w:r w:rsidR="00912FF3" w:rsidRPr="00CD5B69">
        <w:rPr>
          <w:color w:val="auto"/>
        </w:rPr>
        <w:t xml:space="preserve">(~ 3 hours), that </w:t>
      </w:r>
      <w:r w:rsidRPr="00CD5B69">
        <w:rPr>
          <w:color w:val="auto"/>
        </w:rPr>
        <w:t xml:space="preserve">does not have a clinically relevant effect on teriflunomide pharmacokinetics. </w:t>
      </w:r>
    </w:p>
    <w:p w:rsidR="001D79DD" w:rsidRPr="00CD5B69" w:rsidRDefault="007C2952" w:rsidP="001D79DD">
      <w:pPr>
        <w:rPr>
          <w:color w:val="auto"/>
        </w:rPr>
      </w:pPr>
      <w:r w:rsidRPr="00CD5B69">
        <w:rPr>
          <w:color w:val="auto"/>
        </w:rPr>
        <w:t>Based on individual prediction of pharmacokinetic parameters using the population pharmacokinetic (PopPK) model of teriflunomide in healthy volunteers and MS patients, dose was not a significant covariate of teriflunomide pharmacokinetics.</w:t>
      </w:r>
    </w:p>
    <w:p w:rsidR="00C64BB8" w:rsidRPr="00CD5B69" w:rsidRDefault="00C64BB8" w:rsidP="001D79DD">
      <w:pPr>
        <w:autoSpaceDE w:val="0"/>
        <w:autoSpaceDN w:val="0"/>
        <w:adjustRightInd w:val="0"/>
        <w:spacing w:before="0"/>
        <w:rPr>
          <w:color w:val="auto"/>
          <w:lang w:eastAsia="ja-JP"/>
        </w:rPr>
      </w:pPr>
      <w:r w:rsidRPr="00CD5B69">
        <w:rPr>
          <w:color w:val="auto"/>
          <w:lang w:eastAsia="ja-JP"/>
        </w:rPr>
        <w:t>There is a slow approach to steady-state concentration (i.e. ~100 days [3.5 months] to attain 95% of steady state concentrations, based on a median terminal half-life (t1/2z) of ~19 days calculated from the population pharmacokinetic (PopPK) analysis using data from healthy volunteers and MS patients), and the estimated AUC accumulation ratio is ~ 34-fold for 14 mg teriflunomide.</w:t>
      </w:r>
    </w:p>
    <w:p w:rsidR="00C64BB8" w:rsidRPr="00CD5B69" w:rsidRDefault="00C64BB8" w:rsidP="001D79DD">
      <w:pPr>
        <w:autoSpaceDE w:val="0"/>
        <w:autoSpaceDN w:val="0"/>
        <w:adjustRightInd w:val="0"/>
        <w:spacing w:before="0"/>
        <w:rPr>
          <w:color w:val="auto"/>
          <w:lang w:eastAsia="ja-JP"/>
        </w:rPr>
      </w:pPr>
    </w:p>
    <w:p w:rsidR="001D79DD" w:rsidRPr="00CD5B69" w:rsidRDefault="00AF04B5" w:rsidP="00AF04B5">
      <w:pPr>
        <w:pStyle w:val="Heading3"/>
        <w:numPr>
          <w:ilvl w:val="0"/>
          <w:numId w:val="0"/>
        </w:numPr>
      </w:pPr>
      <w:bookmarkStart w:id="13" w:name="_Toc307918095"/>
      <w:r w:rsidRPr="00CD5B69">
        <w:t>Distribution</w:t>
      </w:r>
      <w:bookmarkEnd w:id="13"/>
    </w:p>
    <w:p w:rsidR="00AF04B5" w:rsidRPr="00CD5B69" w:rsidRDefault="00AF04B5" w:rsidP="00AF04B5">
      <w:pPr>
        <w:rPr>
          <w:color w:val="auto"/>
        </w:rPr>
      </w:pPr>
      <w:r w:rsidRPr="00CD5B69">
        <w:rPr>
          <w:color w:val="auto"/>
        </w:rPr>
        <w:t>Teriflunomide is extensively bound to plasma protein (&gt;99%), probably albumin and is mainly distributed in plasma</w:t>
      </w:r>
      <w:r w:rsidR="00107F1D" w:rsidRPr="00CD5B69">
        <w:rPr>
          <w:color w:val="auto"/>
        </w:rPr>
        <w:t>, rather than red blood cells</w:t>
      </w:r>
      <w:r w:rsidRPr="00CD5B69">
        <w:rPr>
          <w:color w:val="auto"/>
        </w:rPr>
        <w:t>. The volume of distribution is low (11 L) after a single intravenous (IV) administration.</w:t>
      </w:r>
    </w:p>
    <w:p w:rsidR="00193480" w:rsidRPr="00CD5B69" w:rsidRDefault="00193480" w:rsidP="00193480">
      <w:pPr>
        <w:pStyle w:val="Heading3"/>
        <w:numPr>
          <w:ilvl w:val="0"/>
          <w:numId w:val="0"/>
        </w:numPr>
      </w:pPr>
      <w:bookmarkStart w:id="14" w:name="_Toc307918096"/>
      <w:r w:rsidRPr="00CD5B69">
        <w:lastRenderedPageBreak/>
        <w:t>Metabolism</w:t>
      </w:r>
      <w:bookmarkEnd w:id="14"/>
    </w:p>
    <w:p w:rsidR="00193480" w:rsidRPr="00CD5B69" w:rsidRDefault="00193480" w:rsidP="00193480">
      <w:pPr>
        <w:rPr>
          <w:color w:val="auto"/>
        </w:rPr>
      </w:pPr>
      <w:r w:rsidRPr="00CD5B69">
        <w:rPr>
          <w:color w:val="auto"/>
        </w:rPr>
        <w:t xml:space="preserve">Teriflunomide is moderately </w:t>
      </w:r>
      <w:r w:rsidR="009415E1" w:rsidRPr="00CD5B69">
        <w:rPr>
          <w:color w:val="auto"/>
        </w:rPr>
        <w:t>metabolised</w:t>
      </w:r>
      <w:r w:rsidRPr="00CD5B69">
        <w:rPr>
          <w:color w:val="auto"/>
        </w:rPr>
        <w:t xml:space="preserve"> and is the only component detected in plasma. The primary biotransformation pathway for teriflunomide is hydrolysis, with oxidation being a minor pathway. </w:t>
      </w:r>
      <w:r w:rsidR="00571BB8" w:rsidRPr="00CD5B69">
        <w:rPr>
          <w:color w:val="auto"/>
        </w:rPr>
        <w:t xml:space="preserve">Other </w:t>
      </w:r>
      <w:r w:rsidRPr="00CD5B69">
        <w:rPr>
          <w:color w:val="auto"/>
        </w:rPr>
        <w:t>pathways involve N-acetylation and sulfate conjugation.</w:t>
      </w:r>
    </w:p>
    <w:p w:rsidR="00AF04B5" w:rsidRPr="00CD5B69" w:rsidRDefault="00AF04B5" w:rsidP="00AF04B5">
      <w:pPr>
        <w:pStyle w:val="Heading3"/>
        <w:numPr>
          <w:ilvl w:val="0"/>
          <w:numId w:val="0"/>
        </w:numPr>
      </w:pPr>
      <w:bookmarkStart w:id="15" w:name="_Toc307918097"/>
      <w:r w:rsidRPr="00CD5B69">
        <w:t>E</w:t>
      </w:r>
      <w:r w:rsidR="009F3593" w:rsidRPr="00CD5B69">
        <w:t>xcretion</w:t>
      </w:r>
      <w:bookmarkEnd w:id="15"/>
    </w:p>
    <w:p w:rsidR="00AF04B5" w:rsidRPr="00CD5B69" w:rsidRDefault="00AF04B5" w:rsidP="00011DCC">
      <w:pPr>
        <w:autoSpaceDE w:val="0"/>
        <w:autoSpaceDN w:val="0"/>
        <w:adjustRightInd w:val="0"/>
        <w:spacing w:before="0"/>
        <w:rPr>
          <w:color w:val="auto"/>
        </w:rPr>
      </w:pPr>
      <w:r w:rsidRPr="00CD5B69">
        <w:rPr>
          <w:color w:val="auto"/>
        </w:rPr>
        <w:t>Teriflunomide is excreted in the gastrointestinal tract mainly through the bile as unchanged drug and possibly by direct secretion. Teriflunomide is a substrate of the efflux transporter Breast Cancer Resistant Protein (BCRP), which could be involved in direct secretion. Over 21 days, 60.1% of the administered dose is excreted via f</w:t>
      </w:r>
      <w:r w:rsidR="00175633" w:rsidRPr="00CD5B69">
        <w:rPr>
          <w:color w:val="auto"/>
        </w:rPr>
        <w:t>a</w:t>
      </w:r>
      <w:r w:rsidRPr="00CD5B69">
        <w:rPr>
          <w:color w:val="auto"/>
        </w:rPr>
        <w:t xml:space="preserve">eces (37.5%) and </w:t>
      </w:r>
      <w:r w:rsidR="00107F1D" w:rsidRPr="00CD5B69">
        <w:rPr>
          <w:color w:val="auto"/>
        </w:rPr>
        <w:t xml:space="preserve">also via </w:t>
      </w:r>
      <w:r w:rsidRPr="00CD5B69">
        <w:rPr>
          <w:color w:val="auto"/>
        </w:rPr>
        <w:t>urine (22.6%). After the rapid elimination procedure with cholestyramine, an additional 23.1% was recovered (mostly in f</w:t>
      </w:r>
      <w:r w:rsidR="00193480" w:rsidRPr="00CD5B69">
        <w:rPr>
          <w:color w:val="auto"/>
        </w:rPr>
        <w:t>a</w:t>
      </w:r>
      <w:r w:rsidRPr="00CD5B69">
        <w:rPr>
          <w:color w:val="auto"/>
        </w:rPr>
        <w:t>eces). Based on individual prediction of pharmacokinetic parameters using the PopPK model of teriflunomide in healthy volunteers and MS patients, median</w:t>
      </w:r>
      <w:r w:rsidR="00820CFD" w:rsidRPr="00CD5B69">
        <w:rPr>
          <w:color w:val="auto"/>
        </w:rPr>
        <w:t xml:space="preserve"> terminal </w:t>
      </w:r>
      <w:r w:rsidR="00D6204D" w:rsidRPr="00CD5B69">
        <w:rPr>
          <w:color w:val="auto"/>
        </w:rPr>
        <w:t xml:space="preserve">exponential </w:t>
      </w:r>
      <w:r w:rsidR="00820CFD" w:rsidRPr="00CD5B69">
        <w:rPr>
          <w:color w:val="auto"/>
        </w:rPr>
        <w:t>half-life</w:t>
      </w:r>
      <w:r w:rsidRPr="00CD5B69">
        <w:rPr>
          <w:color w:val="auto"/>
        </w:rPr>
        <w:t xml:space="preserve"> </w:t>
      </w:r>
      <w:r w:rsidR="00820CFD" w:rsidRPr="00CD5B69">
        <w:rPr>
          <w:color w:val="auto"/>
        </w:rPr>
        <w:t>(</w:t>
      </w:r>
      <w:r w:rsidRPr="00CD5B69">
        <w:rPr>
          <w:color w:val="auto"/>
        </w:rPr>
        <w:t>t1/2z</w:t>
      </w:r>
      <w:r w:rsidR="00820CFD" w:rsidRPr="00CD5B69">
        <w:rPr>
          <w:color w:val="auto"/>
        </w:rPr>
        <w:t>)</w:t>
      </w:r>
      <w:r w:rsidRPr="00CD5B69">
        <w:rPr>
          <w:color w:val="auto"/>
        </w:rPr>
        <w:t xml:space="preserve"> was ~ 19 days after repeated doses of 14 mg. After a single IV administration, the total body clearance of teriflunomide is 30.5 mL/h.</w:t>
      </w:r>
      <w:r w:rsidR="00011DCC" w:rsidRPr="00CD5B69">
        <w:rPr>
          <w:color w:val="auto"/>
        </w:rPr>
        <w:t xml:space="preserve"> </w:t>
      </w:r>
      <w:r w:rsidR="00011DCC" w:rsidRPr="00CD5B69">
        <w:rPr>
          <w:iCs/>
          <w:color w:val="auto"/>
          <w:lang w:eastAsia="ja-JP"/>
        </w:rPr>
        <w:t xml:space="preserve">Biliary recycling </w:t>
      </w:r>
      <w:r w:rsidR="00011DCC" w:rsidRPr="00CD5B69">
        <w:rPr>
          <w:color w:val="auto"/>
          <w:lang w:eastAsia="ja-JP"/>
        </w:rPr>
        <w:t xml:space="preserve">is </w:t>
      </w:r>
      <w:r w:rsidR="00011DCC" w:rsidRPr="00CD5B69">
        <w:rPr>
          <w:iCs/>
          <w:color w:val="auto"/>
          <w:lang w:eastAsia="ja-JP"/>
        </w:rPr>
        <w:t xml:space="preserve">a major contributor </w:t>
      </w:r>
      <w:r w:rsidR="00011DCC" w:rsidRPr="00CD5B69">
        <w:rPr>
          <w:color w:val="auto"/>
          <w:lang w:eastAsia="ja-JP"/>
        </w:rPr>
        <w:t xml:space="preserve">to </w:t>
      </w:r>
      <w:r w:rsidR="00A67CB3">
        <w:rPr>
          <w:iCs/>
          <w:color w:val="auto"/>
          <w:lang w:eastAsia="ja-JP"/>
        </w:rPr>
        <w:t>the long elimination half-lif</w:t>
      </w:r>
      <w:r w:rsidR="00011DCC" w:rsidRPr="00CD5B69">
        <w:rPr>
          <w:iCs/>
          <w:color w:val="auto"/>
          <w:lang w:eastAsia="ja-JP"/>
        </w:rPr>
        <w:t xml:space="preserve">e of teriflunomide. </w:t>
      </w:r>
      <w:r w:rsidR="00252BFD" w:rsidRPr="00CD5B69">
        <w:rPr>
          <w:color w:val="auto"/>
        </w:rPr>
        <w:t xml:space="preserve">After a single IV administration, the total body clearance of teriflunomide is 30.5 mL/h. </w:t>
      </w:r>
      <w:r w:rsidR="00011DCC" w:rsidRPr="00CD5B69">
        <w:rPr>
          <w:iCs/>
          <w:color w:val="auto"/>
          <w:lang w:eastAsia="ja-JP"/>
        </w:rPr>
        <w:t xml:space="preserve">Studies with both haemodialysis and CAPD (chronic ambulatory peritoneal dialysis) indicate </w:t>
      </w:r>
      <w:r w:rsidR="009F7BDB" w:rsidRPr="00CD5B69">
        <w:rPr>
          <w:iCs/>
          <w:color w:val="auto"/>
          <w:lang w:eastAsia="ja-JP"/>
        </w:rPr>
        <w:t>that teriflunomide is not dialys</w:t>
      </w:r>
      <w:r w:rsidR="00011DCC" w:rsidRPr="00CD5B69">
        <w:rPr>
          <w:iCs/>
          <w:color w:val="auto"/>
          <w:lang w:eastAsia="ja-JP"/>
        </w:rPr>
        <w:t>able.</w:t>
      </w:r>
    </w:p>
    <w:p w:rsidR="00AF04B5" w:rsidRPr="00CD5B69" w:rsidRDefault="000F59A9" w:rsidP="000F59A9">
      <w:pPr>
        <w:pStyle w:val="Heading3"/>
        <w:numPr>
          <w:ilvl w:val="0"/>
          <w:numId w:val="0"/>
        </w:numPr>
      </w:pPr>
      <w:bookmarkStart w:id="16" w:name="_Toc307918098"/>
      <w:r w:rsidRPr="00CD5B69">
        <w:t>Special populations</w:t>
      </w:r>
      <w:bookmarkEnd w:id="16"/>
    </w:p>
    <w:p w:rsidR="005D64D5" w:rsidRPr="00CD5B69" w:rsidRDefault="005D64D5" w:rsidP="008E65FD">
      <w:pPr>
        <w:pStyle w:val="Heading4"/>
        <w:numPr>
          <w:ilvl w:val="0"/>
          <w:numId w:val="0"/>
        </w:numPr>
        <w:rPr>
          <w:b w:val="0"/>
        </w:rPr>
      </w:pPr>
      <w:bookmarkStart w:id="17" w:name="_Toc307918099"/>
      <w:r w:rsidRPr="00CD5B69">
        <w:rPr>
          <w:b w:val="0"/>
        </w:rPr>
        <w:t>Gender, Elderly Paediatric patients</w:t>
      </w:r>
      <w:bookmarkEnd w:id="17"/>
    </w:p>
    <w:p w:rsidR="000F59A9" w:rsidRPr="00CD5B69" w:rsidRDefault="000F59A9" w:rsidP="000F59A9">
      <w:pPr>
        <w:tabs>
          <w:tab w:val="left" w:pos="8222"/>
        </w:tabs>
        <w:rPr>
          <w:iCs/>
          <w:color w:val="auto"/>
        </w:rPr>
      </w:pPr>
      <w:r w:rsidRPr="00CD5B69">
        <w:rPr>
          <w:iCs/>
          <w:color w:val="auto"/>
        </w:rPr>
        <w:t>Several sources of intrinsic variability were identified in healthy subjects and MS patients based on the population pharmacokinetic analysis: age, body weight, gender, race, and albumin and bilirubin levels. Nevertheless their impact remains limited (</w:t>
      </w:r>
      <w:r w:rsidRPr="00CD5B69">
        <w:rPr>
          <w:iCs/>
          <w:color w:val="auto"/>
        </w:rPr>
        <w:sym w:font="Symbol" w:char="F0A3"/>
      </w:r>
      <w:r w:rsidRPr="00CD5B69">
        <w:rPr>
          <w:iCs/>
          <w:color w:val="auto"/>
        </w:rPr>
        <w:t>31%).</w:t>
      </w:r>
    </w:p>
    <w:p w:rsidR="008E65FD" w:rsidRPr="00CD5B69" w:rsidRDefault="008E65FD" w:rsidP="008E65FD">
      <w:pPr>
        <w:pStyle w:val="Heading4"/>
        <w:numPr>
          <w:ilvl w:val="0"/>
          <w:numId w:val="0"/>
        </w:numPr>
        <w:rPr>
          <w:b w:val="0"/>
          <w:lang w:eastAsia="ja-JP"/>
        </w:rPr>
      </w:pPr>
      <w:bookmarkStart w:id="18" w:name="_Toc307918100"/>
      <w:r w:rsidRPr="00CD5B69">
        <w:rPr>
          <w:b w:val="0"/>
          <w:lang w:eastAsia="ja-JP"/>
        </w:rPr>
        <w:t>Hepatic impairment</w:t>
      </w:r>
      <w:bookmarkEnd w:id="18"/>
    </w:p>
    <w:p w:rsidR="008E65FD" w:rsidRPr="00CD5B69" w:rsidRDefault="008E65FD" w:rsidP="000F59A9">
      <w:pPr>
        <w:autoSpaceDE w:val="0"/>
        <w:autoSpaceDN w:val="0"/>
        <w:adjustRightInd w:val="0"/>
        <w:spacing w:before="0"/>
        <w:rPr>
          <w:rFonts w:ascii="Arial" w:hAnsi="Arial" w:cs="Arial"/>
          <w:color w:val="auto"/>
          <w:sz w:val="22"/>
          <w:szCs w:val="22"/>
          <w:lang w:eastAsia="ja-JP"/>
        </w:rPr>
      </w:pPr>
    </w:p>
    <w:p w:rsidR="008E65FD" w:rsidRPr="00CD5B69" w:rsidRDefault="000F59A9" w:rsidP="008E65FD">
      <w:pPr>
        <w:autoSpaceDE w:val="0"/>
        <w:autoSpaceDN w:val="0"/>
        <w:adjustRightInd w:val="0"/>
        <w:spacing w:before="0"/>
        <w:rPr>
          <w:color w:val="auto"/>
          <w:lang w:eastAsia="ja-JP"/>
        </w:rPr>
      </w:pPr>
      <w:r w:rsidRPr="00CD5B69">
        <w:rPr>
          <w:color w:val="auto"/>
          <w:lang w:eastAsia="ja-JP"/>
        </w:rPr>
        <w:t>Mild and moderate hepatic impairment had no impact on the pharmacokinetic</w:t>
      </w:r>
      <w:r w:rsidR="009415E1" w:rsidRPr="00CD5B69">
        <w:rPr>
          <w:color w:val="auto"/>
          <w:lang w:eastAsia="ja-JP"/>
        </w:rPr>
        <w:t>s</w:t>
      </w:r>
      <w:r w:rsidRPr="00CD5B69">
        <w:rPr>
          <w:color w:val="auto"/>
          <w:lang w:eastAsia="ja-JP"/>
        </w:rPr>
        <w:t xml:space="preserve"> of teriflunomide. Therefore no dose adjustment is anticipated in mild </w:t>
      </w:r>
      <w:r w:rsidR="009415E1" w:rsidRPr="00CD5B69">
        <w:rPr>
          <w:color w:val="auto"/>
          <w:lang w:eastAsia="ja-JP"/>
        </w:rPr>
        <w:t xml:space="preserve">to </w:t>
      </w:r>
      <w:r w:rsidRPr="00CD5B69">
        <w:rPr>
          <w:color w:val="auto"/>
          <w:lang w:eastAsia="ja-JP"/>
        </w:rPr>
        <w:t>mode</w:t>
      </w:r>
      <w:r w:rsidR="008E65FD" w:rsidRPr="00CD5B69">
        <w:rPr>
          <w:color w:val="auto"/>
          <w:lang w:eastAsia="ja-JP"/>
        </w:rPr>
        <w:t>rate hepatic</w:t>
      </w:r>
      <w:r w:rsidR="009415E1" w:rsidRPr="00CD5B69">
        <w:rPr>
          <w:color w:val="auto"/>
          <w:lang w:eastAsia="ja-JP"/>
        </w:rPr>
        <w:t>ally</w:t>
      </w:r>
      <w:r w:rsidR="008E65FD" w:rsidRPr="00CD5B69">
        <w:rPr>
          <w:color w:val="auto"/>
          <w:lang w:eastAsia="ja-JP"/>
        </w:rPr>
        <w:t xml:space="preserve"> impaired patients. However, teriflunomide is contraindicated in patients </w:t>
      </w:r>
      <w:r w:rsidR="00343A38" w:rsidRPr="00CD5B69">
        <w:rPr>
          <w:color w:val="auto"/>
          <w:lang w:eastAsia="ja-JP"/>
        </w:rPr>
        <w:t xml:space="preserve">with severe hepatic impairment </w:t>
      </w:r>
      <w:r w:rsidR="008E65FD" w:rsidRPr="00CD5B69">
        <w:rPr>
          <w:color w:val="auto"/>
          <w:lang w:eastAsia="ja-JP"/>
        </w:rPr>
        <w:t xml:space="preserve">(see </w:t>
      </w:r>
      <w:r w:rsidR="008E65FD" w:rsidRPr="00CD5B69">
        <w:rPr>
          <w:iCs/>
          <w:color w:val="auto"/>
          <w:lang w:eastAsia="ja-JP"/>
        </w:rPr>
        <w:t>CONTRAINDICATIONS</w:t>
      </w:r>
      <w:r w:rsidR="008E65FD" w:rsidRPr="00CD5B69">
        <w:rPr>
          <w:i/>
          <w:iCs/>
          <w:color w:val="auto"/>
          <w:lang w:eastAsia="ja-JP"/>
        </w:rPr>
        <w:t>)</w:t>
      </w:r>
      <w:r w:rsidR="00343A38" w:rsidRPr="00CD5B69">
        <w:rPr>
          <w:i/>
          <w:iCs/>
          <w:color w:val="auto"/>
          <w:lang w:eastAsia="ja-JP"/>
        </w:rPr>
        <w:t>.</w:t>
      </w:r>
    </w:p>
    <w:p w:rsidR="008E65FD" w:rsidRPr="00CD5B69" w:rsidRDefault="008E65FD" w:rsidP="008E65FD">
      <w:pPr>
        <w:pStyle w:val="Heading4"/>
        <w:numPr>
          <w:ilvl w:val="0"/>
          <w:numId w:val="0"/>
        </w:numPr>
        <w:rPr>
          <w:b w:val="0"/>
          <w:lang w:eastAsia="ja-JP"/>
        </w:rPr>
      </w:pPr>
      <w:bookmarkStart w:id="19" w:name="_Toc307918101"/>
      <w:r w:rsidRPr="00CD5B69">
        <w:rPr>
          <w:b w:val="0"/>
          <w:lang w:eastAsia="ja-JP"/>
        </w:rPr>
        <w:t>Renal impairment</w:t>
      </w:r>
      <w:bookmarkEnd w:id="19"/>
    </w:p>
    <w:p w:rsidR="008E65FD" w:rsidRPr="00CD5B69" w:rsidRDefault="008E65FD" w:rsidP="000F59A9">
      <w:pPr>
        <w:autoSpaceDE w:val="0"/>
        <w:autoSpaceDN w:val="0"/>
        <w:adjustRightInd w:val="0"/>
        <w:spacing w:before="0"/>
        <w:rPr>
          <w:rFonts w:ascii="Arial" w:hAnsi="Arial" w:cs="Arial"/>
          <w:color w:val="auto"/>
          <w:sz w:val="22"/>
          <w:szCs w:val="22"/>
          <w:lang w:eastAsia="ja-JP"/>
        </w:rPr>
      </w:pPr>
    </w:p>
    <w:p w:rsidR="008E65FD" w:rsidRPr="00CD5B69" w:rsidRDefault="008E65FD" w:rsidP="000F59A9">
      <w:pPr>
        <w:autoSpaceDE w:val="0"/>
        <w:autoSpaceDN w:val="0"/>
        <w:adjustRightInd w:val="0"/>
        <w:spacing w:before="0"/>
        <w:rPr>
          <w:color w:val="auto"/>
          <w:lang w:eastAsia="ja-JP"/>
        </w:rPr>
      </w:pPr>
      <w:r w:rsidRPr="00CD5B69">
        <w:rPr>
          <w:color w:val="auto"/>
          <w:lang w:eastAsia="ja-JP"/>
        </w:rPr>
        <w:t xml:space="preserve">Severe renal impairment had no impact on the pharmacokinetics of teriflunomide. Therefore, no dose adjustment </w:t>
      </w:r>
      <w:r w:rsidR="009415E1" w:rsidRPr="00CD5B69">
        <w:rPr>
          <w:color w:val="auto"/>
          <w:lang w:eastAsia="ja-JP"/>
        </w:rPr>
        <w:t xml:space="preserve">is </w:t>
      </w:r>
      <w:r w:rsidRPr="00CD5B69">
        <w:rPr>
          <w:color w:val="auto"/>
          <w:lang w:eastAsia="ja-JP"/>
        </w:rPr>
        <w:t>anticipated in severe renal</w:t>
      </w:r>
      <w:r w:rsidR="009415E1" w:rsidRPr="00CD5B69">
        <w:rPr>
          <w:color w:val="auto"/>
          <w:lang w:eastAsia="ja-JP"/>
        </w:rPr>
        <w:t>ly</w:t>
      </w:r>
      <w:r w:rsidRPr="00CD5B69">
        <w:rPr>
          <w:color w:val="auto"/>
          <w:lang w:eastAsia="ja-JP"/>
        </w:rPr>
        <w:t xml:space="preserve"> impaired patients.</w:t>
      </w:r>
    </w:p>
    <w:p w:rsidR="000F59A9" w:rsidRPr="00CD5B69" w:rsidRDefault="000D1DA9" w:rsidP="000D1DA9">
      <w:pPr>
        <w:pStyle w:val="Heading1"/>
        <w:pageBreakBefore w:val="0"/>
        <w:numPr>
          <w:ilvl w:val="0"/>
          <w:numId w:val="0"/>
        </w:numPr>
      </w:pPr>
      <w:bookmarkStart w:id="20" w:name="_Toc307918102"/>
      <w:r w:rsidRPr="00CD5B69">
        <w:lastRenderedPageBreak/>
        <w:t>clinical trials</w:t>
      </w:r>
      <w:bookmarkEnd w:id="20"/>
    </w:p>
    <w:p w:rsidR="000D1DA9" w:rsidRPr="00CD5B69" w:rsidRDefault="000D1DA9" w:rsidP="000D1DA9">
      <w:pPr>
        <w:rPr>
          <w:color w:val="auto"/>
        </w:rPr>
      </w:pPr>
      <w:r w:rsidRPr="00CD5B69">
        <w:rPr>
          <w:color w:val="auto"/>
        </w:rPr>
        <w:t xml:space="preserve">The efficacy of </w:t>
      </w:r>
      <w:r w:rsidR="00092AA1" w:rsidRPr="00CD5B69">
        <w:rPr>
          <w:color w:val="auto"/>
        </w:rPr>
        <w:t>Aubagio</w:t>
      </w:r>
      <w:r w:rsidRPr="00CD5B69">
        <w:rPr>
          <w:color w:val="auto"/>
        </w:rPr>
        <w:t xml:space="preserve"> was demonstrated in the EFC6049/TEMSO study that evaluated once daily doses of teriflunomide 7 mg and 14 mg</w:t>
      </w:r>
      <w:r w:rsidR="001905B5" w:rsidRPr="00CD5B69">
        <w:rPr>
          <w:color w:val="auto"/>
        </w:rPr>
        <w:t>. The patient population in this study included those with Relapsing Remitting Multiple Sclerosis and Secondary Progressive Multiple Sclerosis with superimposed relapses</w:t>
      </w:r>
      <w:r w:rsidRPr="00CD5B69">
        <w:rPr>
          <w:color w:val="auto"/>
        </w:rPr>
        <w:t>.</w:t>
      </w:r>
    </w:p>
    <w:p w:rsidR="000D1DA9" w:rsidRPr="00CD5B69" w:rsidRDefault="000D1DA9" w:rsidP="000D1DA9">
      <w:pPr>
        <w:rPr>
          <w:color w:val="auto"/>
        </w:rPr>
      </w:pPr>
      <w:r w:rsidRPr="00CD5B69">
        <w:rPr>
          <w:color w:val="auto"/>
        </w:rPr>
        <w:t>One thousand eighty-eight patients with RMS were randomi</w:t>
      </w:r>
      <w:r w:rsidR="000745E0" w:rsidRPr="00CD5B69">
        <w:rPr>
          <w:color w:val="auto"/>
        </w:rPr>
        <w:t>s</w:t>
      </w:r>
      <w:r w:rsidRPr="00CD5B69">
        <w:rPr>
          <w:color w:val="auto"/>
        </w:rPr>
        <w:t xml:space="preserve">ed to receive 7 mg (n=366) or 14 mg (n=359) of </w:t>
      </w:r>
      <w:r w:rsidR="00092AA1" w:rsidRPr="00CD5B69">
        <w:rPr>
          <w:color w:val="auto"/>
        </w:rPr>
        <w:t>Aubagio</w:t>
      </w:r>
      <w:r w:rsidRPr="00CD5B69">
        <w:rPr>
          <w:color w:val="auto"/>
        </w:rPr>
        <w:t xml:space="preserve"> or placebo (n= 363) for 108 weeks duration. All patients had a definite diagnosis (based on MacDonald criteria) of MS exhibiting a relapsing clinical course, with or without progression, and experienced at least 1 relapse over the year preceding the trial or at least 2 relapses over the 2 years preceding the trial. At entry, patients had an Expanded Disability Status Scale (EDSS) score ≤5.5. The mean age of the study population was 37.9 years. </w:t>
      </w:r>
    </w:p>
    <w:p w:rsidR="000D1DA9" w:rsidRPr="00CD5B69" w:rsidRDefault="000D1DA9" w:rsidP="00C55341">
      <w:pPr>
        <w:autoSpaceDE w:val="0"/>
        <w:autoSpaceDN w:val="0"/>
        <w:adjustRightInd w:val="0"/>
        <w:spacing w:before="0"/>
        <w:rPr>
          <w:color w:val="auto"/>
        </w:rPr>
      </w:pPr>
      <w:r w:rsidRPr="00CD5B69">
        <w:rPr>
          <w:color w:val="auto"/>
        </w:rPr>
        <w:t>The p</w:t>
      </w:r>
      <w:r w:rsidR="00641E1C" w:rsidRPr="00CD5B69">
        <w:rPr>
          <w:color w:val="auto"/>
        </w:rPr>
        <w:t>rimary endpoint was the annualis</w:t>
      </w:r>
      <w:r w:rsidRPr="00CD5B69">
        <w:rPr>
          <w:color w:val="auto"/>
        </w:rPr>
        <w:t xml:space="preserve">ed relapse rate (ARR). The </w:t>
      </w:r>
      <w:r w:rsidR="00641E1C" w:rsidRPr="00CD5B69">
        <w:rPr>
          <w:color w:val="auto"/>
        </w:rPr>
        <w:t>annualised</w:t>
      </w:r>
      <w:r w:rsidRPr="00CD5B69">
        <w:rPr>
          <w:color w:val="auto"/>
        </w:rPr>
        <w:t xml:space="preserve"> relapse rate was significantly lower in patients treated with </w:t>
      </w:r>
      <w:r w:rsidR="00092AA1" w:rsidRPr="00CD5B69">
        <w:rPr>
          <w:color w:val="auto"/>
        </w:rPr>
        <w:t>Aubagio</w:t>
      </w:r>
      <w:r w:rsidRPr="00CD5B69">
        <w:rPr>
          <w:color w:val="auto"/>
        </w:rPr>
        <w:t xml:space="preserve"> than in patients who received placebo. The key secondary endpoint was the time to disability progression, sustained for 12 weeks. </w:t>
      </w:r>
      <w:r w:rsidR="006C5971" w:rsidRPr="00CD5B69">
        <w:rPr>
          <w:color w:val="auto"/>
        </w:rPr>
        <w:t>Time to d</w:t>
      </w:r>
      <w:r w:rsidRPr="00CD5B69">
        <w:rPr>
          <w:color w:val="auto"/>
        </w:rPr>
        <w:t xml:space="preserve">isability progression was statistically significantly reduced in the teriflunomide 14 mg group compared to placebo. </w:t>
      </w:r>
      <w:r w:rsidR="002F45C7" w:rsidRPr="00CD5B69">
        <w:rPr>
          <w:color w:val="auto"/>
        </w:rPr>
        <w:t xml:space="preserve">A statistically significant difference in disability progression sustained for 24 weeks was not demonstrated. </w:t>
      </w:r>
      <w:r w:rsidR="00C55341" w:rsidRPr="00CD5B69">
        <w:rPr>
          <w:rFonts w:ascii="TimesNewRomanPSMT" w:hAnsi="TimesNewRomanPSMT" w:cs="TimesNewRomanPSMT"/>
          <w:color w:val="auto"/>
          <w:lang w:eastAsia="ja-JP"/>
        </w:rPr>
        <w:t xml:space="preserve">The estimated proportion of patients free of relapses at Week 108 was 45.6% in the placebo group and 56.5% in the teriflunomide 14 mg group. </w:t>
      </w:r>
      <w:r w:rsidR="00092AA1" w:rsidRPr="00CD5B69">
        <w:rPr>
          <w:color w:val="auto"/>
        </w:rPr>
        <w:t>Aubagio</w:t>
      </w:r>
      <w:r w:rsidRPr="00CD5B69">
        <w:rPr>
          <w:color w:val="auto"/>
        </w:rPr>
        <w:t xml:space="preserve"> effects on magnetic resonance imaging (MRI</w:t>
      </w:r>
      <w:r w:rsidR="00CD5B69">
        <w:rPr>
          <w:color w:val="auto"/>
        </w:rPr>
        <w:t xml:space="preserve">) variables (burden of disease </w:t>
      </w:r>
      <w:r w:rsidRPr="00CD5B69">
        <w:rPr>
          <w:color w:val="auto"/>
        </w:rPr>
        <w:t xml:space="preserve">defined as the total volume of all abnormal brain tissue lesions, and other MRI variables) were assessed. The results indicated that </w:t>
      </w:r>
      <w:r w:rsidR="00092AA1" w:rsidRPr="00CD5B69">
        <w:rPr>
          <w:color w:val="auto"/>
        </w:rPr>
        <w:t>Aubagio</w:t>
      </w:r>
      <w:r w:rsidRPr="00CD5B69">
        <w:rPr>
          <w:color w:val="auto"/>
        </w:rPr>
        <w:t xml:space="preserve"> 14 mg is more efficacious in disability progression and MRI parameters than </w:t>
      </w:r>
      <w:r w:rsidR="00092AA1" w:rsidRPr="00CD5B69">
        <w:rPr>
          <w:color w:val="auto"/>
        </w:rPr>
        <w:t>Aubagio</w:t>
      </w:r>
      <w:r w:rsidRPr="00CD5B69">
        <w:rPr>
          <w:color w:val="auto"/>
        </w:rPr>
        <w:t xml:space="preserve"> 7 mg.  The results for this study are shown in </w:t>
      </w:r>
      <w:fldSimple w:instr=" REF _Ref300328008 \h  \* MERGEFORMAT ">
        <w:r w:rsidR="00A50704" w:rsidRPr="00A50704">
          <w:rPr>
            <w:color w:val="auto"/>
          </w:rPr>
          <w:t>Table 1</w:t>
        </w:r>
      </w:fldSimple>
      <w:r w:rsidRPr="00CD5B69">
        <w:rPr>
          <w:color w:val="auto"/>
        </w:rPr>
        <w:t xml:space="preserve"> and </w:t>
      </w:r>
      <w:fldSimple w:instr=" REF _Ref330210188 \h  \* MERGEFORMAT ">
        <w:r w:rsidR="00A50704" w:rsidRPr="00A50704">
          <w:rPr>
            <w:color w:val="auto"/>
          </w:rPr>
          <w:t>Figure 1</w:t>
        </w:r>
      </w:fldSimple>
      <w:r w:rsidR="004E5C83" w:rsidRPr="00CD5B69">
        <w:rPr>
          <w:color w:val="auto"/>
        </w:rPr>
        <w:t xml:space="preserve"> </w:t>
      </w:r>
    </w:p>
    <w:p w:rsidR="00412BD2" w:rsidRPr="005B2BC7" w:rsidRDefault="000D1DA9" w:rsidP="005B2BC7">
      <w:pPr>
        <w:pStyle w:val="Caption"/>
        <w:rPr>
          <w:sz w:val="22"/>
          <w:szCs w:val="22"/>
        </w:rPr>
      </w:pPr>
      <w:bookmarkStart w:id="21" w:name="_Ref300328008"/>
      <w:bookmarkStart w:id="22" w:name="_Toc307918150"/>
      <w:r w:rsidRPr="00CD5B69">
        <w:rPr>
          <w:sz w:val="22"/>
          <w:szCs w:val="22"/>
        </w:rPr>
        <w:t>Table </w:t>
      </w:r>
      <w:r w:rsidRPr="00CD5B69">
        <w:rPr>
          <w:sz w:val="22"/>
          <w:szCs w:val="22"/>
        </w:rPr>
        <w:fldChar w:fldCharType="begin"/>
      </w:r>
      <w:r w:rsidRPr="00CD5B69">
        <w:rPr>
          <w:sz w:val="22"/>
          <w:szCs w:val="22"/>
        </w:rPr>
        <w:instrText xml:space="preserve"> SEQ Table \* ARABIC </w:instrText>
      </w:r>
      <w:r w:rsidRPr="00CD5B69">
        <w:rPr>
          <w:sz w:val="22"/>
          <w:szCs w:val="22"/>
        </w:rPr>
        <w:fldChar w:fldCharType="separate"/>
      </w:r>
      <w:r w:rsidR="00A50704">
        <w:rPr>
          <w:noProof/>
          <w:sz w:val="22"/>
          <w:szCs w:val="22"/>
        </w:rPr>
        <w:t>1</w:t>
      </w:r>
      <w:r w:rsidRPr="00CD5B69">
        <w:rPr>
          <w:sz w:val="22"/>
          <w:szCs w:val="22"/>
        </w:rPr>
        <w:fldChar w:fldCharType="end"/>
      </w:r>
      <w:bookmarkEnd w:id="21"/>
      <w:r w:rsidRPr="00CD5B69">
        <w:rPr>
          <w:sz w:val="22"/>
          <w:szCs w:val="22"/>
        </w:rPr>
        <w:t xml:space="preserve"> ­ Clinical and MRI Results of EFC6049/TEMSO Study</w:t>
      </w:r>
      <w:bookmarkEnd w:id="22"/>
    </w:p>
    <w:tbl>
      <w:tblPr>
        <w:tblW w:w="0" w:type="auto"/>
        <w:jc w:val="center"/>
        <w:tblBorders>
          <w:top w:val="single" w:sz="2" w:space="0" w:color="000000"/>
        </w:tblBorders>
        <w:tblLook w:val="01E0"/>
      </w:tblPr>
      <w:tblGrid>
        <w:gridCol w:w="4283"/>
        <w:gridCol w:w="1656"/>
        <w:gridCol w:w="1656"/>
        <w:gridCol w:w="2090"/>
      </w:tblGrid>
      <w:tr w:rsidR="000D1DA9" w:rsidRPr="00CD5B69" w:rsidTr="002958B4">
        <w:trPr>
          <w:cantSplit/>
          <w:tblHeader/>
          <w:jc w:val="center"/>
        </w:trPr>
        <w:tc>
          <w:tcPr>
            <w:tcW w:w="0" w:type="auto"/>
            <w:tcBorders>
              <w:top w:val="single" w:sz="4" w:space="0" w:color="000000"/>
              <w:bottom w:val="single" w:sz="4" w:space="0" w:color="000000"/>
            </w:tcBorders>
            <w:shd w:val="clear" w:color="auto" w:fill="auto"/>
          </w:tcPr>
          <w:p w:rsidR="000D1DA9" w:rsidRPr="00CD5B69" w:rsidRDefault="000D1DA9" w:rsidP="003B024F">
            <w:pPr>
              <w:pStyle w:val="TblHeadingCenter"/>
              <w:rPr>
                <w:rFonts w:ascii="Times New Roman" w:hAnsi="Times New Roman" w:cs="Times New Roman"/>
                <w:sz w:val="22"/>
                <w:lang w:val="en-US"/>
              </w:rPr>
            </w:pPr>
          </w:p>
        </w:tc>
        <w:tc>
          <w:tcPr>
            <w:tcW w:w="0" w:type="auto"/>
            <w:tcBorders>
              <w:top w:val="single" w:sz="4" w:space="0" w:color="000000"/>
              <w:bottom w:val="single" w:sz="4" w:space="0" w:color="000000"/>
            </w:tcBorders>
            <w:shd w:val="clear" w:color="auto" w:fill="auto"/>
          </w:tcPr>
          <w:p w:rsidR="000D1DA9" w:rsidRPr="00CD5B69" w:rsidRDefault="00092AA1" w:rsidP="003B024F">
            <w:pPr>
              <w:pStyle w:val="TblHeadingCenter"/>
              <w:rPr>
                <w:rFonts w:ascii="Times New Roman" w:hAnsi="Times New Roman" w:cs="Times New Roman"/>
                <w:sz w:val="22"/>
              </w:rPr>
            </w:pPr>
            <w:r w:rsidRPr="00CD5B69">
              <w:rPr>
                <w:rFonts w:ascii="Times New Roman" w:hAnsi="Times New Roman" w:cs="Times New Roman"/>
                <w:sz w:val="22"/>
              </w:rPr>
              <w:t>Aubagio</w:t>
            </w:r>
            <w:r w:rsidR="000D1DA9" w:rsidRPr="00CD5B69">
              <w:rPr>
                <w:rFonts w:ascii="Times New Roman" w:hAnsi="Times New Roman" w:cs="Times New Roman"/>
                <w:sz w:val="22"/>
              </w:rPr>
              <w:t xml:space="preserve"> 14 mg</w:t>
            </w:r>
          </w:p>
          <w:p w:rsidR="000D1DA9" w:rsidRPr="00CD5B69" w:rsidRDefault="000D1DA9" w:rsidP="003B024F">
            <w:pPr>
              <w:pStyle w:val="TblHeadingCenter"/>
              <w:rPr>
                <w:rFonts w:ascii="Times New Roman" w:hAnsi="Times New Roman" w:cs="Times New Roman"/>
                <w:sz w:val="22"/>
              </w:rPr>
            </w:pPr>
            <w:r w:rsidRPr="00CD5B69">
              <w:rPr>
                <w:rFonts w:ascii="Times New Roman" w:hAnsi="Times New Roman" w:cs="Times New Roman"/>
                <w:sz w:val="22"/>
              </w:rPr>
              <w:t>(N=358*)</w:t>
            </w:r>
            <w:r w:rsidRPr="00CD5B69">
              <w:rPr>
                <w:rFonts w:ascii="Times New Roman" w:hAnsi="Times New Roman" w:cs="Times New Roman"/>
                <w:sz w:val="22"/>
              </w:rPr>
              <w:tab/>
            </w:r>
          </w:p>
        </w:tc>
        <w:tc>
          <w:tcPr>
            <w:tcW w:w="0" w:type="auto"/>
            <w:tcBorders>
              <w:top w:val="single" w:sz="4" w:space="0" w:color="000000"/>
              <w:bottom w:val="single" w:sz="4" w:space="0" w:color="000000"/>
            </w:tcBorders>
            <w:shd w:val="clear" w:color="auto" w:fill="auto"/>
          </w:tcPr>
          <w:p w:rsidR="000D1DA9" w:rsidRPr="00CD5B69" w:rsidRDefault="000D1DA9" w:rsidP="003B024F">
            <w:pPr>
              <w:pStyle w:val="TblHeadingCenter"/>
              <w:rPr>
                <w:rFonts w:ascii="Times New Roman" w:hAnsi="Times New Roman" w:cs="Times New Roman"/>
                <w:sz w:val="22"/>
              </w:rPr>
            </w:pPr>
            <w:r w:rsidRPr="00CD5B69">
              <w:rPr>
                <w:rFonts w:ascii="Times New Roman" w:hAnsi="Times New Roman" w:cs="Times New Roman"/>
                <w:sz w:val="22"/>
              </w:rPr>
              <w:t>Placebo</w:t>
            </w:r>
          </w:p>
          <w:p w:rsidR="000D1DA9" w:rsidRPr="00CD5B69" w:rsidRDefault="000D1DA9" w:rsidP="003B024F">
            <w:pPr>
              <w:pStyle w:val="TblHeadingCenter"/>
              <w:rPr>
                <w:rFonts w:ascii="Times New Roman" w:hAnsi="Times New Roman" w:cs="Times New Roman"/>
                <w:sz w:val="22"/>
              </w:rPr>
            </w:pPr>
            <w:r w:rsidRPr="00CD5B69">
              <w:rPr>
                <w:rFonts w:ascii="Times New Roman" w:hAnsi="Times New Roman" w:cs="Times New Roman"/>
                <w:sz w:val="22"/>
              </w:rPr>
              <w:t>(N=363)</w:t>
            </w:r>
            <w:r w:rsidRPr="00CD5B69">
              <w:rPr>
                <w:rFonts w:ascii="Times New Roman" w:hAnsi="Times New Roman" w:cs="Times New Roman"/>
                <w:sz w:val="22"/>
              </w:rPr>
              <w:tab/>
            </w:r>
          </w:p>
        </w:tc>
        <w:tc>
          <w:tcPr>
            <w:tcW w:w="0" w:type="auto"/>
            <w:tcBorders>
              <w:top w:val="single" w:sz="4" w:space="0" w:color="000000"/>
              <w:bottom w:val="single" w:sz="4" w:space="0" w:color="000000"/>
            </w:tcBorders>
            <w:shd w:val="clear" w:color="auto" w:fill="auto"/>
          </w:tcPr>
          <w:p w:rsidR="000D1DA9" w:rsidRPr="00CD5B69" w:rsidRDefault="00092AA1" w:rsidP="003B024F">
            <w:pPr>
              <w:pStyle w:val="TblHeadingCenter"/>
              <w:rPr>
                <w:rFonts w:ascii="Times New Roman" w:hAnsi="Times New Roman" w:cs="Times New Roman"/>
                <w:sz w:val="22"/>
              </w:rPr>
            </w:pPr>
            <w:r w:rsidRPr="00CD5B69">
              <w:rPr>
                <w:rFonts w:ascii="Times New Roman" w:hAnsi="Times New Roman" w:cs="Times New Roman"/>
                <w:sz w:val="22"/>
              </w:rPr>
              <w:t>Aubagio</w:t>
            </w:r>
            <w:r w:rsidR="000D1DA9" w:rsidRPr="00CD5B69">
              <w:rPr>
                <w:rFonts w:ascii="Times New Roman" w:hAnsi="Times New Roman" w:cs="Times New Roman"/>
                <w:sz w:val="22"/>
              </w:rPr>
              <w:t xml:space="preserve"> 14 mg versus Placebo</w:t>
            </w:r>
          </w:p>
        </w:tc>
      </w:tr>
      <w:tr w:rsidR="000D1DA9" w:rsidRPr="00CD5B69" w:rsidTr="002958B4">
        <w:trPr>
          <w:cantSplit/>
          <w:jc w:val="center"/>
        </w:trPr>
        <w:tc>
          <w:tcPr>
            <w:tcW w:w="0" w:type="auto"/>
            <w:tcBorders>
              <w:top w:val="single" w:sz="4" w:space="0" w:color="000000"/>
            </w:tcBorders>
            <w:shd w:val="clear" w:color="auto" w:fill="auto"/>
          </w:tcPr>
          <w:p w:rsidR="000D1DA9" w:rsidRPr="00CD5B69" w:rsidRDefault="000D1DA9" w:rsidP="003B024F">
            <w:pPr>
              <w:pStyle w:val="TblTextCenter"/>
              <w:rPr>
                <w:rFonts w:ascii="Times New Roman" w:hAnsi="Times New Roman"/>
                <w:b/>
                <w:sz w:val="22"/>
              </w:rPr>
            </w:pPr>
            <w:r w:rsidRPr="00CD5B69">
              <w:rPr>
                <w:rFonts w:ascii="Times New Roman" w:hAnsi="Times New Roman"/>
                <w:b/>
                <w:sz w:val="22"/>
              </w:rPr>
              <w:t>Clinical Endpoints</w:t>
            </w:r>
          </w:p>
        </w:tc>
        <w:tc>
          <w:tcPr>
            <w:tcW w:w="0" w:type="auto"/>
            <w:gridSpan w:val="3"/>
            <w:shd w:val="clear" w:color="auto" w:fill="auto"/>
          </w:tcPr>
          <w:p w:rsidR="000D1DA9" w:rsidRPr="00CD5B69" w:rsidRDefault="000D1DA9" w:rsidP="003B024F">
            <w:pPr>
              <w:pStyle w:val="TblTextCenter"/>
              <w:rPr>
                <w:rFonts w:ascii="Times New Roman" w:hAnsi="Times New Roman"/>
                <w:sz w:val="22"/>
              </w:rPr>
            </w:pPr>
          </w:p>
        </w:tc>
      </w:tr>
      <w:tr w:rsidR="000D1DA9" w:rsidRPr="00CD5B69" w:rsidTr="002958B4">
        <w:trPr>
          <w:cantSplit/>
          <w:jc w:val="center"/>
        </w:trPr>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ARR: adjusted (primary endpoint)</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0.369</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0.539</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RR</w:t>
            </w:r>
            <w:r w:rsidRPr="00CD5B69">
              <w:rPr>
                <w:rFonts w:ascii="Times New Roman" w:hAnsi="Times New Roman"/>
                <w:sz w:val="22"/>
                <w:vertAlign w:val="superscript"/>
              </w:rPr>
              <w:t>a</w:t>
            </w:r>
            <w:r w:rsidRPr="00CD5B69">
              <w:rPr>
                <w:rFonts w:ascii="Times New Roman" w:hAnsi="Times New Roman"/>
                <w:sz w:val="22"/>
              </w:rPr>
              <w:t xml:space="preserve"> (95% CI): 0.69 (0.55, 0.85) </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0.0005</w:t>
            </w:r>
            <w:r w:rsidRPr="00CD5B69">
              <w:rPr>
                <w:rFonts w:ascii="Times New Roman" w:hAnsi="Times New Roman"/>
                <w:sz w:val="22"/>
                <w:vertAlign w:val="superscript"/>
              </w:rPr>
              <w:t>b</w:t>
            </w:r>
          </w:p>
        </w:tc>
      </w:tr>
      <w:tr w:rsidR="000D1DA9" w:rsidRPr="00CD5B69" w:rsidTr="002958B4">
        <w:trPr>
          <w:cantSplit/>
          <w:jc w:val="center"/>
        </w:trPr>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Probability of disability progression at Week 108</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20.2%</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27.3%</w:t>
            </w:r>
          </w:p>
        </w:tc>
        <w:tc>
          <w:tcPr>
            <w:tcW w:w="0" w:type="auto"/>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HR</w:t>
            </w:r>
            <w:r w:rsidRPr="00CD5B69">
              <w:rPr>
                <w:rFonts w:ascii="Times New Roman" w:hAnsi="Times New Roman"/>
                <w:sz w:val="22"/>
                <w:vertAlign w:val="superscript"/>
              </w:rPr>
              <w:t>c</w:t>
            </w:r>
            <w:r w:rsidRPr="00CD5B69">
              <w:rPr>
                <w:rFonts w:ascii="Times New Roman" w:hAnsi="Times New Roman"/>
                <w:sz w:val="22"/>
              </w:rPr>
              <w:t xml:space="preserve"> (95% CI): 0.70 (0.51, 0.97) 0.0279</w:t>
            </w:r>
            <w:r w:rsidRPr="00CD5B69">
              <w:rPr>
                <w:rFonts w:ascii="Times New Roman" w:hAnsi="Times New Roman"/>
                <w:sz w:val="22"/>
                <w:vertAlign w:val="superscript"/>
              </w:rPr>
              <w:t>b</w:t>
            </w:r>
          </w:p>
        </w:tc>
      </w:tr>
      <w:tr w:rsidR="000D1DA9" w:rsidRPr="00CD5B69" w:rsidTr="002958B4">
        <w:trPr>
          <w:cantSplit/>
          <w:jc w:val="center"/>
        </w:trPr>
        <w:tc>
          <w:tcPr>
            <w:tcW w:w="0" w:type="auto"/>
            <w:shd w:val="clear" w:color="auto" w:fill="auto"/>
          </w:tcPr>
          <w:p w:rsidR="000D1DA9" w:rsidRPr="00CD5B69" w:rsidRDefault="000D1DA9" w:rsidP="003B024F">
            <w:pPr>
              <w:pStyle w:val="TblTextCenter"/>
              <w:rPr>
                <w:rFonts w:ascii="Times New Roman" w:hAnsi="Times New Roman"/>
                <w:b/>
                <w:sz w:val="22"/>
              </w:rPr>
            </w:pPr>
            <w:r w:rsidRPr="00CD5B69">
              <w:rPr>
                <w:rFonts w:ascii="Times New Roman" w:hAnsi="Times New Roman"/>
                <w:b/>
                <w:sz w:val="22"/>
              </w:rPr>
              <w:t>MRI Endpoint</w:t>
            </w:r>
          </w:p>
        </w:tc>
        <w:tc>
          <w:tcPr>
            <w:tcW w:w="0" w:type="auto"/>
            <w:gridSpan w:val="3"/>
            <w:shd w:val="clear" w:color="auto" w:fill="auto"/>
          </w:tcPr>
          <w:p w:rsidR="000D1DA9" w:rsidRPr="00CD5B69" w:rsidRDefault="000D1DA9" w:rsidP="003B024F">
            <w:pPr>
              <w:pStyle w:val="TblTextCenter"/>
              <w:rPr>
                <w:rFonts w:ascii="Times New Roman" w:hAnsi="Times New Roman"/>
                <w:sz w:val="22"/>
              </w:rPr>
            </w:pPr>
          </w:p>
        </w:tc>
      </w:tr>
      <w:tr w:rsidR="000D1DA9" w:rsidRPr="00CD5B69" w:rsidTr="00BA5884">
        <w:trPr>
          <w:cantSplit/>
          <w:jc w:val="center"/>
        </w:trPr>
        <w:tc>
          <w:tcPr>
            <w:tcW w:w="0" w:type="auto"/>
            <w:tcBorders>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lastRenderedPageBreak/>
              <w:t xml:space="preserve">Burden of disease (mL) </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Mean (SD) change from baseline at Week 108</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Mean (SD) [LSM (SE)] change in absolute value of cubic root transformed BOD from baseline at Week 108</w:t>
            </w:r>
          </w:p>
        </w:tc>
        <w:tc>
          <w:tcPr>
            <w:tcW w:w="0" w:type="auto"/>
            <w:tcBorders>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0.723 (7.59)</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0.045 (0.30)</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[0.043 (0.02)]</w:t>
            </w:r>
          </w:p>
        </w:tc>
        <w:tc>
          <w:tcPr>
            <w:tcW w:w="0" w:type="auto"/>
            <w:tcBorders>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2.208 (7.00)</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0.111 (0.31)</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[0.132 (0.02)]</w:t>
            </w:r>
          </w:p>
        </w:tc>
        <w:tc>
          <w:tcPr>
            <w:tcW w:w="0" w:type="auto"/>
            <w:tcBorders>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 xml:space="preserve">LSM mean difference (SE) from placebo: </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-0.089 (0.025) 0.0003</w:t>
            </w:r>
            <w:r w:rsidRPr="00CD5B69">
              <w:rPr>
                <w:rFonts w:ascii="Times New Roman" w:hAnsi="Times New Roman"/>
                <w:sz w:val="22"/>
                <w:vertAlign w:val="superscript"/>
              </w:rPr>
              <w:t>b</w:t>
            </w:r>
          </w:p>
        </w:tc>
      </w:tr>
      <w:tr w:rsidR="000D1DA9" w:rsidRPr="00CD5B69" w:rsidTr="00BA5884">
        <w:trPr>
          <w:cantSplit/>
          <w:jc w:val="center"/>
        </w:trPr>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Number of Gd-enhancing T1 lesion per MRI scan at Week 108</w:t>
            </w:r>
          </w:p>
        </w:tc>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0.261</w:t>
            </w:r>
          </w:p>
        </w:tc>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1.331</w:t>
            </w:r>
          </w:p>
        </w:tc>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RR</w:t>
            </w:r>
            <w:r w:rsidRPr="00CD5B69">
              <w:rPr>
                <w:rFonts w:ascii="Times New Roman" w:hAnsi="Times New Roman"/>
                <w:sz w:val="22"/>
                <w:vertAlign w:val="superscript"/>
              </w:rPr>
              <w:t>a</w:t>
            </w:r>
            <w:r w:rsidRPr="00CD5B69">
              <w:rPr>
                <w:rFonts w:ascii="Times New Roman" w:hAnsi="Times New Roman"/>
                <w:sz w:val="22"/>
              </w:rPr>
              <w:t xml:space="preserve"> (95% CI): 0.196 (0.120,</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0.321)</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&lt;0.0001</w:t>
            </w:r>
            <w:r w:rsidRPr="00CD5B69">
              <w:rPr>
                <w:rFonts w:ascii="Times New Roman" w:hAnsi="Times New Roman"/>
                <w:sz w:val="22"/>
                <w:vertAlign w:val="superscript"/>
              </w:rPr>
              <w:t>b</w:t>
            </w:r>
          </w:p>
        </w:tc>
      </w:tr>
      <w:tr w:rsidR="000D1DA9" w:rsidRPr="00CD5B69" w:rsidTr="00A37562">
        <w:trPr>
          <w:cantSplit/>
          <w:jc w:val="center"/>
        </w:trPr>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r w:rsidRPr="00CD5B69">
              <w:rPr>
                <w:rFonts w:ascii="Times New Roman" w:hAnsi="Times New Roman"/>
                <w:sz w:val="22"/>
              </w:rPr>
              <w:t>Volume of hypointense T1 lesions (ml)</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Mean (SD) change from baseline at Week 108</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LS Mean (SE) change from baseline at Week 108</w:t>
            </w:r>
          </w:p>
        </w:tc>
        <w:tc>
          <w:tcPr>
            <w:tcW w:w="1656" w:type="dxa"/>
            <w:tcBorders>
              <w:top w:val="nil"/>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0.331 (1.012)</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0.066 (0.009</w:t>
            </w:r>
            <w:r w:rsidR="001D2B56" w:rsidRPr="00CD5B69">
              <w:rPr>
                <w:rFonts w:ascii="Times New Roman" w:hAnsi="Times New Roman"/>
                <w:sz w:val="22"/>
              </w:rPr>
              <w:t>)</w:t>
            </w:r>
          </w:p>
        </w:tc>
        <w:tc>
          <w:tcPr>
            <w:tcW w:w="1656" w:type="dxa"/>
            <w:tcBorders>
              <w:top w:val="nil"/>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0.533 (1.063)</w:t>
            </w: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0.096 (0.009)</w:t>
            </w:r>
          </w:p>
        </w:tc>
        <w:tc>
          <w:tcPr>
            <w:tcW w:w="0" w:type="auto"/>
            <w:tcBorders>
              <w:top w:val="nil"/>
              <w:bottom w:val="nil"/>
            </w:tcBorders>
            <w:shd w:val="clear" w:color="auto" w:fill="auto"/>
          </w:tcPr>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0D1DA9" w:rsidRPr="00CD5B69" w:rsidRDefault="000D1DA9" w:rsidP="003B024F">
            <w:pPr>
              <w:pStyle w:val="TblTextCenter"/>
              <w:rPr>
                <w:rFonts w:ascii="Times New Roman" w:hAnsi="Times New Roman"/>
                <w:sz w:val="22"/>
              </w:rPr>
            </w:pPr>
          </w:p>
          <w:p w:rsidR="00641108" w:rsidRPr="00CD5B69" w:rsidRDefault="000D1DA9" w:rsidP="003B024F">
            <w:pPr>
              <w:pStyle w:val="TblTextCenter"/>
              <w:rPr>
                <w:rFonts w:ascii="Times New Roman" w:hAnsi="Times New Roman"/>
                <w:sz w:val="22"/>
              </w:rPr>
            </w:pPr>
            <w:r w:rsidRPr="00CD5B69">
              <w:rPr>
                <w:rFonts w:ascii="Times New Roman" w:hAnsi="Times New Roman"/>
                <w:sz w:val="22"/>
              </w:rPr>
              <w:t>LSM mean difference (SE) from placebo:</w:t>
            </w:r>
          </w:p>
          <w:p w:rsidR="000D1DA9" w:rsidRPr="00CD5B69" w:rsidRDefault="00641108" w:rsidP="003B024F">
            <w:pPr>
              <w:pStyle w:val="TblTextCenter"/>
              <w:rPr>
                <w:rFonts w:ascii="Times New Roman" w:hAnsi="Times New Roman"/>
                <w:sz w:val="22"/>
              </w:rPr>
            </w:pPr>
            <w:r w:rsidRPr="00CD5B69">
              <w:rPr>
                <w:rFonts w:ascii="Times New Roman" w:hAnsi="Times New Roman"/>
                <w:sz w:val="22"/>
              </w:rPr>
              <w:t>-</w:t>
            </w:r>
            <w:r w:rsidRPr="00CD5B69">
              <w:rPr>
                <w:rStyle w:val="CommentReference"/>
                <w:rFonts w:ascii="Times New Roman" w:eastAsia="MS Mincho" w:hAnsi="Times New Roman"/>
              </w:rPr>
              <w:t xml:space="preserve"> </w:t>
            </w:r>
            <w:r w:rsidR="000D1DA9" w:rsidRPr="00CD5B69">
              <w:rPr>
                <w:rFonts w:ascii="Times New Roman" w:hAnsi="Times New Roman"/>
                <w:sz w:val="22"/>
              </w:rPr>
              <w:t>0.030 (0.013)</w:t>
            </w:r>
          </w:p>
          <w:p w:rsidR="000D1DA9" w:rsidRPr="00CD5B69" w:rsidRDefault="000D1DA9" w:rsidP="003B024F">
            <w:pPr>
              <w:pStyle w:val="TblTextCenter"/>
              <w:rPr>
                <w:rFonts w:ascii="Times New Roman" w:hAnsi="Times New Roman"/>
                <w:sz w:val="22"/>
              </w:rPr>
            </w:pPr>
            <w:r w:rsidRPr="00CD5B69">
              <w:rPr>
                <w:rFonts w:ascii="Times New Roman" w:hAnsi="Times New Roman"/>
                <w:sz w:val="22"/>
              </w:rPr>
              <w:t>0.0161</w:t>
            </w:r>
            <w:r w:rsidRPr="00CD5B69">
              <w:rPr>
                <w:rFonts w:ascii="Times New Roman" w:hAnsi="Times New Roman"/>
                <w:sz w:val="22"/>
                <w:vertAlign w:val="superscript"/>
              </w:rPr>
              <w:t>b</w:t>
            </w:r>
          </w:p>
        </w:tc>
      </w:tr>
      <w:tr w:rsidR="000D1DA9" w:rsidRPr="00CD5B69" w:rsidTr="00BA5884">
        <w:trPr>
          <w:cantSplit/>
          <w:jc w:val="center"/>
        </w:trPr>
        <w:tc>
          <w:tcPr>
            <w:tcW w:w="0" w:type="auto"/>
            <w:gridSpan w:val="4"/>
            <w:tcBorders>
              <w:top w:val="nil"/>
            </w:tcBorders>
            <w:shd w:val="clear" w:color="auto" w:fill="auto"/>
          </w:tcPr>
          <w:p w:rsidR="000D1DA9" w:rsidRPr="00CD5B69" w:rsidRDefault="000D1DA9" w:rsidP="003B024F">
            <w:pPr>
              <w:pStyle w:val="TblFigFootnote"/>
              <w:rPr>
                <w:rFonts w:ascii="Times New Roman" w:hAnsi="Times New Roman"/>
              </w:rPr>
            </w:pPr>
            <w:r w:rsidRPr="00CD5B69">
              <w:rPr>
                <w:rFonts w:ascii="Times New Roman" w:hAnsi="Times New Roman"/>
              </w:rPr>
              <w:t>*One patient randomized to teriflunomide 14mg was not treated.</w:t>
            </w:r>
          </w:p>
          <w:p w:rsidR="000D1DA9" w:rsidRPr="00CD5B69" w:rsidRDefault="000D1DA9" w:rsidP="003B024F">
            <w:pPr>
              <w:pStyle w:val="TblFigFootnote"/>
              <w:rPr>
                <w:rFonts w:ascii="Times New Roman" w:hAnsi="Times New Roman"/>
              </w:rPr>
            </w:pPr>
            <w:r w:rsidRPr="00CD5B69">
              <w:rPr>
                <w:rFonts w:ascii="Times New Roman" w:hAnsi="Times New Roman"/>
              </w:rPr>
              <w:t>a: Relative risk</w:t>
            </w:r>
          </w:p>
          <w:p w:rsidR="000D1DA9" w:rsidRPr="00CD5B69" w:rsidRDefault="000D1DA9" w:rsidP="003B024F">
            <w:pPr>
              <w:pStyle w:val="TblFigFootnote"/>
              <w:rPr>
                <w:rFonts w:ascii="Times New Roman" w:hAnsi="Times New Roman"/>
              </w:rPr>
            </w:pPr>
            <w:r w:rsidRPr="00CD5B69">
              <w:rPr>
                <w:rFonts w:ascii="Times New Roman" w:hAnsi="Times New Roman"/>
              </w:rPr>
              <w:t>b: p value</w:t>
            </w:r>
          </w:p>
          <w:p w:rsidR="000D1DA9" w:rsidRPr="00CD5B69" w:rsidRDefault="000D1DA9" w:rsidP="003B024F">
            <w:pPr>
              <w:pStyle w:val="TblFigFootnote"/>
              <w:rPr>
                <w:rFonts w:ascii="Times New Roman" w:hAnsi="Times New Roman"/>
              </w:rPr>
            </w:pPr>
            <w:r w:rsidRPr="00CD5B69">
              <w:rPr>
                <w:rFonts w:ascii="Times New Roman" w:hAnsi="Times New Roman"/>
              </w:rPr>
              <w:t>c: Hazard ratio</w:t>
            </w:r>
          </w:p>
          <w:p w:rsidR="00431B1F" w:rsidRPr="00CD5B69" w:rsidRDefault="00431B1F" w:rsidP="003B024F">
            <w:pPr>
              <w:pStyle w:val="TblFigFootnote"/>
              <w:rPr>
                <w:rFonts w:ascii="Times New Roman" w:hAnsi="Times New Roman"/>
              </w:rPr>
            </w:pPr>
            <w:r w:rsidRPr="00CD5B69">
              <w:rPr>
                <w:rFonts w:ascii="Times New Roman" w:hAnsi="Times New Roman"/>
              </w:rPr>
              <w:t>ARR – Annualised Relapse Rate</w:t>
            </w:r>
          </w:p>
          <w:p w:rsidR="00431B1F" w:rsidRPr="00CD5B69" w:rsidRDefault="00431B1F" w:rsidP="003B024F">
            <w:pPr>
              <w:pStyle w:val="TblFigFootnote"/>
              <w:rPr>
                <w:rFonts w:ascii="Times New Roman" w:hAnsi="Times New Roman"/>
              </w:rPr>
            </w:pPr>
            <w:r w:rsidRPr="00CD5B69">
              <w:rPr>
                <w:rFonts w:ascii="Times New Roman" w:hAnsi="Times New Roman"/>
              </w:rPr>
              <w:t>BOD – Burden of disease</w:t>
            </w:r>
          </w:p>
          <w:p w:rsidR="00431B1F" w:rsidRPr="00CD5B69" w:rsidRDefault="00431B1F" w:rsidP="003B024F">
            <w:pPr>
              <w:pStyle w:val="TblFigFootnote"/>
              <w:rPr>
                <w:rFonts w:ascii="Times New Roman" w:hAnsi="Times New Roman"/>
                <w:sz w:val="22"/>
              </w:rPr>
            </w:pPr>
            <w:r w:rsidRPr="00CD5B69">
              <w:rPr>
                <w:rFonts w:ascii="Times New Roman" w:hAnsi="Times New Roman"/>
              </w:rPr>
              <w:t>HR – Hazard Ratio</w:t>
            </w:r>
          </w:p>
        </w:tc>
      </w:tr>
    </w:tbl>
    <w:p w:rsidR="000D1DA9" w:rsidRPr="00CD5B69" w:rsidRDefault="000D1DA9" w:rsidP="000D1DA9">
      <w:pPr>
        <w:pStyle w:val="Caption"/>
        <w:rPr>
          <w:rFonts w:ascii="Times New Roman" w:hAnsi="Times New Roman" w:cs="Times New Roman"/>
          <w:sz w:val="22"/>
        </w:rPr>
      </w:pPr>
      <w:bookmarkStart w:id="23" w:name="_Toc307918153"/>
      <w:bookmarkStart w:id="24" w:name="_Ref300328144"/>
      <w:bookmarkStart w:id="25" w:name="_Ref330210188"/>
      <w:r w:rsidRPr="00CD5B69">
        <w:lastRenderedPageBreak/>
        <w:t>Figure </w:t>
      </w:r>
      <w:fldSimple w:instr=" SEQ Figure \* ARABIC ">
        <w:r w:rsidR="00A50704">
          <w:rPr>
            <w:noProof/>
          </w:rPr>
          <w:t>1</w:t>
        </w:r>
      </w:fldSimple>
      <w:bookmarkEnd w:id="24"/>
      <w:bookmarkEnd w:id="25"/>
      <w:r w:rsidRPr="00CD5B69">
        <w:t xml:space="preserve"> ­ </w:t>
      </w:r>
      <w:r w:rsidRPr="00CD5B69">
        <w:rPr>
          <w:rFonts w:ascii="Times New Roman" w:hAnsi="Times New Roman" w:cs="Times New Roman"/>
          <w:sz w:val="22"/>
        </w:rPr>
        <w:t>Kaplan-Meier plot of time to disability progression sustained for 12 weeks - intent-to-treat population</w:t>
      </w:r>
      <w:bookmarkEnd w:id="23"/>
      <w:r w:rsidRPr="00CD5B69">
        <w:rPr>
          <w:rFonts w:ascii="Times New Roman" w:hAnsi="Times New Roman" w:cs="Times New Roman"/>
          <w:sz w:val="22"/>
        </w:rPr>
        <w:t xml:space="preserve"> </w:t>
      </w:r>
    </w:p>
    <w:p w:rsidR="000D1DA9" w:rsidRPr="00CD5B69" w:rsidRDefault="005029DD" w:rsidP="000745E0">
      <w:pPr>
        <w:rPr>
          <w:noProof/>
          <w:color w:val="auto"/>
        </w:rPr>
      </w:pPr>
      <w:r>
        <w:rPr>
          <w:b/>
          <w:bCs/>
          <w:noProof/>
          <w:color w:val="auto"/>
          <w:spacing w:val="-2"/>
          <w:lang w:val="en-AU" w:eastAsia="en-AU"/>
        </w:rPr>
        <w:drawing>
          <wp:inline distT="0" distB="0" distL="0" distR="0">
            <wp:extent cx="5400675" cy="4171950"/>
            <wp:effectExtent l="19050" t="0" r="9525"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9" cstate="print"/>
                    <a:srcRect/>
                    <a:stretch>
                      <a:fillRect/>
                    </a:stretch>
                  </pic:blipFill>
                  <pic:spPr bwMode="auto">
                    <a:xfrm>
                      <a:off x="0" y="0"/>
                      <a:ext cx="5400675" cy="4171950"/>
                    </a:xfrm>
                    <a:prstGeom prst="rect">
                      <a:avLst/>
                    </a:prstGeom>
                    <a:noFill/>
                    <a:ln w="9525">
                      <a:noFill/>
                      <a:miter lim="800000"/>
                      <a:headEnd/>
                      <a:tailEnd/>
                    </a:ln>
                  </pic:spPr>
                </pic:pic>
              </a:graphicData>
            </a:graphic>
          </wp:inline>
        </w:drawing>
      </w:r>
    </w:p>
    <w:p w:rsidR="00911480" w:rsidRPr="00CD5B69" w:rsidRDefault="00C748C2" w:rsidP="00911480">
      <w:pPr>
        <w:rPr>
          <w:color w:val="auto"/>
        </w:rPr>
      </w:pPr>
      <w:r w:rsidRPr="00CD5B69">
        <w:rPr>
          <w:color w:val="auto"/>
        </w:rPr>
        <w:t>The probability of disability progression at 108 weeks (with 90% CIs) was 0.273 (0.223, 0.323) for placebo and 0.202 (0.156, 0.247) for teriflunomide 14mg.</w:t>
      </w:r>
    </w:p>
    <w:p w:rsidR="00911480" w:rsidRPr="00CD5B69" w:rsidRDefault="00911480" w:rsidP="00911480">
      <w:pPr>
        <w:rPr>
          <w:color w:val="auto"/>
        </w:rPr>
      </w:pPr>
      <w:r w:rsidRPr="00CD5B69">
        <w:rPr>
          <w:color w:val="auto"/>
        </w:rPr>
        <w:t xml:space="preserve">The </w:t>
      </w:r>
      <w:r w:rsidR="00092AA1" w:rsidRPr="00CD5B69">
        <w:rPr>
          <w:color w:val="auto"/>
        </w:rPr>
        <w:t>Aubagio</w:t>
      </w:r>
      <w:r w:rsidRPr="00CD5B69">
        <w:rPr>
          <w:color w:val="auto"/>
        </w:rPr>
        <w:t xml:space="preserve"> MRI activity was also shown in a phase 2 study. A total of 179 patients received 7 mg (n=61) or 14 mg (n=57) of </w:t>
      </w:r>
      <w:r w:rsidR="00641E1C" w:rsidRPr="00CD5B69">
        <w:rPr>
          <w:color w:val="auto"/>
        </w:rPr>
        <w:t>Augabio</w:t>
      </w:r>
      <w:r w:rsidRPr="00CD5B69">
        <w:rPr>
          <w:color w:val="auto"/>
        </w:rPr>
        <w:t xml:space="preserve"> or placebo (n= 61) for 36 weeks duration. Baseline demographics were consistent across treatment groups. The mean number of unique active lesions per brain MRI scan during the 36-week treatment period was lower in patients treated </w:t>
      </w:r>
      <w:r w:rsidRPr="00CD5B69">
        <w:rPr>
          <w:rFonts w:ascii="Arial" w:hAnsi="Arial" w:cs="Arial"/>
          <w:color w:val="auto"/>
          <w:sz w:val="22"/>
          <w:szCs w:val="22"/>
        </w:rPr>
        <w:t xml:space="preserve">with </w:t>
      </w:r>
      <w:r w:rsidR="00092AA1" w:rsidRPr="00CD5B69">
        <w:rPr>
          <w:color w:val="auto"/>
        </w:rPr>
        <w:t>Aubagio</w:t>
      </w:r>
      <w:r w:rsidRPr="00CD5B69">
        <w:rPr>
          <w:color w:val="auto"/>
        </w:rPr>
        <w:t xml:space="preserve"> 14 mg (0.98) as compared to placebo (2.69), the difference being statistically significant (p=0.0052).</w:t>
      </w:r>
    </w:p>
    <w:p w:rsidR="00911480" w:rsidRPr="00CD5B69" w:rsidRDefault="00911480" w:rsidP="00911480">
      <w:pPr>
        <w:pStyle w:val="Heading1"/>
        <w:pageBreakBefore w:val="0"/>
        <w:numPr>
          <w:ilvl w:val="0"/>
          <w:numId w:val="0"/>
        </w:numPr>
      </w:pPr>
      <w:bookmarkStart w:id="26" w:name="_Toc307918103"/>
      <w:r w:rsidRPr="00CD5B69">
        <w:lastRenderedPageBreak/>
        <w:t>indications</w:t>
      </w:r>
      <w:bookmarkEnd w:id="26"/>
    </w:p>
    <w:p w:rsidR="00B9457F" w:rsidRPr="00CD5B69" w:rsidRDefault="00092AA1" w:rsidP="00C5199A">
      <w:pPr>
        <w:rPr>
          <w:color w:val="auto"/>
        </w:rPr>
      </w:pPr>
      <w:bookmarkStart w:id="27" w:name="OLE_LINK7"/>
      <w:bookmarkStart w:id="28" w:name="OLE_LINK1"/>
      <w:bookmarkStart w:id="29" w:name="OLE_LINK2"/>
      <w:r w:rsidRPr="00CD5B69">
        <w:rPr>
          <w:color w:val="auto"/>
        </w:rPr>
        <w:t>Aubagio</w:t>
      </w:r>
      <w:r w:rsidR="00C5199A" w:rsidRPr="00CD5B69">
        <w:rPr>
          <w:color w:val="auto"/>
        </w:rPr>
        <w:t xml:space="preserve"> </w:t>
      </w:r>
      <w:r w:rsidR="00AF659C" w:rsidRPr="00CD5B69">
        <w:rPr>
          <w:color w:val="auto"/>
        </w:rPr>
        <w:t xml:space="preserve">is indicated for </w:t>
      </w:r>
      <w:r w:rsidR="00B9457F" w:rsidRPr="00CD5B69">
        <w:rPr>
          <w:color w:val="auto"/>
        </w:rPr>
        <w:t xml:space="preserve">the treatment of patients with </w:t>
      </w:r>
      <w:r w:rsidR="00F87195" w:rsidRPr="00CD5B69">
        <w:rPr>
          <w:color w:val="auto"/>
        </w:rPr>
        <w:t>r</w:t>
      </w:r>
      <w:r w:rsidR="0038193A" w:rsidRPr="00CD5B69">
        <w:rPr>
          <w:color w:val="auto"/>
        </w:rPr>
        <w:t xml:space="preserve">elapsing </w:t>
      </w:r>
      <w:r w:rsidR="00D82A2C" w:rsidRPr="00CD5B69">
        <w:rPr>
          <w:color w:val="auto"/>
        </w:rPr>
        <w:t>forms of Multiple Sclerosis</w:t>
      </w:r>
      <w:r w:rsidR="0038193A" w:rsidRPr="00CD5B69">
        <w:rPr>
          <w:color w:val="auto"/>
        </w:rPr>
        <w:t xml:space="preserve"> to reduce the frequency of clinical relapses and to delay the progression of physical disability. </w:t>
      </w:r>
    </w:p>
    <w:p w:rsidR="00D2047B" w:rsidRPr="00CD5B69" w:rsidRDefault="00D2047B" w:rsidP="00D2047B">
      <w:pPr>
        <w:pStyle w:val="Heading1"/>
        <w:pageBreakBefore w:val="0"/>
        <w:numPr>
          <w:ilvl w:val="0"/>
          <w:numId w:val="0"/>
        </w:numPr>
      </w:pPr>
      <w:bookmarkStart w:id="30" w:name="_Toc307918104"/>
      <w:bookmarkEnd w:id="27"/>
      <w:bookmarkEnd w:id="28"/>
      <w:bookmarkEnd w:id="29"/>
      <w:r w:rsidRPr="00CD5B69">
        <w:t>contraindications</w:t>
      </w:r>
      <w:bookmarkEnd w:id="30"/>
    </w:p>
    <w:p w:rsidR="00D2047B" w:rsidRPr="00CD5B69" w:rsidRDefault="00092AA1" w:rsidP="00D2047B">
      <w:pPr>
        <w:rPr>
          <w:color w:val="auto"/>
        </w:rPr>
      </w:pPr>
      <w:r w:rsidRPr="00CD5B69">
        <w:rPr>
          <w:color w:val="auto"/>
        </w:rPr>
        <w:t>Aubagio</w:t>
      </w:r>
      <w:r w:rsidR="00D2047B" w:rsidRPr="00CD5B69">
        <w:rPr>
          <w:color w:val="auto"/>
        </w:rPr>
        <w:t xml:space="preserve"> </w:t>
      </w:r>
      <w:r w:rsidR="00317EE0" w:rsidRPr="00CD5B69">
        <w:rPr>
          <w:color w:val="auto"/>
        </w:rPr>
        <w:t>must not be given to</w:t>
      </w:r>
      <w:r w:rsidR="00D2047B" w:rsidRPr="00CD5B69">
        <w:rPr>
          <w:color w:val="auto"/>
        </w:rPr>
        <w:t>:</w:t>
      </w:r>
    </w:p>
    <w:p w:rsidR="00317EE0" w:rsidRPr="00CD5B69" w:rsidRDefault="00317EE0" w:rsidP="0034099C">
      <w:pPr>
        <w:pStyle w:val="ListBulletLevel2"/>
        <w:rPr>
          <w:color w:val="auto"/>
          <w:szCs w:val="24"/>
        </w:rPr>
      </w:pPr>
      <w:r w:rsidRPr="00CD5B69">
        <w:rPr>
          <w:color w:val="auto"/>
          <w:szCs w:val="24"/>
          <w:lang w:eastAsia="ja-JP"/>
        </w:rPr>
        <w:t>patients with hypersensitivity to leflunomide</w:t>
      </w:r>
      <w:r w:rsidR="00FF098E" w:rsidRPr="00CD5B69">
        <w:rPr>
          <w:color w:val="auto"/>
          <w:szCs w:val="24"/>
          <w:lang w:eastAsia="ja-JP"/>
        </w:rPr>
        <w:t>, teriflunomide</w:t>
      </w:r>
      <w:r w:rsidRPr="00CD5B69">
        <w:rPr>
          <w:color w:val="auto"/>
          <w:szCs w:val="24"/>
          <w:lang w:eastAsia="ja-JP"/>
        </w:rPr>
        <w:t xml:space="preserve"> or to any of the excipients in the tablets</w:t>
      </w:r>
    </w:p>
    <w:p w:rsidR="002F45C7" w:rsidRPr="00CD5B69" w:rsidRDefault="002F45C7" w:rsidP="0034099C">
      <w:pPr>
        <w:pStyle w:val="ListBulletLevel2"/>
        <w:rPr>
          <w:color w:val="auto"/>
          <w:szCs w:val="24"/>
        </w:rPr>
      </w:pPr>
      <w:r w:rsidRPr="00CD5B69">
        <w:rPr>
          <w:color w:val="auto"/>
          <w:szCs w:val="24"/>
          <w:lang w:eastAsia="ja-JP"/>
        </w:rPr>
        <w:t>patients with severe immunodeficiency states, e.g. AIDS</w:t>
      </w:r>
    </w:p>
    <w:p w:rsidR="002F45C7" w:rsidRPr="00CD5B69" w:rsidRDefault="002F45C7" w:rsidP="0034099C">
      <w:pPr>
        <w:pStyle w:val="ListBulletLevel2"/>
        <w:rPr>
          <w:color w:val="auto"/>
          <w:szCs w:val="24"/>
        </w:rPr>
      </w:pPr>
      <w:r w:rsidRPr="00CD5B69">
        <w:rPr>
          <w:color w:val="auto"/>
          <w:szCs w:val="24"/>
          <w:lang w:eastAsia="ja-JP"/>
        </w:rPr>
        <w:t>patients with significantly impaired bone marrow function or significant anaemia,</w:t>
      </w:r>
      <w:r w:rsidRPr="00A67CB3">
        <w:rPr>
          <w:color w:val="auto"/>
          <w:szCs w:val="24"/>
          <w:lang w:val="en-GB" w:eastAsia="ja-JP"/>
        </w:rPr>
        <w:t xml:space="preserve"> </w:t>
      </w:r>
      <w:r w:rsidR="00A67CB3">
        <w:rPr>
          <w:color w:val="auto"/>
          <w:szCs w:val="24"/>
          <w:lang w:val="en-GB" w:eastAsia="ja-JP"/>
        </w:rPr>
        <w:t>leuko</w:t>
      </w:r>
      <w:r w:rsidR="00A67CB3" w:rsidRPr="00A67CB3">
        <w:rPr>
          <w:color w:val="auto"/>
          <w:szCs w:val="24"/>
          <w:lang w:val="en-GB" w:eastAsia="ja-JP"/>
        </w:rPr>
        <w:t>poenia</w:t>
      </w:r>
      <w:r w:rsidRPr="00CD5B69">
        <w:rPr>
          <w:color w:val="auto"/>
          <w:szCs w:val="24"/>
          <w:lang w:eastAsia="ja-JP"/>
        </w:rPr>
        <w:t xml:space="preserve"> or thrombocytopenia</w:t>
      </w:r>
    </w:p>
    <w:p w:rsidR="002F45C7" w:rsidRPr="00CD5B69" w:rsidRDefault="002F45C7" w:rsidP="0034099C">
      <w:pPr>
        <w:pStyle w:val="ListBulletLevel2"/>
        <w:rPr>
          <w:color w:val="auto"/>
          <w:szCs w:val="24"/>
        </w:rPr>
      </w:pPr>
      <w:r w:rsidRPr="00CD5B69">
        <w:rPr>
          <w:color w:val="auto"/>
          <w:szCs w:val="24"/>
          <w:lang w:eastAsia="ja-JP"/>
        </w:rPr>
        <w:t>patients with severe, uncontrolled infections</w:t>
      </w:r>
    </w:p>
    <w:p w:rsidR="002F45C7" w:rsidRPr="00CD5B69" w:rsidRDefault="00317EE0" w:rsidP="0034099C">
      <w:pPr>
        <w:pStyle w:val="ListBulletLevel2"/>
        <w:rPr>
          <w:color w:val="auto"/>
          <w:szCs w:val="24"/>
        </w:rPr>
      </w:pPr>
      <w:r w:rsidRPr="00CD5B69">
        <w:rPr>
          <w:color w:val="auto"/>
          <w:szCs w:val="24"/>
          <w:lang w:eastAsia="ja-JP"/>
        </w:rPr>
        <w:t xml:space="preserve">patients with </w:t>
      </w:r>
      <w:r w:rsidR="00B9457F" w:rsidRPr="00CD5B69">
        <w:rPr>
          <w:color w:val="auto"/>
          <w:szCs w:val="24"/>
          <w:lang w:eastAsia="ja-JP"/>
        </w:rPr>
        <w:t xml:space="preserve">severe </w:t>
      </w:r>
      <w:r w:rsidRPr="00CD5B69">
        <w:rPr>
          <w:color w:val="auto"/>
          <w:szCs w:val="24"/>
          <w:lang w:eastAsia="ja-JP"/>
        </w:rPr>
        <w:t>impairment of liver function</w:t>
      </w:r>
    </w:p>
    <w:p w:rsidR="00317EE0" w:rsidRPr="00CD5B69" w:rsidRDefault="00317EE0" w:rsidP="0034099C">
      <w:pPr>
        <w:pStyle w:val="ListBulletLevel2"/>
        <w:rPr>
          <w:color w:val="auto"/>
          <w:szCs w:val="24"/>
        </w:rPr>
      </w:pPr>
      <w:r w:rsidRPr="00CD5B69">
        <w:rPr>
          <w:color w:val="auto"/>
          <w:szCs w:val="24"/>
          <w:lang w:eastAsia="ja-JP"/>
        </w:rPr>
        <w:t>pregnant women</w:t>
      </w:r>
    </w:p>
    <w:p w:rsidR="00317EE0" w:rsidRPr="00CD5B69" w:rsidRDefault="00317EE0" w:rsidP="0034099C">
      <w:pPr>
        <w:pStyle w:val="ListBulletLevel2"/>
        <w:rPr>
          <w:color w:val="auto"/>
          <w:szCs w:val="24"/>
        </w:rPr>
      </w:pPr>
      <w:r w:rsidRPr="00CD5B69">
        <w:rPr>
          <w:color w:val="auto"/>
          <w:szCs w:val="24"/>
          <w:lang w:eastAsia="ja-JP"/>
        </w:rPr>
        <w:t>women of childbearing potential who are not using reliable contracep</w:t>
      </w:r>
      <w:r w:rsidR="008A1F15" w:rsidRPr="00CD5B69">
        <w:rPr>
          <w:color w:val="auto"/>
          <w:szCs w:val="24"/>
          <w:lang w:eastAsia="ja-JP"/>
        </w:rPr>
        <w:t>tion during treatment with teriflunomide</w:t>
      </w:r>
      <w:r w:rsidRPr="00CD5B69">
        <w:rPr>
          <w:color w:val="auto"/>
          <w:szCs w:val="24"/>
          <w:lang w:eastAsia="ja-JP"/>
        </w:rPr>
        <w:t xml:space="preserve"> and for a certain period of time thereafter, as long as the plasma levels of the active metabolite are above 0.02 mg/L, unless undergoing washout treatment (see Use in Pregnancy)</w:t>
      </w:r>
    </w:p>
    <w:p w:rsidR="00317EE0" w:rsidRPr="00CD5B69" w:rsidRDefault="00317EE0" w:rsidP="0034099C">
      <w:pPr>
        <w:pStyle w:val="ListBulletLevel2"/>
        <w:rPr>
          <w:color w:val="auto"/>
          <w:szCs w:val="24"/>
        </w:rPr>
      </w:pPr>
      <w:r w:rsidRPr="00CD5B69">
        <w:rPr>
          <w:color w:val="auto"/>
          <w:szCs w:val="24"/>
          <w:lang w:eastAsia="ja-JP"/>
        </w:rPr>
        <w:t>women who are breast-feeding</w:t>
      </w:r>
    </w:p>
    <w:p w:rsidR="00317EE0" w:rsidRPr="00CD5B69" w:rsidRDefault="00317EE0" w:rsidP="0034099C">
      <w:pPr>
        <w:pStyle w:val="ListBulletLevel2"/>
        <w:rPr>
          <w:color w:val="auto"/>
          <w:szCs w:val="24"/>
        </w:rPr>
      </w:pPr>
      <w:r w:rsidRPr="00CD5B69">
        <w:rPr>
          <w:color w:val="auto"/>
          <w:szCs w:val="24"/>
          <w:lang w:eastAsia="ja-JP"/>
        </w:rPr>
        <w:t>patients with severe</w:t>
      </w:r>
      <w:r w:rsidRPr="00A67CB3">
        <w:rPr>
          <w:color w:val="auto"/>
          <w:szCs w:val="24"/>
          <w:lang w:val="en-AU" w:eastAsia="ja-JP"/>
        </w:rPr>
        <w:t xml:space="preserve"> hypoproteinaemia</w:t>
      </w:r>
    </w:p>
    <w:p w:rsidR="00317EE0" w:rsidRPr="00CD5B69" w:rsidRDefault="00317EE0" w:rsidP="0034099C">
      <w:pPr>
        <w:pStyle w:val="ListBulletLevel2"/>
        <w:numPr>
          <w:ilvl w:val="0"/>
          <w:numId w:val="21"/>
        </w:numPr>
        <w:rPr>
          <w:color w:val="auto"/>
          <w:szCs w:val="24"/>
        </w:rPr>
      </w:pPr>
      <w:r w:rsidRPr="00CD5B69">
        <w:rPr>
          <w:color w:val="auto"/>
          <w:szCs w:val="24"/>
          <w:lang w:eastAsia="ja-JP"/>
        </w:rPr>
        <w:t>patients who have or have had Stevens- Johnson syndrome, toxic epidermal necrolysis or erythema multiforme</w:t>
      </w:r>
    </w:p>
    <w:p w:rsidR="00E42188" w:rsidRPr="00CD5B69" w:rsidRDefault="00E42188" w:rsidP="00E42188">
      <w:pPr>
        <w:pStyle w:val="ListBulletLevel2"/>
        <w:numPr>
          <w:ilvl w:val="0"/>
          <w:numId w:val="0"/>
        </w:numPr>
        <w:ind w:left="720"/>
        <w:rPr>
          <w:color w:val="auto"/>
          <w:szCs w:val="24"/>
        </w:rPr>
      </w:pPr>
    </w:p>
    <w:p w:rsidR="00D2047B" w:rsidRPr="00CD5B69" w:rsidRDefault="00D2047B" w:rsidP="00D2047B">
      <w:pPr>
        <w:pStyle w:val="Heading1"/>
        <w:pageBreakBefore w:val="0"/>
        <w:numPr>
          <w:ilvl w:val="0"/>
          <w:numId w:val="0"/>
        </w:numPr>
      </w:pPr>
      <w:bookmarkStart w:id="31" w:name="_Toc307918105"/>
      <w:r w:rsidRPr="00CD5B69">
        <w:t>precautions</w:t>
      </w:r>
      <w:bookmarkEnd w:id="31"/>
    </w:p>
    <w:p w:rsidR="0013113F" w:rsidRPr="00CD5B69" w:rsidRDefault="00D82D1C" w:rsidP="003A33CF">
      <w:pPr>
        <w:pStyle w:val="Heading3"/>
        <w:numPr>
          <w:ilvl w:val="0"/>
          <w:numId w:val="0"/>
        </w:numPr>
      </w:pPr>
      <w:r w:rsidRPr="00CD5B69">
        <w:t>Hepatotoxicity</w:t>
      </w:r>
    </w:p>
    <w:p w:rsidR="009028FB" w:rsidRPr="00CD5B69" w:rsidRDefault="0013113F" w:rsidP="009028FB">
      <w:pPr>
        <w:rPr>
          <w:strike/>
          <w:color w:val="auto"/>
        </w:rPr>
      </w:pPr>
      <w:r w:rsidRPr="00CD5B69">
        <w:rPr>
          <w:color w:val="auto"/>
        </w:rPr>
        <w:t xml:space="preserve">Elevations of liver enzymes have been observed in patients receiving </w:t>
      </w:r>
      <w:r w:rsidR="00092AA1" w:rsidRPr="00CD5B69">
        <w:rPr>
          <w:color w:val="auto"/>
        </w:rPr>
        <w:t>Aubagio</w:t>
      </w:r>
      <w:r w:rsidRPr="00CD5B69">
        <w:rPr>
          <w:color w:val="auto"/>
        </w:rPr>
        <w:t xml:space="preserve">. During </w:t>
      </w:r>
      <w:r w:rsidR="00592D46" w:rsidRPr="00CD5B69">
        <w:rPr>
          <w:color w:val="auto"/>
        </w:rPr>
        <w:t>placebo controlled</w:t>
      </w:r>
      <w:r w:rsidRPr="00CD5B69">
        <w:rPr>
          <w:color w:val="auto"/>
        </w:rPr>
        <w:t xml:space="preserve"> trials, 3-fold the upper limit of normal (ULN) or greater elevation in liver transaminases (ALT) occurred in 6.1% of patients treated with teriflunomide 14 mg, as compared to 6.2% of patients on placebo. Elevations of 5-fold the ULN (ALT) or greater occurred in 2.6% </w:t>
      </w:r>
      <w:r w:rsidRPr="00CD5B69">
        <w:rPr>
          <w:color w:val="auto"/>
        </w:rPr>
        <w:lastRenderedPageBreak/>
        <w:t xml:space="preserve">of patients on </w:t>
      </w:r>
      <w:r w:rsidR="00092AA1" w:rsidRPr="00CD5B69">
        <w:rPr>
          <w:color w:val="auto"/>
        </w:rPr>
        <w:t>Aubagio</w:t>
      </w:r>
      <w:r w:rsidRPr="00CD5B69">
        <w:rPr>
          <w:color w:val="auto"/>
        </w:rPr>
        <w:t xml:space="preserve"> and 2.2% of patients on placebo. These elevations occurred mostly within the first year of treatment. In clinical trials, teriflunomide was discontinued if the ALT elevation exceeded 3 times the ULN twice. Serum transaminase levels returned to normal within approximately 2 months after discontinuation of </w:t>
      </w:r>
      <w:r w:rsidR="00092AA1" w:rsidRPr="00CD5B69">
        <w:rPr>
          <w:color w:val="auto"/>
        </w:rPr>
        <w:t>Aubagio</w:t>
      </w:r>
      <w:r w:rsidRPr="00CD5B69">
        <w:rPr>
          <w:color w:val="auto"/>
        </w:rPr>
        <w:t>.</w:t>
      </w:r>
      <w:r w:rsidR="00D23713" w:rsidRPr="00CD5B69">
        <w:rPr>
          <w:color w:val="auto"/>
        </w:rPr>
        <w:t xml:space="preserve"> </w:t>
      </w:r>
    </w:p>
    <w:p w:rsidR="00D82D1C" w:rsidRPr="00CD5B69" w:rsidRDefault="00C642BF" w:rsidP="00D82D1C">
      <w:pPr>
        <w:autoSpaceDE w:val="0"/>
        <w:autoSpaceDN w:val="0"/>
        <w:adjustRightInd w:val="0"/>
        <w:spacing w:before="0"/>
        <w:rPr>
          <w:i/>
          <w:iCs/>
          <w:color w:val="auto"/>
          <w:sz w:val="25"/>
          <w:szCs w:val="25"/>
          <w:lang w:eastAsia="ja-JP"/>
        </w:rPr>
      </w:pPr>
      <w:r w:rsidRPr="00CD5B69">
        <w:rPr>
          <w:color w:val="auto"/>
        </w:rPr>
        <w:t xml:space="preserve">Very rare cases of severe liver injury, with fatal outcome in isolated cases, have been reported during treatment with leflunomide, </w:t>
      </w:r>
      <w:r w:rsidR="00D82A2C" w:rsidRPr="00CD5B69">
        <w:rPr>
          <w:color w:val="auto"/>
        </w:rPr>
        <w:t>the parent compound</w:t>
      </w:r>
      <w:r w:rsidRPr="00CD5B69">
        <w:rPr>
          <w:color w:val="auto"/>
        </w:rPr>
        <w:t xml:space="preserve"> of teriflunomide. Most of the cases occurred within the first 6 months of treatment. Although confounding factors were present in many cases, a causal relationship to leflunomide and hence teriflunomide cannot be excluded. It is considered essential that monitoring recommendations are strictly adhered to (see Liver function monitoring)</w:t>
      </w:r>
      <w:r w:rsidR="00AE69D1" w:rsidRPr="00CD5B69">
        <w:rPr>
          <w:color w:val="auto"/>
        </w:rPr>
        <w:t>.</w:t>
      </w:r>
    </w:p>
    <w:p w:rsidR="00D82D1C" w:rsidRPr="00CD5B69" w:rsidRDefault="00D82D1C" w:rsidP="00D82D1C">
      <w:pPr>
        <w:autoSpaceDE w:val="0"/>
        <w:autoSpaceDN w:val="0"/>
        <w:adjustRightInd w:val="0"/>
        <w:spacing w:before="0"/>
        <w:rPr>
          <w:i/>
          <w:iCs/>
          <w:color w:val="auto"/>
          <w:sz w:val="25"/>
          <w:szCs w:val="25"/>
          <w:lang w:eastAsia="ja-JP"/>
        </w:rPr>
      </w:pPr>
    </w:p>
    <w:p w:rsidR="00927173" w:rsidRPr="00CD5B69" w:rsidRDefault="00927173" w:rsidP="00927173">
      <w:pPr>
        <w:pStyle w:val="Heading3"/>
        <w:numPr>
          <w:ilvl w:val="0"/>
          <w:numId w:val="0"/>
        </w:numPr>
      </w:pPr>
      <w:r w:rsidRPr="00CD5B69">
        <w:t>Liver function monitoring</w:t>
      </w:r>
    </w:p>
    <w:p w:rsidR="00C642BF" w:rsidRPr="00CD5B69" w:rsidRDefault="00C642BF" w:rsidP="00C642BF">
      <w:pPr>
        <w:rPr>
          <w:color w:val="auto"/>
        </w:rPr>
      </w:pPr>
      <w:r w:rsidRPr="00CD5B69">
        <w:rPr>
          <w:color w:val="auto"/>
        </w:rPr>
        <w:t xml:space="preserve">ALT and AST </w:t>
      </w:r>
      <w:r w:rsidR="0089366C" w:rsidRPr="00CD5B69">
        <w:rPr>
          <w:color w:val="auto"/>
        </w:rPr>
        <w:t>must</w:t>
      </w:r>
      <w:r w:rsidRPr="00CD5B69">
        <w:rPr>
          <w:color w:val="auto"/>
        </w:rPr>
        <w:t xml:space="preserve"> be checked before the start of Aubagio treatment and monitored at monthly or more frequent intervals for at least the first 6 months and then, if stable, every 6-8 weeks thereafter.  For minor elevations in ALT or AST (&lt;2-fold ULN), repeat testing in 2-4 weeks. For moderate elevations in ALT or AST (&gt;2 fold but &lt;3-fold ULN), closely monitor, with LFTs every 2-4 weeks. </w:t>
      </w:r>
      <w:r w:rsidR="00A1167A" w:rsidRPr="00CD5B69">
        <w:rPr>
          <w:color w:val="auto"/>
        </w:rPr>
        <w:t>If</w:t>
      </w:r>
      <w:r w:rsidRPr="00CD5B69">
        <w:rPr>
          <w:color w:val="auto"/>
        </w:rPr>
        <w:t xml:space="preserve"> ALT or AST elevations of more than 3-fold ULN are present, </w:t>
      </w:r>
      <w:r w:rsidR="00AE69D1" w:rsidRPr="00CD5B69">
        <w:rPr>
          <w:color w:val="auto"/>
        </w:rPr>
        <w:t xml:space="preserve">Aubagio </w:t>
      </w:r>
      <w:r w:rsidRPr="00CD5B69">
        <w:rPr>
          <w:color w:val="auto"/>
        </w:rPr>
        <w:t xml:space="preserve">should be discontinued. Cholestyramine or activated charcoal should be administered to more rapidly lower </w:t>
      </w:r>
      <w:r w:rsidR="00E329FE" w:rsidRPr="00CD5B69">
        <w:rPr>
          <w:color w:val="auto"/>
        </w:rPr>
        <w:t>teriflunomide</w:t>
      </w:r>
      <w:r w:rsidRPr="00CD5B69">
        <w:rPr>
          <w:color w:val="auto"/>
        </w:rPr>
        <w:t xml:space="preserve"> levels, with close monitoring including retreatment with cholestyramine or activated charcoal as indicated.</w:t>
      </w:r>
    </w:p>
    <w:p w:rsidR="006E2775" w:rsidRPr="00CD5B69" w:rsidRDefault="003A33CF" w:rsidP="003A33CF">
      <w:pPr>
        <w:pStyle w:val="Heading3"/>
        <w:numPr>
          <w:ilvl w:val="0"/>
          <w:numId w:val="0"/>
        </w:numPr>
      </w:pPr>
      <w:bookmarkStart w:id="32" w:name="_Toc307918107"/>
      <w:r w:rsidRPr="00CD5B69">
        <w:t>Blood Pressure</w:t>
      </w:r>
      <w:bookmarkEnd w:id="32"/>
      <w:r w:rsidRPr="00CD5B69">
        <w:t xml:space="preserve"> </w:t>
      </w:r>
    </w:p>
    <w:p w:rsidR="006E2775" w:rsidRPr="00CD5B69" w:rsidRDefault="006E2775" w:rsidP="006E2775">
      <w:pPr>
        <w:rPr>
          <w:color w:val="auto"/>
        </w:rPr>
      </w:pPr>
      <w:r w:rsidRPr="00CD5B69">
        <w:rPr>
          <w:color w:val="auto"/>
        </w:rPr>
        <w:t xml:space="preserve">In </w:t>
      </w:r>
      <w:r w:rsidR="00592D46" w:rsidRPr="00CD5B69">
        <w:rPr>
          <w:color w:val="auto"/>
        </w:rPr>
        <w:t>placebo controlled</w:t>
      </w:r>
      <w:r w:rsidRPr="00CD5B69">
        <w:rPr>
          <w:color w:val="auto"/>
        </w:rPr>
        <w:t xml:space="preserve"> studies, mean change from baseline for diastolic blood pressure was 1.3 mmHg and for systolic blood pressure was 2.7 mmHg for teriflunomide 14 mg.</w:t>
      </w:r>
      <w:r w:rsidRPr="00CD5B69">
        <w:rPr>
          <w:b/>
          <w:color w:val="auto"/>
        </w:rPr>
        <w:t xml:space="preserve"> </w:t>
      </w:r>
      <w:r w:rsidRPr="00CD5B69">
        <w:rPr>
          <w:color w:val="auto"/>
        </w:rPr>
        <w:t xml:space="preserve">Blood pressure elevation should be appropriately managed during treatment with </w:t>
      </w:r>
      <w:r w:rsidR="00092AA1" w:rsidRPr="00CD5B69">
        <w:rPr>
          <w:color w:val="auto"/>
        </w:rPr>
        <w:t>Aubagio</w:t>
      </w:r>
      <w:r w:rsidRPr="00CD5B69">
        <w:rPr>
          <w:color w:val="auto"/>
        </w:rPr>
        <w:t>.</w:t>
      </w:r>
    </w:p>
    <w:p w:rsidR="006E2775" w:rsidRPr="00CD5B69" w:rsidRDefault="003A33CF" w:rsidP="003A33CF">
      <w:pPr>
        <w:pStyle w:val="Heading3"/>
        <w:numPr>
          <w:ilvl w:val="0"/>
          <w:numId w:val="0"/>
        </w:numPr>
      </w:pPr>
      <w:bookmarkStart w:id="33" w:name="_Toc307918108"/>
      <w:r w:rsidRPr="00CD5B69">
        <w:t>Infections</w:t>
      </w:r>
      <w:bookmarkEnd w:id="33"/>
      <w:r w:rsidRPr="00CD5B69">
        <w:t xml:space="preserve"> </w:t>
      </w:r>
    </w:p>
    <w:p w:rsidR="006E2775" w:rsidRPr="00CD5B69" w:rsidRDefault="006E2775" w:rsidP="006E2775">
      <w:pPr>
        <w:rPr>
          <w:color w:val="auto"/>
        </w:rPr>
      </w:pPr>
      <w:r w:rsidRPr="00CD5B69">
        <w:rPr>
          <w:color w:val="auto"/>
        </w:rPr>
        <w:t xml:space="preserve">In </w:t>
      </w:r>
      <w:r w:rsidR="00592D46" w:rsidRPr="00CD5B69">
        <w:rPr>
          <w:color w:val="auto"/>
        </w:rPr>
        <w:t>placebo controlled</w:t>
      </w:r>
      <w:r w:rsidRPr="00CD5B69">
        <w:rPr>
          <w:color w:val="auto"/>
        </w:rPr>
        <w:t xml:space="preserve"> studies, no </w:t>
      </w:r>
      <w:r w:rsidR="00FB501F" w:rsidRPr="00CD5B69">
        <w:rPr>
          <w:color w:val="auto"/>
        </w:rPr>
        <w:t xml:space="preserve">significant </w:t>
      </w:r>
      <w:r w:rsidRPr="00CD5B69">
        <w:rPr>
          <w:color w:val="auto"/>
        </w:rPr>
        <w:t>increase in serious infections was observed with teriflunomide 14 mg (2.2%) as compared to placebo (2.1%). Serious opportunistic infections occurred in 0.2% in each group.</w:t>
      </w:r>
    </w:p>
    <w:p w:rsidR="006E2775" w:rsidRPr="00CD5B69" w:rsidRDefault="006E2775" w:rsidP="006E2775">
      <w:pPr>
        <w:rPr>
          <w:color w:val="auto"/>
        </w:rPr>
      </w:pPr>
      <w:r w:rsidRPr="00CD5B69">
        <w:rPr>
          <w:color w:val="auto"/>
        </w:rPr>
        <w:t xml:space="preserve">However, based on the immunomodulatory effect of </w:t>
      </w:r>
      <w:r w:rsidR="00092AA1" w:rsidRPr="00CD5B69">
        <w:rPr>
          <w:color w:val="auto"/>
        </w:rPr>
        <w:t>Aubagio</w:t>
      </w:r>
      <w:r w:rsidRPr="00CD5B69">
        <w:rPr>
          <w:color w:val="auto"/>
        </w:rPr>
        <w:t xml:space="preserve">, if a patient develops a serious infection, consider suspending treatment with </w:t>
      </w:r>
      <w:r w:rsidR="00092AA1" w:rsidRPr="00CD5B69">
        <w:rPr>
          <w:color w:val="auto"/>
        </w:rPr>
        <w:t>Aubagio</w:t>
      </w:r>
      <w:r w:rsidRPr="00CD5B69">
        <w:rPr>
          <w:color w:val="auto"/>
        </w:rPr>
        <w:t xml:space="preserve">, and reassess the benefits and risks prior to re-initiation of therapy. Due to the prolonged elimination </w:t>
      </w:r>
      <w:r w:rsidR="00431B1F" w:rsidRPr="00CD5B69">
        <w:rPr>
          <w:color w:val="auto"/>
        </w:rPr>
        <w:t xml:space="preserve">half-life </w:t>
      </w:r>
      <w:r w:rsidRPr="00CD5B69">
        <w:rPr>
          <w:color w:val="auto"/>
        </w:rPr>
        <w:t>of teriflunomide, accelerated elimination with cholestyramine or charcoal may be considered</w:t>
      </w:r>
      <w:r w:rsidR="00B44002" w:rsidRPr="00CD5B69">
        <w:rPr>
          <w:color w:val="auto"/>
        </w:rPr>
        <w:t xml:space="preserve"> (See OVERDOSAGE)</w:t>
      </w:r>
      <w:r w:rsidRPr="00CD5B69">
        <w:rPr>
          <w:color w:val="auto"/>
        </w:rPr>
        <w:t xml:space="preserve">. Instruct patients receiving </w:t>
      </w:r>
      <w:r w:rsidR="00092AA1" w:rsidRPr="00CD5B69">
        <w:rPr>
          <w:color w:val="auto"/>
        </w:rPr>
        <w:t>Aubagio</w:t>
      </w:r>
      <w:r w:rsidRPr="00CD5B69">
        <w:rPr>
          <w:color w:val="auto"/>
        </w:rPr>
        <w:t xml:space="preserve"> to report symptoms of infections to a physician. Patients with active </w:t>
      </w:r>
      <w:r w:rsidRPr="00CD5B69">
        <w:rPr>
          <w:color w:val="auto"/>
        </w:rPr>
        <w:lastRenderedPageBreak/>
        <w:t xml:space="preserve">acute or chronic infections should not start treatment with </w:t>
      </w:r>
      <w:r w:rsidR="00092AA1" w:rsidRPr="00CD5B69">
        <w:rPr>
          <w:color w:val="auto"/>
        </w:rPr>
        <w:t>Aubagio</w:t>
      </w:r>
      <w:r w:rsidRPr="00CD5B69">
        <w:rPr>
          <w:color w:val="auto"/>
        </w:rPr>
        <w:t xml:space="preserve"> until the infection(s) is resolved.</w:t>
      </w:r>
    </w:p>
    <w:p w:rsidR="00B6106E" w:rsidRPr="00CD5B69" w:rsidRDefault="005F3CA7" w:rsidP="003A33CF">
      <w:pPr>
        <w:pStyle w:val="Heading3"/>
        <w:numPr>
          <w:ilvl w:val="0"/>
          <w:numId w:val="0"/>
        </w:numPr>
      </w:pPr>
      <w:bookmarkStart w:id="34" w:name="_Toc307918109"/>
      <w:r w:rsidRPr="00CD5B69">
        <w:t>Haematologic</w:t>
      </w:r>
      <w:r w:rsidR="003A33CF" w:rsidRPr="00CD5B69">
        <w:t xml:space="preserve"> Effects</w:t>
      </w:r>
      <w:bookmarkEnd w:id="34"/>
    </w:p>
    <w:p w:rsidR="00D95D96" w:rsidRPr="00CD5B69" w:rsidRDefault="00B6106E" w:rsidP="00DD3000">
      <w:pPr>
        <w:rPr>
          <w:color w:val="auto"/>
        </w:rPr>
      </w:pPr>
      <w:r w:rsidRPr="00CD5B69">
        <w:rPr>
          <w:color w:val="auto"/>
        </w:rPr>
        <w:t xml:space="preserve">A mean decrease affecting white blood cells (WBC) count (&lt;15%, mainly neutrophil and lymphocytes decrease) was observed in </w:t>
      </w:r>
      <w:r w:rsidR="00592D46" w:rsidRPr="00CD5B69">
        <w:rPr>
          <w:color w:val="auto"/>
        </w:rPr>
        <w:t>placebo controlled</w:t>
      </w:r>
      <w:r w:rsidRPr="00CD5B69">
        <w:rPr>
          <w:color w:val="auto"/>
        </w:rPr>
        <w:t xml:space="preserve"> trials with </w:t>
      </w:r>
      <w:r w:rsidR="00092AA1" w:rsidRPr="00CD5B69">
        <w:rPr>
          <w:color w:val="auto"/>
        </w:rPr>
        <w:t>Aubagio</w:t>
      </w:r>
      <w:r w:rsidRPr="00CD5B69">
        <w:rPr>
          <w:color w:val="auto"/>
        </w:rPr>
        <w:t xml:space="preserve">, although </w:t>
      </w:r>
      <w:r w:rsidR="000745E0" w:rsidRPr="00CD5B69">
        <w:rPr>
          <w:color w:val="auto"/>
        </w:rPr>
        <w:t xml:space="preserve">a </w:t>
      </w:r>
      <w:r w:rsidRPr="00CD5B69">
        <w:rPr>
          <w:color w:val="auto"/>
        </w:rPr>
        <w:t>greater decrease was observed in some patients. The decrease in mean count occurred during the first 6 weeks then stabilized over time while on</w:t>
      </w:r>
      <w:r w:rsidR="007027AD" w:rsidRPr="00CD5B69">
        <w:rPr>
          <w:color w:val="auto"/>
        </w:rPr>
        <w:t xml:space="preserve"> </w:t>
      </w:r>
      <w:r w:rsidRPr="00CD5B69">
        <w:rPr>
          <w:color w:val="auto"/>
        </w:rPr>
        <w:t>treatment. The effect on red blood cells (RBC) (&lt;2%) and platelet counts (&lt;10%) was less pronounced.</w:t>
      </w:r>
      <w:r w:rsidRPr="00CD5B69">
        <w:rPr>
          <w:b/>
          <w:color w:val="auto"/>
        </w:rPr>
        <w:t xml:space="preserve"> </w:t>
      </w:r>
      <w:r w:rsidR="00DD3000" w:rsidRPr="00CD5B69">
        <w:rPr>
          <w:color w:val="auto"/>
        </w:rPr>
        <w:t xml:space="preserve"> </w:t>
      </w:r>
      <w:r w:rsidR="001545B2" w:rsidRPr="00CD5B69">
        <w:rPr>
          <w:color w:val="auto"/>
        </w:rPr>
        <w:t>A complete blood cell count (including differential white blood cell count and platelets) should be performed in all patients before the start of Aubagio treatment and monthly for the first 6 months, followed by 6-8 weeks thereafter. In patients with pre-existing anaemia, leukopenia and/or thrombocytopenia as well as in patients with impaired bone marrow function or those at risk of bone marrow suppression, the risk for occurrence of haematological reactions is increased</w:t>
      </w:r>
      <w:r w:rsidR="00CD2815" w:rsidRPr="00CD5B69">
        <w:rPr>
          <w:color w:val="auto"/>
        </w:rPr>
        <w:t>.</w:t>
      </w:r>
    </w:p>
    <w:p w:rsidR="00D95D96" w:rsidRPr="00CD5B69" w:rsidRDefault="00D95D96" w:rsidP="00D95D96">
      <w:pPr>
        <w:pStyle w:val="Heading3"/>
        <w:numPr>
          <w:ilvl w:val="0"/>
          <w:numId w:val="0"/>
        </w:numPr>
      </w:pPr>
      <w:r w:rsidRPr="00CD5B69">
        <w:t>Leflunomide Post-marketing Safety Information</w:t>
      </w:r>
    </w:p>
    <w:p w:rsidR="00D95D96" w:rsidRPr="00CD5B69" w:rsidRDefault="00D95D96" w:rsidP="00D95D96">
      <w:pPr>
        <w:rPr>
          <w:color w:val="auto"/>
        </w:rPr>
      </w:pPr>
      <w:r w:rsidRPr="00CD5B69">
        <w:rPr>
          <w:color w:val="auto"/>
        </w:rPr>
        <w:t>The following information has been derived from the Australian prescribing information for Arava® (leflunomide) and may be pertinent to understanding the safety profile of teriflunomide.  Leflunomide is the parent compound of teriflunomide (</w:t>
      </w:r>
      <w:r w:rsidR="00092AA1" w:rsidRPr="00CD5B69">
        <w:rPr>
          <w:color w:val="auto"/>
        </w:rPr>
        <w:t>Aubagio</w:t>
      </w:r>
      <w:r w:rsidRPr="00CD5B69">
        <w:rPr>
          <w:color w:val="auto"/>
        </w:rPr>
        <w:t>).  Leflunomide is indicated in the treatment of rheumatoid arthritis.  Leflunomide has been evaluated in clinical studies in rheumatoid arthritis and has over 2 million patient-years of cumulative exposure globally in the post marketing setting. The risks associated with use of leflunomide are well characterized in the rheumatoid arthritis population and may provide insight into potential risks of teriflunomide treatment in the MS population.  Please refer to the current Australian PI for Arava® (leflunomide) for additional information.  The following events have been reported rarely.</w:t>
      </w:r>
    </w:p>
    <w:p w:rsidR="00D95D96" w:rsidRPr="00CD5B69" w:rsidRDefault="00D95D96" w:rsidP="00D95D96">
      <w:pPr>
        <w:numPr>
          <w:ilvl w:val="0"/>
          <w:numId w:val="22"/>
        </w:numPr>
        <w:rPr>
          <w:color w:val="auto"/>
        </w:rPr>
      </w:pPr>
      <w:r w:rsidRPr="00CD5B69">
        <w:rPr>
          <w:color w:val="auto"/>
        </w:rPr>
        <w:t xml:space="preserve">Hepatotoxicity: Reports of severe liver injury, including fatal liver failure </w:t>
      </w:r>
    </w:p>
    <w:p w:rsidR="00D95D96" w:rsidRPr="00CD5B69" w:rsidRDefault="00D95D96" w:rsidP="00D95D96">
      <w:pPr>
        <w:numPr>
          <w:ilvl w:val="0"/>
          <w:numId w:val="22"/>
        </w:numPr>
        <w:rPr>
          <w:color w:val="auto"/>
        </w:rPr>
      </w:pPr>
      <w:r w:rsidRPr="00CD5B69">
        <w:rPr>
          <w:color w:val="auto"/>
        </w:rPr>
        <w:t>H</w:t>
      </w:r>
      <w:r w:rsidR="005627BC" w:rsidRPr="00CD5B69">
        <w:rPr>
          <w:color w:val="auto"/>
        </w:rPr>
        <w:t>a</w:t>
      </w:r>
      <w:r w:rsidRPr="00CD5B69">
        <w:rPr>
          <w:color w:val="auto"/>
        </w:rPr>
        <w:t xml:space="preserve">ematological Effects: Rare reports of pancytopenia, agranulocytosis and thrombocytopenia in patients receiving leflunomide alone. These events have been reported most frequently in patients who received concomitant treatment with methotrexate or other immunosuppressive agents, or who had recently discontinued these therapies; in some cases, patients had a prior history of a significant hematologic abnormality. </w:t>
      </w:r>
    </w:p>
    <w:p w:rsidR="006C19AF" w:rsidRPr="00CD5B69" w:rsidRDefault="00D95D96" w:rsidP="00D95D96">
      <w:pPr>
        <w:numPr>
          <w:ilvl w:val="0"/>
          <w:numId w:val="22"/>
        </w:numPr>
        <w:rPr>
          <w:color w:val="auto"/>
        </w:rPr>
      </w:pPr>
      <w:r w:rsidRPr="00CD5B69">
        <w:rPr>
          <w:color w:val="auto"/>
        </w:rPr>
        <w:t xml:space="preserve">Risk of Infection: </w:t>
      </w:r>
      <w:r w:rsidR="006C19AF" w:rsidRPr="00CD5B69">
        <w:rPr>
          <w:color w:val="auto"/>
        </w:rPr>
        <w:t>Reports of fatal infections especially Pneumocystis jiroveci pneumonia and aspergillosis have been reported in patients receiving leflunomide. Most of the reports were confounded by concomitant immunosuppressant therapy and/or comorbid illness which, in addition to rheumatoid disease, may predispose patients to infection</w:t>
      </w:r>
    </w:p>
    <w:p w:rsidR="00D95D96" w:rsidRPr="00CD5B69" w:rsidRDefault="006C19AF" w:rsidP="00D95D96">
      <w:pPr>
        <w:numPr>
          <w:ilvl w:val="0"/>
          <w:numId w:val="22"/>
        </w:numPr>
        <w:rPr>
          <w:color w:val="auto"/>
        </w:rPr>
      </w:pPr>
      <w:r w:rsidRPr="00CD5B69">
        <w:rPr>
          <w:color w:val="auto"/>
        </w:rPr>
        <w:lastRenderedPageBreak/>
        <w:t xml:space="preserve">Skin Disorders: </w:t>
      </w:r>
      <w:r w:rsidR="007054C3" w:rsidRPr="00CD5B69">
        <w:rPr>
          <w:color w:val="auto"/>
        </w:rPr>
        <w:t>Very rare cases of Stevens Johnson syndrome or toxic epidermal necrolysis have been reported in patients treated with leflunomide, the parent compound of A</w:t>
      </w:r>
      <w:r w:rsidR="00CE0E67" w:rsidRPr="00CD5B69">
        <w:rPr>
          <w:color w:val="auto"/>
        </w:rPr>
        <w:t>ubagio</w:t>
      </w:r>
      <w:r w:rsidR="007054C3" w:rsidRPr="00CD5B69">
        <w:rPr>
          <w:color w:val="auto"/>
        </w:rPr>
        <w:t>. As soon as skin and/or  mucosal reactions are observed which raise the suspicion of such severe reactions, A</w:t>
      </w:r>
      <w:r w:rsidR="00CE0E67" w:rsidRPr="00CD5B69">
        <w:rPr>
          <w:color w:val="auto"/>
        </w:rPr>
        <w:t>ubagio</w:t>
      </w:r>
      <w:r w:rsidR="007054C3" w:rsidRPr="00CD5B69">
        <w:rPr>
          <w:color w:val="auto"/>
        </w:rPr>
        <w:t xml:space="preserve"> and any other possible associated medication must be discontinued, and cholestyramine or charcoal should be used immediately to reduce the plasma concentration of teriflunomide (see OVERDOSAGE). A complete washout is essential in such cases. In such cases re-exposure to teriflunomide is contra-indicated</w:t>
      </w:r>
      <w:r w:rsidR="00D95D96" w:rsidRPr="00CD5B69">
        <w:rPr>
          <w:color w:val="auto"/>
        </w:rPr>
        <w:t xml:space="preserve">. </w:t>
      </w:r>
    </w:p>
    <w:p w:rsidR="00D95D96" w:rsidRPr="00CD5B69" w:rsidRDefault="00D95D96" w:rsidP="00D95D96">
      <w:pPr>
        <w:numPr>
          <w:ilvl w:val="0"/>
          <w:numId w:val="22"/>
        </w:numPr>
        <w:rPr>
          <w:color w:val="auto"/>
        </w:rPr>
      </w:pPr>
      <w:r w:rsidRPr="00CD5B69">
        <w:rPr>
          <w:color w:val="auto"/>
        </w:rPr>
        <w:t>Respiratory: Interstitial lung disease has been reported during treatment with leflunomide and has been associated with fatal outcomes. The risk of its occurrence is increased in patients with a history of interstitial lung disease.</w:t>
      </w:r>
    </w:p>
    <w:p w:rsidR="00493D77" w:rsidRPr="00CD5B69" w:rsidRDefault="00493D77" w:rsidP="00493D77">
      <w:pPr>
        <w:pStyle w:val="Heading3"/>
        <w:numPr>
          <w:ilvl w:val="0"/>
          <w:numId w:val="0"/>
        </w:numPr>
      </w:pPr>
      <w:r w:rsidRPr="00CD5B69">
        <w:t>Immunosuppression</w:t>
      </w:r>
    </w:p>
    <w:p w:rsidR="007E3F0C" w:rsidRPr="00CD5B69" w:rsidRDefault="00D95D96" w:rsidP="00493D77">
      <w:pPr>
        <w:rPr>
          <w:color w:val="auto"/>
        </w:rPr>
      </w:pPr>
      <w:r w:rsidRPr="00CD5B69">
        <w:rPr>
          <w:color w:val="auto"/>
        </w:rPr>
        <w:t>Although there i</w:t>
      </w:r>
      <w:r w:rsidR="00493D77" w:rsidRPr="00CD5B69">
        <w:rPr>
          <w:color w:val="auto"/>
        </w:rPr>
        <w:t xml:space="preserve">s no clinical experience in the following patient populations, </w:t>
      </w:r>
      <w:r w:rsidR="00092AA1" w:rsidRPr="00CD5B69">
        <w:rPr>
          <w:color w:val="auto"/>
        </w:rPr>
        <w:t xml:space="preserve">Aubagio </w:t>
      </w:r>
      <w:r w:rsidR="00493D77" w:rsidRPr="00CD5B69">
        <w:rPr>
          <w:color w:val="auto"/>
        </w:rPr>
        <w:t>is not recommended for patients with severe immunodeficiency, bone marrow dysplasia, or severe uncontrolled infections because of the theoretical potential for immunosuppression.</w:t>
      </w:r>
      <w:r w:rsidR="007E3F0C" w:rsidRPr="00CD5B69">
        <w:rPr>
          <w:color w:val="auto"/>
          <w:sz w:val="23"/>
          <w:szCs w:val="23"/>
        </w:rPr>
        <w:t xml:space="preserve"> If Aubagio is used in such patients, it should be done with caution and with frequent haematologic monitoring (see Haematological effects). If evidence of bone marrow suppression occurs in a patient taking Aubagio, treatment should be stopped and cholestyramine or charcoal should be used to reduce the plasma concentration of teriflunomide (see OVERDOSAGE).</w:t>
      </w:r>
      <w:r w:rsidR="00493D77" w:rsidRPr="00CD5B69">
        <w:rPr>
          <w:color w:val="auto"/>
        </w:rPr>
        <w:t xml:space="preserve">. </w:t>
      </w:r>
    </w:p>
    <w:p w:rsidR="00493D77" w:rsidRPr="00CD5B69" w:rsidRDefault="00493D77" w:rsidP="00493D77">
      <w:pPr>
        <w:rPr>
          <w:color w:val="auto"/>
        </w:rPr>
      </w:pPr>
      <w:r w:rsidRPr="00CD5B69">
        <w:rPr>
          <w:color w:val="auto"/>
        </w:rPr>
        <w:t xml:space="preserve">In any situation in which the decision is made to switch from </w:t>
      </w:r>
      <w:r w:rsidR="00092AA1" w:rsidRPr="00CD5B69">
        <w:rPr>
          <w:color w:val="auto"/>
        </w:rPr>
        <w:t>Aubagio</w:t>
      </w:r>
      <w:r w:rsidRPr="00CD5B69">
        <w:rPr>
          <w:color w:val="auto"/>
        </w:rPr>
        <w:t xml:space="preserve"> to another immunomodifying agent with a known potential for haematologic suppression, it would</w:t>
      </w:r>
      <w:r w:rsidR="00AA22D0" w:rsidRPr="00CD5B69">
        <w:rPr>
          <w:color w:val="auto"/>
        </w:rPr>
        <w:t xml:space="preserve"> be prudent to monitor for haem</w:t>
      </w:r>
      <w:r w:rsidRPr="00CD5B69">
        <w:rPr>
          <w:color w:val="auto"/>
        </w:rPr>
        <w:t xml:space="preserve">otologic toxicity, because there will be overlap of systemic exposure to both compounds. </w:t>
      </w:r>
      <w:r w:rsidR="00092AA1" w:rsidRPr="00CD5B69">
        <w:rPr>
          <w:color w:val="auto"/>
        </w:rPr>
        <w:t>Aubagio</w:t>
      </w:r>
      <w:r w:rsidRPr="00CD5B69">
        <w:rPr>
          <w:color w:val="auto"/>
        </w:rPr>
        <w:t xml:space="preserve"> washou</w:t>
      </w:r>
      <w:r w:rsidR="006F1C02" w:rsidRPr="00CD5B69">
        <w:rPr>
          <w:color w:val="auto"/>
        </w:rPr>
        <w:t>t with chol</w:t>
      </w:r>
      <w:r w:rsidRPr="00CD5B69">
        <w:rPr>
          <w:color w:val="auto"/>
        </w:rPr>
        <w:t>estyramine or ch</w:t>
      </w:r>
      <w:r w:rsidR="004E32B7" w:rsidRPr="00CD5B69">
        <w:rPr>
          <w:color w:val="auto"/>
        </w:rPr>
        <w:t xml:space="preserve">arcoal may decrease this risk </w:t>
      </w:r>
      <w:r w:rsidRPr="00CD5B69">
        <w:rPr>
          <w:color w:val="auto"/>
        </w:rPr>
        <w:t xml:space="preserve">but also may induce disease worsening if the patient had been responding to </w:t>
      </w:r>
      <w:r w:rsidR="00092AA1" w:rsidRPr="00CD5B69">
        <w:rPr>
          <w:color w:val="auto"/>
        </w:rPr>
        <w:t>Aubagio</w:t>
      </w:r>
      <w:r w:rsidRPr="00CD5B69">
        <w:rPr>
          <w:color w:val="auto"/>
        </w:rPr>
        <w:t xml:space="preserve"> treatment.</w:t>
      </w:r>
      <w:r w:rsidR="00C930FC" w:rsidRPr="00CD5B69">
        <w:rPr>
          <w:color w:val="auto"/>
        </w:rPr>
        <w:t xml:space="preserve"> </w:t>
      </w:r>
      <w:r w:rsidRPr="00CD5B69">
        <w:rPr>
          <w:color w:val="auto"/>
        </w:rPr>
        <w:t>Patients with tuberculin reactivity must be carefully monitored because of the risk of tuberculosis reactivation.</w:t>
      </w:r>
    </w:p>
    <w:p w:rsidR="00B15147" w:rsidRPr="00CD5B69" w:rsidRDefault="00B15147" w:rsidP="00B15147">
      <w:pPr>
        <w:pStyle w:val="Heading3"/>
        <w:numPr>
          <w:ilvl w:val="0"/>
          <w:numId w:val="0"/>
        </w:numPr>
      </w:pPr>
      <w:bookmarkStart w:id="35" w:name="_Toc307918112"/>
      <w:r w:rsidRPr="00CD5B69">
        <w:t>Immunosuppressive or Immunomodulating Therapies</w:t>
      </w:r>
      <w:bookmarkEnd w:id="35"/>
      <w:r w:rsidRPr="00CD5B69">
        <w:t xml:space="preserve"> </w:t>
      </w:r>
    </w:p>
    <w:p w:rsidR="00B15147" w:rsidRPr="00CD5B69" w:rsidRDefault="00B15147" w:rsidP="00B15147">
      <w:pPr>
        <w:rPr>
          <w:color w:val="auto"/>
        </w:rPr>
      </w:pPr>
      <w:r w:rsidRPr="00CD5B69">
        <w:rPr>
          <w:color w:val="auto"/>
        </w:rPr>
        <w:t xml:space="preserve">As leflunomide is the parent compound of teriflunomide, co-administration of teriflunomide with leflunomide is not recommended. </w:t>
      </w:r>
    </w:p>
    <w:p w:rsidR="00B15147" w:rsidRPr="00CD5B69" w:rsidRDefault="00B15147" w:rsidP="00B15147">
      <w:pPr>
        <w:rPr>
          <w:color w:val="auto"/>
        </w:rPr>
      </w:pPr>
      <w:r w:rsidRPr="00CD5B69">
        <w:rPr>
          <w:color w:val="auto"/>
        </w:rPr>
        <w:t xml:space="preserve">Co-administration with antineoplastic or immunosuppressive therapies used for treatment of multiple sclerosis has not been evaluated. </w:t>
      </w:r>
    </w:p>
    <w:p w:rsidR="00B15147" w:rsidRPr="00CD5B69" w:rsidRDefault="00B15147" w:rsidP="00B15147">
      <w:pPr>
        <w:rPr>
          <w:color w:val="auto"/>
        </w:rPr>
      </w:pPr>
      <w:r w:rsidRPr="00CD5B69">
        <w:rPr>
          <w:color w:val="auto"/>
        </w:rPr>
        <w:t xml:space="preserve">Safety studies in which teriflunomide was concomitantly administered with other immune modulating therapies for up to one year (interferon beta, glatiramer acetate) did not reveal any </w:t>
      </w:r>
      <w:r w:rsidRPr="00CD5B69">
        <w:rPr>
          <w:color w:val="auto"/>
        </w:rPr>
        <w:lastRenderedPageBreak/>
        <w:t>specific safety concerns. The long term safety of these combinations in the treatment of multiple sclerosis has not been established.</w:t>
      </w:r>
    </w:p>
    <w:p w:rsidR="00E41155" w:rsidRPr="00CD5B69" w:rsidRDefault="00E41155" w:rsidP="00E41155">
      <w:pPr>
        <w:pStyle w:val="Heading3"/>
        <w:numPr>
          <w:ilvl w:val="0"/>
          <w:numId w:val="0"/>
        </w:numPr>
        <w:rPr>
          <w:lang w:eastAsia="ja-JP"/>
        </w:rPr>
      </w:pPr>
      <w:bookmarkStart w:id="36" w:name="_Toc307918110"/>
      <w:r w:rsidRPr="00CD5B69">
        <w:rPr>
          <w:lang w:eastAsia="ja-JP"/>
        </w:rPr>
        <w:t>Hepatic Impairment</w:t>
      </w:r>
      <w:bookmarkEnd w:id="36"/>
    </w:p>
    <w:p w:rsidR="00E41155" w:rsidRPr="00CD5B69" w:rsidRDefault="00E41155" w:rsidP="00E41155">
      <w:pPr>
        <w:rPr>
          <w:iCs/>
          <w:color w:val="auto"/>
        </w:rPr>
      </w:pPr>
      <w:r w:rsidRPr="00CD5B69">
        <w:rPr>
          <w:iCs/>
          <w:color w:val="auto"/>
        </w:rPr>
        <w:t xml:space="preserve">Mild and moderate hepatic impairment had no impact on the pharmacokinetics of teriflunomide. No dosage adjustment is necessary for patients with mild or moderate hepatic impairment. Teriflunomide is </w:t>
      </w:r>
      <w:r w:rsidRPr="00CD5B69">
        <w:rPr>
          <w:color w:val="auto"/>
        </w:rPr>
        <w:t xml:space="preserve">contraindicated </w:t>
      </w:r>
      <w:r w:rsidRPr="00CD5B69">
        <w:rPr>
          <w:iCs/>
          <w:color w:val="auto"/>
        </w:rPr>
        <w:t>in patients with severe hepatic impairment (see Contraindications).</w:t>
      </w:r>
    </w:p>
    <w:p w:rsidR="00493D77" w:rsidRPr="00CD5B69" w:rsidRDefault="00493D77" w:rsidP="00493D77">
      <w:pPr>
        <w:pStyle w:val="Heading3"/>
        <w:numPr>
          <w:ilvl w:val="0"/>
          <w:numId w:val="0"/>
        </w:numPr>
        <w:rPr>
          <w:lang w:eastAsia="ja-JP"/>
        </w:rPr>
      </w:pPr>
      <w:r w:rsidRPr="00CD5B69">
        <w:rPr>
          <w:lang w:eastAsia="ja-JP"/>
        </w:rPr>
        <w:t>Renal Impairment</w:t>
      </w:r>
    </w:p>
    <w:p w:rsidR="00493D77" w:rsidRPr="00CD5B69" w:rsidRDefault="00493D77" w:rsidP="00493D77">
      <w:pPr>
        <w:rPr>
          <w:color w:val="auto"/>
        </w:rPr>
      </w:pPr>
      <w:r w:rsidRPr="00CD5B69">
        <w:rPr>
          <w:color w:val="auto"/>
        </w:rPr>
        <w:t xml:space="preserve">Leflunomide, </w:t>
      </w:r>
      <w:r w:rsidR="006843BB" w:rsidRPr="00CD5B69">
        <w:rPr>
          <w:color w:val="auto"/>
        </w:rPr>
        <w:t xml:space="preserve">the parent compound </w:t>
      </w:r>
      <w:r w:rsidR="00C930FC" w:rsidRPr="00CD5B69">
        <w:rPr>
          <w:color w:val="auto"/>
        </w:rPr>
        <w:t>of terif</w:t>
      </w:r>
      <w:r w:rsidRPr="00CD5B69">
        <w:rPr>
          <w:color w:val="auto"/>
        </w:rPr>
        <w:t>lunomlde was administered as a single oral 100 mg dose to 3 haemodialysis patients and 3 patients on cont</w:t>
      </w:r>
      <w:r w:rsidR="00C930FC" w:rsidRPr="00CD5B69">
        <w:rPr>
          <w:color w:val="auto"/>
        </w:rPr>
        <w:t>inuous peritoneal dialysis (CAPD</w:t>
      </w:r>
      <w:r w:rsidRPr="00CD5B69">
        <w:rPr>
          <w:color w:val="auto"/>
        </w:rPr>
        <w:t xml:space="preserve">). The </w:t>
      </w:r>
      <w:r w:rsidR="00C930FC" w:rsidRPr="00CD5B69">
        <w:rPr>
          <w:color w:val="auto"/>
        </w:rPr>
        <w:t>pharmacokinetics of terif</w:t>
      </w:r>
      <w:r w:rsidRPr="00CD5B69">
        <w:rPr>
          <w:color w:val="auto"/>
        </w:rPr>
        <w:t xml:space="preserve">lunomide in CAPD subjects appeared to be similar to healthy volunteers.   A </w:t>
      </w:r>
      <w:r w:rsidR="00C930FC" w:rsidRPr="00CD5B69">
        <w:rPr>
          <w:color w:val="auto"/>
        </w:rPr>
        <w:t>more rapid elimination of terif</w:t>
      </w:r>
      <w:r w:rsidRPr="00CD5B69">
        <w:rPr>
          <w:color w:val="auto"/>
        </w:rPr>
        <w:t xml:space="preserve">lunomide was observed in haemodialysis subjects which was not due to extraction of drug in the dialysate but instead to displacement of protein binding. Caution should be used when </w:t>
      </w:r>
      <w:r w:rsidR="00092AA1" w:rsidRPr="00CD5B69">
        <w:rPr>
          <w:color w:val="auto"/>
        </w:rPr>
        <w:t>Aubagio</w:t>
      </w:r>
      <w:r w:rsidRPr="00CD5B69">
        <w:rPr>
          <w:color w:val="auto"/>
        </w:rPr>
        <w:t xml:space="preserve"> is administered to patients with renal impairment.</w:t>
      </w:r>
    </w:p>
    <w:p w:rsidR="00B6106E" w:rsidRPr="00CD5B69" w:rsidRDefault="003A33CF" w:rsidP="003A33CF">
      <w:pPr>
        <w:pStyle w:val="Heading3"/>
        <w:numPr>
          <w:ilvl w:val="0"/>
          <w:numId w:val="0"/>
        </w:numPr>
      </w:pPr>
      <w:bookmarkStart w:id="37" w:name="_Toc307918111"/>
      <w:r w:rsidRPr="00CD5B69">
        <w:t>Vaccination</w:t>
      </w:r>
      <w:bookmarkEnd w:id="37"/>
    </w:p>
    <w:p w:rsidR="00493D77" w:rsidRPr="00CD5B69" w:rsidRDefault="00493D77" w:rsidP="005B2BC7">
      <w:pPr>
        <w:rPr>
          <w:color w:val="auto"/>
        </w:rPr>
      </w:pPr>
      <w:r w:rsidRPr="00CD5B69">
        <w:rPr>
          <w:color w:val="auto"/>
        </w:rPr>
        <w:t xml:space="preserve">No clinical data are available on the efficacy and safety of vaccinations under </w:t>
      </w:r>
      <w:r w:rsidR="00092AA1" w:rsidRPr="00CD5B69">
        <w:rPr>
          <w:color w:val="auto"/>
        </w:rPr>
        <w:t>Aubagio</w:t>
      </w:r>
      <w:r w:rsidRPr="00CD5B69">
        <w:rPr>
          <w:color w:val="auto"/>
        </w:rPr>
        <w:t xml:space="preserve"> treatment. Vaccination with live vaccines is, however, not recommended. A live vaccine should only be given after a period of at least 6 months has elapsed after stopping </w:t>
      </w:r>
      <w:r w:rsidR="00092AA1" w:rsidRPr="00CD5B69">
        <w:rPr>
          <w:color w:val="auto"/>
        </w:rPr>
        <w:t>Aubagio</w:t>
      </w:r>
      <w:r w:rsidRPr="00CD5B69">
        <w:rPr>
          <w:color w:val="auto"/>
        </w:rPr>
        <w:t>.</w:t>
      </w:r>
    </w:p>
    <w:p w:rsidR="00493D77" w:rsidRPr="00CD5B69" w:rsidRDefault="00493D77" w:rsidP="00493D77">
      <w:pPr>
        <w:pStyle w:val="Heading3"/>
        <w:numPr>
          <w:ilvl w:val="0"/>
          <w:numId w:val="0"/>
        </w:numPr>
      </w:pPr>
      <w:r w:rsidRPr="00CD5B69">
        <w:t>Peripheral neuropathy</w:t>
      </w:r>
    </w:p>
    <w:p w:rsidR="00BD5F0A" w:rsidRPr="00CD5B69" w:rsidRDefault="00BD5F0A" w:rsidP="00493D77">
      <w:pPr>
        <w:rPr>
          <w:strike/>
          <w:color w:val="auto"/>
        </w:rPr>
      </w:pPr>
      <w:r w:rsidRPr="00CD5B69">
        <w:rPr>
          <w:iCs/>
          <w:color w:val="auto"/>
          <w:lang w:eastAsia="ja-JP"/>
        </w:rPr>
        <w:t xml:space="preserve">In placebo-controlled studies, peripheral neuropathy was reported more frequently in patients taking </w:t>
      </w:r>
      <w:r w:rsidR="00092AA1" w:rsidRPr="00CD5B69">
        <w:rPr>
          <w:iCs/>
          <w:color w:val="auto"/>
          <w:lang w:eastAsia="ja-JP"/>
        </w:rPr>
        <w:t>Aubagio</w:t>
      </w:r>
      <w:r w:rsidRPr="00CD5B69">
        <w:rPr>
          <w:iCs/>
          <w:color w:val="auto"/>
          <w:lang w:eastAsia="ja-JP"/>
        </w:rPr>
        <w:t xml:space="preserve"> than in patients taking placebo. In one 108-week placebo-controlled study in 1086 patients with multiple sclerosis, the incidence of peripheral neuropathy confirmed by nerve conduction studies was 1.9% (6 patients) on 14 mg </w:t>
      </w:r>
      <w:r w:rsidR="00092AA1" w:rsidRPr="00CD5B69">
        <w:rPr>
          <w:iCs/>
          <w:color w:val="auto"/>
          <w:lang w:eastAsia="ja-JP"/>
        </w:rPr>
        <w:t xml:space="preserve">Aubagio </w:t>
      </w:r>
      <w:r w:rsidRPr="00CD5B69">
        <w:rPr>
          <w:iCs/>
          <w:color w:val="auto"/>
          <w:lang w:eastAsia="ja-JP"/>
        </w:rPr>
        <w:t xml:space="preserve">respectively and 0% on placebo. This included polyneuropathy and mononeuropathy (e.g. carpal tunnel syndrome). Treatment was discontinued in one patient with polyneuropathy. There have been reports of peripheral neuropathy reported in patients receiving leflunomide, the parent compound for teriflunomide. If a patient taking </w:t>
      </w:r>
      <w:r w:rsidR="00092AA1" w:rsidRPr="00CD5B69">
        <w:rPr>
          <w:iCs/>
          <w:color w:val="auto"/>
          <w:lang w:eastAsia="ja-JP"/>
        </w:rPr>
        <w:t>Aubagio</w:t>
      </w:r>
      <w:r w:rsidRPr="00CD5B69">
        <w:rPr>
          <w:iCs/>
          <w:color w:val="auto"/>
          <w:lang w:eastAsia="ja-JP"/>
        </w:rPr>
        <w:t xml:space="preserve"> develops symptoms consistent with peripheral neuropathy, such as bilateral numbness or tingling of hands or feet, consider discontinuing </w:t>
      </w:r>
      <w:r w:rsidR="00092AA1" w:rsidRPr="00CD5B69">
        <w:rPr>
          <w:color w:val="auto"/>
        </w:rPr>
        <w:t>Aubagio</w:t>
      </w:r>
      <w:r w:rsidRPr="00CD5B69">
        <w:rPr>
          <w:iCs/>
          <w:color w:val="auto"/>
          <w:lang w:eastAsia="ja-JP"/>
        </w:rPr>
        <w:t xml:space="preserve"> therapy and performing an accelerated elimination procedure</w:t>
      </w:r>
    </w:p>
    <w:p w:rsidR="00B6106E" w:rsidRPr="00CD5B69" w:rsidRDefault="001D2B56" w:rsidP="003A33CF">
      <w:pPr>
        <w:pStyle w:val="Heading3"/>
        <w:numPr>
          <w:ilvl w:val="0"/>
          <w:numId w:val="0"/>
        </w:numPr>
      </w:pPr>
      <w:bookmarkStart w:id="38" w:name="_Toc307918113"/>
      <w:r w:rsidRPr="00CD5B69">
        <w:lastRenderedPageBreak/>
        <w:t xml:space="preserve">Rapid </w:t>
      </w:r>
      <w:r w:rsidR="003A33CF" w:rsidRPr="00CD5B69">
        <w:t>Elimination Procedure</w:t>
      </w:r>
      <w:bookmarkEnd w:id="38"/>
      <w:r w:rsidR="003A33CF" w:rsidRPr="00CD5B69">
        <w:t xml:space="preserve"> </w:t>
      </w:r>
    </w:p>
    <w:p w:rsidR="00B6106E" w:rsidRPr="00CD5B69" w:rsidRDefault="00C5399F" w:rsidP="00C40396">
      <w:r w:rsidRPr="00CD5B69">
        <w:t xml:space="preserve">Teriflunomide concentrations measured during an 11-day procedure to accelerate teriflunomide elimination with either 4 g cholestyramine </w:t>
      </w:r>
      <w:r w:rsidR="000745E0" w:rsidRPr="00CD5B69">
        <w:t>t.i.d</w:t>
      </w:r>
      <w:r w:rsidRPr="00CD5B69">
        <w:t xml:space="preserve">, 8 g cholestyramine </w:t>
      </w:r>
      <w:r w:rsidR="000745E0" w:rsidRPr="00CD5B69">
        <w:t>t.i.d</w:t>
      </w:r>
      <w:r w:rsidRPr="00CD5B69">
        <w:t xml:space="preserve"> or 50 g activated charcoal </w:t>
      </w:r>
      <w:r w:rsidR="000745E0" w:rsidRPr="00CD5B69">
        <w:t>b.i.d</w:t>
      </w:r>
      <w:r w:rsidRPr="00CD5B69">
        <w:t xml:space="preserve"> following cessation of teriflunomide treatment have shown that these regimens were effective in accelerating teriflunomide elimination, leading to more than 98% decrease in teriflunomide plasma concentrations, with cholestyramine being faster than charcoal. </w:t>
      </w:r>
      <w:r w:rsidR="001D34C7" w:rsidRPr="00CD5B69">
        <w:t>In association with this procedure a higher incidence among patients taking teriflunomide 14mg was seen of the AEs nausea (3.</w:t>
      </w:r>
      <w:r w:rsidR="00BF30F8" w:rsidRPr="00CD5B69">
        <w:t>3</w:t>
      </w:r>
      <w:r w:rsidR="001D34C7" w:rsidRPr="00CD5B69">
        <w:t>% vs 1.5% placebo), vomiting (2.4% vs 0% placebo),</w:t>
      </w:r>
      <w:r w:rsidR="00653146" w:rsidRPr="00CD5B69">
        <w:t xml:space="preserve"> and</w:t>
      </w:r>
      <w:r w:rsidR="001D34C7" w:rsidRPr="00CD5B69">
        <w:t xml:space="preserve"> increased ALT (1.6% vs. 0 placebo). </w:t>
      </w:r>
      <w:r w:rsidR="00B6106E" w:rsidRPr="00CD5B69">
        <w:t>When desired, elimination can be accelerated by any of the following procedures:</w:t>
      </w:r>
      <w:r w:rsidR="008B23D1" w:rsidRPr="00CD5B69">
        <w:t xml:space="preserve"> (See Overdosage - Rapid Elimination Procedure: Cholestyramine and activated charcoal)</w:t>
      </w:r>
      <w:r w:rsidR="00027755" w:rsidRPr="00CD5B69">
        <w:t>.</w:t>
      </w:r>
    </w:p>
    <w:p w:rsidR="00C5399F" w:rsidRPr="00CD5B69" w:rsidRDefault="00B6106E" w:rsidP="00B6106E">
      <w:pPr>
        <w:rPr>
          <w:color w:val="auto"/>
        </w:rPr>
      </w:pPr>
      <w:r w:rsidRPr="00CD5B69">
        <w:rPr>
          <w:color w:val="auto"/>
        </w:rPr>
        <w:t>A</w:t>
      </w:r>
      <w:r w:rsidR="00175633" w:rsidRPr="00CD5B69">
        <w:rPr>
          <w:color w:val="auto"/>
        </w:rPr>
        <w:t>dministration of cholestyramine</w:t>
      </w:r>
      <w:r w:rsidRPr="00CD5B69">
        <w:rPr>
          <w:color w:val="auto"/>
        </w:rPr>
        <w:t xml:space="preserve"> 4 g or 8 g every 8 hours for 11 days or by 50 g oral activated charcoal powder administered every 12 hours for 11 days (days do not need to be consecutive unless there is a need to lower teriflunomide plasma concentration rapidly)</w:t>
      </w:r>
      <w:r w:rsidR="00D816BF" w:rsidRPr="00CD5B69">
        <w:rPr>
          <w:color w:val="auto"/>
        </w:rPr>
        <w:t>.</w:t>
      </w:r>
      <w:r w:rsidR="00C5399F" w:rsidRPr="00CD5B69">
        <w:rPr>
          <w:color w:val="auto"/>
        </w:rPr>
        <w:t xml:space="preserve"> </w:t>
      </w:r>
    </w:p>
    <w:p w:rsidR="00B6106E" w:rsidRPr="00CD5B69" w:rsidRDefault="00C5399F" w:rsidP="00B6106E">
      <w:pPr>
        <w:rPr>
          <w:color w:val="auto"/>
        </w:rPr>
      </w:pPr>
      <w:r w:rsidRPr="00CD5B69">
        <w:rPr>
          <w:color w:val="auto"/>
        </w:rPr>
        <w:t xml:space="preserve">If cholestyramine 8 g three times a day is not well tolerated, cholestyramine 4 g three times a day can be used. </w:t>
      </w:r>
    </w:p>
    <w:p w:rsidR="00FD79CA" w:rsidRPr="00CD5B69" w:rsidRDefault="00FD79CA" w:rsidP="00FD79CA">
      <w:pPr>
        <w:rPr>
          <w:color w:val="auto"/>
        </w:rPr>
      </w:pPr>
      <w:r w:rsidRPr="00CD5B69">
        <w:rPr>
          <w:color w:val="auto"/>
        </w:rPr>
        <w:t xml:space="preserve">Both cholestyramine and activated charcoal may influence the absorption of </w:t>
      </w:r>
      <w:r w:rsidR="004135A4" w:rsidRPr="00CD5B69">
        <w:rPr>
          <w:color w:val="auto"/>
        </w:rPr>
        <w:t>oestrogen</w:t>
      </w:r>
      <w:r w:rsidRPr="00CD5B69">
        <w:rPr>
          <w:color w:val="auto"/>
        </w:rPr>
        <w:t>s and progestogens such that reliable contraception with oral contraceptives may not be guaranteed during the washout procedure with cholestyramine and activated charcoal. Use of alternative contraceptive methods is recommended.</w:t>
      </w:r>
    </w:p>
    <w:p w:rsidR="00FD79CA" w:rsidRPr="00CD5B69" w:rsidRDefault="00335323" w:rsidP="00335323">
      <w:pPr>
        <w:pStyle w:val="Heading3"/>
        <w:numPr>
          <w:ilvl w:val="0"/>
          <w:numId w:val="0"/>
        </w:numPr>
      </w:pPr>
      <w:r w:rsidRPr="00CD5B69">
        <w:t>Plasma monitoring</w:t>
      </w:r>
    </w:p>
    <w:p w:rsidR="00BD5F0A" w:rsidRPr="00CD5B69" w:rsidRDefault="00EA01DC" w:rsidP="00BD5F0A">
      <w:pPr>
        <w:rPr>
          <w:color w:val="auto"/>
        </w:rPr>
      </w:pPr>
      <w:r w:rsidRPr="00CD5B69">
        <w:rPr>
          <w:color w:val="auto"/>
        </w:rPr>
        <w:t>After the wash-out procedure has been performed, teriflunomide plasma levels of &lt; 0.02 mg/L must be verified by 2 separate tests at least 14 days apart.</w:t>
      </w:r>
      <w:r w:rsidR="002E42BA" w:rsidRPr="00CD5B69">
        <w:rPr>
          <w:color w:val="auto"/>
          <w:sz w:val="23"/>
          <w:szCs w:val="23"/>
        </w:rPr>
        <w:t xml:space="preserve"> </w:t>
      </w:r>
      <w:r w:rsidR="00BD5F0A" w:rsidRPr="00CD5B69">
        <w:rPr>
          <w:color w:val="auto"/>
        </w:rPr>
        <w:t xml:space="preserve">Human teriflunomide plasma concentrations less than or equal to 0.02 mg/L are expected to have minimal risk based on available data. Without the drug elimination procedure, it may take up to 2 years to reach teriflunomide concentrations &lt;0.02 mg/L (after stopping treatment with </w:t>
      </w:r>
      <w:r w:rsidR="00092AA1" w:rsidRPr="00CD5B69">
        <w:rPr>
          <w:color w:val="auto"/>
        </w:rPr>
        <w:t>Aubagio</w:t>
      </w:r>
      <w:r w:rsidR="00BD5F0A" w:rsidRPr="00CD5B69">
        <w:rPr>
          <w:color w:val="auto"/>
        </w:rPr>
        <w:t xml:space="preserve">), due to individual variation in drug clearance. </w:t>
      </w:r>
      <w:r w:rsidRPr="00CD5B69">
        <w:rPr>
          <w:color w:val="auto"/>
        </w:rPr>
        <w:t>However, verification of teriflunomide level</w:t>
      </w:r>
      <w:r w:rsidR="00D378C8">
        <w:rPr>
          <w:color w:val="auto"/>
        </w:rPr>
        <w:t>s &lt;0.02 mg/L by 2 separate test</w:t>
      </w:r>
      <w:r w:rsidRPr="00CD5B69">
        <w:rPr>
          <w:color w:val="auto"/>
        </w:rPr>
        <w:t>s at an interval of at least 14 days is required</w:t>
      </w:r>
    </w:p>
    <w:p w:rsidR="00BD5F0A" w:rsidRPr="00CD5B69" w:rsidRDefault="00BD5F0A" w:rsidP="00BD5F0A">
      <w:pPr>
        <w:rPr>
          <w:color w:val="auto"/>
        </w:rPr>
      </w:pPr>
      <w:r w:rsidRPr="00CD5B69">
        <w:rPr>
          <w:color w:val="auto"/>
        </w:rPr>
        <w:t>In pregnant women and women currently attempting to become pregnant, plasma concentrations should be verified to be equal or less than 0.02 mcg/mL. If plasma concentrations are higher than 0.02 mcg/mL, additional elimination should be considered.</w:t>
      </w:r>
    </w:p>
    <w:p w:rsidR="006E2775" w:rsidRPr="00CD5B69" w:rsidRDefault="003A33CF" w:rsidP="003A33CF">
      <w:pPr>
        <w:pStyle w:val="Heading3"/>
        <w:numPr>
          <w:ilvl w:val="0"/>
          <w:numId w:val="0"/>
        </w:numPr>
      </w:pPr>
      <w:bookmarkStart w:id="39" w:name="_Toc307918114"/>
      <w:r w:rsidRPr="00CD5B69">
        <w:lastRenderedPageBreak/>
        <w:t>Effects on Fertility</w:t>
      </w:r>
      <w:bookmarkEnd w:id="39"/>
      <w:r w:rsidRPr="00CD5B69">
        <w:t xml:space="preserve"> </w:t>
      </w:r>
    </w:p>
    <w:p w:rsidR="002A0158" w:rsidRPr="00CD5B69" w:rsidRDefault="002A0158" w:rsidP="00335323">
      <w:pPr>
        <w:rPr>
          <w:color w:val="auto"/>
        </w:rPr>
      </w:pPr>
      <w:r w:rsidRPr="00CD5B69">
        <w:rPr>
          <w:color w:val="auto"/>
        </w:rPr>
        <w:t>Oral administration of teriflunomide 10mg/kg/day (about 6 times the RHD based on mg/m2) to male rats impaired spermatogenesis but had no effect on fertility; the no-effect dose was 3mg/kg/day. Oral treatment of female rats with teriflunomide from two weeks prior to mating through to implantation (gestation day 6) caused almost complete embryo</w:t>
      </w:r>
      <w:r w:rsidR="00B9457F" w:rsidRPr="00CD5B69">
        <w:rPr>
          <w:color w:val="auto"/>
        </w:rPr>
        <w:t>foetal</w:t>
      </w:r>
      <w:r w:rsidRPr="00CD5B69">
        <w:rPr>
          <w:color w:val="auto"/>
        </w:rPr>
        <w:t xml:space="preserve"> death and isolated malformations in surviving fetuses at doses of 2.6mg/kg/day and above (about twice the RHD based on mg/m2; the no-effect dose was 0.84mg/kg/day. Estimated systemic exposure (plasma AUC) in these studies was less than anticipated clinical exposure.</w:t>
      </w:r>
    </w:p>
    <w:p w:rsidR="002A0158" w:rsidRPr="00CD5B69" w:rsidRDefault="002A0158" w:rsidP="009B40ED">
      <w:pPr>
        <w:autoSpaceDE w:val="0"/>
        <w:autoSpaceDN w:val="0"/>
        <w:adjustRightInd w:val="0"/>
        <w:spacing w:before="0"/>
        <w:rPr>
          <w:rFonts w:eastAsia="TimesNewRomanPSMT"/>
          <w:color w:val="auto"/>
          <w:lang w:eastAsia="ja-JP"/>
        </w:rPr>
      </w:pPr>
    </w:p>
    <w:p w:rsidR="001C11BA" w:rsidRPr="00CD5B69" w:rsidRDefault="003A33CF" w:rsidP="003A33CF">
      <w:pPr>
        <w:pStyle w:val="Heading3"/>
        <w:numPr>
          <w:ilvl w:val="0"/>
          <w:numId w:val="0"/>
        </w:numPr>
      </w:pPr>
      <w:bookmarkStart w:id="40" w:name="_Toc307918115"/>
      <w:r w:rsidRPr="00CD5B69">
        <w:t>U</w:t>
      </w:r>
      <w:r w:rsidR="008E585D" w:rsidRPr="00CD5B69">
        <w:t xml:space="preserve">se in pregnancy (Category </w:t>
      </w:r>
      <w:r w:rsidR="00AC2FB4" w:rsidRPr="00CD5B69">
        <w:t>X</w:t>
      </w:r>
      <w:r w:rsidR="001C11BA" w:rsidRPr="00CD5B69">
        <w:t>)</w:t>
      </w:r>
      <w:bookmarkEnd w:id="40"/>
    </w:p>
    <w:p w:rsidR="00F12707" w:rsidRPr="00CD5B69" w:rsidRDefault="00F12707" w:rsidP="00035EBF">
      <w:pPr>
        <w:rPr>
          <w:color w:val="auto"/>
        </w:rPr>
      </w:pPr>
      <w:r w:rsidRPr="00CD5B69">
        <w:rPr>
          <w:color w:val="auto"/>
        </w:rPr>
        <w:t>As teriflunomide is teratogenic in rats and rabbits, it may cause foetal harm in humans. Aubagio must not be given to pregnant women, or women of childbearing potential who are not using reliable contraception during treatment with Aubagio and for a certain period of time thereafter as long as the plasma levels of the active metabolite are above 0.02 mg/L, unless undergoing washout treatment (waiting period or abbreviated wash-out period; see below). Pregnancy must be excluded before the start of treatment with Aubagio</w:t>
      </w:r>
      <w:r w:rsidR="00F06DAA" w:rsidRPr="00CD5B69">
        <w:rPr>
          <w:color w:val="auto"/>
        </w:rPr>
        <w:t>.</w:t>
      </w:r>
    </w:p>
    <w:p w:rsidR="00F06DAA" w:rsidRPr="00CD5B69" w:rsidRDefault="00F06DAA" w:rsidP="00035EBF">
      <w:pPr>
        <w:rPr>
          <w:color w:val="auto"/>
        </w:rPr>
      </w:pPr>
      <w:r w:rsidRPr="00CD5B69">
        <w:rPr>
          <w:color w:val="auto"/>
        </w:rPr>
        <w:t xml:space="preserve">It is recommended that women of childbearing potential only receive Aubagio after it has been confirmed that they are using a reliable form of contraception. In a study in which </w:t>
      </w:r>
      <w:r w:rsidR="006843BB" w:rsidRPr="00CD5B69">
        <w:rPr>
          <w:color w:val="auto"/>
        </w:rPr>
        <w:t>leflunomide, the parent compound of teriflunomide,</w:t>
      </w:r>
      <w:r w:rsidRPr="00CD5B69">
        <w:rPr>
          <w:color w:val="auto"/>
        </w:rPr>
        <w:t xml:space="preserve"> was given to healthy female volunteers concomitantly with a triphasic oral contraceptive pill containing 30 μg ethinyloestradiol, there was no reduction in contraceptive activity of the pill, and </w:t>
      </w:r>
      <w:r w:rsidR="002776B9" w:rsidRPr="00CD5B69">
        <w:rPr>
          <w:color w:val="auto"/>
        </w:rPr>
        <w:t xml:space="preserve">teriflunomide </w:t>
      </w:r>
      <w:r w:rsidRPr="00CD5B69">
        <w:rPr>
          <w:color w:val="auto"/>
        </w:rPr>
        <w:t>pharmacokinetics were within predicted ranges.</w:t>
      </w:r>
    </w:p>
    <w:p w:rsidR="00F06DAA" w:rsidRPr="00CD5B69" w:rsidRDefault="00F06DAA" w:rsidP="00035EBF">
      <w:pPr>
        <w:rPr>
          <w:color w:val="auto"/>
        </w:rPr>
      </w:pPr>
      <w:r w:rsidRPr="00CD5B69">
        <w:rPr>
          <w:color w:val="auto"/>
          <w:sz w:val="23"/>
          <w:szCs w:val="23"/>
        </w:rPr>
        <w:t>Patients must be advised that if there is any delay in the onset of menses or any other reason to suspect pregnancy, they must notify their physician immediately to test for pregnancy. If the test is positive, the physician and patient must discuss the risk to the foetus. It is possible that by rapidly lowering the blood level of the active metabolite at the first delay of menses, using the drug elimination procedure described below, the risk to the foetus may be decreased</w:t>
      </w:r>
    </w:p>
    <w:p w:rsidR="000E2A05" w:rsidRPr="00CD5B69" w:rsidRDefault="000E2A05" w:rsidP="000E2A05">
      <w:pPr>
        <w:rPr>
          <w:color w:val="auto"/>
        </w:rPr>
      </w:pPr>
      <w:r w:rsidRPr="00CD5B69">
        <w:rPr>
          <w:color w:val="auto"/>
        </w:rPr>
        <w:t>Human Experience</w:t>
      </w:r>
    </w:p>
    <w:p w:rsidR="000E2A05" w:rsidRPr="00CD5B69" w:rsidRDefault="000E2A05" w:rsidP="000E2A05">
      <w:pPr>
        <w:rPr>
          <w:color w:val="auto"/>
        </w:rPr>
      </w:pPr>
      <w:r w:rsidRPr="00CD5B69">
        <w:rPr>
          <w:color w:val="auto"/>
        </w:rPr>
        <w:t xml:space="preserve">There is limited human experience from clinical studies with </w:t>
      </w:r>
      <w:r w:rsidR="00705678" w:rsidRPr="00CD5B69">
        <w:rPr>
          <w:color w:val="auto"/>
        </w:rPr>
        <w:t>Aubagio</w:t>
      </w:r>
      <w:r w:rsidRPr="00CD5B69">
        <w:rPr>
          <w:color w:val="auto"/>
        </w:rPr>
        <w:t xml:space="preserve">. A total of 31 patients became pregnant during clinical studies while using teriflunomide. A total of 7 patients were reported having pregnancy with live birth outcome. All of these patients underwent an accelerated elimination procedure.  Maternal exposure to teriflunomide was between 5 weeks and 489 weeks. The </w:t>
      </w:r>
      <w:r w:rsidR="00B9457F" w:rsidRPr="00CD5B69">
        <w:rPr>
          <w:color w:val="auto"/>
        </w:rPr>
        <w:t>foetal</w:t>
      </w:r>
      <w:r w:rsidRPr="00CD5B69">
        <w:rPr>
          <w:color w:val="auto"/>
        </w:rPr>
        <w:t xml:space="preserve"> exposure was from a few days to 11 weeks prior to the accelerated elimination procedure.  All seven patients exposed to teriflunomide gave birth to normal healthy newborns, </w:t>
      </w:r>
      <w:r w:rsidRPr="00CD5B69">
        <w:rPr>
          <w:color w:val="auto"/>
        </w:rPr>
        <w:lastRenderedPageBreak/>
        <w:t xml:space="preserve">without evidence of structural or functional defects. Of the remaining pregnancies, 13 were electively terminated, 8 resulted in miscarriages and three were ongoing. Due to the limited nature of these data no firm conclusions can be drawn regarding the use of teriflunomide in pregnant women. </w:t>
      </w:r>
      <w:r w:rsidR="00705678" w:rsidRPr="00CD5B69">
        <w:rPr>
          <w:color w:val="auto"/>
        </w:rPr>
        <w:t>Aubagio</w:t>
      </w:r>
      <w:r w:rsidRPr="00CD5B69">
        <w:rPr>
          <w:color w:val="auto"/>
        </w:rPr>
        <w:t xml:space="preserve"> is contraindicated in women who are pregnant or currently attempting to become pregnant</w:t>
      </w:r>
      <w:r w:rsidR="00F01464" w:rsidRPr="00CD5B69">
        <w:rPr>
          <w:color w:val="auto"/>
        </w:rPr>
        <w:t xml:space="preserve"> (see CONTRA-INDICATIONS).</w:t>
      </w:r>
    </w:p>
    <w:p w:rsidR="001C11BA" w:rsidRPr="00CD5B69" w:rsidRDefault="001C11BA" w:rsidP="00335323">
      <w:pPr>
        <w:pStyle w:val="Heading3"/>
        <w:numPr>
          <w:ilvl w:val="0"/>
          <w:numId w:val="0"/>
        </w:numPr>
      </w:pPr>
      <w:bookmarkStart w:id="41" w:name="_Toc307918116"/>
      <w:r w:rsidRPr="00CD5B69">
        <w:t>Pregnancy Registry</w:t>
      </w:r>
      <w:bookmarkEnd w:id="41"/>
    </w:p>
    <w:p w:rsidR="001C11BA" w:rsidRPr="00CD5B69" w:rsidRDefault="001C11BA" w:rsidP="001C11BA">
      <w:pPr>
        <w:rPr>
          <w:color w:val="auto"/>
        </w:rPr>
      </w:pPr>
      <w:r w:rsidRPr="00CD5B69">
        <w:rPr>
          <w:color w:val="auto"/>
        </w:rPr>
        <w:t xml:space="preserve">A pregnancy registry has been established to collect information about the effect of </w:t>
      </w:r>
      <w:r w:rsidR="00092AA1" w:rsidRPr="00CD5B69">
        <w:rPr>
          <w:color w:val="auto"/>
        </w:rPr>
        <w:t>Aubagio</w:t>
      </w:r>
      <w:r w:rsidRPr="00CD5B69">
        <w:rPr>
          <w:color w:val="auto"/>
        </w:rPr>
        <w:t xml:space="preserve"> use during pregnancy. </w:t>
      </w:r>
      <w:bookmarkStart w:id="42" w:name="OLE_LINK8"/>
      <w:r w:rsidR="0099382E" w:rsidRPr="00CD5B69">
        <w:rPr>
          <w:color w:val="auto"/>
        </w:rPr>
        <w:t>If p</w:t>
      </w:r>
      <w:r w:rsidRPr="00CD5B69">
        <w:rPr>
          <w:color w:val="auto"/>
        </w:rPr>
        <w:t xml:space="preserve">hysicians </w:t>
      </w:r>
      <w:r w:rsidR="0099382E" w:rsidRPr="00CD5B69">
        <w:rPr>
          <w:color w:val="auto"/>
        </w:rPr>
        <w:t xml:space="preserve">or patients become aware of pregnancy during treatment with </w:t>
      </w:r>
      <w:r w:rsidR="00092AA1" w:rsidRPr="00CD5B69">
        <w:rPr>
          <w:color w:val="auto"/>
        </w:rPr>
        <w:t>Aubagio</w:t>
      </w:r>
      <w:r w:rsidR="0099382E" w:rsidRPr="00CD5B69">
        <w:rPr>
          <w:color w:val="auto"/>
        </w:rPr>
        <w:t xml:space="preserve">, they </w:t>
      </w:r>
      <w:r w:rsidRPr="00CD5B69">
        <w:rPr>
          <w:color w:val="auto"/>
        </w:rPr>
        <w:t xml:space="preserve">are encouraged to enrol </w:t>
      </w:r>
      <w:r w:rsidR="001D2B56" w:rsidRPr="00CD5B69">
        <w:rPr>
          <w:color w:val="auto"/>
        </w:rPr>
        <w:t>the patient</w:t>
      </w:r>
      <w:r w:rsidRPr="00CD5B69">
        <w:rPr>
          <w:color w:val="auto"/>
        </w:rPr>
        <w:t xml:space="preserve"> in the </w:t>
      </w:r>
      <w:r w:rsidR="00092AA1" w:rsidRPr="00CD5B69">
        <w:rPr>
          <w:color w:val="auto"/>
        </w:rPr>
        <w:t>Aubagio</w:t>
      </w:r>
      <w:r w:rsidRPr="00CD5B69">
        <w:rPr>
          <w:color w:val="auto"/>
        </w:rPr>
        <w:t xml:space="preserve"> pregnancy registry</w:t>
      </w:r>
      <w:bookmarkEnd w:id="42"/>
      <w:r w:rsidR="00D816BF" w:rsidRPr="00CD5B69">
        <w:rPr>
          <w:color w:val="auto"/>
        </w:rPr>
        <w:t>.</w:t>
      </w:r>
    </w:p>
    <w:p w:rsidR="001C11BA" w:rsidRPr="00CD5B69" w:rsidRDefault="00D816BF" w:rsidP="00982BCA">
      <w:pPr>
        <w:pStyle w:val="Heading3"/>
        <w:numPr>
          <w:ilvl w:val="0"/>
          <w:numId w:val="0"/>
        </w:numPr>
      </w:pPr>
      <w:bookmarkStart w:id="43" w:name="_Toc307918117"/>
      <w:r w:rsidRPr="00CD5B69">
        <w:t>Labour and Del</w:t>
      </w:r>
      <w:r w:rsidR="001C11BA" w:rsidRPr="00CD5B69">
        <w:t>ivery</w:t>
      </w:r>
      <w:bookmarkEnd w:id="43"/>
    </w:p>
    <w:p w:rsidR="001C11BA" w:rsidRPr="00CD5B69" w:rsidRDefault="001C11BA" w:rsidP="001C11BA">
      <w:pPr>
        <w:rPr>
          <w:color w:val="auto"/>
        </w:rPr>
      </w:pPr>
      <w:r w:rsidRPr="00CD5B69">
        <w:rPr>
          <w:color w:val="auto"/>
        </w:rPr>
        <w:t xml:space="preserve">There is no adequate information regarding the effects of </w:t>
      </w:r>
      <w:r w:rsidR="00092AA1" w:rsidRPr="00CD5B69">
        <w:rPr>
          <w:color w:val="auto"/>
        </w:rPr>
        <w:t>Aubagio</w:t>
      </w:r>
      <w:r w:rsidRPr="00CD5B69">
        <w:rPr>
          <w:color w:val="auto"/>
        </w:rPr>
        <w:t xml:space="preserve"> on labo</w:t>
      </w:r>
      <w:r w:rsidR="00175633" w:rsidRPr="00CD5B69">
        <w:rPr>
          <w:color w:val="auto"/>
        </w:rPr>
        <w:t>u</w:t>
      </w:r>
      <w:r w:rsidRPr="00CD5B69">
        <w:rPr>
          <w:color w:val="auto"/>
        </w:rPr>
        <w:t>r and delivery in pregnant women.</w:t>
      </w:r>
    </w:p>
    <w:p w:rsidR="000556C3" w:rsidRPr="00CD5B69" w:rsidRDefault="00D816BF" w:rsidP="00982BCA">
      <w:pPr>
        <w:pStyle w:val="Heading3"/>
        <w:numPr>
          <w:ilvl w:val="0"/>
          <w:numId w:val="0"/>
        </w:numPr>
      </w:pPr>
      <w:bookmarkStart w:id="44" w:name="_Toc300662278"/>
      <w:bookmarkStart w:id="45" w:name="_Toc307918118"/>
      <w:r w:rsidRPr="00CD5B69">
        <w:t xml:space="preserve">Use in </w:t>
      </w:r>
      <w:r w:rsidR="000556C3" w:rsidRPr="00CD5B69">
        <w:t>Lactation</w:t>
      </w:r>
      <w:bookmarkEnd w:id="44"/>
      <w:bookmarkEnd w:id="45"/>
    </w:p>
    <w:p w:rsidR="004F317B" w:rsidRPr="00CD5B69" w:rsidRDefault="004F317B" w:rsidP="004F317B">
      <w:pPr>
        <w:rPr>
          <w:color w:val="auto"/>
        </w:rPr>
      </w:pPr>
      <w:r w:rsidRPr="00CD5B69">
        <w:rPr>
          <w:color w:val="auto"/>
        </w:rPr>
        <w:t xml:space="preserve">Animal studies </w:t>
      </w:r>
      <w:r w:rsidR="002A0158" w:rsidRPr="00CD5B69">
        <w:rPr>
          <w:color w:val="auto"/>
        </w:rPr>
        <w:t>indicate that teriflunomide passes into milk and can cause harm to the developing neonate at subclinical maternal exposures. Up to 23% of a maternal dose was</w:t>
      </w:r>
      <w:r w:rsidR="00A50704">
        <w:rPr>
          <w:color w:val="auto"/>
        </w:rPr>
        <w:t xml:space="preserve"> ingested by suckling rat pups.</w:t>
      </w:r>
      <w:r w:rsidR="002A0158" w:rsidRPr="00CD5B69">
        <w:rPr>
          <w:color w:val="auto"/>
        </w:rPr>
        <w:t xml:space="preserve"> </w:t>
      </w:r>
      <w:r w:rsidRPr="00CD5B69">
        <w:rPr>
          <w:color w:val="auto"/>
        </w:rPr>
        <w:t xml:space="preserve"> Because many drugs are excreted in human milk and because of the potential for serious adverse reactions in nursing infants from </w:t>
      </w:r>
      <w:r w:rsidR="00092AA1" w:rsidRPr="00CD5B69">
        <w:rPr>
          <w:color w:val="auto"/>
        </w:rPr>
        <w:t>Aubagio</w:t>
      </w:r>
      <w:r w:rsidR="00175633" w:rsidRPr="00CD5B69">
        <w:rPr>
          <w:color w:val="auto"/>
        </w:rPr>
        <w:t>,</w:t>
      </w:r>
      <w:r w:rsidRPr="00CD5B69">
        <w:rPr>
          <w:color w:val="auto"/>
        </w:rPr>
        <w:t xml:space="preserve"> a decision should be made whether to discontinue nursing or to discontinue the drug, taking into account the importance of the drug to the mother.</w:t>
      </w:r>
    </w:p>
    <w:p w:rsidR="00B44002" w:rsidRPr="00CD5B69" w:rsidRDefault="00B44002" w:rsidP="00982BCA">
      <w:pPr>
        <w:pStyle w:val="Heading3"/>
        <w:numPr>
          <w:ilvl w:val="0"/>
          <w:numId w:val="0"/>
        </w:numPr>
      </w:pPr>
      <w:bookmarkStart w:id="46" w:name="_Toc307918119"/>
      <w:r w:rsidRPr="00CD5B69">
        <w:t>Use in males</w:t>
      </w:r>
      <w:bookmarkEnd w:id="46"/>
    </w:p>
    <w:p w:rsidR="00B44002" w:rsidRPr="00CD5B69" w:rsidRDefault="00B44002" w:rsidP="00B44002">
      <w:pPr>
        <w:rPr>
          <w:color w:val="auto"/>
        </w:rPr>
      </w:pPr>
      <w:r w:rsidRPr="00CD5B69">
        <w:rPr>
          <w:color w:val="auto"/>
        </w:rPr>
        <w:t>The risk of male-mediated embryo-</w:t>
      </w:r>
      <w:r w:rsidR="0018500D" w:rsidRPr="00CD5B69">
        <w:rPr>
          <w:color w:val="auto"/>
        </w:rPr>
        <w:t>foetal</w:t>
      </w:r>
      <w:r w:rsidRPr="00CD5B69">
        <w:rPr>
          <w:color w:val="auto"/>
        </w:rPr>
        <w:t xml:space="preserve"> toxicity through teriflunomide treatment is considered low. The estimated female plasma exposure via the semen of a treated patient is expected to be 100 times lower than the plasma exposure observed at steady state after 14 mg of oral teriflunomide. There were no external malformations in the offspring of male rats administered teriflunomide for at least 10 weeks prior to mating with untreated female rats</w:t>
      </w:r>
      <w:r w:rsidR="00E15E9E" w:rsidRPr="00CD5B69">
        <w:rPr>
          <w:color w:val="auto"/>
        </w:rPr>
        <w:t xml:space="preserve"> at oral doses up to 10mg/kg/day (about 6 times the RHD based on mg/m</w:t>
      </w:r>
      <w:r w:rsidR="00E15E9E" w:rsidRPr="00CD5B69">
        <w:rPr>
          <w:color w:val="auto"/>
          <w:vertAlign w:val="superscript"/>
        </w:rPr>
        <w:t>2</w:t>
      </w:r>
      <w:r w:rsidR="00E15E9E" w:rsidRPr="00CD5B69">
        <w:rPr>
          <w:color w:val="auto"/>
        </w:rPr>
        <w:t>).</w:t>
      </w:r>
    </w:p>
    <w:p w:rsidR="00F96597" w:rsidRPr="00CD5B69" w:rsidRDefault="00F96597" w:rsidP="00F96597">
      <w:pPr>
        <w:pStyle w:val="Heading3"/>
        <w:numPr>
          <w:ilvl w:val="0"/>
          <w:numId w:val="0"/>
        </w:numPr>
      </w:pPr>
      <w:bookmarkStart w:id="47" w:name="_Toc307918120"/>
      <w:r w:rsidRPr="00CD5B69">
        <w:t>Paediatric Use</w:t>
      </w:r>
      <w:bookmarkEnd w:id="47"/>
    </w:p>
    <w:p w:rsidR="00F96597" w:rsidRPr="00CD5B69" w:rsidRDefault="00F96597" w:rsidP="00F96597">
      <w:pPr>
        <w:rPr>
          <w:color w:val="auto"/>
        </w:rPr>
      </w:pPr>
      <w:r w:rsidRPr="00CD5B69">
        <w:rPr>
          <w:color w:val="auto"/>
        </w:rPr>
        <w:t>The safety and effective</w:t>
      </w:r>
      <w:r w:rsidR="00A84DED" w:rsidRPr="00CD5B69">
        <w:rPr>
          <w:color w:val="auto"/>
        </w:rPr>
        <w:t>ness</w:t>
      </w:r>
      <w:r w:rsidRPr="00CD5B69">
        <w:rPr>
          <w:color w:val="auto"/>
        </w:rPr>
        <w:t xml:space="preserve"> of </w:t>
      </w:r>
      <w:r w:rsidR="00092AA1" w:rsidRPr="00CD5B69">
        <w:rPr>
          <w:color w:val="auto"/>
        </w:rPr>
        <w:t>Aubagio</w:t>
      </w:r>
      <w:r w:rsidRPr="00CD5B69">
        <w:rPr>
          <w:color w:val="auto"/>
        </w:rPr>
        <w:t xml:space="preserve"> in paediatric patients with MS below the age of 18 years have not yet been established.</w:t>
      </w:r>
    </w:p>
    <w:p w:rsidR="00F96597" w:rsidRPr="00CD5B69" w:rsidRDefault="00F96597" w:rsidP="00F96597">
      <w:pPr>
        <w:pStyle w:val="Heading3"/>
        <w:numPr>
          <w:ilvl w:val="0"/>
          <w:numId w:val="0"/>
        </w:numPr>
      </w:pPr>
      <w:bookmarkStart w:id="48" w:name="_Toc307918121"/>
      <w:r w:rsidRPr="00CD5B69">
        <w:lastRenderedPageBreak/>
        <w:t>Use in the elderly</w:t>
      </w:r>
      <w:bookmarkEnd w:id="48"/>
    </w:p>
    <w:p w:rsidR="00F96597" w:rsidRPr="00CD5B69" w:rsidRDefault="00F96597" w:rsidP="00F96597">
      <w:pPr>
        <w:autoSpaceDE w:val="0"/>
        <w:autoSpaceDN w:val="0"/>
        <w:adjustRightInd w:val="0"/>
        <w:spacing w:before="0"/>
        <w:rPr>
          <w:rFonts w:ascii="Arial" w:hAnsi="Arial" w:cs="Arial"/>
          <w:color w:val="auto"/>
          <w:sz w:val="22"/>
          <w:szCs w:val="22"/>
          <w:lang w:eastAsia="ja-JP"/>
        </w:rPr>
      </w:pPr>
    </w:p>
    <w:p w:rsidR="00F96597" w:rsidRPr="00CD5B69" w:rsidRDefault="00F96597" w:rsidP="00F96597">
      <w:pPr>
        <w:autoSpaceDE w:val="0"/>
        <w:autoSpaceDN w:val="0"/>
        <w:adjustRightInd w:val="0"/>
        <w:spacing w:before="0"/>
        <w:rPr>
          <w:color w:val="auto"/>
          <w:lang w:eastAsia="ja-JP"/>
        </w:rPr>
      </w:pPr>
      <w:r w:rsidRPr="00CD5B69">
        <w:rPr>
          <w:color w:val="auto"/>
          <w:lang w:eastAsia="ja-JP"/>
        </w:rPr>
        <w:t xml:space="preserve">Clinical studies of </w:t>
      </w:r>
      <w:r w:rsidR="00092AA1" w:rsidRPr="00CD5B69">
        <w:rPr>
          <w:color w:val="auto"/>
          <w:lang w:eastAsia="ja-JP"/>
        </w:rPr>
        <w:t>Aubagio</w:t>
      </w:r>
      <w:r w:rsidRPr="00CD5B69">
        <w:rPr>
          <w:color w:val="auto"/>
          <w:lang w:eastAsia="ja-JP"/>
        </w:rPr>
        <w:t xml:space="preserve"> did not inclu</w:t>
      </w:r>
      <w:r w:rsidR="00CB21DA" w:rsidRPr="00CD5B69">
        <w:rPr>
          <w:color w:val="auto"/>
          <w:lang w:eastAsia="ja-JP"/>
        </w:rPr>
        <w:t xml:space="preserve">de patients over 65 years old. </w:t>
      </w:r>
      <w:r w:rsidR="00092AA1" w:rsidRPr="00CD5B69">
        <w:rPr>
          <w:color w:val="auto"/>
          <w:lang w:eastAsia="ja-JP"/>
        </w:rPr>
        <w:t>Aubagio</w:t>
      </w:r>
      <w:r w:rsidR="00A67CB3">
        <w:rPr>
          <w:color w:val="auto"/>
          <w:lang w:eastAsia="ja-JP"/>
        </w:rPr>
        <w:t xml:space="preserve"> </w:t>
      </w:r>
      <w:r w:rsidRPr="00CD5B69">
        <w:rPr>
          <w:color w:val="auto"/>
          <w:lang w:eastAsia="ja-JP"/>
        </w:rPr>
        <w:t xml:space="preserve">should be used with caution in patients aged </w:t>
      </w:r>
      <w:r w:rsidR="00CB21DA" w:rsidRPr="00CD5B69">
        <w:rPr>
          <w:color w:val="auto"/>
          <w:lang w:eastAsia="ja-JP"/>
        </w:rPr>
        <w:t xml:space="preserve">over </w:t>
      </w:r>
      <w:r w:rsidRPr="00CD5B69">
        <w:rPr>
          <w:color w:val="auto"/>
          <w:lang w:eastAsia="ja-JP"/>
        </w:rPr>
        <w:t>65 years.</w:t>
      </w:r>
    </w:p>
    <w:p w:rsidR="004F317B" w:rsidRPr="00CD5B69" w:rsidRDefault="003A33CF" w:rsidP="003A33CF">
      <w:pPr>
        <w:pStyle w:val="Heading3"/>
        <w:numPr>
          <w:ilvl w:val="0"/>
          <w:numId w:val="0"/>
        </w:numPr>
      </w:pPr>
      <w:bookmarkStart w:id="49" w:name="_Toc307918122"/>
      <w:r w:rsidRPr="00CD5B69">
        <w:t>G</w:t>
      </w:r>
      <w:r w:rsidR="004F317B" w:rsidRPr="00CD5B69">
        <w:t>enotoxicity</w:t>
      </w:r>
      <w:bookmarkEnd w:id="49"/>
    </w:p>
    <w:p w:rsidR="00E15E9E" w:rsidRPr="00CD5B69" w:rsidRDefault="00E15E9E" w:rsidP="00E15E9E">
      <w:pPr>
        <w:rPr>
          <w:color w:val="auto"/>
        </w:rPr>
      </w:pPr>
      <w:r w:rsidRPr="00CD5B69">
        <w:rPr>
          <w:color w:val="auto"/>
        </w:rPr>
        <w:t xml:space="preserve">Teriflunomide was not mutagenic in bacteria (Salmonella typhimurium and Escherichia coli) or in Chinese hamster lung cells </w:t>
      </w:r>
      <w:r w:rsidRPr="00CD5B69">
        <w:rPr>
          <w:i/>
          <w:color w:val="auto"/>
        </w:rPr>
        <w:t>in vitro</w:t>
      </w:r>
      <w:r w:rsidRPr="00CD5B69">
        <w:rPr>
          <w:color w:val="auto"/>
        </w:rPr>
        <w:t xml:space="preserve"> and did not cause chromosomal damage </w:t>
      </w:r>
      <w:r w:rsidRPr="00CD5B69">
        <w:rPr>
          <w:i/>
          <w:color w:val="auto"/>
        </w:rPr>
        <w:t>in vivo</w:t>
      </w:r>
      <w:r w:rsidRPr="00CD5B69">
        <w:rPr>
          <w:color w:val="auto"/>
        </w:rPr>
        <w:t xml:space="preserve"> (mouse, rat and Chinese hamster bone marrow cells). A positive effect was found in a chromosomal damage </w:t>
      </w:r>
      <w:r w:rsidRPr="00CD5B69">
        <w:rPr>
          <w:i/>
          <w:color w:val="auto"/>
        </w:rPr>
        <w:t>in vitro</w:t>
      </w:r>
      <w:r w:rsidRPr="00CD5B69">
        <w:rPr>
          <w:color w:val="auto"/>
        </w:rPr>
        <w:t xml:space="preserve"> assay in human lymphocytes, but the significance of this is unclear.</w:t>
      </w:r>
    </w:p>
    <w:p w:rsidR="00E15E9E" w:rsidRPr="00CD5B69" w:rsidRDefault="003A33CF" w:rsidP="00E15E9E">
      <w:pPr>
        <w:rPr>
          <w:color w:val="auto"/>
        </w:rPr>
      </w:pPr>
      <w:r w:rsidRPr="00CD5B69">
        <w:rPr>
          <w:color w:val="auto"/>
        </w:rPr>
        <w:t xml:space="preserve">4-Trifluoromethylaniline (4-TFMA), a minor metabolite of teriflunomide, was </w:t>
      </w:r>
      <w:r w:rsidR="00E15E9E" w:rsidRPr="00CD5B69">
        <w:rPr>
          <w:color w:val="auto"/>
        </w:rPr>
        <w:t xml:space="preserve">positive in assays for gene mutation (bacteria and Chinese hamster cells) and for chromosome aberration at high </w:t>
      </w:r>
      <w:r w:rsidR="00E15E9E" w:rsidRPr="00CD5B69">
        <w:rPr>
          <w:i/>
          <w:color w:val="auto"/>
        </w:rPr>
        <w:t>in vitro</w:t>
      </w:r>
      <w:r w:rsidR="00E15E9E" w:rsidRPr="00CD5B69">
        <w:rPr>
          <w:color w:val="auto"/>
        </w:rPr>
        <w:t xml:space="preserve"> concentrations (Chinese hamster cells), but negative in the unscheduled DNA synthesis test and it was not clastogenic </w:t>
      </w:r>
      <w:r w:rsidR="00E15E9E" w:rsidRPr="00CD5B69">
        <w:rPr>
          <w:i/>
          <w:color w:val="auto"/>
        </w:rPr>
        <w:t>in vivo</w:t>
      </w:r>
      <w:r w:rsidR="00E15E9E" w:rsidRPr="00CD5B69">
        <w:rPr>
          <w:color w:val="auto"/>
        </w:rPr>
        <w:t xml:space="preserve"> in mice (micronucleus test) and Chinese hamsters (chromosome aberration test).</w:t>
      </w:r>
    </w:p>
    <w:p w:rsidR="00F96597" w:rsidRPr="00CD5B69" w:rsidRDefault="00F96597" w:rsidP="00F96597">
      <w:pPr>
        <w:pStyle w:val="Heading3"/>
        <w:numPr>
          <w:ilvl w:val="0"/>
          <w:numId w:val="0"/>
        </w:numPr>
      </w:pPr>
      <w:bookmarkStart w:id="50" w:name="_Toc307918123"/>
      <w:r w:rsidRPr="00CD5B69">
        <w:t>Carcinogenicity</w:t>
      </w:r>
      <w:bookmarkEnd w:id="50"/>
    </w:p>
    <w:p w:rsidR="00011DCC" w:rsidRPr="00CD5B69" w:rsidRDefault="00F96597" w:rsidP="00F96597">
      <w:pPr>
        <w:rPr>
          <w:color w:val="auto"/>
        </w:rPr>
      </w:pPr>
      <w:r w:rsidRPr="00CD5B69">
        <w:rPr>
          <w:color w:val="auto"/>
        </w:rPr>
        <w:t>No evidence of carc</w:t>
      </w:r>
      <w:r w:rsidR="00175633" w:rsidRPr="00CD5B69">
        <w:rPr>
          <w:color w:val="auto"/>
        </w:rPr>
        <w:t xml:space="preserve">inogenicity was observed in a 2 </w:t>
      </w:r>
      <w:r w:rsidRPr="00CD5B69">
        <w:rPr>
          <w:color w:val="auto"/>
        </w:rPr>
        <w:t>year bioassay in rats at oral doses of teriflunomide up to the maximally tolerated dose of 4</w:t>
      </w:r>
      <w:r w:rsidR="00011DCC" w:rsidRPr="00CD5B69">
        <w:rPr>
          <w:color w:val="auto"/>
        </w:rPr>
        <w:t xml:space="preserve"> and 12</w:t>
      </w:r>
      <w:r w:rsidRPr="00CD5B69">
        <w:rPr>
          <w:color w:val="auto"/>
        </w:rPr>
        <w:t> mg/kg/day</w:t>
      </w:r>
      <w:r w:rsidR="00011DCC" w:rsidRPr="00CD5B69">
        <w:rPr>
          <w:color w:val="auto"/>
        </w:rPr>
        <w:t xml:space="preserve"> respectively. Respective systemic exposures in these studies were about 30% and 3-fold the maximum human teriflunomide exposure based on plasma</w:t>
      </w:r>
      <w:r w:rsidRPr="00CD5B69">
        <w:rPr>
          <w:color w:val="auto"/>
        </w:rPr>
        <w:t xml:space="preserve"> AUC</w:t>
      </w:r>
      <w:r w:rsidRPr="00CD5B69">
        <w:rPr>
          <w:color w:val="auto"/>
          <w:vertAlign w:val="subscript"/>
        </w:rPr>
        <w:t>0-24</w:t>
      </w:r>
      <w:r w:rsidRPr="00CD5B69">
        <w:rPr>
          <w:color w:val="auto"/>
        </w:rPr>
        <w:t xml:space="preserve">).  </w:t>
      </w:r>
      <w:r w:rsidR="00011DCC" w:rsidRPr="00CD5B69">
        <w:rPr>
          <w:color w:val="auto"/>
        </w:rPr>
        <w:t xml:space="preserve">The risk of malignancy, particularly lymphoproliferative disorders, is increased with the use of some immunosuppressant medications. There is a potential for immunosuppression with </w:t>
      </w:r>
      <w:r w:rsidR="00092AA1" w:rsidRPr="00CD5B69">
        <w:rPr>
          <w:iCs/>
          <w:color w:val="auto"/>
          <w:lang w:eastAsia="ja-JP"/>
        </w:rPr>
        <w:t>Aubagio</w:t>
      </w:r>
      <w:r w:rsidR="00011DCC" w:rsidRPr="00CD5B69">
        <w:rPr>
          <w:color w:val="auto"/>
        </w:rPr>
        <w:t xml:space="preserve">. Large, long-term studies would be needed to determine whether there is an increased risk of malignancy or lymphoproliferative disorders with </w:t>
      </w:r>
      <w:r w:rsidR="00092AA1" w:rsidRPr="00CD5B69">
        <w:rPr>
          <w:iCs/>
          <w:color w:val="auto"/>
          <w:lang w:eastAsia="ja-JP"/>
        </w:rPr>
        <w:t>Aubagio</w:t>
      </w:r>
      <w:r w:rsidR="00011DCC" w:rsidRPr="00CD5B69">
        <w:rPr>
          <w:color w:val="auto"/>
        </w:rPr>
        <w:t>.</w:t>
      </w:r>
    </w:p>
    <w:p w:rsidR="000556C3" w:rsidRPr="00CD5B69" w:rsidRDefault="00335323" w:rsidP="002776B9">
      <w:pPr>
        <w:pStyle w:val="Heading2"/>
        <w:numPr>
          <w:ilvl w:val="0"/>
          <w:numId w:val="0"/>
        </w:numPr>
        <w:rPr>
          <w:lang w:eastAsia="ja-JP"/>
        </w:rPr>
      </w:pPr>
      <w:bookmarkStart w:id="51" w:name="_Toc307918124"/>
      <w:r w:rsidRPr="00CD5B69">
        <w:rPr>
          <w:lang w:eastAsia="ja-JP"/>
        </w:rPr>
        <w:t>I</w:t>
      </w:r>
      <w:r w:rsidR="000556C3" w:rsidRPr="00CD5B69">
        <w:rPr>
          <w:lang w:eastAsia="ja-JP"/>
        </w:rPr>
        <w:t>nteractions with other medicines</w:t>
      </w:r>
      <w:bookmarkEnd w:id="51"/>
    </w:p>
    <w:p w:rsidR="00335323" w:rsidRPr="00CD5B69" w:rsidRDefault="008E585D" w:rsidP="00335323">
      <w:pPr>
        <w:rPr>
          <w:color w:val="auto"/>
          <w:lang w:eastAsia="ja-JP"/>
        </w:rPr>
      </w:pPr>
      <w:r w:rsidRPr="00CD5B69">
        <w:rPr>
          <w:color w:val="auto"/>
        </w:rPr>
        <w:t>The primary biotransformation pathway for teriflunomide is hydrolysis, with oxidation being a minor pathway.</w:t>
      </w:r>
      <w:r w:rsidR="00335323" w:rsidRPr="00CD5B69">
        <w:rPr>
          <w:color w:val="auto"/>
        </w:rPr>
        <w:t xml:space="preserve"> </w:t>
      </w:r>
      <w:r w:rsidR="00335323" w:rsidRPr="00CD5B69">
        <w:rPr>
          <w:color w:val="auto"/>
          <w:lang w:eastAsia="ja-JP"/>
        </w:rPr>
        <w:t>The extensive protein binding of teriflunomide could lead to displacement of other highly bound drugs.</w:t>
      </w:r>
    </w:p>
    <w:p w:rsidR="00C42115" w:rsidRPr="00CD5B69" w:rsidRDefault="00C42115" w:rsidP="00C42115">
      <w:pPr>
        <w:pStyle w:val="Heading3"/>
        <w:numPr>
          <w:ilvl w:val="0"/>
          <w:numId w:val="0"/>
        </w:numPr>
        <w:rPr>
          <w:lang w:eastAsia="ja-JP"/>
        </w:rPr>
      </w:pPr>
      <w:bookmarkStart w:id="52" w:name="_Toc307918125"/>
      <w:r w:rsidRPr="00CD5B69">
        <w:rPr>
          <w:lang w:eastAsia="ja-JP"/>
        </w:rPr>
        <w:lastRenderedPageBreak/>
        <w:t xml:space="preserve">Potential for Other Drugs to affect </w:t>
      </w:r>
      <w:r w:rsidR="0018500D" w:rsidRPr="00CD5B69">
        <w:rPr>
          <w:lang w:eastAsia="ja-JP"/>
        </w:rPr>
        <w:t>Teriflunomide</w:t>
      </w:r>
      <w:bookmarkEnd w:id="52"/>
    </w:p>
    <w:p w:rsidR="000556C3" w:rsidRPr="00CD5B69" w:rsidRDefault="000556C3" w:rsidP="0018500D">
      <w:pPr>
        <w:pStyle w:val="Heading4"/>
        <w:numPr>
          <w:ilvl w:val="0"/>
          <w:numId w:val="0"/>
        </w:numPr>
        <w:rPr>
          <w:b w:val="0"/>
          <w:lang w:eastAsia="ja-JP"/>
        </w:rPr>
      </w:pPr>
      <w:bookmarkStart w:id="53" w:name="_Toc307918126"/>
      <w:r w:rsidRPr="00CD5B69">
        <w:rPr>
          <w:b w:val="0"/>
          <w:lang w:eastAsia="ja-JP"/>
        </w:rPr>
        <w:t>Potent CYP and transport inducers</w:t>
      </w:r>
      <w:bookmarkEnd w:id="53"/>
    </w:p>
    <w:p w:rsidR="00C42115" w:rsidRPr="00CD5B69" w:rsidRDefault="00C42115" w:rsidP="00C42115">
      <w:pPr>
        <w:rPr>
          <w:color w:val="auto"/>
        </w:rPr>
      </w:pPr>
      <w:r w:rsidRPr="00CD5B69">
        <w:rPr>
          <w:color w:val="auto"/>
        </w:rPr>
        <w:t>Co-administration of repeated doses (600 mg once daily for 22 days) of rifampi</w:t>
      </w:r>
      <w:r w:rsidR="00CB21DA" w:rsidRPr="00CD5B69">
        <w:rPr>
          <w:color w:val="auto"/>
        </w:rPr>
        <w:t>ci</w:t>
      </w:r>
      <w:r w:rsidRPr="00CD5B69">
        <w:rPr>
          <w:color w:val="auto"/>
        </w:rPr>
        <w:t>n (a CYP2B6, 2C8, 2C9, 2C19, 3A inducer, as well as an inducer of the efflux transporters P-gp and BCRP) and teriflunomide (70 mg single dose) resulted in an approximately 40% decrease in teriflunomide exposure</w:t>
      </w:r>
      <w:r w:rsidRPr="00CD5B69">
        <w:rPr>
          <w:b/>
          <w:color w:val="auto"/>
        </w:rPr>
        <w:t xml:space="preserve">. </w:t>
      </w:r>
      <w:r w:rsidRPr="00CD5B69">
        <w:rPr>
          <w:color w:val="auto"/>
        </w:rPr>
        <w:t>Rifampi</w:t>
      </w:r>
      <w:r w:rsidR="00CB21DA" w:rsidRPr="00CD5B69">
        <w:rPr>
          <w:color w:val="auto"/>
        </w:rPr>
        <w:t>ci</w:t>
      </w:r>
      <w:r w:rsidRPr="00CD5B69">
        <w:rPr>
          <w:color w:val="auto"/>
        </w:rPr>
        <w:t xml:space="preserve">n and other known potent CYP and transporter inducers such as carbamazepine, phenobarbital, phenytoin and </w:t>
      </w:r>
      <w:smartTag w:uri="urn:schemas-microsoft-com:office:smarttags" w:element="City">
        <w:smartTag w:uri="urn:schemas-microsoft-com:office:smarttags" w:element="place">
          <w:r w:rsidRPr="00CD5B69">
            <w:rPr>
              <w:color w:val="auto"/>
            </w:rPr>
            <w:t>St John’s</w:t>
          </w:r>
        </w:smartTag>
      </w:smartTag>
      <w:r w:rsidRPr="00CD5B69">
        <w:rPr>
          <w:color w:val="auto"/>
        </w:rPr>
        <w:t xml:space="preserve"> Wort should be used with caution during the treatment with teriflunomide.</w:t>
      </w:r>
    </w:p>
    <w:p w:rsidR="00C42115" w:rsidRPr="00CD5B69" w:rsidRDefault="00C42115" w:rsidP="0018500D">
      <w:pPr>
        <w:pStyle w:val="Heading3"/>
        <w:numPr>
          <w:ilvl w:val="0"/>
          <w:numId w:val="0"/>
        </w:numPr>
      </w:pPr>
      <w:bookmarkStart w:id="54" w:name="_Toc307918127"/>
      <w:r w:rsidRPr="00CD5B69">
        <w:t>Potential for</w:t>
      </w:r>
      <w:r w:rsidR="0018500D" w:rsidRPr="00CD5B69">
        <w:t xml:space="preserve"> Teriflunomide</w:t>
      </w:r>
      <w:r w:rsidRPr="00CD5B69">
        <w:t xml:space="preserve"> to affect other drugs</w:t>
      </w:r>
      <w:bookmarkEnd w:id="54"/>
    </w:p>
    <w:p w:rsidR="00C42115" w:rsidRPr="00CD5B69" w:rsidRDefault="00C42115" w:rsidP="00C42115">
      <w:pPr>
        <w:rPr>
          <w:color w:val="auto"/>
        </w:rPr>
      </w:pPr>
      <w:r w:rsidRPr="00CD5B69">
        <w:rPr>
          <w:color w:val="auto"/>
        </w:rPr>
        <w:t>Repeated administration of teriflunomide was used to assess the effect of teriflunomide on the exposure of other drugs. The regimen used resulted in teriflunomide plasma concentrations which were in the range of the ones observed in patients after repeated doses of 14 mg teriflunomide.</w:t>
      </w:r>
    </w:p>
    <w:p w:rsidR="00C42115" w:rsidRPr="00CD5B69" w:rsidRDefault="00C42115" w:rsidP="0018500D">
      <w:pPr>
        <w:pStyle w:val="Heading4"/>
        <w:numPr>
          <w:ilvl w:val="0"/>
          <w:numId w:val="0"/>
        </w:numPr>
        <w:rPr>
          <w:b w:val="0"/>
        </w:rPr>
      </w:pPr>
      <w:bookmarkStart w:id="55" w:name="_Toc307918128"/>
      <w:r w:rsidRPr="00CD5B69">
        <w:rPr>
          <w:b w:val="0"/>
        </w:rPr>
        <w:t>CYP2C8</w:t>
      </w:r>
      <w:r w:rsidR="005F64CF" w:rsidRPr="00CD5B69">
        <w:rPr>
          <w:b w:val="0"/>
        </w:rPr>
        <w:t xml:space="preserve"> substrates</w:t>
      </w:r>
      <w:r w:rsidRPr="00CD5B69">
        <w:rPr>
          <w:b w:val="0"/>
        </w:rPr>
        <w:t>: repaglinide</w:t>
      </w:r>
      <w:bookmarkEnd w:id="55"/>
    </w:p>
    <w:p w:rsidR="00C42115" w:rsidRPr="00CD5B69" w:rsidRDefault="00C42115" w:rsidP="00C42115">
      <w:pPr>
        <w:rPr>
          <w:color w:val="auto"/>
        </w:rPr>
      </w:pPr>
      <w:r w:rsidRPr="00CD5B69">
        <w:rPr>
          <w:color w:val="auto"/>
        </w:rPr>
        <w:t xml:space="preserve">There was an increase in mean repaglinide Cmax and AUC (1.7- and 2.4-fold, respectively), following repeated doses of teriflunomide, suggesting that teriflunomide is an inhibitor of CYP2C8 </w:t>
      </w:r>
      <w:r w:rsidR="00FA7DFA" w:rsidRPr="00CD5B69">
        <w:rPr>
          <w:i/>
          <w:color w:val="auto"/>
        </w:rPr>
        <w:t>in vivo</w:t>
      </w:r>
      <w:r w:rsidRPr="00CD5B69">
        <w:rPr>
          <w:color w:val="auto"/>
        </w:rPr>
        <w:t xml:space="preserve">. Therefore, drugs </w:t>
      </w:r>
      <w:r w:rsidR="009415E1" w:rsidRPr="00CD5B69">
        <w:rPr>
          <w:color w:val="auto"/>
        </w:rPr>
        <w:t>metabolised</w:t>
      </w:r>
      <w:r w:rsidRPr="00CD5B69">
        <w:rPr>
          <w:color w:val="auto"/>
        </w:rPr>
        <w:t xml:space="preserve"> by CYP2C8, such as repaglinide, paclitaxel, </w:t>
      </w:r>
      <w:r w:rsidR="0018500D" w:rsidRPr="00CD5B69">
        <w:rPr>
          <w:color w:val="auto"/>
        </w:rPr>
        <w:t xml:space="preserve">and </w:t>
      </w:r>
      <w:r w:rsidRPr="00CD5B69">
        <w:rPr>
          <w:color w:val="auto"/>
        </w:rPr>
        <w:t>pioglitazone should be used with caution during the treatment with teriflunomide.</w:t>
      </w:r>
    </w:p>
    <w:p w:rsidR="00C42115" w:rsidRPr="00CD5B69" w:rsidRDefault="00C42115" w:rsidP="0018500D">
      <w:pPr>
        <w:pStyle w:val="Heading4"/>
        <w:numPr>
          <w:ilvl w:val="0"/>
          <w:numId w:val="0"/>
        </w:numPr>
        <w:rPr>
          <w:b w:val="0"/>
        </w:rPr>
      </w:pPr>
      <w:bookmarkStart w:id="56" w:name="_Toc307918129"/>
      <w:r w:rsidRPr="00CD5B69">
        <w:rPr>
          <w:b w:val="0"/>
        </w:rPr>
        <w:t>CYP3A substrate</w:t>
      </w:r>
      <w:r w:rsidR="005F64CF" w:rsidRPr="00CD5B69">
        <w:rPr>
          <w:b w:val="0"/>
        </w:rPr>
        <w:t>s</w:t>
      </w:r>
      <w:r w:rsidRPr="00CD5B69">
        <w:rPr>
          <w:b w:val="0"/>
        </w:rPr>
        <w:t>: midazolam</w:t>
      </w:r>
      <w:bookmarkEnd w:id="56"/>
    </w:p>
    <w:p w:rsidR="00C42115" w:rsidRPr="00CD5B69" w:rsidRDefault="00C42115" w:rsidP="00C42115">
      <w:pPr>
        <w:rPr>
          <w:color w:val="auto"/>
        </w:rPr>
      </w:pPr>
      <w:r w:rsidRPr="00CD5B69">
        <w:rPr>
          <w:color w:val="auto"/>
        </w:rPr>
        <w:t xml:space="preserve">There was an increase in mean midazolam Cmax and AUC (1.13- and 1.27-fold, respectively), following repeated doses of teriflunomide, suggesting that teriflunomide is a weak inhibitor of CYP3A </w:t>
      </w:r>
      <w:r w:rsidR="00FA7DFA" w:rsidRPr="00CD5B69">
        <w:rPr>
          <w:i/>
          <w:color w:val="auto"/>
        </w:rPr>
        <w:t>in vivo</w:t>
      </w:r>
      <w:r w:rsidRPr="00CD5B69">
        <w:rPr>
          <w:color w:val="auto"/>
        </w:rPr>
        <w:t>.</w:t>
      </w:r>
    </w:p>
    <w:p w:rsidR="00C42115" w:rsidRPr="00CD5B69" w:rsidRDefault="005F64CF" w:rsidP="009A591C">
      <w:pPr>
        <w:pStyle w:val="Heading4"/>
        <w:numPr>
          <w:ilvl w:val="0"/>
          <w:numId w:val="0"/>
        </w:numPr>
        <w:rPr>
          <w:b w:val="0"/>
        </w:rPr>
      </w:pPr>
      <w:bookmarkStart w:id="57" w:name="_Toc307918130"/>
      <w:r w:rsidRPr="00CD5B69">
        <w:rPr>
          <w:b w:val="0"/>
        </w:rPr>
        <w:t>O</w:t>
      </w:r>
      <w:r w:rsidR="00CE5C97" w:rsidRPr="00CD5B69">
        <w:rPr>
          <w:b w:val="0"/>
        </w:rPr>
        <w:t>ral contraceptive: 0.03mg ethinyl</w:t>
      </w:r>
      <w:r w:rsidR="0018500D" w:rsidRPr="00CD5B69">
        <w:rPr>
          <w:b w:val="0"/>
        </w:rPr>
        <w:t>o</w:t>
      </w:r>
      <w:r w:rsidR="00CE5C97" w:rsidRPr="00CD5B69">
        <w:rPr>
          <w:b w:val="0"/>
        </w:rPr>
        <w:t>estradiol and 0.15mg levonorgestrel</w:t>
      </w:r>
      <w:bookmarkEnd w:id="57"/>
    </w:p>
    <w:p w:rsidR="00CE5C97" w:rsidRPr="00CD5B69" w:rsidRDefault="00CE5C97" w:rsidP="00CE5C97">
      <w:pPr>
        <w:rPr>
          <w:color w:val="auto"/>
        </w:rPr>
      </w:pPr>
      <w:r w:rsidRPr="00CD5B69">
        <w:rPr>
          <w:color w:val="auto"/>
        </w:rPr>
        <w:t>There was an increase in mean ethinyl</w:t>
      </w:r>
      <w:r w:rsidR="00A84DED" w:rsidRPr="00CD5B69">
        <w:rPr>
          <w:color w:val="auto"/>
        </w:rPr>
        <w:t>o</w:t>
      </w:r>
      <w:r w:rsidRPr="00CD5B69">
        <w:rPr>
          <w:color w:val="auto"/>
        </w:rPr>
        <w:t>estradiol Cmax and AUC</w:t>
      </w:r>
      <w:r w:rsidRPr="00CD5B69">
        <w:rPr>
          <w:color w:val="auto"/>
          <w:vertAlign w:val="subscript"/>
        </w:rPr>
        <w:t>0-24</w:t>
      </w:r>
      <w:r w:rsidRPr="00CD5B69">
        <w:rPr>
          <w:color w:val="auto"/>
        </w:rPr>
        <w:t xml:space="preserve"> (1.58- and 1.54-fold, respectively) and levonorgestrel Cmax and AUC</w:t>
      </w:r>
      <w:r w:rsidRPr="00CD5B69">
        <w:rPr>
          <w:color w:val="auto"/>
          <w:vertAlign w:val="subscript"/>
        </w:rPr>
        <w:t>0-24</w:t>
      </w:r>
      <w:r w:rsidRPr="00CD5B69">
        <w:rPr>
          <w:color w:val="auto"/>
        </w:rPr>
        <w:t xml:space="preserve"> (1.33- and 1.41-fold, respectively) following repeated doses of teriflunomide. While this interaction of teriflunomide is not expected to adversely impact the efficacy of oral contraceptives, consideration should be given to the type or dose of oral contraceptives used in combination with teriflunomide. </w:t>
      </w:r>
    </w:p>
    <w:p w:rsidR="00CE5C97" w:rsidRPr="00CD5B69" w:rsidRDefault="00CE5C97" w:rsidP="009A591C">
      <w:pPr>
        <w:pStyle w:val="Heading4"/>
        <w:numPr>
          <w:ilvl w:val="0"/>
          <w:numId w:val="0"/>
        </w:numPr>
        <w:rPr>
          <w:b w:val="0"/>
        </w:rPr>
      </w:pPr>
      <w:bookmarkStart w:id="58" w:name="_Toc307918131"/>
      <w:r w:rsidRPr="00CD5B69">
        <w:rPr>
          <w:b w:val="0"/>
        </w:rPr>
        <w:lastRenderedPageBreak/>
        <w:t>CYP1A2 substrate</w:t>
      </w:r>
      <w:r w:rsidR="005F64CF" w:rsidRPr="00CD5B69">
        <w:rPr>
          <w:b w:val="0"/>
        </w:rPr>
        <w:t>s</w:t>
      </w:r>
      <w:r w:rsidRPr="00CD5B69">
        <w:rPr>
          <w:b w:val="0"/>
        </w:rPr>
        <w:t>: caffeine</w:t>
      </w:r>
      <w:bookmarkEnd w:id="58"/>
    </w:p>
    <w:p w:rsidR="00CE5C97" w:rsidRPr="00CD5B69" w:rsidRDefault="00CE5C97" w:rsidP="00CE5C97">
      <w:pPr>
        <w:rPr>
          <w:color w:val="auto"/>
        </w:rPr>
      </w:pPr>
      <w:r w:rsidRPr="00CD5B69">
        <w:rPr>
          <w:color w:val="auto"/>
        </w:rPr>
        <w:t xml:space="preserve">Repeated doses of teriflunomide decreased mean Cmax and AUC of caffeine </w:t>
      </w:r>
      <w:r w:rsidR="00175633" w:rsidRPr="00CD5B69">
        <w:rPr>
          <w:color w:val="auto"/>
        </w:rPr>
        <w:t>(CYP1A2 substrate) by 18% and 55</w:t>
      </w:r>
      <w:r w:rsidRPr="00CD5B69">
        <w:rPr>
          <w:color w:val="auto"/>
        </w:rPr>
        <w:t xml:space="preserve">%, respectively, suggesting that teriflunomide may be </w:t>
      </w:r>
      <w:r w:rsidR="00FA7DFA" w:rsidRPr="00CD5B69">
        <w:rPr>
          <w:i/>
          <w:color w:val="auto"/>
        </w:rPr>
        <w:t>in vivo</w:t>
      </w:r>
      <w:r w:rsidRPr="00CD5B69">
        <w:rPr>
          <w:color w:val="auto"/>
        </w:rPr>
        <w:t xml:space="preserve"> a weak inducer of CYP1A2. Therefore, drugs </w:t>
      </w:r>
      <w:r w:rsidR="009415E1" w:rsidRPr="00CD5B69">
        <w:rPr>
          <w:color w:val="auto"/>
        </w:rPr>
        <w:t>metabolised</w:t>
      </w:r>
      <w:r w:rsidRPr="00CD5B69">
        <w:rPr>
          <w:color w:val="auto"/>
        </w:rPr>
        <w:t xml:space="preserve"> by CYP1A2 (such as duloxetin</w:t>
      </w:r>
      <w:r w:rsidR="0018500D" w:rsidRPr="00CD5B69">
        <w:rPr>
          <w:color w:val="auto"/>
        </w:rPr>
        <w:t>e</w:t>
      </w:r>
      <w:r w:rsidRPr="00CD5B69">
        <w:rPr>
          <w:color w:val="auto"/>
        </w:rPr>
        <w:t xml:space="preserve">, </w:t>
      </w:r>
      <w:r w:rsidR="00CB21DA" w:rsidRPr="00CD5B69">
        <w:rPr>
          <w:color w:val="auto"/>
        </w:rPr>
        <w:t>ondansetron</w:t>
      </w:r>
      <w:r w:rsidRPr="00CD5B69">
        <w:rPr>
          <w:color w:val="auto"/>
        </w:rPr>
        <w:t xml:space="preserve">, theophylline and </w:t>
      </w:r>
      <w:r w:rsidR="00465A92" w:rsidRPr="00CD5B69">
        <w:rPr>
          <w:color w:val="auto"/>
        </w:rPr>
        <w:t>agomelatine</w:t>
      </w:r>
      <w:r w:rsidRPr="00CD5B69">
        <w:rPr>
          <w:color w:val="auto"/>
        </w:rPr>
        <w:t>) should be used with caution during treatment with teriflunomide, as it could lead to the reduction of efficacy of these drugs.</w:t>
      </w:r>
    </w:p>
    <w:p w:rsidR="00CE5C97" w:rsidRPr="00CD5B69" w:rsidRDefault="00CE5C97" w:rsidP="00CE5C97">
      <w:pPr>
        <w:pStyle w:val="Heading4"/>
        <w:numPr>
          <w:ilvl w:val="0"/>
          <w:numId w:val="0"/>
        </w:numPr>
        <w:rPr>
          <w:b w:val="0"/>
        </w:rPr>
      </w:pPr>
      <w:bookmarkStart w:id="59" w:name="_Toc307918132"/>
      <w:r w:rsidRPr="00CD5B69">
        <w:rPr>
          <w:b w:val="0"/>
        </w:rPr>
        <w:t>CYP2C9 substrate</w:t>
      </w:r>
      <w:r w:rsidR="005F64CF" w:rsidRPr="00CD5B69">
        <w:rPr>
          <w:b w:val="0"/>
        </w:rPr>
        <w:t>s</w:t>
      </w:r>
      <w:r w:rsidRPr="00CD5B69">
        <w:rPr>
          <w:b w:val="0"/>
        </w:rPr>
        <w:t>: S-warfarin</w:t>
      </w:r>
      <w:bookmarkEnd w:id="59"/>
    </w:p>
    <w:p w:rsidR="00CE5C97" w:rsidRPr="00CD5B69" w:rsidRDefault="00CE5C97" w:rsidP="00CE5C97">
      <w:pPr>
        <w:rPr>
          <w:color w:val="auto"/>
        </w:rPr>
      </w:pPr>
      <w:r w:rsidRPr="00CD5B69">
        <w:rPr>
          <w:color w:val="auto"/>
        </w:rPr>
        <w:t>Repeated doses of teriflunomide had no effect on the pharmacokinetics of S-warfarin, indicating that teriflunomide is not an inhibitor or an inducer of CYP2C9. However, a 25% decrease in peak international normalized ratio (INR) was observed when teriflunomide was co</w:t>
      </w:r>
      <w:r w:rsidR="00175633" w:rsidRPr="00CD5B69">
        <w:rPr>
          <w:color w:val="auto"/>
        </w:rPr>
        <w:t>-</w:t>
      </w:r>
      <w:r w:rsidRPr="00CD5B69">
        <w:rPr>
          <w:color w:val="auto"/>
        </w:rPr>
        <w:t>administered with warfarin as compared with warfarin alone. Therefore, when warfarin is co</w:t>
      </w:r>
      <w:r w:rsidR="00175633" w:rsidRPr="00CD5B69">
        <w:rPr>
          <w:color w:val="auto"/>
        </w:rPr>
        <w:t>-</w:t>
      </w:r>
      <w:r w:rsidRPr="00CD5B69">
        <w:rPr>
          <w:color w:val="auto"/>
        </w:rPr>
        <w:t>administered with teriflunomide, close INR follow-up and monitoring is recommended.</w:t>
      </w:r>
    </w:p>
    <w:p w:rsidR="00B44551" w:rsidRPr="00CD5B69" w:rsidRDefault="00B44551" w:rsidP="00B44551">
      <w:pPr>
        <w:pStyle w:val="Heading4"/>
        <w:numPr>
          <w:ilvl w:val="0"/>
          <w:numId w:val="0"/>
        </w:numPr>
        <w:rPr>
          <w:b w:val="0"/>
        </w:rPr>
      </w:pPr>
      <w:bookmarkStart w:id="60" w:name="_Toc307918133"/>
      <w:r w:rsidRPr="00CD5B69">
        <w:rPr>
          <w:b w:val="0"/>
        </w:rPr>
        <w:t>CYP2B6 substrate</w:t>
      </w:r>
      <w:r w:rsidR="005F64CF" w:rsidRPr="00CD5B69">
        <w:rPr>
          <w:b w:val="0"/>
        </w:rPr>
        <w:t>s</w:t>
      </w:r>
      <w:r w:rsidRPr="00CD5B69">
        <w:rPr>
          <w:b w:val="0"/>
        </w:rPr>
        <w:t>: bupropion</w:t>
      </w:r>
      <w:bookmarkEnd w:id="60"/>
    </w:p>
    <w:p w:rsidR="00B44551" w:rsidRPr="00CD5B69" w:rsidRDefault="00B44551" w:rsidP="00B44551">
      <w:pPr>
        <w:rPr>
          <w:color w:val="auto"/>
        </w:rPr>
      </w:pPr>
      <w:r w:rsidRPr="00CD5B69">
        <w:rPr>
          <w:color w:val="auto"/>
        </w:rPr>
        <w:t xml:space="preserve">Repeated doses of teriflunomide had no effect on the pharmacokinetics of bupropion. Based on </w:t>
      </w:r>
      <w:r w:rsidR="00FA7DFA" w:rsidRPr="00CD5B69">
        <w:rPr>
          <w:i/>
          <w:color w:val="auto"/>
        </w:rPr>
        <w:t>in vivo</w:t>
      </w:r>
      <w:r w:rsidRPr="00CD5B69">
        <w:rPr>
          <w:color w:val="auto"/>
        </w:rPr>
        <w:t xml:space="preserve"> data, teriflunomide is not considered as an inhibitor or an inducer of CYP2B6 at the anticipated therapeutic dose.</w:t>
      </w:r>
    </w:p>
    <w:p w:rsidR="00CE5C97" w:rsidRPr="00CD5B69" w:rsidRDefault="00B44551" w:rsidP="00B44551">
      <w:pPr>
        <w:pStyle w:val="Heading4"/>
        <w:numPr>
          <w:ilvl w:val="0"/>
          <w:numId w:val="0"/>
        </w:numPr>
        <w:rPr>
          <w:b w:val="0"/>
        </w:rPr>
      </w:pPr>
      <w:bookmarkStart w:id="61" w:name="_Toc307918134"/>
      <w:r w:rsidRPr="00CD5B69">
        <w:rPr>
          <w:b w:val="0"/>
        </w:rPr>
        <w:t>CYP2C19 substrate</w:t>
      </w:r>
      <w:r w:rsidR="005F64CF" w:rsidRPr="00CD5B69">
        <w:rPr>
          <w:b w:val="0"/>
        </w:rPr>
        <w:t>s</w:t>
      </w:r>
      <w:r w:rsidRPr="00CD5B69">
        <w:rPr>
          <w:b w:val="0"/>
        </w:rPr>
        <w:t>: omeprazole</w:t>
      </w:r>
      <w:bookmarkEnd w:id="61"/>
    </w:p>
    <w:p w:rsidR="00C42115" w:rsidRPr="00CD5B69" w:rsidRDefault="00B44551" w:rsidP="00C42115">
      <w:pPr>
        <w:rPr>
          <w:color w:val="auto"/>
        </w:rPr>
      </w:pPr>
      <w:r w:rsidRPr="00CD5B69">
        <w:rPr>
          <w:color w:val="auto"/>
        </w:rPr>
        <w:t xml:space="preserve">Repeated doses of teriflunomide had no effect on the pharmacokinetics of omeprazole. Based on </w:t>
      </w:r>
      <w:r w:rsidR="00FA7DFA" w:rsidRPr="00CD5B69">
        <w:rPr>
          <w:i/>
          <w:color w:val="auto"/>
        </w:rPr>
        <w:t>in vivo</w:t>
      </w:r>
      <w:r w:rsidRPr="00CD5B69">
        <w:rPr>
          <w:color w:val="auto"/>
        </w:rPr>
        <w:t xml:space="preserve"> data, teriflunomide is not considered an inhibitor or an inducer of CYP2C19 at the anticipated therapeutic dose.</w:t>
      </w:r>
    </w:p>
    <w:p w:rsidR="00B44551" w:rsidRPr="00CD5B69" w:rsidRDefault="00B44551" w:rsidP="00B44551">
      <w:pPr>
        <w:pStyle w:val="Heading4"/>
        <w:numPr>
          <w:ilvl w:val="0"/>
          <w:numId w:val="0"/>
        </w:numPr>
        <w:rPr>
          <w:b w:val="0"/>
          <w:lang w:eastAsia="ja-JP"/>
        </w:rPr>
      </w:pPr>
      <w:bookmarkStart w:id="62" w:name="_Toc307918135"/>
      <w:r w:rsidRPr="00CD5B69">
        <w:rPr>
          <w:b w:val="0"/>
          <w:lang w:eastAsia="ja-JP"/>
        </w:rPr>
        <w:t>CYP2D6 substrate</w:t>
      </w:r>
      <w:r w:rsidR="005F64CF" w:rsidRPr="00CD5B69">
        <w:rPr>
          <w:b w:val="0"/>
          <w:lang w:eastAsia="ja-JP"/>
        </w:rPr>
        <w:t>s</w:t>
      </w:r>
      <w:r w:rsidRPr="00CD5B69">
        <w:rPr>
          <w:b w:val="0"/>
          <w:lang w:eastAsia="ja-JP"/>
        </w:rPr>
        <w:t>: metoprolol</w:t>
      </w:r>
      <w:bookmarkEnd w:id="62"/>
    </w:p>
    <w:p w:rsidR="00B44551" w:rsidRPr="00CD5B69" w:rsidRDefault="00B44551" w:rsidP="00B44551">
      <w:pPr>
        <w:rPr>
          <w:color w:val="auto"/>
        </w:rPr>
      </w:pPr>
      <w:r w:rsidRPr="00CD5B69">
        <w:rPr>
          <w:color w:val="auto"/>
        </w:rPr>
        <w:t xml:space="preserve">Repeated doses of teriflunomide had no effect on the pharmacokinetics of metoprolol. Based on </w:t>
      </w:r>
      <w:r w:rsidR="00FA7DFA" w:rsidRPr="00CD5B69">
        <w:rPr>
          <w:i/>
          <w:color w:val="auto"/>
        </w:rPr>
        <w:t>in vitro</w:t>
      </w:r>
      <w:r w:rsidRPr="00CD5B69">
        <w:rPr>
          <w:color w:val="auto"/>
        </w:rPr>
        <w:t xml:space="preserve"> and </w:t>
      </w:r>
      <w:r w:rsidR="00FA7DFA" w:rsidRPr="00CD5B69">
        <w:rPr>
          <w:i/>
          <w:color w:val="auto"/>
        </w:rPr>
        <w:t>in vivo</w:t>
      </w:r>
      <w:r w:rsidRPr="00CD5B69">
        <w:rPr>
          <w:color w:val="auto"/>
        </w:rPr>
        <w:t xml:space="preserve"> data, teriflunomide is not considered as a CYP2D6 inhibitor at the anticipated therapeutic dose.</w:t>
      </w:r>
    </w:p>
    <w:p w:rsidR="00335323" w:rsidRPr="00CD5B69" w:rsidRDefault="00335323" w:rsidP="00335323">
      <w:pPr>
        <w:pStyle w:val="Heading4"/>
        <w:numPr>
          <w:ilvl w:val="0"/>
          <w:numId w:val="0"/>
        </w:numPr>
      </w:pPr>
      <w:r w:rsidRPr="00CD5B69">
        <w:t>NSAIDS</w:t>
      </w:r>
    </w:p>
    <w:p w:rsidR="00335323" w:rsidRPr="00CD5B69" w:rsidRDefault="003B6FCE" w:rsidP="003B6FCE">
      <w:pPr>
        <w:rPr>
          <w:color w:val="auto"/>
        </w:rPr>
      </w:pPr>
      <w:r w:rsidRPr="00CD5B69">
        <w:rPr>
          <w:color w:val="auto"/>
        </w:rPr>
        <w:t xml:space="preserve">NSAIDS (including COX-2 inhibitors) are known to cause </w:t>
      </w:r>
      <w:r w:rsidR="00FD137E">
        <w:rPr>
          <w:color w:val="auto"/>
        </w:rPr>
        <w:t>hepatotoxi</w:t>
      </w:r>
      <w:r w:rsidR="00DC475C" w:rsidRPr="00CD5B69">
        <w:rPr>
          <w:color w:val="auto"/>
        </w:rPr>
        <w:t xml:space="preserve">city, </w:t>
      </w:r>
      <w:r w:rsidRPr="00CD5B69">
        <w:rPr>
          <w:color w:val="auto"/>
        </w:rPr>
        <w:t xml:space="preserve">therefore caution is advised when </w:t>
      </w:r>
      <w:r w:rsidR="00092AA1" w:rsidRPr="00CD5B69">
        <w:rPr>
          <w:color w:val="auto"/>
        </w:rPr>
        <w:t>Aubagio</w:t>
      </w:r>
      <w:r w:rsidRPr="00CD5B69">
        <w:rPr>
          <w:color w:val="auto"/>
        </w:rPr>
        <w:t xml:space="preserve"> is used concomitantly. Studi</w:t>
      </w:r>
      <w:r w:rsidR="00DC475C" w:rsidRPr="00CD5B69">
        <w:rPr>
          <w:color w:val="auto"/>
        </w:rPr>
        <w:t>es showed that ibuprofen and dicl</w:t>
      </w:r>
      <w:r w:rsidRPr="00CD5B69">
        <w:rPr>
          <w:color w:val="auto"/>
        </w:rPr>
        <w:t xml:space="preserve">ofenac did not </w:t>
      </w:r>
      <w:r w:rsidR="00DC475C" w:rsidRPr="00CD5B69">
        <w:rPr>
          <w:color w:val="auto"/>
        </w:rPr>
        <w:t>displace teriflunomide. Terifl</w:t>
      </w:r>
      <w:r w:rsidRPr="00CD5B69">
        <w:rPr>
          <w:color w:val="auto"/>
        </w:rPr>
        <w:t>unomide displaced ibuprofen and di</w:t>
      </w:r>
      <w:r w:rsidR="00DC475C" w:rsidRPr="00CD5B69">
        <w:rPr>
          <w:color w:val="auto"/>
        </w:rPr>
        <w:t>clof</w:t>
      </w:r>
      <w:r w:rsidRPr="00CD5B69">
        <w:rPr>
          <w:color w:val="auto"/>
        </w:rPr>
        <w:t xml:space="preserve">enac and the unbound fraction of these drugs was increased by 10 - 50%. In clinical trials, no safety problems were </w:t>
      </w:r>
      <w:r w:rsidRPr="00CD5B69">
        <w:rPr>
          <w:color w:val="auto"/>
        </w:rPr>
        <w:lastRenderedPageBreak/>
        <w:t xml:space="preserve">observed when leflunomide, </w:t>
      </w:r>
      <w:r w:rsidR="006843BB" w:rsidRPr="00CD5B69">
        <w:rPr>
          <w:color w:val="auto"/>
        </w:rPr>
        <w:t>the parent compoud</w:t>
      </w:r>
      <w:r w:rsidRPr="00CD5B69">
        <w:rPr>
          <w:color w:val="auto"/>
        </w:rPr>
        <w:t xml:space="preserve"> of teriflunomide and NSAlDs metabolised by CYP2C9 were co-administered.</w:t>
      </w:r>
    </w:p>
    <w:p w:rsidR="00B44551" w:rsidRPr="00CD5B69" w:rsidRDefault="00505D13" w:rsidP="00505D13">
      <w:pPr>
        <w:pStyle w:val="Heading1"/>
        <w:pageBreakBefore w:val="0"/>
        <w:numPr>
          <w:ilvl w:val="0"/>
          <w:numId w:val="0"/>
        </w:numPr>
        <w:rPr>
          <w:lang w:eastAsia="ja-JP"/>
        </w:rPr>
      </w:pPr>
      <w:bookmarkStart w:id="63" w:name="_Toc307918136"/>
      <w:r w:rsidRPr="00CD5B69">
        <w:rPr>
          <w:lang w:eastAsia="ja-JP"/>
        </w:rPr>
        <w:t>adverse effects</w:t>
      </w:r>
      <w:bookmarkEnd w:id="63"/>
    </w:p>
    <w:p w:rsidR="00B732B0" w:rsidRPr="00CD5B69" w:rsidRDefault="00B732B0" w:rsidP="00B732B0">
      <w:pPr>
        <w:tabs>
          <w:tab w:val="left" w:pos="851"/>
          <w:tab w:val="left" w:pos="8222"/>
        </w:tabs>
        <w:rPr>
          <w:color w:val="auto"/>
        </w:rPr>
      </w:pPr>
      <w:r w:rsidRPr="00CD5B69">
        <w:rPr>
          <w:color w:val="auto"/>
        </w:rPr>
        <w:t xml:space="preserve">The most frequent adverse reactions for </w:t>
      </w:r>
      <w:r w:rsidR="00092AA1" w:rsidRPr="00CD5B69">
        <w:rPr>
          <w:color w:val="auto"/>
        </w:rPr>
        <w:t>Aubagio</w:t>
      </w:r>
      <w:r w:rsidRPr="00CD5B69">
        <w:rPr>
          <w:color w:val="auto"/>
        </w:rPr>
        <w:t xml:space="preserve"> (incidence ≥10% and a difference with placebo using relative risk &gt;1.0 and lower limit of 95% confidence interval &gt;1.0) were diarrhoea, ALT increased, nausea, and alopecia in the </w:t>
      </w:r>
      <w:r w:rsidR="00592D46" w:rsidRPr="00CD5B69">
        <w:rPr>
          <w:color w:val="auto"/>
        </w:rPr>
        <w:t>placebo controlled</w:t>
      </w:r>
      <w:r w:rsidRPr="00CD5B69">
        <w:rPr>
          <w:color w:val="auto"/>
        </w:rPr>
        <w:t xml:space="preserve"> studies. In general, diarrhoea, nausea and alopecia, were mild to moderate, transient and infrequently led to treatment discontinuation.</w:t>
      </w:r>
    </w:p>
    <w:p w:rsidR="00B85B78" w:rsidRPr="00CD5B69" w:rsidRDefault="00B85B78" w:rsidP="00B85B78">
      <w:pPr>
        <w:autoSpaceDE w:val="0"/>
        <w:autoSpaceDN w:val="0"/>
        <w:adjustRightInd w:val="0"/>
        <w:spacing w:before="0"/>
        <w:rPr>
          <w:color w:val="auto"/>
          <w:lang w:eastAsia="ja-JP"/>
        </w:rPr>
      </w:pPr>
    </w:p>
    <w:p w:rsidR="00B85B78" w:rsidRPr="00CD5B69" w:rsidRDefault="00B85B78" w:rsidP="00B85B78">
      <w:pPr>
        <w:autoSpaceDE w:val="0"/>
        <w:autoSpaceDN w:val="0"/>
        <w:adjustRightInd w:val="0"/>
        <w:spacing w:before="0"/>
        <w:rPr>
          <w:color w:val="auto"/>
          <w:lang w:eastAsia="ja-JP"/>
        </w:rPr>
      </w:pPr>
      <w:r w:rsidRPr="00CD5B69">
        <w:rPr>
          <w:color w:val="auto"/>
          <w:lang w:eastAsia="ja-JP"/>
        </w:rPr>
        <w:t>If desired, teriflunomide can be rapidly cleared from the body by the use of the rapid elimination</w:t>
      </w:r>
      <w:r w:rsidR="00B94F75" w:rsidRPr="00CD5B69">
        <w:rPr>
          <w:color w:val="auto"/>
          <w:lang w:eastAsia="ja-JP"/>
        </w:rPr>
        <w:t xml:space="preserve"> </w:t>
      </w:r>
      <w:r w:rsidRPr="00CD5B69">
        <w:rPr>
          <w:color w:val="auto"/>
          <w:lang w:eastAsia="ja-JP"/>
        </w:rPr>
        <w:t xml:space="preserve">procedure (see </w:t>
      </w:r>
      <w:r w:rsidR="00CE28F5" w:rsidRPr="00CD5B69">
        <w:rPr>
          <w:color w:val="auto"/>
          <w:lang w:eastAsia="ja-JP"/>
        </w:rPr>
        <w:t>OVERDOSAGE</w:t>
      </w:r>
      <w:r w:rsidRPr="00CD5B69">
        <w:rPr>
          <w:color w:val="auto"/>
          <w:lang w:eastAsia="ja-JP"/>
        </w:rPr>
        <w:t>).</w:t>
      </w:r>
    </w:p>
    <w:p w:rsidR="00B85B78" w:rsidRPr="00CD5B69" w:rsidRDefault="00B85B78" w:rsidP="00B85B78">
      <w:pPr>
        <w:pStyle w:val="Heading3"/>
        <w:numPr>
          <w:ilvl w:val="0"/>
          <w:numId w:val="0"/>
        </w:numPr>
      </w:pPr>
      <w:bookmarkStart w:id="64" w:name="_Toc307918137"/>
      <w:r w:rsidRPr="00CD5B69">
        <w:t>Clinical Trial Experience</w:t>
      </w:r>
      <w:bookmarkEnd w:id="64"/>
    </w:p>
    <w:p w:rsidR="00B732B0" w:rsidRPr="00CD5B69" w:rsidRDefault="00B732B0" w:rsidP="00B732B0">
      <w:pPr>
        <w:rPr>
          <w:color w:val="auto"/>
        </w:rPr>
      </w:pPr>
      <w:r w:rsidRPr="00CD5B69">
        <w:rPr>
          <w:color w:val="auto"/>
        </w:rPr>
        <w:t>A total of 844 patients on teriflunomide (7 or 14 mg once daily) constituted the safety population in the pooled analysis of placebo controlled studies in patients with relapsing forms of MS (RMS).</w:t>
      </w:r>
    </w:p>
    <w:p w:rsidR="00B732B0" w:rsidRPr="00CD5B69" w:rsidRDefault="00B732B0" w:rsidP="00B732B0">
      <w:pPr>
        <w:rPr>
          <w:color w:val="auto"/>
        </w:rPr>
      </w:pPr>
      <w:r w:rsidRPr="00CD5B69">
        <w:rPr>
          <w:color w:val="auto"/>
        </w:rPr>
        <w:t>The EFC6049/TEM</w:t>
      </w:r>
      <w:r w:rsidR="00175633" w:rsidRPr="00CD5B69">
        <w:rPr>
          <w:color w:val="auto"/>
        </w:rPr>
        <w:t xml:space="preserve">SO study was a 108-week placebo </w:t>
      </w:r>
      <w:r w:rsidRPr="00CD5B69">
        <w:rPr>
          <w:color w:val="auto"/>
        </w:rPr>
        <w:t>controlled clinical study in 1086 RMS patients treated with teriflunomide 7 mg (n=368), teriflunomide 14 mg (n=358) or placebo (n=360).</w:t>
      </w:r>
    </w:p>
    <w:p w:rsidR="00B732B0" w:rsidRPr="00CD5B69" w:rsidRDefault="00B732B0" w:rsidP="00B732B0">
      <w:pPr>
        <w:pStyle w:val="Caption"/>
      </w:pPr>
      <w:r w:rsidRPr="00CD5B69">
        <w:rPr>
          <w:lang w:eastAsia="ja-JP"/>
        </w:rPr>
        <w:t xml:space="preserve"> </w:t>
      </w:r>
      <w:bookmarkStart w:id="65" w:name="_Toc307918151"/>
      <w:r w:rsidRPr="00CD5B69">
        <w:t>Table </w:t>
      </w:r>
      <w:fldSimple w:instr=" SEQ Table \* ARABIC ">
        <w:r w:rsidR="00A50704">
          <w:rPr>
            <w:noProof/>
          </w:rPr>
          <w:t>2</w:t>
        </w:r>
      </w:fldSimple>
      <w:r w:rsidRPr="00CD5B69">
        <w:t xml:space="preserve"> ­ Adverse Reactions in EFC6049/TEMSO Study (occurring in ≥1% of patients, and reported for teriflunomide 14 mg at ≥1% higher rate than for placebo)</w:t>
      </w:r>
      <w:bookmarkEnd w:id="65"/>
    </w:p>
    <w:tbl>
      <w:tblPr>
        <w:tblW w:w="0" w:type="auto"/>
        <w:jc w:val="center"/>
        <w:tblBorders>
          <w:top w:val="single" w:sz="2" w:space="0" w:color="000000"/>
        </w:tblBorders>
        <w:tblLook w:val="01E0"/>
      </w:tblPr>
      <w:tblGrid>
        <w:gridCol w:w="4290"/>
        <w:gridCol w:w="3229"/>
        <w:gridCol w:w="2166"/>
      </w:tblGrid>
      <w:tr w:rsidR="00505D13" w:rsidRPr="00CD5B69" w:rsidTr="002958B4">
        <w:trPr>
          <w:cantSplit/>
          <w:tblHeader/>
          <w:jc w:val="center"/>
        </w:trPr>
        <w:tc>
          <w:tcPr>
            <w:tcW w:w="0" w:type="auto"/>
            <w:tcBorders>
              <w:top w:val="single" w:sz="4" w:space="0" w:color="000000"/>
              <w:bottom w:val="single" w:sz="4" w:space="0" w:color="000000"/>
            </w:tcBorders>
            <w:shd w:val="clear" w:color="auto" w:fill="auto"/>
          </w:tcPr>
          <w:p w:rsidR="00505D13" w:rsidRPr="00CD5B69" w:rsidRDefault="00505D13" w:rsidP="00505D13">
            <w:pPr>
              <w:pStyle w:val="TblHeadingCenter"/>
              <w:rPr>
                <w:lang w:val="en-US"/>
              </w:rPr>
            </w:pPr>
          </w:p>
          <w:p w:rsidR="00505D13" w:rsidRPr="00CD5B69" w:rsidRDefault="00505D13" w:rsidP="00505D13">
            <w:pPr>
              <w:pStyle w:val="TblHeadingCenter"/>
              <w:rPr>
                <w:lang w:val="en-US"/>
              </w:rPr>
            </w:pPr>
            <w:r w:rsidRPr="00CD5B69">
              <w:rPr>
                <w:lang w:val="en-US"/>
              </w:rPr>
              <w:t>PRIMARY SYSTEM ORGAN CLASS</w:t>
            </w:r>
          </w:p>
          <w:p w:rsidR="00505D13" w:rsidRPr="00CD5B69" w:rsidRDefault="00505D13" w:rsidP="00505D13">
            <w:pPr>
              <w:pStyle w:val="TblHeadingCenter"/>
              <w:rPr>
                <w:lang w:val="en-US"/>
              </w:rPr>
            </w:pPr>
            <w:r w:rsidRPr="00CD5B69">
              <w:rPr>
                <w:lang w:val="en-US"/>
              </w:rPr>
              <w:t>Preferred Term n (%)</w:t>
            </w:r>
          </w:p>
        </w:tc>
        <w:tc>
          <w:tcPr>
            <w:tcW w:w="3229" w:type="dxa"/>
            <w:tcBorders>
              <w:top w:val="single" w:sz="4" w:space="0" w:color="000000"/>
              <w:bottom w:val="single" w:sz="4" w:space="0" w:color="000000"/>
            </w:tcBorders>
            <w:shd w:val="clear" w:color="auto" w:fill="auto"/>
          </w:tcPr>
          <w:p w:rsidR="00505D13" w:rsidRPr="00CD5B69" w:rsidRDefault="00505D13" w:rsidP="00505D13">
            <w:pPr>
              <w:pStyle w:val="TblHeadingCenter"/>
            </w:pPr>
            <w:r w:rsidRPr="00CD5B69">
              <w:t>teriflunomide</w:t>
            </w:r>
          </w:p>
          <w:p w:rsidR="00505D13" w:rsidRPr="00CD5B69" w:rsidRDefault="00505D13" w:rsidP="00505D13">
            <w:pPr>
              <w:pStyle w:val="TblHeadingCenter"/>
            </w:pPr>
            <w:r w:rsidRPr="00CD5B69">
              <w:t>14 mg</w:t>
            </w:r>
          </w:p>
          <w:p w:rsidR="00505D13" w:rsidRPr="00CD5B69" w:rsidRDefault="00505D13" w:rsidP="00505D13">
            <w:pPr>
              <w:pStyle w:val="TblHeadingCenter"/>
              <w:rPr>
                <w:lang w:val="en-US"/>
              </w:rPr>
            </w:pPr>
            <w:r w:rsidRPr="00CD5B69">
              <w:t>(N=358)</w:t>
            </w:r>
          </w:p>
        </w:tc>
        <w:tc>
          <w:tcPr>
            <w:tcW w:w="2166" w:type="dxa"/>
            <w:tcBorders>
              <w:top w:val="single" w:sz="4" w:space="0" w:color="000000"/>
              <w:bottom w:val="single" w:sz="4" w:space="0" w:color="000000"/>
            </w:tcBorders>
            <w:shd w:val="clear" w:color="auto" w:fill="auto"/>
          </w:tcPr>
          <w:p w:rsidR="00505D13" w:rsidRPr="00CD5B69" w:rsidRDefault="00505D13" w:rsidP="00505D13">
            <w:pPr>
              <w:pStyle w:val="TblHeadingCenter"/>
              <w:rPr>
                <w:lang w:val="en-US"/>
              </w:rPr>
            </w:pPr>
          </w:p>
          <w:p w:rsidR="00505D13" w:rsidRPr="00CD5B69" w:rsidRDefault="00505D13" w:rsidP="00505D13">
            <w:pPr>
              <w:pStyle w:val="TblHeadingCenter"/>
            </w:pPr>
            <w:r w:rsidRPr="00CD5B69">
              <w:t>Placebo</w:t>
            </w:r>
          </w:p>
          <w:p w:rsidR="00505D13" w:rsidRPr="00CD5B69" w:rsidRDefault="00505D13" w:rsidP="00505D13">
            <w:pPr>
              <w:pStyle w:val="TblHeadingCenter"/>
            </w:pPr>
            <w:r w:rsidRPr="00CD5B69">
              <w:t>(N=360)</w:t>
            </w:r>
          </w:p>
        </w:tc>
      </w:tr>
      <w:tr w:rsidR="00505D13" w:rsidRPr="00CD5B69" w:rsidTr="002958B4">
        <w:trPr>
          <w:cantSplit/>
          <w:jc w:val="center"/>
        </w:trPr>
        <w:tc>
          <w:tcPr>
            <w:tcW w:w="0" w:type="auto"/>
            <w:tcBorders>
              <w:top w:val="single" w:sz="4" w:space="0" w:color="000000"/>
            </w:tcBorders>
            <w:shd w:val="clear" w:color="auto" w:fill="auto"/>
          </w:tcPr>
          <w:p w:rsidR="00505D13" w:rsidRPr="00CD5B69" w:rsidRDefault="00505D13" w:rsidP="002958B4">
            <w:pPr>
              <w:pStyle w:val="TblTextCenter"/>
              <w:jc w:val="left"/>
            </w:pPr>
            <w:r w:rsidRPr="00CD5B69">
              <w:rPr>
                <w:b/>
              </w:rPr>
              <w:t>Infections and Infestation</w:t>
            </w:r>
            <w:r w:rsidRPr="00CD5B69">
              <w:t>s</w:t>
            </w:r>
          </w:p>
        </w:tc>
        <w:tc>
          <w:tcPr>
            <w:tcW w:w="3229" w:type="dxa"/>
            <w:tcBorders>
              <w:top w:val="single" w:sz="4" w:space="0" w:color="000000"/>
            </w:tcBorders>
            <w:shd w:val="clear" w:color="auto" w:fill="auto"/>
          </w:tcPr>
          <w:p w:rsidR="00505D13" w:rsidRPr="00CD5B69" w:rsidRDefault="00505D13" w:rsidP="00505D13">
            <w:pPr>
              <w:pStyle w:val="TblTextCenter"/>
            </w:pPr>
          </w:p>
        </w:tc>
        <w:tc>
          <w:tcPr>
            <w:tcW w:w="2166" w:type="dxa"/>
            <w:tcBorders>
              <w:top w:val="single" w:sz="4" w:space="0" w:color="000000"/>
            </w:tcBorders>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Influenza</w:t>
            </w:r>
          </w:p>
        </w:tc>
        <w:tc>
          <w:tcPr>
            <w:tcW w:w="3229" w:type="dxa"/>
            <w:shd w:val="clear" w:color="auto" w:fill="auto"/>
          </w:tcPr>
          <w:p w:rsidR="00505D13" w:rsidRPr="00CD5B69" w:rsidRDefault="00505D13" w:rsidP="00505D13">
            <w:pPr>
              <w:pStyle w:val="TblTextCenter"/>
            </w:pPr>
            <w:r w:rsidRPr="00CD5B69">
              <w:t>43 (12.0%)</w:t>
            </w:r>
          </w:p>
        </w:tc>
        <w:tc>
          <w:tcPr>
            <w:tcW w:w="2166" w:type="dxa"/>
            <w:shd w:val="clear" w:color="auto" w:fill="auto"/>
          </w:tcPr>
          <w:p w:rsidR="00505D13" w:rsidRPr="00CD5B69" w:rsidRDefault="00505D13" w:rsidP="00505D13">
            <w:pPr>
              <w:pStyle w:val="TblTextCenter"/>
            </w:pPr>
            <w:r w:rsidRPr="00CD5B69">
              <w:t>36 (10.0%)</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Upper respiratory tract infection</w:t>
            </w:r>
          </w:p>
        </w:tc>
        <w:tc>
          <w:tcPr>
            <w:tcW w:w="3229" w:type="dxa"/>
            <w:shd w:val="clear" w:color="auto" w:fill="auto"/>
          </w:tcPr>
          <w:p w:rsidR="00505D13" w:rsidRPr="00CD5B69" w:rsidRDefault="00505D13" w:rsidP="00505D13">
            <w:pPr>
              <w:pStyle w:val="TblTextCenter"/>
            </w:pPr>
            <w:r w:rsidRPr="00CD5B69">
              <w:t>32 (8.9%)</w:t>
            </w:r>
          </w:p>
        </w:tc>
        <w:tc>
          <w:tcPr>
            <w:tcW w:w="2166" w:type="dxa"/>
            <w:shd w:val="clear" w:color="auto" w:fill="auto"/>
          </w:tcPr>
          <w:p w:rsidR="00505D13" w:rsidRPr="00CD5B69" w:rsidRDefault="00505D13" w:rsidP="00505D13">
            <w:pPr>
              <w:pStyle w:val="TblTextCenter"/>
            </w:pPr>
            <w:r w:rsidRPr="00CD5B69">
              <w:t>25 (6.9%)</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Bronchitis</w:t>
            </w:r>
          </w:p>
        </w:tc>
        <w:tc>
          <w:tcPr>
            <w:tcW w:w="3229" w:type="dxa"/>
            <w:shd w:val="clear" w:color="auto" w:fill="auto"/>
          </w:tcPr>
          <w:p w:rsidR="00505D13" w:rsidRPr="00CD5B69" w:rsidRDefault="00505D13" w:rsidP="00505D13">
            <w:pPr>
              <w:pStyle w:val="TblTextCenter"/>
            </w:pPr>
            <w:r w:rsidRPr="00CD5B69">
              <w:t>29 (8.1%)</w:t>
            </w:r>
          </w:p>
        </w:tc>
        <w:tc>
          <w:tcPr>
            <w:tcW w:w="2166" w:type="dxa"/>
            <w:shd w:val="clear" w:color="auto" w:fill="auto"/>
          </w:tcPr>
          <w:p w:rsidR="00505D13" w:rsidRPr="00CD5B69" w:rsidRDefault="00505D13" w:rsidP="00505D13">
            <w:pPr>
              <w:pStyle w:val="TblTextCenter"/>
            </w:pPr>
            <w:r w:rsidRPr="00CD5B69">
              <w:t>22 (6.1%)</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Sinusitis</w:t>
            </w:r>
          </w:p>
        </w:tc>
        <w:tc>
          <w:tcPr>
            <w:tcW w:w="3229" w:type="dxa"/>
            <w:shd w:val="clear" w:color="auto" w:fill="auto"/>
          </w:tcPr>
          <w:p w:rsidR="00505D13" w:rsidRPr="00CD5B69" w:rsidRDefault="00505D13" w:rsidP="00505D13">
            <w:pPr>
              <w:pStyle w:val="TblTextCenter"/>
            </w:pPr>
            <w:r w:rsidRPr="00CD5B69">
              <w:t>23 (6.4%)</w:t>
            </w:r>
          </w:p>
        </w:tc>
        <w:tc>
          <w:tcPr>
            <w:tcW w:w="2166" w:type="dxa"/>
            <w:shd w:val="clear" w:color="auto" w:fill="auto"/>
          </w:tcPr>
          <w:p w:rsidR="00505D13" w:rsidRPr="00CD5B69" w:rsidRDefault="00505D13" w:rsidP="00505D13">
            <w:pPr>
              <w:pStyle w:val="TblTextCenter"/>
            </w:pPr>
            <w:r w:rsidRPr="00CD5B69">
              <w:t>16 (4.4%)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Gastroenteritis</w:t>
            </w:r>
          </w:p>
        </w:tc>
        <w:tc>
          <w:tcPr>
            <w:tcW w:w="3229" w:type="dxa"/>
            <w:shd w:val="clear" w:color="auto" w:fill="auto"/>
          </w:tcPr>
          <w:p w:rsidR="00505D13" w:rsidRPr="00CD5B69" w:rsidRDefault="00505D13" w:rsidP="00505D13">
            <w:pPr>
              <w:pStyle w:val="TblTextCenter"/>
            </w:pPr>
            <w:r w:rsidRPr="00CD5B69">
              <w:t>21 (5.9%)</w:t>
            </w:r>
          </w:p>
        </w:tc>
        <w:tc>
          <w:tcPr>
            <w:tcW w:w="2166" w:type="dxa"/>
            <w:shd w:val="clear" w:color="auto" w:fill="auto"/>
          </w:tcPr>
          <w:p w:rsidR="00505D13" w:rsidRPr="00CD5B69" w:rsidRDefault="00505D13" w:rsidP="00505D13">
            <w:pPr>
              <w:pStyle w:val="TblTextCenter"/>
            </w:pPr>
            <w:r w:rsidRPr="00CD5B69">
              <w:t>17 (4.7%)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Cystitis</w:t>
            </w:r>
          </w:p>
        </w:tc>
        <w:tc>
          <w:tcPr>
            <w:tcW w:w="3229" w:type="dxa"/>
            <w:shd w:val="clear" w:color="auto" w:fill="auto"/>
          </w:tcPr>
          <w:p w:rsidR="00505D13" w:rsidRPr="00CD5B69" w:rsidRDefault="00505D13" w:rsidP="00505D13">
            <w:pPr>
              <w:pStyle w:val="TblTextCenter"/>
            </w:pPr>
            <w:r w:rsidRPr="00CD5B69">
              <w:t>13 (3.6%)</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Gastroenteritis viral</w:t>
            </w:r>
          </w:p>
        </w:tc>
        <w:tc>
          <w:tcPr>
            <w:tcW w:w="3229" w:type="dxa"/>
            <w:shd w:val="clear" w:color="auto" w:fill="auto"/>
          </w:tcPr>
          <w:p w:rsidR="00505D13" w:rsidRPr="00CD5B69" w:rsidRDefault="00505D13" w:rsidP="00505D13">
            <w:pPr>
              <w:pStyle w:val="TblTextCenter"/>
            </w:pPr>
            <w:r w:rsidRPr="00CD5B69">
              <w:t>13 (3.6%)</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Oral herpes</w:t>
            </w:r>
          </w:p>
        </w:tc>
        <w:tc>
          <w:tcPr>
            <w:tcW w:w="3229" w:type="dxa"/>
            <w:shd w:val="clear" w:color="auto" w:fill="auto"/>
          </w:tcPr>
          <w:p w:rsidR="00505D13" w:rsidRPr="00CD5B69" w:rsidRDefault="00505D13" w:rsidP="00505D13">
            <w:pPr>
              <w:pStyle w:val="TblTextCenter"/>
            </w:pPr>
            <w:r w:rsidRPr="00CD5B69">
              <w:t>13 (3.6%)</w:t>
            </w:r>
          </w:p>
        </w:tc>
        <w:tc>
          <w:tcPr>
            <w:tcW w:w="2166" w:type="dxa"/>
            <w:shd w:val="clear" w:color="auto" w:fill="auto"/>
          </w:tcPr>
          <w:p w:rsidR="00505D13" w:rsidRPr="00CD5B69" w:rsidRDefault="00505D13" w:rsidP="00505D13">
            <w:pPr>
              <w:pStyle w:val="TblTextCenter"/>
            </w:pPr>
            <w:r w:rsidRPr="00CD5B69">
              <w:t>6 (1.7%)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lastRenderedPageBreak/>
              <w:t>Rhinitis</w:t>
            </w:r>
          </w:p>
        </w:tc>
        <w:tc>
          <w:tcPr>
            <w:tcW w:w="3229" w:type="dxa"/>
            <w:shd w:val="clear" w:color="auto" w:fill="auto"/>
          </w:tcPr>
          <w:p w:rsidR="00505D13" w:rsidRPr="00CD5B69" w:rsidRDefault="00505D13" w:rsidP="00505D13">
            <w:pPr>
              <w:pStyle w:val="TblTextCenter"/>
            </w:pPr>
            <w:r w:rsidRPr="00CD5B69">
              <w:t>12 (3.4%)</w:t>
            </w:r>
          </w:p>
        </w:tc>
        <w:tc>
          <w:tcPr>
            <w:tcW w:w="2166" w:type="dxa"/>
            <w:shd w:val="clear" w:color="auto" w:fill="auto"/>
          </w:tcPr>
          <w:p w:rsidR="00505D13" w:rsidRPr="00CD5B69" w:rsidRDefault="00505D13" w:rsidP="00505D13">
            <w:pPr>
              <w:pStyle w:val="TblTextCenter"/>
            </w:pPr>
            <w:r w:rsidRPr="00CD5B69">
              <w:t>7 (1.9%)</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Ear infection</w:t>
            </w:r>
          </w:p>
        </w:tc>
        <w:tc>
          <w:tcPr>
            <w:tcW w:w="3229" w:type="dxa"/>
            <w:shd w:val="clear" w:color="auto" w:fill="auto"/>
          </w:tcPr>
          <w:p w:rsidR="00505D13" w:rsidRPr="00CD5B69" w:rsidRDefault="00505D13" w:rsidP="00505D13">
            <w:pPr>
              <w:pStyle w:val="TblTextCenter"/>
            </w:pPr>
            <w:r w:rsidRPr="00CD5B69">
              <w:t>8 (2.2%)</w:t>
            </w:r>
          </w:p>
        </w:tc>
        <w:tc>
          <w:tcPr>
            <w:tcW w:w="2166" w:type="dxa"/>
            <w:shd w:val="clear" w:color="auto" w:fill="auto"/>
          </w:tcPr>
          <w:p w:rsidR="00505D13" w:rsidRPr="00CD5B69" w:rsidRDefault="00505D13" w:rsidP="00505D13">
            <w:pPr>
              <w:pStyle w:val="TblTextCenter"/>
            </w:pPr>
            <w:r w:rsidRPr="00CD5B69">
              <w:t>4 (1.1%)</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Lower respiratory tract infection</w:t>
            </w:r>
          </w:p>
        </w:tc>
        <w:tc>
          <w:tcPr>
            <w:tcW w:w="3229" w:type="dxa"/>
            <w:shd w:val="clear" w:color="auto" w:fill="auto"/>
          </w:tcPr>
          <w:p w:rsidR="00505D13" w:rsidRPr="00CD5B69" w:rsidRDefault="00505D13" w:rsidP="00505D13">
            <w:pPr>
              <w:pStyle w:val="TblTextCenter"/>
            </w:pPr>
            <w:r w:rsidRPr="00CD5B69">
              <w:t>8 (2.2%)</w:t>
            </w:r>
          </w:p>
        </w:tc>
        <w:tc>
          <w:tcPr>
            <w:tcW w:w="2166" w:type="dxa"/>
            <w:shd w:val="clear" w:color="auto" w:fill="auto"/>
          </w:tcPr>
          <w:p w:rsidR="00505D13" w:rsidRPr="00CD5B69" w:rsidRDefault="00505D13" w:rsidP="00505D13">
            <w:pPr>
              <w:pStyle w:val="TblTextCenter"/>
            </w:pPr>
            <w:r w:rsidRPr="00CD5B69">
              <w:t>4 (1.1%)</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Tooth infection</w:t>
            </w:r>
          </w:p>
        </w:tc>
        <w:tc>
          <w:tcPr>
            <w:tcW w:w="3229" w:type="dxa"/>
            <w:shd w:val="clear" w:color="auto" w:fill="auto"/>
          </w:tcPr>
          <w:p w:rsidR="00505D13" w:rsidRPr="00CD5B69" w:rsidRDefault="00505D13" w:rsidP="00505D13">
            <w:pPr>
              <w:pStyle w:val="TblTextCenter"/>
            </w:pPr>
            <w:r w:rsidRPr="00CD5B69">
              <w:t>7 (2.0%)</w:t>
            </w:r>
          </w:p>
        </w:tc>
        <w:tc>
          <w:tcPr>
            <w:tcW w:w="2166" w:type="dxa"/>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Laryngitis</w:t>
            </w:r>
          </w:p>
        </w:tc>
        <w:tc>
          <w:tcPr>
            <w:tcW w:w="3229" w:type="dxa"/>
            <w:shd w:val="clear" w:color="auto" w:fill="auto"/>
          </w:tcPr>
          <w:p w:rsidR="00505D13" w:rsidRPr="00CD5B69" w:rsidRDefault="00505D13" w:rsidP="00505D13">
            <w:pPr>
              <w:pStyle w:val="TblTextCenter"/>
            </w:pPr>
            <w:r w:rsidRPr="00CD5B69">
              <w:t>5 (1.4%)</w:t>
            </w:r>
          </w:p>
        </w:tc>
        <w:tc>
          <w:tcPr>
            <w:tcW w:w="2166" w:type="dxa"/>
            <w:shd w:val="clear" w:color="auto" w:fill="auto"/>
          </w:tcPr>
          <w:p w:rsidR="00505D13" w:rsidRPr="00CD5B69" w:rsidRDefault="00505D13" w:rsidP="00505D13">
            <w:pPr>
              <w:pStyle w:val="TblTextCenter"/>
            </w:pPr>
            <w:r w:rsidRPr="00CD5B69">
              <w:t>1 (0.3%)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Tinea pedis</w:t>
            </w:r>
          </w:p>
        </w:tc>
        <w:tc>
          <w:tcPr>
            <w:tcW w:w="3229" w:type="dxa"/>
            <w:shd w:val="clear" w:color="auto" w:fill="auto"/>
          </w:tcPr>
          <w:p w:rsidR="00505D13" w:rsidRPr="00CD5B69" w:rsidRDefault="00505D13" w:rsidP="00505D13">
            <w:pPr>
              <w:pStyle w:val="TblTextCenter"/>
            </w:pPr>
            <w:r w:rsidRPr="00CD5B69">
              <w:t>5 (1.4%)</w:t>
            </w:r>
          </w:p>
        </w:tc>
        <w:tc>
          <w:tcPr>
            <w:tcW w:w="2166" w:type="dxa"/>
            <w:shd w:val="clear" w:color="auto" w:fill="auto"/>
          </w:tcPr>
          <w:p w:rsidR="00505D13" w:rsidRPr="00CD5B69" w:rsidRDefault="00505D13" w:rsidP="00505D13">
            <w:pPr>
              <w:pStyle w:val="TblTextCenter"/>
            </w:pPr>
            <w:r w:rsidRPr="00CD5B69">
              <w:t>1 (0.3%)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 xml:space="preserve">Blood and lymphatic system disorders </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Neutropenia</w:t>
            </w:r>
          </w:p>
        </w:tc>
        <w:tc>
          <w:tcPr>
            <w:tcW w:w="3229" w:type="dxa"/>
            <w:shd w:val="clear" w:color="auto" w:fill="auto"/>
          </w:tcPr>
          <w:p w:rsidR="00505D13" w:rsidRPr="00CD5B69" w:rsidRDefault="00505D13" w:rsidP="00505D13">
            <w:pPr>
              <w:pStyle w:val="TblTextCenter"/>
            </w:pPr>
            <w:r w:rsidRPr="00CD5B69">
              <w:t>16 (4.5%)</w:t>
            </w:r>
          </w:p>
        </w:tc>
        <w:tc>
          <w:tcPr>
            <w:tcW w:w="2166" w:type="dxa"/>
            <w:shd w:val="clear" w:color="auto" w:fill="auto"/>
          </w:tcPr>
          <w:p w:rsidR="00505D13" w:rsidRPr="00CD5B69" w:rsidRDefault="00505D13" w:rsidP="00505D13">
            <w:pPr>
              <w:pStyle w:val="TblTextCenter"/>
            </w:pPr>
            <w:r w:rsidRPr="00CD5B69">
              <w:t>1 (0.3%)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Immune system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Seasonal allergy</w:t>
            </w:r>
          </w:p>
        </w:tc>
        <w:tc>
          <w:tcPr>
            <w:tcW w:w="3229" w:type="dxa"/>
            <w:shd w:val="clear" w:color="auto" w:fill="auto"/>
          </w:tcPr>
          <w:p w:rsidR="00505D13" w:rsidRPr="00CD5B69" w:rsidRDefault="00505D13" w:rsidP="00505D13">
            <w:pPr>
              <w:pStyle w:val="TblTextCenter"/>
            </w:pPr>
            <w:r w:rsidRPr="00CD5B69">
              <w:t>11 (3.1%)</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Psychiatric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Depression</w:t>
            </w:r>
          </w:p>
        </w:tc>
        <w:tc>
          <w:tcPr>
            <w:tcW w:w="3229" w:type="dxa"/>
            <w:shd w:val="clear" w:color="auto" w:fill="auto"/>
          </w:tcPr>
          <w:p w:rsidR="00505D13" w:rsidRPr="00CD5B69" w:rsidRDefault="00505D13" w:rsidP="00505D13">
            <w:pPr>
              <w:pStyle w:val="TblTextCenter"/>
            </w:pPr>
            <w:r w:rsidRPr="00CD5B69">
              <w:t>33 (9.2%)</w:t>
            </w:r>
          </w:p>
        </w:tc>
        <w:tc>
          <w:tcPr>
            <w:tcW w:w="2166" w:type="dxa"/>
            <w:shd w:val="clear" w:color="auto" w:fill="auto"/>
          </w:tcPr>
          <w:p w:rsidR="00505D13" w:rsidRPr="00CD5B69" w:rsidRDefault="00505D13" w:rsidP="00505D13">
            <w:pPr>
              <w:pStyle w:val="TblTextCenter"/>
            </w:pPr>
            <w:r w:rsidRPr="00CD5B69">
              <w:t>28 (7.8%)</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Anxiety</w:t>
            </w:r>
          </w:p>
        </w:tc>
        <w:tc>
          <w:tcPr>
            <w:tcW w:w="3229" w:type="dxa"/>
            <w:shd w:val="clear" w:color="auto" w:fill="auto"/>
          </w:tcPr>
          <w:p w:rsidR="00505D13" w:rsidRPr="00CD5B69" w:rsidRDefault="00505D13" w:rsidP="00505D13">
            <w:pPr>
              <w:pStyle w:val="TblTextCenter"/>
            </w:pPr>
            <w:r w:rsidRPr="00CD5B69">
              <w:t>15 (4.2%)</w:t>
            </w:r>
          </w:p>
        </w:tc>
        <w:tc>
          <w:tcPr>
            <w:tcW w:w="2166" w:type="dxa"/>
            <w:shd w:val="clear" w:color="auto" w:fill="auto"/>
          </w:tcPr>
          <w:p w:rsidR="00505D13" w:rsidRPr="00CD5B69" w:rsidRDefault="00505D13" w:rsidP="00505D13">
            <w:pPr>
              <w:pStyle w:val="TblTextCenter"/>
            </w:pPr>
            <w:r w:rsidRPr="00CD5B69">
              <w:t>7 (1.9%)</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Nervous system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Paraesthesia</w:t>
            </w:r>
          </w:p>
        </w:tc>
        <w:tc>
          <w:tcPr>
            <w:tcW w:w="3229" w:type="dxa"/>
            <w:shd w:val="clear" w:color="auto" w:fill="auto"/>
          </w:tcPr>
          <w:p w:rsidR="00505D13" w:rsidRPr="00CD5B69" w:rsidRDefault="00505D13" w:rsidP="00505D13">
            <w:pPr>
              <w:pStyle w:val="TblTextCenter"/>
            </w:pPr>
            <w:r w:rsidRPr="00CD5B69">
              <w:t>35 (9.8%)</w:t>
            </w:r>
          </w:p>
        </w:tc>
        <w:tc>
          <w:tcPr>
            <w:tcW w:w="2166" w:type="dxa"/>
            <w:shd w:val="clear" w:color="auto" w:fill="auto"/>
          </w:tcPr>
          <w:p w:rsidR="00505D13" w:rsidRPr="00CD5B69" w:rsidRDefault="00505D13" w:rsidP="00505D13">
            <w:pPr>
              <w:pStyle w:val="TblTextCenter"/>
            </w:pPr>
            <w:r w:rsidRPr="00CD5B69">
              <w:t>30 (8.3%)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Sciatica</w:t>
            </w:r>
          </w:p>
        </w:tc>
        <w:tc>
          <w:tcPr>
            <w:tcW w:w="3229" w:type="dxa"/>
            <w:shd w:val="clear" w:color="auto" w:fill="auto"/>
          </w:tcPr>
          <w:p w:rsidR="00505D13" w:rsidRPr="00CD5B69" w:rsidRDefault="00505D13" w:rsidP="00505D13">
            <w:pPr>
              <w:pStyle w:val="TblTextCenter"/>
            </w:pPr>
            <w:r w:rsidRPr="00CD5B69">
              <w:t>10 (2.8%)</w:t>
            </w:r>
          </w:p>
        </w:tc>
        <w:tc>
          <w:tcPr>
            <w:tcW w:w="2166" w:type="dxa"/>
            <w:shd w:val="clear" w:color="auto" w:fill="auto"/>
          </w:tcPr>
          <w:p w:rsidR="00505D13" w:rsidRPr="00CD5B69" w:rsidRDefault="00505D13" w:rsidP="00505D13">
            <w:pPr>
              <w:pStyle w:val="TblTextCenter"/>
            </w:pPr>
            <w:r w:rsidRPr="00CD5B69">
              <w:t>4 (1.1%)</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Burning sensation</w:t>
            </w:r>
          </w:p>
        </w:tc>
        <w:tc>
          <w:tcPr>
            <w:tcW w:w="3229" w:type="dxa"/>
            <w:shd w:val="clear" w:color="auto" w:fill="auto"/>
          </w:tcPr>
          <w:p w:rsidR="00505D13" w:rsidRPr="00CD5B69" w:rsidRDefault="00505D13" w:rsidP="00505D13">
            <w:pPr>
              <w:pStyle w:val="TblTextCenter"/>
            </w:pPr>
            <w:r w:rsidRPr="00CD5B69">
              <w:t>9 (2.5%)</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Carpal tunnel syndrome</w:t>
            </w:r>
          </w:p>
        </w:tc>
        <w:tc>
          <w:tcPr>
            <w:tcW w:w="3229" w:type="dxa"/>
            <w:shd w:val="clear" w:color="auto" w:fill="auto"/>
          </w:tcPr>
          <w:p w:rsidR="00505D13" w:rsidRPr="00CD5B69" w:rsidRDefault="00505D13" w:rsidP="00505D13">
            <w:pPr>
              <w:pStyle w:val="TblTextCenter"/>
            </w:pPr>
            <w:r w:rsidRPr="00CD5B69">
              <w:t>9 (2.5%)</w:t>
            </w:r>
          </w:p>
        </w:tc>
        <w:tc>
          <w:tcPr>
            <w:tcW w:w="2166" w:type="dxa"/>
            <w:shd w:val="clear" w:color="auto" w:fill="auto"/>
          </w:tcPr>
          <w:p w:rsidR="00505D13" w:rsidRPr="00CD5B69" w:rsidRDefault="00505D13" w:rsidP="00505D13">
            <w:pPr>
              <w:pStyle w:val="TblTextCenter"/>
            </w:pPr>
            <w:r w:rsidRPr="00CD5B69">
              <w:t>1 (0.3%)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Multiple sclerosis</w:t>
            </w:r>
          </w:p>
        </w:tc>
        <w:tc>
          <w:tcPr>
            <w:tcW w:w="3229" w:type="dxa"/>
            <w:shd w:val="clear" w:color="auto" w:fill="auto"/>
          </w:tcPr>
          <w:p w:rsidR="00505D13" w:rsidRPr="00CD5B69" w:rsidRDefault="00505D13" w:rsidP="00505D13">
            <w:pPr>
              <w:pStyle w:val="TblTextCenter"/>
            </w:pPr>
            <w:r w:rsidRPr="00CD5B69">
              <w:t>7 (2.0%)</w:t>
            </w:r>
          </w:p>
        </w:tc>
        <w:tc>
          <w:tcPr>
            <w:tcW w:w="2166" w:type="dxa"/>
            <w:shd w:val="clear" w:color="auto" w:fill="auto"/>
          </w:tcPr>
          <w:p w:rsidR="00505D13" w:rsidRPr="00CD5B69" w:rsidRDefault="00505D13" w:rsidP="00505D13">
            <w:pPr>
              <w:pStyle w:val="TblTextCenter"/>
            </w:pPr>
            <w:r w:rsidRPr="00CD5B69">
              <w:t>3 (0.8%)</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Neuralgia</w:t>
            </w:r>
          </w:p>
        </w:tc>
        <w:tc>
          <w:tcPr>
            <w:tcW w:w="3229" w:type="dxa"/>
            <w:shd w:val="clear" w:color="auto" w:fill="auto"/>
          </w:tcPr>
          <w:p w:rsidR="00505D13" w:rsidRPr="00CD5B69" w:rsidRDefault="00505D13" w:rsidP="00505D13">
            <w:pPr>
              <w:pStyle w:val="TblTextCenter"/>
            </w:pPr>
            <w:r w:rsidRPr="00CD5B69">
              <w:t>5 (1.4%)</w:t>
            </w:r>
          </w:p>
        </w:tc>
        <w:tc>
          <w:tcPr>
            <w:tcW w:w="2166" w:type="dxa"/>
            <w:shd w:val="clear" w:color="auto" w:fill="auto"/>
          </w:tcPr>
          <w:p w:rsidR="00505D13" w:rsidRPr="00CD5B69" w:rsidRDefault="00505D13" w:rsidP="00505D13">
            <w:pPr>
              <w:pStyle w:val="TblTextCenter"/>
            </w:pPr>
            <w:r w:rsidRPr="00CD5B69">
              <w:t>0</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Eye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Vision blurred</w:t>
            </w:r>
          </w:p>
        </w:tc>
        <w:tc>
          <w:tcPr>
            <w:tcW w:w="3229" w:type="dxa"/>
            <w:shd w:val="clear" w:color="auto" w:fill="auto"/>
          </w:tcPr>
          <w:p w:rsidR="00505D13" w:rsidRPr="00CD5B69" w:rsidRDefault="00505D13" w:rsidP="00505D13">
            <w:pPr>
              <w:pStyle w:val="TblTextCenter"/>
            </w:pPr>
            <w:r w:rsidRPr="00CD5B69">
              <w:t>10 (2.8%)</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trHeight w:val="121"/>
          <w:jc w:val="center"/>
        </w:trPr>
        <w:tc>
          <w:tcPr>
            <w:tcW w:w="0" w:type="auto"/>
            <w:shd w:val="clear" w:color="auto" w:fill="auto"/>
          </w:tcPr>
          <w:p w:rsidR="00505D13" w:rsidRPr="00CD5B69" w:rsidRDefault="00505D13" w:rsidP="002958B4">
            <w:pPr>
              <w:pStyle w:val="TblTextCenter"/>
              <w:jc w:val="left"/>
              <w:rPr>
                <w:b/>
              </w:rPr>
            </w:pPr>
            <w:r w:rsidRPr="00CD5B69">
              <w:rPr>
                <w:b/>
              </w:rPr>
              <w:t>Cardiac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Tachycardia</w:t>
            </w:r>
          </w:p>
        </w:tc>
        <w:tc>
          <w:tcPr>
            <w:tcW w:w="3229" w:type="dxa"/>
            <w:shd w:val="clear" w:color="auto" w:fill="auto"/>
          </w:tcPr>
          <w:p w:rsidR="00505D13" w:rsidRPr="00CD5B69" w:rsidRDefault="00505D13" w:rsidP="00505D13">
            <w:pPr>
              <w:pStyle w:val="TblTextCenter"/>
            </w:pPr>
            <w:r w:rsidRPr="00CD5B69">
              <w:t>6 (1.7%)</w:t>
            </w:r>
          </w:p>
        </w:tc>
        <w:tc>
          <w:tcPr>
            <w:tcW w:w="2166" w:type="dxa"/>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Vascular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Hypertension</w:t>
            </w:r>
          </w:p>
        </w:tc>
        <w:tc>
          <w:tcPr>
            <w:tcW w:w="3229" w:type="dxa"/>
            <w:shd w:val="clear" w:color="auto" w:fill="auto"/>
          </w:tcPr>
          <w:p w:rsidR="00505D13" w:rsidRPr="00CD5B69" w:rsidRDefault="00505D13" w:rsidP="00505D13">
            <w:pPr>
              <w:pStyle w:val="TblTextCenter"/>
            </w:pPr>
            <w:r w:rsidRPr="00CD5B69">
              <w:t>13 (3.6%)</w:t>
            </w:r>
          </w:p>
        </w:tc>
        <w:tc>
          <w:tcPr>
            <w:tcW w:w="2166" w:type="dxa"/>
            <w:shd w:val="clear" w:color="auto" w:fill="auto"/>
          </w:tcPr>
          <w:p w:rsidR="00505D13" w:rsidRPr="00CD5B69" w:rsidRDefault="00505D13" w:rsidP="00505D13">
            <w:pPr>
              <w:pStyle w:val="TblTextCenter"/>
            </w:pPr>
            <w:r w:rsidRPr="00CD5B69">
              <w:t>6 (1.7%)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Gastrointestinal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Diarrhoea</w:t>
            </w:r>
          </w:p>
        </w:tc>
        <w:tc>
          <w:tcPr>
            <w:tcW w:w="3229" w:type="dxa"/>
            <w:shd w:val="clear" w:color="auto" w:fill="auto"/>
          </w:tcPr>
          <w:p w:rsidR="00505D13" w:rsidRPr="00CD5B69" w:rsidRDefault="00505D13" w:rsidP="00505D13">
            <w:pPr>
              <w:pStyle w:val="TblTextCenter"/>
            </w:pPr>
            <w:r w:rsidRPr="00CD5B69">
              <w:t>64 (17.9%)</w:t>
            </w:r>
          </w:p>
        </w:tc>
        <w:tc>
          <w:tcPr>
            <w:tcW w:w="2166" w:type="dxa"/>
            <w:shd w:val="clear" w:color="auto" w:fill="auto"/>
          </w:tcPr>
          <w:p w:rsidR="00505D13" w:rsidRPr="00CD5B69" w:rsidRDefault="00505D13" w:rsidP="00505D13">
            <w:pPr>
              <w:pStyle w:val="TblTextCenter"/>
            </w:pPr>
            <w:r w:rsidRPr="00CD5B69">
              <w:t>32 (8.9%)</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Nausea</w:t>
            </w:r>
          </w:p>
        </w:tc>
        <w:tc>
          <w:tcPr>
            <w:tcW w:w="3229" w:type="dxa"/>
            <w:shd w:val="clear" w:color="auto" w:fill="auto"/>
          </w:tcPr>
          <w:p w:rsidR="00505D13" w:rsidRPr="00CD5B69" w:rsidRDefault="00505D13" w:rsidP="00505D13">
            <w:pPr>
              <w:pStyle w:val="TblTextCenter"/>
            </w:pPr>
            <w:r w:rsidRPr="00CD5B69">
              <w:t>49 (13.7%)</w:t>
            </w:r>
          </w:p>
        </w:tc>
        <w:tc>
          <w:tcPr>
            <w:tcW w:w="2166" w:type="dxa"/>
            <w:shd w:val="clear" w:color="auto" w:fill="auto"/>
          </w:tcPr>
          <w:p w:rsidR="00505D13" w:rsidRPr="00CD5B69" w:rsidRDefault="00505D13" w:rsidP="00505D13">
            <w:pPr>
              <w:pStyle w:val="TblTextCenter"/>
            </w:pPr>
            <w:r w:rsidRPr="00CD5B69">
              <w:t>26 (7.2%)</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lastRenderedPageBreak/>
              <w:t>Abdominal pain upper</w:t>
            </w:r>
          </w:p>
        </w:tc>
        <w:tc>
          <w:tcPr>
            <w:tcW w:w="3229" w:type="dxa"/>
            <w:shd w:val="clear" w:color="auto" w:fill="auto"/>
          </w:tcPr>
          <w:p w:rsidR="00505D13" w:rsidRPr="00CD5B69" w:rsidRDefault="00505D13" w:rsidP="00505D13">
            <w:pPr>
              <w:pStyle w:val="TblTextCenter"/>
            </w:pPr>
            <w:r w:rsidRPr="00CD5B69">
              <w:t>20 (5.6%)</w:t>
            </w:r>
          </w:p>
        </w:tc>
        <w:tc>
          <w:tcPr>
            <w:tcW w:w="2166" w:type="dxa"/>
            <w:shd w:val="clear" w:color="auto" w:fill="auto"/>
          </w:tcPr>
          <w:p w:rsidR="00505D13" w:rsidRPr="00CD5B69" w:rsidRDefault="00505D13" w:rsidP="00505D13">
            <w:pPr>
              <w:pStyle w:val="TblTextCenter"/>
            </w:pPr>
            <w:r w:rsidRPr="00CD5B69">
              <w:t>15 (4.2%)</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Vomiting</w:t>
            </w:r>
          </w:p>
        </w:tc>
        <w:tc>
          <w:tcPr>
            <w:tcW w:w="3229" w:type="dxa"/>
            <w:shd w:val="clear" w:color="auto" w:fill="auto"/>
          </w:tcPr>
          <w:p w:rsidR="00505D13" w:rsidRPr="00CD5B69" w:rsidRDefault="00505D13" w:rsidP="00505D13">
            <w:pPr>
              <w:pStyle w:val="TblTextCenter"/>
            </w:pPr>
            <w:r w:rsidRPr="00CD5B69">
              <w:t>18 (5.0%)</w:t>
            </w:r>
          </w:p>
        </w:tc>
        <w:tc>
          <w:tcPr>
            <w:tcW w:w="2166" w:type="dxa"/>
            <w:shd w:val="clear" w:color="auto" w:fill="auto"/>
          </w:tcPr>
          <w:p w:rsidR="00505D13" w:rsidRPr="00CD5B69" w:rsidRDefault="00505D13" w:rsidP="00505D13">
            <w:pPr>
              <w:pStyle w:val="TblTextCenter"/>
            </w:pPr>
            <w:r w:rsidRPr="00CD5B69">
              <w:t>14 (3.9%)</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Toothache</w:t>
            </w:r>
          </w:p>
        </w:tc>
        <w:tc>
          <w:tcPr>
            <w:tcW w:w="3229" w:type="dxa"/>
            <w:shd w:val="clear" w:color="auto" w:fill="auto"/>
          </w:tcPr>
          <w:p w:rsidR="00505D13" w:rsidRPr="00CD5B69" w:rsidRDefault="00505D13" w:rsidP="00505D13">
            <w:pPr>
              <w:pStyle w:val="TblTextCenter"/>
            </w:pPr>
            <w:r w:rsidRPr="00CD5B69">
              <w:t>15 (4.2%)</w:t>
            </w:r>
          </w:p>
        </w:tc>
        <w:tc>
          <w:tcPr>
            <w:tcW w:w="2166" w:type="dxa"/>
            <w:shd w:val="clear" w:color="auto" w:fill="auto"/>
          </w:tcPr>
          <w:p w:rsidR="00505D13" w:rsidRPr="00CD5B69" w:rsidRDefault="00505D13" w:rsidP="00505D13">
            <w:pPr>
              <w:pStyle w:val="TblTextCenter"/>
            </w:pPr>
            <w:r w:rsidRPr="00CD5B69">
              <w:t>8 (2.2%)</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Inguinal hernia</w:t>
            </w:r>
          </w:p>
        </w:tc>
        <w:tc>
          <w:tcPr>
            <w:tcW w:w="3229" w:type="dxa"/>
            <w:shd w:val="clear" w:color="auto" w:fill="auto"/>
          </w:tcPr>
          <w:p w:rsidR="00505D13" w:rsidRPr="00CD5B69" w:rsidRDefault="00505D13" w:rsidP="00505D13">
            <w:pPr>
              <w:pStyle w:val="TblTextCenter"/>
            </w:pPr>
            <w:r w:rsidRPr="00CD5B69">
              <w:t>4 (1.1%)</w:t>
            </w:r>
          </w:p>
        </w:tc>
        <w:tc>
          <w:tcPr>
            <w:tcW w:w="2166" w:type="dxa"/>
            <w:shd w:val="clear" w:color="auto" w:fill="auto"/>
          </w:tcPr>
          <w:p w:rsidR="00505D13" w:rsidRPr="00CD5B69" w:rsidRDefault="00505D13" w:rsidP="00505D13">
            <w:pPr>
              <w:pStyle w:val="TblTextCenter"/>
            </w:pPr>
            <w:r w:rsidRPr="00CD5B69">
              <w:t>0</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Skin and subcutaneous tissue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Alopecia</w:t>
            </w:r>
            <w:r w:rsidRPr="00CD5B69">
              <w:rPr>
                <w:vertAlign w:val="superscript"/>
              </w:rPr>
              <w:t>a</w:t>
            </w:r>
          </w:p>
        </w:tc>
        <w:tc>
          <w:tcPr>
            <w:tcW w:w="3229" w:type="dxa"/>
            <w:shd w:val="clear" w:color="auto" w:fill="auto"/>
          </w:tcPr>
          <w:p w:rsidR="00505D13" w:rsidRPr="00CD5B69" w:rsidRDefault="00505D13" w:rsidP="00505D13">
            <w:pPr>
              <w:pStyle w:val="TblTextCenter"/>
            </w:pPr>
            <w:r w:rsidRPr="00CD5B69">
              <w:t>47 (13.1%)</w:t>
            </w:r>
          </w:p>
        </w:tc>
        <w:tc>
          <w:tcPr>
            <w:tcW w:w="2166" w:type="dxa"/>
            <w:shd w:val="clear" w:color="auto" w:fill="auto"/>
          </w:tcPr>
          <w:p w:rsidR="00505D13" w:rsidRPr="00CD5B69" w:rsidRDefault="00505D13" w:rsidP="00505D13">
            <w:pPr>
              <w:pStyle w:val="TblTextCenter"/>
            </w:pPr>
            <w:r w:rsidRPr="00CD5B69">
              <w:t>12 (3.3%)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Rash</w:t>
            </w:r>
          </w:p>
        </w:tc>
        <w:tc>
          <w:tcPr>
            <w:tcW w:w="3229" w:type="dxa"/>
            <w:shd w:val="clear" w:color="auto" w:fill="auto"/>
          </w:tcPr>
          <w:p w:rsidR="00505D13" w:rsidRPr="00CD5B69" w:rsidRDefault="00505D13" w:rsidP="00505D13">
            <w:pPr>
              <w:pStyle w:val="TblTextCenter"/>
            </w:pPr>
            <w:r w:rsidRPr="00CD5B69">
              <w:t>19 (5.3%)</w:t>
            </w:r>
          </w:p>
        </w:tc>
        <w:tc>
          <w:tcPr>
            <w:tcW w:w="2166" w:type="dxa"/>
            <w:shd w:val="clear" w:color="auto" w:fill="auto"/>
          </w:tcPr>
          <w:p w:rsidR="00505D13" w:rsidRPr="00CD5B69" w:rsidRDefault="00505D13" w:rsidP="00505D13">
            <w:pPr>
              <w:pStyle w:val="TblTextCenter"/>
            </w:pPr>
            <w:r w:rsidRPr="00CD5B69">
              <w:t>15 (4.2%)</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Acne</w:t>
            </w:r>
          </w:p>
        </w:tc>
        <w:tc>
          <w:tcPr>
            <w:tcW w:w="3229" w:type="dxa"/>
            <w:shd w:val="clear" w:color="auto" w:fill="auto"/>
          </w:tcPr>
          <w:p w:rsidR="00505D13" w:rsidRPr="00CD5B69" w:rsidRDefault="00505D13" w:rsidP="00505D13">
            <w:pPr>
              <w:pStyle w:val="TblTextCenter"/>
            </w:pPr>
            <w:r w:rsidRPr="00CD5B69">
              <w:t>10 (2.8%)</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Pruritus</w:t>
            </w:r>
          </w:p>
        </w:tc>
        <w:tc>
          <w:tcPr>
            <w:tcW w:w="3229" w:type="dxa"/>
            <w:shd w:val="clear" w:color="auto" w:fill="auto"/>
          </w:tcPr>
          <w:p w:rsidR="00505D13" w:rsidRPr="00CD5B69" w:rsidRDefault="00505D13" w:rsidP="00505D13">
            <w:pPr>
              <w:pStyle w:val="TblTextCenter"/>
            </w:pPr>
            <w:r w:rsidRPr="00CD5B69">
              <w:t>10 (2.8%)</w:t>
            </w:r>
          </w:p>
        </w:tc>
        <w:tc>
          <w:tcPr>
            <w:tcW w:w="2166" w:type="dxa"/>
            <w:shd w:val="clear" w:color="auto" w:fill="auto"/>
          </w:tcPr>
          <w:p w:rsidR="00505D13" w:rsidRPr="00CD5B69" w:rsidRDefault="00505D13" w:rsidP="00505D13">
            <w:pPr>
              <w:pStyle w:val="TblTextCenter"/>
            </w:pPr>
            <w:r w:rsidRPr="00CD5B69">
              <w:t>6 (1.7%)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Musculoskeletal and connective tissue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Musculoskeletal pain</w:t>
            </w:r>
          </w:p>
        </w:tc>
        <w:tc>
          <w:tcPr>
            <w:tcW w:w="3229" w:type="dxa"/>
            <w:shd w:val="clear" w:color="auto" w:fill="auto"/>
          </w:tcPr>
          <w:p w:rsidR="00505D13" w:rsidRPr="00CD5B69" w:rsidRDefault="00505D13" w:rsidP="00505D13">
            <w:pPr>
              <w:pStyle w:val="TblTextCenter"/>
            </w:pPr>
            <w:r w:rsidRPr="00CD5B69">
              <w:t>16 (4.5%)</w:t>
            </w:r>
          </w:p>
        </w:tc>
        <w:tc>
          <w:tcPr>
            <w:tcW w:w="2166" w:type="dxa"/>
            <w:shd w:val="clear" w:color="auto" w:fill="auto"/>
          </w:tcPr>
          <w:p w:rsidR="00505D13" w:rsidRPr="00CD5B69" w:rsidRDefault="00505D13" w:rsidP="00505D13">
            <w:pPr>
              <w:pStyle w:val="TblTextCenter"/>
            </w:pPr>
            <w:r w:rsidRPr="00CD5B69">
              <w:t>11 (3.1%)</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Myalgia</w:t>
            </w:r>
          </w:p>
        </w:tc>
        <w:tc>
          <w:tcPr>
            <w:tcW w:w="3229" w:type="dxa"/>
            <w:shd w:val="clear" w:color="auto" w:fill="auto"/>
          </w:tcPr>
          <w:p w:rsidR="00505D13" w:rsidRPr="00CD5B69" w:rsidRDefault="00505D13" w:rsidP="00505D13">
            <w:pPr>
              <w:pStyle w:val="TblTextCenter"/>
            </w:pPr>
            <w:r w:rsidRPr="00CD5B69">
              <w:t>12 (3.4%)</w:t>
            </w:r>
          </w:p>
        </w:tc>
        <w:tc>
          <w:tcPr>
            <w:tcW w:w="2166" w:type="dxa"/>
            <w:shd w:val="clear" w:color="auto" w:fill="auto"/>
          </w:tcPr>
          <w:p w:rsidR="00505D13" w:rsidRPr="00CD5B69" w:rsidRDefault="00505D13" w:rsidP="00505D13">
            <w:pPr>
              <w:pStyle w:val="TblTextCenter"/>
            </w:pPr>
            <w:r w:rsidRPr="00CD5B69">
              <w:t>6 (1.7%)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Renal and urinary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Pollakiuria</w:t>
            </w:r>
          </w:p>
        </w:tc>
        <w:tc>
          <w:tcPr>
            <w:tcW w:w="3229" w:type="dxa"/>
            <w:shd w:val="clear" w:color="auto" w:fill="auto"/>
          </w:tcPr>
          <w:p w:rsidR="00505D13" w:rsidRPr="00CD5B69" w:rsidRDefault="00505D13" w:rsidP="00505D13">
            <w:pPr>
              <w:pStyle w:val="TblTextCenter"/>
            </w:pPr>
            <w:r w:rsidRPr="00CD5B69">
              <w:t>8 (2.2%)</w:t>
            </w:r>
          </w:p>
        </w:tc>
        <w:tc>
          <w:tcPr>
            <w:tcW w:w="2166" w:type="dxa"/>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Reproductive system and breast disorders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Menorrhagia</w:t>
            </w:r>
          </w:p>
        </w:tc>
        <w:tc>
          <w:tcPr>
            <w:tcW w:w="3229" w:type="dxa"/>
            <w:shd w:val="clear" w:color="auto" w:fill="auto"/>
          </w:tcPr>
          <w:p w:rsidR="00505D13" w:rsidRPr="00CD5B69" w:rsidRDefault="00505D13" w:rsidP="00505D13">
            <w:pPr>
              <w:pStyle w:val="TblTextCenter"/>
            </w:pPr>
            <w:r w:rsidRPr="00CD5B69">
              <w:t>7 (2.0%)</w:t>
            </w:r>
          </w:p>
        </w:tc>
        <w:tc>
          <w:tcPr>
            <w:tcW w:w="2166" w:type="dxa"/>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General disorders and administration site conditions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Pain</w:t>
            </w:r>
          </w:p>
        </w:tc>
        <w:tc>
          <w:tcPr>
            <w:tcW w:w="3229" w:type="dxa"/>
            <w:shd w:val="clear" w:color="auto" w:fill="auto"/>
          </w:tcPr>
          <w:p w:rsidR="00505D13" w:rsidRPr="00CD5B69" w:rsidRDefault="00505D13" w:rsidP="00505D13">
            <w:pPr>
              <w:pStyle w:val="TblTextCenter"/>
            </w:pPr>
            <w:r w:rsidRPr="00CD5B69">
              <w:t>7 (2.0%)</w:t>
            </w:r>
          </w:p>
        </w:tc>
        <w:tc>
          <w:tcPr>
            <w:tcW w:w="2166" w:type="dxa"/>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Investigations</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Alanine aminotransferase increased</w:t>
            </w:r>
          </w:p>
        </w:tc>
        <w:tc>
          <w:tcPr>
            <w:tcW w:w="3229" w:type="dxa"/>
            <w:shd w:val="clear" w:color="auto" w:fill="auto"/>
          </w:tcPr>
          <w:p w:rsidR="00505D13" w:rsidRPr="00CD5B69" w:rsidRDefault="00505D13" w:rsidP="00505D13">
            <w:pPr>
              <w:pStyle w:val="TblTextCenter"/>
            </w:pPr>
            <w:r w:rsidRPr="00CD5B69">
              <w:t>51 (14.2%)</w:t>
            </w:r>
          </w:p>
        </w:tc>
        <w:tc>
          <w:tcPr>
            <w:tcW w:w="2166" w:type="dxa"/>
            <w:shd w:val="clear" w:color="auto" w:fill="auto"/>
          </w:tcPr>
          <w:p w:rsidR="00505D13" w:rsidRPr="00CD5B69" w:rsidRDefault="00505D13" w:rsidP="00505D13">
            <w:pPr>
              <w:pStyle w:val="TblTextCenter"/>
            </w:pPr>
            <w:r w:rsidRPr="00CD5B69">
              <w:t>24 (6.7%)</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Gamma-glutamyltransferase increased</w:t>
            </w:r>
          </w:p>
        </w:tc>
        <w:tc>
          <w:tcPr>
            <w:tcW w:w="3229" w:type="dxa"/>
            <w:shd w:val="clear" w:color="auto" w:fill="auto"/>
          </w:tcPr>
          <w:p w:rsidR="00505D13" w:rsidRPr="00CD5B69" w:rsidRDefault="00505D13" w:rsidP="00505D13">
            <w:pPr>
              <w:pStyle w:val="TblTextCenter"/>
            </w:pPr>
            <w:r w:rsidRPr="00CD5B69">
              <w:t>12 (3.4%)</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Aspartate aminotransferase increased</w:t>
            </w:r>
          </w:p>
        </w:tc>
        <w:tc>
          <w:tcPr>
            <w:tcW w:w="3229" w:type="dxa"/>
            <w:shd w:val="clear" w:color="auto" w:fill="auto"/>
          </w:tcPr>
          <w:p w:rsidR="00505D13" w:rsidRPr="00CD5B69" w:rsidRDefault="00505D13" w:rsidP="00505D13">
            <w:pPr>
              <w:pStyle w:val="TblTextCenter"/>
            </w:pPr>
            <w:r w:rsidRPr="00CD5B69">
              <w:t>10 (2.8%)</w:t>
            </w:r>
          </w:p>
        </w:tc>
        <w:tc>
          <w:tcPr>
            <w:tcW w:w="2166" w:type="dxa"/>
            <w:shd w:val="clear" w:color="auto" w:fill="auto"/>
          </w:tcPr>
          <w:p w:rsidR="00505D13" w:rsidRPr="00CD5B69" w:rsidRDefault="00505D13" w:rsidP="00505D13">
            <w:pPr>
              <w:pStyle w:val="TblTextCenter"/>
            </w:pPr>
            <w:r w:rsidRPr="00CD5B69">
              <w:t>5 (1.4%)</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Weight decreased</w:t>
            </w:r>
          </w:p>
        </w:tc>
        <w:tc>
          <w:tcPr>
            <w:tcW w:w="3229" w:type="dxa"/>
            <w:shd w:val="clear" w:color="auto" w:fill="auto"/>
          </w:tcPr>
          <w:p w:rsidR="00505D13" w:rsidRPr="00CD5B69" w:rsidRDefault="00505D13" w:rsidP="00505D13">
            <w:pPr>
              <w:pStyle w:val="TblTextCenter"/>
            </w:pPr>
            <w:r w:rsidRPr="00CD5B69">
              <w:t>7 (2.0%)</w:t>
            </w:r>
          </w:p>
        </w:tc>
        <w:tc>
          <w:tcPr>
            <w:tcW w:w="2166" w:type="dxa"/>
            <w:shd w:val="clear" w:color="auto" w:fill="auto"/>
          </w:tcPr>
          <w:p w:rsidR="00505D13" w:rsidRPr="00CD5B69" w:rsidRDefault="00505D13" w:rsidP="00505D13">
            <w:pPr>
              <w:pStyle w:val="TblTextCenter"/>
            </w:pPr>
            <w:r w:rsidRPr="00CD5B69">
              <w:t>3 (0.8%)</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Neutrophil count decreased</w:t>
            </w:r>
          </w:p>
        </w:tc>
        <w:tc>
          <w:tcPr>
            <w:tcW w:w="3229" w:type="dxa"/>
            <w:shd w:val="clear" w:color="auto" w:fill="auto"/>
          </w:tcPr>
          <w:p w:rsidR="00505D13" w:rsidRPr="00CD5B69" w:rsidRDefault="00505D13" w:rsidP="00505D13">
            <w:pPr>
              <w:pStyle w:val="TblTextCenter"/>
            </w:pPr>
            <w:r w:rsidRPr="00CD5B69">
              <w:t>6 (1.7%)</w:t>
            </w:r>
          </w:p>
        </w:tc>
        <w:tc>
          <w:tcPr>
            <w:tcW w:w="2166" w:type="dxa"/>
            <w:shd w:val="clear" w:color="auto" w:fill="auto"/>
          </w:tcPr>
          <w:p w:rsidR="00505D13" w:rsidRPr="00CD5B69" w:rsidRDefault="00505D13" w:rsidP="00505D13">
            <w:pPr>
              <w:pStyle w:val="TblTextCenter"/>
            </w:pPr>
            <w:r w:rsidRPr="00CD5B69">
              <w:t>1 (0.3%)</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pPr>
            <w:r w:rsidRPr="00CD5B69">
              <w:t>White blood cell count decreased</w:t>
            </w:r>
          </w:p>
        </w:tc>
        <w:tc>
          <w:tcPr>
            <w:tcW w:w="3229" w:type="dxa"/>
            <w:shd w:val="clear" w:color="auto" w:fill="auto"/>
          </w:tcPr>
          <w:p w:rsidR="00505D13" w:rsidRPr="00CD5B69" w:rsidRDefault="00505D13" w:rsidP="00505D13">
            <w:pPr>
              <w:pStyle w:val="TblTextCenter"/>
            </w:pPr>
            <w:r w:rsidRPr="00CD5B69">
              <w:t>4 (1.1%)</w:t>
            </w:r>
          </w:p>
        </w:tc>
        <w:tc>
          <w:tcPr>
            <w:tcW w:w="2166" w:type="dxa"/>
            <w:shd w:val="clear" w:color="auto" w:fill="auto"/>
          </w:tcPr>
          <w:p w:rsidR="00505D13" w:rsidRPr="00CD5B69" w:rsidRDefault="00505D13" w:rsidP="00505D13">
            <w:pPr>
              <w:pStyle w:val="TblTextCenter"/>
            </w:pPr>
            <w:r w:rsidRPr="00CD5B69">
              <w:t>0</w:t>
            </w:r>
          </w:p>
        </w:tc>
      </w:tr>
      <w:tr w:rsidR="00505D13" w:rsidRPr="00CD5B69" w:rsidTr="002958B4">
        <w:trPr>
          <w:cantSplit/>
          <w:jc w:val="center"/>
        </w:trPr>
        <w:tc>
          <w:tcPr>
            <w:tcW w:w="0" w:type="auto"/>
            <w:shd w:val="clear" w:color="auto" w:fill="auto"/>
          </w:tcPr>
          <w:p w:rsidR="00505D13" w:rsidRPr="00CD5B69" w:rsidRDefault="00505D13" w:rsidP="002958B4">
            <w:pPr>
              <w:pStyle w:val="TblTextCenter"/>
              <w:jc w:val="left"/>
              <w:rPr>
                <w:b/>
              </w:rPr>
            </w:pPr>
            <w:r w:rsidRPr="00CD5B69">
              <w:rPr>
                <w:b/>
              </w:rPr>
              <w:t xml:space="preserve">Injury, poisoning and procedural complications </w:t>
            </w:r>
          </w:p>
        </w:tc>
        <w:tc>
          <w:tcPr>
            <w:tcW w:w="3229" w:type="dxa"/>
            <w:shd w:val="clear" w:color="auto" w:fill="auto"/>
          </w:tcPr>
          <w:p w:rsidR="00505D13" w:rsidRPr="00CD5B69" w:rsidRDefault="00505D13" w:rsidP="00505D13">
            <w:pPr>
              <w:pStyle w:val="TblTextCenter"/>
            </w:pPr>
          </w:p>
        </w:tc>
        <w:tc>
          <w:tcPr>
            <w:tcW w:w="2166" w:type="dxa"/>
            <w:shd w:val="clear" w:color="auto" w:fill="auto"/>
          </w:tcPr>
          <w:p w:rsidR="00505D13" w:rsidRPr="00CD5B69" w:rsidRDefault="00505D13" w:rsidP="00505D13">
            <w:pPr>
              <w:pStyle w:val="TblTextCenter"/>
            </w:pPr>
          </w:p>
        </w:tc>
      </w:tr>
      <w:tr w:rsidR="00505D13" w:rsidRPr="00CD5B69" w:rsidTr="002958B4">
        <w:trPr>
          <w:cantSplit/>
          <w:jc w:val="center"/>
        </w:trPr>
        <w:tc>
          <w:tcPr>
            <w:tcW w:w="0" w:type="auto"/>
            <w:tcBorders>
              <w:bottom w:val="single" w:sz="12" w:space="0" w:color="auto"/>
            </w:tcBorders>
            <w:shd w:val="clear" w:color="auto" w:fill="auto"/>
          </w:tcPr>
          <w:p w:rsidR="00505D13" w:rsidRPr="00CD5B69" w:rsidRDefault="00505D13" w:rsidP="002958B4">
            <w:pPr>
              <w:pStyle w:val="TblTextCenter"/>
              <w:jc w:val="left"/>
            </w:pPr>
            <w:r w:rsidRPr="00CD5B69">
              <w:t>Post-traumatic pain</w:t>
            </w:r>
          </w:p>
        </w:tc>
        <w:tc>
          <w:tcPr>
            <w:tcW w:w="3229" w:type="dxa"/>
            <w:tcBorders>
              <w:bottom w:val="single" w:sz="12" w:space="0" w:color="auto"/>
            </w:tcBorders>
            <w:shd w:val="clear" w:color="auto" w:fill="auto"/>
          </w:tcPr>
          <w:p w:rsidR="00505D13" w:rsidRPr="00CD5B69" w:rsidRDefault="00505D13" w:rsidP="00505D13">
            <w:pPr>
              <w:pStyle w:val="TblTextCenter"/>
            </w:pPr>
            <w:r w:rsidRPr="00CD5B69">
              <w:t>8 (2.2%)</w:t>
            </w:r>
          </w:p>
        </w:tc>
        <w:tc>
          <w:tcPr>
            <w:tcW w:w="2166" w:type="dxa"/>
            <w:tcBorders>
              <w:bottom w:val="single" w:sz="12" w:space="0" w:color="auto"/>
            </w:tcBorders>
            <w:shd w:val="clear" w:color="auto" w:fill="auto"/>
          </w:tcPr>
          <w:p w:rsidR="00505D13" w:rsidRPr="00CD5B69" w:rsidRDefault="00505D13" w:rsidP="00505D13">
            <w:pPr>
              <w:pStyle w:val="TblTextCenter"/>
            </w:pPr>
            <w:r w:rsidRPr="00CD5B69">
              <w:t>2 (0.6%)</w:t>
            </w:r>
          </w:p>
        </w:tc>
      </w:tr>
      <w:tr w:rsidR="00505D13" w:rsidRPr="00CD5B69" w:rsidTr="002958B4">
        <w:trPr>
          <w:cantSplit/>
          <w:jc w:val="center"/>
        </w:trPr>
        <w:tc>
          <w:tcPr>
            <w:tcW w:w="9685" w:type="dxa"/>
            <w:gridSpan w:val="3"/>
            <w:tcBorders>
              <w:top w:val="single" w:sz="12" w:space="0" w:color="auto"/>
            </w:tcBorders>
            <w:shd w:val="clear" w:color="auto" w:fill="auto"/>
          </w:tcPr>
          <w:p w:rsidR="00505D13" w:rsidRPr="00CD5B69" w:rsidRDefault="00505D13" w:rsidP="00505D13">
            <w:pPr>
              <w:pStyle w:val="TblFigFootnote"/>
            </w:pPr>
            <w:r w:rsidRPr="00CD5B69">
              <w:lastRenderedPageBreak/>
              <w:t>a: most cases reported as hair thinning, decrease hair density, hair loss, associated or not with hair texture change, most often described as diffuse or generalized over the scalp (no complete hair loss reported ) with a high probability of occurrence during the first 6 months with spontaneous resolution even on-treatment for some patients or after study medication discontinuation for others.</w:t>
            </w:r>
          </w:p>
        </w:tc>
      </w:tr>
    </w:tbl>
    <w:p w:rsidR="00310498" w:rsidRPr="00CD5B69" w:rsidRDefault="00C64BB8" w:rsidP="00FA7DFA">
      <w:pPr>
        <w:rPr>
          <w:color w:val="auto"/>
        </w:rPr>
      </w:pPr>
      <w:r w:rsidRPr="00CD5B69">
        <w:rPr>
          <w:color w:val="auto"/>
        </w:rPr>
        <w:t>Clinically relevant adverse reactions in the TEMSO study, including uncommon reactions</w:t>
      </w:r>
      <w:r w:rsidR="000B2D38" w:rsidRPr="00CD5B69">
        <w:rPr>
          <w:color w:val="auto"/>
        </w:rPr>
        <w:t xml:space="preserve"> </w:t>
      </w:r>
      <w:r w:rsidR="00B85B78" w:rsidRPr="00CD5B69">
        <w:rPr>
          <w:color w:val="auto"/>
        </w:rPr>
        <w:t xml:space="preserve">listed in CIOMS format by System Organ Class is shown in </w:t>
      </w:r>
      <w:fldSimple w:instr=" REF _Ref300657820 \h  \* MERGEFORMAT ">
        <w:r w:rsidR="00A50704" w:rsidRPr="00A50704">
          <w:rPr>
            <w:color w:val="auto"/>
          </w:rPr>
          <w:t>Table 3</w:t>
        </w:r>
      </w:fldSimple>
      <w:r w:rsidR="00B85B78" w:rsidRPr="00CD5B69">
        <w:rPr>
          <w:color w:val="auto"/>
        </w:rPr>
        <w:t xml:space="preserve">. </w:t>
      </w:r>
    </w:p>
    <w:p w:rsidR="00737A6A" w:rsidRPr="00CD5B69" w:rsidRDefault="00737A6A" w:rsidP="00737A6A">
      <w:pPr>
        <w:tabs>
          <w:tab w:val="left" w:pos="851"/>
          <w:tab w:val="left" w:pos="8222"/>
        </w:tabs>
        <w:rPr>
          <w:i/>
          <w:color w:val="auto"/>
        </w:rPr>
      </w:pPr>
      <w:r w:rsidRPr="00CD5B69">
        <w:rPr>
          <w:i/>
          <w:color w:val="auto"/>
        </w:rPr>
        <w:t>The following CIOMS frequency rating is used, when applicable:</w:t>
      </w:r>
    </w:p>
    <w:p w:rsidR="00737A6A" w:rsidRPr="00CD5B69" w:rsidRDefault="00737A6A" w:rsidP="00737A6A">
      <w:pPr>
        <w:tabs>
          <w:tab w:val="left" w:pos="851"/>
          <w:tab w:val="left" w:pos="8222"/>
        </w:tabs>
        <w:rPr>
          <w:i/>
          <w:color w:val="auto"/>
        </w:rPr>
      </w:pPr>
      <w:r w:rsidRPr="00CD5B69">
        <w:rPr>
          <w:i/>
          <w:color w:val="auto"/>
        </w:rPr>
        <w:t xml:space="preserve">Very common </w:t>
      </w:r>
      <w:r w:rsidRPr="00CD5B69">
        <w:rPr>
          <w:i/>
          <w:color w:val="auto"/>
        </w:rPr>
        <w:sym w:font="Symbol" w:char="F0B3"/>
      </w:r>
      <w:r w:rsidRPr="00CD5B69">
        <w:rPr>
          <w:i/>
          <w:color w:val="auto"/>
        </w:rPr>
        <w:t xml:space="preserve"> 10 %; Common </w:t>
      </w:r>
      <w:r w:rsidRPr="00CD5B69">
        <w:rPr>
          <w:i/>
          <w:color w:val="auto"/>
        </w:rPr>
        <w:sym w:font="Symbol" w:char="F0B3"/>
      </w:r>
      <w:r w:rsidRPr="00CD5B69">
        <w:rPr>
          <w:i/>
          <w:color w:val="auto"/>
        </w:rPr>
        <w:t xml:space="preserve">  1 and &lt;10 % ; Uncommon </w:t>
      </w:r>
      <w:r w:rsidRPr="00CD5B69">
        <w:rPr>
          <w:i/>
          <w:color w:val="auto"/>
        </w:rPr>
        <w:sym w:font="Symbol" w:char="F0B3"/>
      </w:r>
      <w:r w:rsidRPr="00CD5B69">
        <w:rPr>
          <w:i/>
          <w:color w:val="auto"/>
        </w:rPr>
        <w:t xml:space="preserve">  0.1 and &lt; 1 %; Rare </w:t>
      </w:r>
      <w:r w:rsidRPr="00CD5B69">
        <w:rPr>
          <w:i/>
          <w:color w:val="auto"/>
        </w:rPr>
        <w:sym w:font="Symbol" w:char="F0B3"/>
      </w:r>
      <w:r w:rsidRPr="00CD5B69">
        <w:rPr>
          <w:i/>
          <w:color w:val="auto"/>
        </w:rPr>
        <w:t xml:space="preserve"> 0.01 and &lt; 0.1 %; Very rare &lt; 0.01 %, Unknown (cannot be estimated from available data).</w:t>
      </w:r>
    </w:p>
    <w:p w:rsidR="000556C3" w:rsidRPr="00CD5B69" w:rsidRDefault="00310498" w:rsidP="00F01464">
      <w:pPr>
        <w:pStyle w:val="Caption"/>
        <w:pageBreakBefore/>
      </w:pPr>
      <w:r w:rsidRPr="00CD5B69">
        <w:lastRenderedPageBreak/>
        <w:t xml:space="preserve"> </w:t>
      </w:r>
      <w:bookmarkStart w:id="66" w:name="_Ref300657820"/>
      <w:bookmarkStart w:id="67" w:name="_Toc307918152"/>
      <w:r w:rsidRPr="00CD5B69">
        <w:t>Table </w:t>
      </w:r>
      <w:fldSimple w:instr=" SEQ Table \* ARABIC ">
        <w:r w:rsidR="00A50704">
          <w:rPr>
            <w:noProof/>
          </w:rPr>
          <w:t>3</w:t>
        </w:r>
      </w:fldSimple>
      <w:bookmarkEnd w:id="66"/>
      <w:r w:rsidRPr="00CD5B69">
        <w:t xml:space="preserve"> ­ Adverse Reactions in EFC6049/TEMSO Study in CIOMS format</w:t>
      </w:r>
      <w:bookmarkEnd w:id="67"/>
    </w:p>
    <w:tbl>
      <w:tblPr>
        <w:tblW w:w="10068" w:type="dxa"/>
        <w:jc w:val="center"/>
        <w:tblBorders>
          <w:top w:val="single" w:sz="2" w:space="0" w:color="000000"/>
        </w:tblBorders>
        <w:tblLook w:val="01E0"/>
      </w:tblPr>
      <w:tblGrid>
        <w:gridCol w:w="2946"/>
        <w:gridCol w:w="2293"/>
        <w:gridCol w:w="2484"/>
        <w:gridCol w:w="2345"/>
      </w:tblGrid>
      <w:tr w:rsidR="00F01464" w:rsidRPr="00CD5B69" w:rsidTr="00F01464">
        <w:trPr>
          <w:cantSplit/>
          <w:tblHeader/>
          <w:jc w:val="center"/>
        </w:trPr>
        <w:tc>
          <w:tcPr>
            <w:tcW w:w="0" w:type="auto"/>
            <w:tcBorders>
              <w:top w:val="single" w:sz="4" w:space="0" w:color="000000"/>
              <w:bottom w:val="single" w:sz="4" w:space="0" w:color="000000"/>
            </w:tcBorders>
            <w:shd w:val="clear" w:color="auto" w:fill="auto"/>
          </w:tcPr>
          <w:p w:rsidR="004A6766" w:rsidRPr="00CD5B69" w:rsidRDefault="004A6766" w:rsidP="00AE2A07">
            <w:pPr>
              <w:pStyle w:val="TblHeadingCenter"/>
              <w:jc w:val="left"/>
            </w:pPr>
            <w:bookmarkStart w:id="68" w:name="_Toc307918138"/>
            <w:r w:rsidRPr="00CD5B69">
              <w:t>System organ class</w:t>
            </w:r>
          </w:p>
        </w:tc>
        <w:tc>
          <w:tcPr>
            <w:tcW w:w="0" w:type="auto"/>
            <w:tcBorders>
              <w:top w:val="single" w:sz="4" w:space="0" w:color="000000"/>
              <w:bottom w:val="single" w:sz="4" w:space="0" w:color="000000"/>
            </w:tcBorders>
            <w:shd w:val="clear" w:color="auto" w:fill="auto"/>
          </w:tcPr>
          <w:p w:rsidR="004A6766" w:rsidRPr="00CD5B69" w:rsidRDefault="004A6766" w:rsidP="00F01464">
            <w:pPr>
              <w:pStyle w:val="TblHeadingCenter"/>
              <w:rPr>
                <w:lang w:val="en-US"/>
              </w:rPr>
            </w:pPr>
            <w:r w:rsidRPr="00CD5B69">
              <w:rPr>
                <w:lang w:val="en-US"/>
              </w:rPr>
              <w:t>Very common</w:t>
            </w:r>
            <w:r w:rsidR="00F01464" w:rsidRPr="00CD5B69">
              <w:rPr>
                <w:lang w:val="en-US"/>
              </w:rPr>
              <w:br/>
            </w:r>
            <w:r w:rsidRPr="00CD5B69">
              <w:rPr>
                <w:rFonts w:hint="eastAsia"/>
                <w:lang w:val="en-US"/>
              </w:rPr>
              <w:t>(</w:t>
            </w:r>
            <w:r w:rsidRPr="00CD5B69">
              <w:rPr>
                <w:rFonts w:hint="eastAsia"/>
                <w:lang w:val="en-US"/>
              </w:rPr>
              <w:t>≥</w:t>
            </w:r>
            <w:r w:rsidRPr="00CD5B69">
              <w:rPr>
                <w:rFonts w:hint="eastAsia"/>
                <w:lang w:val="en-US"/>
              </w:rPr>
              <w:t>1/10 )</w:t>
            </w:r>
          </w:p>
        </w:tc>
        <w:tc>
          <w:tcPr>
            <w:tcW w:w="0" w:type="auto"/>
            <w:tcBorders>
              <w:top w:val="single" w:sz="4" w:space="0" w:color="000000"/>
              <w:bottom w:val="single" w:sz="4" w:space="0" w:color="000000"/>
            </w:tcBorders>
            <w:shd w:val="clear" w:color="auto" w:fill="auto"/>
          </w:tcPr>
          <w:p w:rsidR="004A6766" w:rsidRPr="00CD5B69" w:rsidRDefault="004A6766" w:rsidP="00F01464">
            <w:pPr>
              <w:pStyle w:val="TblHeadingCenter"/>
              <w:rPr>
                <w:lang w:val="en-US"/>
              </w:rPr>
            </w:pPr>
            <w:r w:rsidRPr="00CD5B69">
              <w:rPr>
                <w:lang w:val="en-US"/>
              </w:rPr>
              <w:t>Common</w:t>
            </w:r>
            <w:r w:rsidR="00F01464" w:rsidRPr="00CD5B69">
              <w:rPr>
                <w:lang w:val="en-US"/>
              </w:rPr>
              <w:br/>
            </w:r>
            <w:r w:rsidRPr="00CD5B69">
              <w:rPr>
                <w:rFonts w:hint="eastAsia"/>
                <w:lang w:val="en-US"/>
              </w:rPr>
              <w:t>(</w:t>
            </w:r>
            <w:r w:rsidRPr="00CD5B69">
              <w:rPr>
                <w:rFonts w:hint="eastAsia"/>
                <w:lang w:val="en-US"/>
              </w:rPr>
              <w:t>≥</w:t>
            </w:r>
            <w:r w:rsidRPr="00CD5B69">
              <w:rPr>
                <w:rFonts w:hint="eastAsia"/>
                <w:lang w:val="en-US"/>
              </w:rPr>
              <w:t>1/100  to &lt;1/10 )</w:t>
            </w:r>
          </w:p>
        </w:tc>
        <w:tc>
          <w:tcPr>
            <w:tcW w:w="2345" w:type="dxa"/>
            <w:tcBorders>
              <w:top w:val="single" w:sz="4" w:space="0" w:color="000000"/>
              <w:bottom w:val="single" w:sz="4" w:space="0" w:color="000000"/>
            </w:tcBorders>
            <w:shd w:val="clear" w:color="auto" w:fill="auto"/>
          </w:tcPr>
          <w:p w:rsidR="004A6766" w:rsidRPr="00CD5B69" w:rsidRDefault="004A6766" w:rsidP="00F01464">
            <w:pPr>
              <w:pStyle w:val="TblHeadingCenter"/>
              <w:rPr>
                <w:lang w:val="en-US"/>
              </w:rPr>
            </w:pPr>
            <w:r w:rsidRPr="00CD5B69">
              <w:rPr>
                <w:lang w:val="en-US"/>
              </w:rPr>
              <w:t>Uncommon</w:t>
            </w:r>
            <w:r w:rsidR="00F01464" w:rsidRPr="00CD5B69">
              <w:rPr>
                <w:lang w:val="en-US"/>
              </w:rPr>
              <w:br/>
            </w:r>
            <w:r w:rsidRPr="00CD5B69">
              <w:rPr>
                <w:rFonts w:hint="eastAsia"/>
                <w:lang w:val="en-US"/>
              </w:rPr>
              <w:t>(</w:t>
            </w:r>
            <w:r w:rsidRPr="00CD5B69">
              <w:rPr>
                <w:rFonts w:hint="eastAsia"/>
                <w:lang w:val="en-US"/>
              </w:rPr>
              <w:t>≥</w:t>
            </w:r>
            <w:r w:rsidRPr="00CD5B69">
              <w:rPr>
                <w:rFonts w:hint="eastAsia"/>
                <w:lang w:val="en-US"/>
              </w:rPr>
              <w:t>1/100</w:t>
            </w:r>
            <w:r w:rsidRPr="00CD5B69">
              <w:rPr>
                <w:lang w:val="en-US"/>
              </w:rPr>
              <w:t>0</w:t>
            </w:r>
            <w:r w:rsidRPr="00CD5B69">
              <w:rPr>
                <w:rFonts w:hint="eastAsia"/>
                <w:lang w:val="en-US"/>
              </w:rPr>
              <w:t xml:space="preserve">  to &lt;1/10</w:t>
            </w:r>
            <w:r w:rsidRPr="00CD5B69">
              <w:rPr>
                <w:lang w:val="en-US"/>
              </w:rPr>
              <w:t>0</w:t>
            </w:r>
            <w:r w:rsidRPr="00CD5B69">
              <w:rPr>
                <w:rFonts w:hint="eastAsia"/>
                <w:lang w:val="en-US"/>
              </w:rPr>
              <w:t xml:space="preserve"> )</w:t>
            </w:r>
          </w:p>
        </w:tc>
      </w:tr>
      <w:tr w:rsidR="00F01464" w:rsidRPr="00CD5B69" w:rsidTr="00F01464">
        <w:trPr>
          <w:cantSplit/>
          <w:jc w:val="center"/>
        </w:trPr>
        <w:tc>
          <w:tcPr>
            <w:tcW w:w="0" w:type="auto"/>
            <w:tcBorders>
              <w:top w:val="single" w:sz="4" w:space="0" w:color="000000"/>
            </w:tcBorders>
            <w:shd w:val="clear" w:color="auto" w:fill="auto"/>
            <w:vAlign w:val="center"/>
          </w:tcPr>
          <w:p w:rsidR="004A6766" w:rsidRPr="00CD5B69" w:rsidRDefault="004A6766" w:rsidP="00AE2A07">
            <w:pPr>
              <w:pStyle w:val="TblTextCenter"/>
              <w:jc w:val="left"/>
            </w:pPr>
            <w:r w:rsidRPr="00CD5B69">
              <w:t>Infections and Infestations</w:t>
            </w:r>
          </w:p>
        </w:tc>
        <w:tc>
          <w:tcPr>
            <w:tcW w:w="0" w:type="auto"/>
            <w:tcBorders>
              <w:top w:val="single" w:sz="4" w:space="0" w:color="000000"/>
            </w:tcBorders>
            <w:shd w:val="clear" w:color="auto" w:fill="auto"/>
          </w:tcPr>
          <w:p w:rsidR="004A6766" w:rsidRPr="00CD5B69" w:rsidRDefault="004A6766" w:rsidP="007D7B30">
            <w:pPr>
              <w:pStyle w:val="TblTextLeft"/>
            </w:pPr>
            <w:r w:rsidRPr="00CD5B69">
              <w:t>Influenza</w:t>
            </w:r>
          </w:p>
        </w:tc>
        <w:tc>
          <w:tcPr>
            <w:tcW w:w="0" w:type="auto"/>
            <w:tcBorders>
              <w:top w:val="single" w:sz="4" w:space="0" w:color="000000"/>
            </w:tcBorders>
            <w:shd w:val="clear" w:color="auto" w:fill="auto"/>
          </w:tcPr>
          <w:p w:rsidR="004A6766" w:rsidRPr="00CD5B69" w:rsidRDefault="004A6766" w:rsidP="00F01464">
            <w:pPr>
              <w:pStyle w:val="TblTextLeft"/>
            </w:pPr>
            <w:r w:rsidRPr="00CD5B69">
              <w:t>Upper respiratory tract infection,</w:t>
            </w:r>
          </w:p>
          <w:p w:rsidR="004A6766" w:rsidRPr="00CD5B69" w:rsidRDefault="004A6766" w:rsidP="00F01464">
            <w:pPr>
              <w:pStyle w:val="TblTextLeft"/>
            </w:pPr>
            <w:r w:rsidRPr="00CD5B69">
              <w:t>Bronchitis,</w:t>
            </w:r>
          </w:p>
          <w:p w:rsidR="004A6766" w:rsidRPr="00CD5B69" w:rsidRDefault="004A6766" w:rsidP="00F01464">
            <w:pPr>
              <w:pStyle w:val="TblTextLeft"/>
            </w:pPr>
            <w:r w:rsidRPr="00CD5B69">
              <w:t>Sinusitis,</w:t>
            </w:r>
          </w:p>
          <w:p w:rsidR="004A6766" w:rsidRPr="00CD5B69" w:rsidRDefault="004A6766" w:rsidP="00F01464">
            <w:pPr>
              <w:pStyle w:val="TblTextLeft"/>
            </w:pPr>
            <w:r w:rsidRPr="00CD5B69">
              <w:t>Gastroenteritis,</w:t>
            </w:r>
          </w:p>
          <w:p w:rsidR="004A6766" w:rsidRPr="00CD5B69" w:rsidRDefault="004A6766" w:rsidP="00F01464">
            <w:pPr>
              <w:pStyle w:val="TblTextLeft"/>
            </w:pPr>
            <w:r w:rsidRPr="00CD5B69">
              <w:t>Cystitis,</w:t>
            </w:r>
          </w:p>
          <w:p w:rsidR="004A6766" w:rsidRPr="00CD5B69" w:rsidRDefault="004A6766" w:rsidP="00F01464">
            <w:pPr>
              <w:pStyle w:val="TblTextLeft"/>
            </w:pPr>
            <w:r w:rsidRPr="00CD5B69">
              <w:t>Gastroenteritis viral,</w:t>
            </w:r>
          </w:p>
          <w:p w:rsidR="004A6766" w:rsidRPr="00CD5B69" w:rsidRDefault="004A6766" w:rsidP="00F01464">
            <w:pPr>
              <w:pStyle w:val="TblTextLeft"/>
            </w:pPr>
            <w:r w:rsidRPr="00CD5B69">
              <w:t>Oral herpes</w:t>
            </w:r>
          </w:p>
          <w:p w:rsidR="004A6766" w:rsidRPr="00CD5B69" w:rsidRDefault="004A6766" w:rsidP="00F01464">
            <w:pPr>
              <w:pStyle w:val="TblTextLeft"/>
            </w:pPr>
            <w:r w:rsidRPr="00CD5B69">
              <w:t>Rhinitis</w:t>
            </w:r>
          </w:p>
          <w:p w:rsidR="004A6766" w:rsidRPr="00CD5B69" w:rsidRDefault="004A6766" w:rsidP="00F01464">
            <w:pPr>
              <w:pStyle w:val="TblTextLeft"/>
            </w:pPr>
            <w:r w:rsidRPr="00CD5B69">
              <w:t>Ear infection</w:t>
            </w:r>
          </w:p>
          <w:p w:rsidR="004A6766" w:rsidRPr="00CD5B69" w:rsidRDefault="004A6766" w:rsidP="00F01464">
            <w:pPr>
              <w:pStyle w:val="TblTextLeft"/>
            </w:pPr>
            <w:r w:rsidRPr="00CD5B69">
              <w:t>Lower respiratory tract infection</w:t>
            </w:r>
          </w:p>
          <w:p w:rsidR="004A6766" w:rsidRPr="00CD5B69" w:rsidRDefault="004A6766" w:rsidP="00F01464">
            <w:pPr>
              <w:pStyle w:val="TblTextLeft"/>
            </w:pPr>
            <w:r w:rsidRPr="00CD5B69">
              <w:t>Tooth infection</w:t>
            </w:r>
          </w:p>
          <w:p w:rsidR="004A6766" w:rsidRPr="00CD5B69" w:rsidRDefault="004A6766" w:rsidP="00F01464">
            <w:pPr>
              <w:pStyle w:val="TblTextLeft"/>
            </w:pPr>
            <w:r w:rsidRPr="00CD5B69">
              <w:t>Laryngitis</w:t>
            </w:r>
          </w:p>
          <w:p w:rsidR="004A6766" w:rsidRPr="00CD5B69" w:rsidRDefault="004A6766" w:rsidP="00F01464">
            <w:pPr>
              <w:pStyle w:val="TblTextLeft"/>
            </w:pPr>
            <w:r w:rsidRPr="00CD5B69">
              <w:t>Tinea pedis</w:t>
            </w:r>
          </w:p>
        </w:tc>
        <w:tc>
          <w:tcPr>
            <w:tcW w:w="2345" w:type="dxa"/>
            <w:tcBorders>
              <w:top w:val="single" w:sz="4" w:space="0" w:color="000000"/>
            </w:tcBorders>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Blood and lymphatic system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r w:rsidRPr="00CD5B69">
              <w:t>Neutropenia</w:t>
            </w:r>
          </w:p>
        </w:tc>
        <w:tc>
          <w:tcPr>
            <w:tcW w:w="2345" w:type="dxa"/>
            <w:shd w:val="clear" w:color="auto" w:fill="auto"/>
          </w:tcPr>
          <w:p w:rsidR="004A6766" w:rsidRPr="00CD5B69" w:rsidRDefault="004A6766" w:rsidP="00F01464">
            <w:pPr>
              <w:pStyle w:val="TblTextLeft"/>
            </w:pPr>
            <w:r w:rsidRPr="00CD5B69">
              <w:t>Lymphopenia</w:t>
            </w: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Immune system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r w:rsidRPr="00CD5B69">
              <w:t>Seasonal allergy</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Metabolism and nutrition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p>
        </w:tc>
        <w:tc>
          <w:tcPr>
            <w:tcW w:w="2345" w:type="dxa"/>
            <w:shd w:val="clear" w:color="auto" w:fill="auto"/>
          </w:tcPr>
          <w:p w:rsidR="004A6766" w:rsidRPr="00CD5B69" w:rsidRDefault="004A6766" w:rsidP="00F01464">
            <w:pPr>
              <w:pStyle w:val="TblTextLeft"/>
            </w:pPr>
            <w:r w:rsidRPr="00CD5B69">
              <w:t>Hyperamylasaemia</w:t>
            </w: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Psychiatric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r w:rsidRPr="00CD5B69">
              <w:t>Depression</w:t>
            </w:r>
          </w:p>
          <w:p w:rsidR="004A6766" w:rsidRPr="00CD5B69" w:rsidRDefault="004A6766" w:rsidP="00F01464">
            <w:pPr>
              <w:pStyle w:val="TblTextLeft"/>
            </w:pPr>
            <w:r w:rsidRPr="00CD5B69">
              <w:t>Anxiety</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Nervous system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r w:rsidRPr="00CD5B69">
              <w:t>Paraesthesia</w:t>
            </w:r>
          </w:p>
          <w:p w:rsidR="004A6766" w:rsidRPr="00CD5B69" w:rsidRDefault="004A6766" w:rsidP="00F01464">
            <w:pPr>
              <w:pStyle w:val="TblTextLeft"/>
            </w:pPr>
            <w:r w:rsidRPr="00CD5B69">
              <w:t>Sciatica</w:t>
            </w:r>
          </w:p>
          <w:p w:rsidR="004A6766" w:rsidRPr="00CD5B69" w:rsidRDefault="004A6766" w:rsidP="00F01464">
            <w:pPr>
              <w:pStyle w:val="TblTextLeft"/>
            </w:pPr>
            <w:r w:rsidRPr="00CD5B69">
              <w:t>Burning sensation</w:t>
            </w:r>
          </w:p>
          <w:p w:rsidR="004A6766" w:rsidRPr="00CD5B69" w:rsidRDefault="004A6766" w:rsidP="00F01464">
            <w:pPr>
              <w:pStyle w:val="TblTextLeft"/>
            </w:pPr>
            <w:r w:rsidRPr="00CD5B69">
              <w:t>Carpal tunnel syndrome</w:t>
            </w:r>
          </w:p>
          <w:p w:rsidR="004A6766" w:rsidRPr="00CD5B69" w:rsidRDefault="004A6766" w:rsidP="00F01464">
            <w:pPr>
              <w:pStyle w:val="TblTextLeft"/>
            </w:pPr>
            <w:r w:rsidRPr="00CD5B69">
              <w:t>Multiple sclerosis</w:t>
            </w:r>
          </w:p>
          <w:p w:rsidR="004A6766" w:rsidRPr="00CD5B69" w:rsidRDefault="004A6766" w:rsidP="00F01464">
            <w:pPr>
              <w:pStyle w:val="TblTextLeft"/>
            </w:pPr>
            <w:r w:rsidRPr="00CD5B69">
              <w:t>Neuralgia</w:t>
            </w:r>
          </w:p>
        </w:tc>
        <w:tc>
          <w:tcPr>
            <w:tcW w:w="2345" w:type="dxa"/>
            <w:shd w:val="clear" w:color="auto" w:fill="auto"/>
          </w:tcPr>
          <w:p w:rsidR="004A6766" w:rsidRPr="00CD5B69" w:rsidRDefault="004A6766" w:rsidP="00F01464">
            <w:pPr>
              <w:pStyle w:val="TblTextLeft"/>
            </w:pPr>
            <w:r w:rsidRPr="00CD5B69">
              <w:t>Dysgeusia</w:t>
            </w:r>
          </w:p>
          <w:p w:rsidR="004A6766" w:rsidRPr="00CD5B69" w:rsidRDefault="004A6766" w:rsidP="00F01464">
            <w:pPr>
              <w:pStyle w:val="TblTextLeft"/>
            </w:pPr>
            <w:r w:rsidRPr="00CD5B69">
              <w:t>Neuropathy peripheral</w:t>
            </w:r>
          </w:p>
          <w:p w:rsidR="004A6766" w:rsidRPr="00CD5B69" w:rsidRDefault="004A6766" w:rsidP="00F01464">
            <w:pPr>
              <w:pStyle w:val="TblTextLeft"/>
            </w:pPr>
            <w:r w:rsidRPr="00CD5B69">
              <w:t>Polyneuropathy</w:t>
            </w: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Eye disorders</w:t>
            </w:r>
          </w:p>
        </w:tc>
        <w:tc>
          <w:tcPr>
            <w:tcW w:w="0" w:type="auto"/>
            <w:shd w:val="clear" w:color="auto" w:fill="auto"/>
          </w:tcPr>
          <w:p w:rsidR="004A6766" w:rsidRPr="00CD5B69" w:rsidRDefault="004A6766" w:rsidP="00F01464">
            <w:pPr>
              <w:pStyle w:val="TblTextCenter"/>
            </w:pPr>
          </w:p>
        </w:tc>
        <w:tc>
          <w:tcPr>
            <w:tcW w:w="0" w:type="auto"/>
            <w:shd w:val="clear" w:color="auto" w:fill="auto"/>
          </w:tcPr>
          <w:p w:rsidR="004A6766" w:rsidRPr="00CD5B69" w:rsidRDefault="004A6766" w:rsidP="00F01464">
            <w:pPr>
              <w:pStyle w:val="TblTextLeft"/>
            </w:pPr>
            <w:r w:rsidRPr="00CD5B69">
              <w:t>Vision blurred</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tcBorders>
              <w:bottom w:val="nil"/>
            </w:tcBorders>
            <w:shd w:val="clear" w:color="auto" w:fill="auto"/>
            <w:vAlign w:val="center"/>
          </w:tcPr>
          <w:p w:rsidR="004A6766" w:rsidRPr="00CD5B69" w:rsidRDefault="004A6766" w:rsidP="00AE2A07">
            <w:pPr>
              <w:pStyle w:val="TblTextCenter"/>
              <w:jc w:val="left"/>
            </w:pPr>
            <w:r w:rsidRPr="00CD5B69">
              <w:t>Cardiac disorders</w:t>
            </w:r>
          </w:p>
        </w:tc>
        <w:tc>
          <w:tcPr>
            <w:tcW w:w="0" w:type="auto"/>
            <w:tcBorders>
              <w:bottom w:val="nil"/>
            </w:tcBorders>
            <w:shd w:val="clear" w:color="auto" w:fill="auto"/>
          </w:tcPr>
          <w:p w:rsidR="004A6766" w:rsidRPr="00CD5B69" w:rsidRDefault="004A6766" w:rsidP="00F01464">
            <w:pPr>
              <w:pStyle w:val="TblTextCenter"/>
            </w:pPr>
          </w:p>
        </w:tc>
        <w:tc>
          <w:tcPr>
            <w:tcW w:w="0" w:type="auto"/>
            <w:tcBorders>
              <w:bottom w:val="nil"/>
            </w:tcBorders>
            <w:shd w:val="clear" w:color="auto" w:fill="auto"/>
          </w:tcPr>
          <w:p w:rsidR="004A6766" w:rsidRPr="00CD5B69" w:rsidRDefault="004A6766" w:rsidP="00F01464">
            <w:pPr>
              <w:pStyle w:val="TblTextLeft"/>
            </w:pPr>
            <w:r w:rsidRPr="00CD5B69">
              <w:t>Tachycardia</w:t>
            </w:r>
          </w:p>
        </w:tc>
        <w:tc>
          <w:tcPr>
            <w:tcW w:w="2345" w:type="dxa"/>
            <w:tcBorders>
              <w:bottom w:val="nil"/>
            </w:tcBorders>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tcBorders>
              <w:top w:val="nil"/>
              <w:bottom w:val="single" w:sz="4" w:space="0" w:color="auto"/>
            </w:tcBorders>
            <w:shd w:val="clear" w:color="auto" w:fill="auto"/>
            <w:vAlign w:val="center"/>
          </w:tcPr>
          <w:p w:rsidR="004A6766" w:rsidRPr="00CD5B69" w:rsidRDefault="004A6766" w:rsidP="00AE2A07">
            <w:pPr>
              <w:pStyle w:val="TblTextCenter"/>
              <w:jc w:val="left"/>
            </w:pPr>
            <w:r w:rsidRPr="00CD5B69">
              <w:lastRenderedPageBreak/>
              <w:t>Vascular disorders</w:t>
            </w:r>
          </w:p>
        </w:tc>
        <w:tc>
          <w:tcPr>
            <w:tcW w:w="0" w:type="auto"/>
            <w:tcBorders>
              <w:top w:val="nil"/>
              <w:bottom w:val="single" w:sz="4" w:space="0" w:color="auto"/>
            </w:tcBorders>
            <w:shd w:val="clear" w:color="auto" w:fill="auto"/>
          </w:tcPr>
          <w:p w:rsidR="004A6766" w:rsidRPr="00CD5B69" w:rsidRDefault="004A6766" w:rsidP="00F01464">
            <w:pPr>
              <w:pStyle w:val="TblTextCenter"/>
            </w:pPr>
          </w:p>
        </w:tc>
        <w:tc>
          <w:tcPr>
            <w:tcW w:w="0" w:type="auto"/>
            <w:tcBorders>
              <w:top w:val="nil"/>
              <w:bottom w:val="single" w:sz="4" w:space="0" w:color="auto"/>
            </w:tcBorders>
            <w:shd w:val="clear" w:color="auto" w:fill="auto"/>
          </w:tcPr>
          <w:p w:rsidR="004A6766" w:rsidRPr="00CD5B69" w:rsidRDefault="004A6766" w:rsidP="00F01464">
            <w:pPr>
              <w:pStyle w:val="TblTextLeft"/>
            </w:pPr>
            <w:r w:rsidRPr="00CD5B69">
              <w:t>Hypertension</w:t>
            </w:r>
          </w:p>
        </w:tc>
        <w:tc>
          <w:tcPr>
            <w:tcW w:w="2345" w:type="dxa"/>
            <w:tcBorders>
              <w:top w:val="nil"/>
              <w:bottom w:val="single" w:sz="4" w:space="0" w:color="auto"/>
            </w:tcBorders>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tcBorders>
              <w:top w:val="single" w:sz="4" w:space="0" w:color="auto"/>
            </w:tcBorders>
            <w:shd w:val="clear" w:color="auto" w:fill="auto"/>
            <w:vAlign w:val="center"/>
          </w:tcPr>
          <w:p w:rsidR="004A6766" w:rsidRPr="00CD5B69" w:rsidRDefault="004A6766" w:rsidP="00AE2A07">
            <w:pPr>
              <w:pStyle w:val="TblTextCenter"/>
              <w:jc w:val="left"/>
            </w:pPr>
            <w:r w:rsidRPr="00CD5B69">
              <w:t>Gastrointestinal disorders</w:t>
            </w:r>
          </w:p>
        </w:tc>
        <w:tc>
          <w:tcPr>
            <w:tcW w:w="0" w:type="auto"/>
            <w:tcBorders>
              <w:top w:val="single" w:sz="4" w:space="0" w:color="auto"/>
            </w:tcBorders>
            <w:shd w:val="clear" w:color="auto" w:fill="auto"/>
          </w:tcPr>
          <w:p w:rsidR="004A6766" w:rsidRPr="00CD5B69" w:rsidRDefault="004A6766" w:rsidP="00F01464">
            <w:pPr>
              <w:pStyle w:val="TblTextLeft"/>
            </w:pPr>
            <w:r w:rsidRPr="00CD5B69">
              <w:t>Diarrhoea</w:t>
            </w:r>
          </w:p>
          <w:p w:rsidR="004A6766" w:rsidRPr="00CD5B69" w:rsidRDefault="004A6766" w:rsidP="00F01464">
            <w:pPr>
              <w:pStyle w:val="TblTextLeft"/>
            </w:pPr>
            <w:r w:rsidRPr="00CD5B69">
              <w:t>Nausea</w:t>
            </w:r>
          </w:p>
        </w:tc>
        <w:tc>
          <w:tcPr>
            <w:tcW w:w="0" w:type="auto"/>
            <w:tcBorders>
              <w:top w:val="single" w:sz="4" w:space="0" w:color="auto"/>
            </w:tcBorders>
            <w:shd w:val="clear" w:color="auto" w:fill="auto"/>
          </w:tcPr>
          <w:p w:rsidR="004A6766" w:rsidRPr="00CD5B69" w:rsidRDefault="004A6766" w:rsidP="00F01464">
            <w:pPr>
              <w:pStyle w:val="TblTextLeft"/>
            </w:pPr>
            <w:r w:rsidRPr="00CD5B69">
              <w:t>Abdominal pain upper</w:t>
            </w:r>
          </w:p>
          <w:p w:rsidR="004A6766" w:rsidRPr="00CD5B69" w:rsidRDefault="004A6766" w:rsidP="00F01464">
            <w:pPr>
              <w:pStyle w:val="TblTextLeft"/>
            </w:pPr>
            <w:r w:rsidRPr="00CD5B69">
              <w:t>Vomiting</w:t>
            </w:r>
          </w:p>
          <w:p w:rsidR="004A6766" w:rsidRPr="00CD5B69" w:rsidRDefault="004A6766" w:rsidP="00F01464">
            <w:pPr>
              <w:pStyle w:val="TblTextLeft"/>
            </w:pPr>
            <w:r w:rsidRPr="00CD5B69">
              <w:t>Toothache</w:t>
            </w:r>
          </w:p>
          <w:p w:rsidR="004A6766" w:rsidRPr="00CD5B69" w:rsidRDefault="004A6766" w:rsidP="00F01464">
            <w:pPr>
              <w:pStyle w:val="TblTextLeft"/>
            </w:pPr>
            <w:r w:rsidRPr="00CD5B69">
              <w:t>Inguinal hernia</w:t>
            </w:r>
          </w:p>
        </w:tc>
        <w:tc>
          <w:tcPr>
            <w:tcW w:w="2345" w:type="dxa"/>
            <w:tcBorders>
              <w:top w:val="single" w:sz="4" w:space="0" w:color="auto"/>
            </w:tcBorders>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Skin and subcutaneous tissue disorders</w:t>
            </w:r>
          </w:p>
        </w:tc>
        <w:tc>
          <w:tcPr>
            <w:tcW w:w="0" w:type="auto"/>
            <w:shd w:val="clear" w:color="auto" w:fill="auto"/>
          </w:tcPr>
          <w:p w:rsidR="004A6766" w:rsidRPr="00CD5B69" w:rsidRDefault="004A6766" w:rsidP="00F01464">
            <w:pPr>
              <w:pStyle w:val="TblTextLeft"/>
            </w:pPr>
            <w:r w:rsidRPr="00CD5B69">
              <w:t>Alopecia</w:t>
            </w:r>
          </w:p>
        </w:tc>
        <w:tc>
          <w:tcPr>
            <w:tcW w:w="0" w:type="auto"/>
            <w:shd w:val="clear" w:color="auto" w:fill="auto"/>
          </w:tcPr>
          <w:p w:rsidR="004A6766" w:rsidRPr="00CD5B69" w:rsidRDefault="004A6766" w:rsidP="00F01464">
            <w:pPr>
              <w:pStyle w:val="TblTextLeft"/>
            </w:pPr>
            <w:r w:rsidRPr="00CD5B69">
              <w:t>Rash</w:t>
            </w:r>
          </w:p>
          <w:p w:rsidR="004A6766" w:rsidRPr="00CD5B69" w:rsidRDefault="004A6766" w:rsidP="00F01464">
            <w:pPr>
              <w:pStyle w:val="TblTextLeft"/>
            </w:pPr>
            <w:r w:rsidRPr="00CD5B69">
              <w:t>Acne</w:t>
            </w:r>
          </w:p>
          <w:p w:rsidR="004A6766" w:rsidRPr="00CD5B69" w:rsidRDefault="004A6766" w:rsidP="00F01464">
            <w:pPr>
              <w:pStyle w:val="TblTextLeft"/>
            </w:pPr>
            <w:r w:rsidRPr="00CD5B69">
              <w:t>Pruritus</w:t>
            </w:r>
          </w:p>
        </w:tc>
        <w:tc>
          <w:tcPr>
            <w:tcW w:w="2345" w:type="dxa"/>
            <w:shd w:val="clear" w:color="auto" w:fill="auto"/>
          </w:tcPr>
          <w:p w:rsidR="004A6766" w:rsidRPr="00CD5B69" w:rsidRDefault="004A6766" w:rsidP="00F01464">
            <w:pPr>
              <w:pStyle w:val="TblTextLeft"/>
            </w:pPr>
            <w:r w:rsidRPr="00CD5B69">
              <w:t>Pruritus generalised</w:t>
            </w: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Musculoskeletal and connective tissue disorders</w:t>
            </w:r>
          </w:p>
        </w:tc>
        <w:tc>
          <w:tcPr>
            <w:tcW w:w="0" w:type="auto"/>
            <w:shd w:val="clear" w:color="auto" w:fill="auto"/>
          </w:tcPr>
          <w:p w:rsidR="004A6766" w:rsidRPr="00CD5B69" w:rsidRDefault="004A6766" w:rsidP="00F01464">
            <w:pPr>
              <w:pStyle w:val="TblTextLeft"/>
            </w:pPr>
          </w:p>
        </w:tc>
        <w:tc>
          <w:tcPr>
            <w:tcW w:w="0" w:type="auto"/>
            <w:shd w:val="clear" w:color="auto" w:fill="auto"/>
          </w:tcPr>
          <w:p w:rsidR="004A6766" w:rsidRPr="00CD5B69" w:rsidRDefault="004A6766" w:rsidP="00F01464">
            <w:pPr>
              <w:pStyle w:val="TblTextLeft"/>
            </w:pPr>
            <w:r w:rsidRPr="00CD5B69">
              <w:t>Musculoskeletal pain</w:t>
            </w:r>
          </w:p>
          <w:p w:rsidR="004A6766" w:rsidRPr="00CD5B69" w:rsidRDefault="004A6766" w:rsidP="00F01464">
            <w:pPr>
              <w:pStyle w:val="TblTextLeft"/>
            </w:pPr>
            <w:r w:rsidRPr="00CD5B69">
              <w:t>Myalgia</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Renal and urinary disorders</w:t>
            </w:r>
          </w:p>
        </w:tc>
        <w:tc>
          <w:tcPr>
            <w:tcW w:w="0" w:type="auto"/>
            <w:shd w:val="clear" w:color="auto" w:fill="auto"/>
          </w:tcPr>
          <w:p w:rsidR="004A6766" w:rsidRPr="00CD5B69" w:rsidRDefault="004A6766" w:rsidP="00F01464">
            <w:pPr>
              <w:pStyle w:val="TblTextLeft"/>
            </w:pPr>
          </w:p>
        </w:tc>
        <w:tc>
          <w:tcPr>
            <w:tcW w:w="0" w:type="auto"/>
            <w:shd w:val="clear" w:color="auto" w:fill="auto"/>
          </w:tcPr>
          <w:p w:rsidR="004A6766" w:rsidRPr="00CD5B69" w:rsidRDefault="004A6766" w:rsidP="00F01464">
            <w:pPr>
              <w:pStyle w:val="TblTextLeft"/>
            </w:pPr>
            <w:r w:rsidRPr="00CD5B69">
              <w:t>Pollakiuria</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Reproductive system and breast disorders</w:t>
            </w:r>
          </w:p>
        </w:tc>
        <w:tc>
          <w:tcPr>
            <w:tcW w:w="0" w:type="auto"/>
            <w:shd w:val="clear" w:color="auto" w:fill="auto"/>
          </w:tcPr>
          <w:p w:rsidR="004A6766" w:rsidRPr="00CD5B69" w:rsidRDefault="004A6766" w:rsidP="00F01464">
            <w:pPr>
              <w:pStyle w:val="TblTextLeft"/>
            </w:pPr>
          </w:p>
        </w:tc>
        <w:tc>
          <w:tcPr>
            <w:tcW w:w="0" w:type="auto"/>
            <w:shd w:val="clear" w:color="auto" w:fill="auto"/>
          </w:tcPr>
          <w:p w:rsidR="004A6766" w:rsidRPr="00CD5B69" w:rsidRDefault="004A6766" w:rsidP="00F01464">
            <w:pPr>
              <w:pStyle w:val="TblTextLeft"/>
            </w:pPr>
            <w:r w:rsidRPr="00CD5B69">
              <w:t>Menorrhagia</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General disorders and administration site conditions</w:t>
            </w:r>
          </w:p>
        </w:tc>
        <w:tc>
          <w:tcPr>
            <w:tcW w:w="0" w:type="auto"/>
            <w:shd w:val="clear" w:color="auto" w:fill="auto"/>
          </w:tcPr>
          <w:p w:rsidR="004A6766" w:rsidRPr="00CD5B69" w:rsidRDefault="004A6766" w:rsidP="00F01464">
            <w:pPr>
              <w:pStyle w:val="TblTextLeft"/>
            </w:pPr>
          </w:p>
        </w:tc>
        <w:tc>
          <w:tcPr>
            <w:tcW w:w="0" w:type="auto"/>
            <w:shd w:val="clear" w:color="auto" w:fill="auto"/>
          </w:tcPr>
          <w:p w:rsidR="004A6766" w:rsidRPr="00CD5B69" w:rsidRDefault="004A6766" w:rsidP="00F01464">
            <w:pPr>
              <w:pStyle w:val="TblTextLeft"/>
            </w:pPr>
            <w:r w:rsidRPr="00CD5B69">
              <w:t>Pain</w:t>
            </w:r>
          </w:p>
        </w:tc>
        <w:tc>
          <w:tcPr>
            <w:tcW w:w="2345" w:type="dxa"/>
            <w:shd w:val="clear" w:color="auto" w:fill="auto"/>
          </w:tcPr>
          <w:p w:rsidR="004A6766" w:rsidRPr="00CD5B69" w:rsidRDefault="004A6766" w:rsidP="00F01464">
            <w:pPr>
              <w:pStyle w:val="TblTextLeft"/>
            </w:pPr>
          </w:p>
        </w:tc>
      </w:tr>
      <w:tr w:rsidR="004A6766" w:rsidRPr="00CD5B69" w:rsidTr="00F01464">
        <w:trPr>
          <w:cantSplit/>
          <w:jc w:val="center"/>
        </w:trPr>
        <w:tc>
          <w:tcPr>
            <w:tcW w:w="0" w:type="auto"/>
            <w:shd w:val="clear" w:color="auto" w:fill="auto"/>
            <w:vAlign w:val="center"/>
          </w:tcPr>
          <w:p w:rsidR="004A6766" w:rsidRPr="00CD5B69" w:rsidRDefault="004A6766" w:rsidP="00AE2A07">
            <w:pPr>
              <w:pStyle w:val="TblTextCenter"/>
              <w:jc w:val="left"/>
            </w:pPr>
            <w:r w:rsidRPr="00CD5B69">
              <w:t>Investigations</w:t>
            </w:r>
          </w:p>
        </w:tc>
        <w:tc>
          <w:tcPr>
            <w:tcW w:w="0" w:type="auto"/>
            <w:shd w:val="clear" w:color="auto" w:fill="auto"/>
          </w:tcPr>
          <w:p w:rsidR="004A6766" w:rsidRPr="00CD5B69" w:rsidRDefault="004A6766" w:rsidP="00F01464">
            <w:pPr>
              <w:pStyle w:val="TblTextLeft"/>
            </w:pPr>
            <w:r w:rsidRPr="00CD5B69">
              <w:t>Alanine aminotransferase increased</w:t>
            </w:r>
          </w:p>
        </w:tc>
        <w:tc>
          <w:tcPr>
            <w:tcW w:w="0" w:type="auto"/>
            <w:shd w:val="clear" w:color="auto" w:fill="auto"/>
          </w:tcPr>
          <w:p w:rsidR="004A6766" w:rsidRPr="00CD5B69" w:rsidRDefault="004A6766" w:rsidP="00F01464">
            <w:pPr>
              <w:pStyle w:val="TblTextLeft"/>
            </w:pPr>
            <w:r w:rsidRPr="00CD5B69">
              <w:t>Gamma-glutamyltransferase increased</w:t>
            </w:r>
          </w:p>
          <w:p w:rsidR="004A6766" w:rsidRPr="00CD5B69" w:rsidRDefault="004A6766" w:rsidP="00F01464">
            <w:pPr>
              <w:pStyle w:val="TblTextLeft"/>
            </w:pPr>
            <w:r w:rsidRPr="00CD5B69">
              <w:t>Aspartate aminotransferase increased</w:t>
            </w:r>
          </w:p>
          <w:p w:rsidR="004A6766" w:rsidRPr="00CD5B69" w:rsidRDefault="004A6766" w:rsidP="00F01464">
            <w:pPr>
              <w:pStyle w:val="TblTextLeft"/>
            </w:pPr>
            <w:r w:rsidRPr="00CD5B69">
              <w:t>Weight decreased</w:t>
            </w:r>
          </w:p>
          <w:p w:rsidR="004A6766" w:rsidRPr="00CD5B69" w:rsidRDefault="004A6766" w:rsidP="00F01464">
            <w:pPr>
              <w:pStyle w:val="TblTextLeft"/>
            </w:pPr>
            <w:r w:rsidRPr="00CD5B69">
              <w:t>Neutrophil count decreased</w:t>
            </w:r>
          </w:p>
          <w:p w:rsidR="004A6766" w:rsidRPr="00CD5B69" w:rsidRDefault="004A6766" w:rsidP="00F01464">
            <w:pPr>
              <w:pStyle w:val="TblTextLeft"/>
            </w:pPr>
            <w:r w:rsidRPr="00CD5B69">
              <w:t>White blood cell count decreased</w:t>
            </w:r>
          </w:p>
        </w:tc>
        <w:tc>
          <w:tcPr>
            <w:tcW w:w="2345" w:type="dxa"/>
            <w:shd w:val="clear" w:color="auto" w:fill="auto"/>
          </w:tcPr>
          <w:p w:rsidR="004A6766" w:rsidRPr="00CD5B69" w:rsidRDefault="004A6766" w:rsidP="00F01464">
            <w:pPr>
              <w:pStyle w:val="TblTextLeft"/>
            </w:pPr>
            <w:r w:rsidRPr="00CD5B69">
              <w:t>Blood creatinine increased</w:t>
            </w:r>
          </w:p>
        </w:tc>
      </w:tr>
      <w:tr w:rsidR="00F01464" w:rsidRPr="00CD5B69" w:rsidTr="00F01464">
        <w:trPr>
          <w:cantSplit/>
          <w:jc w:val="center"/>
        </w:trPr>
        <w:tc>
          <w:tcPr>
            <w:tcW w:w="0" w:type="auto"/>
            <w:tcBorders>
              <w:bottom w:val="single" w:sz="12" w:space="0" w:color="auto"/>
            </w:tcBorders>
            <w:shd w:val="clear" w:color="auto" w:fill="auto"/>
            <w:vAlign w:val="center"/>
          </w:tcPr>
          <w:p w:rsidR="004A6766" w:rsidRPr="00CD5B69" w:rsidRDefault="004A6766" w:rsidP="00AE2A07">
            <w:pPr>
              <w:pStyle w:val="TblTextCenter"/>
              <w:jc w:val="left"/>
            </w:pPr>
            <w:r w:rsidRPr="00CD5B69">
              <w:t>Injury, poisoning and procedural complications</w:t>
            </w:r>
          </w:p>
        </w:tc>
        <w:tc>
          <w:tcPr>
            <w:tcW w:w="0" w:type="auto"/>
            <w:tcBorders>
              <w:bottom w:val="single" w:sz="12" w:space="0" w:color="auto"/>
            </w:tcBorders>
            <w:shd w:val="clear" w:color="auto" w:fill="auto"/>
          </w:tcPr>
          <w:p w:rsidR="004A6766" w:rsidRPr="00CD5B69" w:rsidRDefault="004A6766" w:rsidP="00F01464">
            <w:pPr>
              <w:pStyle w:val="TblTextLeft"/>
            </w:pPr>
          </w:p>
        </w:tc>
        <w:tc>
          <w:tcPr>
            <w:tcW w:w="0" w:type="auto"/>
            <w:tcBorders>
              <w:bottom w:val="single" w:sz="12" w:space="0" w:color="auto"/>
            </w:tcBorders>
            <w:shd w:val="clear" w:color="auto" w:fill="auto"/>
          </w:tcPr>
          <w:p w:rsidR="004A6766" w:rsidRPr="00CD5B69" w:rsidRDefault="004A6766" w:rsidP="00F01464">
            <w:pPr>
              <w:pStyle w:val="TblTextLeft"/>
            </w:pPr>
            <w:r w:rsidRPr="00CD5B69">
              <w:t>Post-traumatic pain</w:t>
            </w:r>
          </w:p>
        </w:tc>
        <w:tc>
          <w:tcPr>
            <w:tcW w:w="2345" w:type="dxa"/>
            <w:tcBorders>
              <w:bottom w:val="single" w:sz="12" w:space="0" w:color="auto"/>
            </w:tcBorders>
            <w:shd w:val="clear" w:color="auto" w:fill="auto"/>
          </w:tcPr>
          <w:p w:rsidR="004A6766" w:rsidRPr="00CD5B69" w:rsidRDefault="004A6766" w:rsidP="00F01464">
            <w:pPr>
              <w:pStyle w:val="TblTextLeft"/>
            </w:pPr>
          </w:p>
        </w:tc>
      </w:tr>
    </w:tbl>
    <w:p w:rsidR="00310498" w:rsidRPr="00CD5B69" w:rsidRDefault="00B85B78" w:rsidP="00B85B78">
      <w:pPr>
        <w:pStyle w:val="Heading4"/>
        <w:numPr>
          <w:ilvl w:val="0"/>
          <w:numId w:val="0"/>
        </w:numPr>
        <w:rPr>
          <w:lang w:val="en-GB"/>
        </w:rPr>
      </w:pPr>
      <w:r w:rsidRPr="00CD5B69">
        <w:rPr>
          <w:lang w:val="en-GB"/>
        </w:rPr>
        <w:t>Polyneuropathy</w:t>
      </w:r>
      <w:bookmarkEnd w:id="68"/>
    </w:p>
    <w:p w:rsidR="00B85B78" w:rsidRPr="00CD5B69" w:rsidRDefault="00B85B78" w:rsidP="00B85B78">
      <w:pPr>
        <w:rPr>
          <w:color w:val="auto"/>
        </w:rPr>
      </w:pPr>
      <w:r w:rsidRPr="00CD5B69">
        <w:rPr>
          <w:color w:val="auto"/>
        </w:rPr>
        <w:t>In placebo controlled studies, 0.7% of patients treated with teriflunomide 14 mg displayed symptoms of suspected polyneuropathy (0% in the placebo group).</w:t>
      </w:r>
    </w:p>
    <w:p w:rsidR="00310498" w:rsidRPr="00CD5B69" w:rsidRDefault="00DA0507" w:rsidP="00517D09">
      <w:pPr>
        <w:pStyle w:val="Heading1"/>
        <w:pageBreakBefore w:val="0"/>
        <w:numPr>
          <w:ilvl w:val="0"/>
          <w:numId w:val="0"/>
        </w:numPr>
      </w:pPr>
      <w:bookmarkStart w:id="69" w:name="_Toc307918139"/>
      <w:r w:rsidRPr="00CD5B69">
        <w:lastRenderedPageBreak/>
        <w:t>dosage and administration</w:t>
      </w:r>
      <w:bookmarkEnd w:id="69"/>
    </w:p>
    <w:p w:rsidR="00DA0507" w:rsidRPr="00CD5B69" w:rsidRDefault="00DA0507" w:rsidP="00DA0507">
      <w:pPr>
        <w:rPr>
          <w:color w:val="auto"/>
        </w:rPr>
      </w:pPr>
      <w:r w:rsidRPr="00CD5B69">
        <w:rPr>
          <w:color w:val="auto"/>
        </w:rPr>
        <w:t xml:space="preserve">The recommended dose of </w:t>
      </w:r>
      <w:r w:rsidR="00092AA1" w:rsidRPr="00CD5B69">
        <w:rPr>
          <w:color w:val="auto"/>
        </w:rPr>
        <w:t>Aubagio</w:t>
      </w:r>
      <w:r w:rsidRPr="00CD5B69">
        <w:rPr>
          <w:color w:val="auto"/>
        </w:rPr>
        <w:t xml:space="preserve"> is 14mg orally once daily.</w:t>
      </w:r>
      <w:r w:rsidR="007C59C5" w:rsidRPr="00CD5B69">
        <w:rPr>
          <w:color w:val="auto"/>
        </w:rPr>
        <w:t xml:space="preserve"> </w:t>
      </w:r>
      <w:r w:rsidR="00092AA1" w:rsidRPr="00CD5B69">
        <w:rPr>
          <w:color w:val="auto"/>
        </w:rPr>
        <w:t>Aubagio</w:t>
      </w:r>
      <w:r w:rsidR="007C59C5" w:rsidRPr="00CD5B69">
        <w:rPr>
          <w:color w:val="auto"/>
        </w:rPr>
        <w:t xml:space="preserve"> can be taken with or without food.</w:t>
      </w:r>
    </w:p>
    <w:p w:rsidR="00DA0507" w:rsidRPr="00CD5B69" w:rsidRDefault="00DA0507" w:rsidP="0032202D">
      <w:pPr>
        <w:pStyle w:val="Heading2"/>
        <w:numPr>
          <w:ilvl w:val="0"/>
          <w:numId w:val="0"/>
        </w:numPr>
      </w:pPr>
      <w:bookmarkStart w:id="70" w:name="_Toc307918140"/>
      <w:r w:rsidRPr="00CD5B69">
        <w:t>Special Populations</w:t>
      </w:r>
      <w:bookmarkEnd w:id="70"/>
    </w:p>
    <w:p w:rsidR="009524EB" w:rsidRPr="00CD5B69" w:rsidRDefault="009524EB" w:rsidP="009524EB">
      <w:pPr>
        <w:pStyle w:val="Heading4"/>
        <w:numPr>
          <w:ilvl w:val="0"/>
          <w:numId w:val="0"/>
        </w:numPr>
      </w:pPr>
      <w:bookmarkStart w:id="71" w:name="_Toc300662303"/>
      <w:bookmarkStart w:id="72" w:name="_Toc307918141"/>
      <w:r w:rsidRPr="00CD5B69">
        <w:t>Children</w:t>
      </w:r>
      <w:bookmarkEnd w:id="72"/>
    </w:p>
    <w:p w:rsidR="009524EB" w:rsidRPr="00CD5B69" w:rsidRDefault="009524EB" w:rsidP="008D2D1D">
      <w:r w:rsidRPr="00CD5B69">
        <w:t xml:space="preserve">The safety and efficacy of </w:t>
      </w:r>
      <w:r w:rsidR="00092AA1" w:rsidRPr="00CD5B69">
        <w:t>Aubagio</w:t>
      </w:r>
      <w:r w:rsidRPr="00CD5B69">
        <w:t xml:space="preserve"> in paediatric patients with MS below the age of 18 years has not yet been established.</w:t>
      </w:r>
    </w:p>
    <w:p w:rsidR="0032202D" w:rsidRPr="00CD5B69" w:rsidRDefault="0032202D" w:rsidP="0032202D">
      <w:pPr>
        <w:pStyle w:val="Heading4"/>
        <w:numPr>
          <w:ilvl w:val="0"/>
          <w:numId w:val="0"/>
        </w:numPr>
      </w:pPr>
      <w:bookmarkStart w:id="73" w:name="_Toc307918142"/>
      <w:r w:rsidRPr="00CD5B69">
        <w:t>Elderly</w:t>
      </w:r>
      <w:bookmarkEnd w:id="71"/>
      <w:bookmarkEnd w:id="73"/>
    </w:p>
    <w:p w:rsidR="00F50E78" w:rsidRPr="00CD5B69" w:rsidRDefault="00F50E78" w:rsidP="00F50E78">
      <w:pPr>
        <w:rPr>
          <w:iCs/>
          <w:color w:val="auto"/>
        </w:rPr>
      </w:pPr>
      <w:r w:rsidRPr="00CD5B69">
        <w:rPr>
          <w:iCs/>
          <w:color w:val="auto"/>
        </w:rPr>
        <w:t xml:space="preserve">Clinical studies of </w:t>
      </w:r>
      <w:r w:rsidR="00092AA1" w:rsidRPr="00CD5B69">
        <w:rPr>
          <w:iCs/>
          <w:color w:val="auto"/>
        </w:rPr>
        <w:t>Aubagio</w:t>
      </w:r>
      <w:r w:rsidRPr="00CD5B69">
        <w:rPr>
          <w:iCs/>
          <w:color w:val="auto"/>
        </w:rPr>
        <w:t xml:space="preserve"> did not include patients over 65 years old. </w:t>
      </w:r>
      <w:r w:rsidR="00092AA1" w:rsidRPr="00CD5B69">
        <w:rPr>
          <w:iCs/>
          <w:color w:val="auto"/>
        </w:rPr>
        <w:t>Aubagio</w:t>
      </w:r>
      <w:r w:rsidRPr="00CD5B69">
        <w:rPr>
          <w:iCs/>
          <w:color w:val="auto"/>
        </w:rPr>
        <w:t xml:space="preserve"> should be used with caution in patients </w:t>
      </w:r>
      <w:r w:rsidR="00A84DED" w:rsidRPr="00CD5B69">
        <w:rPr>
          <w:iCs/>
          <w:color w:val="auto"/>
        </w:rPr>
        <w:t xml:space="preserve">aged over </w:t>
      </w:r>
      <w:r w:rsidRPr="00CD5B69">
        <w:rPr>
          <w:iCs/>
          <w:color w:val="auto"/>
        </w:rPr>
        <w:t>65 years.</w:t>
      </w:r>
    </w:p>
    <w:p w:rsidR="00F50E78" w:rsidRPr="00CD5B69" w:rsidRDefault="00F50E78" w:rsidP="00F50E78">
      <w:pPr>
        <w:pStyle w:val="Heading4"/>
        <w:numPr>
          <w:ilvl w:val="0"/>
          <w:numId w:val="0"/>
        </w:numPr>
      </w:pPr>
      <w:bookmarkStart w:id="74" w:name="_Toc307918143"/>
      <w:r w:rsidRPr="00CD5B69">
        <w:t>Hepatic Impairment</w:t>
      </w:r>
      <w:bookmarkEnd w:id="74"/>
    </w:p>
    <w:p w:rsidR="00F50E78" w:rsidRPr="00CD5B69" w:rsidRDefault="00F50E78" w:rsidP="00F50E78">
      <w:pPr>
        <w:rPr>
          <w:color w:val="auto"/>
        </w:rPr>
      </w:pPr>
      <w:r w:rsidRPr="00CD5B69">
        <w:rPr>
          <w:iCs/>
          <w:color w:val="auto"/>
        </w:rPr>
        <w:t xml:space="preserve">No dosage adjustment is necessary for patients with mild </w:t>
      </w:r>
      <w:r w:rsidR="00A84DED" w:rsidRPr="00CD5B69">
        <w:rPr>
          <w:iCs/>
          <w:color w:val="auto"/>
        </w:rPr>
        <w:t xml:space="preserve">or </w:t>
      </w:r>
      <w:r w:rsidRPr="00CD5B69">
        <w:rPr>
          <w:iCs/>
          <w:color w:val="auto"/>
        </w:rPr>
        <w:t xml:space="preserve">moderate hepatic impairment. Teriflunomide is </w:t>
      </w:r>
      <w:r w:rsidRPr="00CD5B69">
        <w:rPr>
          <w:color w:val="auto"/>
        </w:rPr>
        <w:t xml:space="preserve">contraindicated </w:t>
      </w:r>
      <w:r w:rsidRPr="00CD5B69">
        <w:rPr>
          <w:iCs/>
          <w:color w:val="auto"/>
        </w:rPr>
        <w:t>in patients with severe hepatic impairment (see</w:t>
      </w:r>
      <w:r w:rsidR="007C59C5" w:rsidRPr="00CD5B69">
        <w:rPr>
          <w:iCs/>
          <w:color w:val="auto"/>
        </w:rPr>
        <w:t xml:space="preserve"> Precautions).</w:t>
      </w:r>
    </w:p>
    <w:p w:rsidR="00DA0507" w:rsidRPr="00CD5B69" w:rsidRDefault="00F50E78" w:rsidP="00F50E78">
      <w:pPr>
        <w:pStyle w:val="Heading4"/>
        <w:numPr>
          <w:ilvl w:val="0"/>
          <w:numId w:val="0"/>
        </w:numPr>
      </w:pPr>
      <w:bookmarkStart w:id="75" w:name="_Toc307918144"/>
      <w:r w:rsidRPr="00CD5B69">
        <w:t>Renal Impairment</w:t>
      </w:r>
      <w:bookmarkEnd w:id="75"/>
    </w:p>
    <w:p w:rsidR="00F50E78" w:rsidRPr="00CD5B69" w:rsidRDefault="00F50E78" w:rsidP="00F50E78">
      <w:pPr>
        <w:rPr>
          <w:iCs/>
          <w:color w:val="auto"/>
        </w:rPr>
      </w:pPr>
      <w:r w:rsidRPr="00CD5B69">
        <w:rPr>
          <w:iCs/>
          <w:color w:val="auto"/>
        </w:rPr>
        <w:t>No dosage adjustment is necessary for patients with severe renal impairment</w:t>
      </w:r>
      <w:r w:rsidR="003B6FCE" w:rsidRPr="00CD5B69">
        <w:rPr>
          <w:iCs/>
          <w:color w:val="auto"/>
        </w:rPr>
        <w:t xml:space="preserve"> (see PRECAUTIONS – Renal impairment)</w:t>
      </w:r>
      <w:r w:rsidR="00D728F6" w:rsidRPr="00CD5B69">
        <w:rPr>
          <w:iCs/>
          <w:color w:val="auto"/>
        </w:rPr>
        <w:t>.</w:t>
      </w:r>
    </w:p>
    <w:p w:rsidR="007C59C5" w:rsidRPr="00CD5B69" w:rsidRDefault="0032202D" w:rsidP="0032202D">
      <w:pPr>
        <w:pStyle w:val="Heading1"/>
        <w:pageBreakBefore w:val="0"/>
        <w:numPr>
          <w:ilvl w:val="0"/>
          <w:numId w:val="0"/>
        </w:numPr>
      </w:pPr>
      <w:bookmarkStart w:id="76" w:name="_Toc307918145"/>
      <w:r w:rsidRPr="00CD5B69">
        <w:t>overdosage</w:t>
      </w:r>
      <w:bookmarkEnd w:id="76"/>
    </w:p>
    <w:p w:rsidR="00310498" w:rsidRPr="00CD5B69" w:rsidRDefault="0032202D" w:rsidP="0032202D">
      <w:pPr>
        <w:rPr>
          <w:color w:val="auto"/>
        </w:rPr>
      </w:pPr>
      <w:r w:rsidRPr="00CD5B69">
        <w:rPr>
          <w:color w:val="auto"/>
        </w:rPr>
        <w:t>There is no experience regarding teriflunomide overdose or intoxication in humans.  Teriflunomide 70 mg daily up to 14 days was well tolerated by healthy subjects.</w:t>
      </w:r>
    </w:p>
    <w:p w:rsidR="0032202D" w:rsidRPr="00CD5B69" w:rsidRDefault="0032202D" w:rsidP="0032202D">
      <w:pPr>
        <w:rPr>
          <w:color w:val="auto"/>
        </w:rPr>
      </w:pPr>
      <w:r w:rsidRPr="00CD5B69">
        <w:rPr>
          <w:color w:val="auto"/>
        </w:rPr>
        <w:t xml:space="preserve">In the event of relevant overdose or toxicity, cholestyramine or activated charcoal is recommended to accelerate elimination (see </w:t>
      </w:r>
      <w:r w:rsidR="00C5399F" w:rsidRPr="00CD5B69">
        <w:rPr>
          <w:color w:val="auto"/>
        </w:rPr>
        <w:t>PRECAUTIONS</w:t>
      </w:r>
      <w:r w:rsidRPr="00CD5B69">
        <w:rPr>
          <w:color w:val="auto"/>
        </w:rPr>
        <w:t>).</w:t>
      </w:r>
    </w:p>
    <w:p w:rsidR="009F3593" w:rsidRPr="00CD5B69" w:rsidRDefault="009F3593" w:rsidP="009F3593">
      <w:pPr>
        <w:rPr>
          <w:color w:val="auto"/>
        </w:rPr>
      </w:pPr>
      <w:r w:rsidRPr="00CD5B69">
        <w:rPr>
          <w:color w:val="auto"/>
        </w:rPr>
        <w:t xml:space="preserve">Rapid Elimination Procedure: Cholestyramine and activated charcoal </w:t>
      </w:r>
    </w:p>
    <w:p w:rsidR="009F3593" w:rsidRPr="00CD5B69" w:rsidRDefault="009F3593" w:rsidP="008D2D1D">
      <w:pPr>
        <w:rPr>
          <w:color w:val="auto"/>
        </w:rPr>
      </w:pPr>
      <w:r w:rsidRPr="00CD5B69">
        <w:rPr>
          <w:color w:val="auto"/>
        </w:rPr>
        <w:t xml:space="preserve">The elimination of teriflunomide from the circulation can be accelerated by administration of cholestyramine or activated charcoal, presumably by interrupting the reabsorption processes at the </w:t>
      </w:r>
      <w:r w:rsidRPr="00CD5B69">
        <w:rPr>
          <w:color w:val="auto"/>
        </w:rPr>
        <w:lastRenderedPageBreak/>
        <w:t xml:space="preserve">intestinal level. Teriflunomide concentrations measured during an 11-day procedure to accelerate teriflunomide elimination with either 4 g cholestyramine </w:t>
      </w:r>
      <w:r w:rsidR="000745E0" w:rsidRPr="00CD5B69">
        <w:rPr>
          <w:color w:val="auto"/>
        </w:rPr>
        <w:t>t.i.d</w:t>
      </w:r>
      <w:r w:rsidRPr="00CD5B69">
        <w:rPr>
          <w:color w:val="auto"/>
        </w:rPr>
        <w:t xml:space="preserve">, 8 g cholestyramine </w:t>
      </w:r>
      <w:r w:rsidR="000745E0" w:rsidRPr="00CD5B69">
        <w:rPr>
          <w:color w:val="auto"/>
        </w:rPr>
        <w:t>t.i.d</w:t>
      </w:r>
      <w:r w:rsidRPr="00CD5B69">
        <w:rPr>
          <w:color w:val="auto"/>
        </w:rPr>
        <w:t xml:space="preserve"> or 50 g activated charcoal </w:t>
      </w:r>
      <w:r w:rsidR="000745E0" w:rsidRPr="00CD5B69">
        <w:rPr>
          <w:color w:val="auto"/>
        </w:rPr>
        <w:t>b.i.d</w:t>
      </w:r>
      <w:r w:rsidRPr="00CD5B69">
        <w:rPr>
          <w:color w:val="auto"/>
        </w:rPr>
        <w:t xml:space="preserve"> following cessation of teriflunomide treatment have shown that these regimens were effective in accelerating teriflunomide elimination, leading to more than 98% decrease in teriflunomide plasma concentrations, with cholestyramine being faster than charcoal. </w:t>
      </w:r>
      <w:r w:rsidR="00F1638C" w:rsidRPr="00CD5B69">
        <w:rPr>
          <w:color w:val="auto"/>
        </w:rPr>
        <w:t>In association with this procedure a higher incidence among patients taking teriflunomide 14mg was seen of the AEs nausea (3.</w:t>
      </w:r>
      <w:r w:rsidR="006E6C41" w:rsidRPr="00CD5B69">
        <w:rPr>
          <w:color w:val="auto"/>
        </w:rPr>
        <w:t>3</w:t>
      </w:r>
      <w:r w:rsidR="00F1638C" w:rsidRPr="00CD5B69">
        <w:rPr>
          <w:color w:val="auto"/>
        </w:rPr>
        <w:t xml:space="preserve"> vs 1.5% placebo), vomiting (2.4% vs 0% placebo), increased ALT (1.6% vs. 0 placebo). </w:t>
      </w:r>
      <w:r w:rsidRPr="00CD5B69">
        <w:rPr>
          <w:color w:val="auto"/>
        </w:rPr>
        <w:t>The choice between the 3 elimination procedures should depend on the patient’s tolerability. If cholestyramine 8 g three times a day is not well tolerated, cholestyramine 4 g three times a day can be used. Alternatively, activated charcoal may also be used (The 11 days do not need to be consecutive unless there is a need to lower teriflunomide plasma concentration rapidly).</w:t>
      </w:r>
    </w:p>
    <w:p w:rsidR="000556C3" w:rsidRPr="00CD5B69" w:rsidRDefault="000556C3" w:rsidP="000556C3">
      <w:pPr>
        <w:autoSpaceDE w:val="0"/>
        <w:autoSpaceDN w:val="0"/>
        <w:adjustRightInd w:val="0"/>
        <w:spacing w:before="0"/>
        <w:rPr>
          <w:color w:val="auto"/>
          <w:lang w:eastAsia="ja-JP"/>
        </w:rPr>
      </w:pPr>
    </w:p>
    <w:p w:rsidR="00D728F6" w:rsidRPr="00CD5B69" w:rsidRDefault="00D728F6" w:rsidP="000556C3">
      <w:pPr>
        <w:autoSpaceDE w:val="0"/>
        <w:autoSpaceDN w:val="0"/>
        <w:adjustRightInd w:val="0"/>
        <w:spacing w:before="0"/>
        <w:rPr>
          <w:color w:val="auto"/>
          <w:lang w:eastAsia="ja-JP"/>
        </w:rPr>
      </w:pPr>
      <w:r w:rsidRPr="00CD5B69">
        <w:rPr>
          <w:color w:val="auto"/>
          <w:lang w:eastAsia="ja-JP"/>
        </w:rPr>
        <w:t>For information on the management of overdose, contact the Poison Information Centre on 131126</w:t>
      </w:r>
      <w:r w:rsidR="00F13BA1" w:rsidRPr="00CD5B69">
        <w:rPr>
          <w:color w:val="auto"/>
          <w:lang w:eastAsia="ja-JP"/>
        </w:rPr>
        <w:t>.</w:t>
      </w:r>
    </w:p>
    <w:p w:rsidR="003A33CF" w:rsidRPr="00CD5B69" w:rsidRDefault="00D728F6" w:rsidP="00D728F6">
      <w:pPr>
        <w:pStyle w:val="Heading1"/>
        <w:pageBreakBefore w:val="0"/>
        <w:numPr>
          <w:ilvl w:val="0"/>
          <w:numId w:val="0"/>
        </w:numPr>
      </w:pPr>
      <w:bookmarkStart w:id="77" w:name="_Toc307918146"/>
      <w:r w:rsidRPr="00CD5B69">
        <w:t>presentation and storage conditions</w:t>
      </w:r>
      <w:bookmarkEnd w:id="77"/>
    </w:p>
    <w:p w:rsidR="003A33CF" w:rsidRPr="00CD5B69" w:rsidRDefault="00092AA1" w:rsidP="003A33CF">
      <w:pPr>
        <w:rPr>
          <w:color w:val="auto"/>
        </w:rPr>
      </w:pPr>
      <w:r w:rsidRPr="00CD5B69">
        <w:rPr>
          <w:color w:val="auto"/>
        </w:rPr>
        <w:t>Aubagio</w:t>
      </w:r>
      <w:r w:rsidR="00D728F6" w:rsidRPr="00CD5B69">
        <w:rPr>
          <w:color w:val="auto"/>
        </w:rPr>
        <w:t xml:space="preserve"> is available as pale blue </w:t>
      </w:r>
      <w:r w:rsidR="00B94F75" w:rsidRPr="00CD5B69">
        <w:rPr>
          <w:color w:val="auto"/>
        </w:rPr>
        <w:t xml:space="preserve">to pastel blue, </w:t>
      </w:r>
      <w:r w:rsidR="00D728F6" w:rsidRPr="00CD5B69">
        <w:rPr>
          <w:color w:val="auto"/>
        </w:rPr>
        <w:t xml:space="preserve">pentagonal </w:t>
      </w:r>
      <w:r w:rsidR="00192A35" w:rsidRPr="00CD5B69">
        <w:rPr>
          <w:color w:val="auto"/>
        </w:rPr>
        <w:t xml:space="preserve">film-coated tablets with “14” imprinted on one side and </w:t>
      </w:r>
      <w:r w:rsidR="00B94F75" w:rsidRPr="00CD5B69">
        <w:rPr>
          <w:color w:val="auto"/>
        </w:rPr>
        <w:t>engraved</w:t>
      </w:r>
      <w:r w:rsidR="00192A35" w:rsidRPr="00CD5B69">
        <w:rPr>
          <w:color w:val="auto"/>
        </w:rPr>
        <w:t xml:space="preserve"> with </w:t>
      </w:r>
      <w:r w:rsidR="00FA7DFA" w:rsidRPr="00CD5B69">
        <w:rPr>
          <w:color w:val="auto"/>
        </w:rPr>
        <w:t xml:space="preserve">a </w:t>
      </w:r>
      <w:r w:rsidR="00192A35" w:rsidRPr="00CD5B69">
        <w:rPr>
          <w:color w:val="auto"/>
        </w:rPr>
        <w:t xml:space="preserve">logo on the other. </w:t>
      </w:r>
    </w:p>
    <w:p w:rsidR="00192A35" w:rsidRPr="00CD5B69" w:rsidRDefault="00092AA1" w:rsidP="003A33CF">
      <w:pPr>
        <w:rPr>
          <w:color w:val="auto"/>
        </w:rPr>
      </w:pPr>
      <w:bookmarkStart w:id="78" w:name="OLE_LINK3"/>
      <w:bookmarkStart w:id="79" w:name="OLE_LINK4"/>
      <w:r w:rsidRPr="00CD5B69">
        <w:rPr>
          <w:color w:val="auto"/>
        </w:rPr>
        <w:t>Aubagio</w:t>
      </w:r>
      <w:r w:rsidR="00192A35" w:rsidRPr="00CD5B69">
        <w:rPr>
          <w:color w:val="auto"/>
        </w:rPr>
        <w:t xml:space="preserve"> is supplied as:</w:t>
      </w:r>
    </w:p>
    <w:p w:rsidR="00F01D63" w:rsidRPr="00CD5B69" w:rsidRDefault="00F01D63" w:rsidP="003A33CF">
      <w:pPr>
        <w:rPr>
          <w:color w:val="auto"/>
        </w:rPr>
      </w:pPr>
      <w:r w:rsidRPr="00CD5B69">
        <w:rPr>
          <w:color w:val="auto"/>
        </w:rPr>
        <w:t xml:space="preserve">84 tablets in a carton containing 3 wallets of 2 folded </w:t>
      </w:r>
      <w:r w:rsidR="00EC2A9E" w:rsidRPr="00CD5B69">
        <w:rPr>
          <w:color w:val="auto"/>
        </w:rPr>
        <w:t>polyamide/aluminium/polyvinylchloride</w:t>
      </w:r>
      <w:r w:rsidRPr="00CD5B69">
        <w:rPr>
          <w:color w:val="auto"/>
        </w:rPr>
        <w:t xml:space="preserve"> blisters of 14 tablets per blister</w:t>
      </w:r>
      <w:r w:rsidR="00CD2851" w:rsidRPr="00CD5B69">
        <w:rPr>
          <w:color w:val="auto"/>
        </w:rPr>
        <w:t>*</w:t>
      </w:r>
      <w:r w:rsidRPr="00CD5B69">
        <w:rPr>
          <w:color w:val="auto"/>
        </w:rPr>
        <w:t>.</w:t>
      </w:r>
    </w:p>
    <w:p w:rsidR="00192A35" w:rsidRPr="00CD5B69" w:rsidRDefault="006521AC" w:rsidP="003A33CF">
      <w:pPr>
        <w:rPr>
          <w:color w:val="auto"/>
        </w:rPr>
      </w:pPr>
      <w:r w:rsidRPr="00CD5B69">
        <w:rPr>
          <w:color w:val="auto"/>
        </w:rPr>
        <w:t>28 tablets in a</w:t>
      </w:r>
      <w:r w:rsidR="00FA7DFA" w:rsidRPr="00CD5B69">
        <w:rPr>
          <w:color w:val="auto"/>
        </w:rPr>
        <w:t xml:space="preserve"> c</w:t>
      </w:r>
      <w:r w:rsidR="002A30B6" w:rsidRPr="00CD5B69">
        <w:rPr>
          <w:color w:val="auto"/>
        </w:rPr>
        <w:t xml:space="preserve">arton containing 1 wallet composed of 2 folded </w:t>
      </w:r>
      <w:r w:rsidR="00EC2A9E" w:rsidRPr="00CD5B69">
        <w:rPr>
          <w:color w:val="auto"/>
        </w:rPr>
        <w:t xml:space="preserve">polyamide/aluminium/polyvinylchloride </w:t>
      </w:r>
      <w:r w:rsidR="002A30B6" w:rsidRPr="00CD5B69">
        <w:rPr>
          <w:color w:val="auto"/>
        </w:rPr>
        <w:t xml:space="preserve">blisters of 14 tablets per blister. </w:t>
      </w:r>
    </w:p>
    <w:p w:rsidR="00CD2851" w:rsidRDefault="00CD2851" w:rsidP="003A33CF">
      <w:pPr>
        <w:rPr>
          <w:color w:val="auto"/>
        </w:rPr>
      </w:pPr>
      <w:r w:rsidRPr="00CD5B69">
        <w:rPr>
          <w:color w:val="auto"/>
        </w:rPr>
        <w:t>14 tablets in a carton containing 1 wallet composed of 1 polyamide/aluminium/polyvinylchloride blister of 14 tablets per blister*.</w:t>
      </w:r>
    </w:p>
    <w:p w:rsidR="00E30FDD" w:rsidRPr="00851EC3" w:rsidRDefault="00E30FDD" w:rsidP="00E30FDD">
      <w:pPr>
        <w:rPr>
          <w:color w:val="auto"/>
        </w:rPr>
      </w:pPr>
      <w:r w:rsidRPr="00851EC3">
        <w:rPr>
          <w:color w:val="auto"/>
        </w:rPr>
        <w:t xml:space="preserve">10 tablets in a carton containing </w:t>
      </w:r>
      <w:r w:rsidR="00A44DAD" w:rsidRPr="00851EC3">
        <w:rPr>
          <w:color w:val="auto"/>
        </w:rPr>
        <w:t>2</w:t>
      </w:r>
      <w:r w:rsidRPr="00851EC3">
        <w:rPr>
          <w:color w:val="auto"/>
        </w:rPr>
        <w:t xml:space="preserve"> polyamide/aluminium/polyvinylchloride blister of 5 tablets</w:t>
      </w:r>
      <w:r w:rsidR="00AA4E18" w:rsidRPr="00CD5B69">
        <w:rPr>
          <w:color w:val="auto"/>
        </w:rPr>
        <w:t>*</w:t>
      </w:r>
      <w:r w:rsidR="00AA4E18">
        <w:rPr>
          <w:color w:val="auto"/>
        </w:rPr>
        <w:t>.</w:t>
      </w:r>
    </w:p>
    <w:p w:rsidR="00192A35" w:rsidRPr="00CD5B69" w:rsidRDefault="00F01D63" w:rsidP="003A33CF">
      <w:pPr>
        <w:rPr>
          <w:color w:val="auto"/>
        </w:rPr>
      </w:pPr>
      <w:r w:rsidRPr="00CD5B69">
        <w:rPr>
          <w:color w:val="auto"/>
        </w:rPr>
        <w:t xml:space="preserve">5 </w:t>
      </w:r>
      <w:r w:rsidR="00192A35" w:rsidRPr="00CD5B69">
        <w:rPr>
          <w:color w:val="auto"/>
        </w:rPr>
        <w:t xml:space="preserve">tablets </w:t>
      </w:r>
      <w:r w:rsidR="006521AC" w:rsidRPr="00CD5B69">
        <w:rPr>
          <w:color w:val="auto"/>
        </w:rPr>
        <w:t xml:space="preserve">in a carton </w:t>
      </w:r>
      <w:r w:rsidR="00192A35" w:rsidRPr="00CD5B69">
        <w:rPr>
          <w:color w:val="auto"/>
        </w:rPr>
        <w:t xml:space="preserve">containing </w:t>
      </w:r>
      <w:r w:rsidRPr="00CD5B69">
        <w:rPr>
          <w:color w:val="auto"/>
        </w:rPr>
        <w:t xml:space="preserve">1 </w:t>
      </w:r>
      <w:r w:rsidR="00EC2A9E" w:rsidRPr="00CD5B69">
        <w:rPr>
          <w:color w:val="auto"/>
        </w:rPr>
        <w:t xml:space="preserve">polyamide/aluminium/polyvinylchloride </w:t>
      </w:r>
      <w:r w:rsidR="00192A35" w:rsidRPr="00CD5B69">
        <w:rPr>
          <w:color w:val="auto"/>
        </w:rPr>
        <w:t>blister of 5 tablets</w:t>
      </w:r>
      <w:r w:rsidR="00DE21C4" w:rsidRPr="00CD5B69">
        <w:rPr>
          <w:color w:val="auto"/>
        </w:rPr>
        <w:t>*</w:t>
      </w:r>
      <w:r w:rsidR="00192A35" w:rsidRPr="00CD5B69">
        <w:rPr>
          <w:color w:val="auto"/>
        </w:rPr>
        <w:t>.</w:t>
      </w:r>
    </w:p>
    <w:p w:rsidR="006521AC" w:rsidRPr="00CD5B69" w:rsidRDefault="006521AC" w:rsidP="003A33CF">
      <w:pPr>
        <w:rPr>
          <w:color w:val="auto"/>
        </w:rPr>
      </w:pPr>
      <w:r w:rsidRPr="00CD5B69">
        <w:rPr>
          <w:color w:val="auto"/>
        </w:rPr>
        <w:t>Store below</w:t>
      </w:r>
      <w:r w:rsidR="00397867" w:rsidRPr="00CD5B69">
        <w:rPr>
          <w:color w:val="auto"/>
        </w:rPr>
        <w:t xml:space="preserve"> </w:t>
      </w:r>
      <w:r w:rsidR="00CD2851" w:rsidRPr="00CD5B69">
        <w:rPr>
          <w:color w:val="auto"/>
        </w:rPr>
        <w:t>30</w:t>
      </w:r>
      <w:r w:rsidR="00EF345C" w:rsidRPr="00CD5B69">
        <w:rPr>
          <w:color w:val="auto"/>
        </w:rPr>
        <w:t xml:space="preserve"> </w:t>
      </w:r>
      <w:r w:rsidRPr="00CD5B69">
        <w:rPr>
          <w:color w:val="auto"/>
        </w:rPr>
        <w:t>degrees Celsius.</w:t>
      </w:r>
    </w:p>
    <w:p w:rsidR="00DE21C4" w:rsidRPr="00CD5B69" w:rsidRDefault="00DE21C4" w:rsidP="003A33CF">
      <w:pPr>
        <w:rPr>
          <w:color w:val="auto"/>
        </w:rPr>
      </w:pPr>
      <w:r w:rsidRPr="00CD5B69">
        <w:rPr>
          <w:color w:val="auto"/>
        </w:rPr>
        <w:t>* Not marketed</w:t>
      </w:r>
    </w:p>
    <w:p w:rsidR="00CD3B4F" w:rsidRPr="00CD5B69" w:rsidRDefault="00CD3B4F" w:rsidP="00CD3B4F">
      <w:pPr>
        <w:pStyle w:val="Heading1"/>
        <w:pageBreakBefore w:val="0"/>
        <w:numPr>
          <w:ilvl w:val="0"/>
          <w:numId w:val="0"/>
        </w:numPr>
      </w:pPr>
      <w:bookmarkStart w:id="80" w:name="_Toc307918147"/>
      <w:bookmarkEnd w:id="78"/>
      <w:bookmarkEnd w:id="79"/>
      <w:r w:rsidRPr="00CD5B69">
        <w:lastRenderedPageBreak/>
        <w:t>name and address of sponsor</w:t>
      </w:r>
      <w:bookmarkEnd w:id="80"/>
    </w:p>
    <w:p w:rsidR="00CD3B4F" w:rsidRPr="00CD5B69" w:rsidRDefault="007D7B30" w:rsidP="00CD3B4F">
      <w:pPr>
        <w:rPr>
          <w:color w:val="auto"/>
          <w:lang w:val="it-IT"/>
        </w:rPr>
      </w:pPr>
      <w:r w:rsidRPr="00CD5B69">
        <w:rPr>
          <w:color w:val="auto"/>
          <w:lang w:val="it-IT"/>
        </w:rPr>
        <w:t>s</w:t>
      </w:r>
      <w:r w:rsidR="00CD3B4F" w:rsidRPr="00CD5B69">
        <w:rPr>
          <w:color w:val="auto"/>
          <w:lang w:val="it-IT"/>
        </w:rPr>
        <w:t>anofi</w:t>
      </w:r>
      <w:r w:rsidRPr="00CD5B69">
        <w:rPr>
          <w:color w:val="auto"/>
          <w:lang w:val="it-IT"/>
        </w:rPr>
        <w:t>-aventis</w:t>
      </w:r>
      <w:r w:rsidR="00CD3B4F" w:rsidRPr="00CD5B69">
        <w:rPr>
          <w:color w:val="auto"/>
          <w:lang w:val="it-IT"/>
        </w:rPr>
        <w:t xml:space="preserve"> australia pty ltd</w:t>
      </w:r>
    </w:p>
    <w:p w:rsidR="00CD3B4F" w:rsidRPr="00CD5B69" w:rsidRDefault="00CD3B4F" w:rsidP="00CD3B4F">
      <w:pPr>
        <w:spacing w:before="0"/>
        <w:rPr>
          <w:color w:val="auto"/>
          <w:lang w:val="it-IT"/>
        </w:rPr>
      </w:pPr>
      <w:r w:rsidRPr="00CD5B69">
        <w:rPr>
          <w:color w:val="auto"/>
          <w:lang w:val="it-IT"/>
        </w:rPr>
        <w:t>12-24 Talavera Road</w:t>
      </w:r>
    </w:p>
    <w:p w:rsidR="00CD3B4F" w:rsidRPr="00CD5B69" w:rsidRDefault="00CD3B4F" w:rsidP="00CD3B4F">
      <w:pPr>
        <w:spacing w:before="0"/>
        <w:rPr>
          <w:color w:val="auto"/>
          <w:lang w:val="it-IT"/>
        </w:rPr>
      </w:pPr>
      <w:r w:rsidRPr="00CD5B69">
        <w:rPr>
          <w:color w:val="auto"/>
          <w:lang w:val="it-IT"/>
        </w:rPr>
        <w:t>Macquarie Park NSW 2113</w:t>
      </w:r>
    </w:p>
    <w:p w:rsidR="00CD3B4F" w:rsidRPr="00CD5B69" w:rsidRDefault="00CD3B4F" w:rsidP="00CD3B4F">
      <w:pPr>
        <w:spacing w:before="0"/>
        <w:rPr>
          <w:color w:val="auto"/>
          <w:lang w:val="it-IT"/>
        </w:rPr>
      </w:pPr>
      <w:r w:rsidRPr="00CD5B69">
        <w:rPr>
          <w:color w:val="auto"/>
          <w:lang w:val="it-IT"/>
        </w:rPr>
        <w:t>Australia</w:t>
      </w:r>
    </w:p>
    <w:p w:rsidR="00CD3B4F" w:rsidRPr="00CD5B69" w:rsidRDefault="00CD3B4F" w:rsidP="00CD3B4F">
      <w:pPr>
        <w:pStyle w:val="Heading1"/>
        <w:pageBreakBefore w:val="0"/>
        <w:numPr>
          <w:ilvl w:val="0"/>
          <w:numId w:val="0"/>
        </w:numPr>
      </w:pPr>
      <w:bookmarkStart w:id="81" w:name="_Toc307918148"/>
      <w:r w:rsidRPr="00CD5B69">
        <w:t>poison schedule of the medicine</w:t>
      </w:r>
      <w:bookmarkEnd w:id="81"/>
    </w:p>
    <w:p w:rsidR="00CD3B4F" w:rsidRPr="00CD5B69" w:rsidRDefault="00CD3B4F" w:rsidP="00CD3B4F">
      <w:pPr>
        <w:rPr>
          <w:color w:val="auto"/>
        </w:rPr>
      </w:pPr>
      <w:r w:rsidRPr="00CD5B69">
        <w:rPr>
          <w:color w:val="auto"/>
        </w:rPr>
        <w:t>Schedule 4 (Prescription Only Medicine)</w:t>
      </w:r>
    </w:p>
    <w:p w:rsidR="00CD3B4F" w:rsidRPr="00CD5B69" w:rsidRDefault="00314378" w:rsidP="00CD3B4F">
      <w:pPr>
        <w:pStyle w:val="Heading1"/>
        <w:pageBreakBefore w:val="0"/>
        <w:numPr>
          <w:ilvl w:val="0"/>
          <w:numId w:val="0"/>
        </w:numPr>
      </w:pPr>
      <w:bookmarkStart w:id="82" w:name="_Toc307918149"/>
      <w:r w:rsidRPr="00CD5B69">
        <w:t>date of first inclus</w:t>
      </w:r>
      <w:r w:rsidR="00CD3B4F" w:rsidRPr="00CD5B69">
        <w:t>ion in the Artg</w:t>
      </w:r>
      <w:bookmarkEnd w:id="82"/>
    </w:p>
    <w:p w:rsidR="00192A35" w:rsidRDefault="00921298" w:rsidP="003A33CF">
      <w:pPr>
        <w:rPr>
          <w:color w:val="auto"/>
        </w:rPr>
      </w:pPr>
      <w:r w:rsidRPr="00D87818">
        <w:rPr>
          <w:color w:val="auto"/>
        </w:rPr>
        <w:t>14</w:t>
      </w:r>
      <w:r w:rsidR="00CD2851" w:rsidRPr="00D87818">
        <w:rPr>
          <w:color w:val="auto"/>
        </w:rPr>
        <w:t xml:space="preserve"> November 2012</w:t>
      </w:r>
    </w:p>
    <w:p w:rsidR="004E0704" w:rsidRDefault="004E0704" w:rsidP="004E0704">
      <w:pPr>
        <w:pStyle w:val="Heading1"/>
        <w:pageBreakBefore w:val="0"/>
        <w:numPr>
          <w:ilvl w:val="0"/>
          <w:numId w:val="0"/>
        </w:numPr>
      </w:pPr>
      <w:r>
        <w:t>date of most recent amendment</w:t>
      </w:r>
    </w:p>
    <w:p w:rsidR="004E0704" w:rsidRPr="004E0704" w:rsidRDefault="004E0704" w:rsidP="004E0704">
      <w:r>
        <w:t>12 December 2012</w:t>
      </w:r>
    </w:p>
    <w:sectPr w:rsidR="004E0704" w:rsidRPr="004E0704" w:rsidSect="00770C03">
      <w:headerReference w:type="default" r:id="rId10"/>
      <w:footerReference w:type="default" r:id="rId11"/>
      <w:pgSz w:w="11906" w:h="16838" w:code="9"/>
      <w:pgMar w:top="1814" w:right="850" w:bottom="2154" w:left="1587" w:header="1134" w:footer="15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839" w:rsidRDefault="00C65839">
      <w:r>
        <w:separator/>
      </w:r>
    </w:p>
  </w:endnote>
  <w:endnote w:type="continuationSeparator" w:id="0">
    <w:p w:rsidR="00C65839" w:rsidRDefault="00C658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1D" w:rsidRDefault="008D2D1D">
    <w:pPr>
      <w:pStyle w:val="Footer"/>
    </w:pPr>
  </w:p>
  <w:p w:rsidR="008D2D1D" w:rsidRDefault="008D2D1D">
    <w:pPr>
      <w:pStyle w:val="Footer"/>
    </w:pPr>
    <w:r>
      <w:t>Property of the sanofi-aventis group - strictly confidential</w:t>
    </w:r>
  </w:p>
  <w:p w:rsidR="008D2D1D" w:rsidRPr="005755DF" w:rsidRDefault="008D2D1D">
    <w:pPr>
      <w:pStyle w:val="Footer"/>
    </w:pPr>
    <w:r>
      <w:t>aubagio-ccdsv0-piv1-26oct12</w:t>
    </w:r>
    <w:r w:rsidRPr="005755DF">
      <w:t>.doc</w:t>
    </w:r>
    <w:r w:rsidRPr="005755DF">
      <w:tab/>
      <w:t xml:space="preserve">Page </w:t>
    </w:r>
    <w:r>
      <w:fldChar w:fldCharType="begin"/>
    </w:r>
    <w:r w:rsidRPr="005755DF">
      <w:instrText xml:space="preserve"> PAGE  \* MERGEFORMAT </w:instrText>
    </w:r>
    <w:r>
      <w:fldChar w:fldCharType="separate"/>
    </w:r>
    <w:r w:rsidR="005029DD">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839" w:rsidRDefault="00C65839">
      <w:r>
        <w:separator/>
      </w:r>
    </w:p>
  </w:footnote>
  <w:footnote w:type="continuationSeparator" w:id="0">
    <w:p w:rsidR="00C65839" w:rsidRDefault="00C65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1D" w:rsidRDefault="008D2D1D" w:rsidP="004741D7">
    <w:pPr>
      <w:pStyle w:val="Header"/>
    </w:pPr>
    <w:fldSimple w:instr=" DOCPROPERTY &quot;Document Type&quot;  \* MERGEFORMAT ">
      <w:r>
        <w:t>Product Information</w:t>
      </w:r>
    </w:fldSimple>
    <w:r>
      <w:t xml:space="preserve"> </w:t>
    </w:r>
    <w:r>
      <w:tab/>
    </w:r>
    <w:fldSimple w:instr=" DOCPROPERTY &quot;Date&quot;  \* MERGEFORMAT ">
      <w:r>
        <w:t>November 2012</w:t>
      </w:r>
    </w:fldSimple>
  </w:p>
  <w:p w:rsidR="008D2D1D" w:rsidRDefault="008D2D1D" w:rsidP="00A719F2">
    <w:pPr>
      <w:pStyle w:val="Header"/>
      <w:spacing w:after="240"/>
    </w:pPr>
    <w:fldSimple w:instr=" DOCPROPERTY &quot;Product Code&quot;  \* MERGEFORMAT ">
      <w:r>
        <w:t>Aubagio</w:t>
      </w:r>
    </w:fldSimple>
    <w:r>
      <w:t xml:space="preserve"> - </w:t>
    </w:r>
    <w:fldSimple w:instr=" DOCPROPERTY &quot;INN&quot;  \* MERGEFORMAT ">
      <w:r>
        <w:t>teriflunomide 14 mg tablets</w:t>
      </w:r>
    </w:fldSimple>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8D2D1D" w:rsidTr="00A719F2">
      <w:tc>
        <w:tcPr>
          <w:tcW w:w="8720" w:type="dxa"/>
          <w:shd w:val="clear" w:color="auto" w:fill="E4F2E0"/>
        </w:tcPr>
        <w:p w:rsidR="008D2D1D" w:rsidRPr="00A719F2" w:rsidRDefault="008D2D1D" w:rsidP="00A719F2">
          <w:pPr>
            <w:spacing w:before="40" w:after="40"/>
            <w:rPr>
              <w:b/>
              <w:sz w:val="20"/>
              <w:szCs w:val="20"/>
            </w:rPr>
          </w:pPr>
          <w:r w:rsidRPr="00A719F2">
            <w:rPr>
              <w:b/>
              <w:sz w:val="20"/>
              <w:szCs w:val="20"/>
            </w:rPr>
            <w:t>Attachment 1: Product information for AusPAR Aubagio/Teriflunomide Winthrop/Teriflunomide Sanofi Teriflunomide Sanofi-Aventis Australia Pty Ltd PM-2011-02772-3-1 Final 21 May 2013. This Product Information was approved at the time this AusPAR was published.</w:t>
          </w:r>
        </w:p>
      </w:tc>
    </w:tr>
  </w:tbl>
  <w:p w:rsidR="008D2D1D" w:rsidRDefault="008D2D1D" w:rsidP="00A719F2">
    <w:pPr>
      <w:pStyle w:val="Header"/>
    </w:pPr>
  </w:p>
  <w:p w:rsidR="008D2D1D" w:rsidRDefault="008D2D1D" w:rsidP="008D2D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
    <w:nsid w:val="0C0268D4"/>
    <w:multiLevelType w:val="multilevel"/>
    <w:tmpl w:val="5628D836"/>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2">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3">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5">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6">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7">
    <w:nsid w:val="22566752"/>
    <w:multiLevelType w:val="hybridMultilevel"/>
    <w:tmpl w:val="3F203B2E"/>
    <w:name w:val="LT_Heading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9">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6A76F60"/>
    <w:multiLevelType w:val="multilevel"/>
    <w:tmpl w:val="8A5A1AE8"/>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D1F0987"/>
    <w:multiLevelType w:val="hybridMultilevel"/>
    <w:tmpl w:val="74C2BCE2"/>
    <w:name w:val="LT_Heading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4">
    <w:nsid w:val="591F361E"/>
    <w:multiLevelType w:val="multilevel"/>
    <w:tmpl w:val="2066672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0">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3"/>
  </w:num>
  <w:num w:numId="2">
    <w:abstractNumId w:val="17"/>
  </w:num>
  <w:num w:numId="3">
    <w:abstractNumId w:val="8"/>
  </w:num>
  <w:num w:numId="4">
    <w:abstractNumId w:val="6"/>
  </w:num>
  <w:num w:numId="5">
    <w:abstractNumId w:val="2"/>
  </w:num>
  <w:num w:numId="6">
    <w:abstractNumId w:val="0"/>
  </w:num>
  <w:num w:numId="7">
    <w:abstractNumId w:val="19"/>
  </w:num>
  <w:num w:numId="8">
    <w:abstractNumId w:val="10"/>
  </w:num>
  <w:num w:numId="9">
    <w:abstractNumId w:val="18"/>
  </w:num>
  <w:num w:numId="10">
    <w:abstractNumId w:val="17"/>
  </w:num>
  <w:num w:numId="11">
    <w:abstractNumId w:val="17"/>
  </w:num>
  <w:num w:numId="12">
    <w:abstractNumId w:val="17"/>
  </w:num>
  <w:num w:numId="13">
    <w:abstractNumId w:val="3"/>
  </w:num>
  <w:num w:numId="14">
    <w:abstractNumId w:val="3"/>
  </w:num>
  <w:num w:numId="15">
    <w:abstractNumId w:val="19"/>
  </w:num>
  <w:num w:numId="16">
    <w:abstractNumId w:val="19"/>
  </w:num>
  <w:num w:numId="17">
    <w:abstractNumId w:val="11"/>
  </w:num>
  <w:num w:numId="18">
    <w:abstractNumId w:val="15"/>
  </w:num>
  <w:num w:numId="19">
    <w:abstractNumId w:val="1"/>
  </w:num>
  <w:num w:numId="20">
    <w:abstractNumId w:val="1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ttachedTemplate r:id="rId1"/>
  <w:stylePaneFormatFilter w:val="3F08"/>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cVars>
    <w:docVar w:name="FlagShowHiddenText" w:val="1"/>
  </w:docVars>
  <w:rsids>
    <w:rsidRoot w:val="00471C88"/>
    <w:rsid w:val="000068A0"/>
    <w:rsid w:val="0000741D"/>
    <w:rsid w:val="00011DCC"/>
    <w:rsid w:val="00011E1C"/>
    <w:rsid w:val="00012F18"/>
    <w:rsid w:val="00013F58"/>
    <w:rsid w:val="00021D3B"/>
    <w:rsid w:val="0002711C"/>
    <w:rsid w:val="00027755"/>
    <w:rsid w:val="00030C9D"/>
    <w:rsid w:val="00031B3E"/>
    <w:rsid w:val="00033826"/>
    <w:rsid w:val="00035EBF"/>
    <w:rsid w:val="000404F7"/>
    <w:rsid w:val="0004520B"/>
    <w:rsid w:val="000556C3"/>
    <w:rsid w:val="0005574B"/>
    <w:rsid w:val="00055AA3"/>
    <w:rsid w:val="0005616B"/>
    <w:rsid w:val="00061619"/>
    <w:rsid w:val="000627E6"/>
    <w:rsid w:val="000745E0"/>
    <w:rsid w:val="00075E7F"/>
    <w:rsid w:val="00083568"/>
    <w:rsid w:val="00092A56"/>
    <w:rsid w:val="00092AA1"/>
    <w:rsid w:val="000A3590"/>
    <w:rsid w:val="000B2D38"/>
    <w:rsid w:val="000B506F"/>
    <w:rsid w:val="000C4D83"/>
    <w:rsid w:val="000C5EB5"/>
    <w:rsid w:val="000C7EE6"/>
    <w:rsid w:val="000D1DA9"/>
    <w:rsid w:val="000D484F"/>
    <w:rsid w:val="000D5747"/>
    <w:rsid w:val="000D594D"/>
    <w:rsid w:val="000E0B68"/>
    <w:rsid w:val="000E11CF"/>
    <w:rsid w:val="000E2A05"/>
    <w:rsid w:val="000E2BD3"/>
    <w:rsid w:val="000F59A9"/>
    <w:rsid w:val="000F7567"/>
    <w:rsid w:val="000F7CC5"/>
    <w:rsid w:val="00102F71"/>
    <w:rsid w:val="00103AE3"/>
    <w:rsid w:val="0010421C"/>
    <w:rsid w:val="00107F1D"/>
    <w:rsid w:val="0011115C"/>
    <w:rsid w:val="00112446"/>
    <w:rsid w:val="00112F09"/>
    <w:rsid w:val="0013113F"/>
    <w:rsid w:val="00133CC3"/>
    <w:rsid w:val="00136B32"/>
    <w:rsid w:val="001545B2"/>
    <w:rsid w:val="001644B4"/>
    <w:rsid w:val="00175633"/>
    <w:rsid w:val="001777CA"/>
    <w:rsid w:val="00180162"/>
    <w:rsid w:val="0018500D"/>
    <w:rsid w:val="00185396"/>
    <w:rsid w:val="001905B5"/>
    <w:rsid w:val="00192A35"/>
    <w:rsid w:val="00193480"/>
    <w:rsid w:val="0019534B"/>
    <w:rsid w:val="001A0E94"/>
    <w:rsid w:val="001A1310"/>
    <w:rsid w:val="001A7D22"/>
    <w:rsid w:val="001C11BA"/>
    <w:rsid w:val="001C1A4F"/>
    <w:rsid w:val="001C7F30"/>
    <w:rsid w:val="001D006D"/>
    <w:rsid w:val="001D2B56"/>
    <w:rsid w:val="001D34C7"/>
    <w:rsid w:val="001D6234"/>
    <w:rsid w:val="001D79DD"/>
    <w:rsid w:val="001E1AEF"/>
    <w:rsid w:val="001E2450"/>
    <w:rsid w:val="001E2B9E"/>
    <w:rsid w:val="001E58CC"/>
    <w:rsid w:val="001E7BE7"/>
    <w:rsid w:val="001F0844"/>
    <w:rsid w:val="001F3F3C"/>
    <w:rsid w:val="002050A5"/>
    <w:rsid w:val="0020796D"/>
    <w:rsid w:val="00212B1B"/>
    <w:rsid w:val="00227E49"/>
    <w:rsid w:val="00227F38"/>
    <w:rsid w:val="002311B2"/>
    <w:rsid w:val="002337F5"/>
    <w:rsid w:val="002341EB"/>
    <w:rsid w:val="00241E76"/>
    <w:rsid w:val="00252BFD"/>
    <w:rsid w:val="00260894"/>
    <w:rsid w:val="00263A6F"/>
    <w:rsid w:val="00264A21"/>
    <w:rsid w:val="00271595"/>
    <w:rsid w:val="002715F9"/>
    <w:rsid w:val="00271DB3"/>
    <w:rsid w:val="002776B9"/>
    <w:rsid w:val="00286C16"/>
    <w:rsid w:val="00293B5D"/>
    <w:rsid w:val="002958B4"/>
    <w:rsid w:val="002A0158"/>
    <w:rsid w:val="002A30B6"/>
    <w:rsid w:val="002A5F49"/>
    <w:rsid w:val="002B59A9"/>
    <w:rsid w:val="002B5B1A"/>
    <w:rsid w:val="002C026A"/>
    <w:rsid w:val="002C4A52"/>
    <w:rsid w:val="002D243B"/>
    <w:rsid w:val="002D2CE4"/>
    <w:rsid w:val="002D5504"/>
    <w:rsid w:val="002D6F9D"/>
    <w:rsid w:val="002D79EC"/>
    <w:rsid w:val="002E42BA"/>
    <w:rsid w:val="002F123B"/>
    <w:rsid w:val="002F45C7"/>
    <w:rsid w:val="003045E3"/>
    <w:rsid w:val="00310498"/>
    <w:rsid w:val="00314378"/>
    <w:rsid w:val="00317EE0"/>
    <w:rsid w:val="003217FE"/>
    <w:rsid w:val="0032202D"/>
    <w:rsid w:val="00322613"/>
    <w:rsid w:val="0032702A"/>
    <w:rsid w:val="00331380"/>
    <w:rsid w:val="00332677"/>
    <w:rsid w:val="00335323"/>
    <w:rsid w:val="0034099C"/>
    <w:rsid w:val="00340E08"/>
    <w:rsid w:val="003433DD"/>
    <w:rsid w:val="00343A38"/>
    <w:rsid w:val="003557E1"/>
    <w:rsid w:val="00361CDC"/>
    <w:rsid w:val="00365F8C"/>
    <w:rsid w:val="00370A94"/>
    <w:rsid w:val="0038193A"/>
    <w:rsid w:val="00385EB3"/>
    <w:rsid w:val="003937AE"/>
    <w:rsid w:val="00394EA2"/>
    <w:rsid w:val="00397867"/>
    <w:rsid w:val="003A0301"/>
    <w:rsid w:val="003A0A9A"/>
    <w:rsid w:val="003A0BA8"/>
    <w:rsid w:val="003A33CF"/>
    <w:rsid w:val="003A3DC1"/>
    <w:rsid w:val="003A7AD0"/>
    <w:rsid w:val="003B024F"/>
    <w:rsid w:val="003B6FCE"/>
    <w:rsid w:val="003B7851"/>
    <w:rsid w:val="003C558F"/>
    <w:rsid w:val="003D2CC0"/>
    <w:rsid w:val="003D4AA1"/>
    <w:rsid w:val="003E463E"/>
    <w:rsid w:val="003E7D93"/>
    <w:rsid w:val="003F158A"/>
    <w:rsid w:val="003F1F87"/>
    <w:rsid w:val="003F73D2"/>
    <w:rsid w:val="00412BD2"/>
    <w:rsid w:val="004135A4"/>
    <w:rsid w:val="00427A6E"/>
    <w:rsid w:val="0043156A"/>
    <w:rsid w:val="00431B1F"/>
    <w:rsid w:val="00431D2E"/>
    <w:rsid w:val="004340C2"/>
    <w:rsid w:val="0044094F"/>
    <w:rsid w:val="004413F9"/>
    <w:rsid w:val="00444494"/>
    <w:rsid w:val="004452BC"/>
    <w:rsid w:val="00445D3D"/>
    <w:rsid w:val="00446E3B"/>
    <w:rsid w:val="00452A85"/>
    <w:rsid w:val="00453150"/>
    <w:rsid w:val="0046317D"/>
    <w:rsid w:val="004654EF"/>
    <w:rsid w:val="00465A92"/>
    <w:rsid w:val="00471C88"/>
    <w:rsid w:val="00473E41"/>
    <w:rsid w:val="004741D7"/>
    <w:rsid w:val="004741F5"/>
    <w:rsid w:val="004777B1"/>
    <w:rsid w:val="00482939"/>
    <w:rsid w:val="00482C9C"/>
    <w:rsid w:val="004902B7"/>
    <w:rsid w:val="00493D77"/>
    <w:rsid w:val="004A2698"/>
    <w:rsid w:val="004A47B5"/>
    <w:rsid w:val="004A6766"/>
    <w:rsid w:val="004B0DD8"/>
    <w:rsid w:val="004B0F9B"/>
    <w:rsid w:val="004B52FE"/>
    <w:rsid w:val="004C3809"/>
    <w:rsid w:val="004C5097"/>
    <w:rsid w:val="004C7DAD"/>
    <w:rsid w:val="004E0704"/>
    <w:rsid w:val="004E1BA5"/>
    <w:rsid w:val="004E32B7"/>
    <w:rsid w:val="004E5C83"/>
    <w:rsid w:val="004F317B"/>
    <w:rsid w:val="004F3609"/>
    <w:rsid w:val="004F44D4"/>
    <w:rsid w:val="004F66AF"/>
    <w:rsid w:val="005029DD"/>
    <w:rsid w:val="00505D13"/>
    <w:rsid w:val="00513474"/>
    <w:rsid w:val="005150E6"/>
    <w:rsid w:val="00517D09"/>
    <w:rsid w:val="00522D80"/>
    <w:rsid w:val="00526D92"/>
    <w:rsid w:val="005309FE"/>
    <w:rsid w:val="00531096"/>
    <w:rsid w:val="00531660"/>
    <w:rsid w:val="00531BB7"/>
    <w:rsid w:val="0054400F"/>
    <w:rsid w:val="005443EC"/>
    <w:rsid w:val="00546AA5"/>
    <w:rsid w:val="00551BCF"/>
    <w:rsid w:val="00551BDF"/>
    <w:rsid w:val="00554FB9"/>
    <w:rsid w:val="005571A1"/>
    <w:rsid w:val="005627BC"/>
    <w:rsid w:val="005669F1"/>
    <w:rsid w:val="00567990"/>
    <w:rsid w:val="005701C5"/>
    <w:rsid w:val="00571BB8"/>
    <w:rsid w:val="005755DF"/>
    <w:rsid w:val="00576160"/>
    <w:rsid w:val="00581F6A"/>
    <w:rsid w:val="0059089C"/>
    <w:rsid w:val="0059272F"/>
    <w:rsid w:val="00592D46"/>
    <w:rsid w:val="00595EB5"/>
    <w:rsid w:val="005A219D"/>
    <w:rsid w:val="005A467B"/>
    <w:rsid w:val="005A47AF"/>
    <w:rsid w:val="005A5163"/>
    <w:rsid w:val="005B2740"/>
    <w:rsid w:val="005B2BC7"/>
    <w:rsid w:val="005B7CF1"/>
    <w:rsid w:val="005C0BA3"/>
    <w:rsid w:val="005C2DF2"/>
    <w:rsid w:val="005C7B68"/>
    <w:rsid w:val="005D1192"/>
    <w:rsid w:val="005D64D5"/>
    <w:rsid w:val="005E0120"/>
    <w:rsid w:val="005E571E"/>
    <w:rsid w:val="005F3CA7"/>
    <w:rsid w:val="005F4540"/>
    <w:rsid w:val="005F55C1"/>
    <w:rsid w:val="005F64CF"/>
    <w:rsid w:val="005F7B05"/>
    <w:rsid w:val="00611F8D"/>
    <w:rsid w:val="006202BC"/>
    <w:rsid w:val="006217B2"/>
    <w:rsid w:val="006222D0"/>
    <w:rsid w:val="006306D4"/>
    <w:rsid w:val="00631385"/>
    <w:rsid w:val="00637460"/>
    <w:rsid w:val="00640D8D"/>
    <w:rsid w:val="00641108"/>
    <w:rsid w:val="00641E1C"/>
    <w:rsid w:val="006521AC"/>
    <w:rsid w:val="00652EC2"/>
    <w:rsid w:val="00653146"/>
    <w:rsid w:val="00656C1F"/>
    <w:rsid w:val="006843BB"/>
    <w:rsid w:val="0069398E"/>
    <w:rsid w:val="006A553E"/>
    <w:rsid w:val="006B117F"/>
    <w:rsid w:val="006C19AF"/>
    <w:rsid w:val="006C3D42"/>
    <w:rsid w:val="006C5971"/>
    <w:rsid w:val="006D09E2"/>
    <w:rsid w:val="006D1707"/>
    <w:rsid w:val="006D6D84"/>
    <w:rsid w:val="006E0239"/>
    <w:rsid w:val="006E26A6"/>
    <w:rsid w:val="006E2775"/>
    <w:rsid w:val="006E6C41"/>
    <w:rsid w:val="006F15B7"/>
    <w:rsid w:val="006F1C02"/>
    <w:rsid w:val="006F1E4F"/>
    <w:rsid w:val="006F345E"/>
    <w:rsid w:val="007027AD"/>
    <w:rsid w:val="007054C3"/>
    <w:rsid w:val="00705678"/>
    <w:rsid w:val="007061C7"/>
    <w:rsid w:val="00716826"/>
    <w:rsid w:val="00723AB1"/>
    <w:rsid w:val="00724B78"/>
    <w:rsid w:val="0072566A"/>
    <w:rsid w:val="00725EE9"/>
    <w:rsid w:val="007262FC"/>
    <w:rsid w:val="00736892"/>
    <w:rsid w:val="00737098"/>
    <w:rsid w:val="00737A6A"/>
    <w:rsid w:val="00751E21"/>
    <w:rsid w:val="00754AAC"/>
    <w:rsid w:val="00754E54"/>
    <w:rsid w:val="007572E6"/>
    <w:rsid w:val="00761589"/>
    <w:rsid w:val="007644F4"/>
    <w:rsid w:val="00770C03"/>
    <w:rsid w:val="007712FF"/>
    <w:rsid w:val="0078045F"/>
    <w:rsid w:val="00786379"/>
    <w:rsid w:val="00791A03"/>
    <w:rsid w:val="007A59A1"/>
    <w:rsid w:val="007A7A4B"/>
    <w:rsid w:val="007B22DC"/>
    <w:rsid w:val="007B2E62"/>
    <w:rsid w:val="007B3E44"/>
    <w:rsid w:val="007B46A6"/>
    <w:rsid w:val="007C1148"/>
    <w:rsid w:val="007C2952"/>
    <w:rsid w:val="007C59C5"/>
    <w:rsid w:val="007C75BA"/>
    <w:rsid w:val="007D7B30"/>
    <w:rsid w:val="007E3F0C"/>
    <w:rsid w:val="007E6263"/>
    <w:rsid w:val="007E6890"/>
    <w:rsid w:val="007E6A46"/>
    <w:rsid w:val="007F01F5"/>
    <w:rsid w:val="007F1035"/>
    <w:rsid w:val="007F1748"/>
    <w:rsid w:val="007F2568"/>
    <w:rsid w:val="007F41D6"/>
    <w:rsid w:val="007F5DF0"/>
    <w:rsid w:val="00802675"/>
    <w:rsid w:val="008125BF"/>
    <w:rsid w:val="0081262E"/>
    <w:rsid w:val="008134BD"/>
    <w:rsid w:val="00820CFD"/>
    <w:rsid w:val="00822D0A"/>
    <w:rsid w:val="00823C40"/>
    <w:rsid w:val="008257CA"/>
    <w:rsid w:val="00831C02"/>
    <w:rsid w:val="00835F98"/>
    <w:rsid w:val="00851EC3"/>
    <w:rsid w:val="00853317"/>
    <w:rsid w:val="00857933"/>
    <w:rsid w:val="00860346"/>
    <w:rsid w:val="0086090D"/>
    <w:rsid w:val="00863792"/>
    <w:rsid w:val="00864545"/>
    <w:rsid w:val="008744C6"/>
    <w:rsid w:val="00882F6F"/>
    <w:rsid w:val="00883F38"/>
    <w:rsid w:val="0088591F"/>
    <w:rsid w:val="0089017C"/>
    <w:rsid w:val="008912C6"/>
    <w:rsid w:val="0089366C"/>
    <w:rsid w:val="008961D1"/>
    <w:rsid w:val="008A1610"/>
    <w:rsid w:val="008A1F15"/>
    <w:rsid w:val="008A28BD"/>
    <w:rsid w:val="008A5C9E"/>
    <w:rsid w:val="008B217B"/>
    <w:rsid w:val="008B23D1"/>
    <w:rsid w:val="008C4493"/>
    <w:rsid w:val="008D0C71"/>
    <w:rsid w:val="008D2D1D"/>
    <w:rsid w:val="008D3AFC"/>
    <w:rsid w:val="008E303C"/>
    <w:rsid w:val="008E3DEC"/>
    <w:rsid w:val="008E585D"/>
    <w:rsid w:val="008E65FD"/>
    <w:rsid w:val="008E7390"/>
    <w:rsid w:val="008F76BC"/>
    <w:rsid w:val="009028FB"/>
    <w:rsid w:val="00903299"/>
    <w:rsid w:val="00903328"/>
    <w:rsid w:val="00911480"/>
    <w:rsid w:val="00912FF3"/>
    <w:rsid w:val="00914C57"/>
    <w:rsid w:val="0091558F"/>
    <w:rsid w:val="00920C38"/>
    <w:rsid w:val="00921298"/>
    <w:rsid w:val="00927173"/>
    <w:rsid w:val="00935904"/>
    <w:rsid w:val="009408A6"/>
    <w:rsid w:val="009415E1"/>
    <w:rsid w:val="0094448F"/>
    <w:rsid w:val="009452A1"/>
    <w:rsid w:val="0094744F"/>
    <w:rsid w:val="009524EB"/>
    <w:rsid w:val="0095675C"/>
    <w:rsid w:val="00957DC1"/>
    <w:rsid w:val="0096168D"/>
    <w:rsid w:val="009639C2"/>
    <w:rsid w:val="009661D2"/>
    <w:rsid w:val="0097791D"/>
    <w:rsid w:val="00982762"/>
    <w:rsid w:val="00982BCA"/>
    <w:rsid w:val="00983687"/>
    <w:rsid w:val="00987AE0"/>
    <w:rsid w:val="00992EA3"/>
    <w:rsid w:val="0099382E"/>
    <w:rsid w:val="009A185C"/>
    <w:rsid w:val="009A591C"/>
    <w:rsid w:val="009B40ED"/>
    <w:rsid w:val="009B44AE"/>
    <w:rsid w:val="009B5705"/>
    <w:rsid w:val="009B5A26"/>
    <w:rsid w:val="009C533D"/>
    <w:rsid w:val="009C63B1"/>
    <w:rsid w:val="009E003C"/>
    <w:rsid w:val="009E28F2"/>
    <w:rsid w:val="009E5A97"/>
    <w:rsid w:val="009F204C"/>
    <w:rsid w:val="009F3278"/>
    <w:rsid w:val="009F3593"/>
    <w:rsid w:val="009F7BDB"/>
    <w:rsid w:val="00A04D5B"/>
    <w:rsid w:val="00A050C0"/>
    <w:rsid w:val="00A1167A"/>
    <w:rsid w:val="00A12E3B"/>
    <w:rsid w:val="00A2488A"/>
    <w:rsid w:val="00A310DF"/>
    <w:rsid w:val="00A33333"/>
    <w:rsid w:val="00A37562"/>
    <w:rsid w:val="00A400D6"/>
    <w:rsid w:val="00A44DAD"/>
    <w:rsid w:val="00A505E0"/>
    <w:rsid w:val="00A50704"/>
    <w:rsid w:val="00A50DA4"/>
    <w:rsid w:val="00A51735"/>
    <w:rsid w:val="00A57B55"/>
    <w:rsid w:val="00A62EC4"/>
    <w:rsid w:val="00A670AD"/>
    <w:rsid w:val="00A67CB3"/>
    <w:rsid w:val="00A719F2"/>
    <w:rsid w:val="00A75D3C"/>
    <w:rsid w:val="00A75FBA"/>
    <w:rsid w:val="00A768DE"/>
    <w:rsid w:val="00A76ABC"/>
    <w:rsid w:val="00A81F8F"/>
    <w:rsid w:val="00A84DED"/>
    <w:rsid w:val="00AA22D0"/>
    <w:rsid w:val="00AA3B93"/>
    <w:rsid w:val="00AA45D5"/>
    <w:rsid w:val="00AA4E18"/>
    <w:rsid w:val="00AB33F1"/>
    <w:rsid w:val="00AB4E25"/>
    <w:rsid w:val="00AB5174"/>
    <w:rsid w:val="00AC2FB4"/>
    <w:rsid w:val="00AC4319"/>
    <w:rsid w:val="00AC502A"/>
    <w:rsid w:val="00AD016D"/>
    <w:rsid w:val="00AD232E"/>
    <w:rsid w:val="00AD7EDE"/>
    <w:rsid w:val="00AE2A07"/>
    <w:rsid w:val="00AE3974"/>
    <w:rsid w:val="00AE69D1"/>
    <w:rsid w:val="00AF04B5"/>
    <w:rsid w:val="00AF59A5"/>
    <w:rsid w:val="00AF659C"/>
    <w:rsid w:val="00AF6D8D"/>
    <w:rsid w:val="00B038EB"/>
    <w:rsid w:val="00B04DBB"/>
    <w:rsid w:val="00B12192"/>
    <w:rsid w:val="00B135CD"/>
    <w:rsid w:val="00B13A3D"/>
    <w:rsid w:val="00B15147"/>
    <w:rsid w:val="00B30DC2"/>
    <w:rsid w:val="00B31F12"/>
    <w:rsid w:val="00B416EA"/>
    <w:rsid w:val="00B44002"/>
    <w:rsid w:val="00B44551"/>
    <w:rsid w:val="00B55731"/>
    <w:rsid w:val="00B6106E"/>
    <w:rsid w:val="00B6517C"/>
    <w:rsid w:val="00B71EBE"/>
    <w:rsid w:val="00B732B0"/>
    <w:rsid w:val="00B7416E"/>
    <w:rsid w:val="00B8010A"/>
    <w:rsid w:val="00B81413"/>
    <w:rsid w:val="00B826AA"/>
    <w:rsid w:val="00B830A9"/>
    <w:rsid w:val="00B85B78"/>
    <w:rsid w:val="00B9457F"/>
    <w:rsid w:val="00B9474D"/>
    <w:rsid w:val="00B94F75"/>
    <w:rsid w:val="00BA5884"/>
    <w:rsid w:val="00BB3090"/>
    <w:rsid w:val="00BC3EEA"/>
    <w:rsid w:val="00BC4C3A"/>
    <w:rsid w:val="00BC7415"/>
    <w:rsid w:val="00BD5F0A"/>
    <w:rsid w:val="00BD7670"/>
    <w:rsid w:val="00BE510F"/>
    <w:rsid w:val="00BE5F06"/>
    <w:rsid w:val="00BF30F8"/>
    <w:rsid w:val="00BF3485"/>
    <w:rsid w:val="00C0117A"/>
    <w:rsid w:val="00C03A66"/>
    <w:rsid w:val="00C16ACA"/>
    <w:rsid w:val="00C268FB"/>
    <w:rsid w:val="00C31F0B"/>
    <w:rsid w:val="00C364B0"/>
    <w:rsid w:val="00C40396"/>
    <w:rsid w:val="00C40409"/>
    <w:rsid w:val="00C406A8"/>
    <w:rsid w:val="00C42115"/>
    <w:rsid w:val="00C47968"/>
    <w:rsid w:val="00C5199A"/>
    <w:rsid w:val="00C53147"/>
    <w:rsid w:val="00C5399F"/>
    <w:rsid w:val="00C55341"/>
    <w:rsid w:val="00C642BF"/>
    <w:rsid w:val="00C64BB8"/>
    <w:rsid w:val="00C65839"/>
    <w:rsid w:val="00C67442"/>
    <w:rsid w:val="00C67582"/>
    <w:rsid w:val="00C700A9"/>
    <w:rsid w:val="00C7445F"/>
    <w:rsid w:val="00C748C2"/>
    <w:rsid w:val="00C7702A"/>
    <w:rsid w:val="00C81E30"/>
    <w:rsid w:val="00C842C3"/>
    <w:rsid w:val="00C861E0"/>
    <w:rsid w:val="00C930FC"/>
    <w:rsid w:val="00C96B4D"/>
    <w:rsid w:val="00CB21DA"/>
    <w:rsid w:val="00CC0FFE"/>
    <w:rsid w:val="00CC103A"/>
    <w:rsid w:val="00CC2FA1"/>
    <w:rsid w:val="00CC3075"/>
    <w:rsid w:val="00CC637B"/>
    <w:rsid w:val="00CC733D"/>
    <w:rsid w:val="00CD1DFE"/>
    <w:rsid w:val="00CD2815"/>
    <w:rsid w:val="00CD2851"/>
    <w:rsid w:val="00CD3B4F"/>
    <w:rsid w:val="00CD5B69"/>
    <w:rsid w:val="00CE0E67"/>
    <w:rsid w:val="00CE28F5"/>
    <w:rsid w:val="00CE49DE"/>
    <w:rsid w:val="00CE5C97"/>
    <w:rsid w:val="00CE628E"/>
    <w:rsid w:val="00CE6968"/>
    <w:rsid w:val="00CE69EA"/>
    <w:rsid w:val="00CF229D"/>
    <w:rsid w:val="00CF2480"/>
    <w:rsid w:val="00D02538"/>
    <w:rsid w:val="00D02D80"/>
    <w:rsid w:val="00D068F0"/>
    <w:rsid w:val="00D06B93"/>
    <w:rsid w:val="00D06FFD"/>
    <w:rsid w:val="00D13098"/>
    <w:rsid w:val="00D168AD"/>
    <w:rsid w:val="00D175C3"/>
    <w:rsid w:val="00D2047B"/>
    <w:rsid w:val="00D21398"/>
    <w:rsid w:val="00D23713"/>
    <w:rsid w:val="00D30EF5"/>
    <w:rsid w:val="00D315FB"/>
    <w:rsid w:val="00D36BCD"/>
    <w:rsid w:val="00D378C8"/>
    <w:rsid w:val="00D47C36"/>
    <w:rsid w:val="00D51CB0"/>
    <w:rsid w:val="00D6204D"/>
    <w:rsid w:val="00D716C9"/>
    <w:rsid w:val="00D728F6"/>
    <w:rsid w:val="00D74F64"/>
    <w:rsid w:val="00D77E92"/>
    <w:rsid w:val="00D816BF"/>
    <w:rsid w:val="00D82A2C"/>
    <w:rsid w:val="00D82D1C"/>
    <w:rsid w:val="00D84189"/>
    <w:rsid w:val="00D87818"/>
    <w:rsid w:val="00D95D96"/>
    <w:rsid w:val="00D96E8F"/>
    <w:rsid w:val="00DA0507"/>
    <w:rsid w:val="00DA29B8"/>
    <w:rsid w:val="00DA52F5"/>
    <w:rsid w:val="00DB1459"/>
    <w:rsid w:val="00DB3580"/>
    <w:rsid w:val="00DC31F8"/>
    <w:rsid w:val="00DC475C"/>
    <w:rsid w:val="00DD0F57"/>
    <w:rsid w:val="00DD24C1"/>
    <w:rsid w:val="00DD3000"/>
    <w:rsid w:val="00DD3730"/>
    <w:rsid w:val="00DD72B2"/>
    <w:rsid w:val="00DE0510"/>
    <w:rsid w:val="00DE21C4"/>
    <w:rsid w:val="00DE6A7A"/>
    <w:rsid w:val="00E006E5"/>
    <w:rsid w:val="00E02F4B"/>
    <w:rsid w:val="00E03BAE"/>
    <w:rsid w:val="00E0433E"/>
    <w:rsid w:val="00E072E4"/>
    <w:rsid w:val="00E15E9E"/>
    <w:rsid w:val="00E16F4B"/>
    <w:rsid w:val="00E30FDD"/>
    <w:rsid w:val="00E329FE"/>
    <w:rsid w:val="00E32D5F"/>
    <w:rsid w:val="00E3672E"/>
    <w:rsid w:val="00E36C34"/>
    <w:rsid w:val="00E41155"/>
    <w:rsid w:val="00E42188"/>
    <w:rsid w:val="00E4365B"/>
    <w:rsid w:val="00E45BF1"/>
    <w:rsid w:val="00E52053"/>
    <w:rsid w:val="00E52810"/>
    <w:rsid w:val="00E60119"/>
    <w:rsid w:val="00E613BD"/>
    <w:rsid w:val="00E636B3"/>
    <w:rsid w:val="00E65B5E"/>
    <w:rsid w:val="00E734EE"/>
    <w:rsid w:val="00E75319"/>
    <w:rsid w:val="00E777E8"/>
    <w:rsid w:val="00E8058A"/>
    <w:rsid w:val="00E95964"/>
    <w:rsid w:val="00E964A9"/>
    <w:rsid w:val="00E96B95"/>
    <w:rsid w:val="00EA01DC"/>
    <w:rsid w:val="00EA20C1"/>
    <w:rsid w:val="00EA2268"/>
    <w:rsid w:val="00EB462E"/>
    <w:rsid w:val="00EB7391"/>
    <w:rsid w:val="00EC2A9E"/>
    <w:rsid w:val="00EC69EE"/>
    <w:rsid w:val="00EC6FE2"/>
    <w:rsid w:val="00ED0322"/>
    <w:rsid w:val="00ED1358"/>
    <w:rsid w:val="00ED5ECB"/>
    <w:rsid w:val="00ED71F4"/>
    <w:rsid w:val="00EE2888"/>
    <w:rsid w:val="00EE6950"/>
    <w:rsid w:val="00EF345C"/>
    <w:rsid w:val="00F01464"/>
    <w:rsid w:val="00F01D63"/>
    <w:rsid w:val="00F0329E"/>
    <w:rsid w:val="00F06DAA"/>
    <w:rsid w:val="00F072A2"/>
    <w:rsid w:val="00F12707"/>
    <w:rsid w:val="00F13BA1"/>
    <w:rsid w:val="00F1638C"/>
    <w:rsid w:val="00F17232"/>
    <w:rsid w:val="00F17603"/>
    <w:rsid w:val="00F20689"/>
    <w:rsid w:val="00F251BF"/>
    <w:rsid w:val="00F30722"/>
    <w:rsid w:val="00F33B6E"/>
    <w:rsid w:val="00F356B8"/>
    <w:rsid w:val="00F3636C"/>
    <w:rsid w:val="00F457DB"/>
    <w:rsid w:val="00F50E78"/>
    <w:rsid w:val="00F55BEE"/>
    <w:rsid w:val="00F60350"/>
    <w:rsid w:val="00F76877"/>
    <w:rsid w:val="00F77952"/>
    <w:rsid w:val="00F77969"/>
    <w:rsid w:val="00F82584"/>
    <w:rsid w:val="00F82FD6"/>
    <w:rsid w:val="00F87195"/>
    <w:rsid w:val="00F94166"/>
    <w:rsid w:val="00F96597"/>
    <w:rsid w:val="00FA5A4C"/>
    <w:rsid w:val="00FA7247"/>
    <w:rsid w:val="00FA7DFA"/>
    <w:rsid w:val="00FB2E2C"/>
    <w:rsid w:val="00FB501F"/>
    <w:rsid w:val="00FB51F4"/>
    <w:rsid w:val="00FC0B08"/>
    <w:rsid w:val="00FC40CC"/>
    <w:rsid w:val="00FC6400"/>
    <w:rsid w:val="00FC7B43"/>
    <w:rsid w:val="00FD137E"/>
    <w:rsid w:val="00FD1F98"/>
    <w:rsid w:val="00FD2A10"/>
    <w:rsid w:val="00FD2C12"/>
    <w:rsid w:val="00FD4703"/>
    <w:rsid w:val="00FD53B4"/>
    <w:rsid w:val="00FD79CA"/>
    <w:rsid w:val="00FF09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BC7"/>
    <w:pPr>
      <w:spacing w:before="240"/>
    </w:pPr>
    <w:rPr>
      <w:rFonts w:eastAsia="MS Mincho"/>
      <w:color w:val="000000"/>
      <w:sz w:val="24"/>
      <w:szCs w:val="24"/>
      <w:lang w:val="en-US" w:eastAsia="en-US"/>
    </w:rPr>
  </w:style>
  <w:style w:type="paragraph" w:styleId="Heading1">
    <w:name w:val="heading 1"/>
    <w:next w:val="Normal"/>
    <w:qFormat/>
    <w:locked/>
    <w:rsid w:val="00A50704"/>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A50704"/>
    <w:pPr>
      <w:pageBreakBefore w:val="0"/>
      <w:numPr>
        <w:ilvl w:val="1"/>
      </w:numPr>
      <w:outlineLvl w:val="1"/>
    </w:pPr>
    <w:rPr>
      <w:bCs w:val="0"/>
      <w:iCs/>
      <w:sz w:val="22"/>
      <w:szCs w:val="28"/>
    </w:rPr>
  </w:style>
  <w:style w:type="paragraph" w:styleId="Heading3">
    <w:name w:val="heading 3"/>
    <w:basedOn w:val="Heading1"/>
    <w:next w:val="Normal"/>
    <w:qFormat/>
    <w:rsid w:val="00A50704"/>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A50704"/>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A50704"/>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A50704"/>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A50704"/>
    <w:pPr>
      <w:numPr>
        <w:ilvl w:val="6"/>
      </w:numPr>
      <w:outlineLvl w:val="6"/>
    </w:pPr>
  </w:style>
  <w:style w:type="paragraph" w:styleId="Heading8">
    <w:name w:val="heading 8"/>
    <w:basedOn w:val="Heading6"/>
    <w:next w:val="Normal"/>
    <w:qFormat/>
    <w:rsid w:val="00A50704"/>
    <w:pPr>
      <w:numPr>
        <w:ilvl w:val="7"/>
      </w:numPr>
      <w:outlineLvl w:val="7"/>
    </w:pPr>
    <w:rPr>
      <w:iCs/>
    </w:rPr>
  </w:style>
  <w:style w:type="paragraph" w:styleId="Heading9">
    <w:name w:val="heading 9"/>
    <w:basedOn w:val="Heading6"/>
    <w:next w:val="Normal"/>
    <w:qFormat/>
    <w:rsid w:val="00A50704"/>
    <w:pPr>
      <w:numPr>
        <w:ilvl w:val="8"/>
      </w:numPr>
      <w:tabs>
        <w:tab w:val="left" w:pos="1797"/>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pPr>
      <w:tabs>
        <w:tab w:val="left" w:pos="4536"/>
        <w:tab w:val="right" w:pos="9480"/>
      </w:tabs>
    </w:pPr>
    <w:rPr>
      <w:rFonts w:ascii="Arial" w:eastAsia="MS Gothic" w:hAnsi="Arial"/>
      <w:sz w:val="18"/>
      <w:lang w:val="en-US" w:eastAsia="en-US"/>
    </w:rPr>
  </w:style>
  <w:style w:type="paragraph" w:styleId="Footer">
    <w:name w:val="footer"/>
    <w:pPr>
      <w:tabs>
        <w:tab w:val="right" w:pos="9469"/>
      </w:tabs>
    </w:pPr>
    <w:rPr>
      <w:rFonts w:ascii="Arial" w:eastAsia="MS Gothic" w:hAnsi="Arial"/>
      <w:sz w:val="18"/>
      <w:lang w:val="en-US" w:eastAsia="en-US"/>
    </w:rPr>
  </w:style>
  <w:style w:type="paragraph" w:customStyle="1" w:styleId="Heading1NoTOC">
    <w:name w:val="Heading 1 NoTOC"/>
    <w:basedOn w:val="Heading1"/>
    <w:pPr>
      <w:numPr>
        <w:numId w:val="0"/>
      </w:numPr>
      <w:outlineLvl w:val="9"/>
    </w:pPr>
  </w:style>
  <w:style w:type="paragraph" w:styleId="Title">
    <w:name w:val="Title"/>
    <w:basedOn w:val="Heading1"/>
    <w:next w:val="Normal"/>
    <w:qFormat/>
    <w:rsid w:val="005B2BC7"/>
    <w:pPr>
      <w:pageBreakBefore w:val="0"/>
      <w:numPr>
        <w:numId w:val="0"/>
      </w:numPr>
      <w:jc w:val="center"/>
    </w:p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lang w:val="en-US" w:eastAsia="en-US" w:bidi="ar-SA"/>
    </w:rPr>
  </w:style>
  <w:style w:type="paragraph" w:customStyle="1" w:styleId="ListNumbered">
    <w:name w:val="List Numbered"/>
    <w:basedOn w:val="Normal"/>
    <w:pPr>
      <w:tabs>
        <w:tab w:val="num" w:pos="720"/>
      </w:tabs>
      <w:spacing w:before="120"/>
      <w:ind w:left="720" w:hanging="357"/>
    </w:pPr>
  </w:style>
  <w:style w:type="paragraph" w:customStyle="1" w:styleId="ListBulletLevel1">
    <w:name w:val="List Bullet Level 1"/>
    <w:basedOn w:val="Normal"/>
    <w:pPr>
      <w:tabs>
        <w:tab w:val="num" w:pos="720"/>
      </w:tabs>
      <w:spacing w:before="120"/>
      <w:ind w:left="720" w:hanging="357"/>
    </w:pPr>
  </w:style>
  <w:style w:type="paragraph" w:customStyle="1" w:styleId="ListAlphabeticalLevel1">
    <w:name w:val="List Alphabetical Level 1"/>
    <w:basedOn w:val="Normal"/>
    <w:pPr>
      <w:tabs>
        <w:tab w:val="num" w:pos="720"/>
      </w:tabs>
      <w:spacing w:before="120"/>
      <w:ind w:left="720" w:hanging="357"/>
    </w:pPr>
  </w:style>
  <w:style w:type="table" w:styleId="TableGrid">
    <w:name w:val="Table Grid"/>
    <w:basedOn w:val="TableNormal"/>
    <w:uiPriority w:val="59"/>
    <w:rsid w:val="000D1DA9"/>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Level2">
    <w:name w:val="List Bullet Level 2"/>
    <w:basedOn w:val="Normal"/>
    <w:pPr>
      <w:numPr>
        <w:numId w:val="8"/>
      </w:numPr>
      <w:spacing w:before="120"/>
    </w:pPr>
    <w:rPr>
      <w:szCs w:val="20"/>
    </w:rPr>
  </w:style>
  <w:style w:type="paragraph" w:styleId="Caption">
    <w:name w:val="caption"/>
    <w:next w:val="Normal"/>
    <w:qFormat/>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pPr>
      <w:shd w:val="clear" w:color="auto" w:fill="FFCC66"/>
      <w:spacing w:before="40" w:after="40"/>
    </w:pPr>
  </w:style>
  <w:style w:type="character" w:styleId="FootnoteReference">
    <w:name w:val="footnote reference"/>
    <w:rPr>
      <w:rFonts w:ascii="Times New Roman" w:eastAsia="MS Mincho" w:hAnsi="Times New Roman"/>
      <w:color w:val="0000FF"/>
      <w:sz w:val="18"/>
      <w:vertAlign w:val="superscript"/>
    </w:rPr>
  </w:style>
  <w:style w:type="paragraph" w:styleId="FootnoteText">
    <w:name w:val="footnote text"/>
    <w:basedOn w:val="Normal"/>
    <w:pPr>
      <w:spacing w:before="20"/>
      <w:ind w:left="113" w:hanging="113"/>
    </w:pPr>
    <w:rPr>
      <w:sz w:val="22"/>
      <w:szCs w:val="20"/>
    </w:rPr>
  </w:style>
  <w:style w:type="paragraph" w:customStyle="1" w:styleId="Heading1NoNumbering">
    <w:name w:val="Heading 1 NoNumbering"/>
    <w:basedOn w:val="Heading1"/>
    <w:next w:val="Normal"/>
    <w:pPr>
      <w:numPr>
        <w:numId w:val="0"/>
      </w:numPr>
      <w:tabs>
        <w:tab w:val="num" w:pos="0"/>
      </w:tabs>
    </w:pPr>
  </w:style>
  <w:style w:type="paragraph" w:customStyle="1" w:styleId="TblTextCenter">
    <w:name w:val="Tbl Text Center"/>
    <w:basedOn w:val="TblTextLeft"/>
    <w:pPr>
      <w:jc w:val="center"/>
    </w:pPr>
  </w:style>
  <w:style w:type="paragraph" w:customStyle="1" w:styleId="TblTextLeft">
    <w:name w:val="Tbl Text Left"/>
    <w:pPr>
      <w:spacing w:before="60" w:after="60"/>
    </w:pPr>
    <w:rPr>
      <w:rFonts w:ascii="Arial Narrow" w:eastAsia="MS Gothic" w:hAnsi="Arial Narrow"/>
      <w:lang w:val="en-US" w:eastAsia="en-US"/>
    </w:rPr>
  </w:style>
  <w:style w:type="paragraph" w:customStyle="1" w:styleId="TblHeadingLeft">
    <w:name w:val="Tbl Heading Left"/>
    <w:pPr>
      <w:spacing w:before="60" w:after="60"/>
    </w:pPr>
    <w:rPr>
      <w:rFonts w:ascii="Arial" w:eastAsia="MS Gothic" w:hAnsi="Arial" w:cs="Arial"/>
      <w:b/>
      <w:noProof/>
      <w:lang w:val="de-DE" w:eastAsia="en-US"/>
    </w:rPr>
  </w:style>
  <w:style w:type="paragraph" w:customStyle="1" w:styleId="TblFigFootnote">
    <w:name w:val="Tbl Fig Footnote"/>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noProof w:val="0"/>
      <w:position w:val="6"/>
      <w:sz w:val="18"/>
      <w:vertAlign w:val="baseline"/>
      <w:lang w:val="en-US"/>
    </w:rPr>
  </w:style>
  <w:style w:type="paragraph" w:customStyle="1" w:styleId="xCover">
    <w:name w:val="xCover"/>
    <w:pPr>
      <w:spacing w:before="120"/>
    </w:pPr>
    <w:rPr>
      <w:rFonts w:ascii="Arial" w:eastAsia="MS Gothic" w:hAnsi="Arial"/>
      <w:lang w:val="en-US" w:eastAsia="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character" w:styleId="CommentReference">
    <w:name w:val="annotation reference"/>
    <w:semiHidden/>
    <w:rsid w:val="00820CFD"/>
    <w:rPr>
      <w:sz w:val="16"/>
      <w:szCs w:val="16"/>
    </w:rPr>
  </w:style>
  <w:style w:type="paragraph" w:styleId="EndnoteText">
    <w:name w:val="endnote text"/>
    <w:basedOn w:val="Normal"/>
    <w:semiHidden/>
    <w:rPr>
      <w:sz w:val="22"/>
      <w:szCs w:val="20"/>
    </w:rPr>
  </w:style>
  <w:style w:type="character" w:styleId="EndnoteReference">
    <w:name w:val="end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pPr>
      <w:ind w:left="240" w:hanging="240"/>
    </w:pPr>
  </w:style>
  <w:style w:type="character" w:styleId="Hyperlink">
    <w:name w:val="Hyperlink"/>
    <w:rPr>
      <w:color w:val="0000FF"/>
      <w:u w:val="single"/>
    </w:rPr>
  </w:style>
  <w:style w:type="paragraph" w:styleId="Bibliography">
    <w:name w:val="Bibliography"/>
    <w:basedOn w:val="Normal"/>
    <w:next w:val="Normal"/>
    <w:pPr>
      <w:ind w:left="357" w:hanging="357"/>
    </w:pPr>
  </w:style>
  <w:style w:type="character" w:customStyle="1" w:styleId="ReplaceText">
    <w:name w:val="Replace Text"/>
    <w:rPr>
      <w:color w:val="FF00FF"/>
    </w:rPr>
  </w:style>
  <w:style w:type="paragraph" w:styleId="TOC1">
    <w:name w:val="toc 1"/>
    <w:next w:val="Normal"/>
    <w:semiHidden/>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pPr>
      <w:tabs>
        <w:tab w:val="clear" w:pos="720"/>
        <w:tab w:val="num" w:pos="1083"/>
      </w:tabs>
      <w:ind w:left="1083" w:hanging="363"/>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tabs>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ListBullet">
    <w:name w:val="List Bullet"/>
    <w:basedOn w:val="Normal"/>
    <w:pPr>
      <w:tabs>
        <w:tab w:val="num" w:pos="360"/>
      </w:tabs>
      <w:ind w:left="360" w:hanging="360"/>
    </w:pPr>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CommentText">
    <w:name w:val="annotation text"/>
    <w:basedOn w:val="Normal"/>
    <w:semiHidden/>
    <w:rsid w:val="00820CFD"/>
    <w:rPr>
      <w:sz w:val="20"/>
      <w:szCs w:val="20"/>
    </w:rPr>
  </w:style>
  <w:style w:type="paragraph" w:styleId="CommentSubject">
    <w:name w:val="annotation subject"/>
    <w:basedOn w:val="CommentText"/>
    <w:next w:val="CommentText"/>
    <w:semiHidden/>
    <w:rsid w:val="00820CFD"/>
    <w:rPr>
      <w:b/>
      <w:bCs/>
    </w:rPr>
  </w:style>
  <w:style w:type="paragraph" w:styleId="BalloonText">
    <w:name w:val="Balloon Text"/>
    <w:basedOn w:val="Normal"/>
    <w:semiHidden/>
    <w:rsid w:val="00820CFD"/>
    <w:rPr>
      <w:rFonts w:ascii="Tahoma" w:hAnsi="Tahoma" w:cs="Tahoma"/>
      <w:sz w:val="16"/>
      <w:szCs w:val="16"/>
    </w:rPr>
  </w:style>
  <w:style w:type="paragraph" w:styleId="Date">
    <w:name w:val="Date"/>
    <w:basedOn w:val="Normal"/>
    <w:next w:val="Normal"/>
    <w:rsid w:val="004E0704"/>
  </w:style>
  <w:style w:type="paragraph" w:customStyle="1" w:styleId="StyleAuto">
    <w:name w:val="Style Auto"/>
    <w:basedOn w:val="Normal"/>
    <w:next w:val="Normal"/>
    <w:rsid w:val="008D2D1D"/>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8309531\My%20Documents\Donnees_Arbe\Templates\sanofi-aventis\Affiliates\Australia\Dot%20&amp;%20Doc%20file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DOMASYS_Standard.dot</Template>
  <TotalTime>0</TotalTime>
  <Pages>27</Pages>
  <Words>6786</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AusPAR Attachment 1: Product information for Aubagio/Teriflunomide</vt:lpstr>
    </vt:vector>
  </TitlesOfParts>
  <Company>Sanofi-Aventis Australia Pty Ltd</Company>
  <LinksUpToDate>false</LinksUpToDate>
  <CharactersWithSpaces>45377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Aubagio/Teriflunomide</dc:title>
  <dc:subject>prescription medicine regulation</dc:subject>
  <dc:creator>Sanofi-Aventis</dc:creator>
  <cp:keywords>product information, pi, prescription, medicine, regulation, aubagio, teriflunomide, winthrop, sanofi, aventis</cp:keywords>
  <cp:lastModifiedBy>Sheppard, Fran</cp:lastModifiedBy>
  <cp:revision>2</cp:revision>
  <cp:lastPrinted>2012-12-21T00:14:00Z</cp:lastPrinted>
  <dcterms:created xsi:type="dcterms:W3CDTF">2013-09-09T04:56:00Z</dcterms:created>
  <dcterms:modified xsi:type="dcterms:W3CDTF">2013-09-09T04:56:00Z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teriflunomide 14 mg tablets</vt:lpwstr>
  </property>
  <property fmtid="{D5CDD505-2E9C-101B-9397-08002B2CF9AE}" pid="4" name="Date">
    <vt:lpwstr>November 2012</vt:lpwstr>
  </property>
  <property fmtid="{D5CDD505-2E9C-101B-9397-08002B2CF9AE}" pid="5" name="Product Code">
    <vt:lpwstr>Aubagio</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ies>
</file>