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4"/>
      </w:tblGrid>
      <w:tr w:rsidR="008E7846" w:rsidRPr="00487162" w:rsidTr="00963166">
        <w:trPr>
          <w:trHeight w:val="1863"/>
        </w:trPr>
        <w:tc>
          <w:tcPr>
            <w:tcW w:w="6204" w:type="dxa"/>
            <w:tcBorders>
              <w:top w:val="nil"/>
              <w:left w:val="nil"/>
              <w:bottom w:val="nil"/>
              <w:right w:val="nil"/>
            </w:tcBorders>
          </w:tcPr>
          <w:p w:rsidR="008E7846" w:rsidRDefault="00963166" w:rsidP="005F18A7">
            <w:pPr>
              <w:rPr>
                <w:rFonts w:ascii="Arial" w:hAnsi="Arial" w:cs="Arial"/>
                <w:b/>
                <w:color w:val="002C47"/>
                <w:sz w:val="36"/>
                <w:szCs w:val="36"/>
              </w:rPr>
            </w:pPr>
            <w:bookmarkStart w:id="0" w:name="_GoBack"/>
            <w:bookmarkEnd w:id="0"/>
            <w:r>
              <w:rPr>
                <w:rFonts w:ascii="Arial" w:hAnsi="Arial" w:cs="Arial"/>
                <w:b/>
                <w:color w:val="002C47"/>
                <w:sz w:val="36"/>
                <w:szCs w:val="36"/>
              </w:rPr>
              <w:t>First Round November 2014</w:t>
            </w:r>
          </w:p>
          <w:p w:rsidR="00963166" w:rsidRPr="0017078F" w:rsidRDefault="00963166" w:rsidP="00963166">
            <w:pPr>
              <w:rPr>
                <w:rFonts w:ascii="Arial" w:hAnsi="Arial" w:cs="Arial"/>
                <w:b/>
                <w:color w:val="002C47"/>
                <w:sz w:val="36"/>
                <w:szCs w:val="36"/>
              </w:rPr>
            </w:pPr>
            <w:r>
              <w:rPr>
                <w:rFonts w:ascii="Arial" w:hAnsi="Arial" w:cs="Arial"/>
                <w:b/>
                <w:color w:val="002C47"/>
                <w:sz w:val="36"/>
                <w:szCs w:val="36"/>
              </w:rPr>
              <w:t>Second Round February 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C66D87">
            <w:pPr>
              <w:pStyle w:val="Title"/>
              <w:rPr>
                <w:color w:val="FFFFFF" w:themeColor="background1"/>
              </w:rPr>
            </w:pPr>
            <w:r>
              <w:rPr>
                <w:color w:val="FFFFFF" w:themeColor="background1"/>
              </w:rPr>
              <w:t>Extract from the Clinical Evaluation Report</w:t>
            </w:r>
            <w:r w:rsidRPr="00A964D1">
              <w:rPr>
                <w:color w:val="FFFFFF" w:themeColor="background1"/>
              </w:rPr>
              <w:t xml:space="preserve"> for</w:t>
            </w:r>
            <w:r w:rsidR="00CF5F26">
              <w:rPr>
                <w:color w:val="FFFFFF" w:themeColor="background1"/>
              </w:rPr>
              <w:t>:</w:t>
            </w:r>
            <w:r w:rsidRPr="00A964D1">
              <w:rPr>
                <w:color w:val="FFFFFF" w:themeColor="background1"/>
              </w:rPr>
              <w:t xml:space="preserve"> </w:t>
            </w:r>
            <w:r w:rsidR="00D33DF6">
              <w:rPr>
                <w:color w:val="FFFFFF" w:themeColor="background1"/>
              </w:rPr>
              <w:t>T</w:t>
            </w:r>
            <w:r w:rsidR="00C66D87">
              <w:rPr>
                <w:color w:val="FFFFFF" w:themeColor="background1"/>
              </w:rPr>
              <w:t>enofovir</w:t>
            </w:r>
            <w:r w:rsidR="00CF5F26">
              <w:rPr>
                <w:color w:val="FFFFFF" w:themeColor="background1"/>
              </w:rPr>
              <w:t> d</w:t>
            </w:r>
            <w:r w:rsidR="00C66D87">
              <w:rPr>
                <w:color w:val="FFFFFF" w:themeColor="background1"/>
              </w:rPr>
              <w:t>isoproxil</w:t>
            </w:r>
            <w:r w:rsidR="00D33DF6">
              <w:rPr>
                <w:color w:val="FFFFFF" w:themeColor="background1"/>
              </w:rPr>
              <w:t> </w:t>
            </w:r>
            <w:r w:rsidR="00CF5F26">
              <w:rPr>
                <w:color w:val="FFFFFF" w:themeColor="background1"/>
              </w:rPr>
              <w:t>f</w:t>
            </w:r>
            <w:r w:rsidR="00C66D87">
              <w:rPr>
                <w:color w:val="FFFFFF" w:themeColor="background1"/>
              </w:rPr>
              <w:t>umarate</w:t>
            </w:r>
            <w:r w:rsidR="00D33DF6">
              <w:rPr>
                <w:color w:val="FFFFFF" w:themeColor="background1"/>
              </w:rPr>
              <w:t xml:space="preserve"> /</w:t>
            </w:r>
            <w:r w:rsidR="00C66D87">
              <w:rPr>
                <w:color w:val="FFFFFF" w:themeColor="background1"/>
              </w:rPr>
              <w:t xml:space="preserve"> </w:t>
            </w:r>
            <w:r w:rsidR="00D33DF6">
              <w:rPr>
                <w:color w:val="FFFFFF" w:themeColor="background1"/>
              </w:rPr>
              <w:t>E</w:t>
            </w:r>
            <w:r w:rsidR="00C66D87">
              <w:rPr>
                <w:color w:val="FFFFFF" w:themeColor="background1"/>
              </w:rPr>
              <w:t>mtricitabine</w:t>
            </w:r>
            <w:r w:rsidR="00D33DF6">
              <w:rPr>
                <w:color w:val="FFFFFF" w:themeColor="background1"/>
              </w:rPr>
              <w:t xml:space="preserve"> /</w:t>
            </w:r>
            <w:r w:rsidR="00C66D87">
              <w:rPr>
                <w:color w:val="FFFFFF" w:themeColor="background1"/>
              </w:rPr>
              <w:t xml:space="preserve"> </w:t>
            </w:r>
            <w:r w:rsidR="00D33DF6">
              <w:rPr>
                <w:color w:val="FFFFFF" w:themeColor="background1"/>
              </w:rPr>
              <w:t>E</w:t>
            </w:r>
            <w:r w:rsidR="00C66D87">
              <w:rPr>
                <w:color w:val="FFFFFF" w:themeColor="background1"/>
              </w:rPr>
              <w:t xml:space="preserve">lvitegravir </w:t>
            </w:r>
            <w:r w:rsidR="00D33DF6">
              <w:rPr>
                <w:color w:val="FFFFFF" w:themeColor="background1"/>
              </w:rPr>
              <w:t>/</w:t>
            </w:r>
            <w:r w:rsidR="00C66D87">
              <w:rPr>
                <w:color w:val="FFFFFF" w:themeColor="background1"/>
              </w:rPr>
              <w:t xml:space="preserve"> </w:t>
            </w:r>
            <w:r w:rsidR="00D33DF6">
              <w:rPr>
                <w:color w:val="FFFFFF" w:themeColor="background1"/>
              </w:rPr>
              <w:t>C</w:t>
            </w:r>
            <w:r w:rsidR="00C66D87">
              <w:rPr>
                <w:color w:val="FFFFFF" w:themeColor="background1"/>
              </w:rPr>
              <w:t>obicistat</w:t>
            </w:r>
          </w:p>
        </w:tc>
      </w:tr>
      <w:tr w:rsidR="00E07F15" w:rsidRPr="00B64760" w:rsidTr="00E07F15">
        <w:tc>
          <w:tcPr>
            <w:tcW w:w="9079" w:type="dxa"/>
          </w:tcPr>
          <w:p w:rsidR="00E07F15" w:rsidRPr="008E7846" w:rsidRDefault="00E07F15" w:rsidP="00C66D87">
            <w:pPr>
              <w:pStyle w:val="Subtitle"/>
              <w:rPr>
                <w:color w:val="FFFFFF" w:themeColor="background1"/>
              </w:rPr>
            </w:pPr>
            <w:r w:rsidRPr="008E7846">
              <w:rPr>
                <w:color w:val="FFFFFF" w:themeColor="background1"/>
              </w:rPr>
              <w:t xml:space="preserve">Proprietary Product Name: </w:t>
            </w:r>
            <w:r w:rsidR="00C66D87">
              <w:rPr>
                <w:color w:val="FFFFFF" w:themeColor="background1"/>
              </w:rPr>
              <w:t>Stribild</w:t>
            </w:r>
          </w:p>
        </w:tc>
      </w:tr>
      <w:tr w:rsidR="00E07F15" w:rsidRPr="00B64760" w:rsidTr="00E07F15">
        <w:trPr>
          <w:trHeight w:val="486"/>
        </w:trPr>
        <w:tc>
          <w:tcPr>
            <w:tcW w:w="9079" w:type="dxa"/>
          </w:tcPr>
          <w:p w:rsidR="00E07F15" w:rsidRPr="008E7846" w:rsidRDefault="00E07F15" w:rsidP="00C66D87">
            <w:pPr>
              <w:pStyle w:val="Subtitle"/>
              <w:rPr>
                <w:color w:val="FFFFFF" w:themeColor="background1"/>
              </w:rPr>
            </w:pPr>
            <w:r w:rsidRPr="008E7846">
              <w:rPr>
                <w:color w:val="FFFFFF" w:themeColor="background1"/>
              </w:rPr>
              <w:t xml:space="preserve">Sponsor: </w:t>
            </w:r>
            <w:r w:rsidR="00C66D87">
              <w:rPr>
                <w:color w:val="FFFFFF" w:themeColor="background1"/>
              </w:rPr>
              <w:t>Gilead Sciences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6933F5">
      <w:pPr>
        <w:pStyle w:val="LegalSubheading"/>
        <w:spacing w:before="384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035175">
        <w:rPr>
          <w:rFonts w:cs="Arial"/>
          <w:lang w:val="en-GB"/>
        </w:rPr>
        <w:t>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1" w:name="_Toc196046425" w:displacedByCustomXml="next"/>
    <w:bookmarkStart w:id="2"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D23B58"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81586161" w:history="1">
            <w:r w:rsidR="00D23B58" w:rsidRPr="005329A8">
              <w:rPr>
                <w:rStyle w:val="Hyperlink"/>
                <w:noProof/>
              </w:rPr>
              <w:t>List of abbreviations</w:t>
            </w:r>
            <w:r w:rsidR="00D23B58">
              <w:rPr>
                <w:noProof/>
                <w:webHidden/>
              </w:rPr>
              <w:tab/>
            </w:r>
            <w:r w:rsidR="00D23B58">
              <w:rPr>
                <w:noProof/>
                <w:webHidden/>
              </w:rPr>
              <w:fldChar w:fldCharType="begin"/>
            </w:r>
            <w:r w:rsidR="00D23B58">
              <w:rPr>
                <w:noProof/>
                <w:webHidden/>
              </w:rPr>
              <w:instrText xml:space="preserve"> PAGEREF _Toc481586161 \h </w:instrText>
            </w:r>
            <w:r w:rsidR="00D23B58">
              <w:rPr>
                <w:noProof/>
                <w:webHidden/>
              </w:rPr>
            </w:r>
            <w:r w:rsidR="00D23B58">
              <w:rPr>
                <w:noProof/>
                <w:webHidden/>
              </w:rPr>
              <w:fldChar w:fldCharType="separate"/>
            </w:r>
            <w:r w:rsidR="005D5123">
              <w:rPr>
                <w:noProof/>
                <w:webHidden/>
              </w:rPr>
              <w:t>4</w:t>
            </w:r>
            <w:r w:rsidR="00D23B58">
              <w:rPr>
                <w:noProof/>
                <w:webHidden/>
              </w:rPr>
              <w:fldChar w:fldCharType="end"/>
            </w:r>
          </w:hyperlink>
        </w:p>
        <w:p w:rsidR="00D23B58" w:rsidRDefault="004B658D">
          <w:pPr>
            <w:pStyle w:val="TOC2"/>
            <w:tabs>
              <w:tab w:val="left" w:pos="1100"/>
            </w:tabs>
            <w:rPr>
              <w:rFonts w:asciiTheme="minorHAnsi" w:eastAsiaTheme="minorEastAsia" w:hAnsiTheme="minorHAnsi" w:cstheme="minorBidi"/>
              <w:b w:val="0"/>
              <w:noProof/>
              <w:sz w:val="22"/>
              <w:lang w:eastAsia="en-AU"/>
            </w:rPr>
          </w:pPr>
          <w:hyperlink w:anchor="_Toc481586162" w:history="1">
            <w:r w:rsidR="00D23B58" w:rsidRPr="005329A8">
              <w:rPr>
                <w:rStyle w:val="Hyperlink"/>
                <w:noProof/>
                <w:lang w:eastAsia="en-AU"/>
              </w:rPr>
              <w:t>1.</w:t>
            </w:r>
            <w:r w:rsidR="00D23B58">
              <w:rPr>
                <w:rFonts w:asciiTheme="minorHAnsi" w:eastAsiaTheme="minorEastAsia" w:hAnsiTheme="minorHAnsi" w:cstheme="minorBidi"/>
                <w:b w:val="0"/>
                <w:noProof/>
                <w:sz w:val="22"/>
                <w:lang w:eastAsia="en-AU"/>
              </w:rPr>
              <w:tab/>
            </w:r>
            <w:r w:rsidR="00D23B58" w:rsidRPr="005329A8">
              <w:rPr>
                <w:rStyle w:val="Hyperlink"/>
                <w:noProof/>
                <w:lang w:eastAsia="en-AU"/>
              </w:rPr>
              <w:t>Introduction</w:t>
            </w:r>
            <w:r w:rsidR="00D23B58">
              <w:rPr>
                <w:noProof/>
                <w:webHidden/>
              </w:rPr>
              <w:tab/>
            </w:r>
            <w:r w:rsidR="00D23B58">
              <w:rPr>
                <w:noProof/>
                <w:webHidden/>
              </w:rPr>
              <w:fldChar w:fldCharType="begin"/>
            </w:r>
            <w:r w:rsidR="00D23B58">
              <w:rPr>
                <w:noProof/>
                <w:webHidden/>
              </w:rPr>
              <w:instrText xml:space="preserve"> PAGEREF _Toc481586162 \h </w:instrText>
            </w:r>
            <w:r w:rsidR="00D23B58">
              <w:rPr>
                <w:noProof/>
                <w:webHidden/>
              </w:rPr>
            </w:r>
            <w:r w:rsidR="00D23B58">
              <w:rPr>
                <w:noProof/>
                <w:webHidden/>
              </w:rPr>
              <w:fldChar w:fldCharType="separate"/>
            </w:r>
            <w:r w:rsidR="005D5123">
              <w:rPr>
                <w:noProof/>
                <w:webHidden/>
              </w:rPr>
              <w:t>9</w:t>
            </w:r>
            <w:r w:rsidR="00D23B58">
              <w:rPr>
                <w:noProof/>
                <w:webHidden/>
              </w:rPr>
              <w:fldChar w:fldCharType="end"/>
            </w:r>
          </w:hyperlink>
        </w:p>
        <w:p w:rsidR="00D23B58" w:rsidRDefault="004B658D">
          <w:pPr>
            <w:pStyle w:val="TOC2"/>
            <w:tabs>
              <w:tab w:val="left" w:pos="1100"/>
            </w:tabs>
            <w:rPr>
              <w:rFonts w:asciiTheme="minorHAnsi" w:eastAsiaTheme="minorEastAsia" w:hAnsiTheme="minorHAnsi" w:cstheme="minorBidi"/>
              <w:b w:val="0"/>
              <w:noProof/>
              <w:sz w:val="22"/>
              <w:lang w:eastAsia="en-AU"/>
            </w:rPr>
          </w:pPr>
          <w:hyperlink w:anchor="_Toc481586163" w:history="1">
            <w:r w:rsidR="00D23B58" w:rsidRPr="005329A8">
              <w:rPr>
                <w:rStyle w:val="Hyperlink"/>
                <w:noProof/>
              </w:rPr>
              <w:t>2.</w:t>
            </w:r>
            <w:r w:rsidR="00D23B58">
              <w:rPr>
                <w:rFonts w:asciiTheme="minorHAnsi" w:eastAsiaTheme="minorEastAsia" w:hAnsiTheme="minorHAnsi" w:cstheme="minorBidi"/>
                <w:b w:val="0"/>
                <w:noProof/>
                <w:sz w:val="22"/>
                <w:lang w:eastAsia="en-AU"/>
              </w:rPr>
              <w:tab/>
            </w:r>
            <w:r w:rsidR="00D23B58" w:rsidRPr="005329A8">
              <w:rPr>
                <w:rStyle w:val="Hyperlink"/>
                <w:noProof/>
              </w:rPr>
              <w:t>Clinical rationale</w:t>
            </w:r>
            <w:r w:rsidR="00D23B58">
              <w:rPr>
                <w:noProof/>
                <w:webHidden/>
              </w:rPr>
              <w:tab/>
            </w:r>
            <w:r w:rsidR="00D23B58">
              <w:rPr>
                <w:noProof/>
                <w:webHidden/>
              </w:rPr>
              <w:fldChar w:fldCharType="begin"/>
            </w:r>
            <w:r w:rsidR="00D23B58">
              <w:rPr>
                <w:noProof/>
                <w:webHidden/>
              </w:rPr>
              <w:instrText xml:space="preserve"> PAGEREF _Toc481586163 \h </w:instrText>
            </w:r>
            <w:r w:rsidR="00D23B58">
              <w:rPr>
                <w:noProof/>
                <w:webHidden/>
              </w:rPr>
            </w:r>
            <w:r w:rsidR="00D23B58">
              <w:rPr>
                <w:noProof/>
                <w:webHidden/>
              </w:rPr>
              <w:fldChar w:fldCharType="separate"/>
            </w:r>
            <w:r w:rsidR="005D5123">
              <w:rPr>
                <w:noProof/>
                <w:webHidden/>
              </w:rPr>
              <w:t>9</w:t>
            </w:r>
            <w:r w:rsidR="00D23B58">
              <w:rPr>
                <w:noProof/>
                <w:webHidden/>
              </w:rPr>
              <w:fldChar w:fldCharType="end"/>
            </w:r>
          </w:hyperlink>
        </w:p>
        <w:p w:rsidR="00D23B58" w:rsidRDefault="004B658D">
          <w:pPr>
            <w:pStyle w:val="TOC2"/>
            <w:tabs>
              <w:tab w:val="left" w:pos="1100"/>
            </w:tabs>
            <w:rPr>
              <w:rFonts w:asciiTheme="minorHAnsi" w:eastAsiaTheme="minorEastAsia" w:hAnsiTheme="minorHAnsi" w:cstheme="minorBidi"/>
              <w:b w:val="0"/>
              <w:noProof/>
              <w:sz w:val="22"/>
              <w:lang w:eastAsia="en-AU"/>
            </w:rPr>
          </w:pPr>
          <w:hyperlink w:anchor="_Toc481586164" w:history="1">
            <w:r w:rsidR="00D23B58" w:rsidRPr="005329A8">
              <w:rPr>
                <w:rStyle w:val="Hyperlink"/>
                <w:noProof/>
                <w:lang w:eastAsia="en-AU"/>
              </w:rPr>
              <w:t>3.</w:t>
            </w:r>
            <w:r w:rsidR="00D23B58">
              <w:rPr>
                <w:rFonts w:asciiTheme="minorHAnsi" w:eastAsiaTheme="minorEastAsia" w:hAnsiTheme="minorHAnsi" w:cstheme="minorBidi"/>
                <w:b w:val="0"/>
                <w:noProof/>
                <w:sz w:val="22"/>
                <w:lang w:eastAsia="en-AU"/>
              </w:rPr>
              <w:tab/>
            </w:r>
            <w:r w:rsidR="00D23B58" w:rsidRPr="005329A8">
              <w:rPr>
                <w:rStyle w:val="Hyperlink"/>
                <w:noProof/>
                <w:lang w:eastAsia="en-AU"/>
              </w:rPr>
              <w:t>Contents of the clinical dossier</w:t>
            </w:r>
            <w:r w:rsidR="00D23B58">
              <w:rPr>
                <w:noProof/>
                <w:webHidden/>
              </w:rPr>
              <w:tab/>
            </w:r>
            <w:r w:rsidR="00D23B58">
              <w:rPr>
                <w:noProof/>
                <w:webHidden/>
              </w:rPr>
              <w:fldChar w:fldCharType="begin"/>
            </w:r>
            <w:r w:rsidR="00D23B58">
              <w:rPr>
                <w:noProof/>
                <w:webHidden/>
              </w:rPr>
              <w:instrText xml:space="preserve"> PAGEREF _Toc481586164 \h </w:instrText>
            </w:r>
            <w:r w:rsidR="00D23B58">
              <w:rPr>
                <w:noProof/>
                <w:webHidden/>
              </w:rPr>
            </w:r>
            <w:r w:rsidR="00D23B58">
              <w:rPr>
                <w:noProof/>
                <w:webHidden/>
              </w:rPr>
              <w:fldChar w:fldCharType="separate"/>
            </w:r>
            <w:r w:rsidR="005D5123">
              <w:rPr>
                <w:noProof/>
                <w:webHidden/>
              </w:rPr>
              <w:t>9</w:t>
            </w:r>
            <w:r w:rsidR="00D23B58">
              <w:rPr>
                <w:noProof/>
                <w:webHidden/>
              </w:rPr>
              <w:fldChar w:fldCharType="end"/>
            </w:r>
          </w:hyperlink>
        </w:p>
        <w:p w:rsidR="00D23B58" w:rsidRDefault="004B658D">
          <w:pPr>
            <w:pStyle w:val="TOC3"/>
            <w:tabs>
              <w:tab w:val="left" w:pos="1760"/>
            </w:tabs>
            <w:rPr>
              <w:rFonts w:asciiTheme="minorHAnsi" w:eastAsiaTheme="minorEastAsia" w:hAnsiTheme="minorHAnsi" w:cstheme="minorBidi"/>
              <w:noProof/>
              <w:lang w:eastAsia="en-AU"/>
            </w:rPr>
          </w:pPr>
          <w:hyperlink w:anchor="_Toc481586165" w:history="1">
            <w:r w:rsidR="00D23B58" w:rsidRPr="005329A8">
              <w:rPr>
                <w:rStyle w:val="Hyperlink"/>
                <w:noProof/>
              </w:rPr>
              <w:t>3.1.</w:t>
            </w:r>
            <w:r w:rsidR="00D23B58">
              <w:rPr>
                <w:rFonts w:asciiTheme="minorHAnsi" w:eastAsiaTheme="minorEastAsia" w:hAnsiTheme="minorHAnsi" w:cstheme="minorBidi"/>
                <w:noProof/>
                <w:lang w:eastAsia="en-AU"/>
              </w:rPr>
              <w:tab/>
            </w:r>
            <w:r w:rsidR="00D23B58" w:rsidRPr="005329A8">
              <w:rPr>
                <w:rStyle w:val="Hyperlink"/>
                <w:noProof/>
              </w:rPr>
              <w:t>Scope of the clinical dossier</w:t>
            </w:r>
            <w:r w:rsidR="00D23B58">
              <w:rPr>
                <w:noProof/>
                <w:webHidden/>
              </w:rPr>
              <w:tab/>
            </w:r>
            <w:r w:rsidR="00D23B58">
              <w:rPr>
                <w:noProof/>
                <w:webHidden/>
              </w:rPr>
              <w:fldChar w:fldCharType="begin"/>
            </w:r>
            <w:r w:rsidR="00D23B58">
              <w:rPr>
                <w:noProof/>
                <w:webHidden/>
              </w:rPr>
              <w:instrText xml:space="preserve"> PAGEREF _Toc481586165 \h </w:instrText>
            </w:r>
            <w:r w:rsidR="00D23B58">
              <w:rPr>
                <w:noProof/>
                <w:webHidden/>
              </w:rPr>
            </w:r>
            <w:r w:rsidR="00D23B58">
              <w:rPr>
                <w:noProof/>
                <w:webHidden/>
              </w:rPr>
              <w:fldChar w:fldCharType="separate"/>
            </w:r>
            <w:r w:rsidR="005D5123">
              <w:rPr>
                <w:noProof/>
                <w:webHidden/>
              </w:rPr>
              <w:t>9</w:t>
            </w:r>
            <w:r w:rsidR="00D23B58">
              <w:rPr>
                <w:noProof/>
                <w:webHidden/>
              </w:rPr>
              <w:fldChar w:fldCharType="end"/>
            </w:r>
          </w:hyperlink>
        </w:p>
        <w:p w:rsidR="00D23B58" w:rsidRDefault="004B658D">
          <w:pPr>
            <w:pStyle w:val="TOC3"/>
            <w:tabs>
              <w:tab w:val="left" w:pos="1760"/>
            </w:tabs>
            <w:rPr>
              <w:rFonts w:asciiTheme="minorHAnsi" w:eastAsiaTheme="minorEastAsia" w:hAnsiTheme="minorHAnsi" w:cstheme="minorBidi"/>
              <w:noProof/>
              <w:lang w:eastAsia="en-AU"/>
            </w:rPr>
          </w:pPr>
          <w:hyperlink w:anchor="_Toc481586166" w:history="1">
            <w:r w:rsidR="00D23B58" w:rsidRPr="005329A8">
              <w:rPr>
                <w:rStyle w:val="Hyperlink"/>
                <w:noProof/>
              </w:rPr>
              <w:t>3.2.</w:t>
            </w:r>
            <w:r w:rsidR="00D23B58">
              <w:rPr>
                <w:rFonts w:asciiTheme="minorHAnsi" w:eastAsiaTheme="minorEastAsia" w:hAnsiTheme="minorHAnsi" w:cstheme="minorBidi"/>
                <w:noProof/>
                <w:lang w:eastAsia="en-AU"/>
              </w:rPr>
              <w:tab/>
            </w:r>
            <w:r w:rsidR="00D23B58" w:rsidRPr="005329A8">
              <w:rPr>
                <w:rStyle w:val="Hyperlink"/>
                <w:noProof/>
              </w:rPr>
              <w:t>Good clinical practice</w:t>
            </w:r>
            <w:r w:rsidR="00D23B58">
              <w:rPr>
                <w:noProof/>
                <w:webHidden/>
              </w:rPr>
              <w:tab/>
            </w:r>
            <w:r w:rsidR="00D23B58">
              <w:rPr>
                <w:noProof/>
                <w:webHidden/>
              </w:rPr>
              <w:fldChar w:fldCharType="begin"/>
            </w:r>
            <w:r w:rsidR="00D23B58">
              <w:rPr>
                <w:noProof/>
                <w:webHidden/>
              </w:rPr>
              <w:instrText xml:space="preserve"> PAGEREF _Toc481586166 \h </w:instrText>
            </w:r>
            <w:r w:rsidR="00D23B58">
              <w:rPr>
                <w:noProof/>
                <w:webHidden/>
              </w:rPr>
            </w:r>
            <w:r w:rsidR="00D23B58">
              <w:rPr>
                <w:noProof/>
                <w:webHidden/>
              </w:rPr>
              <w:fldChar w:fldCharType="separate"/>
            </w:r>
            <w:r w:rsidR="005D5123">
              <w:rPr>
                <w:noProof/>
                <w:webHidden/>
              </w:rPr>
              <w:t>10</w:t>
            </w:r>
            <w:r w:rsidR="00D23B58">
              <w:rPr>
                <w:noProof/>
                <w:webHidden/>
              </w:rPr>
              <w:fldChar w:fldCharType="end"/>
            </w:r>
          </w:hyperlink>
        </w:p>
        <w:p w:rsidR="00D23B58" w:rsidRDefault="004B658D">
          <w:pPr>
            <w:pStyle w:val="TOC2"/>
            <w:tabs>
              <w:tab w:val="left" w:pos="1100"/>
            </w:tabs>
            <w:rPr>
              <w:rFonts w:asciiTheme="minorHAnsi" w:eastAsiaTheme="minorEastAsia" w:hAnsiTheme="minorHAnsi" w:cstheme="minorBidi"/>
              <w:b w:val="0"/>
              <w:noProof/>
              <w:sz w:val="22"/>
              <w:lang w:eastAsia="en-AU"/>
            </w:rPr>
          </w:pPr>
          <w:hyperlink w:anchor="_Toc481586167" w:history="1">
            <w:r w:rsidR="00D23B58" w:rsidRPr="005329A8">
              <w:rPr>
                <w:rStyle w:val="Hyperlink"/>
                <w:noProof/>
              </w:rPr>
              <w:t>4.</w:t>
            </w:r>
            <w:r w:rsidR="00D23B58">
              <w:rPr>
                <w:rFonts w:asciiTheme="minorHAnsi" w:eastAsiaTheme="minorEastAsia" w:hAnsiTheme="minorHAnsi" w:cstheme="minorBidi"/>
                <w:b w:val="0"/>
                <w:noProof/>
                <w:sz w:val="22"/>
                <w:lang w:eastAsia="en-AU"/>
              </w:rPr>
              <w:tab/>
            </w:r>
            <w:r w:rsidR="00D23B58" w:rsidRPr="005329A8">
              <w:rPr>
                <w:rStyle w:val="Hyperlink"/>
                <w:noProof/>
              </w:rPr>
              <w:t>Pharmacokinetics</w:t>
            </w:r>
            <w:r w:rsidR="00D23B58">
              <w:rPr>
                <w:noProof/>
                <w:webHidden/>
              </w:rPr>
              <w:tab/>
            </w:r>
            <w:r w:rsidR="00D23B58">
              <w:rPr>
                <w:noProof/>
                <w:webHidden/>
              </w:rPr>
              <w:fldChar w:fldCharType="begin"/>
            </w:r>
            <w:r w:rsidR="00D23B58">
              <w:rPr>
                <w:noProof/>
                <w:webHidden/>
              </w:rPr>
              <w:instrText xml:space="preserve"> PAGEREF _Toc481586167 \h </w:instrText>
            </w:r>
            <w:r w:rsidR="00D23B58">
              <w:rPr>
                <w:noProof/>
                <w:webHidden/>
              </w:rPr>
            </w:r>
            <w:r w:rsidR="00D23B58">
              <w:rPr>
                <w:noProof/>
                <w:webHidden/>
              </w:rPr>
              <w:fldChar w:fldCharType="separate"/>
            </w:r>
            <w:r w:rsidR="005D5123">
              <w:rPr>
                <w:noProof/>
                <w:webHidden/>
              </w:rPr>
              <w:t>10</w:t>
            </w:r>
            <w:r w:rsidR="00D23B58">
              <w:rPr>
                <w:noProof/>
                <w:webHidden/>
              </w:rPr>
              <w:fldChar w:fldCharType="end"/>
            </w:r>
          </w:hyperlink>
        </w:p>
        <w:p w:rsidR="00D23B58" w:rsidRDefault="004B658D">
          <w:pPr>
            <w:pStyle w:val="TOC3"/>
            <w:tabs>
              <w:tab w:val="left" w:pos="1760"/>
            </w:tabs>
            <w:rPr>
              <w:rFonts w:asciiTheme="minorHAnsi" w:eastAsiaTheme="minorEastAsia" w:hAnsiTheme="minorHAnsi" w:cstheme="minorBidi"/>
              <w:noProof/>
              <w:lang w:eastAsia="en-AU"/>
            </w:rPr>
          </w:pPr>
          <w:hyperlink w:anchor="_Toc481586168" w:history="1">
            <w:r w:rsidR="00D23B58" w:rsidRPr="005329A8">
              <w:rPr>
                <w:rStyle w:val="Hyperlink"/>
                <w:noProof/>
              </w:rPr>
              <w:t>4.1.</w:t>
            </w:r>
            <w:r w:rsidR="00D23B58">
              <w:rPr>
                <w:rFonts w:asciiTheme="minorHAnsi" w:eastAsiaTheme="minorEastAsia" w:hAnsiTheme="minorHAnsi" w:cstheme="minorBidi"/>
                <w:noProof/>
                <w:lang w:eastAsia="en-AU"/>
              </w:rPr>
              <w:tab/>
            </w:r>
            <w:r w:rsidR="00D23B58" w:rsidRPr="005329A8">
              <w:rPr>
                <w:rStyle w:val="Hyperlink"/>
                <w:noProof/>
              </w:rPr>
              <w:t>GS-US-236-0135 Pharmacokinetic drug interaction study</w:t>
            </w:r>
            <w:r w:rsidR="00D23B58">
              <w:rPr>
                <w:noProof/>
                <w:webHidden/>
              </w:rPr>
              <w:tab/>
            </w:r>
            <w:r w:rsidR="00D23B58">
              <w:rPr>
                <w:noProof/>
                <w:webHidden/>
              </w:rPr>
              <w:fldChar w:fldCharType="begin"/>
            </w:r>
            <w:r w:rsidR="00D23B58">
              <w:rPr>
                <w:noProof/>
                <w:webHidden/>
              </w:rPr>
              <w:instrText xml:space="preserve"> PAGEREF _Toc481586168 \h </w:instrText>
            </w:r>
            <w:r w:rsidR="00D23B58">
              <w:rPr>
                <w:noProof/>
                <w:webHidden/>
              </w:rPr>
            </w:r>
            <w:r w:rsidR="00D23B58">
              <w:rPr>
                <w:noProof/>
                <w:webHidden/>
              </w:rPr>
              <w:fldChar w:fldCharType="separate"/>
            </w:r>
            <w:r w:rsidR="005D5123">
              <w:rPr>
                <w:noProof/>
                <w:webHidden/>
              </w:rPr>
              <w:t>10</w:t>
            </w:r>
            <w:r w:rsidR="00D23B58">
              <w:rPr>
                <w:noProof/>
                <w:webHidden/>
              </w:rPr>
              <w:fldChar w:fldCharType="end"/>
            </w:r>
          </w:hyperlink>
        </w:p>
        <w:p w:rsidR="00D23B58" w:rsidRDefault="004B658D">
          <w:pPr>
            <w:pStyle w:val="TOC3"/>
            <w:tabs>
              <w:tab w:val="left" w:pos="1760"/>
            </w:tabs>
            <w:rPr>
              <w:rFonts w:asciiTheme="minorHAnsi" w:eastAsiaTheme="minorEastAsia" w:hAnsiTheme="minorHAnsi" w:cstheme="minorBidi"/>
              <w:noProof/>
              <w:lang w:eastAsia="en-AU"/>
            </w:rPr>
          </w:pPr>
          <w:hyperlink w:anchor="_Toc481586169" w:history="1">
            <w:r w:rsidR="00D23B58" w:rsidRPr="005329A8">
              <w:rPr>
                <w:rStyle w:val="Hyperlink"/>
                <w:rFonts w:eastAsiaTheme="minorHAnsi"/>
                <w:noProof/>
              </w:rPr>
              <w:t>4.2.</w:t>
            </w:r>
            <w:r w:rsidR="00D23B58">
              <w:rPr>
                <w:rFonts w:asciiTheme="minorHAnsi" w:eastAsiaTheme="minorEastAsia" w:hAnsiTheme="minorHAnsi" w:cstheme="minorBidi"/>
                <w:noProof/>
                <w:lang w:eastAsia="en-AU"/>
              </w:rPr>
              <w:tab/>
            </w:r>
            <w:r w:rsidR="00D23B58" w:rsidRPr="005329A8">
              <w:rPr>
                <w:rStyle w:val="Hyperlink"/>
                <w:rFonts w:eastAsiaTheme="minorHAnsi"/>
                <w:noProof/>
              </w:rPr>
              <w:t>Evaluator’s conclusion on pharmacokinetics</w:t>
            </w:r>
            <w:r w:rsidR="00D23B58">
              <w:rPr>
                <w:noProof/>
                <w:webHidden/>
              </w:rPr>
              <w:tab/>
            </w:r>
            <w:r w:rsidR="00D23B58">
              <w:rPr>
                <w:noProof/>
                <w:webHidden/>
              </w:rPr>
              <w:fldChar w:fldCharType="begin"/>
            </w:r>
            <w:r w:rsidR="00D23B58">
              <w:rPr>
                <w:noProof/>
                <w:webHidden/>
              </w:rPr>
              <w:instrText xml:space="preserve"> PAGEREF _Toc481586169 \h </w:instrText>
            </w:r>
            <w:r w:rsidR="00D23B58">
              <w:rPr>
                <w:noProof/>
                <w:webHidden/>
              </w:rPr>
            </w:r>
            <w:r w:rsidR="00D23B58">
              <w:rPr>
                <w:noProof/>
                <w:webHidden/>
              </w:rPr>
              <w:fldChar w:fldCharType="separate"/>
            </w:r>
            <w:r w:rsidR="005D5123">
              <w:rPr>
                <w:noProof/>
                <w:webHidden/>
              </w:rPr>
              <w:t>22</w:t>
            </w:r>
            <w:r w:rsidR="00D23B58">
              <w:rPr>
                <w:noProof/>
                <w:webHidden/>
              </w:rPr>
              <w:fldChar w:fldCharType="end"/>
            </w:r>
          </w:hyperlink>
        </w:p>
        <w:p w:rsidR="00D23B58" w:rsidRDefault="004B658D">
          <w:pPr>
            <w:pStyle w:val="TOC2"/>
            <w:tabs>
              <w:tab w:val="left" w:pos="1100"/>
            </w:tabs>
            <w:rPr>
              <w:rFonts w:asciiTheme="minorHAnsi" w:eastAsiaTheme="minorEastAsia" w:hAnsiTheme="minorHAnsi" w:cstheme="minorBidi"/>
              <w:b w:val="0"/>
              <w:noProof/>
              <w:sz w:val="22"/>
              <w:lang w:eastAsia="en-AU"/>
            </w:rPr>
          </w:pPr>
          <w:hyperlink w:anchor="_Toc481586170" w:history="1">
            <w:r w:rsidR="00D23B58" w:rsidRPr="005329A8">
              <w:rPr>
                <w:rStyle w:val="Hyperlink"/>
                <w:rFonts w:eastAsiaTheme="minorHAnsi"/>
                <w:noProof/>
              </w:rPr>
              <w:t>5.</w:t>
            </w:r>
            <w:r w:rsidR="00D23B58">
              <w:rPr>
                <w:rFonts w:asciiTheme="minorHAnsi" w:eastAsiaTheme="minorEastAsia" w:hAnsiTheme="minorHAnsi" w:cstheme="minorBidi"/>
                <w:b w:val="0"/>
                <w:noProof/>
                <w:sz w:val="22"/>
                <w:lang w:eastAsia="en-AU"/>
              </w:rPr>
              <w:tab/>
            </w:r>
            <w:r w:rsidR="00D23B58" w:rsidRPr="005329A8">
              <w:rPr>
                <w:rStyle w:val="Hyperlink"/>
                <w:rFonts w:eastAsiaTheme="minorHAnsi"/>
                <w:noProof/>
              </w:rPr>
              <w:t>Pharmacodynamics</w:t>
            </w:r>
            <w:r w:rsidR="00D23B58">
              <w:rPr>
                <w:noProof/>
                <w:webHidden/>
              </w:rPr>
              <w:tab/>
            </w:r>
            <w:r w:rsidR="00D23B58">
              <w:rPr>
                <w:noProof/>
                <w:webHidden/>
              </w:rPr>
              <w:fldChar w:fldCharType="begin"/>
            </w:r>
            <w:r w:rsidR="00D23B58">
              <w:rPr>
                <w:noProof/>
                <w:webHidden/>
              </w:rPr>
              <w:instrText xml:space="preserve"> PAGEREF _Toc481586170 \h </w:instrText>
            </w:r>
            <w:r w:rsidR="00D23B58">
              <w:rPr>
                <w:noProof/>
                <w:webHidden/>
              </w:rPr>
            </w:r>
            <w:r w:rsidR="00D23B58">
              <w:rPr>
                <w:noProof/>
                <w:webHidden/>
              </w:rPr>
              <w:fldChar w:fldCharType="separate"/>
            </w:r>
            <w:r w:rsidR="005D5123">
              <w:rPr>
                <w:noProof/>
                <w:webHidden/>
              </w:rPr>
              <w:t>22</w:t>
            </w:r>
            <w:r w:rsidR="00D23B58">
              <w:rPr>
                <w:noProof/>
                <w:webHidden/>
              </w:rPr>
              <w:fldChar w:fldCharType="end"/>
            </w:r>
          </w:hyperlink>
        </w:p>
        <w:p w:rsidR="00D23B58" w:rsidRDefault="004B658D">
          <w:pPr>
            <w:pStyle w:val="TOC2"/>
            <w:tabs>
              <w:tab w:val="left" w:pos="1100"/>
            </w:tabs>
            <w:rPr>
              <w:rFonts w:asciiTheme="minorHAnsi" w:eastAsiaTheme="minorEastAsia" w:hAnsiTheme="minorHAnsi" w:cstheme="minorBidi"/>
              <w:b w:val="0"/>
              <w:noProof/>
              <w:sz w:val="22"/>
              <w:lang w:eastAsia="en-AU"/>
            </w:rPr>
          </w:pPr>
          <w:hyperlink w:anchor="_Toc481586171" w:history="1">
            <w:r w:rsidR="00D23B58" w:rsidRPr="005329A8">
              <w:rPr>
                <w:rStyle w:val="Hyperlink"/>
                <w:rFonts w:eastAsiaTheme="minorHAnsi"/>
                <w:noProof/>
              </w:rPr>
              <w:t>6.</w:t>
            </w:r>
            <w:r w:rsidR="00D23B58">
              <w:rPr>
                <w:rFonts w:asciiTheme="minorHAnsi" w:eastAsiaTheme="minorEastAsia" w:hAnsiTheme="minorHAnsi" w:cstheme="minorBidi"/>
                <w:b w:val="0"/>
                <w:noProof/>
                <w:sz w:val="22"/>
                <w:lang w:eastAsia="en-AU"/>
              </w:rPr>
              <w:tab/>
            </w:r>
            <w:r w:rsidR="00D23B58" w:rsidRPr="005329A8">
              <w:rPr>
                <w:rStyle w:val="Hyperlink"/>
                <w:noProof/>
              </w:rPr>
              <w:t>Dosage selection for the pivotal studies</w:t>
            </w:r>
            <w:r w:rsidR="00D23B58">
              <w:rPr>
                <w:noProof/>
                <w:webHidden/>
              </w:rPr>
              <w:tab/>
            </w:r>
            <w:r w:rsidR="00D23B58">
              <w:rPr>
                <w:noProof/>
                <w:webHidden/>
              </w:rPr>
              <w:fldChar w:fldCharType="begin"/>
            </w:r>
            <w:r w:rsidR="00D23B58">
              <w:rPr>
                <w:noProof/>
                <w:webHidden/>
              </w:rPr>
              <w:instrText xml:space="preserve"> PAGEREF _Toc481586171 \h </w:instrText>
            </w:r>
            <w:r w:rsidR="00D23B58">
              <w:rPr>
                <w:noProof/>
                <w:webHidden/>
              </w:rPr>
            </w:r>
            <w:r w:rsidR="00D23B58">
              <w:rPr>
                <w:noProof/>
                <w:webHidden/>
              </w:rPr>
              <w:fldChar w:fldCharType="separate"/>
            </w:r>
            <w:r w:rsidR="005D5123">
              <w:rPr>
                <w:noProof/>
                <w:webHidden/>
              </w:rPr>
              <w:t>22</w:t>
            </w:r>
            <w:r w:rsidR="00D23B58">
              <w:rPr>
                <w:noProof/>
                <w:webHidden/>
              </w:rPr>
              <w:fldChar w:fldCharType="end"/>
            </w:r>
          </w:hyperlink>
        </w:p>
        <w:p w:rsidR="00D23B58" w:rsidRDefault="004B658D">
          <w:pPr>
            <w:pStyle w:val="TOC2"/>
            <w:tabs>
              <w:tab w:val="left" w:pos="1100"/>
            </w:tabs>
            <w:rPr>
              <w:rFonts w:asciiTheme="minorHAnsi" w:eastAsiaTheme="minorEastAsia" w:hAnsiTheme="minorHAnsi" w:cstheme="minorBidi"/>
              <w:b w:val="0"/>
              <w:noProof/>
              <w:sz w:val="22"/>
              <w:lang w:eastAsia="en-AU"/>
            </w:rPr>
          </w:pPr>
          <w:hyperlink w:anchor="_Toc481586172" w:history="1">
            <w:r w:rsidR="00D23B58" w:rsidRPr="005329A8">
              <w:rPr>
                <w:rStyle w:val="Hyperlink"/>
                <w:rFonts w:eastAsiaTheme="minorHAnsi"/>
                <w:noProof/>
              </w:rPr>
              <w:t>7.</w:t>
            </w:r>
            <w:r w:rsidR="00D23B58">
              <w:rPr>
                <w:rFonts w:asciiTheme="minorHAnsi" w:eastAsiaTheme="minorEastAsia" w:hAnsiTheme="minorHAnsi" w:cstheme="minorBidi"/>
                <w:b w:val="0"/>
                <w:noProof/>
                <w:sz w:val="22"/>
                <w:lang w:eastAsia="en-AU"/>
              </w:rPr>
              <w:tab/>
            </w:r>
            <w:r w:rsidR="00D23B58" w:rsidRPr="005329A8">
              <w:rPr>
                <w:rStyle w:val="Hyperlink"/>
                <w:rFonts w:eastAsiaTheme="minorHAnsi"/>
                <w:noProof/>
              </w:rPr>
              <w:t>Clinical efficacy</w:t>
            </w:r>
            <w:r w:rsidR="00D23B58">
              <w:rPr>
                <w:noProof/>
                <w:webHidden/>
              </w:rPr>
              <w:tab/>
            </w:r>
            <w:r w:rsidR="00D23B58">
              <w:rPr>
                <w:noProof/>
                <w:webHidden/>
              </w:rPr>
              <w:fldChar w:fldCharType="begin"/>
            </w:r>
            <w:r w:rsidR="00D23B58">
              <w:rPr>
                <w:noProof/>
                <w:webHidden/>
              </w:rPr>
              <w:instrText xml:space="preserve"> PAGEREF _Toc481586172 \h </w:instrText>
            </w:r>
            <w:r w:rsidR="00D23B58">
              <w:rPr>
                <w:noProof/>
                <w:webHidden/>
              </w:rPr>
            </w:r>
            <w:r w:rsidR="00D23B58">
              <w:rPr>
                <w:noProof/>
                <w:webHidden/>
              </w:rPr>
              <w:fldChar w:fldCharType="separate"/>
            </w:r>
            <w:r w:rsidR="005D5123">
              <w:rPr>
                <w:noProof/>
                <w:webHidden/>
              </w:rPr>
              <w:t>22</w:t>
            </w:r>
            <w:r w:rsidR="00D23B58">
              <w:rPr>
                <w:noProof/>
                <w:webHidden/>
              </w:rPr>
              <w:fldChar w:fldCharType="end"/>
            </w:r>
          </w:hyperlink>
        </w:p>
        <w:p w:rsidR="00D23B58" w:rsidRDefault="004B658D">
          <w:pPr>
            <w:pStyle w:val="TOC3"/>
            <w:tabs>
              <w:tab w:val="left" w:pos="1760"/>
            </w:tabs>
            <w:rPr>
              <w:rFonts w:asciiTheme="minorHAnsi" w:eastAsiaTheme="minorEastAsia" w:hAnsiTheme="minorHAnsi" w:cstheme="minorBidi"/>
              <w:noProof/>
              <w:lang w:eastAsia="en-AU"/>
            </w:rPr>
          </w:pPr>
          <w:hyperlink w:anchor="_Toc481586173" w:history="1">
            <w:r w:rsidR="00D23B58" w:rsidRPr="005329A8">
              <w:rPr>
                <w:rStyle w:val="Hyperlink"/>
                <w:rFonts w:eastAsiaTheme="minorHAnsi"/>
                <w:noProof/>
              </w:rPr>
              <w:t>7.1.</w:t>
            </w:r>
            <w:r w:rsidR="00D23B58">
              <w:rPr>
                <w:rFonts w:asciiTheme="minorHAnsi" w:eastAsiaTheme="minorEastAsia" w:hAnsiTheme="minorHAnsi" w:cstheme="minorBidi"/>
                <w:noProof/>
                <w:lang w:eastAsia="en-AU"/>
              </w:rPr>
              <w:tab/>
            </w:r>
            <w:r w:rsidR="00D23B58" w:rsidRPr="005329A8">
              <w:rPr>
                <w:rStyle w:val="Hyperlink"/>
                <w:rFonts w:eastAsiaTheme="minorHAnsi"/>
                <w:noProof/>
              </w:rPr>
              <w:t>GS-US-236-0102</w:t>
            </w:r>
            <w:r w:rsidR="00D23B58">
              <w:rPr>
                <w:noProof/>
                <w:webHidden/>
              </w:rPr>
              <w:tab/>
            </w:r>
            <w:r w:rsidR="00D23B58">
              <w:rPr>
                <w:noProof/>
                <w:webHidden/>
              </w:rPr>
              <w:fldChar w:fldCharType="begin"/>
            </w:r>
            <w:r w:rsidR="00D23B58">
              <w:rPr>
                <w:noProof/>
                <w:webHidden/>
              </w:rPr>
              <w:instrText xml:space="preserve"> PAGEREF _Toc481586173 \h </w:instrText>
            </w:r>
            <w:r w:rsidR="00D23B58">
              <w:rPr>
                <w:noProof/>
                <w:webHidden/>
              </w:rPr>
            </w:r>
            <w:r w:rsidR="00D23B58">
              <w:rPr>
                <w:noProof/>
                <w:webHidden/>
              </w:rPr>
              <w:fldChar w:fldCharType="separate"/>
            </w:r>
            <w:r w:rsidR="005D5123">
              <w:rPr>
                <w:noProof/>
                <w:webHidden/>
              </w:rPr>
              <w:t>23</w:t>
            </w:r>
            <w:r w:rsidR="00D23B58">
              <w:rPr>
                <w:noProof/>
                <w:webHidden/>
              </w:rPr>
              <w:fldChar w:fldCharType="end"/>
            </w:r>
          </w:hyperlink>
        </w:p>
        <w:p w:rsidR="00D23B58" w:rsidRDefault="004B658D">
          <w:pPr>
            <w:pStyle w:val="TOC3"/>
            <w:tabs>
              <w:tab w:val="left" w:pos="1760"/>
            </w:tabs>
            <w:rPr>
              <w:rFonts w:asciiTheme="minorHAnsi" w:eastAsiaTheme="minorEastAsia" w:hAnsiTheme="minorHAnsi" w:cstheme="minorBidi"/>
              <w:noProof/>
              <w:lang w:eastAsia="en-AU"/>
            </w:rPr>
          </w:pPr>
          <w:hyperlink w:anchor="_Toc481586174" w:history="1">
            <w:r w:rsidR="00D23B58" w:rsidRPr="005329A8">
              <w:rPr>
                <w:rStyle w:val="Hyperlink"/>
                <w:rFonts w:eastAsiaTheme="minorHAnsi"/>
                <w:noProof/>
              </w:rPr>
              <w:t>7.2.</w:t>
            </w:r>
            <w:r w:rsidR="00D23B58">
              <w:rPr>
                <w:rFonts w:asciiTheme="minorHAnsi" w:eastAsiaTheme="minorEastAsia" w:hAnsiTheme="minorHAnsi" w:cstheme="minorBidi"/>
                <w:noProof/>
                <w:lang w:eastAsia="en-AU"/>
              </w:rPr>
              <w:tab/>
            </w:r>
            <w:r w:rsidR="00D23B58" w:rsidRPr="005329A8">
              <w:rPr>
                <w:rStyle w:val="Hyperlink"/>
                <w:rFonts w:eastAsiaTheme="minorHAnsi"/>
                <w:noProof/>
              </w:rPr>
              <w:t>GS-US-236-0103</w:t>
            </w:r>
            <w:r w:rsidR="00D23B58">
              <w:rPr>
                <w:noProof/>
                <w:webHidden/>
              </w:rPr>
              <w:tab/>
            </w:r>
            <w:r w:rsidR="00D23B58">
              <w:rPr>
                <w:noProof/>
                <w:webHidden/>
              </w:rPr>
              <w:fldChar w:fldCharType="begin"/>
            </w:r>
            <w:r w:rsidR="00D23B58">
              <w:rPr>
                <w:noProof/>
                <w:webHidden/>
              </w:rPr>
              <w:instrText xml:space="preserve"> PAGEREF _Toc481586174 \h </w:instrText>
            </w:r>
            <w:r w:rsidR="00D23B58">
              <w:rPr>
                <w:noProof/>
                <w:webHidden/>
              </w:rPr>
            </w:r>
            <w:r w:rsidR="00D23B58">
              <w:rPr>
                <w:noProof/>
                <w:webHidden/>
              </w:rPr>
              <w:fldChar w:fldCharType="separate"/>
            </w:r>
            <w:r w:rsidR="005D5123">
              <w:rPr>
                <w:noProof/>
                <w:webHidden/>
              </w:rPr>
              <w:t>31</w:t>
            </w:r>
            <w:r w:rsidR="00D23B58">
              <w:rPr>
                <w:noProof/>
                <w:webHidden/>
              </w:rPr>
              <w:fldChar w:fldCharType="end"/>
            </w:r>
          </w:hyperlink>
        </w:p>
        <w:p w:rsidR="00D23B58" w:rsidRDefault="004B658D">
          <w:pPr>
            <w:pStyle w:val="TOC3"/>
            <w:tabs>
              <w:tab w:val="left" w:pos="1760"/>
            </w:tabs>
            <w:rPr>
              <w:rFonts w:asciiTheme="minorHAnsi" w:eastAsiaTheme="minorEastAsia" w:hAnsiTheme="minorHAnsi" w:cstheme="minorBidi"/>
              <w:noProof/>
              <w:lang w:eastAsia="en-AU"/>
            </w:rPr>
          </w:pPr>
          <w:hyperlink w:anchor="_Toc481586175" w:history="1">
            <w:r w:rsidR="00D23B58" w:rsidRPr="005329A8">
              <w:rPr>
                <w:rStyle w:val="Hyperlink"/>
                <w:rFonts w:eastAsiaTheme="minorHAnsi"/>
                <w:noProof/>
              </w:rPr>
              <w:t>7.3.</w:t>
            </w:r>
            <w:r w:rsidR="00D23B58">
              <w:rPr>
                <w:rFonts w:asciiTheme="minorHAnsi" w:eastAsiaTheme="minorEastAsia" w:hAnsiTheme="minorHAnsi" w:cstheme="minorBidi"/>
                <w:noProof/>
                <w:lang w:eastAsia="en-AU"/>
              </w:rPr>
              <w:tab/>
            </w:r>
            <w:r w:rsidR="00D23B58" w:rsidRPr="005329A8">
              <w:rPr>
                <w:rStyle w:val="Hyperlink"/>
                <w:rFonts w:eastAsiaTheme="minorHAnsi"/>
                <w:noProof/>
              </w:rPr>
              <w:t>GS-US-236-0115</w:t>
            </w:r>
            <w:r w:rsidR="00D23B58">
              <w:rPr>
                <w:noProof/>
                <w:webHidden/>
              </w:rPr>
              <w:tab/>
            </w:r>
            <w:r w:rsidR="00D23B58">
              <w:rPr>
                <w:noProof/>
                <w:webHidden/>
              </w:rPr>
              <w:fldChar w:fldCharType="begin"/>
            </w:r>
            <w:r w:rsidR="00D23B58">
              <w:rPr>
                <w:noProof/>
                <w:webHidden/>
              </w:rPr>
              <w:instrText xml:space="preserve"> PAGEREF _Toc481586175 \h </w:instrText>
            </w:r>
            <w:r w:rsidR="00D23B58">
              <w:rPr>
                <w:noProof/>
                <w:webHidden/>
              </w:rPr>
            </w:r>
            <w:r w:rsidR="00D23B58">
              <w:rPr>
                <w:noProof/>
                <w:webHidden/>
              </w:rPr>
              <w:fldChar w:fldCharType="separate"/>
            </w:r>
            <w:r w:rsidR="005D5123">
              <w:rPr>
                <w:noProof/>
                <w:webHidden/>
              </w:rPr>
              <w:t>39</w:t>
            </w:r>
            <w:r w:rsidR="00D23B58">
              <w:rPr>
                <w:noProof/>
                <w:webHidden/>
              </w:rPr>
              <w:fldChar w:fldCharType="end"/>
            </w:r>
          </w:hyperlink>
        </w:p>
        <w:p w:rsidR="00D23B58" w:rsidRDefault="004B658D">
          <w:pPr>
            <w:pStyle w:val="TOC3"/>
            <w:tabs>
              <w:tab w:val="left" w:pos="1760"/>
            </w:tabs>
            <w:rPr>
              <w:rFonts w:asciiTheme="minorHAnsi" w:eastAsiaTheme="minorEastAsia" w:hAnsiTheme="minorHAnsi" w:cstheme="minorBidi"/>
              <w:noProof/>
              <w:lang w:eastAsia="en-AU"/>
            </w:rPr>
          </w:pPr>
          <w:hyperlink w:anchor="_Toc481586176" w:history="1">
            <w:r w:rsidR="00D23B58" w:rsidRPr="005329A8">
              <w:rPr>
                <w:rStyle w:val="Hyperlink"/>
                <w:noProof/>
              </w:rPr>
              <w:t>7.4.</w:t>
            </w:r>
            <w:r w:rsidR="00D23B58">
              <w:rPr>
                <w:rFonts w:asciiTheme="minorHAnsi" w:eastAsiaTheme="minorEastAsia" w:hAnsiTheme="minorHAnsi" w:cstheme="minorBidi"/>
                <w:noProof/>
                <w:lang w:eastAsia="en-AU"/>
              </w:rPr>
              <w:tab/>
            </w:r>
            <w:r w:rsidR="00D23B58" w:rsidRPr="005329A8">
              <w:rPr>
                <w:rStyle w:val="Hyperlink"/>
                <w:noProof/>
              </w:rPr>
              <w:t>GS-US-236-0121</w:t>
            </w:r>
            <w:r w:rsidR="00D23B58">
              <w:rPr>
                <w:noProof/>
                <w:webHidden/>
              </w:rPr>
              <w:tab/>
            </w:r>
            <w:r w:rsidR="00D23B58">
              <w:rPr>
                <w:noProof/>
                <w:webHidden/>
              </w:rPr>
              <w:fldChar w:fldCharType="begin"/>
            </w:r>
            <w:r w:rsidR="00D23B58">
              <w:rPr>
                <w:noProof/>
                <w:webHidden/>
              </w:rPr>
              <w:instrText xml:space="preserve"> PAGEREF _Toc481586176 \h </w:instrText>
            </w:r>
            <w:r w:rsidR="00D23B58">
              <w:rPr>
                <w:noProof/>
                <w:webHidden/>
              </w:rPr>
            </w:r>
            <w:r w:rsidR="00D23B58">
              <w:rPr>
                <w:noProof/>
                <w:webHidden/>
              </w:rPr>
              <w:fldChar w:fldCharType="separate"/>
            </w:r>
            <w:r w:rsidR="005D5123">
              <w:rPr>
                <w:noProof/>
                <w:webHidden/>
              </w:rPr>
              <w:t>48</w:t>
            </w:r>
            <w:r w:rsidR="00D23B58">
              <w:rPr>
                <w:noProof/>
                <w:webHidden/>
              </w:rPr>
              <w:fldChar w:fldCharType="end"/>
            </w:r>
          </w:hyperlink>
        </w:p>
        <w:p w:rsidR="00D23B58" w:rsidRDefault="004B658D">
          <w:pPr>
            <w:pStyle w:val="TOC3"/>
            <w:tabs>
              <w:tab w:val="left" w:pos="1760"/>
            </w:tabs>
            <w:rPr>
              <w:rFonts w:asciiTheme="minorHAnsi" w:eastAsiaTheme="minorEastAsia" w:hAnsiTheme="minorHAnsi" w:cstheme="minorBidi"/>
              <w:noProof/>
              <w:lang w:eastAsia="en-AU"/>
            </w:rPr>
          </w:pPr>
          <w:hyperlink w:anchor="_Toc481586177" w:history="1">
            <w:r w:rsidR="00D23B58" w:rsidRPr="005329A8">
              <w:rPr>
                <w:rStyle w:val="Hyperlink"/>
                <w:rFonts w:eastAsiaTheme="minorHAnsi"/>
                <w:noProof/>
              </w:rPr>
              <w:t>7.5.</w:t>
            </w:r>
            <w:r w:rsidR="00D23B58">
              <w:rPr>
                <w:rFonts w:asciiTheme="minorHAnsi" w:eastAsiaTheme="minorEastAsia" w:hAnsiTheme="minorHAnsi" w:cstheme="minorBidi"/>
                <w:noProof/>
                <w:lang w:eastAsia="en-AU"/>
              </w:rPr>
              <w:tab/>
            </w:r>
            <w:r w:rsidR="00D23B58" w:rsidRPr="005329A8">
              <w:rPr>
                <w:rStyle w:val="Hyperlink"/>
                <w:rFonts w:eastAsiaTheme="minorHAnsi"/>
                <w:noProof/>
              </w:rPr>
              <w:t>GS-US-236-0123</w:t>
            </w:r>
            <w:r w:rsidR="00D23B58">
              <w:rPr>
                <w:noProof/>
                <w:webHidden/>
              </w:rPr>
              <w:tab/>
            </w:r>
            <w:r w:rsidR="00D23B58">
              <w:rPr>
                <w:noProof/>
                <w:webHidden/>
              </w:rPr>
              <w:fldChar w:fldCharType="begin"/>
            </w:r>
            <w:r w:rsidR="00D23B58">
              <w:rPr>
                <w:noProof/>
                <w:webHidden/>
              </w:rPr>
              <w:instrText xml:space="preserve"> PAGEREF _Toc481586177 \h </w:instrText>
            </w:r>
            <w:r w:rsidR="00D23B58">
              <w:rPr>
                <w:noProof/>
                <w:webHidden/>
              </w:rPr>
            </w:r>
            <w:r w:rsidR="00D23B58">
              <w:rPr>
                <w:noProof/>
                <w:webHidden/>
              </w:rPr>
              <w:fldChar w:fldCharType="separate"/>
            </w:r>
            <w:r w:rsidR="005D5123">
              <w:rPr>
                <w:noProof/>
                <w:webHidden/>
              </w:rPr>
              <w:t>57</w:t>
            </w:r>
            <w:r w:rsidR="00D23B58">
              <w:rPr>
                <w:noProof/>
                <w:webHidden/>
              </w:rPr>
              <w:fldChar w:fldCharType="end"/>
            </w:r>
          </w:hyperlink>
        </w:p>
        <w:p w:rsidR="00D23B58" w:rsidRDefault="004B658D">
          <w:pPr>
            <w:pStyle w:val="TOC3"/>
            <w:tabs>
              <w:tab w:val="left" w:pos="1760"/>
            </w:tabs>
            <w:rPr>
              <w:rFonts w:asciiTheme="minorHAnsi" w:eastAsiaTheme="minorEastAsia" w:hAnsiTheme="minorHAnsi" w:cstheme="minorBidi"/>
              <w:noProof/>
              <w:lang w:eastAsia="en-AU"/>
            </w:rPr>
          </w:pPr>
          <w:hyperlink w:anchor="_Toc481586178" w:history="1">
            <w:r w:rsidR="00D23B58" w:rsidRPr="005329A8">
              <w:rPr>
                <w:rStyle w:val="Hyperlink"/>
                <w:rFonts w:eastAsiaTheme="minorHAnsi"/>
                <w:noProof/>
              </w:rPr>
              <w:t>7.6.</w:t>
            </w:r>
            <w:r w:rsidR="00D23B58">
              <w:rPr>
                <w:rFonts w:asciiTheme="minorHAnsi" w:eastAsiaTheme="minorEastAsia" w:hAnsiTheme="minorHAnsi" w:cstheme="minorBidi"/>
                <w:noProof/>
                <w:lang w:eastAsia="en-AU"/>
              </w:rPr>
              <w:tab/>
            </w:r>
            <w:r w:rsidR="00D23B58" w:rsidRPr="005329A8">
              <w:rPr>
                <w:rStyle w:val="Hyperlink"/>
                <w:rFonts w:eastAsiaTheme="minorHAnsi"/>
                <w:noProof/>
              </w:rPr>
              <w:t>Evaluator’s conclusions on efficacy</w:t>
            </w:r>
            <w:r w:rsidR="00D23B58">
              <w:rPr>
                <w:noProof/>
                <w:webHidden/>
              </w:rPr>
              <w:tab/>
            </w:r>
            <w:r w:rsidR="00D23B58">
              <w:rPr>
                <w:noProof/>
                <w:webHidden/>
              </w:rPr>
              <w:fldChar w:fldCharType="begin"/>
            </w:r>
            <w:r w:rsidR="00D23B58">
              <w:rPr>
                <w:noProof/>
                <w:webHidden/>
              </w:rPr>
              <w:instrText xml:space="preserve"> PAGEREF _Toc481586178 \h </w:instrText>
            </w:r>
            <w:r w:rsidR="00D23B58">
              <w:rPr>
                <w:noProof/>
                <w:webHidden/>
              </w:rPr>
            </w:r>
            <w:r w:rsidR="00D23B58">
              <w:rPr>
                <w:noProof/>
                <w:webHidden/>
              </w:rPr>
              <w:fldChar w:fldCharType="separate"/>
            </w:r>
            <w:r w:rsidR="005D5123">
              <w:rPr>
                <w:noProof/>
                <w:webHidden/>
              </w:rPr>
              <w:t>60</w:t>
            </w:r>
            <w:r w:rsidR="00D23B58">
              <w:rPr>
                <w:noProof/>
                <w:webHidden/>
              </w:rPr>
              <w:fldChar w:fldCharType="end"/>
            </w:r>
          </w:hyperlink>
        </w:p>
        <w:p w:rsidR="00D23B58" w:rsidRDefault="004B658D">
          <w:pPr>
            <w:pStyle w:val="TOC2"/>
            <w:tabs>
              <w:tab w:val="left" w:pos="1100"/>
            </w:tabs>
            <w:rPr>
              <w:rFonts w:asciiTheme="minorHAnsi" w:eastAsiaTheme="minorEastAsia" w:hAnsiTheme="minorHAnsi" w:cstheme="minorBidi"/>
              <w:b w:val="0"/>
              <w:noProof/>
              <w:sz w:val="22"/>
              <w:lang w:eastAsia="en-AU"/>
            </w:rPr>
          </w:pPr>
          <w:hyperlink w:anchor="_Toc481586179" w:history="1">
            <w:r w:rsidR="00D23B58" w:rsidRPr="005329A8">
              <w:rPr>
                <w:rStyle w:val="Hyperlink"/>
                <w:noProof/>
              </w:rPr>
              <w:t>8.</w:t>
            </w:r>
            <w:r w:rsidR="00D23B58">
              <w:rPr>
                <w:rFonts w:asciiTheme="minorHAnsi" w:eastAsiaTheme="minorEastAsia" w:hAnsiTheme="minorHAnsi" w:cstheme="minorBidi"/>
                <w:b w:val="0"/>
                <w:noProof/>
                <w:sz w:val="22"/>
                <w:lang w:eastAsia="en-AU"/>
              </w:rPr>
              <w:tab/>
            </w:r>
            <w:r w:rsidR="00D23B58" w:rsidRPr="005329A8">
              <w:rPr>
                <w:rStyle w:val="Hyperlink"/>
                <w:noProof/>
              </w:rPr>
              <w:t>Clinical safety</w:t>
            </w:r>
            <w:r w:rsidR="00D23B58">
              <w:rPr>
                <w:noProof/>
                <w:webHidden/>
              </w:rPr>
              <w:tab/>
            </w:r>
            <w:r w:rsidR="00D23B58">
              <w:rPr>
                <w:noProof/>
                <w:webHidden/>
              </w:rPr>
              <w:fldChar w:fldCharType="begin"/>
            </w:r>
            <w:r w:rsidR="00D23B58">
              <w:rPr>
                <w:noProof/>
                <w:webHidden/>
              </w:rPr>
              <w:instrText xml:space="preserve"> PAGEREF _Toc481586179 \h </w:instrText>
            </w:r>
            <w:r w:rsidR="00D23B58">
              <w:rPr>
                <w:noProof/>
                <w:webHidden/>
              </w:rPr>
            </w:r>
            <w:r w:rsidR="00D23B58">
              <w:rPr>
                <w:noProof/>
                <w:webHidden/>
              </w:rPr>
              <w:fldChar w:fldCharType="separate"/>
            </w:r>
            <w:r w:rsidR="005D5123">
              <w:rPr>
                <w:noProof/>
                <w:webHidden/>
              </w:rPr>
              <w:t>60</w:t>
            </w:r>
            <w:r w:rsidR="00D23B58">
              <w:rPr>
                <w:noProof/>
                <w:webHidden/>
              </w:rPr>
              <w:fldChar w:fldCharType="end"/>
            </w:r>
          </w:hyperlink>
        </w:p>
        <w:p w:rsidR="00D23B58" w:rsidRDefault="004B658D">
          <w:pPr>
            <w:pStyle w:val="TOC3"/>
            <w:tabs>
              <w:tab w:val="left" w:pos="1760"/>
            </w:tabs>
            <w:rPr>
              <w:rFonts w:asciiTheme="minorHAnsi" w:eastAsiaTheme="minorEastAsia" w:hAnsiTheme="minorHAnsi" w:cstheme="minorBidi"/>
              <w:noProof/>
              <w:lang w:eastAsia="en-AU"/>
            </w:rPr>
          </w:pPr>
          <w:hyperlink w:anchor="_Toc481586180" w:history="1">
            <w:r w:rsidR="00D23B58" w:rsidRPr="005329A8">
              <w:rPr>
                <w:rStyle w:val="Hyperlink"/>
                <w:rFonts w:eastAsiaTheme="minorHAnsi"/>
                <w:noProof/>
              </w:rPr>
              <w:t>8.1.</w:t>
            </w:r>
            <w:r w:rsidR="00D23B58">
              <w:rPr>
                <w:rFonts w:asciiTheme="minorHAnsi" w:eastAsiaTheme="minorEastAsia" w:hAnsiTheme="minorHAnsi" w:cstheme="minorBidi"/>
                <w:noProof/>
                <w:lang w:eastAsia="en-AU"/>
              </w:rPr>
              <w:tab/>
            </w:r>
            <w:r w:rsidR="00D23B58" w:rsidRPr="005329A8">
              <w:rPr>
                <w:rStyle w:val="Hyperlink"/>
                <w:rFonts w:eastAsiaTheme="minorHAnsi"/>
                <w:noProof/>
              </w:rPr>
              <w:t>GS-US-236-0118</w:t>
            </w:r>
            <w:r w:rsidR="00D23B58">
              <w:rPr>
                <w:noProof/>
                <w:webHidden/>
              </w:rPr>
              <w:tab/>
            </w:r>
            <w:r w:rsidR="00D23B58">
              <w:rPr>
                <w:noProof/>
                <w:webHidden/>
              </w:rPr>
              <w:fldChar w:fldCharType="begin"/>
            </w:r>
            <w:r w:rsidR="00D23B58">
              <w:rPr>
                <w:noProof/>
                <w:webHidden/>
              </w:rPr>
              <w:instrText xml:space="preserve"> PAGEREF _Toc481586180 \h </w:instrText>
            </w:r>
            <w:r w:rsidR="00D23B58">
              <w:rPr>
                <w:noProof/>
                <w:webHidden/>
              </w:rPr>
            </w:r>
            <w:r w:rsidR="00D23B58">
              <w:rPr>
                <w:noProof/>
                <w:webHidden/>
              </w:rPr>
              <w:fldChar w:fldCharType="separate"/>
            </w:r>
            <w:r w:rsidR="005D5123">
              <w:rPr>
                <w:noProof/>
                <w:webHidden/>
              </w:rPr>
              <w:t>61</w:t>
            </w:r>
            <w:r w:rsidR="00D23B58">
              <w:rPr>
                <w:noProof/>
                <w:webHidden/>
              </w:rPr>
              <w:fldChar w:fldCharType="end"/>
            </w:r>
          </w:hyperlink>
        </w:p>
        <w:p w:rsidR="00D23B58" w:rsidRDefault="004B658D">
          <w:pPr>
            <w:pStyle w:val="TOC3"/>
            <w:tabs>
              <w:tab w:val="left" w:pos="1760"/>
            </w:tabs>
            <w:rPr>
              <w:rFonts w:asciiTheme="minorHAnsi" w:eastAsiaTheme="minorEastAsia" w:hAnsiTheme="minorHAnsi" w:cstheme="minorBidi"/>
              <w:noProof/>
              <w:lang w:eastAsia="en-AU"/>
            </w:rPr>
          </w:pPr>
          <w:hyperlink w:anchor="_Toc481586181" w:history="1">
            <w:r w:rsidR="00D23B58" w:rsidRPr="005329A8">
              <w:rPr>
                <w:rStyle w:val="Hyperlink"/>
                <w:rFonts w:eastAsiaTheme="minorHAnsi"/>
                <w:noProof/>
              </w:rPr>
              <w:t>8.2.</w:t>
            </w:r>
            <w:r w:rsidR="00D23B58">
              <w:rPr>
                <w:rFonts w:asciiTheme="minorHAnsi" w:eastAsiaTheme="minorEastAsia" w:hAnsiTheme="minorHAnsi" w:cstheme="minorBidi"/>
                <w:noProof/>
                <w:lang w:eastAsia="en-AU"/>
              </w:rPr>
              <w:tab/>
            </w:r>
            <w:r w:rsidR="00D23B58" w:rsidRPr="005329A8">
              <w:rPr>
                <w:rStyle w:val="Hyperlink"/>
                <w:rFonts w:eastAsiaTheme="minorHAnsi"/>
                <w:noProof/>
              </w:rPr>
              <w:t>GS-US-236-0102</w:t>
            </w:r>
            <w:r w:rsidR="00D23B58">
              <w:rPr>
                <w:noProof/>
                <w:webHidden/>
              </w:rPr>
              <w:tab/>
            </w:r>
            <w:r w:rsidR="00D23B58">
              <w:rPr>
                <w:noProof/>
                <w:webHidden/>
              </w:rPr>
              <w:fldChar w:fldCharType="begin"/>
            </w:r>
            <w:r w:rsidR="00D23B58">
              <w:rPr>
                <w:noProof/>
                <w:webHidden/>
              </w:rPr>
              <w:instrText xml:space="preserve"> PAGEREF _Toc481586181 \h </w:instrText>
            </w:r>
            <w:r w:rsidR="00D23B58">
              <w:rPr>
                <w:noProof/>
                <w:webHidden/>
              </w:rPr>
            </w:r>
            <w:r w:rsidR="00D23B58">
              <w:rPr>
                <w:noProof/>
                <w:webHidden/>
              </w:rPr>
              <w:fldChar w:fldCharType="separate"/>
            </w:r>
            <w:r w:rsidR="005D5123">
              <w:rPr>
                <w:noProof/>
                <w:webHidden/>
              </w:rPr>
              <w:t>69</w:t>
            </w:r>
            <w:r w:rsidR="00D23B58">
              <w:rPr>
                <w:noProof/>
                <w:webHidden/>
              </w:rPr>
              <w:fldChar w:fldCharType="end"/>
            </w:r>
          </w:hyperlink>
        </w:p>
        <w:p w:rsidR="00D23B58" w:rsidRDefault="004B658D">
          <w:pPr>
            <w:pStyle w:val="TOC3"/>
            <w:tabs>
              <w:tab w:val="left" w:pos="1760"/>
            </w:tabs>
            <w:rPr>
              <w:rFonts w:asciiTheme="minorHAnsi" w:eastAsiaTheme="minorEastAsia" w:hAnsiTheme="minorHAnsi" w:cstheme="minorBidi"/>
              <w:noProof/>
              <w:lang w:eastAsia="en-AU"/>
            </w:rPr>
          </w:pPr>
          <w:hyperlink w:anchor="_Toc481586182" w:history="1">
            <w:r w:rsidR="00D23B58" w:rsidRPr="005329A8">
              <w:rPr>
                <w:rStyle w:val="Hyperlink"/>
                <w:rFonts w:eastAsiaTheme="minorHAnsi"/>
                <w:noProof/>
              </w:rPr>
              <w:t>8.3.</w:t>
            </w:r>
            <w:r w:rsidR="00D23B58">
              <w:rPr>
                <w:rFonts w:asciiTheme="minorHAnsi" w:eastAsiaTheme="minorEastAsia" w:hAnsiTheme="minorHAnsi" w:cstheme="minorBidi"/>
                <w:noProof/>
                <w:lang w:eastAsia="en-AU"/>
              </w:rPr>
              <w:tab/>
            </w:r>
            <w:r w:rsidR="00D23B58" w:rsidRPr="005329A8">
              <w:rPr>
                <w:rStyle w:val="Hyperlink"/>
                <w:rFonts w:eastAsiaTheme="minorHAnsi"/>
                <w:noProof/>
              </w:rPr>
              <w:t>GS-US-236-0103</w:t>
            </w:r>
            <w:r w:rsidR="00D23B58">
              <w:rPr>
                <w:noProof/>
                <w:webHidden/>
              </w:rPr>
              <w:tab/>
            </w:r>
            <w:r w:rsidR="00D23B58">
              <w:rPr>
                <w:noProof/>
                <w:webHidden/>
              </w:rPr>
              <w:fldChar w:fldCharType="begin"/>
            </w:r>
            <w:r w:rsidR="00D23B58">
              <w:rPr>
                <w:noProof/>
                <w:webHidden/>
              </w:rPr>
              <w:instrText xml:space="preserve"> PAGEREF _Toc481586182 \h </w:instrText>
            </w:r>
            <w:r w:rsidR="00D23B58">
              <w:rPr>
                <w:noProof/>
                <w:webHidden/>
              </w:rPr>
            </w:r>
            <w:r w:rsidR="00D23B58">
              <w:rPr>
                <w:noProof/>
                <w:webHidden/>
              </w:rPr>
              <w:fldChar w:fldCharType="separate"/>
            </w:r>
            <w:r w:rsidR="005D5123">
              <w:rPr>
                <w:noProof/>
                <w:webHidden/>
              </w:rPr>
              <w:t>75</w:t>
            </w:r>
            <w:r w:rsidR="00D23B58">
              <w:rPr>
                <w:noProof/>
                <w:webHidden/>
              </w:rPr>
              <w:fldChar w:fldCharType="end"/>
            </w:r>
          </w:hyperlink>
        </w:p>
        <w:p w:rsidR="00D23B58" w:rsidRDefault="004B658D">
          <w:pPr>
            <w:pStyle w:val="TOC3"/>
            <w:tabs>
              <w:tab w:val="left" w:pos="1760"/>
            </w:tabs>
            <w:rPr>
              <w:rFonts w:asciiTheme="minorHAnsi" w:eastAsiaTheme="minorEastAsia" w:hAnsiTheme="minorHAnsi" w:cstheme="minorBidi"/>
              <w:noProof/>
              <w:lang w:eastAsia="en-AU"/>
            </w:rPr>
          </w:pPr>
          <w:hyperlink w:anchor="_Toc481586183" w:history="1">
            <w:r w:rsidR="00D23B58" w:rsidRPr="005329A8">
              <w:rPr>
                <w:rStyle w:val="Hyperlink"/>
                <w:noProof/>
              </w:rPr>
              <w:t>8.4.</w:t>
            </w:r>
            <w:r w:rsidR="00D23B58">
              <w:rPr>
                <w:rFonts w:asciiTheme="minorHAnsi" w:eastAsiaTheme="minorEastAsia" w:hAnsiTheme="minorHAnsi" w:cstheme="minorBidi"/>
                <w:noProof/>
                <w:lang w:eastAsia="en-AU"/>
              </w:rPr>
              <w:tab/>
            </w:r>
            <w:r w:rsidR="00D23B58" w:rsidRPr="005329A8">
              <w:rPr>
                <w:rStyle w:val="Hyperlink"/>
                <w:noProof/>
              </w:rPr>
              <w:t>GS-US-236-0115</w:t>
            </w:r>
            <w:r w:rsidR="00D23B58">
              <w:rPr>
                <w:noProof/>
                <w:webHidden/>
              </w:rPr>
              <w:tab/>
            </w:r>
            <w:r w:rsidR="00D23B58">
              <w:rPr>
                <w:noProof/>
                <w:webHidden/>
              </w:rPr>
              <w:fldChar w:fldCharType="begin"/>
            </w:r>
            <w:r w:rsidR="00D23B58">
              <w:rPr>
                <w:noProof/>
                <w:webHidden/>
              </w:rPr>
              <w:instrText xml:space="preserve"> PAGEREF _Toc481586183 \h </w:instrText>
            </w:r>
            <w:r w:rsidR="00D23B58">
              <w:rPr>
                <w:noProof/>
                <w:webHidden/>
              </w:rPr>
            </w:r>
            <w:r w:rsidR="00D23B58">
              <w:rPr>
                <w:noProof/>
                <w:webHidden/>
              </w:rPr>
              <w:fldChar w:fldCharType="separate"/>
            </w:r>
            <w:r w:rsidR="005D5123">
              <w:rPr>
                <w:noProof/>
                <w:webHidden/>
              </w:rPr>
              <w:t>79</w:t>
            </w:r>
            <w:r w:rsidR="00D23B58">
              <w:rPr>
                <w:noProof/>
                <w:webHidden/>
              </w:rPr>
              <w:fldChar w:fldCharType="end"/>
            </w:r>
          </w:hyperlink>
        </w:p>
        <w:p w:rsidR="00D23B58" w:rsidRDefault="004B658D">
          <w:pPr>
            <w:pStyle w:val="TOC3"/>
            <w:tabs>
              <w:tab w:val="left" w:pos="1760"/>
            </w:tabs>
            <w:rPr>
              <w:rFonts w:asciiTheme="minorHAnsi" w:eastAsiaTheme="minorEastAsia" w:hAnsiTheme="minorHAnsi" w:cstheme="minorBidi"/>
              <w:noProof/>
              <w:lang w:eastAsia="en-AU"/>
            </w:rPr>
          </w:pPr>
          <w:hyperlink w:anchor="_Toc481586184" w:history="1">
            <w:r w:rsidR="00D23B58" w:rsidRPr="005329A8">
              <w:rPr>
                <w:rStyle w:val="Hyperlink"/>
                <w:rFonts w:eastAsiaTheme="minorHAnsi"/>
                <w:noProof/>
              </w:rPr>
              <w:t>8.5.</w:t>
            </w:r>
            <w:r w:rsidR="00D23B58">
              <w:rPr>
                <w:rFonts w:asciiTheme="minorHAnsi" w:eastAsiaTheme="minorEastAsia" w:hAnsiTheme="minorHAnsi" w:cstheme="minorBidi"/>
                <w:noProof/>
                <w:lang w:eastAsia="en-AU"/>
              </w:rPr>
              <w:tab/>
            </w:r>
            <w:r w:rsidR="00D23B58" w:rsidRPr="005329A8">
              <w:rPr>
                <w:rStyle w:val="Hyperlink"/>
                <w:rFonts w:eastAsiaTheme="minorHAnsi"/>
                <w:noProof/>
              </w:rPr>
              <w:t>GS-US-236-0121</w:t>
            </w:r>
            <w:r w:rsidR="00D23B58">
              <w:rPr>
                <w:noProof/>
                <w:webHidden/>
              </w:rPr>
              <w:tab/>
            </w:r>
            <w:r w:rsidR="00D23B58">
              <w:rPr>
                <w:noProof/>
                <w:webHidden/>
              </w:rPr>
              <w:fldChar w:fldCharType="begin"/>
            </w:r>
            <w:r w:rsidR="00D23B58">
              <w:rPr>
                <w:noProof/>
                <w:webHidden/>
              </w:rPr>
              <w:instrText xml:space="preserve"> PAGEREF _Toc481586184 \h </w:instrText>
            </w:r>
            <w:r w:rsidR="00D23B58">
              <w:rPr>
                <w:noProof/>
                <w:webHidden/>
              </w:rPr>
            </w:r>
            <w:r w:rsidR="00D23B58">
              <w:rPr>
                <w:noProof/>
                <w:webHidden/>
              </w:rPr>
              <w:fldChar w:fldCharType="separate"/>
            </w:r>
            <w:r w:rsidR="005D5123">
              <w:rPr>
                <w:noProof/>
                <w:webHidden/>
              </w:rPr>
              <w:t>83</w:t>
            </w:r>
            <w:r w:rsidR="00D23B58">
              <w:rPr>
                <w:noProof/>
                <w:webHidden/>
              </w:rPr>
              <w:fldChar w:fldCharType="end"/>
            </w:r>
          </w:hyperlink>
        </w:p>
        <w:p w:rsidR="00D23B58" w:rsidRDefault="004B658D">
          <w:pPr>
            <w:pStyle w:val="TOC3"/>
            <w:tabs>
              <w:tab w:val="left" w:pos="1760"/>
            </w:tabs>
            <w:rPr>
              <w:rFonts w:asciiTheme="minorHAnsi" w:eastAsiaTheme="minorEastAsia" w:hAnsiTheme="minorHAnsi" w:cstheme="minorBidi"/>
              <w:noProof/>
              <w:lang w:eastAsia="en-AU"/>
            </w:rPr>
          </w:pPr>
          <w:hyperlink w:anchor="_Toc481586185" w:history="1">
            <w:r w:rsidR="00D23B58" w:rsidRPr="005329A8">
              <w:rPr>
                <w:rStyle w:val="Hyperlink"/>
                <w:rFonts w:eastAsiaTheme="minorHAnsi"/>
                <w:noProof/>
              </w:rPr>
              <w:t>8.6.</w:t>
            </w:r>
            <w:r w:rsidR="00D23B58">
              <w:rPr>
                <w:rFonts w:asciiTheme="minorHAnsi" w:eastAsiaTheme="minorEastAsia" w:hAnsiTheme="minorHAnsi" w:cstheme="minorBidi"/>
                <w:noProof/>
                <w:lang w:eastAsia="en-AU"/>
              </w:rPr>
              <w:tab/>
            </w:r>
            <w:r w:rsidR="00D23B58" w:rsidRPr="005329A8">
              <w:rPr>
                <w:rStyle w:val="Hyperlink"/>
                <w:rFonts w:eastAsiaTheme="minorHAnsi"/>
                <w:noProof/>
              </w:rPr>
              <w:t>GS-US-236-0123</w:t>
            </w:r>
            <w:r w:rsidR="00D23B58">
              <w:rPr>
                <w:noProof/>
                <w:webHidden/>
              </w:rPr>
              <w:tab/>
            </w:r>
            <w:r w:rsidR="00D23B58">
              <w:rPr>
                <w:noProof/>
                <w:webHidden/>
              </w:rPr>
              <w:fldChar w:fldCharType="begin"/>
            </w:r>
            <w:r w:rsidR="00D23B58">
              <w:rPr>
                <w:noProof/>
                <w:webHidden/>
              </w:rPr>
              <w:instrText xml:space="preserve"> PAGEREF _Toc481586185 \h </w:instrText>
            </w:r>
            <w:r w:rsidR="00D23B58">
              <w:rPr>
                <w:noProof/>
                <w:webHidden/>
              </w:rPr>
            </w:r>
            <w:r w:rsidR="00D23B58">
              <w:rPr>
                <w:noProof/>
                <w:webHidden/>
              </w:rPr>
              <w:fldChar w:fldCharType="separate"/>
            </w:r>
            <w:r w:rsidR="005D5123">
              <w:rPr>
                <w:noProof/>
                <w:webHidden/>
              </w:rPr>
              <w:t>86</w:t>
            </w:r>
            <w:r w:rsidR="00D23B58">
              <w:rPr>
                <w:noProof/>
                <w:webHidden/>
              </w:rPr>
              <w:fldChar w:fldCharType="end"/>
            </w:r>
          </w:hyperlink>
        </w:p>
        <w:p w:rsidR="00D23B58" w:rsidRDefault="004B658D">
          <w:pPr>
            <w:pStyle w:val="TOC3"/>
            <w:tabs>
              <w:tab w:val="left" w:pos="1760"/>
            </w:tabs>
            <w:rPr>
              <w:rFonts w:asciiTheme="minorHAnsi" w:eastAsiaTheme="minorEastAsia" w:hAnsiTheme="minorHAnsi" w:cstheme="minorBidi"/>
              <w:noProof/>
              <w:lang w:eastAsia="en-AU"/>
            </w:rPr>
          </w:pPr>
          <w:hyperlink w:anchor="_Toc481586186" w:history="1">
            <w:r w:rsidR="00D23B58" w:rsidRPr="005329A8">
              <w:rPr>
                <w:rStyle w:val="Hyperlink"/>
                <w:rFonts w:eastAsiaTheme="minorHAnsi"/>
                <w:noProof/>
              </w:rPr>
              <w:t>8.7.</w:t>
            </w:r>
            <w:r w:rsidR="00D23B58">
              <w:rPr>
                <w:rFonts w:asciiTheme="minorHAnsi" w:eastAsiaTheme="minorEastAsia" w:hAnsiTheme="minorHAnsi" w:cstheme="minorBidi"/>
                <w:noProof/>
                <w:lang w:eastAsia="en-AU"/>
              </w:rPr>
              <w:tab/>
            </w:r>
            <w:r w:rsidR="00D23B58" w:rsidRPr="005329A8">
              <w:rPr>
                <w:rStyle w:val="Hyperlink"/>
                <w:rFonts w:eastAsiaTheme="minorHAnsi"/>
                <w:noProof/>
              </w:rPr>
              <w:t>Evaluator’s conclusion on safety</w:t>
            </w:r>
            <w:r w:rsidR="00D23B58">
              <w:rPr>
                <w:noProof/>
                <w:webHidden/>
              </w:rPr>
              <w:tab/>
            </w:r>
            <w:r w:rsidR="00D23B58">
              <w:rPr>
                <w:noProof/>
                <w:webHidden/>
              </w:rPr>
              <w:fldChar w:fldCharType="begin"/>
            </w:r>
            <w:r w:rsidR="00D23B58">
              <w:rPr>
                <w:noProof/>
                <w:webHidden/>
              </w:rPr>
              <w:instrText xml:space="preserve"> PAGEREF _Toc481586186 \h </w:instrText>
            </w:r>
            <w:r w:rsidR="00D23B58">
              <w:rPr>
                <w:noProof/>
                <w:webHidden/>
              </w:rPr>
            </w:r>
            <w:r w:rsidR="00D23B58">
              <w:rPr>
                <w:noProof/>
                <w:webHidden/>
              </w:rPr>
              <w:fldChar w:fldCharType="separate"/>
            </w:r>
            <w:r w:rsidR="005D5123">
              <w:rPr>
                <w:noProof/>
                <w:webHidden/>
              </w:rPr>
              <w:t>88</w:t>
            </w:r>
            <w:r w:rsidR="00D23B58">
              <w:rPr>
                <w:noProof/>
                <w:webHidden/>
              </w:rPr>
              <w:fldChar w:fldCharType="end"/>
            </w:r>
          </w:hyperlink>
        </w:p>
        <w:p w:rsidR="00D23B58" w:rsidRDefault="004B658D">
          <w:pPr>
            <w:pStyle w:val="TOC2"/>
            <w:tabs>
              <w:tab w:val="left" w:pos="1100"/>
            </w:tabs>
            <w:rPr>
              <w:rFonts w:asciiTheme="minorHAnsi" w:eastAsiaTheme="minorEastAsia" w:hAnsiTheme="minorHAnsi" w:cstheme="minorBidi"/>
              <w:b w:val="0"/>
              <w:noProof/>
              <w:sz w:val="22"/>
              <w:lang w:eastAsia="en-AU"/>
            </w:rPr>
          </w:pPr>
          <w:hyperlink w:anchor="_Toc481586187" w:history="1">
            <w:r w:rsidR="00D23B58" w:rsidRPr="005329A8">
              <w:rPr>
                <w:rStyle w:val="Hyperlink"/>
                <w:noProof/>
              </w:rPr>
              <w:t>9.</w:t>
            </w:r>
            <w:r w:rsidR="00D23B58">
              <w:rPr>
                <w:rFonts w:asciiTheme="minorHAnsi" w:eastAsiaTheme="minorEastAsia" w:hAnsiTheme="minorHAnsi" w:cstheme="minorBidi"/>
                <w:b w:val="0"/>
                <w:noProof/>
                <w:sz w:val="22"/>
                <w:lang w:eastAsia="en-AU"/>
              </w:rPr>
              <w:tab/>
            </w:r>
            <w:r w:rsidR="00D23B58" w:rsidRPr="005329A8">
              <w:rPr>
                <w:rStyle w:val="Hyperlink"/>
                <w:noProof/>
              </w:rPr>
              <w:t>First round benefit-risk assessment</w:t>
            </w:r>
            <w:r w:rsidR="00D23B58">
              <w:rPr>
                <w:noProof/>
                <w:webHidden/>
              </w:rPr>
              <w:tab/>
            </w:r>
            <w:r w:rsidR="00D23B58">
              <w:rPr>
                <w:noProof/>
                <w:webHidden/>
              </w:rPr>
              <w:fldChar w:fldCharType="begin"/>
            </w:r>
            <w:r w:rsidR="00D23B58">
              <w:rPr>
                <w:noProof/>
                <w:webHidden/>
              </w:rPr>
              <w:instrText xml:space="preserve"> PAGEREF _Toc481586187 \h </w:instrText>
            </w:r>
            <w:r w:rsidR="00D23B58">
              <w:rPr>
                <w:noProof/>
                <w:webHidden/>
              </w:rPr>
            </w:r>
            <w:r w:rsidR="00D23B58">
              <w:rPr>
                <w:noProof/>
                <w:webHidden/>
              </w:rPr>
              <w:fldChar w:fldCharType="separate"/>
            </w:r>
            <w:r w:rsidR="005D5123">
              <w:rPr>
                <w:noProof/>
                <w:webHidden/>
              </w:rPr>
              <w:t>90</w:t>
            </w:r>
            <w:r w:rsidR="00D23B58">
              <w:rPr>
                <w:noProof/>
                <w:webHidden/>
              </w:rPr>
              <w:fldChar w:fldCharType="end"/>
            </w:r>
          </w:hyperlink>
        </w:p>
        <w:p w:rsidR="00D23B58" w:rsidRDefault="004B658D">
          <w:pPr>
            <w:pStyle w:val="TOC3"/>
            <w:tabs>
              <w:tab w:val="left" w:pos="1760"/>
            </w:tabs>
            <w:rPr>
              <w:rFonts w:asciiTheme="minorHAnsi" w:eastAsiaTheme="minorEastAsia" w:hAnsiTheme="minorHAnsi" w:cstheme="minorBidi"/>
              <w:noProof/>
              <w:lang w:eastAsia="en-AU"/>
            </w:rPr>
          </w:pPr>
          <w:hyperlink w:anchor="_Toc481586188" w:history="1">
            <w:r w:rsidR="00D23B58" w:rsidRPr="005329A8">
              <w:rPr>
                <w:rStyle w:val="Hyperlink"/>
                <w:rFonts w:eastAsiaTheme="minorHAnsi"/>
                <w:noProof/>
              </w:rPr>
              <w:t>9.1.</w:t>
            </w:r>
            <w:r w:rsidR="00D23B58">
              <w:rPr>
                <w:rFonts w:asciiTheme="minorHAnsi" w:eastAsiaTheme="minorEastAsia" w:hAnsiTheme="minorHAnsi" w:cstheme="minorBidi"/>
                <w:noProof/>
                <w:lang w:eastAsia="en-AU"/>
              </w:rPr>
              <w:tab/>
            </w:r>
            <w:r w:rsidR="00D23B58" w:rsidRPr="005329A8">
              <w:rPr>
                <w:rStyle w:val="Hyperlink"/>
                <w:rFonts w:eastAsiaTheme="minorHAnsi"/>
                <w:noProof/>
              </w:rPr>
              <w:t>First round assessment of benefits</w:t>
            </w:r>
            <w:r w:rsidR="00D23B58">
              <w:rPr>
                <w:noProof/>
                <w:webHidden/>
              </w:rPr>
              <w:tab/>
            </w:r>
            <w:r w:rsidR="00D23B58">
              <w:rPr>
                <w:noProof/>
                <w:webHidden/>
              </w:rPr>
              <w:fldChar w:fldCharType="begin"/>
            </w:r>
            <w:r w:rsidR="00D23B58">
              <w:rPr>
                <w:noProof/>
                <w:webHidden/>
              </w:rPr>
              <w:instrText xml:space="preserve"> PAGEREF _Toc481586188 \h </w:instrText>
            </w:r>
            <w:r w:rsidR="00D23B58">
              <w:rPr>
                <w:noProof/>
                <w:webHidden/>
              </w:rPr>
            </w:r>
            <w:r w:rsidR="00D23B58">
              <w:rPr>
                <w:noProof/>
                <w:webHidden/>
              </w:rPr>
              <w:fldChar w:fldCharType="separate"/>
            </w:r>
            <w:r w:rsidR="005D5123">
              <w:rPr>
                <w:noProof/>
                <w:webHidden/>
              </w:rPr>
              <w:t>90</w:t>
            </w:r>
            <w:r w:rsidR="00D23B58">
              <w:rPr>
                <w:noProof/>
                <w:webHidden/>
              </w:rPr>
              <w:fldChar w:fldCharType="end"/>
            </w:r>
          </w:hyperlink>
        </w:p>
        <w:p w:rsidR="00D23B58" w:rsidRDefault="004B658D">
          <w:pPr>
            <w:pStyle w:val="TOC3"/>
            <w:tabs>
              <w:tab w:val="left" w:pos="1760"/>
            </w:tabs>
            <w:rPr>
              <w:rFonts w:asciiTheme="minorHAnsi" w:eastAsiaTheme="minorEastAsia" w:hAnsiTheme="minorHAnsi" w:cstheme="minorBidi"/>
              <w:noProof/>
              <w:lang w:eastAsia="en-AU"/>
            </w:rPr>
          </w:pPr>
          <w:hyperlink w:anchor="_Toc481586189" w:history="1">
            <w:r w:rsidR="00D23B58" w:rsidRPr="005329A8">
              <w:rPr>
                <w:rStyle w:val="Hyperlink"/>
                <w:rFonts w:eastAsiaTheme="minorHAnsi"/>
                <w:noProof/>
              </w:rPr>
              <w:t>9.2.</w:t>
            </w:r>
            <w:r w:rsidR="00D23B58">
              <w:rPr>
                <w:rFonts w:asciiTheme="minorHAnsi" w:eastAsiaTheme="minorEastAsia" w:hAnsiTheme="minorHAnsi" w:cstheme="minorBidi"/>
                <w:noProof/>
                <w:lang w:eastAsia="en-AU"/>
              </w:rPr>
              <w:tab/>
            </w:r>
            <w:r w:rsidR="00D23B58" w:rsidRPr="005329A8">
              <w:rPr>
                <w:rStyle w:val="Hyperlink"/>
                <w:rFonts w:eastAsiaTheme="minorHAnsi"/>
                <w:noProof/>
              </w:rPr>
              <w:t>First round assessment of risks</w:t>
            </w:r>
            <w:r w:rsidR="00D23B58">
              <w:rPr>
                <w:noProof/>
                <w:webHidden/>
              </w:rPr>
              <w:tab/>
            </w:r>
            <w:r w:rsidR="00D23B58">
              <w:rPr>
                <w:noProof/>
                <w:webHidden/>
              </w:rPr>
              <w:fldChar w:fldCharType="begin"/>
            </w:r>
            <w:r w:rsidR="00D23B58">
              <w:rPr>
                <w:noProof/>
                <w:webHidden/>
              </w:rPr>
              <w:instrText xml:space="preserve"> PAGEREF _Toc481586189 \h </w:instrText>
            </w:r>
            <w:r w:rsidR="00D23B58">
              <w:rPr>
                <w:noProof/>
                <w:webHidden/>
              </w:rPr>
            </w:r>
            <w:r w:rsidR="00D23B58">
              <w:rPr>
                <w:noProof/>
                <w:webHidden/>
              </w:rPr>
              <w:fldChar w:fldCharType="separate"/>
            </w:r>
            <w:r w:rsidR="005D5123">
              <w:rPr>
                <w:noProof/>
                <w:webHidden/>
              </w:rPr>
              <w:t>90</w:t>
            </w:r>
            <w:r w:rsidR="00D23B58">
              <w:rPr>
                <w:noProof/>
                <w:webHidden/>
              </w:rPr>
              <w:fldChar w:fldCharType="end"/>
            </w:r>
          </w:hyperlink>
        </w:p>
        <w:p w:rsidR="00D23B58" w:rsidRDefault="004B658D">
          <w:pPr>
            <w:pStyle w:val="TOC3"/>
            <w:tabs>
              <w:tab w:val="left" w:pos="1760"/>
            </w:tabs>
            <w:rPr>
              <w:rFonts w:asciiTheme="minorHAnsi" w:eastAsiaTheme="minorEastAsia" w:hAnsiTheme="minorHAnsi" w:cstheme="minorBidi"/>
              <w:noProof/>
              <w:lang w:eastAsia="en-AU"/>
            </w:rPr>
          </w:pPr>
          <w:hyperlink w:anchor="_Toc481586190" w:history="1">
            <w:r w:rsidR="00D23B58" w:rsidRPr="005329A8">
              <w:rPr>
                <w:rStyle w:val="Hyperlink"/>
                <w:rFonts w:eastAsiaTheme="minorHAnsi"/>
                <w:noProof/>
              </w:rPr>
              <w:t>9.3.</w:t>
            </w:r>
            <w:r w:rsidR="00D23B58">
              <w:rPr>
                <w:rFonts w:asciiTheme="minorHAnsi" w:eastAsiaTheme="minorEastAsia" w:hAnsiTheme="minorHAnsi" w:cstheme="minorBidi"/>
                <w:noProof/>
                <w:lang w:eastAsia="en-AU"/>
              </w:rPr>
              <w:tab/>
            </w:r>
            <w:r w:rsidR="00D23B58" w:rsidRPr="005329A8">
              <w:rPr>
                <w:rStyle w:val="Hyperlink"/>
                <w:rFonts w:eastAsiaTheme="minorHAnsi"/>
                <w:noProof/>
              </w:rPr>
              <w:t>First round assessment of benefit-risk balance</w:t>
            </w:r>
            <w:r w:rsidR="00D23B58">
              <w:rPr>
                <w:noProof/>
                <w:webHidden/>
              </w:rPr>
              <w:tab/>
            </w:r>
            <w:r w:rsidR="00D23B58">
              <w:rPr>
                <w:noProof/>
                <w:webHidden/>
              </w:rPr>
              <w:fldChar w:fldCharType="begin"/>
            </w:r>
            <w:r w:rsidR="00D23B58">
              <w:rPr>
                <w:noProof/>
                <w:webHidden/>
              </w:rPr>
              <w:instrText xml:space="preserve"> PAGEREF _Toc481586190 \h </w:instrText>
            </w:r>
            <w:r w:rsidR="00D23B58">
              <w:rPr>
                <w:noProof/>
                <w:webHidden/>
              </w:rPr>
            </w:r>
            <w:r w:rsidR="00D23B58">
              <w:rPr>
                <w:noProof/>
                <w:webHidden/>
              </w:rPr>
              <w:fldChar w:fldCharType="separate"/>
            </w:r>
            <w:r w:rsidR="005D5123">
              <w:rPr>
                <w:noProof/>
                <w:webHidden/>
              </w:rPr>
              <w:t>91</w:t>
            </w:r>
            <w:r w:rsidR="00D23B58">
              <w:rPr>
                <w:noProof/>
                <w:webHidden/>
              </w:rPr>
              <w:fldChar w:fldCharType="end"/>
            </w:r>
          </w:hyperlink>
        </w:p>
        <w:p w:rsidR="00D23B58" w:rsidRDefault="004B658D">
          <w:pPr>
            <w:pStyle w:val="TOC2"/>
            <w:tabs>
              <w:tab w:val="left" w:pos="1320"/>
            </w:tabs>
            <w:rPr>
              <w:rFonts w:asciiTheme="minorHAnsi" w:eastAsiaTheme="minorEastAsia" w:hAnsiTheme="minorHAnsi" w:cstheme="minorBidi"/>
              <w:b w:val="0"/>
              <w:noProof/>
              <w:sz w:val="22"/>
              <w:lang w:eastAsia="en-AU"/>
            </w:rPr>
          </w:pPr>
          <w:hyperlink w:anchor="_Toc481586191" w:history="1">
            <w:r w:rsidR="00D23B58" w:rsidRPr="005329A8">
              <w:rPr>
                <w:rStyle w:val="Hyperlink"/>
                <w:noProof/>
              </w:rPr>
              <w:t>10.</w:t>
            </w:r>
            <w:r w:rsidR="00D23B58">
              <w:rPr>
                <w:rFonts w:asciiTheme="minorHAnsi" w:eastAsiaTheme="minorEastAsia" w:hAnsiTheme="minorHAnsi" w:cstheme="minorBidi"/>
                <w:b w:val="0"/>
                <w:noProof/>
                <w:sz w:val="22"/>
                <w:lang w:eastAsia="en-AU"/>
              </w:rPr>
              <w:tab/>
            </w:r>
            <w:r w:rsidR="00D23B58" w:rsidRPr="005329A8">
              <w:rPr>
                <w:rStyle w:val="Hyperlink"/>
                <w:noProof/>
              </w:rPr>
              <w:t>First round recommendation regarding authorisation</w:t>
            </w:r>
            <w:r w:rsidR="00D23B58">
              <w:rPr>
                <w:noProof/>
                <w:webHidden/>
              </w:rPr>
              <w:tab/>
            </w:r>
            <w:r w:rsidR="00D23B58">
              <w:rPr>
                <w:noProof/>
                <w:webHidden/>
              </w:rPr>
              <w:fldChar w:fldCharType="begin"/>
            </w:r>
            <w:r w:rsidR="00D23B58">
              <w:rPr>
                <w:noProof/>
                <w:webHidden/>
              </w:rPr>
              <w:instrText xml:space="preserve"> PAGEREF _Toc481586191 \h </w:instrText>
            </w:r>
            <w:r w:rsidR="00D23B58">
              <w:rPr>
                <w:noProof/>
                <w:webHidden/>
              </w:rPr>
            </w:r>
            <w:r w:rsidR="00D23B58">
              <w:rPr>
                <w:noProof/>
                <w:webHidden/>
              </w:rPr>
              <w:fldChar w:fldCharType="separate"/>
            </w:r>
            <w:r w:rsidR="005D5123">
              <w:rPr>
                <w:noProof/>
                <w:webHidden/>
              </w:rPr>
              <w:t>91</w:t>
            </w:r>
            <w:r w:rsidR="00D23B58">
              <w:rPr>
                <w:noProof/>
                <w:webHidden/>
              </w:rPr>
              <w:fldChar w:fldCharType="end"/>
            </w:r>
          </w:hyperlink>
        </w:p>
        <w:p w:rsidR="00D23B58" w:rsidRDefault="004B658D">
          <w:pPr>
            <w:pStyle w:val="TOC2"/>
            <w:tabs>
              <w:tab w:val="left" w:pos="1320"/>
            </w:tabs>
            <w:rPr>
              <w:rFonts w:asciiTheme="minorHAnsi" w:eastAsiaTheme="minorEastAsia" w:hAnsiTheme="minorHAnsi" w:cstheme="minorBidi"/>
              <w:b w:val="0"/>
              <w:noProof/>
              <w:sz w:val="22"/>
              <w:lang w:eastAsia="en-AU"/>
            </w:rPr>
          </w:pPr>
          <w:hyperlink w:anchor="_Toc481586192" w:history="1">
            <w:r w:rsidR="00D23B58" w:rsidRPr="005329A8">
              <w:rPr>
                <w:rStyle w:val="Hyperlink"/>
                <w:noProof/>
              </w:rPr>
              <w:t>11.</w:t>
            </w:r>
            <w:r w:rsidR="00D23B58">
              <w:rPr>
                <w:rFonts w:asciiTheme="minorHAnsi" w:eastAsiaTheme="minorEastAsia" w:hAnsiTheme="minorHAnsi" w:cstheme="minorBidi"/>
                <w:b w:val="0"/>
                <w:noProof/>
                <w:sz w:val="22"/>
                <w:lang w:eastAsia="en-AU"/>
              </w:rPr>
              <w:tab/>
            </w:r>
            <w:r w:rsidR="00D23B58" w:rsidRPr="005329A8">
              <w:rPr>
                <w:rStyle w:val="Hyperlink"/>
                <w:noProof/>
              </w:rPr>
              <w:t>Clinical questions</w:t>
            </w:r>
            <w:r w:rsidR="00D23B58">
              <w:rPr>
                <w:noProof/>
                <w:webHidden/>
              </w:rPr>
              <w:tab/>
            </w:r>
            <w:r w:rsidR="00D23B58">
              <w:rPr>
                <w:noProof/>
                <w:webHidden/>
              </w:rPr>
              <w:fldChar w:fldCharType="begin"/>
            </w:r>
            <w:r w:rsidR="00D23B58">
              <w:rPr>
                <w:noProof/>
                <w:webHidden/>
              </w:rPr>
              <w:instrText xml:space="preserve"> PAGEREF _Toc481586192 \h </w:instrText>
            </w:r>
            <w:r w:rsidR="00D23B58">
              <w:rPr>
                <w:noProof/>
                <w:webHidden/>
              </w:rPr>
            </w:r>
            <w:r w:rsidR="00D23B58">
              <w:rPr>
                <w:noProof/>
                <w:webHidden/>
              </w:rPr>
              <w:fldChar w:fldCharType="separate"/>
            </w:r>
            <w:r w:rsidR="005D5123">
              <w:rPr>
                <w:noProof/>
                <w:webHidden/>
              </w:rPr>
              <w:t>91</w:t>
            </w:r>
            <w:r w:rsidR="00D23B58">
              <w:rPr>
                <w:noProof/>
                <w:webHidden/>
              </w:rPr>
              <w:fldChar w:fldCharType="end"/>
            </w:r>
          </w:hyperlink>
        </w:p>
        <w:p w:rsidR="00D23B58" w:rsidRDefault="004B658D">
          <w:pPr>
            <w:pStyle w:val="TOC2"/>
            <w:tabs>
              <w:tab w:val="left" w:pos="1320"/>
            </w:tabs>
            <w:rPr>
              <w:rFonts w:asciiTheme="minorHAnsi" w:eastAsiaTheme="minorEastAsia" w:hAnsiTheme="minorHAnsi" w:cstheme="minorBidi"/>
              <w:b w:val="0"/>
              <w:noProof/>
              <w:sz w:val="22"/>
              <w:lang w:eastAsia="en-AU"/>
            </w:rPr>
          </w:pPr>
          <w:hyperlink w:anchor="_Toc481586193" w:history="1">
            <w:r w:rsidR="00D23B58" w:rsidRPr="005329A8">
              <w:rPr>
                <w:rStyle w:val="Hyperlink"/>
                <w:noProof/>
              </w:rPr>
              <w:t>12.</w:t>
            </w:r>
            <w:r w:rsidR="00D23B58">
              <w:rPr>
                <w:rFonts w:asciiTheme="minorHAnsi" w:eastAsiaTheme="minorEastAsia" w:hAnsiTheme="minorHAnsi" w:cstheme="minorBidi"/>
                <w:b w:val="0"/>
                <w:noProof/>
                <w:sz w:val="22"/>
                <w:lang w:eastAsia="en-AU"/>
              </w:rPr>
              <w:tab/>
            </w:r>
            <w:r w:rsidR="00D23B58" w:rsidRPr="005329A8">
              <w:rPr>
                <w:rStyle w:val="Hyperlink"/>
                <w:noProof/>
              </w:rPr>
              <w:t>Second round evaluation of clinical data submitted in response to questions</w:t>
            </w:r>
            <w:r w:rsidR="00D23B58">
              <w:rPr>
                <w:noProof/>
                <w:webHidden/>
              </w:rPr>
              <w:tab/>
            </w:r>
            <w:r w:rsidR="00D23B58">
              <w:rPr>
                <w:noProof/>
                <w:webHidden/>
              </w:rPr>
              <w:fldChar w:fldCharType="begin"/>
            </w:r>
            <w:r w:rsidR="00D23B58">
              <w:rPr>
                <w:noProof/>
                <w:webHidden/>
              </w:rPr>
              <w:instrText xml:space="preserve"> PAGEREF _Toc481586193 \h </w:instrText>
            </w:r>
            <w:r w:rsidR="00D23B58">
              <w:rPr>
                <w:noProof/>
                <w:webHidden/>
              </w:rPr>
            </w:r>
            <w:r w:rsidR="00D23B58">
              <w:rPr>
                <w:noProof/>
                <w:webHidden/>
              </w:rPr>
              <w:fldChar w:fldCharType="separate"/>
            </w:r>
            <w:r w:rsidR="005D5123">
              <w:rPr>
                <w:noProof/>
                <w:webHidden/>
              </w:rPr>
              <w:t>91</w:t>
            </w:r>
            <w:r w:rsidR="00D23B58">
              <w:rPr>
                <w:noProof/>
                <w:webHidden/>
              </w:rPr>
              <w:fldChar w:fldCharType="end"/>
            </w:r>
          </w:hyperlink>
        </w:p>
        <w:p w:rsidR="003A7F6C" w:rsidRPr="00B811C6" w:rsidRDefault="004F4AF5" w:rsidP="00B811C6">
          <w:pPr>
            <w:pStyle w:val="TOC2"/>
          </w:pPr>
          <w:r>
            <w:lastRenderedPageBreak/>
            <w:fldChar w:fldCharType="end"/>
          </w:r>
        </w:p>
      </w:sdtContent>
    </w:sdt>
    <w:bookmarkStart w:id="3" w:name="_Toc314842482" w:displacedByCustomXml="prev"/>
    <w:p w:rsidR="00586F98" w:rsidRDefault="00586F98" w:rsidP="00586F98">
      <w:pPr>
        <w:pStyle w:val="Heading2"/>
        <w:numPr>
          <w:ilvl w:val="0"/>
          <w:numId w:val="0"/>
        </w:numPr>
      </w:pPr>
      <w:bookmarkStart w:id="4" w:name="_Toc351716269"/>
      <w:bookmarkStart w:id="5" w:name="_Toc351718881"/>
      <w:bookmarkStart w:id="6" w:name="_Toc355338616"/>
      <w:bookmarkStart w:id="7" w:name="_Toc481586161"/>
      <w:r>
        <w:t>List of abbreviations</w:t>
      </w:r>
      <w:bookmarkEnd w:id="4"/>
      <w:bookmarkEnd w:id="5"/>
      <w:bookmarkEnd w:id="6"/>
      <w:bookmarkEnd w:id="7"/>
    </w:p>
    <w:tbl>
      <w:tblPr>
        <w:tblStyle w:val="TableTGAblue"/>
        <w:tblW w:w="0" w:type="auto"/>
        <w:tblLook w:val="04A0" w:firstRow="1" w:lastRow="0" w:firstColumn="1" w:lastColumn="0" w:noHBand="0" w:noVBand="1"/>
      </w:tblPr>
      <w:tblGrid>
        <w:gridCol w:w="2513"/>
        <w:gridCol w:w="6729"/>
      </w:tblGrid>
      <w:tr w:rsidR="00586F98" w:rsidTr="00EB30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3" w:type="dxa"/>
          </w:tcPr>
          <w:p w:rsidR="00586F98" w:rsidRDefault="00586F98" w:rsidP="000A63AF">
            <w:r>
              <w:t>Abbreviation</w:t>
            </w:r>
          </w:p>
        </w:tc>
        <w:tc>
          <w:tcPr>
            <w:tcW w:w="6729" w:type="dxa"/>
          </w:tcPr>
          <w:p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5F18A7" w:rsidTr="00EB30DD">
        <w:tc>
          <w:tcPr>
            <w:cnfStyle w:val="001000000000" w:firstRow="0" w:lastRow="0" w:firstColumn="1" w:lastColumn="0" w:oddVBand="0" w:evenVBand="0" w:oddHBand="0" w:evenHBand="0" w:firstRowFirstColumn="0" w:firstRowLastColumn="0" w:lastRowFirstColumn="0" w:lastRowLastColumn="0"/>
            <w:tcW w:w="2513" w:type="dxa"/>
          </w:tcPr>
          <w:p w:rsidR="005F18A7" w:rsidRPr="005F18A7" w:rsidRDefault="005E3FF4" w:rsidP="005F18A7">
            <w:r>
              <w:t>AE</w:t>
            </w:r>
          </w:p>
        </w:tc>
        <w:tc>
          <w:tcPr>
            <w:tcW w:w="6729" w:type="dxa"/>
          </w:tcPr>
          <w:p w:rsidR="005F18A7" w:rsidRPr="005F18A7" w:rsidRDefault="005F18A7" w:rsidP="005F18A7">
            <w:pPr>
              <w:cnfStyle w:val="000000000000" w:firstRow="0" w:lastRow="0" w:firstColumn="0" w:lastColumn="0" w:oddVBand="0" w:evenVBand="0" w:oddHBand="0" w:evenHBand="0" w:firstRowFirstColumn="0" w:firstRowLastColumn="0" w:lastRowFirstColumn="0" w:lastRowLastColumn="0"/>
            </w:pPr>
            <w:r w:rsidRPr="005F18A7">
              <w:t>adverse event</w:t>
            </w:r>
          </w:p>
        </w:tc>
      </w:tr>
      <w:tr w:rsidR="005F18A7" w:rsidTr="00EB30DD">
        <w:tc>
          <w:tcPr>
            <w:cnfStyle w:val="001000000000" w:firstRow="0" w:lastRow="0" w:firstColumn="1" w:lastColumn="0" w:oddVBand="0" w:evenVBand="0" w:oddHBand="0" w:evenHBand="0" w:firstRowFirstColumn="0" w:firstRowLastColumn="0" w:lastRowFirstColumn="0" w:lastRowLastColumn="0"/>
            <w:tcW w:w="2513" w:type="dxa"/>
          </w:tcPr>
          <w:p w:rsidR="005F18A7" w:rsidRPr="005F18A7" w:rsidRDefault="005E3FF4" w:rsidP="005F18A7">
            <w:r>
              <w:t>aGFR</w:t>
            </w:r>
          </w:p>
        </w:tc>
        <w:tc>
          <w:tcPr>
            <w:tcW w:w="6729" w:type="dxa"/>
          </w:tcPr>
          <w:p w:rsidR="005F18A7" w:rsidRPr="005F18A7" w:rsidRDefault="005F18A7" w:rsidP="005F18A7">
            <w:pPr>
              <w:cnfStyle w:val="000000000000" w:firstRow="0" w:lastRow="0" w:firstColumn="0" w:lastColumn="0" w:oddVBand="0" w:evenVBand="0" w:oddHBand="0" w:evenHBand="0" w:firstRowFirstColumn="0" w:firstRowLastColumn="0" w:lastRowFirstColumn="0" w:lastRowLastColumn="0"/>
            </w:pPr>
            <w:r w:rsidRPr="005F18A7">
              <w:t>actual GFR</w:t>
            </w:r>
          </w:p>
        </w:tc>
      </w:tr>
      <w:tr w:rsidR="005F18A7" w:rsidTr="00EB30DD">
        <w:tc>
          <w:tcPr>
            <w:cnfStyle w:val="001000000000" w:firstRow="0" w:lastRow="0" w:firstColumn="1" w:lastColumn="0" w:oddVBand="0" w:evenVBand="0" w:oddHBand="0" w:evenHBand="0" w:firstRowFirstColumn="0" w:firstRowLastColumn="0" w:lastRowFirstColumn="0" w:lastRowLastColumn="0"/>
            <w:tcW w:w="2513" w:type="dxa"/>
          </w:tcPr>
          <w:p w:rsidR="005F18A7" w:rsidRPr="005F18A7" w:rsidRDefault="005E3FF4" w:rsidP="005F18A7">
            <w:r>
              <w:t>ALT</w:t>
            </w:r>
          </w:p>
        </w:tc>
        <w:tc>
          <w:tcPr>
            <w:tcW w:w="6729" w:type="dxa"/>
          </w:tcPr>
          <w:p w:rsidR="005F18A7" w:rsidRPr="005F18A7" w:rsidRDefault="005E3FF4" w:rsidP="005F18A7">
            <w:pPr>
              <w:cnfStyle w:val="000000000000" w:firstRow="0" w:lastRow="0" w:firstColumn="0" w:lastColumn="0" w:oddVBand="0" w:evenVBand="0" w:oddHBand="0" w:evenHBand="0" w:firstRowFirstColumn="0" w:firstRowLastColumn="0" w:lastRowFirstColumn="0" w:lastRowLastColumn="0"/>
            </w:pPr>
            <w:r>
              <w:t>alanine aminotransferase</w:t>
            </w:r>
          </w:p>
        </w:tc>
      </w:tr>
      <w:tr w:rsidR="005F18A7" w:rsidTr="00EB30DD">
        <w:tc>
          <w:tcPr>
            <w:cnfStyle w:val="001000000000" w:firstRow="0" w:lastRow="0" w:firstColumn="1" w:lastColumn="0" w:oddVBand="0" w:evenVBand="0" w:oddHBand="0" w:evenHBand="0" w:firstRowFirstColumn="0" w:firstRowLastColumn="0" w:lastRowFirstColumn="0" w:lastRowLastColumn="0"/>
            <w:tcW w:w="2513" w:type="dxa"/>
          </w:tcPr>
          <w:p w:rsidR="005F18A7" w:rsidRPr="005F18A7" w:rsidRDefault="005E3FF4" w:rsidP="005F18A7">
            <w:r>
              <w:t>ANOVA</w:t>
            </w:r>
          </w:p>
        </w:tc>
        <w:tc>
          <w:tcPr>
            <w:tcW w:w="6729" w:type="dxa"/>
          </w:tcPr>
          <w:p w:rsidR="005F18A7" w:rsidRPr="005F18A7" w:rsidRDefault="005F18A7" w:rsidP="005F18A7">
            <w:pPr>
              <w:cnfStyle w:val="000000000000" w:firstRow="0" w:lastRow="0" w:firstColumn="0" w:lastColumn="0" w:oddVBand="0" w:evenVBand="0" w:oddHBand="0" w:evenHBand="0" w:firstRowFirstColumn="0" w:firstRowLastColumn="0" w:lastRowFirstColumn="0" w:lastRowLastColumn="0"/>
            </w:pPr>
            <w:r w:rsidRPr="005F18A7">
              <w:t>analysis of variance</w:t>
            </w:r>
          </w:p>
        </w:tc>
      </w:tr>
      <w:tr w:rsidR="005F18A7" w:rsidTr="00EB30DD">
        <w:tc>
          <w:tcPr>
            <w:cnfStyle w:val="001000000000" w:firstRow="0" w:lastRow="0" w:firstColumn="1" w:lastColumn="0" w:oddVBand="0" w:evenVBand="0" w:oddHBand="0" w:evenHBand="0" w:firstRowFirstColumn="0" w:firstRowLastColumn="0" w:lastRowFirstColumn="0" w:lastRowLastColumn="0"/>
            <w:tcW w:w="2513" w:type="dxa"/>
          </w:tcPr>
          <w:p w:rsidR="005F18A7" w:rsidRPr="005F18A7" w:rsidRDefault="005E3FF4" w:rsidP="005F18A7">
            <w:r>
              <w:t>ARV</w:t>
            </w:r>
          </w:p>
        </w:tc>
        <w:tc>
          <w:tcPr>
            <w:tcW w:w="6729" w:type="dxa"/>
          </w:tcPr>
          <w:p w:rsidR="005F18A7" w:rsidRPr="005F18A7" w:rsidRDefault="005F18A7" w:rsidP="005F18A7">
            <w:pPr>
              <w:cnfStyle w:val="000000000000" w:firstRow="0" w:lastRow="0" w:firstColumn="0" w:lastColumn="0" w:oddVBand="0" w:evenVBand="0" w:oddHBand="0" w:evenHBand="0" w:firstRowFirstColumn="0" w:firstRowLastColumn="0" w:lastRowFirstColumn="0" w:lastRowLastColumn="0"/>
            </w:pPr>
            <w:r w:rsidRPr="005F18A7">
              <w:t>antiretroviral</w:t>
            </w:r>
          </w:p>
        </w:tc>
      </w:tr>
      <w:tr w:rsidR="005F18A7" w:rsidTr="00EB30DD">
        <w:tc>
          <w:tcPr>
            <w:cnfStyle w:val="001000000000" w:firstRow="0" w:lastRow="0" w:firstColumn="1" w:lastColumn="0" w:oddVBand="0" w:evenVBand="0" w:oddHBand="0" w:evenHBand="0" w:firstRowFirstColumn="0" w:firstRowLastColumn="0" w:lastRowFirstColumn="0" w:lastRowLastColumn="0"/>
            <w:tcW w:w="2513" w:type="dxa"/>
          </w:tcPr>
          <w:p w:rsidR="005F18A7" w:rsidRPr="005F18A7" w:rsidRDefault="005E3FF4" w:rsidP="005F18A7">
            <w:r>
              <w:t>AST</w:t>
            </w:r>
          </w:p>
        </w:tc>
        <w:tc>
          <w:tcPr>
            <w:tcW w:w="6729" w:type="dxa"/>
          </w:tcPr>
          <w:p w:rsidR="005F18A7" w:rsidRPr="005F18A7" w:rsidRDefault="005F18A7" w:rsidP="005F18A7">
            <w:pPr>
              <w:cnfStyle w:val="000000000000" w:firstRow="0" w:lastRow="0" w:firstColumn="0" w:lastColumn="0" w:oddVBand="0" w:evenVBand="0" w:oddHBand="0" w:evenHBand="0" w:firstRowFirstColumn="0" w:firstRowLastColumn="0" w:lastRowFirstColumn="0" w:lastRowLastColumn="0"/>
            </w:pPr>
            <w:r w:rsidRPr="005F18A7">
              <w:t>aspartate aminotransferase</w:t>
            </w:r>
          </w:p>
        </w:tc>
      </w:tr>
      <w:tr w:rsidR="005F18A7" w:rsidTr="00EB30DD">
        <w:tc>
          <w:tcPr>
            <w:cnfStyle w:val="001000000000" w:firstRow="0" w:lastRow="0" w:firstColumn="1" w:lastColumn="0" w:oddVBand="0" w:evenVBand="0" w:oddHBand="0" w:evenHBand="0" w:firstRowFirstColumn="0" w:firstRowLastColumn="0" w:lastRowFirstColumn="0" w:lastRowLastColumn="0"/>
            <w:tcW w:w="2513" w:type="dxa"/>
          </w:tcPr>
          <w:p w:rsidR="005F18A7" w:rsidRPr="005F18A7" w:rsidRDefault="005F18A7" w:rsidP="005E3FF4">
            <w:r w:rsidRPr="005F18A7">
              <w:t>ATR</w:t>
            </w:r>
          </w:p>
        </w:tc>
        <w:tc>
          <w:tcPr>
            <w:tcW w:w="6729" w:type="dxa"/>
          </w:tcPr>
          <w:p w:rsidR="005F18A7" w:rsidRPr="005F18A7" w:rsidRDefault="005F18A7" w:rsidP="005F18A7">
            <w:pPr>
              <w:cnfStyle w:val="000000000000" w:firstRow="0" w:lastRow="0" w:firstColumn="0" w:lastColumn="0" w:oddVBand="0" w:evenVBand="0" w:oddHBand="0" w:evenHBand="0" w:firstRowFirstColumn="0" w:firstRowLastColumn="0" w:lastRowFirstColumn="0" w:lastRowLastColumn="0"/>
            </w:pPr>
            <w:r w:rsidRPr="005F18A7">
              <w:t>Atripla: EFV/FTC/TDF</w:t>
            </w:r>
          </w:p>
        </w:tc>
      </w:tr>
      <w:tr w:rsidR="005F18A7" w:rsidTr="00EB30DD">
        <w:tc>
          <w:tcPr>
            <w:cnfStyle w:val="001000000000" w:firstRow="0" w:lastRow="0" w:firstColumn="1" w:lastColumn="0" w:oddVBand="0" w:evenVBand="0" w:oddHBand="0" w:evenHBand="0" w:firstRowFirstColumn="0" w:firstRowLastColumn="0" w:lastRowFirstColumn="0" w:lastRowLastColumn="0"/>
            <w:tcW w:w="2513" w:type="dxa"/>
          </w:tcPr>
          <w:p w:rsidR="005F18A7" w:rsidRPr="005F18A7" w:rsidRDefault="005F18A7" w:rsidP="005E3FF4">
            <w:r w:rsidRPr="005F18A7">
              <w:t>ATV</w:t>
            </w:r>
          </w:p>
        </w:tc>
        <w:tc>
          <w:tcPr>
            <w:tcW w:w="6729" w:type="dxa"/>
          </w:tcPr>
          <w:p w:rsidR="005F18A7" w:rsidRPr="005F18A7" w:rsidRDefault="005F18A7" w:rsidP="005F18A7">
            <w:pPr>
              <w:cnfStyle w:val="000000000000" w:firstRow="0" w:lastRow="0" w:firstColumn="0" w:lastColumn="0" w:oddVBand="0" w:evenVBand="0" w:oddHBand="0" w:evenHBand="0" w:firstRowFirstColumn="0" w:firstRowLastColumn="0" w:lastRowFirstColumn="0" w:lastRowLastColumn="0"/>
            </w:pPr>
            <w:r w:rsidRPr="005F18A7">
              <w:t>atazanavir</w:t>
            </w:r>
          </w:p>
        </w:tc>
      </w:tr>
      <w:tr w:rsidR="005F18A7" w:rsidTr="00EB30DD">
        <w:tc>
          <w:tcPr>
            <w:cnfStyle w:val="001000000000" w:firstRow="0" w:lastRow="0" w:firstColumn="1" w:lastColumn="0" w:oddVBand="0" w:evenVBand="0" w:oddHBand="0" w:evenHBand="0" w:firstRowFirstColumn="0" w:firstRowLastColumn="0" w:lastRowFirstColumn="0" w:lastRowLastColumn="0"/>
            <w:tcW w:w="2513" w:type="dxa"/>
          </w:tcPr>
          <w:p w:rsidR="005F18A7" w:rsidRPr="005F18A7" w:rsidRDefault="005E3FF4" w:rsidP="005F18A7">
            <w:r>
              <w:t>ATV/r</w:t>
            </w:r>
          </w:p>
        </w:tc>
        <w:tc>
          <w:tcPr>
            <w:tcW w:w="6729" w:type="dxa"/>
          </w:tcPr>
          <w:p w:rsidR="005F18A7" w:rsidRPr="005F18A7" w:rsidRDefault="005F18A7" w:rsidP="005F18A7">
            <w:pPr>
              <w:cnfStyle w:val="000000000000" w:firstRow="0" w:lastRow="0" w:firstColumn="0" w:lastColumn="0" w:oddVBand="0" w:evenVBand="0" w:oddHBand="0" w:evenHBand="0" w:firstRowFirstColumn="0" w:firstRowLastColumn="0" w:lastRowFirstColumn="0" w:lastRowLastColumn="0"/>
            </w:pPr>
            <w:r w:rsidRPr="005F18A7">
              <w:t>ritonavir boosted atazanavir</w:t>
            </w:r>
          </w:p>
        </w:tc>
      </w:tr>
      <w:tr w:rsidR="005F18A7" w:rsidTr="00EB30DD">
        <w:tc>
          <w:tcPr>
            <w:cnfStyle w:val="001000000000" w:firstRow="0" w:lastRow="0" w:firstColumn="1" w:lastColumn="0" w:oddVBand="0" w:evenVBand="0" w:oddHBand="0" w:evenHBand="0" w:firstRowFirstColumn="0" w:firstRowLastColumn="0" w:lastRowFirstColumn="0" w:lastRowLastColumn="0"/>
            <w:tcW w:w="2513" w:type="dxa"/>
          </w:tcPr>
          <w:p w:rsidR="005F18A7" w:rsidRPr="005F18A7" w:rsidRDefault="005E3FF4" w:rsidP="005F18A7">
            <w:r>
              <w:t>BMD</w:t>
            </w:r>
          </w:p>
        </w:tc>
        <w:tc>
          <w:tcPr>
            <w:tcW w:w="6729" w:type="dxa"/>
          </w:tcPr>
          <w:p w:rsidR="005F18A7" w:rsidRPr="005F18A7" w:rsidRDefault="005F18A7" w:rsidP="005F18A7">
            <w:pPr>
              <w:cnfStyle w:val="000000000000" w:firstRow="0" w:lastRow="0" w:firstColumn="0" w:lastColumn="0" w:oddVBand="0" w:evenVBand="0" w:oddHBand="0" w:evenHBand="0" w:firstRowFirstColumn="0" w:firstRowLastColumn="0" w:lastRowFirstColumn="0" w:lastRowLastColumn="0"/>
            </w:pPr>
            <w:r w:rsidRPr="005F18A7">
              <w:t xml:space="preserve">bone mineral density </w:t>
            </w:r>
          </w:p>
        </w:tc>
      </w:tr>
      <w:tr w:rsidR="005F18A7" w:rsidTr="00EB30DD">
        <w:tc>
          <w:tcPr>
            <w:cnfStyle w:val="001000000000" w:firstRow="0" w:lastRow="0" w:firstColumn="1" w:lastColumn="0" w:oddVBand="0" w:evenVBand="0" w:oddHBand="0" w:evenHBand="0" w:firstRowFirstColumn="0" w:firstRowLastColumn="0" w:lastRowFirstColumn="0" w:lastRowLastColumn="0"/>
            <w:tcW w:w="2513" w:type="dxa"/>
          </w:tcPr>
          <w:p w:rsidR="005F18A7" w:rsidRPr="005F18A7" w:rsidRDefault="005E3FF4" w:rsidP="005F18A7">
            <w:r>
              <w:t>BMI</w:t>
            </w:r>
          </w:p>
        </w:tc>
        <w:tc>
          <w:tcPr>
            <w:tcW w:w="6729" w:type="dxa"/>
          </w:tcPr>
          <w:p w:rsidR="005F18A7" w:rsidRPr="005F18A7" w:rsidRDefault="005F18A7" w:rsidP="005F18A7">
            <w:pPr>
              <w:cnfStyle w:val="000000000000" w:firstRow="0" w:lastRow="0" w:firstColumn="0" w:lastColumn="0" w:oddVBand="0" w:evenVBand="0" w:oddHBand="0" w:evenHBand="0" w:firstRowFirstColumn="0" w:firstRowLastColumn="0" w:lastRowFirstColumn="0" w:lastRowLastColumn="0"/>
            </w:pPr>
            <w:r w:rsidRPr="005F18A7">
              <w:t>body mass index</w:t>
            </w:r>
          </w:p>
        </w:tc>
      </w:tr>
      <w:tr w:rsidR="005F18A7" w:rsidTr="00EB30DD">
        <w:tc>
          <w:tcPr>
            <w:cnfStyle w:val="001000000000" w:firstRow="0" w:lastRow="0" w:firstColumn="1" w:lastColumn="0" w:oddVBand="0" w:evenVBand="0" w:oddHBand="0" w:evenHBand="0" w:firstRowFirstColumn="0" w:firstRowLastColumn="0" w:lastRowFirstColumn="0" w:lastRowLastColumn="0"/>
            <w:tcW w:w="2513" w:type="dxa"/>
          </w:tcPr>
          <w:p w:rsidR="005F18A7" w:rsidRPr="005F18A7" w:rsidRDefault="005E3FF4" w:rsidP="005F18A7">
            <w:r>
              <w:t>CD4</w:t>
            </w:r>
          </w:p>
        </w:tc>
        <w:tc>
          <w:tcPr>
            <w:tcW w:w="6729" w:type="dxa"/>
          </w:tcPr>
          <w:p w:rsidR="005F18A7" w:rsidRPr="005F18A7" w:rsidRDefault="005F18A7" w:rsidP="005F18A7">
            <w:pPr>
              <w:cnfStyle w:val="000000000000" w:firstRow="0" w:lastRow="0" w:firstColumn="0" w:lastColumn="0" w:oddVBand="0" w:evenVBand="0" w:oddHBand="0" w:evenHBand="0" w:firstRowFirstColumn="0" w:firstRowLastColumn="0" w:lastRowFirstColumn="0" w:lastRowLastColumn="0"/>
            </w:pPr>
            <w:r w:rsidRPr="005F18A7">
              <w:t>cluster determinant 4</w:t>
            </w:r>
          </w:p>
        </w:tc>
      </w:tr>
      <w:tr w:rsidR="005F18A7" w:rsidTr="00EB30DD">
        <w:tc>
          <w:tcPr>
            <w:cnfStyle w:val="001000000000" w:firstRow="0" w:lastRow="0" w:firstColumn="1" w:lastColumn="0" w:oddVBand="0" w:evenVBand="0" w:oddHBand="0" w:evenHBand="0" w:firstRowFirstColumn="0" w:firstRowLastColumn="0" w:lastRowFirstColumn="0" w:lastRowLastColumn="0"/>
            <w:tcW w:w="2513" w:type="dxa"/>
          </w:tcPr>
          <w:p w:rsidR="005F18A7" w:rsidRPr="005F18A7" w:rsidRDefault="005E3FF4" w:rsidP="005F18A7">
            <w:r>
              <w:t>CG</w:t>
            </w:r>
          </w:p>
        </w:tc>
        <w:tc>
          <w:tcPr>
            <w:tcW w:w="6729" w:type="dxa"/>
          </w:tcPr>
          <w:p w:rsidR="005F18A7" w:rsidRPr="005F18A7" w:rsidRDefault="005F18A7" w:rsidP="005F18A7">
            <w:pPr>
              <w:cnfStyle w:val="000000000000" w:firstRow="0" w:lastRow="0" w:firstColumn="0" w:lastColumn="0" w:oddVBand="0" w:evenVBand="0" w:oddHBand="0" w:evenHBand="0" w:firstRowFirstColumn="0" w:firstRowLastColumn="0" w:lastRowFirstColumn="0" w:lastRowLastColumn="0"/>
            </w:pPr>
            <w:r w:rsidRPr="005F18A7">
              <w:t>Cockcroft-Gault</w:t>
            </w:r>
          </w:p>
        </w:tc>
      </w:tr>
      <w:tr w:rsidR="005F18A7" w:rsidTr="00EB30DD">
        <w:tc>
          <w:tcPr>
            <w:cnfStyle w:val="001000000000" w:firstRow="0" w:lastRow="0" w:firstColumn="1" w:lastColumn="0" w:oddVBand="0" w:evenVBand="0" w:oddHBand="0" w:evenHBand="0" w:firstRowFirstColumn="0" w:firstRowLastColumn="0" w:lastRowFirstColumn="0" w:lastRowLastColumn="0"/>
            <w:tcW w:w="2513" w:type="dxa"/>
          </w:tcPr>
          <w:p w:rsidR="005F18A7" w:rsidRPr="005F18A7" w:rsidRDefault="005E3FF4" w:rsidP="005F18A7">
            <w:r>
              <w:t>CI</w:t>
            </w:r>
          </w:p>
        </w:tc>
        <w:tc>
          <w:tcPr>
            <w:tcW w:w="6729" w:type="dxa"/>
          </w:tcPr>
          <w:p w:rsidR="005F18A7" w:rsidRPr="005F18A7" w:rsidRDefault="005F18A7" w:rsidP="005F18A7">
            <w:pPr>
              <w:cnfStyle w:val="000000000000" w:firstRow="0" w:lastRow="0" w:firstColumn="0" w:lastColumn="0" w:oddVBand="0" w:evenVBand="0" w:oddHBand="0" w:evenHBand="0" w:firstRowFirstColumn="0" w:firstRowLastColumn="0" w:lastRowFirstColumn="0" w:lastRowLastColumn="0"/>
            </w:pPr>
            <w:r w:rsidRPr="005F18A7">
              <w:t>confidence interval</w:t>
            </w:r>
          </w:p>
        </w:tc>
      </w:tr>
      <w:tr w:rsidR="005F18A7" w:rsidTr="00EB30DD">
        <w:tc>
          <w:tcPr>
            <w:cnfStyle w:val="001000000000" w:firstRow="0" w:lastRow="0" w:firstColumn="1" w:lastColumn="0" w:oddVBand="0" w:evenVBand="0" w:oddHBand="0" w:evenHBand="0" w:firstRowFirstColumn="0" w:firstRowLastColumn="0" w:lastRowFirstColumn="0" w:lastRowLastColumn="0"/>
            <w:tcW w:w="2513" w:type="dxa"/>
          </w:tcPr>
          <w:p w:rsidR="005F18A7" w:rsidRPr="005F18A7" w:rsidRDefault="005E3FF4" w:rsidP="005F18A7">
            <w:r>
              <w:t>CLiohexol</w:t>
            </w:r>
          </w:p>
        </w:tc>
        <w:tc>
          <w:tcPr>
            <w:tcW w:w="6729" w:type="dxa"/>
          </w:tcPr>
          <w:p w:rsidR="005F18A7" w:rsidRPr="005F18A7" w:rsidRDefault="005F18A7" w:rsidP="005F18A7">
            <w:pPr>
              <w:cnfStyle w:val="000000000000" w:firstRow="0" w:lastRow="0" w:firstColumn="0" w:lastColumn="0" w:oddVBand="0" w:evenVBand="0" w:oddHBand="0" w:evenHBand="0" w:firstRowFirstColumn="0" w:firstRowLastColumn="0" w:lastRowFirstColumn="0" w:lastRowLastColumn="0"/>
            </w:pPr>
            <w:r w:rsidRPr="005F18A7">
              <w:t>iohexol plasma clearance</w:t>
            </w:r>
          </w:p>
        </w:tc>
      </w:tr>
      <w:tr w:rsidR="005F18A7" w:rsidTr="00EB30DD">
        <w:tc>
          <w:tcPr>
            <w:cnfStyle w:val="001000000000" w:firstRow="0" w:lastRow="0" w:firstColumn="1" w:lastColumn="0" w:oddVBand="0" w:evenVBand="0" w:oddHBand="0" w:evenHBand="0" w:firstRowFirstColumn="0" w:firstRowLastColumn="0" w:lastRowFirstColumn="0" w:lastRowLastColumn="0"/>
            <w:tcW w:w="2513" w:type="dxa"/>
          </w:tcPr>
          <w:p w:rsidR="005F18A7" w:rsidRPr="005F18A7" w:rsidRDefault="005E3FF4" w:rsidP="005F18A7">
            <w:r>
              <w:t>CMH</w:t>
            </w:r>
          </w:p>
        </w:tc>
        <w:tc>
          <w:tcPr>
            <w:tcW w:w="6729" w:type="dxa"/>
          </w:tcPr>
          <w:p w:rsidR="005F18A7" w:rsidRPr="005F18A7" w:rsidRDefault="005F18A7" w:rsidP="005F18A7">
            <w:pPr>
              <w:cnfStyle w:val="000000000000" w:firstRow="0" w:lastRow="0" w:firstColumn="0" w:lastColumn="0" w:oddVBand="0" w:evenVBand="0" w:oddHBand="0" w:evenHBand="0" w:firstRowFirstColumn="0" w:firstRowLastColumn="0" w:lastRowFirstColumn="0" w:lastRowLastColumn="0"/>
            </w:pPr>
            <w:r w:rsidRPr="005F18A7">
              <w:t>Cochran-Mantel-Haenszel</w:t>
            </w:r>
          </w:p>
        </w:tc>
      </w:tr>
      <w:tr w:rsidR="005F18A7" w:rsidTr="00EB30DD">
        <w:tc>
          <w:tcPr>
            <w:cnfStyle w:val="001000000000" w:firstRow="0" w:lastRow="0" w:firstColumn="1" w:lastColumn="0" w:oddVBand="0" w:evenVBand="0" w:oddHBand="0" w:evenHBand="0" w:firstRowFirstColumn="0" w:firstRowLastColumn="0" w:lastRowFirstColumn="0" w:lastRowLastColumn="0"/>
            <w:tcW w:w="2513" w:type="dxa"/>
          </w:tcPr>
          <w:p w:rsidR="005F18A7" w:rsidRPr="005F18A7" w:rsidRDefault="005E3FF4" w:rsidP="005F18A7">
            <w:r>
              <w:t>CMI</w:t>
            </w:r>
          </w:p>
        </w:tc>
        <w:tc>
          <w:tcPr>
            <w:tcW w:w="6729" w:type="dxa"/>
          </w:tcPr>
          <w:p w:rsidR="005F18A7" w:rsidRPr="005F18A7" w:rsidRDefault="005F18A7" w:rsidP="005F18A7">
            <w:pPr>
              <w:cnfStyle w:val="000000000000" w:firstRow="0" w:lastRow="0" w:firstColumn="0" w:lastColumn="0" w:oddVBand="0" w:evenVBand="0" w:oddHBand="0" w:evenHBand="0" w:firstRowFirstColumn="0" w:firstRowLastColumn="0" w:lastRowFirstColumn="0" w:lastRowLastColumn="0"/>
            </w:pPr>
            <w:r w:rsidRPr="005F18A7">
              <w:t>consumer medicine information</w:t>
            </w:r>
          </w:p>
        </w:tc>
      </w:tr>
      <w:tr w:rsidR="005F18A7" w:rsidTr="00EB30DD">
        <w:tc>
          <w:tcPr>
            <w:cnfStyle w:val="001000000000" w:firstRow="0" w:lastRow="0" w:firstColumn="1" w:lastColumn="0" w:oddVBand="0" w:evenVBand="0" w:oddHBand="0" w:evenHBand="0" w:firstRowFirstColumn="0" w:firstRowLastColumn="0" w:lastRowFirstColumn="0" w:lastRowLastColumn="0"/>
            <w:tcW w:w="2513" w:type="dxa"/>
          </w:tcPr>
          <w:p w:rsidR="005F18A7" w:rsidRPr="005F18A7" w:rsidRDefault="005E3FF4" w:rsidP="005F18A7">
            <w:r>
              <w:t>COBI</w:t>
            </w:r>
          </w:p>
        </w:tc>
        <w:tc>
          <w:tcPr>
            <w:tcW w:w="6729" w:type="dxa"/>
          </w:tcPr>
          <w:p w:rsidR="005F18A7" w:rsidRPr="005F18A7" w:rsidRDefault="005F18A7" w:rsidP="005F18A7">
            <w:pPr>
              <w:cnfStyle w:val="000000000000" w:firstRow="0" w:lastRow="0" w:firstColumn="0" w:lastColumn="0" w:oddVBand="0" w:evenVBand="0" w:oddHBand="0" w:evenHBand="0" w:firstRowFirstColumn="0" w:firstRowLastColumn="0" w:lastRowFirstColumn="0" w:lastRowLastColumn="0"/>
            </w:pPr>
            <w:r w:rsidRPr="005F18A7">
              <w:t>cobicistat; GS-9350</w:t>
            </w:r>
          </w:p>
        </w:tc>
      </w:tr>
      <w:tr w:rsidR="005F18A7" w:rsidTr="00EB30DD">
        <w:tc>
          <w:tcPr>
            <w:cnfStyle w:val="001000000000" w:firstRow="0" w:lastRow="0" w:firstColumn="1" w:lastColumn="0" w:oddVBand="0" w:evenVBand="0" w:oddHBand="0" w:evenHBand="0" w:firstRowFirstColumn="0" w:firstRowLastColumn="0" w:lastRowFirstColumn="0" w:lastRowLastColumn="0"/>
            <w:tcW w:w="2513" w:type="dxa"/>
          </w:tcPr>
          <w:p w:rsidR="005F18A7" w:rsidRPr="005F18A7" w:rsidRDefault="005E3FF4" w:rsidP="005F18A7">
            <w:r>
              <w:t>CPK</w:t>
            </w:r>
          </w:p>
        </w:tc>
        <w:tc>
          <w:tcPr>
            <w:tcW w:w="6729" w:type="dxa"/>
          </w:tcPr>
          <w:p w:rsidR="005F18A7" w:rsidRPr="005F18A7" w:rsidRDefault="005F18A7" w:rsidP="005F18A7">
            <w:pPr>
              <w:cnfStyle w:val="000000000000" w:firstRow="0" w:lastRow="0" w:firstColumn="0" w:lastColumn="0" w:oddVBand="0" w:evenVBand="0" w:oddHBand="0" w:evenHBand="0" w:firstRowFirstColumn="0" w:firstRowLastColumn="0" w:lastRowFirstColumn="0" w:lastRowLastColumn="0"/>
            </w:pPr>
            <w:r w:rsidRPr="005F18A7">
              <w:t>creatine phosphokinase</w:t>
            </w:r>
          </w:p>
        </w:tc>
      </w:tr>
      <w:tr w:rsidR="005F18A7" w:rsidTr="00EB30DD">
        <w:tc>
          <w:tcPr>
            <w:cnfStyle w:val="001000000000" w:firstRow="0" w:lastRow="0" w:firstColumn="1" w:lastColumn="0" w:oddVBand="0" w:evenVBand="0" w:oddHBand="0" w:evenHBand="0" w:firstRowFirstColumn="0" w:firstRowLastColumn="0" w:lastRowFirstColumn="0" w:lastRowLastColumn="0"/>
            <w:tcW w:w="2513" w:type="dxa"/>
          </w:tcPr>
          <w:p w:rsidR="005F18A7" w:rsidRPr="005F18A7" w:rsidRDefault="005E3FF4" w:rsidP="005F18A7">
            <w:r>
              <w:t>CSR</w:t>
            </w:r>
          </w:p>
        </w:tc>
        <w:tc>
          <w:tcPr>
            <w:tcW w:w="6729" w:type="dxa"/>
          </w:tcPr>
          <w:p w:rsidR="005F18A7" w:rsidRPr="005F18A7" w:rsidRDefault="005F18A7" w:rsidP="005F18A7">
            <w:pPr>
              <w:cnfStyle w:val="000000000000" w:firstRow="0" w:lastRow="0" w:firstColumn="0" w:lastColumn="0" w:oddVBand="0" w:evenVBand="0" w:oddHBand="0" w:evenHBand="0" w:firstRowFirstColumn="0" w:firstRowLastColumn="0" w:lastRowFirstColumn="0" w:lastRowLastColumn="0"/>
            </w:pPr>
            <w:r w:rsidRPr="005F18A7">
              <w:t>clinical study report</w:t>
            </w:r>
          </w:p>
        </w:tc>
      </w:tr>
      <w:tr w:rsidR="005F18A7" w:rsidTr="00EB30DD">
        <w:tc>
          <w:tcPr>
            <w:cnfStyle w:val="001000000000" w:firstRow="0" w:lastRow="0" w:firstColumn="1" w:lastColumn="0" w:oddVBand="0" w:evenVBand="0" w:oddHBand="0" w:evenHBand="0" w:firstRowFirstColumn="0" w:firstRowLastColumn="0" w:lastRowFirstColumn="0" w:lastRowLastColumn="0"/>
            <w:tcW w:w="2513" w:type="dxa"/>
          </w:tcPr>
          <w:p w:rsidR="005F18A7" w:rsidRPr="005F18A7" w:rsidRDefault="005E3FF4" w:rsidP="005F18A7">
            <w:r>
              <w:t>CYP</w:t>
            </w:r>
          </w:p>
        </w:tc>
        <w:tc>
          <w:tcPr>
            <w:tcW w:w="6729" w:type="dxa"/>
          </w:tcPr>
          <w:p w:rsidR="005F18A7" w:rsidRPr="005F18A7" w:rsidRDefault="005F18A7" w:rsidP="005F18A7">
            <w:pPr>
              <w:cnfStyle w:val="000000000000" w:firstRow="0" w:lastRow="0" w:firstColumn="0" w:lastColumn="0" w:oddVBand="0" w:evenVBand="0" w:oddHBand="0" w:evenHBand="0" w:firstRowFirstColumn="0" w:firstRowLastColumn="0" w:lastRowFirstColumn="0" w:lastRowLastColumn="0"/>
            </w:pPr>
            <w:r w:rsidRPr="005F18A7">
              <w:t>cytochrome P450</w:t>
            </w:r>
          </w:p>
        </w:tc>
      </w:tr>
      <w:tr w:rsidR="005F18A7" w:rsidTr="00EB30DD">
        <w:tc>
          <w:tcPr>
            <w:cnfStyle w:val="001000000000" w:firstRow="0" w:lastRow="0" w:firstColumn="1" w:lastColumn="0" w:oddVBand="0" w:evenVBand="0" w:oddHBand="0" w:evenHBand="0" w:firstRowFirstColumn="0" w:firstRowLastColumn="0" w:lastRowFirstColumn="0" w:lastRowLastColumn="0"/>
            <w:tcW w:w="2513" w:type="dxa"/>
          </w:tcPr>
          <w:p w:rsidR="005F18A7" w:rsidRPr="005F18A7" w:rsidRDefault="005E3FF4" w:rsidP="005F18A7">
            <w:r>
              <w:t>CysC</w:t>
            </w:r>
          </w:p>
        </w:tc>
        <w:tc>
          <w:tcPr>
            <w:tcW w:w="6729" w:type="dxa"/>
          </w:tcPr>
          <w:p w:rsidR="005F18A7" w:rsidRPr="005F18A7" w:rsidRDefault="005F18A7" w:rsidP="005F18A7">
            <w:pPr>
              <w:cnfStyle w:val="000000000000" w:firstRow="0" w:lastRow="0" w:firstColumn="0" w:lastColumn="0" w:oddVBand="0" w:evenVBand="0" w:oddHBand="0" w:evenHBand="0" w:firstRowFirstColumn="0" w:firstRowLastColumn="0" w:lastRowFirstColumn="0" w:lastRowLastColumn="0"/>
            </w:pPr>
            <w:r w:rsidRPr="005F18A7">
              <w:t>cystatin C</w:t>
            </w:r>
          </w:p>
        </w:tc>
      </w:tr>
      <w:tr w:rsidR="005F18A7" w:rsidTr="00EB30DD">
        <w:tc>
          <w:tcPr>
            <w:cnfStyle w:val="001000000000" w:firstRow="0" w:lastRow="0" w:firstColumn="1" w:lastColumn="0" w:oddVBand="0" w:evenVBand="0" w:oddHBand="0" w:evenHBand="0" w:firstRowFirstColumn="0" w:firstRowLastColumn="0" w:lastRowFirstColumn="0" w:lastRowLastColumn="0"/>
            <w:tcW w:w="2513" w:type="dxa"/>
          </w:tcPr>
          <w:p w:rsidR="005F18A7" w:rsidRPr="005F18A7" w:rsidRDefault="005E3FF4" w:rsidP="005F18A7">
            <w:r>
              <w:t>DRV</w:t>
            </w:r>
          </w:p>
        </w:tc>
        <w:tc>
          <w:tcPr>
            <w:tcW w:w="6729" w:type="dxa"/>
          </w:tcPr>
          <w:p w:rsidR="005F18A7" w:rsidRPr="005F18A7" w:rsidRDefault="005F18A7" w:rsidP="005F18A7">
            <w:pPr>
              <w:cnfStyle w:val="000000000000" w:firstRow="0" w:lastRow="0" w:firstColumn="0" w:lastColumn="0" w:oddVBand="0" w:evenVBand="0" w:oddHBand="0" w:evenHBand="0" w:firstRowFirstColumn="0" w:firstRowLastColumn="0" w:lastRowFirstColumn="0" w:lastRowLastColumn="0"/>
            </w:pPr>
            <w:r w:rsidRPr="005F18A7">
              <w:t>darunavir</w:t>
            </w:r>
          </w:p>
        </w:tc>
      </w:tr>
      <w:tr w:rsidR="005F18A7" w:rsidTr="00EB30DD">
        <w:tc>
          <w:tcPr>
            <w:cnfStyle w:val="001000000000" w:firstRow="0" w:lastRow="0" w:firstColumn="1" w:lastColumn="0" w:oddVBand="0" w:evenVBand="0" w:oddHBand="0" w:evenHBand="0" w:firstRowFirstColumn="0" w:firstRowLastColumn="0" w:lastRowFirstColumn="0" w:lastRowLastColumn="0"/>
            <w:tcW w:w="2513" w:type="dxa"/>
          </w:tcPr>
          <w:p w:rsidR="005F18A7" w:rsidRPr="005F18A7" w:rsidRDefault="005F18A7" w:rsidP="005F18A7">
            <w:r w:rsidRPr="005F18A7">
              <w:lastRenderedPageBreak/>
              <w:t>EFV</w:t>
            </w:r>
          </w:p>
        </w:tc>
        <w:tc>
          <w:tcPr>
            <w:tcW w:w="6729" w:type="dxa"/>
          </w:tcPr>
          <w:p w:rsidR="005F18A7" w:rsidRPr="005F18A7" w:rsidRDefault="005F18A7" w:rsidP="005F18A7">
            <w:pPr>
              <w:cnfStyle w:val="000000000000" w:firstRow="0" w:lastRow="0" w:firstColumn="0" w:lastColumn="0" w:oddVBand="0" w:evenVBand="0" w:oddHBand="0" w:evenHBand="0" w:firstRowFirstColumn="0" w:firstRowLastColumn="0" w:lastRowFirstColumn="0" w:lastRowLastColumn="0"/>
            </w:pPr>
            <w:r w:rsidRPr="005F18A7">
              <w:t>efavirenz</w:t>
            </w:r>
          </w:p>
        </w:tc>
      </w:tr>
      <w:tr w:rsidR="00ED3F4D" w:rsidTr="00EB30DD">
        <w:tc>
          <w:tcPr>
            <w:cnfStyle w:val="001000000000" w:firstRow="0" w:lastRow="0" w:firstColumn="1" w:lastColumn="0" w:oddVBand="0" w:evenVBand="0" w:oddHBand="0" w:evenHBand="0" w:firstRowFirstColumn="0" w:firstRowLastColumn="0" w:lastRowFirstColumn="0" w:lastRowLastColumn="0"/>
            <w:tcW w:w="2513" w:type="dxa"/>
          </w:tcPr>
          <w:p w:rsidR="00ED3F4D" w:rsidRPr="00ED3F4D" w:rsidRDefault="005E3FF4" w:rsidP="00ED3F4D">
            <w:r>
              <w:t>EFV/FTC/TDF</w:t>
            </w:r>
          </w:p>
        </w:tc>
        <w:tc>
          <w:tcPr>
            <w:tcW w:w="6729" w:type="dxa"/>
          </w:tcPr>
          <w:p w:rsidR="007C2D31" w:rsidRPr="00ED3F4D" w:rsidRDefault="00ED3F4D" w:rsidP="00D120A0">
            <w:pPr>
              <w:cnfStyle w:val="000000000000" w:firstRow="0" w:lastRow="0" w:firstColumn="0" w:lastColumn="0" w:oddVBand="0" w:evenVBand="0" w:oddHBand="0" w:evenHBand="0" w:firstRowFirstColumn="0" w:firstRowLastColumn="0" w:lastRowFirstColumn="0" w:lastRowLastColumn="0"/>
            </w:pPr>
            <w:r w:rsidRPr="00C6140F">
              <w:t>efavirenz/emtricitabine/tenofovir disoproxil fumarate</w:t>
            </w:r>
            <w:r w:rsidR="00D120A0">
              <w:t>;</w:t>
            </w:r>
            <w:r w:rsidRPr="00C6140F">
              <w:t xml:space="preserve"> Atripla</w:t>
            </w:r>
          </w:p>
        </w:tc>
      </w:tr>
      <w:tr w:rsidR="00ED3F4D" w:rsidTr="00EB30DD">
        <w:tc>
          <w:tcPr>
            <w:cnfStyle w:val="001000000000" w:firstRow="0" w:lastRow="0" w:firstColumn="1" w:lastColumn="0" w:oddVBand="0" w:evenVBand="0" w:oddHBand="0" w:evenHBand="0" w:firstRowFirstColumn="0" w:firstRowLastColumn="0" w:lastRowFirstColumn="0" w:lastRowLastColumn="0"/>
            <w:tcW w:w="2513" w:type="dxa"/>
          </w:tcPr>
          <w:p w:rsidR="00ED3F4D" w:rsidRPr="00ED3F4D" w:rsidRDefault="005E3FF4" w:rsidP="00ED3F4D">
            <w:r>
              <w:t>eGFR</w:t>
            </w:r>
          </w:p>
        </w:tc>
        <w:tc>
          <w:tcPr>
            <w:tcW w:w="6729" w:type="dxa"/>
          </w:tcPr>
          <w:p w:rsidR="007C2D31" w:rsidRPr="00ED3F4D" w:rsidRDefault="00ED3F4D" w:rsidP="007C2D31">
            <w:pPr>
              <w:cnfStyle w:val="000000000000" w:firstRow="0" w:lastRow="0" w:firstColumn="0" w:lastColumn="0" w:oddVBand="0" w:evenVBand="0" w:oddHBand="0" w:evenHBand="0" w:firstRowFirstColumn="0" w:firstRowLastColumn="0" w:lastRowFirstColumn="0" w:lastRowLastColumn="0"/>
            </w:pPr>
            <w:r w:rsidRPr="00C6140F">
              <w:t>estimated glomerular filtration rate</w:t>
            </w:r>
          </w:p>
        </w:tc>
      </w:tr>
      <w:tr w:rsidR="00ED3F4D" w:rsidTr="00EB30DD">
        <w:tc>
          <w:tcPr>
            <w:cnfStyle w:val="001000000000" w:firstRow="0" w:lastRow="0" w:firstColumn="1" w:lastColumn="0" w:oddVBand="0" w:evenVBand="0" w:oddHBand="0" w:evenHBand="0" w:firstRowFirstColumn="0" w:firstRowLastColumn="0" w:lastRowFirstColumn="0" w:lastRowLastColumn="0"/>
            <w:tcW w:w="2513" w:type="dxa"/>
          </w:tcPr>
          <w:p w:rsidR="00ED3F4D" w:rsidRPr="00ED3F4D" w:rsidRDefault="005E3FF4" w:rsidP="00ED3F4D">
            <w:r>
              <w:t>eGFR</w:t>
            </w:r>
            <w:r w:rsidRPr="005E3FF4">
              <w:rPr>
                <w:vertAlign w:val="subscript"/>
              </w:rPr>
              <w:t>CG</w:t>
            </w:r>
          </w:p>
        </w:tc>
        <w:tc>
          <w:tcPr>
            <w:tcW w:w="6729" w:type="dxa"/>
          </w:tcPr>
          <w:p w:rsidR="00ED3F4D" w:rsidRPr="00ED3F4D" w:rsidRDefault="00ED3F4D" w:rsidP="00DB0E73">
            <w:pPr>
              <w:cnfStyle w:val="000000000000" w:firstRow="0" w:lastRow="0" w:firstColumn="0" w:lastColumn="0" w:oddVBand="0" w:evenVBand="0" w:oddHBand="0" w:evenHBand="0" w:firstRowFirstColumn="0" w:firstRowLastColumn="0" w:lastRowFirstColumn="0" w:lastRowLastColumn="0"/>
            </w:pPr>
            <w:r w:rsidRPr="00ED3F4D">
              <w:t xml:space="preserve">estimated </w:t>
            </w:r>
            <w:r w:rsidR="00DB0E73">
              <w:t>g</w:t>
            </w:r>
            <w:r w:rsidRPr="00ED3F4D">
              <w:t xml:space="preserve">lomerular </w:t>
            </w:r>
            <w:r w:rsidR="00DB0E73">
              <w:t>f</w:t>
            </w:r>
            <w:r w:rsidRPr="00ED3F4D">
              <w:t xml:space="preserve">iltration </w:t>
            </w:r>
            <w:r w:rsidR="00DB0E73">
              <w:t>r</w:t>
            </w:r>
            <w:r w:rsidRPr="00ED3F4D">
              <w:t>ate calculated using the Cockcroft-Gault method</w:t>
            </w:r>
          </w:p>
        </w:tc>
      </w:tr>
      <w:tr w:rsidR="00ED3F4D" w:rsidTr="00EB30DD">
        <w:tc>
          <w:tcPr>
            <w:cnfStyle w:val="001000000000" w:firstRow="0" w:lastRow="0" w:firstColumn="1" w:lastColumn="0" w:oddVBand="0" w:evenVBand="0" w:oddHBand="0" w:evenHBand="0" w:firstRowFirstColumn="0" w:firstRowLastColumn="0" w:lastRowFirstColumn="0" w:lastRowLastColumn="0"/>
            <w:tcW w:w="2513" w:type="dxa"/>
          </w:tcPr>
          <w:p w:rsidR="00ED3F4D" w:rsidRPr="00ED3F4D" w:rsidRDefault="005E3FF4" w:rsidP="00ED3F4D">
            <w:r>
              <w:t>eGFR</w:t>
            </w:r>
            <w:r w:rsidRPr="005E3FF4">
              <w:rPr>
                <w:vertAlign w:val="subscript"/>
              </w:rPr>
              <w:t>MDRD</w:t>
            </w:r>
          </w:p>
        </w:tc>
        <w:tc>
          <w:tcPr>
            <w:tcW w:w="6729" w:type="dxa"/>
          </w:tcPr>
          <w:p w:rsidR="00ED3F4D" w:rsidRPr="00ED3F4D" w:rsidRDefault="00ED3F4D" w:rsidP="00DB0E73">
            <w:pPr>
              <w:cnfStyle w:val="000000000000" w:firstRow="0" w:lastRow="0" w:firstColumn="0" w:lastColumn="0" w:oddVBand="0" w:evenVBand="0" w:oddHBand="0" w:evenHBand="0" w:firstRowFirstColumn="0" w:firstRowLastColumn="0" w:lastRowFirstColumn="0" w:lastRowLastColumn="0"/>
            </w:pPr>
            <w:r w:rsidRPr="00ED3F4D">
              <w:t xml:space="preserve">estimated </w:t>
            </w:r>
            <w:r w:rsidR="00DB0E73">
              <w:t>g</w:t>
            </w:r>
            <w:r w:rsidRPr="00ED3F4D">
              <w:t xml:space="preserve">lomerular </w:t>
            </w:r>
            <w:r w:rsidR="00DB0E73">
              <w:t>f</w:t>
            </w:r>
            <w:r w:rsidRPr="00ED3F4D">
              <w:t xml:space="preserve">iltration </w:t>
            </w:r>
            <w:r w:rsidR="00DB0E73">
              <w:t>r</w:t>
            </w:r>
            <w:r w:rsidRPr="00ED3F4D">
              <w:t>ate calculated using the Modification of Diet in Renal Disease method</w:t>
            </w:r>
          </w:p>
        </w:tc>
      </w:tr>
      <w:tr w:rsidR="00ED3F4D" w:rsidTr="00EB30DD">
        <w:tc>
          <w:tcPr>
            <w:cnfStyle w:val="001000000000" w:firstRow="0" w:lastRow="0" w:firstColumn="1" w:lastColumn="0" w:oddVBand="0" w:evenVBand="0" w:oddHBand="0" w:evenHBand="0" w:firstRowFirstColumn="0" w:firstRowLastColumn="0" w:lastRowFirstColumn="0" w:lastRowLastColumn="0"/>
            <w:tcW w:w="2513" w:type="dxa"/>
          </w:tcPr>
          <w:p w:rsidR="00ED3F4D" w:rsidRPr="00ED3F4D" w:rsidRDefault="005E3FF4" w:rsidP="00ED3F4D">
            <w:r>
              <w:t>EU</w:t>
            </w:r>
          </w:p>
        </w:tc>
        <w:tc>
          <w:tcPr>
            <w:tcW w:w="6729" w:type="dxa"/>
          </w:tcPr>
          <w:p w:rsidR="00ED3F4D" w:rsidRPr="00ED3F4D" w:rsidRDefault="00ED3F4D" w:rsidP="00ED3F4D">
            <w:pPr>
              <w:cnfStyle w:val="000000000000" w:firstRow="0" w:lastRow="0" w:firstColumn="0" w:lastColumn="0" w:oddVBand="0" w:evenVBand="0" w:oddHBand="0" w:evenHBand="0" w:firstRowFirstColumn="0" w:firstRowLastColumn="0" w:lastRowFirstColumn="0" w:lastRowLastColumn="0"/>
            </w:pPr>
            <w:r w:rsidRPr="00ED3F4D">
              <w:t>European Union</w:t>
            </w:r>
          </w:p>
        </w:tc>
      </w:tr>
      <w:tr w:rsidR="00ED3F4D" w:rsidTr="00EB30DD">
        <w:tc>
          <w:tcPr>
            <w:cnfStyle w:val="001000000000" w:firstRow="0" w:lastRow="0" w:firstColumn="1" w:lastColumn="0" w:oddVBand="0" w:evenVBand="0" w:oddHBand="0" w:evenHBand="0" w:firstRowFirstColumn="0" w:firstRowLastColumn="0" w:lastRowFirstColumn="0" w:lastRowLastColumn="0"/>
            <w:tcW w:w="2513" w:type="dxa"/>
          </w:tcPr>
          <w:p w:rsidR="00ED3F4D" w:rsidRPr="00ED3F4D" w:rsidRDefault="005E3FF4" w:rsidP="00ED3F4D">
            <w:r>
              <w:t>EVG</w:t>
            </w:r>
          </w:p>
        </w:tc>
        <w:tc>
          <w:tcPr>
            <w:tcW w:w="6729" w:type="dxa"/>
          </w:tcPr>
          <w:p w:rsidR="00ED3F4D" w:rsidRPr="00ED3F4D" w:rsidRDefault="00DB0E73" w:rsidP="00DB0E73">
            <w:pPr>
              <w:cnfStyle w:val="000000000000" w:firstRow="0" w:lastRow="0" w:firstColumn="0" w:lastColumn="0" w:oddVBand="0" w:evenVBand="0" w:oddHBand="0" w:evenHBand="0" w:firstRowFirstColumn="0" w:firstRowLastColumn="0" w:lastRowFirstColumn="0" w:lastRowLastColumn="0"/>
            </w:pPr>
            <w:r>
              <w:t>e</w:t>
            </w:r>
            <w:r w:rsidR="00ED3F4D" w:rsidRPr="00ED3F4D">
              <w:t>lvitegravir</w:t>
            </w:r>
          </w:p>
        </w:tc>
      </w:tr>
      <w:tr w:rsidR="00ED3F4D" w:rsidTr="00EB30DD">
        <w:tc>
          <w:tcPr>
            <w:cnfStyle w:val="001000000000" w:firstRow="0" w:lastRow="0" w:firstColumn="1" w:lastColumn="0" w:oddVBand="0" w:evenVBand="0" w:oddHBand="0" w:evenHBand="0" w:firstRowFirstColumn="0" w:firstRowLastColumn="0" w:lastRowFirstColumn="0" w:lastRowLastColumn="0"/>
            <w:tcW w:w="2513" w:type="dxa"/>
          </w:tcPr>
          <w:p w:rsidR="00ED3F4D" w:rsidRPr="00ED3F4D" w:rsidRDefault="005E3FF4" w:rsidP="00ED3F4D">
            <w:r>
              <w:t>EVG/COBI/FTC/TDF</w:t>
            </w:r>
          </w:p>
        </w:tc>
        <w:tc>
          <w:tcPr>
            <w:tcW w:w="6729" w:type="dxa"/>
          </w:tcPr>
          <w:p w:rsidR="00ED3F4D" w:rsidRPr="00ED3F4D" w:rsidRDefault="00ED3F4D" w:rsidP="00D120A0">
            <w:pPr>
              <w:cnfStyle w:val="000000000000" w:firstRow="0" w:lastRow="0" w:firstColumn="0" w:lastColumn="0" w:oddVBand="0" w:evenVBand="0" w:oddHBand="0" w:evenHBand="0" w:firstRowFirstColumn="0" w:firstRowLastColumn="0" w:lastRowFirstColumn="0" w:lastRowLastColumn="0"/>
            </w:pPr>
            <w:r w:rsidRPr="00ED3F4D">
              <w:t>elvitegravir/cobicistat/emtricitabine/tenofovir disoproxil fumarate</w:t>
            </w:r>
            <w:r w:rsidR="00D120A0">
              <w:t>;</w:t>
            </w:r>
            <w:r w:rsidRPr="00ED3F4D">
              <w:t xml:space="preserve"> Stribild</w:t>
            </w:r>
            <w:r w:rsidR="00D120A0">
              <w:t>;</w:t>
            </w:r>
            <w:r w:rsidRPr="00ED3F4D">
              <w:t xml:space="preserve"> STB</w:t>
            </w:r>
          </w:p>
        </w:tc>
      </w:tr>
      <w:tr w:rsidR="00ED3F4D" w:rsidTr="00EB30DD">
        <w:tc>
          <w:tcPr>
            <w:cnfStyle w:val="001000000000" w:firstRow="0" w:lastRow="0" w:firstColumn="1" w:lastColumn="0" w:oddVBand="0" w:evenVBand="0" w:oddHBand="0" w:evenHBand="0" w:firstRowFirstColumn="0" w:firstRowLastColumn="0" w:lastRowFirstColumn="0" w:lastRowLastColumn="0"/>
            <w:tcW w:w="2513" w:type="dxa"/>
          </w:tcPr>
          <w:p w:rsidR="00ED3F4D" w:rsidRPr="00EB30DD" w:rsidRDefault="005E3FF4" w:rsidP="00EB30DD">
            <w:r>
              <w:t>FAS</w:t>
            </w:r>
          </w:p>
        </w:tc>
        <w:tc>
          <w:tcPr>
            <w:tcW w:w="6729" w:type="dxa"/>
          </w:tcPr>
          <w:p w:rsidR="00ED3F4D" w:rsidRPr="00EB30DD" w:rsidRDefault="00ED3F4D" w:rsidP="00EB30DD">
            <w:pPr>
              <w:cnfStyle w:val="000000000000" w:firstRow="0" w:lastRow="0" w:firstColumn="0" w:lastColumn="0" w:oddVBand="0" w:evenVBand="0" w:oddHBand="0" w:evenHBand="0" w:firstRowFirstColumn="0" w:firstRowLastColumn="0" w:lastRowFirstColumn="0" w:lastRowLastColumn="0"/>
            </w:pPr>
            <w:r w:rsidRPr="00EB30DD">
              <w:t>Full Analysis Set</w:t>
            </w:r>
          </w:p>
        </w:tc>
      </w:tr>
      <w:tr w:rsidR="00EB30DD" w:rsidTr="00EB30DD">
        <w:tc>
          <w:tcPr>
            <w:cnfStyle w:val="001000000000" w:firstRow="0" w:lastRow="0" w:firstColumn="1" w:lastColumn="0" w:oddVBand="0" w:evenVBand="0" w:oddHBand="0" w:evenHBand="0" w:firstRowFirstColumn="0" w:firstRowLastColumn="0" w:lastRowFirstColumn="0" w:lastRowLastColumn="0"/>
            <w:tcW w:w="2513" w:type="dxa"/>
          </w:tcPr>
          <w:p w:rsidR="00EB30DD" w:rsidRPr="00EB30DD" w:rsidRDefault="005E3FF4" w:rsidP="00EB30DD">
            <w:r>
              <w:t>FEPO</w:t>
            </w:r>
            <w:r w:rsidRPr="00D120A0">
              <w:rPr>
                <w:vertAlign w:val="subscript"/>
              </w:rPr>
              <w:t>4</w:t>
            </w:r>
          </w:p>
        </w:tc>
        <w:tc>
          <w:tcPr>
            <w:tcW w:w="6729" w:type="dxa"/>
          </w:tcPr>
          <w:p w:rsidR="00EB30DD" w:rsidRPr="00EB30DD" w:rsidRDefault="00DB0E73" w:rsidP="00DB0E73">
            <w:pPr>
              <w:cnfStyle w:val="000000000000" w:firstRow="0" w:lastRow="0" w:firstColumn="0" w:lastColumn="0" w:oddVBand="0" w:evenVBand="0" w:oddHBand="0" w:evenHBand="0" w:firstRowFirstColumn="0" w:firstRowLastColumn="0" w:lastRowFirstColumn="0" w:lastRowLastColumn="0"/>
            </w:pPr>
            <w:r>
              <w:t>f</w:t>
            </w:r>
            <w:r w:rsidR="00EB30DD" w:rsidRPr="00EB30DD">
              <w:t xml:space="preserve">ractional </w:t>
            </w:r>
            <w:r>
              <w:t>e</w:t>
            </w:r>
            <w:r w:rsidR="00EB30DD" w:rsidRPr="00EB30DD">
              <w:t xml:space="preserve">xcretion of </w:t>
            </w:r>
            <w:r>
              <w:t>p</w:t>
            </w:r>
            <w:r w:rsidR="00EB30DD" w:rsidRPr="00EB30DD">
              <w:t>hosphate</w:t>
            </w:r>
          </w:p>
        </w:tc>
      </w:tr>
      <w:tr w:rsidR="00EB30DD" w:rsidTr="00EB30DD">
        <w:tc>
          <w:tcPr>
            <w:cnfStyle w:val="001000000000" w:firstRow="0" w:lastRow="0" w:firstColumn="1" w:lastColumn="0" w:oddVBand="0" w:evenVBand="0" w:oddHBand="0" w:evenHBand="0" w:firstRowFirstColumn="0" w:firstRowLastColumn="0" w:lastRowFirstColumn="0" w:lastRowLastColumn="0"/>
            <w:tcW w:w="2513" w:type="dxa"/>
          </w:tcPr>
          <w:p w:rsidR="00EB30DD" w:rsidRPr="00EB30DD" w:rsidRDefault="005E3FF4" w:rsidP="00EB30DD">
            <w:r>
              <w:t>FTC</w:t>
            </w:r>
          </w:p>
        </w:tc>
        <w:tc>
          <w:tcPr>
            <w:tcW w:w="6729" w:type="dxa"/>
          </w:tcPr>
          <w:p w:rsidR="00EB30DD" w:rsidRPr="00EB30DD" w:rsidRDefault="00DB0E73" w:rsidP="00DB0E73">
            <w:pPr>
              <w:cnfStyle w:val="000000000000" w:firstRow="0" w:lastRow="0" w:firstColumn="0" w:lastColumn="0" w:oddVBand="0" w:evenVBand="0" w:oddHBand="0" w:evenHBand="0" w:firstRowFirstColumn="0" w:firstRowLastColumn="0" w:lastRowFirstColumn="0" w:lastRowLastColumn="0"/>
            </w:pPr>
            <w:r>
              <w:t>e</w:t>
            </w:r>
            <w:r w:rsidR="00EB30DD" w:rsidRPr="00EB30DD">
              <w:t>mtricitabine</w:t>
            </w:r>
          </w:p>
        </w:tc>
      </w:tr>
      <w:tr w:rsidR="00EB30DD" w:rsidTr="00EB30DD">
        <w:tc>
          <w:tcPr>
            <w:cnfStyle w:val="001000000000" w:firstRow="0" w:lastRow="0" w:firstColumn="1" w:lastColumn="0" w:oddVBand="0" w:evenVBand="0" w:oddHBand="0" w:evenHBand="0" w:firstRowFirstColumn="0" w:firstRowLastColumn="0" w:lastRowFirstColumn="0" w:lastRowLastColumn="0"/>
            <w:tcW w:w="2513" w:type="dxa"/>
          </w:tcPr>
          <w:p w:rsidR="00EB30DD" w:rsidRPr="00EB30DD" w:rsidRDefault="005E3FF4" w:rsidP="00EB30DD">
            <w:r>
              <w:t>FTC/RPV/TDF</w:t>
            </w:r>
          </w:p>
        </w:tc>
        <w:tc>
          <w:tcPr>
            <w:tcW w:w="6729" w:type="dxa"/>
          </w:tcPr>
          <w:p w:rsidR="00EB30DD" w:rsidRPr="00EB30DD" w:rsidRDefault="00EB30DD" w:rsidP="00D120A0">
            <w:pPr>
              <w:cnfStyle w:val="000000000000" w:firstRow="0" w:lastRow="0" w:firstColumn="0" w:lastColumn="0" w:oddVBand="0" w:evenVBand="0" w:oddHBand="0" w:evenHBand="0" w:firstRowFirstColumn="0" w:firstRowLastColumn="0" w:lastRowFirstColumn="0" w:lastRowLastColumn="0"/>
            </w:pPr>
            <w:r w:rsidRPr="00EB30DD">
              <w:t>emtricitabine/rilpivirine/tenofovir disoproxil fumarate</w:t>
            </w:r>
            <w:r w:rsidR="00D120A0">
              <w:t>;</w:t>
            </w:r>
            <w:r w:rsidRPr="00EB30DD">
              <w:t xml:space="preserve"> Complera/Evipler</w:t>
            </w:r>
            <w:r w:rsidR="00D97CAF">
              <w:t>a</w:t>
            </w:r>
          </w:p>
        </w:tc>
      </w:tr>
      <w:tr w:rsidR="00EB30DD" w:rsidTr="00EB30DD">
        <w:tc>
          <w:tcPr>
            <w:cnfStyle w:val="001000000000" w:firstRow="0" w:lastRow="0" w:firstColumn="1" w:lastColumn="0" w:oddVBand="0" w:evenVBand="0" w:oddHBand="0" w:evenHBand="0" w:firstRowFirstColumn="0" w:firstRowLastColumn="0" w:lastRowFirstColumn="0" w:lastRowLastColumn="0"/>
            <w:tcW w:w="2513" w:type="dxa"/>
          </w:tcPr>
          <w:p w:rsidR="00EB30DD" w:rsidRPr="00EB30DD" w:rsidRDefault="005E3FF4" w:rsidP="00EB30DD">
            <w:r>
              <w:t>FTC/TDF</w:t>
            </w:r>
          </w:p>
        </w:tc>
        <w:tc>
          <w:tcPr>
            <w:tcW w:w="6729" w:type="dxa"/>
          </w:tcPr>
          <w:p w:rsidR="00EB30DD" w:rsidRPr="00EB30DD" w:rsidRDefault="00EB30DD" w:rsidP="00D120A0">
            <w:pPr>
              <w:cnfStyle w:val="000000000000" w:firstRow="0" w:lastRow="0" w:firstColumn="0" w:lastColumn="0" w:oddVBand="0" w:evenVBand="0" w:oddHBand="0" w:evenHBand="0" w:firstRowFirstColumn="0" w:firstRowLastColumn="0" w:lastRowFirstColumn="0" w:lastRowLastColumn="0"/>
            </w:pPr>
            <w:r w:rsidRPr="00EB30DD">
              <w:t>emtricitabine/tenofovir disoproxil fumarate</w:t>
            </w:r>
            <w:r w:rsidR="00D120A0">
              <w:t>;</w:t>
            </w:r>
            <w:r w:rsidRPr="00EB30DD">
              <w:t xml:space="preserve"> Truvada</w:t>
            </w:r>
          </w:p>
        </w:tc>
      </w:tr>
      <w:tr w:rsidR="00EB30DD" w:rsidTr="00EB30DD">
        <w:tc>
          <w:tcPr>
            <w:cnfStyle w:val="001000000000" w:firstRow="0" w:lastRow="0" w:firstColumn="1" w:lastColumn="0" w:oddVBand="0" w:evenVBand="0" w:oddHBand="0" w:evenHBand="0" w:firstRowFirstColumn="0" w:firstRowLastColumn="0" w:lastRowFirstColumn="0" w:lastRowLastColumn="0"/>
            <w:tcW w:w="2513" w:type="dxa"/>
          </w:tcPr>
          <w:p w:rsidR="00EB30DD" w:rsidRPr="00DB0E73" w:rsidRDefault="005E3FF4" w:rsidP="00DB0E73">
            <w:r>
              <w:t>GFR</w:t>
            </w:r>
          </w:p>
        </w:tc>
        <w:tc>
          <w:tcPr>
            <w:tcW w:w="6729" w:type="dxa"/>
          </w:tcPr>
          <w:p w:rsidR="00EB30DD" w:rsidRPr="00DB0E73" w:rsidRDefault="00DB0E73" w:rsidP="00DB0E73">
            <w:pPr>
              <w:cnfStyle w:val="000000000000" w:firstRow="0" w:lastRow="0" w:firstColumn="0" w:lastColumn="0" w:oddVBand="0" w:evenVBand="0" w:oddHBand="0" w:evenHBand="0" w:firstRowFirstColumn="0" w:firstRowLastColumn="0" w:lastRowFirstColumn="0" w:lastRowLastColumn="0"/>
            </w:pPr>
            <w:r w:rsidRPr="00DB0E73">
              <w:t>g</w:t>
            </w:r>
            <w:r w:rsidR="00EB30DD" w:rsidRPr="00DB0E73">
              <w:t xml:space="preserve">lomerular </w:t>
            </w:r>
            <w:r w:rsidRPr="00DB0E73">
              <w:t>f</w:t>
            </w:r>
            <w:r w:rsidR="00EB30DD" w:rsidRPr="00DB0E73">
              <w:t xml:space="preserve">iltration </w:t>
            </w:r>
            <w:r w:rsidRPr="00DB0E73">
              <w:t>r</w:t>
            </w:r>
            <w:r w:rsidR="00EB30DD" w:rsidRPr="00DB0E73">
              <w:t>ate</w:t>
            </w:r>
          </w:p>
        </w:tc>
      </w:tr>
      <w:tr w:rsidR="00EB30DD" w:rsidTr="00EB30DD">
        <w:tc>
          <w:tcPr>
            <w:cnfStyle w:val="001000000000" w:firstRow="0" w:lastRow="0" w:firstColumn="1" w:lastColumn="0" w:oddVBand="0" w:evenVBand="0" w:oddHBand="0" w:evenHBand="0" w:firstRowFirstColumn="0" w:firstRowLastColumn="0" w:lastRowFirstColumn="0" w:lastRowLastColumn="0"/>
            <w:tcW w:w="2513" w:type="dxa"/>
          </w:tcPr>
          <w:p w:rsidR="00EB30DD" w:rsidRPr="00DB0E73" w:rsidRDefault="005E3FF4" w:rsidP="00DB0E73">
            <w:r>
              <w:t>GGT</w:t>
            </w:r>
          </w:p>
        </w:tc>
        <w:tc>
          <w:tcPr>
            <w:tcW w:w="6729" w:type="dxa"/>
          </w:tcPr>
          <w:p w:rsidR="00EB30DD" w:rsidRPr="00DB0E73" w:rsidRDefault="00EB30DD" w:rsidP="00DB0E73">
            <w:pPr>
              <w:cnfStyle w:val="000000000000" w:firstRow="0" w:lastRow="0" w:firstColumn="0" w:lastColumn="0" w:oddVBand="0" w:evenVBand="0" w:oddHBand="0" w:evenHBand="0" w:firstRowFirstColumn="0" w:firstRowLastColumn="0" w:lastRowFirstColumn="0" w:lastRowLastColumn="0"/>
            </w:pPr>
            <w:r w:rsidRPr="00DB0E73">
              <w:t>gamma glutamyltransferase</w:t>
            </w:r>
          </w:p>
        </w:tc>
      </w:tr>
      <w:tr w:rsidR="00EB30DD" w:rsidTr="00EB30DD">
        <w:tc>
          <w:tcPr>
            <w:cnfStyle w:val="001000000000" w:firstRow="0" w:lastRow="0" w:firstColumn="1" w:lastColumn="0" w:oddVBand="0" w:evenVBand="0" w:oddHBand="0" w:evenHBand="0" w:firstRowFirstColumn="0" w:firstRowLastColumn="0" w:lastRowFirstColumn="0" w:lastRowLastColumn="0"/>
            <w:tcW w:w="2513" w:type="dxa"/>
          </w:tcPr>
          <w:p w:rsidR="00EB30DD" w:rsidRPr="00DB0E73" w:rsidRDefault="005E3FF4" w:rsidP="00DB0E73">
            <w:r>
              <w:t>HBsAg</w:t>
            </w:r>
          </w:p>
        </w:tc>
        <w:tc>
          <w:tcPr>
            <w:tcW w:w="6729" w:type="dxa"/>
          </w:tcPr>
          <w:p w:rsidR="00EB30DD" w:rsidRPr="00DB0E73" w:rsidRDefault="002F72E7" w:rsidP="002F72E7">
            <w:pPr>
              <w:cnfStyle w:val="000000000000" w:firstRow="0" w:lastRow="0" w:firstColumn="0" w:lastColumn="0" w:oddVBand="0" w:evenVBand="0" w:oddHBand="0" w:evenHBand="0" w:firstRowFirstColumn="0" w:firstRowLastColumn="0" w:lastRowFirstColumn="0" w:lastRowLastColumn="0"/>
            </w:pPr>
            <w:r>
              <w:t>H</w:t>
            </w:r>
            <w:r w:rsidR="00EB30DD" w:rsidRPr="00DB0E73">
              <w:t>epatitis B surface antigen</w:t>
            </w:r>
          </w:p>
        </w:tc>
      </w:tr>
      <w:tr w:rsidR="00EB30DD" w:rsidTr="00EB30DD">
        <w:tc>
          <w:tcPr>
            <w:cnfStyle w:val="001000000000" w:firstRow="0" w:lastRow="0" w:firstColumn="1" w:lastColumn="0" w:oddVBand="0" w:evenVBand="0" w:oddHBand="0" w:evenHBand="0" w:firstRowFirstColumn="0" w:firstRowLastColumn="0" w:lastRowFirstColumn="0" w:lastRowLastColumn="0"/>
            <w:tcW w:w="2513" w:type="dxa"/>
          </w:tcPr>
          <w:p w:rsidR="00EB30DD" w:rsidRPr="00DB0E73" w:rsidRDefault="005E3FF4" w:rsidP="00DB0E73">
            <w:r>
              <w:t>HCVAb</w:t>
            </w:r>
          </w:p>
        </w:tc>
        <w:tc>
          <w:tcPr>
            <w:tcW w:w="6729" w:type="dxa"/>
          </w:tcPr>
          <w:p w:rsidR="00EB30DD" w:rsidRPr="00DB0E73" w:rsidRDefault="00DB0E73" w:rsidP="00DB0E73">
            <w:pPr>
              <w:cnfStyle w:val="000000000000" w:firstRow="0" w:lastRow="0" w:firstColumn="0" w:lastColumn="0" w:oddVBand="0" w:evenVBand="0" w:oddHBand="0" w:evenHBand="0" w:firstRowFirstColumn="0" w:firstRowLastColumn="0" w:lastRowFirstColumn="0" w:lastRowLastColumn="0"/>
            </w:pPr>
            <w:r w:rsidRPr="00DB0E73">
              <w:t>H</w:t>
            </w:r>
            <w:r w:rsidR="00EB30DD" w:rsidRPr="00DB0E73">
              <w:t xml:space="preserve">epatitis C </w:t>
            </w:r>
            <w:r w:rsidRPr="00DB0E73">
              <w:t>v</w:t>
            </w:r>
            <w:r w:rsidR="00EB30DD" w:rsidRPr="00DB0E73">
              <w:t xml:space="preserve">irus </w:t>
            </w:r>
            <w:r w:rsidRPr="00DB0E73">
              <w:t>a</w:t>
            </w:r>
            <w:r w:rsidR="00EB30DD" w:rsidRPr="00DB0E73">
              <w:t>ntibody</w:t>
            </w:r>
          </w:p>
        </w:tc>
      </w:tr>
      <w:tr w:rsidR="00DB0E73" w:rsidTr="00EB30DD">
        <w:tc>
          <w:tcPr>
            <w:cnfStyle w:val="001000000000" w:firstRow="0" w:lastRow="0" w:firstColumn="1" w:lastColumn="0" w:oddVBand="0" w:evenVBand="0" w:oddHBand="0" w:evenHBand="0" w:firstRowFirstColumn="0" w:firstRowLastColumn="0" w:lastRowFirstColumn="0" w:lastRowLastColumn="0"/>
            <w:tcW w:w="2513" w:type="dxa"/>
          </w:tcPr>
          <w:p w:rsidR="00DB0E73" w:rsidRPr="00DB0E73" w:rsidRDefault="005E3FF4" w:rsidP="00DB0E73">
            <w:r>
              <w:t>HDL</w:t>
            </w:r>
          </w:p>
        </w:tc>
        <w:tc>
          <w:tcPr>
            <w:tcW w:w="6729" w:type="dxa"/>
          </w:tcPr>
          <w:p w:rsidR="00DB0E73" w:rsidRPr="00DB0E73" w:rsidRDefault="002F72E7" w:rsidP="002F72E7">
            <w:pPr>
              <w:cnfStyle w:val="000000000000" w:firstRow="0" w:lastRow="0" w:firstColumn="0" w:lastColumn="0" w:oddVBand="0" w:evenVBand="0" w:oddHBand="0" w:evenHBand="0" w:firstRowFirstColumn="0" w:firstRowLastColumn="0" w:lastRowFirstColumn="0" w:lastRowLastColumn="0"/>
            </w:pPr>
            <w:r w:rsidRPr="002F72E7">
              <w:t>H</w:t>
            </w:r>
            <w:r w:rsidR="00DB0E73" w:rsidRPr="00DB0E73">
              <w:t>igh</w:t>
            </w:r>
            <w:r>
              <w:t xml:space="preserve"> </w:t>
            </w:r>
            <w:r w:rsidR="00DB0E73" w:rsidRPr="00DB0E73">
              <w:t>density lipoprotein</w:t>
            </w:r>
          </w:p>
        </w:tc>
      </w:tr>
      <w:tr w:rsidR="00DB0E73" w:rsidTr="00EB30DD">
        <w:tc>
          <w:tcPr>
            <w:cnfStyle w:val="001000000000" w:firstRow="0" w:lastRow="0" w:firstColumn="1" w:lastColumn="0" w:oddVBand="0" w:evenVBand="0" w:oddHBand="0" w:evenHBand="0" w:firstRowFirstColumn="0" w:firstRowLastColumn="0" w:lastRowFirstColumn="0" w:lastRowLastColumn="0"/>
            <w:tcW w:w="2513" w:type="dxa"/>
          </w:tcPr>
          <w:p w:rsidR="00DB0E73" w:rsidRPr="00DB0E73" w:rsidRDefault="00DB0E73" w:rsidP="005E3FF4">
            <w:r w:rsidRPr="00DB0E73">
              <w:t>HIV</w:t>
            </w:r>
            <w:r w:rsidR="005E3FF4">
              <w:t>-1</w:t>
            </w:r>
          </w:p>
        </w:tc>
        <w:tc>
          <w:tcPr>
            <w:tcW w:w="6729" w:type="dxa"/>
          </w:tcPr>
          <w:p w:rsidR="00DB0E73" w:rsidRPr="00DB0E73" w:rsidRDefault="00DB0E73" w:rsidP="00DB0E73">
            <w:pPr>
              <w:cnfStyle w:val="000000000000" w:firstRow="0" w:lastRow="0" w:firstColumn="0" w:lastColumn="0" w:oddVBand="0" w:evenVBand="0" w:oddHBand="0" w:evenHBand="0" w:firstRowFirstColumn="0" w:firstRowLastColumn="0" w:lastRowFirstColumn="0" w:lastRowLastColumn="0"/>
            </w:pPr>
            <w:r w:rsidRPr="00DB0E73">
              <w:t>human immunodeficiency virus (type 1)</w:t>
            </w:r>
          </w:p>
        </w:tc>
      </w:tr>
      <w:tr w:rsidR="00DB0E73" w:rsidTr="00EB30DD">
        <w:tc>
          <w:tcPr>
            <w:cnfStyle w:val="001000000000" w:firstRow="0" w:lastRow="0" w:firstColumn="1" w:lastColumn="0" w:oddVBand="0" w:evenVBand="0" w:oddHBand="0" w:evenHBand="0" w:firstRowFirstColumn="0" w:firstRowLastColumn="0" w:lastRowFirstColumn="0" w:lastRowLastColumn="0"/>
            <w:tcW w:w="2513" w:type="dxa"/>
          </w:tcPr>
          <w:p w:rsidR="00DB0E73" w:rsidRPr="00DB0E73" w:rsidRDefault="005E3FF4" w:rsidP="00DB0E73">
            <w:r>
              <w:t>HLT</w:t>
            </w:r>
          </w:p>
        </w:tc>
        <w:tc>
          <w:tcPr>
            <w:tcW w:w="6729" w:type="dxa"/>
          </w:tcPr>
          <w:p w:rsidR="00DB0E73" w:rsidRPr="00DB0E73" w:rsidRDefault="00DB0E73" w:rsidP="00DB0E73">
            <w:pPr>
              <w:cnfStyle w:val="000000000000" w:firstRow="0" w:lastRow="0" w:firstColumn="0" w:lastColumn="0" w:oddVBand="0" w:evenVBand="0" w:oddHBand="0" w:evenHBand="0" w:firstRowFirstColumn="0" w:firstRowLastColumn="0" w:lastRowFirstColumn="0" w:lastRowLastColumn="0"/>
            </w:pPr>
            <w:r w:rsidRPr="00DB0E73">
              <w:t>higher level term</w:t>
            </w:r>
          </w:p>
        </w:tc>
      </w:tr>
      <w:tr w:rsidR="00DB0E73" w:rsidTr="00EB30DD">
        <w:tc>
          <w:tcPr>
            <w:cnfStyle w:val="001000000000" w:firstRow="0" w:lastRow="0" w:firstColumn="1" w:lastColumn="0" w:oddVBand="0" w:evenVBand="0" w:oddHBand="0" w:evenHBand="0" w:firstRowFirstColumn="0" w:firstRowLastColumn="0" w:lastRowFirstColumn="0" w:lastRowLastColumn="0"/>
            <w:tcW w:w="2513" w:type="dxa"/>
          </w:tcPr>
          <w:p w:rsidR="00DB0E73" w:rsidRPr="00DB0E73" w:rsidRDefault="00DB0E73" w:rsidP="00DB0E73">
            <w:r w:rsidRPr="00DB0E73">
              <w:t>INSTI</w:t>
            </w:r>
          </w:p>
        </w:tc>
        <w:tc>
          <w:tcPr>
            <w:tcW w:w="6729" w:type="dxa"/>
          </w:tcPr>
          <w:p w:rsidR="00DB0E73" w:rsidRPr="00DB0E73" w:rsidRDefault="00DB0E73" w:rsidP="00DB0E73">
            <w:pPr>
              <w:cnfStyle w:val="000000000000" w:firstRow="0" w:lastRow="0" w:firstColumn="0" w:lastColumn="0" w:oddVBand="0" w:evenVBand="0" w:oddHBand="0" w:evenHBand="0" w:firstRowFirstColumn="0" w:firstRowLastColumn="0" w:lastRowFirstColumn="0" w:lastRowLastColumn="0"/>
            </w:pPr>
            <w:r w:rsidRPr="00DB0E73">
              <w:t>integrase strand-transfer inhibitor</w:t>
            </w:r>
          </w:p>
        </w:tc>
      </w:tr>
      <w:tr w:rsidR="00DB0E73" w:rsidTr="00EB30DD">
        <w:tc>
          <w:tcPr>
            <w:cnfStyle w:val="001000000000" w:firstRow="0" w:lastRow="0" w:firstColumn="1" w:lastColumn="0" w:oddVBand="0" w:evenVBand="0" w:oddHBand="0" w:evenHBand="0" w:firstRowFirstColumn="0" w:firstRowLastColumn="0" w:lastRowFirstColumn="0" w:lastRowLastColumn="0"/>
            <w:tcW w:w="2513" w:type="dxa"/>
          </w:tcPr>
          <w:p w:rsidR="00DB0E73" w:rsidRPr="00DB0E73" w:rsidRDefault="005E3FF4" w:rsidP="00DB0E73">
            <w:r>
              <w:t>INSTI-R</w:t>
            </w:r>
          </w:p>
        </w:tc>
        <w:tc>
          <w:tcPr>
            <w:tcW w:w="6729" w:type="dxa"/>
          </w:tcPr>
          <w:p w:rsidR="00DB0E73" w:rsidRPr="00DB0E73" w:rsidRDefault="00DB0E73" w:rsidP="00DB0E73">
            <w:pPr>
              <w:cnfStyle w:val="000000000000" w:firstRow="0" w:lastRow="0" w:firstColumn="0" w:lastColumn="0" w:oddVBand="0" w:evenVBand="0" w:oddHBand="0" w:evenHBand="0" w:firstRowFirstColumn="0" w:firstRowLastColumn="0" w:lastRowFirstColumn="0" w:lastRowLastColumn="0"/>
            </w:pPr>
            <w:r w:rsidRPr="00DB0E73">
              <w:t>integrase strand-transfer inhibitor resistance</w:t>
            </w:r>
          </w:p>
        </w:tc>
      </w:tr>
      <w:tr w:rsidR="00DB0E73" w:rsidTr="00EB30DD">
        <w:tc>
          <w:tcPr>
            <w:cnfStyle w:val="001000000000" w:firstRow="0" w:lastRow="0" w:firstColumn="1" w:lastColumn="0" w:oddVBand="0" w:evenVBand="0" w:oddHBand="0" w:evenHBand="0" w:firstRowFirstColumn="0" w:firstRowLastColumn="0" w:lastRowFirstColumn="0" w:lastRowLastColumn="0"/>
            <w:tcW w:w="2513" w:type="dxa"/>
          </w:tcPr>
          <w:p w:rsidR="00DB0E73" w:rsidRPr="00DB0E73" w:rsidRDefault="005E3FF4" w:rsidP="00DB0E73">
            <w:r>
              <w:t>ITT</w:t>
            </w:r>
          </w:p>
        </w:tc>
        <w:tc>
          <w:tcPr>
            <w:tcW w:w="6729" w:type="dxa"/>
          </w:tcPr>
          <w:p w:rsidR="00DB0E73" w:rsidRPr="00DB0E73" w:rsidRDefault="002F72E7" w:rsidP="002F72E7">
            <w:pPr>
              <w:cnfStyle w:val="000000000000" w:firstRow="0" w:lastRow="0" w:firstColumn="0" w:lastColumn="0" w:oddVBand="0" w:evenVBand="0" w:oddHBand="0" w:evenHBand="0" w:firstRowFirstColumn="0" w:firstRowLastColumn="0" w:lastRowFirstColumn="0" w:lastRowLastColumn="0"/>
            </w:pPr>
            <w:r w:rsidRPr="00DB0E73">
              <w:t>I</w:t>
            </w:r>
            <w:r w:rsidR="00DB0E73" w:rsidRPr="00DB0E73">
              <w:t>ntent</w:t>
            </w:r>
            <w:r>
              <w:t xml:space="preserve"> </w:t>
            </w:r>
            <w:r w:rsidR="00DB0E73" w:rsidRPr="00DB0E73">
              <w:t>to</w:t>
            </w:r>
            <w:r>
              <w:t xml:space="preserve"> </w:t>
            </w:r>
            <w:r w:rsidR="00DB0E73" w:rsidRPr="00DB0E73">
              <w:t>treat</w:t>
            </w:r>
          </w:p>
        </w:tc>
      </w:tr>
      <w:tr w:rsidR="00DB0E73" w:rsidTr="00EB30DD">
        <w:tc>
          <w:tcPr>
            <w:cnfStyle w:val="001000000000" w:firstRow="0" w:lastRow="0" w:firstColumn="1" w:lastColumn="0" w:oddVBand="0" w:evenVBand="0" w:oddHBand="0" w:evenHBand="0" w:firstRowFirstColumn="0" w:firstRowLastColumn="0" w:lastRowFirstColumn="0" w:lastRowLastColumn="0"/>
            <w:tcW w:w="2513" w:type="dxa"/>
          </w:tcPr>
          <w:p w:rsidR="00DB0E73" w:rsidRPr="00DB0E73" w:rsidRDefault="005E3FF4" w:rsidP="00DB0E73">
            <w:r>
              <w:lastRenderedPageBreak/>
              <w:t>IVRS/IWRS</w:t>
            </w:r>
          </w:p>
        </w:tc>
        <w:tc>
          <w:tcPr>
            <w:tcW w:w="6729" w:type="dxa"/>
          </w:tcPr>
          <w:p w:rsidR="002F72E7" w:rsidRPr="00DB0E73" w:rsidRDefault="00DB0E73" w:rsidP="002F72E7">
            <w:pPr>
              <w:cnfStyle w:val="000000000000" w:firstRow="0" w:lastRow="0" w:firstColumn="0" w:lastColumn="0" w:oddVBand="0" w:evenVBand="0" w:oddHBand="0" w:evenHBand="0" w:firstRowFirstColumn="0" w:firstRowLastColumn="0" w:lastRowFirstColumn="0" w:lastRowLastColumn="0"/>
            </w:pPr>
            <w:r w:rsidRPr="00DB0E73">
              <w:t>interactive voice response system/interactive web response system</w:t>
            </w:r>
          </w:p>
        </w:tc>
      </w:tr>
      <w:tr w:rsidR="00DB0E73" w:rsidTr="00EB30DD">
        <w:tc>
          <w:tcPr>
            <w:cnfStyle w:val="001000000000" w:firstRow="0" w:lastRow="0" w:firstColumn="1" w:lastColumn="0" w:oddVBand="0" w:evenVBand="0" w:oddHBand="0" w:evenHBand="0" w:firstRowFirstColumn="0" w:firstRowLastColumn="0" w:lastRowFirstColumn="0" w:lastRowLastColumn="0"/>
            <w:tcW w:w="2513" w:type="dxa"/>
          </w:tcPr>
          <w:p w:rsidR="00DB0E73" w:rsidRPr="00DB0E73" w:rsidRDefault="005E3FF4" w:rsidP="00DB0E73">
            <w:r>
              <w:t>KM</w:t>
            </w:r>
          </w:p>
        </w:tc>
        <w:tc>
          <w:tcPr>
            <w:tcW w:w="6729" w:type="dxa"/>
          </w:tcPr>
          <w:p w:rsidR="00DB0E73" w:rsidRPr="00DB0E73" w:rsidRDefault="00DB0E73" w:rsidP="00DB0E73">
            <w:pPr>
              <w:cnfStyle w:val="000000000000" w:firstRow="0" w:lastRow="0" w:firstColumn="0" w:lastColumn="0" w:oddVBand="0" w:evenVBand="0" w:oddHBand="0" w:evenHBand="0" w:firstRowFirstColumn="0" w:firstRowLastColumn="0" w:lastRowFirstColumn="0" w:lastRowLastColumn="0"/>
            </w:pPr>
            <w:r w:rsidRPr="00DB0E73">
              <w:t>Kaplan-Meier</w:t>
            </w:r>
          </w:p>
        </w:tc>
      </w:tr>
      <w:tr w:rsidR="00DB0E73" w:rsidTr="00EB30DD">
        <w:tc>
          <w:tcPr>
            <w:cnfStyle w:val="001000000000" w:firstRow="0" w:lastRow="0" w:firstColumn="1" w:lastColumn="0" w:oddVBand="0" w:evenVBand="0" w:oddHBand="0" w:evenHBand="0" w:firstRowFirstColumn="0" w:firstRowLastColumn="0" w:lastRowFirstColumn="0" w:lastRowLastColumn="0"/>
            <w:tcW w:w="2513" w:type="dxa"/>
          </w:tcPr>
          <w:p w:rsidR="00DB0E73" w:rsidRPr="00DB0E73" w:rsidRDefault="005E3FF4" w:rsidP="00DB0E73">
            <w:r>
              <w:t>LDL</w:t>
            </w:r>
          </w:p>
        </w:tc>
        <w:tc>
          <w:tcPr>
            <w:tcW w:w="6729" w:type="dxa"/>
          </w:tcPr>
          <w:p w:rsidR="00DB0E73" w:rsidRPr="00DB0E73" w:rsidRDefault="00487D2B" w:rsidP="00487D2B">
            <w:pPr>
              <w:cnfStyle w:val="000000000000" w:firstRow="0" w:lastRow="0" w:firstColumn="0" w:lastColumn="0" w:oddVBand="0" w:evenVBand="0" w:oddHBand="0" w:evenHBand="0" w:firstRowFirstColumn="0" w:firstRowLastColumn="0" w:lastRowFirstColumn="0" w:lastRowLastColumn="0"/>
            </w:pPr>
            <w:r w:rsidRPr="00DB0E73">
              <w:t>L</w:t>
            </w:r>
            <w:r w:rsidR="00DB0E73" w:rsidRPr="00DB0E73">
              <w:t>ow</w:t>
            </w:r>
            <w:r>
              <w:t xml:space="preserve"> </w:t>
            </w:r>
            <w:r w:rsidR="00DB0E73" w:rsidRPr="00DB0E73">
              <w:t>density lipoprotein</w:t>
            </w:r>
          </w:p>
        </w:tc>
      </w:tr>
      <w:tr w:rsidR="00DB0E73" w:rsidTr="00EB30DD">
        <w:tc>
          <w:tcPr>
            <w:cnfStyle w:val="001000000000" w:firstRow="0" w:lastRow="0" w:firstColumn="1" w:lastColumn="0" w:oddVBand="0" w:evenVBand="0" w:oddHBand="0" w:evenHBand="0" w:firstRowFirstColumn="0" w:firstRowLastColumn="0" w:lastRowFirstColumn="0" w:lastRowLastColumn="0"/>
            <w:tcW w:w="2513" w:type="dxa"/>
          </w:tcPr>
          <w:p w:rsidR="00DB0E73" w:rsidRPr="00DB0E73" w:rsidRDefault="005E3FF4" w:rsidP="00DB0E73">
            <w:r>
              <w:t>LOCF</w:t>
            </w:r>
          </w:p>
        </w:tc>
        <w:tc>
          <w:tcPr>
            <w:tcW w:w="6729" w:type="dxa"/>
          </w:tcPr>
          <w:p w:rsidR="00DB0E73" w:rsidRPr="00DB0E73" w:rsidRDefault="00DB0E73" w:rsidP="00DB0E73">
            <w:pPr>
              <w:cnfStyle w:val="000000000000" w:firstRow="0" w:lastRow="0" w:firstColumn="0" w:lastColumn="0" w:oddVBand="0" w:evenVBand="0" w:oddHBand="0" w:evenHBand="0" w:firstRowFirstColumn="0" w:firstRowLastColumn="0" w:lastRowFirstColumn="0" w:lastRowLastColumn="0"/>
            </w:pPr>
            <w:r w:rsidRPr="00DB0E73">
              <w:t>last observation carried forward</w:t>
            </w:r>
          </w:p>
        </w:tc>
      </w:tr>
      <w:tr w:rsidR="00DB0E73" w:rsidTr="00EB30DD">
        <w:tc>
          <w:tcPr>
            <w:cnfStyle w:val="001000000000" w:firstRow="0" w:lastRow="0" w:firstColumn="1" w:lastColumn="0" w:oddVBand="0" w:evenVBand="0" w:oddHBand="0" w:evenHBand="0" w:firstRowFirstColumn="0" w:firstRowLastColumn="0" w:lastRowFirstColumn="0" w:lastRowLastColumn="0"/>
            <w:tcW w:w="2513" w:type="dxa"/>
          </w:tcPr>
          <w:p w:rsidR="00DB0E73" w:rsidRPr="00DB0E73" w:rsidRDefault="005E3FF4" w:rsidP="00DB0E73">
            <w:r>
              <w:t>LPV</w:t>
            </w:r>
          </w:p>
        </w:tc>
        <w:tc>
          <w:tcPr>
            <w:tcW w:w="6729" w:type="dxa"/>
          </w:tcPr>
          <w:p w:rsidR="00DB0E73" w:rsidRPr="00DB0E73" w:rsidRDefault="00DB0E73" w:rsidP="00DB0E73">
            <w:pPr>
              <w:cnfStyle w:val="000000000000" w:firstRow="0" w:lastRow="0" w:firstColumn="0" w:lastColumn="0" w:oddVBand="0" w:evenVBand="0" w:oddHBand="0" w:evenHBand="0" w:firstRowFirstColumn="0" w:firstRowLastColumn="0" w:lastRowFirstColumn="0" w:lastRowLastColumn="0"/>
            </w:pPr>
            <w:r w:rsidRPr="00DB0E73">
              <w:t>Lopinavir</w:t>
            </w:r>
          </w:p>
        </w:tc>
      </w:tr>
      <w:tr w:rsidR="00DB0E73" w:rsidTr="00EB30DD">
        <w:tc>
          <w:tcPr>
            <w:cnfStyle w:val="001000000000" w:firstRow="0" w:lastRow="0" w:firstColumn="1" w:lastColumn="0" w:oddVBand="0" w:evenVBand="0" w:oddHBand="0" w:evenHBand="0" w:firstRowFirstColumn="0" w:firstRowLastColumn="0" w:lastRowFirstColumn="0" w:lastRowLastColumn="0"/>
            <w:tcW w:w="2513" w:type="dxa"/>
          </w:tcPr>
          <w:p w:rsidR="00DB0E73" w:rsidRPr="00DB0E73" w:rsidRDefault="00DB0E73" w:rsidP="00DB0E73">
            <w:r w:rsidRPr="00DB0E73">
              <w:t xml:space="preserve">LSM </w:t>
            </w:r>
          </w:p>
        </w:tc>
        <w:tc>
          <w:tcPr>
            <w:tcW w:w="6729" w:type="dxa"/>
          </w:tcPr>
          <w:p w:rsidR="00DB0E73" w:rsidRPr="00DB0E73" w:rsidRDefault="00DB0E73" w:rsidP="00DB0E73">
            <w:pPr>
              <w:cnfStyle w:val="000000000000" w:firstRow="0" w:lastRow="0" w:firstColumn="0" w:lastColumn="0" w:oddVBand="0" w:evenVBand="0" w:oddHBand="0" w:evenHBand="0" w:firstRowFirstColumn="0" w:firstRowLastColumn="0" w:lastRowFirstColumn="0" w:lastRowLastColumn="0"/>
            </w:pPr>
            <w:r w:rsidRPr="00DB0E73">
              <w:t>least-squares means</w:t>
            </w:r>
          </w:p>
        </w:tc>
      </w:tr>
      <w:tr w:rsidR="00DB0E73" w:rsidTr="00EB30DD">
        <w:tc>
          <w:tcPr>
            <w:cnfStyle w:val="001000000000" w:firstRow="0" w:lastRow="0" w:firstColumn="1" w:lastColumn="0" w:oddVBand="0" w:evenVBand="0" w:oddHBand="0" w:evenHBand="0" w:firstRowFirstColumn="0" w:firstRowLastColumn="0" w:lastRowFirstColumn="0" w:lastRowLastColumn="0"/>
            <w:tcW w:w="2513" w:type="dxa"/>
          </w:tcPr>
          <w:p w:rsidR="00DB0E73" w:rsidRPr="00DB0E73" w:rsidRDefault="005E3FF4" w:rsidP="00DB0E73">
            <w:r>
              <w:t>M = E</w:t>
            </w:r>
          </w:p>
        </w:tc>
        <w:tc>
          <w:tcPr>
            <w:tcW w:w="6729" w:type="dxa"/>
          </w:tcPr>
          <w:p w:rsidR="00DB0E73" w:rsidRPr="00DB0E73" w:rsidRDefault="00DB0E73" w:rsidP="00DB0E73">
            <w:pPr>
              <w:cnfStyle w:val="000000000000" w:firstRow="0" w:lastRow="0" w:firstColumn="0" w:lastColumn="0" w:oddVBand="0" w:evenVBand="0" w:oddHBand="0" w:evenHBand="0" w:firstRowFirstColumn="0" w:firstRowLastColumn="0" w:lastRowFirstColumn="0" w:lastRowLastColumn="0"/>
            </w:pPr>
            <w:r w:rsidRPr="00DB0E73">
              <w:t>missing equals excluded</w:t>
            </w:r>
          </w:p>
        </w:tc>
      </w:tr>
      <w:tr w:rsidR="00DB0E73" w:rsidTr="00EB30DD">
        <w:tc>
          <w:tcPr>
            <w:cnfStyle w:val="001000000000" w:firstRow="0" w:lastRow="0" w:firstColumn="1" w:lastColumn="0" w:oddVBand="0" w:evenVBand="0" w:oddHBand="0" w:evenHBand="0" w:firstRowFirstColumn="0" w:firstRowLastColumn="0" w:lastRowFirstColumn="0" w:lastRowLastColumn="0"/>
            <w:tcW w:w="2513" w:type="dxa"/>
          </w:tcPr>
          <w:p w:rsidR="00DB0E73" w:rsidRPr="00DB0E73" w:rsidRDefault="005E3FF4" w:rsidP="00DB0E73">
            <w:r>
              <w:t>M = F</w:t>
            </w:r>
          </w:p>
        </w:tc>
        <w:tc>
          <w:tcPr>
            <w:tcW w:w="6729" w:type="dxa"/>
          </w:tcPr>
          <w:p w:rsidR="00DB0E73" w:rsidRPr="00DB0E73" w:rsidRDefault="00DB0E73" w:rsidP="00DB0E73">
            <w:pPr>
              <w:cnfStyle w:val="000000000000" w:firstRow="0" w:lastRow="0" w:firstColumn="0" w:lastColumn="0" w:oddVBand="0" w:evenVBand="0" w:oddHBand="0" w:evenHBand="0" w:firstRowFirstColumn="0" w:firstRowLastColumn="0" w:lastRowFirstColumn="0" w:lastRowLastColumn="0"/>
            </w:pPr>
            <w:r w:rsidRPr="00DB0E73">
              <w:t>missing equals failure</w:t>
            </w:r>
          </w:p>
        </w:tc>
      </w:tr>
      <w:tr w:rsidR="00DB0E73" w:rsidTr="00EB30DD">
        <w:tc>
          <w:tcPr>
            <w:cnfStyle w:val="001000000000" w:firstRow="0" w:lastRow="0" w:firstColumn="1" w:lastColumn="0" w:oddVBand="0" w:evenVBand="0" w:oddHBand="0" w:evenHBand="0" w:firstRowFirstColumn="0" w:firstRowLastColumn="0" w:lastRowFirstColumn="0" w:lastRowLastColumn="0"/>
            <w:tcW w:w="2513" w:type="dxa"/>
          </w:tcPr>
          <w:p w:rsidR="00DB0E73" w:rsidRPr="00DB0E73" w:rsidRDefault="005E3FF4" w:rsidP="00DB0E73">
            <w:r>
              <w:t>MDRD</w:t>
            </w:r>
          </w:p>
        </w:tc>
        <w:tc>
          <w:tcPr>
            <w:tcW w:w="6729" w:type="dxa"/>
          </w:tcPr>
          <w:p w:rsidR="00DB0E73" w:rsidRPr="00DB0E73" w:rsidRDefault="00DB0E73" w:rsidP="00DB0E73">
            <w:pPr>
              <w:cnfStyle w:val="000000000000" w:firstRow="0" w:lastRow="0" w:firstColumn="0" w:lastColumn="0" w:oddVBand="0" w:evenVBand="0" w:oddHBand="0" w:evenHBand="0" w:firstRowFirstColumn="0" w:firstRowLastColumn="0" w:lastRowFirstColumn="0" w:lastRowLastColumn="0"/>
            </w:pPr>
            <w:r w:rsidRPr="00DB0E73">
              <w:t>Modification of Diet in Renal Disease</w:t>
            </w:r>
          </w:p>
        </w:tc>
      </w:tr>
      <w:tr w:rsidR="007C2D31" w:rsidTr="00EB30DD">
        <w:tc>
          <w:tcPr>
            <w:cnfStyle w:val="001000000000" w:firstRow="0" w:lastRow="0" w:firstColumn="1" w:lastColumn="0" w:oddVBand="0" w:evenVBand="0" w:oddHBand="0" w:evenHBand="0" w:firstRowFirstColumn="0" w:firstRowLastColumn="0" w:lastRowFirstColumn="0" w:lastRowLastColumn="0"/>
            <w:tcW w:w="2513" w:type="dxa"/>
          </w:tcPr>
          <w:p w:rsidR="007C2D31" w:rsidRPr="007C2D31" w:rsidRDefault="005E3FF4" w:rsidP="007C2D31">
            <w:r>
              <w:t>MH</w:t>
            </w:r>
          </w:p>
        </w:tc>
        <w:tc>
          <w:tcPr>
            <w:tcW w:w="6729" w:type="dxa"/>
          </w:tcPr>
          <w:p w:rsidR="007C2D31" w:rsidRPr="007C2D31" w:rsidRDefault="007C2D31" w:rsidP="007C2D31">
            <w:pPr>
              <w:cnfStyle w:val="000000000000" w:firstRow="0" w:lastRow="0" w:firstColumn="0" w:lastColumn="0" w:oddVBand="0" w:evenVBand="0" w:oddHBand="0" w:evenHBand="0" w:firstRowFirstColumn="0" w:firstRowLastColumn="0" w:lastRowFirstColumn="0" w:lastRowLastColumn="0"/>
            </w:pPr>
            <w:r w:rsidRPr="007C2D31">
              <w:t>Mantel-Haenszel</w:t>
            </w:r>
          </w:p>
        </w:tc>
      </w:tr>
      <w:tr w:rsidR="007C2D31" w:rsidTr="00EB30DD">
        <w:tc>
          <w:tcPr>
            <w:cnfStyle w:val="001000000000" w:firstRow="0" w:lastRow="0" w:firstColumn="1" w:lastColumn="0" w:oddVBand="0" w:evenVBand="0" w:oddHBand="0" w:evenHBand="0" w:firstRowFirstColumn="0" w:firstRowLastColumn="0" w:lastRowFirstColumn="0" w:lastRowLastColumn="0"/>
            <w:tcW w:w="2513" w:type="dxa"/>
          </w:tcPr>
          <w:p w:rsidR="007C2D31" w:rsidRPr="007C2D31" w:rsidRDefault="005E3FF4" w:rsidP="007C2D31">
            <w:r>
              <w:t>NNRTI</w:t>
            </w:r>
          </w:p>
        </w:tc>
        <w:tc>
          <w:tcPr>
            <w:tcW w:w="6729" w:type="dxa"/>
          </w:tcPr>
          <w:p w:rsidR="007C2D31" w:rsidRPr="007C2D31" w:rsidRDefault="007C2D31" w:rsidP="007C2D31">
            <w:pPr>
              <w:cnfStyle w:val="000000000000" w:firstRow="0" w:lastRow="0" w:firstColumn="0" w:lastColumn="0" w:oddVBand="0" w:evenVBand="0" w:oddHBand="0" w:evenHBand="0" w:firstRowFirstColumn="0" w:firstRowLastColumn="0" w:lastRowFirstColumn="0" w:lastRowLastColumn="0"/>
            </w:pPr>
            <w:r w:rsidRPr="007C2D31">
              <w:t>nonnucleoside reverse transcriptase inhibitor</w:t>
            </w:r>
          </w:p>
        </w:tc>
      </w:tr>
      <w:tr w:rsidR="007C2D31" w:rsidTr="00EB30DD">
        <w:tc>
          <w:tcPr>
            <w:cnfStyle w:val="001000000000" w:firstRow="0" w:lastRow="0" w:firstColumn="1" w:lastColumn="0" w:oddVBand="0" w:evenVBand="0" w:oddHBand="0" w:evenHBand="0" w:firstRowFirstColumn="0" w:firstRowLastColumn="0" w:lastRowFirstColumn="0" w:lastRowLastColumn="0"/>
            <w:tcW w:w="2513" w:type="dxa"/>
          </w:tcPr>
          <w:p w:rsidR="007C2D31" w:rsidRPr="007C2D31" w:rsidRDefault="005E3FF4" w:rsidP="007C2D31">
            <w:r>
              <w:t>NNRTI-R</w:t>
            </w:r>
          </w:p>
        </w:tc>
        <w:tc>
          <w:tcPr>
            <w:tcW w:w="6729" w:type="dxa"/>
          </w:tcPr>
          <w:p w:rsidR="007C2D31" w:rsidRPr="007C2D31" w:rsidRDefault="007C2D31" w:rsidP="007C2D31">
            <w:pPr>
              <w:cnfStyle w:val="000000000000" w:firstRow="0" w:lastRow="0" w:firstColumn="0" w:lastColumn="0" w:oddVBand="0" w:evenVBand="0" w:oddHBand="0" w:evenHBand="0" w:firstRowFirstColumn="0" w:firstRowLastColumn="0" w:lastRowFirstColumn="0" w:lastRowLastColumn="0"/>
            </w:pPr>
            <w:r w:rsidRPr="007C2D31">
              <w:t>nonnucleoside reverse transcriptase inhibitor resistance</w:t>
            </w:r>
          </w:p>
        </w:tc>
      </w:tr>
      <w:tr w:rsidR="007C2D31" w:rsidTr="00EB30DD">
        <w:tc>
          <w:tcPr>
            <w:cnfStyle w:val="001000000000" w:firstRow="0" w:lastRow="0" w:firstColumn="1" w:lastColumn="0" w:oddVBand="0" w:evenVBand="0" w:oddHBand="0" w:evenHBand="0" w:firstRowFirstColumn="0" w:firstRowLastColumn="0" w:lastRowFirstColumn="0" w:lastRowLastColumn="0"/>
            <w:tcW w:w="2513" w:type="dxa"/>
          </w:tcPr>
          <w:p w:rsidR="007C2D31" w:rsidRPr="007C2D31" w:rsidRDefault="007C2D31" w:rsidP="007C2D31">
            <w:r w:rsidRPr="007C2D31">
              <w:t>NRTI</w:t>
            </w:r>
          </w:p>
        </w:tc>
        <w:tc>
          <w:tcPr>
            <w:tcW w:w="6729" w:type="dxa"/>
          </w:tcPr>
          <w:p w:rsidR="007C2D31" w:rsidRPr="007C2D31" w:rsidRDefault="007C2D31" w:rsidP="007C2D31">
            <w:pPr>
              <w:cnfStyle w:val="000000000000" w:firstRow="0" w:lastRow="0" w:firstColumn="0" w:lastColumn="0" w:oddVBand="0" w:evenVBand="0" w:oddHBand="0" w:evenHBand="0" w:firstRowFirstColumn="0" w:firstRowLastColumn="0" w:lastRowFirstColumn="0" w:lastRowLastColumn="0"/>
            </w:pPr>
            <w:r w:rsidRPr="007C2D31">
              <w:t>nucleoside or nucleotide reverse transcriptase inhibitor</w:t>
            </w:r>
          </w:p>
        </w:tc>
      </w:tr>
      <w:tr w:rsidR="007C2D31" w:rsidTr="00EB30DD">
        <w:tc>
          <w:tcPr>
            <w:cnfStyle w:val="001000000000" w:firstRow="0" w:lastRow="0" w:firstColumn="1" w:lastColumn="0" w:oddVBand="0" w:evenVBand="0" w:oddHBand="0" w:evenHBand="0" w:firstRowFirstColumn="0" w:firstRowLastColumn="0" w:lastRowFirstColumn="0" w:lastRowLastColumn="0"/>
            <w:tcW w:w="2513" w:type="dxa"/>
          </w:tcPr>
          <w:p w:rsidR="007C2D31" w:rsidRPr="007C2D31" w:rsidRDefault="005E3FF4" w:rsidP="007C2D31">
            <w:r>
              <w:t>NRTI-R</w:t>
            </w:r>
          </w:p>
        </w:tc>
        <w:tc>
          <w:tcPr>
            <w:tcW w:w="6729" w:type="dxa"/>
          </w:tcPr>
          <w:p w:rsidR="007C2D31" w:rsidRPr="007C2D31" w:rsidRDefault="007C2D31" w:rsidP="007C2D31">
            <w:pPr>
              <w:cnfStyle w:val="000000000000" w:firstRow="0" w:lastRow="0" w:firstColumn="0" w:lastColumn="0" w:oddVBand="0" w:evenVBand="0" w:oddHBand="0" w:evenHBand="0" w:firstRowFirstColumn="0" w:firstRowLastColumn="0" w:lastRowFirstColumn="0" w:lastRowLastColumn="0"/>
            </w:pPr>
            <w:r w:rsidRPr="007C2D31">
              <w:t>nucleoside or nucleotide reverse transcriptase inhibitor resistance</w:t>
            </w:r>
          </w:p>
        </w:tc>
      </w:tr>
      <w:tr w:rsidR="007C2D31" w:rsidTr="00EB30DD">
        <w:tc>
          <w:tcPr>
            <w:cnfStyle w:val="001000000000" w:firstRow="0" w:lastRow="0" w:firstColumn="1" w:lastColumn="0" w:oddVBand="0" w:evenVBand="0" w:oddHBand="0" w:evenHBand="0" w:firstRowFirstColumn="0" w:firstRowLastColumn="0" w:lastRowFirstColumn="0" w:lastRowLastColumn="0"/>
            <w:tcW w:w="2513" w:type="dxa"/>
          </w:tcPr>
          <w:p w:rsidR="007C2D31" w:rsidRPr="007C2D31" w:rsidRDefault="005E3FF4" w:rsidP="007C2D31">
            <w:r>
              <w:t>NVP</w:t>
            </w:r>
          </w:p>
        </w:tc>
        <w:tc>
          <w:tcPr>
            <w:tcW w:w="6729" w:type="dxa"/>
          </w:tcPr>
          <w:p w:rsidR="007C2D31" w:rsidRPr="007C2D31" w:rsidRDefault="007C2D31" w:rsidP="007C2D31">
            <w:pPr>
              <w:cnfStyle w:val="000000000000" w:firstRow="0" w:lastRow="0" w:firstColumn="0" w:lastColumn="0" w:oddVBand="0" w:evenVBand="0" w:oddHBand="0" w:evenHBand="0" w:firstRowFirstColumn="0" w:firstRowLastColumn="0" w:lastRowFirstColumn="0" w:lastRowLastColumn="0"/>
            </w:pPr>
            <w:r w:rsidRPr="007C2D31">
              <w:t>nevirapine</w:t>
            </w:r>
          </w:p>
        </w:tc>
      </w:tr>
      <w:tr w:rsidR="007C2D31" w:rsidTr="00EB30DD">
        <w:tc>
          <w:tcPr>
            <w:cnfStyle w:val="001000000000" w:firstRow="0" w:lastRow="0" w:firstColumn="1" w:lastColumn="0" w:oddVBand="0" w:evenVBand="0" w:oddHBand="0" w:evenHBand="0" w:firstRowFirstColumn="0" w:firstRowLastColumn="0" w:lastRowFirstColumn="0" w:lastRowLastColumn="0"/>
            <w:tcW w:w="2513" w:type="dxa"/>
          </w:tcPr>
          <w:p w:rsidR="007C2D31" w:rsidRPr="007C2D31" w:rsidRDefault="005E3FF4" w:rsidP="007C2D31">
            <w:r>
              <w:t>PD</w:t>
            </w:r>
          </w:p>
        </w:tc>
        <w:tc>
          <w:tcPr>
            <w:tcW w:w="6729" w:type="dxa"/>
          </w:tcPr>
          <w:p w:rsidR="007C2D31" w:rsidRPr="007C2D31" w:rsidRDefault="007C2D31" w:rsidP="007C2D31">
            <w:pPr>
              <w:cnfStyle w:val="000000000000" w:firstRow="0" w:lastRow="0" w:firstColumn="0" w:lastColumn="0" w:oddVBand="0" w:evenVBand="0" w:oddHBand="0" w:evenHBand="0" w:firstRowFirstColumn="0" w:firstRowLastColumn="0" w:lastRowFirstColumn="0" w:lastRowLastColumn="0"/>
            </w:pPr>
            <w:r w:rsidRPr="007C2D31">
              <w:t>pharmacodynamic</w:t>
            </w:r>
          </w:p>
        </w:tc>
      </w:tr>
      <w:tr w:rsidR="007C2D31" w:rsidTr="00EB30DD">
        <w:tc>
          <w:tcPr>
            <w:cnfStyle w:val="001000000000" w:firstRow="0" w:lastRow="0" w:firstColumn="1" w:lastColumn="0" w:oddVBand="0" w:evenVBand="0" w:oddHBand="0" w:evenHBand="0" w:firstRowFirstColumn="0" w:firstRowLastColumn="0" w:lastRowFirstColumn="0" w:lastRowLastColumn="0"/>
            <w:tcW w:w="2513" w:type="dxa"/>
          </w:tcPr>
          <w:p w:rsidR="007C2D31" w:rsidRPr="007C2D31" w:rsidRDefault="005E3FF4" w:rsidP="007C2D31">
            <w:r>
              <w:t>PI</w:t>
            </w:r>
          </w:p>
        </w:tc>
        <w:tc>
          <w:tcPr>
            <w:tcW w:w="6729" w:type="dxa"/>
          </w:tcPr>
          <w:p w:rsidR="007C2D31" w:rsidRPr="007C2D31" w:rsidRDefault="007C2D31" w:rsidP="007C2D31">
            <w:pPr>
              <w:cnfStyle w:val="000000000000" w:firstRow="0" w:lastRow="0" w:firstColumn="0" w:lastColumn="0" w:oddVBand="0" w:evenVBand="0" w:oddHBand="0" w:evenHBand="0" w:firstRowFirstColumn="0" w:firstRowLastColumn="0" w:lastRowFirstColumn="0" w:lastRowLastColumn="0"/>
            </w:pPr>
            <w:r w:rsidRPr="007C2D31">
              <w:t>product information</w:t>
            </w:r>
          </w:p>
        </w:tc>
      </w:tr>
      <w:tr w:rsidR="007C2D31" w:rsidTr="00EB30DD">
        <w:tc>
          <w:tcPr>
            <w:cnfStyle w:val="001000000000" w:firstRow="0" w:lastRow="0" w:firstColumn="1" w:lastColumn="0" w:oddVBand="0" w:evenVBand="0" w:oddHBand="0" w:evenHBand="0" w:firstRowFirstColumn="0" w:firstRowLastColumn="0" w:lastRowFirstColumn="0" w:lastRowLastColumn="0"/>
            <w:tcW w:w="2513" w:type="dxa"/>
          </w:tcPr>
          <w:p w:rsidR="007C2D31" w:rsidRPr="007C2D31" w:rsidRDefault="005E3FF4" w:rsidP="00AC23A4">
            <w:r>
              <w:t>P</w:t>
            </w:r>
            <w:r w:rsidR="00AC23A4">
              <w:t>I</w:t>
            </w:r>
            <w:r>
              <w:t>n</w:t>
            </w:r>
          </w:p>
        </w:tc>
        <w:tc>
          <w:tcPr>
            <w:tcW w:w="6729" w:type="dxa"/>
          </w:tcPr>
          <w:p w:rsidR="007C2D31" w:rsidRPr="007C2D31" w:rsidRDefault="007C2D31" w:rsidP="007C2D31">
            <w:pPr>
              <w:cnfStyle w:val="000000000000" w:firstRow="0" w:lastRow="0" w:firstColumn="0" w:lastColumn="0" w:oddVBand="0" w:evenVBand="0" w:oddHBand="0" w:evenHBand="0" w:firstRowFirstColumn="0" w:firstRowLastColumn="0" w:lastRowFirstColumn="0" w:lastRowLastColumn="0"/>
            </w:pPr>
            <w:r w:rsidRPr="007C2D31">
              <w:t>protease inhibitor</w:t>
            </w:r>
          </w:p>
        </w:tc>
      </w:tr>
      <w:tr w:rsidR="007C2D31" w:rsidTr="00EB30DD">
        <w:tc>
          <w:tcPr>
            <w:cnfStyle w:val="001000000000" w:firstRow="0" w:lastRow="0" w:firstColumn="1" w:lastColumn="0" w:oddVBand="0" w:evenVBand="0" w:oddHBand="0" w:evenHBand="0" w:firstRowFirstColumn="0" w:firstRowLastColumn="0" w:lastRowFirstColumn="0" w:lastRowLastColumn="0"/>
            <w:tcW w:w="2513" w:type="dxa"/>
          </w:tcPr>
          <w:p w:rsidR="007C2D31" w:rsidRPr="007C2D31" w:rsidRDefault="005E3FF4" w:rsidP="007C2D31">
            <w:r>
              <w:t>PI-R</w:t>
            </w:r>
          </w:p>
        </w:tc>
        <w:tc>
          <w:tcPr>
            <w:tcW w:w="6729" w:type="dxa"/>
          </w:tcPr>
          <w:p w:rsidR="007C2D31" w:rsidRPr="007C2D31" w:rsidRDefault="007C2D31" w:rsidP="007C2D31">
            <w:pPr>
              <w:cnfStyle w:val="000000000000" w:firstRow="0" w:lastRow="0" w:firstColumn="0" w:lastColumn="0" w:oddVBand="0" w:evenVBand="0" w:oddHBand="0" w:evenHBand="0" w:firstRowFirstColumn="0" w:firstRowLastColumn="0" w:lastRowFirstColumn="0" w:lastRowLastColumn="0"/>
            </w:pPr>
            <w:r w:rsidRPr="007C2D31">
              <w:t>protease inhibitor resistance</w:t>
            </w:r>
          </w:p>
        </w:tc>
      </w:tr>
      <w:tr w:rsidR="007C2D31" w:rsidTr="00EB30DD">
        <w:tc>
          <w:tcPr>
            <w:cnfStyle w:val="001000000000" w:firstRow="0" w:lastRow="0" w:firstColumn="1" w:lastColumn="0" w:oddVBand="0" w:evenVBand="0" w:oddHBand="0" w:evenHBand="0" w:firstRowFirstColumn="0" w:firstRowLastColumn="0" w:lastRowFirstColumn="0" w:lastRowLastColumn="0"/>
            <w:tcW w:w="2513" w:type="dxa"/>
          </w:tcPr>
          <w:p w:rsidR="007C2D31" w:rsidRPr="007C2D31" w:rsidRDefault="005E3FF4" w:rsidP="007C2D31">
            <w:r>
              <w:t>PK</w:t>
            </w:r>
          </w:p>
        </w:tc>
        <w:tc>
          <w:tcPr>
            <w:tcW w:w="6729" w:type="dxa"/>
          </w:tcPr>
          <w:p w:rsidR="007C2D31" w:rsidRPr="007C2D31" w:rsidRDefault="007C2D31" w:rsidP="007C2D31">
            <w:pPr>
              <w:cnfStyle w:val="000000000000" w:firstRow="0" w:lastRow="0" w:firstColumn="0" w:lastColumn="0" w:oddVBand="0" w:evenVBand="0" w:oddHBand="0" w:evenHBand="0" w:firstRowFirstColumn="0" w:firstRowLastColumn="0" w:lastRowFirstColumn="0" w:lastRowLastColumn="0"/>
            </w:pPr>
            <w:r w:rsidRPr="007C2D31">
              <w:t>pharmacokinetic(s)</w:t>
            </w:r>
          </w:p>
        </w:tc>
      </w:tr>
      <w:tr w:rsidR="007C2D31" w:rsidTr="00EB30DD">
        <w:tc>
          <w:tcPr>
            <w:cnfStyle w:val="001000000000" w:firstRow="0" w:lastRow="0" w:firstColumn="1" w:lastColumn="0" w:oddVBand="0" w:evenVBand="0" w:oddHBand="0" w:evenHBand="0" w:firstRowFirstColumn="0" w:firstRowLastColumn="0" w:lastRowFirstColumn="0" w:lastRowLastColumn="0"/>
            <w:tcW w:w="2513" w:type="dxa"/>
          </w:tcPr>
          <w:p w:rsidR="007C2D31" w:rsidRPr="007C2D31" w:rsidRDefault="005E3FF4" w:rsidP="005E3FF4">
            <w:r>
              <w:t>PPS</w:t>
            </w:r>
          </w:p>
        </w:tc>
        <w:tc>
          <w:tcPr>
            <w:tcW w:w="6729" w:type="dxa"/>
          </w:tcPr>
          <w:p w:rsidR="007C2D31" w:rsidRPr="007C2D31" w:rsidRDefault="007C2D31" w:rsidP="007C2D31">
            <w:pPr>
              <w:cnfStyle w:val="000000000000" w:firstRow="0" w:lastRow="0" w:firstColumn="0" w:lastColumn="0" w:oddVBand="0" w:evenVBand="0" w:oddHBand="0" w:evenHBand="0" w:firstRowFirstColumn="0" w:firstRowLastColumn="0" w:lastRowFirstColumn="0" w:lastRowLastColumn="0"/>
            </w:pPr>
            <w:r w:rsidRPr="007C2D31">
              <w:t>per protocol set</w:t>
            </w:r>
          </w:p>
        </w:tc>
      </w:tr>
      <w:tr w:rsidR="007C2D31" w:rsidTr="00EB30DD">
        <w:tc>
          <w:tcPr>
            <w:cnfStyle w:val="001000000000" w:firstRow="0" w:lastRow="0" w:firstColumn="1" w:lastColumn="0" w:oddVBand="0" w:evenVBand="0" w:oddHBand="0" w:evenHBand="0" w:firstRowFirstColumn="0" w:firstRowLastColumn="0" w:lastRowFirstColumn="0" w:lastRowLastColumn="0"/>
            <w:tcW w:w="2513" w:type="dxa"/>
          </w:tcPr>
          <w:p w:rsidR="007C2D31" w:rsidRPr="007C2D31" w:rsidRDefault="005E3FF4" w:rsidP="007C2D31">
            <w:r>
              <w:t>PR</w:t>
            </w:r>
          </w:p>
        </w:tc>
        <w:tc>
          <w:tcPr>
            <w:tcW w:w="6729" w:type="dxa"/>
          </w:tcPr>
          <w:p w:rsidR="007C2D31" w:rsidRPr="007C2D31" w:rsidRDefault="007C2D31" w:rsidP="007C2D31">
            <w:pPr>
              <w:cnfStyle w:val="000000000000" w:firstRow="0" w:lastRow="0" w:firstColumn="0" w:lastColumn="0" w:oddVBand="0" w:evenVBand="0" w:oddHBand="0" w:evenHBand="0" w:firstRowFirstColumn="0" w:firstRowLastColumn="0" w:lastRowFirstColumn="0" w:lastRowLastColumn="0"/>
            </w:pPr>
            <w:r w:rsidRPr="007C2D31">
              <w:t>protease</w:t>
            </w:r>
          </w:p>
        </w:tc>
      </w:tr>
      <w:tr w:rsidR="007C2D31" w:rsidTr="00EB30DD">
        <w:tc>
          <w:tcPr>
            <w:cnfStyle w:val="001000000000" w:firstRow="0" w:lastRow="0" w:firstColumn="1" w:lastColumn="0" w:oddVBand="0" w:evenVBand="0" w:oddHBand="0" w:evenHBand="0" w:firstRowFirstColumn="0" w:firstRowLastColumn="0" w:lastRowFirstColumn="0" w:lastRowLastColumn="0"/>
            <w:tcW w:w="2513" w:type="dxa"/>
          </w:tcPr>
          <w:p w:rsidR="007C2D31" w:rsidRPr="007C2D31" w:rsidRDefault="005E3FF4" w:rsidP="007C2D31">
            <w:r>
              <w:t>PROs</w:t>
            </w:r>
          </w:p>
        </w:tc>
        <w:tc>
          <w:tcPr>
            <w:tcW w:w="6729" w:type="dxa"/>
          </w:tcPr>
          <w:p w:rsidR="007C2D31" w:rsidRPr="007C2D31" w:rsidRDefault="00683527" w:rsidP="00683527">
            <w:pPr>
              <w:cnfStyle w:val="000000000000" w:firstRow="0" w:lastRow="0" w:firstColumn="0" w:lastColumn="0" w:oddVBand="0" w:evenVBand="0" w:oddHBand="0" w:evenHBand="0" w:firstRowFirstColumn="0" w:firstRowLastColumn="0" w:lastRowFirstColumn="0" w:lastRowLastColumn="0"/>
            </w:pPr>
            <w:r>
              <w:t xml:space="preserve">patient </w:t>
            </w:r>
            <w:r w:rsidR="007C2D31" w:rsidRPr="007C2D31">
              <w:t>reported outcomes</w:t>
            </w:r>
          </w:p>
        </w:tc>
      </w:tr>
      <w:tr w:rsidR="007C2D31" w:rsidTr="00EB30DD">
        <w:tc>
          <w:tcPr>
            <w:cnfStyle w:val="001000000000" w:firstRow="0" w:lastRow="0" w:firstColumn="1" w:lastColumn="0" w:oddVBand="0" w:evenVBand="0" w:oddHBand="0" w:evenHBand="0" w:firstRowFirstColumn="0" w:firstRowLastColumn="0" w:lastRowFirstColumn="0" w:lastRowLastColumn="0"/>
            <w:tcW w:w="2513" w:type="dxa"/>
          </w:tcPr>
          <w:p w:rsidR="007C2D31" w:rsidRPr="007C2D31" w:rsidRDefault="005E3FF4" w:rsidP="007C2D31">
            <w:r>
              <w:t>PRT</w:t>
            </w:r>
          </w:p>
        </w:tc>
        <w:tc>
          <w:tcPr>
            <w:tcW w:w="6729" w:type="dxa"/>
          </w:tcPr>
          <w:p w:rsidR="007C2D31" w:rsidRPr="007C2D31" w:rsidRDefault="007C2D31" w:rsidP="007C2D31">
            <w:pPr>
              <w:cnfStyle w:val="000000000000" w:firstRow="0" w:lastRow="0" w:firstColumn="0" w:lastColumn="0" w:oddVBand="0" w:evenVBand="0" w:oddHBand="0" w:evenHBand="0" w:firstRowFirstColumn="0" w:firstRowLastColumn="0" w:lastRowFirstColumn="0" w:lastRowLastColumn="0"/>
            </w:pPr>
            <w:r w:rsidRPr="007C2D31">
              <w:t>proximal renal tubulopathy</w:t>
            </w:r>
          </w:p>
        </w:tc>
      </w:tr>
      <w:tr w:rsidR="007C2D31" w:rsidTr="00EB30DD">
        <w:tc>
          <w:tcPr>
            <w:cnfStyle w:val="001000000000" w:firstRow="0" w:lastRow="0" w:firstColumn="1" w:lastColumn="0" w:oddVBand="0" w:evenVBand="0" w:oddHBand="0" w:evenHBand="0" w:firstRowFirstColumn="0" w:firstRowLastColumn="0" w:lastRowFirstColumn="0" w:lastRowLastColumn="0"/>
            <w:tcW w:w="2513" w:type="dxa"/>
          </w:tcPr>
          <w:p w:rsidR="007C2D31" w:rsidRPr="007C2D31" w:rsidRDefault="005E3FF4" w:rsidP="007C2D31">
            <w:r>
              <w:lastRenderedPageBreak/>
              <w:t>PT</w:t>
            </w:r>
          </w:p>
        </w:tc>
        <w:tc>
          <w:tcPr>
            <w:tcW w:w="6729" w:type="dxa"/>
          </w:tcPr>
          <w:p w:rsidR="007C2D31" w:rsidRPr="007C2D31" w:rsidRDefault="007C2D31" w:rsidP="007C2D31">
            <w:pPr>
              <w:cnfStyle w:val="000000000000" w:firstRow="0" w:lastRow="0" w:firstColumn="0" w:lastColumn="0" w:oddVBand="0" w:evenVBand="0" w:oddHBand="0" w:evenHBand="0" w:firstRowFirstColumn="0" w:firstRowLastColumn="0" w:lastRowFirstColumn="0" w:lastRowLastColumn="0"/>
            </w:pPr>
            <w:r w:rsidRPr="007C2D31">
              <w:t>preferred term</w:t>
            </w:r>
          </w:p>
        </w:tc>
      </w:tr>
      <w:tr w:rsidR="007C2D31" w:rsidTr="00EB30DD">
        <w:tc>
          <w:tcPr>
            <w:cnfStyle w:val="001000000000" w:firstRow="0" w:lastRow="0" w:firstColumn="1" w:lastColumn="0" w:oddVBand="0" w:evenVBand="0" w:oddHBand="0" w:evenHBand="0" w:firstRowFirstColumn="0" w:firstRowLastColumn="0" w:lastRowFirstColumn="0" w:lastRowLastColumn="0"/>
            <w:tcW w:w="2513" w:type="dxa"/>
          </w:tcPr>
          <w:p w:rsidR="007C2D31" w:rsidRPr="007C2D31" w:rsidRDefault="005E3FF4" w:rsidP="007C2D31">
            <w:r>
              <w:t>PVF</w:t>
            </w:r>
          </w:p>
        </w:tc>
        <w:tc>
          <w:tcPr>
            <w:tcW w:w="6729" w:type="dxa"/>
          </w:tcPr>
          <w:p w:rsidR="007C2D31" w:rsidRPr="007C2D31" w:rsidRDefault="007C2D31" w:rsidP="007C2D31">
            <w:pPr>
              <w:cnfStyle w:val="000000000000" w:firstRow="0" w:lastRow="0" w:firstColumn="0" w:lastColumn="0" w:oddVBand="0" w:evenVBand="0" w:oddHBand="0" w:evenHBand="0" w:firstRowFirstColumn="0" w:firstRowLastColumn="0" w:lastRowFirstColumn="0" w:lastRowLastColumn="0"/>
            </w:pPr>
            <w:r w:rsidRPr="007C2D31">
              <w:t>pure virologic failure</w:t>
            </w:r>
          </w:p>
        </w:tc>
      </w:tr>
      <w:tr w:rsidR="007C2D31" w:rsidTr="00EB30DD">
        <w:tc>
          <w:tcPr>
            <w:cnfStyle w:val="001000000000" w:firstRow="0" w:lastRow="0" w:firstColumn="1" w:lastColumn="0" w:oddVBand="0" w:evenVBand="0" w:oddHBand="0" w:evenHBand="0" w:firstRowFirstColumn="0" w:firstRowLastColumn="0" w:lastRowFirstColumn="0" w:lastRowLastColumn="0"/>
            <w:tcW w:w="2513" w:type="dxa"/>
          </w:tcPr>
          <w:p w:rsidR="007C2D31" w:rsidRPr="007C2D31" w:rsidRDefault="005E3FF4" w:rsidP="007C2D31">
            <w:r>
              <w:t>PVR</w:t>
            </w:r>
          </w:p>
        </w:tc>
        <w:tc>
          <w:tcPr>
            <w:tcW w:w="6729" w:type="dxa"/>
          </w:tcPr>
          <w:p w:rsidR="007C2D31" w:rsidRPr="007C2D31" w:rsidRDefault="007C2D31" w:rsidP="007C2D31">
            <w:pPr>
              <w:cnfStyle w:val="000000000000" w:firstRow="0" w:lastRow="0" w:firstColumn="0" w:lastColumn="0" w:oddVBand="0" w:evenVBand="0" w:oddHBand="0" w:evenHBand="0" w:firstRowFirstColumn="0" w:firstRowLastColumn="0" w:lastRowFirstColumn="0" w:lastRowLastColumn="0"/>
            </w:pPr>
            <w:r w:rsidRPr="007C2D31">
              <w:t>pure virologic response</w:t>
            </w:r>
          </w:p>
        </w:tc>
      </w:tr>
      <w:tr w:rsidR="007C2D31" w:rsidTr="00EB30DD">
        <w:tc>
          <w:tcPr>
            <w:cnfStyle w:val="001000000000" w:firstRow="0" w:lastRow="0" w:firstColumn="1" w:lastColumn="0" w:oddVBand="0" w:evenVBand="0" w:oddHBand="0" w:evenHBand="0" w:firstRowFirstColumn="0" w:firstRowLastColumn="0" w:lastRowFirstColumn="0" w:lastRowLastColumn="0"/>
            <w:tcW w:w="2513" w:type="dxa"/>
          </w:tcPr>
          <w:p w:rsidR="007C2D31" w:rsidRPr="007C2D31" w:rsidRDefault="005E3FF4" w:rsidP="007C2D31">
            <w:r>
              <w:t>R</w:t>
            </w:r>
          </w:p>
        </w:tc>
        <w:tc>
          <w:tcPr>
            <w:tcW w:w="6729" w:type="dxa"/>
          </w:tcPr>
          <w:p w:rsidR="007C2D31" w:rsidRPr="007C2D31" w:rsidRDefault="007C2D31" w:rsidP="007C2D31">
            <w:pPr>
              <w:cnfStyle w:val="000000000000" w:firstRow="0" w:lastRow="0" w:firstColumn="0" w:lastColumn="0" w:oddVBand="0" w:evenVBand="0" w:oddHBand="0" w:evenHBand="0" w:firstRowFirstColumn="0" w:firstRowLastColumn="0" w:lastRowFirstColumn="0" w:lastRowLastColumn="0"/>
            </w:pPr>
            <w:r w:rsidRPr="007C2D31">
              <w:t>reference</w:t>
            </w:r>
          </w:p>
        </w:tc>
      </w:tr>
      <w:tr w:rsidR="00DE7FE1" w:rsidTr="00EB30DD">
        <w:tc>
          <w:tcPr>
            <w:cnfStyle w:val="001000000000" w:firstRow="0" w:lastRow="0" w:firstColumn="1" w:lastColumn="0" w:oddVBand="0" w:evenVBand="0" w:oddHBand="0" w:evenHBand="0" w:firstRowFirstColumn="0" w:firstRowLastColumn="0" w:lastRowFirstColumn="0" w:lastRowLastColumn="0"/>
            <w:tcW w:w="2513" w:type="dxa"/>
          </w:tcPr>
          <w:p w:rsidR="00DE7FE1" w:rsidRPr="00DE7FE1" w:rsidRDefault="005E3FF4" w:rsidP="00DE7FE1">
            <w:r>
              <w:t>RAL</w:t>
            </w:r>
          </w:p>
        </w:tc>
        <w:tc>
          <w:tcPr>
            <w:tcW w:w="6729" w:type="dxa"/>
          </w:tcPr>
          <w:p w:rsidR="00DE7FE1" w:rsidRPr="00DE7FE1" w:rsidRDefault="00DE7FE1" w:rsidP="00DE7FE1">
            <w:pPr>
              <w:cnfStyle w:val="000000000000" w:firstRow="0" w:lastRow="0" w:firstColumn="0" w:lastColumn="0" w:oddVBand="0" w:evenVBand="0" w:oddHBand="0" w:evenHBand="0" w:firstRowFirstColumn="0" w:firstRowLastColumn="0" w:lastRowFirstColumn="0" w:lastRowLastColumn="0"/>
            </w:pPr>
            <w:r w:rsidRPr="00DE7FE1">
              <w:t>raltegravir</w:t>
            </w:r>
          </w:p>
        </w:tc>
      </w:tr>
      <w:tr w:rsidR="00DE7FE1" w:rsidTr="00EB30DD">
        <w:tc>
          <w:tcPr>
            <w:cnfStyle w:val="001000000000" w:firstRow="0" w:lastRow="0" w:firstColumn="1" w:lastColumn="0" w:oddVBand="0" w:evenVBand="0" w:oddHBand="0" w:evenHBand="0" w:firstRowFirstColumn="0" w:firstRowLastColumn="0" w:lastRowFirstColumn="0" w:lastRowLastColumn="0"/>
            <w:tcW w:w="2513" w:type="dxa"/>
          </w:tcPr>
          <w:p w:rsidR="00DE7FE1" w:rsidRPr="00DE7FE1" w:rsidRDefault="00DE7FE1" w:rsidP="005E3FF4">
            <w:r w:rsidRPr="00DE7FE1">
              <w:t>RAP</w:t>
            </w:r>
          </w:p>
        </w:tc>
        <w:tc>
          <w:tcPr>
            <w:tcW w:w="6729" w:type="dxa"/>
          </w:tcPr>
          <w:p w:rsidR="00DE7FE1" w:rsidRPr="00DE7FE1" w:rsidRDefault="00DE7FE1" w:rsidP="00DE7FE1">
            <w:pPr>
              <w:cnfStyle w:val="000000000000" w:firstRow="0" w:lastRow="0" w:firstColumn="0" w:lastColumn="0" w:oddVBand="0" w:evenVBand="0" w:oddHBand="0" w:evenHBand="0" w:firstRowFirstColumn="0" w:firstRowLastColumn="0" w:lastRowFirstColumn="0" w:lastRowLastColumn="0"/>
            </w:pPr>
            <w:r w:rsidRPr="00DE7FE1">
              <w:t>resistance analysis population</w:t>
            </w:r>
          </w:p>
        </w:tc>
      </w:tr>
      <w:tr w:rsidR="00DE7FE1" w:rsidTr="00EB30DD">
        <w:tc>
          <w:tcPr>
            <w:cnfStyle w:val="001000000000" w:firstRow="0" w:lastRow="0" w:firstColumn="1" w:lastColumn="0" w:oddVBand="0" w:evenVBand="0" w:oddHBand="0" w:evenHBand="0" w:firstRowFirstColumn="0" w:firstRowLastColumn="0" w:lastRowFirstColumn="0" w:lastRowLastColumn="0"/>
            <w:tcW w:w="2513" w:type="dxa"/>
          </w:tcPr>
          <w:p w:rsidR="00DE7FE1" w:rsidRPr="00DE7FE1" w:rsidRDefault="00DE7FE1" w:rsidP="005E3FF4">
            <w:r w:rsidRPr="00DE7FE1">
              <w:t>RNA</w:t>
            </w:r>
          </w:p>
        </w:tc>
        <w:tc>
          <w:tcPr>
            <w:tcW w:w="6729" w:type="dxa"/>
          </w:tcPr>
          <w:p w:rsidR="00DE7FE1" w:rsidRPr="00DE7FE1" w:rsidRDefault="00DE7FE1" w:rsidP="00DE7FE1">
            <w:pPr>
              <w:cnfStyle w:val="000000000000" w:firstRow="0" w:lastRow="0" w:firstColumn="0" w:lastColumn="0" w:oddVBand="0" w:evenVBand="0" w:oddHBand="0" w:evenHBand="0" w:firstRowFirstColumn="0" w:firstRowLastColumn="0" w:lastRowFirstColumn="0" w:lastRowLastColumn="0"/>
            </w:pPr>
            <w:r w:rsidRPr="00DE7FE1">
              <w:t>ribonucleic acid</w:t>
            </w:r>
          </w:p>
        </w:tc>
      </w:tr>
      <w:tr w:rsidR="00DE7FE1" w:rsidTr="00EB30DD">
        <w:tc>
          <w:tcPr>
            <w:cnfStyle w:val="001000000000" w:firstRow="0" w:lastRow="0" w:firstColumn="1" w:lastColumn="0" w:oddVBand="0" w:evenVBand="0" w:oddHBand="0" w:evenHBand="0" w:firstRowFirstColumn="0" w:firstRowLastColumn="0" w:lastRowFirstColumn="0" w:lastRowLastColumn="0"/>
            <w:tcW w:w="2513" w:type="dxa"/>
          </w:tcPr>
          <w:p w:rsidR="00DE7FE1" w:rsidRPr="00DE7FE1" w:rsidRDefault="00DE7FE1" w:rsidP="005E3FF4">
            <w:r w:rsidRPr="00DE7FE1">
              <w:t>RPV</w:t>
            </w:r>
          </w:p>
        </w:tc>
        <w:tc>
          <w:tcPr>
            <w:tcW w:w="6729" w:type="dxa"/>
          </w:tcPr>
          <w:p w:rsidR="00DE7FE1" w:rsidRPr="00DE7FE1" w:rsidRDefault="00DE7FE1" w:rsidP="00DE7FE1">
            <w:pPr>
              <w:cnfStyle w:val="000000000000" w:firstRow="0" w:lastRow="0" w:firstColumn="0" w:lastColumn="0" w:oddVBand="0" w:evenVBand="0" w:oddHBand="0" w:evenHBand="0" w:firstRowFirstColumn="0" w:firstRowLastColumn="0" w:lastRowFirstColumn="0" w:lastRowLastColumn="0"/>
            </w:pPr>
            <w:r w:rsidRPr="00DE7FE1">
              <w:t>rilpivirine</w:t>
            </w:r>
          </w:p>
        </w:tc>
      </w:tr>
      <w:tr w:rsidR="00DE7FE1" w:rsidTr="00EB30DD">
        <w:tc>
          <w:tcPr>
            <w:cnfStyle w:val="001000000000" w:firstRow="0" w:lastRow="0" w:firstColumn="1" w:lastColumn="0" w:oddVBand="0" w:evenVBand="0" w:oddHBand="0" w:evenHBand="0" w:firstRowFirstColumn="0" w:firstRowLastColumn="0" w:lastRowFirstColumn="0" w:lastRowLastColumn="0"/>
            <w:tcW w:w="2513" w:type="dxa"/>
          </w:tcPr>
          <w:p w:rsidR="00DE7FE1" w:rsidRPr="00DE7FE1" w:rsidRDefault="005E3FF4" w:rsidP="00C20580">
            <w:r>
              <w:t>RT</w:t>
            </w:r>
          </w:p>
        </w:tc>
        <w:tc>
          <w:tcPr>
            <w:tcW w:w="6729" w:type="dxa"/>
          </w:tcPr>
          <w:p w:rsidR="00DE7FE1" w:rsidRPr="00DE7FE1" w:rsidRDefault="00DE7FE1" w:rsidP="00DE7FE1">
            <w:pPr>
              <w:cnfStyle w:val="000000000000" w:firstRow="0" w:lastRow="0" w:firstColumn="0" w:lastColumn="0" w:oddVBand="0" w:evenVBand="0" w:oddHBand="0" w:evenHBand="0" w:firstRowFirstColumn="0" w:firstRowLastColumn="0" w:lastRowFirstColumn="0" w:lastRowLastColumn="0"/>
            </w:pPr>
            <w:r w:rsidRPr="00DE7FE1">
              <w:t>reverse transcriptase</w:t>
            </w:r>
          </w:p>
        </w:tc>
      </w:tr>
      <w:tr w:rsidR="00DE7FE1" w:rsidTr="00EB30DD">
        <w:tc>
          <w:tcPr>
            <w:cnfStyle w:val="001000000000" w:firstRow="0" w:lastRow="0" w:firstColumn="1" w:lastColumn="0" w:oddVBand="0" w:evenVBand="0" w:oddHBand="0" w:evenHBand="0" w:firstRowFirstColumn="0" w:firstRowLastColumn="0" w:lastRowFirstColumn="0" w:lastRowLastColumn="0"/>
            <w:tcW w:w="2513" w:type="dxa"/>
          </w:tcPr>
          <w:p w:rsidR="00DE7FE1" w:rsidRPr="00DE7FE1" w:rsidRDefault="005E3FF4" w:rsidP="00C20580">
            <w:r>
              <w:t>RTV</w:t>
            </w:r>
          </w:p>
        </w:tc>
        <w:tc>
          <w:tcPr>
            <w:tcW w:w="6729" w:type="dxa"/>
          </w:tcPr>
          <w:p w:rsidR="00DE7FE1" w:rsidRPr="00DE7FE1" w:rsidRDefault="00DE7FE1" w:rsidP="00DE7FE1">
            <w:pPr>
              <w:cnfStyle w:val="000000000000" w:firstRow="0" w:lastRow="0" w:firstColumn="0" w:lastColumn="0" w:oddVBand="0" w:evenVBand="0" w:oddHBand="0" w:evenHBand="0" w:firstRowFirstColumn="0" w:firstRowLastColumn="0" w:lastRowFirstColumn="0" w:lastRowLastColumn="0"/>
            </w:pPr>
            <w:r w:rsidRPr="00DE7FE1">
              <w:t>ritonavir</w:t>
            </w:r>
          </w:p>
        </w:tc>
      </w:tr>
      <w:tr w:rsidR="00DE7FE1" w:rsidTr="00EB30DD">
        <w:tc>
          <w:tcPr>
            <w:cnfStyle w:val="001000000000" w:firstRow="0" w:lastRow="0" w:firstColumn="1" w:lastColumn="0" w:oddVBand="0" w:evenVBand="0" w:oddHBand="0" w:evenHBand="0" w:firstRowFirstColumn="0" w:firstRowLastColumn="0" w:lastRowFirstColumn="0" w:lastRowLastColumn="0"/>
            <w:tcW w:w="2513" w:type="dxa"/>
          </w:tcPr>
          <w:p w:rsidR="00DE7FE1" w:rsidRPr="00DE7FE1" w:rsidRDefault="005E3FF4" w:rsidP="00500D57">
            <w:r>
              <w:t>SAE</w:t>
            </w:r>
          </w:p>
        </w:tc>
        <w:tc>
          <w:tcPr>
            <w:tcW w:w="6729" w:type="dxa"/>
          </w:tcPr>
          <w:p w:rsidR="00DE7FE1" w:rsidRPr="00DE7FE1" w:rsidRDefault="00DE7FE1" w:rsidP="00DE7FE1">
            <w:pPr>
              <w:cnfStyle w:val="000000000000" w:firstRow="0" w:lastRow="0" w:firstColumn="0" w:lastColumn="0" w:oddVBand="0" w:evenVBand="0" w:oddHBand="0" w:evenHBand="0" w:firstRowFirstColumn="0" w:firstRowLastColumn="0" w:lastRowFirstColumn="0" w:lastRowLastColumn="0"/>
            </w:pPr>
            <w:r w:rsidRPr="00DE7FE1">
              <w:t>serious adverse event</w:t>
            </w:r>
          </w:p>
        </w:tc>
      </w:tr>
      <w:tr w:rsidR="00DE7FE1" w:rsidTr="00EB30DD">
        <w:tc>
          <w:tcPr>
            <w:cnfStyle w:val="001000000000" w:firstRow="0" w:lastRow="0" w:firstColumn="1" w:lastColumn="0" w:oddVBand="0" w:evenVBand="0" w:oddHBand="0" w:evenHBand="0" w:firstRowFirstColumn="0" w:firstRowLastColumn="0" w:lastRowFirstColumn="0" w:lastRowLastColumn="0"/>
            <w:tcW w:w="2513" w:type="dxa"/>
          </w:tcPr>
          <w:p w:rsidR="00DE7FE1" w:rsidRPr="00DE7FE1" w:rsidRDefault="005E3FF4" w:rsidP="00500D57">
            <w:r>
              <w:t>SAS</w:t>
            </w:r>
          </w:p>
        </w:tc>
        <w:tc>
          <w:tcPr>
            <w:tcW w:w="6729" w:type="dxa"/>
          </w:tcPr>
          <w:p w:rsidR="00DE7FE1" w:rsidRPr="00DE7FE1" w:rsidRDefault="00DE7FE1" w:rsidP="00DE7FE1">
            <w:pPr>
              <w:cnfStyle w:val="000000000000" w:firstRow="0" w:lastRow="0" w:firstColumn="0" w:lastColumn="0" w:oddVBand="0" w:evenVBand="0" w:oddHBand="0" w:evenHBand="0" w:firstRowFirstColumn="0" w:firstRowLastColumn="0" w:lastRowFirstColumn="0" w:lastRowLastColumn="0"/>
            </w:pPr>
            <w:r w:rsidRPr="00DE7FE1">
              <w:t>safety analysis set</w:t>
            </w:r>
          </w:p>
        </w:tc>
      </w:tr>
      <w:tr w:rsidR="00DE7FE1" w:rsidTr="00EB30DD">
        <w:tc>
          <w:tcPr>
            <w:cnfStyle w:val="001000000000" w:firstRow="0" w:lastRow="0" w:firstColumn="1" w:lastColumn="0" w:oddVBand="0" w:evenVBand="0" w:oddHBand="0" w:evenHBand="0" w:firstRowFirstColumn="0" w:firstRowLastColumn="0" w:lastRowFirstColumn="0" w:lastRowLastColumn="0"/>
            <w:tcW w:w="2513" w:type="dxa"/>
          </w:tcPr>
          <w:p w:rsidR="00DE7FE1" w:rsidRPr="00DE7FE1" w:rsidRDefault="00DE7FE1" w:rsidP="005E3FF4">
            <w:r w:rsidRPr="00DE7FE1">
              <w:t>SBR</w:t>
            </w:r>
          </w:p>
        </w:tc>
        <w:tc>
          <w:tcPr>
            <w:tcW w:w="6729" w:type="dxa"/>
          </w:tcPr>
          <w:p w:rsidR="00DE7FE1" w:rsidRPr="00DE7FE1" w:rsidRDefault="00DE7FE1" w:rsidP="00DE7FE1">
            <w:pPr>
              <w:cnfStyle w:val="000000000000" w:firstRow="0" w:lastRow="0" w:firstColumn="0" w:lastColumn="0" w:oddVBand="0" w:evenVBand="0" w:oddHBand="0" w:evenHBand="0" w:firstRowFirstColumn="0" w:firstRowLastColumn="0" w:lastRowFirstColumn="0" w:lastRowLastColumn="0"/>
            </w:pPr>
            <w:r w:rsidRPr="00DE7FE1">
              <w:t>staying on a baseline regimen</w:t>
            </w:r>
          </w:p>
        </w:tc>
      </w:tr>
      <w:tr w:rsidR="00DE7FE1" w:rsidTr="00EB30DD">
        <w:tc>
          <w:tcPr>
            <w:cnfStyle w:val="001000000000" w:firstRow="0" w:lastRow="0" w:firstColumn="1" w:lastColumn="0" w:oddVBand="0" w:evenVBand="0" w:oddHBand="0" w:evenHBand="0" w:firstRowFirstColumn="0" w:firstRowLastColumn="0" w:lastRowFirstColumn="0" w:lastRowLastColumn="0"/>
            <w:tcW w:w="2513" w:type="dxa"/>
          </w:tcPr>
          <w:p w:rsidR="00DE7FE1" w:rsidRPr="00DE7FE1" w:rsidRDefault="005E3FF4" w:rsidP="00500D57">
            <w:r>
              <w:t>Scr</w:t>
            </w:r>
          </w:p>
        </w:tc>
        <w:tc>
          <w:tcPr>
            <w:tcW w:w="6729" w:type="dxa"/>
          </w:tcPr>
          <w:p w:rsidR="00DE7FE1" w:rsidRPr="00DE7FE1" w:rsidRDefault="00DE7FE1" w:rsidP="00DE7FE1">
            <w:pPr>
              <w:cnfStyle w:val="000000000000" w:firstRow="0" w:lastRow="0" w:firstColumn="0" w:lastColumn="0" w:oddVBand="0" w:evenVBand="0" w:oddHBand="0" w:evenHBand="0" w:firstRowFirstColumn="0" w:firstRowLastColumn="0" w:lastRowFirstColumn="0" w:lastRowLastColumn="0"/>
            </w:pPr>
            <w:r w:rsidRPr="00DE7FE1">
              <w:t>serum creatinine</w:t>
            </w:r>
          </w:p>
        </w:tc>
      </w:tr>
      <w:tr w:rsidR="00DE7FE1" w:rsidTr="00EB30DD">
        <w:tc>
          <w:tcPr>
            <w:cnfStyle w:val="001000000000" w:firstRow="0" w:lastRow="0" w:firstColumn="1" w:lastColumn="0" w:oddVBand="0" w:evenVBand="0" w:oddHBand="0" w:evenHBand="0" w:firstRowFirstColumn="0" w:firstRowLastColumn="0" w:lastRowFirstColumn="0" w:lastRowLastColumn="0"/>
            <w:tcW w:w="2513" w:type="dxa"/>
          </w:tcPr>
          <w:p w:rsidR="00DE7FE1" w:rsidRPr="00DE7FE1" w:rsidRDefault="005E3FF4" w:rsidP="005E3FF4">
            <w:r>
              <w:t>SD</w:t>
            </w:r>
          </w:p>
        </w:tc>
        <w:tc>
          <w:tcPr>
            <w:tcW w:w="6729" w:type="dxa"/>
          </w:tcPr>
          <w:p w:rsidR="00DE7FE1" w:rsidRPr="00DE7FE1" w:rsidRDefault="00DE7FE1" w:rsidP="00DE7FE1">
            <w:pPr>
              <w:cnfStyle w:val="000000000000" w:firstRow="0" w:lastRow="0" w:firstColumn="0" w:lastColumn="0" w:oddVBand="0" w:evenVBand="0" w:oddHBand="0" w:evenHBand="0" w:firstRowFirstColumn="0" w:firstRowLastColumn="0" w:lastRowFirstColumn="0" w:lastRowLastColumn="0"/>
            </w:pPr>
            <w:r w:rsidRPr="00DE7FE1">
              <w:t>standard deviation</w:t>
            </w:r>
          </w:p>
        </w:tc>
      </w:tr>
      <w:tr w:rsidR="00500D57" w:rsidTr="00EB30DD">
        <w:tc>
          <w:tcPr>
            <w:cnfStyle w:val="001000000000" w:firstRow="0" w:lastRow="0" w:firstColumn="1" w:lastColumn="0" w:oddVBand="0" w:evenVBand="0" w:oddHBand="0" w:evenHBand="0" w:firstRowFirstColumn="0" w:firstRowLastColumn="0" w:lastRowFirstColumn="0" w:lastRowLastColumn="0"/>
            <w:tcW w:w="2513" w:type="dxa"/>
          </w:tcPr>
          <w:p w:rsidR="00500D57" w:rsidRPr="00500D57" w:rsidRDefault="005E3FF4" w:rsidP="00500D57">
            <w:r>
              <w:t>SOC</w:t>
            </w:r>
          </w:p>
        </w:tc>
        <w:tc>
          <w:tcPr>
            <w:tcW w:w="6729" w:type="dxa"/>
          </w:tcPr>
          <w:p w:rsidR="00500D57" w:rsidRPr="00500D57" w:rsidRDefault="00500D57" w:rsidP="00500D57">
            <w:pPr>
              <w:cnfStyle w:val="000000000000" w:firstRow="0" w:lastRow="0" w:firstColumn="0" w:lastColumn="0" w:oddVBand="0" w:evenVBand="0" w:oddHBand="0" w:evenHBand="0" w:firstRowFirstColumn="0" w:firstRowLastColumn="0" w:lastRowFirstColumn="0" w:lastRowLastColumn="0"/>
            </w:pPr>
            <w:r w:rsidRPr="00500D57">
              <w:t>system organ class</w:t>
            </w:r>
          </w:p>
        </w:tc>
      </w:tr>
      <w:tr w:rsidR="00500D57" w:rsidTr="00EB30DD">
        <w:tc>
          <w:tcPr>
            <w:cnfStyle w:val="001000000000" w:firstRow="0" w:lastRow="0" w:firstColumn="1" w:lastColumn="0" w:oddVBand="0" w:evenVBand="0" w:oddHBand="0" w:evenHBand="0" w:firstRowFirstColumn="0" w:firstRowLastColumn="0" w:lastRowFirstColumn="0" w:lastRowLastColumn="0"/>
            <w:tcW w:w="2513" w:type="dxa"/>
          </w:tcPr>
          <w:p w:rsidR="00500D57" w:rsidRPr="00500D57" w:rsidRDefault="00500D57" w:rsidP="005E3FF4">
            <w:r w:rsidRPr="00500D57">
              <w:t>STB</w:t>
            </w:r>
          </w:p>
        </w:tc>
        <w:tc>
          <w:tcPr>
            <w:tcW w:w="6729" w:type="dxa"/>
          </w:tcPr>
          <w:p w:rsidR="00500D57" w:rsidRPr="00500D57" w:rsidRDefault="00500D57" w:rsidP="00EC4698">
            <w:pPr>
              <w:cnfStyle w:val="000000000000" w:firstRow="0" w:lastRow="0" w:firstColumn="0" w:lastColumn="0" w:oddVBand="0" w:evenVBand="0" w:oddHBand="0" w:evenHBand="0" w:firstRowFirstColumn="0" w:firstRowLastColumn="0" w:lastRowFirstColumn="0" w:lastRowLastColumn="0"/>
            </w:pPr>
            <w:r w:rsidRPr="00500D57">
              <w:t xml:space="preserve">elvitegravir/cobicistat/emtricitabine/tenofovir </w:t>
            </w:r>
            <w:r w:rsidR="00F92812">
              <w:t>/</w:t>
            </w:r>
            <w:r w:rsidRPr="00500D57">
              <w:t>disoproxil fumarate</w:t>
            </w:r>
            <w:r w:rsidR="00EC4698">
              <w:t>;</w:t>
            </w:r>
            <w:r w:rsidRPr="00500D57">
              <w:t xml:space="preserve"> Stribild</w:t>
            </w:r>
          </w:p>
        </w:tc>
      </w:tr>
      <w:tr w:rsidR="00500D57" w:rsidTr="00EB30DD">
        <w:tc>
          <w:tcPr>
            <w:cnfStyle w:val="001000000000" w:firstRow="0" w:lastRow="0" w:firstColumn="1" w:lastColumn="0" w:oddVBand="0" w:evenVBand="0" w:oddHBand="0" w:evenHBand="0" w:firstRowFirstColumn="0" w:firstRowLastColumn="0" w:lastRowFirstColumn="0" w:lastRowLastColumn="0"/>
            <w:tcW w:w="2513" w:type="dxa"/>
          </w:tcPr>
          <w:p w:rsidR="00500D57" w:rsidRPr="00500D57" w:rsidRDefault="00500D57" w:rsidP="005E3FF4">
            <w:r w:rsidRPr="00500D57">
              <w:t>STR</w:t>
            </w:r>
          </w:p>
        </w:tc>
        <w:tc>
          <w:tcPr>
            <w:tcW w:w="6729" w:type="dxa"/>
          </w:tcPr>
          <w:p w:rsidR="00500D57" w:rsidRPr="00500D57" w:rsidRDefault="00EC4698" w:rsidP="00EC4698">
            <w:pPr>
              <w:cnfStyle w:val="000000000000" w:firstRow="0" w:lastRow="0" w:firstColumn="0" w:lastColumn="0" w:oddVBand="0" w:evenVBand="0" w:oddHBand="0" w:evenHBand="0" w:firstRowFirstColumn="0" w:firstRowLastColumn="0" w:lastRowFirstColumn="0" w:lastRowLastColumn="0"/>
            </w:pPr>
            <w:r w:rsidRPr="00500D57">
              <w:t>S</w:t>
            </w:r>
            <w:r w:rsidR="00500D57" w:rsidRPr="00500D57">
              <w:t>ingle</w:t>
            </w:r>
            <w:r>
              <w:t xml:space="preserve"> </w:t>
            </w:r>
            <w:r w:rsidR="00500D57" w:rsidRPr="00500D57">
              <w:t>tablet regimen</w:t>
            </w:r>
          </w:p>
        </w:tc>
      </w:tr>
      <w:tr w:rsidR="00500D57" w:rsidTr="00EB30DD">
        <w:tc>
          <w:tcPr>
            <w:cnfStyle w:val="001000000000" w:firstRow="0" w:lastRow="0" w:firstColumn="1" w:lastColumn="0" w:oddVBand="0" w:evenVBand="0" w:oddHBand="0" w:evenHBand="0" w:firstRowFirstColumn="0" w:firstRowLastColumn="0" w:lastRowFirstColumn="0" w:lastRowLastColumn="0"/>
            <w:tcW w:w="2513" w:type="dxa"/>
          </w:tcPr>
          <w:p w:rsidR="00500D57" w:rsidRPr="00500D57" w:rsidRDefault="005E3FF4" w:rsidP="00500D57">
            <w:r>
              <w:t>T</w:t>
            </w:r>
          </w:p>
        </w:tc>
        <w:tc>
          <w:tcPr>
            <w:tcW w:w="6729" w:type="dxa"/>
          </w:tcPr>
          <w:p w:rsidR="00500D57" w:rsidRPr="00500D57" w:rsidRDefault="00500D57" w:rsidP="00500D57">
            <w:pPr>
              <w:cnfStyle w:val="000000000000" w:firstRow="0" w:lastRow="0" w:firstColumn="0" w:lastColumn="0" w:oddVBand="0" w:evenVBand="0" w:oddHBand="0" w:evenHBand="0" w:firstRowFirstColumn="0" w:firstRowLastColumn="0" w:lastRowFirstColumn="0" w:lastRowLastColumn="0"/>
            </w:pPr>
            <w:r w:rsidRPr="00500D57">
              <w:t>test</w:t>
            </w:r>
          </w:p>
        </w:tc>
      </w:tr>
      <w:tr w:rsidR="00500D57" w:rsidTr="00EB30DD">
        <w:tc>
          <w:tcPr>
            <w:cnfStyle w:val="001000000000" w:firstRow="0" w:lastRow="0" w:firstColumn="1" w:lastColumn="0" w:oddVBand="0" w:evenVBand="0" w:oddHBand="0" w:evenHBand="0" w:firstRowFirstColumn="0" w:firstRowLastColumn="0" w:lastRowFirstColumn="0" w:lastRowLastColumn="0"/>
            <w:tcW w:w="2513" w:type="dxa"/>
          </w:tcPr>
          <w:p w:rsidR="00500D57" w:rsidRPr="00500D57" w:rsidRDefault="00500D57" w:rsidP="005E3FF4">
            <w:r w:rsidRPr="00500D57">
              <w:t>TDF</w:t>
            </w:r>
          </w:p>
        </w:tc>
        <w:tc>
          <w:tcPr>
            <w:tcW w:w="6729" w:type="dxa"/>
          </w:tcPr>
          <w:p w:rsidR="00500D57" w:rsidRPr="00500D57" w:rsidRDefault="00500D57" w:rsidP="00EC4698">
            <w:pPr>
              <w:cnfStyle w:val="000000000000" w:firstRow="0" w:lastRow="0" w:firstColumn="0" w:lastColumn="0" w:oddVBand="0" w:evenVBand="0" w:oddHBand="0" w:evenHBand="0" w:firstRowFirstColumn="0" w:firstRowLastColumn="0" w:lastRowFirstColumn="0" w:lastRowLastColumn="0"/>
            </w:pPr>
            <w:r w:rsidRPr="00500D57">
              <w:t>tenofovir disoproxil fumarate</w:t>
            </w:r>
            <w:r w:rsidR="00EC4698">
              <w:t>;</w:t>
            </w:r>
            <w:r w:rsidRPr="00500D57">
              <w:t xml:space="preserve"> tenofovir DF</w:t>
            </w:r>
            <w:r w:rsidR="00EC4698">
              <w:t>;</w:t>
            </w:r>
            <w:r w:rsidRPr="00500D57">
              <w:t xml:space="preserve"> Viread</w:t>
            </w:r>
          </w:p>
        </w:tc>
      </w:tr>
      <w:tr w:rsidR="00500D57" w:rsidTr="00EB30DD">
        <w:tc>
          <w:tcPr>
            <w:cnfStyle w:val="001000000000" w:firstRow="0" w:lastRow="0" w:firstColumn="1" w:lastColumn="0" w:oddVBand="0" w:evenVBand="0" w:oddHBand="0" w:evenHBand="0" w:firstRowFirstColumn="0" w:firstRowLastColumn="0" w:lastRowFirstColumn="0" w:lastRowLastColumn="0"/>
            <w:tcW w:w="2513" w:type="dxa"/>
          </w:tcPr>
          <w:p w:rsidR="00500D57" w:rsidRPr="00500D57" w:rsidRDefault="00500D57" w:rsidP="005E3FF4">
            <w:r>
              <w:t>TFV</w:t>
            </w:r>
          </w:p>
        </w:tc>
        <w:tc>
          <w:tcPr>
            <w:tcW w:w="6729" w:type="dxa"/>
          </w:tcPr>
          <w:p w:rsidR="00500D57" w:rsidRPr="00500D57" w:rsidRDefault="00500D57" w:rsidP="00500D57">
            <w:pPr>
              <w:cnfStyle w:val="000000000000" w:firstRow="0" w:lastRow="0" w:firstColumn="0" w:lastColumn="0" w:oddVBand="0" w:evenVBand="0" w:oddHBand="0" w:evenHBand="0" w:firstRowFirstColumn="0" w:firstRowLastColumn="0" w:lastRowFirstColumn="0" w:lastRowLastColumn="0"/>
            </w:pPr>
            <w:r w:rsidRPr="00500D57">
              <w:t>tenofovir</w:t>
            </w:r>
          </w:p>
        </w:tc>
      </w:tr>
      <w:tr w:rsidR="00500D57" w:rsidTr="00EB30DD">
        <w:tc>
          <w:tcPr>
            <w:cnfStyle w:val="001000000000" w:firstRow="0" w:lastRow="0" w:firstColumn="1" w:lastColumn="0" w:oddVBand="0" w:evenVBand="0" w:oddHBand="0" w:evenHBand="0" w:firstRowFirstColumn="0" w:firstRowLastColumn="0" w:lastRowFirstColumn="0" w:lastRowLastColumn="0"/>
            <w:tcW w:w="2513" w:type="dxa"/>
          </w:tcPr>
          <w:p w:rsidR="00500D57" w:rsidRPr="00500D57" w:rsidRDefault="00500D57" w:rsidP="005E3FF4">
            <w:r w:rsidRPr="00500D57">
              <w:t>TLOVR</w:t>
            </w:r>
          </w:p>
        </w:tc>
        <w:tc>
          <w:tcPr>
            <w:tcW w:w="6729" w:type="dxa"/>
          </w:tcPr>
          <w:p w:rsidR="00500D57" w:rsidRPr="00500D57" w:rsidRDefault="00500D57" w:rsidP="00500D57">
            <w:pPr>
              <w:cnfStyle w:val="000000000000" w:firstRow="0" w:lastRow="0" w:firstColumn="0" w:lastColumn="0" w:oddVBand="0" w:evenVBand="0" w:oddHBand="0" w:evenHBand="0" w:firstRowFirstColumn="0" w:firstRowLastColumn="0" w:lastRowFirstColumn="0" w:lastRowLastColumn="0"/>
            </w:pPr>
            <w:r w:rsidRPr="00500D57">
              <w:t>time to loss of virologic response</w:t>
            </w:r>
          </w:p>
        </w:tc>
      </w:tr>
      <w:tr w:rsidR="00500D57" w:rsidTr="00EB30DD">
        <w:tc>
          <w:tcPr>
            <w:cnfStyle w:val="001000000000" w:firstRow="0" w:lastRow="0" w:firstColumn="1" w:lastColumn="0" w:oddVBand="0" w:evenVBand="0" w:oddHBand="0" w:evenHBand="0" w:firstRowFirstColumn="0" w:firstRowLastColumn="0" w:lastRowFirstColumn="0" w:lastRowLastColumn="0"/>
            <w:tcW w:w="2513" w:type="dxa"/>
          </w:tcPr>
          <w:p w:rsidR="00500D57" w:rsidRPr="00500D57" w:rsidRDefault="005E3FF4" w:rsidP="00500D57">
            <w:r>
              <w:t>TOC</w:t>
            </w:r>
          </w:p>
        </w:tc>
        <w:tc>
          <w:tcPr>
            <w:tcW w:w="6729" w:type="dxa"/>
          </w:tcPr>
          <w:p w:rsidR="00500D57" w:rsidRPr="00500D57" w:rsidRDefault="00500D57" w:rsidP="00500D57">
            <w:pPr>
              <w:cnfStyle w:val="000000000000" w:firstRow="0" w:lastRow="0" w:firstColumn="0" w:lastColumn="0" w:oddVBand="0" w:evenVBand="0" w:oddHBand="0" w:evenHBand="0" w:firstRowFirstColumn="0" w:firstRowLastColumn="0" w:lastRowFirstColumn="0" w:lastRowLastColumn="0"/>
            </w:pPr>
            <w:r w:rsidRPr="00500D57">
              <w:t>table of contents</w:t>
            </w:r>
          </w:p>
        </w:tc>
      </w:tr>
      <w:tr w:rsidR="00500D57" w:rsidTr="00EB30DD">
        <w:tc>
          <w:tcPr>
            <w:cnfStyle w:val="001000000000" w:firstRow="0" w:lastRow="0" w:firstColumn="1" w:lastColumn="0" w:oddVBand="0" w:evenVBand="0" w:oddHBand="0" w:evenHBand="0" w:firstRowFirstColumn="0" w:firstRowLastColumn="0" w:lastRowFirstColumn="0" w:lastRowLastColumn="0"/>
            <w:tcW w:w="2513" w:type="dxa"/>
          </w:tcPr>
          <w:p w:rsidR="00500D57" w:rsidRPr="00500D57" w:rsidRDefault="00500D57" w:rsidP="005E3FF4">
            <w:r w:rsidRPr="00500D57">
              <w:t>TVR</w:t>
            </w:r>
          </w:p>
        </w:tc>
        <w:tc>
          <w:tcPr>
            <w:tcW w:w="6729" w:type="dxa"/>
          </w:tcPr>
          <w:p w:rsidR="00500D57" w:rsidRPr="00500D57" w:rsidRDefault="00500D57" w:rsidP="00500D57">
            <w:pPr>
              <w:cnfStyle w:val="000000000000" w:firstRow="0" w:lastRow="0" w:firstColumn="0" w:lastColumn="0" w:oddVBand="0" w:evenVBand="0" w:oddHBand="0" w:evenHBand="0" w:firstRowFirstColumn="0" w:firstRowLastColumn="0" w:lastRowFirstColumn="0" w:lastRowLastColumn="0"/>
            </w:pPr>
            <w:r w:rsidRPr="00500D57">
              <w:t>telaprevir</w:t>
            </w:r>
          </w:p>
        </w:tc>
      </w:tr>
      <w:tr w:rsidR="00500D57" w:rsidTr="00EB30DD">
        <w:tc>
          <w:tcPr>
            <w:cnfStyle w:val="001000000000" w:firstRow="0" w:lastRow="0" w:firstColumn="1" w:lastColumn="0" w:oddVBand="0" w:evenVBand="0" w:oddHBand="0" w:evenHBand="0" w:firstRowFirstColumn="0" w:firstRowLastColumn="0" w:lastRowFirstColumn="0" w:lastRowLastColumn="0"/>
            <w:tcW w:w="2513" w:type="dxa"/>
          </w:tcPr>
          <w:p w:rsidR="00500D57" w:rsidRPr="00500D57" w:rsidRDefault="005E3FF4" w:rsidP="00500D57">
            <w:r>
              <w:t>UK</w:t>
            </w:r>
          </w:p>
        </w:tc>
        <w:tc>
          <w:tcPr>
            <w:tcW w:w="6729" w:type="dxa"/>
          </w:tcPr>
          <w:p w:rsidR="00500D57" w:rsidRPr="00500D57" w:rsidRDefault="00500D57" w:rsidP="00500D57">
            <w:pPr>
              <w:cnfStyle w:val="000000000000" w:firstRow="0" w:lastRow="0" w:firstColumn="0" w:lastColumn="0" w:oddVBand="0" w:evenVBand="0" w:oddHBand="0" w:evenHBand="0" w:firstRowFirstColumn="0" w:firstRowLastColumn="0" w:lastRowFirstColumn="0" w:lastRowLastColumn="0"/>
            </w:pPr>
            <w:r w:rsidRPr="00500D57">
              <w:t>United Kingdom</w:t>
            </w:r>
          </w:p>
        </w:tc>
      </w:tr>
      <w:tr w:rsidR="00500D57" w:rsidTr="00EB30DD">
        <w:tc>
          <w:tcPr>
            <w:cnfStyle w:val="001000000000" w:firstRow="0" w:lastRow="0" w:firstColumn="1" w:lastColumn="0" w:oddVBand="0" w:evenVBand="0" w:oddHBand="0" w:evenHBand="0" w:firstRowFirstColumn="0" w:firstRowLastColumn="0" w:lastRowFirstColumn="0" w:lastRowLastColumn="0"/>
            <w:tcW w:w="2513" w:type="dxa"/>
          </w:tcPr>
          <w:p w:rsidR="00500D57" w:rsidRPr="00500D57" w:rsidRDefault="00500D57" w:rsidP="005E3FF4">
            <w:r w:rsidRPr="00500D57">
              <w:lastRenderedPageBreak/>
              <w:t>ULN</w:t>
            </w:r>
          </w:p>
        </w:tc>
        <w:tc>
          <w:tcPr>
            <w:tcW w:w="6729" w:type="dxa"/>
          </w:tcPr>
          <w:p w:rsidR="00500D57" w:rsidRPr="00500D57" w:rsidRDefault="00500D57" w:rsidP="00500D57">
            <w:pPr>
              <w:cnfStyle w:val="000000000000" w:firstRow="0" w:lastRow="0" w:firstColumn="0" w:lastColumn="0" w:oddVBand="0" w:evenVBand="0" w:oddHBand="0" w:evenHBand="0" w:firstRowFirstColumn="0" w:firstRowLastColumn="0" w:lastRowFirstColumn="0" w:lastRowLastColumn="0"/>
            </w:pPr>
            <w:r w:rsidRPr="00500D57">
              <w:t>upper limit of normal</w:t>
            </w:r>
          </w:p>
        </w:tc>
      </w:tr>
      <w:tr w:rsidR="00500D57" w:rsidTr="00EB30DD">
        <w:tc>
          <w:tcPr>
            <w:cnfStyle w:val="001000000000" w:firstRow="0" w:lastRow="0" w:firstColumn="1" w:lastColumn="0" w:oddVBand="0" w:evenVBand="0" w:oddHBand="0" w:evenHBand="0" w:firstRowFirstColumn="0" w:firstRowLastColumn="0" w:lastRowFirstColumn="0" w:lastRowLastColumn="0"/>
            <w:tcW w:w="2513" w:type="dxa"/>
          </w:tcPr>
          <w:p w:rsidR="00500D57" w:rsidRPr="00500D57" w:rsidRDefault="005E3FF4" w:rsidP="00500D57">
            <w:r>
              <w:t>US</w:t>
            </w:r>
          </w:p>
        </w:tc>
        <w:tc>
          <w:tcPr>
            <w:tcW w:w="6729" w:type="dxa"/>
          </w:tcPr>
          <w:p w:rsidR="00500D57" w:rsidRPr="00500D57" w:rsidRDefault="00500D57" w:rsidP="00500D57">
            <w:pPr>
              <w:cnfStyle w:val="000000000000" w:firstRow="0" w:lastRow="0" w:firstColumn="0" w:lastColumn="0" w:oddVBand="0" w:evenVBand="0" w:oddHBand="0" w:evenHBand="0" w:firstRowFirstColumn="0" w:firstRowLastColumn="0" w:lastRowFirstColumn="0" w:lastRowLastColumn="0"/>
            </w:pPr>
            <w:r w:rsidRPr="00500D57">
              <w:t>United States</w:t>
            </w:r>
          </w:p>
        </w:tc>
      </w:tr>
    </w:tbl>
    <w:p w:rsidR="0094614A" w:rsidRDefault="0094614A" w:rsidP="0043797D">
      <w:pPr>
        <w:pStyle w:val="Heading2"/>
        <w:pageBreakBefore/>
        <w:rPr>
          <w:lang w:eastAsia="en-AU"/>
        </w:rPr>
      </w:pPr>
      <w:bookmarkStart w:id="8" w:name="_Toc481586162"/>
      <w:bookmarkStart w:id="9" w:name="_Toc351718900"/>
      <w:bookmarkStart w:id="10" w:name="_Toc355338635"/>
      <w:r>
        <w:rPr>
          <w:lang w:eastAsia="en-AU"/>
        </w:rPr>
        <w:lastRenderedPageBreak/>
        <w:t>Introduction</w:t>
      </w:r>
      <w:bookmarkEnd w:id="8"/>
    </w:p>
    <w:p w:rsidR="007C5AD1" w:rsidRPr="00C62A3F" w:rsidRDefault="007C5AD1" w:rsidP="00C62A3F">
      <w:r w:rsidRPr="00C62A3F">
        <w:t xml:space="preserve">This is a Category 1 application to </w:t>
      </w:r>
      <w:r w:rsidR="00C57D11">
        <w:t xml:space="preserve">extend the indications and </w:t>
      </w:r>
      <w:r w:rsidR="00500D57" w:rsidRPr="00C62A3F">
        <w:t>make changes to the P</w:t>
      </w:r>
      <w:r w:rsidRPr="00C62A3F">
        <w:t xml:space="preserve">roduct </w:t>
      </w:r>
      <w:r w:rsidR="00500D57" w:rsidRPr="00C62A3F">
        <w:t>I</w:t>
      </w:r>
      <w:r w:rsidRPr="00C62A3F">
        <w:t xml:space="preserve">nformation (PI) and </w:t>
      </w:r>
      <w:r w:rsidR="00500D57" w:rsidRPr="00C62A3F">
        <w:t>C</w:t>
      </w:r>
      <w:r w:rsidRPr="00C62A3F">
        <w:t xml:space="preserve">onsumer </w:t>
      </w:r>
      <w:r w:rsidR="00500D57" w:rsidRPr="00C62A3F">
        <w:t>M</w:t>
      </w:r>
      <w:r w:rsidRPr="00C62A3F">
        <w:t xml:space="preserve">edicine </w:t>
      </w:r>
      <w:r w:rsidR="00500D57" w:rsidRPr="00C62A3F">
        <w:t>I</w:t>
      </w:r>
      <w:r w:rsidRPr="00C62A3F">
        <w:t>nformation (CMI).</w:t>
      </w:r>
    </w:p>
    <w:p w:rsidR="00EA1995" w:rsidRPr="00C62A3F" w:rsidRDefault="00EA1995" w:rsidP="00C62A3F">
      <w:r w:rsidRPr="00C62A3F">
        <w:t xml:space="preserve">The following indications </w:t>
      </w:r>
      <w:r w:rsidR="00C62A3F" w:rsidRPr="00C62A3F">
        <w:t xml:space="preserve">were stated in the </w:t>
      </w:r>
      <w:r w:rsidR="005E3FF4">
        <w:t>PI dated June 2014:</w:t>
      </w:r>
    </w:p>
    <w:p w:rsidR="00EA1995" w:rsidRPr="00C62A3F" w:rsidRDefault="00EA1995" w:rsidP="00C62A3F">
      <w:pPr>
        <w:ind w:left="720"/>
        <w:rPr>
          <w:i/>
        </w:rPr>
      </w:pPr>
      <w:r w:rsidRPr="00C62A3F">
        <w:rPr>
          <w:i/>
        </w:rPr>
        <w:t>S</w:t>
      </w:r>
      <w:r w:rsidR="00C62A3F">
        <w:rPr>
          <w:i/>
        </w:rPr>
        <w:t>tribild</w:t>
      </w:r>
      <w:r w:rsidRPr="00C62A3F">
        <w:rPr>
          <w:i/>
        </w:rPr>
        <w:t xml:space="preserve"> is indicated as a single tablet regimen for the treatment of HIV infection in treatment</w:t>
      </w:r>
      <w:r w:rsidR="00C62A3F">
        <w:rPr>
          <w:i/>
        </w:rPr>
        <w:t xml:space="preserve"> naïve</w:t>
      </w:r>
      <w:r w:rsidR="005E3FF4">
        <w:rPr>
          <w:i/>
        </w:rPr>
        <w:t xml:space="preserve"> adults.</w:t>
      </w:r>
    </w:p>
    <w:p w:rsidR="00EA1995" w:rsidRPr="00C62A3F" w:rsidRDefault="00EA1995" w:rsidP="00C62A3F">
      <w:pPr>
        <w:ind w:left="720"/>
        <w:rPr>
          <w:i/>
        </w:rPr>
      </w:pPr>
      <w:r w:rsidRPr="00C62A3F">
        <w:rPr>
          <w:i/>
        </w:rPr>
        <w:t>S</w:t>
      </w:r>
      <w:r w:rsidR="00C62A3F">
        <w:rPr>
          <w:i/>
        </w:rPr>
        <w:t>tribild</w:t>
      </w:r>
      <w:r w:rsidRPr="00C62A3F">
        <w:rPr>
          <w:i/>
        </w:rPr>
        <w:t xml:space="preserve"> is a fixed dose combination of one integrase inhibitor, one pharmacokinetic enhancer and two </w:t>
      </w:r>
      <w:proofErr w:type="gramStart"/>
      <w:r w:rsidRPr="00C62A3F">
        <w:rPr>
          <w:i/>
        </w:rPr>
        <w:t>nucleos(</w:t>
      </w:r>
      <w:proofErr w:type="gramEnd"/>
      <w:r w:rsidRPr="00C62A3F">
        <w:rPr>
          <w:i/>
        </w:rPr>
        <w:t>t)ide HIV-1 reverse transcriptase inhibitors.</w:t>
      </w:r>
    </w:p>
    <w:p w:rsidR="00EA1995" w:rsidRPr="00C62A3F" w:rsidRDefault="00C62A3F" w:rsidP="00C62A3F">
      <w:r w:rsidRPr="00C62A3F">
        <w:t>S</w:t>
      </w:r>
      <w:r>
        <w:t xml:space="preserve">tribild </w:t>
      </w:r>
      <w:r w:rsidRPr="00C62A3F">
        <w:t>is available as tablets. Each tablet contains 300 mg tenofovir DF (which is equivalent to 245 mg of tenofovir disoproxil), 200 mg emtricitabine</w:t>
      </w:r>
      <w:r w:rsidR="00D120A0">
        <w:t xml:space="preserve"> (FTC)</w:t>
      </w:r>
      <w:r w:rsidRPr="00C62A3F">
        <w:t>, 150 mg of elvitegravir</w:t>
      </w:r>
      <w:r w:rsidR="00D120A0">
        <w:t xml:space="preserve"> (EVG)</w:t>
      </w:r>
      <w:r w:rsidRPr="00C62A3F">
        <w:t xml:space="preserve"> and 150 mg of cobicistat</w:t>
      </w:r>
      <w:r w:rsidR="00161B57">
        <w:t xml:space="preserve"> (COBI)</w:t>
      </w:r>
      <w:r w:rsidRPr="00C62A3F">
        <w:t>. The tablets are film</w:t>
      </w:r>
      <w:r>
        <w:t xml:space="preserve"> </w:t>
      </w:r>
      <w:r w:rsidRPr="00C62A3F">
        <w:t xml:space="preserve">coated, capsule shaped and green in colour. Each tablet is debossed with ‘GSI’ on one side and the number </w:t>
      </w:r>
      <w:r>
        <w:t>‘</w:t>
      </w:r>
      <w:r w:rsidRPr="00C62A3F">
        <w:t>1</w:t>
      </w:r>
      <w:r>
        <w:t>’</w:t>
      </w:r>
      <w:r w:rsidRPr="00C62A3F">
        <w:t xml:space="preserve"> surrounded by a square box on the other side.</w:t>
      </w:r>
    </w:p>
    <w:p w:rsidR="00C62A3F" w:rsidRPr="00C62A3F" w:rsidRDefault="00C62A3F" w:rsidP="00C62A3F">
      <w:r w:rsidRPr="00C62A3F">
        <w:t xml:space="preserve">There is a proposed change to the indications for use to include use in adults with no known mutations associated with resistance to any of the Stribild components. The additional included text is </w:t>
      </w:r>
      <w:r w:rsidR="00963166">
        <w:t>in bold</w:t>
      </w:r>
      <w:r w:rsidRPr="00C62A3F">
        <w:t xml:space="preserve"> as follows:</w:t>
      </w:r>
    </w:p>
    <w:p w:rsidR="00C62A3F" w:rsidRPr="00C62A3F" w:rsidRDefault="00C62A3F" w:rsidP="00C62A3F">
      <w:pPr>
        <w:ind w:left="720"/>
        <w:rPr>
          <w:i/>
        </w:rPr>
      </w:pPr>
      <w:r w:rsidRPr="00C62A3F">
        <w:rPr>
          <w:i/>
        </w:rPr>
        <w:t>S</w:t>
      </w:r>
      <w:r>
        <w:rPr>
          <w:i/>
        </w:rPr>
        <w:t>tribild</w:t>
      </w:r>
      <w:r w:rsidRPr="00C62A3F">
        <w:rPr>
          <w:i/>
        </w:rPr>
        <w:t xml:space="preserve"> is indicated as a single tablet regimen for the treatment of HIV infection in treatment</w:t>
      </w:r>
      <w:r>
        <w:rPr>
          <w:i/>
        </w:rPr>
        <w:t xml:space="preserve"> naïve </w:t>
      </w:r>
      <w:r w:rsidRPr="00C62A3F">
        <w:rPr>
          <w:i/>
        </w:rPr>
        <w:t xml:space="preserve">adults </w:t>
      </w:r>
      <w:r w:rsidRPr="00963166">
        <w:rPr>
          <w:b/>
          <w:i/>
        </w:rPr>
        <w:t>or adults who have no known mutations associated with resistance to the individual components of Stribild.</w:t>
      </w:r>
    </w:p>
    <w:p w:rsidR="00C62A3F" w:rsidRPr="00C62A3F" w:rsidRDefault="005E3FF4" w:rsidP="00C62A3F">
      <w:r>
        <w:t>Other proposed changes are:</w:t>
      </w:r>
    </w:p>
    <w:p w:rsidR="00C62A3F" w:rsidRPr="00C62A3F" w:rsidRDefault="00C62A3F" w:rsidP="00C62A3F">
      <w:pPr>
        <w:pStyle w:val="ListBullet"/>
      </w:pPr>
      <w:r w:rsidRPr="00C62A3F">
        <w:t xml:space="preserve">Inclusion of results from further analyses of the pivotal </w:t>
      </w:r>
      <w:r w:rsidR="006317B1">
        <w:t>P</w:t>
      </w:r>
      <w:r w:rsidRPr="00C62A3F">
        <w:t xml:space="preserve">hase </w:t>
      </w:r>
      <w:r w:rsidR="006317B1">
        <w:t>III</w:t>
      </w:r>
      <w:r w:rsidRPr="00C62A3F">
        <w:t xml:space="preserve"> studies evaluated for initial registration of Stribild with </w:t>
      </w:r>
      <w:r w:rsidR="006317B1">
        <w:t>W</w:t>
      </w:r>
      <w:r w:rsidRPr="00C62A3F">
        <w:t>eek 144 efficac</w:t>
      </w:r>
      <w:r w:rsidR="005E3FF4">
        <w:t>y, resistance, and safety data.</w:t>
      </w:r>
    </w:p>
    <w:p w:rsidR="00C62A3F" w:rsidRPr="00C62A3F" w:rsidRDefault="00C62A3F" w:rsidP="00C62A3F">
      <w:pPr>
        <w:pStyle w:val="ListBullet"/>
      </w:pPr>
      <w:r w:rsidRPr="00C62A3F">
        <w:t>Inclusion of study results from data provided in this submission to support updates to:</w:t>
      </w:r>
    </w:p>
    <w:p w:rsidR="00C62A3F" w:rsidRPr="00C62A3F" w:rsidRDefault="00C62A3F" w:rsidP="00C62A3F">
      <w:pPr>
        <w:pStyle w:val="ListBullet2"/>
      </w:pPr>
      <w:r w:rsidRPr="00C62A3F">
        <w:t>The current approved indication to include the use of S</w:t>
      </w:r>
      <w:r w:rsidR="006317B1">
        <w:t>tribild</w:t>
      </w:r>
      <w:r w:rsidRPr="00C62A3F">
        <w:t xml:space="preserve"> in patients who have no known mutations associated with resistance to the individual components of S</w:t>
      </w:r>
      <w:r w:rsidR="006317B1">
        <w:t>tribild</w:t>
      </w:r>
      <w:r w:rsidRPr="00C62A3F">
        <w:t>.</w:t>
      </w:r>
    </w:p>
    <w:p w:rsidR="00C62A3F" w:rsidRPr="00C62A3F" w:rsidRDefault="00C62A3F" w:rsidP="00C62A3F">
      <w:pPr>
        <w:pStyle w:val="ListBullet2"/>
      </w:pPr>
      <w:r w:rsidRPr="00C62A3F">
        <w:t xml:space="preserve">The </w:t>
      </w:r>
      <w:r w:rsidR="006317B1">
        <w:t xml:space="preserve">adverse effects </w:t>
      </w:r>
      <w:r w:rsidRPr="00C62A3F">
        <w:t>section with the addition of 48</w:t>
      </w:r>
      <w:r w:rsidR="006317B1">
        <w:t xml:space="preserve"> </w:t>
      </w:r>
      <w:r w:rsidRPr="00C62A3F">
        <w:t>week efficacy, resistance, and safety data in HIV-1 infected treatment</w:t>
      </w:r>
      <w:r w:rsidR="006317B1">
        <w:t xml:space="preserve"> </w:t>
      </w:r>
      <w:r w:rsidRPr="00C62A3F">
        <w:t>naïve patients with mild to moderate renal impairment.</w:t>
      </w:r>
    </w:p>
    <w:p w:rsidR="00C62A3F" w:rsidRPr="00C62A3F" w:rsidRDefault="00C62A3F" w:rsidP="00C62A3F">
      <w:pPr>
        <w:pStyle w:val="ListBullet2"/>
      </w:pPr>
      <w:r w:rsidRPr="00C62A3F">
        <w:t>The pharmacokinetics (PK) section with the addition of drug</w:t>
      </w:r>
      <w:r w:rsidR="006317B1">
        <w:t>-</w:t>
      </w:r>
      <w:r w:rsidRPr="00C62A3F">
        <w:t xml:space="preserve">drug interaction data from a </w:t>
      </w:r>
      <w:r w:rsidR="006317B1">
        <w:t>P</w:t>
      </w:r>
      <w:r w:rsidRPr="00C62A3F">
        <w:t xml:space="preserve">hase </w:t>
      </w:r>
      <w:r w:rsidR="006317B1">
        <w:t>I</w:t>
      </w:r>
      <w:r w:rsidRPr="00C62A3F">
        <w:t xml:space="preserve"> study investigating potential inte</w:t>
      </w:r>
      <w:r w:rsidR="005E3FF4">
        <w:t>ractions with telaprevir (TVR).</w:t>
      </w:r>
    </w:p>
    <w:p w:rsidR="00C62A3F" w:rsidRDefault="00C62A3F" w:rsidP="00C62A3F">
      <w:r w:rsidRPr="00C62A3F">
        <w:t xml:space="preserve">There are also minor proposed changes to the </w:t>
      </w:r>
      <w:r w:rsidR="00161B57">
        <w:t>C</w:t>
      </w:r>
      <w:r w:rsidRPr="00C62A3F">
        <w:t>MI.</w:t>
      </w:r>
    </w:p>
    <w:p w:rsidR="00026A7E" w:rsidRPr="00C62A3F" w:rsidRDefault="00026A7E" w:rsidP="00026A7E">
      <w:pPr>
        <w:pStyle w:val="Heading2"/>
      </w:pPr>
      <w:bookmarkStart w:id="11" w:name="_Toc481586163"/>
      <w:r>
        <w:t>Clinical rationale</w:t>
      </w:r>
      <w:bookmarkEnd w:id="11"/>
    </w:p>
    <w:p w:rsidR="00586F98" w:rsidRDefault="00586F98" w:rsidP="00586F98">
      <w:pPr>
        <w:pStyle w:val="Heading2"/>
        <w:rPr>
          <w:lang w:eastAsia="en-AU"/>
        </w:rPr>
      </w:pPr>
      <w:bookmarkStart w:id="12" w:name="_Toc481586164"/>
      <w:r>
        <w:rPr>
          <w:lang w:eastAsia="en-AU"/>
        </w:rPr>
        <w:t>Contents of the clinical dossier</w:t>
      </w:r>
      <w:bookmarkEnd w:id="9"/>
      <w:bookmarkEnd w:id="10"/>
      <w:bookmarkEnd w:id="12"/>
    </w:p>
    <w:p w:rsidR="00586F98" w:rsidRDefault="00586F98" w:rsidP="00586F98">
      <w:pPr>
        <w:pStyle w:val="Heading3"/>
      </w:pPr>
      <w:bookmarkStart w:id="13" w:name="_Toc481586165"/>
      <w:r>
        <w:t>Scope of the clinical dossier</w:t>
      </w:r>
      <w:bookmarkEnd w:id="13"/>
    </w:p>
    <w:p w:rsidR="006317B1" w:rsidRDefault="007C5AD1" w:rsidP="00963166">
      <w:pPr>
        <w:pStyle w:val="ListBullet2"/>
        <w:numPr>
          <w:ilvl w:val="0"/>
          <w:numId w:val="0"/>
        </w:numPr>
      </w:pPr>
      <w:r w:rsidRPr="006317B1">
        <w:t>Clinical Study Report (CSR) of Extrinsic Factor PK Study x 1;</w:t>
      </w:r>
    </w:p>
    <w:p w:rsidR="006317B1" w:rsidRDefault="007C5AD1" w:rsidP="00963166">
      <w:pPr>
        <w:pStyle w:val="ListBullet"/>
        <w:numPr>
          <w:ilvl w:val="0"/>
          <w:numId w:val="0"/>
        </w:numPr>
        <w:ind w:left="360" w:hanging="360"/>
      </w:pPr>
      <w:r w:rsidRPr="006317B1">
        <w:t xml:space="preserve">Reports </w:t>
      </w:r>
      <w:r w:rsidR="005E3FF4">
        <w:t>of Efficacy and Safety Studies:</w:t>
      </w:r>
    </w:p>
    <w:p w:rsidR="006317B1" w:rsidRPr="00963166" w:rsidRDefault="007C5AD1" w:rsidP="00963166">
      <w:pPr>
        <w:pStyle w:val="ListBullet"/>
      </w:pPr>
      <w:r w:rsidRPr="00963166">
        <w:t>CSRs of Controlled Clinical Studies Pertinen</w:t>
      </w:r>
      <w:r w:rsidR="00026A7E">
        <w:t>t to the Claimed Indication x 4</w:t>
      </w:r>
    </w:p>
    <w:p w:rsidR="006317B1" w:rsidRPr="00963166" w:rsidRDefault="007C5AD1" w:rsidP="00963166">
      <w:pPr>
        <w:pStyle w:val="ListBullet"/>
      </w:pPr>
      <w:r w:rsidRPr="00963166">
        <w:lastRenderedPageBreak/>
        <w:t xml:space="preserve">CSRs of Uncontrolled Clinical Studies x </w:t>
      </w:r>
      <w:r w:rsidR="00026A7E">
        <w:t>2</w:t>
      </w:r>
    </w:p>
    <w:p w:rsidR="006317B1" w:rsidRPr="00963166" w:rsidRDefault="007C5AD1" w:rsidP="00963166">
      <w:pPr>
        <w:pStyle w:val="ListBullet"/>
      </w:pPr>
      <w:r w:rsidRPr="00963166">
        <w:t xml:space="preserve">Reports of Analyses of Data from More than One Study: Integrated Summary of Safety, </w:t>
      </w:r>
      <w:r w:rsidR="00026A7E">
        <w:t>Integrated Summary of Efficacy</w:t>
      </w:r>
    </w:p>
    <w:p w:rsidR="007C5AD1" w:rsidRPr="00963166" w:rsidRDefault="007C5AD1" w:rsidP="00963166">
      <w:pPr>
        <w:pStyle w:val="ListBullet"/>
      </w:pPr>
      <w:r w:rsidRPr="00963166">
        <w:t>Other Study Reports: Integrated Virology Summary Report for Studies GS-US-236-0102 and GS-US-236-0103)</w:t>
      </w:r>
      <w:r w:rsidR="005E3FF4" w:rsidRPr="00963166">
        <w:t>.</w:t>
      </w:r>
    </w:p>
    <w:p w:rsidR="00EA1995" w:rsidRPr="006317B1" w:rsidRDefault="00EA1995" w:rsidP="006317B1">
      <w:r w:rsidRPr="006317B1">
        <w:t>The information provided is adequate to undertake the evaluation. It is noted that the clinical expert is an employee of Gilead Sciences Pty Ltd.</w:t>
      </w:r>
    </w:p>
    <w:p w:rsidR="00586F98" w:rsidRDefault="00586F98" w:rsidP="00586F98">
      <w:pPr>
        <w:pStyle w:val="Heading3"/>
      </w:pPr>
      <w:bookmarkStart w:id="14" w:name="_Toc481586166"/>
      <w:r>
        <w:t>Good clinical practice</w:t>
      </w:r>
      <w:bookmarkEnd w:id="14"/>
    </w:p>
    <w:p w:rsidR="007C5AD1" w:rsidRPr="007C5AD1" w:rsidRDefault="007C5AD1" w:rsidP="007C5AD1">
      <w:bookmarkStart w:id="15" w:name="_Toc355338639"/>
      <w:r w:rsidRPr="007C5AD1">
        <w:t>It is stated in the CSRs that the studies were undertaken in accordance with good clinical practice.</w:t>
      </w:r>
    </w:p>
    <w:p w:rsidR="00586F98" w:rsidRDefault="00586F98" w:rsidP="00586F98">
      <w:pPr>
        <w:pStyle w:val="Heading2"/>
      </w:pPr>
      <w:bookmarkStart w:id="16" w:name="_Toc481586167"/>
      <w:r>
        <w:t>Pharmacokinetics</w:t>
      </w:r>
      <w:bookmarkEnd w:id="15"/>
      <w:bookmarkEnd w:id="16"/>
    </w:p>
    <w:p w:rsidR="006317B1" w:rsidRDefault="006317B1" w:rsidP="006317B1">
      <w:pPr>
        <w:pStyle w:val="Heading3"/>
      </w:pPr>
      <w:bookmarkStart w:id="17" w:name="_Toc481586168"/>
      <w:r>
        <w:t>GS-US-236-0135 Pharmacokinetic drug interaction study</w:t>
      </w:r>
      <w:bookmarkEnd w:id="17"/>
    </w:p>
    <w:p w:rsidR="006317B1" w:rsidRDefault="006317B1" w:rsidP="006317B1">
      <w:pPr>
        <w:pStyle w:val="Heading4"/>
      </w:pPr>
      <w:r>
        <w:t>Study design, objectives, locations and dates</w:t>
      </w:r>
    </w:p>
    <w:p w:rsidR="007B4284" w:rsidRDefault="006317B1" w:rsidP="006317B1">
      <w:r w:rsidRPr="006317B1">
        <w:t>This was a randomised, open</w:t>
      </w:r>
      <w:r>
        <w:t xml:space="preserve"> </w:t>
      </w:r>
      <w:r w:rsidRPr="006317B1">
        <w:t>label, multiple</w:t>
      </w:r>
      <w:r>
        <w:t xml:space="preserve"> </w:t>
      </w:r>
      <w:proofErr w:type="gramStart"/>
      <w:r w:rsidRPr="006317B1">
        <w:t>dose</w:t>
      </w:r>
      <w:proofErr w:type="gramEnd"/>
      <w:r w:rsidRPr="006317B1">
        <w:t xml:space="preserve">, </w:t>
      </w:r>
      <w:r>
        <w:t xml:space="preserve">two </w:t>
      </w:r>
      <w:r w:rsidRPr="006317B1">
        <w:t>part, multiple</w:t>
      </w:r>
      <w:r>
        <w:t xml:space="preserve"> </w:t>
      </w:r>
      <w:r w:rsidRPr="006317B1">
        <w:t xml:space="preserve">cohort study. Part 1 assessed the PK and drug interaction potential of TVR and elvitegravir/cobicistat /emtricitabine/tenofovir disoproxil fumarate (Stribild: STB). Part 2 assessed the PK and drug interaction of TVR and ritonavir (RTV) boosted atazanavir (ATV/r) + EVG. It was conducted at </w:t>
      </w:r>
      <w:r>
        <w:t>one</w:t>
      </w:r>
      <w:r w:rsidRPr="006317B1">
        <w:t xml:space="preserve"> site in the United States (US) </w:t>
      </w:r>
      <w:r w:rsidR="00026A7E">
        <w:t>between January and March 2013.</w:t>
      </w:r>
    </w:p>
    <w:p w:rsidR="006317B1" w:rsidRPr="006317B1" w:rsidRDefault="006317B1" w:rsidP="006317B1">
      <w:r w:rsidRPr="006317B1">
        <w:t xml:space="preserve">The </w:t>
      </w:r>
      <w:r>
        <w:t xml:space="preserve">primary </w:t>
      </w:r>
      <w:r w:rsidR="005E3FF4">
        <w:t>objectives were:</w:t>
      </w:r>
    </w:p>
    <w:p w:rsidR="006317B1" w:rsidRPr="006317B1" w:rsidRDefault="006317B1" w:rsidP="006317B1">
      <w:pPr>
        <w:pStyle w:val="ListBullet"/>
      </w:pPr>
      <w:r w:rsidRPr="006317B1">
        <w:t>Part 1: To evaluate the PK of TVR and EVG after co</w:t>
      </w:r>
      <w:r w:rsidR="00D120A0">
        <w:t>-</w:t>
      </w:r>
      <w:r w:rsidRPr="006317B1">
        <w:t>administration of TVR and STB relative to the administration of TVR or STB alone</w:t>
      </w:r>
    </w:p>
    <w:p w:rsidR="00026A7E" w:rsidRDefault="006317B1" w:rsidP="006317B1">
      <w:pPr>
        <w:pStyle w:val="ListBullet"/>
      </w:pPr>
      <w:r w:rsidRPr="006317B1">
        <w:t>Part 2:</w:t>
      </w:r>
    </w:p>
    <w:p w:rsidR="00026A7E" w:rsidRDefault="006317B1" w:rsidP="00026A7E">
      <w:pPr>
        <w:pStyle w:val="ListBullet2"/>
      </w:pPr>
      <w:r w:rsidRPr="006317B1">
        <w:t>Cohort 1: to evaluate the PK of TVR and ATV after co</w:t>
      </w:r>
      <w:r w:rsidR="00D120A0">
        <w:t>-</w:t>
      </w:r>
      <w:r w:rsidRPr="006317B1">
        <w:t xml:space="preserve">administration of TVR and ATV/r)+EVG 85 mg relative to the administration of TVR or ATV/r alone; </w:t>
      </w:r>
    </w:p>
    <w:p w:rsidR="006317B1" w:rsidRPr="006317B1" w:rsidRDefault="006317B1" w:rsidP="00026A7E">
      <w:pPr>
        <w:pStyle w:val="ListBullet2"/>
      </w:pPr>
      <w:r w:rsidRPr="006317B1">
        <w:t>Cohort 2: to evaluate the PK of EVG after co</w:t>
      </w:r>
      <w:r w:rsidR="00D120A0">
        <w:t>-</w:t>
      </w:r>
      <w:r w:rsidRPr="006317B1">
        <w:t>administration of TVR and ATV/r+ EVG 85 mg relative to the administration of ATV/r+ EVG 85 mg or EVG 150 mg /r alone</w:t>
      </w:r>
    </w:p>
    <w:p w:rsidR="006317B1" w:rsidRPr="006317B1" w:rsidRDefault="006317B1" w:rsidP="006317B1">
      <w:r w:rsidRPr="006317B1">
        <w:t xml:space="preserve">The </w:t>
      </w:r>
      <w:r>
        <w:t xml:space="preserve">secondary </w:t>
      </w:r>
      <w:r w:rsidR="005E3FF4">
        <w:t>objectives were:</w:t>
      </w:r>
    </w:p>
    <w:p w:rsidR="006317B1" w:rsidRPr="006317B1" w:rsidRDefault="006317B1" w:rsidP="006317B1">
      <w:pPr>
        <w:pStyle w:val="ListBullet"/>
      </w:pPr>
      <w:r w:rsidRPr="006317B1">
        <w:t>Part 1: To evaluate the PK of COBI, (FTC), and tenofovir (TFV) after co</w:t>
      </w:r>
      <w:r w:rsidR="00D120A0">
        <w:t>-</w:t>
      </w:r>
      <w:r w:rsidRPr="006317B1">
        <w:t>administration of TVR and STB relative to the administration of STB alone</w:t>
      </w:r>
    </w:p>
    <w:p w:rsidR="006317B1" w:rsidRPr="006317B1" w:rsidRDefault="006317B1" w:rsidP="006317B1">
      <w:pPr>
        <w:pStyle w:val="ListBullet"/>
      </w:pPr>
      <w:r w:rsidRPr="006317B1">
        <w:t>Part 2: To evaluate the PK of ATV after co</w:t>
      </w:r>
      <w:r w:rsidR="00D120A0">
        <w:t>-</w:t>
      </w:r>
      <w:r w:rsidRPr="006317B1">
        <w:t>administration of TVR and ATV/r+ EVG 85 mg relative to the administration of ATV/r+ EVG 85 mg alone: Cohort 2</w:t>
      </w:r>
      <w:r w:rsidR="00F92812">
        <w:t>.</w:t>
      </w:r>
    </w:p>
    <w:p w:rsidR="006317B1" w:rsidRPr="006317B1" w:rsidRDefault="006317B1" w:rsidP="006317B1">
      <w:r w:rsidRPr="006317B1">
        <w:t>The secondary objectives also included assessment of safety. These are not relevant to the proposed PI change and hence are not presented in this report.</w:t>
      </w:r>
    </w:p>
    <w:p w:rsidR="006317B1" w:rsidRPr="006317B1" w:rsidRDefault="005E3FF4" w:rsidP="006317B1">
      <w:pPr>
        <w:pStyle w:val="Heading4"/>
      </w:pPr>
      <w:r>
        <w:t>Main inclusion criteria</w:t>
      </w:r>
    </w:p>
    <w:p w:rsidR="006317B1" w:rsidRPr="006317B1" w:rsidRDefault="006317B1" w:rsidP="006317B1">
      <w:r w:rsidRPr="006317B1">
        <w:t>Healthy males and non</w:t>
      </w:r>
      <w:r w:rsidR="00026A7E">
        <w:t>-</w:t>
      </w:r>
      <w:r w:rsidRPr="006317B1">
        <w:t>pregnant, non</w:t>
      </w:r>
      <w:r w:rsidR="00026A7E">
        <w:t>-</w:t>
      </w:r>
      <w:r w:rsidRPr="006317B1">
        <w:t>lactating females, 18 to 45 years old, with a body mass index (BMI) from 19 to 30 kg/m</w:t>
      </w:r>
      <w:r w:rsidRPr="006317B1">
        <w:rPr>
          <w:vertAlign w:val="superscript"/>
        </w:rPr>
        <w:t>2</w:t>
      </w:r>
      <w:r w:rsidRPr="006317B1">
        <w:t xml:space="preserve">, and an estimated glomerular filtration rate (eGFR) </w:t>
      </w:r>
      <w:r w:rsidR="00026A7E">
        <w:t>≥ 90 </w:t>
      </w:r>
      <w:r w:rsidR="005E3FF4">
        <w:t>mL/min.</w:t>
      </w:r>
    </w:p>
    <w:p w:rsidR="006317B1" w:rsidRPr="006317B1" w:rsidRDefault="006317B1" w:rsidP="006317B1">
      <w:pPr>
        <w:pStyle w:val="Heading4"/>
      </w:pPr>
      <w:r w:rsidRPr="006317B1">
        <w:lastRenderedPageBreak/>
        <w:t>Study treatments</w:t>
      </w:r>
    </w:p>
    <w:p w:rsidR="006317B1" w:rsidRPr="006317B1" w:rsidRDefault="006317B1" w:rsidP="006317B1">
      <w:r w:rsidRPr="006317B1">
        <w:t>The study treatments for Parts 1 and 2 were administered with food for 10 days as follows:</w:t>
      </w:r>
    </w:p>
    <w:p w:rsidR="006317B1" w:rsidRPr="006317B1" w:rsidRDefault="006317B1" w:rsidP="002A2DDA">
      <w:pPr>
        <w:pStyle w:val="ListBullet"/>
      </w:pPr>
      <w:r w:rsidRPr="006317B1">
        <w:t xml:space="preserve">Treatment A: 2 </w:t>
      </w:r>
      <w:r w:rsidR="002A2DDA">
        <w:t>x</w:t>
      </w:r>
      <w:r w:rsidRPr="006317B1">
        <w:t xml:space="preserve"> 375 mg of TVR 3 times daily plus 1 </w:t>
      </w:r>
      <w:r w:rsidR="002A2DDA">
        <w:t>x</w:t>
      </w:r>
      <w:r w:rsidR="005E3FF4">
        <w:t xml:space="preserve"> STB tablet once daily</w:t>
      </w:r>
    </w:p>
    <w:p w:rsidR="006317B1" w:rsidRPr="006317B1" w:rsidRDefault="006317B1" w:rsidP="002A2DDA">
      <w:pPr>
        <w:pStyle w:val="ListBullet"/>
      </w:pPr>
      <w:r w:rsidRPr="006317B1">
        <w:t xml:space="preserve">Treatment B: 1 </w:t>
      </w:r>
      <w:r w:rsidR="002A2DDA">
        <w:t>x</w:t>
      </w:r>
      <w:r w:rsidR="005E3FF4">
        <w:t xml:space="preserve"> STB tablet once daily</w:t>
      </w:r>
    </w:p>
    <w:p w:rsidR="006317B1" w:rsidRPr="006317B1" w:rsidRDefault="006317B1" w:rsidP="002A2DDA">
      <w:pPr>
        <w:pStyle w:val="ListBullet"/>
      </w:pPr>
      <w:r w:rsidRPr="006317B1">
        <w:t xml:space="preserve">Treatment C: 2 </w:t>
      </w:r>
      <w:r w:rsidR="002A2DDA">
        <w:t>x</w:t>
      </w:r>
      <w:r w:rsidRPr="006317B1">
        <w:t xml:space="preserve"> 375 mg of TVR 3 times daily</w:t>
      </w:r>
    </w:p>
    <w:p w:rsidR="006317B1" w:rsidRPr="006317B1" w:rsidRDefault="006317B1" w:rsidP="002A2DDA">
      <w:pPr>
        <w:pStyle w:val="ListBullet"/>
      </w:pPr>
      <w:r w:rsidRPr="006317B1">
        <w:t xml:space="preserve">Treatment D: 2 </w:t>
      </w:r>
      <w:r w:rsidR="002A2DDA">
        <w:t>x</w:t>
      </w:r>
      <w:r w:rsidRPr="006317B1">
        <w:t xml:space="preserve"> 375 mg of TVR 3 times daily plus 1 </w:t>
      </w:r>
      <w:r w:rsidR="002A2DDA">
        <w:t>x</w:t>
      </w:r>
      <w:r w:rsidRPr="006317B1">
        <w:t xml:space="preserve"> 300 mg of ATV, 1 </w:t>
      </w:r>
      <w:r w:rsidR="002A2DDA">
        <w:t>x</w:t>
      </w:r>
      <w:r w:rsidRPr="006317B1">
        <w:t xml:space="preserve"> 100 mg of RTV, and 1 </w:t>
      </w:r>
      <w:r w:rsidR="002A2DDA">
        <w:t>x</w:t>
      </w:r>
      <w:r w:rsidR="005E3FF4">
        <w:t xml:space="preserve"> EVG 85 mg all given once daily</w:t>
      </w:r>
    </w:p>
    <w:p w:rsidR="006317B1" w:rsidRPr="006317B1" w:rsidRDefault="006317B1" w:rsidP="002A2DDA">
      <w:pPr>
        <w:pStyle w:val="ListBullet"/>
      </w:pPr>
      <w:r w:rsidRPr="006317B1">
        <w:t xml:space="preserve">Treatment E: 1 </w:t>
      </w:r>
      <w:r w:rsidR="002A2DDA">
        <w:t>x</w:t>
      </w:r>
      <w:r w:rsidRPr="006317B1">
        <w:t xml:space="preserve"> 300 mg of ATV plus 1 </w:t>
      </w:r>
      <w:r w:rsidR="002A2DDA">
        <w:t>x</w:t>
      </w:r>
      <w:r w:rsidRPr="006317B1">
        <w:t xml:space="preserve"> 100 mg of RTV both once daily</w:t>
      </w:r>
    </w:p>
    <w:p w:rsidR="006317B1" w:rsidRPr="006317B1" w:rsidRDefault="006317B1" w:rsidP="002A2DDA">
      <w:pPr>
        <w:pStyle w:val="ListBullet"/>
      </w:pPr>
      <w:r w:rsidRPr="006317B1">
        <w:t xml:space="preserve">Treatment F: 1 </w:t>
      </w:r>
      <w:r w:rsidR="002A2DDA">
        <w:t>x</w:t>
      </w:r>
      <w:r w:rsidRPr="006317B1">
        <w:t xml:space="preserve"> 150 mg of EVG plus 1 </w:t>
      </w:r>
      <w:r w:rsidR="002A2DDA">
        <w:t>x</w:t>
      </w:r>
      <w:r w:rsidRPr="006317B1">
        <w:t xml:space="preserve"> 100 mg of RTV both once daily</w:t>
      </w:r>
    </w:p>
    <w:p w:rsidR="006317B1" w:rsidRPr="006317B1" w:rsidRDefault="006317B1" w:rsidP="002A2DDA">
      <w:pPr>
        <w:pStyle w:val="ListBullet"/>
      </w:pPr>
      <w:r w:rsidRPr="006317B1">
        <w:t xml:space="preserve">Treatment G: 1 </w:t>
      </w:r>
      <w:r w:rsidR="002A2DDA">
        <w:t>x</w:t>
      </w:r>
      <w:r w:rsidRPr="006317B1">
        <w:t xml:space="preserve"> 300 mg of ATV plus 1 </w:t>
      </w:r>
      <w:r w:rsidR="002A2DDA">
        <w:t>x</w:t>
      </w:r>
      <w:r w:rsidRPr="006317B1">
        <w:t xml:space="preserve"> 100 mg of RTV plus 1 </w:t>
      </w:r>
      <w:r w:rsidR="002A2DDA">
        <w:t>x</w:t>
      </w:r>
      <w:r w:rsidRPr="006317B1">
        <w:t xml:space="preserve"> EVG 85 mg all once daily</w:t>
      </w:r>
    </w:p>
    <w:p w:rsidR="006317B1" w:rsidRDefault="006317B1" w:rsidP="006317B1">
      <w:r w:rsidRPr="006317B1">
        <w:t xml:space="preserve">In </w:t>
      </w:r>
      <w:r w:rsidR="002A2DDA">
        <w:t>P</w:t>
      </w:r>
      <w:r w:rsidRPr="006317B1">
        <w:t>art 1, subjects received STB+TVR (Treatment A), STB (Treatment B), and TVR (Treatment C) each for 10 days in a 3</w:t>
      </w:r>
      <w:r w:rsidR="002A2DDA">
        <w:t xml:space="preserve"> </w:t>
      </w:r>
      <w:r w:rsidRPr="006317B1">
        <w:t>period, fixed</w:t>
      </w:r>
      <w:r w:rsidR="002A2DDA">
        <w:t xml:space="preserve"> </w:t>
      </w:r>
      <w:r w:rsidRPr="006317B1">
        <w:t xml:space="preserve">sequence design. This is </w:t>
      </w:r>
      <w:r w:rsidR="005E3FF4">
        <w:t xml:space="preserve">shown in </w:t>
      </w:r>
      <w:r w:rsidR="00026A7E">
        <w:t>Figure 1</w:t>
      </w:r>
      <w:r w:rsidR="005E3FF4">
        <w:t>.</w:t>
      </w:r>
    </w:p>
    <w:p w:rsidR="002A2DDA" w:rsidRDefault="002A2DDA" w:rsidP="004E7D3F">
      <w:pPr>
        <w:pStyle w:val="FigureTitle"/>
      </w:pPr>
      <w:r>
        <w:t xml:space="preserve">Figure 1: GS-US-236-0135: Part 1 </w:t>
      </w:r>
      <w:r w:rsidR="00026A7E" w:rsidRPr="004E7D3F">
        <w:t>study</w:t>
      </w:r>
      <w:r w:rsidR="00026A7E">
        <w:t xml:space="preserve"> schema</w:t>
      </w:r>
    </w:p>
    <w:p w:rsidR="002A2DDA" w:rsidRPr="006317B1" w:rsidRDefault="002A2DDA" w:rsidP="0091553A">
      <w:r w:rsidRPr="0091553A">
        <w:rPr>
          <w:noProof/>
          <w:lang w:eastAsia="en-AU"/>
        </w:rPr>
        <w:drawing>
          <wp:inline distT="0" distB="0" distL="0" distR="0" wp14:anchorId="1B356319" wp14:editId="6A2788BA">
            <wp:extent cx="5731510" cy="1669241"/>
            <wp:effectExtent l="0" t="0" r="2540" b="7620"/>
            <wp:docPr id="3" name="Picture 3" descr="Figure 1: GS-US-236-0135: Part 1 Study Schema&#10;Screening at day -28.&#10; Period 1, subjects received STB+TVR (Treatment A) Day 1-10, followed by a 14 day washout&#10;Period 2 stared Day 24 -33 STB (Treatment B), followed by a 14 day washout&#10;and Period 3 Day 41 -50 TVR (Treatment C) &#10;&#10;each for 10 days in a 3 period, fixed sequence design.&#10;Follow up was on Day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1669241"/>
                    </a:xfrm>
                    <a:prstGeom prst="rect">
                      <a:avLst/>
                    </a:prstGeom>
                  </pic:spPr>
                </pic:pic>
              </a:graphicData>
            </a:graphic>
          </wp:inline>
        </w:drawing>
      </w:r>
    </w:p>
    <w:p w:rsidR="002A2DDA" w:rsidRDefault="002A2DDA" w:rsidP="002A2DDA">
      <w:r w:rsidRPr="002A2DDA">
        <w:t xml:space="preserve">In </w:t>
      </w:r>
      <w:r>
        <w:t>P</w:t>
      </w:r>
      <w:r w:rsidRPr="002A2DDA">
        <w:t>art 2, Cohort 1 subjects received TVR</w:t>
      </w:r>
      <w:r>
        <w:t xml:space="preserve"> </w:t>
      </w:r>
      <w:r w:rsidRPr="002A2DDA">
        <w:t>+</w:t>
      </w:r>
      <w:r>
        <w:t xml:space="preserve"> </w:t>
      </w:r>
      <w:r w:rsidRPr="002A2DDA">
        <w:t>ATV/r</w:t>
      </w:r>
      <w:r>
        <w:t xml:space="preserve"> </w:t>
      </w:r>
      <w:r w:rsidRPr="002A2DDA">
        <w:t>+</w:t>
      </w:r>
      <w:r>
        <w:t xml:space="preserve"> </w:t>
      </w:r>
      <w:r w:rsidRPr="002A2DDA">
        <w:t>EVG 85 mg (Treatment D) for 10 days followed by a washout of no less than 13 days. Subjects then received 10 days of either ATV/r (Treatment E, Sequence 1) or TVR (Treatment C, Sequence 2). Cohort 2 subjects received 150 mg of EVG/r (Treatment F) for 10 days in Period 1, then received ATV/r</w:t>
      </w:r>
      <w:r>
        <w:t xml:space="preserve"> </w:t>
      </w:r>
      <w:r w:rsidRPr="002A2DDA">
        <w:t>+</w:t>
      </w:r>
      <w:r>
        <w:t xml:space="preserve"> </w:t>
      </w:r>
      <w:r w:rsidRPr="002A2DDA">
        <w:t>EVG 85 mg (Treatment G) and TVR</w:t>
      </w:r>
      <w:r>
        <w:t xml:space="preserve"> </w:t>
      </w:r>
      <w:r w:rsidRPr="002A2DDA">
        <w:t>+</w:t>
      </w:r>
      <w:r>
        <w:t xml:space="preserve"> </w:t>
      </w:r>
      <w:r w:rsidRPr="002A2DDA">
        <w:t>ATV/r</w:t>
      </w:r>
      <w:r>
        <w:t xml:space="preserve"> </w:t>
      </w:r>
      <w:r w:rsidRPr="002A2DDA">
        <w:t>+</w:t>
      </w:r>
      <w:r>
        <w:t xml:space="preserve"> </w:t>
      </w:r>
      <w:r w:rsidRPr="002A2DDA">
        <w:t xml:space="preserve">EVG 85 mg (Treatment D) each for 10 days in a sequential manner in Periods 2 and 3. This is shown in </w:t>
      </w:r>
      <w:r w:rsidR="00026A7E">
        <w:t>Figure 2</w:t>
      </w:r>
      <w:r w:rsidRPr="002A2DDA">
        <w:t>.</w:t>
      </w:r>
    </w:p>
    <w:p w:rsidR="002A2DDA" w:rsidRDefault="002A2DDA" w:rsidP="004E7D3F">
      <w:pPr>
        <w:pStyle w:val="FigureTitle"/>
        <w:keepNext/>
      </w:pPr>
      <w:r>
        <w:lastRenderedPageBreak/>
        <w:t>Figure 2: GS-US-</w:t>
      </w:r>
      <w:r w:rsidRPr="004E7D3F">
        <w:t>236</w:t>
      </w:r>
      <w:r>
        <w:t xml:space="preserve">-0135: Part 2 </w:t>
      </w:r>
      <w:r w:rsidR="00026A7E">
        <w:t>study s</w:t>
      </w:r>
      <w:r>
        <w:t>chema</w:t>
      </w:r>
    </w:p>
    <w:p w:rsidR="002A2DDA" w:rsidRDefault="002A2DDA" w:rsidP="0091553A">
      <w:r w:rsidRPr="0091553A">
        <w:rPr>
          <w:noProof/>
          <w:lang w:eastAsia="en-AU"/>
        </w:rPr>
        <w:drawing>
          <wp:inline distT="0" distB="0" distL="0" distR="0" wp14:anchorId="09B52ED3" wp14:editId="06D213AC">
            <wp:extent cx="4125773" cy="3887307"/>
            <wp:effectExtent l="0" t="0" r="8255" b="0"/>
            <wp:docPr id="4" name="Picture 4" descr="Figure 2: GS-US-236-0135: Part 2 Study Schema&#10;, Cohort 1 subjects received TVR + ATV/r + EVG 85 mg (Treatment D) for 10 days followed by a washout of no less than 13 days. Subjects then received 10 days of either ATV/r (Treatment E, Sequence 1) or TVR (Treatment C, Sequence 2). Cohort 2 subjects received 150 mg of EVG/r (Treatment F) for 10 days in Period 1, then received ATV/r + EVG 85 mg (Treatment G) and TVR + ATV/r + EVG 85 mg (Treatment D) each for 10 days in a sequential manner in Periods 2 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126054" cy="3887571"/>
                    </a:xfrm>
                    <a:prstGeom prst="rect">
                      <a:avLst/>
                    </a:prstGeom>
                  </pic:spPr>
                </pic:pic>
              </a:graphicData>
            </a:graphic>
          </wp:inline>
        </w:drawing>
      </w:r>
    </w:p>
    <w:p w:rsidR="002A2DDA" w:rsidRPr="002A2DDA" w:rsidRDefault="005E3FF4" w:rsidP="002A2DDA">
      <w:r>
        <w:t>In both diagrams:</w:t>
      </w:r>
    </w:p>
    <w:p w:rsidR="002A2DDA" w:rsidRPr="002A2DDA" w:rsidRDefault="002A2DDA" w:rsidP="002A2DDA">
      <w:pPr>
        <w:pStyle w:val="ListBullet"/>
      </w:pPr>
      <w:r w:rsidRPr="002A2DDA">
        <w:t>The solid row shows the periods during which subjects were clinic inpatients</w:t>
      </w:r>
      <w:r w:rsidR="004E7D3F">
        <w:t>.</w:t>
      </w:r>
    </w:p>
    <w:p w:rsidR="002A2DDA" w:rsidRPr="002A2DDA" w:rsidRDefault="002A2DDA" w:rsidP="002A2DDA">
      <w:pPr>
        <w:pStyle w:val="ListBullet"/>
      </w:pPr>
      <w:r w:rsidRPr="002A2DDA">
        <w:t>The hatched row shows the periods during which subjects received study drugs</w:t>
      </w:r>
      <w:r w:rsidR="004E7D3F">
        <w:t>.</w:t>
      </w:r>
    </w:p>
    <w:p w:rsidR="002A2DDA" w:rsidRPr="002A2DDA" w:rsidRDefault="002A2DDA" w:rsidP="002A2DDA">
      <w:pPr>
        <w:pStyle w:val="ListBullet"/>
      </w:pPr>
      <w:r w:rsidRPr="002A2DDA">
        <w:t>The cross indicates the days on which inten</w:t>
      </w:r>
      <w:r w:rsidR="005E3FF4">
        <w:t>sive PK sampling was undertaken</w:t>
      </w:r>
      <w:r w:rsidR="004E7D3F">
        <w:t>.</w:t>
      </w:r>
    </w:p>
    <w:p w:rsidR="002A2DDA" w:rsidRPr="002A2DDA" w:rsidRDefault="002A2DDA" w:rsidP="002A2DDA">
      <w:pPr>
        <w:pStyle w:val="ListBullet"/>
      </w:pPr>
      <w:r w:rsidRPr="002A2DDA">
        <w:t>The diamond indicates the days on whi</w:t>
      </w:r>
      <w:r w:rsidR="005E3FF4">
        <w:t>ch trough PK samples were taken</w:t>
      </w:r>
      <w:r w:rsidR="004E7D3F">
        <w:t>.</w:t>
      </w:r>
    </w:p>
    <w:p w:rsidR="002A2DDA" w:rsidRDefault="002A2DDA" w:rsidP="002A2DDA">
      <w:pPr>
        <w:pStyle w:val="ListBullet"/>
      </w:pPr>
      <w:r w:rsidRPr="002A2DDA">
        <w:t>The asterisk indi</w:t>
      </w:r>
      <w:r w:rsidR="005E3FF4">
        <w:t>cates the safety profiling days</w:t>
      </w:r>
      <w:r w:rsidR="0091553A">
        <w:t>.</w:t>
      </w:r>
    </w:p>
    <w:p w:rsidR="002A2DDA" w:rsidRPr="002A2DDA" w:rsidRDefault="002A2DDA" w:rsidP="002A2DDA">
      <w:pPr>
        <w:pStyle w:val="Heading4"/>
      </w:pPr>
      <w:r w:rsidRPr="002A2DDA">
        <w:t xml:space="preserve">Method of </w:t>
      </w:r>
      <w:r w:rsidR="00F92812" w:rsidRPr="002A2DDA">
        <w:t>assigning study subjects to treatment groups</w:t>
      </w:r>
    </w:p>
    <w:p w:rsidR="002A2DDA" w:rsidRPr="002A2DDA" w:rsidRDefault="002A2DDA" w:rsidP="002A2DDA">
      <w:r w:rsidRPr="002A2DDA">
        <w:t xml:space="preserve">After screening and completion of the study procedures on </w:t>
      </w:r>
      <w:r>
        <w:t>D</w:t>
      </w:r>
      <w:r w:rsidRPr="002A2DDA">
        <w:t xml:space="preserve">ay –1, eligible subjects were assigned to either: Part 1; Part 2 Cohort 1, and randomised to Sequence 1 or 2; or Part 2 Cohort 2 using a randomisation scheme provided by the sponsor. Subjects were enrolled with an approximate even distribution between males and females. Replacements could have been enrolled if subjects did not complete all PK procedures except where subjects discontinued due to </w:t>
      </w:r>
      <w:r w:rsidR="00026A7E">
        <w:t>treatment related</w:t>
      </w:r>
      <w:r w:rsidRPr="002A2DDA">
        <w:t xml:space="preserve"> toxicity.</w:t>
      </w:r>
    </w:p>
    <w:p w:rsidR="002A2DDA" w:rsidRPr="002A2DDA" w:rsidRDefault="005E3FF4" w:rsidP="002A2DDA">
      <w:pPr>
        <w:pStyle w:val="Heading4"/>
      </w:pPr>
      <w:r>
        <w:t>Sample size</w:t>
      </w:r>
    </w:p>
    <w:p w:rsidR="002A2DDA" w:rsidRPr="002A2DDA" w:rsidRDefault="002A2DDA" w:rsidP="002A2DDA">
      <w:r w:rsidRPr="002A2DDA">
        <w:t>Data from previous studies were used to estimate the standard deviations (SDs) of difference for the PK parameters AUC</w:t>
      </w:r>
      <w:r w:rsidRPr="002A2DDA">
        <w:rPr>
          <w:vertAlign w:val="subscript"/>
        </w:rPr>
        <w:t>tau</w:t>
      </w:r>
      <w:r w:rsidRPr="002A2DDA">
        <w:t xml:space="preserve"> and C</w:t>
      </w:r>
      <w:r w:rsidRPr="002A2DDA">
        <w:rPr>
          <w:vertAlign w:val="subscript"/>
        </w:rPr>
        <w:t>max</w:t>
      </w:r>
      <w:r w:rsidRPr="002A2DDA">
        <w:t xml:space="preserve"> for each analyte. For each analyte, the estimated SDs of the difference for each PK parameter and the statistical power to reject the null hypothesis that there was at least a 30% difference in each of the 2 PK parameters between a treatment pair of interest are provided in the CSR. When the expected ratio of geometric means is 1.0, using these estimated SDs of difference, a total sample size of 10 evaluable subjects provides at least 90% power to conclude no PK alternation for the following:</w:t>
      </w:r>
    </w:p>
    <w:p w:rsidR="002A2DDA" w:rsidRPr="002A2DDA" w:rsidRDefault="002A2DDA" w:rsidP="002A2DDA">
      <w:pPr>
        <w:pStyle w:val="ListBullet"/>
      </w:pPr>
      <w:r w:rsidRPr="002A2DDA">
        <w:t>Part</w:t>
      </w:r>
      <w:r w:rsidR="005E3FF4">
        <w:t xml:space="preserve"> 1: EVG, COBI, FTC, TFV and TVR</w:t>
      </w:r>
    </w:p>
    <w:p w:rsidR="002A2DDA" w:rsidRPr="002A2DDA" w:rsidRDefault="002A2DDA" w:rsidP="002A2DDA">
      <w:pPr>
        <w:pStyle w:val="ListBullet"/>
      </w:pPr>
      <w:r w:rsidRPr="002A2DDA">
        <w:lastRenderedPageBreak/>
        <w:t xml:space="preserve">Part 2: sequences </w:t>
      </w:r>
      <w:r>
        <w:t>x</w:t>
      </w:r>
      <w:r w:rsidRPr="002A2DDA">
        <w:t xml:space="preserve"> 2 </w:t>
      </w:r>
      <w:r>
        <w:t>C</w:t>
      </w:r>
      <w:r w:rsidRPr="002A2DDA">
        <w:t>ohort 1: ATV/r and TVR</w:t>
      </w:r>
    </w:p>
    <w:p w:rsidR="002A2DDA" w:rsidRPr="002A2DDA" w:rsidRDefault="002A2DDA" w:rsidP="002A2DDA">
      <w:pPr>
        <w:pStyle w:val="ListBullet"/>
      </w:pPr>
      <w:r w:rsidRPr="002A2DDA">
        <w:t xml:space="preserve">Part 2: </w:t>
      </w:r>
      <w:r>
        <w:t>C</w:t>
      </w:r>
      <w:r w:rsidR="005E3FF4">
        <w:t>ohort 2: EVG/r</w:t>
      </w:r>
    </w:p>
    <w:p w:rsidR="002A2DDA" w:rsidRPr="002A2DDA" w:rsidRDefault="002A2DDA" w:rsidP="002A2DDA">
      <w:r w:rsidRPr="002A2DDA">
        <w:t xml:space="preserve">To allow for missing information and dropouts, 16 subjects each were enrolled for </w:t>
      </w:r>
      <w:r>
        <w:t>P</w:t>
      </w:r>
      <w:r w:rsidRPr="002A2DDA">
        <w:t xml:space="preserve">art 1, 26 for the 2 sequences for </w:t>
      </w:r>
      <w:r>
        <w:t>P</w:t>
      </w:r>
      <w:r w:rsidRPr="002A2DDA">
        <w:t xml:space="preserve">art 2 </w:t>
      </w:r>
      <w:r>
        <w:t>C</w:t>
      </w:r>
      <w:r w:rsidRPr="002A2DDA">
        <w:t xml:space="preserve">ohort 1 and 12 for </w:t>
      </w:r>
      <w:r>
        <w:t>P</w:t>
      </w:r>
      <w:r w:rsidRPr="002A2DDA">
        <w:t xml:space="preserve">art 2 </w:t>
      </w:r>
      <w:r>
        <w:t>C</w:t>
      </w:r>
      <w:r w:rsidRPr="002A2DDA">
        <w:t>ohort 2 resulting in 54 subjects.</w:t>
      </w:r>
    </w:p>
    <w:p w:rsidR="002A2DDA" w:rsidRPr="002A2DDA" w:rsidRDefault="005E3FF4" w:rsidP="002A2DDA">
      <w:pPr>
        <w:pStyle w:val="Heading4"/>
      </w:pPr>
      <w:r>
        <w:t xml:space="preserve">PK sampling and </w:t>
      </w:r>
      <w:r w:rsidR="004E7D3F">
        <w:t>a</w:t>
      </w:r>
      <w:r>
        <w:t>nalysis</w:t>
      </w:r>
    </w:p>
    <w:p w:rsidR="002A2DDA" w:rsidRPr="002A2DDA" w:rsidRDefault="005E3FF4" w:rsidP="002A2DDA">
      <w:pPr>
        <w:pStyle w:val="Heading5"/>
        <w:rPr>
          <w:rFonts w:eastAsiaTheme="minorHAnsi"/>
        </w:rPr>
      </w:pPr>
      <w:r>
        <w:rPr>
          <w:rFonts w:eastAsiaTheme="minorHAnsi"/>
        </w:rPr>
        <w:t>Sampling</w:t>
      </w:r>
    </w:p>
    <w:p w:rsidR="002A2DDA" w:rsidRPr="002A2DDA" w:rsidRDefault="002A2DDA" w:rsidP="00577C16">
      <w:pPr>
        <w:pStyle w:val="ListBullet"/>
      </w:pPr>
      <w:r w:rsidRPr="002A2DDA">
        <w:t>Part 1: Plasma concentrations of TVR, EVG, COBI, FTC, and TFV were determined from intensive PK (Days 10, 33, and 50) and trough sample (predose on Days 4, 6, 8, 27, 29, 31, 44, 46</w:t>
      </w:r>
      <w:r w:rsidR="005E3FF4">
        <w:t>, and 48).</w:t>
      </w:r>
    </w:p>
    <w:p w:rsidR="002A2DDA" w:rsidRPr="002A2DDA" w:rsidRDefault="002A2DDA" w:rsidP="00577C16">
      <w:pPr>
        <w:pStyle w:val="ListBullet"/>
      </w:pPr>
      <w:r w:rsidRPr="002A2DDA">
        <w:t xml:space="preserve">Part 2: Plasma concentrations of TVR, ATV, RTV, and EVG were determined from intensive PK (Cohort 1: Days 10 and 33; Cohort 2: Days 10, 20, and 30) and trough samples (Cohort 1: predose on Days 4, 6, 8, 27, 29, and 31; Cohort 2: predose on Days 4, 6, </w:t>
      </w:r>
      <w:r w:rsidR="005E3FF4">
        <w:t>8, 14, 16, 18, 24, 26, and 28).</w:t>
      </w:r>
    </w:p>
    <w:p w:rsidR="00F3740D" w:rsidRPr="00F3740D" w:rsidRDefault="00F3740D" w:rsidP="00F3740D">
      <w:r w:rsidRPr="00F3740D">
        <w:t xml:space="preserve">On the days of intensive PK sampling, blood samples were collected at 0 (predose), 0.5, 1, 1.5, 2, 3, 4, 5, 6, 8, 10, 12, 18, and 24 hours </w:t>
      </w:r>
      <w:r w:rsidR="0091553A" w:rsidRPr="00F3740D">
        <w:t>post dose</w:t>
      </w:r>
      <w:r w:rsidRPr="00F3740D">
        <w:t>. On these days study treatments were given in the morning after an overnight fast and within 5 minutes of finishing a standard breakfast. Subjects refrained from food until after the 4</w:t>
      </w:r>
      <w:r>
        <w:t xml:space="preserve"> </w:t>
      </w:r>
      <w:r w:rsidRPr="00F3740D">
        <w:t>hour post dose sample. Water intake was restricted 1 hour b</w:t>
      </w:r>
      <w:r w:rsidR="005E3FF4">
        <w:t>efore and 2 hours after dosing.</w:t>
      </w:r>
    </w:p>
    <w:p w:rsidR="00F3740D" w:rsidRPr="00F3740D" w:rsidRDefault="00F3740D" w:rsidP="00F3740D">
      <w:pPr>
        <w:pStyle w:val="Heading5"/>
        <w:rPr>
          <w:rFonts w:eastAsiaTheme="minorHAnsi"/>
        </w:rPr>
      </w:pPr>
      <w:r w:rsidRPr="00F3740D">
        <w:rPr>
          <w:rFonts w:eastAsiaTheme="minorHAnsi"/>
        </w:rPr>
        <w:t xml:space="preserve">Analysis </w:t>
      </w:r>
    </w:p>
    <w:p w:rsidR="002A2DDA" w:rsidRDefault="00F3740D" w:rsidP="00F3740D">
      <w:r w:rsidRPr="00F3740D">
        <w:t>The following plasma PK parameters were assessed for each analyte by part and cohort: AUC</w:t>
      </w:r>
      <w:r w:rsidRPr="00F3740D">
        <w:rPr>
          <w:vertAlign w:val="subscript"/>
        </w:rPr>
        <w:t>tau</w:t>
      </w:r>
      <w:r w:rsidRPr="00F3740D">
        <w:t>, C</w:t>
      </w:r>
      <w:r w:rsidRPr="00F3740D">
        <w:rPr>
          <w:vertAlign w:val="subscript"/>
        </w:rPr>
        <w:t>tau</w:t>
      </w:r>
      <w:r w:rsidRPr="00F3740D">
        <w:t>, C</w:t>
      </w:r>
      <w:r w:rsidRPr="00F3740D">
        <w:rPr>
          <w:vertAlign w:val="subscript"/>
        </w:rPr>
        <w:t>max</w:t>
      </w:r>
      <w:r w:rsidRPr="00F3740D">
        <w:t>, Cl</w:t>
      </w:r>
      <w:r w:rsidRPr="00F3740D">
        <w:rPr>
          <w:vertAlign w:val="subscript"/>
        </w:rPr>
        <w:t>ast</w:t>
      </w:r>
      <w:r w:rsidRPr="00F3740D">
        <w:t>, T</w:t>
      </w:r>
      <w:r w:rsidRPr="00F3740D">
        <w:rPr>
          <w:vertAlign w:val="subscript"/>
        </w:rPr>
        <w:t>max</w:t>
      </w:r>
      <w:r w:rsidRPr="00F3740D">
        <w:t>, T</w:t>
      </w:r>
      <w:r w:rsidRPr="00F3740D">
        <w:rPr>
          <w:vertAlign w:val="subscript"/>
        </w:rPr>
        <w:t>last</w:t>
      </w:r>
      <w:r w:rsidRPr="00F3740D">
        <w:t>, t</w:t>
      </w:r>
      <w:r w:rsidRPr="00F3740D">
        <w:rPr>
          <w:vertAlign w:val="subscript"/>
        </w:rPr>
        <w:t>½</w:t>
      </w:r>
      <w:r w:rsidRPr="00F3740D">
        <w:t xml:space="preserve">, and </w:t>
      </w:r>
      <w:r w:rsidR="0091553A">
        <w:t>λ</w:t>
      </w:r>
      <w:r w:rsidRPr="00F3740D">
        <w:rPr>
          <w:vertAlign w:val="subscript"/>
        </w:rPr>
        <w:t>z</w:t>
      </w:r>
      <w:r w:rsidRPr="00F3740D">
        <w:t>. Concentration data were summarised across time points for each analyte by part and cohort. For each analyte the primary PK parameters (AUC</w:t>
      </w:r>
      <w:r w:rsidRPr="00471FDC">
        <w:rPr>
          <w:vertAlign w:val="subscript"/>
        </w:rPr>
        <w:t>tau</w:t>
      </w:r>
      <w:r w:rsidRPr="00F3740D">
        <w:t>, C</w:t>
      </w:r>
      <w:r w:rsidRPr="00471FDC">
        <w:rPr>
          <w:vertAlign w:val="subscript"/>
        </w:rPr>
        <w:t>max</w:t>
      </w:r>
      <w:r w:rsidRPr="00F3740D">
        <w:t>, and C</w:t>
      </w:r>
      <w:r w:rsidRPr="00471FDC">
        <w:rPr>
          <w:vertAlign w:val="subscript"/>
        </w:rPr>
        <w:t>tau</w:t>
      </w:r>
      <w:r w:rsidRPr="00F3740D">
        <w:t xml:space="preserve">) were analysed using natural-log transformed values. These values were compared between treatments by part and cohort using a parametric analysis of variance </w:t>
      </w:r>
      <w:r w:rsidR="000D10A7">
        <w:t xml:space="preserve">(ANOVA) </w:t>
      </w:r>
      <w:r w:rsidRPr="00F3740D">
        <w:t>by a mixed</w:t>
      </w:r>
      <w:r w:rsidR="00471FDC">
        <w:t xml:space="preserve"> </w:t>
      </w:r>
      <w:r w:rsidRPr="00F3740D">
        <w:t>effect model. The mixed</w:t>
      </w:r>
      <w:r w:rsidR="00471FDC">
        <w:t xml:space="preserve"> </w:t>
      </w:r>
      <w:r w:rsidRPr="00F3740D">
        <w:t xml:space="preserve">effects model included treatment as a fixed effect and subject as a random effect. </w:t>
      </w:r>
      <w:r w:rsidR="00471FDC">
        <w:t xml:space="preserve">Two </w:t>
      </w:r>
      <w:r w:rsidRPr="00F3740D">
        <w:t>sided 90% confidence intervals (CIs) were constructed for the ratio of geometric least squares means (GLSMs) for each test (T) versus reference (R) treatment. The T and R comparisons are provided below</w:t>
      </w:r>
      <w:r w:rsidR="0091553A">
        <w:t xml:space="preserve"> in Table 1</w:t>
      </w:r>
      <w:r w:rsidRPr="00F3740D">
        <w:t>.</w:t>
      </w:r>
    </w:p>
    <w:p w:rsidR="00471FDC" w:rsidRDefault="00471FDC" w:rsidP="004E7D3F">
      <w:pPr>
        <w:pStyle w:val="Tabletitle"/>
      </w:pPr>
      <w:r w:rsidRPr="006933F5">
        <w:t>Table 1: GS-US-236-0135: Statisti</w:t>
      </w:r>
      <w:r w:rsidR="005E3FF4" w:rsidRPr="006933F5">
        <w:t xml:space="preserve">cal </w:t>
      </w:r>
      <w:r w:rsidR="006933F5" w:rsidRPr="006933F5">
        <w:t>c</w:t>
      </w:r>
      <w:r w:rsidR="005E3FF4" w:rsidRPr="006933F5">
        <w:t>omparisons for PK analyses</w:t>
      </w:r>
      <w:r>
        <w:rPr>
          <w:noProof/>
          <w:lang w:eastAsia="en-AU"/>
        </w:rPr>
        <w:drawing>
          <wp:inline distT="0" distB="0" distL="0" distR="0" wp14:anchorId="77DA04C3" wp14:editId="01F5AC72">
            <wp:extent cx="5534025" cy="2351369"/>
            <wp:effectExtent l="0" t="0" r="0" b="0"/>
            <wp:docPr id="5" name="Picture 5" descr="Table 1: GS-US-236-0135: Statistical Comparisons for PK analy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531574" cy="2350327"/>
                    </a:xfrm>
                    <a:prstGeom prst="rect">
                      <a:avLst/>
                    </a:prstGeom>
                  </pic:spPr>
                </pic:pic>
              </a:graphicData>
            </a:graphic>
          </wp:inline>
        </w:drawing>
      </w:r>
    </w:p>
    <w:p w:rsidR="00471FDC" w:rsidRDefault="00471FDC" w:rsidP="00471FDC">
      <w:r w:rsidRPr="00471FDC">
        <w:t>The T treatment was concluded to be equivalent to the R treatment if the 90% CI for the ratio of GLSMs (T/R treatment) fell within 70% to 143% for AUC</w:t>
      </w:r>
      <w:r w:rsidRPr="00471FDC">
        <w:rPr>
          <w:vertAlign w:val="subscript"/>
        </w:rPr>
        <w:t>tau</w:t>
      </w:r>
      <w:r w:rsidRPr="00471FDC">
        <w:t xml:space="preserve"> and C</w:t>
      </w:r>
      <w:r w:rsidRPr="00471FDC">
        <w:rPr>
          <w:vertAlign w:val="subscript"/>
        </w:rPr>
        <w:t>max</w:t>
      </w:r>
      <w:r w:rsidR="005E3FF4">
        <w:t>.</w:t>
      </w:r>
    </w:p>
    <w:p w:rsidR="00471FDC" w:rsidRDefault="00471FDC" w:rsidP="00471FDC">
      <w:pPr>
        <w:pStyle w:val="Heading4"/>
      </w:pPr>
      <w:r>
        <w:lastRenderedPageBreak/>
        <w:t>P</w:t>
      </w:r>
      <w:r w:rsidRPr="00471FDC">
        <w:t>harmacokinet</w:t>
      </w:r>
      <w:r w:rsidR="005E3FF4">
        <w:t xml:space="preserve">ic </w:t>
      </w:r>
      <w:r w:rsidR="004E7D3F">
        <w:t>analysis s</w:t>
      </w:r>
      <w:r w:rsidR="005E3FF4">
        <w:t>ets</w:t>
      </w:r>
    </w:p>
    <w:p w:rsidR="00471FDC" w:rsidRPr="00471FDC" w:rsidRDefault="00471FDC" w:rsidP="00471FDC">
      <w:r w:rsidRPr="00471FDC">
        <w:t>All sets included all enrolled and treated subjects who had any non</w:t>
      </w:r>
      <w:r w:rsidR="0091553A">
        <w:t>-</w:t>
      </w:r>
      <w:r w:rsidRPr="00471FDC">
        <w:t>missing, paired data for key PK parameters. Excluding RTV, they comprised the following:</w:t>
      </w:r>
    </w:p>
    <w:p w:rsidR="00471FDC" w:rsidRPr="00471FDC" w:rsidRDefault="00471FDC" w:rsidP="00471FDC">
      <w:pPr>
        <w:pStyle w:val="ListBullet"/>
      </w:pPr>
      <w:r w:rsidRPr="00471FDC">
        <w:t>EVG</w:t>
      </w:r>
    </w:p>
    <w:p w:rsidR="00471FDC" w:rsidRPr="00471FDC" w:rsidRDefault="00471FDC" w:rsidP="00471FDC">
      <w:pPr>
        <w:pStyle w:val="ListBullet2"/>
      </w:pPr>
      <w:r w:rsidRPr="00471FDC">
        <w:t>1: subjects receiving the treatment pair of Treatment</w:t>
      </w:r>
      <w:r w:rsidR="005E3FF4">
        <w:t xml:space="preserve"> A versus Treatment B in Part 1</w:t>
      </w:r>
      <w:r w:rsidR="004E7D3F">
        <w:t>.</w:t>
      </w:r>
    </w:p>
    <w:p w:rsidR="00471FDC" w:rsidRPr="00471FDC" w:rsidRDefault="00471FDC" w:rsidP="00471FDC">
      <w:pPr>
        <w:pStyle w:val="ListBullet2"/>
      </w:pPr>
      <w:r w:rsidRPr="00471FDC">
        <w:t xml:space="preserve">2: subjects receiving Treatment D versus </w:t>
      </w:r>
      <w:r w:rsidR="0091553A">
        <w:t>Treatment F in Part 2 Cohort 2</w:t>
      </w:r>
      <w:r w:rsidR="004E7D3F">
        <w:t>.</w:t>
      </w:r>
    </w:p>
    <w:p w:rsidR="00471FDC" w:rsidRPr="00471FDC" w:rsidRDefault="00471FDC" w:rsidP="00471FDC">
      <w:pPr>
        <w:pStyle w:val="ListBullet2"/>
      </w:pPr>
      <w:r w:rsidRPr="00471FDC">
        <w:t>3: subjects receiving Treatment D versus</w:t>
      </w:r>
      <w:r w:rsidR="0091553A">
        <w:t xml:space="preserve"> Treatment G in Part 2 Cohort 2</w:t>
      </w:r>
      <w:r w:rsidR="004E7D3F">
        <w:t>.</w:t>
      </w:r>
    </w:p>
    <w:p w:rsidR="00471FDC" w:rsidRPr="00471FDC" w:rsidRDefault="00471FDC" w:rsidP="00471FDC">
      <w:pPr>
        <w:pStyle w:val="ListBullet2"/>
      </w:pPr>
      <w:r w:rsidRPr="00471FDC">
        <w:t xml:space="preserve">4: subjects receiving </w:t>
      </w:r>
      <w:r w:rsidR="005E3FF4">
        <w:t>Treatment D in Part 2 Cohort 1.</w:t>
      </w:r>
    </w:p>
    <w:p w:rsidR="00471FDC" w:rsidRPr="00471FDC" w:rsidRDefault="0091553A" w:rsidP="00471FDC">
      <w:pPr>
        <w:pStyle w:val="ListBullet"/>
      </w:pPr>
      <w:r>
        <w:t>TVR</w:t>
      </w:r>
    </w:p>
    <w:p w:rsidR="00471FDC" w:rsidRPr="00471FDC" w:rsidRDefault="00471FDC" w:rsidP="00471FDC">
      <w:pPr>
        <w:pStyle w:val="ListBullet2"/>
      </w:pPr>
      <w:r w:rsidRPr="00471FDC">
        <w:t xml:space="preserve">1: subjects receiving the treatment pair of Treatment A versus Treatment C in </w:t>
      </w:r>
      <w:r w:rsidR="0091553A">
        <w:t>Part 1</w:t>
      </w:r>
      <w:r w:rsidR="004E7D3F">
        <w:t>.</w:t>
      </w:r>
    </w:p>
    <w:p w:rsidR="00471FDC" w:rsidRPr="00471FDC" w:rsidRDefault="00471FDC" w:rsidP="00471FDC">
      <w:pPr>
        <w:pStyle w:val="ListBullet2"/>
      </w:pPr>
      <w:r w:rsidRPr="00471FDC">
        <w:t xml:space="preserve">2: subjects receiving the treatment pair of Treatment D (Sequence 2, DC) versus </w:t>
      </w:r>
      <w:r>
        <w:t>T</w:t>
      </w:r>
      <w:r w:rsidRPr="00471FDC">
        <w:t>reatment C (Sequ</w:t>
      </w:r>
      <w:r w:rsidR="0091553A">
        <w:t>ence 2, DC) in Part 2 Cohort 1</w:t>
      </w:r>
      <w:r w:rsidR="004E7D3F">
        <w:t>.</w:t>
      </w:r>
    </w:p>
    <w:p w:rsidR="00471FDC" w:rsidRPr="00471FDC" w:rsidRDefault="00471FDC" w:rsidP="00471FDC">
      <w:pPr>
        <w:pStyle w:val="ListBullet2"/>
      </w:pPr>
      <w:r w:rsidRPr="00471FDC">
        <w:t>3: subjects receiving Treatment D in Part 2 Cohort 1 (Seque</w:t>
      </w:r>
      <w:r w:rsidR="0091553A">
        <w:t>nce 1, DE) and Part 2 Cohort 2.</w:t>
      </w:r>
    </w:p>
    <w:p w:rsidR="00471FDC" w:rsidRPr="00471FDC" w:rsidRDefault="00471FDC" w:rsidP="00B004FD">
      <w:pPr>
        <w:pStyle w:val="ListBullet"/>
      </w:pPr>
      <w:r w:rsidRPr="00471FDC">
        <w:t>ATV</w:t>
      </w:r>
    </w:p>
    <w:p w:rsidR="00471FDC" w:rsidRPr="00471FDC" w:rsidRDefault="00471FDC" w:rsidP="00B004FD">
      <w:pPr>
        <w:pStyle w:val="ListBullet2"/>
      </w:pPr>
      <w:r w:rsidRPr="00471FDC">
        <w:t>1: subjects receiving the treatment pair of Treatment D in Part 2 Cohort 1 (Sequence 1, DE) versus Treatment E in Part 2 Cohort 1.</w:t>
      </w:r>
    </w:p>
    <w:p w:rsidR="00B004FD" w:rsidRPr="005E3FF4" w:rsidRDefault="00471FDC" w:rsidP="005E3FF4">
      <w:pPr>
        <w:pStyle w:val="ListBullet2"/>
      </w:pPr>
      <w:r w:rsidRPr="005E3FF4">
        <w:t xml:space="preserve">2: subjects receiving Treatment D in Part 2 Cohort 1 (Sequence 2, DC) and Part 2 Cohort 2, and Treatment G </w:t>
      </w:r>
      <w:r w:rsidR="005E3FF4" w:rsidRPr="005E3FF4">
        <w:t>in Part 2 Cohort 2.</w:t>
      </w:r>
    </w:p>
    <w:p w:rsidR="00B004FD" w:rsidRPr="00B004FD" w:rsidRDefault="00B004FD" w:rsidP="00B004FD">
      <w:pPr>
        <w:pStyle w:val="ListBullet"/>
      </w:pPr>
      <w:r w:rsidRPr="00B004FD">
        <w:t>COBI, FTC and TFV: subjects receiving Treatment</w:t>
      </w:r>
      <w:r w:rsidR="0091553A">
        <w:t xml:space="preserve"> A versus Treatment B in Part 1</w:t>
      </w:r>
      <w:r w:rsidR="004E7D3F">
        <w:t>.</w:t>
      </w:r>
    </w:p>
    <w:p w:rsidR="00B004FD" w:rsidRPr="00B004FD" w:rsidRDefault="00B004FD" w:rsidP="00B004FD">
      <w:pPr>
        <w:pStyle w:val="ListBullet"/>
      </w:pPr>
      <w:r w:rsidRPr="00B004FD">
        <w:t>Trough PK: all subjects who had any non</w:t>
      </w:r>
      <w:r w:rsidR="00316C97">
        <w:t>-</w:t>
      </w:r>
      <w:r w:rsidRPr="00B004FD">
        <w:t>missing concentration data for any analyte.</w:t>
      </w:r>
    </w:p>
    <w:p w:rsidR="00B004FD" w:rsidRPr="00B004FD" w:rsidRDefault="00B004FD" w:rsidP="00B004FD">
      <w:pPr>
        <w:pStyle w:val="Heading4"/>
      </w:pPr>
      <w:r w:rsidRPr="00B004FD">
        <w:t>Study subjects</w:t>
      </w:r>
    </w:p>
    <w:p w:rsidR="00B004FD" w:rsidRPr="00B004FD" w:rsidRDefault="0091553A" w:rsidP="00B004FD">
      <w:r>
        <w:t xml:space="preserve">54 subjects were enrolled and </w:t>
      </w:r>
      <w:r w:rsidR="00B004FD" w:rsidRPr="00B004FD">
        <w:t>randomised as follows:</w:t>
      </w:r>
    </w:p>
    <w:p w:rsidR="00B004FD" w:rsidRPr="00B004FD" w:rsidRDefault="00B004FD" w:rsidP="00B004FD">
      <w:pPr>
        <w:pStyle w:val="ListBullet"/>
      </w:pPr>
      <w:r w:rsidRPr="00B004FD">
        <w:t>Part 1: 16 subjects to receive Treatments A, B, and C Part 2 Cohort 1, Sequence 1 (DE): 13 to receive Treatments D and E</w:t>
      </w:r>
      <w:r w:rsidR="004E7D3F">
        <w:t>.</w:t>
      </w:r>
    </w:p>
    <w:p w:rsidR="00B004FD" w:rsidRPr="00B004FD" w:rsidRDefault="00B004FD" w:rsidP="00B004FD">
      <w:pPr>
        <w:pStyle w:val="ListBullet"/>
      </w:pPr>
      <w:r w:rsidRPr="00B004FD">
        <w:t>Part 2 Cohort 1, Sequence 2 (DC): 13 to receive Treatments D and C</w:t>
      </w:r>
      <w:r w:rsidR="004E7D3F">
        <w:t>.</w:t>
      </w:r>
    </w:p>
    <w:p w:rsidR="00B004FD" w:rsidRPr="00B004FD" w:rsidRDefault="00B004FD" w:rsidP="00B004FD">
      <w:pPr>
        <w:pStyle w:val="ListBullet"/>
      </w:pPr>
      <w:r w:rsidRPr="00B004FD">
        <w:t>Part 2 Cohort 2: 12 subjects enrolled to receive Treatments D, F, and G</w:t>
      </w:r>
      <w:r w:rsidR="0091553A">
        <w:t>.</w:t>
      </w:r>
    </w:p>
    <w:p w:rsidR="00471FDC" w:rsidRPr="00B004FD" w:rsidRDefault="00B004FD" w:rsidP="00B004FD">
      <w:r w:rsidRPr="00B004FD">
        <w:t xml:space="preserve">48 subjects completed the study. </w:t>
      </w:r>
      <w:r>
        <w:t xml:space="preserve">One </w:t>
      </w:r>
      <w:r w:rsidRPr="00B004FD">
        <w:t xml:space="preserve">subject in Part 1 discontinued due to a protocol violation. </w:t>
      </w:r>
      <w:r>
        <w:t xml:space="preserve">Five </w:t>
      </w:r>
      <w:r w:rsidRPr="00B004FD">
        <w:t>subjects in Part 2 Cohort 1 discontinued due to adverse events (AEs) all with TVR+ATV/r</w:t>
      </w:r>
      <w:r>
        <w:t xml:space="preserve"> </w:t>
      </w:r>
      <w:r w:rsidRPr="00B004FD">
        <w:t>+</w:t>
      </w:r>
      <w:r>
        <w:t xml:space="preserve"> </w:t>
      </w:r>
      <w:r w:rsidRPr="00B004FD">
        <w:t>EVG 85 mg (Treatment D).</w:t>
      </w:r>
    </w:p>
    <w:p w:rsidR="00B004FD" w:rsidRPr="00B004FD" w:rsidRDefault="00B004FD" w:rsidP="00B004FD">
      <w:pPr>
        <w:pStyle w:val="Heading4"/>
      </w:pPr>
      <w:r w:rsidRPr="00B004FD">
        <w:t>Major protocol violations/deviations</w:t>
      </w:r>
    </w:p>
    <w:p w:rsidR="00B004FD" w:rsidRPr="00B004FD" w:rsidRDefault="00B004FD" w:rsidP="00B004FD">
      <w:r>
        <w:t>One</w:t>
      </w:r>
      <w:r w:rsidRPr="00B004FD">
        <w:t xml:space="preserve"> subject in Part 1 did not return for the 3</w:t>
      </w:r>
      <w:r w:rsidRPr="00B004FD">
        <w:rPr>
          <w:vertAlign w:val="superscript"/>
        </w:rPr>
        <w:t>rd</w:t>
      </w:r>
      <w:r>
        <w:rPr>
          <w:vertAlign w:val="superscript"/>
        </w:rPr>
        <w:t xml:space="preserve"> </w:t>
      </w:r>
      <w:r w:rsidRPr="00B004FD">
        <w:t>period and was classified as discontinued due to a protocol violation.</w:t>
      </w:r>
    </w:p>
    <w:p w:rsidR="00B004FD" w:rsidRPr="00B004FD" w:rsidRDefault="00B004FD" w:rsidP="00B004FD">
      <w:pPr>
        <w:pStyle w:val="Heading4"/>
      </w:pPr>
      <w:r w:rsidRPr="00B004FD">
        <w:t>Baseline data</w:t>
      </w:r>
    </w:p>
    <w:p w:rsidR="00B004FD" w:rsidRPr="00B004FD" w:rsidRDefault="00B004FD" w:rsidP="00B004FD">
      <w:r w:rsidRPr="00B004FD">
        <w:t xml:space="preserve">Data </w:t>
      </w:r>
      <w:r>
        <w:t>a</w:t>
      </w:r>
      <w:r w:rsidRPr="00B004FD">
        <w:t>re provided showing that:</w:t>
      </w:r>
    </w:p>
    <w:p w:rsidR="00B004FD" w:rsidRPr="00B004FD" w:rsidRDefault="00B004FD" w:rsidP="00B004FD">
      <w:pPr>
        <w:pStyle w:val="ListBullet"/>
      </w:pPr>
      <w:r w:rsidRPr="00B004FD">
        <w:t>The mean age of subjects was 37 years (range: 24</w:t>
      </w:r>
      <w:r>
        <w:t xml:space="preserve"> </w:t>
      </w:r>
      <w:r w:rsidR="0091553A">
        <w:t xml:space="preserve">to </w:t>
      </w:r>
      <w:r w:rsidRPr="00B004FD">
        <w:t>45).</w:t>
      </w:r>
    </w:p>
    <w:p w:rsidR="00B004FD" w:rsidRPr="00B004FD" w:rsidRDefault="00B004FD" w:rsidP="00B004FD">
      <w:pPr>
        <w:pStyle w:val="ListBullet"/>
      </w:pPr>
      <w:r w:rsidRPr="00B004FD">
        <w:t>There was an approximately even distribution of males and females.</w:t>
      </w:r>
    </w:p>
    <w:p w:rsidR="00B004FD" w:rsidRPr="00B004FD" w:rsidRDefault="00B004FD" w:rsidP="00B004FD">
      <w:pPr>
        <w:pStyle w:val="ListBullet"/>
      </w:pPr>
      <w:r w:rsidRPr="00B004FD">
        <w:t xml:space="preserve">Most subjects were </w:t>
      </w:r>
      <w:r w:rsidR="00B90068">
        <w:t>White</w:t>
      </w:r>
      <w:r w:rsidRPr="00B004FD">
        <w:t xml:space="preserve"> (79.6%, 43/54) and of Hispanic/Latino ethnicity (92.6%, 50/54).</w:t>
      </w:r>
    </w:p>
    <w:p w:rsidR="00B004FD" w:rsidRPr="00B004FD" w:rsidRDefault="00B004FD" w:rsidP="00B004FD">
      <w:pPr>
        <w:pStyle w:val="ListBullet"/>
      </w:pPr>
      <w:r w:rsidRPr="00B004FD">
        <w:t>The mean baseline BMI was 26.2 kg/m</w:t>
      </w:r>
      <w:r>
        <w:rPr>
          <w:vertAlign w:val="superscript"/>
        </w:rPr>
        <w:t>2</w:t>
      </w:r>
      <w:r w:rsidRPr="00B004FD">
        <w:t xml:space="preserve"> and the mean eGFR</w:t>
      </w:r>
      <w:r>
        <w:rPr>
          <w:vertAlign w:val="subscript"/>
        </w:rPr>
        <w:t>CG</w:t>
      </w:r>
      <w:r w:rsidR="00316C97">
        <w:t xml:space="preserve"> was 126.3 mL/min.</w:t>
      </w:r>
    </w:p>
    <w:p w:rsidR="00B004FD" w:rsidRPr="00B004FD" w:rsidRDefault="00B004FD" w:rsidP="00B004FD">
      <w:pPr>
        <w:pStyle w:val="ListBullet"/>
      </w:pPr>
      <w:r w:rsidRPr="00B004FD">
        <w:lastRenderedPageBreak/>
        <w:t>Subject demographics were generally similar between parts, cohorts, and sequences.</w:t>
      </w:r>
    </w:p>
    <w:p w:rsidR="00B004FD" w:rsidRPr="00B004FD" w:rsidRDefault="00B004FD" w:rsidP="00B004FD">
      <w:r w:rsidRPr="00B004FD">
        <w:t>The table below shows the numbers in each analysis set.</w:t>
      </w:r>
    </w:p>
    <w:p w:rsidR="00B004FD" w:rsidRPr="00B004FD" w:rsidRDefault="00B004FD" w:rsidP="00B004FD">
      <w:pPr>
        <w:pStyle w:val="Tabletitle"/>
        <w:rPr>
          <w:rFonts w:eastAsiaTheme="minorHAnsi"/>
          <w:sz w:val="24"/>
          <w:szCs w:val="24"/>
        </w:rPr>
      </w:pPr>
      <w:r>
        <w:rPr>
          <w:rFonts w:eastAsiaTheme="minorHAnsi"/>
          <w:sz w:val="24"/>
          <w:szCs w:val="24"/>
        </w:rPr>
        <w:t xml:space="preserve">Table 2: </w:t>
      </w:r>
      <w:r w:rsidR="00316C97">
        <w:t xml:space="preserve">GS-US-236-0135: </w:t>
      </w:r>
      <w:r w:rsidR="006933F5">
        <w:t>A</w:t>
      </w:r>
      <w:r w:rsidR="0091553A">
        <w:t>nalysis sets</w:t>
      </w:r>
    </w:p>
    <w:p w:rsidR="00471FDC" w:rsidRDefault="00B004FD" w:rsidP="004E7D3F">
      <w:r>
        <w:rPr>
          <w:noProof/>
          <w:lang w:eastAsia="en-AU"/>
        </w:rPr>
        <w:drawing>
          <wp:inline distT="0" distB="0" distL="0" distR="0" wp14:anchorId="131E0F3B" wp14:editId="033AF8BE">
            <wp:extent cx="5369357" cy="3183179"/>
            <wp:effectExtent l="0" t="0" r="3175" b="0"/>
            <wp:docPr id="6" name="Picture 6" descr="Table 2: GS-US-236-0135: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75093" cy="3186580"/>
                    </a:xfrm>
                    <a:prstGeom prst="rect">
                      <a:avLst/>
                    </a:prstGeom>
                  </pic:spPr>
                </pic:pic>
              </a:graphicData>
            </a:graphic>
          </wp:inline>
        </w:drawing>
      </w:r>
    </w:p>
    <w:p w:rsidR="00B004FD" w:rsidRPr="00B004FD" w:rsidRDefault="00B004FD" w:rsidP="00B004FD">
      <w:pPr>
        <w:pStyle w:val="Heading4"/>
      </w:pPr>
      <w:r w:rsidRPr="00B004FD">
        <w:t>Results</w:t>
      </w:r>
    </w:p>
    <w:p w:rsidR="00B004FD" w:rsidRPr="00B004FD" w:rsidRDefault="00B004FD" w:rsidP="00B004FD">
      <w:pPr>
        <w:pStyle w:val="Heading5"/>
        <w:rPr>
          <w:rFonts w:eastAsiaTheme="minorHAnsi"/>
        </w:rPr>
      </w:pPr>
      <w:r w:rsidRPr="00B004FD">
        <w:rPr>
          <w:rFonts w:eastAsiaTheme="minorHAnsi"/>
        </w:rPr>
        <w:t xml:space="preserve">Pharmacokinetics of </w:t>
      </w:r>
      <w:r w:rsidR="0091553A" w:rsidRPr="00B004FD">
        <w:rPr>
          <w:rFonts w:eastAsiaTheme="minorHAnsi"/>
        </w:rPr>
        <w:t>e</w:t>
      </w:r>
      <w:r w:rsidRPr="00B004FD">
        <w:rPr>
          <w:rFonts w:eastAsiaTheme="minorHAnsi"/>
        </w:rPr>
        <w:t>lvitegravir</w:t>
      </w:r>
    </w:p>
    <w:p w:rsidR="00B004FD" w:rsidRPr="00B004FD" w:rsidRDefault="00B004FD" w:rsidP="00B004FD">
      <w:r w:rsidRPr="00B004FD">
        <w:t>Mean (SD) EVG plasma concentration</w:t>
      </w:r>
      <w:r>
        <w:t xml:space="preserve"> </w:t>
      </w:r>
      <w:r w:rsidRPr="00B004FD">
        <w:t>time profiles after STB, TVR</w:t>
      </w:r>
      <w:r>
        <w:t xml:space="preserve"> </w:t>
      </w:r>
      <w:r w:rsidRPr="00B004FD">
        <w:t>+</w:t>
      </w:r>
      <w:r>
        <w:t xml:space="preserve"> </w:t>
      </w:r>
      <w:r w:rsidRPr="00B004FD">
        <w:t>STB, TVR</w:t>
      </w:r>
      <w:r>
        <w:t xml:space="preserve"> </w:t>
      </w:r>
      <w:r w:rsidRPr="00B004FD">
        <w:t>+</w:t>
      </w:r>
      <w:r>
        <w:t xml:space="preserve"> </w:t>
      </w:r>
      <w:r w:rsidRPr="00B004FD">
        <w:t>ATV/r</w:t>
      </w:r>
      <w:r>
        <w:t xml:space="preserve"> </w:t>
      </w:r>
      <w:r w:rsidRPr="00B004FD">
        <w:t>+ EVG 85 mg, ATV/r + EVG 85 mg of EVG, or EVG 150</w:t>
      </w:r>
      <w:r>
        <w:t xml:space="preserve"> </w:t>
      </w:r>
      <w:r w:rsidRPr="00B004FD">
        <w:t>mg/r are shown in the figure below. The profiles were similar across treatments though slightly higher with STB relative to the other treatments.</w:t>
      </w:r>
    </w:p>
    <w:p w:rsidR="00B004FD" w:rsidRPr="00B004FD" w:rsidRDefault="00B004FD" w:rsidP="00316C97">
      <w:pPr>
        <w:pStyle w:val="FigureTitle"/>
        <w:keepNext/>
        <w:keepLines/>
      </w:pPr>
      <w:r w:rsidRPr="00B004FD">
        <w:t xml:space="preserve">Figure 3: GS-US-236-0135: Mean (SD) </w:t>
      </w:r>
      <w:r w:rsidR="0091553A" w:rsidRPr="00B004FD">
        <w:t xml:space="preserve">plasma concentration-time profile of elvitegravir </w:t>
      </w:r>
      <w:r w:rsidR="0091553A">
        <w:t>a</w:t>
      </w:r>
      <w:r w:rsidR="0091553A" w:rsidRPr="00B004FD">
        <w:t xml:space="preserve">fter treatment </w:t>
      </w:r>
      <w:r w:rsidRPr="00B004FD">
        <w:t xml:space="preserve">A, B, D, F, or G </w:t>
      </w:r>
      <w:r w:rsidR="0091553A" w:rsidRPr="00B004FD">
        <w:t>a</w:t>
      </w:r>
      <w:r w:rsidRPr="00B004FD">
        <w:t xml:space="preserve">dministration to 24 hours (EVG PK </w:t>
      </w:r>
      <w:r w:rsidR="0091553A" w:rsidRPr="00B004FD">
        <w:t>analysis s</w:t>
      </w:r>
      <w:r w:rsidRPr="00B004FD">
        <w:t>et)</w:t>
      </w:r>
    </w:p>
    <w:p w:rsidR="00471FDC" w:rsidRDefault="00B004FD" w:rsidP="004E7D3F">
      <w:r w:rsidRPr="0091553A">
        <w:rPr>
          <w:noProof/>
          <w:lang w:eastAsia="en-AU"/>
        </w:rPr>
        <w:drawing>
          <wp:inline distT="0" distB="0" distL="0" distR="0" wp14:anchorId="4C2BB227" wp14:editId="435E68C8">
            <wp:extent cx="3912861" cy="2977286"/>
            <wp:effectExtent l="0" t="0" r="0" b="0"/>
            <wp:docPr id="7" name="Picture 7" descr="Figure 3: GS-US-236-0135: Mean (SD) Plasma Concentration-Time Profile of Elvitegravir after Treatment A, B, D, F, or G Administration to 24 hours (EVG PK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912771" cy="2977217"/>
                    </a:xfrm>
                    <a:prstGeom prst="rect">
                      <a:avLst/>
                    </a:prstGeom>
                  </pic:spPr>
                </pic:pic>
              </a:graphicData>
            </a:graphic>
          </wp:inline>
        </w:drawing>
      </w:r>
    </w:p>
    <w:p w:rsidR="00B004FD" w:rsidRDefault="00B004FD" w:rsidP="00471FDC">
      <w:r>
        <w:lastRenderedPageBreak/>
        <w:t>The EVG PK parameters are shown in the following table. Overall, the plasma EVG PK parameters were similar across treatments except for a slightly higher C</w:t>
      </w:r>
      <w:r w:rsidRPr="00B004FD">
        <w:rPr>
          <w:vertAlign w:val="subscript"/>
        </w:rPr>
        <w:t>tau</w:t>
      </w:r>
      <w:r>
        <w:t xml:space="preserve"> with TVR containing treatments.</w:t>
      </w:r>
    </w:p>
    <w:p w:rsidR="004E7D3F" w:rsidRDefault="00B004FD" w:rsidP="004E7D3F">
      <w:pPr>
        <w:pStyle w:val="Tabletitle"/>
      </w:pPr>
      <w:r>
        <w:t xml:space="preserve">Table 3: GS-US-236-0135: Summary </w:t>
      </w:r>
      <w:r w:rsidR="004C1F75">
        <w:t xml:space="preserve">of elvitegravir pharmacokinetic parameters </w:t>
      </w:r>
      <w:r>
        <w:t xml:space="preserve">(EVG PK </w:t>
      </w:r>
      <w:r w:rsidR="004C1F75">
        <w:t>analysis s</w:t>
      </w:r>
      <w:r>
        <w:t>et)</w:t>
      </w:r>
    </w:p>
    <w:p w:rsidR="009346B3" w:rsidRDefault="00B004FD" w:rsidP="004E7D3F">
      <w:r>
        <w:rPr>
          <w:noProof/>
          <w:lang w:eastAsia="en-AU"/>
        </w:rPr>
        <w:drawing>
          <wp:inline distT="0" distB="0" distL="0" distR="0" wp14:anchorId="12275DA6" wp14:editId="0B4052BE">
            <wp:extent cx="5731510" cy="3212952"/>
            <wp:effectExtent l="0" t="0" r="2540" b="6985"/>
            <wp:docPr id="8" name="Picture 8" descr="Table 3: GS-US-236-0135: Summary of elvitegravir pharmacokinetic parameters (EVG PK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3212952"/>
                    </a:xfrm>
                    <a:prstGeom prst="rect">
                      <a:avLst/>
                    </a:prstGeom>
                  </pic:spPr>
                </pic:pic>
              </a:graphicData>
            </a:graphic>
          </wp:inline>
        </w:drawing>
      </w:r>
    </w:p>
    <w:p w:rsidR="009346B3" w:rsidRPr="009346B3" w:rsidRDefault="009346B3" w:rsidP="009346B3">
      <w:r w:rsidRPr="009346B3">
        <w:t>Results of the statistical analyses are presented below.</w:t>
      </w:r>
    </w:p>
    <w:p w:rsidR="009346B3" w:rsidRPr="009346B3" w:rsidRDefault="009346B3" w:rsidP="009346B3">
      <w:r w:rsidRPr="009346B3">
        <w:t>These data show that the 90% CIs for the GLSM ratios for AUC</w:t>
      </w:r>
      <w:r w:rsidRPr="009346B3">
        <w:rPr>
          <w:vertAlign w:val="subscript"/>
        </w:rPr>
        <w:t xml:space="preserve">tau </w:t>
      </w:r>
      <w:r w:rsidRPr="009346B3">
        <w:t>and C</w:t>
      </w:r>
      <w:r w:rsidRPr="004C1F75">
        <w:rPr>
          <w:vertAlign w:val="subscript"/>
        </w:rPr>
        <w:t>max</w:t>
      </w:r>
      <w:r w:rsidRPr="009346B3">
        <w:t xml:space="preserve"> were within the 70</w:t>
      </w:r>
      <w:r>
        <w:t xml:space="preserve"> to </w:t>
      </w:r>
      <w:r w:rsidRPr="009346B3">
        <w:t>143% lack</w:t>
      </w:r>
      <w:r>
        <w:t xml:space="preserve"> </w:t>
      </w:r>
      <w:r w:rsidRPr="009346B3">
        <w:t>of</w:t>
      </w:r>
      <w:r>
        <w:t xml:space="preserve"> </w:t>
      </w:r>
      <w:r w:rsidRPr="009346B3">
        <w:t>effect boundaries except for the following:</w:t>
      </w:r>
    </w:p>
    <w:p w:rsidR="009346B3" w:rsidRPr="009346B3" w:rsidRDefault="009346B3" w:rsidP="009346B3">
      <w:pPr>
        <w:pStyle w:val="ListBullet"/>
      </w:pPr>
      <w:r w:rsidRPr="009346B3">
        <w:t xml:space="preserve">Part 2 </w:t>
      </w:r>
      <w:r>
        <w:t>C</w:t>
      </w:r>
      <w:r w:rsidRPr="009346B3">
        <w:t>ohort 2: C</w:t>
      </w:r>
      <w:r w:rsidRPr="009346B3">
        <w:rPr>
          <w:vertAlign w:val="subscript"/>
        </w:rPr>
        <w:t xml:space="preserve">max </w:t>
      </w:r>
      <w:r w:rsidRPr="009346B3">
        <w:t>for TVR</w:t>
      </w:r>
      <w:r>
        <w:t xml:space="preserve"> </w:t>
      </w:r>
      <w:r w:rsidRPr="009346B3">
        <w:t>+</w:t>
      </w:r>
      <w:r>
        <w:t xml:space="preserve"> </w:t>
      </w:r>
      <w:r w:rsidRPr="009346B3">
        <w:t>ATV/r</w:t>
      </w:r>
      <w:r>
        <w:t xml:space="preserve"> </w:t>
      </w:r>
      <w:r w:rsidRPr="009346B3">
        <w:t>+</w:t>
      </w:r>
      <w:r>
        <w:t xml:space="preserve"> </w:t>
      </w:r>
      <w:r w:rsidRPr="009346B3">
        <w:t>EVG 85 mg versus 150 mg of EVG/r was slightly below the lower boundary</w:t>
      </w:r>
      <w:r w:rsidR="004E7D3F">
        <w:t>.</w:t>
      </w:r>
    </w:p>
    <w:p w:rsidR="009346B3" w:rsidRPr="009346B3" w:rsidRDefault="009346B3" w:rsidP="009346B3">
      <w:pPr>
        <w:pStyle w:val="ListBullet"/>
      </w:pPr>
      <w:r w:rsidRPr="009346B3">
        <w:t>Part 1: C</w:t>
      </w:r>
      <w:r w:rsidRPr="009346B3">
        <w:rPr>
          <w:vertAlign w:val="subscript"/>
        </w:rPr>
        <w:t>tau</w:t>
      </w:r>
      <w:r w:rsidRPr="009346B3">
        <w:t xml:space="preserve"> was slightly above the upper boundary</w:t>
      </w:r>
      <w:r w:rsidR="004E7D3F">
        <w:t>.</w:t>
      </w:r>
    </w:p>
    <w:p w:rsidR="009346B3" w:rsidRPr="009346B3" w:rsidRDefault="009346B3" w:rsidP="009346B3">
      <w:pPr>
        <w:pStyle w:val="ListBullet"/>
      </w:pPr>
      <w:r w:rsidRPr="009346B3">
        <w:t xml:space="preserve">Part 2 </w:t>
      </w:r>
      <w:r>
        <w:t>C</w:t>
      </w:r>
      <w:r w:rsidRPr="009346B3">
        <w:t>ohorts 1 and 2: C</w:t>
      </w:r>
      <w:r w:rsidRPr="009346B3">
        <w:rPr>
          <w:vertAlign w:val="subscript"/>
        </w:rPr>
        <w:t>tau</w:t>
      </w:r>
      <w:r w:rsidRPr="009346B3">
        <w:t xml:space="preserve"> was notably above the upper boundary</w:t>
      </w:r>
      <w:r w:rsidR="00F92812">
        <w:t>.</w:t>
      </w:r>
    </w:p>
    <w:p w:rsidR="009346B3" w:rsidRPr="009346B3" w:rsidRDefault="009346B3" w:rsidP="009346B3">
      <w:pPr>
        <w:pStyle w:val="Tabletitle"/>
      </w:pPr>
      <w:r w:rsidRPr="009346B3">
        <w:lastRenderedPageBreak/>
        <w:t xml:space="preserve">Table 4: GS-US-236-0135: </w:t>
      </w:r>
      <w:r w:rsidR="004C1F75" w:rsidRPr="009346B3">
        <w:t xml:space="preserve">statistical comparisons of elvitegravir pharmacokinetic parameters for test versus reference treatments </w:t>
      </w:r>
      <w:r w:rsidRPr="009346B3">
        <w:t xml:space="preserve">(All PK </w:t>
      </w:r>
      <w:r w:rsidR="004C1F75" w:rsidRPr="009346B3">
        <w:t>analysis s</w:t>
      </w:r>
      <w:r w:rsidRPr="009346B3">
        <w:t>et)</w:t>
      </w:r>
    </w:p>
    <w:p w:rsidR="009346B3" w:rsidRPr="009346B3" w:rsidRDefault="009346B3" w:rsidP="004E7D3F">
      <w:r>
        <w:rPr>
          <w:noProof/>
          <w:lang w:eastAsia="en-AU"/>
        </w:rPr>
        <w:drawing>
          <wp:inline distT="0" distB="0" distL="0" distR="0" wp14:anchorId="7E7DB4C5" wp14:editId="378CE307">
            <wp:extent cx="4545861" cy="3533241"/>
            <wp:effectExtent l="0" t="0" r="7620" b="0"/>
            <wp:docPr id="9" name="Picture 9" descr="Table 4: GS-US-236-0135: statistical comparisons of elvitegravir pharmacokinetic parameters for test versus reference treatments (All PK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45679" cy="3533100"/>
                    </a:xfrm>
                    <a:prstGeom prst="rect">
                      <a:avLst/>
                    </a:prstGeom>
                  </pic:spPr>
                </pic:pic>
              </a:graphicData>
            </a:graphic>
          </wp:inline>
        </w:drawing>
      </w:r>
    </w:p>
    <w:p w:rsidR="009346B3" w:rsidRPr="009346B3" w:rsidRDefault="009346B3" w:rsidP="009346B3">
      <w:r w:rsidRPr="009346B3">
        <w:t>It is noted that the mean EVG C</w:t>
      </w:r>
      <w:r w:rsidRPr="009346B3">
        <w:rPr>
          <w:vertAlign w:val="subscript"/>
        </w:rPr>
        <w:t>tau</w:t>
      </w:r>
      <w:r w:rsidRPr="009346B3">
        <w:t xml:space="preserve"> with TVR + STB or + ATV/r</w:t>
      </w:r>
      <w:r>
        <w:t xml:space="preserve"> </w:t>
      </w:r>
      <w:r w:rsidRPr="009346B3">
        <w:t>+</w:t>
      </w:r>
      <w:r>
        <w:t xml:space="preserve"> </w:t>
      </w:r>
      <w:r w:rsidRPr="009346B3">
        <w:t>EVG 85 mg was</w:t>
      </w:r>
      <w:r>
        <w:t xml:space="preserve"> &gt; </w:t>
      </w:r>
      <w:r w:rsidRPr="009346B3">
        <w:t>10</w:t>
      </w:r>
      <w:r>
        <w:t xml:space="preserve"> </w:t>
      </w:r>
      <w:r w:rsidRPr="009346B3">
        <w:t>fold above the protein binding adjusted concentration of 45 ng/mL that resulted in 95% inhibition (IC</w:t>
      </w:r>
      <w:r w:rsidRPr="009346B3">
        <w:rPr>
          <w:vertAlign w:val="subscript"/>
        </w:rPr>
        <w:t>95</w:t>
      </w:r>
      <w:r w:rsidRPr="009346B3">
        <w:t>), the key parameter for the efficacy of EVG.</w:t>
      </w:r>
    </w:p>
    <w:p w:rsidR="009346B3" w:rsidRPr="009346B3" w:rsidRDefault="009346B3" w:rsidP="009346B3">
      <w:pPr>
        <w:pStyle w:val="Heading5"/>
        <w:rPr>
          <w:rFonts w:eastAsiaTheme="minorHAnsi"/>
        </w:rPr>
      </w:pPr>
      <w:r w:rsidRPr="009346B3">
        <w:rPr>
          <w:rFonts w:eastAsiaTheme="minorHAnsi"/>
        </w:rPr>
        <w:t xml:space="preserve">Cobicistat </w:t>
      </w:r>
      <w:r w:rsidR="004C1F75" w:rsidRPr="009346B3">
        <w:rPr>
          <w:rFonts w:eastAsiaTheme="minorHAnsi"/>
        </w:rPr>
        <w:t>pharmacokinetic parameters</w:t>
      </w:r>
    </w:p>
    <w:p w:rsidR="009346B3" w:rsidRPr="009346B3" w:rsidRDefault="009346B3" w:rsidP="009346B3">
      <w:r w:rsidRPr="009346B3">
        <w:t>COBI PK parameters after TVR</w:t>
      </w:r>
      <w:r>
        <w:t xml:space="preserve"> </w:t>
      </w:r>
      <w:r w:rsidRPr="009346B3">
        <w:t>+</w:t>
      </w:r>
      <w:r>
        <w:t xml:space="preserve"> </w:t>
      </w:r>
      <w:r w:rsidRPr="009346B3">
        <w:t>STB or STB alone are provided in the table below.</w:t>
      </w:r>
    </w:p>
    <w:p w:rsidR="00B004FD" w:rsidRDefault="009346B3" w:rsidP="009346B3">
      <w:pPr>
        <w:pStyle w:val="Tabletitle"/>
      </w:pPr>
      <w:r w:rsidRPr="009346B3">
        <w:t xml:space="preserve">Table 5: GS-US-236-0135: </w:t>
      </w:r>
      <w:r w:rsidR="006933F5">
        <w:t>S</w:t>
      </w:r>
      <w:r w:rsidR="004C1F75" w:rsidRPr="009346B3">
        <w:t xml:space="preserve">ummary of cobicistat pharmacokinetic parameters </w:t>
      </w:r>
      <w:r w:rsidRPr="009346B3">
        <w:t xml:space="preserve">(COBI PK </w:t>
      </w:r>
      <w:r w:rsidR="004C1F75" w:rsidRPr="009346B3">
        <w:t>analysis s</w:t>
      </w:r>
      <w:r w:rsidRPr="009346B3">
        <w:t>et)</w:t>
      </w:r>
    </w:p>
    <w:p w:rsidR="00B004FD" w:rsidRDefault="009346B3" w:rsidP="00471FDC">
      <w:r>
        <w:rPr>
          <w:noProof/>
          <w:lang w:eastAsia="en-AU"/>
        </w:rPr>
        <w:drawing>
          <wp:inline distT="0" distB="0" distL="0" distR="0" wp14:anchorId="1C29CDFB" wp14:editId="0ACFE6E3">
            <wp:extent cx="5073110" cy="2223821"/>
            <wp:effectExtent l="0" t="0" r="0" b="5080"/>
            <wp:docPr id="10" name="Picture 10" descr="Table 5: GS-US-236-0135: summary of cobicistat pharmacokinetic parameters (COBI PK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069919" cy="2222422"/>
                    </a:xfrm>
                    <a:prstGeom prst="rect">
                      <a:avLst/>
                    </a:prstGeom>
                  </pic:spPr>
                </pic:pic>
              </a:graphicData>
            </a:graphic>
          </wp:inline>
        </w:drawing>
      </w:r>
    </w:p>
    <w:p w:rsidR="009346B3" w:rsidRPr="009346B3" w:rsidRDefault="009346B3" w:rsidP="009346B3">
      <w:r w:rsidRPr="009346B3">
        <w:t>These show the values were similar across treatments except for C</w:t>
      </w:r>
      <w:r w:rsidRPr="009346B3">
        <w:rPr>
          <w:vertAlign w:val="subscript"/>
        </w:rPr>
        <w:t xml:space="preserve">tau </w:t>
      </w:r>
      <w:r w:rsidRPr="009346B3">
        <w:t>which was higher with TVR</w:t>
      </w:r>
      <w:r>
        <w:t xml:space="preserve"> </w:t>
      </w:r>
      <w:r w:rsidRPr="009346B3">
        <w:t>+</w:t>
      </w:r>
      <w:r>
        <w:t xml:space="preserve"> </w:t>
      </w:r>
      <w:r w:rsidRPr="009346B3">
        <w:t>STB. The sponsor considered that this was not clinically relevant as the COBI exposures in both treatments were associated with boosting of EVG PK, the key function of COBI within STB. Also, it is noted that the results with TVR</w:t>
      </w:r>
      <w:r>
        <w:t xml:space="preserve"> </w:t>
      </w:r>
      <w:r w:rsidRPr="009346B3">
        <w:t>+</w:t>
      </w:r>
      <w:r>
        <w:t xml:space="preserve"> </w:t>
      </w:r>
      <w:r w:rsidRPr="009346B3">
        <w:t xml:space="preserve">STB is in the range of historical data from </w:t>
      </w:r>
      <w:r>
        <w:t>St</w:t>
      </w:r>
      <w:r w:rsidR="004C1F75">
        <w:t>udy </w:t>
      </w:r>
      <w:r w:rsidR="00DA5D8A">
        <w:t>GS-US-216-0134.</w:t>
      </w:r>
    </w:p>
    <w:p w:rsidR="009346B3" w:rsidRPr="009346B3" w:rsidRDefault="009346B3" w:rsidP="009346B3">
      <w:r w:rsidRPr="009346B3">
        <w:lastRenderedPageBreak/>
        <w:t>Results provided in the table below for the statistical analyses showed that the 90% CIs for the GLSM ratios for AUC</w:t>
      </w:r>
      <w:r w:rsidRPr="009346B3">
        <w:rPr>
          <w:vertAlign w:val="subscript"/>
        </w:rPr>
        <w:t>tau</w:t>
      </w:r>
      <w:r w:rsidRPr="009346B3">
        <w:t xml:space="preserve"> and C</w:t>
      </w:r>
      <w:r w:rsidRPr="009346B3">
        <w:rPr>
          <w:vertAlign w:val="subscript"/>
        </w:rPr>
        <w:t>max</w:t>
      </w:r>
      <w:r w:rsidRPr="009346B3">
        <w:t xml:space="preserve"> were contained within the 70</w:t>
      </w:r>
      <w:r>
        <w:t xml:space="preserve"> to </w:t>
      </w:r>
      <w:r w:rsidRPr="009346B3">
        <w:t>143% lack</w:t>
      </w:r>
      <w:r>
        <w:t xml:space="preserve"> of e</w:t>
      </w:r>
      <w:r w:rsidRPr="009346B3">
        <w:t>ffect boundaries. However, results for C</w:t>
      </w:r>
      <w:r w:rsidRPr="009346B3">
        <w:rPr>
          <w:vertAlign w:val="subscript"/>
        </w:rPr>
        <w:t>tau</w:t>
      </w:r>
      <w:r w:rsidRPr="009346B3">
        <w:t xml:space="preserve"> were above the</w:t>
      </w:r>
      <w:r w:rsidR="00DA5D8A">
        <w:t xml:space="preserve"> upper limits of this boundary.</w:t>
      </w:r>
    </w:p>
    <w:p w:rsidR="004C1F75" w:rsidRDefault="009346B3" w:rsidP="009346B3">
      <w:pPr>
        <w:pStyle w:val="Tabletitle"/>
      </w:pPr>
      <w:r w:rsidRPr="009346B3">
        <w:t xml:space="preserve">Table 6: GS-US-236-0135: </w:t>
      </w:r>
      <w:r w:rsidR="006933F5">
        <w:t>S</w:t>
      </w:r>
      <w:r w:rsidR="004C1F75" w:rsidRPr="009346B3">
        <w:t>tatistical comparisons of cobicistat pharmacokinetic parameters for test versus reference treatm</w:t>
      </w:r>
      <w:r w:rsidRPr="009346B3">
        <w:t xml:space="preserve">ents (All PK </w:t>
      </w:r>
      <w:r w:rsidR="004C1F75" w:rsidRPr="009346B3">
        <w:t>analysis set</w:t>
      </w:r>
      <w:r w:rsidRPr="009346B3">
        <w:t>)</w:t>
      </w:r>
    </w:p>
    <w:p w:rsidR="009346B3" w:rsidRDefault="009346B3" w:rsidP="004C1F75">
      <w:r w:rsidRPr="004C1F75">
        <w:rPr>
          <w:noProof/>
          <w:lang w:eastAsia="en-AU"/>
        </w:rPr>
        <w:drawing>
          <wp:inline distT="0" distB="0" distL="0" distR="0" wp14:anchorId="64D937A1" wp14:editId="7C37F8EC">
            <wp:extent cx="4857293" cy="1472237"/>
            <wp:effectExtent l="0" t="0" r="635" b="0"/>
            <wp:docPr id="11" name="Picture 11" descr="Table 6: GS-US-236-0135: statistical comparisons of cobicistat pharmacokinetic parameters for test versus reference treatments (All PK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867121" cy="1475216"/>
                    </a:xfrm>
                    <a:prstGeom prst="rect">
                      <a:avLst/>
                    </a:prstGeom>
                  </pic:spPr>
                </pic:pic>
              </a:graphicData>
            </a:graphic>
          </wp:inline>
        </w:drawing>
      </w:r>
    </w:p>
    <w:p w:rsidR="009346B3" w:rsidRPr="009346B3" w:rsidRDefault="009346B3" w:rsidP="009346B3">
      <w:pPr>
        <w:pStyle w:val="Heading5"/>
        <w:rPr>
          <w:rFonts w:eastAsiaTheme="minorHAnsi"/>
        </w:rPr>
      </w:pPr>
      <w:r w:rsidRPr="009346B3">
        <w:rPr>
          <w:rFonts w:eastAsiaTheme="minorHAnsi"/>
        </w:rPr>
        <w:t xml:space="preserve">Pharmacokinetics of </w:t>
      </w:r>
      <w:r w:rsidR="00F92812">
        <w:rPr>
          <w:rFonts w:eastAsiaTheme="minorHAnsi"/>
        </w:rPr>
        <w:t>e</w:t>
      </w:r>
      <w:r w:rsidR="00F92812" w:rsidRPr="009346B3">
        <w:rPr>
          <w:rFonts w:eastAsiaTheme="minorHAnsi"/>
        </w:rPr>
        <w:t>mtricitabine</w:t>
      </w:r>
    </w:p>
    <w:p w:rsidR="009346B3" w:rsidRPr="009346B3" w:rsidRDefault="009346B3" w:rsidP="009346B3">
      <w:r w:rsidRPr="009346B3">
        <w:t>Mean (SD) plasma concentration</w:t>
      </w:r>
      <w:r>
        <w:t xml:space="preserve"> </w:t>
      </w:r>
      <w:r w:rsidRPr="009346B3">
        <w:t>time profiles after TVR</w:t>
      </w:r>
      <w:r>
        <w:t xml:space="preserve"> </w:t>
      </w:r>
      <w:r w:rsidRPr="009346B3">
        <w:t>+</w:t>
      </w:r>
      <w:r>
        <w:t xml:space="preserve"> </w:t>
      </w:r>
      <w:r w:rsidRPr="009346B3">
        <w:t>STB or STB alone presented in the figure below show that the FTC profiles</w:t>
      </w:r>
      <w:r w:rsidR="00DA5D8A">
        <w:t xml:space="preserve"> were similar with STB +/- TVR.</w:t>
      </w:r>
    </w:p>
    <w:p w:rsidR="004C1F75" w:rsidRDefault="009346B3" w:rsidP="004C1F75">
      <w:pPr>
        <w:pStyle w:val="FigureTitle"/>
        <w:keepNext/>
      </w:pPr>
      <w:r w:rsidRPr="004C1F75">
        <w:t xml:space="preserve">Figure 4: GS-US-236-0135: Mean (SD) </w:t>
      </w:r>
      <w:r w:rsidR="004C1F75" w:rsidRPr="004C1F75">
        <w:t>plasma concentration-time profile of emtricitabine after treatme</w:t>
      </w:r>
      <w:r w:rsidRPr="004C1F75">
        <w:t xml:space="preserve">nt A or B </w:t>
      </w:r>
      <w:r w:rsidR="004C1F75" w:rsidRPr="004C1F75">
        <w:t>ad</w:t>
      </w:r>
      <w:r w:rsidRPr="004C1F75">
        <w:t>ministration to</w:t>
      </w:r>
      <w:r w:rsidR="00DA5D8A" w:rsidRPr="004C1F75">
        <w:t xml:space="preserve"> 24 hours (FTC PK </w:t>
      </w:r>
      <w:r w:rsidR="004C1F75" w:rsidRPr="004C1F75">
        <w:t>analysis s</w:t>
      </w:r>
      <w:r w:rsidR="00DA5D8A" w:rsidRPr="004C1F75">
        <w:t>et)</w:t>
      </w:r>
    </w:p>
    <w:p w:rsidR="009346B3" w:rsidRDefault="009346B3" w:rsidP="004E7D3F">
      <w:r w:rsidRPr="004C1F75">
        <w:rPr>
          <w:noProof/>
          <w:lang w:eastAsia="en-AU"/>
        </w:rPr>
        <w:drawing>
          <wp:inline distT="0" distB="0" distL="0" distR="0" wp14:anchorId="3160EC17" wp14:editId="6E4E0498">
            <wp:extent cx="4411066" cy="3528853"/>
            <wp:effectExtent l="0" t="0" r="8890" b="0"/>
            <wp:docPr id="12" name="Picture 12" descr="Figure 4: GS-US-236-0135: Mean (SD) plasma concentration-time profile of emtricitabine after treatment A or B administration to 24 hours (FTC PK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412675" cy="3530140"/>
                    </a:xfrm>
                    <a:prstGeom prst="rect">
                      <a:avLst/>
                    </a:prstGeom>
                  </pic:spPr>
                </pic:pic>
              </a:graphicData>
            </a:graphic>
          </wp:inline>
        </w:drawing>
      </w:r>
    </w:p>
    <w:p w:rsidR="009346B3" w:rsidRPr="009346B3" w:rsidRDefault="009346B3" w:rsidP="009346B3">
      <w:r w:rsidRPr="009346B3">
        <w:t>Results provided for the FTC PK parameters show that they were similar with both treatments. Results provided for the statistical analyses showed that the 90% CIs for the GLSM ratios for AUC</w:t>
      </w:r>
      <w:r w:rsidRPr="009346B3">
        <w:rPr>
          <w:vertAlign w:val="subscript"/>
        </w:rPr>
        <w:t>tau</w:t>
      </w:r>
      <w:r w:rsidRPr="009346B3">
        <w:t>, C</w:t>
      </w:r>
      <w:r w:rsidRPr="009346B3">
        <w:rPr>
          <w:vertAlign w:val="subscript"/>
        </w:rPr>
        <w:t>max</w:t>
      </w:r>
      <w:r w:rsidRPr="009346B3">
        <w:t>, and C</w:t>
      </w:r>
      <w:r w:rsidRPr="009346B3">
        <w:rPr>
          <w:vertAlign w:val="subscript"/>
        </w:rPr>
        <w:t>tau</w:t>
      </w:r>
      <w:r w:rsidRPr="009346B3">
        <w:t xml:space="preserve"> were within the 70% to 143% lack</w:t>
      </w:r>
      <w:r>
        <w:t xml:space="preserve"> </w:t>
      </w:r>
      <w:r w:rsidRPr="009346B3">
        <w:t>of</w:t>
      </w:r>
      <w:r>
        <w:t xml:space="preserve"> </w:t>
      </w:r>
      <w:r w:rsidRPr="009346B3">
        <w:t>effect boundaries.</w:t>
      </w:r>
    </w:p>
    <w:p w:rsidR="009346B3" w:rsidRPr="009346B3" w:rsidRDefault="009346B3" w:rsidP="009346B3">
      <w:pPr>
        <w:pStyle w:val="Heading5"/>
        <w:rPr>
          <w:rFonts w:eastAsiaTheme="minorHAnsi"/>
        </w:rPr>
      </w:pPr>
      <w:r w:rsidRPr="009346B3">
        <w:rPr>
          <w:rFonts w:eastAsiaTheme="minorHAnsi"/>
        </w:rPr>
        <w:t xml:space="preserve">Pharmacokinetics </w:t>
      </w:r>
      <w:r w:rsidR="004C1F75" w:rsidRPr="009346B3">
        <w:rPr>
          <w:rFonts w:eastAsiaTheme="minorHAnsi"/>
        </w:rPr>
        <w:t>of t</w:t>
      </w:r>
      <w:r w:rsidR="004C1F75">
        <w:rPr>
          <w:rFonts w:eastAsiaTheme="minorHAnsi"/>
        </w:rPr>
        <w:t>enofovir</w:t>
      </w:r>
    </w:p>
    <w:p w:rsidR="00E86C48" w:rsidRPr="009346B3" w:rsidRDefault="009346B3" w:rsidP="009346B3">
      <w:r w:rsidRPr="009346B3">
        <w:t>Mean (SD) plasma concentration</w:t>
      </w:r>
      <w:r>
        <w:t xml:space="preserve"> </w:t>
      </w:r>
      <w:r w:rsidRPr="009346B3">
        <w:t>time profiles after TVR</w:t>
      </w:r>
      <w:r>
        <w:t xml:space="preserve"> </w:t>
      </w:r>
      <w:r w:rsidRPr="009346B3">
        <w:t>+</w:t>
      </w:r>
      <w:r>
        <w:t xml:space="preserve"> </w:t>
      </w:r>
      <w:r w:rsidRPr="009346B3">
        <w:t>STB or STB alone presented in the figure below show that the TFV profiles</w:t>
      </w:r>
      <w:r w:rsidR="00DA5D8A">
        <w:t xml:space="preserve"> were similar with STB +/- TVR.</w:t>
      </w:r>
    </w:p>
    <w:p w:rsidR="004C1F75" w:rsidRDefault="009346B3" w:rsidP="004C1F75">
      <w:pPr>
        <w:pStyle w:val="FigureTitle"/>
        <w:keepNext/>
      </w:pPr>
      <w:r w:rsidRPr="009346B3">
        <w:lastRenderedPageBreak/>
        <w:t xml:space="preserve">Figure 5: GS-US-236-0135: Mean (SD) </w:t>
      </w:r>
      <w:r w:rsidR="004C1F75" w:rsidRPr="009346B3">
        <w:t xml:space="preserve">plasma concentration-time profile of tenofovir </w:t>
      </w:r>
      <w:r w:rsidR="004C1F75">
        <w:t>a</w:t>
      </w:r>
      <w:r w:rsidR="004C1F75" w:rsidRPr="009346B3">
        <w:t>fter trea</w:t>
      </w:r>
      <w:r w:rsidRPr="009346B3">
        <w:t xml:space="preserve">tment A or B </w:t>
      </w:r>
      <w:r w:rsidR="004C1F75" w:rsidRPr="009346B3">
        <w:t>a</w:t>
      </w:r>
      <w:r w:rsidRPr="009346B3">
        <w:t xml:space="preserve">dministration to 24 hours (TFV PK </w:t>
      </w:r>
      <w:r w:rsidR="004C1F75" w:rsidRPr="009346B3">
        <w:t>analysis s</w:t>
      </w:r>
      <w:r w:rsidRPr="009346B3">
        <w:t>et)</w:t>
      </w:r>
    </w:p>
    <w:p w:rsidR="00E86C48" w:rsidRDefault="00E86C48" w:rsidP="004E7D3F">
      <w:r>
        <w:rPr>
          <w:noProof/>
          <w:lang w:eastAsia="en-AU"/>
        </w:rPr>
        <w:drawing>
          <wp:inline distT="0" distB="0" distL="0" distR="0" wp14:anchorId="6F016AD7" wp14:editId="246CBBCF">
            <wp:extent cx="4103827" cy="3465892"/>
            <wp:effectExtent l="0" t="0" r="0" b="1270"/>
            <wp:docPr id="13" name="Picture 13" descr="Figure 5: GS-US-236-0135: Mean (SD) plasma concentration-time profile of tenofovir after treatment A or B administration to 24 hours (TFV PK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106236" cy="3467926"/>
                    </a:xfrm>
                    <a:prstGeom prst="rect">
                      <a:avLst/>
                    </a:prstGeom>
                  </pic:spPr>
                </pic:pic>
              </a:graphicData>
            </a:graphic>
          </wp:inline>
        </w:drawing>
      </w:r>
    </w:p>
    <w:p w:rsidR="00E86C48" w:rsidRPr="00E86C48" w:rsidRDefault="00E86C48" w:rsidP="00E86C48">
      <w:r w:rsidRPr="00E86C48">
        <w:t>Results provided for the TFV PK parameters show that they were similar with both treatments. Results provided for the statistical analyses showed that the 90% CIs for the GLSM ratios for AUC</w:t>
      </w:r>
      <w:r w:rsidRPr="00E86C48">
        <w:rPr>
          <w:vertAlign w:val="subscript"/>
        </w:rPr>
        <w:t>tau</w:t>
      </w:r>
      <w:r w:rsidRPr="00E86C48">
        <w:t>, C</w:t>
      </w:r>
      <w:r w:rsidRPr="00E86C48">
        <w:rPr>
          <w:vertAlign w:val="subscript"/>
        </w:rPr>
        <w:t>max</w:t>
      </w:r>
      <w:r w:rsidRPr="00E86C48">
        <w:t>, and C</w:t>
      </w:r>
      <w:r w:rsidRPr="00E86C48">
        <w:rPr>
          <w:vertAlign w:val="subscript"/>
        </w:rPr>
        <w:t>tau</w:t>
      </w:r>
      <w:r w:rsidRPr="00E86C48">
        <w:t xml:space="preserve"> were within the 70% to 143% lack</w:t>
      </w:r>
      <w:r>
        <w:t xml:space="preserve"> </w:t>
      </w:r>
      <w:r w:rsidRPr="00E86C48">
        <w:t>of</w:t>
      </w:r>
      <w:r>
        <w:t xml:space="preserve"> </w:t>
      </w:r>
      <w:r w:rsidRPr="00E86C48">
        <w:t>effect boundaries.</w:t>
      </w:r>
    </w:p>
    <w:p w:rsidR="00E86C48" w:rsidRPr="00E86C48" w:rsidRDefault="00DA5D8A" w:rsidP="00E86C48">
      <w:pPr>
        <w:pStyle w:val="Heading5"/>
        <w:rPr>
          <w:rFonts w:eastAsiaTheme="minorHAnsi"/>
        </w:rPr>
      </w:pPr>
      <w:r>
        <w:rPr>
          <w:rFonts w:eastAsiaTheme="minorHAnsi"/>
        </w:rPr>
        <w:t xml:space="preserve">Pharmacokinetics of </w:t>
      </w:r>
      <w:r w:rsidR="00F92812">
        <w:rPr>
          <w:rFonts w:eastAsiaTheme="minorHAnsi"/>
        </w:rPr>
        <w:t>telaprevir</w:t>
      </w:r>
    </w:p>
    <w:p w:rsidR="00E86C48" w:rsidRPr="00E86C48" w:rsidRDefault="00E86C48" w:rsidP="00E86C48">
      <w:r w:rsidRPr="00E86C48">
        <w:t>Mean (SD) plasma concentration</w:t>
      </w:r>
      <w:r>
        <w:t xml:space="preserve"> </w:t>
      </w:r>
      <w:r w:rsidRPr="00E86C48">
        <w:t>time profiles after TVR</w:t>
      </w:r>
      <w:r>
        <w:t xml:space="preserve"> </w:t>
      </w:r>
      <w:r w:rsidRPr="00E86C48">
        <w:t>+</w:t>
      </w:r>
      <w:r>
        <w:t xml:space="preserve"> </w:t>
      </w:r>
      <w:r w:rsidRPr="00E86C48">
        <w:t>STB or TVR</w:t>
      </w:r>
      <w:r>
        <w:t xml:space="preserve"> </w:t>
      </w:r>
      <w:r w:rsidRPr="00E86C48">
        <w:t>+</w:t>
      </w:r>
      <w:r>
        <w:t xml:space="preserve"> </w:t>
      </w:r>
      <w:r w:rsidRPr="00E86C48">
        <w:t>ATV/r</w:t>
      </w:r>
      <w:r>
        <w:t xml:space="preserve"> </w:t>
      </w:r>
      <w:r w:rsidRPr="00E86C48">
        <w:t>+</w:t>
      </w:r>
      <w:r>
        <w:t xml:space="preserve"> </w:t>
      </w:r>
      <w:r w:rsidRPr="00E86C48">
        <w:t>EVG 85 mg presented in the figure below show that the TVR profiles were similar across treatments.</w:t>
      </w:r>
    </w:p>
    <w:p w:rsidR="00E86C48" w:rsidRDefault="00E86C48" w:rsidP="00E67D67">
      <w:pPr>
        <w:pStyle w:val="FigureTitle"/>
        <w:keepNext/>
        <w:keepLines/>
      </w:pPr>
      <w:r w:rsidRPr="00E86C48">
        <w:t xml:space="preserve">Figure 6: GS-US-236-0135: Mean (SD) </w:t>
      </w:r>
      <w:r w:rsidR="00AB4D8E" w:rsidRPr="00E86C48">
        <w:t xml:space="preserve">plasma concentration-time profile of telaprevir </w:t>
      </w:r>
      <w:r w:rsidR="00AB4D8E">
        <w:t>a</w:t>
      </w:r>
      <w:r w:rsidR="00AB4D8E" w:rsidRPr="00E86C48">
        <w:t xml:space="preserve">fter treatment </w:t>
      </w:r>
      <w:r w:rsidRPr="00E86C48">
        <w:t xml:space="preserve">A, C, or D </w:t>
      </w:r>
      <w:r w:rsidR="00AB4D8E" w:rsidRPr="00E86C48">
        <w:t>administ</w:t>
      </w:r>
      <w:r w:rsidRPr="00E86C48">
        <w:t xml:space="preserve">ration to 8 hours (TVR PK </w:t>
      </w:r>
      <w:r w:rsidR="00AB4D8E" w:rsidRPr="00E86C48">
        <w:t>analysis set</w:t>
      </w:r>
      <w:r w:rsidRPr="00E86C48">
        <w:t>)</w:t>
      </w:r>
    </w:p>
    <w:p w:rsidR="00E67D67" w:rsidRDefault="00E67D67" w:rsidP="00AB4D8E">
      <w:r w:rsidRPr="00AB4D8E">
        <w:rPr>
          <w:noProof/>
          <w:lang w:eastAsia="en-AU"/>
        </w:rPr>
        <w:drawing>
          <wp:inline distT="0" distB="0" distL="0" distR="0" wp14:anchorId="1B984F48" wp14:editId="3D2644DD">
            <wp:extent cx="4162349" cy="3037714"/>
            <wp:effectExtent l="0" t="0" r="0" b="0"/>
            <wp:docPr id="14" name="Picture 14" descr="Figure 6: GS-US-236-0135: Mean (SD) plasma concentration-time profile of telaprevir after treatment A, C, or D administration to 8 hours (TVR PK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160962" cy="3036702"/>
                    </a:xfrm>
                    <a:prstGeom prst="rect">
                      <a:avLst/>
                    </a:prstGeom>
                  </pic:spPr>
                </pic:pic>
              </a:graphicData>
            </a:graphic>
          </wp:inline>
        </w:drawing>
      </w:r>
    </w:p>
    <w:p w:rsidR="00E67D67" w:rsidRPr="00E67D67" w:rsidRDefault="00E67D67" w:rsidP="00E67D67">
      <w:r w:rsidRPr="00E67D67">
        <w:lastRenderedPageBreak/>
        <w:t>Results provided for the TVR PK parameters show that they were similar across treatments. Results provided for the statistical analyses showed that the 90% CIs for the GLSM ratios for AUC</w:t>
      </w:r>
      <w:r w:rsidRPr="00E67D67">
        <w:rPr>
          <w:vertAlign w:val="subscript"/>
        </w:rPr>
        <w:t>tau</w:t>
      </w:r>
      <w:r w:rsidRPr="00E67D67">
        <w:t>, C</w:t>
      </w:r>
      <w:r w:rsidRPr="00E67D67">
        <w:rPr>
          <w:vertAlign w:val="subscript"/>
        </w:rPr>
        <w:t>max</w:t>
      </w:r>
      <w:r w:rsidRPr="00E67D67">
        <w:t>, and C</w:t>
      </w:r>
      <w:r w:rsidRPr="00E67D67">
        <w:rPr>
          <w:vertAlign w:val="subscript"/>
        </w:rPr>
        <w:t>tau</w:t>
      </w:r>
      <w:r w:rsidRPr="00E67D67">
        <w:t xml:space="preserve"> were within the 70</w:t>
      </w:r>
      <w:r>
        <w:t xml:space="preserve"> to </w:t>
      </w:r>
      <w:r w:rsidRPr="00E67D67">
        <w:t>143% lack</w:t>
      </w:r>
      <w:r>
        <w:t xml:space="preserve"> </w:t>
      </w:r>
      <w:r w:rsidRPr="00E67D67">
        <w:t>of</w:t>
      </w:r>
      <w:r>
        <w:t xml:space="preserve"> </w:t>
      </w:r>
      <w:r w:rsidRPr="00E67D67">
        <w:t>effect boundaries.</w:t>
      </w:r>
    </w:p>
    <w:p w:rsidR="00E67D67" w:rsidRPr="00E67D67" w:rsidRDefault="00DA5D8A" w:rsidP="003556A0">
      <w:pPr>
        <w:pStyle w:val="Heading5"/>
      </w:pPr>
      <w:r>
        <w:t>Pharmacokinetics of Atazanavir</w:t>
      </w:r>
    </w:p>
    <w:p w:rsidR="00E67D67" w:rsidRPr="00E67D67" w:rsidRDefault="00E67D67" w:rsidP="00E67D67">
      <w:r w:rsidRPr="00E67D67">
        <w:t>Mean (SD) plasma concentration</w:t>
      </w:r>
      <w:r w:rsidR="003556A0">
        <w:t xml:space="preserve"> </w:t>
      </w:r>
      <w:r w:rsidRPr="00E67D67">
        <w:t>time profiles after TVR</w:t>
      </w:r>
      <w:r w:rsidR="003556A0">
        <w:t xml:space="preserve"> </w:t>
      </w:r>
      <w:r w:rsidRPr="00E67D67">
        <w:t>+</w:t>
      </w:r>
      <w:r w:rsidR="003556A0">
        <w:t xml:space="preserve"> </w:t>
      </w:r>
      <w:r w:rsidRPr="00E67D67">
        <w:t>ATV/r</w:t>
      </w:r>
      <w:r w:rsidR="003556A0">
        <w:t xml:space="preserve"> </w:t>
      </w:r>
      <w:r w:rsidRPr="00E67D67">
        <w:t>+</w:t>
      </w:r>
      <w:r w:rsidR="003556A0">
        <w:t xml:space="preserve"> </w:t>
      </w:r>
      <w:r w:rsidRPr="00E67D67">
        <w:t>85 mg of EVG, ATV/r</w:t>
      </w:r>
      <w:r w:rsidR="003556A0">
        <w:t xml:space="preserve"> </w:t>
      </w:r>
      <w:r w:rsidRPr="00E67D67">
        <w:t>+</w:t>
      </w:r>
      <w:r w:rsidR="003556A0">
        <w:t xml:space="preserve"> </w:t>
      </w:r>
      <w:r w:rsidRPr="00E67D67">
        <w:t>EVG 85 mg and ATV/r presented in the figure below show that the ATV profiles were similar across treatments with slightly higher concentrations seen after ATV/r compared to other treatments.</w:t>
      </w:r>
    </w:p>
    <w:p w:rsidR="00E67D67" w:rsidRPr="003556A0" w:rsidRDefault="003556A0" w:rsidP="003556A0">
      <w:pPr>
        <w:pStyle w:val="FigureTitle"/>
        <w:keepNext/>
        <w:keepLines/>
      </w:pPr>
      <w:r w:rsidRPr="003556A0">
        <w:t xml:space="preserve">Figure 7: GS-US-236-0135: Mean (SD) </w:t>
      </w:r>
      <w:r w:rsidR="00AB4D8E" w:rsidRPr="003556A0">
        <w:t xml:space="preserve">plasma concentration-time profile of atazanavir </w:t>
      </w:r>
      <w:r w:rsidR="00AB4D8E">
        <w:t>a</w:t>
      </w:r>
      <w:r w:rsidR="00AB4D8E" w:rsidRPr="003556A0">
        <w:t xml:space="preserve">fter treatment </w:t>
      </w:r>
      <w:r w:rsidRPr="003556A0">
        <w:t xml:space="preserve">D, E, or G </w:t>
      </w:r>
      <w:r w:rsidR="00AB4D8E" w:rsidRPr="003556A0">
        <w:t>ad</w:t>
      </w:r>
      <w:r w:rsidRPr="003556A0">
        <w:t xml:space="preserve">ministration to 24 hours (ATV PK </w:t>
      </w:r>
      <w:r w:rsidR="00AB4D8E" w:rsidRPr="003556A0">
        <w:t>analysis s</w:t>
      </w:r>
      <w:r w:rsidRPr="003556A0">
        <w:t>et)</w:t>
      </w:r>
    </w:p>
    <w:p w:rsidR="00E67D67" w:rsidRDefault="003556A0" w:rsidP="00AB4D8E">
      <w:r w:rsidRPr="00AB4D8E">
        <w:rPr>
          <w:noProof/>
          <w:lang w:eastAsia="en-AU"/>
        </w:rPr>
        <w:drawing>
          <wp:inline distT="0" distB="0" distL="0" distR="0" wp14:anchorId="002CB3FF" wp14:editId="4E01EBB8">
            <wp:extent cx="5019389" cy="4301338"/>
            <wp:effectExtent l="0" t="0" r="0" b="4445"/>
            <wp:docPr id="15" name="Picture 15" descr="Figure 7: GS-US-236-0135: Mean (SD) plasma concentration-time profile of atazanavir after treatment D, E, or G administration to 24 hours (ATV PK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023709" cy="4305040"/>
                    </a:xfrm>
                    <a:prstGeom prst="rect">
                      <a:avLst/>
                    </a:prstGeom>
                  </pic:spPr>
                </pic:pic>
              </a:graphicData>
            </a:graphic>
          </wp:inline>
        </w:drawing>
      </w:r>
    </w:p>
    <w:p w:rsidR="003556A0" w:rsidRPr="003556A0" w:rsidRDefault="003556A0" w:rsidP="003556A0">
      <w:r w:rsidRPr="003556A0">
        <w:t>Results provided for the ATV PK parameters presented below show that the AUC</w:t>
      </w:r>
      <w:r w:rsidRPr="003556A0">
        <w:rPr>
          <w:vertAlign w:val="subscript"/>
        </w:rPr>
        <w:t>tau</w:t>
      </w:r>
      <w:r w:rsidRPr="003556A0">
        <w:t xml:space="preserve"> was generally similar across treatments. However, mean C</w:t>
      </w:r>
      <w:r w:rsidRPr="003556A0">
        <w:rPr>
          <w:vertAlign w:val="subscript"/>
        </w:rPr>
        <w:t>max</w:t>
      </w:r>
      <w:r w:rsidRPr="003556A0">
        <w:t xml:space="preserve"> tended to be higher in treatments without TVR and mean C</w:t>
      </w:r>
      <w:r w:rsidRPr="003556A0">
        <w:rPr>
          <w:vertAlign w:val="subscript"/>
        </w:rPr>
        <w:t>tau</w:t>
      </w:r>
      <w:r w:rsidRPr="003556A0">
        <w:t xml:space="preserve"> and median t</w:t>
      </w:r>
      <w:r w:rsidRPr="003556A0">
        <w:rPr>
          <w:vertAlign w:val="subscript"/>
        </w:rPr>
        <w:t xml:space="preserve">1/2 </w:t>
      </w:r>
      <w:r w:rsidRPr="003556A0">
        <w:t>were moderately</w:t>
      </w:r>
      <w:r w:rsidR="00DA5D8A">
        <w:t xml:space="preserve"> higher in treatments with TVR.</w:t>
      </w:r>
    </w:p>
    <w:p w:rsidR="00E67D67" w:rsidRPr="003556A0" w:rsidRDefault="003556A0" w:rsidP="003556A0">
      <w:pPr>
        <w:pStyle w:val="Tabletitle"/>
      </w:pPr>
      <w:r w:rsidRPr="003556A0">
        <w:lastRenderedPageBreak/>
        <w:t xml:space="preserve">Table 7: GS-US-236-0135: Summary </w:t>
      </w:r>
      <w:r w:rsidR="00AB4D8E" w:rsidRPr="003556A0">
        <w:t xml:space="preserve">of atazanavir pharmacokinetic parameters </w:t>
      </w:r>
      <w:r w:rsidRPr="003556A0">
        <w:t xml:space="preserve">(ATV PK </w:t>
      </w:r>
      <w:r w:rsidR="00AB4D8E" w:rsidRPr="003556A0">
        <w:t>analysis s</w:t>
      </w:r>
      <w:r w:rsidRPr="003556A0">
        <w:t>et)</w:t>
      </w:r>
    </w:p>
    <w:p w:rsidR="00E67D67" w:rsidRDefault="003556A0" w:rsidP="004E7D3F">
      <w:r>
        <w:rPr>
          <w:noProof/>
          <w:lang w:eastAsia="en-AU"/>
        </w:rPr>
        <w:drawing>
          <wp:inline distT="0" distB="0" distL="0" distR="0" wp14:anchorId="71344516" wp14:editId="7D4B55C6">
            <wp:extent cx="5202533" cy="2772461"/>
            <wp:effectExtent l="0" t="0" r="0" b="8890"/>
            <wp:docPr id="16" name="Picture 16" descr="Table 7: GS-US-236-0135: Summary of atazanavir pharmacokinetic parameters (ATV PK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199261" cy="2770717"/>
                    </a:xfrm>
                    <a:prstGeom prst="rect">
                      <a:avLst/>
                    </a:prstGeom>
                  </pic:spPr>
                </pic:pic>
              </a:graphicData>
            </a:graphic>
          </wp:inline>
        </w:drawing>
      </w:r>
    </w:p>
    <w:p w:rsidR="003556A0" w:rsidRPr="003556A0" w:rsidRDefault="003556A0" w:rsidP="003556A0">
      <w:r w:rsidRPr="003556A0">
        <w:t>Results for the statistical analyses are presented in the table</w:t>
      </w:r>
      <w:r w:rsidR="00AB4D8E">
        <w:t xml:space="preserve"> below. These show that the 90% </w:t>
      </w:r>
      <w:r w:rsidRPr="003556A0">
        <w:t>CIs for the GLSM ratio of ATV after co</w:t>
      </w:r>
      <w:r w:rsidR="00AB4D8E">
        <w:t>-</w:t>
      </w:r>
      <w:r w:rsidRPr="003556A0">
        <w:t>administration of TVR</w:t>
      </w:r>
      <w:r>
        <w:t xml:space="preserve"> </w:t>
      </w:r>
      <w:r w:rsidRPr="003556A0">
        <w:t>+</w:t>
      </w:r>
      <w:r>
        <w:t xml:space="preserve"> </w:t>
      </w:r>
      <w:r w:rsidRPr="003556A0">
        <w:t>ATV/r</w:t>
      </w:r>
      <w:r>
        <w:t xml:space="preserve"> </w:t>
      </w:r>
      <w:r w:rsidRPr="003556A0">
        <w:t>+</w:t>
      </w:r>
      <w:r>
        <w:t xml:space="preserve"> </w:t>
      </w:r>
      <w:r w:rsidRPr="003556A0">
        <w:t>EVG 85 mg compared with ATV/r for AUC</w:t>
      </w:r>
      <w:r w:rsidRPr="003556A0">
        <w:rPr>
          <w:vertAlign w:val="subscript"/>
        </w:rPr>
        <w:t xml:space="preserve">tau </w:t>
      </w:r>
      <w:r>
        <w:t xml:space="preserve">was within the 70% to 143% lack </w:t>
      </w:r>
      <w:r w:rsidRPr="003556A0">
        <w:t>of</w:t>
      </w:r>
      <w:r>
        <w:t xml:space="preserve"> </w:t>
      </w:r>
      <w:r w:rsidRPr="003556A0">
        <w:t>effect boundaries. However, the lower boundary for C</w:t>
      </w:r>
      <w:r w:rsidRPr="003556A0">
        <w:rPr>
          <w:vertAlign w:val="subscript"/>
        </w:rPr>
        <w:t xml:space="preserve">max </w:t>
      </w:r>
      <w:r w:rsidRPr="003556A0">
        <w:t>was slightly lower than the lack</w:t>
      </w:r>
      <w:r>
        <w:t xml:space="preserve"> </w:t>
      </w:r>
      <w:r w:rsidRPr="003556A0">
        <w:t>of</w:t>
      </w:r>
      <w:r>
        <w:t xml:space="preserve"> </w:t>
      </w:r>
      <w:r w:rsidRPr="003556A0">
        <w:t>effect boundary and the upper boundary for C</w:t>
      </w:r>
      <w:r w:rsidRPr="003556A0">
        <w:rPr>
          <w:vertAlign w:val="subscript"/>
        </w:rPr>
        <w:t xml:space="preserve">tau </w:t>
      </w:r>
      <w:r w:rsidRPr="003556A0">
        <w:t>was slightly higher than the lack</w:t>
      </w:r>
      <w:r>
        <w:t xml:space="preserve"> of </w:t>
      </w:r>
      <w:r w:rsidRPr="003556A0">
        <w:t>effect boundary. It is noted that the mean ATV C</w:t>
      </w:r>
      <w:r w:rsidRPr="003556A0">
        <w:rPr>
          <w:vertAlign w:val="subscript"/>
        </w:rPr>
        <w:t>tau</w:t>
      </w:r>
      <w:r w:rsidRPr="003556A0">
        <w:t xml:space="preserve"> after TVR</w:t>
      </w:r>
      <w:r>
        <w:t xml:space="preserve"> </w:t>
      </w:r>
      <w:r w:rsidRPr="003556A0">
        <w:t>+</w:t>
      </w:r>
      <w:r>
        <w:t xml:space="preserve"> </w:t>
      </w:r>
      <w:r w:rsidRPr="003556A0">
        <w:t>ATV/r</w:t>
      </w:r>
      <w:r>
        <w:t xml:space="preserve"> </w:t>
      </w:r>
      <w:r w:rsidRPr="003556A0">
        <w:t>+</w:t>
      </w:r>
      <w:r>
        <w:t xml:space="preserve"> </w:t>
      </w:r>
      <w:r w:rsidRPr="003556A0">
        <w:t xml:space="preserve">EVG 85 mg was </w:t>
      </w:r>
      <w:r>
        <w:t>&gt;</w:t>
      </w:r>
      <w:r w:rsidRPr="003556A0">
        <w:t xml:space="preserve"> 100</w:t>
      </w:r>
      <w:r>
        <w:t xml:space="preserve"> </w:t>
      </w:r>
      <w:r w:rsidRPr="003556A0">
        <w:t>fold above the protein</w:t>
      </w:r>
      <w:r>
        <w:t xml:space="preserve"> </w:t>
      </w:r>
      <w:r w:rsidRPr="003556A0">
        <w:t>binding adjusted IC90 (14 ng/mL).</w:t>
      </w:r>
    </w:p>
    <w:p w:rsidR="003556A0" w:rsidRPr="003556A0" w:rsidRDefault="003556A0" w:rsidP="003556A0">
      <w:pPr>
        <w:pStyle w:val="Tabletitle"/>
        <w:keepLines/>
        <w:rPr>
          <w:rFonts w:eastAsiaTheme="minorHAnsi"/>
          <w:sz w:val="24"/>
          <w:szCs w:val="24"/>
        </w:rPr>
      </w:pPr>
      <w:r>
        <w:t xml:space="preserve">Table 8: GS-US-236-0135: </w:t>
      </w:r>
      <w:r w:rsidR="006933F5">
        <w:t>S</w:t>
      </w:r>
      <w:r w:rsidR="00AB4D8E">
        <w:t xml:space="preserve">tatistical comparisons of atazanavir pharmacokinetic parameters for test versus reference treatments </w:t>
      </w:r>
      <w:r>
        <w:t xml:space="preserve">(All PK </w:t>
      </w:r>
      <w:r w:rsidR="00AB4D8E">
        <w:t>analysis set</w:t>
      </w:r>
      <w:r>
        <w:t>)</w:t>
      </w:r>
    </w:p>
    <w:p w:rsidR="00E67D67" w:rsidRDefault="003556A0" w:rsidP="00AB4D8E">
      <w:r w:rsidRPr="00AB4D8E">
        <w:rPr>
          <w:noProof/>
          <w:lang w:eastAsia="en-AU"/>
        </w:rPr>
        <w:drawing>
          <wp:inline distT="0" distB="0" distL="0" distR="0" wp14:anchorId="0C2DF1BE" wp14:editId="599FAAD0">
            <wp:extent cx="5325466" cy="1717690"/>
            <wp:effectExtent l="0" t="0" r="8890" b="0"/>
            <wp:docPr id="17" name="Picture 17" descr="Table 8: GS-US-236-0135: statistical comparisons of atazanavir pharmacokinetic parameters for test versus reference treatments (All PK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322117" cy="1716610"/>
                    </a:xfrm>
                    <a:prstGeom prst="rect">
                      <a:avLst/>
                    </a:prstGeom>
                  </pic:spPr>
                </pic:pic>
              </a:graphicData>
            </a:graphic>
          </wp:inline>
        </w:drawing>
      </w:r>
    </w:p>
    <w:p w:rsidR="003556A0" w:rsidRPr="003556A0" w:rsidRDefault="003556A0" w:rsidP="003556A0">
      <w:r w:rsidRPr="003556A0">
        <w:t>The results are summarised as follows:</w:t>
      </w:r>
    </w:p>
    <w:p w:rsidR="003556A0" w:rsidRPr="003556A0" w:rsidRDefault="003556A0" w:rsidP="003556A0">
      <w:pPr>
        <w:pStyle w:val="ListBullet"/>
      </w:pPr>
      <w:r>
        <w:t>T</w:t>
      </w:r>
      <w:r w:rsidRPr="003556A0">
        <w:t>he 90% CIs for the ratio of the GLSMs with TVR</w:t>
      </w:r>
      <w:r>
        <w:t xml:space="preserve"> </w:t>
      </w:r>
      <w:r w:rsidRPr="003556A0">
        <w:t>+</w:t>
      </w:r>
      <w:r>
        <w:t xml:space="preserve"> </w:t>
      </w:r>
      <w:r w:rsidRPr="003556A0">
        <w:t>STB versus TVR or STB alone were within the lack</w:t>
      </w:r>
      <w:r>
        <w:t xml:space="preserve"> </w:t>
      </w:r>
      <w:r w:rsidRPr="003556A0">
        <w:t>of</w:t>
      </w:r>
      <w:r>
        <w:t xml:space="preserve"> </w:t>
      </w:r>
      <w:r w:rsidRPr="003556A0">
        <w:t>effect boundaries for AUC</w:t>
      </w:r>
      <w:r w:rsidRPr="003556A0">
        <w:rPr>
          <w:vertAlign w:val="subscript"/>
        </w:rPr>
        <w:t>tau</w:t>
      </w:r>
      <w:r w:rsidRPr="003556A0">
        <w:t>, C</w:t>
      </w:r>
      <w:r w:rsidRPr="003556A0">
        <w:rPr>
          <w:vertAlign w:val="subscript"/>
        </w:rPr>
        <w:t>max</w:t>
      </w:r>
      <w:r w:rsidRPr="003556A0">
        <w:t>, and C</w:t>
      </w:r>
      <w:r w:rsidRPr="003556A0">
        <w:rPr>
          <w:vertAlign w:val="subscript"/>
        </w:rPr>
        <w:t>tau</w:t>
      </w:r>
      <w:r w:rsidR="00AB4D8E">
        <w:t xml:space="preserve"> for TVR, FTC, and TFV</w:t>
      </w:r>
      <w:r w:rsidR="002536E1">
        <w:t>.</w:t>
      </w:r>
    </w:p>
    <w:p w:rsidR="003556A0" w:rsidRPr="003556A0" w:rsidRDefault="003556A0" w:rsidP="003556A0">
      <w:pPr>
        <w:pStyle w:val="ListBullet"/>
      </w:pPr>
      <w:r w:rsidRPr="003556A0">
        <w:t>The 90% CIs for the GLSM ratios for AUC</w:t>
      </w:r>
      <w:r w:rsidRPr="003556A0">
        <w:rPr>
          <w:vertAlign w:val="subscript"/>
        </w:rPr>
        <w:t>tau</w:t>
      </w:r>
      <w:r w:rsidRPr="003556A0">
        <w:t xml:space="preserve"> and C</w:t>
      </w:r>
      <w:r w:rsidRPr="003556A0">
        <w:rPr>
          <w:vertAlign w:val="subscript"/>
        </w:rPr>
        <w:t>max</w:t>
      </w:r>
      <w:r w:rsidRPr="003556A0">
        <w:t xml:space="preserve"> for EVG and COBI were within the lack</w:t>
      </w:r>
      <w:r>
        <w:t xml:space="preserve"> </w:t>
      </w:r>
      <w:r w:rsidRPr="003556A0">
        <w:t>of</w:t>
      </w:r>
      <w:r>
        <w:t xml:space="preserve"> </w:t>
      </w:r>
      <w:r w:rsidR="00AB4D8E">
        <w:t>effect boundaries</w:t>
      </w:r>
      <w:r w:rsidR="002536E1">
        <w:t>.</w:t>
      </w:r>
    </w:p>
    <w:p w:rsidR="003556A0" w:rsidRPr="003556A0" w:rsidRDefault="003556A0" w:rsidP="003556A0">
      <w:pPr>
        <w:pStyle w:val="ListBullet"/>
      </w:pPr>
      <w:r w:rsidRPr="003556A0">
        <w:t>Although the 90% CI for the GLSM ratio for EVG C</w:t>
      </w:r>
      <w:r w:rsidRPr="00A15754">
        <w:rPr>
          <w:vertAlign w:val="subscript"/>
        </w:rPr>
        <w:t>tau</w:t>
      </w:r>
      <w:r w:rsidRPr="003556A0">
        <w:t xml:space="preserve"> was slightly outside the upper limit of lack</w:t>
      </w:r>
      <w:r w:rsidR="00A15754">
        <w:t xml:space="preserve"> </w:t>
      </w:r>
      <w:r w:rsidRPr="003556A0">
        <w:t>of</w:t>
      </w:r>
      <w:r w:rsidR="00A15754">
        <w:t xml:space="preserve"> </w:t>
      </w:r>
      <w:r w:rsidRPr="003556A0">
        <w:t>effect boundary with TVR</w:t>
      </w:r>
      <w:r w:rsidR="00A15754">
        <w:t xml:space="preserve"> </w:t>
      </w:r>
      <w:r w:rsidRPr="003556A0">
        <w:t>+</w:t>
      </w:r>
      <w:r w:rsidR="00A15754">
        <w:t xml:space="preserve"> </w:t>
      </w:r>
      <w:r w:rsidRPr="003556A0">
        <w:t>STB, the mean C</w:t>
      </w:r>
      <w:r w:rsidRPr="00A15754">
        <w:rPr>
          <w:vertAlign w:val="subscript"/>
        </w:rPr>
        <w:t>tau</w:t>
      </w:r>
      <w:r w:rsidR="00A15754">
        <w:t xml:space="preserve"> was &gt; 10 </w:t>
      </w:r>
      <w:r w:rsidRPr="003556A0">
        <w:t>fold above the protein</w:t>
      </w:r>
      <w:r w:rsidR="00A15754">
        <w:t xml:space="preserve"> </w:t>
      </w:r>
      <w:r w:rsidRPr="003556A0">
        <w:t>binding adjusted IC</w:t>
      </w:r>
      <w:r w:rsidRPr="00A15754">
        <w:rPr>
          <w:vertAlign w:val="subscript"/>
        </w:rPr>
        <w:t>95</w:t>
      </w:r>
      <w:r w:rsidR="00AB4D8E">
        <w:t xml:space="preserve"> (45 ng/mL)</w:t>
      </w:r>
      <w:r w:rsidR="002536E1">
        <w:t>.</w:t>
      </w:r>
    </w:p>
    <w:p w:rsidR="003556A0" w:rsidRPr="003556A0" w:rsidRDefault="003556A0" w:rsidP="00A15754">
      <w:pPr>
        <w:pStyle w:val="ListBullet"/>
      </w:pPr>
      <w:r w:rsidRPr="003556A0">
        <w:t>With TVR and ATV/r</w:t>
      </w:r>
      <w:r w:rsidR="00A15754">
        <w:t xml:space="preserve"> </w:t>
      </w:r>
      <w:r w:rsidRPr="003556A0">
        <w:t>+ EVG 85 mg, the 90% CIs for the GLSM ratios for AUC</w:t>
      </w:r>
      <w:r w:rsidRPr="00A15754">
        <w:rPr>
          <w:vertAlign w:val="subscript"/>
        </w:rPr>
        <w:t>tau</w:t>
      </w:r>
      <w:r w:rsidRPr="003556A0">
        <w:t>, C</w:t>
      </w:r>
      <w:r w:rsidRPr="00A15754">
        <w:rPr>
          <w:vertAlign w:val="subscript"/>
        </w:rPr>
        <w:t>max</w:t>
      </w:r>
      <w:r w:rsidRPr="003556A0">
        <w:t>, and C</w:t>
      </w:r>
      <w:r w:rsidRPr="00A15754">
        <w:rPr>
          <w:vertAlign w:val="subscript"/>
        </w:rPr>
        <w:t>tau</w:t>
      </w:r>
      <w:r w:rsidR="00A15754">
        <w:t xml:space="preserve"> for TVR were within the lack </w:t>
      </w:r>
      <w:r w:rsidRPr="003556A0">
        <w:t>of</w:t>
      </w:r>
      <w:r w:rsidR="00A15754">
        <w:t xml:space="preserve"> </w:t>
      </w:r>
      <w:r w:rsidR="00AB4D8E">
        <w:t>effect boundaries</w:t>
      </w:r>
      <w:r w:rsidR="002536E1">
        <w:t>.</w:t>
      </w:r>
    </w:p>
    <w:p w:rsidR="003556A0" w:rsidRPr="003556A0" w:rsidRDefault="003556A0" w:rsidP="00A15754">
      <w:pPr>
        <w:pStyle w:val="ListBullet"/>
      </w:pPr>
      <w:r w:rsidRPr="003556A0">
        <w:lastRenderedPageBreak/>
        <w:t>For the comparison of TVR</w:t>
      </w:r>
      <w:r w:rsidR="00A15754">
        <w:t xml:space="preserve"> </w:t>
      </w:r>
      <w:r w:rsidRPr="003556A0">
        <w:t>+</w:t>
      </w:r>
      <w:r w:rsidR="00A15754">
        <w:t xml:space="preserve"> </w:t>
      </w:r>
      <w:r w:rsidRPr="003556A0">
        <w:t>ATV/r</w:t>
      </w:r>
      <w:r w:rsidR="00A15754">
        <w:t xml:space="preserve"> </w:t>
      </w:r>
      <w:r w:rsidRPr="003556A0">
        <w:t>+ EVG 85 mg versus EVG 150 mg/r, the 90% CIs for the GLSM ratios for EVG AUC</w:t>
      </w:r>
      <w:r w:rsidRPr="00A15754">
        <w:rPr>
          <w:vertAlign w:val="subscript"/>
        </w:rPr>
        <w:t>tau</w:t>
      </w:r>
      <w:r w:rsidRPr="003556A0">
        <w:t xml:space="preserve"> were within the lack</w:t>
      </w:r>
      <w:r w:rsidR="00A15754">
        <w:t xml:space="preserve"> </w:t>
      </w:r>
      <w:r w:rsidRPr="003556A0">
        <w:t>of</w:t>
      </w:r>
      <w:r w:rsidR="00A15754">
        <w:t xml:space="preserve"> </w:t>
      </w:r>
      <w:r w:rsidRPr="003556A0">
        <w:t>effect boundary; C</w:t>
      </w:r>
      <w:r w:rsidRPr="00A15754">
        <w:rPr>
          <w:vertAlign w:val="subscript"/>
        </w:rPr>
        <w:t>max</w:t>
      </w:r>
      <w:r w:rsidRPr="003556A0">
        <w:t xml:space="preserve"> was narrowly outside the lower boundary and within the boundaries for the comparison of TVR</w:t>
      </w:r>
      <w:r w:rsidR="00A15754">
        <w:t xml:space="preserve"> </w:t>
      </w:r>
      <w:r w:rsidRPr="003556A0">
        <w:t>+</w:t>
      </w:r>
      <w:r w:rsidR="00A15754">
        <w:t xml:space="preserve"> </w:t>
      </w:r>
      <w:r w:rsidRPr="003556A0">
        <w:t>ATV/r</w:t>
      </w:r>
      <w:r w:rsidR="00A15754">
        <w:t xml:space="preserve"> </w:t>
      </w:r>
      <w:r w:rsidRPr="003556A0">
        <w:t>+</w:t>
      </w:r>
      <w:r w:rsidR="00A15754">
        <w:t xml:space="preserve"> </w:t>
      </w:r>
      <w:r w:rsidRPr="003556A0">
        <w:t>85 EVG mg versus ATV/r</w:t>
      </w:r>
      <w:r w:rsidR="00A15754">
        <w:t xml:space="preserve"> </w:t>
      </w:r>
      <w:r w:rsidRPr="003556A0">
        <w:t>+ EVG 85 mg; the 90% CIs for the GLSM ratios for EVG C</w:t>
      </w:r>
      <w:r w:rsidRPr="00A15754">
        <w:rPr>
          <w:vertAlign w:val="subscript"/>
        </w:rPr>
        <w:t xml:space="preserve">tau </w:t>
      </w:r>
      <w:r w:rsidRPr="003556A0">
        <w:t>following TVR</w:t>
      </w:r>
      <w:r w:rsidR="00A15754">
        <w:t xml:space="preserve"> </w:t>
      </w:r>
      <w:r w:rsidRPr="003556A0">
        <w:t>+</w:t>
      </w:r>
      <w:r w:rsidR="00A15754">
        <w:t xml:space="preserve"> </w:t>
      </w:r>
      <w:r w:rsidRPr="003556A0">
        <w:t>ATV/r</w:t>
      </w:r>
      <w:r w:rsidR="00A15754">
        <w:t xml:space="preserve"> </w:t>
      </w:r>
      <w:r w:rsidRPr="003556A0">
        <w:t>+</w:t>
      </w:r>
      <w:r w:rsidR="00A15754">
        <w:t xml:space="preserve"> </w:t>
      </w:r>
      <w:r w:rsidRPr="003556A0">
        <w:t>85 mg of EVG were above the upper boundary for lack</w:t>
      </w:r>
      <w:r w:rsidR="00A15754">
        <w:t xml:space="preserve"> </w:t>
      </w:r>
      <w:r w:rsidRPr="003556A0">
        <w:t>of</w:t>
      </w:r>
      <w:r w:rsidR="00A15754">
        <w:t xml:space="preserve"> </w:t>
      </w:r>
      <w:r w:rsidRPr="003556A0">
        <w:t>effect and the mean EVG C</w:t>
      </w:r>
      <w:r w:rsidRPr="00A15754">
        <w:rPr>
          <w:vertAlign w:val="subscript"/>
        </w:rPr>
        <w:t>tau</w:t>
      </w:r>
      <w:r w:rsidRPr="003556A0">
        <w:t xml:space="preserve"> was &gt; 10</w:t>
      </w:r>
      <w:r w:rsidR="00A15754">
        <w:t xml:space="preserve"> </w:t>
      </w:r>
      <w:r w:rsidRPr="003556A0">
        <w:t>fold above the protein</w:t>
      </w:r>
      <w:r w:rsidR="00A15754">
        <w:t xml:space="preserve"> </w:t>
      </w:r>
      <w:r w:rsidRPr="003556A0">
        <w:t>binding adjusted IC</w:t>
      </w:r>
      <w:r w:rsidRPr="00A15754">
        <w:rPr>
          <w:vertAlign w:val="subscript"/>
        </w:rPr>
        <w:t>95</w:t>
      </w:r>
      <w:r w:rsidR="00AB4D8E">
        <w:t xml:space="preserve"> (45 ng/mL)</w:t>
      </w:r>
      <w:r w:rsidR="002536E1">
        <w:t>.</w:t>
      </w:r>
    </w:p>
    <w:p w:rsidR="003556A0" w:rsidRPr="003556A0" w:rsidRDefault="003556A0" w:rsidP="00A15754">
      <w:pPr>
        <w:pStyle w:val="ListBullet"/>
      </w:pPr>
      <w:r w:rsidRPr="003556A0">
        <w:t>For the comparison of TVR</w:t>
      </w:r>
      <w:r w:rsidR="00A15754">
        <w:t xml:space="preserve"> </w:t>
      </w:r>
      <w:r w:rsidRPr="003556A0">
        <w:t>+</w:t>
      </w:r>
      <w:r w:rsidR="00A15754">
        <w:t xml:space="preserve"> </w:t>
      </w:r>
      <w:r w:rsidRPr="003556A0">
        <w:t>ATV/r</w:t>
      </w:r>
      <w:r w:rsidR="00A15754">
        <w:t xml:space="preserve"> </w:t>
      </w:r>
      <w:r w:rsidRPr="003556A0">
        <w:t>+</w:t>
      </w:r>
      <w:r w:rsidR="00A15754">
        <w:t xml:space="preserve"> </w:t>
      </w:r>
      <w:r w:rsidRPr="003556A0">
        <w:t>85 EVG mg versus ATV/r, the 90% CI for the GLSM ratio for ATV AUC</w:t>
      </w:r>
      <w:r w:rsidRPr="00A15754">
        <w:rPr>
          <w:vertAlign w:val="subscript"/>
        </w:rPr>
        <w:t>tau</w:t>
      </w:r>
      <w:r w:rsidRPr="003556A0">
        <w:t xml:space="preserve"> was within the lack</w:t>
      </w:r>
      <w:r w:rsidR="00A15754">
        <w:t xml:space="preserve"> </w:t>
      </w:r>
      <w:r w:rsidRPr="003556A0">
        <w:t>of</w:t>
      </w:r>
      <w:r w:rsidR="00A15754">
        <w:t xml:space="preserve"> </w:t>
      </w:r>
      <w:r w:rsidRPr="003556A0">
        <w:t>effect boundaries; the 90% CIs for the GLSM ratios for ATV C</w:t>
      </w:r>
      <w:r w:rsidRPr="00A15754">
        <w:rPr>
          <w:vertAlign w:val="subscript"/>
        </w:rPr>
        <w:t>max</w:t>
      </w:r>
      <w:r w:rsidRPr="003556A0">
        <w:t xml:space="preserve"> was narrowly below and for C</w:t>
      </w:r>
      <w:r w:rsidRPr="00A15754">
        <w:rPr>
          <w:vertAlign w:val="subscript"/>
        </w:rPr>
        <w:t>tau</w:t>
      </w:r>
      <w:r w:rsidRPr="003556A0">
        <w:t xml:space="preserve"> narrowly above the boundaries; mean ATV C</w:t>
      </w:r>
      <w:r w:rsidRPr="00A15754">
        <w:rPr>
          <w:vertAlign w:val="subscript"/>
        </w:rPr>
        <w:t>tau</w:t>
      </w:r>
      <w:r w:rsidRPr="003556A0">
        <w:t xml:space="preserve"> was modestly higher after TVR</w:t>
      </w:r>
      <w:r w:rsidR="00A15754">
        <w:t xml:space="preserve"> </w:t>
      </w:r>
      <w:r w:rsidRPr="003556A0">
        <w:t>+</w:t>
      </w:r>
      <w:r w:rsidR="00A15754">
        <w:t xml:space="preserve"> </w:t>
      </w:r>
      <w:r w:rsidRPr="003556A0">
        <w:t>ATV/r</w:t>
      </w:r>
      <w:r w:rsidR="00A15754">
        <w:t xml:space="preserve"> </w:t>
      </w:r>
      <w:r w:rsidRPr="003556A0">
        <w:t>+ EVG 85 mg versus ATV/r; however, mean ATV C</w:t>
      </w:r>
      <w:r w:rsidRPr="00A15754">
        <w:rPr>
          <w:vertAlign w:val="subscript"/>
        </w:rPr>
        <w:t>tau</w:t>
      </w:r>
      <w:r w:rsidRPr="003556A0">
        <w:t xml:space="preserve"> after TVR</w:t>
      </w:r>
      <w:r w:rsidR="00A15754">
        <w:t xml:space="preserve"> </w:t>
      </w:r>
      <w:r w:rsidRPr="003556A0">
        <w:t>+</w:t>
      </w:r>
      <w:r w:rsidR="00A15754">
        <w:t xml:space="preserve"> </w:t>
      </w:r>
      <w:r w:rsidRPr="003556A0">
        <w:t>ATV/r</w:t>
      </w:r>
      <w:r w:rsidR="00A15754">
        <w:t xml:space="preserve"> </w:t>
      </w:r>
      <w:r w:rsidRPr="003556A0">
        <w:t>+</w:t>
      </w:r>
      <w:r w:rsidR="00A15754">
        <w:t xml:space="preserve"> </w:t>
      </w:r>
      <w:r w:rsidRPr="003556A0">
        <w:t>EVG 85 mg was &gt; 100</w:t>
      </w:r>
      <w:r w:rsidR="00A15754">
        <w:t xml:space="preserve"> </w:t>
      </w:r>
      <w:r w:rsidRPr="003556A0">
        <w:t>fold above the protein</w:t>
      </w:r>
      <w:r w:rsidR="00A15754">
        <w:t xml:space="preserve"> </w:t>
      </w:r>
      <w:r w:rsidRPr="003556A0">
        <w:t>binding adjusted IC</w:t>
      </w:r>
      <w:r w:rsidRPr="00A15754">
        <w:rPr>
          <w:vertAlign w:val="subscript"/>
        </w:rPr>
        <w:t>90</w:t>
      </w:r>
      <w:r w:rsidRPr="003556A0">
        <w:t xml:space="preserve"> (14 ng/mL); there was an increase in C</w:t>
      </w:r>
      <w:r w:rsidRPr="00A15754">
        <w:rPr>
          <w:vertAlign w:val="subscript"/>
        </w:rPr>
        <w:t>tau</w:t>
      </w:r>
      <w:r w:rsidRPr="003556A0">
        <w:t xml:space="preserve"> was for ATV from TVR</w:t>
      </w:r>
      <w:r w:rsidR="00A15754">
        <w:t xml:space="preserve"> </w:t>
      </w:r>
      <w:r w:rsidRPr="003556A0">
        <w:t>+</w:t>
      </w:r>
      <w:r w:rsidR="00A15754">
        <w:t xml:space="preserve"> </w:t>
      </w:r>
      <w:r w:rsidRPr="003556A0">
        <w:t>ATV/r versus ATV/r alone, which was attributed to TVR inhibition of CYP3A; ATV AUC</w:t>
      </w:r>
      <w:r w:rsidRPr="00A15754">
        <w:rPr>
          <w:vertAlign w:val="subscript"/>
        </w:rPr>
        <w:t>tau</w:t>
      </w:r>
      <w:r w:rsidRPr="003556A0">
        <w:t xml:space="preserve"> and C</w:t>
      </w:r>
      <w:r w:rsidRPr="00A15754">
        <w:rPr>
          <w:vertAlign w:val="subscript"/>
        </w:rPr>
        <w:t>max</w:t>
      </w:r>
      <w:r w:rsidRPr="003556A0">
        <w:t xml:space="preserve"> were within the no</w:t>
      </w:r>
      <w:r w:rsidR="00A15754">
        <w:t xml:space="preserve"> </w:t>
      </w:r>
      <w:r w:rsidRPr="003556A0">
        <w:t xml:space="preserve">effect boundary; it is noted that ATV/r is the only protease inhibitor </w:t>
      </w:r>
      <w:r w:rsidR="00683527">
        <w:t xml:space="preserve">(PIn) </w:t>
      </w:r>
      <w:r w:rsidRPr="003556A0">
        <w:t>allowed for use in combination with TVR.</w:t>
      </w:r>
    </w:p>
    <w:p w:rsidR="00A15754" w:rsidRPr="00A15754" w:rsidRDefault="00A15754" w:rsidP="00A15754">
      <w:pPr>
        <w:pStyle w:val="Heading3"/>
        <w:rPr>
          <w:rFonts w:eastAsiaTheme="minorHAnsi"/>
        </w:rPr>
      </w:pPr>
      <w:bookmarkStart w:id="18" w:name="_Toc481586169"/>
      <w:r w:rsidRPr="00A15754">
        <w:rPr>
          <w:rFonts w:eastAsiaTheme="minorHAnsi"/>
        </w:rPr>
        <w:t>E</w:t>
      </w:r>
      <w:r>
        <w:rPr>
          <w:rFonts w:eastAsiaTheme="minorHAnsi"/>
        </w:rPr>
        <w:t>valuator’s conclusion on pharmacoki</w:t>
      </w:r>
      <w:r w:rsidR="00DA5D8A">
        <w:rPr>
          <w:rFonts w:eastAsiaTheme="minorHAnsi"/>
        </w:rPr>
        <w:t>neti</w:t>
      </w:r>
      <w:r>
        <w:rPr>
          <w:rFonts w:eastAsiaTheme="minorHAnsi"/>
        </w:rPr>
        <w:t>cs</w:t>
      </w:r>
      <w:bookmarkEnd w:id="18"/>
    </w:p>
    <w:p w:rsidR="00AB4D8E" w:rsidRPr="00A15754" w:rsidRDefault="00AB4D8E" w:rsidP="00AB4D8E">
      <w:r>
        <w:t>The sponsor concluded that:</w:t>
      </w:r>
    </w:p>
    <w:p w:rsidR="00AB4D8E" w:rsidRPr="00AB4D8E" w:rsidRDefault="00AB4D8E" w:rsidP="00AB4D8E">
      <w:pPr>
        <w:pStyle w:val="ListBullet"/>
        <w:numPr>
          <w:ilvl w:val="0"/>
          <w:numId w:val="3"/>
        </w:numPr>
      </w:pPr>
      <w:r w:rsidRPr="00A15754">
        <w:t xml:space="preserve">There were no clinically relevant drug interactions between the components of STB and </w:t>
      </w:r>
      <w:r>
        <w:t>TVR</w:t>
      </w:r>
      <w:r w:rsidRPr="00A15754">
        <w:t>, and, between ATV/r</w:t>
      </w:r>
      <w:r>
        <w:t xml:space="preserve"> </w:t>
      </w:r>
      <w:r w:rsidRPr="00A15754">
        <w:t>+ EVG 85 mg and TVR, and no dose adjustment is necessary when these are co</w:t>
      </w:r>
      <w:r>
        <w:t>-administered.</w:t>
      </w:r>
    </w:p>
    <w:p w:rsidR="00A15754" w:rsidRDefault="00A15754" w:rsidP="00A15754">
      <w:pPr>
        <w:autoSpaceDE w:val="0"/>
        <w:autoSpaceDN w:val="0"/>
        <w:adjustRightInd w:val="0"/>
        <w:spacing w:before="0" w:after="0" w:line="240" w:lineRule="auto"/>
        <w:rPr>
          <w:rFonts w:eastAsiaTheme="minorHAnsi" w:cs="Cambria"/>
          <w:color w:val="000000"/>
        </w:rPr>
      </w:pPr>
      <w:r w:rsidRPr="00A15754">
        <w:rPr>
          <w:rFonts w:eastAsiaTheme="minorHAnsi" w:cs="Cambria"/>
          <w:color w:val="000000"/>
        </w:rPr>
        <w:t>The sponsor’s conclusions are accepted.</w:t>
      </w:r>
    </w:p>
    <w:p w:rsidR="00FF7EAD" w:rsidRDefault="00FF7EAD" w:rsidP="00FF7EAD">
      <w:pPr>
        <w:pStyle w:val="Heading2"/>
        <w:numPr>
          <w:ilvl w:val="0"/>
          <w:numId w:val="29"/>
        </w:numPr>
        <w:rPr>
          <w:rFonts w:eastAsiaTheme="minorHAnsi"/>
        </w:rPr>
      </w:pPr>
      <w:bookmarkStart w:id="19" w:name="_Toc481586170"/>
      <w:r>
        <w:rPr>
          <w:rFonts w:eastAsiaTheme="minorHAnsi"/>
        </w:rPr>
        <w:t>Pharmacodynamics</w:t>
      </w:r>
      <w:bookmarkEnd w:id="19"/>
    </w:p>
    <w:p w:rsidR="00FF7EAD" w:rsidRPr="00FF7EAD" w:rsidRDefault="00FF7EAD" w:rsidP="00FF7EAD">
      <w:pPr>
        <w:rPr>
          <w:lang w:eastAsia="ja-JP"/>
        </w:rPr>
      </w:pPr>
      <w:r>
        <w:rPr>
          <w:lang w:eastAsia="ja-JP"/>
        </w:rPr>
        <w:t>There was no separate evaluation of the pharmacodynamics presented by the clinical evaluator.</w:t>
      </w:r>
    </w:p>
    <w:p w:rsidR="00FF7EAD" w:rsidRDefault="00FF7EAD" w:rsidP="00FF7EAD">
      <w:pPr>
        <w:pStyle w:val="Heading2"/>
        <w:numPr>
          <w:ilvl w:val="0"/>
          <w:numId w:val="29"/>
        </w:numPr>
        <w:rPr>
          <w:rFonts w:eastAsiaTheme="minorHAnsi"/>
        </w:rPr>
      </w:pPr>
      <w:bookmarkStart w:id="20" w:name="_Toc430959542"/>
      <w:bookmarkStart w:id="21" w:name="_Toc481586171"/>
      <w:r>
        <w:t>Dosage selection for the pivotal studies</w:t>
      </w:r>
      <w:bookmarkEnd w:id="20"/>
      <w:bookmarkEnd w:id="21"/>
    </w:p>
    <w:p w:rsidR="00FF7EAD" w:rsidRPr="00FF7EAD" w:rsidRDefault="00FF7EAD" w:rsidP="00FF7EAD">
      <w:pPr>
        <w:rPr>
          <w:lang w:eastAsia="ja-JP"/>
        </w:rPr>
      </w:pPr>
      <w:r>
        <w:rPr>
          <w:lang w:eastAsia="ja-JP"/>
        </w:rPr>
        <w:t>There was no separate evaluation of the dose selection for the pivotal studies presented by the clinical evaluator.</w:t>
      </w:r>
    </w:p>
    <w:p w:rsidR="00E86C48" w:rsidRDefault="00CB6C9B" w:rsidP="00CB6C9B">
      <w:pPr>
        <w:pStyle w:val="Heading2"/>
        <w:rPr>
          <w:rFonts w:eastAsiaTheme="minorHAnsi"/>
        </w:rPr>
      </w:pPr>
      <w:bookmarkStart w:id="22" w:name="_Toc481586172"/>
      <w:r>
        <w:rPr>
          <w:rFonts w:eastAsiaTheme="minorHAnsi"/>
        </w:rPr>
        <w:t>Clinical efficacy</w:t>
      </w:r>
      <w:bookmarkEnd w:id="22"/>
    </w:p>
    <w:p w:rsidR="00CB6C9B" w:rsidRPr="00CB6C9B" w:rsidRDefault="00CB6C9B" w:rsidP="00CB6C9B">
      <w:r w:rsidRPr="00CB6C9B">
        <w:t>The efficacy data provided in the dossier comprise CSRs for the following studies:</w:t>
      </w:r>
    </w:p>
    <w:p w:rsidR="00CB6C9B" w:rsidRPr="00CB6C9B" w:rsidRDefault="00CB6C9B" w:rsidP="00CB6C9B">
      <w:pPr>
        <w:pStyle w:val="ListBullet"/>
      </w:pPr>
      <w:r w:rsidRPr="00CB6C9B">
        <w:t>GS-US-236-0102 and GS-US-236-0103 to support updates to the drug resistance subsection of the pharmacology section and the clinical trials section to include data from patients treated to 144 weeks.</w:t>
      </w:r>
    </w:p>
    <w:p w:rsidR="00CB6C9B" w:rsidRPr="00CB6C9B" w:rsidRDefault="00CB6C9B" w:rsidP="00CB6C9B">
      <w:pPr>
        <w:pStyle w:val="ListBullet"/>
      </w:pPr>
      <w:r w:rsidRPr="00CB6C9B">
        <w:t>GS-US-236-0115, GS-US-236-0121 and GS-US-236-0123 to support an update to the current approved indication to include the use of STB in virologically suppressed patients who have no known mutations associated with resistance to the individual components of STB.</w:t>
      </w:r>
    </w:p>
    <w:p w:rsidR="00CB6C9B" w:rsidRPr="00CB6C9B" w:rsidRDefault="00CB6C9B" w:rsidP="00CB6C9B">
      <w:r w:rsidRPr="00CB6C9B">
        <w:t>Of note, studies GS-US-236-0102 and GS-US-236-0103 were provided to and evaluated by the Therapeutic Goods Administration (TGA) in the 2011-03533 application for initial marketing authorisation. CSRs for the other studies have not been previously been submitted to the TGA.</w:t>
      </w:r>
    </w:p>
    <w:p w:rsidR="00CB6C9B" w:rsidRPr="00CB6C9B" w:rsidRDefault="00CB6C9B" w:rsidP="00CB6C9B">
      <w:pPr>
        <w:pStyle w:val="Heading3"/>
        <w:rPr>
          <w:rFonts w:eastAsiaTheme="minorHAnsi"/>
        </w:rPr>
      </w:pPr>
      <w:bookmarkStart w:id="23" w:name="_Toc481586173"/>
      <w:r w:rsidRPr="00CB6C9B">
        <w:rPr>
          <w:rFonts w:eastAsiaTheme="minorHAnsi"/>
        </w:rPr>
        <w:lastRenderedPageBreak/>
        <w:t>GS-US-236-0102</w:t>
      </w:r>
      <w:bookmarkEnd w:id="23"/>
    </w:p>
    <w:p w:rsidR="00CB6C9B" w:rsidRPr="00CB6C9B" w:rsidRDefault="00CB6C9B" w:rsidP="00CB6C9B">
      <w:pPr>
        <w:pStyle w:val="Heading4"/>
      </w:pPr>
      <w:r w:rsidRPr="00CB6C9B">
        <w:t>Study design, objectives, locations and dates</w:t>
      </w:r>
    </w:p>
    <w:p w:rsidR="00CB6C9B" w:rsidRPr="00CB6C9B" w:rsidRDefault="00CB6C9B" w:rsidP="00CB6C9B">
      <w:r w:rsidRPr="00CB6C9B">
        <w:t xml:space="preserve">This was a Phase </w:t>
      </w:r>
      <w:r>
        <w:t>III</w:t>
      </w:r>
      <w:r w:rsidRPr="00CB6C9B">
        <w:t>, randomised, double</w:t>
      </w:r>
      <w:r>
        <w:t xml:space="preserve"> </w:t>
      </w:r>
      <w:r w:rsidRPr="00CB6C9B">
        <w:t>blind study to evaluate the safety and efficacy of a single</w:t>
      </w:r>
      <w:r>
        <w:t xml:space="preserve"> </w:t>
      </w:r>
      <w:r w:rsidRPr="00CB6C9B">
        <w:t>tablet regimen (STR) containing a fixed</w:t>
      </w:r>
      <w:r>
        <w:t xml:space="preserve"> </w:t>
      </w:r>
      <w:r w:rsidRPr="00CB6C9B">
        <w:t>dose combination of STB (EVG/COBI/FTC/TDF) versus an STR of Atripla (ATR; efavirenz [EFV]/FTC/TDF) in HIV</w:t>
      </w:r>
      <w:r>
        <w:t>-</w:t>
      </w:r>
      <w:r w:rsidRPr="00CB6C9B">
        <w:t>1 infected, antiretroviral (ARV) treatment</w:t>
      </w:r>
      <w:r>
        <w:t xml:space="preserve"> naïve </w:t>
      </w:r>
      <w:r w:rsidRPr="00CB6C9B">
        <w:t>adults. It was undertaken at 102 study site</w:t>
      </w:r>
      <w:r w:rsidR="008B6777">
        <w:t>s, 97 in the US and 5 in Puerto </w:t>
      </w:r>
      <w:r w:rsidRPr="00CB6C9B">
        <w:t>Rico. It commenced in March 2010 and the last obser</w:t>
      </w:r>
      <w:r w:rsidR="008B6777">
        <w:t>vation for this report was June </w:t>
      </w:r>
      <w:r w:rsidRPr="00CB6C9B">
        <w:t>2013. Treatment was planned for 192 weeks in the randomised, double</w:t>
      </w:r>
      <w:r>
        <w:t xml:space="preserve"> </w:t>
      </w:r>
      <w:r w:rsidRPr="00CB6C9B">
        <w:t>blinded phase. After this, subjects will continue to take study drug until treatment assignments are unblinded, at which point all subjects will be given the option to participate in an open-label rollover study. During the double</w:t>
      </w:r>
      <w:r>
        <w:t xml:space="preserve"> </w:t>
      </w:r>
      <w:r w:rsidRPr="00CB6C9B">
        <w:t xml:space="preserve">blind treatment period, study visits occurred at </w:t>
      </w:r>
      <w:r>
        <w:t>W</w:t>
      </w:r>
      <w:r w:rsidRPr="00CB6C9B">
        <w:t xml:space="preserve">eeks 2, 4, 8, 12, 16, 24, 32, 40, and 48 and then every 12 weeks to </w:t>
      </w:r>
      <w:r w:rsidR="00DA5D8A">
        <w:t>W</w:t>
      </w:r>
      <w:r w:rsidRPr="00CB6C9B">
        <w:t>eek 192.</w:t>
      </w:r>
    </w:p>
    <w:p w:rsidR="00CB6C9B" w:rsidRPr="00CB6C9B" w:rsidRDefault="00DA5D8A" w:rsidP="00CB6C9B">
      <w:r>
        <w:t>The objectives were:</w:t>
      </w:r>
    </w:p>
    <w:p w:rsidR="00CB6C9B" w:rsidRPr="00CB6C9B" w:rsidRDefault="00744563" w:rsidP="00CB6C9B">
      <w:pPr>
        <w:pStyle w:val="ListBullet"/>
      </w:pPr>
      <w:r>
        <w:t>Primary</w:t>
      </w:r>
      <w:r w:rsidR="00CB6C9B" w:rsidRPr="00CB6C9B">
        <w:t>: To evaluate the efficacy of an STR containing EVG/COBI/FTC/TDF (STB) versus an STR containing EFV/FTC/TDF (ATR) in HIV-1 infected, ARV treatment</w:t>
      </w:r>
      <w:r w:rsidR="00CB6C9B">
        <w:t xml:space="preserve"> naïve </w:t>
      </w:r>
      <w:r w:rsidR="00CB6C9B" w:rsidRPr="00CB6C9B">
        <w:t>adult subjects, as determined by the achievement of HIV-1 ribonucleic acid (RNA) &lt; 50 copies/mL at Week 48</w:t>
      </w:r>
      <w:r w:rsidR="00DA5D8A">
        <w:t>.</w:t>
      </w:r>
    </w:p>
    <w:p w:rsidR="00CB6C9B" w:rsidRPr="00CB6C9B" w:rsidRDefault="00744563" w:rsidP="00CB6C9B">
      <w:pPr>
        <w:pStyle w:val="ListBullet"/>
      </w:pPr>
      <w:r>
        <w:t>Secondary</w:t>
      </w:r>
      <w:r w:rsidR="00CB6C9B" w:rsidRPr="00CB6C9B">
        <w:t xml:space="preserve">: To evaluate the efficacy, safety, and tolerability of the 2 STRs through 96 weeks of treatment and the durability of the efficacy, safety, and tolerability results of the 2 STRs observed </w:t>
      </w:r>
      <w:r w:rsidR="00DA5D8A">
        <w:t>through 192 weeks of treatment.</w:t>
      </w:r>
    </w:p>
    <w:p w:rsidR="00CB6C9B" w:rsidRDefault="00CB6C9B" w:rsidP="00CB6C9B">
      <w:r w:rsidRPr="00CB6C9B">
        <w:t xml:space="preserve">The </w:t>
      </w:r>
      <w:r w:rsidR="00744563">
        <w:t>primary</w:t>
      </w:r>
      <w:r w:rsidRPr="00CB6C9B">
        <w:t xml:space="preserve"> and 1</w:t>
      </w:r>
      <w:r w:rsidRPr="00CB6C9B">
        <w:rPr>
          <w:vertAlign w:val="superscript"/>
        </w:rPr>
        <w:t>st</w:t>
      </w:r>
      <w:r w:rsidRPr="00CB6C9B">
        <w:t xml:space="preserve"> </w:t>
      </w:r>
      <w:r w:rsidR="00744563">
        <w:t>secondary</w:t>
      </w:r>
      <w:r w:rsidRPr="00CB6C9B">
        <w:t xml:space="preserve"> objectives were addressed in previous CSRs and are not presented in this report. Results for the </w:t>
      </w:r>
      <w:r w:rsidR="00744563">
        <w:t>secondary</w:t>
      </w:r>
      <w:r w:rsidRPr="00CB6C9B">
        <w:t xml:space="preserve"> objectives presented in this CSR include data analysis to 144 weeks of treatment</w:t>
      </w:r>
      <w:r w:rsidR="00DA5D8A">
        <w:t>.</w:t>
      </w:r>
    </w:p>
    <w:p w:rsidR="00CB6C9B" w:rsidRPr="00CB6C9B" w:rsidRDefault="00CB6C9B" w:rsidP="00CB6C9B">
      <w:pPr>
        <w:pStyle w:val="Heading4"/>
      </w:pPr>
      <w:r w:rsidRPr="00CB6C9B">
        <w:t>Main inclusion and exclusion criteria</w:t>
      </w:r>
    </w:p>
    <w:p w:rsidR="00CB6C9B" w:rsidRPr="00CB6C9B" w:rsidRDefault="00CB6C9B" w:rsidP="00CB6C9B">
      <w:r w:rsidRPr="00CB6C9B">
        <w:t>HIV-1 infected, ARV treatment</w:t>
      </w:r>
      <w:r>
        <w:t xml:space="preserve"> naïve </w:t>
      </w:r>
      <w:r w:rsidRPr="00CB6C9B">
        <w:t>adults with plasma HIV-1 RNA levels</w:t>
      </w:r>
      <w:r>
        <w:t xml:space="preserve"> ≥</w:t>
      </w:r>
      <w:r w:rsidRPr="00CB6C9B">
        <w:t xml:space="preserve"> 5000 copies/mL and eGFR </w:t>
      </w:r>
      <w:r>
        <w:t>≥</w:t>
      </w:r>
      <w:r w:rsidRPr="00CB6C9B">
        <w:t xml:space="preserve"> 70 mL/min at screening, with no prior use of any approved or experimental ARV drug, and sensitivity to EFV, FTC, and TDF as demonstrated by the subject’s HIV-1 genotype at screening. Key exclusion criteria included receipt of prohibited therapy and pregnancy.</w:t>
      </w:r>
    </w:p>
    <w:p w:rsidR="00CB6C9B" w:rsidRPr="00CB6C9B" w:rsidRDefault="00CB6C9B" w:rsidP="00CB6C9B">
      <w:pPr>
        <w:pStyle w:val="Heading4"/>
      </w:pPr>
      <w:r w:rsidRPr="00CB6C9B">
        <w:t>Study</w:t>
      </w:r>
      <w:r w:rsidR="00DA5D8A">
        <w:t xml:space="preserve"> treatments</w:t>
      </w:r>
    </w:p>
    <w:p w:rsidR="00CB6C9B" w:rsidRPr="00CB6C9B" w:rsidRDefault="00CB6C9B" w:rsidP="00CB6C9B">
      <w:pPr>
        <w:pStyle w:val="ListBullet"/>
      </w:pPr>
      <w:r w:rsidRPr="00CB6C9B">
        <w:t>Treatment Group 1: STR containing EVG 150 mg/COBI 150 mg/FTC 200 mg/TDF</w:t>
      </w:r>
      <w:r w:rsidR="008B6777">
        <w:t xml:space="preserve"> </w:t>
      </w:r>
      <w:r w:rsidRPr="00CB6C9B">
        <w:t>300 mg (STB) once daily + placebo for ATR once daily prior to bedtime</w:t>
      </w:r>
      <w:r w:rsidR="00DA5D8A">
        <w:t>.</w:t>
      </w:r>
    </w:p>
    <w:p w:rsidR="00CB6C9B" w:rsidRPr="00CB6C9B" w:rsidRDefault="00CB6C9B" w:rsidP="00CB6C9B">
      <w:pPr>
        <w:pStyle w:val="ListBullet"/>
      </w:pPr>
      <w:r w:rsidRPr="00CB6C9B">
        <w:t>Treatment Group 2: STR containing EFV 600 mg/FTC 200 mg/TDF 300 mg (ATR) once daily prior to bedtime + placebo for STB once daily</w:t>
      </w:r>
      <w:r w:rsidR="00DA5D8A">
        <w:t>.</w:t>
      </w:r>
    </w:p>
    <w:p w:rsidR="00CB6C9B" w:rsidRPr="00CB6C9B" w:rsidRDefault="00CB6C9B" w:rsidP="00CB6C9B">
      <w:r w:rsidRPr="00CB6C9B">
        <w:t>Study drugs were dispensed in a double</w:t>
      </w:r>
      <w:r>
        <w:t xml:space="preserve"> </w:t>
      </w:r>
      <w:r w:rsidRPr="00CB6C9B">
        <w:t>blinded fashion su</w:t>
      </w:r>
      <w:r w:rsidR="00FF7EAD">
        <w:t>ch that each subject received 2 </w:t>
      </w:r>
      <w:r w:rsidRPr="00CB6C9B">
        <w:t>tablets per day, 1 with food and 1 on an empty stomach prior to bedtime. Allowed and prohibited prior and concomitant medication was specified. Procedures for measu</w:t>
      </w:r>
      <w:r w:rsidR="00DA5D8A">
        <w:t>ring compliance were described.</w:t>
      </w:r>
    </w:p>
    <w:p w:rsidR="00CB6C9B" w:rsidRPr="00CB6C9B" w:rsidRDefault="00CB6C9B" w:rsidP="00CB6C9B">
      <w:pPr>
        <w:pStyle w:val="Heading4"/>
      </w:pPr>
      <w:r w:rsidRPr="00CB6C9B">
        <w:t>Efficacy outcome variables</w:t>
      </w:r>
    </w:p>
    <w:p w:rsidR="00CB6C9B" w:rsidRPr="00CB6C9B" w:rsidRDefault="00CB6C9B" w:rsidP="00CB6C9B">
      <w:r w:rsidRPr="00CB6C9B">
        <w:t xml:space="preserve">The </w:t>
      </w:r>
      <w:r w:rsidR="00744563">
        <w:t>primary</w:t>
      </w:r>
      <w:r w:rsidRPr="00CB6C9B">
        <w:t xml:space="preserve"> efficacy endpoint was the percentage (%) of subjects with HIV-1 RNA &lt; 50 copies/mL at </w:t>
      </w:r>
      <w:r w:rsidR="000D10A7">
        <w:t>W</w:t>
      </w:r>
      <w:r w:rsidRPr="00CB6C9B">
        <w:t>eek 48 using the US Food and Drug Administration (FDA)</w:t>
      </w:r>
      <w:r>
        <w:t xml:space="preserve"> </w:t>
      </w:r>
      <w:r w:rsidRPr="00CB6C9B">
        <w:t xml:space="preserve">defined snapshot analysis. The </w:t>
      </w:r>
      <w:r w:rsidR="00744563">
        <w:t>secondary</w:t>
      </w:r>
      <w:r w:rsidRPr="00CB6C9B">
        <w:t xml:space="preserve"> efficacy endpoint evaluated for the </w:t>
      </w:r>
      <w:r>
        <w:t>W</w:t>
      </w:r>
      <w:r w:rsidRPr="00CB6C9B">
        <w:t>eek 144 analysis was the</w:t>
      </w:r>
      <w:r w:rsidR="008B6777">
        <w:t xml:space="preserve"> % of subjects with HIV-1 RNA &lt; </w:t>
      </w:r>
      <w:r w:rsidRPr="00CB6C9B">
        <w:t xml:space="preserve">50 copies/mL at </w:t>
      </w:r>
      <w:r>
        <w:t>W</w:t>
      </w:r>
      <w:r w:rsidRPr="00CB6C9B">
        <w:t>eek 144 as defined by the snapshot analysis algorithm</w:t>
      </w:r>
      <w:r>
        <w:t>.</w:t>
      </w:r>
    </w:p>
    <w:p w:rsidR="00CB6C9B" w:rsidRPr="00CB6C9B" w:rsidRDefault="001F38F1" w:rsidP="00CB6C9B">
      <w:r>
        <w:t>Tertiary</w:t>
      </w:r>
      <w:r w:rsidR="00CB6C9B" w:rsidRPr="00CB6C9B">
        <w:t xml:space="preserve"> efficacy endpoints evaluated for the </w:t>
      </w:r>
      <w:r w:rsidR="00CB6C9B">
        <w:t>W</w:t>
      </w:r>
      <w:r w:rsidR="00CB6C9B" w:rsidRPr="00CB6C9B">
        <w:t>eek 144 analysis were:</w:t>
      </w:r>
    </w:p>
    <w:p w:rsidR="00CB6C9B" w:rsidRPr="00CB6C9B" w:rsidRDefault="00CB6C9B" w:rsidP="00CB6C9B">
      <w:pPr>
        <w:pStyle w:val="ListBullet"/>
      </w:pPr>
      <w:r w:rsidRPr="00CB6C9B">
        <w:t>Pure virologic failure (PVF) with HIV-1 RNA cut</w:t>
      </w:r>
      <w:r>
        <w:t xml:space="preserve"> </w:t>
      </w:r>
      <w:r w:rsidRPr="00CB6C9B">
        <w:t xml:space="preserve">off at 50 copies/mL by </w:t>
      </w:r>
      <w:r>
        <w:t>Week 144</w:t>
      </w:r>
    </w:p>
    <w:p w:rsidR="00CB6C9B" w:rsidRPr="00CB6C9B" w:rsidRDefault="00CB6C9B" w:rsidP="00CB6C9B">
      <w:pPr>
        <w:pStyle w:val="ListBullet"/>
      </w:pPr>
      <w:r w:rsidRPr="00CB6C9B">
        <w:lastRenderedPageBreak/>
        <w:t>The % of subjects with HIV-1 RN</w:t>
      </w:r>
      <w:r w:rsidR="00487D2B">
        <w:t>A &lt; 50 copies/mL using missing equals</w:t>
      </w:r>
      <w:r w:rsidRPr="00CB6C9B">
        <w:t xml:space="preserve"> failure (M = F) and missing </w:t>
      </w:r>
      <w:r w:rsidR="00487D2B">
        <w:t>equals</w:t>
      </w:r>
      <w:r w:rsidRPr="00CB6C9B">
        <w:t xml:space="preserve"> excluded (M = E) methods at </w:t>
      </w:r>
      <w:r>
        <w:t>W</w:t>
      </w:r>
      <w:r w:rsidR="008B6777">
        <w:t>eek 144</w:t>
      </w:r>
    </w:p>
    <w:p w:rsidR="00CB6C9B" w:rsidRPr="00CB6C9B" w:rsidRDefault="00CB6C9B" w:rsidP="00CB6C9B">
      <w:pPr>
        <w:pStyle w:val="ListBullet"/>
      </w:pPr>
      <w:r w:rsidRPr="00CB6C9B">
        <w:t>The change from baseline in HIV-1 RNA (log</w:t>
      </w:r>
      <w:r w:rsidRPr="009921F5">
        <w:rPr>
          <w:vertAlign w:val="subscript"/>
        </w:rPr>
        <w:t>10</w:t>
      </w:r>
      <w:r w:rsidRPr="00CB6C9B">
        <w:t xml:space="preserve"> copies/mL) at </w:t>
      </w:r>
      <w:r w:rsidR="009921F5">
        <w:t>W</w:t>
      </w:r>
      <w:r w:rsidR="008B6777">
        <w:t>eek 144</w:t>
      </w:r>
    </w:p>
    <w:p w:rsidR="00CB6C9B" w:rsidRPr="00CB6C9B" w:rsidRDefault="00CB6C9B" w:rsidP="00CB6C9B">
      <w:pPr>
        <w:pStyle w:val="ListBullet"/>
        <w:rPr>
          <w:rFonts w:eastAsiaTheme="minorHAnsi" w:cs="Cambria"/>
        </w:rPr>
      </w:pPr>
      <w:r w:rsidRPr="00CB6C9B">
        <w:rPr>
          <w:rFonts w:eastAsiaTheme="minorHAnsi" w:cs="Cambria"/>
        </w:rPr>
        <w:t xml:space="preserve">Change from baseline in cluster determinant 4 (CD4) cell count and CD4 % (CD4%) at </w:t>
      </w:r>
      <w:r w:rsidR="009921F5">
        <w:rPr>
          <w:rFonts w:eastAsiaTheme="minorHAnsi" w:cs="Cambria"/>
        </w:rPr>
        <w:t>W</w:t>
      </w:r>
      <w:r w:rsidR="00DA5D8A">
        <w:rPr>
          <w:rFonts w:eastAsiaTheme="minorHAnsi" w:cs="Cambria"/>
        </w:rPr>
        <w:t>eek 144.</w:t>
      </w:r>
    </w:p>
    <w:p w:rsidR="009921F5" w:rsidRPr="009921F5" w:rsidRDefault="009921F5" w:rsidP="009921F5">
      <w:pPr>
        <w:pStyle w:val="ListBullet"/>
        <w:numPr>
          <w:ilvl w:val="0"/>
          <w:numId w:val="0"/>
        </w:numPr>
      </w:pPr>
      <w:r w:rsidRPr="009921F5">
        <w:t>This evaluation focuses on the analysis and results for those endpoints proposed for inclusion in the PI. These are:</w:t>
      </w:r>
    </w:p>
    <w:p w:rsidR="009921F5" w:rsidRPr="009921F5" w:rsidRDefault="009921F5" w:rsidP="009921F5">
      <w:pPr>
        <w:pStyle w:val="ListBullet"/>
      </w:pPr>
      <w:r w:rsidRPr="009921F5">
        <w:t xml:space="preserve">The </w:t>
      </w:r>
      <w:r w:rsidR="00744563">
        <w:t>secondary</w:t>
      </w:r>
      <w:r w:rsidRPr="009921F5">
        <w:rPr>
          <w:rFonts w:ascii="Times New Roman" w:hAnsi="Times New Roman"/>
          <w:sz w:val="2"/>
          <w:szCs w:val="2"/>
        </w:rPr>
        <w:t xml:space="preserve"> </w:t>
      </w:r>
      <w:r w:rsidRPr="009921F5">
        <w:t xml:space="preserve">efficacy endpoint, the % of subjects with HIV-1 RNA &lt; 50 copies/mL at </w:t>
      </w:r>
      <w:r>
        <w:t>W</w:t>
      </w:r>
      <w:r w:rsidR="008B6777">
        <w:t>eek 144</w:t>
      </w:r>
    </w:p>
    <w:p w:rsidR="009921F5" w:rsidRPr="009921F5" w:rsidRDefault="009921F5" w:rsidP="009921F5">
      <w:pPr>
        <w:pStyle w:val="ListBullet"/>
      </w:pPr>
      <w:r w:rsidRPr="009921F5">
        <w:t xml:space="preserve">One </w:t>
      </w:r>
      <w:r w:rsidR="001F38F1">
        <w:t>tertiary</w:t>
      </w:r>
      <w:r w:rsidR="00BD7924">
        <w:t xml:space="preserve"> </w:t>
      </w:r>
      <w:r w:rsidRPr="009921F5">
        <w:rPr>
          <w:rFonts w:ascii="Times New Roman" w:hAnsi="Times New Roman"/>
          <w:sz w:val="2"/>
          <w:szCs w:val="2"/>
        </w:rPr>
        <w:t xml:space="preserve">P </w:t>
      </w:r>
      <w:r w:rsidRPr="009921F5">
        <w:t xml:space="preserve">efficacy endpoint, the change from baseline in CD4 cell count at </w:t>
      </w:r>
      <w:r>
        <w:t>W</w:t>
      </w:r>
      <w:r w:rsidR="008B6777">
        <w:t>eek 144.</w:t>
      </w:r>
    </w:p>
    <w:p w:rsidR="009921F5" w:rsidRPr="009921F5" w:rsidRDefault="009921F5" w:rsidP="009921F5">
      <w:r w:rsidRPr="009921F5">
        <w:t>Also, although not a specified outcome, resistance analysis was also undertaken and updated results proposed for the PI.</w:t>
      </w:r>
    </w:p>
    <w:p w:rsidR="009921F5" w:rsidRPr="009921F5" w:rsidRDefault="009921F5" w:rsidP="009921F5">
      <w:pPr>
        <w:pStyle w:val="Heading4"/>
      </w:pPr>
      <w:r w:rsidRPr="009921F5">
        <w:t>Sample size</w:t>
      </w:r>
    </w:p>
    <w:p w:rsidR="009921F5" w:rsidRPr="009921F5" w:rsidRDefault="009921F5" w:rsidP="009921F5">
      <w:r w:rsidRPr="009921F5">
        <w:t xml:space="preserve">A sample size of 700 subjects randomised in a 1:1 ratio to 2 groups (350 per group) had at least 95% power to establish </w:t>
      </w:r>
      <w:r w:rsidR="005E29F3" w:rsidRPr="009921F5">
        <w:t>non</w:t>
      </w:r>
      <w:r w:rsidR="005E29F3">
        <w:t>-</w:t>
      </w:r>
      <w:r w:rsidR="005E29F3" w:rsidRPr="009921F5">
        <w:t>inferiority</w:t>
      </w:r>
      <w:r w:rsidRPr="009921F5">
        <w:t xml:space="preserve"> with respect to the </w:t>
      </w:r>
      <w:r w:rsidR="008B6777">
        <w:t>response rate of HIV-1 RNA &lt; 50 </w:t>
      </w:r>
      <w:r w:rsidRPr="009921F5">
        <w:t xml:space="preserve">copies/mL at </w:t>
      </w:r>
      <w:r>
        <w:t>W</w:t>
      </w:r>
      <w:r w:rsidRPr="009921F5">
        <w:t>eek 48 between the 2 groups. For sample size and power computation, it was assumed that both groups had a response rate of 0.795 based on results from a prior study, a non</w:t>
      </w:r>
      <w:r>
        <w:t>-</w:t>
      </w:r>
      <w:r w:rsidRPr="009921F5">
        <w:t>inferiority margin of 0.12, and a 1</w:t>
      </w:r>
      <w:r>
        <w:t xml:space="preserve"> </w:t>
      </w:r>
      <w:r w:rsidRPr="009921F5">
        <w:t>sided, 0.025 significance level.</w:t>
      </w:r>
    </w:p>
    <w:p w:rsidR="009921F5" w:rsidRPr="009921F5" w:rsidRDefault="009921F5" w:rsidP="009921F5">
      <w:pPr>
        <w:pStyle w:val="Heading4"/>
      </w:pPr>
      <w:r w:rsidRPr="009921F5">
        <w:t>Ran</w:t>
      </w:r>
      <w:r w:rsidR="00DA5D8A">
        <w:t>domisation and blinding methods</w:t>
      </w:r>
    </w:p>
    <w:p w:rsidR="009921F5" w:rsidRPr="009921F5" w:rsidRDefault="009921F5" w:rsidP="009921F5">
      <w:r w:rsidRPr="009921F5">
        <w:t>Subjects were randomised in a 1:1 ratio to the treatment groups. Randomisation was stratified based on HIV-1 RNA level (&lt; 100,000 copies/mL or ≥ 100,000 copies/mL) at screening. This was a double</w:t>
      </w:r>
      <w:r>
        <w:t xml:space="preserve"> </w:t>
      </w:r>
      <w:r w:rsidRPr="009921F5">
        <w:t>blind, double</w:t>
      </w:r>
      <w:r>
        <w:t xml:space="preserve"> </w:t>
      </w:r>
      <w:r w:rsidRPr="009921F5">
        <w:t xml:space="preserve">dummy study. The interactive voice response system/interactive web response system (IVRS/IWRS) assigned blinded study drug bottle numbers at each study visit (except </w:t>
      </w:r>
      <w:r>
        <w:t>W</w:t>
      </w:r>
      <w:r w:rsidRPr="009921F5">
        <w:t xml:space="preserve">eek 2). Study drugs were </w:t>
      </w:r>
      <w:r w:rsidR="00DA5D8A">
        <w:t>dispensed in a blinded fashion.</w:t>
      </w:r>
    </w:p>
    <w:p w:rsidR="009921F5" w:rsidRPr="009921F5" w:rsidRDefault="006933F5" w:rsidP="009921F5">
      <w:pPr>
        <w:pStyle w:val="Heading4"/>
      </w:pPr>
      <w:r>
        <w:t>Analysis p</w:t>
      </w:r>
      <w:r w:rsidR="009921F5" w:rsidRPr="009921F5">
        <w:t>opulations</w:t>
      </w:r>
    </w:p>
    <w:p w:rsidR="009921F5" w:rsidRPr="009921F5" w:rsidRDefault="009921F5" w:rsidP="009921F5">
      <w:r w:rsidRPr="009921F5">
        <w:t>The analysis populations relevant to this application and evaluation are as follows:</w:t>
      </w:r>
    </w:p>
    <w:p w:rsidR="009921F5" w:rsidRPr="009921F5" w:rsidRDefault="009921F5" w:rsidP="009921F5">
      <w:pPr>
        <w:pStyle w:val="ListBullet"/>
      </w:pPr>
      <w:r w:rsidRPr="009921F5">
        <w:t xml:space="preserve">Safety </w:t>
      </w:r>
      <w:r w:rsidR="008B6777" w:rsidRPr="009921F5">
        <w:t xml:space="preserve">analysis set </w:t>
      </w:r>
      <w:r w:rsidRPr="009921F5">
        <w:t>(SAS): enrolled subjects who received at l</w:t>
      </w:r>
      <w:r w:rsidR="008B6777">
        <w:t>east 1 dose of study medication</w:t>
      </w:r>
    </w:p>
    <w:p w:rsidR="009921F5" w:rsidRPr="009921F5" w:rsidRDefault="009921F5" w:rsidP="009921F5">
      <w:pPr>
        <w:pStyle w:val="ListBullet"/>
      </w:pPr>
      <w:r w:rsidRPr="009921F5">
        <w:t>The intent</w:t>
      </w:r>
      <w:r>
        <w:t xml:space="preserve"> </w:t>
      </w:r>
      <w:r w:rsidRPr="009921F5">
        <w:t>to</w:t>
      </w:r>
      <w:r>
        <w:t xml:space="preserve"> </w:t>
      </w:r>
      <w:r w:rsidRPr="009921F5">
        <w:t xml:space="preserve">treat (ITT) analysis set: all randomised subjects who received at least 1 dose of study drug. This was the </w:t>
      </w:r>
      <w:r w:rsidR="00744563">
        <w:t>Primary</w:t>
      </w:r>
      <w:r w:rsidR="00BD7924">
        <w:t xml:space="preserve"> </w:t>
      </w:r>
      <w:r w:rsidRPr="009921F5">
        <w:t>analysis set for efficacy analyses and included data collected after the last dose of study drug.</w:t>
      </w:r>
    </w:p>
    <w:p w:rsidR="009921F5" w:rsidRPr="009921F5" w:rsidRDefault="009921F5" w:rsidP="009921F5">
      <w:pPr>
        <w:pStyle w:val="ListBullet"/>
      </w:pPr>
      <w:proofErr w:type="gramStart"/>
      <w:r w:rsidRPr="009921F5">
        <w:t>The per</w:t>
      </w:r>
      <w:proofErr w:type="gramEnd"/>
      <w:r w:rsidRPr="009921F5">
        <w:t xml:space="preserve"> protocol set (PPS): The PPS was defined separately for the analyses at </w:t>
      </w:r>
      <w:r>
        <w:t>W</w:t>
      </w:r>
      <w:r w:rsidRPr="009921F5">
        <w:t xml:space="preserve">eeks 48, 96, and 144. The </w:t>
      </w:r>
      <w:r>
        <w:t>W</w:t>
      </w:r>
      <w:r w:rsidRPr="009921F5">
        <w:t>eek 144 PPS included all randomised subje</w:t>
      </w:r>
      <w:r w:rsidR="008B6777">
        <w:t>cts who had received at least 1 </w:t>
      </w:r>
      <w:r w:rsidRPr="009921F5">
        <w:t xml:space="preserve">dose of study drug, and who did not have any major protocol violation. For the PPS analysis, efficacy data were summarised up to the last dose date of study drug. The PPS was the </w:t>
      </w:r>
      <w:r w:rsidR="00744563">
        <w:t>secondary</w:t>
      </w:r>
      <w:r w:rsidRPr="009921F5">
        <w:t xml:space="preserve"> analysis set for the efficacy analysis. The criteria for subject exclusion from the </w:t>
      </w:r>
      <w:r>
        <w:t>W</w:t>
      </w:r>
      <w:r w:rsidR="008B6777">
        <w:t>eek </w:t>
      </w:r>
      <w:r w:rsidRPr="009921F5">
        <w:t>144 PPS are described.</w:t>
      </w:r>
    </w:p>
    <w:p w:rsidR="009921F5" w:rsidRPr="009921F5" w:rsidRDefault="009921F5" w:rsidP="009921F5">
      <w:pPr>
        <w:pStyle w:val="ListBullet"/>
      </w:pPr>
      <w:r w:rsidRPr="009921F5">
        <w:t xml:space="preserve">Resistance analysis population (RAP): Subjects on study drugs and who experienced either suboptimal virologic response or virologic rebound were considered to have virologic failure and were included in the RAP. Suboptimal virologic response was assessed at </w:t>
      </w:r>
      <w:r>
        <w:t>W</w:t>
      </w:r>
      <w:r w:rsidRPr="009921F5">
        <w:t xml:space="preserve">eek 8 and was defined as having HIV-1 RNA ≥ </w:t>
      </w:r>
      <w:proofErr w:type="gramStart"/>
      <w:r w:rsidRPr="009921F5">
        <w:t>50 copies/mL</w:t>
      </w:r>
      <w:proofErr w:type="gramEnd"/>
      <w:r w:rsidRPr="009921F5">
        <w:t xml:space="preserve"> and &lt; 1 log</w:t>
      </w:r>
      <w:r w:rsidRPr="009921F5">
        <w:rPr>
          <w:vertAlign w:val="subscript"/>
        </w:rPr>
        <w:t>10</w:t>
      </w:r>
      <w:r w:rsidRPr="009921F5">
        <w:t xml:space="preserve"> reduction from baseline at the </w:t>
      </w:r>
      <w:r>
        <w:t>W</w:t>
      </w:r>
      <w:r w:rsidRPr="009921F5">
        <w:t xml:space="preserve">eek 8 visit, which was confirmed at the subsequent visit. Virologic rebound was defined as having 2 consecutive visits with HIV-1 RNA </w:t>
      </w:r>
      <w:r>
        <w:t>≥</w:t>
      </w:r>
      <w:r w:rsidRPr="009921F5">
        <w:t xml:space="preserve"> 400 copies/mL aft</w:t>
      </w:r>
      <w:r w:rsidR="008B6777">
        <w:t>er achieving HIV</w:t>
      </w:r>
      <w:r w:rsidR="008B6777">
        <w:noBreakHyphen/>
      </w:r>
      <w:r w:rsidRPr="009921F5">
        <w:t>1 RNA &lt; 50 copies/mL, or as having 2 consecutive visits with &gt;1 log</w:t>
      </w:r>
      <w:r w:rsidRPr="009921F5">
        <w:rPr>
          <w:vertAlign w:val="subscript"/>
        </w:rPr>
        <w:t>10</w:t>
      </w:r>
      <w:r w:rsidR="008B6777">
        <w:t xml:space="preserve"> increase in HIV</w:t>
      </w:r>
      <w:r w:rsidR="008B6777">
        <w:noBreakHyphen/>
        <w:t>1 </w:t>
      </w:r>
      <w:r w:rsidRPr="009921F5">
        <w:t xml:space="preserve">RNA from their nadir. In addition, subjects who were on study drugs, had not been </w:t>
      </w:r>
      <w:r w:rsidRPr="009921F5">
        <w:lastRenderedPageBreak/>
        <w:t>analysed previously, and who ha</w:t>
      </w:r>
      <w:r>
        <w:t>d HIV-1 RNA ≥ 400 copies/mL at W</w:t>
      </w:r>
      <w:r w:rsidRPr="009921F5">
        <w:t xml:space="preserve">eeks 48, 96,144, or their last visit (at or after </w:t>
      </w:r>
      <w:r>
        <w:t>W</w:t>
      </w:r>
      <w:r w:rsidRPr="009921F5">
        <w:t>eek 8) were also analysed for resistance.</w:t>
      </w:r>
    </w:p>
    <w:p w:rsidR="009921F5" w:rsidRPr="009921F5" w:rsidRDefault="009921F5" w:rsidP="009921F5">
      <w:pPr>
        <w:pStyle w:val="Heading4"/>
      </w:pPr>
      <w:r w:rsidRPr="009921F5">
        <w:t>Statistical methods</w:t>
      </w:r>
    </w:p>
    <w:p w:rsidR="009921F5" w:rsidRPr="009921F5" w:rsidRDefault="009921F5" w:rsidP="009921F5">
      <w:r w:rsidRPr="009921F5">
        <w:t xml:space="preserve">This focuses on the analysis of endpoints for which results are proposed for the PI. In addition, the analysis of resistance is presented as an update of this is also proposed for inclusion in the PI. The analysis window was from </w:t>
      </w:r>
      <w:r>
        <w:t>S</w:t>
      </w:r>
      <w:r w:rsidRPr="009921F5">
        <w:t>tudy</w:t>
      </w:r>
      <w:r>
        <w:t xml:space="preserve"> D</w:t>
      </w:r>
      <w:r w:rsidRPr="009921F5">
        <w:t>ays 967 to 1050 inclusive.</w:t>
      </w:r>
    </w:p>
    <w:p w:rsidR="009921F5" w:rsidRPr="009921F5" w:rsidRDefault="00744563" w:rsidP="009921F5">
      <w:pPr>
        <w:pStyle w:val="Heading5"/>
        <w:rPr>
          <w:rFonts w:eastAsiaTheme="minorHAnsi"/>
        </w:rPr>
      </w:pPr>
      <w:r>
        <w:rPr>
          <w:rFonts w:eastAsiaTheme="minorHAnsi"/>
        </w:rPr>
        <w:t>Secondary</w:t>
      </w:r>
      <w:r w:rsidR="009921F5" w:rsidRPr="009921F5">
        <w:rPr>
          <w:rFonts w:eastAsiaTheme="minorHAnsi"/>
        </w:rPr>
        <w:t xml:space="preserve"> </w:t>
      </w:r>
      <w:r w:rsidR="008B6777" w:rsidRPr="009921F5">
        <w:rPr>
          <w:rFonts w:eastAsiaTheme="minorHAnsi"/>
        </w:rPr>
        <w:t>efficacy endpoint</w:t>
      </w:r>
    </w:p>
    <w:p w:rsidR="009921F5" w:rsidRDefault="009921F5" w:rsidP="009921F5">
      <w:r w:rsidRPr="009921F5">
        <w:t xml:space="preserve">This was the % of subjects with HIV-1 RNA &lt; 50 copies/mL at </w:t>
      </w:r>
      <w:r w:rsidR="008B6C94">
        <w:t>W</w:t>
      </w:r>
      <w:r w:rsidRPr="009921F5">
        <w:t>eek 144 as defined by the snapshot analysis algorithm. All the HIV-1 RNA data collected on treatment (prior to or on the permanent discontinuation date of study drug) were used.</w:t>
      </w:r>
    </w:p>
    <w:p w:rsidR="008B6C94" w:rsidRPr="008B6C94" w:rsidRDefault="008B6C94" w:rsidP="008B6C94">
      <w:r w:rsidRPr="008B6C94">
        <w:t>Virologic outcome was defin</w:t>
      </w:r>
      <w:r w:rsidR="00761CE8">
        <w:t>ed as the following categories:</w:t>
      </w:r>
    </w:p>
    <w:p w:rsidR="008B6C94" w:rsidRPr="008B6C94" w:rsidRDefault="008B6C94" w:rsidP="008B6C94">
      <w:pPr>
        <w:pStyle w:val="ListBullet"/>
      </w:pPr>
      <w:r w:rsidRPr="008B6C94">
        <w:t xml:space="preserve">Virologic Success: subjects with last available HIV-1 RNA value &lt; 50 copies/mL in the </w:t>
      </w:r>
      <w:r>
        <w:t>W</w:t>
      </w:r>
      <w:r w:rsidR="008B6777">
        <w:t>eek </w:t>
      </w:r>
      <w:r w:rsidR="00761CE8">
        <w:t>144 analysis window.</w:t>
      </w:r>
    </w:p>
    <w:p w:rsidR="008B6C94" w:rsidRPr="008B6C94" w:rsidRDefault="008B6C94" w:rsidP="008B6C94">
      <w:pPr>
        <w:pStyle w:val="ListBullet"/>
      </w:pPr>
      <w:r w:rsidRPr="008B6C94">
        <w:t xml:space="preserve">Virologic Failure: subjects with last available HIV-1 RNA value ≥ 50 copies/mL in the </w:t>
      </w:r>
      <w:r>
        <w:t>W</w:t>
      </w:r>
      <w:r w:rsidR="008B6777">
        <w:t>eek </w:t>
      </w:r>
      <w:r w:rsidRPr="008B6C94">
        <w:t>144 analysis window while on treatment or who did not have on</w:t>
      </w:r>
      <w:r>
        <w:t xml:space="preserve"> </w:t>
      </w:r>
      <w:r w:rsidR="008B6777">
        <w:t>treatment HIV</w:t>
      </w:r>
      <w:r w:rsidR="008B6777">
        <w:noBreakHyphen/>
        <w:t>1 </w:t>
      </w:r>
      <w:r w:rsidRPr="008B6C94">
        <w:t xml:space="preserve">RNA data for the </w:t>
      </w:r>
      <w:r>
        <w:t>W</w:t>
      </w:r>
      <w:r w:rsidRPr="008B6C94">
        <w:t>eek 144 analysis due to study drug discontinuation for lack of efficacy or reasons other than an AE, death, or lack of efficacy.</w:t>
      </w:r>
    </w:p>
    <w:p w:rsidR="008B6C94" w:rsidRPr="008B6C94" w:rsidRDefault="008B6C94" w:rsidP="008B6C94">
      <w:pPr>
        <w:pStyle w:val="ListBullet"/>
      </w:pPr>
      <w:r w:rsidRPr="008B6C94">
        <w:t xml:space="preserve">No virologic data in the </w:t>
      </w:r>
      <w:r>
        <w:t>W</w:t>
      </w:r>
      <w:r w:rsidRPr="008B6C94">
        <w:t>eek 144 analysis window: subjects with no on</w:t>
      </w:r>
      <w:r>
        <w:t xml:space="preserve"> </w:t>
      </w:r>
      <w:r w:rsidR="008B6777">
        <w:t>treatment HIV</w:t>
      </w:r>
      <w:r w:rsidR="008B6777">
        <w:noBreakHyphen/>
        <w:t>1 </w:t>
      </w:r>
      <w:r w:rsidRPr="008B6C94">
        <w:t xml:space="preserve">RNA data for the </w:t>
      </w:r>
      <w:r>
        <w:t>W</w:t>
      </w:r>
      <w:r w:rsidRPr="008B6C94">
        <w:t>eek 144 analysis because of discontinuation of study drug due to an AE or death (regardless of last available HIV-1 RNA result) or reasons other than an AE, death, or lack of efficacy and the last available on</w:t>
      </w:r>
      <w:r>
        <w:t xml:space="preserve"> </w:t>
      </w:r>
      <w:r w:rsidRPr="008B6C94">
        <w:t>tre</w:t>
      </w:r>
      <w:r w:rsidR="008B6777">
        <w:t>atment HIV-1 RNA value was &lt; 50 </w:t>
      </w:r>
      <w:r w:rsidRPr="008B6C94">
        <w:t>copies/mL, or subjects had missing data during the window, but remained on study drug.</w:t>
      </w:r>
    </w:p>
    <w:p w:rsidR="008B6C94" w:rsidRPr="008B6C94" w:rsidRDefault="008B6C94" w:rsidP="008B6C94">
      <w:r w:rsidRPr="008B6C94">
        <w:t xml:space="preserve">The virologic outcome analysis was primarily based on the ITT. The number and % of subjects with virologic success, virologic failure, and reasons for no virologic data at </w:t>
      </w:r>
      <w:r>
        <w:t>W</w:t>
      </w:r>
      <w:r w:rsidRPr="008B6C94">
        <w:t>eek 144 were summarised and listed. This endpoint was analysed to determine if STB treatment was non</w:t>
      </w:r>
      <w:r w:rsidR="008B6777">
        <w:noBreakHyphen/>
      </w:r>
      <w:r w:rsidRPr="008B6C94">
        <w:t xml:space="preserve">inferior to ATR treatment at </w:t>
      </w:r>
      <w:r w:rsidR="000D10A7">
        <w:t>W</w:t>
      </w:r>
      <w:r w:rsidRPr="008B6C94">
        <w:t>eek 144. Non</w:t>
      </w:r>
      <w:r w:rsidR="00761CE8">
        <w:t>-</w:t>
      </w:r>
      <w:r w:rsidRPr="008B6C94">
        <w:t>inferiority was assessed using the 95% CI approach, with a non</w:t>
      </w:r>
      <w:r w:rsidR="00761CE8">
        <w:t>-</w:t>
      </w:r>
      <w:r w:rsidRPr="008B6C94">
        <w:t>inferiority margin of 12%. The baseline HIV-1 RNA stratum (</w:t>
      </w:r>
      <w:r>
        <w:t>≤</w:t>
      </w:r>
      <w:r w:rsidRPr="008B6C94">
        <w:t xml:space="preserve"> 100,000 or &gt; 100,000 copies/mL)</w:t>
      </w:r>
      <w:r>
        <w:t xml:space="preserve"> </w:t>
      </w:r>
      <w:r w:rsidRPr="008B6C94">
        <w:t>weighted difference in the response rate (P1 – P2) and its 95% CI were calculated based on stratum</w:t>
      </w:r>
      <w:r>
        <w:t xml:space="preserve"> </w:t>
      </w:r>
      <w:r w:rsidRPr="008B6C94">
        <w:t>adjusted Mantel-Haenszel (MH) proportion. An alpha level of 0.05 was used to construct the 95% CI. It was concluded that STB was non</w:t>
      </w:r>
      <w:r w:rsidR="00761CE8">
        <w:t>-</w:t>
      </w:r>
      <w:r w:rsidRPr="008B6C94">
        <w:t>inferior to ATR if the lower bound of the 2</w:t>
      </w:r>
      <w:r>
        <w:t xml:space="preserve"> </w:t>
      </w:r>
      <w:r w:rsidRPr="008B6C94">
        <w:t>sided 95% CI of the difference in the response rate (STB</w:t>
      </w:r>
      <w:r>
        <w:t xml:space="preserve"> </w:t>
      </w:r>
      <w:r w:rsidR="008B6777">
        <w:t xml:space="preserve">– ATR) was &gt; </w:t>
      </w:r>
      <w:r w:rsidR="008B6777">
        <w:noBreakHyphen/>
      </w:r>
      <w:r w:rsidRPr="008B6C94">
        <w:t>12%. If non</w:t>
      </w:r>
      <w:r w:rsidR="00761CE8">
        <w:t>-</w:t>
      </w:r>
      <w:r w:rsidRPr="008B6C94">
        <w:t>inferiority of STB versus ATR was established, the same 95% CI was used to evaluate superiority using the ITT set. The superiority of STB over ATR was established if the lower bound of the 95% CI was &lt; 0. The baseline HIV-1 RNA stratum (</w:t>
      </w:r>
      <w:r>
        <w:t>≤</w:t>
      </w:r>
      <w:r w:rsidRPr="008B6C94">
        <w:t xml:space="preserve"> 100,000 or &gt; 100,000 copies/mL)</w:t>
      </w:r>
      <w:r>
        <w:t xml:space="preserve"> </w:t>
      </w:r>
      <w:r w:rsidRPr="008B6C94">
        <w:t>weighted, 2</w:t>
      </w:r>
      <w:r>
        <w:t xml:space="preserve"> </w:t>
      </w:r>
      <w:r w:rsidRPr="008B6C94">
        <w:t>sided CMH test was also used to assess superi</w:t>
      </w:r>
      <w:r w:rsidR="00761CE8">
        <w:t>ority as a supportive analysis.</w:t>
      </w:r>
    </w:p>
    <w:p w:rsidR="008B6C94" w:rsidRPr="008B6C94" w:rsidRDefault="008B6C94" w:rsidP="008B6C94">
      <w:r w:rsidRPr="008B6C94">
        <w:t xml:space="preserve">To evaluate the robustness of the virologic response at </w:t>
      </w:r>
      <w:r>
        <w:t>W</w:t>
      </w:r>
      <w:r w:rsidRPr="008B6C94">
        <w:t>eek 144, the following sensitivity analyses were performed:</w:t>
      </w:r>
    </w:p>
    <w:p w:rsidR="008B6C94" w:rsidRPr="008B6C94" w:rsidRDefault="008B6C94" w:rsidP="008B6C94">
      <w:pPr>
        <w:pStyle w:val="ListBullet"/>
      </w:pPr>
      <w:r w:rsidRPr="008B6C94">
        <w:t xml:space="preserve">The virologic response at </w:t>
      </w:r>
      <w:r>
        <w:t>W</w:t>
      </w:r>
      <w:r w:rsidRPr="008B6C94">
        <w:t xml:space="preserve">eek 144 was analysed using the </w:t>
      </w:r>
      <w:r>
        <w:t>W</w:t>
      </w:r>
      <w:r w:rsidRPr="008B6C94">
        <w:t>eek 144 PPS.</w:t>
      </w:r>
    </w:p>
    <w:p w:rsidR="008B6C94" w:rsidRPr="008B6C94" w:rsidRDefault="008B6C94" w:rsidP="008B6C94">
      <w:pPr>
        <w:pStyle w:val="ListBullet"/>
      </w:pPr>
      <w:r w:rsidRPr="008B6C94">
        <w:t>Subjects with non</w:t>
      </w:r>
      <w:r w:rsidR="00E3416C">
        <w:t>-</w:t>
      </w:r>
      <w:r w:rsidRPr="008B6C94">
        <w:t>virologic</w:t>
      </w:r>
      <w:r>
        <w:t xml:space="preserve"> </w:t>
      </w:r>
      <w:r w:rsidRPr="008B6C94">
        <w:t>related study drug discontinuation and the last on treatment HIV-1 RNA &lt; 50 copies/mL were counted as a success; non</w:t>
      </w:r>
      <w:r w:rsidR="00E3416C">
        <w:t>-</w:t>
      </w:r>
      <w:r w:rsidRPr="008B6C94">
        <w:t>virologic</w:t>
      </w:r>
      <w:r>
        <w:t xml:space="preserve"> </w:t>
      </w:r>
      <w:r w:rsidRPr="008B6C94">
        <w:t>related study drug discontinuation were subjects who had no virology data in the</w:t>
      </w:r>
      <w:r>
        <w:t xml:space="preserve"> W</w:t>
      </w:r>
      <w:r w:rsidRPr="008B6C94">
        <w:t xml:space="preserve">eek 144 analysis window due to discontinuation prior to or in the </w:t>
      </w:r>
      <w:r>
        <w:t>W</w:t>
      </w:r>
      <w:r w:rsidRPr="008B6C94">
        <w:t>eek 144 analysis window for reasons other than lack of efficacy, AE, or death; results were summarised in a similar manner to that used for the ITT analysis described above.</w:t>
      </w:r>
    </w:p>
    <w:p w:rsidR="008B6C94" w:rsidRPr="008B6C94" w:rsidRDefault="008B6C94" w:rsidP="008B6C94">
      <w:r w:rsidRPr="008B6C94">
        <w:lastRenderedPageBreak/>
        <w:t xml:space="preserve">Also, analysis of virologic response using the snapshot analysis algorithm at </w:t>
      </w:r>
      <w:r>
        <w:t>W</w:t>
      </w:r>
      <w:r w:rsidRPr="008B6C94">
        <w:t>eek 144 was repeated within each of the following subgroups using the ITT set:</w:t>
      </w:r>
    </w:p>
    <w:p w:rsidR="008B6C94" w:rsidRPr="008B6C94" w:rsidRDefault="008B6C94" w:rsidP="008B6C94">
      <w:pPr>
        <w:pStyle w:val="ListBullet"/>
      </w:pPr>
      <w:r w:rsidRPr="008B6C94">
        <w:t>Baseline HIV-1 RNA level (copies/mL): ≤ 100,000 copies/mL or &gt; 100,000 copies/mL</w:t>
      </w:r>
    </w:p>
    <w:p w:rsidR="008B6C94" w:rsidRPr="008B6C94" w:rsidRDefault="00761CE8" w:rsidP="008B6C94">
      <w:pPr>
        <w:pStyle w:val="ListBullet"/>
      </w:pPr>
      <w:r>
        <w:t>Age (years): &lt; 40 and ≥ 40</w:t>
      </w:r>
    </w:p>
    <w:p w:rsidR="008B6C94" w:rsidRPr="008B6C94" w:rsidRDefault="008B6C94" w:rsidP="008B6C94">
      <w:pPr>
        <w:pStyle w:val="ListBullet"/>
      </w:pPr>
      <w:r w:rsidRPr="008B6C94">
        <w:t>Sex: male and female</w:t>
      </w:r>
    </w:p>
    <w:p w:rsidR="008B6C94" w:rsidRPr="008B6C94" w:rsidRDefault="008B6C94" w:rsidP="008B6C94">
      <w:pPr>
        <w:pStyle w:val="ListBullet"/>
      </w:pPr>
      <w:r w:rsidRPr="008B6C94">
        <w:t xml:space="preserve">Race: </w:t>
      </w:r>
      <w:r w:rsidR="008B6777">
        <w:t>W</w:t>
      </w:r>
      <w:r w:rsidRPr="008B6C94">
        <w:t xml:space="preserve">hite and </w:t>
      </w:r>
      <w:r w:rsidR="008B6777">
        <w:t>N</w:t>
      </w:r>
      <w:r w:rsidRPr="008B6C94">
        <w:t>on</w:t>
      </w:r>
      <w:r>
        <w:t>-</w:t>
      </w:r>
      <w:r w:rsidR="008B6777">
        <w:t>W</w:t>
      </w:r>
      <w:r w:rsidRPr="008B6C94">
        <w:t>hite</w:t>
      </w:r>
    </w:p>
    <w:p w:rsidR="008B6C94" w:rsidRPr="008B6C94" w:rsidRDefault="008B6C94" w:rsidP="008B6C94">
      <w:pPr>
        <w:pStyle w:val="ListBullet"/>
      </w:pPr>
      <w:r w:rsidRPr="008B6C94">
        <w:t>Baseline CD4 group (cells/</w:t>
      </w:r>
      <w:r w:rsidR="008B6777">
        <w:t>µ</w:t>
      </w:r>
      <w:r w:rsidRPr="008B6C94">
        <w:t>L): ≤ 350 and &gt; 350</w:t>
      </w:r>
    </w:p>
    <w:p w:rsidR="008B6C94" w:rsidRPr="008B6C94" w:rsidRDefault="008B6C94" w:rsidP="008B6C94">
      <w:pPr>
        <w:pStyle w:val="ListBullet"/>
      </w:pPr>
      <w:r w:rsidRPr="008B6C94">
        <w:t>Study drug adherence (%): &lt; 95 and ≥ 95 (based on adherence to the</w:t>
      </w:r>
      <w:r w:rsidR="000D10A7">
        <w:t xml:space="preserve"> W</w:t>
      </w:r>
      <w:r w:rsidR="008B6777">
        <w:t>eek 144 visit)</w:t>
      </w:r>
      <w:r w:rsidR="00B90068">
        <w:t>.</w:t>
      </w:r>
    </w:p>
    <w:p w:rsidR="008B6C94" w:rsidRPr="008B6C94" w:rsidRDefault="001F38F1" w:rsidP="008B6C94">
      <w:pPr>
        <w:pStyle w:val="Heading5"/>
        <w:rPr>
          <w:rFonts w:eastAsiaTheme="minorHAnsi"/>
        </w:rPr>
      </w:pPr>
      <w:r>
        <w:rPr>
          <w:rFonts w:eastAsiaTheme="minorHAnsi"/>
        </w:rPr>
        <w:t>Tertiary</w:t>
      </w:r>
      <w:r w:rsidR="00761CE8">
        <w:rPr>
          <w:rFonts w:eastAsiaTheme="minorHAnsi"/>
        </w:rPr>
        <w:t xml:space="preserve"> </w:t>
      </w:r>
      <w:r w:rsidR="006933F5">
        <w:rPr>
          <w:rFonts w:eastAsiaTheme="minorHAnsi"/>
        </w:rPr>
        <w:t>efficacy endpoints</w:t>
      </w:r>
    </w:p>
    <w:p w:rsidR="008B6C94" w:rsidRPr="008B6C94" w:rsidRDefault="008B6C94" w:rsidP="008B6C94">
      <w:pPr>
        <w:pStyle w:val="ListBullet"/>
      </w:pPr>
      <w:r w:rsidRPr="008B6C94">
        <w:t xml:space="preserve">PVF: Subjects classified as a pure virologic responder at </w:t>
      </w:r>
      <w:r>
        <w:t>W</w:t>
      </w:r>
      <w:r w:rsidRPr="008B6C94">
        <w:t xml:space="preserve">eek 144 were those with confirmed suppression (HIV-1 RNA&lt; 50 copies/mL on 2 consecutive visits) or did not have a confirmed rebound (HIV-1 RNA </w:t>
      </w:r>
      <w:r>
        <w:t>≥</w:t>
      </w:r>
      <w:r w:rsidRPr="008B6C94">
        <w:t xml:space="preserve"> 50 copies/mL on 2 consecutive visits or the last available HIV-1 RNA ≥ 50 copies/mL followed by premature study discontinuation) after achieving confirmed suppression prior to or on the upper limit of the </w:t>
      </w:r>
      <w:r>
        <w:t>W</w:t>
      </w:r>
      <w:r w:rsidR="00B90068">
        <w:t>eek 144 analysis window</w:t>
      </w:r>
      <w:r w:rsidR="002536E1">
        <w:t>.</w:t>
      </w:r>
    </w:p>
    <w:p w:rsidR="008B6C94" w:rsidRPr="008B6C94" w:rsidRDefault="008B6C94" w:rsidP="008B6C94">
      <w:pPr>
        <w:pStyle w:val="ListBullet"/>
      </w:pPr>
      <w:r w:rsidRPr="008B6C94">
        <w:t>M = F and M = E Analyses: virologic response analysed using M = F and M = E methods; for the M = F method, all missing data were treated as a virologic failure; for the M = E method, all missing data were excluded in the computation of virologic response fro</w:t>
      </w:r>
      <w:r w:rsidR="00B90068">
        <w:t>m the numerator and denominator</w:t>
      </w:r>
      <w:r w:rsidR="002536E1">
        <w:t>.</w:t>
      </w:r>
    </w:p>
    <w:p w:rsidR="008B6C94" w:rsidRPr="008B6C94" w:rsidRDefault="008B6C94" w:rsidP="008B6C94">
      <w:pPr>
        <w:pStyle w:val="ListBullet"/>
      </w:pPr>
      <w:r w:rsidRPr="008B6C94">
        <w:t>Changes from baseline in HIV-1 RNA (log</w:t>
      </w:r>
      <w:r w:rsidRPr="008B6C94">
        <w:rPr>
          <w:vertAlign w:val="subscript"/>
        </w:rPr>
        <w:t>10</w:t>
      </w:r>
      <w:r w:rsidRPr="008B6C94">
        <w:t xml:space="preserve"> copies/mL), CD4 cell count and CD4 % (%) at </w:t>
      </w:r>
      <w:r>
        <w:t>W</w:t>
      </w:r>
      <w:r w:rsidR="00761CE8">
        <w:t>eek 144.</w:t>
      </w:r>
    </w:p>
    <w:p w:rsidR="008D4C44" w:rsidRPr="008D4C44" w:rsidRDefault="008D4C44" w:rsidP="008D4C44">
      <w:r w:rsidRPr="008D4C44">
        <w:t xml:space="preserve">As aforementioned, the only </w:t>
      </w:r>
      <w:r w:rsidR="001F38F1">
        <w:t>tertiary</w:t>
      </w:r>
      <w:r w:rsidRPr="008D4C44">
        <w:t xml:space="preserve"> endpoint result proposed for inclusion in the PI is the change from baseline in the CD4 cell count at </w:t>
      </w:r>
      <w:r>
        <w:t>W</w:t>
      </w:r>
      <w:r w:rsidRPr="008D4C44">
        <w:t>eek 144. This change was summarised using descriptive statistics. The difference in the CD4 cell count change from baseline between treatment groups and the associated 95% CI was constructed using an ANOVA with baseline HIV-1 RNA as a fixed effect. Also, the change from baseline in CD4 cell counts using the last observation carried forward (LOCF) imputation method for missing values was summarised at each visit using the ITT set. The algorithm for LOCF was if a value was missing in an analysis window, the missing value was replaced with the last on</w:t>
      </w:r>
      <w:r>
        <w:t xml:space="preserve"> </w:t>
      </w:r>
      <w:r w:rsidRPr="008D4C44">
        <w:t>treatment value observed before the analysis visit with the missing value.</w:t>
      </w:r>
    </w:p>
    <w:p w:rsidR="008D4C44" w:rsidRPr="008D4C44" w:rsidRDefault="008D4C44" w:rsidP="008D4C44">
      <w:r w:rsidRPr="008D4C44">
        <w:t xml:space="preserve">Key points from information provided on the analysis for the other </w:t>
      </w:r>
      <w:r w:rsidR="001F38F1">
        <w:t>tertiary</w:t>
      </w:r>
      <w:r>
        <w:t xml:space="preserve"> </w:t>
      </w:r>
      <w:r w:rsidRPr="008D4C44">
        <w:t>endpoints are as follows:</w:t>
      </w:r>
    </w:p>
    <w:p w:rsidR="008D4C44" w:rsidRPr="008D4C44" w:rsidRDefault="008D4C44" w:rsidP="008D4C44">
      <w:pPr>
        <w:pStyle w:val="ListBullet"/>
      </w:pPr>
      <w:r w:rsidRPr="008D4C44">
        <w:t xml:space="preserve">The same statistical methods were used for the </w:t>
      </w:r>
      <w:r w:rsidR="00744563">
        <w:t>secondary</w:t>
      </w:r>
      <w:r w:rsidRPr="008D4C44">
        <w:t xml:space="preserve"> and </w:t>
      </w:r>
      <w:r w:rsidR="001F38F1">
        <w:t>tertiary</w:t>
      </w:r>
      <w:r w:rsidR="00B90068">
        <w:t xml:space="preserve"> efficacy endpoints</w:t>
      </w:r>
      <w:r w:rsidR="002536E1">
        <w:t>.</w:t>
      </w:r>
    </w:p>
    <w:p w:rsidR="008D4C44" w:rsidRPr="008D4C44" w:rsidRDefault="008D4C44" w:rsidP="008D4C44">
      <w:pPr>
        <w:pStyle w:val="ListBullet"/>
      </w:pPr>
      <w:r w:rsidRPr="008D4C44">
        <w:t xml:space="preserve">Descriptive statistics were used for the virologic outcome at </w:t>
      </w:r>
      <w:r>
        <w:t>W</w:t>
      </w:r>
      <w:r w:rsidR="00B90068">
        <w:t>eek 144 for the PVF analysis</w:t>
      </w:r>
      <w:r w:rsidR="002536E1">
        <w:t>.</w:t>
      </w:r>
    </w:p>
    <w:p w:rsidR="008D4C44" w:rsidRPr="008D4C44" w:rsidRDefault="008D4C44" w:rsidP="008D4C44">
      <w:pPr>
        <w:pStyle w:val="ListBullet"/>
      </w:pPr>
      <w:r w:rsidRPr="008D4C44">
        <w:t xml:space="preserve">Time to PVF by the </w:t>
      </w:r>
      <w:r>
        <w:t>W</w:t>
      </w:r>
      <w:r w:rsidRPr="008D4C44">
        <w:t>eek 144 analysis data cut</w:t>
      </w:r>
      <w:r>
        <w:t>-</w:t>
      </w:r>
      <w:r w:rsidRPr="008D4C44">
        <w:t>off date was analysed using the Kaplan-Meier (KM) estimate and the log-rank test stratif</w:t>
      </w:r>
      <w:r w:rsidR="00B90068">
        <w:t>ied by baseline HIV-1 RNA level</w:t>
      </w:r>
      <w:r w:rsidR="002536E1">
        <w:t>.</w:t>
      </w:r>
    </w:p>
    <w:p w:rsidR="008D4C44" w:rsidRPr="008D4C44" w:rsidRDefault="008D4C44" w:rsidP="008D4C44">
      <w:pPr>
        <w:pStyle w:val="ListBullet"/>
      </w:pPr>
      <w:r w:rsidRPr="008D4C44">
        <w:t xml:space="preserve">Analysis of the changes from baseline to </w:t>
      </w:r>
      <w:r>
        <w:t>W</w:t>
      </w:r>
      <w:r w:rsidRPr="008D4C44">
        <w:t>eek 144 in log</w:t>
      </w:r>
      <w:r w:rsidRPr="008D4C44">
        <w:rPr>
          <w:vertAlign w:val="subscript"/>
        </w:rPr>
        <w:t xml:space="preserve">10 </w:t>
      </w:r>
      <w:r w:rsidRPr="008D4C44">
        <w:t>HIV-1 RNA, and CD4% were the same as that for the CD4 cell cou</w:t>
      </w:r>
      <w:r w:rsidR="00B90068">
        <w:t>nt except for the LOCF analysis</w:t>
      </w:r>
      <w:r w:rsidR="002536E1">
        <w:t>.</w:t>
      </w:r>
    </w:p>
    <w:p w:rsidR="008D4C44" w:rsidRPr="008D4C44" w:rsidRDefault="008D4C44" w:rsidP="008D4C44">
      <w:pPr>
        <w:pStyle w:val="ListBullet"/>
      </w:pPr>
      <w:r w:rsidRPr="008D4C44">
        <w:t>The number and % of subjects with HIV-1 RNA &lt;</w:t>
      </w:r>
      <w:r>
        <w:t xml:space="preserve"> </w:t>
      </w:r>
      <w:r w:rsidRPr="008D4C44">
        <w:t xml:space="preserve">50, 50 to &lt; 400, 400 to &lt; 1000, and </w:t>
      </w:r>
      <w:r>
        <w:t>≥</w:t>
      </w:r>
      <w:r w:rsidRPr="008D4C44">
        <w:t xml:space="preserve"> 1000 copies/mL using M = F and M = E methods were summarised for all visits to </w:t>
      </w:r>
      <w:r>
        <w:t>W</w:t>
      </w:r>
      <w:r w:rsidRPr="008D4C44">
        <w:t>eek 144.</w:t>
      </w:r>
    </w:p>
    <w:p w:rsidR="008D4C44" w:rsidRPr="008D4C44" w:rsidRDefault="008D4C44" w:rsidP="008D4C44">
      <w:pPr>
        <w:pStyle w:val="Heading4"/>
      </w:pPr>
      <w:r w:rsidRPr="008D4C44">
        <w:t xml:space="preserve">Measurement and </w:t>
      </w:r>
      <w:r w:rsidR="00B90068" w:rsidRPr="008D4C44">
        <w:t>analysis of resistance data</w:t>
      </w:r>
    </w:p>
    <w:p w:rsidR="008D4C44" w:rsidRPr="008D4C44" w:rsidRDefault="008D4C44" w:rsidP="008D4C44">
      <w:r w:rsidRPr="008D4C44">
        <w:t xml:space="preserve">At screening, the HIV-1 subtype and protease/reverse transcriptase (PR/RT) genotype were assessed. For post baseline resistance analyses of subjects with virologic failure or failure to achieve plasma HIV-1 RNA </w:t>
      </w:r>
      <w:r w:rsidR="00B90068">
        <w:t>&lt; 4</w:t>
      </w:r>
      <w:r w:rsidRPr="008D4C44">
        <w:t xml:space="preserve">00 copies at </w:t>
      </w:r>
      <w:r>
        <w:t>W</w:t>
      </w:r>
      <w:r w:rsidRPr="008D4C44">
        <w:t xml:space="preserve">eeks 48, 96, 144, or study discontinuation (at or after </w:t>
      </w:r>
      <w:r>
        <w:t>W</w:t>
      </w:r>
      <w:r w:rsidRPr="008D4C44">
        <w:t xml:space="preserve">eek 8 and on study drug), PR/RT and integrase (IN) genotyping and phenotyping assays </w:t>
      </w:r>
      <w:r w:rsidRPr="008D4C44">
        <w:lastRenderedPageBreak/>
        <w:t>were performed. Samples with successful results for PR/RT, but with IN failure were retested for the IN genotype using different methodologies. IN testing was also conducted at baseline for subjects with emergent integrase strand-transfer inhibitor (INSTI) resistance (INSTI-R) in the RAP. The post baseline assay included genotypic and phenotypic data relevant to all currently approved nucleoside reverse transcriptase inhibitor (NRTIs), nonnucleoside reverse transcriptase inhibitors (NNRTIs), and PIns, with the exception of rilpivirine (RPV). The IN assay assessed both EVG and raltegravir (RAL) phenotypes. No analyses of viral tropism were conducted. A retrospective analysis of the IN genotype was conducted at baseline for subjects in the STB group and a subset of those in the ATR group.</w:t>
      </w:r>
    </w:p>
    <w:p w:rsidR="008D4C44" w:rsidRPr="008D4C44" w:rsidRDefault="008D4C44" w:rsidP="008D4C44">
      <w:pPr>
        <w:pStyle w:val="Heading4"/>
      </w:pPr>
      <w:r w:rsidRPr="008D4C44">
        <w:t>Participant flow</w:t>
      </w:r>
    </w:p>
    <w:p w:rsidR="008D4C44" w:rsidRDefault="008D4C44" w:rsidP="008D4C44">
      <w:r w:rsidRPr="008D4C44">
        <w:t xml:space="preserve">700 of 707 randomised subjects received at least 1 dose of study drug and comprised the safety and ITT analysis sets. Of these 700, 20.7% (145) prematurely discontinued study drug before the </w:t>
      </w:r>
      <w:r>
        <w:t>W</w:t>
      </w:r>
      <w:r w:rsidRPr="008D4C44">
        <w:t>eek 144 analysis data cut</w:t>
      </w:r>
      <w:r>
        <w:t>-</w:t>
      </w:r>
      <w:r w:rsidRPr="008D4C44">
        <w:t>off date (STB 18.4%, 64; ATR 23.0%, 81) and 17.7% (124) had prematurely discontinued from the study (STB 15.2%, 53; ATR 20.2%, 71). Numbers of subjects prematurely discontinuing study drug and the study were higher with ATR. The most common reasons for premature discontinuation of study drug were AEs (STB 5.7%, 20; ATR 7.4%, 26), lost to follow</w:t>
      </w:r>
      <w:r>
        <w:t xml:space="preserve"> </w:t>
      </w:r>
      <w:r w:rsidRPr="008D4C44">
        <w:t>up (STB 5.2%, 18; ATR 6.5%, 23), withdrawal of consent (STB 1.4%, 5; ATR 4.0%, 14), subject noncompliance (STB 1.7%, 6; ATR 2.8%, 10), and lack of efficacy (STB 2.3%, 8; ATR 2.0%, 7). The most common reasons for premature discontinuation from the study were lost to follow-up, AEs, withdrawal of consent and subject noncompliance. Reasons for study discontinuation were generally similar between the 2 groups. However, study discontinuation due to AEs was numerically lower with STB compared to ATR. A summary of subject disposition is presented in the table below.</w:t>
      </w:r>
    </w:p>
    <w:p w:rsidR="00B90068" w:rsidRDefault="008D4C44" w:rsidP="00761CE8">
      <w:pPr>
        <w:pStyle w:val="Tabletitle"/>
        <w:keepLines/>
      </w:pPr>
      <w:r>
        <w:t xml:space="preserve">Table 9: GS-US-236-0102: </w:t>
      </w:r>
      <w:r w:rsidR="006933F5">
        <w:t>D</w:t>
      </w:r>
      <w:r w:rsidR="00B90068">
        <w:t>isposition of subjects: all randomised subjects</w:t>
      </w:r>
      <w:r>
        <w:t xml:space="preserve">: Week 144 </w:t>
      </w:r>
      <w:r w:rsidR="00B90068">
        <w:t>d</w:t>
      </w:r>
      <w:r>
        <w:t>ataset</w:t>
      </w:r>
    </w:p>
    <w:p w:rsidR="008D4C44" w:rsidRDefault="008D4C44" w:rsidP="00B90068">
      <w:r w:rsidRPr="00B90068">
        <w:rPr>
          <w:noProof/>
          <w:lang w:eastAsia="en-AU"/>
        </w:rPr>
        <w:drawing>
          <wp:inline distT="0" distB="0" distL="0" distR="0" wp14:anchorId="5D68CE85" wp14:editId="18C79FCE">
            <wp:extent cx="5113325" cy="1199118"/>
            <wp:effectExtent l="0" t="0" r="0" b="1270"/>
            <wp:docPr id="18" name="Picture 18" descr="Table 9: GS-US-236-0102: disposition of subjects: all randomised subjects: Week 144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110109" cy="1198364"/>
                    </a:xfrm>
                    <a:prstGeom prst="rect">
                      <a:avLst/>
                    </a:prstGeom>
                  </pic:spPr>
                </pic:pic>
              </a:graphicData>
            </a:graphic>
          </wp:inline>
        </w:drawing>
      </w:r>
    </w:p>
    <w:p w:rsidR="008D4C44" w:rsidRPr="008D4C44" w:rsidRDefault="008D4C44" w:rsidP="008D4C44">
      <w:r w:rsidRPr="008D4C44">
        <w:t>Of the 148 subjects excluded from the</w:t>
      </w:r>
      <w:r>
        <w:t xml:space="preserve"> W</w:t>
      </w:r>
      <w:r w:rsidRPr="008D4C44">
        <w:t xml:space="preserve">eek 144 PP analysis set, most (125) discontinued prior to or in the </w:t>
      </w:r>
      <w:r>
        <w:t>W</w:t>
      </w:r>
      <w:r w:rsidRPr="008D4C44">
        <w:t>eek 144 analysis window for reasons other than lack of efficacy.</w:t>
      </w:r>
    </w:p>
    <w:p w:rsidR="008D4C44" w:rsidRPr="008D4C44" w:rsidRDefault="008D4C44" w:rsidP="00544A7D">
      <w:pPr>
        <w:pStyle w:val="Heading4"/>
      </w:pPr>
      <w:r w:rsidRPr="008D4C44">
        <w:t>Major protocol violations/deviations</w:t>
      </w:r>
    </w:p>
    <w:p w:rsidR="008D4C44" w:rsidRPr="008D4C44" w:rsidRDefault="008D4C44" w:rsidP="008D4C44">
      <w:r w:rsidRPr="008D4C44">
        <w:t xml:space="preserve">The table below is a summary of important deviations occurring up to the </w:t>
      </w:r>
      <w:r w:rsidR="00544A7D">
        <w:t>W</w:t>
      </w:r>
      <w:r w:rsidRPr="008D4C44">
        <w:t>eek 144 analysis data cut-off date. It was considered that none affected the overall quality or interpretation of the study data.</w:t>
      </w:r>
    </w:p>
    <w:p w:rsidR="00B90068" w:rsidRDefault="008D4C44" w:rsidP="00761CE8">
      <w:pPr>
        <w:pStyle w:val="Tabletitle"/>
        <w:keepLines/>
      </w:pPr>
      <w:r w:rsidRPr="008D4C44">
        <w:lastRenderedPageBreak/>
        <w:t xml:space="preserve">Table 10: GS-US-236-0102: </w:t>
      </w:r>
      <w:r w:rsidR="006933F5">
        <w:t>I</w:t>
      </w:r>
      <w:r w:rsidR="00B90068" w:rsidRPr="008D4C44">
        <w:t>mportant protocol deviations by category: all randomised subject</w:t>
      </w:r>
      <w:r w:rsidRPr="008D4C44">
        <w:t>s</w:t>
      </w:r>
    </w:p>
    <w:p w:rsidR="00544A7D" w:rsidRDefault="00544A7D" w:rsidP="00B90068">
      <w:r w:rsidRPr="00B90068">
        <w:rPr>
          <w:noProof/>
          <w:lang w:eastAsia="en-AU"/>
        </w:rPr>
        <w:drawing>
          <wp:inline distT="0" distB="0" distL="0" distR="0" wp14:anchorId="3D4A735C" wp14:editId="6C385BDF">
            <wp:extent cx="5657850" cy="1950201"/>
            <wp:effectExtent l="0" t="0" r="0" b="0"/>
            <wp:docPr id="19" name="Picture 19" descr="Table 10: GS-US-236-0102: important protocol deviations by category: all randomi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57850" cy="1950201"/>
                    </a:xfrm>
                    <a:prstGeom prst="rect">
                      <a:avLst/>
                    </a:prstGeom>
                    <a:noFill/>
                    <a:ln>
                      <a:noFill/>
                    </a:ln>
                  </pic:spPr>
                </pic:pic>
              </a:graphicData>
            </a:graphic>
          </wp:inline>
        </w:drawing>
      </w:r>
    </w:p>
    <w:p w:rsidR="00544A7D" w:rsidRPr="00544A7D" w:rsidRDefault="00544A7D" w:rsidP="00544A7D">
      <w:pPr>
        <w:pStyle w:val="Heading4"/>
      </w:pPr>
      <w:r w:rsidRPr="00544A7D">
        <w:t>Baseline data</w:t>
      </w:r>
    </w:p>
    <w:p w:rsidR="00544A7D" w:rsidRPr="00544A7D" w:rsidRDefault="00544A7D" w:rsidP="00544A7D">
      <w:r w:rsidRPr="00544A7D">
        <w:t xml:space="preserve">Data are provided showing that, overall, demographic and general baseline characteristics were similar between the 2 groups. Most subjects in the SAS were male (89.0%), with a mean age of 38 years (range, 18 to 67 years); most were </w:t>
      </w:r>
      <w:r w:rsidR="00B90068">
        <w:t>White</w:t>
      </w:r>
      <w:r w:rsidRPr="00544A7D">
        <w:t xml:space="preserve"> (63.0%) or </w:t>
      </w:r>
      <w:r w:rsidR="00E35C63">
        <w:t>Black</w:t>
      </w:r>
      <w:r w:rsidRPr="00544A7D">
        <w:t xml:space="preserve"> (28.1%) and non</w:t>
      </w:r>
      <w:r>
        <w:t>-</w:t>
      </w:r>
      <w:r w:rsidRPr="00544A7D">
        <w:t xml:space="preserve">Hispanic/Latino (76.1%). Mean BMI at baseline was </w:t>
      </w:r>
      <w:proofErr w:type="gramStart"/>
      <w:r w:rsidRPr="00544A7D">
        <w:t>26.4 kg/m</w:t>
      </w:r>
      <w:r w:rsidRPr="00761CE8">
        <w:rPr>
          <w:vertAlign w:val="superscript"/>
        </w:rPr>
        <w:t>2</w:t>
      </w:r>
      <w:proofErr w:type="gramEnd"/>
      <w:r w:rsidRPr="00544A7D">
        <w:t>. There were no significant differences between the 2 groups for any baseline disease characteristics. The mean (SD) baseline HIV-1 RNA was 4.76 (0.583) log</w:t>
      </w:r>
      <w:r w:rsidRPr="00DD74BE">
        <w:rPr>
          <w:vertAlign w:val="subscript"/>
        </w:rPr>
        <w:t>10</w:t>
      </w:r>
      <w:r w:rsidRPr="00544A7D">
        <w:t xml:space="preserve"> copies/mL, CD4 cell count was 386 (179.5) cells/</w:t>
      </w:r>
      <w:r w:rsidR="008B6777">
        <w:t>µ</w:t>
      </w:r>
      <w:r w:rsidR="008B6777" w:rsidRPr="008B6C94">
        <w:t>L</w:t>
      </w:r>
      <w:r w:rsidRPr="00544A7D">
        <w:t xml:space="preserve">, and CD4% was 22.9% (8.27%). 66.6% of subjects had baseline HIV-1 RNA </w:t>
      </w:r>
      <w:r w:rsidR="00DD74BE">
        <w:t>≤</w:t>
      </w:r>
      <w:r w:rsidRPr="00544A7D">
        <w:t xml:space="preserve"> 100,000 copies/mL. The most common HIV risk factor category was homosexual sex (79.9% of subjects). The majority (83.6%) had asymptomatic HIV-1 infection. A small % was hepatitis B surface antigen (HBsAg: 2.0%) positive or hepatitis C antibody (HCVAb: 4.6%) seropositive. Overall, the mean (SD) baseline eGFR</w:t>
      </w:r>
      <w:r w:rsidRPr="00DD74BE">
        <w:rPr>
          <w:vertAlign w:val="subscript"/>
        </w:rPr>
        <w:t>CG</w:t>
      </w:r>
      <w:r w:rsidRPr="00544A7D">
        <w:t xml:space="preserve"> was 120.6 (32.64) mL/min and estimated glomerular filtration rate calculated using the Modification of Diet in Renal Disease method (eGFR</w:t>
      </w:r>
      <w:r w:rsidRPr="00DD74BE">
        <w:rPr>
          <w:vertAlign w:val="subscript"/>
        </w:rPr>
        <w:t>MDRD</w:t>
      </w:r>
      <w:r w:rsidR="00B90068">
        <w:t>) was 99.7 (19.96) </w:t>
      </w:r>
      <w:r w:rsidRPr="00544A7D">
        <w:t>mL/min/1.73 m</w:t>
      </w:r>
      <w:r w:rsidRPr="00B90068">
        <w:rPr>
          <w:vertAlign w:val="superscript"/>
        </w:rPr>
        <w:t>2</w:t>
      </w:r>
      <w:r w:rsidRPr="00544A7D">
        <w:t>. There were no significant differences between treatment groups in mean baseline eGFR</w:t>
      </w:r>
      <w:r w:rsidRPr="00DD74BE">
        <w:rPr>
          <w:vertAlign w:val="subscript"/>
        </w:rPr>
        <w:t>CG</w:t>
      </w:r>
      <w:r w:rsidRPr="00544A7D">
        <w:t xml:space="preserve"> or eGFR</w:t>
      </w:r>
      <w:r w:rsidRPr="00DD74BE">
        <w:rPr>
          <w:vertAlign w:val="subscript"/>
        </w:rPr>
        <w:t>MDRD</w:t>
      </w:r>
      <w:r w:rsidRPr="00544A7D">
        <w:t>.</w:t>
      </w:r>
    </w:p>
    <w:p w:rsidR="00544A7D" w:rsidRPr="00544A7D" w:rsidRDefault="00544A7D" w:rsidP="00DD74BE">
      <w:pPr>
        <w:pStyle w:val="Heading4"/>
      </w:pPr>
      <w:r w:rsidRPr="00544A7D">
        <w:t>Results for the efficacy outcomes</w:t>
      </w:r>
    </w:p>
    <w:p w:rsidR="00544A7D" w:rsidRPr="00544A7D" w:rsidRDefault="00544A7D" w:rsidP="00544A7D">
      <w:r w:rsidRPr="00544A7D">
        <w:t xml:space="preserve">Data are provided showing that adherence to active study drug up to the </w:t>
      </w:r>
      <w:r w:rsidR="00DD74BE">
        <w:t>W</w:t>
      </w:r>
      <w:r w:rsidRPr="00544A7D">
        <w:t xml:space="preserve">eek 144 visit, as measured by pill count, was similar with STB and ATR (medians: STB 97.6%, ATR 98.0%). Most subjects had an adherence rate of </w:t>
      </w:r>
      <w:r w:rsidR="00DD74BE">
        <w:t>≥</w:t>
      </w:r>
      <w:r w:rsidRPr="00544A7D">
        <w:t xml:space="preserve"> 95% up to the </w:t>
      </w:r>
      <w:r w:rsidR="00DD74BE">
        <w:t>W</w:t>
      </w:r>
      <w:r w:rsidRPr="00544A7D">
        <w:t>eek 144 visit (STB 75.1%, ATR 73.6%).</w:t>
      </w:r>
    </w:p>
    <w:p w:rsidR="00544A7D" w:rsidRPr="00544A7D" w:rsidRDefault="00544A7D" w:rsidP="00DD74BE">
      <w:pPr>
        <w:pStyle w:val="Heading5"/>
        <w:rPr>
          <w:rFonts w:eastAsiaTheme="minorHAnsi"/>
        </w:rPr>
      </w:pPr>
      <w:r w:rsidRPr="00544A7D">
        <w:rPr>
          <w:rFonts w:eastAsiaTheme="minorHAnsi"/>
        </w:rPr>
        <w:t xml:space="preserve">Secondary </w:t>
      </w:r>
      <w:r w:rsidR="00B90068" w:rsidRPr="00544A7D">
        <w:rPr>
          <w:rFonts w:eastAsiaTheme="minorHAnsi"/>
        </w:rPr>
        <w:t xml:space="preserve">efficacy endpoint: virologic outcome </w:t>
      </w:r>
      <w:r w:rsidRPr="00544A7D">
        <w:rPr>
          <w:rFonts w:eastAsiaTheme="minorHAnsi"/>
        </w:rPr>
        <w:t xml:space="preserve">at </w:t>
      </w:r>
      <w:r w:rsidR="002536E1" w:rsidRPr="00544A7D">
        <w:rPr>
          <w:rFonts w:eastAsiaTheme="minorHAnsi"/>
        </w:rPr>
        <w:t>w</w:t>
      </w:r>
      <w:r w:rsidRPr="00544A7D">
        <w:rPr>
          <w:rFonts w:eastAsiaTheme="minorHAnsi"/>
        </w:rPr>
        <w:t xml:space="preserve">eek 144 </w:t>
      </w:r>
      <w:r w:rsidR="00B90068" w:rsidRPr="00544A7D">
        <w:rPr>
          <w:rFonts w:eastAsiaTheme="minorHAnsi"/>
        </w:rPr>
        <w:t xml:space="preserve">using snapshot analysis </w:t>
      </w:r>
      <w:r w:rsidRPr="00544A7D">
        <w:rPr>
          <w:rFonts w:eastAsiaTheme="minorHAnsi"/>
        </w:rPr>
        <w:t>and HIV-1 RNA &lt; 50 copies/mL</w:t>
      </w:r>
    </w:p>
    <w:p w:rsidR="00544A7D" w:rsidRPr="00544A7D" w:rsidRDefault="00544A7D" w:rsidP="00544A7D">
      <w:r w:rsidRPr="00544A7D">
        <w:t xml:space="preserve">High rates of virologic success were seen in both treatment groups at </w:t>
      </w:r>
      <w:r w:rsidR="00DD74BE">
        <w:t>W</w:t>
      </w:r>
      <w:r w:rsidRPr="00544A7D">
        <w:t>eek 144. The numbers of subjects in the ITT analysis set who had HIV-1 RNA &lt; 50 c</w:t>
      </w:r>
      <w:r w:rsidR="00B90068">
        <w:t xml:space="preserve">opies/mL were 279 out of 348 (80.2%) with STB and 265 out of </w:t>
      </w:r>
      <w:r w:rsidRPr="00544A7D">
        <w:t>352 (75.3%) with ATR 75.3%.</w:t>
      </w:r>
      <w:r w:rsidR="00DD74BE">
        <w:t xml:space="preserve"> </w:t>
      </w:r>
      <w:r w:rsidRPr="00544A7D">
        <w:t xml:space="preserve">The difference between groups in the % of subjects with virologic success at </w:t>
      </w:r>
      <w:r w:rsidR="00DD74BE">
        <w:t>W</w:t>
      </w:r>
      <w:r w:rsidRPr="00544A7D">
        <w:t xml:space="preserve">eek 144 was 4.9% (95% CI: - 1.3% to 11.1%). The %s of subjects with virologic failure or no virologic data at </w:t>
      </w:r>
      <w:r w:rsidR="00DD74BE">
        <w:t>W</w:t>
      </w:r>
      <w:r w:rsidRPr="00544A7D">
        <w:t>eek 144 were lower with STB than ATR as follows:</w:t>
      </w:r>
    </w:p>
    <w:p w:rsidR="00544A7D" w:rsidRPr="00544A7D" w:rsidRDefault="00544A7D" w:rsidP="00DD74BE">
      <w:pPr>
        <w:pStyle w:val="ListBullet"/>
      </w:pPr>
      <w:r w:rsidRPr="00544A7D">
        <w:t>Virologic failure: STB: 7.5%/26; ATR: 9.7%/34</w:t>
      </w:r>
      <w:r w:rsidR="002536E1">
        <w:t>.</w:t>
      </w:r>
    </w:p>
    <w:p w:rsidR="00544A7D" w:rsidRPr="00544A7D" w:rsidRDefault="00B90068" w:rsidP="00DD74BE">
      <w:pPr>
        <w:pStyle w:val="ListBullet"/>
      </w:pPr>
      <w:r>
        <w:t>No virologic data: STB: 12.4%/</w:t>
      </w:r>
      <w:r w:rsidR="00544A7D" w:rsidRPr="00544A7D">
        <w:t>3; ATR: 15.1%/53</w:t>
      </w:r>
      <w:r>
        <w:t>.</w:t>
      </w:r>
    </w:p>
    <w:p w:rsidR="00544A7D" w:rsidRPr="00544A7D" w:rsidRDefault="00544A7D" w:rsidP="00544A7D">
      <w:r w:rsidRPr="00544A7D">
        <w:t xml:space="preserve">Reasons for virologic failure and lack of virologic data in the </w:t>
      </w:r>
      <w:r w:rsidR="00DD74BE">
        <w:t>W</w:t>
      </w:r>
      <w:r w:rsidRPr="00544A7D">
        <w:t>eek 144 analysis window were balanced between the treatmen</w:t>
      </w:r>
      <w:r w:rsidR="00761CE8">
        <w:t>t groups.</w:t>
      </w:r>
    </w:p>
    <w:p w:rsidR="00544A7D" w:rsidRPr="00544A7D" w:rsidRDefault="00544A7D" w:rsidP="00544A7D">
      <w:r w:rsidRPr="00544A7D">
        <w:t>These data are shown in the table below.</w:t>
      </w:r>
    </w:p>
    <w:p w:rsidR="00B90068" w:rsidRDefault="00E7299E" w:rsidP="00E7299E">
      <w:pPr>
        <w:pStyle w:val="Tabletitle"/>
        <w:keepLines/>
      </w:pPr>
      <w:r>
        <w:lastRenderedPageBreak/>
        <w:t xml:space="preserve">Table 11: GS-US-236-0102: </w:t>
      </w:r>
      <w:r w:rsidR="006933F5">
        <w:t>V</w:t>
      </w:r>
      <w:r w:rsidR="00B90068">
        <w:t xml:space="preserve">irologic outcome </w:t>
      </w:r>
      <w:r>
        <w:t xml:space="preserve">at Weeks 48, 96, and 144 </w:t>
      </w:r>
      <w:r w:rsidR="00B90068">
        <w:t>u</w:t>
      </w:r>
      <w:r>
        <w:t xml:space="preserve">sing the Week 144 </w:t>
      </w:r>
      <w:r w:rsidR="00B90068">
        <w:t>d</w:t>
      </w:r>
      <w:r>
        <w:t xml:space="preserve">ataset (HIV-1 RNA Cut off at 50 copies/mL, </w:t>
      </w:r>
      <w:r w:rsidR="00B90068">
        <w:t>snapshot analysis</w:t>
      </w:r>
      <w:r>
        <w:t xml:space="preserve">, ITT </w:t>
      </w:r>
      <w:r w:rsidR="00B90068">
        <w:t>analysis s</w:t>
      </w:r>
      <w:r>
        <w:t xml:space="preserve">et, Week 144 </w:t>
      </w:r>
      <w:r w:rsidR="00B90068">
        <w:t>d</w:t>
      </w:r>
      <w:r>
        <w:t>ataset)</w:t>
      </w:r>
    </w:p>
    <w:p w:rsidR="00544A7D" w:rsidRDefault="00E7299E" w:rsidP="00544A7D">
      <w:r w:rsidRPr="00B90068">
        <w:rPr>
          <w:noProof/>
          <w:lang w:eastAsia="en-AU"/>
        </w:rPr>
        <w:drawing>
          <wp:inline distT="0" distB="0" distL="0" distR="0" wp14:anchorId="492976D8" wp14:editId="56C10779">
            <wp:extent cx="5731510" cy="2710951"/>
            <wp:effectExtent l="0" t="0" r="2540" b="0"/>
            <wp:docPr id="20" name="Picture 20" descr="Table 11: GS-US-236-0102: Virologic Outcome at Weeks 48, 96, and 144 Using the Week 144 Dataset (HIV-1 RNA Cut off at 50 copies/mL, Snapshot Analysis, ITT Analysis Set, Week 144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2710951"/>
                    </a:xfrm>
                    <a:prstGeom prst="rect">
                      <a:avLst/>
                    </a:prstGeom>
                    <a:noFill/>
                    <a:ln>
                      <a:noFill/>
                    </a:ln>
                  </pic:spPr>
                </pic:pic>
              </a:graphicData>
            </a:graphic>
          </wp:inline>
        </w:drawing>
      </w:r>
    </w:p>
    <w:p w:rsidR="00E7299E" w:rsidRPr="00E7299E" w:rsidRDefault="00E7299E" w:rsidP="00E7299E">
      <w:r w:rsidRPr="00E7299E">
        <w:t>Data are provided showing that:</w:t>
      </w:r>
    </w:p>
    <w:p w:rsidR="00E7299E" w:rsidRPr="00E7299E" w:rsidRDefault="00E7299E" w:rsidP="00E7299E">
      <w:pPr>
        <w:pStyle w:val="ListBullet"/>
      </w:pPr>
      <w:r w:rsidRPr="00E7299E">
        <w:t xml:space="preserve">In the </w:t>
      </w:r>
      <w:r>
        <w:t>W</w:t>
      </w:r>
      <w:r w:rsidRPr="00E7299E">
        <w:t>eek 144 PPS analysis, the %s of subjects with virologic success were numerically higher than in the ITT analysis set and similar in the 2 groups, STB 268</w:t>
      </w:r>
      <w:r w:rsidR="00B90068">
        <w:t>out of 278 (96.4%) and ATR 260 out of 274: 94.9%</w:t>
      </w:r>
      <w:r w:rsidR="002536E1">
        <w:t>.</w:t>
      </w:r>
    </w:p>
    <w:p w:rsidR="00E7299E" w:rsidRPr="00E7299E" w:rsidRDefault="00E7299E" w:rsidP="00E7299E">
      <w:pPr>
        <w:pStyle w:val="ListBullet"/>
      </w:pPr>
      <w:r w:rsidRPr="00E7299E">
        <w:t xml:space="preserve">In a sensitivity analysis of the </w:t>
      </w:r>
      <w:r w:rsidR="00744563">
        <w:t>secondary</w:t>
      </w:r>
      <w:r w:rsidRPr="00E7299E">
        <w:t xml:space="preserve"> endpoint including subjects with study drug discontinuations not related to virologic response and the last on</w:t>
      </w:r>
      <w:r>
        <w:t xml:space="preserve"> </w:t>
      </w:r>
      <w:r w:rsidR="00B90068">
        <w:t>treatment HIV-1 RNA &lt; 50 </w:t>
      </w:r>
      <w:r w:rsidRPr="00E7299E">
        <w:t xml:space="preserve">copies/mL as virologic successes and using the ITT analysis set, the %s with virologic success at </w:t>
      </w:r>
      <w:r>
        <w:t>W</w:t>
      </w:r>
      <w:r w:rsidRPr="00E7299E">
        <w:t xml:space="preserve">eek 144 were similar in the 2 groups, </w:t>
      </w:r>
      <w:r w:rsidR="00B90068">
        <w:t xml:space="preserve">STB 298 out of 348 (85.6%) and ATR 291 out of </w:t>
      </w:r>
      <w:r w:rsidRPr="00E7299E">
        <w:t>352 (82.7%).</w:t>
      </w:r>
    </w:p>
    <w:p w:rsidR="00E7299E" w:rsidRPr="00E7299E" w:rsidRDefault="00E7299E" w:rsidP="00E7299E">
      <w:r w:rsidRPr="00E7299E">
        <w:t>Data are provided showing that</w:t>
      </w:r>
      <w:r>
        <w:t xml:space="preserve"> </w:t>
      </w:r>
      <w:r w:rsidRPr="00E7299E">
        <w:t xml:space="preserve">subgroup analyses at </w:t>
      </w:r>
      <w:r>
        <w:t>W</w:t>
      </w:r>
      <w:r w:rsidRPr="00E7299E">
        <w:t>eek 144 revealed similar rates of virologic success with point estimates generally favouring the STB group. The rates of virological success were similar with STB and ATR for th</w:t>
      </w:r>
      <w:r w:rsidR="00B90068">
        <w:t>e subgroups HIV-1 RNA &gt; 100,000 </w:t>
      </w:r>
      <w:r w:rsidRPr="00E7299E">
        <w:t>copies/mL (77.1% v</w:t>
      </w:r>
      <w:r>
        <w:t>ersu</w:t>
      </w:r>
      <w:r w:rsidRPr="00E7299E">
        <w:t xml:space="preserve">s 77.6%) and baseline CD4 cell count </w:t>
      </w:r>
      <w:r>
        <w:t>≤</w:t>
      </w:r>
      <w:r w:rsidRPr="00E7299E">
        <w:t xml:space="preserve"> 350 cells/</w:t>
      </w:r>
      <w:r w:rsidR="008B6777">
        <w:t>µ</w:t>
      </w:r>
      <w:r w:rsidR="008B6777" w:rsidRPr="008B6C94">
        <w:t>L</w:t>
      </w:r>
      <w:r w:rsidRPr="00E7299E">
        <w:t xml:space="preserve"> (75.5% v</w:t>
      </w:r>
      <w:r>
        <w:t>ersu</w:t>
      </w:r>
      <w:r w:rsidRPr="00E7299E">
        <w:t>s 76.2%). However, in the non</w:t>
      </w:r>
      <w:r>
        <w:t>-</w:t>
      </w:r>
      <w:r w:rsidR="00B90068">
        <w:t>White</w:t>
      </w:r>
      <w:r w:rsidRPr="00E7299E">
        <w:t>, HIV-1 RNA</w:t>
      </w:r>
      <w:r>
        <w:t xml:space="preserve"> ≤</w:t>
      </w:r>
      <w:r w:rsidRPr="00E7299E">
        <w:t xml:space="preserve"> 10</w:t>
      </w:r>
      <w:r w:rsidR="00B90068">
        <w:t>0,000, and CD4 cell count &gt; 350 </w:t>
      </w:r>
      <w:r w:rsidRPr="00E7299E">
        <w:t>cells/</w:t>
      </w:r>
      <w:r w:rsidR="008B6777">
        <w:t>µ</w:t>
      </w:r>
      <w:r w:rsidR="008B6777" w:rsidRPr="008B6C94">
        <w:t>L</w:t>
      </w:r>
      <w:r w:rsidRPr="00E7299E">
        <w:t xml:space="preserve"> subgroups, differences in response rates that favoured STB.</w:t>
      </w:r>
    </w:p>
    <w:p w:rsidR="00E7299E" w:rsidRPr="00E7299E" w:rsidRDefault="001F38F1" w:rsidP="00E7299E">
      <w:pPr>
        <w:pStyle w:val="Heading5"/>
        <w:rPr>
          <w:rFonts w:eastAsiaTheme="minorHAnsi"/>
        </w:rPr>
      </w:pPr>
      <w:r>
        <w:rPr>
          <w:rFonts w:eastAsiaTheme="minorHAnsi"/>
        </w:rPr>
        <w:t>Tertiary</w:t>
      </w:r>
      <w:r w:rsidR="00E7299E" w:rsidRPr="00E7299E">
        <w:rPr>
          <w:rFonts w:eastAsiaTheme="minorHAnsi"/>
        </w:rPr>
        <w:t xml:space="preserve"> </w:t>
      </w:r>
      <w:r w:rsidR="006933F5">
        <w:rPr>
          <w:rFonts w:eastAsiaTheme="minorHAnsi"/>
        </w:rPr>
        <w:t>e</w:t>
      </w:r>
      <w:r w:rsidR="00E7299E" w:rsidRPr="00E7299E">
        <w:rPr>
          <w:rFonts w:eastAsiaTheme="minorHAnsi"/>
        </w:rPr>
        <w:t xml:space="preserve">ndpoint: </w:t>
      </w:r>
      <w:r w:rsidR="00B90068" w:rsidRPr="00E7299E">
        <w:rPr>
          <w:rFonts w:eastAsiaTheme="minorHAnsi"/>
        </w:rPr>
        <w:t xml:space="preserve">change from baseline </w:t>
      </w:r>
      <w:r w:rsidR="00E7299E" w:rsidRPr="00E7299E">
        <w:rPr>
          <w:rFonts w:eastAsiaTheme="minorHAnsi"/>
        </w:rPr>
        <w:t xml:space="preserve">in CD4 </w:t>
      </w:r>
      <w:r w:rsidR="00B90068" w:rsidRPr="00E7299E">
        <w:rPr>
          <w:rFonts w:eastAsiaTheme="minorHAnsi"/>
        </w:rPr>
        <w:t xml:space="preserve">cell count </w:t>
      </w:r>
      <w:r w:rsidR="00E7299E" w:rsidRPr="00E7299E">
        <w:rPr>
          <w:rFonts w:eastAsiaTheme="minorHAnsi"/>
        </w:rPr>
        <w:t xml:space="preserve">at </w:t>
      </w:r>
      <w:r w:rsidR="002536E1" w:rsidRPr="00E7299E">
        <w:rPr>
          <w:rFonts w:eastAsiaTheme="minorHAnsi"/>
        </w:rPr>
        <w:t>w</w:t>
      </w:r>
      <w:r w:rsidR="00E7299E" w:rsidRPr="00E7299E">
        <w:rPr>
          <w:rFonts w:eastAsiaTheme="minorHAnsi"/>
        </w:rPr>
        <w:t>eek 144</w:t>
      </w:r>
    </w:p>
    <w:p w:rsidR="00E7299E" w:rsidRPr="00E7299E" w:rsidRDefault="00E7299E" w:rsidP="00E7299E">
      <w:r w:rsidRPr="00E7299E">
        <w:t>Data are provided showing the following:</w:t>
      </w:r>
    </w:p>
    <w:p w:rsidR="00E7299E" w:rsidRPr="00E7299E" w:rsidRDefault="00E7299E" w:rsidP="00051584">
      <w:pPr>
        <w:pStyle w:val="ListBullet"/>
      </w:pPr>
      <w:r w:rsidRPr="00E7299E">
        <w:t>Mean (SD) baseline CD4 cell counts were 391 (188.6) cells/</w:t>
      </w:r>
      <w:r w:rsidR="008B6777">
        <w:t>µ</w:t>
      </w:r>
      <w:r w:rsidR="008B6777" w:rsidRPr="008B6C94">
        <w:t>L</w:t>
      </w:r>
      <w:r w:rsidRPr="00E7299E">
        <w:t xml:space="preserve"> with STB and</w:t>
      </w:r>
      <w:r w:rsidR="00761CE8">
        <w:t xml:space="preserve"> 382 (170.2) cells/</w:t>
      </w:r>
      <w:r w:rsidR="008B6777">
        <w:t>µ</w:t>
      </w:r>
      <w:r w:rsidR="008B6777" w:rsidRPr="008B6C94">
        <w:t>L</w:t>
      </w:r>
      <w:r w:rsidR="00B90068">
        <w:t xml:space="preserve"> with ATR</w:t>
      </w:r>
      <w:r w:rsidR="0037549B">
        <w:t>.</w:t>
      </w:r>
    </w:p>
    <w:p w:rsidR="00E7299E" w:rsidRPr="00E7299E" w:rsidRDefault="00E7299E" w:rsidP="00051584">
      <w:pPr>
        <w:pStyle w:val="ListBullet"/>
      </w:pPr>
      <w:r w:rsidRPr="00E7299E">
        <w:t>CD4 cell counts increased following initiation of study drug and the mean increases were similar in both groups at all</w:t>
      </w:r>
      <w:r w:rsidR="00051584">
        <w:t xml:space="preserve"> </w:t>
      </w:r>
      <w:r w:rsidRPr="00E7299E">
        <w:t>time</w:t>
      </w:r>
      <w:r w:rsidR="00B90068">
        <w:t xml:space="preserve"> points</w:t>
      </w:r>
      <w:r w:rsidR="0037549B">
        <w:t>.</w:t>
      </w:r>
    </w:p>
    <w:p w:rsidR="00E7299E" w:rsidRPr="00E7299E" w:rsidRDefault="00E7299E" w:rsidP="00051584">
      <w:pPr>
        <w:pStyle w:val="ListBullet"/>
      </w:pPr>
      <w:r w:rsidRPr="00E7299E">
        <w:t>The CD4 cell counts continued to increase with increased dur</w:t>
      </w:r>
      <w:r w:rsidR="00B90068">
        <w:t>ation of exposure to study drug</w:t>
      </w:r>
      <w:r w:rsidR="0037549B">
        <w:t>.</w:t>
      </w:r>
    </w:p>
    <w:p w:rsidR="00E7299E" w:rsidRPr="00E7299E" w:rsidRDefault="00E7299E" w:rsidP="00051584">
      <w:pPr>
        <w:pStyle w:val="ListBullet"/>
      </w:pPr>
      <w:r w:rsidRPr="00E7299E">
        <w:t xml:space="preserve">The observed </w:t>
      </w:r>
      <w:r w:rsidR="008A267F">
        <w:t>W</w:t>
      </w:r>
      <w:r w:rsidRPr="00E7299E">
        <w:t>eek 144 mean [SD] increases from baseline were 321 [227.0] cells/</w:t>
      </w:r>
      <w:r w:rsidR="008B6777">
        <w:t>µ</w:t>
      </w:r>
      <w:r w:rsidR="008B6777" w:rsidRPr="008B6C94">
        <w:t>L</w:t>
      </w:r>
      <w:r w:rsidRPr="00E7299E">
        <w:t xml:space="preserve"> with STB and 300 [202.3] cells/</w:t>
      </w:r>
      <w:r w:rsidR="008B6777">
        <w:t>µ</w:t>
      </w:r>
      <w:r w:rsidR="008B6777" w:rsidRPr="008B6C94">
        <w:t>L</w:t>
      </w:r>
      <w:r w:rsidRPr="00E7299E">
        <w:t xml:space="preserve"> with ATR; the LSM difference at </w:t>
      </w:r>
      <w:r w:rsidR="000D10A7">
        <w:t>W</w:t>
      </w:r>
      <w:r w:rsidRPr="00E7299E">
        <w:t>eek 1</w:t>
      </w:r>
      <w:r w:rsidR="00B90068">
        <w:t>44 was 21 (95% CI: -</w:t>
      </w:r>
      <w:r w:rsidRPr="00E7299E">
        <w:t>14 to 56) and was not stati</w:t>
      </w:r>
      <w:r w:rsidR="00B90068">
        <w:t>stically significant (p = 0.24)</w:t>
      </w:r>
      <w:r w:rsidR="0037549B">
        <w:t>.</w:t>
      </w:r>
    </w:p>
    <w:p w:rsidR="00E7299E" w:rsidRPr="00E7299E" w:rsidRDefault="00E7299E" w:rsidP="00051584">
      <w:pPr>
        <w:pStyle w:val="ListBullet"/>
      </w:pPr>
      <w:r w:rsidRPr="00E7299E">
        <w:t>Similar trends were seen in the ITT analysis set using the LOCF imputation method and in the PPS.</w:t>
      </w:r>
    </w:p>
    <w:p w:rsidR="00E7299E" w:rsidRPr="00E7299E" w:rsidRDefault="00E7299E" w:rsidP="00E7299E">
      <w:r w:rsidRPr="00E7299E">
        <w:lastRenderedPageBreak/>
        <w:t xml:space="preserve">The following figure shows the increase over time to </w:t>
      </w:r>
      <w:r w:rsidR="008A267F">
        <w:t>W</w:t>
      </w:r>
      <w:r w:rsidRPr="00E7299E">
        <w:t>eek 144.</w:t>
      </w:r>
    </w:p>
    <w:p w:rsidR="00E7299E" w:rsidRPr="00E7299E" w:rsidRDefault="008A267F" w:rsidP="008A267F">
      <w:pPr>
        <w:pStyle w:val="FigureTitle"/>
        <w:keepNext/>
        <w:keepLines/>
      </w:pPr>
      <w:r>
        <w:t xml:space="preserve">Figure 8: GS-US-236-0102: Mean and 95% CIs </w:t>
      </w:r>
      <w:r w:rsidR="00B90068">
        <w:t xml:space="preserve">of change from baseline in </w:t>
      </w:r>
      <w:r>
        <w:t xml:space="preserve">CD4 </w:t>
      </w:r>
      <w:r w:rsidR="00B90068">
        <w:t>cell c</w:t>
      </w:r>
      <w:r>
        <w:t xml:space="preserve">ount: ITT </w:t>
      </w:r>
      <w:r w:rsidR="00B90068">
        <w:t>analysis set,</w:t>
      </w:r>
      <w:r>
        <w:t xml:space="preserve"> Week 144 </w:t>
      </w:r>
      <w:r w:rsidR="00B90068">
        <w:t>d</w:t>
      </w:r>
      <w:r>
        <w:t>ataset</w:t>
      </w:r>
    </w:p>
    <w:p w:rsidR="00E7299E" w:rsidRDefault="008A267F" w:rsidP="00B90068">
      <w:r w:rsidRPr="00B90068">
        <w:rPr>
          <w:noProof/>
          <w:lang w:eastAsia="en-AU"/>
        </w:rPr>
        <w:drawing>
          <wp:inline distT="0" distB="0" distL="0" distR="0" wp14:anchorId="46487FFA" wp14:editId="66627D8C">
            <wp:extent cx="5398618" cy="2717189"/>
            <wp:effectExtent l="0" t="0" r="0" b="6985"/>
            <wp:docPr id="21" name="Picture 21" descr="Figure 8: GS-US-236-0102: Mean and 95% CIs of Change from Baseline in CD4 Cell Count: ITT Analysis Set, Week 144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02076" cy="2718929"/>
                    </a:xfrm>
                    <a:prstGeom prst="rect">
                      <a:avLst/>
                    </a:prstGeom>
                  </pic:spPr>
                </pic:pic>
              </a:graphicData>
            </a:graphic>
          </wp:inline>
        </w:drawing>
      </w:r>
    </w:p>
    <w:p w:rsidR="008A267F" w:rsidRPr="008A267F" w:rsidRDefault="008A267F" w:rsidP="008A267F">
      <w:r w:rsidRPr="008A267F">
        <w:t xml:space="preserve">Results for the other </w:t>
      </w:r>
      <w:r w:rsidR="001F38F1">
        <w:t>tertiary</w:t>
      </w:r>
      <w:r w:rsidRPr="008A267F">
        <w:t xml:space="preserve"> endpoints were consistent with those presented above.</w:t>
      </w:r>
    </w:p>
    <w:p w:rsidR="008A267F" w:rsidRPr="008A267F" w:rsidRDefault="008A267F" w:rsidP="008A267F">
      <w:pPr>
        <w:pStyle w:val="Heading5"/>
        <w:rPr>
          <w:rFonts w:eastAsiaTheme="minorHAnsi"/>
        </w:rPr>
      </w:pPr>
      <w:r w:rsidRPr="008A267F">
        <w:rPr>
          <w:rFonts w:eastAsiaTheme="minorHAnsi"/>
        </w:rPr>
        <w:t xml:space="preserve">Virologic </w:t>
      </w:r>
      <w:r w:rsidR="00B90068" w:rsidRPr="008A267F">
        <w:rPr>
          <w:rFonts w:eastAsiaTheme="minorHAnsi"/>
        </w:rPr>
        <w:t>resistance d</w:t>
      </w:r>
      <w:r w:rsidRPr="008A267F">
        <w:rPr>
          <w:rFonts w:eastAsiaTheme="minorHAnsi"/>
        </w:rPr>
        <w:t>ata</w:t>
      </w:r>
    </w:p>
    <w:p w:rsidR="00423D28" w:rsidRPr="008A267F" w:rsidRDefault="008A267F" w:rsidP="008A267F">
      <w:r w:rsidRPr="008A267F">
        <w:t>49 (7.0%: 49/700) subjects met the virologic failure criteria and were included in the RAP. The numbers in the RAP were similar</w:t>
      </w:r>
      <w:r w:rsidR="00423D28">
        <w:t xml:space="preserve"> in the 2 groups: STB: 6.0% (21 out of </w:t>
      </w:r>
      <w:r w:rsidRPr="008A267F">
        <w:t>348) subjects; ATR 8.0% (28</w:t>
      </w:r>
      <w:r w:rsidR="00423D28">
        <w:t xml:space="preserve"> out of </w:t>
      </w:r>
      <w:r w:rsidRPr="008A267F">
        <w:t>352 subjects).</w:t>
      </w:r>
    </w:p>
    <w:p w:rsidR="008A267F" w:rsidRPr="008A267F" w:rsidRDefault="008A267F" w:rsidP="008A267F">
      <w:r w:rsidRPr="008A267F">
        <w:t xml:space="preserve">To </w:t>
      </w:r>
      <w:r w:rsidR="001E3ACE">
        <w:t>W</w:t>
      </w:r>
      <w:r w:rsidRPr="008A267F">
        <w:t>eek 144 in the STB group, of the 21 subjects in the RAP the following is noted:</w:t>
      </w:r>
    </w:p>
    <w:p w:rsidR="008A267F" w:rsidRPr="008A267F" w:rsidRDefault="008A267F" w:rsidP="001E3ACE">
      <w:pPr>
        <w:pStyle w:val="ListBullet"/>
      </w:pPr>
      <w:r w:rsidRPr="008A267F">
        <w:t>20 had post baseli</w:t>
      </w:r>
      <w:r w:rsidR="00B90068">
        <w:t>ne genotypic data for PR and RT</w:t>
      </w:r>
      <w:r w:rsidR="0037549B">
        <w:t>.</w:t>
      </w:r>
    </w:p>
    <w:p w:rsidR="008A267F" w:rsidRPr="008A267F" w:rsidRDefault="008A267F" w:rsidP="001E3ACE">
      <w:pPr>
        <w:pStyle w:val="ListBullet"/>
      </w:pPr>
      <w:r w:rsidRPr="008A267F">
        <w:t>21 had post baseline IN genotypic data</w:t>
      </w:r>
      <w:r w:rsidR="0037549B">
        <w:t>.</w:t>
      </w:r>
    </w:p>
    <w:p w:rsidR="008A267F" w:rsidRPr="008A267F" w:rsidRDefault="008A267F" w:rsidP="001E3ACE">
      <w:pPr>
        <w:pStyle w:val="ListBullet"/>
      </w:pPr>
      <w:r w:rsidRPr="008A267F">
        <w:t>19 had post baseline IN, PR, a</w:t>
      </w:r>
      <w:r w:rsidR="00B90068">
        <w:t>nd RT phenotypic data available</w:t>
      </w:r>
      <w:r w:rsidR="0037549B">
        <w:t>.</w:t>
      </w:r>
    </w:p>
    <w:p w:rsidR="008A267F" w:rsidRPr="008A267F" w:rsidRDefault="00423D28" w:rsidP="001E3ACE">
      <w:pPr>
        <w:pStyle w:val="ListBullet"/>
      </w:pPr>
      <w:r>
        <w:t xml:space="preserve">10 subjects (ITT: 10 out of 348, 2.9%; RAP: 10 out of </w:t>
      </w:r>
      <w:r w:rsidR="008A267F" w:rsidRPr="008A267F">
        <w:t>21, 48%) had emer</w:t>
      </w:r>
      <w:r w:rsidR="00B90068">
        <w:t>gent resistance to a study drug</w:t>
      </w:r>
      <w:r w:rsidR="0037549B">
        <w:t>.</w:t>
      </w:r>
    </w:p>
    <w:p w:rsidR="008A267F" w:rsidRPr="008A267F" w:rsidRDefault="008A267F" w:rsidP="001E3ACE">
      <w:pPr>
        <w:pStyle w:val="ListBullet"/>
      </w:pPr>
      <w:r w:rsidRPr="008A267F">
        <w:t xml:space="preserve">Resistance substitutions developed in 8 subjects by </w:t>
      </w:r>
      <w:r w:rsidR="001E3ACE">
        <w:t>W</w:t>
      </w:r>
      <w:r w:rsidRPr="008A267F">
        <w:t xml:space="preserve">eek 48, 2 subjects between </w:t>
      </w:r>
      <w:r w:rsidR="001E3ACE">
        <w:t>W</w:t>
      </w:r>
      <w:r w:rsidRPr="008A267F">
        <w:t xml:space="preserve">eeks 48 and 96, and no subjects between </w:t>
      </w:r>
      <w:r w:rsidR="001E3ACE">
        <w:t>W</w:t>
      </w:r>
      <w:r w:rsidRPr="008A267F">
        <w:t>eeks 96 and 144.</w:t>
      </w:r>
    </w:p>
    <w:p w:rsidR="008A267F" w:rsidRPr="008A267F" w:rsidRDefault="008A267F" w:rsidP="008A267F">
      <w:r w:rsidRPr="008A267F">
        <w:t xml:space="preserve">In total to </w:t>
      </w:r>
      <w:r w:rsidR="001E3ACE">
        <w:t>W</w:t>
      </w:r>
      <w:r w:rsidRPr="008A267F">
        <w:t>eek 144 the following was found:</w:t>
      </w:r>
    </w:p>
    <w:p w:rsidR="008A267F" w:rsidRPr="008A267F" w:rsidRDefault="008A267F" w:rsidP="001E3ACE">
      <w:pPr>
        <w:pStyle w:val="ListBullet"/>
      </w:pPr>
      <w:r w:rsidRPr="008A267F">
        <w:t xml:space="preserve">9 subjects had isolates with emergent EVG resistance substitutions at E92Q (N = 7), N155H (N = 3), Q148R (N = 1), </w:t>
      </w:r>
      <w:r w:rsidR="00B90068">
        <w:t>and T66I (N = 1) in the IN gene</w:t>
      </w:r>
      <w:r w:rsidR="0037549B">
        <w:t>.</w:t>
      </w:r>
    </w:p>
    <w:p w:rsidR="008A267F" w:rsidRPr="008A267F" w:rsidRDefault="008A267F" w:rsidP="001E3ACE">
      <w:pPr>
        <w:pStyle w:val="ListBullet"/>
      </w:pPr>
      <w:r w:rsidRPr="008A267F">
        <w:t>Other INSTI substitutions (2P0P IN substitutions) that each developed in a single case in addition to a primary INSTI-R substitut</w:t>
      </w:r>
      <w:r w:rsidR="00B90068">
        <w:t>ion, were H51Y, L68V, and S153A</w:t>
      </w:r>
      <w:r w:rsidR="0037549B">
        <w:t>.</w:t>
      </w:r>
    </w:p>
    <w:p w:rsidR="008A267F" w:rsidRPr="008A267F" w:rsidRDefault="008A267F" w:rsidP="001E3ACE">
      <w:pPr>
        <w:pStyle w:val="ListBullet"/>
      </w:pPr>
      <w:r w:rsidRPr="008A267F">
        <w:t>10 subjects had isolates that developed M184V/I, of which 4 subjects also developed K65R and 2 subjects developed A62V</w:t>
      </w:r>
      <w:r w:rsidR="0037549B">
        <w:t>.</w:t>
      </w:r>
      <w:r w:rsidRPr="008A267F">
        <w:t xml:space="preserve"> (commonly as a mixture with wild</w:t>
      </w:r>
      <w:r w:rsidR="001E3ACE">
        <w:t xml:space="preserve"> </w:t>
      </w:r>
      <w:r w:rsidRPr="008A267F">
        <w:t xml:space="preserve">type in combination with </w:t>
      </w:r>
      <w:r w:rsidR="00B90068">
        <w:t>K65R and M184V in the RT gene)</w:t>
      </w:r>
    </w:p>
    <w:p w:rsidR="008A267F" w:rsidRPr="008A267F" w:rsidRDefault="008A267F" w:rsidP="001E3ACE">
      <w:pPr>
        <w:pStyle w:val="ListBullet"/>
      </w:pPr>
      <w:r w:rsidRPr="008A267F">
        <w:t>All 10 isolates with emergent resistance in the</w:t>
      </w:r>
      <w:r w:rsidR="00B90068">
        <w:t xml:space="preserve"> STB group were HIV-1 subtype B</w:t>
      </w:r>
      <w:r w:rsidR="0037549B">
        <w:t>.</w:t>
      </w:r>
    </w:p>
    <w:p w:rsidR="008A267F" w:rsidRPr="008A267F" w:rsidRDefault="008A267F" w:rsidP="001E3ACE">
      <w:pPr>
        <w:pStyle w:val="ListBullet"/>
      </w:pPr>
      <w:r w:rsidRPr="008A267F">
        <w:t>The remaining 11 subject isolates in the STB group lacked emergent resistance substitutions in IN or RT and remained phenotypically susceptibl</w:t>
      </w:r>
      <w:r w:rsidR="00B90068">
        <w:t>e to all drugs in their regimen</w:t>
      </w:r>
      <w:r w:rsidR="0037549B">
        <w:t>.</w:t>
      </w:r>
    </w:p>
    <w:p w:rsidR="008A267F" w:rsidRPr="008A267F" w:rsidRDefault="008A267F" w:rsidP="001E3ACE">
      <w:pPr>
        <w:pStyle w:val="ListBullet"/>
      </w:pPr>
      <w:r w:rsidRPr="008A267F">
        <w:t>There was no development of primary PI-R sub</w:t>
      </w:r>
      <w:r w:rsidR="00B90068">
        <w:t>stitutions within the STB group</w:t>
      </w:r>
      <w:r w:rsidR="0037549B">
        <w:t>.</w:t>
      </w:r>
    </w:p>
    <w:p w:rsidR="008A267F" w:rsidRPr="008A267F" w:rsidRDefault="008A267F" w:rsidP="001E3ACE">
      <w:pPr>
        <w:pStyle w:val="ListBullet"/>
      </w:pPr>
      <w:r w:rsidRPr="008A267F">
        <w:lastRenderedPageBreak/>
        <w:t>In phenotypic analyses, 8 subjects had HIV isolates with reduced susceptibility to EVG, 10 had reduced susceptibility to FTC and 1 had reduced susceptibility to TFV.</w:t>
      </w:r>
    </w:p>
    <w:p w:rsidR="008A267F" w:rsidRPr="008A267F" w:rsidRDefault="008A267F" w:rsidP="008A267F">
      <w:r w:rsidRPr="008A267F">
        <w:t xml:space="preserve">To </w:t>
      </w:r>
      <w:r w:rsidR="001E3ACE">
        <w:t>W</w:t>
      </w:r>
      <w:r w:rsidRPr="008A267F">
        <w:t>eek 144 in the ATR group, of the 28 subjects in the RAP the following is noted:</w:t>
      </w:r>
    </w:p>
    <w:p w:rsidR="008A267F" w:rsidRPr="008A267F" w:rsidRDefault="008A267F" w:rsidP="001E3ACE">
      <w:pPr>
        <w:pStyle w:val="ListBullet"/>
      </w:pPr>
      <w:r w:rsidRPr="008A267F">
        <w:t>28 had post baseline genotypic an</w:t>
      </w:r>
      <w:r w:rsidR="00B90068">
        <w:t>d phenotypic data for PR and RT</w:t>
      </w:r>
      <w:r w:rsidR="0037549B">
        <w:t>.</w:t>
      </w:r>
    </w:p>
    <w:p w:rsidR="008A267F" w:rsidRPr="008A267F" w:rsidRDefault="008A267F" w:rsidP="001E3ACE">
      <w:pPr>
        <w:pStyle w:val="ListBullet"/>
      </w:pPr>
      <w:r w:rsidRPr="008A267F">
        <w:t>28 had p</w:t>
      </w:r>
      <w:r w:rsidR="00B90068">
        <w:t>ost baseline IN genotypic data</w:t>
      </w:r>
      <w:r w:rsidR="0037549B">
        <w:t>.</w:t>
      </w:r>
    </w:p>
    <w:p w:rsidR="008A267F" w:rsidRPr="008A267F" w:rsidRDefault="008A267F" w:rsidP="001E3ACE">
      <w:pPr>
        <w:pStyle w:val="ListBullet"/>
      </w:pPr>
      <w:r w:rsidRPr="008A267F">
        <w:t>22 had post baseli</w:t>
      </w:r>
      <w:r w:rsidR="00B90068">
        <w:t>ne IN phenotypic data available</w:t>
      </w:r>
      <w:r w:rsidR="0037549B">
        <w:t>.</w:t>
      </w:r>
    </w:p>
    <w:p w:rsidR="008A267F" w:rsidRPr="008A267F" w:rsidRDefault="008A267F" w:rsidP="001E3ACE">
      <w:pPr>
        <w:pStyle w:val="ListBullet"/>
      </w:pPr>
      <w:r w:rsidRPr="008A267F">
        <w:t>14 (ITT: 14/352, 4.0%; RAP: 14/28, 50%) had emer</w:t>
      </w:r>
      <w:r w:rsidR="00B90068">
        <w:t>gent resistance to a study drug</w:t>
      </w:r>
      <w:r w:rsidR="0037549B">
        <w:t>.</w:t>
      </w:r>
    </w:p>
    <w:p w:rsidR="008A267F" w:rsidRPr="008A267F" w:rsidRDefault="008A267F" w:rsidP="001E3ACE">
      <w:pPr>
        <w:pStyle w:val="ListBullet"/>
      </w:pPr>
      <w:r w:rsidRPr="008A267F">
        <w:t xml:space="preserve">Resistance substitutions developed in 8 subjects by </w:t>
      </w:r>
      <w:r w:rsidR="001E3ACE">
        <w:t>W</w:t>
      </w:r>
      <w:r w:rsidRPr="008A267F">
        <w:t xml:space="preserve">eek 48, 2 subjects between </w:t>
      </w:r>
      <w:r w:rsidR="001E3ACE">
        <w:t>W</w:t>
      </w:r>
      <w:r w:rsidRPr="008A267F">
        <w:t xml:space="preserve">eeks 48 and 96, and 4 subjects between </w:t>
      </w:r>
      <w:r w:rsidR="001E3ACE">
        <w:t>W</w:t>
      </w:r>
      <w:r w:rsidRPr="008A267F">
        <w:t>eeks 96 and 144</w:t>
      </w:r>
      <w:r w:rsidR="0037549B">
        <w:t>.</w:t>
      </w:r>
    </w:p>
    <w:p w:rsidR="001E3ACE" w:rsidRPr="001E3ACE" w:rsidRDefault="001E3ACE" w:rsidP="001E3ACE">
      <w:pPr>
        <w:pStyle w:val="ListBullet"/>
      </w:pPr>
      <w:r w:rsidRPr="001E3ACE">
        <w:t xml:space="preserve">The 14 subjects with resistance substitutions by </w:t>
      </w:r>
      <w:r>
        <w:t>W</w:t>
      </w:r>
      <w:r w:rsidRPr="001E3ACE">
        <w:t>eek 144 had isolates with emergent EFV resistance substitutions at K103N (N = 13), K101E (N = 5), V108I (</w:t>
      </w:r>
      <w:r w:rsidR="00B90068">
        <w:t>N = 4), Y188F/H/L (N = </w:t>
      </w:r>
      <w:r w:rsidRPr="001E3ACE">
        <w:t xml:space="preserve">3), M230L (N = 2), and V90I, G190A/S, and P225H (N = 1 each) in RT; 4 subjects had isolates that developed M184V/I and 3 of </w:t>
      </w:r>
      <w:r w:rsidR="00B90068">
        <w:t>these also developed K65R in RT</w:t>
      </w:r>
      <w:r w:rsidR="0037549B">
        <w:t>.</w:t>
      </w:r>
    </w:p>
    <w:p w:rsidR="001E3ACE" w:rsidRPr="001E3ACE" w:rsidRDefault="001E3ACE" w:rsidP="001E3ACE">
      <w:pPr>
        <w:pStyle w:val="ListBullet"/>
      </w:pPr>
      <w:r w:rsidRPr="001E3ACE">
        <w:t xml:space="preserve">All 14 isolates with emergent resistance in the </w:t>
      </w:r>
      <w:r w:rsidR="00761CE8">
        <w:t>ATR group were HIV-1 subtype</w:t>
      </w:r>
      <w:r w:rsidR="00B90068">
        <w:t xml:space="preserve"> B</w:t>
      </w:r>
      <w:r w:rsidR="0037549B">
        <w:t>.</w:t>
      </w:r>
    </w:p>
    <w:p w:rsidR="001E3ACE" w:rsidRPr="001E3ACE" w:rsidRDefault="001E3ACE" w:rsidP="001E3ACE">
      <w:pPr>
        <w:pStyle w:val="ListBullet"/>
      </w:pPr>
      <w:r w:rsidRPr="001E3ACE">
        <w:t>The remaining 14 subject isolates lacked emergent resistance substitutions and were phenotypically susceptibl</w:t>
      </w:r>
      <w:r w:rsidR="00B90068">
        <w:t>e to all drugs in their regimen</w:t>
      </w:r>
      <w:r w:rsidR="0037549B">
        <w:t>.</w:t>
      </w:r>
    </w:p>
    <w:p w:rsidR="001E3ACE" w:rsidRPr="001E3ACE" w:rsidRDefault="001E3ACE" w:rsidP="001E3ACE">
      <w:pPr>
        <w:pStyle w:val="ListBullet"/>
      </w:pPr>
      <w:r w:rsidRPr="001E3ACE">
        <w:t>2 subjects had isolates with only emergent primary P</w:t>
      </w:r>
      <w:r w:rsidR="00AC23A4">
        <w:t>I</w:t>
      </w:r>
      <w:r w:rsidRPr="001E3ACE">
        <w:t>n</w:t>
      </w:r>
      <w:r w:rsidR="00761CE8">
        <w:t xml:space="preserve"> </w:t>
      </w:r>
      <w:r w:rsidRPr="001E3ACE">
        <w:t xml:space="preserve">Resistance (R) substitutions within the ATR group, despite not being treated with a </w:t>
      </w:r>
      <w:r w:rsidR="00683527">
        <w:t>PIn</w:t>
      </w:r>
      <w:r w:rsidRPr="001E3ACE">
        <w:t>; one had Q58E and several other polymorphic changes in PR and RT and on</w:t>
      </w:r>
      <w:r w:rsidR="00B90068">
        <w:t>e had a mixture at I50I/L in PR</w:t>
      </w:r>
      <w:r w:rsidR="0037549B">
        <w:t>.</w:t>
      </w:r>
    </w:p>
    <w:p w:rsidR="001E3ACE" w:rsidRPr="001E3ACE" w:rsidRDefault="001E3ACE" w:rsidP="001E3ACE">
      <w:pPr>
        <w:pStyle w:val="ListBullet"/>
      </w:pPr>
      <w:r w:rsidRPr="001E3ACE">
        <w:t>In phenotypic analyses, 4 subjects had HIV isolates with reduced susceptibility to FTC and 3 had reduced susceptibility to TFV.</w:t>
      </w:r>
    </w:p>
    <w:p w:rsidR="001E3ACE" w:rsidRPr="001E3ACE" w:rsidRDefault="00761CE8" w:rsidP="001E3ACE">
      <w:r>
        <w:t>The sponsor conclusions were:</w:t>
      </w:r>
    </w:p>
    <w:p w:rsidR="001E3ACE" w:rsidRPr="001E3ACE" w:rsidRDefault="001E3ACE" w:rsidP="00C86172">
      <w:pPr>
        <w:pStyle w:val="ListBullet"/>
      </w:pPr>
      <w:r w:rsidRPr="001E3ACE">
        <w:t>STB demonstrated durable antiviral efficacy through 144 weeks of treatment in ARV treatment</w:t>
      </w:r>
      <w:r w:rsidR="00C86172">
        <w:t xml:space="preserve"> </w:t>
      </w:r>
      <w:r w:rsidR="00B90068">
        <w:t>naïve subjects</w:t>
      </w:r>
      <w:r w:rsidR="0037549B">
        <w:t>.</w:t>
      </w:r>
    </w:p>
    <w:p w:rsidR="001E3ACE" w:rsidRPr="001E3ACE" w:rsidRDefault="001E3ACE" w:rsidP="00C86172">
      <w:pPr>
        <w:pStyle w:val="ListBullet"/>
      </w:pPr>
      <w:r w:rsidRPr="001E3ACE">
        <w:t xml:space="preserve">High rates of virologic success were achieved in both the STB and ATR groups by </w:t>
      </w:r>
      <w:r w:rsidR="00C86172">
        <w:t>W</w:t>
      </w:r>
      <w:r w:rsidR="00B90068">
        <w:t>eek 144</w:t>
      </w:r>
      <w:r w:rsidR="0037549B">
        <w:t>.</w:t>
      </w:r>
    </w:p>
    <w:p w:rsidR="001E3ACE" w:rsidRPr="001E3ACE" w:rsidRDefault="001E3ACE" w:rsidP="00C86172">
      <w:pPr>
        <w:pStyle w:val="ListBullet"/>
      </w:pPr>
      <w:r w:rsidRPr="001E3ACE">
        <w:t>Immunologic benefit continued in both groups with increases f</w:t>
      </w:r>
      <w:r w:rsidR="00B90068">
        <w:t>rom baseline in CD4 cell counts</w:t>
      </w:r>
      <w:r w:rsidR="0037549B">
        <w:t>.</w:t>
      </w:r>
    </w:p>
    <w:p w:rsidR="003A42B2" w:rsidRDefault="001E3ACE" w:rsidP="003A42B2">
      <w:pPr>
        <w:pStyle w:val="ListBullet"/>
      </w:pPr>
      <w:r w:rsidRPr="001E3ACE">
        <w:t xml:space="preserve">Resistance development to </w:t>
      </w:r>
      <w:r w:rsidR="00C86172">
        <w:t>≥</w:t>
      </w:r>
      <w:r w:rsidRPr="001E3ACE">
        <w:t xml:space="preserve"> 1 components of ST</w:t>
      </w:r>
      <w:r w:rsidR="003A42B2">
        <w:t>B or ATR occurred infrequently.</w:t>
      </w:r>
    </w:p>
    <w:p w:rsidR="001E3ACE" w:rsidRPr="001E3ACE" w:rsidRDefault="003A42B2" w:rsidP="003A42B2">
      <w:pPr>
        <w:pStyle w:val="Comment"/>
      </w:pPr>
      <w:r w:rsidRPr="003A42B2">
        <w:rPr>
          <w:b/>
        </w:rPr>
        <w:t>C</w:t>
      </w:r>
      <w:r w:rsidR="001E3ACE" w:rsidRPr="003A42B2">
        <w:rPr>
          <w:b/>
        </w:rPr>
        <w:t>omment:</w:t>
      </w:r>
      <w:r>
        <w:t xml:space="preserve"> </w:t>
      </w:r>
      <w:r w:rsidR="001E3ACE" w:rsidRPr="00C86172">
        <w:t>The sponsor’s conclusions are accepted.</w:t>
      </w:r>
    </w:p>
    <w:p w:rsidR="005470DD" w:rsidRPr="001E3ACE" w:rsidRDefault="005470DD" w:rsidP="005470DD">
      <w:pPr>
        <w:pStyle w:val="Heading3"/>
        <w:rPr>
          <w:rFonts w:eastAsiaTheme="minorHAnsi"/>
        </w:rPr>
      </w:pPr>
      <w:bookmarkStart w:id="24" w:name="_Toc481586174"/>
      <w:r w:rsidRPr="001E3ACE">
        <w:rPr>
          <w:rFonts w:eastAsiaTheme="minorHAnsi"/>
        </w:rPr>
        <w:t>GS-US-236-0103</w:t>
      </w:r>
      <w:bookmarkEnd w:id="24"/>
    </w:p>
    <w:p w:rsidR="005470DD" w:rsidRPr="001E3ACE" w:rsidRDefault="005470DD" w:rsidP="005470DD">
      <w:pPr>
        <w:pStyle w:val="Heading4"/>
      </w:pPr>
      <w:r w:rsidRPr="001E3ACE">
        <w:t>Study design, objectives, locations and dates</w:t>
      </w:r>
    </w:p>
    <w:p w:rsidR="005470DD" w:rsidRPr="001E3ACE" w:rsidRDefault="005470DD" w:rsidP="005470DD">
      <w:r w:rsidRPr="001E3ACE">
        <w:t xml:space="preserve">This was a </w:t>
      </w:r>
      <w:r>
        <w:t>P</w:t>
      </w:r>
      <w:r w:rsidRPr="001E3ACE">
        <w:t xml:space="preserve">hase </w:t>
      </w:r>
      <w:r>
        <w:t>III</w:t>
      </w:r>
      <w:r w:rsidRPr="001E3ACE">
        <w:t>, randomised, double</w:t>
      </w:r>
      <w:r>
        <w:t xml:space="preserve"> </w:t>
      </w:r>
      <w:r w:rsidRPr="001E3ACE">
        <w:t>blind study to evaluate the safety and efficacy of STB versus ATV/r plus Truvada (TVD: FTC/ TDF) in HIV-1 infected, ARV treatment</w:t>
      </w:r>
      <w:r>
        <w:t xml:space="preserve"> naïve </w:t>
      </w:r>
      <w:r w:rsidRPr="001E3ACE">
        <w:t>adults. It was a multinational multi</w:t>
      </w:r>
      <w:r>
        <w:t>-</w:t>
      </w:r>
      <w:r w:rsidRPr="001E3ACE">
        <w:t>centre study undertaken at 146 study sites in the US, Puerto Rico, France, Germany, Australia, Canada, United Kingdom (UK), Belgium, Italy, Austria, Thailand, the Netherlands, Portugal, Mexico, Denmark, Switzerland, and Sweden. It commenced in August</w:t>
      </w:r>
      <w:r w:rsidR="00454941">
        <w:t> </w:t>
      </w:r>
      <w:r w:rsidRPr="001E3ACE">
        <w:t>2010 and the last subject observation for this report was August 2013. Treatment was planned for 192 weeks in the randomised, double</w:t>
      </w:r>
      <w:r>
        <w:t xml:space="preserve"> </w:t>
      </w:r>
      <w:r w:rsidRPr="001E3ACE">
        <w:t>blinded phase. After this, subjects will continue to take their blinded study drug until treatment assignments are unblinded, at which point all subjects will be given the option to participate in an open</w:t>
      </w:r>
      <w:r>
        <w:t xml:space="preserve"> </w:t>
      </w:r>
      <w:r w:rsidRPr="001E3ACE">
        <w:t>label rollover study. During the double</w:t>
      </w:r>
      <w:r>
        <w:t xml:space="preserve"> </w:t>
      </w:r>
      <w:r w:rsidRPr="001E3ACE">
        <w:t xml:space="preserve">blind treatment period, study visits occurred at </w:t>
      </w:r>
      <w:r>
        <w:t>W</w:t>
      </w:r>
      <w:r w:rsidRPr="001E3ACE">
        <w:t xml:space="preserve">eeks 2, 4, 8, 12, 16, 24, 32, 40, and 48; and then every 12 weeks to </w:t>
      </w:r>
      <w:r>
        <w:t>W</w:t>
      </w:r>
      <w:r w:rsidRPr="001E3ACE">
        <w:t>eek 192.</w:t>
      </w:r>
    </w:p>
    <w:p w:rsidR="005470DD" w:rsidRPr="001E3ACE" w:rsidRDefault="005470DD" w:rsidP="005470DD">
      <w:r w:rsidRPr="001E3ACE">
        <w:lastRenderedPageBreak/>
        <w:t>The objectives were:</w:t>
      </w:r>
    </w:p>
    <w:p w:rsidR="005470DD" w:rsidRPr="001E3ACE" w:rsidRDefault="00744563" w:rsidP="005470DD">
      <w:pPr>
        <w:pStyle w:val="ListBullet"/>
      </w:pPr>
      <w:r>
        <w:t>Primary</w:t>
      </w:r>
      <w:r w:rsidR="005470DD" w:rsidRPr="001E3ACE">
        <w:t>: to evaluate the efficacy of an STR containing STB versus a regimen containing ATV/r</w:t>
      </w:r>
      <w:r w:rsidR="005470DD">
        <w:t xml:space="preserve"> </w:t>
      </w:r>
      <w:r w:rsidR="005470DD" w:rsidRPr="001E3ACE">
        <w:t>+</w:t>
      </w:r>
      <w:r w:rsidR="005470DD">
        <w:t xml:space="preserve"> </w:t>
      </w:r>
      <w:r w:rsidR="005470DD" w:rsidRPr="001E3ACE">
        <w:t>TVD in HIV-1 infected, ARV treatment</w:t>
      </w:r>
      <w:r w:rsidR="005470DD">
        <w:t xml:space="preserve"> naïve </w:t>
      </w:r>
      <w:r w:rsidR="005470DD" w:rsidRPr="001E3ACE">
        <w:t xml:space="preserve">adult subjects as determined by the achievement of HIV-1 RNA &lt; 50 copies/mL at </w:t>
      </w:r>
      <w:r w:rsidR="00454941">
        <w:t>Week 48</w:t>
      </w:r>
      <w:r w:rsidR="0037549B">
        <w:t>.</w:t>
      </w:r>
    </w:p>
    <w:p w:rsidR="005470DD" w:rsidRPr="001E3ACE" w:rsidRDefault="00744563" w:rsidP="005470DD">
      <w:pPr>
        <w:pStyle w:val="ListBullet"/>
      </w:pPr>
      <w:r>
        <w:t>Secondary</w:t>
      </w:r>
      <w:r w:rsidR="005470DD" w:rsidRPr="001E3ACE">
        <w:t>: to evaluate the efficacy, safety, and tolerability of the 2 treatment regimens to 96 weeks of treatment, and, the durability of the efficacy, safety, and tolerability results of the 2 treatment regimens obs</w:t>
      </w:r>
      <w:r w:rsidR="00454941">
        <w:t>erved to 192 weeks of treatment</w:t>
      </w:r>
      <w:r w:rsidR="0037549B">
        <w:t>.</w:t>
      </w:r>
    </w:p>
    <w:p w:rsidR="005470DD" w:rsidRPr="001E3ACE" w:rsidRDefault="005470DD" w:rsidP="005470DD">
      <w:r w:rsidRPr="001E3ACE">
        <w:t xml:space="preserve">The </w:t>
      </w:r>
      <w:r w:rsidR="00744563">
        <w:t>primary</w:t>
      </w:r>
      <w:r w:rsidRPr="001E3ACE">
        <w:t xml:space="preserve"> and first </w:t>
      </w:r>
      <w:r w:rsidR="00744563">
        <w:t>secondary</w:t>
      </w:r>
      <w:r w:rsidRPr="001E3ACE">
        <w:t xml:space="preserve"> objective</w:t>
      </w:r>
      <w:r w:rsidR="00744563">
        <w:t>s</w:t>
      </w:r>
      <w:r w:rsidRPr="001E3ACE">
        <w:t xml:space="preserve"> were addressed in </w:t>
      </w:r>
      <w:r>
        <w:t>W</w:t>
      </w:r>
      <w:r w:rsidRPr="001E3ACE">
        <w:t xml:space="preserve">eeks 48 and 96 interim CSRs and are not considered in this report. This report addresses the </w:t>
      </w:r>
      <w:r w:rsidR="00744563">
        <w:t>secondary</w:t>
      </w:r>
      <w:r w:rsidRPr="001E3ACE">
        <w:t xml:space="preserve"> objectives with da</w:t>
      </w:r>
      <w:r w:rsidR="00454941">
        <w:t>ta analysis to 144 </w:t>
      </w:r>
      <w:r w:rsidRPr="001E3ACE">
        <w:t>weeks of treatment.</w:t>
      </w:r>
    </w:p>
    <w:p w:rsidR="005470DD" w:rsidRPr="001E3ACE" w:rsidRDefault="005470DD" w:rsidP="005470DD">
      <w:pPr>
        <w:pStyle w:val="Heading4"/>
      </w:pPr>
      <w:r w:rsidRPr="001E3ACE">
        <w:t>Main inclusion and exclusion criteria</w:t>
      </w:r>
    </w:p>
    <w:p w:rsidR="005470DD" w:rsidRPr="001E3ACE" w:rsidRDefault="005470DD" w:rsidP="005470DD">
      <w:r w:rsidRPr="001E3ACE">
        <w:t>Subjects included in this study were HIV-1 infected, ARV treatment</w:t>
      </w:r>
      <w:r>
        <w:t xml:space="preserve"> naïve </w:t>
      </w:r>
      <w:r w:rsidRPr="001E3ACE">
        <w:t xml:space="preserve">adults with plasma HIV-1 RNA levels </w:t>
      </w:r>
      <w:r>
        <w:t>≥</w:t>
      </w:r>
      <w:r w:rsidRPr="001E3ACE">
        <w:t xml:space="preserve"> 5000 copies/mL and eGFR </w:t>
      </w:r>
      <w:r>
        <w:t>≥</w:t>
      </w:r>
      <w:r w:rsidRPr="001E3ACE">
        <w:t xml:space="preserve"> 70 mL/min at screening, with no prior use of any approved or experimental ARV drug, and sensitivity to FTC, TDF, and ATV, as demonstrated by the subject’s HIV-1 genotype at screening. Key exclusion criteria included receipt of pr</w:t>
      </w:r>
      <w:r>
        <w:t>ohibited therapy and pregnancy.</w:t>
      </w:r>
    </w:p>
    <w:p w:rsidR="005470DD" w:rsidRPr="00C86172" w:rsidRDefault="005470DD" w:rsidP="005470DD">
      <w:pPr>
        <w:pStyle w:val="Heading4"/>
      </w:pPr>
      <w:r>
        <w:t>Study treatments</w:t>
      </w:r>
    </w:p>
    <w:p w:rsidR="005470DD" w:rsidRPr="00C86172" w:rsidRDefault="005470DD" w:rsidP="005470DD">
      <w:pPr>
        <w:pStyle w:val="ListBullet"/>
      </w:pPr>
      <w:r w:rsidRPr="00C86172">
        <w:t>Treatment Group 1: STR of EVG 150 mg/COBI 150 mg/FTC 200 mg/TDF 300 mg (STB) once daily + placebos to match RTV 100 mg, ATV 300 mg, and TVD (FTC 200 mg/TDF 300 mg) once daily</w:t>
      </w:r>
      <w:r w:rsidR="0037549B">
        <w:t>.</w:t>
      </w:r>
    </w:p>
    <w:p w:rsidR="005470DD" w:rsidRPr="00C86172" w:rsidRDefault="005470DD" w:rsidP="005470DD">
      <w:pPr>
        <w:pStyle w:val="ListBullet"/>
      </w:pPr>
      <w:r w:rsidRPr="00C86172">
        <w:t>Treatment Group 2: RTV 100 mg, ATV 300 mg, and TVD (FTC 200 mg/TDF 300 mg) once daily + placebo to match STR containing EVG 150 mg/COBI 150 mg/FTC 200 mg/TDF 300 mg (STB) once daily</w:t>
      </w:r>
      <w:r w:rsidR="00454941">
        <w:t>.</w:t>
      </w:r>
    </w:p>
    <w:p w:rsidR="005470DD" w:rsidRPr="00C86172" w:rsidRDefault="005470DD" w:rsidP="005470DD">
      <w:r w:rsidRPr="00C86172">
        <w:t>All subjects received 3 tablets and 1 capsule of study drug (active drug and placebo), administered orally, once daily with food, at approximately the same time each day. Allowed and prohibited prior and concomitant medication was specified. Procedures for measuring compliance were described.</w:t>
      </w:r>
    </w:p>
    <w:p w:rsidR="005470DD" w:rsidRPr="00C86172" w:rsidRDefault="005470DD" w:rsidP="005470DD">
      <w:pPr>
        <w:pStyle w:val="Heading4"/>
      </w:pPr>
      <w:r w:rsidRPr="00C86172">
        <w:t>Efficacy outcome variables</w:t>
      </w:r>
    </w:p>
    <w:p w:rsidR="005470DD" w:rsidRPr="00C86172" w:rsidRDefault="005470DD" w:rsidP="005470DD">
      <w:pPr>
        <w:pStyle w:val="ListBullet"/>
      </w:pPr>
      <w:r w:rsidRPr="00C86172">
        <w:t xml:space="preserve">The </w:t>
      </w:r>
      <w:r w:rsidR="00744563">
        <w:t>Primary</w:t>
      </w:r>
      <w:r w:rsidRPr="00C86172">
        <w:t xml:space="preserve"> efficacy endpoint was the % of subjects with HIV-1 RNA &lt; 50 copies/mL at </w:t>
      </w:r>
      <w:r>
        <w:t>W</w:t>
      </w:r>
      <w:r w:rsidRPr="00C86172">
        <w:t>eek 48 using the US FDA</w:t>
      </w:r>
      <w:r>
        <w:t xml:space="preserve"> </w:t>
      </w:r>
      <w:r w:rsidRPr="00C86172">
        <w:t>defined snapshot analysis.</w:t>
      </w:r>
    </w:p>
    <w:p w:rsidR="005470DD" w:rsidRPr="00C86172" w:rsidRDefault="005470DD" w:rsidP="005470DD">
      <w:pPr>
        <w:pStyle w:val="ListBullet"/>
      </w:pPr>
      <w:r w:rsidRPr="00C86172">
        <w:t xml:space="preserve">The </w:t>
      </w:r>
      <w:r w:rsidR="00744563">
        <w:t>secondary</w:t>
      </w:r>
      <w:r w:rsidRPr="00C86172">
        <w:t xml:space="preserve"> efficacy endpoints evaluated for the </w:t>
      </w:r>
      <w:r>
        <w:t>W</w:t>
      </w:r>
      <w:r w:rsidRPr="00C86172">
        <w:t xml:space="preserve">eek 144 analysis was the % of subjects with HIV-1 RNA &lt; 50 copies/mL at </w:t>
      </w:r>
      <w:r>
        <w:t>W</w:t>
      </w:r>
      <w:r w:rsidRPr="00C86172">
        <w:t>eek 144 as defined by the snapshot analysis algorithm.</w:t>
      </w:r>
    </w:p>
    <w:p w:rsidR="005470DD" w:rsidRPr="00C86172" w:rsidRDefault="005470DD" w:rsidP="005470DD">
      <w:pPr>
        <w:pStyle w:val="ListBullet"/>
      </w:pPr>
      <w:r w:rsidRPr="00C86172">
        <w:t xml:space="preserve">The </w:t>
      </w:r>
      <w:r w:rsidR="001F38F1">
        <w:t>tertiary</w:t>
      </w:r>
      <w:r>
        <w:t xml:space="preserve"> </w:t>
      </w:r>
      <w:r w:rsidRPr="00C86172">
        <w:t xml:space="preserve">efficacy endpoints evaluated for the </w:t>
      </w:r>
      <w:r>
        <w:t>Week 144 analysis were:</w:t>
      </w:r>
    </w:p>
    <w:p w:rsidR="005470DD" w:rsidRPr="00C86172" w:rsidRDefault="005470DD" w:rsidP="005470DD">
      <w:pPr>
        <w:pStyle w:val="ListBullet2"/>
      </w:pPr>
      <w:r w:rsidRPr="00C86172">
        <w:t>PVF with HIV-1 RNA cut-off at 50 copies/mL</w:t>
      </w:r>
    </w:p>
    <w:p w:rsidR="005470DD" w:rsidRPr="00C86172" w:rsidRDefault="005470DD" w:rsidP="005470DD">
      <w:pPr>
        <w:pStyle w:val="ListBullet2"/>
      </w:pPr>
      <w:r w:rsidRPr="00C86172">
        <w:t>The % of subjects with HIV-1 RNA &lt; 50 copies/mL using M = F and M = E methods</w:t>
      </w:r>
    </w:p>
    <w:p w:rsidR="005470DD" w:rsidRPr="00C86172" w:rsidRDefault="005470DD" w:rsidP="005470DD">
      <w:pPr>
        <w:pStyle w:val="ListBullet2"/>
      </w:pPr>
      <w:r w:rsidRPr="00C86172">
        <w:t>The change from baseline in HIV-1 RNA (log10 copies/mL)</w:t>
      </w:r>
    </w:p>
    <w:p w:rsidR="005470DD" w:rsidRPr="00C86172" w:rsidRDefault="005470DD" w:rsidP="005470DD">
      <w:pPr>
        <w:pStyle w:val="ListBullet2"/>
      </w:pPr>
      <w:r w:rsidRPr="00C86172">
        <w:t>The change from baseline in CD4 cell count and CD</w:t>
      </w:r>
      <w:r w:rsidR="00454941">
        <w:t xml:space="preserve"> </w:t>
      </w:r>
      <w:r w:rsidRPr="00C86172">
        <w:t>4%</w:t>
      </w:r>
    </w:p>
    <w:p w:rsidR="005470DD" w:rsidRPr="00C86172" w:rsidRDefault="005470DD" w:rsidP="005470DD">
      <w:r w:rsidRPr="00C86172">
        <w:t>This evaluation focuses on the analysis and results for those endpoints proposed for inclusion in the PI. These are:</w:t>
      </w:r>
    </w:p>
    <w:p w:rsidR="005470DD" w:rsidRPr="00C86172" w:rsidRDefault="005470DD" w:rsidP="005470DD">
      <w:pPr>
        <w:pStyle w:val="ListBullet"/>
      </w:pPr>
      <w:r w:rsidRPr="00C86172">
        <w:t xml:space="preserve">The </w:t>
      </w:r>
      <w:r w:rsidR="00744563">
        <w:t>secondary</w:t>
      </w:r>
      <w:r w:rsidRPr="00C86172">
        <w:t xml:space="preserve"> efficacy endpoint, namely the % of subjects with HIV-1 RNA &lt; 50 copies/mL at </w:t>
      </w:r>
      <w:r>
        <w:t>W</w:t>
      </w:r>
      <w:r w:rsidR="00454941">
        <w:t>eek </w:t>
      </w:r>
      <w:r w:rsidRPr="00C86172">
        <w:t>144 as defined by the snapshot analysis algorithm.</w:t>
      </w:r>
    </w:p>
    <w:p w:rsidR="005470DD" w:rsidRPr="00761CE8" w:rsidRDefault="005470DD" w:rsidP="005470DD">
      <w:pPr>
        <w:pStyle w:val="ListBullet"/>
      </w:pPr>
      <w:r w:rsidRPr="00761CE8">
        <w:t xml:space="preserve">One of the </w:t>
      </w:r>
      <w:r w:rsidR="001F38F1">
        <w:t>tertiary</w:t>
      </w:r>
      <w:r w:rsidRPr="00761CE8">
        <w:t xml:space="preserve"> efficacy endpoints, the change from baseline in CD4 cell count at W</w:t>
      </w:r>
      <w:r>
        <w:t>eek 144.</w:t>
      </w:r>
    </w:p>
    <w:p w:rsidR="005470DD" w:rsidRPr="00C86172" w:rsidRDefault="005470DD" w:rsidP="005470DD">
      <w:r w:rsidRPr="00C86172">
        <w:lastRenderedPageBreak/>
        <w:t>Also, although not a specified outcome, resistance analysis was undertaken and updated results proposed for the PI.</w:t>
      </w:r>
    </w:p>
    <w:p w:rsidR="005470DD" w:rsidRPr="00C86172" w:rsidRDefault="005470DD" w:rsidP="005470DD">
      <w:pPr>
        <w:pStyle w:val="Heading4"/>
      </w:pPr>
      <w:r w:rsidRPr="00C86172">
        <w:t>Sample size</w:t>
      </w:r>
    </w:p>
    <w:p w:rsidR="005470DD" w:rsidRPr="00C86172" w:rsidRDefault="005470DD" w:rsidP="005470DD">
      <w:r w:rsidRPr="00C86172">
        <w:t>A sample size of 700 subjects randomised in a 1:1 ratio to 2 groups (350 subjects per group) had at least 95% power to establish non</w:t>
      </w:r>
      <w:r>
        <w:t>-</w:t>
      </w:r>
      <w:r w:rsidRPr="00C86172">
        <w:t>inferiority with respect to the response rate of HIV-1 RNA &lt; 50 copies/mL at</w:t>
      </w:r>
      <w:r>
        <w:t xml:space="preserve"> W</w:t>
      </w:r>
      <w:r w:rsidRPr="00C86172">
        <w:t>eek 48 between the 2 treatment groups. For sample size and power computation, it was assumed that both treatment groups had a response rate of 0.795 based on results from a prior study, a non-infe</w:t>
      </w:r>
      <w:r w:rsidR="00454941">
        <w:t xml:space="preserve">riority margin of 0.12, and a 1 </w:t>
      </w:r>
      <w:r w:rsidRPr="00C86172">
        <w:t>sided, 0.025 significance level.</w:t>
      </w:r>
    </w:p>
    <w:p w:rsidR="005470DD" w:rsidRPr="00C86172" w:rsidRDefault="005470DD" w:rsidP="005470DD">
      <w:pPr>
        <w:pStyle w:val="Heading4"/>
      </w:pPr>
      <w:r w:rsidRPr="00C86172">
        <w:t>Randomisation and blinding methods</w:t>
      </w:r>
    </w:p>
    <w:p w:rsidR="005470DD" w:rsidRPr="00C86172" w:rsidRDefault="005470DD" w:rsidP="005470DD">
      <w:r w:rsidRPr="00C86172">
        <w:t>Prior to or during the baseline/</w:t>
      </w:r>
      <w:r>
        <w:t>D</w:t>
      </w:r>
      <w:r w:rsidRPr="00C86172">
        <w:t>ay 1 visit, the investigator or designee randomised the subject using the IVRS/IWRS. Subjects were randomi</w:t>
      </w:r>
      <w:r w:rsidR="0080353E">
        <w:t>s</w:t>
      </w:r>
      <w:r w:rsidRPr="00C86172">
        <w:t xml:space="preserve">ed in a 1:1 ratio to Treatment Group 1 or 2. Randomisation was stratified by HIV-1 RNA level (&lt; 100,000 copies/mL or </w:t>
      </w:r>
      <w:r>
        <w:t>≥</w:t>
      </w:r>
      <w:r w:rsidRPr="00C86172">
        <w:t xml:space="preserve"> 100,000 copies/mL) at screening. This was a double</w:t>
      </w:r>
      <w:r>
        <w:t xml:space="preserve"> </w:t>
      </w:r>
      <w:r w:rsidRPr="00C86172">
        <w:t>blind, double</w:t>
      </w:r>
      <w:r>
        <w:t xml:space="preserve"> </w:t>
      </w:r>
      <w:r w:rsidRPr="00C86172">
        <w:t xml:space="preserve">dummy study. The IVRS/IWRS assigned blinded study drug bottle numbers at each study visit (except </w:t>
      </w:r>
      <w:r>
        <w:t>W</w:t>
      </w:r>
      <w:r w:rsidRPr="00C86172">
        <w:t>eek 2). Study drugs were dispensed in a blinded fashion.</w:t>
      </w:r>
    </w:p>
    <w:p w:rsidR="005470DD" w:rsidRPr="00C86172" w:rsidRDefault="005470DD" w:rsidP="005470DD">
      <w:pPr>
        <w:pStyle w:val="Heading4"/>
      </w:pPr>
      <w:r w:rsidRPr="00C86172">
        <w:t xml:space="preserve">Analysis </w:t>
      </w:r>
      <w:r w:rsidR="00454941">
        <w:t>p</w:t>
      </w:r>
      <w:r w:rsidRPr="00C86172">
        <w:t>opulations</w:t>
      </w:r>
    </w:p>
    <w:p w:rsidR="005470DD" w:rsidRPr="00C86172" w:rsidRDefault="005470DD" w:rsidP="005470DD">
      <w:pPr>
        <w:pStyle w:val="ListBullet"/>
      </w:pPr>
      <w:r>
        <w:t>S</w:t>
      </w:r>
      <w:r w:rsidRPr="00C86172">
        <w:t>AS: enrolled subjects who received at least 1 dose of study medication.</w:t>
      </w:r>
    </w:p>
    <w:p w:rsidR="005470DD" w:rsidRPr="00C86172" w:rsidRDefault="005470DD" w:rsidP="005470DD">
      <w:pPr>
        <w:pStyle w:val="ListBullet"/>
      </w:pPr>
      <w:r w:rsidRPr="00C86172">
        <w:t xml:space="preserve">ITT set: all subjects who had received at least 1 dose of study drug; this was the </w:t>
      </w:r>
      <w:r w:rsidR="00744563">
        <w:t>Primary</w:t>
      </w:r>
      <w:r w:rsidRPr="00C86172">
        <w:t xml:space="preserve"> analysis set for efficacy analyses.</w:t>
      </w:r>
    </w:p>
    <w:p w:rsidR="005470DD" w:rsidRPr="00C86172" w:rsidRDefault="005470DD" w:rsidP="005470DD">
      <w:pPr>
        <w:pStyle w:val="ListBullet"/>
      </w:pPr>
      <w:r w:rsidRPr="00C86172">
        <w:t>PPS: the PPS was defined separately for analyses at</w:t>
      </w:r>
      <w:r>
        <w:t xml:space="preserve"> W</w:t>
      </w:r>
      <w:r w:rsidRPr="00C86172">
        <w:t xml:space="preserve">eeks 48, 96, and 144; the </w:t>
      </w:r>
      <w:r>
        <w:t>W</w:t>
      </w:r>
      <w:r w:rsidRPr="00C86172">
        <w:t xml:space="preserve">eek 144 set included all randomised subjects who received at least 1 dose of study drug, without any major protocol violation; the PPS was the </w:t>
      </w:r>
      <w:r w:rsidR="00744563">
        <w:t>secondary</w:t>
      </w:r>
      <w:r w:rsidRPr="00C86172">
        <w:t xml:space="preserve"> analysis set for the </w:t>
      </w:r>
      <w:r w:rsidR="00744563">
        <w:t>secondary</w:t>
      </w:r>
      <w:r w:rsidRPr="00C86172">
        <w:t xml:space="preserve"> endpoint and selected </w:t>
      </w:r>
      <w:r w:rsidR="001F38F1">
        <w:t>tertiary</w:t>
      </w:r>
      <w:r w:rsidRPr="00C86172">
        <w:t xml:space="preserve"> endpoints.</w:t>
      </w:r>
    </w:p>
    <w:p w:rsidR="005470DD" w:rsidRPr="00C00F82" w:rsidRDefault="005470DD" w:rsidP="005470DD">
      <w:pPr>
        <w:pStyle w:val="ListBullet"/>
      </w:pPr>
      <w:r w:rsidRPr="00C00F82">
        <w:t>RAP: subjects on study drugs and who experienced either suboptimal virologic response or virologic rebound were considered to have virologic failure and were included in the RAP.</w:t>
      </w:r>
    </w:p>
    <w:p w:rsidR="005470DD" w:rsidRPr="00C00F82" w:rsidRDefault="005470DD" w:rsidP="005470DD">
      <w:pPr>
        <w:pStyle w:val="Heading4"/>
      </w:pPr>
      <w:r w:rsidRPr="00C00F82">
        <w:t>Statistical methods</w:t>
      </w:r>
    </w:p>
    <w:p w:rsidR="005470DD" w:rsidRPr="00C00F82" w:rsidRDefault="00744563" w:rsidP="005470DD">
      <w:pPr>
        <w:pStyle w:val="Heading5"/>
        <w:rPr>
          <w:rFonts w:eastAsiaTheme="minorHAnsi"/>
        </w:rPr>
      </w:pPr>
      <w:r>
        <w:rPr>
          <w:rFonts w:eastAsiaTheme="minorHAnsi"/>
        </w:rPr>
        <w:t>Secondary</w:t>
      </w:r>
      <w:r w:rsidR="005470DD" w:rsidRPr="00C00F82">
        <w:rPr>
          <w:rFonts w:eastAsiaTheme="minorHAnsi"/>
        </w:rPr>
        <w:t xml:space="preserve"> </w:t>
      </w:r>
      <w:r w:rsidR="00454941">
        <w:rPr>
          <w:rFonts w:eastAsiaTheme="minorHAnsi"/>
        </w:rPr>
        <w:t>e</w:t>
      </w:r>
      <w:r w:rsidR="005470DD" w:rsidRPr="00C00F82">
        <w:rPr>
          <w:rFonts w:eastAsiaTheme="minorHAnsi"/>
        </w:rPr>
        <w:t xml:space="preserve">fficacy </w:t>
      </w:r>
      <w:r w:rsidR="00454941">
        <w:rPr>
          <w:rFonts w:eastAsiaTheme="minorHAnsi"/>
        </w:rPr>
        <w:t>e</w:t>
      </w:r>
      <w:r w:rsidR="005470DD" w:rsidRPr="00C00F82">
        <w:rPr>
          <w:rFonts w:eastAsiaTheme="minorHAnsi"/>
        </w:rPr>
        <w:t>ndpoint</w:t>
      </w:r>
    </w:p>
    <w:p w:rsidR="005470DD" w:rsidRPr="00C00F82" w:rsidRDefault="005470DD" w:rsidP="005470DD">
      <w:r w:rsidRPr="00C00F82">
        <w:t xml:space="preserve">The ITT set was used for analysis of the </w:t>
      </w:r>
      <w:r>
        <w:t>W</w:t>
      </w:r>
      <w:r w:rsidRPr="00C00F82">
        <w:t xml:space="preserve">eek 144 virologic outcome. The analysis window was </w:t>
      </w:r>
      <w:r>
        <w:t>S</w:t>
      </w:r>
      <w:r w:rsidRPr="00C00F82">
        <w:t xml:space="preserve">tudy </w:t>
      </w:r>
      <w:r>
        <w:t>D</w:t>
      </w:r>
      <w:r w:rsidRPr="00C00F82">
        <w:t>ays 967 to 1050 (inclusive). The number and % of subjects having virologic success, virologic failure, and reasons for no virologic data at Week 144 were summarised and listed. Virologic outcome was defined as the following categories:</w:t>
      </w:r>
    </w:p>
    <w:p w:rsidR="005470DD" w:rsidRPr="00C00F82" w:rsidRDefault="005470DD" w:rsidP="005470DD">
      <w:pPr>
        <w:pStyle w:val="ListBullet"/>
      </w:pPr>
      <w:r w:rsidRPr="00C00F82">
        <w:t xml:space="preserve">Virologic </w:t>
      </w:r>
      <w:r w:rsidR="00E42627">
        <w:t>s</w:t>
      </w:r>
      <w:r w:rsidR="00E42627" w:rsidRPr="00C00F82">
        <w:t>uccess</w:t>
      </w:r>
      <w:r w:rsidRPr="00C00F82">
        <w:t xml:space="preserve">: subjects with their last available HIV-1 RNA value &lt; 50 copies/mL in the </w:t>
      </w:r>
      <w:r>
        <w:t>W</w:t>
      </w:r>
      <w:r w:rsidRPr="00C00F82">
        <w:t>eek 144 analysis window.</w:t>
      </w:r>
    </w:p>
    <w:p w:rsidR="005470DD" w:rsidRPr="00C00F82" w:rsidRDefault="005470DD" w:rsidP="005470DD">
      <w:pPr>
        <w:pStyle w:val="ListBullet"/>
      </w:pPr>
      <w:r w:rsidRPr="00C00F82">
        <w:t xml:space="preserve">Virologic </w:t>
      </w:r>
      <w:r w:rsidR="00E42627">
        <w:t>f</w:t>
      </w:r>
      <w:r w:rsidR="00E42627" w:rsidRPr="00C00F82">
        <w:t>ailure</w:t>
      </w:r>
      <w:r w:rsidRPr="00C00F82">
        <w:t xml:space="preserve">: subjects with their last available HIV-1 RNA value </w:t>
      </w:r>
      <w:r>
        <w:t>≥</w:t>
      </w:r>
      <w:r w:rsidRPr="00C00F82">
        <w:t xml:space="preserve"> 50 copies/mL in the </w:t>
      </w:r>
      <w:r>
        <w:t>W</w:t>
      </w:r>
      <w:r w:rsidRPr="00C00F82">
        <w:t>eek 144 analysis window while on treatment or who did not have on</w:t>
      </w:r>
      <w:r>
        <w:t xml:space="preserve"> t</w:t>
      </w:r>
      <w:r w:rsidRPr="00C00F82">
        <w:t xml:space="preserve">reatment HIV-1 RNA data for the </w:t>
      </w:r>
      <w:r>
        <w:t>W</w:t>
      </w:r>
      <w:r w:rsidRPr="00C00F82">
        <w:t>eek 144 analysis due to discontinuation of study drug for lack of efficacy or for reasons other than an AE, death, or lack of effic</w:t>
      </w:r>
      <w:r>
        <w:t xml:space="preserve">acy and their last available on </w:t>
      </w:r>
      <w:r w:rsidRPr="00C00F82">
        <w:t>treatment HIV-1 RNA value was</w:t>
      </w:r>
      <w:r>
        <w:t xml:space="preserve"> ≥</w:t>
      </w:r>
      <w:r w:rsidRPr="00C00F82">
        <w:t xml:space="preserve"> 50 copies/mL.</w:t>
      </w:r>
    </w:p>
    <w:p w:rsidR="005470DD" w:rsidRPr="00C00F82" w:rsidRDefault="005470DD" w:rsidP="005470DD">
      <w:pPr>
        <w:pStyle w:val="ListBullet"/>
      </w:pPr>
      <w:r w:rsidRPr="00C00F82">
        <w:t xml:space="preserve">No virologic data in the </w:t>
      </w:r>
      <w:r>
        <w:t>W</w:t>
      </w:r>
      <w:r w:rsidRPr="00C00F82">
        <w:t>eek 144 analysis window: subjects with no on</w:t>
      </w:r>
      <w:r>
        <w:t xml:space="preserve"> </w:t>
      </w:r>
      <w:r w:rsidR="00454941">
        <w:t>treatment HIV</w:t>
      </w:r>
      <w:r w:rsidR="00454941">
        <w:noBreakHyphen/>
        <w:t>1 </w:t>
      </w:r>
      <w:r w:rsidRPr="00C00F82">
        <w:t xml:space="preserve">RNA data for the </w:t>
      </w:r>
      <w:r>
        <w:t>W</w:t>
      </w:r>
      <w:r w:rsidRPr="00C00F82">
        <w:t>eek 144 analysis because of discontinuation of study drug due to an AE or death (regardless of last available HIV-1 RNA result) or reasons other than an AE, death, or lack of efficacy and the last available on</w:t>
      </w:r>
      <w:r>
        <w:t xml:space="preserve"> </w:t>
      </w:r>
      <w:r w:rsidRPr="00C00F82">
        <w:t>tre</w:t>
      </w:r>
      <w:r w:rsidR="00454941">
        <w:t>atment HIV-1 RNA value was &lt; 50 </w:t>
      </w:r>
      <w:r w:rsidRPr="00C00F82">
        <w:t>copies/mL, or subjects had missing data during the window, but remained on study drug.</w:t>
      </w:r>
    </w:p>
    <w:p w:rsidR="005470DD" w:rsidRPr="00C00F82" w:rsidRDefault="005470DD" w:rsidP="005470DD">
      <w:r w:rsidRPr="00C00F82">
        <w:lastRenderedPageBreak/>
        <w:t>This endpoint was analysed to determine if treatment with STB was non-inferior to treatment with ATV/r</w:t>
      </w:r>
      <w:r>
        <w:t xml:space="preserve"> </w:t>
      </w:r>
      <w:r w:rsidRPr="00C00F82">
        <w:t>+</w:t>
      </w:r>
      <w:r>
        <w:t xml:space="preserve"> </w:t>
      </w:r>
      <w:r w:rsidRPr="00C00F82">
        <w:t xml:space="preserve">TVD at </w:t>
      </w:r>
      <w:r>
        <w:t>W</w:t>
      </w:r>
      <w:r w:rsidRPr="00C00F82">
        <w:t>eek 144. Non-inferiority was assessed using the 95% CI approach, with a non-inferiority margin of 12%. The baseline HIV-1 RNA stratum (</w:t>
      </w:r>
      <w:r>
        <w:t>≤</w:t>
      </w:r>
      <w:r w:rsidRPr="00C00F82">
        <w:t xml:space="preserve"> </w:t>
      </w:r>
      <w:proofErr w:type="gramStart"/>
      <w:r w:rsidRPr="00C00F82">
        <w:t>100,000 copies/mL</w:t>
      </w:r>
      <w:proofErr w:type="gramEnd"/>
      <w:r w:rsidRPr="00C00F82">
        <w:t xml:space="preserve"> or &gt;</w:t>
      </w:r>
      <w:r w:rsidR="00C342B9">
        <w:t> </w:t>
      </w:r>
      <w:r w:rsidRPr="00C00F82">
        <w:t>100,000 copies/mL)</w:t>
      </w:r>
      <w:r>
        <w:t xml:space="preserve"> </w:t>
      </w:r>
      <w:r w:rsidRPr="00C00F82">
        <w:t>weighted difference in the response rate (P1 – P2) and its 95% CI were calculated based on stratum</w:t>
      </w:r>
      <w:r>
        <w:t xml:space="preserve"> </w:t>
      </w:r>
      <w:r w:rsidRPr="00C00F82">
        <w:t>adjusted MH proportion. An alpha level of 0.05 was used to construct the 95% CI. It was concluded that STB was non-inferior to ATV/r</w:t>
      </w:r>
      <w:r>
        <w:t xml:space="preserve"> </w:t>
      </w:r>
      <w:r w:rsidRPr="00C00F82">
        <w:t>+</w:t>
      </w:r>
      <w:r>
        <w:t xml:space="preserve"> </w:t>
      </w:r>
      <w:r w:rsidRPr="00C00F82">
        <w:t>TVD if the lower bound of the 2</w:t>
      </w:r>
      <w:r>
        <w:t xml:space="preserve"> </w:t>
      </w:r>
      <w:r w:rsidRPr="00C00F82">
        <w:t>sided 95% CI of the difference in the response rate (STB group – ATV/r</w:t>
      </w:r>
      <w:r>
        <w:t xml:space="preserve"> </w:t>
      </w:r>
      <w:r w:rsidRPr="00C00F82">
        <w:t>+</w:t>
      </w:r>
      <w:r>
        <w:t xml:space="preserve"> </w:t>
      </w:r>
      <w:r w:rsidR="00454941">
        <w:t xml:space="preserve">TVD group) was &gt; </w:t>
      </w:r>
      <w:r w:rsidR="00454941">
        <w:noBreakHyphen/>
      </w:r>
      <w:r w:rsidRPr="00C00F82">
        <w:t>12%. If non-inferiority of STB versus ATV/r</w:t>
      </w:r>
      <w:r>
        <w:t xml:space="preserve"> </w:t>
      </w:r>
      <w:r w:rsidRPr="00C00F82">
        <w:t>+</w:t>
      </w:r>
      <w:r>
        <w:t xml:space="preserve"> </w:t>
      </w:r>
      <w:r w:rsidRPr="00C00F82">
        <w:t>TVD was established, the same 95% CI was used to evaluate superiority using the ITT analysis set. The superiority of STB over ATV/r</w:t>
      </w:r>
      <w:r>
        <w:t xml:space="preserve"> </w:t>
      </w:r>
      <w:r w:rsidRPr="00C00F82">
        <w:t>+</w:t>
      </w:r>
      <w:r>
        <w:t xml:space="preserve"> </w:t>
      </w:r>
      <w:r w:rsidRPr="00C00F82">
        <w:t>TVD was established if the lower bound of the 95% CI was greater than 0. The baseline HIV-1 RNA stratum (</w:t>
      </w:r>
      <w:r>
        <w:t>≤</w:t>
      </w:r>
      <w:r w:rsidRPr="00C00F82">
        <w:t xml:space="preserve"> </w:t>
      </w:r>
      <w:proofErr w:type="gramStart"/>
      <w:r w:rsidRPr="00C00F82">
        <w:t>100,000 copies/mL</w:t>
      </w:r>
      <w:proofErr w:type="gramEnd"/>
      <w:r w:rsidRPr="00C00F82">
        <w:t xml:space="preserve"> or &gt; 100,000 copies/mL)</w:t>
      </w:r>
      <w:r>
        <w:t xml:space="preserve"> </w:t>
      </w:r>
      <w:r w:rsidRPr="00C00F82">
        <w:t>weighted, 2</w:t>
      </w:r>
      <w:r>
        <w:t xml:space="preserve"> </w:t>
      </w:r>
      <w:r w:rsidRPr="00C00F82">
        <w:t>sided CMH test was also used to assess superi</w:t>
      </w:r>
      <w:r>
        <w:t>ority as a supportive analysis.</w:t>
      </w:r>
    </w:p>
    <w:p w:rsidR="005470DD" w:rsidRPr="00C00F82" w:rsidRDefault="005470DD" w:rsidP="005470DD">
      <w:r w:rsidRPr="00C00F82">
        <w:t xml:space="preserve">To evaluate robustness of virologic response at </w:t>
      </w:r>
      <w:r>
        <w:t>W</w:t>
      </w:r>
      <w:r w:rsidRPr="00C00F82">
        <w:t>eek 144, the following sensitivity analyses were performed:</w:t>
      </w:r>
    </w:p>
    <w:p w:rsidR="005470DD" w:rsidRPr="00C00F82" w:rsidRDefault="005470DD" w:rsidP="005470DD">
      <w:pPr>
        <w:pStyle w:val="ListBullet"/>
      </w:pPr>
      <w:r w:rsidRPr="00C00F82">
        <w:t xml:space="preserve">The virologic response at </w:t>
      </w:r>
      <w:r>
        <w:t>W</w:t>
      </w:r>
      <w:r w:rsidRPr="00C00F82">
        <w:t xml:space="preserve">eek 144 was analysed using the </w:t>
      </w:r>
      <w:r>
        <w:t>W</w:t>
      </w:r>
      <w:r w:rsidRPr="00C00F82">
        <w:t>eek 144 PPS.</w:t>
      </w:r>
    </w:p>
    <w:p w:rsidR="005470DD" w:rsidRPr="00C00F82" w:rsidRDefault="005470DD" w:rsidP="005470DD">
      <w:pPr>
        <w:pStyle w:val="ListBullet"/>
      </w:pPr>
      <w:r w:rsidRPr="00C00F82">
        <w:t>Subjects with non</w:t>
      </w:r>
      <w:r w:rsidR="00E3416C">
        <w:t>-</w:t>
      </w:r>
      <w:r w:rsidRPr="00C00F82">
        <w:t>virologic</w:t>
      </w:r>
      <w:r>
        <w:t xml:space="preserve"> </w:t>
      </w:r>
      <w:r w:rsidRPr="00C00F82">
        <w:t>related study drug discontinuation and the last on treatment HIV-1 RNA &lt; 50 copies/mL were counted as a success; non</w:t>
      </w:r>
      <w:r w:rsidR="00E3416C">
        <w:t>-</w:t>
      </w:r>
      <w:r w:rsidRPr="00C00F82">
        <w:t>virologic</w:t>
      </w:r>
      <w:r>
        <w:t xml:space="preserve"> </w:t>
      </w:r>
      <w:r w:rsidRPr="00C00F82">
        <w:t xml:space="preserve">related discontinuation was defined as subjects who had no virology data in the </w:t>
      </w:r>
      <w:r>
        <w:t>W</w:t>
      </w:r>
      <w:r w:rsidRPr="00C00F82">
        <w:t xml:space="preserve">eek 144 analysis window due to discontinuation prior to or in the </w:t>
      </w:r>
      <w:r>
        <w:t>W</w:t>
      </w:r>
      <w:r w:rsidRPr="00C00F82">
        <w:t>eek 144 analysis window for reasons other than lack of efficacy, AE, or death; results were summarised in a similar manner to that used for the ITT analysis described above.</w:t>
      </w:r>
    </w:p>
    <w:p w:rsidR="005470DD" w:rsidRPr="00C00F82" w:rsidRDefault="005470DD" w:rsidP="005470DD">
      <w:r w:rsidRPr="00C00F82">
        <w:t xml:space="preserve">Also, analysis of virologic response using the snapshot analysis algorithm at </w:t>
      </w:r>
      <w:r>
        <w:t>W</w:t>
      </w:r>
      <w:r w:rsidRPr="00C00F82">
        <w:t>eek 144 was repeated within each of the following subgroups using the ITT set:</w:t>
      </w:r>
    </w:p>
    <w:p w:rsidR="005470DD" w:rsidRPr="00C00F82" w:rsidRDefault="005470DD" w:rsidP="005470DD">
      <w:pPr>
        <w:pStyle w:val="ListBullet"/>
      </w:pPr>
      <w:r w:rsidRPr="00C00F82">
        <w:t>Baseline HIV-1 RNA level (copies/mL):</w:t>
      </w:r>
      <w:r>
        <w:t xml:space="preserve"> ≤</w:t>
      </w:r>
      <w:r w:rsidRPr="00C00F82">
        <w:t xml:space="preserve"> 100,000 copies/mL or &gt; 100,000 copies/mL</w:t>
      </w:r>
    </w:p>
    <w:p w:rsidR="005470DD" w:rsidRPr="00C00F82" w:rsidRDefault="005470DD" w:rsidP="005470DD">
      <w:pPr>
        <w:pStyle w:val="ListBullet"/>
      </w:pPr>
      <w:r w:rsidRPr="00C00F82">
        <w:t xml:space="preserve">Age (years): &lt; 40 and </w:t>
      </w:r>
      <w:r>
        <w:t>≥</w:t>
      </w:r>
      <w:r w:rsidRPr="00C00F82">
        <w:t xml:space="preserve"> 40</w:t>
      </w:r>
    </w:p>
    <w:p w:rsidR="005470DD" w:rsidRPr="00C00F82" w:rsidRDefault="005470DD" w:rsidP="005470DD">
      <w:pPr>
        <w:pStyle w:val="ListBullet"/>
      </w:pPr>
      <w:r w:rsidRPr="00C00F82">
        <w:t>Sex: male and female</w:t>
      </w:r>
    </w:p>
    <w:p w:rsidR="005470DD" w:rsidRPr="00C00F82" w:rsidRDefault="005470DD" w:rsidP="005470DD">
      <w:pPr>
        <w:pStyle w:val="ListBullet"/>
      </w:pPr>
      <w:r w:rsidRPr="00C00F82">
        <w:t xml:space="preserve">Race: </w:t>
      </w:r>
      <w:r w:rsidR="00B90068">
        <w:t>White</w:t>
      </w:r>
      <w:r w:rsidRPr="00C00F82">
        <w:t xml:space="preserve"> and non</w:t>
      </w:r>
      <w:r>
        <w:t>-</w:t>
      </w:r>
      <w:r w:rsidR="00B90068">
        <w:t>White</w:t>
      </w:r>
    </w:p>
    <w:p w:rsidR="005470DD" w:rsidRPr="00C00F82" w:rsidRDefault="005470DD" w:rsidP="005470DD">
      <w:pPr>
        <w:pStyle w:val="ListBullet"/>
      </w:pPr>
      <w:r w:rsidRPr="00C00F82">
        <w:t>Baseline CD4 group (cells/</w:t>
      </w:r>
      <w:r w:rsidR="008B6777">
        <w:t>µ</w:t>
      </w:r>
      <w:r w:rsidR="008B6777" w:rsidRPr="008B6C94">
        <w:t>L</w:t>
      </w:r>
      <w:r w:rsidRPr="00C00F82">
        <w:t xml:space="preserve">): </w:t>
      </w:r>
      <w:r>
        <w:t>≤</w:t>
      </w:r>
      <w:r w:rsidRPr="00C00F82">
        <w:t xml:space="preserve"> 350 and &gt; 350</w:t>
      </w:r>
    </w:p>
    <w:p w:rsidR="005470DD" w:rsidRPr="00C00F82" w:rsidRDefault="005470DD" w:rsidP="005470DD">
      <w:pPr>
        <w:pStyle w:val="ListBullet"/>
      </w:pPr>
      <w:r w:rsidRPr="00C00F82">
        <w:t xml:space="preserve">Study drug adherence (%): &lt; 95 and </w:t>
      </w:r>
      <w:r>
        <w:t>≥</w:t>
      </w:r>
      <w:r w:rsidRPr="00C00F82">
        <w:t xml:space="preserve"> 95 (based on adherence to the </w:t>
      </w:r>
      <w:r>
        <w:t>W</w:t>
      </w:r>
      <w:r w:rsidRPr="00C00F82">
        <w:t>eek 144 visit)</w:t>
      </w:r>
      <w:r w:rsidR="00E42627">
        <w:t>.</w:t>
      </w:r>
    </w:p>
    <w:p w:rsidR="005470DD" w:rsidRPr="00C00F82" w:rsidRDefault="001F38F1" w:rsidP="005470DD">
      <w:pPr>
        <w:pStyle w:val="Heading5"/>
        <w:rPr>
          <w:rFonts w:eastAsiaTheme="minorHAnsi"/>
        </w:rPr>
      </w:pPr>
      <w:r>
        <w:rPr>
          <w:rFonts w:eastAsiaTheme="minorHAnsi"/>
        </w:rPr>
        <w:t>Tertiary</w:t>
      </w:r>
      <w:r w:rsidR="005470DD" w:rsidRPr="00C00F82">
        <w:rPr>
          <w:rFonts w:eastAsiaTheme="minorHAnsi"/>
        </w:rPr>
        <w:t xml:space="preserve"> </w:t>
      </w:r>
      <w:r w:rsidRPr="00C00F82">
        <w:rPr>
          <w:rFonts w:eastAsiaTheme="minorHAnsi"/>
        </w:rPr>
        <w:t>e</w:t>
      </w:r>
      <w:r w:rsidR="005470DD" w:rsidRPr="00C00F82">
        <w:rPr>
          <w:rFonts w:eastAsiaTheme="minorHAnsi"/>
        </w:rPr>
        <w:t xml:space="preserve">fficacy </w:t>
      </w:r>
      <w:r w:rsidR="00423D28">
        <w:rPr>
          <w:rFonts w:eastAsiaTheme="minorHAnsi"/>
        </w:rPr>
        <w:t>e</w:t>
      </w:r>
      <w:r w:rsidR="005470DD" w:rsidRPr="00C00F82">
        <w:rPr>
          <w:rFonts w:eastAsiaTheme="minorHAnsi"/>
        </w:rPr>
        <w:t>ndpoints</w:t>
      </w:r>
    </w:p>
    <w:p w:rsidR="005470DD" w:rsidRPr="00C00F82" w:rsidRDefault="005470DD" w:rsidP="005470DD">
      <w:pPr>
        <w:pStyle w:val="ListBullet"/>
      </w:pPr>
      <w:r w:rsidRPr="00C00F82">
        <w:t xml:space="preserve">PVF: Subjects classified as a pure virologic responder at </w:t>
      </w:r>
      <w:r>
        <w:t>W</w:t>
      </w:r>
      <w:r w:rsidRPr="00C00F82">
        <w:t>eek 144 were those with confirmed suppression (HIV-1 RNA</w:t>
      </w:r>
      <w:r>
        <w:t xml:space="preserve"> </w:t>
      </w:r>
      <w:r w:rsidRPr="00C00F82">
        <w:t xml:space="preserve">&lt; 50 copies/mL on 2 consecutive visits) or without a confirmed rebound (HIV-1 RNA </w:t>
      </w:r>
      <w:r>
        <w:t>≥</w:t>
      </w:r>
      <w:r w:rsidRPr="00C00F82">
        <w:t xml:space="preserve"> 50 copies/mL on 2 consecutive visits or the last available HIV-1 RNA ≥ 50 copies/mL followed by premature discontinuation of study) after achieving confirmed suppression prior to or on the upper limit of the </w:t>
      </w:r>
      <w:r>
        <w:t>W</w:t>
      </w:r>
      <w:r w:rsidRPr="00C00F82">
        <w:t>eek 144 analysis window.</w:t>
      </w:r>
    </w:p>
    <w:p w:rsidR="005470DD" w:rsidRPr="00C00F82" w:rsidRDefault="005470DD" w:rsidP="005470DD">
      <w:pPr>
        <w:pStyle w:val="ListBullet"/>
      </w:pPr>
      <w:r w:rsidRPr="00C00F82">
        <w:t>M = F and M = E Analyses: virologic response also analysed using M = F and M = E methods; for the M = F method, all missing data were treated as a virologic failure; for the M = E method, all missing data were excluded in the computation of virologic response from both</w:t>
      </w:r>
      <w:r>
        <w:t xml:space="preserve"> the numerator and denominator.</w:t>
      </w:r>
    </w:p>
    <w:p w:rsidR="005470DD" w:rsidRPr="00C00F82" w:rsidRDefault="005470DD" w:rsidP="005470DD">
      <w:pPr>
        <w:pStyle w:val="ListBullet"/>
      </w:pPr>
      <w:r w:rsidRPr="00C00F82">
        <w:t>Changes from baseline in HIV-1 RNA (log</w:t>
      </w:r>
      <w:r w:rsidRPr="00C00F82">
        <w:rPr>
          <w:vertAlign w:val="subscript"/>
        </w:rPr>
        <w:t>10</w:t>
      </w:r>
      <w:r w:rsidRPr="00C00F82">
        <w:t xml:space="preserve"> copies/mL), CD4 cell count and CD4 % at </w:t>
      </w:r>
      <w:r w:rsidR="00454941">
        <w:t>Week </w:t>
      </w:r>
      <w:r>
        <w:t>144.</w:t>
      </w:r>
    </w:p>
    <w:p w:rsidR="005470DD" w:rsidRPr="00C00F82" w:rsidRDefault="005470DD" w:rsidP="005470DD">
      <w:r w:rsidRPr="00C00F82">
        <w:t xml:space="preserve">As aforementioned, the only </w:t>
      </w:r>
      <w:r w:rsidR="001F38F1">
        <w:t>tertiary</w:t>
      </w:r>
      <w:r w:rsidRPr="00C00F82">
        <w:t xml:space="preserve"> endpoint result proposed for inclusion in the PI is the change from baseline in the CD4 cell count at </w:t>
      </w:r>
      <w:r>
        <w:t>W</w:t>
      </w:r>
      <w:r w:rsidRPr="00C00F82">
        <w:t xml:space="preserve">eek 144. This change was summarised using descriptive statistics based on observed data. The difference in the CD4 cell count change from baseline between treatment groups and the associated 95% CI was constructed using an ANOVA with baseline HIV-1 RNA level as a fixed effect. Also, the change from baseline in CD4 cell counts </w:t>
      </w:r>
      <w:r w:rsidRPr="00C00F82">
        <w:lastRenderedPageBreak/>
        <w:t>using the LOCF imputation method for missing values was summarised at each visit using the ITT set. The algorithm for LOCF was if a value was missing in an analysis window, the missing value was replaced with the last on-treatment value observed before the analysis visit window that had the missing value.</w:t>
      </w:r>
    </w:p>
    <w:p w:rsidR="005470DD" w:rsidRPr="00C00F82" w:rsidRDefault="005470DD" w:rsidP="005470DD">
      <w:r w:rsidRPr="00C00F82">
        <w:t xml:space="preserve">Key points from information provided on the analysis for the other </w:t>
      </w:r>
      <w:r w:rsidR="001F38F1">
        <w:t>tertiary</w:t>
      </w:r>
      <w:r>
        <w:t xml:space="preserve"> </w:t>
      </w:r>
      <w:r w:rsidRPr="00C00F82">
        <w:t>endpoints are as follows:</w:t>
      </w:r>
    </w:p>
    <w:p w:rsidR="005470DD" w:rsidRPr="00C00F82" w:rsidRDefault="005470DD" w:rsidP="005470DD">
      <w:pPr>
        <w:pStyle w:val="ListBullet"/>
      </w:pPr>
      <w:r>
        <w:t>All analyses used the ITT set.</w:t>
      </w:r>
    </w:p>
    <w:p w:rsidR="005470DD" w:rsidRPr="00C00F82" w:rsidRDefault="005470DD" w:rsidP="005470DD">
      <w:pPr>
        <w:pStyle w:val="ListBullet"/>
      </w:pPr>
      <w:r w:rsidRPr="00C00F82">
        <w:t xml:space="preserve">The same statistical methods were used for the </w:t>
      </w:r>
      <w:r w:rsidR="00744563">
        <w:t>secondary</w:t>
      </w:r>
      <w:r w:rsidRPr="00C00F82">
        <w:t xml:space="preserve"> and </w:t>
      </w:r>
      <w:r w:rsidR="001F38F1">
        <w:t>tertiary</w:t>
      </w:r>
      <w:r w:rsidRPr="00C00F82">
        <w:t xml:space="preserve"> efficacy endpoints.</w:t>
      </w:r>
    </w:p>
    <w:p w:rsidR="005470DD" w:rsidRPr="00C00F82" w:rsidRDefault="005470DD" w:rsidP="005470DD">
      <w:pPr>
        <w:pStyle w:val="ListBullet"/>
      </w:pPr>
      <w:r w:rsidRPr="00C00F82">
        <w:t>Descriptive statistics were used for the virologic outcome at Week 144 for the PVF analysis.</w:t>
      </w:r>
    </w:p>
    <w:p w:rsidR="005470DD" w:rsidRPr="00C00F82" w:rsidRDefault="005470DD" w:rsidP="005470DD">
      <w:pPr>
        <w:pStyle w:val="ListBullet"/>
      </w:pPr>
      <w:r w:rsidRPr="00C00F82">
        <w:t xml:space="preserve">Time to PVF by the </w:t>
      </w:r>
      <w:r>
        <w:t>W</w:t>
      </w:r>
      <w:r w:rsidRPr="00C00F82">
        <w:t>eek 144 analysis data cut-off date was analysed using the KM estimate and the log-rank test stratified by baseline HIV-1 RNA level.</w:t>
      </w:r>
    </w:p>
    <w:p w:rsidR="005470DD" w:rsidRPr="00C00F82" w:rsidRDefault="005470DD" w:rsidP="005470DD">
      <w:pPr>
        <w:pStyle w:val="ListBullet"/>
      </w:pPr>
      <w:r w:rsidRPr="00C00F82">
        <w:t xml:space="preserve">Analysis of the changes from baseline to </w:t>
      </w:r>
      <w:r>
        <w:t>W</w:t>
      </w:r>
      <w:r w:rsidRPr="00C00F82">
        <w:t>eek 144 in log</w:t>
      </w:r>
      <w:r w:rsidRPr="007247B4">
        <w:rPr>
          <w:vertAlign w:val="subscript"/>
        </w:rPr>
        <w:t>10</w:t>
      </w:r>
      <w:r w:rsidRPr="00C00F82">
        <w:t xml:space="preserve"> HIV-1 RNA, and CD4% were the same as that for the CD4 cell count except for the LOCF analysis.</w:t>
      </w:r>
    </w:p>
    <w:p w:rsidR="005470DD" w:rsidRPr="00C00F82" w:rsidRDefault="005470DD" w:rsidP="005470DD">
      <w:pPr>
        <w:pStyle w:val="ListBullet"/>
      </w:pPr>
      <w:r w:rsidRPr="00C00F82">
        <w:t xml:space="preserve">The number and % of subjects with HIV-1 RNA &lt;50, 50 to &lt; 400, 400 to &lt; 1000, and ≥ 1000 copies/mL using M = F and M = E methods were summarised for all visits up to </w:t>
      </w:r>
      <w:r>
        <w:t>W</w:t>
      </w:r>
      <w:r w:rsidRPr="00C00F82">
        <w:t>eek 144.</w:t>
      </w:r>
    </w:p>
    <w:p w:rsidR="005470DD" w:rsidRPr="00C00F82" w:rsidRDefault="005470DD" w:rsidP="005470DD">
      <w:pPr>
        <w:pStyle w:val="Heading5"/>
        <w:rPr>
          <w:rFonts w:eastAsiaTheme="minorHAnsi"/>
        </w:rPr>
      </w:pPr>
      <w:r w:rsidRPr="00C00F82">
        <w:rPr>
          <w:rFonts w:eastAsiaTheme="minorHAnsi"/>
        </w:rPr>
        <w:t xml:space="preserve">Measurement </w:t>
      </w:r>
      <w:r w:rsidR="00423D28" w:rsidRPr="00C00F82">
        <w:rPr>
          <w:rFonts w:eastAsiaTheme="minorHAnsi"/>
        </w:rPr>
        <w:t>and analysis of resistance data</w:t>
      </w:r>
    </w:p>
    <w:p w:rsidR="005470DD" w:rsidRPr="00C00F82" w:rsidRDefault="005470DD" w:rsidP="005470DD">
      <w:r w:rsidRPr="00C00F82">
        <w:t xml:space="preserve">Suboptimal virologic response was assessed at </w:t>
      </w:r>
      <w:r>
        <w:t>W</w:t>
      </w:r>
      <w:r w:rsidRPr="00C00F82">
        <w:t xml:space="preserve">eek 8 and </w:t>
      </w:r>
      <w:r w:rsidR="00423D28">
        <w:t>was defined as having HIV-1 RNA </w:t>
      </w:r>
      <w:r w:rsidRPr="00C00F82">
        <w:t>≥</w:t>
      </w:r>
      <w:r w:rsidR="00423D28">
        <w:t> </w:t>
      </w:r>
      <w:proofErr w:type="gramStart"/>
      <w:r w:rsidRPr="00C00F82">
        <w:t>50 copies/mL</w:t>
      </w:r>
      <w:proofErr w:type="gramEnd"/>
      <w:r w:rsidRPr="00C00F82">
        <w:t xml:space="preserve"> and &lt; 1 log</w:t>
      </w:r>
      <w:r w:rsidRPr="007247B4">
        <w:rPr>
          <w:vertAlign w:val="subscript"/>
        </w:rPr>
        <w:t>10</w:t>
      </w:r>
      <w:r w:rsidRPr="00C00F82">
        <w:t xml:space="preserve"> reduction from baseline at the </w:t>
      </w:r>
      <w:r>
        <w:t>W</w:t>
      </w:r>
      <w:r w:rsidRPr="00C00F82">
        <w:t>eek 8 visit, which was confirmed at the subsequent visit. Virologic rebound was defined as having 2 consecutive visits with HIV-1 RNA ≥ 400 copies/mL after achieving HIV-1 RNA &lt; 50 copies/mL, or as having 2 consecutive visits with &gt;1 log</w:t>
      </w:r>
      <w:r w:rsidRPr="007247B4">
        <w:rPr>
          <w:vertAlign w:val="subscript"/>
        </w:rPr>
        <w:t>10</w:t>
      </w:r>
      <w:r w:rsidRPr="00C00F82">
        <w:t xml:space="preserve"> increase in HIV-1 RNA from their nadir. In addition, subjects who were on study drugs, had not been analysed previously, and who had HIV-1 RNA</w:t>
      </w:r>
      <w:r>
        <w:t xml:space="preserve"> </w:t>
      </w:r>
      <w:r w:rsidRPr="00C00F82">
        <w:t xml:space="preserve">≥ 400 copies/mL at </w:t>
      </w:r>
      <w:r>
        <w:t>W</w:t>
      </w:r>
      <w:r w:rsidRPr="00C00F82">
        <w:t xml:space="preserve">eeks 48, 96,144, or their last visit (at or after </w:t>
      </w:r>
      <w:r>
        <w:t>W</w:t>
      </w:r>
      <w:r w:rsidRPr="00C00F82">
        <w:t>eek 8) were also analysed for resistance.</w:t>
      </w:r>
    </w:p>
    <w:p w:rsidR="005470DD" w:rsidRPr="00C00F82" w:rsidRDefault="005470DD" w:rsidP="005470DD">
      <w:r w:rsidRPr="00C00F82">
        <w:t>At screening, the HIV-1 subtype and PR/RT genotype were assessed. For post baseline resistance analyses of subjects with virologic failure or failur</w:t>
      </w:r>
      <w:r w:rsidR="00454941">
        <w:t>e to achieve plasma HIV</w:t>
      </w:r>
      <w:r w:rsidR="00454941">
        <w:noBreakHyphen/>
        <w:t>1 RNA &lt; </w:t>
      </w:r>
      <w:r w:rsidRPr="00C00F82">
        <w:t xml:space="preserve">400 copies at </w:t>
      </w:r>
      <w:r>
        <w:t>W</w:t>
      </w:r>
      <w:r w:rsidRPr="00C00F82">
        <w:t xml:space="preserve">eeks 48, 96, 144, or study discontinuation (at or after </w:t>
      </w:r>
      <w:r>
        <w:t>W</w:t>
      </w:r>
      <w:r w:rsidRPr="00C00F82">
        <w:t>eek 8 and on study drug), PR/RT and IN genotyping and phenotyping assays were performed. Samples with successful results for PR/RT, but with IN failure were retested for the IN genotype using different methodologies. IN testing was also conducted at baseline for those subjects with emergent INSTI-R in the RAP. The post baseline assay included genotypic and phenotypic data relevant to all currently approved NRTIs, NNRTIs and PIns, with the exception of the NNRTI RPV. The IN assay assessed both EVG and RAL phenotypes. No analyses of viral tropism were conducted. A retrospective analysis of the IN genotype was conducted in a subset of subjects with non-B subtype HIV-1 in the STB group and for a subset of most subjects considered to have virologic failure in both STB and ATV/r</w:t>
      </w:r>
      <w:r>
        <w:t xml:space="preserve"> </w:t>
      </w:r>
      <w:r w:rsidRPr="00C00F82">
        <w:t>+</w:t>
      </w:r>
      <w:r>
        <w:t xml:space="preserve"> </w:t>
      </w:r>
      <w:r w:rsidRPr="00C00F82">
        <w:t>TVD groups.</w:t>
      </w:r>
    </w:p>
    <w:p w:rsidR="005470DD" w:rsidRPr="00C00F82" w:rsidRDefault="005470DD" w:rsidP="005470DD">
      <w:pPr>
        <w:pStyle w:val="Heading4"/>
      </w:pPr>
      <w:r w:rsidRPr="00C00F82">
        <w:t>Participant flow</w:t>
      </w:r>
    </w:p>
    <w:p w:rsidR="005470DD" w:rsidRPr="00C00F82" w:rsidRDefault="005470DD" w:rsidP="005470DD">
      <w:r w:rsidRPr="00C00F82">
        <w:t>715 subjects were randomised, 357 to receive STB and 358 to receive ATV/r</w:t>
      </w:r>
      <w:r>
        <w:t xml:space="preserve"> </w:t>
      </w:r>
      <w:r w:rsidRPr="00C00F82">
        <w:t>+</w:t>
      </w:r>
      <w:r>
        <w:t xml:space="preserve"> </w:t>
      </w:r>
      <w:r w:rsidRPr="00C00F82">
        <w:t>TVD. The SAS and ITT set comprised 708 subjects who received at least 1 dose of study drug. Of these 708 subjects:</w:t>
      </w:r>
    </w:p>
    <w:p w:rsidR="005470DD" w:rsidRPr="00C00F82" w:rsidRDefault="005470DD" w:rsidP="005470DD">
      <w:pPr>
        <w:pStyle w:val="ListBullet"/>
      </w:pPr>
      <w:r w:rsidRPr="00C00F82">
        <w:t>58.9% (417) had screening HIV-1 RNA ≤ 100,000 copies/mL</w:t>
      </w:r>
    </w:p>
    <w:p w:rsidR="005470DD" w:rsidRPr="00C00F82" w:rsidRDefault="005470DD" w:rsidP="005470DD">
      <w:pPr>
        <w:pStyle w:val="ListBullet"/>
      </w:pPr>
      <w:r w:rsidRPr="00C00F82">
        <w:t xml:space="preserve">21.2% (150) discontinued study drug prior to the </w:t>
      </w:r>
      <w:r>
        <w:t>W</w:t>
      </w:r>
      <w:r w:rsidRPr="00C00F82">
        <w:t>eek 144 analysis data cut-off date: STB 19.3%/68; ATV/r</w:t>
      </w:r>
      <w:r>
        <w:t xml:space="preserve"> </w:t>
      </w:r>
      <w:r w:rsidRPr="00C00F82">
        <w:t>+</w:t>
      </w:r>
      <w:r>
        <w:t xml:space="preserve"> </w:t>
      </w:r>
      <w:r w:rsidRPr="00C00F82">
        <w:t>TVD 23.1%/82</w:t>
      </w:r>
      <w:r w:rsidR="0037549B">
        <w:t>.</w:t>
      </w:r>
    </w:p>
    <w:p w:rsidR="005470DD" w:rsidRDefault="005470DD" w:rsidP="005470DD">
      <w:pPr>
        <w:pStyle w:val="ListBullet"/>
      </w:pPr>
      <w:r w:rsidRPr="00C00F82">
        <w:t>17.7% (125) had prematurely discontinued from the study (STB: 16.7%/59; ATV/r</w:t>
      </w:r>
      <w:r>
        <w:t xml:space="preserve"> </w:t>
      </w:r>
      <w:r w:rsidRPr="00C00F82">
        <w:t>+</w:t>
      </w:r>
      <w:r>
        <w:t xml:space="preserve"> TVD: 18.6%/66</w:t>
      </w:r>
      <w:r w:rsidR="00E42627">
        <w:t>.</w:t>
      </w:r>
    </w:p>
    <w:p w:rsidR="005470DD" w:rsidRPr="007247B4" w:rsidRDefault="005470DD" w:rsidP="005470DD">
      <w:r w:rsidRPr="007247B4">
        <w:lastRenderedPageBreak/>
        <w:t>The most common reasons for premature discontinuation of study drug were AEs (STB</w:t>
      </w:r>
      <w:r>
        <w:t xml:space="preserve"> </w:t>
      </w:r>
      <w:r w:rsidRPr="007247B4">
        <w:t>5.9%/21; ATV/r</w:t>
      </w:r>
      <w:r>
        <w:t xml:space="preserve"> </w:t>
      </w:r>
      <w:r w:rsidRPr="007247B4">
        <w:t>+</w:t>
      </w:r>
      <w:r>
        <w:t xml:space="preserve"> </w:t>
      </w:r>
      <w:r w:rsidRPr="007247B4">
        <w:t>TVD 8.5%/30), lost to follow</w:t>
      </w:r>
      <w:r>
        <w:t xml:space="preserve"> </w:t>
      </w:r>
      <w:r w:rsidRPr="007247B4">
        <w:t>up (STB 4.8%/17; ATV/r</w:t>
      </w:r>
      <w:r>
        <w:t xml:space="preserve"> </w:t>
      </w:r>
      <w:r w:rsidRPr="007247B4">
        <w:t>+</w:t>
      </w:r>
      <w:r>
        <w:t xml:space="preserve"> </w:t>
      </w:r>
      <w:r w:rsidRPr="007247B4">
        <w:t>TVD 4.5%/16), withdrawn consent (STB 2.0%/7; ATV/r + TVD 5.1%/18) and subject noncompliance (STB 2.8%/10; ATV/r</w:t>
      </w:r>
      <w:r>
        <w:t xml:space="preserve"> </w:t>
      </w:r>
      <w:r w:rsidRPr="007247B4">
        <w:t>+</w:t>
      </w:r>
      <w:r>
        <w:t xml:space="preserve"> </w:t>
      </w:r>
      <w:r w:rsidRPr="007247B4">
        <w:t>TVD 10%/2.8). The most common reasons for premature study discontinuation were lost to follow</w:t>
      </w:r>
      <w:r>
        <w:t xml:space="preserve"> </w:t>
      </w:r>
      <w:r w:rsidRPr="007247B4">
        <w:t>up (STB 5.7%/20; ATV/r</w:t>
      </w:r>
      <w:r>
        <w:t xml:space="preserve"> </w:t>
      </w:r>
      <w:r w:rsidRPr="007247B4">
        <w:t>+</w:t>
      </w:r>
      <w:r>
        <w:t xml:space="preserve"> </w:t>
      </w:r>
      <w:r w:rsidRPr="007247B4">
        <w:t>TVD 4.5%/16), withdrawal of consent (STB 3.4%/12; ATV/r</w:t>
      </w:r>
      <w:r>
        <w:t xml:space="preserve"> </w:t>
      </w:r>
      <w:r w:rsidRPr="007247B4">
        <w:t>+</w:t>
      </w:r>
      <w:r>
        <w:t xml:space="preserve"> </w:t>
      </w:r>
      <w:r w:rsidRPr="007247B4">
        <w:t>TVD 5.1%/18) and AEs (STB 2.3%/8; ATV/r</w:t>
      </w:r>
      <w:r>
        <w:t xml:space="preserve"> </w:t>
      </w:r>
      <w:r w:rsidRPr="007247B4">
        <w:t>+</w:t>
      </w:r>
      <w:r>
        <w:t xml:space="preserve"> </w:t>
      </w:r>
      <w:r w:rsidRPr="007247B4">
        <w:t>TVD 3.9%/14). Reasons for discontinuation of study drug and study discontinuation were generally similar between the 2 groups. A summary of subject disposition is presented in the table below.</w:t>
      </w:r>
    </w:p>
    <w:p w:rsidR="00454941" w:rsidRDefault="005470DD" w:rsidP="005470DD">
      <w:pPr>
        <w:pStyle w:val="Tabletitle"/>
        <w:keepLines/>
      </w:pPr>
      <w:r w:rsidRPr="007247B4">
        <w:t xml:space="preserve">Table 12: GS-US-236-0103: Disposition </w:t>
      </w:r>
      <w:r w:rsidR="00454941" w:rsidRPr="007247B4">
        <w:t>of subjects (all screened subjects</w:t>
      </w:r>
      <w:r w:rsidRPr="007247B4">
        <w:t xml:space="preserve">, Week 144 </w:t>
      </w:r>
      <w:r w:rsidR="00454941">
        <w:t>d</w:t>
      </w:r>
      <w:r w:rsidRPr="007247B4">
        <w:t>ataset)</w:t>
      </w:r>
    </w:p>
    <w:p w:rsidR="005470DD" w:rsidRPr="00C00F82" w:rsidRDefault="005470DD" w:rsidP="00454941">
      <w:r w:rsidRPr="00454941">
        <w:rPr>
          <w:noProof/>
          <w:lang w:eastAsia="en-AU"/>
        </w:rPr>
        <w:drawing>
          <wp:inline distT="0" distB="0" distL="0" distR="0" wp14:anchorId="6B775AFE" wp14:editId="5CEABB22">
            <wp:extent cx="5731510" cy="1366745"/>
            <wp:effectExtent l="0" t="0" r="2540" b="5080"/>
            <wp:docPr id="22" name="Picture 22" descr="Table 12: GS-US-236-0103: Disposition of subjects (all screened subjects, Week 144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1510" cy="1366745"/>
                    </a:xfrm>
                    <a:prstGeom prst="rect">
                      <a:avLst/>
                    </a:prstGeom>
                  </pic:spPr>
                </pic:pic>
              </a:graphicData>
            </a:graphic>
          </wp:inline>
        </w:drawing>
      </w:r>
    </w:p>
    <w:p w:rsidR="005470DD" w:rsidRPr="007247B4" w:rsidRDefault="005470DD" w:rsidP="005470DD">
      <w:r w:rsidRPr="007247B4">
        <w:t xml:space="preserve">Of the 165 subjects excluded from the </w:t>
      </w:r>
      <w:r>
        <w:t>W</w:t>
      </w:r>
      <w:r w:rsidRPr="007247B4">
        <w:t xml:space="preserve">eek 144 PPS, 141 discontinued before or in the </w:t>
      </w:r>
      <w:r w:rsidR="000D10A7">
        <w:t>W</w:t>
      </w:r>
      <w:r w:rsidR="00454941">
        <w:t>eek </w:t>
      </w:r>
      <w:r w:rsidRPr="007247B4">
        <w:t>144 analysis window for reaso</w:t>
      </w:r>
      <w:r>
        <w:t>ns other than lack of efficacy.</w:t>
      </w:r>
    </w:p>
    <w:p w:rsidR="005470DD" w:rsidRPr="007247B4" w:rsidRDefault="005470DD" w:rsidP="005470DD">
      <w:pPr>
        <w:pStyle w:val="Heading4"/>
      </w:pPr>
      <w:r w:rsidRPr="007247B4">
        <w:t>Major protocol violations/deviations</w:t>
      </w:r>
    </w:p>
    <w:p w:rsidR="005470DD" w:rsidRPr="007247B4" w:rsidRDefault="005470DD" w:rsidP="005470DD">
      <w:r w:rsidRPr="007247B4">
        <w:t>The following table presents the important protocol deviations. None were considered to affect the overall interpretation of the study data.</w:t>
      </w:r>
    </w:p>
    <w:p w:rsidR="00454941" w:rsidRDefault="005470DD" w:rsidP="005470DD">
      <w:pPr>
        <w:pStyle w:val="Tabletitle"/>
        <w:keepLines/>
      </w:pPr>
      <w:r w:rsidRPr="007247B4">
        <w:t xml:space="preserve">Table 13: GS-US-236-0103: Important </w:t>
      </w:r>
      <w:r w:rsidR="00454941" w:rsidRPr="007247B4">
        <w:t>protocol deviations by category (all randomised subj</w:t>
      </w:r>
      <w:r w:rsidRPr="007247B4">
        <w:t>ects)</w:t>
      </w:r>
    </w:p>
    <w:p w:rsidR="005470DD" w:rsidRDefault="005470DD" w:rsidP="00454941">
      <w:r w:rsidRPr="00454941">
        <w:rPr>
          <w:noProof/>
          <w:lang w:eastAsia="en-AU"/>
        </w:rPr>
        <w:drawing>
          <wp:inline distT="0" distB="0" distL="0" distR="0" wp14:anchorId="3419E0BE" wp14:editId="5FCFA73F">
            <wp:extent cx="5667375" cy="1637242"/>
            <wp:effectExtent l="0" t="0" r="0" b="1270"/>
            <wp:docPr id="23" name="Picture 23" descr="Table 13: GS-US-236-0103: Important protocol deviations by category (all randomi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67375" cy="1637242"/>
                    </a:xfrm>
                    <a:prstGeom prst="rect">
                      <a:avLst/>
                    </a:prstGeom>
                    <a:noFill/>
                    <a:ln>
                      <a:noFill/>
                    </a:ln>
                  </pic:spPr>
                </pic:pic>
              </a:graphicData>
            </a:graphic>
          </wp:inline>
        </w:drawing>
      </w:r>
    </w:p>
    <w:p w:rsidR="005470DD" w:rsidRPr="007247B4" w:rsidRDefault="005470DD" w:rsidP="005470DD">
      <w:pPr>
        <w:pStyle w:val="Heading4"/>
      </w:pPr>
      <w:r w:rsidRPr="007247B4">
        <w:t>Baseline data</w:t>
      </w:r>
    </w:p>
    <w:p w:rsidR="005470DD" w:rsidRPr="007247B4" w:rsidRDefault="005470DD" w:rsidP="005470DD">
      <w:r w:rsidRPr="007247B4">
        <w:t>Overall, demographic and general baseline characteristics were similar between the 2 groups. Most subjects in the SAS were male (90.4%), with a mean age of 38 years (range: 19</w:t>
      </w:r>
      <w:r>
        <w:t xml:space="preserve"> to </w:t>
      </w:r>
      <w:r w:rsidRPr="007247B4">
        <w:t xml:space="preserve">72); most were </w:t>
      </w:r>
      <w:r w:rsidR="00B90068">
        <w:t>White</w:t>
      </w:r>
      <w:r w:rsidRPr="007247B4">
        <w:t xml:space="preserve"> (74.4%) or </w:t>
      </w:r>
      <w:r w:rsidR="00E35C63">
        <w:t>Black</w:t>
      </w:r>
      <w:r w:rsidRPr="007247B4">
        <w:t xml:space="preserve"> (16.8%) and non</w:t>
      </w:r>
      <w:r>
        <w:t>-</w:t>
      </w:r>
      <w:r w:rsidRPr="007247B4">
        <w:t>Hispanic/Latino (82.2%). The mean baseline BMI was 25.6 kg/m</w:t>
      </w:r>
      <w:r w:rsidRPr="007247B4">
        <w:rPr>
          <w:vertAlign w:val="superscript"/>
        </w:rPr>
        <w:t>2</w:t>
      </w:r>
      <w:r w:rsidRPr="007247B4">
        <w:t>. There were no significant between group differences for any disease characteristics. The mean (SD) baseline HIV-1 RNA value was 4.81 (0.613) log</w:t>
      </w:r>
      <w:r w:rsidRPr="007247B4">
        <w:rPr>
          <w:vertAlign w:val="subscript"/>
        </w:rPr>
        <w:t>10</w:t>
      </w:r>
      <w:r w:rsidRPr="007247B4">
        <w:t xml:space="preserve"> copies/mL, CD4 cell count was 370 (170.1) cells/</w:t>
      </w:r>
      <w:r w:rsidR="008B6777">
        <w:t>µ</w:t>
      </w:r>
      <w:r w:rsidR="008B6777" w:rsidRPr="008B6C94">
        <w:t>L</w:t>
      </w:r>
      <w:r w:rsidRPr="007247B4">
        <w:t>, and CD4% was 21.4% (8.29%). Overall, 58.9% of subjects had baseline HIV-1 RNA ≤ 100,000 copies/mL. The most common HIV risk factor category was homosexual sex (77.5%). Most subjects (81.6%) had asymptomatic HIV-1 infection. A small % were HBsAg positive (1.7%) or HCVAb seropositive (4%). Overall, the mean (SD) baseline eGFR</w:t>
      </w:r>
      <w:r w:rsidRPr="007247B4">
        <w:rPr>
          <w:vertAlign w:val="subscript"/>
        </w:rPr>
        <w:t>CG</w:t>
      </w:r>
      <w:r w:rsidRPr="007247B4">
        <w:t xml:space="preserve"> and eGFR</w:t>
      </w:r>
      <w:r w:rsidRPr="007247B4">
        <w:rPr>
          <w:vertAlign w:val="subscript"/>
        </w:rPr>
        <w:t>MDRD</w:t>
      </w:r>
      <w:r w:rsidRPr="007247B4">
        <w:t xml:space="preserve"> were 119.5 </w:t>
      </w:r>
      <w:r w:rsidR="00E35C63">
        <w:t>(32.44) mL/min and 99.2 (19.28) </w:t>
      </w:r>
      <w:r w:rsidRPr="007247B4">
        <w:t>mL/min/1.73m</w:t>
      </w:r>
      <w:r w:rsidRPr="007247B4">
        <w:rPr>
          <w:vertAlign w:val="superscript"/>
        </w:rPr>
        <w:t>2</w:t>
      </w:r>
      <w:r w:rsidRPr="007247B4">
        <w:t xml:space="preserve"> respectively. There were no notable between group differences in </w:t>
      </w:r>
      <w:r w:rsidRPr="007247B4">
        <w:lastRenderedPageBreak/>
        <w:t>baseline eGFR</w:t>
      </w:r>
      <w:r w:rsidRPr="007247B4">
        <w:rPr>
          <w:vertAlign w:val="subscript"/>
        </w:rPr>
        <w:t>CG</w:t>
      </w:r>
      <w:r w:rsidRPr="007247B4">
        <w:t xml:space="preserve"> or eGFR</w:t>
      </w:r>
      <w:r w:rsidRPr="007247B4">
        <w:rPr>
          <w:vertAlign w:val="subscript"/>
        </w:rPr>
        <w:t>MDRD</w:t>
      </w:r>
      <w:r w:rsidRPr="007247B4">
        <w:t>. 8 subjects who met entry criteria at screening had baseline eGFR</w:t>
      </w:r>
      <w:r w:rsidRPr="007247B4">
        <w:rPr>
          <w:vertAlign w:val="subscript"/>
        </w:rPr>
        <w:t>CG</w:t>
      </w:r>
      <w:r w:rsidR="00E35C63">
        <w:t> </w:t>
      </w:r>
      <w:r w:rsidRPr="007247B4">
        <w:t>&lt; 70 mL/min upon retesting at their baseline visit.</w:t>
      </w:r>
    </w:p>
    <w:p w:rsidR="005470DD" w:rsidRPr="007247B4" w:rsidRDefault="005470DD" w:rsidP="005470DD">
      <w:pPr>
        <w:pStyle w:val="Heading4"/>
      </w:pPr>
      <w:r w:rsidRPr="007247B4">
        <w:t>Results for the efficacy outcomes</w:t>
      </w:r>
    </w:p>
    <w:p w:rsidR="005470DD" w:rsidRPr="007247B4" w:rsidRDefault="005470DD" w:rsidP="005470DD">
      <w:r w:rsidRPr="007247B4">
        <w:t>Adh</w:t>
      </w:r>
      <w:r>
        <w:t>erence to study drug up to the W</w:t>
      </w:r>
      <w:r w:rsidRPr="007247B4">
        <w:t>eek 144 visit was similar with STB and ATV/r</w:t>
      </w:r>
      <w:r>
        <w:t xml:space="preserve"> </w:t>
      </w:r>
      <w:r w:rsidRPr="007247B4">
        <w:t>+</w:t>
      </w:r>
      <w:r>
        <w:t xml:space="preserve"> </w:t>
      </w:r>
      <w:r w:rsidRPr="007247B4">
        <w:t>TVD (medians: STB 97.2%, ATV/r</w:t>
      </w:r>
      <w:r>
        <w:t xml:space="preserve"> </w:t>
      </w:r>
      <w:r w:rsidRPr="007247B4">
        <w:t>+</w:t>
      </w:r>
      <w:r>
        <w:t xml:space="preserve"> </w:t>
      </w:r>
      <w:r w:rsidRPr="007247B4">
        <w:t xml:space="preserve">TVD 97%). Most subjects had an adherence rate of ≥ 95% up to the </w:t>
      </w:r>
      <w:r>
        <w:t>W</w:t>
      </w:r>
      <w:r w:rsidRPr="007247B4">
        <w:t>eek 144 visit (STB 71.3%, ATV/r</w:t>
      </w:r>
      <w:r>
        <w:t xml:space="preserve"> </w:t>
      </w:r>
      <w:r w:rsidRPr="007247B4">
        <w:t>+</w:t>
      </w:r>
      <w:r>
        <w:t xml:space="preserve"> </w:t>
      </w:r>
      <w:r w:rsidRPr="007247B4">
        <w:t xml:space="preserve">TVD 69.2%). The numbers of subjects in the </w:t>
      </w:r>
      <w:r>
        <w:t>W</w:t>
      </w:r>
      <w:r w:rsidRPr="007247B4">
        <w:t>eek 144 analysis data set and reasons for exclusion from this are shown in the table below.</w:t>
      </w:r>
    </w:p>
    <w:p w:rsidR="005470DD" w:rsidRPr="007247B4" w:rsidRDefault="005470DD" w:rsidP="005470DD">
      <w:pPr>
        <w:pStyle w:val="Heading5"/>
        <w:rPr>
          <w:rFonts w:eastAsiaTheme="minorHAnsi"/>
        </w:rPr>
      </w:pPr>
      <w:r w:rsidRPr="007247B4">
        <w:rPr>
          <w:rFonts w:eastAsiaTheme="minorHAnsi"/>
        </w:rPr>
        <w:t xml:space="preserve">Secondary </w:t>
      </w:r>
      <w:r w:rsidR="00E35C63" w:rsidRPr="007247B4">
        <w:rPr>
          <w:rFonts w:eastAsiaTheme="minorHAnsi"/>
        </w:rPr>
        <w:t>efficacy endpoint: virologic outcome a</w:t>
      </w:r>
      <w:r w:rsidRPr="007247B4">
        <w:rPr>
          <w:rFonts w:eastAsiaTheme="minorHAnsi"/>
        </w:rPr>
        <w:t xml:space="preserve">t </w:t>
      </w:r>
      <w:r w:rsidR="0037549B" w:rsidRPr="007247B4">
        <w:rPr>
          <w:rFonts w:eastAsiaTheme="minorHAnsi"/>
        </w:rPr>
        <w:t>w</w:t>
      </w:r>
      <w:r w:rsidRPr="007247B4">
        <w:rPr>
          <w:rFonts w:eastAsiaTheme="minorHAnsi"/>
        </w:rPr>
        <w:t xml:space="preserve">eek 144 </w:t>
      </w:r>
      <w:r w:rsidR="00E35C63" w:rsidRPr="007247B4">
        <w:rPr>
          <w:rFonts w:eastAsiaTheme="minorHAnsi"/>
        </w:rPr>
        <w:t xml:space="preserve">using snapshot analysis and </w:t>
      </w:r>
      <w:r w:rsidRPr="007247B4">
        <w:rPr>
          <w:rFonts w:eastAsiaTheme="minorHAnsi"/>
        </w:rPr>
        <w:t>HIV-1 RNA &lt; 50 copies/mL</w:t>
      </w:r>
    </w:p>
    <w:p w:rsidR="005470DD" w:rsidRPr="007247B4" w:rsidRDefault="005470DD" w:rsidP="005470DD">
      <w:r w:rsidRPr="007247B4">
        <w:t>Data provided in the table below showed the following:</w:t>
      </w:r>
    </w:p>
    <w:p w:rsidR="005470DD" w:rsidRPr="007247B4" w:rsidRDefault="005470DD" w:rsidP="005470DD">
      <w:pPr>
        <w:pStyle w:val="ListBullet"/>
      </w:pPr>
      <w:r w:rsidRPr="007247B4">
        <w:t xml:space="preserve">High rates of virologic success in both groups at </w:t>
      </w:r>
      <w:r>
        <w:t>W</w:t>
      </w:r>
      <w:r w:rsidRPr="007247B4">
        <w:t>eek 144 using the ITT analysis set (STB 77.6%, 274/353 subjects; ATV/r</w:t>
      </w:r>
      <w:r>
        <w:t xml:space="preserve"> </w:t>
      </w:r>
      <w:r w:rsidRPr="007247B4">
        <w:t>+</w:t>
      </w:r>
      <w:r>
        <w:t xml:space="preserve"> </w:t>
      </w:r>
      <w:r w:rsidRPr="007247B4">
        <w:t xml:space="preserve">TVD 74.6%, 265/355), the difference in the % of subjects with virologic success at </w:t>
      </w:r>
      <w:r>
        <w:t>W</w:t>
      </w:r>
      <w:r w:rsidRPr="007247B4">
        <w:t>eek 144 being 3.1% (95% CI: - 3.2% to 9.4%).</w:t>
      </w:r>
    </w:p>
    <w:p w:rsidR="005470DD" w:rsidRPr="007247B4" w:rsidRDefault="005470DD" w:rsidP="005470DD">
      <w:pPr>
        <w:pStyle w:val="ListBullet"/>
      </w:pPr>
      <w:r w:rsidRPr="007247B4">
        <w:t xml:space="preserve">Similar %s of subjects with virologic failure or no virologic data at </w:t>
      </w:r>
      <w:r>
        <w:t>W</w:t>
      </w:r>
      <w:r w:rsidRPr="007247B4">
        <w:t>eek 144 in the 2 groups: virologic failure: STB 7.9%/28; ATV/r</w:t>
      </w:r>
      <w:r>
        <w:t xml:space="preserve"> </w:t>
      </w:r>
      <w:r w:rsidRPr="007247B4">
        <w:t>+</w:t>
      </w:r>
      <w:r>
        <w:t xml:space="preserve"> </w:t>
      </w:r>
      <w:r w:rsidRPr="007247B4">
        <w:t>TVD 7.3%/26; no virologic data: STB 14.4%/51; ATV/r</w:t>
      </w:r>
      <w:r>
        <w:t xml:space="preserve"> </w:t>
      </w:r>
      <w:r w:rsidRPr="007247B4">
        <w:t>+</w:t>
      </w:r>
      <w:r>
        <w:t xml:space="preserve"> </w:t>
      </w:r>
      <w:r w:rsidRPr="007247B4">
        <w:t>TVD 18%/64.</w:t>
      </w:r>
    </w:p>
    <w:p w:rsidR="005470DD" w:rsidRPr="007247B4" w:rsidRDefault="005470DD" w:rsidP="005470DD">
      <w:pPr>
        <w:pStyle w:val="ListBullet"/>
      </w:pPr>
      <w:r w:rsidRPr="007247B4">
        <w:t>Reasons for virologic failure and lack of virologic data were ba</w:t>
      </w:r>
      <w:r>
        <w:t>lanced in the treatment groups.</w:t>
      </w:r>
    </w:p>
    <w:p w:rsidR="00E35C63" w:rsidRDefault="005470DD" w:rsidP="005470DD">
      <w:pPr>
        <w:pStyle w:val="Tabletitle"/>
        <w:keepLines/>
      </w:pPr>
      <w:r w:rsidRPr="007247B4">
        <w:t xml:space="preserve">Table 14: GS-US-236-0103: </w:t>
      </w:r>
      <w:r w:rsidR="006933F5">
        <w:t>V</w:t>
      </w:r>
      <w:r w:rsidR="00E35C63" w:rsidRPr="007247B4">
        <w:t>irologic outcom</w:t>
      </w:r>
      <w:r w:rsidRPr="007247B4">
        <w:t xml:space="preserve">e at Weeks 48, 96, and 144 </w:t>
      </w:r>
      <w:r w:rsidR="00E35C63" w:rsidRPr="007247B4">
        <w:t>using th</w:t>
      </w:r>
      <w:r w:rsidRPr="007247B4">
        <w:t xml:space="preserve">e Week 144 </w:t>
      </w:r>
      <w:r w:rsidR="00E35C63">
        <w:t>d</w:t>
      </w:r>
      <w:r w:rsidRPr="007247B4">
        <w:t xml:space="preserve">ataset (HIV-1 RNA </w:t>
      </w:r>
      <w:r w:rsidR="00E35C63">
        <w:t>c</w:t>
      </w:r>
      <w:r w:rsidRPr="007247B4">
        <w:t xml:space="preserve">ut-off at 50 copies/mL, </w:t>
      </w:r>
      <w:r w:rsidR="00E35C63" w:rsidRPr="007247B4">
        <w:t>snapshot analysis</w:t>
      </w:r>
      <w:r w:rsidRPr="007247B4">
        <w:t xml:space="preserve">, ITT </w:t>
      </w:r>
      <w:r w:rsidR="00E35C63" w:rsidRPr="007247B4">
        <w:t>analysis s</w:t>
      </w:r>
      <w:r w:rsidR="00E35C63">
        <w:t>et, Week </w:t>
      </w:r>
      <w:r w:rsidRPr="007247B4">
        <w:t xml:space="preserve">144 </w:t>
      </w:r>
      <w:r w:rsidR="00E35C63">
        <w:t>d</w:t>
      </w:r>
      <w:r w:rsidRPr="007247B4">
        <w:t>ataset)</w:t>
      </w:r>
    </w:p>
    <w:p w:rsidR="005470DD" w:rsidRDefault="005470DD" w:rsidP="00E35C63">
      <w:r w:rsidRPr="00E35C63">
        <w:rPr>
          <w:noProof/>
          <w:lang w:eastAsia="en-AU"/>
        </w:rPr>
        <w:drawing>
          <wp:inline distT="0" distB="0" distL="0" distR="0" wp14:anchorId="3C500E01" wp14:editId="66360857">
            <wp:extent cx="5731510" cy="2223188"/>
            <wp:effectExtent l="0" t="0" r="2540" b="5715"/>
            <wp:docPr id="24" name="Picture 24" descr="Table 14: GS-US-236-0103: Virologic Outcome at Weeks 48, 96, and 144 Using the Week 144 Dataset (HIV-1 RNA Cut-off at 50 copies/mL, Snapshot Analysis, ITT Analysis Set, Week 144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2223188"/>
                    </a:xfrm>
                    <a:prstGeom prst="rect">
                      <a:avLst/>
                    </a:prstGeom>
                    <a:noFill/>
                    <a:ln>
                      <a:noFill/>
                    </a:ln>
                  </pic:spPr>
                </pic:pic>
              </a:graphicData>
            </a:graphic>
          </wp:inline>
        </w:drawing>
      </w:r>
    </w:p>
    <w:p w:rsidR="005470DD" w:rsidRPr="00390789" w:rsidRDefault="005470DD" w:rsidP="005470DD">
      <w:r w:rsidRPr="00390789">
        <w:t>Data are provided showing that:</w:t>
      </w:r>
    </w:p>
    <w:p w:rsidR="005470DD" w:rsidRPr="00390789" w:rsidRDefault="005470DD" w:rsidP="005470DD">
      <w:pPr>
        <w:pStyle w:val="ListBullet"/>
      </w:pPr>
      <w:r w:rsidRPr="00390789">
        <w:t xml:space="preserve">In the </w:t>
      </w:r>
      <w:r>
        <w:t>W</w:t>
      </w:r>
      <w:r w:rsidRPr="00390789">
        <w:t xml:space="preserve">eek 144 PPS, the %s of subjects with virologic success </w:t>
      </w:r>
      <w:r w:rsidR="00E35C63" w:rsidRPr="00390789">
        <w:t>was</w:t>
      </w:r>
      <w:r w:rsidRPr="00390789">
        <w:t xml:space="preserve"> numerically higher than in the ITT set and similar </w:t>
      </w:r>
      <w:r w:rsidR="00E35C63">
        <w:t xml:space="preserve">in the 2 groups: STB 95.4%, 268 out of </w:t>
      </w:r>
      <w:r w:rsidRPr="00390789">
        <w:t>281 subjects; ATV/r</w:t>
      </w:r>
      <w:r>
        <w:t xml:space="preserve"> </w:t>
      </w:r>
      <w:r w:rsidRPr="00390789">
        <w:t>+</w:t>
      </w:r>
      <w:r w:rsidR="00E35C63">
        <w:t xml:space="preserve"> TVD 96.9%, 254 out of </w:t>
      </w:r>
      <w:r>
        <w:t>262.</w:t>
      </w:r>
    </w:p>
    <w:p w:rsidR="005470DD" w:rsidRPr="00390789" w:rsidRDefault="005470DD" w:rsidP="005470DD">
      <w:pPr>
        <w:pStyle w:val="ListBullet"/>
      </w:pPr>
      <w:r w:rsidRPr="00390789">
        <w:t xml:space="preserve">The </w:t>
      </w:r>
      <w:r w:rsidR="00744563">
        <w:t>secondary</w:t>
      </w:r>
      <w:r w:rsidRPr="00390789">
        <w:t xml:space="preserve"> endpoint sensitivity analysis including study drug discontinuations not related to virologi</w:t>
      </w:r>
      <w:r w:rsidR="00E35C63">
        <w:t xml:space="preserve">c response and with the last on </w:t>
      </w:r>
      <w:r w:rsidRPr="00390789">
        <w:t xml:space="preserve">treatment HIV-1 RNA &lt; 50 copies/mL as virologic successes, the %s of subjects with virologic success at </w:t>
      </w:r>
      <w:r>
        <w:t>W</w:t>
      </w:r>
      <w:r w:rsidRPr="00390789">
        <w:t xml:space="preserve">eek 144 were similar </w:t>
      </w:r>
      <w:r w:rsidR="00E35C63">
        <w:t xml:space="preserve">in the 2 groups: STB 85.6%, 302 out of </w:t>
      </w:r>
      <w:r w:rsidRPr="00390789">
        <w:t>353; ATV/r</w:t>
      </w:r>
      <w:r>
        <w:t xml:space="preserve"> </w:t>
      </w:r>
      <w:r w:rsidRPr="00390789">
        <w:t>+</w:t>
      </w:r>
      <w:r>
        <w:t xml:space="preserve"> </w:t>
      </w:r>
      <w:r w:rsidR="00E35C63">
        <w:t xml:space="preserve">TVD 83.7%, 297 out of </w:t>
      </w:r>
      <w:r w:rsidRPr="00390789">
        <w:t>355.</w:t>
      </w:r>
    </w:p>
    <w:p w:rsidR="005470DD" w:rsidRPr="00390789" w:rsidRDefault="005470DD" w:rsidP="005470DD">
      <w:r w:rsidRPr="00390789">
        <w:t xml:space="preserve">Data provided from subgroup analyses at </w:t>
      </w:r>
      <w:r>
        <w:t>W</w:t>
      </w:r>
      <w:r w:rsidRPr="00390789">
        <w:t>eek 144 showed high and generally comparable rates of virologic success with STB and ATV/r</w:t>
      </w:r>
      <w:r>
        <w:t xml:space="preserve"> </w:t>
      </w:r>
      <w:r w:rsidRPr="00390789">
        <w:t>+</w:t>
      </w:r>
      <w:r>
        <w:t xml:space="preserve"> </w:t>
      </w:r>
      <w:r w:rsidRPr="00390789">
        <w:t xml:space="preserve">TVD by age, sex, race, baseline HIV-1 RNA level, baseline CD4 cell count, or study drug adherence rate. The lower bound of the 95% CI was &lt; 0 for most subgroups suggesting no between group </w:t>
      </w:r>
      <w:proofErr w:type="gramStart"/>
      <w:r w:rsidRPr="00390789">
        <w:t>difference</w:t>
      </w:r>
      <w:proofErr w:type="gramEnd"/>
      <w:r w:rsidRPr="00390789">
        <w:t xml:space="preserve">. For female and subjects with an </w:t>
      </w:r>
      <w:r w:rsidRPr="00390789">
        <w:lastRenderedPageBreak/>
        <w:t>adherence rate &lt; 95% subgroups, the lower bound of the 95% CI was &gt; 0 and the treatment difference favoured ATV/r</w:t>
      </w:r>
      <w:r>
        <w:t xml:space="preserve"> </w:t>
      </w:r>
      <w:r w:rsidRPr="00390789">
        <w:t>+</w:t>
      </w:r>
      <w:r>
        <w:t xml:space="preserve"> </w:t>
      </w:r>
      <w:r w:rsidRPr="00390789">
        <w:t>TVD. Ad hoc analysis of both groups identified a greater number receiving STB who discontinued study drug due to other reasons and had the last available HIV-1 RNA &lt; 50 copies/mL.</w:t>
      </w:r>
    </w:p>
    <w:p w:rsidR="005470DD" w:rsidRPr="00390789" w:rsidRDefault="00F21E6C" w:rsidP="005470DD">
      <w:pPr>
        <w:pStyle w:val="Heading5"/>
        <w:rPr>
          <w:rFonts w:eastAsiaTheme="minorHAnsi"/>
        </w:rPr>
      </w:pPr>
      <w:r>
        <w:rPr>
          <w:rFonts w:eastAsiaTheme="minorHAnsi"/>
        </w:rPr>
        <w:t>T</w:t>
      </w:r>
      <w:r w:rsidR="001F38F1">
        <w:rPr>
          <w:rFonts w:eastAsiaTheme="minorHAnsi"/>
        </w:rPr>
        <w:t>ertiary</w:t>
      </w:r>
      <w:r w:rsidR="005470DD" w:rsidRPr="00390789">
        <w:rPr>
          <w:rFonts w:eastAsiaTheme="minorHAnsi"/>
        </w:rPr>
        <w:t xml:space="preserve"> </w:t>
      </w:r>
      <w:r w:rsidR="00E42627">
        <w:rPr>
          <w:rFonts w:eastAsiaTheme="minorHAnsi"/>
        </w:rPr>
        <w:t>e</w:t>
      </w:r>
      <w:r w:rsidR="00E42627" w:rsidRPr="00390789">
        <w:rPr>
          <w:rFonts w:eastAsiaTheme="minorHAnsi"/>
        </w:rPr>
        <w:t>ndpoint</w:t>
      </w:r>
      <w:r w:rsidR="005470DD" w:rsidRPr="00390789">
        <w:rPr>
          <w:rFonts w:eastAsiaTheme="minorHAnsi"/>
        </w:rPr>
        <w:t xml:space="preserve">: </w:t>
      </w:r>
      <w:r w:rsidR="00E35C63" w:rsidRPr="00390789">
        <w:rPr>
          <w:rFonts w:eastAsiaTheme="minorHAnsi"/>
        </w:rPr>
        <w:t xml:space="preserve">change from baseline </w:t>
      </w:r>
      <w:r w:rsidR="005470DD" w:rsidRPr="00390789">
        <w:rPr>
          <w:rFonts w:eastAsiaTheme="minorHAnsi"/>
        </w:rPr>
        <w:t xml:space="preserve">in CD4 </w:t>
      </w:r>
      <w:r w:rsidR="00E35C63" w:rsidRPr="00390789">
        <w:rPr>
          <w:rFonts w:eastAsiaTheme="minorHAnsi"/>
        </w:rPr>
        <w:t xml:space="preserve">cell count </w:t>
      </w:r>
      <w:r w:rsidR="005470DD" w:rsidRPr="00390789">
        <w:rPr>
          <w:rFonts w:eastAsiaTheme="minorHAnsi"/>
        </w:rPr>
        <w:t xml:space="preserve">at </w:t>
      </w:r>
      <w:r w:rsidR="0037549B" w:rsidRPr="00390789">
        <w:rPr>
          <w:rFonts w:eastAsiaTheme="minorHAnsi"/>
        </w:rPr>
        <w:t>w</w:t>
      </w:r>
      <w:r w:rsidR="005470DD" w:rsidRPr="00390789">
        <w:rPr>
          <w:rFonts w:eastAsiaTheme="minorHAnsi"/>
        </w:rPr>
        <w:t>eek 144</w:t>
      </w:r>
    </w:p>
    <w:p w:rsidR="005470DD" w:rsidRPr="00390789" w:rsidRDefault="005470DD" w:rsidP="005470DD">
      <w:r w:rsidRPr="00390789">
        <w:t>Data are provided showing the following:</w:t>
      </w:r>
    </w:p>
    <w:p w:rsidR="005470DD" w:rsidRPr="00390789" w:rsidRDefault="005470DD" w:rsidP="005470DD">
      <w:pPr>
        <w:pStyle w:val="ListBullet"/>
      </w:pPr>
      <w:r w:rsidRPr="00390789">
        <w:t>Mean (SD) baseline CD4 cell counts were 364 (180.6) cells/</w:t>
      </w:r>
      <w:r w:rsidR="008B6777">
        <w:t>µ</w:t>
      </w:r>
      <w:r w:rsidR="008B6777" w:rsidRPr="008B6C94">
        <w:t>L</w:t>
      </w:r>
      <w:r w:rsidR="00E35C63">
        <w:t xml:space="preserve"> with STB and 375 (158.9) </w:t>
      </w:r>
      <w:r w:rsidRPr="00390789">
        <w:t>cells/</w:t>
      </w:r>
      <w:r w:rsidR="008B6777">
        <w:t>µ</w:t>
      </w:r>
      <w:r w:rsidR="008B6777" w:rsidRPr="008B6C94">
        <w:t>L</w:t>
      </w:r>
      <w:r w:rsidRPr="00390789">
        <w:t xml:space="preserve"> with ATV/r</w:t>
      </w:r>
      <w:r>
        <w:t xml:space="preserve"> </w:t>
      </w:r>
      <w:r w:rsidRPr="00390789">
        <w:t>+</w:t>
      </w:r>
      <w:r>
        <w:t xml:space="preserve"> </w:t>
      </w:r>
      <w:r w:rsidRPr="00390789">
        <w:t>TVD.</w:t>
      </w:r>
    </w:p>
    <w:p w:rsidR="005470DD" w:rsidRPr="00390789" w:rsidRDefault="005470DD" w:rsidP="005470DD">
      <w:pPr>
        <w:pStyle w:val="ListBullet"/>
      </w:pPr>
      <w:r w:rsidRPr="00390789">
        <w:t xml:space="preserve">CD4 cell counts increased with initiation of study drug; mean increases were similar in both groups at </w:t>
      </w:r>
      <w:r w:rsidR="00E42627" w:rsidRPr="00390789">
        <w:t>all-time</w:t>
      </w:r>
      <w:r w:rsidRPr="00390789">
        <w:t xml:space="preserve"> points.</w:t>
      </w:r>
    </w:p>
    <w:p w:rsidR="005470DD" w:rsidRPr="00390789" w:rsidRDefault="005470DD" w:rsidP="005470DD">
      <w:pPr>
        <w:pStyle w:val="ListBullet"/>
      </w:pPr>
      <w:r w:rsidRPr="00390789">
        <w:t xml:space="preserve">The CD4 cell counts continued to increase with </w:t>
      </w:r>
      <w:r>
        <w:t>increased duration of exposure.</w:t>
      </w:r>
    </w:p>
    <w:p w:rsidR="005470DD" w:rsidRPr="00390789" w:rsidRDefault="005470DD" w:rsidP="005470DD">
      <w:pPr>
        <w:pStyle w:val="ListBullet"/>
      </w:pPr>
      <w:r w:rsidRPr="00390789">
        <w:t xml:space="preserve">The </w:t>
      </w:r>
      <w:r>
        <w:t>W</w:t>
      </w:r>
      <w:r w:rsidRPr="00390789">
        <w:t>eek 144 mean [SD] increases from baseline were 280 [159.8] cells/</w:t>
      </w:r>
      <w:r w:rsidR="008B6777">
        <w:t>µ</w:t>
      </w:r>
      <w:r w:rsidR="008B6777" w:rsidRPr="008B6C94">
        <w:t>L</w:t>
      </w:r>
      <w:r w:rsidRPr="00390789">
        <w:t xml:space="preserve"> with STB and 293 [211.5] cells/</w:t>
      </w:r>
      <w:r w:rsidR="008B6777">
        <w:t>µ</w:t>
      </w:r>
      <w:r w:rsidR="008B6777" w:rsidRPr="008B6C94">
        <w:t>L</w:t>
      </w:r>
      <w:r w:rsidRPr="00390789">
        <w:t xml:space="preserve"> with ATV/r</w:t>
      </w:r>
      <w:r>
        <w:t xml:space="preserve"> </w:t>
      </w:r>
      <w:r w:rsidRPr="00390789">
        <w:t>+</w:t>
      </w:r>
      <w:r>
        <w:t xml:space="preserve"> </w:t>
      </w:r>
      <w:r w:rsidRPr="00390789">
        <w:t xml:space="preserve">TVD; the LSM difference at </w:t>
      </w:r>
      <w:r>
        <w:t>W</w:t>
      </w:r>
      <w:r w:rsidRPr="00390789">
        <w:t>eek 144</w:t>
      </w:r>
      <w:r>
        <w:t xml:space="preserve"> was - 16 (95% CI: - 46 to 14).</w:t>
      </w:r>
    </w:p>
    <w:p w:rsidR="005470DD" w:rsidRPr="00390789" w:rsidRDefault="005470DD" w:rsidP="005470DD">
      <w:pPr>
        <w:pStyle w:val="ListBullet"/>
      </w:pPr>
      <w:r w:rsidRPr="00390789">
        <w:t>Similar trends were seen in the IIT set with the LOCF imputation method and in the PPS.</w:t>
      </w:r>
    </w:p>
    <w:p w:rsidR="005470DD" w:rsidRPr="00390789" w:rsidRDefault="005470DD" w:rsidP="005470DD">
      <w:pPr>
        <w:pStyle w:val="ListBullet"/>
      </w:pPr>
      <w:r w:rsidRPr="00390789">
        <w:t xml:space="preserve">The same trend for change in CD4 % at </w:t>
      </w:r>
      <w:r>
        <w:t>W</w:t>
      </w:r>
      <w:r w:rsidRPr="00390789">
        <w:t>eek 144.</w:t>
      </w:r>
    </w:p>
    <w:p w:rsidR="005470DD" w:rsidRPr="00F87F0B" w:rsidRDefault="005470DD" w:rsidP="005470DD">
      <w:r w:rsidRPr="00F87F0B">
        <w:t xml:space="preserve">The following figure shows the increase in CD4 cell count over time to </w:t>
      </w:r>
      <w:r>
        <w:t>W</w:t>
      </w:r>
      <w:r w:rsidRPr="00F87F0B">
        <w:t>eek 144.</w:t>
      </w:r>
    </w:p>
    <w:p w:rsidR="00E35C63" w:rsidRDefault="005470DD" w:rsidP="005470DD">
      <w:pPr>
        <w:pStyle w:val="FigureTitle"/>
        <w:keepNext/>
        <w:keepLines/>
      </w:pPr>
      <w:r w:rsidRPr="00F87F0B">
        <w:t xml:space="preserve">Figure 9: GS-US-236-0103: </w:t>
      </w:r>
      <w:r w:rsidR="006933F5">
        <w:t>M</w:t>
      </w:r>
      <w:r w:rsidRPr="00F87F0B">
        <w:t xml:space="preserve">ean and 95% CIs of </w:t>
      </w:r>
      <w:r w:rsidR="00E35C63" w:rsidRPr="00F87F0B">
        <w:t xml:space="preserve">change from baseline </w:t>
      </w:r>
      <w:r w:rsidRPr="00F87F0B">
        <w:t xml:space="preserve">in CD4 </w:t>
      </w:r>
      <w:r w:rsidR="00E35C63" w:rsidRPr="00F87F0B">
        <w:t xml:space="preserve">cell count </w:t>
      </w:r>
      <w:r w:rsidRPr="00F87F0B">
        <w:t>(cells/</w:t>
      </w:r>
      <w:r w:rsidR="008B6777">
        <w:t>µ</w:t>
      </w:r>
      <w:r w:rsidR="008B6777" w:rsidRPr="008B6C94">
        <w:t>L</w:t>
      </w:r>
      <w:r w:rsidRPr="00F87F0B">
        <w:t xml:space="preserve">): ITT </w:t>
      </w:r>
      <w:r w:rsidR="00E35C63" w:rsidRPr="00F87F0B">
        <w:t>analysis se</w:t>
      </w:r>
      <w:r w:rsidRPr="00F87F0B">
        <w:t xml:space="preserve">t, Week 144 </w:t>
      </w:r>
      <w:r w:rsidR="00E35C63">
        <w:t>d</w:t>
      </w:r>
      <w:r w:rsidRPr="00F87F0B">
        <w:t>ataset</w:t>
      </w:r>
    </w:p>
    <w:p w:rsidR="005470DD" w:rsidRDefault="005470DD" w:rsidP="00E35C63">
      <w:r w:rsidRPr="00E35C63">
        <w:rPr>
          <w:noProof/>
          <w:lang w:eastAsia="en-AU"/>
        </w:rPr>
        <w:drawing>
          <wp:inline distT="0" distB="0" distL="0" distR="0" wp14:anchorId="41EAD27D" wp14:editId="6899D9ED">
            <wp:extent cx="4901234" cy="2662733"/>
            <wp:effectExtent l="0" t="0" r="0" b="4445"/>
            <wp:docPr id="25" name="Picture 25" descr="Figure 9: GS-US-236-0103: mean and 95% CIs of change from baseline in CD4 cell count (cells/µL): ITT analysis set, Week 144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04067" cy="2664272"/>
                    </a:xfrm>
                    <a:prstGeom prst="rect">
                      <a:avLst/>
                    </a:prstGeom>
                    <a:noFill/>
                    <a:ln>
                      <a:noFill/>
                    </a:ln>
                  </pic:spPr>
                </pic:pic>
              </a:graphicData>
            </a:graphic>
          </wp:inline>
        </w:drawing>
      </w:r>
    </w:p>
    <w:p w:rsidR="005470DD" w:rsidRPr="00F87F0B" w:rsidRDefault="005470DD" w:rsidP="005470DD">
      <w:r w:rsidRPr="00F87F0B">
        <w:t xml:space="preserve">Data provided from subgroup analyses showed high and generally comparable rates of virologic success by age, sex, race, baseline HIV-1 RNA level, baseline CD4 cell count, and study drug adherence rate. The lower bound of the 95% CI was &lt; 0 for most subgroups suggesting no between group </w:t>
      </w:r>
      <w:proofErr w:type="gramStart"/>
      <w:r w:rsidRPr="00F87F0B">
        <w:t>difference</w:t>
      </w:r>
      <w:proofErr w:type="gramEnd"/>
      <w:r w:rsidRPr="00F87F0B">
        <w:t>. For females and those with adherence rate &lt; 95%, the lower bound of the 95% CI was &gt; 0 with the treatment difference favouring the ATV/r</w:t>
      </w:r>
      <w:r>
        <w:t xml:space="preserve"> </w:t>
      </w:r>
      <w:r w:rsidRPr="00F87F0B">
        <w:t>+</w:t>
      </w:r>
      <w:r>
        <w:t xml:space="preserve"> </w:t>
      </w:r>
      <w:r w:rsidRPr="00F87F0B">
        <w:t>TVD over STB. In the female subgroup, the difference was 9.2%. In the subgroup with adherence &lt; 95% (n = 209), the difference in response rate was 7.1%.</w:t>
      </w:r>
    </w:p>
    <w:p w:rsidR="005470DD" w:rsidRPr="00F87F0B" w:rsidRDefault="005470DD" w:rsidP="005470DD">
      <w:pPr>
        <w:pStyle w:val="Heading5"/>
        <w:rPr>
          <w:rFonts w:eastAsiaTheme="minorHAnsi"/>
        </w:rPr>
      </w:pPr>
      <w:r w:rsidRPr="00F87F0B">
        <w:rPr>
          <w:rFonts w:eastAsiaTheme="minorHAnsi"/>
        </w:rPr>
        <w:t xml:space="preserve">Virologic </w:t>
      </w:r>
      <w:r w:rsidR="00E35C63" w:rsidRPr="00F87F0B">
        <w:rPr>
          <w:rFonts w:eastAsiaTheme="minorHAnsi"/>
        </w:rPr>
        <w:t>res</w:t>
      </w:r>
      <w:r w:rsidR="00E35C63">
        <w:rPr>
          <w:rFonts w:eastAsiaTheme="minorHAnsi"/>
        </w:rPr>
        <w:t>istance data</w:t>
      </w:r>
    </w:p>
    <w:p w:rsidR="005470DD" w:rsidRPr="00F87F0B" w:rsidRDefault="005470DD" w:rsidP="005470DD">
      <w:r w:rsidRPr="00F87F0B">
        <w:t>41 subjects met the virologic failure criteria and wer</w:t>
      </w:r>
      <w:r w:rsidR="00E35C63">
        <w:t xml:space="preserve">e included in the RAP (5.8%, 41 out of </w:t>
      </w:r>
      <w:r w:rsidRPr="00F87F0B">
        <w:t>708 subjects). Subject distribution in the RAP</w:t>
      </w:r>
      <w:r w:rsidR="00E35C63">
        <w:t xml:space="preserve"> was similar with STB (6.2%, 22 out of </w:t>
      </w:r>
      <w:r w:rsidRPr="00F87F0B">
        <w:t>353) and ATV/r</w:t>
      </w:r>
      <w:r>
        <w:t xml:space="preserve"> </w:t>
      </w:r>
      <w:r w:rsidRPr="00F87F0B">
        <w:lastRenderedPageBreak/>
        <w:t>+</w:t>
      </w:r>
      <w:r>
        <w:t xml:space="preserve"> </w:t>
      </w:r>
      <w:r w:rsidR="00E35C63">
        <w:t xml:space="preserve">TVD (5.4%, 19 out of </w:t>
      </w:r>
      <w:r w:rsidRPr="00F87F0B">
        <w:t>355). 40 (5.6%) were analysed for resistance development due to virologic failure.</w:t>
      </w:r>
    </w:p>
    <w:p w:rsidR="005470DD" w:rsidRPr="00F87F0B" w:rsidRDefault="005470DD" w:rsidP="005470DD">
      <w:r w:rsidRPr="00F87F0B">
        <w:t>With STB:</w:t>
      </w:r>
    </w:p>
    <w:p w:rsidR="005470DD" w:rsidRPr="00F87F0B" w:rsidRDefault="00E35C63" w:rsidP="005470DD">
      <w:pPr>
        <w:pStyle w:val="ListBullet"/>
      </w:pPr>
      <w:r>
        <w:t xml:space="preserve">21 subjects (21 out of </w:t>
      </w:r>
      <w:r w:rsidR="005470DD" w:rsidRPr="00F87F0B">
        <w:t>353, 5.9%) were analysed.</w:t>
      </w:r>
    </w:p>
    <w:p w:rsidR="005470DD" w:rsidRPr="00F87F0B" w:rsidRDefault="005470DD" w:rsidP="005470DD">
      <w:pPr>
        <w:pStyle w:val="ListBullet"/>
      </w:pPr>
      <w:r w:rsidRPr="00F87F0B">
        <w:t>19 had post baseline genotypic and 18 had post baseline phenotypic data available for PR and RT.</w:t>
      </w:r>
    </w:p>
    <w:p w:rsidR="005470DD" w:rsidRPr="00F87F0B" w:rsidRDefault="005470DD" w:rsidP="005470DD">
      <w:pPr>
        <w:pStyle w:val="ListBullet"/>
      </w:pPr>
      <w:r w:rsidRPr="00F87F0B">
        <w:t>19 had post baseline genotypic and 15 had post baseline phenotypic data available for INSTI.</w:t>
      </w:r>
    </w:p>
    <w:p w:rsidR="005470DD" w:rsidRPr="00F87F0B" w:rsidRDefault="005470DD" w:rsidP="005470DD">
      <w:pPr>
        <w:pStyle w:val="ListBullet"/>
      </w:pPr>
      <w:r w:rsidRPr="00F87F0B">
        <w:t xml:space="preserve">8 subjects (ITT: 2.3%; RAP: 38.1%) developed emergent resistance, 5 before </w:t>
      </w:r>
      <w:r>
        <w:t>W</w:t>
      </w:r>
      <w:r w:rsidRPr="00F87F0B">
        <w:t xml:space="preserve">eek 48, 1 between </w:t>
      </w:r>
      <w:r>
        <w:t>W</w:t>
      </w:r>
      <w:r w:rsidRPr="00F87F0B">
        <w:t xml:space="preserve">eeks 48 and 96, and 2 between </w:t>
      </w:r>
      <w:r>
        <w:t>W</w:t>
      </w:r>
      <w:r w:rsidRPr="00F87F0B">
        <w:t>eeks 96 and 144.</w:t>
      </w:r>
    </w:p>
    <w:p w:rsidR="005470DD" w:rsidRPr="00F87F0B" w:rsidRDefault="005470DD" w:rsidP="005470DD">
      <w:pPr>
        <w:pStyle w:val="ListBullet"/>
      </w:pPr>
      <w:r w:rsidRPr="00F87F0B">
        <w:t>Six subjects had emergent INSTI resistance mutations including E92Q (1), Q148R (2), N155H (1), T97A (n), or a complex mixture of T66I, E92Q and N155H (1).</w:t>
      </w:r>
    </w:p>
    <w:p w:rsidR="005470DD" w:rsidRPr="00F87F0B" w:rsidRDefault="005470DD" w:rsidP="005470DD">
      <w:pPr>
        <w:pStyle w:val="ListBullet"/>
      </w:pPr>
      <w:r w:rsidRPr="00F87F0B">
        <w:t>In phenotypic analyses, 5 subjects had HIV-1 isolates with reduced susceptibility to EVG, 7 had reduced susceptibility to FTC and 1 had reduced susceptibility to TFV.</w:t>
      </w:r>
    </w:p>
    <w:p w:rsidR="005470DD" w:rsidRPr="00F87F0B" w:rsidRDefault="005470DD" w:rsidP="005470DD">
      <w:r w:rsidRPr="00F87F0B">
        <w:t>With ATV/r</w:t>
      </w:r>
      <w:r>
        <w:t xml:space="preserve"> </w:t>
      </w:r>
      <w:r w:rsidRPr="00F87F0B">
        <w:t>+</w:t>
      </w:r>
      <w:r>
        <w:t xml:space="preserve"> </w:t>
      </w:r>
      <w:r w:rsidRPr="00F87F0B">
        <w:t>TVD:</w:t>
      </w:r>
    </w:p>
    <w:p w:rsidR="005470DD" w:rsidRPr="00F87F0B" w:rsidRDefault="00E35C63" w:rsidP="005470DD">
      <w:pPr>
        <w:pStyle w:val="ListBullet"/>
      </w:pPr>
      <w:r>
        <w:t xml:space="preserve">19 subjects were analysed (19 out of </w:t>
      </w:r>
      <w:r w:rsidR="005470DD" w:rsidRPr="00F87F0B">
        <w:t>355, 5.4%)</w:t>
      </w:r>
      <w:r w:rsidR="005470DD">
        <w:t>.</w:t>
      </w:r>
    </w:p>
    <w:p w:rsidR="005470DD" w:rsidRPr="00F87F0B" w:rsidRDefault="005470DD" w:rsidP="005470DD">
      <w:pPr>
        <w:pStyle w:val="ListBullet"/>
      </w:pPr>
      <w:r w:rsidRPr="00F87F0B">
        <w:t>All had available data for at least 1 gene; 18 had post baseline genotypic and 17 had post baseline phenotypic data available for PR and RT, and 17 had post baseline genotypic and 18 had post baseline phenotypic data available for IN.</w:t>
      </w:r>
    </w:p>
    <w:p w:rsidR="005470DD" w:rsidRPr="00F87F0B" w:rsidRDefault="005470DD" w:rsidP="005470DD">
      <w:pPr>
        <w:pStyle w:val="ListBullet"/>
      </w:pPr>
      <w:r w:rsidRPr="00F87F0B">
        <w:t xml:space="preserve">2 (ITT: 0.6%: RAP: 10.5%) had emergent resistance which developed between </w:t>
      </w:r>
      <w:r>
        <w:t>Weeks 96 and 144.</w:t>
      </w:r>
    </w:p>
    <w:p w:rsidR="005470DD" w:rsidRPr="00F87F0B" w:rsidRDefault="005470DD" w:rsidP="005470DD">
      <w:pPr>
        <w:pStyle w:val="ListBullet"/>
      </w:pPr>
      <w:r w:rsidRPr="00F87F0B">
        <w:t>These 2 subjects developed M184V/I in RT and phenotypic resistance to FTC.</w:t>
      </w:r>
    </w:p>
    <w:p w:rsidR="005470DD" w:rsidRPr="00F87F0B" w:rsidRDefault="005470DD" w:rsidP="005470DD">
      <w:r w:rsidRPr="00F87F0B">
        <w:t>The sponsor concluded that:</w:t>
      </w:r>
    </w:p>
    <w:p w:rsidR="005470DD" w:rsidRPr="00F87F0B" w:rsidRDefault="005470DD" w:rsidP="005470DD">
      <w:pPr>
        <w:pStyle w:val="ListBullet"/>
      </w:pPr>
      <w:r w:rsidRPr="00F87F0B">
        <w:t>STB demonstrated durable antiviral efficacy through 144 weeks of treatment in HIV-1 infected ARV treatment</w:t>
      </w:r>
      <w:r>
        <w:t xml:space="preserve"> </w:t>
      </w:r>
      <w:r w:rsidRPr="00F87F0B">
        <w:t>naïve subjects.</w:t>
      </w:r>
    </w:p>
    <w:p w:rsidR="005470DD" w:rsidRPr="00F87F0B" w:rsidRDefault="005470DD" w:rsidP="005470DD">
      <w:pPr>
        <w:pStyle w:val="ListBullet"/>
      </w:pPr>
      <w:r w:rsidRPr="00F87F0B">
        <w:t>There were high rates of virologic success with STB and ATV/r</w:t>
      </w:r>
      <w:r>
        <w:t xml:space="preserve"> </w:t>
      </w:r>
      <w:r w:rsidRPr="00F87F0B">
        <w:t>+</w:t>
      </w:r>
      <w:r>
        <w:t xml:space="preserve"> </w:t>
      </w:r>
      <w:r w:rsidRPr="00F87F0B">
        <w:t xml:space="preserve">TVD at </w:t>
      </w:r>
      <w:r>
        <w:t>W</w:t>
      </w:r>
      <w:r w:rsidRPr="00F87F0B">
        <w:t>eek 144.</w:t>
      </w:r>
    </w:p>
    <w:p w:rsidR="005470DD" w:rsidRPr="00F87F0B" w:rsidRDefault="005470DD" w:rsidP="005470DD">
      <w:pPr>
        <w:pStyle w:val="ListBullet"/>
      </w:pPr>
      <w:r w:rsidRPr="00F87F0B">
        <w:t>Immunologic benefit continued in both groups as shown by increases from baseline in CD4 cell counts.</w:t>
      </w:r>
    </w:p>
    <w:p w:rsidR="005470DD" w:rsidRPr="00F87F0B" w:rsidRDefault="005470DD" w:rsidP="005470DD">
      <w:pPr>
        <w:pStyle w:val="ListBullet"/>
      </w:pPr>
      <w:r w:rsidRPr="00F87F0B">
        <w:t>Resistance development to ≥ 1 component(s) of STB or ATV/r</w:t>
      </w:r>
      <w:r>
        <w:t xml:space="preserve"> </w:t>
      </w:r>
      <w:r w:rsidRPr="00F87F0B">
        <w:t>+</w:t>
      </w:r>
      <w:r>
        <w:t xml:space="preserve"> </w:t>
      </w:r>
      <w:r w:rsidRPr="00F87F0B">
        <w:t>FTC/TDF was infrequent.</w:t>
      </w:r>
    </w:p>
    <w:p w:rsidR="005470DD" w:rsidRPr="00E35C63" w:rsidRDefault="00E35C63" w:rsidP="00E35C63">
      <w:pPr>
        <w:pStyle w:val="Comment"/>
      </w:pPr>
      <w:r w:rsidRPr="00E35C63">
        <w:rPr>
          <w:b/>
        </w:rPr>
        <w:t>C</w:t>
      </w:r>
      <w:r w:rsidR="005470DD" w:rsidRPr="00E35C63">
        <w:rPr>
          <w:b/>
        </w:rPr>
        <w:t>omment</w:t>
      </w:r>
      <w:r w:rsidRPr="00E35C63">
        <w:rPr>
          <w:b/>
        </w:rPr>
        <w:t>:</w:t>
      </w:r>
      <w:r>
        <w:t xml:space="preserve"> </w:t>
      </w:r>
      <w:r w:rsidR="005470DD" w:rsidRPr="00E35C63">
        <w:t>The sponsor’s conclusions are accepted.</w:t>
      </w:r>
    </w:p>
    <w:p w:rsidR="00F87F0B" w:rsidRPr="00F87F0B" w:rsidRDefault="00623987" w:rsidP="00F87F0B">
      <w:pPr>
        <w:pStyle w:val="Heading3"/>
        <w:rPr>
          <w:rFonts w:eastAsiaTheme="minorHAnsi"/>
        </w:rPr>
      </w:pPr>
      <w:bookmarkStart w:id="25" w:name="_Toc481586175"/>
      <w:r>
        <w:rPr>
          <w:rFonts w:eastAsiaTheme="minorHAnsi"/>
        </w:rPr>
        <w:t>GS-US-236-0115</w:t>
      </w:r>
      <w:bookmarkEnd w:id="25"/>
    </w:p>
    <w:p w:rsidR="00F87F0B" w:rsidRPr="00F87F0B" w:rsidRDefault="00F87F0B" w:rsidP="00F87F0B">
      <w:pPr>
        <w:pStyle w:val="Heading4"/>
      </w:pPr>
      <w:r w:rsidRPr="00F87F0B">
        <w:t>Study design, objectives, locations and dates</w:t>
      </w:r>
    </w:p>
    <w:p w:rsidR="00F87F0B" w:rsidRPr="00F87F0B" w:rsidRDefault="00F87F0B" w:rsidP="00F87F0B">
      <w:r w:rsidRPr="00F87F0B">
        <w:t>This was a multi-centre Phase III</w:t>
      </w:r>
      <w:r w:rsidR="00391DD3">
        <w:t>B</w:t>
      </w:r>
      <w:r w:rsidRPr="00F87F0B">
        <w:t xml:space="preserve"> randomised, open label study to evaluate the efficacy, safety, and tolerability of switching from regimens consisting of a ritonavir boosted PIn + RTV plus FTC/TDF (TVD) to the STB STR in virologically suppressed, HIV-1 infected patients. It was conducted at 86 sites in the US, Spain, Germany, France, Italy, UK, Belgium, Switzerland, Austria, Canada, Puerto Rico and Portugal. It commenced in November 2011 with the last subject observation for this report in November 2013.</w:t>
      </w:r>
    </w:p>
    <w:p w:rsidR="00F87F0B" w:rsidRPr="00F87F0B" w:rsidRDefault="00623987" w:rsidP="006933F5">
      <w:pPr>
        <w:keepNext/>
      </w:pPr>
      <w:r>
        <w:lastRenderedPageBreak/>
        <w:t>The objectives were:</w:t>
      </w:r>
    </w:p>
    <w:p w:rsidR="00F87F0B" w:rsidRPr="00F87F0B" w:rsidRDefault="00744563" w:rsidP="00F87F0B">
      <w:pPr>
        <w:pStyle w:val="ListBullet"/>
      </w:pPr>
      <w:r>
        <w:t>Primary</w:t>
      </w:r>
      <w:r w:rsidR="00F87F0B" w:rsidRPr="00F87F0B">
        <w:t>: To evaluate the non</w:t>
      </w:r>
      <w:r w:rsidR="00F87F0B">
        <w:t>-</w:t>
      </w:r>
      <w:r w:rsidR="00F87F0B" w:rsidRPr="00F87F0B">
        <w:t xml:space="preserve">inferiority of switching to STB relative to staying on a baseline regimen (SBR) comprising PIn + RTV + FTC/TDF in maintaining HIV-1 RNA &lt; 50 copies/mL at </w:t>
      </w:r>
      <w:r w:rsidR="00F87F0B">
        <w:t>W</w:t>
      </w:r>
      <w:r w:rsidR="00F87F0B" w:rsidRPr="00F87F0B">
        <w:t>eek 48 (snapshot algorithm) in virologically suppr</w:t>
      </w:r>
      <w:r w:rsidR="00623987">
        <w:t>essed, HIV-1 infected subjects.</w:t>
      </w:r>
    </w:p>
    <w:p w:rsidR="00F87F0B" w:rsidRPr="00F87F0B" w:rsidRDefault="00744563" w:rsidP="00F87F0B">
      <w:pPr>
        <w:pStyle w:val="ListBullet"/>
      </w:pPr>
      <w:r>
        <w:t>Secondary</w:t>
      </w:r>
      <w:r w:rsidR="00F87F0B" w:rsidRPr="00F87F0B">
        <w:t xml:space="preserve">: To evaluate the efficacy, safety and tolerability of the 2 regimens through </w:t>
      </w:r>
      <w:r w:rsidR="00F87F0B">
        <w:t>W</w:t>
      </w:r>
      <w:r w:rsidR="00F87F0B" w:rsidRPr="00F87F0B">
        <w:t>eek 96.</w:t>
      </w:r>
    </w:p>
    <w:p w:rsidR="00F87F0B" w:rsidRPr="00F87F0B" w:rsidRDefault="00F87F0B" w:rsidP="00F87F0B">
      <w:r w:rsidRPr="00F87F0B">
        <w:t>Subjects were randomised in a 2:1 ratio to 1 of the following 2 treatment groups:</w:t>
      </w:r>
    </w:p>
    <w:p w:rsidR="00F87F0B" w:rsidRPr="00F87F0B" w:rsidRDefault="00F87F0B" w:rsidP="00F87F0B">
      <w:pPr>
        <w:pStyle w:val="ListBullet"/>
      </w:pPr>
      <w:r w:rsidRPr="00F87F0B">
        <w:t>Treatment Group 1: Switch to STB</w:t>
      </w:r>
      <w:r w:rsidR="0037549B">
        <w:t>.</w:t>
      </w:r>
    </w:p>
    <w:p w:rsidR="00F87F0B" w:rsidRPr="00F87F0B" w:rsidRDefault="00623987" w:rsidP="00F87F0B">
      <w:pPr>
        <w:pStyle w:val="ListBullet"/>
      </w:pPr>
      <w:r>
        <w:t>Treatment Group 2: Stay on SBR</w:t>
      </w:r>
      <w:r w:rsidR="0037549B">
        <w:t>.</w:t>
      </w:r>
    </w:p>
    <w:p w:rsidR="00F87F0B" w:rsidRPr="00F87F0B" w:rsidRDefault="00F87F0B" w:rsidP="00F87F0B">
      <w:r w:rsidRPr="00F87F0B">
        <w:t xml:space="preserve">Treatment was planned for 96 weeks with study visits occurring at </w:t>
      </w:r>
      <w:r>
        <w:t>W</w:t>
      </w:r>
      <w:r w:rsidRPr="00F87F0B">
        <w:t xml:space="preserve">eeks 4, 8, 12, 24, 36, and 48, and then every 12 weeks up to </w:t>
      </w:r>
      <w:r>
        <w:t>W</w:t>
      </w:r>
      <w:r w:rsidRPr="00F87F0B">
        <w:t xml:space="preserve">eek 96. After </w:t>
      </w:r>
      <w:r>
        <w:t>W</w:t>
      </w:r>
      <w:r w:rsidRPr="00F87F0B">
        <w:t>eek 96, subjects on STB in countries where is not commercially available will be given the option to receive STB until it becomes commercially available or unt</w:t>
      </w:r>
      <w:r w:rsidR="00623987">
        <w:t>il Gilead determines otherwise.</w:t>
      </w:r>
    </w:p>
    <w:p w:rsidR="00F87F0B" w:rsidRPr="00F87F0B" w:rsidRDefault="00F87F0B" w:rsidP="00F87F0B">
      <w:r w:rsidRPr="00F87F0B">
        <w:t xml:space="preserve">This section of the report describes the efficacy results with a data cut-off when all subjects had completed 48 weeks of study treatment or had discontinued before the </w:t>
      </w:r>
      <w:r>
        <w:t>W</w:t>
      </w:r>
      <w:r w:rsidRPr="00F87F0B">
        <w:t>eek 48 visit.</w:t>
      </w:r>
    </w:p>
    <w:p w:rsidR="00F87F0B" w:rsidRPr="00F87F0B" w:rsidRDefault="00623987" w:rsidP="00F87F0B">
      <w:pPr>
        <w:pStyle w:val="Heading4"/>
      </w:pPr>
      <w:r>
        <w:t>Main inclusion criteria</w:t>
      </w:r>
    </w:p>
    <w:p w:rsidR="007355B5" w:rsidRPr="007355B5" w:rsidRDefault="00F87F0B" w:rsidP="007355B5">
      <w:r w:rsidRPr="007355B5">
        <w:t>Subjects were HIV-1 infected adults receiving an ARV regimen comprising a PIn + RTV + FTC/TD</w:t>
      </w:r>
      <w:r w:rsidR="007355B5" w:rsidRPr="007355B5">
        <w:t xml:space="preserve"> for ≥ 6 consecutive months, with documented undetectable plasma HIV-1 RNA levels before the screening visit, and who had never experienced 2 consecutive HIV-1 RNA values above detectable levels after first achieving virologic suppression on the first or second regimen with no prior use of any approved or experimental INSTI, no known resistance to TDF or FTC, and an eGFR</w:t>
      </w:r>
      <w:r w:rsidR="007355B5" w:rsidRPr="007355B5">
        <w:rPr>
          <w:vertAlign w:val="subscript"/>
        </w:rPr>
        <w:t>CG</w:t>
      </w:r>
      <w:r w:rsidR="007355B5" w:rsidRPr="007355B5">
        <w:t xml:space="preserve"> ≥ 70 mL/min at screening. Documented historical genotype prior to starting initial ARV therapy showing no known resistance to TDF or FTC, including, but not limited to the presence of RT resistance mutations K65R, M184V/I, or 3 or more thymidine analogue</w:t>
      </w:r>
      <w:r w:rsidR="007355B5">
        <w:t xml:space="preserve"> </w:t>
      </w:r>
      <w:r w:rsidR="007355B5" w:rsidRPr="007355B5">
        <w:t>associated mutations (TAMs: M41L, D67N, K70R, L210W, T215Y/F, K219Q/E/N/R) that included M41L or L210W was also required.</w:t>
      </w:r>
    </w:p>
    <w:p w:rsidR="007355B5" w:rsidRPr="007355B5" w:rsidRDefault="007355B5" w:rsidP="007355B5">
      <w:pPr>
        <w:pStyle w:val="Heading4"/>
      </w:pPr>
      <w:r w:rsidRPr="007355B5">
        <w:t>Study treatments</w:t>
      </w:r>
    </w:p>
    <w:p w:rsidR="007355B5" w:rsidRPr="007355B5" w:rsidRDefault="007355B5" w:rsidP="007355B5">
      <w:pPr>
        <w:pStyle w:val="ListBullet"/>
      </w:pPr>
      <w:r w:rsidRPr="007355B5">
        <w:t>Treatment Group 1: STB was administered orally 1 tablet daily with food at</w:t>
      </w:r>
      <w:r w:rsidR="00623987">
        <w:t xml:space="preserve"> around the same time each day.</w:t>
      </w:r>
    </w:p>
    <w:p w:rsidR="007355B5" w:rsidRPr="007355B5" w:rsidRDefault="007355B5" w:rsidP="007355B5">
      <w:pPr>
        <w:pStyle w:val="ListBullet"/>
      </w:pPr>
      <w:r w:rsidRPr="007355B5">
        <w:t>Treatment Group 2: FTC 200 mg/TDF 300 mg (TVD) plus PIn + RTV administered orally in the same manner as before study entry.</w:t>
      </w:r>
    </w:p>
    <w:p w:rsidR="007355B5" w:rsidRPr="007355B5" w:rsidRDefault="007355B5" w:rsidP="007355B5">
      <w:r w:rsidRPr="007355B5">
        <w:t>Allowed and prohibited prior and concomitant medication was specified. Procedures for measu</w:t>
      </w:r>
      <w:r w:rsidR="00623987">
        <w:t>ring compliance were described.</w:t>
      </w:r>
    </w:p>
    <w:p w:rsidR="007355B5" w:rsidRPr="007355B5" w:rsidRDefault="007355B5" w:rsidP="007355B5">
      <w:pPr>
        <w:pStyle w:val="Heading4"/>
      </w:pPr>
      <w:r w:rsidRPr="007355B5">
        <w:t>Efficacy outcome variables</w:t>
      </w:r>
    </w:p>
    <w:p w:rsidR="007355B5" w:rsidRPr="007355B5" w:rsidRDefault="007355B5" w:rsidP="007355B5">
      <w:r w:rsidRPr="007355B5">
        <w:t xml:space="preserve">The </w:t>
      </w:r>
      <w:r w:rsidR="00744563">
        <w:t>primary</w:t>
      </w:r>
      <w:r w:rsidRPr="007355B5">
        <w:t xml:space="preserve"> efficacy endpoint was the % of subjects with HIV-1 RNA &lt; 50 copies/mL at </w:t>
      </w:r>
      <w:r>
        <w:t>W</w:t>
      </w:r>
      <w:r w:rsidRPr="007355B5">
        <w:t>eek 48 using the US FDA</w:t>
      </w:r>
      <w:r>
        <w:t xml:space="preserve"> </w:t>
      </w:r>
      <w:r w:rsidRPr="007355B5">
        <w:t xml:space="preserve">defined snapshot analysis. The </w:t>
      </w:r>
      <w:r w:rsidR="00744563">
        <w:t>secondary</w:t>
      </w:r>
      <w:r w:rsidRPr="007355B5">
        <w:t xml:space="preserve"> and </w:t>
      </w:r>
      <w:r w:rsidR="001F38F1">
        <w:t>tertiary</w:t>
      </w:r>
      <w:r w:rsidRPr="007355B5">
        <w:t xml:space="preserve"> endpoints for the </w:t>
      </w:r>
      <w:r>
        <w:t>W</w:t>
      </w:r>
      <w:r w:rsidR="00623987">
        <w:t>eek 48 analysis were:</w:t>
      </w:r>
    </w:p>
    <w:p w:rsidR="007355B5" w:rsidRPr="007355B5" w:rsidRDefault="007355B5" w:rsidP="007355B5">
      <w:pPr>
        <w:pStyle w:val="ListBullet"/>
      </w:pPr>
      <w:r w:rsidRPr="007355B5">
        <w:t xml:space="preserve">Changes in CD4 cell count from baseline to </w:t>
      </w:r>
      <w:r>
        <w:t>W</w:t>
      </w:r>
      <w:r w:rsidR="00623987">
        <w:t>eek 48</w:t>
      </w:r>
      <w:r w:rsidR="0037549B">
        <w:t>.</w:t>
      </w:r>
    </w:p>
    <w:p w:rsidR="007355B5" w:rsidRPr="007355B5" w:rsidRDefault="00744563" w:rsidP="007355B5">
      <w:pPr>
        <w:pStyle w:val="ListBullet"/>
      </w:pPr>
      <w:r>
        <w:t>Percent</w:t>
      </w:r>
      <w:r w:rsidR="007355B5" w:rsidRPr="007355B5">
        <w:t xml:space="preserve"> of subjects with HIV-1 RNA &lt; 50 copies/mL by visit to </w:t>
      </w:r>
      <w:r w:rsidR="007355B5">
        <w:t>W</w:t>
      </w:r>
      <w:r w:rsidR="00623987">
        <w:t>eek 48</w:t>
      </w:r>
      <w:r w:rsidR="0037549B">
        <w:t>.</w:t>
      </w:r>
    </w:p>
    <w:p w:rsidR="007355B5" w:rsidRPr="007355B5" w:rsidRDefault="00744563" w:rsidP="007355B5">
      <w:pPr>
        <w:pStyle w:val="ListBullet"/>
      </w:pPr>
      <w:r>
        <w:t>Percent</w:t>
      </w:r>
      <w:r w:rsidR="007355B5" w:rsidRPr="007355B5">
        <w:t xml:space="preserve"> of subjects who have last, on study drug, HIV-1 RNA &lt; 50 copies/mL to </w:t>
      </w:r>
      <w:r w:rsidR="007355B5">
        <w:t>W</w:t>
      </w:r>
      <w:r w:rsidR="007355B5" w:rsidRPr="007355B5">
        <w:t>eek 48</w:t>
      </w:r>
      <w:r w:rsidR="0037549B">
        <w:t>.</w:t>
      </w:r>
    </w:p>
    <w:p w:rsidR="007355B5" w:rsidRPr="007355B5" w:rsidRDefault="00744563" w:rsidP="007355B5">
      <w:pPr>
        <w:pStyle w:val="ListBullet"/>
      </w:pPr>
      <w:r>
        <w:t>Percent</w:t>
      </w:r>
      <w:r w:rsidR="007355B5" w:rsidRPr="007355B5">
        <w:t xml:space="preserve"> of subjects who maintained HIV-1 RNA &lt; 50 copies/mL to </w:t>
      </w:r>
      <w:r w:rsidR="007355B5">
        <w:t>W</w:t>
      </w:r>
      <w:r w:rsidR="007355B5" w:rsidRPr="007355B5">
        <w:t>eek 48 (time to loss of virologic response [TLOVR])</w:t>
      </w:r>
      <w:r w:rsidR="0037549B">
        <w:t>.</w:t>
      </w:r>
    </w:p>
    <w:p w:rsidR="007355B5" w:rsidRPr="007355B5" w:rsidRDefault="007355B5" w:rsidP="007355B5">
      <w:pPr>
        <w:pStyle w:val="ListBullet"/>
      </w:pPr>
      <w:r w:rsidRPr="007355B5">
        <w:t xml:space="preserve">Time to loss of pure virologic response (PVR) to </w:t>
      </w:r>
      <w:r>
        <w:t>W</w:t>
      </w:r>
      <w:r w:rsidRPr="007355B5">
        <w:t>eek 48</w:t>
      </w:r>
      <w:r w:rsidR="0037549B">
        <w:t>.</w:t>
      </w:r>
    </w:p>
    <w:p w:rsidR="007355B5" w:rsidRPr="007355B5" w:rsidRDefault="007355B5" w:rsidP="007355B5">
      <w:pPr>
        <w:pStyle w:val="ListBullet"/>
      </w:pPr>
      <w:r w:rsidRPr="007355B5">
        <w:lastRenderedPageBreak/>
        <w:t>Joint distribution of PVF and study drug discontinuation</w:t>
      </w:r>
      <w:r w:rsidR="0037549B">
        <w:t>.</w:t>
      </w:r>
    </w:p>
    <w:p w:rsidR="007355B5" w:rsidRPr="007355B5" w:rsidRDefault="00744563" w:rsidP="007355B5">
      <w:pPr>
        <w:pStyle w:val="ListBullet"/>
      </w:pPr>
      <w:r>
        <w:t>Percent</w:t>
      </w:r>
      <w:r w:rsidR="007355B5" w:rsidRPr="007355B5">
        <w:t xml:space="preserve"> of subjects with emergent HIV-1 drug resistance</w:t>
      </w:r>
      <w:r w:rsidR="0037549B">
        <w:t>.</w:t>
      </w:r>
    </w:p>
    <w:p w:rsidR="007355B5" w:rsidRPr="007355B5" w:rsidRDefault="007355B5" w:rsidP="007355B5">
      <w:r w:rsidRPr="007355B5">
        <w:t>In addition, Patient</w:t>
      </w:r>
      <w:r>
        <w:t xml:space="preserve"> </w:t>
      </w:r>
      <w:r w:rsidRPr="007355B5">
        <w:t>Reported Outcomes (PROs) were assessed. These are not evaluated as they are not relev</w:t>
      </w:r>
      <w:r w:rsidR="00623987">
        <w:t>ant to the proposed PI changes.</w:t>
      </w:r>
    </w:p>
    <w:p w:rsidR="007355B5" w:rsidRPr="007355B5" w:rsidRDefault="007355B5" w:rsidP="007355B5">
      <w:pPr>
        <w:pStyle w:val="Heading4"/>
      </w:pPr>
      <w:r w:rsidRPr="007355B5">
        <w:t>S</w:t>
      </w:r>
      <w:r w:rsidR="00623987">
        <w:t>ample size</w:t>
      </w:r>
    </w:p>
    <w:p w:rsidR="007355B5" w:rsidRPr="007355B5" w:rsidRDefault="007355B5" w:rsidP="007355B5">
      <w:r w:rsidRPr="007355B5">
        <w:t>420 subjects were planned to be randomised in a 2:1 ratio to the 2 groups. With 280 subjects randomised to switch to STB and 140 to SBR, the lower limit of the observed 1</w:t>
      </w:r>
      <w:r>
        <w:t xml:space="preserve"> </w:t>
      </w:r>
      <w:r w:rsidRPr="007355B5">
        <w:t xml:space="preserve">sided 97.5% CI was expected to be &gt; </w:t>
      </w:r>
      <w:r w:rsidR="00E35C63">
        <w:noBreakHyphen/>
      </w:r>
      <w:r w:rsidRPr="007355B5">
        <w:t>0.12 (</w:t>
      </w:r>
      <w:r w:rsidR="00E35C63">
        <w:t>that is,</w:t>
      </w:r>
      <w:r w:rsidRPr="007355B5">
        <w:t xml:space="preserve"> </w:t>
      </w:r>
      <w:r>
        <w:t>n</w:t>
      </w:r>
      <w:r w:rsidRPr="007355B5">
        <w:t>on</w:t>
      </w:r>
      <w:r>
        <w:t>-</w:t>
      </w:r>
      <w:r w:rsidRPr="007355B5">
        <w:t xml:space="preserve">inferiority </w:t>
      </w:r>
      <w:r w:rsidR="00E35C63">
        <w:t>difference</w:t>
      </w:r>
      <w:r>
        <w:t xml:space="preserve"> </w:t>
      </w:r>
      <w:r w:rsidRPr="007355B5">
        <w:t xml:space="preserve">of 12%) with 85% power assuming that the % of responders in both groups for the </w:t>
      </w:r>
      <w:r w:rsidR="00744563">
        <w:t>Primary</w:t>
      </w:r>
      <w:r w:rsidRPr="007355B5">
        <w:t xml:space="preserve"> endpoint was 82% at </w:t>
      </w:r>
      <w:r>
        <w:t>W</w:t>
      </w:r>
      <w:r w:rsidRPr="007355B5">
        <w:t>eek 48.</w:t>
      </w:r>
    </w:p>
    <w:p w:rsidR="007355B5" w:rsidRPr="007355B5" w:rsidRDefault="007355B5" w:rsidP="007355B5">
      <w:pPr>
        <w:pStyle w:val="Heading4"/>
      </w:pPr>
      <w:r w:rsidRPr="007355B5">
        <w:t>Randomisation and blinding methods</w:t>
      </w:r>
    </w:p>
    <w:p w:rsidR="00623987" w:rsidRDefault="007355B5" w:rsidP="00623987">
      <w:r w:rsidRPr="007355B5">
        <w:t>Subjects were randomised in a 2:1 ratio to group 1 or 2. Blinding did not apply as this was an open label study.</w:t>
      </w:r>
    </w:p>
    <w:p w:rsidR="00623987" w:rsidRDefault="00623987" w:rsidP="00623987">
      <w:pPr>
        <w:pStyle w:val="Heading4"/>
      </w:pPr>
      <w:r>
        <w:t xml:space="preserve">Analysis </w:t>
      </w:r>
      <w:r w:rsidR="00E42627">
        <w:t>populations</w:t>
      </w:r>
    </w:p>
    <w:p w:rsidR="007355B5" w:rsidRPr="007355B5" w:rsidRDefault="007355B5" w:rsidP="00623987">
      <w:pPr>
        <w:pStyle w:val="ListBullet"/>
      </w:pPr>
      <w:r w:rsidRPr="007355B5">
        <w:t>SAS: enrolled subjects who received at least 1 dose of study medication.</w:t>
      </w:r>
    </w:p>
    <w:p w:rsidR="007355B5" w:rsidRPr="007355B5" w:rsidRDefault="007355B5" w:rsidP="007355B5">
      <w:pPr>
        <w:pStyle w:val="ListBullet"/>
      </w:pPr>
      <w:r w:rsidRPr="007355B5">
        <w:t>The Full Analysis Set (FAS): all randomised subjects who received at least 1 dose of study medication; this was the analysis set for efficacy endpoints and consistent with the ITT approach.</w:t>
      </w:r>
    </w:p>
    <w:p w:rsidR="007355B5" w:rsidRPr="007355B5" w:rsidRDefault="007355B5" w:rsidP="007355B5">
      <w:pPr>
        <w:pStyle w:val="ListBullet"/>
      </w:pPr>
      <w:r w:rsidRPr="007355B5">
        <w:t xml:space="preserve">The PPS: subjects in the FAS excluding those who were not virologically suppressed at both the screening and baseline visits, did not have reported HIV-1 RNA in the </w:t>
      </w:r>
      <w:r>
        <w:t>W</w:t>
      </w:r>
      <w:r w:rsidRPr="007355B5">
        <w:t>eek 48 analysis window for reasons other than discontinuation of study drug due to lack of efficacy, did not meet the key inclusion criterion that the historical genotype must show sensitivity to FTC and TDF or were receiving therapy with any prohibited medication not to be used with</w:t>
      </w:r>
      <w:r w:rsidR="00623987">
        <w:t xml:space="preserve"> STB.</w:t>
      </w:r>
    </w:p>
    <w:p w:rsidR="007355B5" w:rsidRPr="007355B5" w:rsidRDefault="00623987" w:rsidP="007355B5">
      <w:pPr>
        <w:pStyle w:val="Heading4"/>
      </w:pPr>
      <w:r>
        <w:t>Statistical methods</w:t>
      </w:r>
    </w:p>
    <w:p w:rsidR="007355B5" w:rsidRPr="007355B5" w:rsidRDefault="007355B5" w:rsidP="007355B5">
      <w:r w:rsidRPr="007355B5">
        <w:t>Demographic data and baseline characteristics were summarised by treatment group and overall using descriptive statistics for continuous data and by the number and % of subjects for categorical data. Information regarding HIV disease</w:t>
      </w:r>
      <w:r>
        <w:t xml:space="preserve"> </w:t>
      </w:r>
      <w:r w:rsidRPr="007355B5">
        <w:t>specific characteristics, prior ARV medications and cardiovascular disease</w:t>
      </w:r>
      <w:r>
        <w:t xml:space="preserve"> </w:t>
      </w:r>
      <w:r w:rsidRPr="007355B5">
        <w:t xml:space="preserve">specific </w:t>
      </w:r>
      <w:r w:rsidR="00623987">
        <w:t>medical history was summarised.</w:t>
      </w:r>
    </w:p>
    <w:p w:rsidR="007355B5" w:rsidRPr="007355B5" w:rsidRDefault="00744563" w:rsidP="007355B5">
      <w:pPr>
        <w:pStyle w:val="Heading5"/>
        <w:rPr>
          <w:rFonts w:eastAsiaTheme="minorHAnsi"/>
        </w:rPr>
      </w:pPr>
      <w:r>
        <w:rPr>
          <w:rFonts w:eastAsiaTheme="minorHAnsi"/>
        </w:rPr>
        <w:t>Primary</w:t>
      </w:r>
      <w:r w:rsidR="00623987">
        <w:rPr>
          <w:rFonts w:eastAsiaTheme="minorHAnsi"/>
        </w:rPr>
        <w:t xml:space="preserve"> </w:t>
      </w:r>
      <w:r w:rsidR="00E35C63">
        <w:rPr>
          <w:rFonts w:eastAsiaTheme="minorHAnsi"/>
        </w:rPr>
        <w:t>efficacy endpoint</w:t>
      </w:r>
    </w:p>
    <w:p w:rsidR="007355B5" w:rsidRPr="007355B5" w:rsidRDefault="007355B5" w:rsidP="007355B5">
      <w:r w:rsidRPr="007355B5">
        <w:t xml:space="preserve">The </w:t>
      </w:r>
      <w:r>
        <w:t>W</w:t>
      </w:r>
      <w:r w:rsidRPr="007355B5">
        <w:t xml:space="preserve">eek 48 analysis window was defined as </w:t>
      </w:r>
      <w:r>
        <w:t>D</w:t>
      </w:r>
      <w:r w:rsidRPr="007355B5">
        <w:t xml:space="preserve">ays 295 to 378 (inclusive) for the </w:t>
      </w:r>
      <w:r w:rsidR="00744563">
        <w:t>Primary</w:t>
      </w:r>
      <w:r w:rsidRPr="007355B5">
        <w:t xml:space="preserve"> efficacy endpoint analysis. Virologic outcome was defined as success, failure, and no virologic data. The </w:t>
      </w:r>
      <w:r w:rsidR="00744563">
        <w:t>Primary</w:t>
      </w:r>
      <w:r w:rsidRPr="007355B5">
        <w:t xml:space="preserve"> analysis used the FAS. Evaluation of non</w:t>
      </w:r>
      <w:r>
        <w:t>-</w:t>
      </w:r>
      <w:r w:rsidRPr="007355B5">
        <w:t>inferiority was done by constructing a 2</w:t>
      </w:r>
      <w:r>
        <w:t xml:space="preserve"> </w:t>
      </w:r>
      <w:r w:rsidRPr="007355B5">
        <w:t>sided exact 95% CI for the difference in the %s of virologic success between groups (STB – SBR). Non</w:t>
      </w:r>
      <w:r>
        <w:t>-</w:t>
      </w:r>
      <w:r w:rsidRPr="007355B5">
        <w:t>inferiority was assessed using the 95% CI approach with a non</w:t>
      </w:r>
      <w:r>
        <w:t>-</w:t>
      </w:r>
      <w:r w:rsidRPr="007355B5">
        <w:t>inferiority margin of 12%. It was concluded that STB was non</w:t>
      </w:r>
      <w:r>
        <w:t>-</w:t>
      </w:r>
      <w:r w:rsidRPr="007355B5">
        <w:t>inferior to SBR if the lower bound of the 2</w:t>
      </w:r>
      <w:r>
        <w:t xml:space="preserve"> </w:t>
      </w:r>
      <w:r w:rsidRPr="007355B5">
        <w:t>sided 95% CI of the difference in response rates between groups was &gt; -12%. If non</w:t>
      </w:r>
      <w:r w:rsidR="00FE6E8B">
        <w:t>-</w:t>
      </w:r>
      <w:r w:rsidRPr="007355B5">
        <w:t>inferiority of switching to STB versus SBR was established, superiority was assessed between the 2 groups based on the same 95% CI used for non</w:t>
      </w:r>
      <w:r w:rsidR="00FE6E8B">
        <w:t>-</w:t>
      </w:r>
      <w:r w:rsidRPr="007355B5">
        <w:t xml:space="preserve">inferiority. The superiority of switching to STB versus staying on SBR would be established if the lower bound of the 95% CI was &gt; 0. The Fisher exact test was used to calculate the p-value. Virologic outcome at </w:t>
      </w:r>
      <w:r w:rsidR="00FE6E8B">
        <w:t>W</w:t>
      </w:r>
      <w:r w:rsidRPr="007355B5">
        <w:t>eek 48</w:t>
      </w:r>
      <w:r w:rsidR="00623987">
        <w:t xml:space="preserve"> was also analysed for the PPS.</w:t>
      </w:r>
    </w:p>
    <w:p w:rsidR="00FE6E8B" w:rsidRPr="00FE6E8B" w:rsidRDefault="00FE6E8B" w:rsidP="00FE6E8B">
      <w:r w:rsidRPr="00FE6E8B">
        <w:t xml:space="preserve">In a sensitivity analysis, the difference between treatment groups and its 95% CI, in the % of subjects with virologic failure at </w:t>
      </w:r>
      <w:r>
        <w:t>W</w:t>
      </w:r>
      <w:r w:rsidRPr="00FE6E8B">
        <w:t xml:space="preserve">eek 48 was determined using the snapshot algorithm and the same methods as for the </w:t>
      </w:r>
      <w:r w:rsidR="00744563">
        <w:t>Primary</w:t>
      </w:r>
      <w:r>
        <w:t xml:space="preserve"> </w:t>
      </w:r>
      <w:r w:rsidRPr="00FE6E8B">
        <w:t>analysis for the FAS.</w:t>
      </w:r>
    </w:p>
    <w:p w:rsidR="00FE6E8B" w:rsidRPr="00FE6E8B" w:rsidRDefault="00744563" w:rsidP="00FE6E8B">
      <w:pPr>
        <w:pStyle w:val="Heading5"/>
        <w:rPr>
          <w:rFonts w:eastAsiaTheme="minorHAnsi"/>
        </w:rPr>
      </w:pPr>
      <w:r>
        <w:rPr>
          <w:rFonts w:eastAsiaTheme="minorHAnsi"/>
        </w:rPr>
        <w:lastRenderedPageBreak/>
        <w:t>Secondary</w:t>
      </w:r>
      <w:r w:rsidR="00FE6E8B" w:rsidRPr="00FE6E8B">
        <w:rPr>
          <w:rFonts w:eastAsiaTheme="minorHAnsi"/>
        </w:rPr>
        <w:t xml:space="preserve"> and </w:t>
      </w:r>
      <w:r w:rsidR="001F38F1">
        <w:rPr>
          <w:rFonts w:eastAsiaTheme="minorHAnsi"/>
        </w:rPr>
        <w:t>tertiary</w:t>
      </w:r>
      <w:r w:rsidR="00FE6E8B" w:rsidRPr="00FE6E8B">
        <w:rPr>
          <w:rFonts w:eastAsiaTheme="minorHAnsi"/>
        </w:rPr>
        <w:t xml:space="preserve"> </w:t>
      </w:r>
      <w:r w:rsidR="00E35C63" w:rsidRPr="00FE6E8B">
        <w:rPr>
          <w:rFonts w:eastAsiaTheme="minorHAnsi"/>
        </w:rPr>
        <w:t>efficacy e</w:t>
      </w:r>
      <w:r w:rsidR="00FE6E8B" w:rsidRPr="00FE6E8B">
        <w:rPr>
          <w:rFonts w:eastAsiaTheme="minorHAnsi"/>
        </w:rPr>
        <w:t>ndpoints</w:t>
      </w:r>
    </w:p>
    <w:p w:rsidR="00FE6E8B" w:rsidRPr="00FE6E8B" w:rsidRDefault="00FE6E8B" w:rsidP="00FE6E8B">
      <w:pPr>
        <w:pStyle w:val="ListBullet"/>
      </w:pPr>
      <w:r w:rsidRPr="00FE6E8B">
        <w:t>Change from Baseline in CD4 Cell Counts and %s: Observed values and change from baseline in CD4 cell count were analysed using M = E and M = LOCF methods and summarised using descriptive statistics for each visit and treatment group; the statistical significance of the change from baseline was assessed using the Wilcoxon signed rank test within each treatment; the Wilcoxon rank</w:t>
      </w:r>
      <w:r>
        <w:t xml:space="preserve"> </w:t>
      </w:r>
      <w:r w:rsidRPr="00FE6E8B">
        <w:t xml:space="preserve">sum test was used to assess the difference between the groups at </w:t>
      </w:r>
      <w:r>
        <w:t>W</w:t>
      </w:r>
      <w:r w:rsidRPr="00FE6E8B">
        <w:t>eek 48; CD4% by visit (M = E) while on study and study drug were summarise</w:t>
      </w:r>
      <w:r w:rsidR="00623987">
        <w:t>d using descriptive statistics.</w:t>
      </w:r>
    </w:p>
    <w:p w:rsidR="00FE6E8B" w:rsidRPr="00FE6E8B" w:rsidRDefault="00744563" w:rsidP="00FE6E8B">
      <w:pPr>
        <w:pStyle w:val="ListBullet"/>
      </w:pPr>
      <w:r>
        <w:t>Percent</w:t>
      </w:r>
      <w:r w:rsidR="00E35C63">
        <w:t xml:space="preserve"> of Subjects with p</w:t>
      </w:r>
      <w:r w:rsidR="00FE6E8B" w:rsidRPr="00FE6E8B">
        <w:t xml:space="preserve">lasma HIV-1 RNA levels &lt; 50 copies/mL: this was analysed using M = F by visit to </w:t>
      </w:r>
      <w:r w:rsidR="00FE6E8B">
        <w:t>W</w:t>
      </w:r>
      <w:r w:rsidR="00FE6E8B" w:rsidRPr="00FE6E8B">
        <w:t xml:space="preserve">eek 48, M = E by visit using all available data, and M = LOCF to </w:t>
      </w:r>
      <w:r w:rsidR="00FE6E8B">
        <w:t>W</w:t>
      </w:r>
      <w:r w:rsidR="00FE6E8B" w:rsidRPr="00FE6E8B">
        <w:t>eek 48. The exact 95% CI for the difference between groups in % of s</w:t>
      </w:r>
      <w:r w:rsidR="00E35C63">
        <w:t>ubjects with plasma HIV-1 RNA &lt; </w:t>
      </w:r>
      <w:r w:rsidR="00FE6E8B" w:rsidRPr="00FE6E8B">
        <w:t>50 copies/mL was calculated. The Fisher exact test was used to calculate the p-value</w:t>
      </w:r>
      <w:r w:rsidR="00623987">
        <w:t>.</w:t>
      </w:r>
    </w:p>
    <w:p w:rsidR="00FE6E8B" w:rsidRPr="00FE6E8B" w:rsidRDefault="00FE6E8B" w:rsidP="00FE6E8B">
      <w:pPr>
        <w:pStyle w:val="ListBullet"/>
      </w:pPr>
      <w:r w:rsidRPr="00FE6E8B">
        <w:t xml:space="preserve">TLOVR: The maintenance of confirmed HIV-1 RNA &lt; 50 copies/mL to </w:t>
      </w:r>
      <w:r>
        <w:t>W</w:t>
      </w:r>
      <w:r w:rsidRPr="00FE6E8B">
        <w:t>eek 48 (responder) was derived using all available non</w:t>
      </w:r>
      <w:r>
        <w:t>-</w:t>
      </w:r>
      <w:r w:rsidRPr="00FE6E8B">
        <w:t>missing HIV-1 RNA based on the FDA</w:t>
      </w:r>
      <w:r>
        <w:t xml:space="preserve"> </w:t>
      </w:r>
      <w:r w:rsidRPr="00FE6E8B">
        <w:t>defined TLOVR algorithm. The count and % of responders (with the 95% CI for the difference between groups) and non</w:t>
      </w:r>
      <w:r>
        <w:t>-</w:t>
      </w:r>
      <w:r w:rsidRPr="00FE6E8B">
        <w:t>responders</w:t>
      </w:r>
      <w:r w:rsidR="00623987">
        <w:t xml:space="preserve"> (by category) were calculated.</w:t>
      </w:r>
    </w:p>
    <w:p w:rsidR="00FE6E8B" w:rsidRPr="00FE6E8B" w:rsidRDefault="00FE6E8B" w:rsidP="00FE6E8B">
      <w:pPr>
        <w:pStyle w:val="ListBullet"/>
      </w:pPr>
      <w:r w:rsidRPr="00FE6E8B">
        <w:t xml:space="preserve">Time to Loss of PVR: The KM method was used to estimate this outcome to </w:t>
      </w:r>
      <w:r>
        <w:t>W</w:t>
      </w:r>
      <w:r w:rsidRPr="00FE6E8B">
        <w:t xml:space="preserve">eek 48. PVR was defined as not having a PVF event on or prior to the last dose of study drug. The PVF event time was defined as the day of the first of 2 consecutive HIV-1 RNA ≥ </w:t>
      </w:r>
      <w:proofErr w:type="gramStart"/>
      <w:r w:rsidRPr="00FE6E8B">
        <w:t>50 copies/mL</w:t>
      </w:r>
      <w:proofErr w:type="gramEnd"/>
      <w:r w:rsidRPr="00FE6E8B">
        <w:t xml:space="preserve"> or 1 HIV-1 RNA ≥ 50 copies/mL followed by permanent discontinuation of study drug. Only events before permanent discontinuation were included in the analysis. Subjects with no PVF and no early discontinuation were censored on </w:t>
      </w:r>
      <w:r>
        <w:t>D</w:t>
      </w:r>
      <w:r w:rsidRPr="00FE6E8B">
        <w:t xml:space="preserve">ay 378 (the upper limit of the </w:t>
      </w:r>
      <w:r>
        <w:t>W</w:t>
      </w:r>
      <w:r w:rsidRPr="00FE6E8B">
        <w:t>eek 48 analysis window). The 95% CI for the difference between the 2 groups was calculated using the normal approximation approach. The p-value for the difference between the 2 groups was calculated based on the log</w:t>
      </w:r>
      <w:r>
        <w:t xml:space="preserve"> </w:t>
      </w:r>
      <w:r w:rsidRPr="00FE6E8B">
        <w:t>rank test.</w:t>
      </w:r>
    </w:p>
    <w:p w:rsidR="00FE6E8B" w:rsidRPr="00FE6E8B" w:rsidRDefault="00FE6E8B" w:rsidP="00FE6E8B">
      <w:pPr>
        <w:pStyle w:val="ListBullet"/>
      </w:pPr>
      <w:r w:rsidRPr="00FE6E8B">
        <w:t>Joint Distribution of PVF and Study Drug Discontinuation: This was summarised and included the number of subjects with no PVF and no discontinuation, PVF only, discontinuation only, and discontinuation and PVF.</w:t>
      </w:r>
    </w:p>
    <w:p w:rsidR="00FE6E8B" w:rsidRPr="00FE6E8B" w:rsidRDefault="00FE6E8B" w:rsidP="00FE6E8B">
      <w:r w:rsidRPr="00FE6E8B">
        <w:t xml:space="preserve">Subgroup analyses were undertaken for age: &lt; 40 and ≥ 40 years, sex: male and female, race: </w:t>
      </w:r>
      <w:r w:rsidR="00B90068">
        <w:t>White</w:t>
      </w:r>
      <w:r w:rsidRPr="00FE6E8B">
        <w:t xml:space="preserve"> and non</w:t>
      </w:r>
      <w:r>
        <w:t>-</w:t>
      </w:r>
      <w:proofErr w:type="gramStart"/>
      <w:r w:rsidR="00B90068">
        <w:t>White</w:t>
      </w:r>
      <w:r w:rsidRPr="00FE6E8B">
        <w:t>,</w:t>
      </w:r>
      <w:proofErr w:type="gramEnd"/>
      <w:r w:rsidRPr="00FE6E8B">
        <w:t xml:space="preserve"> PI at screening: ATV, darunavir (DRV), lopinavir (LPV), and other, and number of pr</w:t>
      </w:r>
      <w:r w:rsidR="00623987">
        <w:t>ior ARV regimens: 1, 2, or &gt; 2.</w:t>
      </w:r>
    </w:p>
    <w:p w:rsidR="00FE6E8B" w:rsidRPr="00FE6E8B" w:rsidRDefault="00FE6E8B" w:rsidP="00FE6E8B">
      <w:pPr>
        <w:pStyle w:val="Heading5"/>
        <w:rPr>
          <w:rFonts w:eastAsiaTheme="minorHAnsi"/>
        </w:rPr>
      </w:pPr>
      <w:r w:rsidRPr="00FE6E8B">
        <w:rPr>
          <w:rFonts w:eastAsiaTheme="minorHAnsi"/>
        </w:rPr>
        <w:t xml:space="preserve">Measurement </w:t>
      </w:r>
      <w:r w:rsidR="00E35C63" w:rsidRPr="00FE6E8B">
        <w:rPr>
          <w:rFonts w:eastAsiaTheme="minorHAnsi"/>
        </w:rPr>
        <w:t>and analysis of resistance data</w:t>
      </w:r>
    </w:p>
    <w:p w:rsidR="00FE6E8B" w:rsidRPr="00FE6E8B" w:rsidRDefault="00FE6E8B" w:rsidP="00FE6E8B">
      <w:r w:rsidRPr="00FE6E8B">
        <w:t>Identification of a genotype at screening to exclude subjects with known resistance to study drugs could not be done due to the suppressed HIV-1 viral load. Hence, historical genotypes were used to assess sensitivity to FTC and TDF at screening. HIV-1 genotyping testing (resistance testing) was done if a subject was confirmed as a virolo</w:t>
      </w:r>
      <w:r w:rsidR="00E35C63">
        <w:t>gic failure (HIV-1 RNA ≥ 400 </w:t>
      </w:r>
      <w:r w:rsidRPr="00FE6E8B">
        <w:t>copies/mL) or if HIV-1 RNA was ≥ 400 copies/mL at the subject’s last visit. Virologic rebound was defined as having 2 consecutive HIV-1 RNA values ≥ 50 copies/mL at least 2 weeks apart. Subjects with virologic rebound were considered to have virologic failure and were included in the RAP if HIV-1 RNA was ≥ 400 copies/mL at the 2</w:t>
      </w:r>
      <w:r w:rsidRPr="00FE6E8B">
        <w:rPr>
          <w:vertAlign w:val="superscript"/>
        </w:rPr>
        <w:t>nd</w:t>
      </w:r>
      <w:r>
        <w:rPr>
          <w:vertAlign w:val="superscript"/>
        </w:rPr>
        <w:t xml:space="preserve"> </w:t>
      </w:r>
      <w:r w:rsidRPr="00FE6E8B">
        <w:t>visit. The sample from the confirmation visit was analysed for resistance development. In addition, subjects who were on study drugs, who had not been analysed previously, and who had confirmed HIV-1 RNA ≥ 400 copies/mL at Week 48 or their last visit</w:t>
      </w:r>
      <w:r w:rsidR="00623987">
        <w:t>, were assessed for resistance.</w:t>
      </w:r>
    </w:p>
    <w:p w:rsidR="00FE6E8B" w:rsidRPr="00FE6E8B" w:rsidRDefault="00623987" w:rsidP="00FE6E8B">
      <w:pPr>
        <w:pStyle w:val="Heading4"/>
      </w:pPr>
      <w:r>
        <w:t>Participant flow</w:t>
      </w:r>
    </w:p>
    <w:p w:rsidR="00FE6E8B" w:rsidRPr="00FE6E8B" w:rsidRDefault="00FE6E8B" w:rsidP="00FE6E8B">
      <w:r w:rsidRPr="00FE6E8B">
        <w:t>433 of 438 randomised subjects received at least 1 dose of s</w:t>
      </w:r>
      <w:r w:rsidR="00E35C63">
        <w:t xml:space="preserve">tudy drug (STB: 293; SBR: 140). </w:t>
      </w:r>
      <w:r w:rsidRPr="00FE6E8B">
        <w:t xml:space="preserve">Of these 433, 11.8% (51) prematurely discontinued study drug before the </w:t>
      </w:r>
      <w:r>
        <w:t>W</w:t>
      </w:r>
      <w:r w:rsidRPr="00FE6E8B">
        <w:t xml:space="preserve">eek 48 analysis data cut-off (STB 8.5%, 25; SBR 18.6%, 26), and 10.9% (47) had prematurely discontinued from the study (STB 7.8%, 23; SBR 17.1%, 24). The most common reasons for premature study drug </w:t>
      </w:r>
      <w:r w:rsidRPr="00FE6E8B">
        <w:lastRenderedPageBreak/>
        <w:t>discontinuation were protocol violation (STB 3.1%, 9; SBR 2.</w:t>
      </w:r>
      <w:r w:rsidR="00E35C63">
        <w:t>9%, 4), consent withdrawal (STB </w:t>
      </w:r>
      <w:r w:rsidRPr="00FE6E8B">
        <w:t>2.0%, 6; SBR 5.7%, 8), and AEs (STB 2.0%, 6; SBR 1.4%, 2). The most common reasons for premature study discontinuation were protocol violation (STB 3.1%, 9; SBR 2.9%, 4), consent withdrawal (STB 2.4%, 7; SBR 6.4%, 9), and lost to follow</w:t>
      </w:r>
      <w:r w:rsidR="00623987">
        <w:t>-up (STB 1.0%, 3; SBR 3.6%, 5).</w:t>
      </w:r>
    </w:p>
    <w:p w:rsidR="00FE6E8B" w:rsidRPr="00FE6E8B" w:rsidRDefault="00FE6E8B" w:rsidP="00FE6E8B">
      <w:r w:rsidRPr="00FE6E8B">
        <w:t>A summary of subject disposition i</w:t>
      </w:r>
      <w:r w:rsidR="00623987">
        <w:t>s presented in the table below.</w:t>
      </w:r>
    </w:p>
    <w:tbl>
      <w:tblPr>
        <w:tblW w:w="0" w:type="auto"/>
        <w:tblBorders>
          <w:top w:val="nil"/>
          <w:left w:val="nil"/>
          <w:bottom w:val="nil"/>
          <w:right w:val="nil"/>
        </w:tblBorders>
        <w:tblLayout w:type="fixed"/>
        <w:tblLook w:val="0000" w:firstRow="0" w:lastRow="0" w:firstColumn="0" w:lastColumn="0" w:noHBand="0" w:noVBand="0"/>
      </w:tblPr>
      <w:tblGrid>
        <w:gridCol w:w="8132"/>
      </w:tblGrid>
      <w:tr w:rsidR="00FE6E8B" w:rsidRPr="00E35C63" w:rsidTr="00FE6E8B">
        <w:trPr>
          <w:trHeight w:val="80"/>
        </w:trPr>
        <w:tc>
          <w:tcPr>
            <w:tcW w:w="8132" w:type="dxa"/>
          </w:tcPr>
          <w:p w:rsidR="00FE6E8B" w:rsidRPr="00E35C63" w:rsidRDefault="00FE6E8B" w:rsidP="00E35C63">
            <w:pPr>
              <w:pStyle w:val="Tabletitle"/>
            </w:pPr>
            <w:r w:rsidRPr="00E35C63">
              <w:t xml:space="preserve">Table 15: GS-US-236-0115: </w:t>
            </w:r>
            <w:r w:rsidR="006933F5">
              <w:t>D</w:t>
            </w:r>
            <w:r w:rsidR="00E35C63" w:rsidRPr="00E35C63">
              <w:t xml:space="preserve">isposition of subjects </w:t>
            </w:r>
            <w:r w:rsidRPr="00E35C63">
              <w:t xml:space="preserve">(Week 48: </w:t>
            </w:r>
            <w:r w:rsidR="00E35C63" w:rsidRPr="00E35C63">
              <w:t>all screened subjects) subject d</w:t>
            </w:r>
            <w:r w:rsidR="00623987" w:rsidRPr="00E35C63">
              <w:t>isposition</w:t>
            </w:r>
          </w:p>
        </w:tc>
      </w:tr>
    </w:tbl>
    <w:p w:rsidR="00FE6E8B" w:rsidRPr="00F87F0B" w:rsidRDefault="00FE6E8B" w:rsidP="00E35C63">
      <w:r w:rsidRPr="00E35C63">
        <w:rPr>
          <w:noProof/>
          <w:lang w:eastAsia="en-AU"/>
        </w:rPr>
        <w:drawing>
          <wp:inline distT="0" distB="0" distL="0" distR="0" wp14:anchorId="714A551A" wp14:editId="4BAFB7E3">
            <wp:extent cx="5266944" cy="2496734"/>
            <wp:effectExtent l="0" t="0" r="0" b="0"/>
            <wp:docPr id="27" name="Picture 27" descr="Table 15: GS-US-236-0115: disposition of subjects (Week 48: all screened subjects) subjec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72799" cy="2499510"/>
                    </a:xfrm>
                    <a:prstGeom prst="rect">
                      <a:avLst/>
                    </a:prstGeom>
                  </pic:spPr>
                </pic:pic>
              </a:graphicData>
            </a:graphic>
          </wp:inline>
        </w:drawing>
      </w:r>
    </w:p>
    <w:p w:rsidR="00FE6E8B" w:rsidRPr="00FE6E8B" w:rsidRDefault="00FE6E8B" w:rsidP="00FE6E8B">
      <w:r w:rsidRPr="00FE6E8B">
        <w:t xml:space="preserve">Of the 44 subjects excluded from the </w:t>
      </w:r>
      <w:r>
        <w:t>W</w:t>
      </w:r>
      <w:r w:rsidRPr="00FE6E8B">
        <w:t>eek 48 PPS, 38 discontinued study drug prior for reasons other than lack of efficacy, and 6 had no documented genotype before st</w:t>
      </w:r>
      <w:r w:rsidR="00E35C63">
        <w:t>arting initial ARV </w:t>
      </w:r>
      <w:r w:rsidR="00623987">
        <w:t>therapy.</w:t>
      </w:r>
    </w:p>
    <w:p w:rsidR="00FE6E8B" w:rsidRPr="00FE6E8B" w:rsidRDefault="00FE6E8B" w:rsidP="00FE6E8B">
      <w:pPr>
        <w:pStyle w:val="Heading4"/>
      </w:pPr>
      <w:r w:rsidRPr="00FE6E8B">
        <w:t>Major</w:t>
      </w:r>
      <w:r w:rsidR="00623987">
        <w:t xml:space="preserve"> protocol violations/deviations</w:t>
      </w:r>
    </w:p>
    <w:p w:rsidR="00FE6E8B" w:rsidRPr="00FE6E8B" w:rsidRDefault="00FE6E8B" w:rsidP="00FE6E8B">
      <w:r w:rsidRPr="00FE6E8B">
        <w:t xml:space="preserve">The table below is a summary of important deviations occurring up to the </w:t>
      </w:r>
      <w:r>
        <w:t>W</w:t>
      </w:r>
      <w:r w:rsidRPr="00FE6E8B">
        <w:t>eek 144 analysis data cut-off date. It was considered that none affected the overall quality or interpretation of t</w:t>
      </w:r>
      <w:r w:rsidR="00623987">
        <w:t>he study data.</w:t>
      </w:r>
    </w:p>
    <w:p w:rsidR="007247B4" w:rsidRDefault="00FE6E8B" w:rsidP="00FE6E8B">
      <w:pPr>
        <w:pStyle w:val="Tabletitle"/>
        <w:keepLines/>
      </w:pPr>
      <w:r w:rsidRPr="00FE6E8B">
        <w:t xml:space="preserve">Table 16: GS-US-236-0115: </w:t>
      </w:r>
      <w:r w:rsidR="006933F5">
        <w:t>I</w:t>
      </w:r>
      <w:r w:rsidR="00E35C63" w:rsidRPr="00FE6E8B">
        <w:t>mportant protocol deviations by category: all randomised subjects</w:t>
      </w:r>
    </w:p>
    <w:p w:rsidR="00FE6E8B" w:rsidRDefault="00FE6E8B" w:rsidP="00E35C63">
      <w:r w:rsidRPr="00E35C63">
        <w:rPr>
          <w:noProof/>
          <w:lang w:eastAsia="en-AU"/>
        </w:rPr>
        <w:drawing>
          <wp:inline distT="0" distB="0" distL="0" distR="0" wp14:anchorId="2F2E5974" wp14:editId="202A96C0">
            <wp:extent cx="5530291" cy="1715941"/>
            <wp:effectExtent l="0" t="0" r="0" b="0"/>
            <wp:docPr id="28" name="Picture 28" descr="Table 16: GS-US-236-0115: Important Protocol Deviations by Category: All Randomi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42736" cy="1719802"/>
                    </a:xfrm>
                    <a:prstGeom prst="rect">
                      <a:avLst/>
                    </a:prstGeom>
                    <a:noFill/>
                    <a:ln>
                      <a:noFill/>
                    </a:ln>
                  </pic:spPr>
                </pic:pic>
              </a:graphicData>
            </a:graphic>
          </wp:inline>
        </w:drawing>
      </w:r>
    </w:p>
    <w:p w:rsidR="00FE6E8B" w:rsidRPr="00FE6E8B" w:rsidRDefault="00623987" w:rsidP="00FE6E8B">
      <w:pPr>
        <w:pStyle w:val="Heading4"/>
      </w:pPr>
      <w:r>
        <w:t>Baseline data</w:t>
      </w:r>
    </w:p>
    <w:p w:rsidR="00FE6E8B" w:rsidRPr="00FE6E8B" w:rsidRDefault="00FE6E8B" w:rsidP="00FE6E8B">
      <w:r w:rsidRPr="00FE6E8B">
        <w:t xml:space="preserve">Data are provided showing that demographic and baseline characteristics were similar between the 2 treatment groups. The majority were male (85.7%), with a </w:t>
      </w:r>
      <w:r w:rsidR="00E35C63">
        <w:t xml:space="preserve">mean age of 41 years (range: 21 to </w:t>
      </w:r>
      <w:r w:rsidRPr="00FE6E8B">
        <w:t xml:space="preserve">76); most were </w:t>
      </w:r>
      <w:r w:rsidR="00B90068">
        <w:t>White</w:t>
      </w:r>
      <w:r w:rsidRPr="00FE6E8B">
        <w:t xml:space="preserve"> (80.1%) or </w:t>
      </w:r>
      <w:r w:rsidR="00E35C63">
        <w:t xml:space="preserve">Black (14 to </w:t>
      </w:r>
      <w:r w:rsidRPr="00FE6E8B">
        <w:t>15%). The mean (SD) value for baseline BMI was 26.1 (4.61) kg/mP2P. The mean (SD) baseline eGFR</w:t>
      </w:r>
      <w:r w:rsidRPr="00FE6E8B">
        <w:rPr>
          <w:vertAlign w:val="subscript"/>
        </w:rPr>
        <w:t>CG</w:t>
      </w:r>
      <w:r w:rsidRPr="00FE6E8B">
        <w:t xml:space="preserve"> was 114.1 (26.27) mL/min. The </w:t>
      </w:r>
      <w:r w:rsidRPr="00FE6E8B">
        <w:lastRenderedPageBreak/>
        <w:t>most common reasons for enrolment into the study were desire to simplify the current anti-HIV regime (85.7%) and concern about long</w:t>
      </w:r>
      <w:r>
        <w:t xml:space="preserve"> </w:t>
      </w:r>
      <w:r w:rsidRPr="00FE6E8B">
        <w:t>term side effects of the current anti-HIV regimen (12.2%). Baseline HIV disease characteristics were similar in the</w:t>
      </w:r>
      <w:r w:rsidR="00E35C63">
        <w:t xml:space="preserve"> 2 groups. All subjects had HIV</w:t>
      </w:r>
      <w:r w:rsidR="00E35C63">
        <w:noBreakHyphen/>
      </w:r>
      <w:r w:rsidRPr="00FE6E8B">
        <w:t>1 RNA &lt; 50 copies/mL at screening. A few had HIV-1 RNA ≥ 50 copies/mL at baseline. The mean (SD) baseline CD4 cell count was 610 (272.9) cells/</w:t>
      </w:r>
      <w:r w:rsidR="008B6777">
        <w:t>µ</w:t>
      </w:r>
      <w:r w:rsidR="008B6777" w:rsidRPr="008B6C94">
        <w:t>L</w:t>
      </w:r>
      <w:r w:rsidRPr="00FE6E8B">
        <w:t xml:space="preserve"> and the mean (SD) CD4% was 32.3 (9.44). The majority (62.8%) had a CD4 cell count &gt; 500 cells/</w:t>
      </w:r>
      <w:r w:rsidR="008B6777">
        <w:t>µ</w:t>
      </w:r>
      <w:r w:rsidR="008B6777" w:rsidRPr="008B6C94">
        <w:t>L</w:t>
      </w:r>
      <w:r w:rsidRPr="00FE6E8B">
        <w:t xml:space="preserve">. The most common HIV risk factor was homosexual sex. Most (73.7%) had asymptomatic HIV-1 infection. The median times since HIV diagnosis (4 years) and 1PstP ARV treatment (3 years) were the same in each group. A small % were HBsAg positive (13/3.0%) or HCVAb seropositive (29/6.7%). 79.0% (342) had received 1 ARV regimen, 19.2% (83) had received 2 regimens, and 1.8% (8) had received &gt; 2 prior regimens. At screening subjects </w:t>
      </w:r>
      <w:proofErr w:type="gramStart"/>
      <w:r w:rsidRPr="00FE6E8B">
        <w:t>were</w:t>
      </w:r>
      <w:proofErr w:type="gramEnd"/>
      <w:r w:rsidRPr="00FE6E8B">
        <w:t xml:space="preserve"> receiving ATV (40.3%), DRV (40.0%), LPV (17%), fosamprenavir (3%) or saquinavir (&lt;</w:t>
      </w:r>
      <w:r w:rsidR="00E35C63">
        <w:t xml:space="preserve"> </w:t>
      </w:r>
      <w:r w:rsidRPr="00FE6E8B">
        <w:t>1%) as the PI in their regimen.</w:t>
      </w:r>
    </w:p>
    <w:p w:rsidR="00FE6E8B" w:rsidRPr="00FE6E8B" w:rsidRDefault="00FE6E8B" w:rsidP="00FE6E8B">
      <w:pPr>
        <w:pStyle w:val="Heading4"/>
      </w:pPr>
      <w:r w:rsidRPr="00FE6E8B">
        <w:t>Re</w:t>
      </w:r>
      <w:r w:rsidR="00623987">
        <w:t>sults for the efficacy outcomes</w:t>
      </w:r>
    </w:p>
    <w:p w:rsidR="00FE6E8B" w:rsidRPr="00FE6E8B" w:rsidRDefault="00FE6E8B" w:rsidP="00FE6E8B">
      <w:r w:rsidRPr="00FE6E8B">
        <w:t xml:space="preserve">Adherence to STB was high (median: 99.7%). Most had an adherence rate ≥ 95% up to the </w:t>
      </w:r>
      <w:r w:rsidR="000D10A7">
        <w:t>W</w:t>
      </w:r>
      <w:r w:rsidR="00E35C63">
        <w:t>eek </w:t>
      </w:r>
      <w:r w:rsidRPr="00FE6E8B">
        <w:t xml:space="preserve">48 visit (93.2%). The adherence rate could not be calculated for the SBR group as ARV drugs other than TVD were not provided by the sponsor. At </w:t>
      </w:r>
      <w:r w:rsidR="006542AF">
        <w:t>W</w:t>
      </w:r>
      <w:r w:rsidRPr="00FE6E8B">
        <w:t>eek 48, 429</w:t>
      </w:r>
      <w:r w:rsidR="00E35C63">
        <w:t xml:space="preserve"> out of </w:t>
      </w:r>
      <w:r w:rsidRPr="00FE6E8B">
        <w:t>433 subjects (97.9%) were included in the FAS as 3 receiving STB had protocol defined exclusion mutations and 1 SBR subj</w:t>
      </w:r>
      <w:r w:rsidR="00623987">
        <w:t>ect came into the study on ATR.</w:t>
      </w:r>
    </w:p>
    <w:p w:rsidR="00FE6E8B" w:rsidRPr="00FE6E8B" w:rsidRDefault="00FE6E8B" w:rsidP="00FE6E8B">
      <w:r w:rsidRPr="00FE6E8B">
        <w:t xml:space="preserve">Key results for the </w:t>
      </w:r>
      <w:r w:rsidR="00744563">
        <w:t>Primary</w:t>
      </w:r>
      <w:r w:rsidRPr="00FE6E8B">
        <w:t xml:space="preserve"> efficacy endpoint, </w:t>
      </w:r>
      <w:r>
        <w:t>W</w:t>
      </w:r>
      <w:r w:rsidRPr="00FE6E8B">
        <w:t>eek 48 virologic outcome</w:t>
      </w:r>
      <w:r w:rsidR="00623987">
        <w:t>, in the table below show that:</w:t>
      </w:r>
    </w:p>
    <w:p w:rsidR="00FE6E8B" w:rsidRPr="00FE6E8B" w:rsidRDefault="00FE6E8B" w:rsidP="00FE6E8B">
      <w:pPr>
        <w:pStyle w:val="ListBullet"/>
      </w:pPr>
      <w:r w:rsidRPr="00FE6E8B">
        <w:t xml:space="preserve">Virologic success rates at </w:t>
      </w:r>
      <w:r>
        <w:t>W</w:t>
      </w:r>
      <w:r w:rsidR="00E35C63">
        <w:t xml:space="preserve">eek 48 were STB 93.8% (272 out of </w:t>
      </w:r>
      <w:r w:rsidRPr="00FE6E8B">
        <w:t>290) and SBR</w:t>
      </w:r>
      <w:r w:rsidR="00E35C63">
        <w:t xml:space="preserve"> 87.1% (121 out of </w:t>
      </w:r>
      <w:r w:rsidRPr="00FE6E8B">
        <w:t>139); the difference in the % of subjects with virologic success (S</w:t>
      </w:r>
      <w:r w:rsidR="00E35C63">
        <w:t xml:space="preserve">TB – SBR) was 6.7% (95% CI: 0.4 to </w:t>
      </w:r>
      <w:r w:rsidRPr="00FE6E8B">
        <w:t>13.7); as the lower bound of the 2</w:t>
      </w:r>
      <w:r>
        <w:t xml:space="preserve"> </w:t>
      </w:r>
      <w:r w:rsidRPr="00FE6E8B">
        <w:t>sided 95% CI of the difference in response rate was &gt; the pre</w:t>
      </w:r>
      <w:r>
        <w:t>-</w:t>
      </w:r>
      <w:r w:rsidRPr="00FE6E8B">
        <w:t>specified –12% non</w:t>
      </w:r>
      <w:r>
        <w:t>-</w:t>
      </w:r>
      <w:r w:rsidRPr="00FE6E8B">
        <w:t>inferiority margin, switching to STB was determined to be non</w:t>
      </w:r>
      <w:r>
        <w:t>-</w:t>
      </w:r>
      <w:r w:rsidRPr="00FE6E8B">
        <w:t xml:space="preserve">inferior to SBR at </w:t>
      </w:r>
      <w:r>
        <w:t>W</w:t>
      </w:r>
      <w:r w:rsidR="00623987">
        <w:t>eek 48.</w:t>
      </w:r>
    </w:p>
    <w:p w:rsidR="00FE6E8B" w:rsidRPr="00FE6E8B" w:rsidRDefault="00FE6E8B" w:rsidP="00FE6E8B">
      <w:pPr>
        <w:pStyle w:val="ListBullet"/>
      </w:pPr>
      <w:r w:rsidRPr="00FE6E8B">
        <w:t>Statistical superiority of STB over SBR was established because the lower bound of the same 95% CI used to evaluate non</w:t>
      </w:r>
      <w:r>
        <w:t>-</w:t>
      </w:r>
      <w:r w:rsidRPr="00FE6E8B">
        <w:t>inferiority was &gt; zero, and the difference in virologic success rates was statist</w:t>
      </w:r>
      <w:r w:rsidR="00623987">
        <w:t>ically significant (p = 0.025).</w:t>
      </w:r>
    </w:p>
    <w:p w:rsidR="00FE6E8B" w:rsidRPr="00FE6E8B" w:rsidRDefault="00744563" w:rsidP="00FE6E8B">
      <w:pPr>
        <w:pStyle w:val="ListBullet"/>
      </w:pPr>
      <w:r>
        <w:t>Percent</w:t>
      </w:r>
      <w:r w:rsidR="00FE6E8B" w:rsidRPr="00FE6E8B">
        <w:t xml:space="preserve"> of subjects with virologic failure at </w:t>
      </w:r>
      <w:r w:rsidR="00FE6E8B">
        <w:t>W</w:t>
      </w:r>
      <w:r w:rsidR="00FE6E8B" w:rsidRPr="00FE6E8B">
        <w:t>eek 48 were low and similar in both groups (STB</w:t>
      </w:r>
      <w:r w:rsidR="00E35C63">
        <w:t xml:space="preserve"> 0.7%: 2 out of 290; SBR 1.4%: 2 out of </w:t>
      </w:r>
      <w:r w:rsidR="00623987">
        <w:t>139).</w:t>
      </w:r>
    </w:p>
    <w:p w:rsidR="00FE6E8B" w:rsidRPr="00FE6E8B" w:rsidRDefault="00FE6E8B" w:rsidP="00FE6E8B">
      <w:pPr>
        <w:pStyle w:val="ListBullet"/>
      </w:pPr>
      <w:r w:rsidRPr="00FE6E8B">
        <w:t xml:space="preserve">A lower % receiving STB had no virologic data in the </w:t>
      </w:r>
      <w:r>
        <w:t>W</w:t>
      </w:r>
      <w:r w:rsidR="00E35C63">
        <w:t xml:space="preserve">eek 48 window (STB 5.5%, 16 out of </w:t>
      </w:r>
      <w:r w:rsidRPr="00FE6E8B">
        <w:t>290; SBR 11.</w:t>
      </w:r>
      <w:r w:rsidR="00623987">
        <w:t>5%,</w:t>
      </w:r>
      <w:r w:rsidR="00E35C63">
        <w:t xml:space="preserve"> 16 out of </w:t>
      </w:r>
      <w:r w:rsidR="00623987">
        <w:t>139).</w:t>
      </w:r>
    </w:p>
    <w:p w:rsidR="00FE6E8B" w:rsidRPr="00FE6E8B" w:rsidRDefault="00FE6E8B" w:rsidP="00FE6E8B">
      <w:pPr>
        <w:pStyle w:val="Tabletitle"/>
        <w:keepLines/>
      </w:pPr>
      <w:r w:rsidRPr="00FE6E8B">
        <w:lastRenderedPageBreak/>
        <w:t xml:space="preserve">Table 17: GS-US-236-0115: </w:t>
      </w:r>
      <w:r w:rsidR="006933F5">
        <w:t>A</w:t>
      </w:r>
      <w:r w:rsidR="00E35C63" w:rsidRPr="00FE6E8B">
        <w:t xml:space="preserve">nalysis sets: virologic outcome </w:t>
      </w:r>
      <w:r w:rsidRPr="00FE6E8B">
        <w:t xml:space="preserve">at Week 48: HIV-1 RNA </w:t>
      </w:r>
      <w:r w:rsidR="00E35C63">
        <w:t>c</w:t>
      </w:r>
      <w:r w:rsidRPr="00FE6E8B">
        <w:t xml:space="preserve">ut-off </w:t>
      </w:r>
      <w:proofErr w:type="gramStart"/>
      <w:r w:rsidRPr="00FE6E8B">
        <w:t>at 50 copies/mL,</w:t>
      </w:r>
      <w:proofErr w:type="gramEnd"/>
      <w:r w:rsidRPr="00FE6E8B">
        <w:t xml:space="preserve"> </w:t>
      </w:r>
      <w:r w:rsidR="00E35C63" w:rsidRPr="00FE6E8B">
        <w:t>snapshot algorithm</w:t>
      </w:r>
      <w:r w:rsidRPr="00FE6E8B">
        <w:t>, FAS</w:t>
      </w:r>
    </w:p>
    <w:p w:rsidR="00FE6E8B" w:rsidRDefault="00FE6E8B" w:rsidP="00E35C63">
      <w:r w:rsidRPr="00E35C63">
        <w:rPr>
          <w:noProof/>
          <w:lang w:eastAsia="en-AU"/>
        </w:rPr>
        <w:drawing>
          <wp:inline distT="0" distB="0" distL="0" distR="0" wp14:anchorId="1CE614E6" wp14:editId="41BC8A88">
            <wp:extent cx="4615891" cy="3216346"/>
            <wp:effectExtent l="0" t="0" r="0" b="3175"/>
            <wp:docPr id="29" name="Picture 29" descr="Table 17: GS-US-236-0115: analysis sets: virologic outcome at Week 48: HIV-1 RNA cut-off at 50 copies/mL, snapshot algorithm,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21468" cy="3220232"/>
                    </a:xfrm>
                    <a:prstGeom prst="rect">
                      <a:avLst/>
                    </a:prstGeom>
                    <a:noFill/>
                    <a:ln>
                      <a:noFill/>
                    </a:ln>
                  </pic:spPr>
                </pic:pic>
              </a:graphicData>
            </a:graphic>
          </wp:inline>
        </w:drawing>
      </w:r>
    </w:p>
    <w:p w:rsidR="00FE6E8B" w:rsidRPr="00FE6E8B" w:rsidRDefault="00FE6E8B" w:rsidP="00FE6E8B">
      <w:r w:rsidRPr="00FE6E8B">
        <w:t xml:space="preserve">Data provided using the PPS show that the % of subjects with </w:t>
      </w:r>
      <w:r>
        <w:t>W</w:t>
      </w:r>
      <w:r w:rsidRPr="00FE6E8B">
        <w:t>eek 48 virologic success were numerically higher than in the FAS, and similar</w:t>
      </w:r>
      <w:r w:rsidR="00E35C63">
        <w:t xml:space="preserve"> in both groups: STB 99.3%, 265 out of 267; SBR 99.2%, 117 out of </w:t>
      </w:r>
      <w:r w:rsidRPr="00FE6E8B">
        <w:t>118; the difference in the % of subjects with virologic success (STB – SBR) was 0.1% (95% CI: –2.1-3.7), supporting the non</w:t>
      </w:r>
      <w:r>
        <w:t>-</w:t>
      </w:r>
      <w:r w:rsidR="00623987">
        <w:t>inferiority of STB to SBR.</w:t>
      </w:r>
    </w:p>
    <w:p w:rsidR="00FE6E8B" w:rsidRPr="00FE6E8B" w:rsidRDefault="00FE6E8B" w:rsidP="00FE6E8B">
      <w:pPr>
        <w:pStyle w:val="Heading5"/>
        <w:rPr>
          <w:rFonts w:eastAsiaTheme="minorHAnsi"/>
        </w:rPr>
      </w:pPr>
      <w:r w:rsidRPr="00FE6E8B">
        <w:rPr>
          <w:rFonts w:eastAsiaTheme="minorHAnsi"/>
        </w:rPr>
        <w:t xml:space="preserve">Secondary </w:t>
      </w:r>
      <w:r w:rsidR="00E35C63" w:rsidRPr="00FE6E8B">
        <w:rPr>
          <w:rFonts w:eastAsiaTheme="minorHAnsi"/>
        </w:rPr>
        <w:t xml:space="preserve">and tertiary </w:t>
      </w:r>
      <w:r w:rsidR="00E35C63">
        <w:rPr>
          <w:rFonts w:eastAsiaTheme="minorHAnsi"/>
        </w:rPr>
        <w:t>efficacy endpoints</w:t>
      </w:r>
    </w:p>
    <w:p w:rsidR="00FE6E8B" w:rsidRPr="00FE6E8B" w:rsidRDefault="00744563" w:rsidP="00623987">
      <w:pPr>
        <w:pStyle w:val="Heading6"/>
      </w:pPr>
      <w:r>
        <w:t>Percent</w:t>
      </w:r>
      <w:r w:rsidR="00FE6E8B" w:rsidRPr="00FE6E8B">
        <w:t xml:space="preserve"> of Subjects who </w:t>
      </w:r>
      <w:r w:rsidR="00E35C63">
        <w:t>m</w:t>
      </w:r>
      <w:r w:rsidR="00FE6E8B" w:rsidRPr="00FE6E8B">
        <w:t>aintained HIV-1 RNA &lt;</w:t>
      </w:r>
      <w:r w:rsidR="00623987">
        <w:t xml:space="preserve"> 50 copies/mL to Week 48: TLOVR</w:t>
      </w:r>
    </w:p>
    <w:p w:rsidR="00FE6E8B" w:rsidRPr="00FE6E8B" w:rsidRDefault="00FE6E8B" w:rsidP="00FE6E8B">
      <w:r w:rsidRPr="00FE6E8B">
        <w:t>Key result</w:t>
      </w:r>
      <w:r w:rsidR="00623987">
        <w:t>s shown in the table below are:</w:t>
      </w:r>
    </w:p>
    <w:p w:rsidR="00FE6E8B" w:rsidRPr="00FE6E8B" w:rsidRDefault="00FE6E8B" w:rsidP="008D6B07">
      <w:pPr>
        <w:pStyle w:val="ListBullet"/>
      </w:pPr>
      <w:r w:rsidRPr="00FE6E8B">
        <w:t xml:space="preserve">The % of </w:t>
      </w:r>
      <w:r w:rsidR="00E35C63">
        <w:t xml:space="preserve">responders with STB (91.7%, 266 out of </w:t>
      </w:r>
      <w:r w:rsidRPr="00FE6E8B">
        <w:t>290) was h</w:t>
      </w:r>
      <w:r w:rsidR="00E35C63">
        <w:t xml:space="preserve">igher than with SBR (84.2%, 117 out of </w:t>
      </w:r>
      <w:r w:rsidRPr="00FE6E8B">
        <w:t>139); the difference in the % of responders w</w:t>
      </w:r>
      <w:r w:rsidR="00E35C63">
        <w:t>as 7.6% (95% CI: 0.9-15.0; p = </w:t>
      </w:r>
      <w:r w:rsidRPr="00FE6E8B">
        <w:t>0.029) and similar to that observed for the pr</w:t>
      </w:r>
      <w:r w:rsidR="00623987">
        <w:t>imary endpoint described above.</w:t>
      </w:r>
    </w:p>
    <w:p w:rsidR="00FE6E8B" w:rsidRPr="00FE6E8B" w:rsidRDefault="00FE6E8B" w:rsidP="008D6B07">
      <w:pPr>
        <w:pStyle w:val="ListBullet"/>
      </w:pPr>
      <w:r w:rsidRPr="00FE6E8B">
        <w:t>The reason for virologic failure was rebound (STB</w:t>
      </w:r>
      <w:r w:rsidR="00E35C63">
        <w:t xml:space="preserve"> 1.0%, 3 out of 290; SBR 1.4%, 2 out of </w:t>
      </w:r>
      <w:r w:rsidR="00623987">
        <w:t>139).</w:t>
      </w:r>
    </w:p>
    <w:p w:rsidR="00FE6E8B" w:rsidRPr="00FE6E8B" w:rsidRDefault="00FE6E8B" w:rsidP="008D6B07">
      <w:pPr>
        <w:pStyle w:val="ListBullet"/>
      </w:pPr>
      <w:r w:rsidRPr="00FE6E8B">
        <w:t>Small numbers in each group were considered non</w:t>
      </w:r>
      <w:r w:rsidR="008D6B07">
        <w:t>-</w:t>
      </w:r>
      <w:r w:rsidRPr="00FE6E8B">
        <w:t>responders because of disconti</w:t>
      </w:r>
      <w:r w:rsidR="00E35C63">
        <w:t xml:space="preserve">nuation due to AEs (STB 2.1%, 6 out of 290; SBR 0.7%, 1 out of </w:t>
      </w:r>
      <w:r w:rsidRPr="00FE6E8B">
        <w:t>139); there was a lower % of non</w:t>
      </w:r>
      <w:r w:rsidR="00E35C63">
        <w:noBreakHyphen/>
      </w:r>
      <w:r w:rsidRPr="00FE6E8B">
        <w:t>responders because of drug discontinuation due to o</w:t>
      </w:r>
      <w:r w:rsidR="00E35C63">
        <w:t xml:space="preserve">ther reasons with STB (5.2%, 15 out of </w:t>
      </w:r>
      <w:r w:rsidRPr="00FE6E8B">
        <w:t>290) th</w:t>
      </w:r>
      <w:r w:rsidR="00E35C63">
        <w:t xml:space="preserve">an SBR (12.9%, 18 out of </w:t>
      </w:r>
      <w:r w:rsidR="00623987">
        <w:t>139 subjects.</w:t>
      </w:r>
    </w:p>
    <w:p w:rsidR="00FE6E8B" w:rsidRPr="00FE6E8B" w:rsidRDefault="00FE6E8B" w:rsidP="00250F98">
      <w:pPr>
        <w:pStyle w:val="Tabletitle"/>
        <w:keepLines/>
      </w:pPr>
      <w:r w:rsidRPr="00FE6E8B">
        <w:lastRenderedPageBreak/>
        <w:t xml:space="preserve">Table 18: GS-US-236-0115: </w:t>
      </w:r>
      <w:r w:rsidR="006933F5">
        <w:t>V</w:t>
      </w:r>
      <w:r w:rsidR="00E35C63" w:rsidRPr="00FE6E8B">
        <w:t xml:space="preserve">irologic outcome </w:t>
      </w:r>
      <w:r w:rsidR="00623987">
        <w:t xml:space="preserve">at Week 48: TLOVR </w:t>
      </w:r>
      <w:r w:rsidR="00E35C63">
        <w:t>a</w:t>
      </w:r>
      <w:r w:rsidR="00623987">
        <w:t>nalysis, FAS</w:t>
      </w:r>
    </w:p>
    <w:p w:rsidR="00FE6E8B" w:rsidRDefault="00250F98" w:rsidP="00E35C63">
      <w:r w:rsidRPr="00E35C63">
        <w:rPr>
          <w:noProof/>
          <w:lang w:eastAsia="en-AU"/>
        </w:rPr>
        <w:drawing>
          <wp:inline distT="0" distB="0" distL="0" distR="0" wp14:anchorId="791B481D" wp14:editId="26AA7008">
            <wp:extent cx="5149901" cy="2844606"/>
            <wp:effectExtent l="0" t="0" r="0" b="0"/>
            <wp:docPr id="26" name="Picture 26" descr="Table 18: GS-US-236-0115: virologic outcome at Week 48: TLOVR analysi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66733" cy="2853903"/>
                    </a:xfrm>
                    <a:prstGeom prst="rect">
                      <a:avLst/>
                    </a:prstGeom>
                    <a:noFill/>
                    <a:ln>
                      <a:noFill/>
                    </a:ln>
                  </pic:spPr>
                </pic:pic>
              </a:graphicData>
            </a:graphic>
          </wp:inline>
        </w:drawing>
      </w:r>
    </w:p>
    <w:p w:rsidR="00250F98" w:rsidRPr="00250F98" w:rsidRDefault="00744563" w:rsidP="00250F98">
      <w:pPr>
        <w:pStyle w:val="Heading5"/>
        <w:rPr>
          <w:rFonts w:eastAsiaTheme="minorHAnsi"/>
        </w:rPr>
      </w:pPr>
      <w:r>
        <w:rPr>
          <w:rFonts w:eastAsiaTheme="minorHAnsi"/>
        </w:rPr>
        <w:t>Percent</w:t>
      </w:r>
      <w:r w:rsidR="00250F98" w:rsidRPr="00250F98">
        <w:rPr>
          <w:rFonts w:eastAsiaTheme="minorHAnsi"/>
        </w:rPr>
        <w:t xml:space="preserve"> of </w:t>
      </w:r>
      <w:r w:rsidR="00E35C63" w:rsidRPr="00250F98">
        <w:rPr>
          <w:rFonts w:eastAsiaTheme="minorHAnsi"/>
        </w:rPr>
        <w:t xml:space="preserve">subjects with plasma </w:t>
      </w:r>
      <w:r w:rsidR="00250F98" w:rsidRPr="00250F98">
        <w:rPr>
          <w:rFonts w:eastAsiaTheme="minorHAnsi"/>
        </w:rPr>
        <w:t>HIV-</w:t>
      </w:r>
      <w:r w:rsidR="00623987">
        <w:rPr>
          <w:rFonts w:eastAsiaTheme="minorHAnsi"/>
        </w:rPr>
        <w:t xml:space="preserve">1 RNA &lt; 50 copies/mL at </w:t>
      </w:r>
      <w:r w:rsidR="0037549B">
        <w:rPr>
          <w:rFonts w:eastAsiaTheme="minorHAnsi"/>
        </w:rPr>
        <w:t>w</w:t>
      </w:r>
      <w:r w:rsidR="00623987">
        <w:rPr>
          <w:rFonts w:eastAsiaTheme="minorHAnsi"/>
        </w:rPr>
        <w:t>eek 48</w:t>
      </w:r>
    </w:p>
    <w:p w:rsidR="00250F98" w:rsidRPr="00250F98" w:rsidRDefault="00250F98" w:rsidP="00250F98">
      <w:r w:rsidRPr="00250F98">
        <w:t>High rates of virologic suppression were maintained in both gro</w:t>
      </w:r>
      <w:r w:rsidR="00E35C63">
        <w:t>ups. The % of subjects with HIV</w:t>
      </w:r>
      <w:r w:rsidR="00E35C63">
        <w:noBreakHyphen/>
      </w:r>
      <w:r w:rsidRPr="00250F98">
        <w:t xml:space="preserve">1 RNA &lt; 50 copies/mL was numerically higher with STB than SBR using the M = F method and similar between groups using M = E and M = LOCF methods for the </w:t>
      </w:r>
      <w:r>
        <w:t>W</w:t>
      </w:r>
      <w:r w:rsidR="00623987">
        <w:t>eek 48 results as follows:</w:t>
      </w:r>
    </w:p>
    <w:p w:rsidR="00250F98" w:rsidRPr="00250F98" w:rsidRDefault="00250F98" w:rsidP="00250F98">
      <w:pPr>
        <w:pStyle w:val="ListBullet"/>
      </w:pPr>
      <w:r w:rsidRPr="00250F98">
        <w:t>M = F: STB 94.1%, 273</w:t>
      </w:r>
      <w:r w:rsidR="00E35C63">
        <w:t xml:space="preserve"> out of </w:t>
      </w:r>
      <w:r w:rsidRPr="00250F98">
        <w:t>290; SBR 89.2%, 124</w:t>
      </w:r>
      <w:r w:rsidR="00E35C63">
        <w:t xml:space="preserve"> out of </w:t>
      </w:r>
      <w:r w:rsidRPr="00250F98">
        <w:t>139; STB-SBR differ</w:t>
      </w:r>
      <w:r w:rsidR="00623987">
        <w:t>ence: 4.9% (95% CI: -0.6-11.5).</w:t>
      </w:r>
    </w:p>
    <w:p w:rsidR="00250F98" w:rsidRPr="00250F98" w:rsidRDefault="00250F98" w:rsidP="00250F98">
      <w:pPr>
        <w:pStyle w:val="ListBullet"/>
      </w:pPr>
      <w:r w:rsidRPr="00250F98">
        <w:t>M = E: STB 99.3%, 273</w:t>
      </w:r>
      <w:r w:rsidR="00E35C63">
        <w:t xml:space="preserve"> out of </w:t>
      </w:r>
      <w:r w:rsidRPr="00250F98">
        <w:t>275; SBR 98.4%, 124</w:t>
      </w:r>
      <w:r w:rsidR="00E35C63">
        <w:t xml:space="preserve"> out of </w:t>
      </w:r>
      <w:r w:rsidRPr="00250F98">
        <w:t>126; STB-SBR diffe</w:t>
      </w:r>
      <w:r w:rsidR="00623987">
        <w:t>rence: 0.9% (95% CI: -1.5-4.8).</w:t>
      </w:r>
    </w:p>
    <w:p w:rsidR="00250F98" w:rsidRPr="00250F98" w:rsidRDefault="00250F98" w:rsidP="00250F98">
      <w:pPr>
        <w:pStyle w:val="ListBullet"/>
      </w:pPr>
      <w:r w:rsidRPr="00250F98">
        <w:t>M = LOCF: STB 99.3%, 288</w:t>
      </w:r>
      <w:r w:rsidR="00E35C63">
        <w:t xml:space="preserve"> out of </w:t>
      </w:r>
      <w:r w:rsidRPr="00250F98">
        <w:t>290; SBR 98.6%, 137</w:t>
      </w:r>
      <w:r w:rsidR="00E35C63">
        <w:t xml:space="preserve"> out of </w:t>
      </w:r>
      <w:r w:rsidRPr="00250F98">
        <w:t>139: STB-SBR diffe</w:t>
      </w:r>
      <w:r w:rsidR="00623987">
        <w:t>rence: 0.7% (95% CI: -1.5-4.3).</w:t>
      </w:r>
    </w:p>
    <w:p w:rsidR="00250F98" w:rsidRPr="00250F98" w:rsidRDefault="00250F98" w:rsidP="00250F98">
      <w:r w:rsidRPr="00250F98">
        <w:t>Results for the M=F analysis</w:t>
      </w:r>
      <w:r w:rsidR="00623987">
        <w:t xml:space="preserve"> are shown in the figure below.</w:t>
      </w:r>
    </w:p>
    <w:p w:rsidR="00250F98" w:rsidRDefault="00250F98" w:rsidP="00250F98">
      <w:pPr>
        <w:pStyle w:val="FigureTitle"/>
        <w:keepNext/>
        <w:keepLines/>
      </w:pPr>
      <w:r w:rsidRPr="00250F98">
        <w:lastRenderedPageBreak/>
        <w:t xml:space="preserve">Figure 10: GS-US-236-0115: </w:t>
      </w:r>
      <w:r w:rsidR="00744563">
        <w:t>Percent</w:t>
      </w:r>
      <w:r w:rsidRPr="00250F98">
        <w:t xml:space="preserve"> </w:t>
      </w:r>
      <w:r w:rsidR="00423D28" w:rsidRPr="00250F98">
        <w:t xml:space="preserve">of subjects with plasma </w:t>
      </w:r>
      <w:r w:rsidRPr="00250F98">
        <w:t>HIV-1 RNA &lt; 50 copies/mL by Visit: M = F, FAS</w:t>
      </w:r>
    </w:p>
    <w:p w:rsidR="00250F98" w:rsidRDefault="00250F98" w:rsidP="00423D28">
      <w:r w:rsidRPr="00423D28">
        <w:rPr>
          <w:noProof/>
          <w:lang w:eastAsia="en-AU"/>
        </w:rPr>
        <w:drawing>
          <wp:inline distT="0" distB="0" distL="0" distR="0" wp14:anchorId="7398A12B" wp14:editId="416BECA7">
            <wp:extent cx="5252314" cy="2982018"/>
            <wp:effectExtent l="0" t="0" r="5715" b="8890"/>
            <wp:docPr id="30" name="Picture 30" descr="Figure 10: GS-US-236-0115: % of subjects with plasma HIV-1 RNA &lt; 50 copies/mL by Visit: M = F,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62066" cy="2987555"/>
                    </a:xfrm>
                    <a:prstGeom prst="rect">
                      <a:avLst/>
                    </a:prstGeom>
                    <a:noFill/>
                    <a:ln>
                      <a:noFill/>
                    </a:ln>
                  </pic:spPr>
                </pic:pic>
              </a:graphicData>
            </a:graphic>
          </wp:inline>
        </w:drawing>
      </w:r>
    </w:p>
    <w:p w:rsidR="00250F98" w:rsidRPr="00250F98" w:rsidRDefault="00250F98" w:rsidP="00250F98">
      <w:pPr>
        <w:pStyle w:val="Heading5"/>
        <w:rPr>
          <w:rFonts w:eastAsiaTheme="minorHAnsi"/>
        </w:rPr>
      </w:pPr>
      <w:r w:rsidRPr="00250F98">
        <w:rPr>
          <w:rFonts w:eastAsiaTheme="minorHAnsi"/>
        </w:rPr>
        <w:t xml:space="preserve">Time </w:t>
      </w:r>
      <w:r w:rsidR="00E3416C" w:rsidRPr="00250F98">
        <w:rPr>
          <w:rFonts w:eastAsiaTheme="minorHAnsi"/>
        </w:rPr>
        <w:t xml:space="preserve">to </w:t>
      </w:r>
      <w:r w:rsidR="00E3416C">
        <w:rPr>
          <w:rFonts w:eastAsiaTheme="minorHAnsi"/>
        </w:rPr>
        <w:t>loss of pure virologic response</w:t>
      </w:r>
    </w:p>
    <w:p w:rsidR="00250F98" w:rsidRPr="00250F98" w:rsidRDefault="00250F98" w:rsidP="00250F98">
      <w:r w:rsidRPr="00250F98">
        <w:t>Dat</w:t>
      </w:r>
      <w:r>
        <w:t>a are provided showing that at W</w:t>
      </w:r>
      <w:r w:rsidRPr="00250F98">
        <w:t>eek 48, 1% of subjects receiving STB and 2% receiving SBR had los</w:t>
      </w:r>
      <w:r w:rsidR="00623987">
        <w:t>t PVR (overall p-value = 0.32).</w:t>
      </w:r>
    </w:p>
    <w:p w:rsidR="00250F98" w:rsidRPr="00250F98" w:rsidRDefault="00250F98" w:rsidP="00250F98">
      <w:pPr>
        <w:pStyle w:val="Heading5"/>
        <w:rPr>
          <w:rFonts w:eastAsiaTheme="minorHAnsi"/>
        </w:rPr>
      </w:pPr>
      <w:r w:rsidRPr="00250F98">
        <w:rPr>
          <w:rFonts w:eastAsiaTheme="minorHAnsi"/>
        </w:rPr>
        <w:t xml:space="preserve">Joint </w:t>
      </w:r>
      <w:r w:rsidR="00423D28" w:rsidRPr="00250F98">
        <w:rPr>
          <w:rFonts w:eastAsiaTheme="minorHAnsi"/>
        </w:rPr>
        <w:t>di</w:t>
      </w:r>
      <w:r w:rsidRPr="00250F98">
        <w:rPr>
          <w:rFonts w:eastAsiaTheme="minorHAnsi"/>
        </w:rPr>
        <w:t>stribution of PVF</w:t>
      </w:r>
      <w:r w:rsidR="00623987">
        <w:rPr>
          <w:rFonts w:eastAsiaTheme="minorHAnsi"/>
        </w:rPr>
        <w:t xml:space="preserve"> </w:t>
      </w:r>
      <w:r w:rsidR="00423D28">
        <w:rPr>
          <w:rFonts w:eastAsiaTheme="minorHAnsi"/>
        </w:rPr>
        <w:t>and study drug discontinuation</w:t>
      </w:r>
    </w:p>
    <w:p w:rsidR="00250F98" w:rsidRPr="00250F98" w:rsidRDefault="00250F98" w:rsidP="00250F98">
      <w:r w:rsidRPr="00250F98">
        <w:t>266</w:t>
      </w:r>
      <w:r w:rsidR="00E35C63">
        <w:t xml:space="preserve"> out of </w:t>
      </w:r>
      <w:r w:rsidRPr="00250F98">
        <w:t>290 subjects (91.7%) receiving STB had no PVF and no discontinuation of study drug, 3 (1.0%) had PVF alone, and 21 (7.2%) discontinued study drug. No subject receiving STB had PVF and discontinued study drug. 117</w:t>
      </w:r>
      <w:r w:rsidR="00E35C63">
        <w:t xml:space="preserve"> out of </w:t>
      </w:r>
      <w:r w:rsidRPr="00250F98">
        <w:t>139 subjects (84.2%) receiving SBR had no PVF and no discontinuation of study drug, no subject had PVF alo</w:t>
      </w:r>
      <w:r w:rsidR="00423D28">
        <w:t>ne (no discontinuation), and 19 </w:t>
      </w:r>
      <w:r w:rsidRPr="00250F98">
        <w:t>(13.7%) discontinued study drug. 3 subjects receiving SBR had P</w:t>
      </w:r>
      <w:r w:rsidR="00623987">
        <w:t>VF and discontinued study drug.</w:t>
      </w:r>
    </w:p>
    <w:p w:rsidR="00250F98" w:rsidRPr="00250F98" w:rsidRDefault="00250F98" w:rsidP="00250F98">
      <w:pPr>
        <w:pStyle w:val="Heading5"/>
        <w:rPr>
          <w:rFonts w:eastAsiaTheme="minorHAnsi"/>
        </w:rPr>
      </w:pPr>
      <w:r w:rsidRPr="00250F98">
        <w:rPr>
          <w:rFonts w:eastAsiaTheme="minorHAnsi"/>
        </w:rPr>
        <w:t xml:space="preserve">Change </w:t>
      </w:r>
      <w:r w:rsidR="00423D28" w:rsidRPr="00250F98">
        <w:rPr>
          <w:rFonts w:eastAsiaTheme="minorHAnsi"/>
        </w:rPr>
        <w:t>from b</w:t>
      </w:r>
      <w:r w:rsidRPr="00250F98">
        <w:rPr>
          <w:rFonts w:eastAsiaTheme="minorHAnsi"/>
        </w:rPr>
        <w:t>aseline in</w:t>
      </w:r>
      <w:r w:rsidR="00623987">
        <w:rPr>
          <w:rFonts w:eastAsiaTheme="minorHAnsi"/>
        </w:rPr>
        <w:t xml:space="preserve"> CD4 </w:t>
      </w:r>
      <w:r w:rsidR="00423D28">
        <w:rPr>
          <w:rFonts w:eastAsiaTheme="minorHAnsi"/>
        </w:rPr>
        <w:t xml:space="preserve">cell count </w:t>
      </w:r>
      <w:r w:rsidR="00623987">
        <w:rPr>
          <w:rFonts w:eastAsiaTheme="minorHAnsi"/>
        </w:rPr>
        <w:t xml:space="preserve">through </w:t>
      </w:r>
      <w:r w:rsidR="0037549B">
        <w:rPr>
          <w:rFonts w:eastAsiaTheme="minorHAnsi"/>
        </w:rPr>
        <w:t>w</w:t>
      </w:r>
      <w:r w:rsidR="00623987">
        <w:rPr>
          <w:rFonts w:eastAsiaTheme="minorHAnsi"/>
        </w:rPr>
        <w:t>eek 48</w:t>
      </w:r>
    </w:p>
    <w:p w:rsidR="00250F98" w:rsidRPr="00250F98" w:rsidRDefault="00250F98" w:rsidP="00250F98">
      <w:r w:rsidRPr="00250F98">
        <w:t>Mean (SD) baseline CD4 cell counts were STB 603 (275.4) cells/</w:t>
      </w:r>
      <w:r w:rsidR="008B6777">
        <w:t>µ</w:t>
      </w:r>
      <w:r w:rsidR="008B6777" w:rsidRPr="008B6C94">
        <w:t>L</w:t>
      </w:r>
      <w:r w:rsidRPr="00250F98">
        <w:t xml:space="preserve"> and SBR 625 (270.3) cells/</w:t>
      </w:r>
      <w:r w:rsidR="008B6777">
        <w:t>µ</w:t>
      </w:r>
      <w:r w:rsidR="008B6777" w:rsidRPr="008B6C94">
        <w:t>L</w:t>
      </w:r>
      <w:r w:rsidRPr="00250F98">
        <w:t xml:space="preserve">. Data are provided showing there were small increases from baseline in both groups to </w:t>
      </w:r>
      <w:r>
        <w:t>W</w:t>
      </w:r>
      <w:r w:rsidRPr="00250F98">
        <w:t xml:space="preserve">eek 48. Using the M = E method the mean [SD] change at </w:t>
      </w:r>
      <w:r w:rsidR="006542AF">
        <w:t>Week</w:t>
      </w:r>
      <w:r w:rsidRPr="00250F98">
        <w:t xml:space="preserve"> 48 with STB was 40 [169.5] cells/ </w:t>
      </w:r>
      <w:r w:rsidR="008B6777">
        <w:t>µ</w:t>
      </w:r>
      <w:r w:rsidR="008B6777" w:rsidRPr="008B6C94">
        <w:t>L</w:t>
      </w:r>
      <w:r w:rsidRPr="00250F98">
        <w:t xml:space="preserve"> and with SBR 32 [166.1] cells/ </w:t>
      </w:r>
      <w:r w:rsidR="008B6777">
        <w:t>µ</w:t>
      </w:r>
      <w:r w:rsidR="008B6777" w:rsidRPr="008B6C94">
        <w:t>L</w:t>
      </w:r>
      <w:r w:rsidRPr="00250F98">
        <w:t xml:space="preserve">. The difference between these mean changes was 8 cells/ </w:t>
      </w:r>
      <w:r w:rsidR="008B6777">
        <w:t>µ</w:t>
      </w:r>
      <w:r w:rsidR="008B6777" w:rsidRPr="008B6C94">
        <w:t>L</w:t>
      </w:r>
      <w:r w:rsidRPr="00250F98">
        <w:t xml:space="preserve"> (95% CI: –29 to 44 cells/ </w:t>
      </w:r>
      <w:r w:rsidR="008B6777">
        <w:t>µ</w:t>
      </w:r>
      <w:r w:rsidR="008B6777" w:rsidRPr="008B6C94">
        <w:t>L</w:t>
      </w:r>
      <w:r w:rsidRPr="00250F98">
        <w:t xml:space="preserve">; p = 0.68). There was a similar trend using the LOCF method with the mean [SD] change for STB of 33 [168.9] cells/ </w:t>
      </w:r>
      <w:r w:rsidR="008B6777">
        <w:t>µ</w:t>
      </w:r>
      <w:r w:rsidR="008B6777" w:rsidRPr="008B6C94">
        <w:t>L</w:t>
      </w:r>
      <w:r w:rsidRPr="00250F98">
        <w:t xml:space="preserve"> for SBR 30 [159.2]) cells/ </w:t>
      </w:r>
      <w:r w:rsidR="008B6777">
        <w:t>µ</w:t>
      </w:r>
      <w:r w:rsidR="008B6777" w:rsidRPr="008B6C94">
        <w:t>L</w:t>
      </w:r>
      <w:r w:rsidRPr="00250F98">
        <w:t xml:space="preserve">. The difference was 4 cells/ </w:t>
      </w:r>
      <w:r w:rsidR="008B6777">
        <w:t>µ</w:t>
      </w:r>
      <w:r w:rsidR="008B6777" w:rsidRPr="008B6C94">
        <w:t>L</w:t>
      </w:r>
      <w:r w:rsidRPr="00250F98">
        <w:t xml:space="preserve"> (95% CI: </w:t>
      </w:r>
      <w:r w:rsidR="00623987">
        <w:t xml:space="preserve">–30 to 37 cells/ </w:t>
      </w:r>
      <w:r w:rsidR="008B6777">
        <w:t>µ</w:t>
      </w:r>
      <w:r w:rsidR="008B6777" w:rsidRPr="008B6C94">
        <w:t>L</w:t>
      </w:r>
      <w:r w:rsidR="00623987">
        <w:t>; p = 0.78).</w:t>
      </w:r>
    </w:p>
    <w:p w:rsidR="00250F98" w:rsidRPr="00250F98" w:rsidRDefault="00250F98" w:rsidP="00250F98">
      <w:pPr>
        <w:pStyle w:val="Heading5"/>
        <w:rPr>
          <w:rFonts w:eastAsiaTheme="minorHAnsi"/>
        </w:rPr>
      </w:pPr>
      <w:r w:rsidRPr="00250F98">
        <w:rPr>
          <w:rFonts w:eastAsiaTheme="minorHAnsi"/>
        </w:rPr>
        <w:t xml:space="preserve">Change </w:t>
      </w:r>
      <w:r w:rsidR="00423D28" w:rsidRPr="00250F98">
        <w:rPr>
          <w:rFonts w:eastAsiaTheme="minorHAnsi"/>
        </w:rPr>
        <w:t>from b</w:t>
      </w:r>
      <w:r w:rsidRPr="00250F98">
        <w:rPr>
          <w:rFonts w:eastAsiaTheme="minorHAnsi"/>
        </w:rPr>
        <w:t>a</w:t>
      </w:r>
      <w:r w:rsidR="00623987">
        <w:rPr>
          <w:rFonts w:eastAsiaTheme="minorHAnsi"/>
        </w:rPr>
        <w:t xml:space="preserve">seline in CD4 </w:t>
      </w:r>
      <w:r w:rsidR="0037549B">
        <w:rPr>
          <w:rFonts w:eastAsiaTheme="minorHAnsi"/>
        </w:rPr>
        <w:t xml:space="preserve">cell percent at week </w:t>
      </w:r>
      <w:r w:rsidR="00623987">
        <w:rPr>
          <w:rFonts w:eastAsiaTheme="minorHAnsi"/>
        </w:rPr>
        <w:t>48</w:t>
      </w:r>
    </w:p>
    <w:p w:rsidR="00250F98" w:rsidRPr="00250F98" w:rsidRDefault="00250F98" w:rsidP="00250F98">
      <w:r w:rsidRPr="00250F98">
        <w:t>Mean (SD) baseline CD4</w:t>
      </w:r>
      <w:r w:rsidR="00744563">
        <w:t>%</w:t>
      </w:r>
      <w:r w:rsidRPr="00250F98">
        <w:t xml:space="preserve"> values were STB 32.1% (9.70%) and SBR 32.5% (8.91%). Data are provided showing that the CD4% remained relatively constant to </w:t>
      </w:r>
      <w:r>
        <w:t>W</w:t>
      </w:r>
      <w:r w:rsidR="00623987">
        <w:t>eek 48 in both groups.</w:t>
      </w:r>
    </w:p>
    <w:p w:rsidR="00250F98" w:rsidRPr="00250F98" w:rsidRDefault="00623987" w:rsidP="00250F98">
      <w:pPr>
        <w:pStyle w:val="Heading4"/>
      </w:pPr>
      <w:r>
        <w:t xml:space="preserve">Subgroup </w:t>
      </w:r>
      <w:r w:rsidR="00423D28">
        <w:t>a</w:t>
      </w:r>
      <w:r>
        <w:t>nalyses</w:t>
      </w:r>
    </w:p>
    <w:p w:rsidR="00250F98" w:rsidRPr="00250F98" w:rsidRDefault="00250F98" w:rsidP="00250F98">
      <w:r w:rsidRPr="00250F98">
        <w:t xml:space="preserve">Treatment differences and 95% CIs for virologic success are displayed by subgroup in the figure below. This shows that STB was favoured over SBR for age ≥ 40 years, male sex, </w:t>
      </w:r>
      <w:r w:rsidR="00B90068">
        <w:t>White</w:t>
      </w:r>
      <w:r w:rsidR="00623987">
        <w:t xml:space="preserve"> race and ATV at screening.</w:t>
      </w:r>
    </w:p>
    <w:p w:rsidR="00250F98" w:rsidRPr="00250F98" w:rsidRDefault="00250F98" w:rsidP="00C21610">
      <w:pPr>
        <w:pStyle w:val="FigureTitle"/>
        <w:keepNext/>
        <w:keepLines/>
      </w:pPr>
      <w:r w:rsidRPr="00250F98">
        <w:lastRenderedPageBreak/>
        <w:t>Fig</w:t>
      </w:r>
      <w:r w:rsidR="00D14F08">
        <w:t>ure 11: GS-US-236-0115: Forest p</w:t>
      </w:r>
      <w:r w:rsidRPr="00250F98">
        <w:t xml:space="preserve">lot of </w:t>
      </w:r>
      <w:r w:rsidR="00423D28" w:rsidRPr="00250F98">
        <w:t>treatment difference in virologic success by subgr</w:t>
      </w:r>
      <w:r w:rsidRPr="00250F98">
        <w:t>oup at Week 48: HIV-1 RNA &lt; 50 copies/</w:t>
      </w:r>
      <w:r w:rsidR="00C21610" w:rsidRPr="00250F98">
        <w:t>ml snaps</w:t>
      </w:r>
      <w:r w:rsidR="00C21610">
        <w:t>hot algo</w:t>
      </w:r>
      <w:r w:rsidR="00623987">
        <w:t>rithm, FAS</w:t>
      </w:r>
    </w:p>
    <w:p w:rsidR="00250F98" w:rsidRDefault="00250F98" w:rsidP="00423D28">
      <w:r w:rsidRPr="00423D28">
        <w:rPr>
          <w:noProof/>
          <w:lang w:eastAsia="en-AU"/>
        </w:rPr>
        <w:drawing>
          <wp:inline distT="0" distB="0" distL="0" distR="0" wp14:anchorId="64628A13" wp14:editId="3357D8B7">
            <wp:extent cx="5257558" cy="2604211"/>
            <wp:effectExtent l="0" t="0" r="635" b="5715"/>
            <wp:docPr id="31" name="Picture 31" descr="Figure 11: GS-US-236-0115: Forest Plot of treatment difference in virologic success by subgroup at Week 48: HIV-1 RNA &lt; 50 copies/ml snapshot algorithm,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56122" cy="2603500"/>
                    </a:xfrm>
                    <a:prstGeom prst="rect">
                      <a:avLst/>
                    </a:prstGeom>
                    <a:noFill/>
                    <a:ln>
                      <a:noFill/>
                    </a:ln>
                  </pic:spPr>
                </pic:pic>
              </a:graphicData>
            </a:graphic>
          </wp:inline>
        </w:drawing>
      </w:r>
    </w:p>
    <w:p w:rsidR="00250F98" w:rsidRPr="00250F98" w:rsidRDefault="00623987" w:rsidP="00250F98">
      <w:pPr>
        <w:pStyle w:val="Heading5"/>
        <w:rPr>
          <w:rFonts w:eastAsiaTheme="minorHAnsi"/>
        </w:rPr>
      </w:pPr>
      <w:r>
        <w:rPr>
          <w:rFonts w:eastAsiaTheme="minorHAnsi"/>
        </w:rPr>
        <w:t xml:space="preserve">Virologic </w:t>
      </w:r>
      <w:r w:rsidR="00C21610">
        <w:rPr>
          <w:rFonts w:eastAsiaTheme="minorHAnsi"/>
        </w:rPr>
        <w:t>resistance d</w:t>
      </w:r>
      <w:r>
        <w:rPr>
          <w:rFonts w:eastAsiaTheme="minorHAnsi"/>
        </w:rPr>
        <w:t>ata</w:t>
      </w:r>
    </w:p>
    <w:p w:rsidR="00250F98" w:rsidRPr="00250F98" w:rsidRDefault="00250F98" w:rsidP="00250F98">
      <w:r w:rsidRPr="00250F98">
        <w:t>Historical genotypes were available for 426 of 429 subjects in the FAS. The HIV-1 subtype was determined for 73% (312</w:t>
      </w:r>
      <w:r w:rsidR="00E35C63">
        <w:t xml:space="preserve"> out of </w:t>
      </w:r>
      <w:r w:rsidRPr="00250F98">
        <w:t xml:space="preserve">426) and most had </w:t>
      </w:r>
      <w:r>
        <w:t>S</w:t>
      </w:r>
      <w:r w:rsidRPr="00250F98">
        <w:t>ubtype B (258</w:t>
      </w:r>
      <w:r w:rsidR="00E35C63">
        <w:t xml:space="preserve"> out of </w:t>
      </w:r>
      <w:r w:rsidRPr="00250F98">
        <w:t>312, 83%). 123</w:t>
      </w:r>
      <w:r w:rsidR="00E35C63">
        <w:t xml:space="preserve"> out of </w:t>
      </w:r>
      <w:r w:rsidRPr="00250F98">
        <w:t xml:space="preserve">426 subjects (29%) showed evidence of pre-existing </w:t>
      </w:r>
      <w:r w:rsidR="00744563">
        <w:t>Primary</w:t>
      </w:r>
      <w:r w:rsidRPr="00250F98">
        <w:t xml:space="preserve"> resistance mutations in their historical HIV-1 genotypes. In 288 subjects who switched to STB with historical data available, 88 (31%) had HIV-1 with evidence of ≥ 1 pre-existing </w:t>
      </w:r>
      <w:r w:rsidR="00744563">
        <w:t>Primary</w:t>
      </w:r>
      <w:r w:rsidRPr="00250F98">
        <w:t xml:space="preserve"> resistance mutations in RT and/or PR, 61 (21%) had primary NNRTI resistance mutations including K103N/S (15), Y181C/I/V (6), and G190A/E/Q/S ( 6), 28 (10%) had </w:t>
      </w:r>
      <w:r w:rsidR="00744563">
        <w:t>Primary</w:t>
      </w:r>
      <w:r w:rsidRPr="00250F98">
        <w:t xml:space="preserve"> NRTI resistance mutations including V118I (16) and M41L (4) and 9 (3%) had </w:t>
      </w:r>
      <w:r w:rsidR="00744563">
        <w:t>Primary</w:t>
      </w:r>
      <w:r w:rsidR="00623987">
        <w:t xml:space="preserve"> PI resistance mutations.</w:t>
      </w:r>
    </w:p>
    <w:p w:rsidR="00250F98" w:rsidRPr="00250F98" w:rsidRDefault="00250F98" w:rsidP="00250F98">
      <w:r w:rsidRPr="00250F98">
        <w:t xml:space="preserve">In the 138 subjects receiving SBR, 35 (25%) had HIV-1 with evidence of ≥ 1 pre-existing </w:t>
      </w:r>
      <w:r w:rsidR="00744563">
        <w:t>Primary</w:t>
      </w:r>
      <w:r>
        <w:t xml:space="preserve"> </w:t>
      </w:r>
      <w:r w:rsidRPr="00250F98">
        <w:t xml:space="preserve">resistance mutations, 27 (20%) had </w:t>
      </w:r>
      <w:r w:rsidR="00744563">
        <w:t xml:space="preserve">Primary </w:t>
      </w:r>
      <w:r w:rsidRPr="00250F98">
        <w:t xml:space="preserve">NNRTI resistance mutations, 10 (7%) had </w:t>
      </w:r>
      <w:r w:rsidR="00744563">
        <w:t xml:space="preserve">primary </w:t>
      </w:r>
      <w:r w:rsidRPr="00250F98">
        <w:t xml:space="preserve">NRTI resistance mutations and 5 (4%) had </w:t>
      </w:r>
      <w:r w:rsidR="00744563">
        <w:t>primary</w:t>
      </w:r>
      <w:r w:rsidRPr="00250F98">
        <w:t xml:space="preserve"> PI resistance mutations, but all were considered</w:t>
      </w:r>
      <w:r w:rsidR="00623987">
        <w:t xml:space="preserve"> sensitive to their current PI.</w:t>
      </w:r>
    </w:p>
    <w:p w:rsidR="00250F98" w:rsidRPr="00250F98" w:rsidRDefault="00250F98" w:rsidP="00250F98">
      <w:r w:rsidRPr="00250F98">
        <w:t xml:space="preserve">No subject in either treatment group with or without a pre-existing mutation met virologic failure criteria and met the criteria for inclusion in the RAP to </w:t>
      </w:r>
      <w:r>
        <w:t>W</w:t>
      </w:r>
      <w:r w:rsidR="00623987">
        <w:t>eek 48.</w:t>
      </w:r>
    </w:p>
    <w:p w:rsidR="00250F98" w:rsidRPr="00250F98" w:rsidRDefault="00623987" w:rsidP="00250F98">
      <w:r>
        <w:t>The sponsor conclusions were:</w:t>
      </w:r>
    </w:p>
    <w:p w:rsidR="00250F98" w:rsidRPr="00250F98" w:rsidRDefault="00250F98" w:rsidP="00250F98">
      <w:pPr>
        <w:pStyle w:val="ListBullet"/>
      </w:pPr>
      <w:r w:rsidRPr="00250F98">
        <w:t xml:space="preserve">Switching to STB met the </w:t>
      </w:r>
      <w:r w:rsidR="00744563">
        <w:t>primary</w:t>
      </w:r>
      <w:r w:rsidRPr="00250F98">
        <w:t xml:space="preserve"> endpoint of non</w:t>
      </w:r>
      <w:r>
        <w:t>-</w:t>
      </w:r>
      <w:r w:rsidRPr="00250F98">
        <w:t>inferiority versus staying on a PI + RTV + FTC/TDF regimen in virologically suppr</w:t>
      </w:r>
      <w:r w:rsidR="00623987">
        <w:t>essed, HIV-1 infected subjects.</w:t>
      </w:r>
    </w:p>
    <w:p w:rsidR="00250F98" w:rsidRPr="00250F98" w:rsidRDefault="00250F98" w:rsidP="00250F98">
      <w:pPr>
        <w:pStyle w:val="ListBullet"/>
      </w:pPr>
      <w:r w:rsidRPr="00250F98">
        <w:t xml:space="preserve">The rate of virologic success with STB was statistically superior </w:t>
      </w:r>
      <w:proofErr w:type="gramStart"/>
      <w:r w:rsidRPr="00250F98">
        <w:t>than</w:t>
      </w:r>
      <w:proofErr w:type="gramEnd"/>
      <w:r w:rsidRPr="00250F98">
        <w:t xml:space="preserve"> with PI + RTV + FTC/TDF at </w:t>
      </w:r>
      <w:r>
        <w:t>W</w:t>
      </w:r>
      <w:r w:rsidR="00623987">
        <w:t>eek 48 in the FAS.</w:t>
      </w:r>
    </w:p>
    <w:p w:rsidR="00250F98" w:rsidRPr="00250F98" w:rsidRDefault="00250F98" w:rsidP="00250F98">
      <w:pPr>
        <w:pStyle w:val="ListBullet"/>
      </w:pPr>
      <w:r w:rsidRPr="00250F98">
        <w:t>Small increases from baseline in CD4 cell counts</w:t>
      </w:r>
      <w:r w:rsidR="00623987">
        <w:t xml:space="preserve"> were seen in both groups.</w:t>
      </w:r>
    </w:p>
    <w:p w:rsidR="00250F98" w:rsidRPr="00250F98" w:rsidRDefault="00250F98" w:rsidP="00250F98">
      <w:pPr>
        <w:pStyle w:val="ListBullet"/>
      </w:pPr>
      <w:r w:rsidRPr="00250F98">
        <w:t>There was no treatment</w:t>
      </w:r>
      <w:r>
        <w:t xml:space="preserve"> </w:t>
      </w:r>
      <w:r w:rsidRPr="00250F98">
        <w:t>emergent HIV-1 d</w:t>
      </w:r>
      <w:r w:rsidR="00623987">
        <w:t>rug resistance in either group.</w:t>
      </w:r>
    </w:p>
    <w:p w:rsidR="00250F98" w:rsidRPr="00250F98" w:rsidRDefault="00C21610" w:rsidP="00C21610">
      <w:pPr>
        <w:pStyle w:val="Comment"/>
      </w:pPr>
      <w:r w:rsidRPr="00C21610">
        <w:rPr>
          <w:b/>
        </w:rPr>
        <w:t>C</w:t>
      </w:r>
      <w:r w:rsidR="00917002" w:rsidRPr="00C21610">
        <w:rPr>
          <w:b/>
        </w:rPr>
        <w:t>omment</w:t>
      </w:r>
      <w:r w:rsidRPr="00C21610">
        <w:rPr>
          <w:b/>
        </w:rPr>
        <w:t>:</w:t>
      </w:r>
      <w:r>
        <w:t xml:space="preserve"> </w:t>
      </w:r>
      <w:r w:rsidR="00250F98" w:rsidRPr="00250F98">
        <w:t>The sp</w:t>
      </w:r>
      <w:r w:rsidR="00623987">
        <w:t>onsor conclusions are accepted.</w:t>
      </w:r>
    </w:p>
    <w:p w:rsidR="00250F98" w:rsidRPr="00250F98" w:rsidRDefault="00623987" w:rsidP="00917002">
      <w:pPr>
        <w:pStyle w:val="Heading3"/>
      </w:pPr>
      <w:bookmarkStart w:id="26" w:name="_Toc481586176"/>
      <w:r>
        <w:t>GS-US-236-0121</w:t>
      </w:r>
      <w:bookmarkEnd w:id="26"/>
    </w:p>
    <w:p w:rsidR="00250F98" w:rsidRPr="00250F98" w:rsidRDefault="00250F98" w:rsidP="00917002">
      <w:pPr>
        <w:pStyle w:val="Heading4"/>
      </w:pPr>
      <w:r w:rsidRPr="00250F98">
        <w:t>Study design, objectives, locations and dates</w:t>
      </w:r>
    </w:p>
    <w:p w:rsidR="00250F98" w:rsidRPr="00250F98" w:rsidRDefault="00250F98" w:rsidP="00250F98">
      <w:r w:rsidRPr="00250F98">
        <w:t>This was a multi</w:t>
      </w:r>
      <w:r w:rsidR="00917002">
        <w:t>-</w:t>
      </w:r>
      <w:r w:rsidRPr="00250F98">
        <w:t xml:space="preserve">centre </w:t>
      </w:r>
      <w:r w:rsidR="00917002">
        <w:t>P</w:t>
      </w:r>
      <w:r w:rsidRPr="00250F98">
        <w:t xml:space="preserve">hase </w:t>
      </w:r>
      <w:r w:rsidR="00917002">
        <w:t>III</w:t>
      </w:r>
      <w:r w:rsidR="00391DD3">
        <w:t>B</w:t>
      </w:r>
      <w:r w:rsidRPr="00250F98">
        <w:t xml:space="preserve"> randomised, open</w:t>
      </w:r>
      <w:r w:rsidR="00917002">
        <w:t xml:space="preserve"> </w:t>
      </w:r>
      <w:r w:rsidRPr="00250F98">
        <w:t xml:space="preserve">label study to evaluate the efficacy, safety, and tolerability of switching from a SBR treatment comprising a NNRTI plus FTC and TDF to the </w:t>
      </w:r>
      <w:r w:rsidRPr="00250F98">
        <w:lastRenderedPageBreak/>
        <w:t xml:space="preserve">STB </w:t>
      </w:r>
      <w:r w:rsidR="00EC4698">
        <w:t>STR</w:t>
      </w:r>
      <w:r w:rsidRPr="00250F98">
        <w:t xml:space="preserve"> in virologically-suppressed, HIV-1 infected patients. It was conducted at 72 sites in the US, Spain, Germany, France, Italy, UK, Belgium, Switzerland, Austria, Canada, Puerto Rico and Portugal. It commenced in December 2011 with the last subject observation for this</w:t>
      </w:r>
      <w:r w:rsidR="00623987">
        <w:t xml:space="preserve"> report being in November 2013.</w:t>
      </w:r>
    </w:p>
    <w:p w:rsidR="00250F98" w:rsidRPr="00250F98" w:rsidRDefault="00623987" w:rsidP="00250F98">
      <w:r>
        <w:t>The objectives were:</w:t>
      </w:r>
    </w:p>
    <w:p w:rsidR="00250F98" w:rsidRPr="00250F98" w:rsidRDefault="00744563" w:rsidP="00917002">
      <w:pPr>
        <w:pStyle w:val="ListBullet"/>
      </w:pPr>
      <w:r>
        <w:t>Primary</w:t>
      </w:r>
      <w:r w:rsidR="00250F98" w:rsidRPr="00250F98">
        <w:t>: To evaluate the non</w:t>
      </w:r>
      <w:r w:rsidR="00917002">
        <w:t>-</w:t>
      </w:r>
      <w:r w:rsidR="00250F98" w:rsidRPr="00250F98">
        <w:t xml:space="preserve">inferiority of switching to STB relative to staying on SBR in maintaining HIV-1 RNA &lt; 50 copies/mL at </w:t>
      </w:r>
      <w:r w:rsidR="00917002">
        <w:t>W</w:t>
      </w:r>
      <w:r w:rsidR="00250F98" w:rsidRPr="00250F98">
        <w:t>eek 48 in virologically suppr</w:t>
      </w:r>
      <w:r w:rsidR="00623987">
        <w:t>essed, HIV-1 infected subjects.</w:t>
      </w:r>
    </w:p>
    <w:p w:rsidR="00250F98" w:rsidRPr="00250F98" w:rsidRDefault="00744563" w:rsidP="00917002">
      <w:pPr>
        <w:pStyle w:val="ListBullet"/>
      </w:pPr>
      <w:r>
        <w:t>Secondary</w:t>
      </w:r>
      <w:r w:rsidR="00250F98" w:rsidRPr="00250F98">
        <w:t xml:space="preserve">: To evaluate the efficacy, safety and tolerability of the 2 regimens through </w:t>
      </w:r>
      <w:r w:rsidR="00917002">
        <w:t>W</w:t>
      </w:r>
      <w:r w:rsidR="00623987">
        <w:t>eek 96.</w:t>
      </w:r>
    </w:p>
    <w:p w:rsidR="00250F98" w:rsidRPr="00250F98" w:rsidRDefault="00250F98" w:rsidP="00250F98">
      <w:r w:rsidRPr="00250F98">
        <w:t>Subjects were randomised in a 2:1 ratio to 1 of th</w:t>
      </w:r>
      <w:r w:rsidR="00623987">
        <w:t>e following 2 treatment groups:</w:t>
      </w:r>
    </w:p>
    <w:p w:rsidR="00250F98" w:rsidRPr="00250F98" w:rsidRDefault="00250F98" w:rsidP="00917002">
      <w:pPr>
        <w:pStyle w:val="ListBullet"/>
      </w:pPr>
      <w:r w:rsidRPr="00250F98">
        <w:t>T</w:t>
      </w:r>
      <w:r w:rsidR="00623987">
        <w:t>reatment Group 1: Switch to STB</w:t>
      </w:r>
      <w:r w:rsidR="0037549B">
        <w:t>.</w:t>
      </w:r>
    </w:p>
    <w:p w:rsidR="00250F98" w:rsidRPr="00250F98" w:rsidRDefault="00623987" w:rsidP="00917002">
      <w:pPr>
        <w:pStyle w:val="ListBullet"/>
      </w:pPr>
      <w:r>
        <w:t>Treatment Group 2: Stay on SBR</w:t>
      </w:r>
      <w:r w:rsidR="0037549B">
        <w:t>.</w:t>
      </w:r>
    </w:p>
    <w:p w:rsidR="00250F98" w:rsidRPr="00250F98" w:rsidRDefault="00250F98" w:rsidP="00250F98">
      <w:r w:rsidRPr="00250F98">
        <w:t xml:space="preserve">Treatment was planned for 96 weeks with study visits occurring at </w:t>
      </w:r>
      <w:r w:rsidR="00917002">
        <w:t>W</w:t>
      </w:r>
      <w:r w:rsidRPr="00250F98">
        <w:t xml:space="preserve">eeks 4, 8, 12, 24, 36, and 48, and then every 12 weeks up to the </w:t>
      </w:r>
      <w:r w:rsidR="00917002">
        <w:t>W</w:t>
      </w:r>
      <w:r w:rsidRPr="00250F98">
        <w:t xml:space="preserve">eek 96 visit. After </w:t>
      </w:r>
      <w:r w:rsidR="00917002">
        <w:t>W</w:t>
      </w:r>
      <w:r w:rsidRPr="00250F98">
        <w:t>eek 96, subjects on STB in countries where is not commercially available will be given the option to receive STB until it becomes commercially available or until the sponsor deter</w:t>
      </w:r>
      <w:r w:rsidR="00623987">
        <w:t>mines otherwise.</w:t>
      </w:r>
    </w:p>
    <w:p w:rsidR="00250F98" w:rsidRPr="00250F98" w:rsidRDefault="00250F98" w:rsidP="00250F98">
      <w:r w:rsidRPr="00250F98">
        <w:t xml:space="preserve">This section of the report describes the results with a data cut-off when all subjects had completed 48 weeks of study treatment or had discontinued before the </w:t>
      </w:r>
      <w:r w:rsidR="00917002">
        <w:t>W</w:t>
      </w:r>
      <w:r w:rsidR="00623987">
        <w:t>eek 48 visit.</w:t>
      </w:r>
    </w:p>
    <w:p w:rsidR="00250F98" w:rsidRPr="00250F98" w:rsidRDefault="00623987" w:rsidP="00917002">
      <w:pPr>
        <w:pStyle w:val="Heading4"/>
      </w:pPr>
      <w:r>
        <w:t>Main inclusion criteria</w:t>
      </w:r>
    </w:p>
    <w:p w:rsidR="00250F98" w:rsidRPr="00250F98" w:rsidRDefault="00250F98" w:rsidP="00250F98">
      <w:r w:rsidRPr="00250F98">
        <w:t>Subjects were HIV-1 infected adults receiving an ARV regimen comprising an NNRTI + FTC/TDF for ≥ 6 consecutive months, with documented undetectable plasma HIV-1 RNA levels preceding the screening visit, and who had never experienced 2 consecutive HIV-1 RNA values above detectable levels after initially achieving virologic suppression on the 1</w:t>
      </w:r>
      <w:r w:rsidRPr="00917002">
        <w:rPr>
          <w:vertAlign w:val="superscript"/>
        </w:rPr>
        <w:t>st</w:t>
      </w:r>
      <w:r w:rsidR="00917002">
        <w:rPr>
          <w:vertAlign w:val="superscript"/>
        </w:rPr>
        <w:t xml:space="preserve"> </w:t>
      </w:r>
      <w:r w:rsidRPr="00250F98">
        <w:t>or 2</w:t>
      </w:r>
      <w:r w:rsidRPr="00917002">
        <w:rPr>
          <w:vertAlign w:val="superscript"/>
        </w:rPr>
        <w:t>nd</w:t>
      </w:r>
      <w:r w:rsidRPr="00250F98">
        <w:t xml:space="preserve"> regimen with no prior use of any approved or experimental INSTI, no known resistance to TDF or FTC, and an estimated eGFR</w:t>
      </w:r>
      <w:r w:rsidRPr="00917002">
        <w:rPr>
          <w:vertAlign w:val="subscript"/>
        </w:rPr>
        <w:t>CG</w:t>
      </w:r>
      <w:r w:rsidRPr="00250F98">
        <w:t xml:space="preserve"> ≥ 70 mL/min at screening. Documented historical genotype prior to starting initial ARV therapy showing no known resistance to TDF or FTC, including, but not limited to the presence of RT resistance mutations K65R, M184V/I, or 3 or more TAMs (M41L, D67N, K70R, L210W, T215Y/F, K219Q/E/N/R) that included M</w:t>
      </w:r>
      <w:r w:rsidR="00623987">
        <w:t>41L or L210W was also required.</w:t>
      </w:r>
    </w:p>
    <w:p w:rsidR="00917002" w:rsidRPr="00917002" w:rsidRDefault="00623987" w:rsidP="00917002">
      <w:pPr>
        <w:pStyle w:val="Heading4"/>
      </w:pPr>
      <w:r>
        <w:t>Study treatments</w:t>
      </w:r>
    </w:p>
    <w:p w:rsidR="00917002" w:rsidRPr="00917002" w:rsidRDefault="00917002" w:rsidP="00917002">
      <w:pPr>
        <w:pStyle w:val="ListBullet"/>
      </w:pPr>
      <w:r w:rsidRPr="00917002">
        <w:t>Treatment Group 1: STB was administered orally 1 tablet daily with food at</w:t>
      </w:r>
      <w:r w:rsidR="00623987">
        <w:t xml:space="preserve"> around the same time each day.</w:t>
      </w:r>
    </w:p>
    <w:p w:rsidR="00917002" w:rsidRPr="00917002" w:rsidRDefault="00917002" w:rsidP="00917002">
      <w:pPr>
        <w:pStyle w:val="ListBullet"/>
      </w:pPr>
      <w:r w:rsidRPr="00917002">
        <w:t>Treatment Group 2: SBR: NNRTI + FTC/TDF; EFV, nevirapine (NVP), and RPV were the only allowed NNRTIs in combination with FTC/TDF (TVD), and could include the STRs EFV/FTC/TDF [ATR] or FTC/RPV/TDF; these were administered th</w:t>
      </w:r>
      <w:r w:rsidR="00623987">
        <w:t>e same way as before the study.</w:t>
      </w:r>
    </w:p>
    <w:p w:rsidR="00917002" w:rsidRPr="00917002" w:rsidRDefault="00917002" w:rsidP="00917002">
      <w:r w:rsidRPr="00917002">
        <w:t>Allowed and prohibited prior and concomitant medication was specified. Procedures for measu</w:t>
      </w:r>
      <w:r w:rsidR="00623987">
        <w:t>ring compliance were described.</w:t>
      </w:r>
    </w:p>
    <w:p w:rsidR="00917002" w:rsidRPr="00917002" w:rsidRDefault="00917002" w:rsidP="00917002">
      <w:pPr>
        <w:pStyle w:val="Heading4"/>
      </w:pPr>
      <w:r w:rsidRPr="00917002">
        <w:t>Efficacy outcome varia</w:t>
      </w:r>
      <w:r w:rsidR="00623987">
        <w:t>bles</w:t>
      </w:r>
    </w:p>
    <w:p w:rsidR="00917002" w:rsidRPr="00917002" w:rsidRDefault="00917002" w:rsidP="00917002">
      <w:r w:rsidRPr="00917002">
        <w:t xml:space="preserve">The </w:t>
      </w:r>
      <w:r w:rsidR="00744563">
        <w:t>primary</w:t>
      </w:r>
      <w:r w:rsidRPr="00917002">
        <w:t xml:space="preserve"> efficacy endpoint was the % of subjects with HIV-1 RNA &lt; 50 copies/mL at </w:t>
      </w:r>
      <w:r>
        <w:t>W</w:t>
      </w:r>
      <w:r w:rsidRPr="00917002">
        <w:t>eek 48 using the US FDA</w:t>
      </w:r>
      <w:r>
        <w:t xml:space="preserve"> </w:t>
      </w:r>
      <w:r w:rsidR="00623987">
        <w:t>defined snapshot analysis.</w:t>
      </w:r>
    </w:p>
    <w:p w:rsidR="00917002" w:rsidRPr="00917002" w:rsidRDefault="00917002" w:rsidP="00917002">
      <w:r w:rsidRPr="00917002">
        <w:t xml:space="preserve">The </w:t>
      </w:r>
      <w:r w:rsidR="00744563">
        <w:t>Secondary</w:t>
      </w:r>
      <w:r w:rsidRPr="00917002">
        <w:t xml:space="preserve"> and </w:t>
      </w:r>
      <w:r w:rsidR="001F38F1">
        <w:t>tertiary</w:t>
      </w:r>
      <w:r w:rsidRPr="00917002">
        <w:t xml:space="preserve"> efficacy endpoints evaluated for the </w:t>
      </w:r>
      <w:r>
        <w:t>W</w:t>
      </w:r>
      <w:r w:rsidR="00623987">
        <w:t>eek 48 analysis were:</w:t>
      </w:r>
    </w:p>
    <w:p w:rsidR="00917002" w:rsidRPr="00917002" w:rsidRDefault="00917002" w:rsidP="00917002">
      <w:pPr>
        <w:pStyle w:val="ListBullet"/>
      </w:pPr>
      <w:r w:rsidRPr="00917002">
        <w:t xml:space="preserve">Changes in CD4 cell count from baseline to </w:t>
      </w:r>
      <w:r>
        <w:t>W</w:t>
      </w:r>
      <w:r w:rsidR="00623987">
        <w:t>eek 48</w:t>
      </w:r>
      <w:r w:rsidR="0037549B">
        <w:t>.</w:t>
      </w:r>
    </w:p>
    <w:p w:rsidR="00917002" w:rsidRPr="00917002" w:rsidRDefault="00744563" w:rsidP="00917002">
      <w:pPr>
        <w:pStyle w:val="ListBullet"/>
      </w:pPr>
      <w:r>
        <w:t>Percent</w:t>
      </w:r>
      <w:r w:rsidR="00917002" w:rsidRPr="00917002">
        <w:t xml:space="preserve"> of subjects with HIV-1 RNA &lt; 50 copies/mL by visit to </w:t>
      </w:r>
      <w:r w:rsidR="00917002">
        <w:t>W</w:t>
      </w:r>
      <w:r w:rsidR="00623987">
        <w:t>eek 48</w:t>
      </w:r>
      <w:r w:rsidR="0037549B">
        <w:t>.</w:t>
      </w:r>
    </w:p>
    <w:p w:rsidR="00917002" w:rsidRPr="00917002" w:rsidRDefault="00744563" w:rsidP="00917002">
      <w:pPr>
        <w:pStyle w:val="ListBullet"/>
      </w:pPr>
      <w:r>
        <w:lastRenderedPageBreak/>
        <w:t>Percent</w:t>
      </w:r>
      <w:r w:rsidR="00917002" w:rsidRPr="00917002">
        <w:t xml:space="preserve"> of subjects who have last, on study drug, HIV-1 RNA &lt; 50 copies/mL to </w:t>
      </w:r>
      <w:r w:rsidR="00917002">
        <w:t>W</w:t>
      </w:r>
      <w:r w:rsidR="00222429">
        <w:t>eek 48</w:t>
      </w:r>
      <w:r w:rsidR="0037549B">
        <w:t>.</w:t>
      </w:r>
    </w:p>
    <w:p w:rsidR="00917002" w:rsidRPr="00917002" w:rsidRDefault="00744563" w:rsidP="00917002">
      <w:pPr>
        <w:pStyle w:val="ListBullet"/>
      </w:pPr>
      <w:r>
        <w:t>Percent</w:t>
      </w:r>
      <w:r w:rsidR="00917002" w:rsidRPr="00917002">
        <w:t xml:space="preserve"> of subjects who maintained HIV-1 RNA &lt; 50 copies/mL to </w:t>
      </w:r>
      <w:r w:rsidR="00917002">
        <w:t>W</w:t>
      </w:r>
      <w:r w:rsidR="00222429">
        <w:t>eek 48 (TLOVR)</w:t>
      </w:r>
      <w:r w:rsidR="0037549B">
        <w:t>.</w:t>
      </w:r>
    </w:p>
    <w:p w:rsidR="00917002" w:rsidRPr="00917002" w:rsidRDefault="00917002" w:rsidP="00917002">
      <w:pPr>
        <w:pStyle w:val="ListBullet"/>
      </w:pPr>
      <w:r w:rsidRPr="00917002">
        <w:t xml:space="preserve">Time to loss of PVR to </w:t>
      </w:r>
      <w:r>
        <w:t>W</w:t>
      </w:r>
      <w:r w:rsidR="00222429">
        <w:t>eek 48</w:t>
      </w:r>
      <w:r w:rsidR="0037549B">
        <w:t>.</w:t>
      </w:r>
    </w:p>
    <w:p w:rsidR="00917002" w:rsidRPr="00917002" w:rsidRDefault="00917002" w:rsidP="00917002">
      <w:pPr>
        <w:pStyle w:val="ListBullet"/>
      </w:pPr>
      <w:r w:rsidRPr="00917002">
        <w:t>Joint distribution of PVF</w:t>
      </w:r>
      <w:r w:rsidR="00222429">
        <w:t xml:space="preserve"> and study drug discontinuation</w:t>
      </w:r>
      <w:r w:rsidR="0037549B">
        <w:t>.</w:t>
      </w:r>
    </w:p>
    <w:p w:rsidR="00917002" w:rsidRPr="00917002" w:rsidRDefault="00744563" w:rsidP="00917002">
      <w:pPr>
        <w:pStyle w:val="ListBullet"/>
      </w:pPr>
      <w:r>
        <w:t>Percent</w:t>
      </w:r>
      <w:r w:rsidR="00917002" w:rsidRPr="00917002">
        <w:t xml:space="preserve"> of subjects with</w:t>
      </w:r>
      <w:r w:rsidR="00222429">
        <w:t xml:space="preserve"> emergent HIV-1 drug resistance</w:t>
      </w:r>
      <w:r w:rsidR="0029502A">
        <w:t>.</w:t>
      </w:r>
    </w:p>
    <w:p w:rsidR="00917002" w:rsidRPr="00917002" w:rsidRDefault="00917002" w:rsidP="00917002">
      <w:r w:rsidRPr="00917002">
        <w:t>In addition, PROs were assessed. These are not evaluated as they are not relevant to t</w:t>
      </w:r>
      <w:r w:rsidR="00222429">
        <w:t>he proposed PI changes.</w:t>
      </w:r>
    </w:p>
    <w:p w:rsidR="00917002" w:rsidRPr="00917002" w:rsidRDefault="00222429" w:rsidP="00917002">
      <w:pPr>
        <w:pStyle w:val="Heading4"/>
      </w:pPr>
      <w:r>
        <w:t>Sample size</w:t>
      </w:r>
    </w:p>
    <w:p w:rsidR="00917002" w:rsidRPr="00917002" w:rsidRDefault="00917002" w:rsidP="00917002">
      <w:r w:rsidRPr="00917002">
        <w:t>420 subjects were planned to be randomised in a 2:1 ratio to the 2 treatment groups (STB; SBR). With 280 subjects randomised to STB and 140 to SBR, the lower limit of the observed 1</w:t>
      </w:r>
      <w:r>
        <w:t xml:space="preserve"> </w:t>
      </w:r>
      <w:r w:rsidRPr="00917002">
        <w:t>sided 97.5% CI was expected to be &gt; -0.12 (</w:t>
      </w:r>
      <w:r w:rsidR="00C21610">
        <w:t>that is,</w:t>
      </w:r>
      <w:r w:rsidRPr="00917002">
        <w:t xml:space="preserve"> non</w:t>
      </w:r>
      <w:r w:rsidRPr="00C21610">
        <w:t xml:space="preserve">-inferiority </w:t>
      </w:r>
      <w:r w:rsidR="00C21610" w:rsidRPr="00C21610">
        <w:t>difference</w:t>
      </w:r>
      <w:r w:rsidRPr="00C21610">
        <w:t xml:space="preserve"> of 12%)</w:t>
      </w:r>
      <w:r w:rsidRPr="00917002">
        <w:t xml:space="preserve"> with 85% power assuming that the % of responders in both groups for the </w:t>
      </w:r>
      <w:r w:rsidR="00744563">
        <w:t>primary</w:t>
      </w:r>
      <w:r w:rsidRPr="00917002">
        <w:t xml:space="preserve"> endpoint was 82% at </w:t>
      </w:r>
      <w:r>
        <w:t>W</w:t>
      </w:r>
      <w:r w:rsidR="00C21610">
        <w:t>eek </w:t>
      </w:r>
      <w:r w:rsidR="00222429">
        <w:t>48.</w:t>
      </w:r>
    </w:p>
    <w:p w:rsidR="00917002" w:rsidRPr="00917002" w:rsidRDefault="00917002" w:rsidP="00917002">
      <w:pPr>
        <w:pStyle w:val="Heading4"/>
      </w:pPr>
      <w:r w:rsidRPr="00917002">
        <w:t>Ran</w:t>
      </w:r>
      <w:r w:rsidR="00222429">
        <w:t>domisation and blinding methods</w:t>
      </w:r>
    </w:p>
    <w:p w:rsidR="00917002" w:rsidRPr="00917002" w:rsidRDefault="00917002" w:rsidP="00917002">
      <w:r w:rsidRPr="00917002">
        <w:t>Subjects were randomised in a 2:1 ratio to treatment Group 1 or 2 using permuted blocks stratified for use of EFV at enrolment. Blinding did not apply a</w:t>
      </w:r>
      <w:r w:rsidR="00222429">
        <w:t>s this was an open label study.</w:t>
      </w:r>
    </w:p>
    <w:p w:rsidR="00917002" w:rsidRPr="00917002" w:rsidRDefault="00222429" w:rsidP="00917002">
      <w:pPr>
        <w:pStyle w:val="Heading4"/>
      </w:pPr>
      <w:r>
        <w:t xml:space="preserve">Analysis </w:t>
      </w:r>
      <w:r w:rsidR="00C21610">
        <w:t>p</w:t>
      </w:r>
      <w:r>
        <w:t>opulations</w:t>
      </w:r>
    </w:p>
    <w:p w:rsidR="00917002" w:rsidRPr="00917002" w:rsidRDefault="00917002" w:rsidP="00917002">
      <w:pPr>
        <w:pStyle w:val="ListBullet"/>
      </w:pPr>
      <w:r w:rsidRPr="00917002">
        <w:t>SAS: enrolled subjects who received at le</w:t>
      </w:r>
      <w:r w:rsidR="00222429">
        <w:t>ast 1 dose of study medication.</w:t>
      </w:r>
    </w:p>
    <w:p w:rsidR="00917002" w:rsidRPr="00917002" w:rsidRDefault="00917002" w:rsidP="00917002">
      <w:pPr>
        <w:pStyle w:val="ListBullet"/>
      </w:pPr>
      <w:r w:rsidRPr="00917002">
        <w:t xml:space="preserve">FAS: All randomised subjects who received at least 1 dose of study medication. The FAS was the </w:t>
      </w:r>
      <w:r w:rsidR="00744563">
        <w:t>primary</w:t>
      </w:r>
      <w:r w:rsidRPr="00917002">
        <w:t xml:space="preserve"> set for analysis of efficacy endpoints and is consistent with the ITT approach. Subjects with major protocol violations including documented protocol</w:t>
      </w:r>
      <w:r w:rsidR="00222429">
        <w:t xml:space="preserve"> </w:t>
      </w:r>
      <w:r w:rsidRPr="00917002">
        <w:t xml:space="preserve">prohibited resistance at or prior to </w:t>
      </w:r>
      <w:r>
        <w:t>D</w:t>
      </w:r>
      <w:r w:rsidRPr="00917002">
        <w:t>ay 1 and not being on an NN</w:t>
      </w:r>
      <w:r w:rsidR="00222429">
        <w:t>RTI at screening were excluded.</w:t>
      </w:r>
    </w:p>
    <w:p w:rsidR="00917002" w:rsidRPr="00917002" w:rsidRDefault="00917002" w:rsidP="00917002">
      <w:pPr>
        <w:pStyle w:val="ListBullet"/>
      </w:pPr>
      <w:r w:rsidRPr="00917002">
        <w:t xml:space="preserve">PPS: This included subjects in the FAS but excluded those who were not virologically suppressed at both the screening and baseline visits, did not have reported HIV-1 RNA in the </w:t>
      </w:r>
      <w:r>
        <w:t>W</w:t>
      </w:r>
      <w:r w:rsidRPr="00917002">
        <w:t>eek 48 analysis window for reasons other than discontinuation of study drug due to lack of efficacy, did not meet the key inclusion criterion that the historical genotype report must show sensitivity to FTC and TDF or were receiving therapy with any prohibited medication not to be used with STB. Subjects were grouped according to the treatment they actually received and only efficacy data up to the last dose da</w:t>
      </w:r>
      <w:r w:rsidR="00222429">
        <w:t>te of study drug were included.</w:t>
      </w:r>
    </w:p>
    <w:p w:rsidR="00917002" w:rsidRPr="00917002" w:rsidRDefault="00222429" w:rsidP="00917002">
      <w:pPr>
        <w:pStyle w:val="Heading4"/>
      </w:pPr>
      <w:r>
        <w:t>Statistical methods</w:t>
      </w:r>
    </w:p>
    <w:p w:rsidR="00917002" w:rsidRPr="00917002" w:rsidRDefault="00917002" w:rsidP="00917002">
      <w:r w:rsidRPr="00917002">
        <w:t>Demographic data and baseline characteristics were summarised by treatment group and overall using descriptive statistics for continuous data and by the number and % of subjects for categorical data. Information regarding HIV disease</w:t>
      </w:r>
      <w:r>
        <w:t xml:space="preserve"> </w:t>
      </w:r>
      <w:r w:rsidRPr="00917002">
        <w:t>specific characteristics, prior ARV medications and cardiovascular disease</w:t>
      </w:r>
      <w:r w:rsidR="00222429">
        <w:t xml:space="preserve"> </w:t>
      </w:r>
      <w:r w:rsidRPr="00917002">
        <w:t>specific medical hist</w:t>
      </w:r>
      <w:r w:rsidR="00222429">
        <w:t>ory was summarised.</w:t>
      </w:r>
    </w:p>
    <w:p w:rsidR="00222429" w:rsidRPr="00222429" w:rsidRDefault="00744563" w:rsidP="00222429">
      <w:pPr>
        <w:pStyle w:val="Heading5"/>
        <w:rPr>
          <w:rFonts w:eastAsiaTheme="minorHAnsi"/>
        </w:rPr>
      </w:pPr>
      <w:r>
        <w:rPr>
          <w:rFonts w:eastAsiaTheme="minorHAnsi"/>
        </w:rPr>
        <w:t>Primary</w:t>
      </w:r>
      <w:r w:rsidR="00222429" w:rsidRPr="00222429">
        <w:rPr>
          <w:rFonts w:eastAsiaTheme="minorHAnsi"/>
        </w:rPr>
        <w:t xml:space="preserve"> </w:t>
      </w:r>
      <w:r w:rsidR="00C21610">
        <w:rPr>
          <w:rFonts w:eastAsiaTheme="minorHAnsi"/>
        </w:rPr>
        <w:t>efficacy endpoint</w:t>
      </w:r>
    </w:p>
    <w:p w:rsidR="00222429" w:rsidRPr="00222429" w:rsidRDefault="00222429" w:rsidP="00222429">
      <w:r w:rsidRPr="00222429">
        <w:t>The</w:t>
      </w:r>
      <w:r>
        <w:t xml:space="preserve"> W</w:t>
      </w:r>
      <w:r w:rsidRPr="00222429">
        <w:t xml:space="preserve">eek 48 analysis window was defined as </w:t>
      </w:r>
      <w:r>
        <w:t>D</w:t>
      </w:r>
      <w:r w:rsidRPr="00222429">
        <w:t xml:space="preserve">ays 295 to 378 (inclusive) for the </w:t>
      </w:r>
      <w:r w:rsidR="00744563">
        <w:t>primary</w:t>
      </w:r>
      <w:r w:rsidRPr="00222429">
        <w:t xml:space="preserve"> efficacy endpoint analysis. Virologic outcome was defined as success, failure, and no virologic data. The </w:t>
      </w:r>
      <w:r w:rsidR="00744563">
        <w:t>primary</w:t>
      </w:r>
      <w:r w:rsidRPr="00222429">
        <w:t xml:space="preserve"> analysis used the FAS. Evaluation of non</w:t>
      </w:r>
      <w:r>
        <w:t>-</w:t>
      </w:r>
      <w:r w:rsidRPr="00222429">
        <w:t>inferiority was done by constructing a 2</w:t>
      </w:r>
      <w:r>
        <w:t xml:space="preserve"> </w:t>
      </w:r>
      <w:r w:rsidRPr="00222429">
        <w:t>sided exact 95% CI for the difference in the %s of virologic success between groups (STB – SBR). Non</w:t>
      </w:r>
      <w:r>
        <w:t>-</w:t>
      </w:r>
      <w:r w:rsidRPr="00222429">
        <w:t>inferiority was assessed using the 95% CI approach with a non</w:t>
      </w:r>
      <w:r>
        <w:t>-</w:t>
      </w:r>
      <w:r w:rsidRPr="00222429">
        <w:t>inferiority margin of 12%. It was concluded that the STB group was non</w:t>
      </w:r>
      <w:r>
        <w:t>-</w:t>
      </w:r>
      <w:r w:rsidRPr="00222429">
        <w:t>inferior to the SBR group if the lower bound of the 2</w:t>
      </w:r>
      <w:r>
        <w:t> </w:t>
      </w:r>
      <w:r w:rsidRPr="00222429">
        <w:t>sided 95% CI of the difference in response rates between groups was &gt; -12%. If non</w:t>
      </w:r>
      <w:r>
        <w:t>-</w:t>
      </w:r>
      <w:r w:rsidRPr="00222429">
        <w:t>inferiority of switching to STB versus SBR was established, superiority was assessed between the 2 groups based on the same 95% CI used to assess non</w:t>
      </w:r>
      <w:r>
        <w:t>-</w:t>
      </w:r>
      <w:r w:rsidRPr="00222429">
        <w:t xml:space="preserve">inferiority. The superiority of switching to STB versus staying on SBR would be established if the lower bound of the 95% CI </w:t>
      </w:r>
      <w:r w:rsidRPr="00222429">
        <w:lastRenderedPageBreak/>
        <w:t xml:space="preserve">was &gt; 0. The Fisher exact test was used to calculate the p-value. Virologic outcome at </w:t>
      </w:r>
      <w:r>
        <w:t>W</w:t>
      </w:r>
      <w:r w:rsidRPr="00222429">
        <w:t xml:space="preserve">eek 48 was also analysed for the PPS. In a sensitivity analysis, the difference between treatment groups and its 95% CI, in the % of subjects with virologic failure at </w:t>
      </w:r>
      <w:r>
        <w:t>W</w:t>
      </w:r>
      <w:r w:rsidRPr="00222429">
        <w:t xml:space="preserve">eek 48 was determined using the snapshot algorithm and the same methods as for the </w:t>
      </w:r>
      <w:r w:rsidR="00744563">
        <w:t>primary</w:t>
      </w:r>
      <w:r>
        <w:t xml:space="preserve"> </w:t>
      </w:r>
      <w:r w:rsidRPr="00222429">
        <w:t>analysis for the FAS.</w:t>
      </w:r>
    </w:p>
    <w:p w:rsidR="00222429" w:rsidRPr="00222429" w:rsidRDefault="00744563" w:rsidP="00222429">
      <w:pPr>
        <w:pStyle w:val="Heading5"/>
        <w:rPr>
          <w:rFonts w:eastAsiaTheme="minorHAnsi"/>
        </w:rPr>
      </w:pPr>
      <w:r>
        <w:rPr>
          <w:rFonts w:eastAsiaTheme="minorHAnsi"/>
        </w:rPr>
        <w:t>Secondary</w:t>
      </w:r>
      <w:r w:rsidR="00222429" w:rsidRPr="00222429">
        <w:rPr>
          <w:rFonts w:eastAsiaTheme="minorHAnsi"/>
        </w:rPr>
        <w:t xml:space="preserve"> and </w:t>
      </w:r>
      <w:r w:rsidR="001F38F1">
        <w:rPr>
          <w:rFonts w:eastAsiaTheme="minorHAnsi"/>
        </w:rPr>
        <w:t>tertiary</w:t>
      </w:r>
      <w:r w:rsidR="00222429" w:rsidRPr="00222429">
        <w:rPr>
          <w:rFonts w:eastAsiaTheme="minorHAnsi"/>
        </w:rPr>
        <w:t xml:space="preserve"> </w:t>
      </w:r>
      <w:r w:rsidR="00C21610" w:rsidRPr="00222429">
        <w:rPr>
          <w:rFonts w:eastAsiaTheme="minorHAnsi"/>
        </w:rPr>
        <w:t>efficacy endpoints</w:t>
      </w:r>
    </w:p>
    <w:p w:rsidR="00222429" w:rsidRPr="00222429" w:rsidRDefault="00222429" w:rsidP="00222429">
      <w:pPr>
        <w:pStyle w:val="ListBullet"/>
      </w:pPr>
      <w:r>
        <w:t>C</w:t>
      </w:r>
      <w:r w:rsidRPr="00222429">
        <w:t xml:space="preserve">hange from Baseline in CD4 Cell Counts and % (while on study drug): these were analysed using M = E and M = LOCF methods and summarised using descriptive statistics for each visit and treatment group. The statistical significance of the change from baseline in CD4 cell count was assessed using the Wilcoxon signed rank test within each treatment. The Wilcoxon rank-sum test was used to assess the difference between the groups at </w:t>
      </w:r>
      <w:r>
        <w:t>W</w:t>
      </w:r>
      <w:r w:rsidRPr="00222429">
        <w:t>eek 48. Descriptive statistics were used to summarise CD4% by visit (M = E) while on study and on study drug.</w:t>
      </w:r>
    </w:p>
    <w:p w:rsidR="00222429" w:rsidRDefault="00744563" w:rsidP="00222429">
      <w:pPr>
        <w:pStyle w:val="ListBullet"/>
      </w:pPr>
      <w:r>
        <w:t>Percent</w:t>
      </w:r>
      <w:r w:rsidR="00222429" w:rsidRPr="00222429">
        <w:t xml:space="preserve"> of Subjects with Plasma HIV-1 RNA levels &lt; 50 copies/mL: this was analysed using M = F by visit to </w:t>
      </w:r>
      <w:r w:rsidR="00222429">
        <w:t>W</w:t>
      </w:r>
      <w:r w:rsidR="00222429" w:rsidRPr="00222429">
        <w:t xml:space="preserve">eek 48, M = E by visit using all available data, and M = LOCF to </w:t>
      </w:r>
      <w:r w:rsidR="00222429">
        <w:t>W</w:t>
      </w:r>
      <w:r w:rsidR="00222429" w:rsidRPr="00222429">
        <w:t>eek 48. The exact 95% CI for the difference between groups in % of s</w:t>
      </w:r>
      <w:r w:rsidR="00C21610">
        <w:t>ubjects with plasma HIV-1 RNA &lt; </w:t>
      </w:r>
      <w:r w:rsidR="00222429" w:rsidRPr="00222429">
        <w:t>50 copies/mL was calculated. The Fisher exact test was used to calculate the p-value.</w:t>
      </w:r>
    </w:p>
    <w:p w:rsidR="00222429" w:rsidRPr="00222429" w:rsidRDefault="00222429" w:rsidP="00222429">
      <w:pPr>
        <w:pStyle w:val="ListBullet"/>
      </w:pPr>
      <w:r w:rsidRPr="00222429">
        <w:t xml:space="preserve">TLOVR: The maintenance of confirmed HIV-1 RNA &lt; 50 copies/mL to </w:t>
      </w:r>
      <w:r>
        <w:t>W</w:t>
      </w:r>
      <w:r w:rsidRPr="00222429">
        <w:t>eek 48 (responder) was derived using all available non</w:t>
      </w:r>
      <w:r>
        <w:t>-</w:t>
      </w:r>
      <w:r w:rsidRPr="00222429">
        <w:t>missing HIV-1 RNA based on the FDA</w:t>
      </w:r>
      <w:r>
        <w:t xml:space="preserve"> </w:t>
      </w:r>
      <w:r w:rsidRPr="00222429">
        <w:t>defined TLOVR algorithm. The count and % of responders (with the 95% CI for the difference between groups) and non</w:t>
      </w:r>
      <w:r>
        <w:t>-</w:t>
      </w:r>
      <w:r w:rsidRPr="00222429">
        <w:t>responders</w:t>
      </w:r>
      <w:r>
        <w:t xml:space="preserve"> (by category) were calculated.</w:t>
      </w:r>
    </w:p>
    <w:p w:rsidR="00222429" w:rsidRPr="00222429" w:rsidRDefault="00222429" w:rsidP="00222429">
      <w:pPr>
        <w:pStyle w:val="ListBullet"/>
      </w:pPr>
      <w:r w:rsidRPr="00222429">
        <w:t xml:space="preserve">Time to Loss of PVR: The KM method was used to estimate this outcome to </w:t>
      </w:r>
      <w:r>
        <w:t>W</w:t>
      </w:r>
      <w:r w:rsidRPr="00222429">
        <w:t xml:space="preserve">eek 48. PVR was defined as not having a PVF event on or prior to the last dose of study drug. The PVF event time was defined as the day of the first of 2 consecutive HIV-1 RNA ≥ </w:t>
      </w:r>
      <w:proofErr w:type="gramStart"/>
      <w:r w:rsidRPr="00222429">
        <w:t>50 copies/mL</w:t>
      </w:r>
      <w:proofErr w:type="gramEnd"/>
      <w:r w:rsidRPr="00222429">
        <w:t xml:space="preserve"> or 1 HIV-1 RNA ≥ 50 copies/mL followed by permanent discontinuation of study drug. Only events before permanent discontinuation were included in the analysis. Subjects with no PVF and no early discontinuation were censored on </w:t>
      </w:r>
      <w:r>
        <w:t>D</w:t>
      </w:r>
      <w:r w:rsidRPr="00222429">
        <w:t>ay 378. The 95% CI for the difference between the 2 groups was calculated using the normal approximation approach. The p-value for the difference between the 2 groups was calculated based on the log</w:t>
      </w:r>
      <w:r>
        <w:t xml:space="preserve"> </w:t>
      </w:r>
      <w:r w:rsidRPr="00222429">
        <w:t>rank test.</w:t>
      </w:r>
    </w:p>
    <w:p w:rsidR="00222429" w:rsidRPr="00222429" w:rsidRDefault="00222429" w:rsidP="00222429">
      <w:pPr>
        <w:pStyle w:val="ListBullet"/>
      </w:pPr>
      <w:r w:rsidRPr="00222429">
        <w:t>Joint Distribution of PVF and Study Drug Discontinuation: This was summarised and included the number of subjects with no PVF and no discontinuation, PVF only, discontinuation onl</w:t>
      </w:r>
      <w:r>
        <w:t>y, and discontinuation and PVF.</w:t>
      </w:r>
    </w:p>
    <w:p w:rsidR="00222429" w:rsidRPr="00222429" w:rsidRDefault="00222429" w:rsidP="00222429">
      <w:r w:rsidRPr="00222429">
        <w:t xml:space="preserve">Subgroup analyses were done for age: &lt; 40 and ≥ 40 years, sex: male and female, race: </w:t>
      </w:r>
      <w:r w:rsidR="00B90068">
        <w:t>White</w:t>
      </w:r>
      <w:r w:rsidRPr="00222429">
        <w:t xml:space="preserve"> and non</w:t>
      </w:r>
      <w:r>
        <w:t>-</w:t>
      </w:r>
      <w:proofErr w:type="gramStart"/>
      <w:r w:rsidR="00B90068">
        <w:t>White</w:t>
      </w:r>
      <w:r w:rsidRPr="00222429">
        <w:t>,</w:t>
      </w:r>
      <w:proofErr w:type="gramEnd"/>
      <w:r w:rsidRPr="00222429">
        <w:t xml:space="preserve"> PI at screening: ATV, DRV, LPV and other, and number of pr</w:t>
      </w:r>
      <w:r>
        <w:t>ior ARV regimens: 1, 2, or &gt; 2.</w:t>
      </w:r>
    </w:p>
    <w:p w:rsidR="00222429" w:rsidRPr="00222429" w:rsidRDefault="00222429" w:rsidP="00222429">
      <w:pPr>
        <w:pStyle w:val="Heading5"/>
        <w:rPr>
          <w:rFonts w:eastAsiaTheme="minorHAnsi"/>
        </w:rPr>
      </w:pPr>
      <w:r w:rsidRPr="00222429">
        <w:rPr>
          <w:rFonts w:eastAsiaTheme="minorHAnsi"/>
        </w:rPr>
        <w:t xml:space="preserve">Measurement </w:t>
      </w:r>
      <w:r w:rsidR="00E3416C" w:rsidRPr="00222429">
        <w:rPr>
          <w:rFonts w:eastAsiaTheme="minorHAnsi"/>
        </w:rPr>
        <w:t>and analysis of resistance data</w:t>
      </w:r>
    </w:p>
    <w:p w:rsidR="00222429" w:rsidRPr="00222429" w:rsidRDefault="00222429" w:rsidP="00222429">
      <w:r w:rsidRPr="00222429">
        <w:t xml:space="preserve">Identification of a genotype at screening to exclude subjects with known resistance to study drugs could not be done due to the suppressed HIV-1 viral load. Hence, historical genotypes were used to assess sensitivity to FTC and TDF at screening. HIV-1 genotyping testing (resistance testing) was done if a subject was confirmed as a virologic failure or if HIV-1 RNA was </w:t>
      </w:r>
      <w:proofErr w:type="gramStart"/>
      <w:r w:rsidRPr="00222429">
        <w:t>≥ 400 copies/mL</w:t>
      </w:r>
      <w:proofErr w:type="gramEnd"/>
      <w:r w:rsidRPr="00222429">
        <w:t xml:space="preserve"> at the subject’s last visit. Subjects with virologic rebound were considered to have virologic failure. Virologic rebound was defined as having 2 consecutive HIV-1 RNA values ≥ 50 copies/mL at least 2 weeks apart. Subjects with rebound were included in the RAP if HIV-1 RNA was ≥ 400 copies/mL at the 2</w:t>
      </w:r>
      <w:r w:rsidRPr="00222429">
        <w:rPr>
          <w:vertAlign w:val="superscript"/>
        </w:rPr>
        <w:t>nd</w:t>
      </w:r>
      <w:r>
        <w:t xml:space="preserve"> </w:t>
      </w:r>
      <w:r w:rsidRPr="00222429">
        <w:t xml:space="preserve">visit. The sample from the confirmation visit was analysed for resistance development. In addition, subjects who were on study drugs, who had not been analysed previously, and who had confirmed HIV-1 RNA ≥ 400 copies/mL at </w:t>
      </w:r>
      <w:r>
        <w:t>W</w:t>
      </w:r>
      <w:r w:rsidRPr="00222429">
        <w:t>eek 48 or their last visit, were assessed for resistance.</w:t>
      </w:r>
    </w:p>
    <w:p w:rsidR="00922138" w:rsidRPr="00922138" w:rsidRDefault="00922138" w:rsidP="00922138">
      <w:pPr>
        <w:pStyle w:val="Heading4"/>
      </w:pPr>
      <w:r w:rsidRPr="00922138">
        <w:lastRenderedPageBreak/>
        <w:t>Participant flow</w:t>
      </w:r>
    </w:p>
    <w:p w:rsidR="00922138" w:rsidRPr="00922138" w:rsidRDefault="00922138" w:rsidP="00922138">
      <w:r w:rsidRPr="00922138">
        <w:t xml:space="preserve">434 of 439 randomised subjects received at least 1 dose of study drug (STB: 291; SBR: 143). Of these 434, 9.2% (40 subjects) prematurely discontinued study drug prior to the </w:t>
      </w:r>
      <w:r>
        <w:t>W</w:t>
      </w:r>
      <w:r w:rsidRPr="00922138">
        <w:t>eek 48 analysis data cut-off date (STB 7.6%/22; SBR 12.6%/18), and 7.8% (34) had prematurely discontinued from the study (STB 5.8%/17; SBR 11.9%/17). Reasons for discontinuation were generally similar in the 2 groups. The most common reasons for study drug discontinuation were withdrawal of consent (STB 3.1%/9; SBR 9.1%/13), AE (STB 2.1%/6; SBR 0.7%/1), and protocol violation (STB 1.4%/4; SBR 0.7%/1). The most common reasons for study discontinuation were withdrawal of consent (STB 3.1%/9; SBR 9.8%/14), protocol violation (STB 1.0%/3; SBR 0.7%/1), and lost to follow-up (STB 0.3%/1; SBR 1.4%/2). A summary of subject disposition is presented in the table below.</w:t>
      </w:r>
    </w:p>
    <w:p w:rsidR="002F1B9F" w:rsidRDefault="00922138" w:rsidP="00A978A9">
      <w:pPr>
        <w:pStyle w:val="Tabletitle"/>
        <w:keepLines/>
      </w:pPr>
      <w:r w:rsidRPr="00D5197B">
        <w:t xml:space="preserve">Table 19: GS-US-236-0121: Disposition </w:t>
      </w:r>
      <w:r w:rsidR="002F1B9F" w:rsidRPr="00D5197B">
        <w:t>of subjects (all screened subjects</w:t>
      </w:r>
      <w:r w:rsidRPr="00D5197B">
        <w:t>)</w:t>
      </w:r>
    </w:p>
    <w:p w:rsidR="00917002" w:rsidRDefault="00922138" w:rsidP="0037549B">
      <w:pPr>
        <w:rPr>
          <w:rFonts w:ascii="Calibri" w:eastAsiaTheme="minorHAnsi" w:hAnsi="Calibri" w:cs="Calibri"/>
        </w:rPr>
      </w:pPr>
      <w:r w:rsidRPr="002F1B9F">
        <w:rPr>
          <w:noProof/>
          <w:lang w:eastAsia="en-AU"/>
        </w:rPr>
        <w:drawing>
          <wp:inline distT="0" distB="0" distL="0" distR="0" wp14:anchorId="17EAB357" wp14:editId="21EEC894">
            <wp:extent cx="5244998" cy="2386026"/>
            <wp:effectExtent l="0" t="0" r="0" b="0"/>
            <wp:docPr id="32" name="Picture 32" descr="Table 19: GS-US-236-0121: Disposition of subjects (all screened subje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241699" cy="2384525"/>
                    </a:xfrm>
                    <a:prstGeom prst="rect">
                      <a:avLst/>
                    </a:prstGeom>
                  </pic:spPr>
                </pic:pic>
              </a:graphicData>
            </a:graphic>
          </wp:inline>
        </w:drawing>
      </w:r>
    </w:p>
    <w:p w:rsidR="00A978A9" w:rsidRPr="00A978A9" w:rsidRDefault="00A978A9" w:rsidP="00A978A9">
      <w:pPr>
        <w:pStyle w:val="Heading4"/>
      </w:pPr>
      <w:r w:rsidRPr="00A978A9">
        <w:t>Major protocol violations/deviations</w:t>
      </w:r>
    </w:p>
    <w:p w:rsidR="00A978A9" w:rsidRPr="00A978A9" w:rsidRDefault="00A978A9" w:rsidP="00A978A9">
      <w:r w:rsidRPr="00A978A9">
        <w:t xml:space="preserve">73 important protocol deviations occurred in 61 subjects up to the </w:t>
      </w:r>
      <w:r>
        <w:t>W</w:t>
      </w:r>
      <w:r w:rsidRPr="00A978A9">
        <w:t>eek 48 analysis data cut-off date. 7 deviations in 6 subjects were identified after database finalisation and 1 in the SBR group should have been excluded from the PPS analysis. The sponsor considered this did not affect the results as the rate of virologic success with SBR with this subject excluded was identical with their data included. The table below is a summary of important deviations.</w:t>
      </w:r>
    </w:p>
    <w:p w:rsidR="002F1B9F" w:rsidRDefault="00A978A9" w:rsidP="00A978A9">
      <w:pPr>
        <w:pStyle w:val="Tabletitle"/>
        <w:keepLines/>
      </w:pPr>
      <w:r w:rsidRPr="00A978A9">
        <w:t xml:space="preserve">Table 20: GS-US-236-0121: Important </w:t>
      </w:r>
      <w:r w:rsidR="002F1B9F" w:rsidRPr="00A978A9">
        <w:t>protocol deviations by category: all randomised subjects</w:t>
      </w:r>
    </w:p>
    <w:p w:rsidR="00A978A9" w:rsidRDefault="00A978A9" w:rsidP="00A978A9">
      <w:r w:rsidRPr="002F1B9F">
        <w:rPr>
          <w:noProof/>
          <w:lang w:eastAsia="en-AU"/>
        </w:rPr>
        <w:drawing>
          <wp:inline distT="0" distB="0" distL="0" distR="0" wp14:anchorId="647F6E0E" wp14:editId="07AE0660">
            <wp:extent cx="5310835" cy="1586600"/>
            <wp:effectExtent l="0" t="0" r="4445" b="0"/>
            <wp:docPr id="33" name="Picture 33" descr="Table 20: GS-US-236-0121: Important protocol deviations by category: all randomi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21659" cy="1589834"/>
                    </a:xfrm>
                    <a:prstGeom prst="rect">
                      <a:avLst/>
                    </a:prstGeom>
                    <a:noFill/>
                    <a:ln>
                      <a:noFill/>
                    </a:ln>
                  </pic:spPr>
                </pic:pic>
              </a:graphicData>
            </a:graphic>
          </wp:inline>
        </w:drawing>
      </w:r>
    </w:p>
    <w:p w:rsidR="00A978A9" w:rsidRPr="00A978A9" w:rsidRDefault="00A978A9" w:rsidP="00A978A9">
      <w:pPr>
        <w:pStyle w:val="Heading4"/>
      </w:pPr>
      <w:r w:rsidRPr="00A978A9">
        <w:t>Baseline data</w:t>
      </w:r>
    </w:p>
    <w:p w:rsidR="00A978A9" w:rsidRDefault="00A978A9" w:rsidP="00A978A9">
      <w:r w:rsidRPr="00A978A9">
        <w:t>Data are provided showing that demographic and baseline characteristics were generally similar in the 2 treatment groups. The majority of subjects were male (92.6%), with a mean age of 41 years (range: 20</w:t>
      </w:r>
      <w:r>
        <w:t xml:space="preserve"> to </w:t>
      </w:r>
      <w:r w:rsidRPr="00A978A9">
        <w:t xml:space="preserve">72), most were </w:t>
      </w:r>
      <w:r w:rsidR="00B90068">
        <w:t>White</w:t>
      </w:r>
      <w:r w:rsidRPr="00A978A9">
        <w:t xml:space="preserve"> (76</w:t>
      </w:r>
      <w:r>
        <w:t xml:space="preserve"> to </w:t>
      </w:r>
      <w:r w:rsidRPr="00A978A9">
        <w:t xml:space="preserve">80%) or </w:t>
      </w:r>
      <w:r w:rsidR="00E35C63">
        <w:t>Black</w:t>
      </w:r>
      <w:r w:rsidRPr="00A978A9">
        <w:t xml:space="preserve"> (16</w:t>
      </w:r>
      <w:r>
        <w:t xml:space="preserve"> to </w:t>
      </w:r>
      <w:r w:rsidRPr="00A978A9">
        <w:t xml:space="preserve">17%). The mean </w:t>
      </w:r>
      <w:r w:rsidRPr="00A978A9">
        <w:lastRenderedPageBreak/>
        <w:t>(SD) baseline BMI was 26.2 (4.59) kg/m</w:t>
      </w:r>
      <w:r w:rsidRPr="00A978A9">
        <w:rPr>
          <w:vertAlign w:val="superscript"/>
        </w:rPr>
        <w:t>2</w:t>
      </w:r>
      <w:r w:rsidRPr="00A978A9">
        <w:t>. The mean (SD) baseline eGFR</w:t>
      </w:r>
      <w:r w:rsidRPr="00A978A9">
        <w:rPr>
          <w:vertAlign w:val="subscript"/>
        </w:rPr>
        <w:t>CG</w:t>
      </w:r>
      <w:r w:rsidRPr="00A978A9">
        <w:t xml:space="preserve"> was 118.2 (29.40) mL/min. All subjects had HIV-1 RNA &lt; 50 copies/mL at screening, and a few subjects had HIV-1 RNA ≥ 50 copies/mL at baseline. The mean (SD) baseline</w:t>
      </w:r>
      <w:r w:rsidR="002F1B9F">
        <w:t xml:space="preserve"> CD4 cell count was 588 (214.9) </w:t>
      </w:r>
      <w:r w:rsidRPr="00A978A9">
        <w:t>cells/</w:t>
      </w:r>
      <w:r w:rsidR="008B6777">
        <w:t>µ</w:t>
      </w:r>
      <w:r w:rsidR="008B6777" w:rsidRPr="008B6C94">
        <w:t>L</w:t>
      </w:r>
      <w:r w:rsidRPr="00A978A9">
        <w:t>. The mean (SD) CD4% was 33.1% (8.72%). The majority (63.4%) had a</w:t>
      </w:r>
      <w:r>
        <w:t xml:space="preserve"> CD4 cell count &gt; 500 cells/</w:t>
      </w:r>
      <w:r w:rsidR="008B6777">
        <w:t>µ</w:t>
      </w:r>
      <w:r w:rsidR="008B6777" w:rsidRPr="008B6C94">
        <w:t>L</w:t>
      </w:r>
      <w:r>
        <w:t>.</w:t>
      </w:r>
    </w:p>
    <w:p w:rsidR="00A978A9" w:rsidRPr="00A978A9" w:rsidRDefault="00A978A9" w:rsidP="00A978A9">
      <w:pPr>
        <w:rPr>
          <w:rFonts w:eastAsiaTheme="minorHAnsi" w:cs="Cambria"/>
        </w:rPr>
      </w:pPr>
      <w:r w:rsidRPr="00A978A9">
        <w:rPr>
          <w:rFonts w:eastAsiaTheme="minorHAnsi" w:cs="Cambria"/>
        </w:rPr>
        <w:t xml:space="preserve">The most common HIV risk factor was </w:t>
      </w:r>
      <w:r w:rsidR="00C342B9">
        <w:rPr>
          <w:rFonts w:eastAsiaTheme="minorHAnsi" w:cs="Cambria"/>
        </w:rPr>
        <w:t>male to male</w:t>
      </w:r>
      <w:r w:rsidR="00C342B9" w:rsidRPr="00A978A9">
        <w:rPr>
          <w:rFonts w:eastAsiaTheme="minorHAnsi" w:cs="Cambria"/>
        </w:rPr>
        <w:t xml:space="preserve"> </w:t>
      </w:r>
      <w:r w:rsidRPr="00A978A9">
        <w:rPr>
          <w:rFonts w:eastAsiaTheme="minorHAnsi" w:cs="Cambria"/>
        </w:rPr>
        <w:t>sex (78.8%). The majority (78.3%) had asymptomatic infection. The median time since HIV diagnosis was 5 years in both groups and since the 1</w:t>
      </w:r>
      <w:r w:rsidRPr="00A978A9">
        <w:rPr>
          <w:rFonts w:eastAsiaTheme="minorHAnsi" w:cs="Cambria"/>
          <w:vertAlign w:val="superscript"/>
        </w:rPr>
        <w:t>st</w:t>
      </w:r>
      <w:r>
        <w:rPr>
          <w:rFonts w:eastAsiaTheme="minorHAnsi" w:cs="Cambria"/>
        </w:rPr>
        <w:t xml:space="preserve"> </w:t>
      </w:r>
      <w:r w:rsidRPr="00A978A9">
        <w:rPr>
          <w:rFonts w:ascii="Times New Roman" w:eastAsiaTheme="minorHAnsi" w:hAnsi="Times New Roman"/>
          <w:sz w:val="2"/>
          <w:szCs w:val="2"/>
        </w:rPr>
        <w:t xml:space="preserve">P </w:t>
      </w:r>
      <w:r w:rsidRPr="00A978A9">
        <w:rPr>
          <w:rFonts w:eastAsiaTheme="minorHAnsi" w:cs="Cambria"/>
        </w:rPr>
        <w:t xml:space="preserve">ARV treatment was 4 years with STB and 3 years with SBR. A small % were HBsAg positive (1.8%) or HCVAb seropositive (3.0%). Before screening, 90.6% (393) had received 1 ARV regimen, 9.0% (39) 2 regimens, and 0.5% (2) &gt; 2 regimens. At screening subjects </w:t>
      </w:r>
      <w:proofErr w:type="gramStart"/>
      <w:r w:rsidRPr="00A978A9">
        <w:rPr>
          <w:rFonts w:eastAsiaTheme="minorHAnsi" w:cs="Cambria"/>
        </w:rPr>
        <w:t>were</w:t>
      </w:r>
      <w:proofErr w:type="gramEnd"/>
      <w:r w:rsidRPr="00A978A9">
        <w:rPr>
          <w:rFonts w:eastAsiaTheme="minorHAnsi" w:cs="Cambria"/>
        </w:rPr>
        <w:t xml:space="preserve"> receiving EFV (77.9%, mainly ATR; 74.2%), NVP (17.1%), RVP (4% Eviplera) or etravirine (1%)</w:t>
      </w:r>
      <w:r w:rsidR="002F1B9F">
        <w:rPr>
          <w:rFonts w:eastAsiaTheme="minorHAnsi" w:cs="Cambria"/>
        </w:rPr>
        <w:t xml:space="preserve"> as the NNRTI in their regimen.</w:t>
      </w:r>
    </w:p>
    <w:p w:rsidR="00A978A9" w:rsidRPr="00A978A9" w:rsidRDefault="00A978A9" w:rsidP="00A978A9">
      <w:pPr>
        <w:pStyle w:val="Heading4"/>
      </w:pPr>
      <w:r w:rsidRPr="00A978A9">
        <w:t>Re</w:t>
      </w:r>
      <w:r w:rsidR="002F1B9F">
        <w:t>sults for the efficacy outcomes</w:t>
      </w:r>
    </w:p>
    <w:p w:rsidR="00A978A9" w:rsidRDefault="00A978A9" w:rsidP="00A978A9">
      <w:r w:rsidRPr="00A978A9">
        <w:t xml:space="preserve">Adherence to STB was high (median: 99.7%). Most had an adherence rate ≥ 95% up to the </w:t>
      </w:r>
      <w:r w:rsidR="006542AF">
        <w:t>W</w:t>
      </w:r>
      <w:r w:rsidRPr="00A978A9">
        <w:t>eek 48 visit (91.1%). The adherence rate could not be calculated with SBR as ARV components other than TVD were not provided by the sponsor. Of the 439 randomised subjects, 433 (98.6%) were included in</w:t>
      </w:r>
      <w:r>
        <w:t xml:space="preserve"> the FAS, and 393 (89.5%) in the Week 48 PPS. 1 subject treated with STB was excluded from the FAS </w:t>
      </w:r>
      <w:r w:rsidRPr="00A978A9">
        <w:t>due to the presence of a protocol</w:t>
      </w:r>
      <w:r>
        <w:t xml:space="preserve"> </w:t>
      </w:r>
      <w:r w:rsidRPr="00A978A9">
        <w:t xml:space="preserve">prohibited resistance mutation. Of the 40 subjects in the FAS excluded from the </w:t>
      </w:r>
      <w:r>
        <w:t>W</w:t>
      </w:r>
      <w:r w:rsidRPr="00A978A9">
        <w:t xml:space="preserve">eek 48 PPS, 37 (92.5%) had no HIV-1 RNA assessment in the </w:t>
      </w:r>
      <w:r>
        <w:t>W</w:t>
      </w:r>
      <w:r w:rsidRPr="00A978A9">
        <w:t>eek 48 analysis window for a reason other than discontinuation due to a lack of efficacy.</w:t>
      </w:r>
    </w:p>
    <w:p w:rsidR="00A978A9" w:rsidRPr="00A978A9" w:rsidRDefault="00A978A9" w:rsidP="00740039">
      <w:pPr>
        <w:pStyle w:val="Heading5"/>
        <w:rPr>
          <w:rFonts w:eastAsiaTheme="minorHAnsi"/>
        </w:rPr>
      </w:pPr>
      <w:r w:rsidRPr="00A978A9">
        <w:rPr>
          <w:rFonts w:eastAsiaTheme="minorHAnsi"/>
        </w:rPr>
        <w:t xml:space="preserve">Primary </w:t>
      </w:r>
      <w:r w:rsidR="002F1B9F" w:rsidRPr="00A978A9">
        <w:rPr>
          <w:rFonts w:eastAsiaTheme="minorHAnsi"/>
        </w:rPr>
        <w:t>efficacy endpoint</w:t>
      </w:r>
    </w:p>
    <w:p w:rsidR="00A978A9" w:rsidRPr="00A978A9" w:rsidRDefault="00A978A9" w:rsidP="00740039">
      <w:pPr>
        <w:pStyle w:val="Heading6"/>
        <w:rPr>
          <w:rFonts w:eastAsiaTheme="minorHAnsi"/>
        </w:rPr>
      </w:pPr>
      <w:r w:rsidRPr="00A978A9">
        <w:rPr>
          <w:rFonts w:eastAsiaTheme="minorHAnsi"/>
        </w:rPr>
        <w:t xml:space="preserve">Virologic </w:t>
      </w:r>
      <w:r w:rsidR="002F1B9F" w:rsidRPr="00A978A9">
        <w:rPr>
          <w:rFonts w:eastAsiaTheme="minorHAnsi"/>
        </w:rPr>
        <w:t>out</w:t>
      </w:r>
      <w:r w:rsidRPr="00A978A9">
        <w:rPr>
          <w:rFonts w:eastAsiaTheme="minorHAnsi"/>
        </w:rPr>
        <w:t xml:space="preserve">come at </w:t>
      </w:r>
      <w:r w:rsidR="0037549B" w:rsidRPr="00A978A9">
        <w:rPr>
          <w:rFonts w:eastAsiaTheme="minorHAnsi"/>
        </w:rPr>
        <w:t>w</w:t>
      </w:r>
      <w:r w:rsidRPr="00A978A9">
        <w:rPr>
          <w:rFonts w:eastAsiaTheme="minorHAnsi"/>
        </w:rPr>
        <w:t xml:space="preserve">eek 48 </w:t>
      </w:r>
      <w:r w:rsidR="002F1B9F" w:rsidRPr="00A978A9">
        <w:rPr>
          <w:rFonts w:eastAsiaTheme="minorHAnsi"/>
        </w:rPr>
        <w:t>using snapshot algorit</w:t>
      </w:r>
      <w:r w:rsidR="002F1B9F">
        <w:rPr>
          <w:rFonts w:eastAsiaTheme="minorHAnsi"/>
        </w:rPr>
        <w:t>hm and HIV-1 RNA &lt; 50 copies/mL</w:t>
      </w:r>
    </w:p>
    <w:p w:rsidR="00A978A9" w:rsidRPr="00A978A9" w:rsidRDefault="00A978A9" w:rsidP="00A978A9">
      <w:r w:rsidRPr="00A978A9">
        <w:t>Data are provided showing that in the FAS virologic success rates were STB 93.4% (271</w:t>
      </w:r>
      <w:r w:rsidR="00E35C63">
        <w:t xml:space="preserve"> out of </w:t>
      </w:r>
      <w:r w:rsidRPr="00A978A9">
        <w:t>290 subjects) and SBR 88.1% (126</w:t>
      </w:r>
      <w:r w:rsidR="00E35C63">
        <w:t xml:space="preserve"> out of </w:t>
      </w:r>
      <w:r w:rsidRPr="00A978A9">
        <w:t xml:space="preserve">143). The difference in the %s of subjects with virologic success (STB </w:t>
      </w:r>
      <w:r w:rsidR="002F1B9F">
        <w:t xml:space="preserve">– SBR) was 5.3% (95% CI: - 0.5% to </w:t>
      </w:r>
      <w:r w:rsidRPr="00A978A9">
        <w:t>12.0%). B</w:t>
      </w:r>
      <w:r w:rsidR="002F1B9F">
        <w:t xml:space="preserve">ecause the lower bound of the 2 </w:t>
      </w:r>
      <w:r w:rsidRPr="00A978A9">
        <w:t>sided 95% CI of the difference in response rate was &gt; the pre</w:t>
      </w:r>
      <w:r>
        <w:t>-</w:t>
      </w:r>
      <w:r w:rsidRPr="00A978A9">
        <w:t>specified –12% non</w:t>
      </w:r>
      <w:r w:rsidR="002F1B9F">
        <w:noBreakHyphen/>
      </w:r>
      <w:r w:rsidRPr="00A978A9">
        <w:t>inferiority margin, switching to STB was determined to be non</w:t>
      </w:r>
      <w:r>
        <w:t>-</w:t>
      </w:r>
      <w:r w:rsidRPr="00A978A9">
        <w:t xml:space="preserve">inferior to SBR at </w:t>
      </w:r>
      <w:r w:rsidR="006542AF">
        <w:t>W</w:t>
      </w:r>
      <w:r w:rsidRPr="00A978A9">
        <w:t xml:space="preserve">eek 48. </w:t>
      </w:r>
      <w:r w:rsidR="00744563">
        <w:t>Percent</w:t>
      </w:r>
      <w:r w:rsidRPr="00A978A9">
        <w:t xml:space="preserve"> of subjects with virologic failure at </w:t>
      </w:r>
      <w:r w:rsidR="006542AF">
        <w:t>W</w:t>
      </w:r>
      <w:r w:rsidRPr="00A978A9">
        <w:t>eek 48 were low and similar in the 2 groups: STB 1.0% (3</w:t>
      </w:r>
      <w:r w:rsidR="00E35C63">
        <w:t xml:space="preserve"> out of </w:t>
      </w:r>
      <w:r w:rsidRPr="00A978A9">
        <w:t>290); SBR (0.7% 1</w:t>
      </w:r>
      <w:r w:rsidR="00E35C63">
        <w:t xml:space="preserve"> out of </w:t>
      </w:r>
      <w:r w:rsidRPr="00A978A9">
        <w:t>143; difference [95% CI] in %s [STB – SBR] 0.3% [–2.8% to 2.5%]). A lower % of subjects receiving STB than SBR had no virologic data in the</w:t>
      </w:r>
      <w:r w:rsidR="006542AF">
        <w:t xml:space="preserve"> W</w:t>
      </w:r>
      <w:r w:rsidRPr="00A978A9">
        <w:t>eek 48 window (STB 5.5%, 16</w:t>
      </w:r>
      <w:r w:rsidR="00E35C63">
        <w:t xml:space="preserve"> out of </w:t>
      </w:r>
      <w:r w:rsidRPr="00A978A9">
        <w:t>290; SBR 11.2%, 16</w:t>
      </w:r>
      <w:r w:rsidR="00E35C63">
        <w:t xml:space="preserve"> out of </w:t>
      </w:r>
      <w:r w:rsidRPr="00A978A9">
        <w:t>143). These results are shown in the table below.</w:t>
      </w:r>
    </w:p>
    <w:p w:rsidR="002F1B9F" w:rsidRDefault="00A978A9" w:rsidP="0037549B">
      <w:pPr>
        <w:pStyle w:val="Tabletitle"/>
      </w:pPr>
      <w:r w:rsidRPr="00A978A9">
        <w:lastRenderedPageBreak/>
        <w:t xml:space="preserve">Table 21: GS-US-236-0121: </w:t>
      </w:r>
      <w:r w:rsidR="00D14F08">
        <w:t>A</w:t>
      </w:r>
      <w:r w:rsidR="002F1B9F" w:rsidRPr="00A978A9">
        <w:t xml:space="preserve">nalysis sets: virologic outcome at </w:t>
      </w:r>
      <w:r w:rsidRPr="00A978A9">
        <w:t xml:space="preserve">Week 48: HIV-1 RNA </w:t>
      </w:r>
      <w:r w:rsidR="002F1B9F">
        <w:t>c</w:t>
      </w:r>
      <w:r w:rsidRPr="00A978A9">
        <w:t xml:space="preserve">ut-off </w:t>
      </w:r>
      <w:proofErr w:type="gramStart"/>
      <w:r w:rsidRPr="00A978A9">
        <w:t>at 50 copies/mL,</w:t>
      </w:r>
      <w:proofErr w:type="gramEnd"/>
      <w:r w:rsidRPr="00A978A9">
        <w:t xml:space="preserve"> </w:t>
      </w:r>
      <w:r w:rsidR="002F1B9F" w:rsidRPr="00A978A9">
        <w:t>snapshot algorithm</w:t>
      </w:r>
      <w:r w:rsidRPr="00A978A9">
        <w:t>, FAS</w:t>
      </w:r>
    </w:p>
    <w:p w:rsidR="00A978A9" w:rsidRPr="00A978A9" w:rsidRDefault="00A978A9" w:rsidP="002F1B9F">
      <w:r w:rsidRPr="002F1B9F">
        <w:rPr>
          <w:noProof/>
          <w:lang w:eastAsia="en-AU"/>
        </w:rPr>
        <w:drawing>
          <wp:inline distT="0" distB="0" distL="0" distR="0" wp14:anchorId="2B7E24FB" wp14:editId="215D858E">
            <wp:extent cx="5058329" cy="3255264"/>
            <wp:effectExtent l="0" t="0" r="9525" b="2540"/>
            <wp:docPr id="34" name="Picture 34" descr="Table 21: GS-US-236-0121: Analysis Sets: Virologic Outcome at Week 48: HIV-1 RNA Cut-off at 50 copies/mL, Snapshot Algorithm,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58329" cy="3255264"/>
                    </a:xfrm>
                    <a:prstGeom prst="rect">
                      <a:avLst/>
                    </a:prstGeom>
                    <a:noFill/>
                    <a:ln>
                      <a:noFill/>
                    </a:ln>
                  </pic:spPr>
                </pic:pic>
              </a:graphicData>
            </a:graphic>
          </wp:inline>
        </w:drawing>
      </w:r>
    </w:p>
    <w:p w:rsidR="00A978A9" w:rsidRPr="00A978A9" w:rsidRDefault="00A978A9" w:rsidP="00A978A9">
      <w:r w:rsidRPr="00A978A9">
        <w:t>Using the PPS, the % of subjects with virologic success at Week 48 were higher than in the FAS and similar in the 2 groups, STB 99.3% (267</w:t>
      </w:r>
      <w:r w:rsidR="00E35C63">
        <w:t xml:space="preserve"> out of </w:t>
      </w:r>
      <w:r w:rsidRPr="00A978A9">
        <w:t>269); SBR 99.2% (123</w:t>
      </w:r>
      <w:r w:rsidR="00E35C63">
        <w:t xml:space="preserve"> out of </w:t>
      </w:r>
      <w:r w:rsidRPr="00A978A9">
        <w:t xml:space="preserve">124). The % difference of subjects with virologic </w:t>
      </w:r>
      <w:r w:rsidR="002F1B9F">
        <w:t>success was 0.1% (95% CI: –2.1% to 3.5%) supporting non</w:t>
      </w:r>
      <w:r w:rsidR="002F1B9F">
        <w:noBreakHyphen/>
      </w:r>
      <w:r w:rsidRPr="00A978A9">
        <w:t>inferiority of STB to SBR.</w:t>
      </w:r>
    </w:p>
    <w:p w:rsidR="00A978A9" w:rsidRPr="00A978A9" w:rsidRDefault="00A978A9" w:rsidP="00740039">
      <w:pPr>
        <w:pStyle w:val="Heading5"/>
        <w:rPr>
          <w:rFonts w:eastAsiaTheme="minorHAnsi"/>
        </w:rPr>
      </w:pPr>
      <w:r w:rsidRPr="00A978A9">
        <w:rPr>
          <w:rFonts w:eastAsiaTheme="minorHAnsi"/>
        </w:rPr>
        <w:t xml:space="preserve">Secondary </w:t>
      </w:r>
      <w:r w:rsidR="001F38F1">
        <w:rPr>
          <w:rFonts w:eastAsiaTheme="minorHAnsi"/>
        </w:rPr>
        <w:t>and tertiary efficacy endpoints</w:t>
      </w:r>
    </w:p>
    <w:p w:rsidR="00A978A9" w:rsidRPr="00A978A9" w:rsidRDefault="002F1B9F" w:rsidP="00740039">
      <w:pPr>
        <w:pStyle w:val="Heading6"/>
        <w:rPr>
          <w:rFonts w:eastAsiaTheme="minorHAnsi"/>
        </w:rPr>
      </w:pPr>
      <w:r>
        <w:rPr>
          <w:rFonts w:eastAsiaTheme="minorHAnsi"/>
        </w:rPr>
        <w:t>Percent</w:t>
      </w:r>
      <w:r w:rsidR="00A978A9" w:rsidRPr="00A978A9">
        <w:rPr>
          <w:rFonts w:eastAsiaTheme="minorHAnsi"/>
        </w:rPr>
        <w:t xml:space="preserve"> of </w:t>
      </w:r>
      <w:r w:rsidRPr="00A978A9">
        <w:rPr>
          <w:rFonts w:eastAsiaTheme="minorHAnsi"/>
        </w:rPr>
        <w:t xml:space="preserve">subjects who maintained </w:t>
      </w:r>
      <w:r w:rsidR="00A978A9" w:rsidRPr="00A978A9">
        <w:rPr>
          <w:rFonts w:eastAsiaTheme="minorHAnsi"/>
        </w:rPr>
        <w:t xml:space="preserve">HIV-1 RNA &lt; 50 copies/mL to Week 48: TLOVR </w:t>
      </w:r>
    </w:p>
    <w:p w:rsidR="00A978A9" w:rsidRPr="00A978A9" w:rsidRDefault="00A978A9" w:rsidP="00A978A9">
      <w:r w:rsidRPr="00A978A9">
        <w:t>Results for this analysi</w:t>
      </w:r>
      <w:r w:rsidR="00740039">
        <w:t>s are shown in the table below.</w:t>
      </w:r>
    </w:p>
    <w:p w:rsidR="002F1B9F" w:rsidRDefault="00740039" w:rsidP="00740039">
      <w:pPr>
        <w:pStyle w:val="Tabletitle"/>
        <w:keepLines/>
      </w:pPr>
      <w:r>
        <w:t xml:space="preserve">Table 22: GS-US-236-0115: </w:t>
      </w:r>
      <w:r w:rsidR="00D14F08">
        <w:t>V</w:t>
      </w:r>
      <w:r w:rsidR="002F1B9F">
        <w:t xml:space="preserve">irologic outcome </w:t>
      </w:r>
      <w:r>
        <w:t xml:space="preserve">at Week 48: TLOVR </w:t>
      </w:r>
      <w:r w:rsidR="002F1B9F">
        <w:t>a</w:t>
      </w:r>
      <w:r>
        <w:t>nalysis, FAS</w:t>
      </w:r>
    </w:p>
    <w:p w:rsidR="00A978A9" w:rsidRDefault="00740039" w:rsidP="002F1B9F">
      <w:r w:rsidRPr="002F1B9F">
        <w:rPr>
          <w:noProof/>
          <w:lang w:eastAsia="en-AU"/>
        </w:rPr>
        <w:drawing>
          <wp:inline distT="0" distB="0" distL="0" distR="0" wp14:anchorId="1BD9604B" wp14:editId="7D4FF090">
            <wp:extent cx="4945075" cy="2115235"/>
            <wp:effectExtent l="0" t="0" r="8255" b="0"/>
            <wp:docPr id="35" name="Picture 35" descr="Table 22: GS-US-236-0115: virologic outcome at Week 48: TLOVR analysi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46550" cy="2115866"/>
                    </a:xfrm>
                    <a:prstGeom prst="rect">
                      <a:avLst/>
                    </a:prstGeom>
                    <a:noFill/>
                    <a:ln>
                      <a:noFill/>
                    </a:ln>
                  </pic:spPr>
                </pic:pic>
              </a:graphicData>
            </a:graphic>
          </wp:inline>
        </w:drawing>
      </w:r>
    </w:p>
    <w:p w:rsidR="00740039" w:rsidRPr="00740039" w:rsidRDefault="00740039" w:rsidP="00740039">
      <w:r w:rsidRPr="00740039">
        <w:t xml:space="preserve">This shows that responders to </w:t>
      </w:r>
      <w:r>
        <w:t>W</w:t>
      </w:r>
      <w:r w:rsidRPr="00740039">
        <w:t>eek 48 were STB 91.7% (266</w:t>
      </w:r>
      <w:r w:rsidR="00E35C63">
        <w:t xml:space="preserve"> out of </w:t>
      </w:r>
      <w:r w:rsidRPr="00740039">
        <w:t>290) and SBR 86.7% (124</w:t>
      </w:r>
      <w:r w:rsidR="00E35C63">
        <w:t xml:space="preserve"> out of </w:t>
      </w:r>
      <w:r w:rsidRPr="00740039">
        <w:t xml:space="preserve">143). The difference in the % of responders was 5.0% (95% CI: -1.1% to 12.1%) and consistent with the </w:t>
      </w:r>
      <w:r w:rsidR="00744563">
        <w:t>primary</w:t>
      </w:r>
      <w:r w:rsidRPr="00740039">
        <w:t xml:space="preserve"> endpoint results. The majority (STB: 5.8%; SBR 12.6%) considered as non</w:t>
      </w:r>
      <w:r>
        <w:t>-</w:t>
      </w:r>
      <w:r w:rsidRPr="00740039">
        <w:t>responders were drug discontinuation due to AEs and other reasons. A small % (STB 2.4%; SBR 0.7%) were classified as virologic failure.</w:t>
      </w:r>
    </w:p>
    <w:p w:rsidR="00740039" w:rsidRPr="00740039" w:rsidRDefault="002F1B9F" w:rsidP="00740039">
      <w:pPr>
        <w:pStyle w:val="Heading6"/>
        <w:rPr>
          <w:rFonts w:eastAsiaTheme="minorHAnsi"/>
        </w:rPr>
      </w:pPr>
      <w:r>
        <w:rPr>
          <w:rFonts w:eastAsiaTheme="minorHAnsi"/>
        </w:rPr>
        <w:lastRenderedPageBreak/>
        <w:t>Percent</w:t>
      </w:r>
      <w:r w:rsidR="00740039" w:rsidRPr="00740039">
        <w:rPr>
          <w:rFonts w:eastAsiaTheme="minorHAnsi"/>
        </w:rPr>
        <w:t xml:space="preserve"> of </w:t>
      </w:r>
      <w:r w:rsidRPr="00740039">
        <w:rPr>
          <w:rFonts w:eastAsiaTheme="minorHAnsi"/>
        </w:rPr>
        <w:t xml:space="preserve">subjects with plasma </w:t>
      </w:r>
      <w:r w:rsidR="00740039" w:rsidRPr="00740039">
        <w:rPr>
          <w:rFonts w:eastAsiaTheme="minorHAnsi"/>
        </w:rPr>
        <w:t>HIV-</w:t>
      </w:r>
      <w:r w:rsidR="00740039">
        <w:rPr>
          <w:rFonts w:eastAsiaTheme="minorHAnsi"/>
        </w:rPr>
        <w:t xml:space="preserve">1 RNA &lt; 50 copies/mL at </w:t>
      </w:r>
      <w:r w:rsidR="0037549B">
        <w:rPr>
          <w:rFonts w:eastAsiaTheme="minorHAnsi"/>
        </w:rPr>
        <w:t>w</w:t>
      </w:r>
      <w:r w:rsidR="00740039">
        <w:rPr>
          <w:rFonts w:eastAsiaTheme="minorHAnsi"/>
        </w:rPr>
        <w:t>eek 48</w:t>
      </w:r>
    </w:p>
    <w:p w:rsidR="00740039" w:rsidRPr="00740039" w:rsidRDefault="00740039" w:rsidP="00740039">
      <w:r w:rsidRPr="00740039">
        <w:t xml:space="preserve">High rates of virologic suppression were </w:t>
      </w:r>
      <w:r>
        <w:t>maintained in both groups. The W</w:t>
      </w:r>
      <w:r w:rsidRPr="00740039">
        <w:t>eek 48 results showed that the % of subjects with HIV-1 RNA &lt; 50 copies/mL was numerically higher with STB than SBR using the M = F method and similar between groups using M = E and M = LOCF methods as follows:</w:t>
      </w:r>
    </w:p>
    <w:p w:rsidR="00740039" w:rsidRPr="00740039" w:rsidRDefault="00740039" w:rsidP="00740039">
      <w:pPr>
        <w:pStyle w:val="ListBullet"/>
      </w:pPr>
      <w:r w:rsidRPr="00740039">
        <w:t>M = F: STB 94.8% (275</w:t>
      </w:r>
      <w:r w:rsidR="00E35C63">
        <w:t xml:space="preserve"> out of </w:t>
      </w:r>
      <w:r w:rsidRPr="00740039">
        <w:t>290); SBR 88.1% (126</w:t>
      </w:r>
      <w:r w:rsidR="00E35C63">
        <w:t xml:space="preserve"> out of </w:t>
      </w:r>
      <w:r w:rsidRPr="00740039">
        <w:t>143); STB-SBR</w:t>
      </w:r>
      <w:r w:rsidR="002F1B9F">
        <w:t xml:space="preserve"> difference: 6.7% (95% CI: 0.8% to </w:t>
      </w:r>
      <w:r w:rsidRPr="00740039">
        <w:t>13.3%).</w:t>
      </w:r>
    </w:p>
    <w:p w:rsidR="00740039" w:rsidRPr="00740039" w:rsidRDefault="00740039" w:rsidP="00740039">
      <w:pPr>
        <w:pStyle w:val="ListBullet"/>
      </w:pPr>
      <w:r w:rsidRPr="00740039">
        <w:t>M = E: STB 99.3% (275</w:t>
      </w:r>
      <w:r w:rsidR="00E35C63">
        <w:t xml:space="preserve"> out of </w:t>
      </w:r>
      <w:r w:rsidRPr="00740039">
        <w:t>277); SBR 99.2% (126</w:t>
      </w:r>
      <w:r w:rsidR="00E35C63">
        <w:t xml:space="preserve"> out of </w:t>
      </w:r>
      <w:r w:rsidRPr="00740039">
        <w:t xml:space="preserve">127); STB-SBR </w:t>
      </w:r>
      <w:r w:rsidR="002F1B9F">
        <w:t xml:space="preserve">difference: 0.1% (95% CI: -2.0% to </w:t>
      </w:r>
      <w:r w:rsidRPr="00740039">
        <w:t>3.5%).</w:t>
      </w:r>
    </w:p>
    <w:p w:rsidR="00740039" w:rsidRPr="00740039" w:rsidRDefault="00740039" w:rsidP="00740039">
      <w:pPr>
        <w:pStyle w:val="ListBullet"/>
      </w:pPr>
      <w:r w:rsidRPr="00740039">
        <w:t>M = LOCF: STB 99.0% (287</w:t>
      </w:r>
      <w:r w:rsidR="00E35C63">
        <w:t xml:space="preserve"> out of </w:t>
      </w:r>
      <w:r w:rsidRPr="00740039">
        <w:t>290); SBR 99.3% (142</w:t>
      </w:r>
      <w:r w:rsidR="00E35C63">
        <w:t xml:space="preserve"> out of </w:t>
      </w:r>
      <w:r w:rsidRPr="00740039">
        <w:t>143); STB-SBR d</w:t>
      </w:r>
      <w:r w:rsidR="002F1B9F">
        <w:t xml:space="preserve">ifference: –0.3% (95% CI: -2.5% to </w:t>
      </w:r>
      <w:r w:rsidRPr="00740039">
        <w:t>2.8%).</w:t>
      </w:r>
    </w:p>
    <w:p w:rsidR="00740039" w:rsidRPr="00740039" w:rsidRDefault="00740039" w:rsidP="00740039">
      <w:r w:rsidRPr="00740039">
        <w:t>Results for the M=F analysis are shown in the figure below.</w:t>
      </w:r>
    </w:p>
    <w:p w:rsidR="002F1B9F" w:rsidRDefault="00740039" w:rsidP="00740039">
      <w:pPr>
        <w:pStyle w:val="FigureTitle"/>
        <w:keepNext/>
        <w:keepLines/>
      </w:pPr>
      <w:r w:rsidRPr="00740039">
        <w:t>Figure 12:</w:t>
      </w:r>
      <w:r>
        <w:t xml:space="preserve"> GS-</w:t>
      </w:r>
      <w:r w:rsidR="002F1B9F">
        <w:t>US-236-0121: Percent</w:t>
      </w:r>
      <w:r>
        <w:t xml:space="preserve"> of </w:t>
      </w:r>
      <w:r w:rsidR="002F1B9F">
        <w:t xml:space="preserve">subjects with plasma </w:t>
      </w:r>
      <w:r>
        <w:t xml:space="preserve">HIV-1 RNA &lt; 50 copies/mL by </w:t>
      </w:r>
      <w:r w:rsidR="002F1B9F">
        <w:t>v</w:t>
      </w:r>
      <w:r>
        <w:t>isit: M = F, FAS</w:t>
      </w:r>
    </w:p>
    <w:p w:rsidR="00A978A9" w:rsidRDefault="00740039" w:rsidP="002F1B9F">
      <w:r w:rsidRPr="002F1B9F">
        <w:rPr>
          <w:noProof/>
          <w:lang w:eastAsia="en-AU"/>
        </w:rPr>
        <w:drawing>
          <wp:inline distT="0" distB="0" distL="0" distR="0" wp14:anchorId="7ECCC3E9" wp14:editId="1084CEBD">
            <wp:extent cx="5157216" cy="2968543"/>
            <wp:effectExtent l="0" t="0" r="5715" b="3810"/>
            <wp:docPr id="36" name="Picture 36" descr="Figure 12: GS-US-236-0121: Percent of subjects with plasma HIV-1 RNA &lt; 50 copies/mL by visit: M = F,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57778" cy="2968866"/>
                    </a:xfrm>
                    <a:prstGeom prst="rect">
                      <a:avLst/>
                    </a:prstGeom>
                    <a:noFill/>
                    <a:ln>
                      <a:noFill/>
                    </a:ln>
                  </pic:spPr>
                </pic:pic>
              </a:graphicData>
            </a:graphic>
          </wp:inline>
        </w:drawing>
      </w:r>
    </w:p>
    <w:p w:rsidR="00740039" w:rsidRPr="00740039" w:rsidRDefault="00740039" w:rsidP="00740039">
      <w:pPr>
        <w:pStyle w:val="Heading6"/>
        <w:rPr>
          <w:rFonts w:eastAsiaTheme="minorHAnsi"/>
        </w:rPr>
      </w:pPr>
      <w:r w:rsidRPr="00740039">
        <w:rPr>
          <w:rFonts w:eastAsiaTheme="minorHAnsi"/>
        </w:rPr>
        <w:t xml:space="preserve">Time </w:t>
      </w:r>
      <w:r w:rsidR="002F1B9F" w:rsidRPr="00740039">
        <w:rPr>
          <w:rFonts w:eastAsiaTheme="minorHAnsi"/>
        </w:rPr>
        <w:t xml:space="preserve">to loss of pure </w:t>
      </w:r>
      <w:r w:rsidR="002F1B9F" w:rsidRPr="00740039">
        <w:t>virologic</w:t>
      </w:r>
      <w:r w:rsidR="002F1B9F" w:rsidRPr="00740039">
        <w:rPr>
          <w:rFonts w:eastAsiaTheme="minorHAnsi"/>
        </w:rPr>
        <w:t xml:space="preserve"> respons</w:t>
      </w:r>
      <w:r w:rsidR="002F1B9F">
        <w:rPr>
          <w:rFonts w:eastAsiaTheme="minorHAnsi"/>
        </w:rPr>
        <w:t>e</w:t>
      </w:r>
    </w:p>
    <w:p w:rsidR="00740039" w:rsidRPr="00740039" w:rsidRDefault="00740039" w:rsidP="00740039">
      <w:r w:rsidRPr="00740039">
        <w:t xml:space="preserve">Data are provided showing that at </w:t>
      </w:r>
      <w:r>
        <w:t>W</w:t>
      </w:r>
      <w:r w:rsidRPr="00740039">
        <w:t>eek 48, 2% of subjects receiving STB and 1% receiving SBR group had loss of PVR (overall p-value = 0.23).</w:t>
      </w:r>
    </w:p>
    <w:p w:rsidR="00740039" w:rsidRPr="00740039" w:rsidRDefault="00740039" w:rsidP="00740039">
      <w:pPr>
        <w:pStyle w:val="Heading6"/>
        <w:rPr>
          <w:rFonts w:eastAsiaTheme="minorHAnsi"/>
        </w:rPr>
      </w:pPr>
      <w:r w:rsidRPr="00740039">
        <w:rPr>
          <w:rFonts w:eastAsiaTheme="minorHAnsi"/>
        </w:rPr>
        <w:t xml:space="preserve">Joint </w:t>
      </w:r>
      <w:r w:rsidR="002F1B9F" w:rsidRPr="00740039">
        <w:rPr>
          <w:rFonts w:eastAsiaTheme="minorHAnsi"/>
        </w:rPr>
        <w:t>distribution of pure virologic failure and study drug discontinuation</w:t>
      </w:r>
    </w:p>
    <w:p w:rsidR="00740039" w:rsidRPr="00740039" w:rsidRDefault="00740039" w:rsidP="00740039">
      <w:r w:rsidRPr="00740039">
        <w:t>Results provided of this analysis are tabulated below.</w:t>
      </w:r>
    </w:p>
    <w:p w:rsidR="002F1B9F" w:rsidRDefault="00740039" w:rsidP="00740039">
      <w:pPr>
        <w:pStyle w:val="Tabletitle"/>
        <w:keepLines/>
      </w:pPr>
      <w:r w:rsidRPr="00740039">
        <w:t xml:space="preserve">Table 23: GS-US-236-0121: </w:t>
      </w:r>
      <w:r w:rsidR="00D14F08">
        <w:t>J</w:t>
      </w:r>
      <w:r w:rsidR="002F1B9F" w:rsidRPr="00740039">
        <w:t>oint distribution of pure virologic failure and study drug discontinuat</w:t>
      </w:r>
      <w:r w:rsidRPr="00740039">
        <w:t>ion</w:t>
      </w:r>
    </w:p>
    <w:p w:rsidR="00A978A9" w:rsidRDefault="00740039" w:rsidP="002F1B9F">
      <w:r w:rsidRPr="002F1B9F">
        <w:rPr>
          <w:noProof/>
          <w:lang w:eastAsia="en-AU"/>
        </w:rPr>
        <w:drawing>
          <wp:inline distT="0" distB="0" distL="0" distR="0" wp14:anchorId="51FBDD55" wp14:editId="4666FA51">
            <wp:extent cx="5405933" cy="607012"/>
            <wp:effectExtent l="0" t="0" r="4445" b="3175"/>
            <wp:docPr id="37" name="Picture 37" descr="Table 23: GS-US-236-0121: joint distribution of pure virologic failure and study drug dis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404531" cy="606855"/>
                    </a:xfrm>
                    <a:prstGeom prst="rect">
                      <a:avLst/>
                    </a:prstGeom>
                  </pic:spPr>
                </pic:pic>
              </a:graphicData>
            </a:graphic>
          </wp:inline>
        </w:drawing>
      </w:r>
    </w:p>
    <w:p w:rsidR="00740039" w:rsidRPr="00740039" w:rsidRDefault="00740039" w:rsidP="00AC23A4">
      <w:pPr>
        <w:pStyle w:val="Heading6"/>
        <w:rPr>
          <w:rFonts w:eastAsiaTheme="minorHAnsi"/>
        </w:rPr>
      </w:pPr>
      <w:r w:rsidRPr="00740039">
        <w:rPr>
          <w:rFonts w:eastAsiaTheme="minorHAnsi"/>
        </w:rPr>
        <w:t xml:space="preserve">Change </w:t>
      </w:r>
      <w:r w:rsidR="002F1B9F" w:rsidRPr="00740039">
        <w:rPr>
          <w:rFonts w:eastAsiaTheme="minorHAnsi"/>
        </w:rPr>
        <w:t>from b</w:t>
      </w:r>
      <w:r w:rsidRPr="00740039">
        <w:rPr>
          <w:rFonts w:eastAsiaTheme="minorHAnsi"/>
        </w:rPr>
        <w:t xml:space="preserve">aseline in CD4 </w:t>
      </w:r>
      <w:r w:rsidR="002F1B9F" w:rsidRPr="00740039">
        <w:rPr>
          <w:rFonts w:eastAsiaTheme="minorHAnsi"/>
        </w:rPr>
        <w:t xml:space="preserve">cell count </w:t>
      </w:r>
      <w:r>
        <w:rPr>
          <w:rFonts w:eastAsiaTheme="minorHAnsi"/>
        </w:rPr>
        <w:t>t</w:t>
      </w:r>
      <w:r w:rsidR="002F1B9F">
        <w:rPr>
          <w:rFonts w:eastAsiaTheme="minorHAnsi"/>
        </w:rPr>
        <w:t xml:space="preserve">hrough </w:t>
      </w:r>
      <w:r w:rsidR="003426B8">
        <w:rPr>
          <w:rFonts w:eastAsiaTheme="minorHAnsi"/>
        </w:rPr>
        <w:t>w</w:t>
      </w:r>
      <w:r w:rsidR="002F1B9F">
        <w:rPr>
          <w:rFonts w:eastAsiaTheme="minorHAnsi"/>
        </w:rPr>
        <w:t>eek 48</w:t>
      </w:r>
    </w:p>
    <w:p w:rsidR="00740039" w:rsidRPr="00740039" w:rsidRDefault="00740039" w:rsidP="00740039">
      <w:r w:rsidRPr="00740039">
        <w:t>Mean (SD) baseline CD4 cell counts were STB 586 (210.7) cells/</w:t>
      </w:r>
      <w:r>
        <w:t>µ</w:t>
      </w:r>
      <w:r w:rsidR="00AC23A4">
        <w:t>L and SBR 593 (224.6) cells/</w:t>
      </w:r>
      <w:r w:rsidR="008B6777">
        <w:t>µ</w:t>
      </w:r>
      <w:r w:rsidR="008B6777" w:rsidRPr="008B6C94">
        <w:t>L</w:t>
      </w:r>
      <w:r w:rsidRPr="00740039">
        <w:t xml:space="preserve">. Data are provided showing small increases from baseline in CD4 cell counts in both </w:t>
      </w:r>
      <w:r w:rsidRPr="00740039">
        <w:lastRenderedPageBreak/>
        <w:t xml:space="preserve">groups to </w:t>
      </w:r>
      <w:r>
        <w:t>W</w:t>
      </w:r>
      <w:r w:rsidRPr="00740039">
        <w:t>eek 48. Using the M-E method the mean (SD) change at</w:t>
      </w:r>
      <w:r w:rsidR="00AC23A4">
        <w:t xml:space="preserve"> W</w:t>
      </w:r>
      <w:r w:rsidRPr="00740039">
        <w:t>eek 48 with STB was 56 [147.3] cells</w:t>
      </w:r>
      <w:r>
        <w:t>/</w:t>
      </w:r>
      <w:r w:rsidR="008B6777">
        <w:t>µ</w:t>
      </w:r>
      <w:r w:rsidR="008B6777" w:rsidRPr="008B6C94">
        <w:t>L</w:t>
      </w:r>
      <w:r w:rsidRPr="00740039">
        <w:t xml:space="preserve"> and with SBR 58 [179.3] cells/</w:t>
      </w:r>
      <w:r w:rsidR="008B6777">
        <w:t>µ</w:t>
      </w:r>
      <w:r w:rsidR="008B6777" w:rsidRPr="008B6C94">
        <w:t>L</w:t>
      </w:r>
      <w:r w:rsidRPr="00740039">
        <w:t>. A similar trend was found using the M = LOCF method.</w:t>
      </w:r>
    </w:p>
    <w:p w:rsidR="00740039" w:rsidRPr="00740039" w:rsidRDefault="00740039" w:rsidP="00AC23A4">
      <w:pPr>
        <w:pStyle w:val="Heading6"/>
        <w:rPr>
          <w:rFonts w:eastAsiaTheme="minorHAnsi"/>
        </w:rPr>
      </w:pPr>
      <w:r w:rsidRPr="00740039">
        <w:rPr>
          <w:rFonts w:eastAsiaTheme="minorHAnsi"/>
        </w:rPr>
        <w:t xml:space="preserve">Change from </w:t>
      </w:r>
      <w:r w:rsidR="001F38F1">
        <w:rPr>
          <w:rFonts w:eastAsiaTheme="minorHAnsi"/>
        </w:rPr>
        <w:t>b</w:t>
      </w:r>
      <w:r w:rsidRPr="00740039">
        <w:rPr>
          <w:rFonts w:eastAsiaTheme="minorHAnsi"/>
        </w:rPr>
        <w:t xml:space="preserve">aseline in CD4 </w:t>
      </w:r>
      <w:r w:rsidR="001F38F1">
        <w:rPr>
          <w:rFonts w:eastAsiaTheme="minorHAnsi"/>
        </w:rPr>
        <w:t>c</w:t>
      </w:r>
      <w:r w:rsidRPr="00740039">
        <w:rPr>
          <w:rFonts w:eastAsiaTheme="minorHAnsi"/>
        </w:rPr>
        <w:t xml:space="preserve">ell % at </w:t>
      </w:r>
      <w:r w:rsidR="003426B8" w:rsidRPr="00740039">
        <w:rPr>
          <w:rFonts w:eastAsiaTheme="minorHAnsi"/>
        </w:rPr>
        <w:t>w</w:t>
      </w:r>
      <w:r w:rsidRPr="00740039">
        <w:rPr>
          <w:rFonts w:eastAsiaTheme="minorHAnsi"/>
        </w:rPr>
        <w:t>eek 48</w:t>
      </w:r>
    </w:p>
    <w:p w:rsidR="00740039" w:rsidRPr="00740039" w:rsidRDefault="00740039" w:rsidP="00740039">
      <w:r w:rsidRPr="00740039">
        <w:t>Mean (SD) baseline CD4% values were STB 33.3% (8.88%) and SBR 32.7% (8.43%). Data are provided showing that the CD4% remained relatively constant to</w:t>
      </w:r>
      <w:r>
        <w:t xml:space="preserve"> W</w:t>
      </w:r>
      <w:r w:rsidRPr="00740039">
        <w:t>eek 48 in both groups.</w:t>
      </w:r>
    </w:p>
    <w:p w:rsidR="00740039" w:rsidRPr="00740039" w:rsidRDefault="00740039" w:rsidP="00AC23A4">
      <w:pPr>
        <w:pStyle w:val="Heading5"/>
        <w:rPr>
          <w:rFonts w:eastAsiaTheme="minorHAnsi"/>
        </w:rPr>
      </w:pPr>
      <w:r w:rsidRPr="00740039">
        <w:rPr>
          <w:rFonts w:eastAsiaTheme="minorHAnsi"/>
        </w:rPr>
        <w:t xml:space="preserve">Subgroup </w:t>
      </w:r>
      <w:r w:rsidR="005A4180">
        <w:rPr>
          <w:rFonts w:eastAsiaTheme="minorHAnsi"/>
        </w:rPr>
        <w:t>analyses</w:t>
      </w:r>
    </w:p>
    <w:p w:rsidR="00740039" w:rsidRPr="00740039" w:rsidRDefault="00740039" w:rsidP="00740039">
      <w:r w:rsidRPr="00740039">
        <w:t>Treatment differences and 95% CIs for virologic success are shown by subgroup in the figure below. Point estimates for treatment differences in virologic success generally favoured STB. However, except for subjects aged &lt; 40 years, the 95% CIs included zero suggesting no between group differences.</w:t>
      </w:r>
    </w:p>
    <w:p w:rsidR="005A4180" w:rsidRDefault="00740039" w:rsidP="00AC23A4">
      <w:pPr>
        <w:pStyle w:val="FigureTitle"/>
        <w:keepNext/>
        <w:keepLines/>
      </w:pPr>
      <w:r w:rsidRPr="00740039">
        <w:t xml:space="preserve">Figure 13: GS-US-236-0121: Forest Plot of </w:t>
      </w:r>
      <w:r w:rsidR="005A4180" w:rsidRPr="00740039">
        <w:t>treatment difference in virologic success by subgro</w:t>
      </w:r>
      <w:r w:rsidRPr="00740039">
        <w:t>up at Week 48: HIV-1 RNA &lt; 50 copies/mL</w:t>
      </w:r>
      <w:r w:rsidR="005A4180" w:rsidRPr="00740039">
        <w:t>, snapshot alg</w:t>
      </w:r>
      <w:r w:rsidRPr="00740039">
        <w:t>orithm, FAS</w:t>
      </w:r>
    </w:p>
    <w:p w:rsidR="00740039" w:rsidRDefault="00AC23A4" w:rsidP="005A4180">
      <w:r w:rsidRPr="005A4180">
        <w:rPr>
          <w:noProof/>
          <w:lang w:eastAsia="en-AU"/>
        </w:rPr>
        <w:drawing>
          <wp:inline distT="0" distB="0" distL="0" distR="0" wp14:anchorId="779DD99A" wp14:editId="7DB1E386">
            <wp:extent cx="5493715" cy="2763240"/>
            <wp:effectExtent l="0" t="0" r="0" b="0"/>
            <wp:docPr id="38" name="Picture 38" descr="Figure 13: GS-US-236-0121: Forest Plot of treatment difference in virologic success by subgroup at Week 48: HIV-1 RNA &lt; 50 copies/mL, snapshot algorithm,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96824" cy="2764804"/>
                    </a:xfrm>
                    <a:prstGeom prst="rect">
                      <a:avLst/>
                    </a:prstGeom>
                    <a:noFill/>
                    <a:ln>
                      <a:noFill/>
                    </a:ln>
                  </pic:spPr>
                </pic:pic>
              </a:graphicData>
            </a:graphic>
          </wp:inline>
        </w:drawing>
      </w:r>
    </w:p>
    <w:p w:rsidR="00AC23A4" w:rsidRPr="00AC23A4" w:rsidRDefault="00AC23A4" w:rsidP="00AC23A4">
      <w:pPr>
        <w:pStyle w:val="Heading5"/>
        <w:rPr>
          <w:rFonts w:eastAsiaTheme="minorHAnsi"/>
        </w:rPr>
      </w:pPr>
      <w:r>
        <w:rPr>
          <w:rFonts w:eastAsiaTheme="minorHAnsi"/>
        </w:rPr>
        <w:t>V</w:t>
      </w:r>
      <w:r w:rsidRPr="00AC23A4">
        <w:rPr>
          <w:rFonts w:eastAsiaTheme="minorHAnsi"/>
        </w:rPr>
        <w:t xml:space="preserve">irologic </w:t>
      </w:r>
      <w:r w:rsidR="005A4180">
        <w:rPr>
          <w:rFonts w:eastAsiaTheme="minorHAnsi"/>
        </w:rPr>
        <w:t>resistance data</w:t>
      </w:r>
    </w:p>
    <w:p w:rsidR="00AC23A4" w:rsidRPr="00AC23A4" w:rsidRDefault="00AC23A4" w:rsidP="00AC23A4">
      <w:r w:rsidRPr="00AC23A4">
        <w:t>At screening, resistance data were available for all subjects in the FAS. The HIV-1 subtype was determined for 69% of subjects (298</w:t>
      </w:r>
      <w:r w:rsidR="00E35C63">
        <w:t xml:space="preserve"> out of </w:t>
      </w:r>
      <w:r w:rsidRPr="00AC23A4">
        <w:t>433) by the historical genotype. Most had HIV-1 subtype B (276</w:t>
      </w:r>
      <w:r w:rsidR="00E35C63">
        <w:t xml:space="preserve"> out of </w:t>
      </w:r>
      <w:r w:rsidRPr="00AC23A4">
        <w:t>298, 93%). 73</w:t>
      </w:r>
      <w:r w:rsidR="00E35C63">
        <w:t xml:space="preserve"> out of </w:t>
      </w:r>
      <w:r w:rsidRPr="00AC23A4">
        <w:t xml:space="preserve">433 subjects (17%) showed evidence of pre-existing </w:t>
      </w:r>
      <w:r w:rsidR="00744563">
        <w:t>primary</w:t>
      </w:r>
      <w:r w:rsidRPr="00AC23A4">
        <w:t xml:space="preserve"> resistance mutations in their historical HIV-1 genotypes. In the 290 subjects who switched to STB with historical genotype data available, 51 (18%) had HIV-1 with evidence of ≥ 1 pre-existing </w:t>
      </w:r>
      <w:r w:rsidR="00744563">
        <w:t>primary</w:t>
      </w:r>
      <w:r w:rsidRPr="00AC23A4">
        <w:t xml:space="preserve"> resistance mutation in RT and/or PR, 26 (9%) had </w:t>
      </w:r>
      <w:r w:rsidR="00744563">
        <w:t>primary</w:t>
      </w:r>
      <w:r w:rsidRPr="00AC23A4">
        <w:t xml:space="preserve"> NNRTI resistance mutations, including E138A/G/K/Q/R (11), V90I (6), V179D/F/L/T (5), and K103N (1), 21 (7%) had primary NRTI resistance mutations, mainly V118I (13); and 10 (3%) had 1P0P PI resistance mutations.</w:t>
      </w:r>
    </w:p>
    <w:p w:rsidR="00AC23A4" w:rsidRPr="00AC23A4" w:rsidRDefault="00AC23A4" w:rsidP="00AC23A4">
      <w:r w:rsidRPr="00AC23A4">
        <w:t xml:space="preserve">In the 143 SBR subjects, 22 (15%) had evidence of ≥ 1 pre-existing </w:t>
      </w:r>
      <w:r w:rsidR="00744563">
        <w:t>primary</w:t>
      </w:r>
      <w:r w:rsidRPr="00AC23A4">
        <w:t xml:space="preserve"> resistance mutation, 10 (7%) had primary NNRTI </w:t>
      </w:r>
      <w:r w:rsidR="00744563">
        <w:t>primary</w:t>
      </w:r>
      <w:r w:rsidRPr="00AC23A4">
        <w:t xml:space="preserve"> mutations; 9 (6%) had </w:t>
      </w:r>
      <w:r w:rsidR="00744563">
        <w:t>primary</w:t>
      </w:r>
      <w:r w:rsidRPr="00AC23A4">
        <w:t xml:space="preserve"> NRTI resistance mutations and 3 (2%) had </w:t>
      </w:r>
      <w:r w:rsidR="00744563">
        <w:t>primary</w:t>
      </w:r>
      <w:r w:rsidRPr="00AC23A4">
        <w:t xml:space="preserve"> PIn resistance mutations.</w:t>
      </w:r>
    </w:p>
    <w:p w:rsidR="00AC23A4" w:rsidRPr="00AC23A4" w:rsidRDefault="00AC23A4" w:rsidP="00AC23A4">
      <w:r w:rsidRPr="00AC23A4">
        <w:t xml:space="preserve">No subject in either group with a pre-existing mutation met virologic failure criteria to </w:t>
      </w:r>
      <w:r>
        <w:t>W</w:t>
      </w:r>
      <w:r w:rsidRPr="00AC23A4">
        <w:t>eek 48. A subject receiving STB with a pre-existing resistance mut</w:t>
      </w:r>
      <w:r w:rsidR="005A4180">
        <w:t>ation maintained HIV-1 RNA &lt; 50 </w:t>
      </w:r>
      <w:r w:rsidRPr="00AC23A4">
        <w:t xml:space="preserve">copies/mL to </w:t>
      </w:r>
      <w:r>
        <w:t>W</w:t>
      </w:r>
      <w:r w:rsidRPr="00AC23A4">
        <w:t xml:space="preserve">eek 48. A subject receiving STB with a number of pre-existing resistance mutations was excluded from the FAS even though they maintained HIV-1 RNA &lt; 50 copies/mL to </w:t>
      </w:r>
      <w:r>
        <w:t>W</w:t>
      </w:r>
      <w:r w:rsidRPr="00AC23A4">
        <w:t xml:space="preserve">eek 48. To </w:t>
      </w:r>
      <w:r>
        <w:t>W</w:t>
      </w:r>
      <w:r w:rsidRPr="00AC23A4">
        <w:t xml:space="preserve">eek 48, 1 subject without a pre-existing mutation in each treatment group had confirmed virologic rebound and met the criteria for inclusion in the RAP. Results of post </w:t>
      </w:r>
      <w:r w:rsidRPr="00AC23A4">
        <w:lastRenderedPageBreak/>
        <w:t>baseline genotypic and phenotypic data for PR, RT, and IN revealed that neither subject developed drug resistance in their HIV-1. Both subsequently resuppressed to &lt; 50 copies/mL whilst on study drugs.</w:t>
      </w:r>
    </w:p>
    <w:p w:rsidR="00AC23A4" w:rsidRDefault="00AC23A4" w:rsidP="00AC23A4">
      <w:r w:rsidRPr="00AC23A4">
        <w:t>The sponsor conclusions were:</w:t>
      </w:r>
    </w:p>
    <w:p w:rsidR="00AC23A4" w:rsidRPr="00AC23A4" w:rsidRDefault="00AC23A4" w:rsidP="00AC23A4">
      <w:pPr>
        <w:pStyle w:val="ListBullet"/>
      </w:pPr>
      <w:r w:rsidRPr="00AC23A4">
        <w:t>Switching to STB met the primary endpoint of non</w:t>
      </w:r>
      <w:r>
        <w:t>-</w:t>
      </w:r>
      <w:r w:rsidRPr="00AC23A4">
        <w:t xml:space="preserve">inferiority versus staying on an NNRTI + FTC/TDF regimen in virologically suppressed, HIV-1 infected subjects, based on the % of subjects with HIV-1 RNA &lt; 50 copies/mL at </w:t>
      </w:r>
      <w:r>
        <w:t>W</w:t>
      </w:r>
      <w:r w:rsidRPr="00AC23A4">
        <w:t>eek 48.</w:t>
      </w:r>
    </w:p>
    <w:p w:rsidR="00AC23A4" w:rsidRPr="00AC23A4" w:rsidRDefault="00AC23A4" w:rsidP="00AC23A4">
      <w:pPr>
        <w:pStyle w:val="ListBullet"/>
      </w:pPr>
      <w:r w:rsidRPr="00AC23A4">
        <w:t>Both groups maintained high rates of virologic suppression. Small increases from baseline in CD4 cell counts were seen in both groups.</w:t>
      </w:r>
    </w:p>
    <w:p w:rsidR="00AC23A4" w:rsidRPr="00AC23A4" w:rsidRDefault="00AC23A4" w:rsidP="00AC23A4">
      <w:pPr>
        <w:pStyle w:val="ListBullet"/>
      </w:pPr>
      <w:r w:rsidRPr="00AC23A4">
        <w:t>There was no treatment</w:t>
      </w:r>
      <w:r>
        <w:t xml:space="preserve"> </w:t>
      </w:r>
      <w:r w:rsidRPr="00AC23A4">
        <w:t>emergent HIV-1 drug resistance in either group.</w:t>
      </w:r>
    </w:p>
    <w:p w:rsidR="00AC23A4" w:rsidRPr="005A4180" w:rsidRDefault="005A4180" w:rsidP="005A4180">
      <w:pPr>
        <w:pStyle w:val="Comment"/>
      </w:pPr>
      <w:r w:rsidRPr="005A4180">
        <w:rPr>
          <w:b/>
        </w:rPr>
        <w:t>C</w:t>
      </w:r>
      <w:r w:rsidR="00AC23A4" w:rsidRPr="005A4180">
        <w:rPr>
          <w:b/>
        </w:rPr>
        <w:t>omment</w:t>
      </w:r>
      <w:r w:rsidRPr="005A4180">
        <w:rPr>
          <w:b/>
        </w:rPr>
        <w:t>:</w:t>
      </w:r>
      <w:r>
        <w:t xml:space="preserve"> </w:t>
      </w:r>
      <w:r w:rsidR="00AC23A4" w:rsidRPr="005A4180">
        <w:t>The sponsor’s conclusions are accepted.</w:t>
      </w:r>
    </w:p>
    <w:p w:rsidR="00AC23A4" w:rsidRPr="00AC23A4" w:rsidRDefault="00AC23A4" w:rsidP="00391DD3">
      <w:pPr>
        <w:pStyle w:val="Heading3"/>
        <w:rPr>
          <w:rFonts w:eastAsiaTheme="minorHAnsi"/>
        </w:rPr>
      </w:pPr>
      <w:bookmarkStart w:id="27" w:name="_Toc481586177"/>
      <w:r w:rsidRPr="00AC23A4">
        <w:rPr>
          <w:rFonts w:eastAsiaTheme="minorHAnsi"/>
        </w:rPr>
        <w:t>GS-US-236-0123</w:t>
      </w:r>
      <w:bookmarkEnd w:id="27"/>
    </w:p>
    <w:p w:rsidR="00AC23A4" w:rsidRPr="00AC23A4" w:rsidRDefault="00AC23A4" w:rsidP="00391DD3">
      <w:pPr>
        <w:pStyle w:val="Heading4"/>
      </w:pPr>
      <w:r w:rsidRPr="00AC23A4">
        <w:t xml:space="preserve">Study design, </w:t>
      </w:r>
      <w:r w:rsidR="001F38F1">
        <w:t>objectives, locations and dates</w:t>
      </w:r>
    </w:p>
    <w:p w:rsidR="00AC23A4" w:rsidRPr="00AC23A4" w:rsidRDefault="00AC23A4" w:rsidP="00AC23A4">
      <w:r w:rsidRPr="00AC23A4">
        <w:t xml:space="preserve">This was a </w:t>
      </w:r>
      <w:r w:rsidR="00391DD3">
        <w:t>P</w:t>
      </w:r>
      <w:r w:rsidRPr="00AC23A4">
        <w:t xml:space="preserve">hase </w:t>
      </w:r>
      <w:r w:rsidR="00391DD3">
        <w:t>III</w:t>
      </w:r>
      <w:r w:rsidRPr="00AC23A4">
        <w:t>B open</w:t>
      </w:r>
      <w:r w:rsidR="00391DD3">
        <w:t xml:space="preserve"> </w:t>
      </w:r>
      <w:r w:rsidRPr="00AC23A4">
        <w:t>label pilot study to evaluate switching from a regimen comprising RAL plus FTC/TDF (TVD) to STB in virologically</w:t>
      </w:r>
      <w:r w:rsidR="00391DD3">
        <w:t xml:space="preserve"> </w:t>
      </w:r>
      <w:r w:rsidRPr="00AC23A4">
        <w:t>suppressed, HIV-1 infected patients. It was conducted at 7 centres in the US between January 2012 and August 2013. The objectives were:</w:t>
      </w:r>
    </w:p>
    <w:p w:rsidR="00AC23A4" w:rsidRPr="00AC23A4" w:rsidRDefault="00744563" w:rsidP="00391DD3">
      <w:pPr>
        <w:pStyle w:val="ListBullet"/>
      </w:pPr>
      <w:r>
        <w:t>Primary</w:t>
      </w:r>
      <w:r w:rsidR="00AC23A4" w:rsidRPr="00AC23A4">
        <w:t xml:space="preserve">: To evaluate the efficacy of STB after switching from a regimen consisting of RAL plus FTC/TDF at baseline in maintaining HIV-1 RNA &lt;50 copies/mL at </w:t>
      </w:r>
      <w:r w:rsidR="00391DD3">
        <w:t>W</w:t>
      </w:r>
      <w:r w:rsidR="00AC23A4" w:rsidRPr="00AC23A4">
        <w:t>eek 12.</w:t>
      </w:r>
    </w:p>
    <w:p w:rsidR="00AC23A4" w:rsidRPr="00AC23A4" w:rsidRDefault="00744563" w:rsidP="00391DD3">
      <w:pPr>
        <w:pStyle w:val="ListBullet"/>
      </w:pPr>
      <w:r>
        <w:t>Secondary</w:t>
      </w:r>
      <w:r w:rsidR="00AC23A4" w:rsidRPr="00AC23A4">
        <w:t xml:space="preserve">: To evaluate the safety and tolerability of STB over 24 and 48 weeks and the efficacy of STB after switching from RAL plus FTC/TDF at baseline in maintaining HIV-1 RNA &lt; 50 copies/mL at </w:t>
      </w:r>
      <w:r w:rsidR="00391DD3">
        <w:t>W</w:t>
      </w:r>
      <w:r w:rsidR="00AC23A4" w:rsidRPr="00AC23A4">
        <w:t>eeks 24 and 48.</w:t>
      </w:r>
    </w:p>
    <w:p w:rsidR="00AC23A4" w:rsidRPr="00AC23A4" w:rsidRDefault="00AC23A4" w:rsidP="00AC23A4">
      <w:r w:rsidRPr="00AC23A4">
        <w:t xml:space="preserve">After screening, study visits occurred at baseline and </w:t>
      </w:r>
      <w:r w:rsidR="00391DD3">
        <w:t>W</w:t>
      </w:r>
      <w:r w:rsidRPr="00AC23A4">
        <w:t xml:space="preserve">eeks 4, 8, 12, 24, 36, and 48. After </w:t>
      </w:r>
      <w:r w:rsidR="00391DD3">
        <w:t>W</w:t>
      </w:r>
      <w:r w:rsidRPr="00AC23A4">
        <w:t>eek 48, all subjects completed a 30</w:t>
      </w:r>
      <w:r w:rsidR="00391DD3">
        <w:t xml:space="preserve"> </w:t>
      </w:r>
      <w:r w:rsidRPr="00AC23A4">
        <w:t>day follow</w:t>
      </w:r>
      <w:r w:rsidR="00391DD3">
        <w:t xml:space="preserve"> </w:t>
      </w:r>
      <w:r w:rsidRPr="00AC23A4">
        <w:t>up visit or telephone call.</w:t>
      </w:r>
    </w:p>
    <w:p w:rsidR="00AC23A4" w:rsidRPr="00AC23A4" w:rsidRDefault="00AC23A4" w:rsidP="00AC23A4">
      <w:r w:rsidRPr="00AC23A4">
        <w:t xml:space="preserve">Information on and results from the safety assessment are presented </w:t>
      </w:r>
      <w:r w:rsidR="005A4180">
        <w:t xml:space="preserve">in the safety section </w:t>
      </w:r>
      <w:r w:rsidRPr="00AC23A4">
        <w:t>of this rep</w:t>
      </w:r>
      <w:r w:rsidR="00391DD3">
        <w:t>ort.</w:t>
      </w:r>
    </w:p>
    <w:p w:rsidR="00AC23A4" w:rsidRPr="00AC23A4" w:rsidRDefault="00AC23A4" w:rsidP="006933F5">
      <w:pPr>
        <w:pStyle w:val="Heading4"/>
      </w:pPr>
      <w:r w:rsidRPr="00AC23A4">
        <w:t>Main inclusion criteri</w:t>
      </w:r>
      <w:r w:rsidR="00E625B1">
        <w:t>a</w:t>
      </w:r>
    </w:p>
    <w:p w:rsidR="00AC23A4" w:rsidRPr="00AC23A4" w:rsidRDefault="00AC23A4" w:rsidP="00AC23A4">
      <w:r w:rsidRPr="00AC23A4">
        <w:t>HIV-1 infected adults who had been virologically stable on their current 1</w:t>
      </w:r>
      <w:r w:rsidRPr="00E625B1">
        <w:rPr>
          <w:vertAlign w:val="superscript"/>
        </w:rPr>
        <w:t>st</w:t>
      </w:r>
      <w:r w:rsidR="00E625B1">
        <w:rPr>
          <w:vertAlign w:val="superscript"/>
        </w:rPr>
        <w:t xml:space="preserve"> </w:t>
      </w:r>
      <w:r w:rsidRPr="00AC23A4">
        <w:t xml:space="preserve">ARV regimen comprising only RAL twice daily plus TVD continuously for ≥ 6 months before screening. Subjects were required to have documented undetectable </w:t>
      </w:r>
      <w:r w:rsidR="005A4180">
        <w:t>plasma HIV-1 RNA levels for ≥ 6 </w:t>
      </w:r>
      <w:r w:rsidRPr="00AC23A4">
        <w:t>months before screening, never to have experienced 2 consecutive detectable HIV-1 RNA levels after having achieved a confirmed undetectable HIV-1 RNA level on the 1</w:t>
      </w:r>
      <w:r w:rsidRPr="00E625B1">
        <w:rPr>
          <w:vertAlign w:val="superscript"/>
        </w:rPr>
        <w:t>s</w:t>
      </w:r>
      <w:r w:rsidR="00E625B1" w:rsidRPr="00E625B1">
        <w:rPr>
          <w:vertAlign w:val="superscript"/>
        </w:rPr>
        <w:t>t</w:t>
      </w:r>
      <w:r w:rsidR="00E625B1">
        <w:rPr>
          <w:vertAlign w:val="superscript"/>
        </w:rPr>
        <w:t xml:space="preserve"> </w:t>
      </w:r>
      <w:r w:rsidRPr="00AC23A4">
        <w:t>regimen, to have plasma HIV-1 RNA &lt; 50 copies/mL at screening, and to have no known resistance to any of the study agents as demonstrated by HIV-1 genotyping at screening. Subjects were also required to have adequate renal function.</w:t>
      </w:r>
    </w:p>
    <w:p w:rsidR="00AC23A4" w:rsidRPr="00AC23A4" w:rsidRDefault="00AC23A4" w:rsidP="006933F5">
      <w:pPr>
        <w:pStyle w:val="Heading4"/>
      </w:pPr>
      <w:r w:rsidRPr="00AC23A4">
        <w:t>Study treatments</w:t>
      </w:r>
    </w:p>
    <w:p w:rsidR="00AC23A4" w:rsidRPr="00AC23A4" w:rsidRDefault="00AC23A4" w:rsidP="00AC23A4">
      <w:r w:rsidRPr="00AC23A4">
        <w:t>All subjects received STB orally, once daily, with a meal. Allowed and prohibited prior and concomitant medication was specified. Procedures for measuring compliance were described.</w:t>
      </w:r>
    </w:p>
    <w:p w:rsidR="00AC23A4" w:rsidRPr="00AC23A4" w:rsidRDefault="00AC23A4" w:rsidP="006933F5">
      <w:pPr>
        <w:pStyle w:val="Heading4"/>
      </w:pPr>
      <w:r w:rsidRPr="00AC23A4">
        <w:t>Efficacy outcome variables</w:t>
      </w:r>
    </w:p>
    <w:p w:rsidR="00AC23A4" w:rsidRPr="00AC23A4" w:rsidRDefault="00AC23A4" w:rsidP="00AC23A4">
      <w:r w:rsidRPr="00AC23A4">
        <w:t xml:space="preserve">The </w:t>
      </w:r>
      <w:r w:rsidR="00744563">
        <w:t>primary</w:t>
      </w:r>
      <w:r w:rsidRPr="00AC23A4">
        <w:t xml:space="preserve"> efficacy endpoint was the % of subjects with HIV-1 RNA &lt; 50 copies/mL at </w:t>
      </w:r>
      <w:r w:rsidR="00E625B1">
        <w:t>W</w:t>
      </w:r>
      <w:r w:rsidRPr="00AC23A4">
        <w:t xml:space="preserve">eek 12, as defined by the FDA snapshot algorithm. The analysis window was defined as </w:t>
      </w:r>
      <w:r w:rsidR="00E625B1">
        <w:t>s</w:t>
      </w:r>
      <w:r w:rsidRPr="00AC23A4">
        <w:t xml:space="preserve">tudy </w:t>
      </w:r>
      <w:r w:rsidR="00E625B1">
        <w:t>D</w:t>
      </w:r>
      <w:r w:rsidRPr="00AC23A4">
        <w:t>ays 71 to 126 (inclusive).</w:t>
      </w:r>
    </w:p>
    <w:p w:rsidR="000C6E6C" w:rsidRPr="000C6E6C" w:rsidRDefault="000C6E6C" w:rsidP="000C6E6C">
      <w:r w:rsidRPr="000C6E6C">
        <w:t xml:space="preserve">Virologic outcome was defined virologic success or failure and no virologic data in the </w:t>
      </w:r>
      <w:r>
        <w:t>W</w:t>
      </w:r>
      <w:r w:rsidRPr="000C6E6C">
        <w:t>eek 12 visit window.</w:t>
      </w:r>
    </w:p>
    <w:p w:rsidR="000C6E6C" w:rsidRPr="000C6E6C" w:rsidRDefault="000C6E6C" w:rsidP="000C6E6C">
      <w:r w:rsidRPr="000C6E6C">
        <w:lastRenderedPageBreak/>
        <w:t xml:space="preserve">The </w:t>
      </w:r>
      <w:r w:rsidR="00744563">
        <w:t>secondary</w:t>
      </w:r>
      <w:r w:rsidRPr="000C6E6C">
        <w:t xml:space="preserve"> efficacy endpoints were:</w:t>
      </w:r>
    </w:p>
    <w:p w:rsidR="000C6E6C" w:rsidRPr="000C6E6C" w:rsidRDefault="001F38F1" w:rsidP="000C6E6C">
      <w:pPr>
        <w:pStyle w:val="ListBullet"/>
      </w:pPr>
      <w:r>
        <w:t>Percent</w:t>
      </w:r>
      <w:r w:rsidR="000C6E6C" w:rsidRPr="000C6E6C">
        <w:t xml:space="preserve"> of subjects with HIV-1 RNA &lt; 50 copies/mL at </w:t>
      </w:r>
      <w:r w:rsidR="000C6E6C">
        <w:t>W</w:t>
      </w:r>
      <w:r w:rsidR="000C6E6C" w:rsidRPr="000C6E6C">
        <w:t>eeks 24 and 48</w:t>
      </w:r>
      <w:r w:rsidR="003426B8">
        <w:t>.</w:t>
      </w:r>
    </w:p>
    <w:p w:rsidR="000C6E6C" w:rsidRPr="000C6E6C" w:rsidRDefault="001F38F1" w:rsidP="000C6E6C">
      <w:pPr>
        <w:pStyle w:val="ListBullet"/>
      </w:pPr>
      <w:r>
        <w:t>Percent</w:t>
      </w:r>
      <w:r w:rsidR="000C6E6C" w:rsidRPr="000C6E6C">
        <w:t xml:space="preserve"> of subjects with HIV-1 RNA &lt; 50 copies/mL by visit</w:t>
      </w:r>
      <w:r w:rsidR="003426B8">
        <w:t>.</w:t>
      </w:r>
    </w:p>
    <w:p w:rsidR="000C6E6C" w:rsidRPr="000C6E6C" w:rsidRDefault="001F38F1" w:rsidP="000C6E6C">
      <w:pPr>
        <w:pStyle w:val="ListBullet"/>
      </w:pPr>
      <w:r>
        <w:t>Percent</w:t>
      </w:r>
      <w:r w:rsidR="000C6E6C" w:rsidRPr="000C6E6C">
        <w:t xml:space="preserve"> of subjects with HIV-1 RNA &lt; 50 copies/mL at </w:t>
      </w:r>
      <w:r w:rsidR="000C6E6C">
        <w:t>W</w:t>
      </w:r>
      <w:r w:rsidR="000C6E6C" w:rsidRPr="000C6E6C">
        <w:t>eeks 12, 24, and 48</w:t>
      </w:r>
      <w:r w:rsidR="003426B8">
        <w:t>.</w:t>
      </w:r>
    </w:p>
    <w:p w:rsidR="000C6E6C" w:rsidRPr="000C6E6C" w:rsidRDefault="000C6E6C" w:rsidP="000C6E6C">
      <w:pPr>
        <w:pStyle w:val="ListBullet"/>
      </w:pPr>
      <w:r w:rsidRPr="000C6E6C">
        <w:t>CD4 cell count and changes from baseline by visit</w:t>
      </w:r>
      <w:r w:rsidR="003426B8">
        <w:t>.</w:t>
      </w:r>
    </w:p>
    <w:p w:rsidR="000C6E6C" w:rsidRPr="000C6E6C" w:rsidRDefault="000C6E6C" w:rsidP="000C6E6C">
      <w:r w:rsidRPr="000C6E6C">
        <w:t>Resistance analysis was also undertaken.</w:t>
      </w:r>
    </w:p>
    <w:p w:rsidR="000C6E6C" w:rsidRPr="000C6E6C" w:rsidRDefault="000C6E6C" w:rsidP="006933F5">
      <w:pPr>
        <w:pStyle w:val="Heading4"/>
      </w:pPr>
      <w:r w:rsidRPr="000C6E6C">
        <w:t>Sample size</w:t>
      </w:r>
    </w:p>
    <w:p w:rsidR="000C6E6C" w:rsidRPr="000C6E6C" w:rsidRDefault="000C6E6C" w:rsidP="000C6E6C">
      <w:r w:rsidRPr="000C6E6C">
        <w:t>50 subjects were planned for the study. This number was selected based on the feasibility of conducting the study.</w:t>
      </w:r>
    </w:p>
    <w:p w:rsidR="000C6E6C" w:rsidRPr="000C6E6C" w:rsidRDefault="000C6E6C" w:rsidP="006933F5">
      <w:pPr>
        <w:pStyle w:val="Heading4"/>
      </w:pPr>
      <w:r w:rsidRPr="000C6E6C">
        <w:t xml:space="preserve">Analysis </w:t>
      </w:r>
      <w:r w:rsidR="005A4180">
        <w:t>p</w:t>
      </w:r>
      <w:r w:rsidRPr="000C6E6C">
        <w:t>opulations</w:t>
      </w:r>
    </w:p>
    <w:p w:rsidR="000C6E6C" w:rsidRPr="000C6E6C" w:rsidRDefault="000C6E6C" w:rsidP="000C6E6C">
      <w:pPr>
        <w:pStyle w:val="ListBullet"/>
      </w:pPr>
      <w:r w:rsidRPr="000C6E6C">
        <w:t>SAS: enrolled subjects who received at least 1 dose of study medication.</w:t>
      </w:r>
    </w:p>
    <w:p w:rsidR="000C6E6C" w:rsidRPr="000C6E6C" w:rsidRDefault="000C6E6C" w:rsidP="000C6E6C">
      <w:pPr>
        <w:pStyle w:val="ListBullet"/>
      </w:pPr>
      <w:r w:rsidRPr="000C6E6C">
        <w:t xml:space="preserve">FAS: All enrolled subjects who received at least 1 dose of study medication with no major protocol violations including documented protocol-prohibited resistance at or prior to </w:t>
      </w:r>
      <w:r>
        <w:t>D</w:t>
      </w:r>
      <w:r w:rsidRPr="000C6E6C">
        <w:t>ay 1.</w:t>
      </w:r>
    </w:p>
    <w:p w:rsidR="000C6E6C" w:rsidRPr="000C6E6C" w:rsidRDefault="000C6E6C" w:rsidP="006933F5">
      <w:pPr>
        <w:pStyle w:val="Heading4"/>
      </w:pPr>
      <w:r w:rsidRPr="000C6E6C">
        <w:t>Statistical methods</w:t>
      </w:r>
    </w:p>
    <w:p w:rsidR="000C6E6C" w:rsidRPr="000C6E6C" w:rsidRDefault="000C6E6C" w:rsidP="000C6E6C">
      <w:r w:rsidRPr="000C6E6C">
        <w:t>Demographic data and baseline characteristics were summarised using descriptive statistics for continuous data and by the number and % of subjects for categorical data. Baseline disease data were summarised by HIV-1 RNA copies/mL categories (&lt; 50, 50 to &lt; 200, 200 to &lt; 400, 400 to &lt; 1000, ≥ 1000), CD4 cell count and cell count categories (/</w:t>
      </w:r>
      <w:r w:rsidR="008B6777">
        <w:t>µ</w:t>
      </w:r>
      <w:r w:rsidR="008B6777" w:rsidRPr="008B6C94">
        <w:t>L</w:t>
      </w:r>
      <w:r w:rsidRPr="000C6E6C">
        <w:t>) (≤ 50, 51 to ≤ 200, 201 to ≤ 350, 351 to ≤ 500, &gt; 500), HIV disease status, mode of infection, HBV and HCV status, enrolment survey results, eGFR</w:t>
      </w:r>
      <w:r w:rsidRPr="000C6E6C">
        <w:rPr>
          <w:vertAlign w:val="subscript"/>
        </w:rPr>
        <w:t>CG</w:t>
      </w:r>
      <w:r>
        <w:t>,</w:t>
      </w:r>
      <w:r w:rsidRPr="000C6E6C">
        <w:t xml:space="preserve"> use of lipid lowering </w:t>
      </w:r>
      <w:r>
        <w:t>agents and duration of RAL use.</w:t>
      </w:r>
    </w:p>
    <w:p w:rsidR="000C6E6C" w:rsidRPr="000C6E6C" w:rsidRDefault="00744563" w:rsidP="006933F5">
      <w:pPr>
        <w:pStyle w:val="Heading5"/>
        <w:rPr>
          <w:rFonts w:eastAsiaTheme="minorHAnsi"/>
        </w:rPr>
      </w:pPr>
      <w:r>
        <w:rPr>
          <w:rFonts w:eastAsiaTheme="minorHAnsi"/>
        </w:rPr>
        <w:t>Primary</w:t>
      </w:r>
      <w:r w:rsidR="000C6E6C" w:rsidRPr="000C6E6C">
        <w:rPr>
          <w:rFonts w:eastAsiaTheme="minorHAnsi"/>
        </w:rPr>
        <w:t xml:space="preserve"> </w:t>
      </w:r>
      <w:r w:rsidRPr="000C6E6C">
        <w:rPr>
          <w:rFonts w:eastAsiaTheme="minorHAnsi"/>
        </w:rPr>
        <w:t>efficacy endpoint</w:t>
      </w:r>
    </w:p>
    <w:p w:rsidR="000C6E6C" w:rsidRPr="000C6E6C" w:rsidRDefault="000C6E6C" w:rsidP="000C6E6C">
      <w:r w:rsidRPr="000C6E6C">
        <w:t xml:space="preserve">Virologic outcomes at </w:t>
      </w:r>
      <w:r w:rsidR="003D0D37">
        <w:t>W</w:t>
      </w:r>
      <w:r w:rsidRPr="000C6E6C">
        <w:t>eek 12 were summarised using frequency counts and %, and a 2</w:t>
      </w:r>
      <w:r w:rsidR="003D0D37">
        <w:t xml:space="preserve"> </w:t>
      </w:r>
      <w:r w:rsidRPr="000C6E6C">
        <w:t>sided exact 95% CI for the % of subjects with virologic success was constructed.</w:t>
      </w:r>
    </w:p>
    <w:p w:rsidR="000C6E6C" w:rsidRPr="000C6E6C" w:rsidRDefault="00744563" w:rsidP="006933F5">
      <w:pPr>
        <w:pStyle w:val="Heading5"/>
        <w:rPr>
          <w:rFonts w:eastAsiaTheme="minorHAnsi"/>
        </w:rPr>
      </w:pPr>
      <w:r>
        <w:rPr>
          <w:rFonts w:eastAsiaTheme="minorHAnsi"/>
        </w:rPr>
        <w:t>Secondary</w:t>
      </w:r>
      <w:r w:rsidR="000C6E6C" w:rsidRPr="000C6E6C">
        <w:rPr>
          <w:rFonts w:eastAsiaTheme="minorHAnsi"/>
        </w:rPr>
        <w:t xml:space="preserve"> </w:t>
      </w:r>
      <w:r w:rsidRPr="000C6E6C">
        <w:rPr>
          <w:rFonts w:eastAsiaTheme="minorHAnsi"/>
        </w:rPr>
        <w:t>efficacy endpoints</w:t>
      </w:r>
    </w:p>
    <w:p w:rsidR="000C6E6C" w:rsidRPr="000C6E6C" w:rsidRDefault="00744563" w:rsidP="003D0D37">
      <w:pPr>
        <w:pStyle w:val="ListBullet"/>
      </w:pPr>
      <w:r>
        <w:t>Percent</w:t>
      </w:r>
      <w:r w:rsidR="000C6E6C" w:rsidRPr="000C6E6C">
        <w:t xml:space="preserve"> of subjects with HIV-1 RNA &lt; 50 copies/mL at </w:t>
      </w:r>
      <w:r w:rsidR="003D0D37">
        <w:t>W</w:t>
      </w:r>
      <w:r w:rsidR="000C6E6C" w:rsidRPr="000C6E6C">
        <w:t xml:space="preserve">eeks 24 and 48: Similar methods to those used for analysis of the </w:t>
      </w:r>
      <w:r>
        <w:t>primary</w:t>
      </w:r>
      <w:r w:rsidR="000C6E6C" w:rsidRPr="000C6E6C">
        <w:t xml:space="preserve"> endpoint were used to estimate the % of subjects with HIV-1 RNA &lt; 50 copies/mL at </w:t>
      </w:r>
      <w:r w:rsidR="003D0D37">
        <w:t>W</w:t>
      </w:r>
      <w:r w:rsidR="000C6E6C" w:rsidRPr="000C6E6C">
        <w:t xml:space="preserve">eeks 24 and 48. The analysis windows were </w:t>
      </w:r>
      <w:r w:rsidR="003D0D37">
        <w:t>D</w:t>
      </w:r>
      <w:r w:rsidR="000C6E6C" w:rsidRPr="000C6E6C">
        <w:t>ays 127</w:t>
      </w:r>
      <w:r w:rsidR="003D0D37">
        <w:t xml:space="preserve"> to </w:t>
      </w:r>
      <w:r w:rsidR="000C6E6C" w:rsidRPr="000C6E6C">
        <w:t xml:space="preserve">210 for the </w:t>
      </w:r>
      <w:r w:rsidR="003D0D37">
        <w:t>W</w:t>
      </w:r>
      <w:r w:rsidR="000C6E6C" w:rsidRPr="000C6E6C">
        <w:t xml:space="preserve">eek 24 analysis and </w:t>
      </w:r>
      <w:r w:rsidR="003D0D37">
        <w:t>D</w:t>
      </w:r>
      <w:r w:rsidR="000C6E6C" w:rsidRPr="000C6E6C">
        <w:t>ays 295</w:t>
      </w:r>
      <w:r w:rsidR="003D0D37">
        <w:t xml:space="preserve"> to </w:t>
      </w:r>
      <w:r w:rsidR="000C6E6C" w:rsidRPr="000C6E6C">
        <w:t xml:space="preserve">379 for the </w:t>
      </w:r>
      <w:r w:rsidR="003D0D37">
        <w:t>W</w:t>
      </w:r>
      <w:r w:rsidR="000C6E6C" w:rsidRPr="000C6E6C">
        <w:t>eek 48 analysis.</w:t>
      </w:r>
    </w:p>
    <w:p w:rsidR="000C6E6C" w:rsidRPr="000C6E6C" w:rsidRDefault="00744563" w:rsidP="003D0D37">
      <w:pPr>
        <w:pStyle w:val="ListBullet"/>
      </w:pPr>
      <w:r>
        <w:t>Percent</w:t>
      </w:r>
      <w:r w:rsidR="000C6E6C" w:rsidRPr="000C6E6C">
        <w:t xml:space="preserve"> of subjects with HIV-1 RNA Levels &lt; 50 copies/mL by visit: A categorical summary of HIV-1 viral load at each visit (&lt; 50, ≥ 50 to &lt; 200, ≥ 200 t</w:t>
      </w:r>
      <w:r w:rsidR="001F38F1">
        <w:t>o &lt; 400, ≥ 400 to &lt; 1000, and ≥ </w:t>
      </w:r>
      <w:r w:rsidR="000C6E6C" w:rsidRPr="000C6E6C">
        <w:t xml:space="preserve">1000 copies/mL, non-completer, missing) was to be provided. A non-completer was a subject who prematurely discontinued study drug prior to the summarised visit for the on-treatment analysis, or who prematurely discontinued from the study prior to the summarised visit for the on-study analysis. These %s of were analysed using M = F (by visit), M = E (by visit), and M = LOCF (at </w:t>
      </w:r>
      <w:r w:rsidR="003D0D37">
        <w:t>W</w:t>
      </w:r>
      <w:r w:rsidR="000C6E6C" w:rsidRPr="000C6E6C">
        <w:t xml:space="preserve">eeks 12, 24, and 48). The exact 95% CI was calculated for each of the above %s at </w:t>
      </w:r>
      <w:r w:rsidR="003D0D37">
        <w:t>W</w:t>
      </w:r>
      <w:r w:rsidR="000C6E6C" w:rsidRPr="000C6E6C">
        <w:t>eeks 12, 24, and 48.</w:t>
      </w:r>
    </w:p>
    <w:p w:rsidR="000C6E6C" w:rsidRPr="000C6E6C" w:rsidRDefault="000C6E6C" w:rsidP="003D0D37">
      <w:pPr>
        <w:pStyle w:val="ListBullet"/>
      </w:pPr>
      <w:r w:rsidRPr="000C6E6C">
        <w:t>Change from baseline in CD4 cell counts and %s by visit: Descriptive statistics were used to summari</w:t>
      </w:r>
      <w:r w:rsidR="003D0D37">
        <w:t>s</w:t>
      </w:r>
      <w:r w:rsidRPr="000C6E6C">
        <w:t>e CD4 cell counts and change from baseline at each visit. CD4% and change from baseline in CD4% were summarised in a similar manner for subjects in the FAS.</w:t>
      </w:r>
    </w:p>
    <w:p w:rsidR="000C6E6C" w:rsidRPr="000C6E6C" w:rsidRDefault="001F38F1" w:rsidP="006933F5">
      <w:pPr>
        <w:pStyle w:val="Heading4"/>
      </w:pPr>
      <w:r>
        <w:t>Resistance analysis</w:t>
      </w:r>
    </w:p>
    <w:p w:rsidR="000C6E6C" w:rsidRPr="000C6E6C" w:rsidRDefault="000C6E6C" w:rsidP="000C6E6C">
      <w:r w:rsidRPr="000C6E6C">
        <w:t xml:space="preserve">Virologic rebound was defined as having 2 consecutive visits </w:t>
      </w:r>
      <w:proofErr w:type="gramStart"/>
      <w:r w:rsidRPr="000C6E6C">
        <w:t>with HIV-1 RNA ≥ 50 copies/mL</w:t>
      </w:r>
      <w:proofErr w:type="gramEnd"/>
      <w:r w:rsidRPr="000C6E6C">
        <w:t xml:space="preserve"> at least 2 weeks apart. Subjects with virologic rebound were considered to have virologic failure. </w:t>
      </w:r>
      <w:r w:rsidRPr="000C6E6C">
        <w:lastRenderedPageBreak/>
        <w:t xml:space="preserve">Also subjects who had </w:t>
      </w:r>
      <w:proofErr w:type="gramStart"/>
      <w:r w:rsidRPr="000C6E6C">
        <w:t>HIV-1 RNA ≥ 400 copies/mL</w:t>
      </w:r>
      <w:proofErr w:type="gramEnd"/>
      <w:r w:rsidRPr="000C6E6C">
        <w:t xml:space="preserve"> at </w:t>
      </w:r>
      <w:r w:rsidR="003D0D37">
        <w:t>W</w:t>
      </w:r>
      <w:r w:rsidRPr="000C6E6C">
        <w:t xml:space="preserve">eek 48 or </w:t>
      </w:r>
      <w:r w:rsidR="000F310E">
        <w:t xml:space="preserve">at </w:t>
      </w:r>
      <w:r w:rsidRPr="000C6E6C">
        <w:t>their last visit were to be analysed for resistance at their last visit.</w:t>
      </w:r>
    </w:p>
    <w:p w:rsidR="000C6E6C" w:rsidRPr="000C6E6C" w:rsidRDefault="001F38F1" w:rsidP="003D0D37">
      <w:pPr>
        <w:pStyle w:val="Heading4"/>
      </w:pPr>
      <w:r>
        <w:t>Participant flow</w:t>
      </w:r>
    </w:p>
    <w:p w:rsidR="000C6E6C" w:rsidRPr="000C6E6C" w:rsidRDefault="000C6E6C" w:rsidP="000C6E6C">
      <w:r w:rsidRPr="000C6E6C">
        <w:t>48 subjects were enrolled and all completed the study.</w:t>
      </w:r>
    </w:p>
    <w:p w:rsidR="003D0D37" w:rsidRPr="00432988" w:rsidRDefault="003D0D37" w:rsidP="00432988">
      <w:pPr>
        <w:pStyle w:val="Heading4"/>
      </w:pPr>
      <w:r w:rsidRPr="00432988">
        <w:t>Major</w:t>
      </w:r>
      <w:r w:rsidR="001F38F1">
        <w:t xml:space="preserve"> protocol violations/deviations</w:t>
      </w:r>
    </w:p>
    <w:p w:rsidR="003D0D37" w:rsidRPr="00432988" w:rsidRDefault="003D0D37" w:rsidP="00432988">
      <w:r w:rsidRPr="00432988">
        <w:t>14 important protocol deviations occurred in 9 subjects. The majority were for subjects who had dispensing or dosing errors or who were not managed according to protocol-specified requirements. 1 subject had violated the inclusion criterion requiring a subject to have been on their first ARV regimen consisting only of RAL plus TVD. They had received RAL plus ATR for 3 months prior to switching to RAL plus TVD. The sponsor considered that none of the deviations affected the overall interpretation of the study data. The table below is a summary of important deviations.</w:t>
      </w:r>
    </w:p>
    <w:p w:rsidR="001F38F1" w:rsidRDefault="003D0D37" w:rsidP="00432988">
      <w:pPr>
        <w:pStyle w:val="Tabletitle"/>
        <w:keepLines/>
      </w:pPr>
      <w:r w:rsidRPr="00432988">
        <w:t xml:space="preserve">Table 24: GS-US-236-0123: </w:t>
      </w:r>
      <w:r w:rsidR="001F38F1">
        <w:t>I</w:t>
      </w:r>
      <w:r w:rsidR="001F38F1" w:rsidRPr="00432988">
        <w:t>mportant protocol deviations by deviation category: all enrolled sub</w:t>
      </w:r>
      <w:r w:rsidRPr="00432988">
        <w:t>jects</w:t>
      </w:r>
    </w:p>
    <w:p w:rsidR="003D0D37" w:rsidRDefault="00432988" w:rsidP="001F38F1">
      <w:r w:rsidRPr="001F38F1">
        <w:rPr>
          <w:noProof/>
          <w:lang w:eastAsia="en-AU"/>
        </w:rPr>
        <w:drawing>
          <wp:inline distT="0" distB="0" distL="0" distR="0" wp14:anchorId="2C72922D" wp14:editId="425EA3FC">
            <wp:extent cx="5405933" cy="1544552"/>
            <wp:effectExtent l="0" t="0" r="4445" b="0"/>
            <wp:docPr id="39" name="Picture 39" descr="Table 24: GS-US-236-0123: Important protocol deviations by deviation category: all enroll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6223" cy="1544635"/>
                    </a:xfrm>
                    <a:prstGeom prst="rect">
                      <a:avLst/>
                    </a:prstGeom>
                    <a:noFill/>
                    <a:ln>
                      <a:noFill/>
                    </a:ln>
                  </pic:spPr>
                </pic:pic>
              </a:graphicData>
            </a:graphic>
          </wp:inline>
        </w:drawing>
      </w:r>
    </w:p>
    <w:p w:rsidR="00432988" w:rsidRPr="00432988" w:rsidRDefault="00432988" w:rsidP="00432988">
      <w:pPr>
        <w:pStyle w:val="Heading4"/>
      </w:pPr>
      <w:r w:rsidRPr="00432988">
        <w:t>Baseline data</w:t>
      </w:r>
    </w:p>
    <w:p w:rsidR="00432988" w:rsidRPr="00432988" w:rsidRDefault="00432988" w:rsidP="00432988">
      <w:r w:rsidRPr="00432988">
        <w:t>Data are provided showing that the majority of subjects were male (95.8%). The mean age was 44 years (range: 23</w:t>
      </w:r>
      <w:r>
        <w:t xml:space="preserve"> to </w:t>
      </w:r>
      <w:r w:rsidRPr="00432988">
        <w:t xml:space="preserve">58), most were </w:t>
      </w:r>
      <w:r w:rsidR="00B90068">
        <w:t>White</w:t>
      </w:r>
      <w:r w:rsidRPr="00432988">
        <w:t xml:space="preserve"> (83.3%) or </w:t>
      </w:r>
      <w:r w:rsidR="00E35C63">
        <w:t>Black</w:t>
      </w:r>
      <w:r w:rsidRPr="00432988">
        <w:t xml:space="preserve"> (14.6%), and non-Hispanic/Latino (79.2%). Mean BMI at was 27.7 kg/m</w:t>
      </w:r>
      <w:r w:rsidRPr="00432988">
        <w:rPr>
          <w:vertAlign w:val="superscript"/>
        </w:rPr>
        <w:t>2</w:t>
      </w:r>
      <w:r w:rsidRPr="00432988">
        <w:t>. The majority (95.8%) had HIV-1 RNA &lt; 50 copies/mL. 2 subjects had HIV-1 RNA 50-&lt; 200 copies/mL. The mean (SD) CD4 cell count was 711 (265.9) cells/</w:t>
      </w:r>
      <w:r w:rsidR="008B6777">
        <w:t>µ</w:t>
      </w:r>
      <w:r w:rsidR="008B6777" w:rsidRPr="008B6C94">
        <w:t>L</w:t>
      </w:r>
      <w:r w:rsidRPr="00432988">
        <w:t>. The mean (SD) baseline CD4% was 35.4% (8.95%). The mean (SD) duration for which subjects had received RAL was 31.6 (14.26) months. The most common HIV risk factor category was homosexual sex (91.7% of subjects). The majority (93.8%) had asymptomatic infection. No subjects were HBsAg positive and 1 subject was HCVAb positive. The mean (SD) baseline eGFR</w:t>
      </w:r>
      <w:r w:rsidRPr="00432988">
        <w:rPr>
          <w:vertAlign w:val="subscript"/>
        </w:rPr>
        <w:t xml:space="preserve">CG </w:t>
      </w:r>
      <w:r w:rsidRPr="00432988">
        <w:t>was 110.4 (21.75) mL/min.</w:t>
      </w:r>
    </w:p>
    <w:p w:rsidR="00432988" w:rsidRPr="00432988" w:rsidRDefault="00432988" w:rsidP="00432988">
      <w:pPr>
        <w:pStyle w:val="Heading4"/>
      </w:pPr>
      <w:r w:rsidRPr="00432988">
        <w:t>Re</w:t>
      </w:r>
      <w:r w:rsidR="001F38F1">
        <w:t>sults for the efficacy outcomes</w:t>
      </w:r>
    </w:p>
    <w:p w:rsidR="00432988" w:rsidRPr="00432988" w:rsidRDefault="001F38F1" w:rsidP="00432988">
      <w:pPr>
        <w:pStyle w:val="Heading5"/>
        <w:rPr>
          <w:rFonts w:eastAsiaTheme="minorHAnsi"/>
        </w:rPr>
      </w:pPr>
      <w:r>
        <w:rPr>
          <w:rFonts w:eastAsiaTheme="minorHAnsi"/>
        </w:rPr>
        <w:t>Primary efficacy endpoint</w:t>
      </w:r>
    </w:p>
    <w:p w:rsidR="00432988" w:rsidRPr="00432988" w:rsidRDefault="00432988" w:rsidP="00432988">
      <w:r w:rsidRPr="00432988">
        <w:t xml:space="preserve">Data are provided showing that all </w:t>
      </w:r>
      <w:proofErr w:type="gramStart"/>
      <w:r w:rsidRPr="00432988">
        <w:t>subjects</w:t>
      </w:r>
      <w:proofErr w:type="gramEnd"/>
      <w:r w:rsidRPr="00432988">
        <w:t xml:space="preserve"> maintained virologic success at </w:t>
      </w:r>
      <w:r>
        <w:t>W</w:t>
      </w:r>
      <w:r w:rsidRPr="00432988">
        <w:t>eek 12 and that in all, HIV-1 RNA was &lt; 50 copies/mL.</w:t>
      </w:r>
    </w:p>
    <w:p w:rsidR="00432988" w:rsidRPr="00432988" w:rsidRDefault="00432988" w:rsidP="00432988">
      <w:pPr>
        <w:pStyle w:val="Heading5"/>
        <w:rPr>
          <w:rFonts w:eastAsiaTheme="minorHAnsi"/>
        </w:rPr>
      </w:pPr>
      <w:r w:rsidRPr="00432988">
        <w:rPr>
          <w:rFonts w:eastAsiaTheme="minorHAnsi"/>
        </w:rPr>
        <w:t xml:space="preserve">Secondary </w:t>
      </w:r>
      <w:r w:rsidR="001F38F1" w:rsidRPr="00432988">
        <w:rPr>
          <w:rFonts w:eastAsiaTheme="minorHAnsi"/>
        </w:rPr>
        <w:t>efficacy endpoints</w:t>
      </w:r>
    </w:p>
    <w:p w:rsidR="00432988" w:rsidRPr="00432988" w:rsidRDefault="00432988" w:rsidP="00021F5A">
      <w:pPr>
        <w:pStyle w:val="Heading6"/>
      </w:pPr>
      <w:r w:rsidRPr="00432988">
        <w:t xml:space="preserve">Virologic </w:t>
      </w:r>
      <w:r w:rsidR="001F38F1" w:rsidRPr="00432988">
        <w:t>outcome</w:t>
      </w:r>
      <w:r w:rsidRPr="00432988">
        <w:t xml:space="preserve"> at Weeks 24 and 48 </w:t>
      </w:r>
      <w:r w:rsidR="001F38F1" w:rsidRPr="00432988">
        <w:t xml:space="preserve">using snapshot algorithm </w:t>
      </w:r>
      <w:r w:rsidR="001F38F1">
        <w:t>and HIV-1 RNA &lt; 50 </w:t>
      </w:r>
      <w:r w:rsidRPr="00432988">
        <w:t>copies/mL</w:t>
      </w:r>
    </w:p>
    <w:p w:rsidR="00432988" w:rsidRPr="00432988" w:rsidRDefault="00432988" w:rsidP="00432988">
      <w:r w:rsidRPr="00432988">
        <w:t xml:space="preserve">Data are provided showing that all </w:t>
      </w:r>
      <w:proofErr w:type="gramStart"/>
      <w:r w:rsidRPr="00432988">
        <w:t>subjects</w:t>
      </w:r>
      <w:proofErr w:type="gramEnd"/>
      <w:r w:rsidRPr="00432988">
        <w:t xml:space="preserve"> maintained virologic success at </w:t>
      </w:r>
      <w:r w:rsidR="00021F5A">
        <w:t>W</w:t>
      </w:r>
      <w:r w:rsidRPr="00432988">
        <w:t>eeks 24 and 48, and that in all, HIV-1 RNA was &lt; 50 copies/mL.</w:t>
      </w:r>
    </w:p>
    <w:p w:rsidR="00432988" w:rsidRPr="00432988" w:rsidRDefault="00744563" w:rsidP="00021F5A">
      <w:pPr>
        <w:pStyle w:val="Heading6"/>
      </w:pPr>
      <w:r>
        <w:lastRenderedPageBreak/>
        <w:t>Percent</w:t>
      </w:r>
      <w:r w:rsidR="00432988" w:rsidRPr="00432988">
        <w:t xml:space="preserve"> of </w:t>
      </w:r>
      <w:r w:rsidR="001F38F1" w:rsidRPr="00432988">
        <w:t xml:space="preserve">subjects with plasma </w:t>
      </w:r>
      <w:r w:rsidR="00432988" w:rsidRPr="00432988">
        <w:t xml:space="preserve">HIV-1 RNA </w:t>
      </w:r>
      <w:r w:rsidR="001F38F1">
        <w:t>l</w:t>
      </w:r>
      <w:r w:rsidR="00432988" w:rsidRPr="00432988">
        <w:t>evels &lt; 50 copies/mL by visit</w:t>
      </w:r>
    </w:p>
    <w:p w:rsidR="00432988" w:rsidRPr="00432988" w:rsidRDefault="00432988" w:rsidP="00432988">
      <w:r w:rsidRPr="00432988">
        <w:t xml:space="preserve">Data are provided showing that all subjects had HIV-1 RNA &lt; 50 copies/mL at </w:t>
      </w:r>
      <w:r w:rsidR="00021F5A">
        <w:t>W</w:t>
      </w:r>
      <w:r w:rsidRPr="00432988">
        <w:t>eeks 12, 24, and 48 using the M = F, M = E, and M = LOCF methods. It is noted th</w:t>
      </w:r>
      <w:r w:rsidR="001F38F1">
        <w:t>at 1 subject had HIV-1 RNA ≥ 50 </w:t>
      </w:r>
      <w:r w:rsidRPr="00432988">
        <w:t xml:space="preserve">copies/mL during the study. This occurred at </w:t>
      </w:r>
      <w:r w:rsidR="00021F5A">
        <w:t>W</w:t>
      </w:r>
      <w:r w:rsidRPr="00432988">
        <w:t xml:space="preserve">eek 8 and HIV-1 RNA was </w:t>
      </w:r>
      <w:proofErr w:type="gramStart"/>
      <w:r w:rsidRPr="00432988">
        <w:t>59 copies/mL</w:t>
      </w:r>
      <w:proofErr w:type="gramEnd"/>
      <w:r w:rsidRPr="00432988">
        <w:t>.</w:t>
      </w:r>
    </w:p>
    <w:p w:rsidR="00021F5A" w:rsidRPr="00021F5A" w:rsidRDefault="00432988" w:rsidP="00021F5A">
      <w:pPr>
        <w:pStyle w:val="Heading6"/>
        <w:rPr>
          <w:rFonts w:eastAsiaTheme="minorHAnsi"/>
        </w:rPr>
      </w:pPr>
      <w:r w:rsidRPr="00021F5A">
        <w:t>Change from</w:t>
      </w:r>
      <w:r w:rsidR="00021F5A">
        <w:t xml:space="preserve"> </w:t>
      </w:r>
      <w:r w:rsidR="008B4446">
        <w:rPr>
          <w:rFonts w:eastAsiaTheme="minorHAnsi"/>
        </w:rPr>
        <w:t>b</w:t>
      </w:r>
      <w:r w:rsidR="00021F5A" w:rsidRPr="00021F5A">
        <w:rPr>
          <w:rFonts w:eastAsiaTheme="minorHAnsi"/>
        </w:rPr>
        <w:t xml:space="preserve">aseline in CD4 </w:t>
      </w:r>
      <w:r w:rsidR="008B4446" w:rsidRPr="00021F5A">
        <w:rPr>
          <w:rFonts w:eastAsiaTheme="minorHAnsi"/>
        </w:rPr>
        <w:t xml:space="preserve">cell counts and </w:t>
      </w:r>
      <w:r w:rsidR="008B4446">
        <w:rPr>
          <w:rFonts w:eastAsiaTheme="minorHAnsi"/>
        </w:rPr>
        <w:t>percent</w:t>
      </w:r>
    </w:p>
    <w:p w:rsidR="00021F5A" w:rsidRPr="00021F5A" w:rsidRDefault="00021F5A" w:rsidP="00021F5A">
      <w:r w:rsidRPr="00021F5A">
        <w:t xml:space="preserve">At </w:t>
      </w:r>
      <w:r>
        <w:t>W</w:t>
      </w:r>
      <w:r w:rsidRPr="00021F5A">
        <w:t>eek 48, mean (SD) CD4 cell counts were 733 (270.1) cells/</w:t>
      </w:r>
      <w:r w:rsidR="008B6777">
        <w:t>µ</w:t>
      </w:r>
      <w:r w:rsidR="008B6777" w:rsidRPr="008B6C94">
        <w:t>L</w:t>
      </w:r>
      <w:r w:rsidRPr="00021F5A">
        <w:t>, and the mean (SD) change from baseline 23 (144.6) cells/</w:t>
      </w:r>
      <w:r w:rsidR="008B6777">
        <w:t>µ</w:t>
      </w:r>
      <w:r w:rsidR="008B6777" w:rsidRPr="008B6C94">
        <w:t>L</w:t>
      </w:r>
      <w:r w:rsidRPr="00021F5A">
        <w:t xml:space="preserve">. At </w:t>
      </w:r>
      <w:r>
        <w:t>W</w:t>
      </w:r>
      <w:r w:rsidRPr="00021F5A">
        <w:t>eek 48, the mean (SD) change from baseline in CD4% was 0.7% (3.92%).</w:t>
      </w:r>
    </w:p>
    <w:p w:rsidR="00021F5A" w:rsidRPr="00021F5A" w:rsidRDefault="00021F5A" w:rsidP="006933F5">
      <w:pPr>
        <w:pStyle w:val="Heading5"/>
        <w:rPr>
          <w:rFonts w:eastAsiaTheme="minorHAnsi"/>
        </w:rPr>
      </w:pPr>
      <w:r w:rsidRPr="00021F5A">
        <w:rPr>
          <w:rFonts w:eastAsiaTheme="minorHAnsi"/>
        </w:rPr>
        <w:t xml:space="preserve">Virologic </w:t>
      </w:r>
      <w:r w:rsidR="008B4446" w:rsidRPr="00021F5A">
        <w:rPr>
          <w:rFonts w:eastAsiaTheme="minorHAnsi"/>
        </w:rPr>
        <w:t>resistance d</w:t>
      </w:r>
      <w:r w:rsidRPr="00021F5A">
        <w:rPr>
          <w:rFonts w:eastAsiaTheme="minorHAnsi"/>
        </w:rPr>
        <w:t>ata</w:t>
      </w:r>
    </w:p>
    <w:p w:rsidR="00021F5A" w:rsidRPr="00021F5A" w:rsidRDefault="00021F5A" w:rsidP="00021F5A">
      <w:r w:rsidRPr="00021F5A">
        <w:t>It is indicated that no subject experienced virologic failure. In 42</w:t>
      </w:r>
      <w:r w:rsidR="00E35C63">
        <w:t xml:space="preserve"> out of </w:t>
      </w:r>
      <w:r w:rsidRPr="00021F5A">
        <w:t>48 (88%) subjects with available historical HIV-1 subtype information, most (41</w:t>
      </w:r>
      <w:r w:rsidR="00E35C63">
        <w:t xml:space="preserve"> out of </w:t>
      </w:r>
      <w:r w:rsidRPr="00021F5A">
        <w:t>42) had subtype B. 8</w:t>
      </w:r>
      <w:r w:rsidR="00E35C63">
        <w:t xml:space="preserve"> out of </w:t>
      </w:r>
      <w:r w:rsidRPr="00021F5A">
        <w:t xml:space="preserve">48 (17%) had evidence of ≥ 1 </w:t>
      </w:r>
      <w:r w:rsidR="00744563">
        <w:t>primary</w:t>
      </w:r>
      <w:r w:rsidRPr="00021F5A">
        <w:t xml:space="preserve"> RT resistance mutation in their HIV-1 genotype. These comprised NNRTI resistance mutations for 7 subjects, including K103N (n = 4), V106I (n = 2), and G190A (n = 1). The NRTI resistance mutations K219K/Q and D67N+K219Q were also present in isolates from the 2 subjects with V106I. The </w:t>
      </w:r>
      <w:r w:rsidR="00744563">
        <w:t>primary</w:t>
      </w:r>
      <w:r w:rsidRPr="00021F5A">
        <w:t xml:space="preserve"> NRTI resistance mutation M41L was present in the isolate from the remaining subject.</w:t>
      </w:r>
    </w:p>
    <w:p w:rsidR="00021F5A" w:rsidRPr="00021F5A" w:rsidRDefault="00021F5A" w:rsidP="00021F5A">
      <w:r w:rsidRPr="00021F5A">
        <w:t>No subject with a pre</w:t>
      </w:r>
      <w:r>
        <w:t>-</w:t>
      </w:r>
      <w:r w:rsidRPr="00021F5A">
        <w:t>existing mutation met virologic failure criteria. As virologic suppression was</w:t>
      </w:r>
      <w:r>
        <w:t xml:space="preserve"> </w:t>
      </w:r>
      <w:r w:rsidRPr="00021F5A">
        <w:t>maintained through 48 weeks in all subjects, the sponsor considered that the presence of NNRTI and NRTI resistance mutations did not affect the antiviral activity of STB.</w:t>
      </w:r>
    </w:p>
    <w:p w:rsidR="00021F5A" w:rsidRPr="00021F5A" w:rsidRDefault="00021F5A" w:rsidP="00021F5A">
      <w:r w:rsidRPr="00021F5A">
        <w:t>The sponsor concluded that STB was effective in maintaining virologic suppression and immunologic control for 48 weeks in virologically suppressed, HIV-1 infected subjects who switched from a regimen of RAL+TVD, as indicated by the following:</w:t>
      </w:r>
    </w:p>
    <w:p w:rsidR="00021F5A" w:rsidRPr="00021F5A" w:rsidRDefault="00021F5A" w:rsidP="00021F5A">
      <w:pPr>
        <w:pStyle w:val="ListBullet"/>
      </w:pPr>
      <w:r w:rsidRPr="00021F5A">
        <w:t xml:space="preserve">Virologic success was maintained in 100% of subjects at </w:t>
      </w:r>
      <w:r>
        <w:t>W</w:t>
      </w:r>
      <w:r w:rsidRPr="00021F5A">
        <w:t>eeks 12, 24, and 48</w:t>
      </w:r>
      <w:r w:rsidR="003426B8">
        <w:t>.</w:t>
      </w:r>
    </w:p>
    <w:p w:rsidR="00021F5A" w:rsidRPr="00021F5A" w:rsidRDefault="00021F5A" w:rsidP="00021F5A">
      <w:pPr>
        <w:pStyle w:val="ListBullet"/>
      </w:pPr>
      <w:r w:rsidRPr="00021F5A">
        <w:t>There was no development of drug resistance</w:t>
      </w:r>
      <w:r w:rsidR="0029502A">
        <w:t>.</w:t>
      </w:r>
    </w:p>
    <w:p w:rsidR="00021F5A" w:rsidRPr="008B4446" w:rsidRDefault="008B4446" w:rsidP="008B4446">
      <w:pPr>
        <w:pStyle w:val="Comment"/>
      </w:pPr>
      <w:r w:rsidRPr="008B4446">
        <w:rPr>
          <w:b/>
        </w:rPr>
        <w:t>C</w:t>
      </w:r>
      <w:r w:rsidR="00021F5A" w:rsidRPr="008B4446">
        <w:rPr>
          <w:b/>
        </w:rPr>
        <w:t>omment</w:t>
      </w:r>
      <w:r w:rsidRPr="008B4446">
        <w:rPr>
          <w:b/>
        </w:rPr>
        <w:t xml:space="preserve">: </w:t>
      </w:r>
      <w:r w:rsidR="00021F5A" w:rsidRPr="008B4446">
        <w:t>The sponsor’s conclusions are accepted.</w:t>
      </w:r>
    </w:p>
    <w:p w:rsidR="00021F5A" w:rsidRPr="00021F5A" w:rsidRDefault="00021F5A" w:rsidP="00021F5A">
      <w:pPr>
        <w:pStyle w:val="Heading3"/>
        <w:rPr>
          <w:rFonts w:eastAsiaTheme="minorHAnsi"/>
        </w:rPr>
      </w:pPr>
      <w:bookmarkStart w:id="28" w:name="_Toc481586178"/>
      <w:r w:rsidRPr="00021F5A">
        <w:rPr>
          <w:rFonts w:eastAsiaTheme="minorHAnsi"/>
        </w:rPr>
        <w:t>E</w:t>
      </w:r>
      <w:r>
        <w:rPr>
          <w:rFonts w:eastAsiaTheme="minorHAnsi"/>
        </w:rPr>
        <w:t>valuator’s conclusions on efficacy</w:t>
      </w:r>
      <w:bookmarkEnd w:id="28"/>
    </w:p>
    <w:p w:rsidR="00021F5A" w:rsidRPr="00021F5A" w:rsidRDefault="00021F5A" w:rsidP="00021F5A">
      <w:r w:rsidRPr="00021F5A">
        <w:t xml:space="preserve">The results from </w:t>
      </w:r>
      <w:r>
        <w:t>W</w:t>
      </w:r>
      <w:r w:rsidRPr="00021F5A">
        <w:t xml:space="preserve">eek 144 data in </w:t>
      </w:r>
      <w:r w:rsidR="007B4284">
        <w:t>S</w:t>
      </w:r>
      <w:r w:rsidRPr="00021F5A">
        <w:t>tudies GS-US-236-0102 and GS-US-236-0103 demonstrate continued efficacy of STB in treatment naïve subjects with HIV.</w:t>
      </w:r>
    </w:p>
    <w:p w:rsidR="00021F5A" w:rsidRPr="00021F5A" w:rsidRDefault="00021F5A" w:rsidP="00021F5A">
      <w:r w:rsidRPr="00021F5A">
        <w:t xml:space="preserve">Data and information to support an extension of indications to include the use of STB in virologically suppressed HIV-1 infected subjects is provided in </w:t>
      </w:r>
      <w:r>
        <w:t>S</w:t>
      </w:r>
      <w:r w:rsidRPr="00021F5A">
        <w:t xml:space="preserve">tudies GS-US-236-0115, GS-US-236-0121 and GS-US-236-0123. In GS-US-236-0115 and GS-US-236-0121, subjects were switched to STB from the baseline regimens of PIn + RTV + FTC/TDF and NNRTI plus FTC and TDF respectively and compared with subjects continuing on the baseline regimens. Results are presented showing that at </w:t>
      </w:r>
      <w:r>
        <w:t>W</w:t>
      </w:r>
      <w:r w:rsidRPr="00021F5A">
        <w:t>eek 48 treatment with STB was non</w:t>
      </w:r>
      <w:r>
        <w:t>-</w:t>
      </w:r>
      <w:r w:rsidRPr="00021F5A">
        <w:t>inferior to continued treatment with the baseline regimens. Also, in both studies, there was no treatment</w:t>
      </w:r>
      <w:r>
        <w:t xml:space="preserve"> </w:t>
      </w:r>
      <w:r w:rsidRPr="00021F5A">
        <w:t xml:space="preserve">emergent HIV-1 drug resistance in either treatment group. Efficacy of STB in this population was also demonstrated from the results of </w:t>
      </w:r>
      <w:r>
        <w:t>S</w:t>
      </w:r>
      <w:r w:rsidRPr="00021F5A">
        <w:t>tudy GS-US-236-0123. In this study, subjects were switched to STB from a regimen of RAL</w:t>
      </w:r>
      <w:r>
        <w:t xml:space="preserve"> </w:t>
      </w:r>
      <w:r w:rsidRPr="00021F5A">
        <w:t>+</w:t>
      </w:r>
      <w:r>
        <w:t xml:space="preserve"> </w:t>
      </w:r>
      <w:r w:rsidRPr="00021F5A">
        <w:t>TVD. All subjects maintained virologic suppression and there was no development of drug resistance. It is considered that these data support the use of STB in virologically suppressed HIV-1 infected subjects.</w:t>
      </w:r>
    </w:p>
    <w:p w:rsidR="00C22678" w:rsidRDefault="00C22678" w:rsidP="00C22678">
      <w:pPr>
        <w:pStyle w:val="Heading2"/>
      </w:pPr>
      <w:bookmarkStart w:id="29" w:name="_Toc481586179"/>
      <w:r>
        <w:t xml:space="preserve">Clinical </w:t>
      </w:r>
      <w:r w:rsidR="006E62FF">
        <w:t>safety</w:t>
      </w:r>
      <w:bookmarkEnd w:id="29"/>
    </w:p>
    <w:p w:rsidR="00021F5A" w:rsidRPr="00021F5A" w:rsidRDefault="00021F5A" w:rsidP="00021F5A">
      <w:r w:rsidRPr="00021F5A">
        <w:t>The safety data provided in the dossier that are relevant to the proposed PI changes in the precautions and adverse effects sections comprise:</w:t>
      </w:r>
    </w:p>
    <w:p w:rsidR="00021F5A" w:rsidRPr="00021F5A" w:rsidRDefault="00021F5A" w:rsidP="00021F5A">
      <w:pPr>
        <w:pStyle w:val="ListBullet"/>
      </w:pPr>
      <w:r w:rsidRPr="00021F5A">
        <w:lastRenderedPageBreak/>
        <w:t xml:space="preserve">The CSR for </w:t>
      </w:r>
      <w:r>
        <w:t>S</w:t>
      </w:r>
      <w:r w:rsidRPr="00021F5A">
        <w:t>tudy GS-US-236-0118 to support an update to the adverse effects section to include 48-week safety data with use of STB in HIV-1 infected treatment</w:t>
      </w:r>
      <w:r>
        <w:t xml:space="preserve"> </w:t>
      </w:r>
      <w:r w:rsidRPr="00021F5A">
        <w:t>naïve patients with mild to moderate renal impairment.</w:t>
      </w:r>
    </w:p>
    <w:p w:rsidR="00021F5A" w:rsidRPr="00021F5A" w:rsidRDefault="00021F5A" w:rsidP="00021F5A">
      <w:pPr>
        <w:pStyle w:val="ListBullet"/>
      </w:pPr>
      <w:r w:rsidRPr="00021F5A">
        <w:t xml:space="preserve">CSRs for </w:t>
      </w:r>
      <w:r>
        <w:t>S</w:t>
      </w:r>
      <w:r w:rsidRPr="00021F5A">
        <w:t xml:space="preserve">tudies GS-US-236-0102 and GS-US-236-0103 to support an update of safety information in the precautions and adverse effects sections to include </w:t>
      </w:r>
      <w:r>
        <w:t>W</w:t>
      </w:r>
      <w:r w:rsidRPr="00021F5A">
        <w:t>eek 144 data.</w:t>
      </w:r>
    </w:p>
    <w:p w:rsidR="00021F5A" w:rsidRPr="00021F5A" w:rsidRDefault="00021F5A" w:rsidP="00021F5A">
      <w:pPr>
        <w:pStyle w:val="ListBullet"/>
      </w:pPr>
      <w:r w:rsidRPr="00021F5A">
        <w:t xml:space="preserve">CSRs for </w:t>
      </w:r>
      <w:r>
        <w:t>S</w:t>
      </w:r>
      <w:r w:rsidRPr="00021F5A">
        <w:t>tudies GS-US-236-0115, GS-US-236-0121 and GS-US-236-0123 to support additional information in the adverse effects section to include data from the use of STB in virologically suppressed patients.</w:t>
      </w:r>
    </w:p>
    <w:p w:rsidR="001F38F1" w:rsidRDefault="00021F5A" w:rsidP="00021F5A">
      <w:r w:rsidRPr="00021F5A">
        <w:t>A summary of key safety data and information provided in the CSRs of these studies is presented as follows</w:t>
      </w:r>
      <w:r w:rsidR="001F38F1">
        <w:t>.</w:t>
      </w:r>
    </w:p>
    <w:p w:rsidR="00021F5A" w:rsidRPr="00021F5A" w:rsidRDefault="00021F5A" w:rsidP="00021F5A">
      <w:pPr>
        <w:pStyle w:val="Heading3"/>
        <w:rPr>
          <w:rFonts w:eastAsiaTheme="minorHAnsi"/>
        </w:rPr>
      </w:pPr>
      <w:bookmarkStart w:id="30" w:name="_Toc481586180"/>
      <w:r w:rsidRPr="00021F5A">
        <w:rPr>
          <w:rFonts w:eastAsiaTheme="minorHAnsi"/>
        </w:rPr>
        <w:t>GS-US-236-0118</w:t>
      </w:r>
      <w:bookmarkEnd w:id="30"/>
    </w:p>
    <w:p w:rsidR="00021F5A" w:rsidRPr="00021F5A" w:rsidRDefault="00021F5A" w:rsidP="00021F5A">
      <w:pPr>
        <w:pStyle w:val="Heading4"/>
      </w:pPr>
      <w:r w:rsidRPr="00021F5A">
        <w:t>Study design, objectives, locations and dates</w:t>
      </w:r>
    </w:p>
    <w:p w:rsidR="00021F5A" w:rsidRPr="00021F5A" w:rsidRDefault="00021F5A" w:rsidP="00021F5A">
      <w:r w:rsidRPr="00021F5A">
        <w:t>This was an open</w:t>
      </w:r>
      <w:r w:rsidR="00630D66">
        <w:t xml:space="preserve"> </w:t>
      </w:r>
      <w:r w:rsidRPr="00021F5A">
        <w:t>label, multicentre, multiple</w:t>
      </w:r>
      <w:r w:rsidR="00630D66">
        <w:t xml:space="preserve"> </w:t>
      </w:r>
      <w:r w:rsidRPr="00021F5A">
        <w:t>cohort study to evaluate the effect of COBI-containing ARV regimens on parameters of renal function in HIV-1 infected subjects with mild to moderate renal impairment and to assess the safety and tolerability of those regimens to inform dosing recommendations in this subset of patients. It was conducted at 40 sites in the US, UK, Australia, Austria, Canada, Mexico, Dominican Republic and Germany. It commenced in May 2011 with the last subject observation for this report being in July 2013.</w:t>
      </w:r>
    </w:p>
    <w:p w:rsidR="00630D66" w:rsidRPr="00630D66" w:rsidRDefault="00630D66" w:rsidP="00630D66">
      <w:r w:rsidRPr="00630D66">
        <w:t>The objectives were:</w:t>
      </w:r>
    </w:p>
    <w:p w:rsidR="00630D66" w:rsidRPr="00630D66" w:rsidRDefault="00744563" w:rsidP="00630D66">
      <w:pPr>
        <w:pStyle w:val="ListBullet"/>
      </w:pPr>
      <w:r>
        <w:t>Primary</w:t>
      </w:r>
      <w:r w:rsidR="00630D66" w:rsidRPr="00630D66">
        <w:t>: To evaluate the effect of COBI</w:t>
      </w:r>
      <w:r w:rsidR="00630D66">
        <w:t xml:space="preserve"> </w:t>
      </w:r>
      <w:r w:rsidR="00630D66" w:rsidRPr="00630D66">
        <w:t xml:space="preserve">containing regimens on renal parameters at </w:t>
      </w:r>
      <w:r w:rsidR="00630D66">
        <w:t>W</w:t>
      </w:r>
      <w:r w:rsidR="008B4446">
        <w:t>eek </w:t>
      </w:r>
      <w:r w:rsidR="00630D66" w:rsidRPr="00630D66">
        <w:t>24</w:t>
      </w:r>
      <w:r w:rsidR="00E3416C">
        <w:t>.</w:t>
      </w:r>
    </w:p>
    <w:p w:rsidR="00630D66" w:rsidRPr="00630D66" w:rsidRDefault="00744563" w:rsidP="00630D66">
      <w:pPr>
        <w:pStyle w:val="ListBullet"/>
      </w:pPr>
      <w:r>
        <w:t>Secondary</w:t>
      </w:r>
      <w:r w:rsidR="00630D66" w:rsidRPr="00630D66">
        <w:t>: To evaluate the safety and tolerability of COBI</w:t>
      </w:r>
      <w:r w:rsidR="00630D66">
        <w:t xml:space="preserve"> </w:t>
      </w:r>
      <w:r w:rsidR="00630D66" w:rsidRPr="00630D66">
        <w:t>containing regimens and the long</w:t>
      </w:r>
      <w:r w:rsidR="00630D66">
        <w:t xml:space="preserve"> </w:t>
      </w:r>
      <w:r w:rsidR="00630D66" w:rsidRPr="00630D66">
        <w:t>term effect of COBI</w:t>
      </w:r>
      <w:r w:rsidR="00630D66">
        <w:t xml:space="preserve"> </w:t>
      </w:r>
      <w:r w:rsidR="00630D66" w:rsidRPr="00630D66">
        <w:t xml:space="preserve">containing regimens on renal parameters, and to measure the proportion of subjects achieving virologic response at </w:t>
      </w:r>
      <w:r w:rsidR="00630D66">
        <w:t>W</w:t>
      </w:r>
      <w:r w:rsidR="00630D66" w:rsidRPr="00630D66">
        <w:t>eeks 24, 48, and 96</w:t>
      </w:r>
      <w:r w:rsidR="00E3416C">
        <w:t>.</w:t>
      </w:r>
    </w:p>
    <w:p w:rsidR="00630D66" w:rsidRPr="00630D66" w:rsidRDefault="00630D66" w:rsidP="00630D66">
      <w:r w:rsidRPr="00630D66">
        <w:t>Also, all subjects were asked to participate in an intensive PK/pharmacodynamic (PD) sub</w:t>
      </w:r>
      <w:r w:rsidR="008B4446">
        <w:t>-</w:t>
      </w:r>
      <w:r w:rsidRPr="00630D66">
        <w:t xml:space="preserve">study with assessments at baseline and </w:t>
      </w:r>
      <w:r>
        <w:t>W</w:t>
      </w:r>
      <w:r w:rsidRPr="00630D66">
        <w:t xml:space="preserve">eeks 2, 4, and 24 to investigate the PK/PD of COBI, FTC, TFV, EVG, ATV and DRV. Actual GFR (aGFR), using iohexol plasma clearance (CLiohexol), was assessed at baseline and </w:t>
      </w:r>
      <w:r>
        <w:t>W</w:t>
      </w:r>
      <w:r w:rsidRPr="00630D66">
        <w:t>eeks 2, 4, and 24 and/or if necessary as part of the toxicity management procedures for reductions in eGFR for subjects in this sub</w:t>
      </w:r>
      <w:r w:rsidR="008B4446">
        <w:t>-</w:t>
      </w:r>
      <w:r w:rsidRPr="00630D66">
        <w:t>study. In addition, resistance assessment was undertaken.</w:t>
      </w:r>
    </w:p>
    <w:p w:rsidR="00630D66" w:rsidRPr="00630D66" w:rsidRDefault="00630D66" w:rsidP="00630D66">
      <w:r w:rsidRPr="00630D66">
        <w:t>Subjects were in 1 of the following 2 cohorts:</w:t>
      </w:r>
    </w:p>
    <w:p w:rsidR="001F38F1" w:rsidRDefault="00630D66" w:rsidP="00630D66">
      <w:pPr>
        <w:pStyle w:val="ListBullet"/>
      </w:pPr>
      <w:r w:rsidRPr="00630D66">
        <w:t>Cohort 1: ARV treatment</w:t>
      </w:r>
      <w:r>
        <w:t xml:space="preserve"> naïve:</w:t>
      </w:r>
      <w:r w:rsidRPr="00630D66">
        <w:t xml:space="preserve"> STB: STB cohort</w:t>
      </w:r>
      <w:r w:rsidR="001F38F1">
        <w:t>.</w:t>
      </w:r>
    </w:p>
    <w:p w:rsidR="00630D66" w:rsidRPr="00630D66" w:rsidRDefault="00630D66" w:rsidP="00630D66">
      <w:pPr>
        <w:pStyle w:val="ListBullet"/>
      </w:pPr>
      <w:r w:rsidRPr="00630D66">
        <w:t>Cohort 2 (including 2 sub</w:t>
      </w:r>
      <w:r>
        <w:t>-</w:t>
      </w:r>
      <w:r w:rsidRPr="00630D66">
        <w:t>groups): pharmacoenhancer switch: COBI 150 mg boosted ATV 300 mg or COBI 150 mg boosted DRV 800 mg + 2 NRTIs: PIn/co cohort.</w:t>
      </w:r>
    </w:p>
    <w:p w:rsidR="00630D66" w:rsidRPr="00630D66" w:rsidRDefault="00630D66" w:rsidP="00630D66">
      <w:r w:rsidRPr="00630D66">
        <w:t xml:space="preserve">Treatment was planned for 96 weeks with study visits at </w:t>
      </w:r>
      <w:r>
        <w:t>W</w:t>
      </w:r>
      <w:r w:rsidRPr="00630D66">
        <w:t xml:space="preserve">eeks 4, 8, 12, 24, 36, and 48, and then every 12 weeks up to the </w:t>
      </w:r>
      <w:r>
        <w:t>W</w:t>
      </w:r>
      <w:r w:rsidRPr="00630D66">
        <w:t xml:space="preserve">eek 96 visit. After </w:t>
      </w:r>
      <w:r>
        <w:t>W</w:t>
      </w:r>
      <w:r w:rsidRPr="00630D66">
        <w:t>eek 96, if STB or COBI is not commercially available, subjects will be able to participate in a study extension to continue their study regimen until all subjects have discontinued or there is approval of STB or COBI in their country.</w:t>
      </w:r>
    </w:p>
    <w:p w:rsidR="00630D66" w:rsidRPr="00630D66" w:rsidRDefault="00630D66" w:rsidP="00630D66">
      <w:r w:rsidRPr="00630D66">
        <w:t xml:space="preserve">The sponsor indicates this is an interim CSR as the data analysis and results presented for the </w:t>
      </w:r>
      <w:r w:rsidR="00744563">
        <w:t>primary</w:t>
      </w:r>
      <w:r w:rsidRPr="00630D66">
        <w:t xml:space="preserve"> and </w:t>
      </w:r>
      <w:r w:rsidR="00744563">
        <w:t>secondary</w:t>
      </w:r>
      <w:r w:rsidRPr="00630D66">
        <w:t xml:space="preserve"> objectives are up to the date at which the last subject continuing in the study completed 48 weeks of treatment. In this evaluation, only information and data pertaining to the renal parameters are considered as these are relevant to the proposed changes in the Adverse Effects section of the PI.</w:t>
      </w:r>
    </w:p>
    <w:p w:rsidR="00630D66" w:rsidRPr="00630D66" w:rsidRDefault="00630D66" w:rsidP="00630D66">
      <w:pPr>
        <w:pStyle w:val="Heading4"/>
      </w:pPr>
      <w:r w:rsidRPr="00630D66">
        <w:lastRenderedPageBreak/>
        <w:t>Main inclusion criteria</w:t>
      </w:r>
    </w:p>
    <w:p w:rsidR="00630D66" w:rsidRPr="00630D66" w:rsidRDefault="00630D66" w:rsidP="00630D66">
      <w:r w:rsidRPr="00630D66">
        <w:t>Adult HIV-1 infected subjects with mild</w:t>
      </w:r>
      <w:r>
        <w:t xml:space="preserve"> </w:t>
      </w:r>
      <w:r w:rsidRPr="00630D66">
        <w:t>to</w:t>
      </w:r>
      <w:r>
        <w:t xml:space="preserve"> </w:t>
      </w:r>
      <w:r w:rsidRPr="00630D66">
        <w:t>moderate renal impairment (eGFR</w:t>
      </w:r>
      <w:r w:rsidRPr="00630D66">
        <w:rPr>
          <w:vertAlign w:val="subscript"/>
        </w:rPr>
        <w:t>CG</w:t>
      </w:r>
      <w:r w:rsidR="008B4446">
        <w:t xml:space="preserve"> 50 to &lt; 90 </w:t>
      </w:r>
      <w:r w:rsidRPr="00630D66">
        <w:t>mL/min, inclusive), with stable renal function, who met the following criteria:</w:t>
      </w:r>
    </w:p>
    <w:p w:rsidR="00630D66" w:rsidRPr="00630D66" w:rsidRDefault="00630D66" w:rsidP="00630D66">
      <w:pPr>
        <w:pStyle w:val="ListBullet"/>
      </w:pPr>
      <w:r w:rsidRPr="00630D66">
        <w:t>STB Cohort: ARV treatment</w:t>
      </w:r>
      <w:r>
        <w:t xml:space="preserve"> naïve,</w:t>
      </w:r>
      <w:r w:rsidRPr="00630D66">
        <w:t xml:space="preserve"> with HIV-1 RNA ≥ 1000 copies/mL at screening.</w:t>
      </w:r>
    </w:p>
    <w:p w:rsidR="00630D66" w:rsidRPr="00630D66" w:rsidRDefault="00630D66" w:rsidP="00630D66">
      <w:pPr>
        <w:pStyle w:val="ListBullet"/>
      </w:pPr>
      <w:r w:rsidRPr="00630D66">
        <w:t>PIn/co Cohort: ARV treatment</w:t>
      </w:r>
      <w:r>
        <w:t xml:space="preserve"> </w:t>
      </w:r>
      <w:r w:rsidRPr="00630D66">
        <w:t>experienced, receiving a regimen of ATV 300 mg/ RTV 100 mg plus 2 NRTIs or DRV 800 mg/RTV 100 mg plus 2 NRTIs for at least 6 months prior to screening; with plasma HIV-1 RNA concentrations (at least 2 measurements) at undetectable levels (according to the local assay being used) in the 6 months preceding the screening visit; and HIV-1 RNA &lt; 50 copies/mL at screening.</w:t>
      </w:r>
    </w:p>
    <w:p w:rsidR="00630D66" w:rsidRPr="00630D66" w:rsidRDefault="00630D66" w:rsidP="00630D66">
      <w:r w:rsidRPr="00630D66">
        <w:t>Across both cohorts, there were to be at least 10 subjects with screening eGFR</w:t>
      </w:r>
      <w:r w:rsidRPr="00630D66">
        <w:rPr>
          <w:vertAlign w:val="subscript"/>
        </w:rPr>
        <w:t>CG</w:t>
      </w:r>
      <w:r w:rsidRPr="00630D66">
        <w:t xml:space="preserve"> 50 to &lt; 60 mL/min, and no more than 50 subjects with screening eGFR</w:t>
      </w:r>
      <w:r w:rsidRPr="00630D66">
        <w:rPr>
          <w:vertAlign w:val="subscript"/>
        </w:rPr>
        <w:t>CG</w:t>
      </w:r>
      <w:r w:rsidRPr="00630D66">
        <w:t xml:space="preserve"> 80 to &lt; 90 mL/min.</w:t>
      </w:r>
    </w:p>
    <w:p w:rsidR="00630D66" w:rsidRPr="00630D66" w:rsidRDefault="00630D66" w:rsidP="00630D66">
      <w:pPr>
        <w:pStyle w:val="Heading4"/>
      </w:pPr>
      <w:r w:rsidRPr="00630D66">
        <w:t>Study treatments</w:t>
      </w:r>
    </w:p>
    <w:p w:rsidR="00630D66" w:rsidRPr="00630D66" w:rsidRDefault="00630D66" w:rsidP="00630D66">
      <w:pPr>
        <w:pStyle w:val="ListBullet"/>
      </w:pPr>
      <w:r w:rsidRPr="00630D66">
        <w:t>STB Cohort: STB orally once daily with food at approximately the same time each day.</w:t>
      </w:r>
    </w:p>
    <w:p w:rsidR="00630D66" w:rsidRPr="00630D66" w:rsidRDefault="00630D66" w:rsidP="00630D66">
      <w:pPr>
        <w:pStyle w:val="ListBullet"/>
      </w:pPr>
      <w:r w:rsidRPr="00630D66">
        <w:t>PIn/co Cohort: 1 × 150 mg COBI tablet orally once daily with food at approximately the same time each day. All other regimen components (ATV or DRV + 2 NRTIs) were as prescribed by the investigator.</w:t>
      </w:r>
    </w:p>
    <w:p w:rsidR="00630D66" w:rsidRDefault="00630D66" w:rsidP="00630D66">
      <w:r w:rsidRPr="00630D66">
        <w:t>Allowed and prohibited prior and concomitant medication was specified. Procedures for measuring compliance were described. Of note, there were protocol defined toxicity management criteria for potential study drug discontinuation, these being confirmed eGFR</w:t>
      </w:r>
      <w:r w:rsidRPr="00630D66">
        <w:rPr>
          <w:vertAlign w:val="subscript"/>
        </w:rPr>
        <w:t>CG</w:t>
      </w:r>
      <w:r w:rsidR="008B4446">
        <w:t> &lt; </w:t>
      </w:r>
      <w:r w:rsidRPr="00630D66">
        <w:t>50 mL/min and &gt; 20% decrease in cystatin C</w:t>
      </w:r>
      <w:r>
        <w:t xml:space="preserve"> </w:t>
      </w:r>
      <w:r w:rsidR="00161B57">
        <w:t xml:space="preserve">(CysC) </w:t>
      </w:r>
      <w:r w:rsidRPr="00630D66">
        <w:t>derived GFR at the confirming visit.</w:t>
      </w:r>
    </w:p>
    <w:p w:rsidR="00630D66" w:rsidRPr="00630D66" w:rsidRDefault="008B4446" w:rsidP="00630D66">
      <w:pPr>
        <w:pStyle w:val="Heading4"/>
      </w:pPr>
      <w:r>
        <w:t>Renal endpoints</w:t>
      </w:r>
    </w:p>
    <w:p w:rsidR="00630D66" w:rsidRPr="00630D66" w:rsidRDefault="00630D66" w:rsidP="00630D66">
      <w:r w:rsidRPr="00630D66">
        <w:t xml:space="preserve">The </w:t>
      </w:r>
      <w:r w:rsidR="00744563">
        <w:t>primary</w:t>
      </w:r>
      <w:r w:rsidRPr="00630D66">
        <w:t xml:space="preserve"> renal endpoints were the change from baseline at </w:t>
      </w:r>
      <w:r>
        <w:t>W</w:t>
      </w:r>
      <w:r w:rsidRPr="00630D66">
        <w:t>eek 24 in the following parameters:</w:t>
      </w:r>
    </w:p>
    <w:p w:rsidR="00630D66" w:rsidRPr="00630D66" w:rsidRDefault="00630D66" w:rsidP="00630D66">
      <w:pPr>
        <w:pStyle w:val="ListBullet"/>
      </w:pPr>
      <w:r w:rsidRPr="00630D66">
        <w:t>Glomerular filtration rate estimated by the Cockcroft-Gault method: eGFR</w:t>
      </w:r>
      <w:r w:rsidRPr="00630D66">
        <w:rPr>
          <w:vertAlign w:val="subscript"/>
        </w:rPr>
        <w:t>CG</w:t>
      </w:r>
      <w:r w:rsidRPr="00630D66">
        <w:t xml:space="preserve"> (mL/min) </w:t>
      </w:r>
      <w:r>
        <w:t>=</w:t>
      </w:r>
      <w:r w:rsidRPr="00630D66">
        <w:t xml:space="preserve"> [(140 – age (years)) </w:t>
      </w:r>
      <w:r>
        <w:t>x</w:t>
      </w:r>
      <w:r w:rsidRPr="00630D66">
        <w:t xml:space="preserve"> weight (kg) </w:t>
      </w:r>
      <w:r>
        <w:t>x</w:t>
      </w:r>
      <w:r w:rsidRPr="00630D66">
        <w:t xml:space="preserve"> (0.85 if female)] / (serum creatinine (mg/dL) [Scr] </w:t>
      </w:r>
      <w:r>
        <w:t>x</w:t>
      </w:r>
      <w:r w:rsidRPr="00630D66">
        <w:t xml:space="preserve"> 72)</w:t>
      </w:r>
      <w:r w:rsidR="003426B8">
        <w:t>.</w:t>
      </w:r>
    </w:p>
    <w:p w:rsidR="00630D66" w:rsidRPr="00630D66" w:rsidRDefault="00630D66" w:rsidP="00630D66">
      <w:pPr>
        <w:pStyle w:val="ListBullet"/>
      </w:pPr>
      <w:r w:rsidRPr="00630D66">
        <w:t>Glomerular filtration rate, estimated, by modification of diet method: eGFR</w:t>
      </w:r>
      <w:r w:rsidRPr="005E7948">
        <w:rPr>
          <w:vertAlign w:val="subscript"/>
        </w:rPr>
        <w:t>MDRD</w:t>
      </w:r>
      <w:r w:rsidR="005E7948">
        <w:t xml:space="preserve"> </w:t>
      </w:r>
      <w:r w:rsidRPr="00630D66">
        <w:t>(mL/min/1.73m2)</w:t>
      </w:r>
      <w:r w:rsidR="005E7948">
        <w:t xml:space="preserve"> =</w:t>
      </w:r>
      <w:r w:rsidRPr="00630D66">
        <w:t xml:space="preserve"> 186 </w:t>
      </w:r>
      <w:r w:rsidR="005E7948">
        <w:t>x</w:t>
      </w:r>
      <w:r w:rsidRPr="00630D66">
        <w:t xml:space="preserve"> Scr–1.154 (mg/dL) </w:t>
      </w:r>
      <w:r w:rsidR="005E7948">
        <w:t>x</w:t>
      </w:r>
      <w:r w:rsidRPr="00630D66">
        <w:t xml:space="preserve"> age–0.203 (y</w:t>
      </w:r>
      <w:r w:rsidR="005E7948">
        <w:t>ea</w:t>
      </w:r>
      <w:r w:rsidRPr="00630D66">
        <w:t xml:space="preserve">rs) </w:t>
      </w:r>
      <w:r w:rsidR="005E7948">
        <w:t>x</w:t>
      </w:r>
      <w:r w:rsidRPr="00630D66">
        <w:t xml:space="preserve"> (0.742 if female) </w:t>
      </w:r>
      <w:r w:rsidR="005E7948">
        <w:t>x</w:t>
      </w:r>
      <w:r w:rsidRPr="00630D66">
        <w:t xml:space="preserve"> (1.21 if Black)</w:t>
      </w:r>
      <w:r w:rsidR="003426B8">
        <w:t>.</w:t>
      </w:r>
    </w:p>
    <w:p w:rsidR="00630D66" w:rsidRPr="00630D66" w:rsidRDefault="00630D66" w:rsidP="00630D66">
      <w:pPr>
        <w:pStyle w:val="ListBullet"/>
      </w:pPr>
      <w:r w:rsidRPr="00630D66">
        <w:t>Glomerular filtration rate, estimated, by chronic kidney disease epidemiology collaboration methods using creatinine: eGFR</w:t>
      </w:r>
      <w:r w:rsidRPr="005E7948">
        <w:rPr>
          <w:vertAlign w:val="subscript"/>
        </w:rPr>
        <w:t>CKD-EPIR</w:t>
      </w:r>
      <w:r w:rsidRPr="00630D66">
        <w:t xml:space="preserve">, </w:t>
      </w:r>
      <w:r w:rsidRPr="005E7948">
        <w:rPr>
          <w:vertAlign w:val="subscript"/>
        </w:rPr>
        <w:t>creatinine</w:t>
      </w:r>
      <w:r w:rsidRPr="00630D66">
        <w:t xml:space="preserve"> (mL/min/1.73 m2)</w:t>
      </w:r>
      <w:r w:rsidR="005E7948">
        <w:t xml:space="preserve"> =</w:t>
      </w:r>
      <w:r w:rsidRPr="00630D66">
        <w:t xml:space="preserve"> 141 </w:t>
      </w:r>
      <w:r w:rsidR="005E7948">
        <w:t>x</w:t>
      </w:r>
      <w:r w:rsidRPr="00630D66">
        <w:t xml:space="preserve"> min(Scr/</w:t>
      </w:r>
      <w:r w:rsidR="008B4446">
        <w:t>κ</w:t>
      </w:r>
      <w:r w:rsidRPr="00630D66">
        <w:t>, 1)</w:t>
      </w:r>
      <w:r w:rsidR="008B4446">
        <w:t>α</w:t>
      </w:r>
      <w:r w:rsidRPr="00630D66">
        <w:t xml:space="preserve"> </w:t>
      </w:r>
      <w:r w:rsidR="005E7948">
        <w:t>x</w:t>
      </w:r>
      <w:r w:rsidRPr="00630D66">
        <w:t xml:space="preserve"> max(Scr/</w:t>
      </w:r>
      <w:r w:rsidR="005E7948">
        <w:t>κ</w:t>
      </w:r>
      <w:r w:rsidRPr="00630D66">
        <w:t xml:space="preserve">, 1)-1.209 </w:t>
      </w:r>
      <w:r w:rsidR="005E7948">
        <w:t>x</w:t>
      </w:r>
      <w:r w:rsidRPr="00630D66">
        <w:t xml:space="preserve"> 0.993age </w:t>
      </w:r>
      <w:r w:rsidR="005E7948">
        <w:t>x</w:t>
      </w:r>
      <w:r w:rsidRPr="00630D66">
        <w:t xml:space="preserve"> (1.018 if female) </w:t>
      </w:r>
      <w:r w:rsidR="005E7948">
        <w:t>x</w:t>
      </w:r>
      <w:r w:rsidRPr="00630D66">
        <w:t xml:space="preserve"> (1.159 if Black) where </w:t>
      </w:r>
      <w:r w:rsidR="005E7948">
        <w:t>κ</w:t>
      </w:r>
      <w:r w:rsidRPr="00630D66">
        <w:t xml:space="preserve"> is 0.7 for females and 0.9 for males, </w:t>
      </w:r>
      <w:r w:rsidR="005E7948">
        <w:t>α</w:t>
      </w:r>
      <w:r w:rsidRPr="00630D66">
        <w:t xml:space="preserve"> is - 0.329 for females and - 0.411 for males, min indicates the minimum of Scr/</w:t>
      </w:r>
      <w:r w:rsidR="005E7948">
        <w:t>κ</w:t>
      </w:r>
      <w:r w:rsidRPr="00630D66">
        <w:t xml:space="preserve"> or 1, and max indicates the maximum of Scr/</w:t>
      </w:r>
      <w:r w:rsidR="005E7948">
        <w:t>κ</w:t>
      </w:r>
      <w:r w:rsidRPr="00630D66">
        <w:t xml:space="preserve"> or 1</w:t>
      </w:r>
      <w:r w:rsidR="003426B8">
        <w:t>.</w:t>
      </w:r>
    </w:p>
    <w:p w:rsidR="00630D66" w:rsidRPr="00630D66" w:rsidRDefault="00630D66" w:rsidP="00630D66">
      <w:pPr>
        <w:pStyle w:val="ListBullet"/>
      </w:pPr>
      <w:r w:rsidRPr="00630D66">
        <w:t>Glomerular filtration rate, estimated by chronic kidney disease epidemiology collaboration methods using cystatin: eGFR</w:t>
      </w:r>
      <w:r w:rsidRPr="005E7948">
        <w:rPr>
          <w:vertAlign w:val="subscript"/>
        </w:rPr>
        <w:t xml:space="preserve">CKD-EPI, cysCR, adjusted </w:t>
      </w:r>
      <w:r w:rsidRPr="00630D66">
        <w:t xml:space="preserve">[for age, sex and race]) (mL/min/1.73 m2) = 127.7 </w:t>
      </w:r>
      <w:r w:rsidR="005E7948">
        <w:t>x</w:t>
      </w:r>
      <w:r w:rsidRPr="00630D66">
        <w:t xml:space="preserve"> cysC</w:t>
      </w:r>
      <w:r w:rsidRPr="005E7948">
        <w:rPr>
          <w:vertAlign w:val="subscript"/>
        </w:rPr>
        <w:t>–1.17</w:t>
      </w:r>
      <w:r w:rsidR="005E7948">
        <w:rPr>
          <w:vertAlign w:val="subscript"/>
        </w:rPr>
        <w:t xml:space="preserve"> </w:t>
      </w:r>
      <w:r w:rsidRPr="00630D66">
        <w:t xml:space="preserve">(mg/L) </w:t>
      </w:r>
      <w:r w:rsidR="005E7948">
        <w:t>x</w:t>
      </w:r>
      <w:r w:rsidRPr="00630D66">
        <w:t xml:space="preserve"> age–0.13 (yrs) </w:t>
      </w:r>
      <w:r w:rsidR="005E7948">
        <w:t>x</w:t>
      </w:r>
      <w:r w:rsidRPr="00630D66">
        <w:t xml:space="preserve"> (0.91 if female) </w:t>
      </w:r>
      <w:r w:rsidR="005E7948">
        <w:t>x</w:t>
      </w:r>
      <w:r w:rsidR="008B4446">
        <w:t xml:space="preserve"> (1.06 if Black), and</w:t>
      </w:r>
      <w:r w:rsidRPr="00630D66">
        <w:t xml:space="preserve"> </w:t>
      </w:r>
      <w:r w:rsidRPr="008B4446">
        <w:t>eGFR</w:t>
      </w:r>
      <w:r w:rsidR="008B4446">
        <w:rPr>
          <w:vertAlign w:val="subscript"/>
        </w:rPr>
        <w:t>CKD EPI, </w:t>
      </w:r>
      <w:r w:rsidRPr="005E7948">
        <w:rPr>
          <w:vertAlign w:val="subscript"/>
        </w:rPr>
        <w:t>cysC, unadjusted</w:t>
      </w:r>
      <w:r w:rsidRPr="00630D66">
        <w:t xml:space="preserve"> </w:t>
      </w:r>
      <w:r w:rsidR="005E7948">
        <w:t>(mL/min/1.73 m2) = 76.7 x</w:t>
      </w:r>
      <w:r w:rsidRPr="00630D66">
        <w:t xml:space="preserve"> cysC</w:t>
      </w:r>
      <w:r w:rsidRPr="005E7948">
        <w:rPr>
          <w:vertAlign w:val="subscript"/>
        </w:rPr>
        <w:t>–1.19</w:t>
      </w:r>
      <w:r w:rsidRPr="00630D66">
        <w:t xml:space="preserve"> (mg/L)</w:t>
      </w:r>
      <w:r w:rsidR="003426B8">
        <w:t>.</w:t>
      </w:r>
    </w:p>
    <w:p w:rsidR="00630D66" w:rsidRPr="00630D66" w:rsidRDefault="00630D66" w:rsidP="00630D66">
      <w:pPr>
        <w:pStyle w:val="ListBullet"/>
      </w:pPr>
      <w:r w:rsidRPr="00630D66">
        <w:t>Actual Glomerular Filtration Rate: aGFR (mL/min) = iohexol dose / AUC</w:t>
      </w:r>
      <w:r w:rsidRPr="005E7948">
        <w:rPr>
          <w:vertAlign w:val="subscript"/>
        </w:rPr>
        <w:t>inf</w:t>
      </w:r>
      <w:r w:rsidRPr="00630D66">
        <w:t xml:space="preserve"> of iohexol</w:t>
      </w:r>
      <w:r w:rsidR="003426B8">
        <w:t>.</w:t>
      </w:r>
    </w:p>
    <w:p w:rsidR="00630D66" w:rsidRPr="00630D66" w:rsidRDefault="00630D66" w:rsidP="00630D66">
      <w:r w:rsidRPr="00630D66">
        <w:t xml:space="preserve">Other renal endpoints included </w:t>
      </w:r>
      <w:r w:rsidR="00317E78">
        <w:t>Scr</w:t>
      </w:r>
      <w:r w:rsidRPr="00630D66">
        <w:t xml:space="preserve">, serum </w:t>
      </w:r>
      <w:r w:rsidR="00161B57">
        <w:t>C</w:t>
      </w:r>
      <w:r w:rsidRPr="00630D66">
        <w:t>ysC, serum phosphorus, and urine fractional excretion of phosphate (FEPO</w:t>
      </w:r>
      <w:r w:rsidRPr="005E7948">
        <w:rPr>
          <w:vertAlign w:val="subscript"/>
        </w:rPr>
        <w:t>4</w:t>
      </w:r>
      <w:r w:rsidRPr="00630D66">
        <w:t xml:space="preserve">) based </w:t>
      </w:r>
      <w:r w:rsidR="005E7948">
        <w:t xml:space="preserve">on unadjusted </w:t>
      </w:r>
      <w:r w:rsidR="00317E78">
        <w:t>Scr</w:t>
      </w:r>
      <w:r w:rsidR="005E7948">
        <w:t>:</w:t>
      </w:r>
    </w:p>
    <w:p w:rsidR="00630D66" w:rsidRPr="00630D66" w:rsidRDefault="00630D66" w:rsidP="005E7948">
      <w:pPr>
        <w:pStyle w:val="ListBullet"/>
      </w:pPr>
      <w:r w:rsidRPr="00630D66">
        <w:t>FEPO</w:t>
      </w:r>
      <w:r w:rsidRPr="005E7948">
        <w:rPr>
          <w:vertAlign w:val="subscript"/>
        </w:rPr>
        <w:t xml:space="preserve">4 </w:t>
      </w:r>
      <w:r w:rsidRPr="00630D66">
        <w:t xml:space="preserve">(%) = (Scr </w:t>
      </w:r>
      <w:r w:rsidR="005E7948">
        <w:t>x</w:t>
      </w:r>
      <w:r w:rsidRPr="00630D66">
        <w:t xml:space="preserve"> UPO4) / (SPO4 </w:t>
      </w:r>
      <w:r w:rsidR="005E7948">
        <w:t>x</w:t>
      </w:r>
      <w:r w:rsidRPr="00630D66">
        <w:t xml:space="preserve"> Ucr) </w:t>
      </w:r>
      <w:r w:rsidR="005E7948">
        <w:t>x</w:t>
      </w:r>
      <w:r w:rsidRPr="00630D66">
        <w:t xml:space="preserve"> 100(%), where Scr is serum creatinine concentration (mg/dL), UPO4 is urine phosphate concentration (mg/dL), SPO4 is serum phosphate concentration (mg/dL), and Ucr is urine creatinine concentration (mg/dL).</w:t>
      </w:r>
    </w:p>
    <w:p w:rsidR="00630D66" w:rsidRPr="00630D66" w:rsidRDefault="00630D66" w:rsidP="00630D66">
      <w:r w:rsidRPr="00630D66">
        <w:lastRenderedPageBreak/>
        <w:t>To identify any potential subclinical proximal renal tubulopathy (PRT) not reported as AEs, renal laboratory abnormalities associated with possible renal dysfunction were assessed.</w:t>
      </w:r>
    </w:p>
    <w:p w:rsidR="00630D66" w:rsidRPr="00630D66" w:rsidRDefault="00630D66" w:rsidP="00630D66">
      <w:r w:rsidRPr="00630D66">
        <w:t>Also, clinically significant AEs in the Renal and Urinary Disorders SOC (system organ class) and Renal Function Analyses HLT (higher level term) under the Investigations SOC were assessed.</w:t>
      </w:r>
    </w:p>
    <w:p w:rsidR="00630D66" w:rsidRPr="00630D66" w:rsidRDefault="00630D66" w:rsidP="00C63DF8">
      <w:pPr>
        <w:pStyle w:val="Heading4"/>
      </w:pPr>
      <w:r w:rsidRPr="00630D66">
        <w:t>Sample size</w:t>
      </w:r>
    </w:p>
    <w:p w:rsidR="00630D66" w:rsidRPr="00630D66" w:rsidRDefault="00630D66" w:rsidP="00630D66">
      <w:r w:rsidRPr="00630D66">
        <w:t xml:space="preserve">A sample size of approximately 100 subjects in the STB and PIn/co cohorts combined was based on practical considerations and considered to be sufficient to evaluate the </w:t>
      </w:r>
      <w:r w:rsidR="00744563">
        <w:t>primary</w:t>
      </w:r>
      <w:r w:rsidRPr="00630D66">
        <w:t xml:space="preserve"> objective of the study.</w:t>
      </w:r>
    </w:p>
    <w:p w:rsidR="00630D66" w:rsidRPr="00630D66" w:rsidRDefault="00630D66" w:rsidP="00C63DF8">
      <w:pPr>
        <w:pStyle w:val="Heading4"/>
      </w:pPr>
      <w:r w:rsidRPr="00630D66">
        <w:t>Ran</w:t>
      </w:r>
      <w:r w:rsidR="008B4446">
        <w:t>domisation and blinding methods</w:t>
      </w:r>
    </w:p>
    <w:p w:rsidR="00630D66" w:rsidRPr="00630D66" w:rsidRDefault="00630D66" w:rsidP="00630D66">
      <w:r w:rsidRPr="00630D66">
        <w:t>This study was open label and subjects were not randomised.</w:t>
      </w:r>
    </w:p>
    <w:p w:rsidR="00630D66" w:rsidRPr="00630D66" w:rsidRDefault="00630D66" w:rsidP="00C63DF8">
      <w:pPr>
        <w:pStyle w:val="Heading4"/>
      </w:pPr>
      <w:r w:rsidRPr="00630D66">
        <w:t xml:space="preserve">Analysis </w:t>
      </w:r>
      <w:r w:rsidR="008B4446">
        <w:t>p</w:t>
      </w:r>
      <w:r w:rsidRPr="00630D66">
        <w:t>opulations</w:t>
      </w:r>
    </w:p>
    <w:p w:rsidR="00630D66" w:rsidRPr="00630D66" w:rsidRDefault="00630D66" w:rsidP="00C63DF8">
      <w:pPr>
        <w:pStyle w:val="ListBullet"/>
      </w:pPr>
      <w:r w:rsidRPr="00630D66">
        <w:t>SAS: enrolled subjects who received at least 1 dose of study medication.</w:t>
      </w:r>
    </w:p>
    <w:p w:rsidR="00630D66" w:rsidRPr="00630D66" w:rsidRDefault="00630D66" w:rsidP="00C63DF8">
      <w:pPr>
        <w:pStyle w:val="ListBullet"/>
      </w:pPr>
      <w:r w:rsidRPr="00630D66">
        <w:t>PK/PD sub</w:t>
      </w:r>
      <w:r w:rsidR="002F72E7">
        <w:t>-</w:t>
      </w:r>
      <w:r w:rsidRPr="00630D66">
        <w:t>study analysis set: enrolled subjects who received at least 1 dose of study medication and for whom steady state PK parameters were available. This was used for assessment of the aGFR.</w:t>
      </w:r>
    </w:p>
    <w:p w:rsidR="00630D66" w:rsidRPr="00630D66" w:rsidRDefault="00630D66" w:rsidP="00C63DF8">
      <w:pPr>
        <w:pStyle w:val="Heading4"/>
      </w:pPr>
      <w:r w:rsidRPr="00630D66">
        <w:t>Statistical methods</w:t>
      </w:r>
    </w:p>
    <w:p w:rsidR="00C63DF8" w:rsidRPr="00C63DF8" w:rsidRDefault="00630D66" w:rsidP="00C63DF8">
      <w:r w:rsidRPr="00630D66">
        <w:t xml:space="preserve">Demographic and baseline characteristics were summarised for the SAS by group using descriptive statistics for continuous data and by the number and % of subjects for categorical data. The </w:t>
      </w:r>
      <w:r w:rsidR="00744563">
        <w:t>primary</w:t>
      </w:r>
      <w:r w:rsidRPr="00630D66">
        <w:t xml:space="preserve"> renal endpoints were summarised by group and visit using descriptive statistics. Change from baseline and % change from baseline (except for aGFR) at each post baseline visit were provided. For aGFR, a parametric ANOVA using a mixed</w:t>
      </w:r>
      <w:r w:rsidR="00C63DF8">
        <w:t xml:space="preserve"> </w:t>
      </w:r>
      <w:r w:rsidRPr="00630D66">
        <w:t>effects model with repeated statement was fitted to the natural logarithm transferred aGFR obtained at post baseline visits and baseline. The geometric mean ratio between each of the post baseline visits and baseline visit and its 90% CIs was constructed. The point estimate and 90% CIs on log scale for the difference between visits was produced. The test/reference (</w:t>
      </w:r>
      <w:r w:rsidR="00C63DF8" w:rsidRPr="00630D66">
        <w:t>e.g.</w:t>
      </w:r>
      <w:r w:rsidRPr="00630D66">
        <w:t xml:space="preserve">, </w:t>
      </w:r>
      <w:r w:rsidR="00C63DF8">
        <w:t>W</w:t>
      </w:r>
      <w:r w:rsidRPr="00630D66">
        <w:t xml:space="preserve">eek 2/Baseline) ratio and 90% CIs were calculated by exponentiation of the point estimate and the corresponding lower and upper limits. 90% CIs </w:t>
      </w:r>
      <w:r w:rsidR="00487D2B">
        <w:t>for the ratio of the geometric LSM</w:t>
      </w:r>
      <w:r w:rsidRPr="00630D66">
        <w:t xml:space="preserve"> of the test and reference visits were calculated for aGFR, consistent with the two 1</w:t>
      </w:r>
      <w:r w:rsidR="00C63DF8">
        <w:t xml:space="preserve"> </w:t>
      </w:r>
      <w:r w:rsidRPr="00630D66">
        <w:t>sided tests approach. Plots of eGFR</w:t>
      </w:r>
      <w:r w:rsidRPr="00C63DF8">
        <w:rPr>
          <w:vertAlign w:val="subscript"/>
        </w:rPr>
        <w:t>CG</w:t>
      </w:r>
      <w:r w:rsidRPr="00630D66">
        <w:t>, eGFR</w:t>
      </w:r>
      <w:r w:rsidRPr="00C63DF8">
        <w:rPr>
          <w:vertAlign w:val="subscript"/>
        </w:rPr>
        <w:t>MDRD</w:t>
      </w:r>
      <w:r w:rsidRPr="00630D66">
        <w:t>, eGFR</w:t>
      </w:r>
      <w:r w:rsidRPr="00C63DF8">
        <w:rPr>
          <w:vertAlign w:val="subscript"/>
        </w:rPr>
        <w:t>CKD-EPI</w:t>
      </w:r>
      <w:r w:rsidRPr="00630D66">
        <w:t xml:space="preserve">, and aGFR over time were generated by subject </w:t>
      </w:r>
      <w:r w:rsidR="00C63DF8" w:rsidRPr="00C63DF8">
        <w:t>group. Other renal endpoints were summarised by visit for each group and change from baseline provided. Plots of these parameters over time were generated by subject group.</w:t>
      </w:r>
    </w:p>
    <w:p w:rsidR="00C63DF8" w:rsidRDefault="00C63DF8" w:rsidP="00C63DF8">
      <w:r w:rsidRPr="00C63DF8">
        <w:t>To identify potential subclinical PRT, renal laboratory abnormalities were analysed as follows:</w:t>
      </w:r>
    </w:p>
    <w:p w:rsidR="00C63DF8" w:rsidRPr="00C63DF8" w:rsidRDefault="00C63DF8" w:rsidP="00C63DF8">
      <w:pPr>
        <w:pStyle w:val="ListBullet"/>
      </w:pPr>
      <w:r w:rsidRPr="00C63DF8">
        <w:t xml:space="preserve">Possible renal dysfunction: confirmed </w:t>
      </w:r>
      <w:r w:rsidR="00317E78">
        <w:t>Scr</w:t>
      </w:r>
      <w:r w:rsidRPr="00C63DF8">
        <w:t xml:space="preserve"> increase from baseline ≥ 0.4 mg/dL</w:t>
      </w:r>
      <w:r w:rsidR="003426B8">
        <w:t>.</w:t>
      </w:r>
    </w:p>
    <w:p w:rsidR="00C63DF8" w:rsidRPr="00C63DF8" w:rsidRDefault="00C63DF8" w:rsidP="00C63DF8">
      <w:pPr>
        <w:pStyle w:val="ListBullet"/>
      </w:pPr>
      <w:r w:rsidRPr="00C63DF8">
        <w:t>Possible tubular dysfunction: confirmed ≥ 2 grade</w:t>
      </w:r>
      <w:r>
        <w:t xml:space="preserve"> </w:t>
      </w:r>
      <w:r w:rsidRPr="00C63DF8">
        <w:t xml:space="preserve">level </w:t>
      </w:r>
      <w:proofErr w:type="gramStart"/>
      <w:r w:rsidRPr="00C63DF8">
        <w:t>increase</w:t>
      </w:r>
      <w:proofErr w:type="gramEnd"/>
      <w:r w:rsidRPr="00C63DF8">
        <w:t xml:space="preserve"> from baseline in graded proteinuria, ≥ 1 grade</w:t>
      </w:r>
      <w:r>
        <w:t xml:space="preserve"> </w:t>
      </w:r>
      <w:r w:rsidRPr="00C63DF8">
        <w:t>level increase from baseline in graded hypophosphatemia and ≥ 1 grade</w:t>
      </w:r>
      <w:r>
        <w:t xml:space="preserve"> </w:t>
      </w:r>
      <w:r w:rsidRPr="00C63DF8">
        <w:t>level increase from baseline in graded normoglycaemic glycosuria.</w:t>
      </w:r>
    </w:p>
    <w:p w:rsidR="00C63DF8" w:rsidRPr="00C63DF8" w:rsidRDefault="00C63DF8" w:rsidP="00C63DF8">
      <w:r w:rsidRPr="00C63DF8">
        <w:t>If the AE preferred term (PT) was renal tubular disorder or Fanconi syndrome acquired, the subject was assessed as having PRT irrespective of laboratory findings. Confirmed renal laboratory abnormalities were defined as abnormalities observed at 2 consecutive post baseline measurements. Renal laboratory data were listed for subjects with any confirmed laboratory abnormalities. AEs assessed as due to structural abnormalities, congenital abnormalities, neoplasm, infection (non-HIV), obstruction, inflammation, vascular disorder, kidney stone, or were anatomically related to the ureter, bladder, or urethra, were not considered to be relevant.</w:t>
      </w:r>
    </w:p>
    <w:p w:rsidR="00C63DF8" w:rsidRPr="00C63DF8" w:rsidRDefault="00C63DF8" w:rsidP="008B4446">
      <w:pPr>
        <w:pStyle w:val="Heading4"/>
      </w:pPr>
      <w:r w:rsidRPr="00C63DF8">
        <w:t>Participant flow</w:t>
      </w:r>
    </w:p>
    <w:p w:rsidR="00C63DF8" w:rsidRPr="00C63DF8" w:rsidRDefault="00C63DF8" w:rsidP="00C63DF8">
      <w:r w:rsidRPr="00C63DF8">
        <w:t>In the STB cohort, 33 subjects were enrolled and received at least 1 dose of study drug. There are 2 statements in relation to discontinuations:</w:t>
      </w:r>
    </w:p>
    <w:p w:rsidR="00C63DF8" w:rsidRPr="00C63DF8" w:rsidRDefault="00C63DF8" w:rsidP="00C63DF8">
      <w:pPr>
        <w:pStyle w:val="ListBullet"/>
      </w:pPr>
      <w:r w:rsidRPr="00C63DF8">
        <w:lastRenderedPageBreak/>
        <w:t>27 subjects (81.8%) were still on study drug at the time of the data cut-off with reasons for discontinuation AE (4), withdrawal of consent (1), and investigator’s discretion (1).</w:t>
      </w:r>
    </w:p>
    <w:p w:rsidR="00C63DF8" w:rsidRPr="00C63DF8" w:rsidRDefault="00C63DF8" w:rsidP="00C63DF8">
      <w:pPr>
        <w:pStyle w:val="ListBullet"/>
      </w:pPr>
      <w:r w:rsidRPr="00C63DF8">
        <w:t>29 subjects (87.9%) were still on study at the time of the data cut-off with reasons for discontinuation AE (2), withdrawal of consent (1), and investigator’s discretion (1).</w:t>
      </w:r>
    </w:p>
    <w:p w:rsidR="00C63DF8" w:rsidRPr="00C63DF8" w:rsidRDefault="00C63DF8" w:rsidP="00C63DF8">
      <w:r w:rsidRPr="00C63DF8">
        <w:t>In the PI/co cohort, 73 subjects were enrolled and received at least 1 dose of study drug (ATV/co n = 52, DRV/co n = 21; TDF</w:t>
      </w:r>
      <w:r>
        <w:t xml:space="preserve"> </w:t>
      </w:r>
      <w:r w:rsidRPr="00C63DF8">
        <w:t>containing regimen n = 51). There are 2 statements in relation to discontinuations:</w:t>
      </w:r>
    </w:p>
    <w:p w:rsidR="00C63DF8" w:rsidRPr="00C63DF8" w:rsidRDefault="00C63DF8" w:rsidP="00C63DF8">
      <w:pPr>
        <w:pStyle w:val="ListBullet"/>
      </w:pPr>
      <w:r w:rsidRPr="00C63DF8">
        <w:t>54 subjects (74.0%) were still on study drug at the time of the data cut-off with reasons for discontinuation AE (7), withdrawal of consent (6) investigator’s discretion (4) and loss to follow-up and protocol violation (1 each).</w:t>
      </w:r>
    </w:p>
    <w:p w:rsidR="00C63DF8" w:rsidRPr="00C63DF8" w:rsidRDefault="00C63DF8" w:rsidP="00C63DF8">
      <w:pPr>
        <w:pStyle w:val="ListBullet"/>
      </w:pPr>
      <w:r w:rsidRPr="00C63DF8">
        <w:t>57 subjects (78.1%) were still on study at the time of the data cut-off with reasons for study discontinuation withdrawal of consent (8), AE (3) and investigator’s discretion, loss to follow-up, and protocol violation (1 each).</w:t>
      </w:r>
    </w:p>
    <w:p w:rsidR="00C63DF8" w:rsidRPr="00C63DF8" w:rsidRDefault="00C63DF8" w:rsidP="00C63DF8">
      <w:pPr>
        <w:pStyle w:val="Heading4"/>
      </w:pPr>
      <w:r w:rsidRPr="00C63DF8">
        <w:t>Major protocol violations/deviations</w:t>
      </w:r>
    </w:p>
    <w:p w:rsidR="00C63DF8" w:rsidRPr="00C63DF8" w:rsidRDefault="00C63DF8" w:rsidP="00C63DF8">
      <w:r w:rsidRPr="00C63DF8">
        <w:t xml:space="preserve">There were 39 important protocol deviations reported in 13 subjects receiving STB and 18 in the PIn/co group. It was considered that most did not affect the quality of the data or GCP compliance. The most common violation entailed the eligibility criterion of availability of </w:t>
      </w:r>
      <w:r w:rsidR="00317E78">
        <w:t>Scr</w:t>
      </w:r>
      <w:r w:rsidRPr="00C63DF8">
        <w:t xml:space="preserve"> values within 3 months of screening. The table below is a summary of important deviations.</w:t>
      </w:r>
    </w:p>
    <w:p w:rsidR="008B4446" w:rsidRDefault="00C63DF8" w:rsidP="001F7B2D">
      <w:pPr>
        <w:pStyle w:val="Tabletitle"/>
        <w:keepLines/>
      </w:pPr>
      <w:r w:rsidRPr="00C63DF8">
        <w:t xml:space="preserve">Table 25: GS-US-236-0118: </w:t>
      </w:r>
      <w:r w:rsidR="00D14F08">
        <w:t>I</w:t>
      </w:r>
      <w:r w:rsidR="008B4446" w:rsidRPr="00C63DF8">
        <w:t>mportant protocol deviations by category: all randomised subjects</w:t>
      </w:r>
    </w:p>
    <w:p w:rsidR="00630D66" w:rsidRDefault="00C63DF8" w:rsidP="008B4446">
      <w:r w:rsidRPr="008B4446">
        <w:rPr>
          <w:noProof/>
          <w:lang w:eastAsia="en-AU"/>
        </w:rPr>
        <w:drawing>
          <wp:inline distT="0" distB="0" distL="0" distR="0" wp14:anchorId="43C5DA01" wp14:editId="184941F1">
            <wp:extent cx="5347411" cy="2084949"/>
            <wp:effectExtent l="0" t="0" r="5715" b="0"/>
            <wp:docPr id="40" name="Picture 40" descr="Table 25: GS-US-236-0118: important protocol deviations by category: all randomi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49777" cy="2085872"/>
                    </a:xfrm>
                    <a:prstGeom prst="rect">
                      <a:avLst/>
                    </a:prstGeom>
                    <a:noFill/>
                    <a:ln>
                      <a:noFill/>
                    </a:ln>
                  </pic:spPr>
                </pic:pic>
              </a:graphicData>
            </a:graphic>
          </wp:inline>
        </w:drawing>
      </w:r>
    </w:p>
    <w:p w:rsidR="001F7B2D" w:rsidRPr="001F7B2D" w:rsidRDefault="001F7B2D" w:rsidP="001F7B2D">
      <w:pPr>
        <w:pStyle w:val="Heading4"/>
      </w:pPr>
      <w:r w:rsidRPr="001F7B2D">
        <w:t>Baseline data</w:t>
      </w:r>
    </w:p>
    <w:p w:rsidR="001F7B2D" w:rsidRPr="001F7B2D" w:rsidRDefault="001F7B2D" w:rsidP="001F7B2D">
      <w:r w:rsidRPr="001F7B2D">
        <w:t>In the STB SAS, 81.8% of subjects were male with a mean age of 50 years (range: 22 to 72).</w:t>
      </w:r>
    </w:p>
    <w:p w:rsidR="001F7B2D" w:rsidRPr="001F7B2D" w:rsidRDefault="001F7B2D" w:rsidP="001F7B2D">
      <w:r w:rsidRPr="001F7B2D">
        <w:t xml:space="preserve">Subjects were predominantly </w:t>
      </w:r>
      <w:r w:rsidR="00B90068">
        <w:t>White</w:t>
      </w:r>
      <w:r w:rsidRPr="001F7B2D">
        <w:t xml:space="preserve"> (42.4%) or </w:t>
      </w:r>
      <w:r w:rsidR="00E35C63">
        <w:t>Black</w:t>
      </w:r>
      <w:r w:rsidRPr="001F7B2D">
        <w:t xml:space="preserve"> (39.4%). The mean (SD) BMI was 23.7 (3.43) kg/m</w:t>
      </w:r>
      <w:r w:rsidRPr="001F7B2D">
        <w:rPr>
          <w:vertAlign w:val="superscript"/>
        </w:rPr>
        <w:t>2</w:t>
      </w:r>
      <w:r w:rsidRPr="001F7B2D">
        <w:t>. The mean (SD) baseline HIV-1 RNA level was 4.76 (0.652) log</w:t>
      </w:r>
      <w:r w:rsidRPr="001F7B2D">
        <w:rPr>
          <w:vertAlign w:val="subscript"/>
        </w:rPr>
        <w:t>10</w:t>
      </w:r>
      <w:r w:rsidRPr="001F7B2D">
        <w:t xml:space="preserve"> copies/mL. 27.3% of subjects had baseline HIV-1 RNA &gt; 100,000 copies/mL. The mean (SD) CD4 cell count was 356 (174.2) cells/</w:t>
      </w:r>
      <w:r w:rsidR="008B6777">
        <w:t>µ</w:t>
      </w:r>
      <w:r w:rsidR="008B6777" w:rsidRPr="008B6C94">
        <w:t>L</w:t>
      </w:r>
      <w:r w:rsidRPr="001F7B2D">
        <w:t>. The mean (SD) eGFR</w:t>
      </w:r>
      <w:r w:rsidRPr="001F7B2D">
        <w:rPr>
          <w:vertAlign w:val="subscript"/>
        </w:rPr>
        <w:t>CG</w:t>
      </w:r>
      <w:r w:rsidRPr="001F7B2D">
        <w:t xml:space="preserve"> was 72.6 (14.56) mL/min. 4 subjects (12.1%) had abnormal</w:t>
      </w:r>
      <w:r w:rsidR="00317E78">
        <w:t xml:space="preserve"> Scr</w:t>
      </w:r>
      <w:r w:rsidRPr="001F7B2D">
        <w:t>. 12 (36.4%) had hypertension, 3 (9.1%) had diabetes and 1 (3.0%) had HIV</w:t>
      </w:r>
      <w:r w:rsidR="002F72E7">
        <w:t xml:space="preserve"> </w:t>
      </w:r>
      <w:r w:rsidRPr="001F7B2D">
        <w:t>associated nephropathy. Proteinuria ≥ trace was present in 18 (54.5%). Demographic and baseline characteristics were similar in eGFR</w:t>
      </w:r>
      <w:r w:rsidRPr="001F7B2D">
        <w:rPr>
          <w:vertAlign w:val="subscript"/>
        </w:rPr>
        <w:t>CG</w:t>
      </w:r>
      <w:r w:rsidRPr="001F7B2D">
        <w:t xml:space="preserve"> subgroups: (&lt; 70 mL/min: 12; ≥ 70 mL/min: 21).</w:t>
      </w:r>
    </w:p>
    <w:p w:rsidR="001F7B2D" w:rsidRPr="001F7B2D" w:rsidRDefault="001F7B2D" w:rsidP="001F7B2D">
      <w:r w:rsidRPr="001F7B2D">
        <w:t xml:space="preserve">In the PIn/co SAS, 82.2% were male with a mean age of 54 years (range: 29 to 73) and predominantly </w:t>
      </w:r>
      <w:r w:rsidR="00B90068">
        <w:t>White</w:t>
      </w:r>
      <w:r w:rsidRPr="001F7B2D">
        <w:t xml:space="preserve"> (76.7%) or </w:t>
      </w:r>
      <w:r w:rsidR="00E35C63">
        <w:t>Black</w:t>
      </w:r>
      <w:r w:rsidRPr="001F7B2D">
        <w:t xml:space="preserve"> (19.2%). The mean (SD) BMI was 25.6 (3.64) kg/m</w:t>
      </w:r>
      <w:r w:rsidRPr="001F7B2D">
        <w:rPr>
          <w:vertAlign w:val="superscript"/>
        </w:rPr>
        <w:t>2</w:t>
      </w:r>
      <w:r w:rsidRPr="001F7B2D">
        <w:t>. All subjects had HIV-1 RNA &lt; 50 copies/mL at baseline. The mean (SD) CD4 cell count was 627 (263.2) cells/</w:t>
      </w:r>
      <w:r w:rsidR="008B6777">
        <w:t>µ</w:t>
      </w:r>
      <w:r w:rsidR="008B6777" w:rsidRPr="008B6C94">
        <w:t>L</w:t>
      </w:r>
      <w:r w:rsidRPr="001F7B2D">
        <w:t>. The mean (SD) eGFR</w:t>
      </w:r>
      <w:r w:rsidRPr="001F7B2D">
        <w:rPr>
          <w:vertAlign w:val="subscript"/>
        </w:rPr>
        <w:t>CG</w:t>
      </w:r>
      <w:r w:rsidRPr="001F7B2D">
        <w:t xml:space="preserve"> was 71.4 (12.55) mL/min. 10 (13.7%) had abnormal </w:t>
      </w:r>
      <w:r w:rsidR="00317E78">
        <w:t>Scr</w:t>
      </w:r>
      <w:r w:rsidRPr="001F7B2D">
        <w:t>, 28 (38.4%) had hypertension, 13 (17.8%)</w:t>
      </w:r>
      <w:r w:rsidR="002F72E7">
        <w:t xml:space="preserve"> had diabetes, 2 (2.7%) had HIV </w:t>
      </w:r>
      <w:r w:rsidRPr="001F7B2D">
        <w:t xml:space="preserve">associated nephropathy and 1 (1.4%) had PRT. Proteinuria ≥ trace was present in 37 (50.7%). </w:t>
      </w:r>
      <w:r w:rsidRPr="001F7B2D">
        <w:lastRenderedPageBreak/>
        <w:t>Demographic and baseline characteristics were generally similar in the PI/co subgroups (ATV/co: 52; DRV/co: 21), in subgroups by use of TDF in the ARV regimen (TDF: 51; no TDF: 22) and in eGFR</w:t>
      </w:r>
      <w:r w:rsidRPr="001F7B2D">
        <w:rPr>
          <w:vertAlign w:val="subscript"/>
        </w:rPr>
        <w:t>CG</w:t>
      </w:r>
      <w:r w:rsidR="00E35C63">
        <w:t xml:space="preserve"> subgroups (&lt; 70 mL/min</w:t>
      </w:r>
      <w:r w:rsidRPr="001F7B2D">
        <w:t>: 35; ≥70 mL/min: 38).</w:t>
      </w:r>
    </w:p>
    <w:p w:rsidR="001F7B2D" w:rsidRPr="001F7B2D" w:rsidRDefault="001F7B2D" w:rsidP="001F7B2D">
      <w:r w:rsidRPr="001F7B2D">
        <w:t>The protocol required that across both cohorts there were at least 10 subjects with screening eGFR</w:t>
      </w:r>
      <w:r w:rsidRPr="001F7B2D">
        <w:rPr>
          <w:vertAlign w:val="subscript"/>
        </w:rPr>
        <w:t>CG</w:t>
      </w:r>
      <w:r w:rsidRPr="001F7B2D">
        <w:t xml:space="preserve"> 50 to &lt; 60 mL/min, and no &gt; 50 with screening eGFR</w:t>
      </w:r>
      <w:r w:rsidRPr="001F7B2D">
        <w:rPr>
          <w:vertAlign w:val="subscript"/>
        </w:rPr>
        <w:t>CG</w:t>
      </w:r>
      <w:r w:rsidRPr="001F7B2D">
        <w:t xml:space="preserve"> 80 to &lt; 90 mL/min. In the study subjects there were 19 with screening eGFR</w:t>
      </w:r>
      <w:r w:rsidRPr="001F7B2D">
        <w:rPr>
          <w:vertAlign w:val="subscript"/>
        </w:rPr>
        <w:t>CG</w:t>
      </w:r>
      <w:r w:rsidRPr="001F7B2D">
        <w:t xml:space="preserve"> 50 to &lt; 60 mL/min (STB: 5; PI/co: 14) and 27 with screening eGFR</w:t>
      </w:r>
      <w:r w:rsidRPr="001F7B2D">
        <w:rPr>
          <w:vertAlign w:val="subscript"/>
        </w:rPr>
        <w:t>CG</w:t>
      </w:r>
      <w:r w:rsidRPr="001F7B2D">
        <w:t xml:space="preserve"> 80 to &lt; 90 mL/min (STB: 10; PI/co: 17).</w:t>
      </w:r>
    </w:p>
    <w:p w:rsidR="001F7B2D" w:rsidRPr="001F7B2D" w:rsidRDefault="008B4446" w:rsidP="001F7B2D">
      <w:pPr>
        <w:pStyle w:val="Heading4"/>
      </w:pPr>
      <w:r>
        <w:t>Results</w:t>
      </w:r>
    </w:p>
    <w:p w:rsidR="001F7B2D" w:rsidRPr="001F7B2D" w:rsidRDefault="001F7B2D" w:rsidP="001F7B2D">
      <w:r w:rsidRPr="001F7B2D">
        <w:t>106 subjects were included in the SAS (STB: 33; PI/co: 72 [51 ATV/co+2NRTIs, 21 DRV/co+2NRTIs). The median adherence rates to study drug were 97.9% with STB and 98.1% with PI/co. Most (STB 66.7%; PIn/co 80.6%) had an adherence rate of ≥ 95%. The median exposure with STB was 61.1 weeks with the majority receiving study drug for ≥ 48 weeks (84.8%, 28). In the PIn/co cohort, the median exposure was 59.6 weeks and similar in the PIn/co subgroups: ATV/co: 59.1 weeks; DRV/co: 60.0 weeks. The majority received study drug for ≥ 48 weeks (79.5%, 58 subjects).</w:t>
      </w:r>
    </w:p>
    <w:p w:rsidR="001F7B2D" w:rsidRPr="001F7B2D" w:rsidRDefault="008B4446" w:rsidP="001F7B2D">
      <w:pPr>
        <w:pStyle w:val="Heading5"/>
        <w:rPr>
          <w:rFonts w:eastAsiaTheme="minorHAnsi"/>
        </w:rPr>
      </w:pPr>
      <w:r>
        <w:rPr>
          <w:rFonts w:eastAsiaTheme="minorHAnsi"/>
        </w:rPr>
        <w:t>Changes from baseline in GFR</w:t>
      </w:r>
    </w:p>
    <w:p w:rsidR="001F7B2D" w:rsidRDefault="001F7B2D" w:rsidP="001F7B2D">
      <w:r w:rsidRPr="001F7B2D">
        <w:t>A summary of these changes is presented in the table below.</w:t>
      </w:r>
    </w:p>
    <w:p w:rsidR="008B4446" w:rsidRDefault="001F7B2D" w:rsidP="001F7B2D">
      <w:pPr>
        <w:pStyle w:val="Tabletitle"/>
        <w:keepLines/>
      </w:pPr>
      <w:r>
        <w:t xml:space="preserve">Table 26: GS-US-236-0118: </w:t>
      </w:r>
      <w:r w:rsidR="00D14F08">
        <w:t>C</w:t>
      </w:r>
      <w:r w:rsidR="008B4446">
        <w:t xml:space="preserve">hanges from baseline </w:t>
      </w:r>
      <w:r>
        <w:t xml:space="preserve">in GFR: </w:t>
      </w:r>
      <w:r w:rsidR="008B4446">
        <w:t>safety analysis set</w:t>
      </w:r>
    </w:p>
    <w:p w:rsidR="00630D66" w:rsidRDefault="008B4446" w:rsidP="003426B8">
      <w:r>
        <w:rPr>
          <w:noProof/>
          <w:lang w:eastAsia="en-AU"/>
        </w:rPr>
        <w:drawing>
          <wp:inline distT="0" distB="0" distL="0" distR="0" wp14:anchorId="1EFF47C2" wp14:editId="4270A6D5">
            <wp:extent cx="4725231" cy="4550055"/>
            <wp:effectExtent l="0" t="0" r="0" b="3175"/>
            <wp:docPr id="52" name="Picture 52" descr="Table 26: GS-US-236-0118: changes from baseline in GFR: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728116" cy="4552833"/>
                    </a:xfrm>
                    <a:prstGeom prst="rect">
                      <a:avLst/>
                    </a:prstGeom>
                  </pic:spPr>
                </pic:pic>
              </a:graphicData>
            </a:graphic>
          </wp:inline>
        </w:drawing>
      </w:r>
    </w:p>
    <w:p w:rsidR="00630D66" w:rsidRDefault="001F7B2D" w:rsidP="001F7B2D">
      <w:pPr>
        <w:pStyle w:val="TableDescription"/>
      </w:pPr>
      <w:r>
        <w:t>Notes: STB: N = 33, 30 and 28 at baseline, 24 and 28 weeks respectively; Pi/co: N = 73, 67 and 63 at baseline, 24 and 28 weeks respectively</w:t>
      </w:r>
    </w:p>
    <w:p w:rsidR="001F7B2D" w:rsidRPr="001F7B2D" w:rsidRDefault="001F7B2D" w:rsidP="001F7B2D">
      <w:r w:rsidRPr="001F7B2D">
        <w:lastRenderedPageBreak/>
        <w:t>The data provided for the STB Cohort showed that decreases in eGFR</w:t>
      </w:r>
      <w:r w:rsidRPr="001F7B2D">
        <w:rPr>
          <w:vertAlign w:val="subscript"/>
        </w:rPr>
        <w:t>CG</w:t>
      </w:r>
      <w:r w:rsidRPr="001F7B2D">
        <w:t xml:space="preserve"> were noted by </w:t>
      </w:r>
      <w:r>
        <w:t>W</w:t>
      </w:r>
      <w:r w:rsidRPr="001F7B2D">
        <w:t xml:space="preserve">eek 2 after which they generally stabilised and did not increase further up to </w:t>
      </w:r>
      <w:r>
        <w:t>W</w:t>
      </w:r>
      <w:r w:rsidRPr="001F7B2D">
        <w:t>eek 48.</w:t>
      </w:r>
    </w:p>
    <w:p w:rsidR="001F7B2D" w:rsidRPr="001F7B2D" w:rsidRDefault="001F7B2D" w:rsidP="001F7B2D">
      <w:pPr>
        <w:pStyle w:val="ListBullet"/>
      </w:pPr>
      <w:r w:rsidRPr="001F7B2D">
        <w:t>The pattern of changes in other creatinine</w:t>
      </w:r>
      <w:r>
        <w:t xml:space="preserve"> </w:t>
      </w:r>
      <w:r w:rsidRPr="001F7B2D">
        <w:t>based eGFR endpoints, eGFR</w:t>
      </w:r>
      <w:r w:rsidRPr="001F7B2D">
        <w:rPr>
          <w:vertAlign w:val="subscript"/>
        </w:rPr>
        <w:t>MDRD</w:t>
      </w:r>
      <w:r w:rsidRPr="001F7B2D">
        <w:t xml:space="preserve"> and </w:t>
      </w:r>
      <w:r w:rsidRPr="008B4446">
        <w:t>eGFR</w:t>
      </w:r>
      <w:r w:rsidR="008B4446">
        <w:rPr>
          <w:vertAlign w:val="subscript"/>
        </w:rPr>
        <w:t xml:space="preserve"> </w:t>
      </w:r>
      <w:r w:rsidRPr="00D8099D">
        <w:rPr>
          <w:vertAlign w:val="subscript"/>
        </w:rPr>
        <w:t>CKD-EPI</w:t>
      </w:r>
      <w:r w:rsidRPr="001F7B2D">
        <w:t>, creatinine, was consistent with that for eGFR</w:t>
      </w:r>
      <w:r w:rsidRPr="00D8099D">
        <w:rPr>
          <w:vertAlign w:val="subscript"/>
        </w:rPr>
        <w:t>CG</w:t>
      </w:r>
      <w:r w:rsidR="00D8099D">
        <w:t>.</w:t>
      </w:r>
    </w:p>
    <w:p w:rsidR="001F7B2D" w:rsidRPr="001F7B2D" w:rsidRDefault="001F7B2D" w:rsidP="001F7B2D">
      <w:pPr>
        <w:pStyle w:val="ListBullet"/>
      </w:pPr>
      <w:r w:rsidRPr="001F7B2D">
        <w:t xml:space="preserve">There were no notable changes from baseline in </w:t>
      </w:r>
      <w:r w:rsidR="00161B57">
        <w:t>C</w:t>
      </w:r>
      <w:r w:rsidRPr="001F7B2D">
        <w:t>ysC</w:t>
      </w:r>
      <w:r w:rsidR="00D8099D">
        <w:t xml:space="preserve"> </w:t>
      </w:r>
      <w:r w:rsidRPr="001F7B2D">
        <w:t>based eGFR endpoints, eGFR</w:t>
      </w:r>
      <w:r w:rsidR="00860D8A">
        <w:t xml:space="preserve"> </w:t>
      </w:r>
      <w:r w:rsidR="00860D8A">
        <w:rPr>
          <w:vertAlign w:val="subscript"/>
        </w:rPr>
        <w:t>CKD EPI, </w:t>
      </w:r>
      <w:r w:rsidRPr="00860D8A">
        <w:rPr>
          <w:vertAlign w:val="subscript"/>
        </w:rPr>
        <w:t>cysC</w:t>
      </w:r>
      <w:r w:rsidRPr="001F7B2D">
        <w:t>, adjusted Rand eGFRR</w:t>
      </w:r>
      <w:r w:rsidRPr="00D8099D">
        <w:rPr>
          <w:vertAlign w:val="subscript"/>
        </w:rPr>
        <w:t>CKD-EPI, cysC, unadjusted</w:t>
      </w:r>
      <w:r w:rsidR="00D8099D">
        <w:t>.</w:t>
      </w:r>
    </w:p>
    <w:p w:rsidR="001F7B2D" w:rsidRPr="001F7B2D" w:rsidRDefault="001F7B2D" w:rsidP="001F7B2D">
      <w:pPr>
        <w:pStyle w:val="ListBullet"/>
      </w:pPr>
      <w:r w:rsidRPr="001F7B2D">
        <w:t>The pattern of changes from baseline in mean eGFR</w:t>
      </w:r>
      <w:r w:rsidRPr="00D8099D">
        <w:rPr>
          <w:vertAlign w:val="subscript"/>
        </w:rPr>
        <w:t xml:space="preserve">CG </w:t>
      </w:r>
      <w:r w:rsidRPr="001F7B2D">
        <w:t>were similar for subjects in subgroups by baseline eGFR</w:t>
      </w:r>
      <w:r w:rsidRPr="00D8099D">
        <w:rPr>
          <w:vertAlign w:val="subscript"/>
        </w:rPr>
        <w:t>CG</w:t>
      </w:r>
      <w:r w:rsidRPr="001F7B2D">
        <w:t>; the size of the changes was smaller with baseline eGFR</w:t>
      </w:r>
      <w:r w:rsidRPr="00D8099D">
        <w:rPr>
          <w:vertAlign w:val="subscript"/>
        </w:rPr>
        <w:t>CG</w:t>
      </w:r>
      <w:r w:rsidRPr="001F7B2D">
        <w:t xml:space="preserve"> &lt; 70 mL/min (mean change at </w:t>
      </w:r>
      <w:r w:rsidR="00D8099D">
        <w:t>W</w:t>
      </w:r>
      <w:r w:rsidRPr="001F7B2D">
        <w:t>eeks 24 and 48 respectively 0.6 and – 5.5 mL/min) than with baseline eGFR</w:t>
      </w:r>
      <w:r w:rsidRPr="00D8099D">
        <w:rPr>
          <w:vertAlign w:val="subscript"/>
        </w:rPr>
        <w:t>CG</w:t>
      </w:r>
      <w:r w:rsidRPr="001F7B2D">
        <w:t xml:space="preserve"> ≥ 70 mL/min (mean change at </w:t>
      </w:r>
      <w:r w:rsidR="00D8099D">
        <w:t>W</w:t>
      </w:r>
      <w:r w:rsidRPr="001F7B2D">
        <w:t>eeks 24 and 28 respectively -9.0 and -7.5 mL/min)</w:t>
      </w:r>
      <w:r w:rsidR="00D8099D">
        <w:t>.</w:t>
      </w:r>
    </w:p>
    <w:p w:rsidR="001F7B2D" w:rsidRPr="001F7B2D" w:rsidRDefault="001F7B2D" w:rsidP="001F7B2D">
      <w:pPr>
        <w:pStyle w:val="ListBullet"/>
      </w:pPr>
      <w:r w:rsidRPr="001F7B2D">
        <w:t>The pattern of changes in eGFR</w:t>
      </w:r>
      <w:r w:rsidRPr="00D8099D">
        <w:rPr>
          <w:vertAlign w:val="subscript"/>
        </w:rPr>
        <w:t>MDRD</w:t>
      </w:r>
      <w:r w:rsidRPr="001F7B2D">
        <w:t xml:space="preserve"> and eGFR</w:t>
      </w:r>
      <w:r w:rsidRPr="00D8099D">
        <w:rPr>
          <w:vertAlign w:val="subscript"/>
        </w:rPr>
        <w:t xml:space="preserve">CKD-EPI, creatinine </w:t>
      </w:r>
      <w:r w:rsidRPr="001F7B2D">
        <w:t>was consistent with that for eGFR</w:t>
      </w:r>
      <w:r w:rsidRPr="00D8099D">
        <w:rPr>
          <w:vertAlign w:val="subscript"/>
        </w:rPr>
        <w:t>CG</w:t>
      </w:r>
      <w:r w:rsidR="00D8099D">
        <w:t xml:space="preserve"> in each subgroup.</w:t>
      </w:r>
    </w:p>
    <w:p w:rsidR="001F7B2D" w:rsidRPr="001F7B2D" w:rsidRDefault="001F7B2D" w:rsidP="001F7B2D">
      <w:pPr>
        <w:pStyle w:val="ListBullet"/>
      </w:pPr>
      <w:r w:rsidRPr="001F7B2D">
        <w:t>Analysis by baseline eGFR</w:t>
      </w:r>
      <w:r w:rsidRPr="00A8572A">
        <w:rPr>
          <w:vertAlign w:val="subscript"/>
        </w:rPr>
        <w:t>CG</w:t>
      </w:r>
      <w:r w:rsidRPr="001F7B2D">
        <w:t xml:space="preserve"> for </w:t>
      </w:r>
      <w:r w:rsidR="00161B57">
        <w:t>C</w:t>
      </w:r>
      <w:r w:rsidRPr="001F7B2D">
        <w:t>ysC-based eGFR endpoints showed that changes were small and not considered clinically relevant.</w:t>
      </w:r>
    </w:p>
    <w:p w:rsidR="001F7B2D" w:rsidRPr="001F7B2D" w:rsidRDefault="001F7B2D" w:rsidP="001F7B2D">
      <w:r w:rsidRPr="001F7B2D">
        <w:t>The data provided for the PIn/co Cohort shows:</w:t>
      </w:r>
    </w:p>
    <w:p w:rsidR="001F7B2D" w:rsidRPr="001F7B2D" w:rsidRDefault="001F7B2D" w:rsidP="00A8572A">
      <w:pPr>
        <w:pStyle w:val="ListBullet"/>
      </w:pPr>
      <w:r w:rsidRPr="001F7B2D">
        <w:t>There were small changes in eGFR which were not considered clinically relevant; this was expected as the 2 pharmaco</w:t>
      </w:r>
      <w:r w:rsidR="00860D8A">
        <w:t xml:space="preserve"> </w:t>
      </w:r>
      <w:r w:rsidRPr="001F7B2D">
        <w:t>enhancers COBI from RTV similarly inhibit the tubular secretion of creatinine.</w:t>
      </w:r>
    </w:p>
    <w:p w:rsidR="001F7B2D" w:rsidRPr="001F7B2D" w:rsidRDefault="001F7B2D" w:rsidP="00A8572A">
      <w:pPr>
        <w:pStyle w:val="ListBullet"/>
      </w:pPr>
      <w:r w:rsidRPr="001F7B2D">
        <w:t>Small decreases in mean eGFR</w:t>
      </w:r>
      <w:r w:rsidRPr="00A8572A">
        <w:rPr>
          <w:vertAlign w:val="subscript"/>
        </w:rPr>
        <w:t>CG</w:t>
      </w:r>
      <w:r w:rsidR="00A8572A">
        <w:t xml:space="preserve"> were noted as early as W</w:t>
      </w:r>
      <w:r w:rsidRPr="001F7B2D">
        <w:t xml:space="preserve">eek 2 after which they generally stabilised and did not increase further up to </w:t>
      </w:r>
      <w:r w:rsidR="00A8572A">
        <w:t>W</w:t>
      </w:r>
      <w:r w:rsidRPr="001F7B2D">
        <w:t>eek 48.</w:t>
      </w:r>
    </w:p>
    <w:p w:rsidR="001F7B2D" w:rsidRPr="001F7B2D" w:rsidRDefault="001F7B2D" w:rsidP="00A8572A">
      <w:pPr>
        <w:pStyle w:val="ListBullet"/>
      </w:pPr>
      <w:r w:rsidRPr="001F7B2D">
        <w:t>The pattern of changes in other eGFR endpoints was consistent with that for eGFR</w:t>
      </w:r>
      <w:r w:rsidRPr="00A8572A">
        <w:rPr>
          <w:vertAlign w:val="subscript"/>
        </w:rPr>
        <w:t>CG</w:t>
      </w:r>
      <w:r w:rsidRPr="001F7B2D">
        <w:t>, both for creatinine</w:t>
      </w:r>
      <w:r w:rsidR="00A8572A">
        <w:t xml:space="preserve"> </w:t>
      </w:r>
      <w:r w:rsidRPr="001F7B2D">
        <w:t xml:space="preserve">and </w:t>
      </w:r>
      <w:r w:rsidR="00161B57">
        <w:t>C</w:t>
      </w:r>
      <w:r w:rsidRPr="001F7B2D">
        <w:t>ysC</w:t>
      </w:r>
      <w:r w:rsidR="00A8572A">
        <w:t xml:space="preserve"> </w:t>
      </w:r>
      <w:r w:rsidRPr="001F7B2D">
        <w:t>based endpoints.</w:t>
      </w:r>
    </w:p>
    <w:p w:rsidR="001F7B2D" w:rsidRPr="001F7B2D" w:rsidRDefault="001F7B2D" w:rsidP="00A8572A">
      <w:pPr>
        <w:pStyle w:val="ListBullet"/>
      </w:pPr>
      <w:r w:rsidRPr="001F7B2D">
        <w:t>The patterns of changes from baseline for eGFR endpoints were similar for subjects with or without TDF in their ARV regimen and generally similar in each subgroup.</w:t>
      </w:r>
    </w:p>
    <w:p w:rsidR="00A8572A" w:rsidRPr="00A8572A" w:rsidRDefault="001F7B2D" w:rsidP="00A8572A">
      <w:pPr>
        <w:pStyle w:val="ListBullet"/>
      </w:pPr>
      <w:r w:rsidRPr="001F7B2D">
        <w:t>In subjects with baseline eGFR</w:t>
      </w:r>
      <w:r w:rsidRPr="00A8572A">
        <w:rPr>
          <w:vertAlign w:val="subscript"/>
        </w:rPr>
        <w:t>CG</w:t>
      </w:r>
      <w:r w:rsidR="00A8572A">
        <w:t xml:space="preserve"> </w:t>
      </w:r>
      <w:r w:rsidRPr="001F7B2D">
        <w:t xml:space="preserve">&lt; 70 mL/min, there were no notable changes </w:t>
      </w:r>
      <w:r w:rsidR="00A8572A" w:rsidRPr="00A8572A">
        <w:t>from baseline.</w:t>
      </w:r>
    </w:p>
    <w:p w:rsidR="00A8572A" w:rsidRPr="00A8572A" w:rsidRDefault="00A8572A" w:rsidP="00A8572A">
      <w:pPr>
        <w:pStyle w:val="ListBullet"/>
      </w:pPr>
      <w:r w:rsidRPr="00A8572A">
        <w:t>In subjects with baseline eGFR</w:t>
      </w:r>
      <w:r w:rsidRPr="00A8572A">
        <w:rPr>
          <w:vertAlign w:val="subscript"/>
        </w:rPr>
        <w:t>CG</w:t>
      </w:r>
      <w:r w:rsidRPr="00A8572A">
        <w:t xml:space="preserve"> ≥ 70 mL/min, there were decreases from baseline in creatinine</w:t>
      </w:r>
      <w:r>
        <w:t xml:space="preserve"> </w:t>
      </w:r>
      <w:r w:rsidRPr="00A8572A">
        <w:t>based eGFR endpoints that were higher than those in the &lt; 70 mL/min group as seen in this subgroup with STB.</w:t>
      </w:r>
    </w:p>
    <w:p w:rsidR="00A8572A" w:rsidRPr="00A8572A" w:rsidRDefault="00A8572A" w:rsidP="00A8572A">
      <w:pPr>
        <w:pStyle w:val="ListBullet"/>
      </w:pPr>
      <w:r w:rsidRPr="00A8572A">
        <w:t>The pattern of changes in eGFR</w:t>
      </w:r>
      <w:r w:rsidRPr="00A8572A">
        <w:rPr>
          <w:vertAlign w:val="subscript"/>
        </w:rPr>
        <w:t>MDRD</w:t>
      </w:r>
      <w:r w:rsidRPr="00A8572A">
        <w:t xml:space="preserve"> and eGFR</w:t>
      </w:r>
      <w:r w:rsidRPr="00A8572A">
        <w:rPr>
          <w:vertAlign w:val="subscript"/>
        </w:rPr>
        <w:t xml:space="preserve">CKD-EPI, </w:t>
      </w:r>
      <w:r>
        <w:t xml:space="preserve">creatinine </w:t>
      </w:r>
      <w:r w:rsidRPr="00A8572A">
        <w:t>was consistent with that for eGFR</w:t>
      </w:r>
      <w:r w:rsidRPr="00A8572A">
        <w:rPr>
          <w:vertAlign w:val="subscript"/>
        </w:rPr>
        <w:t>CG</w:t>
      </w:r>
      <w:r w:rsidRPr="00A8572A">
        <w:t xml:space="preserve"> in each subgroup.</w:t>
      </w:r>
    </w:p>
    <w:p w:rsidR="00A8572A" w:rsidRPr="00A8572A" w:rsidRDefault="00A8572A" w:rsidP="00A8572A">
      <w:pPr>
        <w:pStyle w:val="ListBullet"/>
      </w:pPr>
      <w:r w:rsidRPr="00A8572A">
        <w:t xml:space="preserve">The changes from baseline for </w:t>
      </w:r>
      <w:r w:rsidR="00161B57">
        <w:t>C</w:t>
      </w:r>
      <w:r w:rsidRPr="00A8572A">
        <w:t>ysC</w:t>
      </w:r>
      <w:r>
        <w:t xml:space="preserve"> </w:t>
      </w:r>
      <w:r w:rsidRPr="00A8572A">
        <w:t>based eGFR endpoints were similar for subjects in subgroups by baseline eGFR</w:t>
      </w:r>
      <w:r w:rsidRPr="00A8572A">
        <w:rPr>
          <w:vertAlign w:val="subscript"/>
        </w:rPr>
        <w:t>CG</w:t>
      </w:r>
      <w:r w:rsidRPr="00A8572A">
        <w:t>.</w:t>
      </w:r>
    </w:p>
    <w:p w:rsidR="00A8572A" w:rsidRPr="00A8572A" w:rsidRDefault="00A8572A" w:rsidP="00A8572A">
      <w:pPr>
        <w:pStyle w:val="Heading5"/>
        <w:rPr>
          <w:rFonts w:eastAsiaTheme="minorHAnsi"/>
        </w:rPr>
      </w:pPr>
      <w:r w:rsidRPr="00A8572A">
        <w:rPr>
          <w:rFonts w:eastAsiaTheme="minorHAnsi"/>
        </w:rPr>
        <w:t xml:space="preserve">Changes in </w:t>
      </w:r>
      <w:r w:rsidR="00860D8A">
        <w:rPr>
          <w:rFonts w:eastAsiaTheme="minorHAnsi"/>
        </w:rPr>
        <w:t>a</w:t>
      </w:r>
      <w:r w:rsidRPr="00A8572A">
        <w:rPr>
          <w:rFonts w:eastAsiaTheme="minorHAnsi"/>
        </w:rPr>
        <w:t>GFR</w:t>
      </w:r>
    </w:p>
    <w:p w:rsidR="00A8572A" w:rsidRPr="00A8572A" w:rsidRDefault="00860D8A" w:rsidP="00A8572A">
      <w:proofErr w:type="gramStart"/>
      <w:r>
        <w:t>a</w:t>
      </w:r>
      <w:r w:rsidR="00A8572A" w:rsidRPr="00A8572A">
        <w:t>GFR</w:t>
      </w:r>
      <w:proofErr w:type="gramEnd"/>
      <w:r w:rsidR="00A8572A" w:rsidRPr="00A8572A">
        <w:t xml:space="preserve"> data from subjects in the PK/PD analysis set comprising 1 with STB and 14 with PI/co were combin</w:t>
      </w:r>
      <w:r w:rsidR="00A8572A">
        <w:t>ed as shown in the table below.</w:t>
      </w:r>
    </w:p>
    <w:p w:rsidR="00860D8A" w:rsidRDefault="00A8572A" w:rsidP="00A8572A">
      <w:pPr>
        <w:pStyle w:val="Tabletitle"/>
        <w:keepLines/>
      </w:pPr>
      <w:r w:rsidRPr="00A8572A">
        <w:lastRenderedPageBreak/>
        <w:t xml:space="preserve">Table 27: GS-US-236-0118: Changes from </w:t>
      </w:r>
      <w:r w:rsidR="00860D8A">
        <w:t>b</w:t>
      </w:r>
      <w:r w:rsidRPr="00A8572A">
        <w:t xml:space="preserve">aseline in aGFR: PK/PD </w:t>
      </w:r>
      <w:r w:rsidR="00860D8A" w:rsidRPr="00A8572A">
        <w:t>analysis s</w:t>
      </w:r>
      <w:r w:rsidRPr="00A8572A">
        <w:t>et</w:t>
      </w:r>
    </w:p>
    <w:p w:rsidR="00A8572A" w:rsidRDefault="00A8572A" w:rsidP="003426B8">
      <w:r w:rsidRPr="00860D8A">
        <w:rPr>
          <w:noProof/>
          <w:lang w:eastAsia="en-AU"/>
        </w:rPr>
        <w:drawing>
          <wp:inline distT="0" distB="0" distL="0" distR="0" wp14:anchorId="3FC62BA6" wp14:editId="30855985">
            <wp:extent cx="5310835" cy="1596444"/>
            <wp:effectExtent l="0" t="0" r="4445" b="3810"/>
            <wp:docPr id="43" name="Picture 43" descr="Table 27: GS-US-236-0118: Changes from baseline in aGFR: PK/P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20070" cy="1599220"/>
                    </a:xfrm>
                    <a:prstGeom prst="rect">
                      <a:avLst/>
                    </a:prstGeom>
                    <a:noFill/>
                    <a:ln>
                      <a:noFill/>
                    </a:ln>
                  </pic:spPr>
                </pic:pic>
              </a:graphicData>
            </a:graphic>
          </wp:inline>
        </w:drawing>
      </w:r>
    </w:p>
    <w:p w:rsidR="00A8572A" w:rsidRPr="00A8572A" w:rsidRDefault="00A8572A" w:rsidP="00A8572A">
      <w:r w:rsidRPr="00A8572A">
        <w:t>Statistical comparisons of aGFR based on CLiohexol between test (</w:t>
      </w:r>
      <w:r>
        <w:t>W</w:t>
      </w:r>
      <w:r w:rsidRPr="00A8572A">
        <w:t>eek 2, 4, and 24 visits) and reference (baseline) are presented in the table below.</w:t>
      </w:r>
    </w:p>
    <w:p w:rsidR="00860D8A" w:rsidRDefault="00A8572A" w:rsidP="00A8572A">
      <w:pPr>
        <w:pStyle w:val="Tabletitle"/>
        <w:keepLines/>
      </w:pPr>
      <w:r w:rsidRPr="00A8572A">
        <w:t xml:space="preserve">Table 28: GS-US-236-0118: Statistical </w:t>
      </w:r>
      <w:r w:rsidR="00860D8A">
        <w:t>c</w:t>
      </w:r>
      <w:r w:rsidRPr="00A8572A">
        <w:t xml:space="preserve">omparison of aGFR (CLiohexol) for </w:t>
      </w:r>
      <w:r w:rsidR="00860D8A">
        <w:t>v</w:t>
      </w:r>
      <w:r w:rsidRPr="00A8572A">
        <w:t xml:space="preserve">isits at Weeks 2, 4, and 24 </w:t>
      </w:r>
      <w:r w:rsidR="00860D8A">
        <w:t>versus b</w:t>
      </w:r>
      <w:r>
        <w:t xml:space="preserve">aseline: PK/PD </w:t>
      </w:r>
      <w:r w:rsidR="00860D8A">
        <w:t>analysis set</w:t>
      </w:r>
    </w:p>
    <w:p w:rsidR="00A8572A" w:rsidRDefault="00A8572A" w:rsidP="00860D8A">
      <w:r w:rsidRPr="00860D8A">
        <w:rPr>
          <w:noProof/>
          <w:lang w:eastAsia="en-AU"/>
        </w:rPr>
        <w:drawing>
          <wp:inline distT="0" distB="0" distL="0" distR="0" wp14:anchorId="5138817F" wp14:editId="7FCCCFC2">
            <wp:extent cx="5310835" cy="1057977"/>
            <wp:effectExtent l="0" t="0" r="4445" b="8890"/>
            <wp:docPr id="44" name="Picture 44" descr="Table 28: GS-US-236-0118: Statistical comparison of aGFR (CLiohexol) for visits at Weeks 2, 4, and 24 versus baseline: PK/PD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13611" cy="1058530"/>
                    </a:xfrm>
                    <a:prstGeom prst="rect">
                      <a:avLst/>
                    </a:prstGeom>
                    <a:noFill/>
                    <a:ln>
                      <a:noFill/>
                    </a:ln>
                  </pic:spPr>
                </pic:pic>
              </a:graphicData>
            </a:graphic>
          </wp:inline>
        </w:drawing>
      </w:r>
    </w:p>
    <w:p w:rsidR="00A8572A" w:rsidRPr="00A8572A" w:rsidRDefault="00A8572A" w:rsidP="00A8572A">
      <w:r w:rsidRPr="00A8572A">
        <w:t xml:space="preserve">These show that aGFR was unaffected over 24 weeks of treatment as demonstrated by the GLSM ratios and associated 90% CIs for each comparisons of aGFR between baseline and </w:t>
      </w:r>
      <w:r>
        <w:t>W</w:t>
      </w:r>
      <w:r w:rsidRPr="00A8572A">
        <w:t xml:space="preserve">eeks 2, 4, and 24. The sponsor states that these data are consistent with results from </w:t>
      </w:r>
      <w:r>
        <w:t>S</w:t>
      </w:r>
      <w:r w:rsidRPr="00A8572A">
        <w:t>tudy GS-US-216-012 which showed that COBI or COBI-containing treatments do not alter actual renal function.</w:t>
      </w:r>
    </w:p>
    <w:p w:rsidR="00A8572A" w:rsidRPr="00A8572A" w:rsidRDefault="00A8572A" w:rsidP="00A8572A">
      <w:pPr>
        <w:pStyle w:val="Heading5"/>
        <w:rPr>
          <w:rFonts w:eastAsiaTheme="minorHAnsi"/>
        </w:rPr>
      </w:pPr>
      <w:r w:rsidRPr="00A8572A">
        <w:rPr>
          <w:rFonts w:eastAsiaTheme="minorHAnsi"/>
        </w:rPr>
        <w:t>Other renal endpoints and proximal renal tubulopathy</w:t>
      </w:r>
    </w:p>
    <w:p w:rsidR="00A8572A" w:rsidRPr="00A8572A" w:rsidRDefault="00A8572A" w:rsidP="00A8572A">
      <w:r w:rsidRPr="00A8572A">
        <w:t xml:space="preserve">For </w:t>
      </w:r>
      <w:r w:rsidR="00317E78">
        <w:t>Scr</w:t>
      </w:r>
      <w:r w:rsidRPr="00A8572A">
        <w:t xml:space="preserve">, </w:t>
      </w:r>
      <w:r>
        <w:t>data are provided showing:</w:t>
      </w:r>
    </w:p>
    <w:p w:rsidR="00A8572A" w:rsidRPr="00A8572A" w:rsidRDefault="00A8572A" w:rsidP="00A8572A">
      <w:pPr>
        <w:pStyle w:val="ListBullet"/>
      </w:pPr>
      <w:r w:rsidRPr="00A8572A">
        <w:t xml:space="preserve">Increases in median values for Scr were noted by </w:t>
      </w:r>
      <w:r>
        <w:t>W</w:t>
      </w:r>
      <w:r w:rsidRPr="00A8572A">
        <w:t xml:space="preserve">eek 2 after which they generally stabilised and did not increase up to </w:t>
      </w:r>
      <w:r>
        <w:t>W</w:t>
      </w:r>
      <w:r w:rsidRPr="00A8572A">
        <w:t xml:space="preserve">eek 48; the changes from baseline at </w:t>
      </w:r>
      <w:r>
        <w:t>W</w:t>
      </w:r>
      <w:r w:rsidRPr="00A8572A">
        <w:t>eek 48 in the STB and PIn/co cohorts were 0.17 and 0.06 mg/dL respectively.</w:t>
      </w:r>
    </w:p>
    <w:p w:rsidR="00A8572A" w:rsidRPr="00A8572A" w:rsidRDefault="00A8572A" w:rsidP="00A8572A">
      <w:pPr>
        <w:pStyle w:val="ListBullet"/>
      </w:pPr>
      <w:r w:rsidRPr="00A8572A">
        <w:t>Graded Scr abnormalities were reported for around 25% in both groups, all of which were Grade 1 or 2 in severity.</w:t>
      </w:r>
    </w:p>
    <w:p w:rsidR="00A8572A" w:rsidRPr="00A8572A" w:rsidRDefault="00A8572A" w:rsidP="00A8572A">
      <w:pPr>
        <w:pStyle w:val="ListBullet"/>
      </w:pPr>
      <w:r w:rsidRPr="00A8572A">
        <w:t>1 and 3 subjects in the STB and PIn/co cohorts respectively had creatinine increases ≥ 0.4 mg/dL; the subject receiving STB discontinued from the study.</w:t>
      </w:r>
    </w:p>
    <w:p w:rsidR="00A8572A" w:rsidRPr="00A8572A" w:rsidRDefault="00A8572A" w:rsidP="00A8572A">
      <w:pPr>
        <w:pStyle w:val="ListBullet"/>
      </w:pPr>
      <w:r w:rsidRPr="00A8572A">
        <w:t>In both cohorts baseline median Scr values were higher in subjects with baseline eGFR</w:t>
      </w:r>
      <w:r w:rsidRPr="00A8572A">
        <w:rPr>
          <w:vertAlign w:val="subscript"/>
        </w:rPr>
        <w:t>CG</w:t>
      </w:r>
      <w:r w:rsidR="00860D8A">
        <w:t> &lt; </w:t>
      </w:r>
      <w:r w:rsidRPr="00A8572A">
        <w:t>70 mL/min than with baseline eGFR</w:t>
      </w:r>
      <w:r w:rsidRPr="00A8572A">
        <w:rPr>
          <w:vertAlign w:val="subscript"/>
        </w:rPr>
        <w:t>CG</w:t>
      </w:r>
      <w:r w:rsidRPr="00A8572A">
        <w:t xml:space="preserve"> ≥ 70 mL/min and the %s of subjects with graded Scr abnormalities were higher in those with baseline eGFR</w:t>
      </w:r>
      <w:r w:rsidRPr="00A8572A">
        <w:rPr>
          <w:vertAlign w:val="subscript"/>
        </w:rPr>
        <w:t>CG</w:t>
      </w:r>
      <w:r w:rsidRPr="00A8572A">
        <w:t xml:space="preserve"> &lt; 70 mL/min.</w:t>
      </w:r>
    </w:p>
    <w:p w:rsidR="00A8572A" w:rsidRPr="00A8572A" w:rsidRDefault="00A8572A" w:rsidP="00A8572A">
      <w:r w:rsidRPr="00A8572A">
        <w:t>For serum CysC, data are provided showing:</w:t>
      </w:r>
    </w:p>
    <w:p w:rsidR="00A8572A" w:rsidRPr="00A8572A" w:rsidRDefault="00A8572A" w:rsidP="00A8572A">
      <w:pPr>
        <w:pStyle w:val="ListBullet"/>
      </w:pPr>
      <w:r w:rsidRPr="00A8572A">
        <w:t>In both cohorts, there were no clinically relevant changes from baseline in median values.</w:t>
      </w:r>
    </w:p>
    <w:p w:rsidR="00A8572A" w:rsidRPr="00A8572A" w:rsidRDefault="00A8572A" w:rsidP="00A8572A">
      <w:pPr>
        <w:pStyle w:val="ListBullet"/>
      </w:pPr>
      <w:r w:rsidRPr="00A8572A">
        <w:t>There were no clinically relevant changes from baseline in median values in either eGFR</w:t>
      </w:r>
      <w:r w:rsidRPr="00A8572A">
        <w:rPr>
          <w:vertAlign w:val="subscript"/>
        </w:rPr>
        <w:t>CG</w:t>
      </w:r>
      <w:r w:rsidRPr="00A8572A">
        <w:t xml:space="preserve"> </w:t>
      </w:r>
      <w:r>
        <w:t>subgroup.</w:t>
      </w:r>
    </w:p>
    <w:p w:rsidR="00A8572A" w:rsidRPr="00A8572A" w:rsidRDefault="00A8572A" w:rsidP="00A8572A">
      <w:pPr>
        <w:pStyle w:val="ListBullet"/>
      </w:pPr>
      <w:r w:rsidRPr="00A8572A">
        <w:t>In the PIn/co cohort, results were similar in those with or without TDF.</w:t>
      </w:r>
    </w:p>
    <w:p w:rsidR="00A8572A" w:rsidRPr="00A8572A" w:rsidRDefault="00A8572A" w:rsidP="00A8572A">
      <w:r w:rsidRPr="00A8572A">
        <w:t>For serum phosphorus, data are provided showing:</w:t>
      </w:r>
    </w:p>
    <w:p w:rsidR="00A8572A" w:rsidRPr="00A8572A" w:rsidRDefault="00A8572A" w:rsidP="00A8572A">
      <w:pPr>
        <w:pStyle w:val="ListBullet"/>
      </w:pPr>
      <w:r w:rsidRPr="00A8572A">
        <w:lastRenderedPageBreak/>
        <w:t>In both cohorts, median serum phosphorus values were within normal ranges throughout the study and there were no clinically relevant changes from baseline in median values.</w:t>
      </w:r>
    </w:p>
    <w:p w:rsidR="00A8572A" w:rsidRPr="00A8572A" w:rsidRDefault="00A8572A" w:rsidP="00A8572A">
      <w:pPr>
        <w:pStyle w:val="ListBullet"/>
      </w:pPr>
      <w:r w:rsidRPr="00A8572A">
        <w:t>Results were similar in subgroups of subjects by baseline eGFR</w:t>
      </w:r>
      <w:r w:rsidRPr="00183F91">
        <w:rPr>
          <w:vertAlign w:val="subscript"/>
        </w:rPr>
        <w:t>CG</w:t>
      </w:r>
      <w:r w:rsidR="00183F91">
        <w:rPr>
          <w:vertAlign w:val="subscript"/>
        </w:rPr>
        <w:t>.</w:t>
      </w:r>
    </w:p>
    <w:p w:rsidR="00A8572A" w:rsidRPr="00A8572A" w:rsidRDefault="00A8572A" w:rsidP="00A8572A">
      <w:pPr>
        <w:pStyle w:val="ListBullet"/>
      </w:pPr>
      <w:r w:rsidRPr="00A8572A">
        <w:t>Hypophosphatemia was reported for subjects in both cohorts; none was reported as an AE.</w:t>
      </w:r>
    </w:p>
    <w:p w:rsidR="00A8572A" w:rsidRPr="00A8572A" w:rsidRDefault="00A8572A" w:rsidP="00A8572A">
      <w:pPr>
        <w:pStyle w:val="ListBullet"/>
      </w:pPr>
      <w:r w:rsidRPr="00A8572A">
        <w:t>Results were similar in subgroups of subjects by baseline eGFR</w:t>
      </w:r>
      <w:r w:rsidRPr="00183F91">
        <w:rPr>
          <w:vertAlign w:val="subscript"/>
        </w:rPr>
        <w:t>CG</w:t>
      </w:r>
      <w:r w:rsidRPr="00A8572A">
        <w:t xml:space="preserve"> and in the PIn</w:t>
      </w:r>
      <w:r w:rsidR="00183F91">
        <w:t>/co cohort with or without TDF.</w:t>
      </w:r>
    </w:p>
    <w:p w:rsidR="00A8572A" w:rsidRPr="00A8572A" w:rsidRDefault="00A8572A" w:rsidP="00A8572A">
      <w:r w:rsidRPr="00A8572A">
        <w:t>For urine fractional excretion of phosphate, data are provided showing:</w:t>
      </w:r>
    </w:p>
    <w:p w:rsidR="00A8572A" w:rsidRPr="00A8572A" w:rsidRDefault="00A8572A" w:rsidP="00183F91">
      <w:pPr>
        <w:pStyle w:val="ListBullet"/>
      </w:pPr>
      <w:r w:rsidRPr="00A8572A">
        <w:t xml:space="preserve">In both cohorts, small increases in median values for FEPO4 were noted by </w:t>
      </w:r>
      <w:r w:rsidR="00183F91">
        <w:t>W</w:t>
      </w:r>
      <w:r w:rsidRPr="00A8572A">
        <w:t xml:space="preserve">eek 2 after which they generally stabilised and did not increase up to </w:t>
      </w:r>
      <w:r w:rsidR="00183F91">
        <w:t>W</w:t>
      </w:r>
      <w:r w:rsidRPr="00A8572A">
        <w:t>eek 48; the sponsor considered that these were not clinically relevant as they are unlikely to represent a true increase in renal phosphate excretion due to the calculation of FEPO</w:t>
      </w:r>
      <w:r w:rsidRPr="00183F91">
        <w:rPr>
          <w:vertAlign w:val="subscript"/>
        </w:rPr>
        <w:t>4</w:t>
      </w:r>
      <w:r w:rsidRPr="00A8572A">
        <w:t xml:space="preserve"> being </w:t>
      </w:r>
      <w:r w:rsidR="00183F91">
        <w:t>influenced by</w:t>
      </w:r>
      <w:r w:rsidR="00317E78">
        <w:t xml:space="preserve"> Scr</w:t>
      </w:r>
      <w:r w:rsidR="00183F91">
        <w:t>.</w:t>
      </w:r>
    </w:p>
    <w:p w:rsidR="00A8572A" w:rsidRPr="00A8572A" w:rsidRDefault="00A8572A" w:rsidP="00183F91">
      <w:pPr>
        <w:pStyle w:val="ListBullet"/>
      </w:pPr>
      <w:r w:rsidRPr="00A8572A">
        <w:t>In both cohorts, baseline median FEPO</w:t>
      </w:r>
      <w:r w:rsidRPr="00183F91">
        <w:rPr>
          <w:vertAlign w:val="subscript"/>
        </w:rPr>
        <w:t>4</w:t>
      </w:r>
      <w:r w:rsidRPr="00A8572A">
        <w:t xml:space="preserve"> values were slightly higher in subjects with baseline eGFR</w:t>
      </w:r>
      <w:r w:rsidRPr="00183F91">
        <w:rPr>
          <w:vertAlign w:val="subscript"/>
        </w:rPr>
        <w:t>CG</w:t>
      </w:r>
      <w:r w:rsidRPr="00A8572A">
        <w:t xml:space="preserve"> &lt; 70 mL/min than with baseline eGFR</w:t>
      </w:r>
      <w:r w:rsidRPr="00183F91">
        <w:rPr>
          <w:vertAlign w:val="subscript"/>
        </w:rPr>
        <w:t>CG</w:t>
      </w:r>
      <w:r w:rsidRPr="00A8572A">
        <w:t xml:space="preserve"> ≥ 70 mL/min; there was no notable pattern in changes from baseline in either cohort.</w:t>
      </w:r>
    </w:p>
    <w:p w:rsidR="00183F91" w:rsidRPr="00183F91" w:rsidRDefault="00183F91" w:rsidP="00183F91">
      <w:r w:rsidRPr="00183F91">
        <w:t>For glycosuria</w:t>
      </w:r>
      <w:r>
        <w:t>, data are provided showing:</w:t>
      </w:r>
    </w:p>
    <w:p w:rsidR="00183F91" w:rsidRPr="00183F91" w:rsidRDefault="00183F91" w:rsidP="00183F91">
      <w:pPr>
        <w:pStyle w:val="ListBullet"/>
      </w:pPr>
      <w:r w:rsidRPr="00183F91">
        <w:t>With STB and PIn, glycosuria was seen in 4 and 11 subjects respectively. All had a history of diabetes, hyperglycaemic glycosuria, baseline glycosuria, or isolated and transient occurrences.</w:t>
      </w:r>
    </w:p>
    <w:p w:rsidR="00183F91" w:rsidRPr="00183F91" w:rsidRDefault="00183F91" w:rsidP="00183F91">
      <w:pPr>
        <w:pStyle w:val="ListBullet"/>
      </w:pPr>
      <w:r w:rsidRPr="00183F91">
        <w:t xml:space="preserve">With STB, glycosuria was reported as an AE for 1 subject </w:t>
      </w:r>
      <w:r w:rsidR="00860D8A">
        <w:t>that</w:t>
      </w:r>
      <w:r w:rsidRPr="00183F91">
        <w:t xml:space="preserve"> resolved and all subjects with glycosuria had baseline eGFR</w:t>
      </w:r>
      <w:r w:rsidRPr="00183F91">
        <w:rPr>
          <w:vertAlign w:val="subscript"/>
        </w:rPr>
        <w:t>CG</w:t>
      </w:r>
      <w:r w:rsidRPr="00183F91">
        <w:t xml:space="preserve"> ≥70 mL/min.</w:t>
      </w:r>
    </w:p>
    <w:p w:rsidR="001F38F1" w:rsidRDefault="00183F91" w:rsidP="00183F91">
      <w:pPr>
        <w:pStyle w:val="ListBullet"/>
      </w:pPr>
      <w:r w:rsidRPr="00183F91">
        <w:t>In the PIn/co cohort, glycosuria was reported as a non-serious AE for 1 subject who discontinued due to proteinuria and haematuria; glycosuria was reported for 9</w:t>
      </w:r>
      <w:r w:rsidR="00E35C63">
        <w:t xml:space="preserve"> out of </w:t>
      </w:r>
      <w:r w:rsidRPr="00183F91">
        <w:t>50 subjects (18.0%) with TDF and for 2</w:t>
      </w:r>
      <w:r w:rsidR="00E35C63">
        <w:t xml:space="preserve"> out of </w:t>
      </w:r>
      <w:r w:rsidRPr="00183F91">
        <w:t>22 (9.1%) without TDF; 6</w:t>
      </w:r>
      <w:r w:rsidR="00E35C63">
        <w:t xml:space="preserve"> out of </w:t>
      </w:r>
      <w:r w:rsidRPr="00183F91">
        <w:t>11 subjects with glycosuria had baseline eGFR</w:t>
      </w:r>
      <w:r w:rsidRPr="00183F91">
        <w:rPr>
          <w:vertAlign w:val="subscript"/>
        </w:rPr>
        <w:t>CG</w:t>
      </w:r>
      <w:r w:rsidRPr="00183F91">
        <w:t xml:space="preserve"> &lt; 70 mL/min and 5 had baseline eGFR</w:t>
      </w:r>
      <w:r w:rsidRPr="00183F91">
        <w:rPr>
          <w:vertAlign w:val="subscript"/>
        </w:rPr>
        <w:t>CG</w:t>
      </w:r>
      <w:r w:rsidRPr="00183F91">
        <w:t xml:space="preserve"> ≥ 70 mL/min</w:t>
      </w:r>
      <w:r w:rsidR="001F38F1">
        <w:t>.</w:t>
      </w:r>
    </w:p>
    <w:p w:rsidR="00183F91" w:rsidRPr="00183F91" w:rsidRDefault="00183F91" w:rsidP="00183F91">
      <w:r w:rsidRPr="00183F91">
        <w:t>For proteinuria</w:t>
      </w:r>
      <w:r>
        <w:t>, data are provided showing:</w:t>
      </w:r>
    </w:p>
    <w:p w:rsidR="00183F91" w:rsidRPr="00183F91" w:rsidRDefault="00183F91" w:rsidP="00183F91">
      <w:pPr>
        <w:pStyle w:val="ListBullet"/>
      </w:pPr>
      <w:r w:rsidRPr="00183F91">
        <w:t>With STB, baseline proteinuria ≥ trace was present in 18 subjects (54.5%); treatment</w:t>
      </w:r>
      <w:r>
        <w:t xml:space="preserve"> </w:t>
      </w:r>
      <w:r w:rsidRPr="00183F91">
        <w:t xml:space="preserve">emergent graded proteinuria was observed for 13 (39.4%); all were </w:t>
      </w:r>
      <w:r>
        <w:t>G</w:t>
      </w:r>
      <w:r w:rsidRPr="00183F91">
        <w:t>rade 1 or 2 in severity and tended to be isolated and transient; proteinuria was reported as a non</w:t>
      </w:r>
      <w:r>
        <w:t>-</w:t>
      </w:r>
      <w:r w:rsidRPr="00183F91">
        <w:t xml:space="preserve">serious, </w:t>
      </w:r>
      <w:r>
        <w:t>G</w:t>
      </w:r>
      <w:r w:rsidRPr="00183F91">
        <w:t>rade 1 AE for 1 subject; no action was taken and the event resolved; treatment</w:t>
      </w:r>
      <w:r>
        <w:t xml:space="preserve"> </w:t>
      </w:r>
      <w:r w:rsidRPr="00183F91">
        <w:t>emergent graded proteinuria was reported for 3</w:t>
      </w:r>
      <w:r w:rsidR="00E35C63">
        <w:t xml:space="preserve"> out of </w:t>
      </w:r>
      <w:r w:rsidRPr="00183F91">
        <w:t>12 subjects (25.0%) with baseline eGFR</w:t>
      </w:r>
      <w:r w:rsidRPr="00183F91">
        <w:rPr>
          <w:vertAlign w:val="subscript"/>
        </w:rPr>
        <w:t>CG</w:t>
      </w:r>
      <w:r w:rsidRPr="00183F91">
        <w:t xml:space="preserve"> &lt; 70 mL/min and for 10</w:t>
      </w:r>
      <w:r w:rsidR="00E35C63">
        <w:t xml:space="preserve"> out of </w:t>
      </w:r>
      <w:r w:rsidRPr="00183F91">
        <w:t>21 (47.6%) with baseline eGFR</w:t>
      </w:r>
      <w:r w:rsidRPr="00183F91">
        <w:rPr>
          <w:vertAlign w:val="subscript"/>
        </w:rPr>
        <w:t>CG</w:t>
      </w:r>
      <w:r w:rsidRPr="00183F91">
        <w:t xml:space="preserve"> </w:t>
      </w:r>
      <w:r>
        <w:t>≥ 70 mL/min.</w:t>
      </w:r>
    </w:p>
    <w:p w:rsidR="00183F91" w:rsidRPr="00183F91" w:rsidRDefault="00183F91" w:rsidP="00183F91">
      <w:pPr>
        <w:pStyle w:val="ListBullet"/>
      </w:pPr>
      <w:r w:rsidRPr="00183F91">
        <w:t>In the PIn/co cohort, proteinuria ≥ trace was present at baseline in 37 subjects (50.7%); treatment</w:t>
      </w:r>
      <w:r>
        <w:t xml:space="preserve"> </w:t>
      </w:r>
      <w:r w:rsidRPr="00183F91">
        <w:t>emergent graded proteinuria was observed for 29</w:t>
      </w:r>
      <w:r w:rsidR="00E35C63">
        <w:t xml:space="preserve"> out of </w:t>
      </w:r>
      <w:r w:rsidRPr="00183F91">
        <w:t xml:space="preserve">72 subjects (40.3%) all of which was </w:t>
      </w:r>
      <w:r>
        <w:t>G</w:t>
      </w:r>
      <w:r w:rsidRPr="00183F91">
        <w:t>rade 1 or 2 in severity, and tended to be isolated and transient; proteinuria was reported as a non</w:t>
      </w:r>
      <w:r>
        <w:t>-</w:t>
      </w:r>
      <w:r w:rsidRPr="00183F91">
        <w:t xml:space="preserve">serious </w:t>
      </w:r>
      <w:r>
        <w:t>G</w:t>
      </w:r>
      <w:r w:rsidRPr="00183F91">
        <w:t>rade 2 AE for 1 subject; study drug was discontinued due to this and concurrent haematuria and glycosuria; treatment</w:t>
      </w:r>
      <w:r>
        <w:t xml:space="preserve"> </w:t>
      </w:r>
      <w:r w:rsidRPr="00183F91">
        <w:t>emergent graded proteinuria was reported for 23</w:t>
      </w:r>
      <w:r w:rsidR="00E35C63">
        <w:t xml:space="preserve"> out of </w:t>
      </w:r>
      <w:r w:rsidRPr="00183F91">
        <w:t>50 subjects (46.0%) with TDF and for 6</w:t>
      </w:r>
      <w:r w:rsidR="00E35C63">
        <w:t xml:space="preserve"> out of </w:t>
      </w:r>
      <w:r w:rsidRPr="00183F91">
        <w:t>22 (27.3%) without TDF in their regimens; treatment</w:t>
      </w:r>
      <w:r>
        <w:t xml:space="preserve"> </w:t>
      </w:r>
      <w:r w:rsidRPr="00183F91">
        <w:t>emergent graded proteinuria was reported for 15</w:t>
      </w:r>
      <w:r w:rsidR="00E35C63">
        <w:t xml:space="preserve"> out of </w:t>
      </w:r>
      <w:r w:rsidRPr="00183F91">
        <w:t>34 subjects (44.1%) with baseline eGFR</w:t>
      </w:r>
      <w:r w:rsidRPr="00183F91">
        <w:rPr>
          <w:vertAlign w:val="subscript"/>
        </w:rPr>
        <w:t>CG</w:t>
      </w:r>
      <w:r w:rsidRPr="00183F91">
        <w:t xml:space="preserve"> &lt; 70 mL/min and for 14</w:t>
      </w:r>
      <w:r w:rsidR="00E35C63">
        <w:t xml:space="preserve"> out of </w:t>
      </w:r>
      <w:r w:rsidRPr="00183F91">
        <w:t>38 (36.8%) with baseline eGFR</w:t>
      </w:r>
      <w:r w:rsidRPr="00183F91">
        <w:rPr>
          <w:vertAlign w:val="subscript"/>
        </w:rPr>
        <w:t>CG</w:t>
      </w:r>
      <w:r w:rsidRPr="00183F91">
        <w:t xml:space="preserve"> </w:t>
      </w:r>
      <w:r>
        <w:t>≥ 70 mL/min.</w:t>
      </w:r>
    </w:p>
    <w:p w:rsidR="00183F91" w:rsidRPr="00183F91" w:rsidRDefault="00860D8A" w:rsidP="00183F91">
      <w:pPr>
        <w:pStyle w:val="Heading5"/>
        <w:rPr>
          <w:rFonts w:eastAsiaTheme="minorHAnsi"/>
        </w:rPr>
      </w:pPr>
      <w:r>
        <w:rPr>
          <w:rFonts w:eastAsiaTheme="minorHAnsi"/>
        </w:rPr>
        <w:t>Adverse events</w:t>
      </w:r>
    </w:p>
    <w:p w:rsidR="00183F91" w:rsidRPr="00183F91" w:rsidRDefault="00183F91" w:rsidP="00183F91">
      <w:r w:rsidRPr="00183F91">
        <w:t>The AE</w:t>
      </w:r>
      <w:r>
        <w:t xml:space="preserve"> data is summarised as follows:</w:t>
      </w:r>
    </w:p>
    <w:p w:rsidR="00183F91" w:rsidRPr="00183F91" w:rsidRDefault="00183F91" w:rsidP="00183F91">
      <w:pPr>
        <w:pStyle w:val="ListBullet"/>
      </w:pPr>
      <w:r w:rsidRPr="00183F91">
        <w:t>No subjects were reported with renal SAEs.</w:t>
      </w:r>
    </w:p>
    <w:p w:rsidR="00183F91" w:rsidRPr="00183F91" w:rsidRDefault="00183F91" w:rsidP="00183F91">
      <w:pPr>
        <w:pStyle w:val="ListBullet"/>
      </w:pPr>
      <w:r w:rsidRPr="00183F91">
        <w:lastRenderedPageBreak/>
        <w:t>With STB, 3 subjects discontinued due to the renal AEs of decreased creatinine renal clearance, increased blood creatinine and abnormal GFR; all had baseline eGFR</w:t>
      </w:r>
      <w:r w:rsidRPr="00183F91">
        <w:rPr>
          <w:vertAlign w:val="subscript"/>
        </w:rPr>
        <w:t>CG</w:t>
      </w:r>
      <w:r w:rsidR="00860D8A">
        <w:t> &lt; 70 </w:t>
      </w:r>
      <w:r w:rsidRPr="00183F91">
        <w:t>mL/min.</w:t>
      </w:r>
    </w:p>
    <w:p w:rsidR="00183F91" w:rsidRDefault="00183F91" w:rsidP="00183F91">
      <w:pPr>
        <w:pStyle w:val="ListBullet"/>
      </w:pPr>
      <w:r w:rsidRPr="00183F91">
        <w:t>In the PIn/co cohort, 2 subjects discontinued due to the renal AEs of abnormal GFR, and proteinuria and haematuria; both subjects had baseline eGFR</w:t>
      </w:r>
      <w:r w:rsidRPr="00183F91">
        <w:rPr>
          <w:vertAlign w:val="subscript"/>
        </w:rPr>
        <w:t>CG</w:t>
      </w:r>
      <w:r w:rsidRPr="00183F91">
        <w:t xml:space="preserve"> &lt; 70 mL/min</w:t>
      </w:r>
      <w:r>
        <w:t>.</w:t>
      </w:r>
    </w:p>
    <w:p w:rsidR="00183F91" w:rsidRPr="00183F91" w:rsidRDefault="00183F91" w:rsidP="00183F91">
      <w:pPr>
        <w:pStyle w:val="ListBullet"/>
      </w:pPr>
      <w:r w:rsidRPr="00183F91">
        <w:t>No subject who discontinued had renal AEs and laboratory findings consistent with PRT.</w:t>
      </w:r>
    </w:p>
    <w:p w:rsidR="00183F91" w:rsidRPr="00183F91" w:rsidRDefault="00183F91" w:rsidP="00183F91">
      <w:pPr>
        <w:pStyle w:val="ListBullet"/>
      </w:pPr>
      <w:r w:rsidRPr="00183F91">
        <w:t xml:space="preserve">3 of the 5 subjects (STB </w:t>
      </w:r>
      <w:r>
        <w:t>x</w:t>
      </w:r>
      <w:r w:rsidRPr="00183F91">
        <w:t xml:space="preserve"> 2; PIn/co </w:t>
      </w:r>
      <w:r>
        <w:t>x</w:t>
      </w:r>
      <w:r w:rsidRPr="00183F91">
        <w:t xml:space="preserve"> 1) who discontinued met the protocol</w:t>
      </w:r>
      <w:r>
        <w:t xml:space="preserve"> </w:t>
      </w:r>
      <w:r w:rsidRPr="00183F91">
        <w:t>defined toxicity management criterion for potential study drug discontinuation.</w:t>
      </w:r>
    </w:p>
    <w:p w:rsidR="00183F91" w:rsidRPr="00183F91" w:rsidRDefault="00183F91" w:rsidP="00183F91">
      <w:pPr>
        <w:pStyle w:val="ListBullet"/>
      </w:pPr>
      <w:r w:rsidRPr="00183F91">
        <w:t>1 subject in the PIn/co cohort with pre-existing TDF</w:t>
      </w:r>
      <w:r>
        <w:t xml:space="preserve"> </w:t>
      </w:r>
      <w:r w:rsidRPr="00183F91">
        <w:t>associated PRT discontinued TDF due to an AE of renal tubular disorder but continued COBI.</w:t>
      </w:r>
    </w:p>
    <w:p w:rsidR="00183F91" w:rsidRPr="00183F91" w:rsidRDefault="00183F91" w:rsidP="00183F91">
      <w:pPr>
        <w:pStyle w:val="ListBullet"/>
      </w:pPr>
      <w:r w:rsidRPr="00183F91">
        <w:t>No subjects met the criteria for treatment</w:t>
      </w:r>
      <w:r>
        <w:t xml:space="preserve"> </w:t>
      </w:r>
      <w:r w:rsidRPr="00183F91">
        <w:t>emergent subclinical PRT.</w:t>
      </w:r>
    </w:p>
    <w:p w:rsidR="00183F91" w:rsidRPr="00183F91" w:rsidRDefault="00183F91" w:rsidP="00183F91">
      <w:pPr>
        <w:pStyle w:val="ListBullet"/>
      </w:pPr>
      <w:r w:rsidRPr="00183F91">
        <w:t>No subjects had &gt; 1 confirmed renal laboratory abnormality.</w:t>
      </w:r>
    </w:p>
    <w:p w:rsidR="00183F91" w:rsidRPr="00183F91" w:rsidRDefault="00183F91" w:rsidP="00183F91">
      <w:r w:rsidRPr="00183F91">
        <w:t xml:space="preserve">The interim </w:t>
      </w:r>
      <w:r>
        <w:t>W</w:t>
      </w:r>
      <w:r w:rsidRPr="00183F91">
        <w:t>eek 48 sponsor conclusions are as:</w:t>
      </w:r>
    </w:p>
    <w:p w:rsidR="00183F91" w:rsidRPr="00183F91" w:rsidRDefault="00183F91" w:rsidP="00183F91">
      <w:pPr>
        <w:pStyle w:val="ListBullet"/>
      </w:pPr>
      <w:r w:rsidRPr="00183F91">
        <w:t>In HIV-1 infected subjects with mild</w:t>
      </w:r>
      <w:r>
        <w:t xml:space="preserve"> </w:t>
      </w:r>
      <w:r w:rsidRPr="00183F91">
        <w:t>to</w:t>
      </w:r>
      <w:r>
        <w:t xml:space="preserve"> </w:t>
      </w:r>
      <w:r w:rsidRPr="00183F91">
        <w:t>moderate renal impairment, the renal safety profiles of COBI</w:t>
      </w:r>
      <w:r>
        <w:t xml:space="preserve"> </w:t>
      </w:r>
      <w:r w:rsidRPr="00183F91">
        <w:t>containing regimens, specifically STB or a regimen including a PI with or without TDF, were consistent with those from previous studies.</w:t>
      </w:r>
    </w:p>
    <w:p w:rsidR="00183F91" w:rsidRPr="00183F91" w:rsidRDefault="00183F91" w:rsidP="00183F91">
      <w:pPr>
        <w:pStyle w:val="ListBullet"/>
      </w:pPr>
      <w:r w:rsidRPr="00183F91">
        <w:t>No subject had treatment</w:t>
      </w:r>
      <w:r>
        <w:t xml:space="preserve"> </w:t>
      </w:r>
      <w:r w:rsidRPr="00183F91">
        <w:t>emergent laboratory findings consistent with PRT.</w:t>
      </w:r>
    </w:p>
    <w:p w:rsidR="00183F91" w:rsidRPr="00183F91" w:rsidRDefault="00183F91" w:rsidP="00183F91">
      <w:pPr>
        <w:pStyle w:val="ListBullet"/>
      </w:pPr>
      <w:r w:rsidRPr="00183F91">
        <w:t>With STB decreases in median values for creatinine</w:t>
      </w:r>
      <w:r>
        <w:t xml:space="preserve"> </w:t>
      </w:r>
      <w:r w:rsidRPr="00183F91">
        <w:t xml:space="preserve">based estimates of GFR were noted by </w:t>
      </w:r>
      <w:r>
        <w:t>W</w:t>
      </w:r>
      <w:r w:rsidRPr="00183F91">
        <w:t xml:space="preserve">eek 2, after which they generally stabilised and did not increase up to </w:t>
      </w:r>
      <w:r>
        <w:t>W</w:t>
      </w:r>
      <w:r w:rsidRPr="00183F91">
        <w:t xml:space="preserve">eek 48; there were no notable median changes from baseline in </w:t>
      </w:r>
      <w:r w:rsidR="00161B57">
        <w:t>C</w:t>
      </w:r>
      <w:r w:rsidRPr="00183F91">
        <w:t>ysC</w:t>
      </w:r>
      <w:r>
        <w:t xml:space="preserve"> </w:t>
      </w:r>
      <w:r w:rsidRPr="00183F91">
        <w:t>based estimates of GFR; results were similar for subjects with baseline eGFR</w:t>
      </w:r>
      <w:r w:rsidRPr="00183F91">
        <w:rPr>
          <w:vertAlign w:val="subscript"/>
        </w:rPr>
        <w:t>CG</w:t>
      </w:r>
      <w:r w:rsidRPr="00183F91">
        <w:t xml:space="preserve"> </w:t>
      </w:r>
      <w:r>
        <w:t>&lt; 70 mL/min or ≥ 70 mL/min.</w:t>
      </w:r>
    </w:p>
    <w:p w:rsidR="00183F91" w:rsidRPr="00183F91" w:rsidRDefault="00183F91" w:rsidP="00183F91">
      <w:pPr>
        <w:pStyle w:val="ListBullet"/>
      </w:pPr>
      <w:r w:rsidRPr="00183F91">
        <w:t>In the PIn/co cohort, there were no clinically relevant changes in median values for creatinine or</w:t>
      </w:r>
      <w:r w:rsidR="00161B57">
        <w:t xml:space="preserve"> C</w:t>
      </w:r>
      <w:r w:rsidRPr="00183F91">
        <w:t>ysC</w:t>
      </w:r>
      <w:r>
        <w:t xml:space="preserve"> </w:t>
      </w:r>
      <w:r w:rsidRPr="00183F91">
        <w:t>based estimates of GFR.</w:t>
      </w:r>
    </w:p>
    <w:p w:rsidR="00183F91" w:rsidRPr="00183F91" w:rsidRDefault="0080353E" w:rsidP="00183F91">
      <w:pPr>
        <w:pStyle w:val="ListBullet"/>
      </w:pPr>
      <w:proofErr w:type="gramStart"/>
      <w:r>
        <w:t>a</w:t>
      </w:r>
      <w:r w:rsidR="00183F91" w:rsidRPr="00183F91">
        <w:t>GFR</w:t>
      </w:r>
      <w:proofErr w:type="gramEnd"/>
      <w:r w:rsidR="00183F91" w:rsidRPr="00183F91">
        <w:t xml:space="preserve"> was unaffected over 24 weeks of treatment.</w:t>
      </w:r>
    </w:p>
    <w:p w:rsidR="00183F91" w:rsidRPr="00183F91" w:rsidRDefault="00183F91" w:rsidP="00183F91">
      <w:pPr>
        <w:pStyle w:val="ListBullet"/>
      </w:pPr>
      <w:r w:rsidRPr="00183F91">
        <w:t>There were no clinically relevant changes from baseline in median values for other renal endpoints and few subjects had clinically relevant changes in urine glucose or urine protein.</w:t>
      </w:r>
    </w:p>
    <w:p w:rsidR="00183F91" w:rsidRPr="00183F91" w:rsidRDefault="007C10BD" w:rsidP="00183F91">
      <w:pPr>
        <w:pStyle w:val="ListBullet"/>
      </w:pPr>
      <w:r>
        <w:t>N</w:t>
      </w:r>
      <w:r w:rsidR="00183F91" w:rsidRPr="00183F91">
        <w:t>o subjects were reported with serious renal AEs.</w:t>
      </w:r>
    </w:p>
    <w:p w:rsidR="00AD6467" w:rsidRPr="00AD6467" w:rsidRDefault="00860D8A" w:rsidP="00860D8A">
      <w:pPr>
        <w:pStyle w:val="Comment"/>
      </w:pPr>
      <w:r w:rsidRPr="00860D8A">
        <w:rPr>
          <w:b/>
        </w:rPr>
        <w:t>C</w:t>
      </w:r>
      <w:r w:rsidR="00AD6467" w:rsidRPr="00860D8A">
        <w:rPr>
          <w:b/>
        </w:rPr>
        <w:t>omment</w:t>
      </w:r>
      <w:r w:rsidRPr="00860D8A">
        <w:rPr>
          <w:b/>
        </w:rPr>
        <w:t>:</w:t>
      </w:r>
      <w:r>
        <w:t xml:space="preserve"> </w:t>
      </w:r>
      <w:r w:rsidR="00AD6467" w:rsidRPr="00AD6467">
        <w:t>The spon</w:t>
      </w:r>
      <w:r w:rsidR="00AD6467">
        <w:t>sor’s conclusions are accepted.</w:t>
      </w:r>
    </w:p>
    <w:p w:rsidR="00AD6467" w:rsidRPr="00AD6467" w:rsidRDefault="00AD6467" w:rsidP="00AD6467">
      <w:pPr>
        <w:pStyle w:val="Heading3"/>
        <w:rPr>
          <w:rFonts w:eastAsiaTheme="minorHAnsi"/>
        </w:rPr>
      </w:pPr>
      <w:bookmarkStart w:id="31" w:name="_Toc481586181"/>
      <w:r w:rsidRPr="00AD6467">
        <w:rPr>
          <w:rFonts w:eastAsiaTheme="minorHAnsi"/>
        </w:rPr>
        <w:t>GS-US-236-0102</w:t>
      </w:r>
      <w:bookmarkEnd w:id="31"/>
    </w:p>
    <w:p w:rsidR="00AD6467" w:rsidRPr="00AD6467" w:rsidRDefault="00AD6467" w:rsidP="00AD6467">
      <w:pPr>
        <w:pStyle w:val="Heading4"/>
      </w:pPr>
      <w:r w:rsidRPr="00AD6467">
        <w:t xml:space="preserve">Safety </w:t>
      </w:r>
      <w:r w:rsidR="00860D8A">
        <w:t>a</w:t>
      </w:r>
      <w:r w:rsidRPr="00AD6467">
        <w:t>nalysis</w:t>
      </w:r>
    </w:p>
    <w:p w:rsidR="00AD6467" w:rsidRPr="00AD6467" w:rsidRDefault="00AD6467" w:rsidP="00AD6467">
      <w:r w:rsidRPr="00AD6467">
        <w:t xml:space="preserve">This comprised baseline and post baseline analysis of AEs, clinical laboratory tests (chemistry, haematology, </w:t>
      </w:r>
      <w:proofErr w:type="gramStart"/>
      <w:r w:rsidRPr="00AD6467">
        <w:t>urinalysis</w:t>
      </w:r>
      <w:proofErr w:type="gramEnd"/>
      <w:r w:rsidRPr="00AD6467">
        <w:t>), electrocardiograms (ECGs), height, and weight. Summaries (number and % of subj</w:t>
      </w:r>
      <w:r>
        <w:t xml:space="preserve">ects) of treatment </w:t>
      </w:r>
      <w:r w:rsidRPr="00AD6467">
        <w:t>emergent AEs by SOC, HLT and PT were provided by treatment group using the SAS. Particular aspects of the AE analysis were:</w:t>
      </w:r>
    </w:p>
    <w:p w:rsidR="00AD6467" w:rsidRPr="00AD6467" w:rsidRDefault="00AD6467" w:rsidP="00AD6467">
      <w:pPr>
        <w:pStyle w:val="ListBullet"/>
      </w:pPr>
      <w:r w:rsidRPr="00AD6467">
        <w:t>Review for potential classification as a category C event indicative of an AIDS-defining diagnosis.</w:t>
      </w:r>
    </w:p>
    <w:p w:rsidR="00AD6467" w:rsidRPr="00AD6467" w:rsidRDefault="00AD6467" w:rsidP="00AD6467">
      <w:pPr>
        <w:pStyle w:val="ListBullet"/>
      </w:pPr>
      <w:r w:rsidRPr="00AD6467">
        <w:t>Renal and fracture AEs were considered as AEs of interest.</w:t>
      </w:r>
    </w:p>
    <w:p w:rsidR="00AD6467" w:rsidRPr="00AD6467" w:rsidRDefault="00AD6467" w:rsidP="00AD6467">
      <w:pPr>
        <w:pStyle w:val="ListBullet"/>
      </w:pPr>
      <w:r w:rsidRPr="00AD6467">
        <w:t>Important treatment-emergent AEs were neurological and psychiatric events, and rash events.</w:t>
      </w:r>
    </w:p>
    <w:p w:rsidR="00AD6467" w:rsidRPr="00AD6467" w:rsidRDefault="00AD6467" w:rsidP="00AD6467">
      <w:r w:rsidRPr="00AD6467">
        <w:t>For AEs of interest and important AEs, statistical comparisons of the incidence rates between treatment groups were performed using the Fisher exact test.</w:t>
      </w:r>
    </w:p>
    <w:p w:rsidR="00AD6467" w:rsidRPr="00AD6467" w:rsidRDefault="00AD6467" w:rsidP="00AD6467">
      <w:r w:rsidRPr="00AD6467">
        <w:lastRenderedPageBreak/>
        <w:t>For laboratory data absolute values and change from baseline at all scheduled time points were summarised by treatment group. For lipids and serum glucose, only fasting measurements were summarised. P-values for the baseline and for the change from baseline in fasting lipid and glucose data (including fasting total cholesterol, triglycerides, low density lipoprotein (LDL), high density lipoprotein (HDL), fasting total cholesterol to HDL ratio, and glucose) were estimated from the 2</w:t>
      </w:r>
      <w:r>
        <w:t xml:space="preserve"> </w:t>
      </w:r>
      <w:r w:rsidRPr="00AD6467">
        <w:t xml:space="preserve">sided Wilcoxon rank sum test to compare the 2 treatment groups. Calcium corrected for albumin was summarised. Estimated GFR was calculated using 3 different methods, CG, MDRD, and </w:t>
      </w:r>
      <w:r w:rsidR="00161B57">
        <w:t>C</w:t>
      </w:r>
      <w:r w:rsidRPr="00AD6467">
        <w:t xml:space="preserve">ysC. The </w:t>
      </w:r>
      <w:r w:rsidR="00161B57">
        <w:t>C</w:t>
      </w:r>
      <w:r w:rsidRPr="00AD6467">
        <w:t>y</w:t>
      </w:r>
      <w:r w:rsidR="00161B57">
        <w:t>s</w:t>
      </w:r>
      <w:r w:rsidRPr="00AD6467">
        <w:t xml:space="preserve">C method was only conducted after </w:t>
      </w:r>
      <w:r>
        <w:t>W</w:t>
      </w:r>
      <w:r w:rsidRPr="00AD6467">
        <w:t>eek 48 for subjects reporting a renal event. Laboratory abnormalities were graded according to toxicity criteria defined by the sponsor or division of AIDS scales. Treatment</w:t>
      </w:r>
      <w:r>
        <w:t xml:space="preserve"> </w:t>
      </w:r>
      <w:r w:rsidRPr="00AD6467">
        <w:t>emergent laboratory abnormalities were defined as values that increased at least 1 toxicity grade from baseline at any time post baseline up</w:t>
      </w:r>
      <w:r>
        <w:t xml:space="preserve"> to the last dose plus 30 days.</w:t>
      </w:r>
    </w:p>
    <w:p w:rsidR="00AD6467" w:rsidRPr="00AD6467" w:rsidRDefault="00AD6467" w:rsidP="00AD6467">
      <w:r w:rsidRPr="00AD6467">
        <w:t>To identify any potential subclinical PRT not reported as an AE, a systematic analysis of renal laboratory abnormalities was performed for possible glomerular dysfunction (</w:t>
      </w:r>
      <w:r w:rsidR="00317E78">
        <w:t>Scr</w:t>
      </w:r>
      <w:r w:rsidRPr="00AD6467">
        <w:t xml:space="preserve"> confirmed increase from baseline of ≥ 0.4 mg/dL with STB and ≥ 0.24 mg/dL with ATR) and possible tubular dysfunction (confirmed ≥ 2 grade</w:t>
      </w:r>
      <w:r>
        <w:t xml:space="preserve"> </w:t>
      </w:r>
      <w:r w:rsidRPr="00AD6467">
        <w:t xml:space="preserve">level increase from baseline in proteinuria, confirmed ≥ 1 </w:t>
      </w:r>
      <w:r>
        <w:t>g</w:t>
      </w:r>
      <w:r w:rsidRPr="00AD6467">
        <w:t>rade</w:t>
      </w:r>
      <w:r>
        <w:t xml:space="preserve"> </w:t>
      </w:r>
      <w:r w:rsidRPr="00AD6467">
        <w:t>level increase from baseline in hypophosphataemia, and confirmed ≥ 1 grade</w:t>
      </w:r>
      <w:r>
        <w:t xml:space="preserve"> </w:t>
      </w:r>
      <w:r w:rsidRPr="00AD6467">
        <w:t>level increase from baseline in normoglycaemic glycosuria). These data were summarised by treatment group. Abnormalities observed at 2 consecutive post baseline measurements were assessed as confirmed.</w:t>
      </w:r>
    </w:p>
    <w:p w:rsidR="00AD6467" w:rsidRPr="00AD6467" w:rsidRDefault="00AD6467" w:rsidP="00AD6467">
      <w:r w:rsidRPr="00AD6467">
        <w:t>For liver</w:t>
      </w:r>
      <w:r>
        <w:t xml:space="preserve"> </w:t>
      </w:r>
      <w:r w:rsidRPr="00AD6467">
        <w:t xml:space="preserve">related laboratory tests, the number and </w:t>
      </w:r>
      <w:r w:rsidR="00744563">
        <w:t>percent</w:t>
      </w:r>
      <w:r w:rsidRPr="00AD6467">
        <w:t xml:space="preserve"> of subjects were summarised by categories according to their level above the upper limit of normal (ULN).</w:t>
      </w:r>
    </w:p>
    <w:p w:rsidR="00AD6467" w:rsidRPr="00AD6467" w:rsidRDefault="00AD6467" w:rsidP="00AD6467">
      <w:r w:rsidRPr="00AD6467">
        <w:t xml:space="preserve">Results for other safety data, weight, </w:t>
      </w:r>
      <w:proofErr w:type="gramStart"/>
      <w:r w:rsidRPr="00AD6467">
        <w:t>height</w:t>
      </w:r>
      <w:proofErr w:type="gramEnd"/>
      <w:r w:rsidRPr="00AD6467">
        <w:t xml:space="preserve"> a</w:t>
      </w:r>
      <w:r>
        <w:t>nd ECG results were summarised.</w:t>
      </w:r>
    </w:p>
    <w:p w:rsidR="00AD6467" w:rsidRPr="00AD6467" w:rsidRDefault="00860D8A" w:rsidP="00AD6467">
      <w:pPr>
        <w:pStyle w:val="Heading4"/>
      </w:pPr>
      <w:r>
        <w:t>Safety r</w:t>
      </w:r>
      <w:r w:rsidR="00AD6467" w:rsidRPr="00AD6467">
        <w:t>esults</w:t>
      </w:r>
    </w:p>
    <w:p w:rsidR="00AD6467" w:rsidRPr="00AD6467" w:rsidRDefault="00AD6467" w:rsidP="00AD6467">
      <w:r w:rsidRPr="00AD6467">
        <w:t>The SAS comprised 348 subjects receiving STB and 352 receiving ATR. Data are provided showing that the median duration of exposure to st</w:t>
      </w:r>
      <w:r w:rsidR="00860D8A">
        <w:t xml:space="preserve">udy drug was 155.4 weeks (144.1 to </w:t>
      </w:r>
      <w:r w:rsidRPr="00AD6467">
        <w:t xml:space="preserve">156.3) </w:t>
      </w:r>
      <w:r w:rsidR="00860D8A">
        <w:t xml:space="preserve">with STB and 155.4 weeks (143.6 to </w:t>
      </w:r>
      <w:r w:rsidRPr="00AD6467">
        <w:t xml:space="preserve">156.4) with ATR. The majority of subjects in each group received study drug for ≥ 144 weeks </w:t>
      </w:r>
      <w:r>
        <w:t>(STB 78.2%/272; ATR 71.9%/253).</w:t>
      </w:r>
    </w:p>
    <w:p w:rsidR="00AD6467" w:rsidRPr="00AD6467" w:rsidRDefault="00AD6467" w:rsidP="00AD6467">
      <w:pPr>
        <w:pStyle w:val="Heading5"/>
        <w:rPr>
          <w:rFonts w:eastAsiaTheme="minorHAnsi"/>
        </w:rPr>
      </w:pPr>
      <w:r w:rsidRPr="00AD6467">
        <w:rPr>
          <w:rFonts w:eastAsiaTheme="minorHAnsi"/>
        </w:rPr>
        <w:t>Adverse events</w:t>
      </w:r>
    </w:p>
    <w:p w:rsidR="00AD6467" w:rsidRPr="00AD6467" w:rsidRDefault="00AD6467" w:rsidP="00AD6467">
      <w:r w:rsidRPr="00AD6467">
        <w:t xml:space="preserve">Similar </w:t>
      </w:r>
      <w:r w:rsidR="00744563">
        <w:t>%</w:t>
      </w:r>
      <w:r w:rsidRPr="00AD6467">
        <w:t>s of subjects in each group reported any AE (STB 97.7%/340; ATR 98.3%/346). An overview of AEs is presented in the table below. Of note a smaller proportion of subjects receiving STB reported any AE and Grade 2, 3 or 4 AEs</w:t>
      </w:r>
      <w:r>
        <w:t xml:space="preserve"> assessed as treatment related.</w:t>
      </w:r>
    </w:p>
    <w:p w:rsidR="00860D8A" w:rsidRDefault="00AD6467" w:rsidP="00AD6467">
      <w:pPr>
        <w:pStyle w:val="Tabletitle"/>
        <w:keepLines/>
      </w:pPr>
      <w:r>
        <w:lastRenderedPageBreak/>
        <w:t xml:space="preserve">Table 29: GS-US-236-0102: </w:t>
      </w:r>
      <w:r w:rsidR="00860D8A">
        <w:t>Overall summary of treatment-emergent adverse events: safety analysis set</w:t>
      </w:r>
    </w:p>
    <w:p w:rsidR="00A8572A" w:rsidRDefault="00AD6467" w:rsidP="00860D8A">
      <w:r w:rsidRPr="00860D8A">
        <w:rPr>
          <w:noProof/>
          <w:lang w:eastAsia="en-AU"/>
        </w:rPr>
        <w:drawing>
          <wp:inline distT="0" distB="0" distL="0" distR="0" wp14:anchorId="6F4B3185" wp14:editId="32B7B8AC">
            <wp:extent cx="5676900" cy="3224748"/>
            <wp:effectExtent l="0" t="0" r="0" b="0"/>
            <wp:docPr id="45" name="Picture 45" descr="Table 29: GS-US-236-0102: Overall summary of treatment-emergent adverse event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76900" cy="3224748"/>
                    </a:xfrm>
                    <a:prstGeom prst="rect">
                      <a:avLst/>
                    </a:prstGeom>
                    <a:noFill/>
                    <a:ln>
                      <a:noFill/>
                    </a:ln>
                  </pic:spPr>
                </pic:pic>
              </a:graphicData>
            </a:graphic>
          </wp:inline>
        </w:drawing>
      </w:r>
    </w:p>
    <w:p w:rsidR="00AD6467" w:rsidRPr="00AD6467" w:rsidRDefault="00AD6467" w:rsidP="00AD6467">
      <w:r w:rsidRPr="00AD6467">
        <w:t>The sponsor indicates that frequently reported AEs were consistent with those expected in the population and the known safety profile of the study drugs. AEs reported in ≥ 10% of subjects in either group are presented in t</w:t>
      </w:r>
      <w:r>
        <w:t>he table below. Key points are:</w:t>
      </w:r>
    </w:p>
    <w:p w:rsidR="00AD6467" w:rsidRPr="00AD6467" w:rsidRDefault="00AD6467" w:rsidP="00AD6467">
      <w:pPr>
        <w:pStyle w:val="ListBullet"/>
      </w:pPr>
      <w:r w:rsidRPr="00AD6467">
        <w:t>The most frequently reported AEs with STB were diarrhoea (26.4%/92), upper respiratory tract infection (URTI: 5.6%/89) and nausea (22.7%/79) and with ATR, abnormal dreams (28.1%/99), dizziness (26.1%/92) and diarrhoea (25.9%/91).</w:t>
      </w:r>
    </w:p>
    <w:p w:rsidR="00AD6467" w:rsidRPr="00AD6467" w:rsidRDefault="00AD6467" w:rsidP="00AD6467">
      <w:pPr>
        <w:pStyle w:val="ListBullet"/>
      </w:pPr>
      <w:r w:rsidRPr="00AD6467">
        <w:t>Nausea and headache were the only AEs reported with a notable higher % difference (≥ 5%) with STB (nausea: 22.7%/79; headache: 18.1%/63) than with ATR (nausea: 16.2%/57; headache: 13.1%/46).</w:t>
      </w:r>
    </w:p>
    <w:p w:rsidR="00AD6467" w:rsidRPr="00AD6467" w:rsidRDefault="00AD6467" w:rsidP="00AD6467">
      <w:pPr>
        <w:pStyle w:val="ListBullet"/>
      </w:pPr>
      <w:r w:rsidRPr="00AD6467">
        <w:t>AEs with a notable lower % difference (≥ 5%) with STB than with ATR were abnormal dreams (STB 16.1%/56; ATR 28.1%/99), dizziness (STB 7.8%/27; ATR 26.1%/92), and rash (STB 9.5%/33; ATR 14.5%/51).</w:t>
      </w:r>
    </w:p>
    <w:p w:rsidR="007F292F" w:rsidRDefault="00AD6467" w:rsidP="007F292F">
      <w:pPr>
        <w:pStyle w:val="Tabletitle"/>
      </w:pPr>
      <w:r w:rsidRPr="007F292F">
        <w:lastRenderedPageBreak/>
        <w:t>Table 30: GS-US-236-0102: Treatment-</w:t>
      </w:r>
      <w:r w:rsidR="007F292F" w:rsidRPr="007F292F">
        <w:t>emergent adverse events reported for at least 10% of subjects in either treatment group: safety analysis set</w:t>
      </w:r>
    </w:p>
    <w:p w:rsidR="00A8572A" w:rsidRPr="007F292F" w:rsidRDefault="00AD6467" w:rsidP="007F292F">
      <w:r w:rsidRPr="007F292F">
        <w:rPr>
          <w:noProof/>
          <w:lang w:eastAsia="en-AU"/>
        </w:rPr>
        <w:drawing>
          <wp:inline distT="0" distB="0" distL="0" distR="0" wp14:anchorId="4D3473FA" wp14:editId="70522153">
            <wp:extent cx="5638800" cy="3553677"/>
            <wp:effectExtent l="0" t="0" r="0" b="8890"/>
            <wp:docPr id="46" name="Picture 46" descr="Table 30: GS-US-236-0102: Treatment-emergent adverse events reported for at least 10% of subjects in either treatment group: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38800" cy="3553677"/>
                    </a:xfrm>
                    <a:prstGeom prst="rect">
                      <a:avLst/>
                    </a:prstGeom>
                    <a:noFill/>
                    <a:ln>
                      <a:noFill/>
                    </a:ln>
                  </pic:spPr>
                </pic:pic>
              </a:graphicData>
            </a:graphic>
          </wp:inline>
        </w:drawing>
      </w:r>
    </w:p>
    <w:p w:rsidR="00AD6467" w:rsidRPr="00AD6467" w:rsidRDefault="00AD6467" w:rsidP="00AD6467">
      <w:r w:rsidRPr="00AD6467">
        <w:t>Data provided on the severity of AEs showed that in both groups, most were assessed as Grade 1 or 2 and similar % of Grade 3 or 4 AEs were report</w:t>
      </w:r>
      <w:r w:rsidR="006E62FF">
        <w:t>ed: STB 20.1%/70; ATR 16.8%/59.</w:t>
      </w:r>
    </w:p>
    <w:p w:rsidR="00AD6467" w:rsidRPr="00AD6467" w:rsidRDefault="00AD6467" w:rsidP="00AD6467">
      <w:r w:rsidRPr="00AD6467">
        <w:t xml:space="preserve">With STB, these were most frequent in the gastrointestinal (GIT) disorders and infections and infestations SOCs and with ATR, these were most frequent in the GIT </w:t>
      </w:r>
      <w:r w:rsidR="006E62FF">
        <w:t>and psychiatric disorders SOCs.</w:t>
      </w:r>
    </w:p>
    <w:p w:rsidR="00AD6467" w:rsidRPr="00AD6467" w:rsidRDefault="00AD6467" w:rsidP="00AD6467">
      <w:r w:rsidRPr="00AD6467">
        <w:t>For treatment related AEs data showing the following are provided:</w:t>
      </w:r>
    </w:p>
    <w:p w:rsidR="00AD6467" w:rsidRPr="00AD6467" w:rsidRDefault="00AD6467" w:rsidP="006E62FF">
      <w:pPr>
        <w:pStyle w:val="ListBullet"/>
      </w:pPr>
      <w:r w:rsidRPr="00AD6467">
        <w:t>A lower % of subjects with STB (48.9%/170) had AEs assessed as treatment related than with ATR (69.3%/244); AEs in the psychiatric, nervous system and skin disorders SOCs primarily accounted for the higher % with ATR.</w:t>
      </w:r>
    </w:p>
    <w:p w:rsidR="00AD6467" w:rsidRPr="00AD6467" w:rsidRDefault="00AD6467" w:rsidP="006E62FF">
      <w:pPr>
        <w:pStyle w:val="ListBullet"/>
      </w:pPr>
      <w:r w:rsidRPr="00AD6467">
        <w:t>GIT AEs were commonly assessed as treatment related in both groups.</w:t>
      </w:r>
    </w:p>
    <w:p w:rsidR="00AD6467" w:rsidRPr="00AD6467" w:rsidRDefault="00AD6467" w:rsidP="006E62FF">
      <w:pPr>
        <w:pStyle w:val="ListBullet"/>
      </w:pPr>
      <w:r w:rsidRPr="00AD6467">
        <w:t>The most frequently reported treatment related AEs were nausea (16.4%/57), abnormal dreams (14.4%/subjects), and diarrhoea (11.2%/39) with STB and abnormal dreams (27.0%/95), dizziness (20.7%/73) and diarrhoea (11.1%/39) with ATR</w:t>
      </w:r>
      <w:r w:rsidR="006E62FF">
        <w:t>.</w:t>
      </w:r>
    </w:p>
    <w:p w:rsidR="00AD6467" w:rsidRPr="00AD6467" w:rsidRDefault="00AD6467" w:rsidP="00AD6467">
      <w:pPr>
        <w:pStyle w:val="ListBullet"/>
      </w:pPr>
      <w:r w:rsidRPr="00AD6467">
        <w:t>Grade 3 or 4 AEs assessed as treatment related to study were reported in 30 subjects, STB 3.7%/13 and ATR 4.8%/17; there was no pattern of PTs with STB. With ATR, these were mainly psychiatric, nerv</w:t>
      </w:r>
      <w:r w:rsidR="006E62FF">
        <w:t>ous system and skin disorders.</w:t>
      </w:r>
    </w:p>
    <w:p w:rsidR="00AD6467" w:rsidRPr="00346EDA" w:rsidRDefault="00AD6467" w:rsidP="00346EDA">
      <w:r w:rsidRPr="00346EDA">
        <w:t>For the AEs of interest, bone and renal events, key results are summarised as follows. With bone events, 25 fractures (STB: 17/4.9%; ATR: 8/2.3%) were reported. It is indicated that all were trauma related and none were reported to be due to osteop</w:t>
      </w:r>
      <w:r w:rsidR="006E62FF" w:rsidRPr="00346EDA">
        <w:t>orosis or pathologic fractures.</w:t>
      </w:r>
    </w:p>
    <w:p w:rsidR="00AD6467" w:rsidRPr="00346EDA" w:rsidRDefault="00AD6467" w:rsidP="00346EDA">
      <w:r w:rsidRPr="00346EDA">
        <w:t>With STB 11 subjects (3.2%) had a renal SAE reported, discontinued study drug due to a renal AE, and/or had a renal AE of interest. 1 subject (0.3%) with ATR had a renal AE of interest reported. These are summarised as follows:</w:t>
      </w:r>
    </w:p>
    <w:p w:rsidR="00AD6467" w:rsidRPr="00346EDA" w:rsidRDefault="00AD6467" w:rsidP="00346EDA">
      <w:pPr>
        <w:pStyle w:val="ListBullet"/>
      </w:pPr>
      <w:r w:rsidRPr="00346EDA">
        <w:t>1 subject (0.3%) with STB had a renal SAE reported (renal failure).</w:t>
      </w:r>
    </w:p>
    <w:p w:rsidR="006E62FF" w:rsidRPr="00346EDA" w:rsidRDefault="00AD6467" w:rsidP="00346EDA">
      <w:pPr>
        <w:pStyle w:val="ListBullet"/>
      </w:pPr>
      <w:r w:rsidRPr="00346EDA">
        <w:lastRenderedPageBreak/>
        <w:t>8 subjects (2.3%) with STB discontinued due to renal events (renal failure x 3, blood creatinine</w:t>
      </w:r>
      <w:r w:rsidR="00346EDA">
        <w:t xml:space="preserve"> </w:t>
      </w:r>
      <w:r w:rsidR="006E62FF" w:rsidRPr="00346EDA">
        <w:t>increased x 3, Fanconi syndrome acquired x 1, and GFR abnormal x 1 subject.</w:t>
      </w:r>
    </w:p>
    <w:p w:rsidR="006E62FF" w:rsidRPr="00346EDA" w:rsidRDefault="006E62FF" w:rsidP="00346EDA">
      <w:pPr>
        <w:pStyle w:val="ListBullet"/>
      </w:pPr>
      <w:r w:rsidRPr="00346EDA">
        <w:t>Renal AEs of interest were reported for 7 subjects (2.0%) with STB and 1 (0.3%) with ATR (p = 0.037); with STB, these were renal failure x 5, Fanconi syndrome acquired x 1 and acute renal failure x 1. The renal AE reported with ATR was renal failure.</w:t>
      </w:r>
    </w:p>
    <w:p w:rsidR="006E62FF" w:rsidRPr="00346EDA" w:rsidRDefault="006E62FF" w:rsidP="00346EDA">
      <w:pPr>
        <w:pStyle w:val="ListBullet"/>
      </w:pPr>
      <w:r w:rsidRPr="00346EDA">
        <w:t xml:space="preserve">4 subjects (1.1%) with STB had renal AEs and laboratory findings consistent with PRT; these were renal failure </w:t>
      </w:r>
      <w:r w:rsidR="00346EDA">
        <w:t>G</w:t>
      </w:r>
      <w:r w:rsidRPr="00346EDA">
        <w:t xml:space="preserve">rade 3 x 1, Fanconi syndrome x 1 and blood creatinine increased x 2; all were identified prior to </w:t>
      </w:r>
      <w:r w:rsidR="00346EDA">
        <w:t>W</w:t>
      </w:r>
      <w:r w:rsidRPr="00346EDA">
        <w:t xml:space="preserve">eek 48; 2 of the 4 subjects had eGFR &lt; 70 mL/min at screening or baseline; their laboratory findings improved without clinical consequence upon discontinuation of study drug; abnormalities of tubular dysfunction either normalised or returned to baseline in 3 of these subjects, and </w:t>
      </w:r>
      <w:r w:rsidR="00317E78">
        <w:t>Scr</w:t>
      </w:r>
      <w:r w:rsidRPr="00346EDA">
        <w:t xml:space="preserve"> improved in all subjects but did not completely resolve.</w:t>
      </w:r>
    </w:p>
    <w:p w:rsidR="006E62FF" w:rsidRPr="00346EDA" w:rsidRDefault="006E62FF" w:rsidP="00346EDA">
      <w:pPr>
        <w:pStyle w:val="ListBullet"/>
      </w:pPr>
      <w:r w:rsidRPr="00346EDA">
        <w:t>For 7 subjects with STB (acute/renal failure x 5, GFR abnormal x 1, blood creatinine increased x 1) and the 1 subject with ATR (renal failure x 1) the reported renal AEs were not associated with PRT.</w:t>
      </w:r>
    </w:p>
    <w:p w:rsidR="006E62FF" w:rsidRPr="00346EDA" w:rsidRDefault="006E62FF" w:rsidP="00346EDA">
      <w:r w:rsidRPr="00346EDA">
        <w:t>For the important AEs, key results presented for neurological and psychiatric events were:</w:t>
      </w:r>
    </w:p>
    <w:p w:rsidR="006E62FF" w:rsidRPr="00346EDA" w:rsidRDefault="006E62FF" w:rsidP="00346EDA">
      <w:pPr>
        <w:pStyle w:val="ListBullet"/>
      </w:pPr>
      <w:r w:rsidRPr="00346EDA">
        <w:t>A lower % of subjects with STB (50.9%/177) reported any important neurological/ psychiatric than with ATR (67.9%/239): p &lt; 0.001.</w:t>
      </w:r>
    </w:p>
    <w:p w:rsidR="006E62FF" w:rsidRPr="00346EDA" w:rsidRDefault="006E62FF" w:rsidP="00346EDA">
      <w:pPr>
        <w:pStyle w:val="ListBullet"/>
      </w:pPr>
      <w:r w:rsidRPr="00346EDA">
        <w:t>The reported events with ATR were consistent with its known safety profile.</w:t>
      </w:r>
    </w:p>
    <w:p w:rsidR="006E62FF" w:rsidRPr="00346EDA" w:rsidRDefault="006E62FF" w:rsidP="00346EDA">
      <w:pPr>
        <w:pStyle w:val="ListBullet"/>
      </w:pPr>
      <w:r w:rsidRPr="00346EDA">
        <w:t>The most frequently reported AEs were headache (18.1%/63 subjects), abnormal dreams (16.1%/56), and depression (14.9%/52) with STB and abnormal dreams (28.1%/99), dizziness (26.1%/92), and insomnia (17.0%/60) with ATR.</w:t>
      </w:r>
    </w:p>
    <w:p w:rsidR="006E62FF" w:rsidRPr="00346EDA" w:rsidRDefault="006E62FF" w:rsidP="00346EDA">
      <w:pPr>
        <w:pStyle w:val="ListBullet"/>
      </w:pPr>
      <w:r w:rsidRPr="00346EDA">
        <w:t>Most AEs were Grade 1 or Grade 2 in severity.</w:t>
      </w:r>
    </w:p>
    <w:p w:rsidR="006E62FF" w:rsidRPr="00346EDA" w:rsidRDefault="006E62FF" w:rsidP="00346EDA">
      <w:r w:rsidRPr="00346EDA">
        <w:t>Key results presented for rash events are summarised below.</w:t>
      </w:r>
    </w:p>
    <w:p w:rsidR="006E62FF" w:rsidRPr="00346EDA" w:rsidRDefault="006E62FF" w:rsidP="00346EDA">
      <w:pPr>
        <w:pStyle w:val="ListBullet"/>
      </w:pPr>
      <w:r w:rsidRPr="00346EDA">
        <w:t>A lower % of subjects receiving STB (24.7%/86) rep</w:t>
      </w:r>
      <w:r w:rsidR="007F292F">
        <w:t>orted any rash AE than with ATR </w:t>
      </w:r>
      <w:r w:rsidRPr="00346EDA">
        <w:t>(31.8%/112): p = 0.044.</w:t>
      </w:r>
    </w:p>
    <w:p w:rsidR="006E62FF" w:rsidRPr="00346EDA" w:rsidRDefault="006E62FF" w:rsidP="00346EDA">
      <w:pPr>
        <w:pStyle w:val="ListBullet"/>
      </w:pPr>
      <w:r w:rsidRPr="00346EDA">
        <w:t>The most frequently reported were rash (9.5%/33), dermatitis (4.0%/14), and pruritus (2.9%/10) with STB and rash (14.5%/51), dermatitis (5.4%/19), and pruritus (4.0%/14) with ATR.</w:t>
      </w:r>
    </w:p>
    <w:p w:rsidR="006E62FF" w:rsidRDefault="006E62FF" w:rsidP="00346EDA">
      <w:pPr>
        <w:pStyle w:val="ListBullet"/>
      </w:pPr>
      <w:r w:rsidRPr="00346EDA">
        <w:t>Most rash AEs were Grade 1 or 2 in severity.</w:t>
      </w:r>
    </w:p>
    <w:p w:rsidR="00B96D00" w:rsidRPr="00B96D00" w:rsidRDefault="00B96D00" w:rsidP="00B96D00">
      <w:r w:rsidRPr="00B96D00">
        <w:t>There were 6 deaths, 4 (2 in each group) of which were treatment</w:t>
      </w:r>
      <w:r>
        <w:t xml:space="preserve"> </w:t>
      </w:r>
      <w:r w:rsidRPr="00B96D00">
        <w:t>emergent. These were suicide and upper GIT bleed with STB and suicide and metastatic carcinoma with ATR. Only the suicide with ATR was assessed as treatment related.</w:t>
      </w:r>
    </w:p>
    <w:p w:rsidR="00B96D00" w:rsidRPr="00B96D00" w:rsidRDefault="00B96D00" w:rsidP="00B96D00">
      <w:r w:rsidRPr="00B96D00">
        <w:t>Serious AEs (SAEs) were reported for a higher % with STB (STB 19.0%/66) than ATR (12.5%/44). This difference was primarily due to higher numbers in the Infections and Infestations SOC with STB, all of which were assessed as unrelated to study drug. However, all (i</w:t>
      </w:r>
      <w:r>
        <w:t>.</w:t>
      </w:r>
      <w:r w:rsidRPr="00B96D00">
        <w:t>e</w:t>
      </w:r>
      <w:r>
        <w:t>.</w:t>
      </w:r>
      <w:r w:rsidRPr="00B96D00">
        <w:t>, serious and non</w:t>
      </w:r>
      <w:r>
        <w:t>-</w:t>
      </w:r>
      <w:r w:rsidRPr="00B96D00">
        <w:t xml:space="preserve">serious) Infections and Infestations AE % were similar in both groups (STB 77.6%/270; ATR 73.0%/257) suggesting no evidence of increased infection AEs with STB relative to ATR. The most frequently reported SAEs were pneumonia (STB 2.3%/8; ATR 0.6%/2), cellulitis (STB 1.4%/5; ATR 0%), and appendicitis (STB 1.1%/4; ATR 0.3%/1). All other SAEs were reported in &lt; 1% in either group. 5 subjects with STB had SAEs that were AIDS-defining illnesses, 2 in the Infections and Infestations SOC (pulmonary tuberculosis and pneumonia) and 3 in the neoplasms benign, malignant, and unspecified SOC (lymphoma, Burkitt’s lymphoma and Kaposi’s sarcoma). Small numbers of SAEs were assessed as treatment related these comprising 4 subjects (1%) </w:t>
      </w:r>
      <w:r>
        <w:t>with STB and 7 (2.0%) with ATR.</w:t>
      </w:r>
    </w:p>
    <w:p w:rsidR="00B96D00" w:rsidRPr="00B96D00" w:rsidRDefault="00B96D00" w:rsidP="00B96D00">
      <w:r w:rsidRPr="00B96D00">
        <w:lastRenderedPageBreak/>
        <w:t>Discontinuations due to AEs occurred in 47 subjects: STB 6.0%/21; ATR 7.4%/26. AEs leading to discontinuation in &gt; 1 subject were renal failure (3) and blood creatinine increased (3) with STB, and, depression (5), and fatigue, abnormal dreams, anxiety, insomnia, and rash (2 each) with ATR. Renal events resulted in study drug discontinuation for more subjects with STB than ATR (4 v</w:t>
      </w:r>
      <w:r>
        <w:t>ersu</w:t>
      </w:r>
      <w:r w:rsidRPr="00B96D00">
        <w:t>s 0). Neurological and psychiatric AEs, (13 v</w:t>
      </w:r>
      <w:r>
        <w:t>ersu</w:t>
      </w:r>
      <w:r w:rsidRPr="00B96D00">
        <w:t>s 7) and rash (4 v</w:t>
      </w:r>
      <w:r>
        <w:t>ersu</w:t>
      </w:r>
      <w:r w:rsidRPr="00B96D00">
        <w:t>s 0) AEs resulted in discontinuation for more subjects with ATR than STB.</w:t>
      </w:r>
    </w:p>
    <w:p w:rsidR="00B96D00" w:rsidRPr="00B96D00" w:rsidRDefault="00B96D00" w:rsidP="00B96D00">
      <w:pPr>
        <w:pStyle w:val="Heading5"/>
        <w:rPr>
          <w:rFonts w:eastAsiaTheme="minorHAnsi"/>
        </w:rPr>
      </w:pPr>
      <w:r w:rsidRPr="00B96D00">
        <w:rPr>
          <w:rFonts w:eastAsiaTheme="minorHAnsi"/>
        </w:rPr>
        <w:t xml:space="preserve">Clinical </w:t>
      </w:r>
      <w:r w:rsidR="007F292F">
        <w:rPr>
          <w:rFonts w:eastAsiaTheme="minorHAnsi"/>
        </w:rPr>
        <w:t>laboratory evaluations</w:t>
      </w:r>
    </w:p>
    <w:p w:rsidR="00B96D00" w:rsidRPr="00B96D00" w:rsidRDefault="00B96D00" w:rsidP="00B96D00">
      <w:r w:rsidRPr="00B96D00">
        <w:t xml:space="preserve">There were no clinically relevant changes from baseline in median values for haematology and clinical chemistry (excluding renal laboratory and fasting lipid parameters, which are summarised separately) parameters in either group to </w:t>
      </w:r>
      <w:r>
        <w:t>W</w:t>
      </w:r>
      <w:r w:rsidRPr="00B96D00">
        <w:t>eek 144. The majority of subjects had at least 1 treatment</w:t>
      </w:r>
      <w:r>
        <w:t xml:space="preserve"> </w:t>
      </w:r>
      <w:r w:rsidRPr="00B96D00">
        <w:t>emergent laboratory abnormality: STB 97.7%/339; ATR 95.2%/334. The majority were Grade 1 or 2 in severity. Grade 3 or 4 abnormalities were reported at a similar frequency with STB (27.4%/95) and ATR (31.9%/112). Apart from increased creatinine x 3 and liver injury x 1, there were no discontinuations due to abnormal laboratory results. There were 3 reports of increased liver enzyme SAEs.</w:t>
      </w:r>
    </w:p>
    <w:p w:rsidR="00B96D00" w:rsidRPr="00B96D00" w:rsidRDefault="00B96D00" w:rsidP="00F55BAA">
      <w:pPr>
        <w:pStyle w:val="Heading6"/>
        <w:rPr>
          <w:rFonts w:eastAsiaTheme="minorHAnsi"/>
        </w:rPr>
      </w:pPr>
      <w:r w:rsidRPr="00B96D00">
        <w:rPr>
          <w:rFonts w:eastAsiaTheme="minorHAnsi"/>
        </w:rPr>
        <w:t xml:space="preserve">Renal </w:t>
      </w:r>
      <w:r w:rsidR="007F292F">
        <w:rPr>
          <w:rFonts w:eastAsiaTheme="minorHAnsi"/>
        </w:rPr>
        <w:t>laboratory parameters</w:t>
      </w:r>
    </w:p>
    <w:p w:rsidR="00B96D00" w:rsidRPr="00B96D00" w:rsidRDefault="00B96D00" w:rsidP="00B96D00">
      <w:pPr>
        <w:pStyle w:val="ListBullet"/>
      </w:pPr>
      <w:r w:rsidRPr="00B96D00">
        <w:t xml:space="preserve">Creatinine: Increases in median Scr of 0.08 mg/dL with STB were noted by </w:t>
      </w:r>
      <w:r>
        <w:t>W</w:t>
      </w:r>
      <w:r w:rsidRPr="00B96D00">
        <w:t xml:space="preserve">eek 2 from a baseline median of 0.96 mg/dL after which they generally stabilised. The median change from baseline at </w:t>
      </w:r>
      <w:r>
        <w:t>W</w:t>
      </w:r>
      <w:r w:rsidRPr="00B96D00">
        <w:t>eek 144 was 0.14 mg/dL. There were no notable changes from baseline for Scr with ATR. Treatment</w:t>
      </w:r>
      <w:r>
        <w:t xml:space="preserve"> </w:t>
      </w:r>
      <w:r w:rsidRPr="00B96D00">
        <w:t xml:space="preserve">emergent graded Scr abnormalities were reported for a higher % with STB (14.7%/51) than ATR (1.7%/6). With STB 50/51 subjects had </w:t>
      </w:r>
      <w:r>
        <w:t>G</w:t>
      </w:r>
      <w:r w:rsidRPr="00B96D00">
        <w:t xml:space="preserve">rade 1 or 2 abnormalities. The remaining subject had a </w:t>
      </w:r>
      <w:r>
        <w:t>G</w:t>
      </w:r>
      <w:r w:rsidRPr="00B96D00">
        <w:t>rade 3 abnormality and discontinued.</w:t>
      </w:r>
    </w:p>
    <w:p w:rsidR="00B96D00" w:rsidRPr="00B96D00" w:rsidRDefault="00B96D00" w:rsidP="00B96D00">
      <w:pPr>
        <w:pStyle w:val="ListBullet"/>
      </w:pPr>
      <w:r w:rsidRPr="00B96D00">
        <w:t>Phosphorus: Median serum phosphorus was in the norma</w:t>
      </w:r>
      <w:r w:rsidR="00F55BAA">
        <w:t xml:space="preserve">l range in the study. Treatment </w:t>
      </w:r>
      <w:r w:rsidRPr="00B96D00">
        <w:t xml:space="preserve">emergent hypophosphatemia was reported in 36 (10.4%) with STB and 23 (6.6%) with ATR. All were </w:t>
      </w:r>
      <w:r w:rsidR="00F55BAA">
        <w:t>G</w:t>
      </w:r>
      <w:r w:rsidRPr="00B96D00">
        <w:t xml:space="preserve">rade 1 or 2 except for 2 subjects with STB who had </w:t>
      </w:r>
      <w:r w:rsidR="00F55BAA">
        <w:t>G</w:t>
      </w:r>
      <w:r w:rsidRPr="00B96D00">
        <w:t>rade 3 and in these values normalised.</w:t>
      </w:r>
    </w:p>
    <w:p w:rsidR="00B96D00" w:rsidRPr="00B96D00" w:rsidRDefault="00B96D00" w:rsidP="00B96D00">
      <w:pPr>
        <w:pStyle w:val="ListBullet"/>
      </w:pPr>
      <w:r w:rsidRPr="00B96D00">
        <w:t>Estimated Glomerular Filtration Rate: Decreases -10.1 mL/min in median values for eGFR</w:t>
      </w:r>
      <w:r w:rsidRPr="00F55BAA">
        <w:rPr>
          <w:vertAlign w:val="subscript"/>
        </w:rPr>
        <w:t>CG</w:t>
      </w:r>
      <w:r w:rsidRPr="00B96D00">
        <w:t xml:space="preserve"> </w:t>
      </w:r>
      <w:r w:rsidR="00F55BAA">
        <w:t>with STB were noted by W</w:t>
      </w:r>
      <w:r w:rsidRPr="00B96D00">
        <w:t xml:space="preserve">eek 2 from the baseline median of 114.6 mL/min after which they generally stabilised. The median change from baseline at </w:t>
      </w:r>
      <w:r w:rsidR="00F55BAA">
        <w:t>W</w:t>
      </w:r>
      <w:r w:rsidRPr="00B96D00">
        <w:t>eek 144 was -15.7 mL/min. Median values remained within the normal range. There were no notable changes from baseline for eGFR</w:t>
      </w:r>
      <w:r w:rsidRPr="00F55BAA">
        <w:rPr>
          <w:vertAlign w:val="subscript"/>
        </w:rPr>
        <w:t>CG</w:t>
      </w:r>
      <w:r w:rsidRPr="00B96D00">
        <w:t xml:space="preserve"> with ATR. Results for eGFR</w:t>
      </w:r>
      <w:r w:rsidRPr="00F55BAA">
        <w:rPr>
          <w:vertAlign w:val="subscript"/>
        </w:rPr>
        <w:t>MDRD</w:t>
      </w:r>
      <w:r w:rsidRPr="00B96D00">
        <w:t xml:space="preserve"> were consistent with those for eGFR</w:t>
      </w:r>
      <w:r w:rsidRPr="00F55BAA">
        <w:rPr>
          <w:vertAlign w:val="subscript"/>
        </w:rPr>
        <w:t>CG</w:t>
      </w:r>
      <w:r w:rsidRPr="00B96D00">
        <w:t>.</w:t>
      </w:r>
    </w:p>
    <w:p w:rsidR="00B96D00" w:rsidRPr="00B96D00" w:rsidRDefault="00B96D00" w:rsidP="00B96D00">
      <w:pPr>
        <w:pStyle w:val="ListBullet"/>
      </w:pPr>
      <w:r w:rsidRPr="00B96D00">
        <w:t>Glycosuria: This was observed for a small % of subjects in both groups: STB 3.5%/12; ATR 2.0%/7. Grade 3 abnormalities were reported for 5 subjects (1.4%) with STB and for 5 (1.4%) with ATR. These subjects also had glycosuria at baseline.</w:t>
      </w:r>
    </w:p>
    <w:p w:rsidR="00B96D00" w:rsidRDefault="00B96D00" w:rsidP="007F292F">
      <w:pPr>
        <w:pStyle w:val="ListBullet"/>
      </w:pPr>
      <w:r w:rsidRPr="00B96D00">
        <w:t>Proteinuria: Treatment</w:t>
      </w:r>
      <w:r w:rsidR="00F55BAA">
        <w:t xml:space="preserve"> </w:t>
      </w:r>
      <w:r w:rsidRPr="00B96D00">
        <w:t xml:space="preserve">emergent proteinuria was reported for a higher % of subjects with STB (53.9%/18) than ATR (40.7%/143). All were </w:t>
      </w:r>
      <w:r w:rsidR="00F55BAA">
        <w:t>G</w:t>
      </w:r>
      <w:r w:rsidRPr="00B96D00">
        <w:t>rade 1 or 2 in severity except for 1 subject with STB group who had x 1 Grade 3 at a single visit. Results of other analyses taking into account the presence of baseline proteinuria did not reveal any clinically relevant between group differences. Abnormalities in individual patients were general</w:t>
      </w:r>
      <w:r w:rsidR="007F292F">
        <w:t>ly isolated and transient.</w:t>
      </w:r>
    </w:p>
    <w:p w:rsidR="00F55BAA" w:rsidRDefault="00F55BAA" w:rsidP="00F55BAA">
      <w:pPr>
        <w:pStyle w:val="Heading6"/>
        <w:rPr>
          <w:rFonts w:eastAsiaTheme="minorHAnsi"/>
        </w:rPr>
      </w:pPr>
      <w:r w:rsidRPr="00F55BAA">
        <w:rPr>
          <w:rFonts w:eastAsiaTheme="minorHAnsi"/>
        </w:rPr>
        <w:t xml:space="preserve">Fasting </w:t>
      </w:r>
      <w:r w:rsidR="007F292F" w:rsidRPr="00F55BAA">
        <w:rPr>
          <w:rFonts w:eastAsiaTheme="minorHAnsi"/>
        </w:rPr>
        <w:t>glucose and lipid parameters</w:t>
      </w:r>
    </w:p>
    <w:p w:rsidR="00F55BAA" w:rsidRPr="00F55BAA" w:rsidRDefault="00F55BAA" w:rsidP="00F55BAA">
      <w:r w:rsidRPr="00F55BAA">
        <w:t>Data are provided showing that increases from baseline in fasting total cholesterol, LDL cholesterol, and HDL cholesterol were lower with STB than ATR. These were seen by Week 24 and were sustained up to Week 144. The difference in the changes for cholesterol, LDL cholesterol and HDL cholesterol between STB and ATR were statistically significant. There were no clinically relevant changes from baseline through Week 144 for fasting glucose in either group. Mean values for each fasting metabolic laboratory analyte remained in the normal range in both groups. Abnormalities in individual patients were generally isolated and transient.</w:t>
      </w:r>
    </w:p>
    <w:p w:rsidR="00F55BAA" w:rsidRDefault="00F55BAA" w:rsidP="00F55BAA">
      <w:pPr>
        <w:pStyle w:val="Heading6"/>
      </w:pPr>
      <w:r w:rsidRPr="00F55BAA">
        <w:rPr>
          <w:rFonts w:eastAsiaTheme="minorHAnsi"/>
        </w:rPr>
        <w:lastRenderedPageBreak/>
        <w:t>Liver</w:t>
      </w:r>
      <w:r>
        <w:rPr>
          <w:rFonts w:eastAsiaTheme="minorHAnsi"/>
        </w:rPr>
        <w:t xml:space="preserve"> </w:t>
      </w:r>
      <w:r w:rsidR="007F292F" w:rsidRPr="00F55BAA">
        <w:rPr>
          <w:rFonts w:eastAsiaTheme="minorHAnsi"/>
        </w:rPr>
        <w:t>related laboratory tests</w:t>
      </w:r>
    </w:p>
    <w:p w:rsidR="00F55BAA" w:rsidRPr="00F55BAA" w:rsidRDefault="00F55BAA" w:rsidP="00F55BAA">
      <w:r w:rsidRPr="00F55BAA">
        <w:t>Lower % of subjects with STB (8.9%; 31/347) than ATR (16.5%; 58/351) had alanine aminotransferase (ALT) or aspartate aminotransferase (AST) elevations at least x 3 ULN. Total bilirubin elevations were higher % with STB (6.6%; 23/347) than ATR (1.7%; 6/351). Those with significant liver function test abnormalities generally had concurrent underlying hepatic disease. 3 subjects with STB and 1 with ATR had elevations in AST or ALT &gt; 3 times the ULN along with elevations of total bilirubin &gt; 2 times the ULN. All had alternative aetiologies for the hepatic laboratory abnormalities and no Hy’s law cases were identified.</w:t>
      </w:r>
    </w:p>
    <w:p w:rsidR="00F55BAA" w:rsidRPr="00F55BAA" w:rsidRDefault="00F55BAA" w:rsidP="00F55BAA">
      <w:pPr>
        <w:pStyle w:val="Heading5"/>
        <w:rPr>
          <w:rFonts w:eastAsiaTheme="minorHAnsi"/>
        </w:rPr>
      </w:pPr>
      <w:r>
        <w:t xml:space="preserve">Body </w:t>
      </w:r>
      <w:r w:rsidR="007F292F">
        <w:t>w</w:t>
      </w:r>
      <w:r>
        <w:t>eight</w:t>
      </w:r>
    </w:p>
    <w:p w:rsidR="00F55BAA" w:rsidRPr="00F55BAA" w:rsidRDefault="00F55BAA" w:rsidP="00F55BAA">
      <w:r w:rsidRPr="00F55BAA">
        <w:t>There were no clinically relevant changes from baseline in</w:t>
      </w:r>
      <w:r>
        <w:t xml:space="preserve"> median values for body weight.</w:t>
      </w:r>
    </w:p>
    <w:p w:rsidR="00F55BAA" w:rsidRPr="00F55BAA" w:rsidRDefault="00F55BAA" w:rsidP="00F55BAA">
      <w:pPr>
        <w:pStyle w:val="Heading5"/>
        <w:rPr>
          <w:rFonts w:eastAsiaTheme="minorHAnsi"/>
        </w:rPr>
      </w:pPr>
      <w:r w:rsidRPr="00F55BAA">
        <w:rPr>
          <w:rFonts w:eastAsiaTheme="minorHAnsi"/>
        </w:rPr>
        <w:t>Electrocardiogram</w:t>
      </w:r>
    </w:p>
    <w:p w:rsidR="00F55BAA" w:rsidRPr="00F55BAA" w:rsidRDefault="00F55BAA" w:rsidP="00F55BAA">
      <w:r w:rsidRPr="00F55BAA">
        <w:t>There were no notable differences between treatment groups in the % of subjects with ECG abnormalities. Clinically significant abnormalities were reported for 6 subjects up to</w:t>
      </w:r>
      <w:r>
        <w:t xml:space="preserve"> W</w:t>
      </w:r>
      <w:r w:rsidRPr="00F55BAA">
        <w:t>eek 144, 4 with STB and 2 with ATR. 2 with STB had baseline abnormalities. None were assessed as treatment related.</w:t>
      </w:r>
    </w:p>
    <w:p w:rsidR="00F55BAA" w:rsidRPr="00F55BAA" w:rsidRDefault="00F55BAA" w:rsidP="00F55BAA">
      <w:r w:rsidRPr="00F55BAA">
        <w:t>The sponsor concluded that:</w:t>
      </w:r>
    </w:p>
    <w:p w:rsidR="00F55BAA" w:rsidRPr="00F55BAA" w:rsidRDefault="00F55BAA" w:rsidP="00F55BAA">
      <w:pPr>
        <w:pStyle w:val="ListBullet"/>
      </w:pPr>
      <w:r w:rsidRPr="00F55BAA">
        <w:t>STB and ATR were generally well tolerated as demonstrated by the low % of subjects who had SAEs or who discontinued study due to AEs. Notable safety findings were:</w:t>
      </w:r>
    </w:p>
    <w:p w:rsidR="00F55BAA" w:rsidRPr="00F55BAA" w:rsidRDefault="00F55BAA" w:rsidP="007C1172">
      <w:pPr>
        <w:pStyle w:val="ListBullet2"/>
      </w:pPr>
      <w:r w:rsidRPr="00F55BAA">
        <w:t>A lower % of subjects with STB than ATR reported neurological and psychiatric AEs and skin rash; these AEs resulted in more subjects with ATR that with STB discontinuing study drug.</w:t>
      </w:r>
    </w:p>
    <w:p w:rsidR="00F55BAA" w:rsidRPr="00F55BAA" w:rsidRDefault="00F55BAA" w:rsidP="007C1172">
      <w:pPr>
        <w:pStyle w:val="ListBullet2"/>
      </w:pPr>
      <w:r w:rsidRPr="00F55BAA">
        <w:t>Increases from baseline in fasting total cholesterol, LDL cholesterol, and HDL cholesterol were lower with STB than ATR.</w:t>
      </w:r>
    </w:p>
    <w:p w:rsidR="00F55BAA" w:rsidRPr="00F55BAA" w:rsidRDefault="00F55BAA" w:rsidP="007C1172">
      <w:pPr>
        <w:pStyle w:val="ListBullet2"/>
      </w:pPr>
      <w:r w:rsidRPr="00F55BAA">
        <w:t>Renal AEs observed with STB were consistent with previous experience with TDF.</w:t>
      </w:r>
    </w:p>
    <w:p w:rsidR="00F55BAA" w:rsidRPr="00F55BAA" w:rsidRDefault="00F55BAA" w:rsidP="007C1172">
      <w:pPr>
        <w:pStyle w:val="ListBullet2"/>
      </w:pPr>
      <w:r w:rsidRPr="00F55BAA">
        <w:t>Changes from baseline in Scr and eGFR</w:t>
      </w:r>
      <w:r w:rsidRPr="007C1172">
        <w:rPr>
          <w:vertAlign w:val="subscript"/>
        </w:rPr>
        <w:t>CG</w:t>
      </w:r>
      <w:r w:rsidRPr="00F55BAA">
        <w:t xml:space="preserve"> seen by </w:t>
      </w:r>
      <w:r w:rsidR="007C1172">
        <w:t>W</w:t>
      </w:r>
      <w:r w:rsidRPr="00F55BAA">
        <w:t xml:space="preserve">eek 2 and stabilising up to </w:t>
      </w:r>
      <w:r w:rsidR="007C1172">
        <w:t>W</w:t>
      </w:r>
      <w:r w:rsidRPr="00F55BAA">
        <w:t>eek 144 were consistent with the inhibitory effect of COBI on renal tubular creatinine secretion.</w:t>
      </w:r>
    </w:p>
    <w:p w:rsidR="00F55BAA" w:rsidRPr="00F55BAA" w:rsidRDefault="007F292F" w:rsidP="007F292F">
      <w:pPr>
        <w:pStyle w:val="Comment"/>
      </w:pPr>
      <w:r w:rsidRPr="007F292F">
        <w:rPr>
          <w:b/>
        </w:rPr>
        <w:t>C</w:t>
      </w:r>
      <w:r w:rsidR="00F55BAA" w:rsidRPr="007F292F">
        <w:rPr>
          <w:b/>
        </w:rPr>
        <w:t>omment</w:t>
      </w:r>
      <w:r w:rsidRPr="007F292F">
        <w:rPr>
          <w:b/>
        </w:rPr>
        <w:t>:</w:t>
      </w:r>
      <w:r>
        <w:t xml:space="preserve"> </w:t>
      </w:r>
      <w:r w:rsidR="00F55BAA" w:rsidRPr="00F55BAA">
        <w:t>The sponsor’s conclusions are accepted.</w:t>
      </w:r>
    </w:p>
    <w:p w:rsidR="00F55BAA" w:rsidRPr="00F55BAA" w:rsidRDefault="00F55BAA" w:rsidP="007C1172">
      <w:pPr>
        <w:pStyle w:val="Heading3"/>
        <w:rPr>
          <w:rFonts w:eastAsiaTheme="minorHAnsi"/>
        </w:rPr>
      </w:pPr>
      <w:bookmarkStart w:id="32" w:name="_Toc481586182"/>
      <w:r w:rsidRPr="00F55BAA">
        <w:rPr>
          <w:rFonts w:eastAsiaTheme="minorHAnsi"/>
        </w:rPr>
        <w:t>GS-US-236-0103</w:t>
      </w:r>
      <w:bookmarkEnd w:id="32"/>
    </w:p>
    <w:p w:rsidR="00F55BAA" w:rsidRPr="00F55BAA" w:rsidRDefault="00F55BAA" w:rsidP="007C1172">
      <w:pPr>
        <w:pStyle w:val="Heading4"/>
      </w:pPr>
      <w:r w:rsidRPr="00F55BAA">
        <w:t xml:space="preserve">Safety </w:t>
      </w:r>
      <w:r w:rsidR="007F292F">
        <w:t>a</w:t>
      </w:r>
      <w:r w:rsidRPr="00F55BAA">
        <w:t>nalysis</w:t>
      </w:r>
    </w:p>
    <w:p w:rsidR="00F55BAA" w:rsidRPr="00F55BAA" w:rsidRDefault="00F55BAA" w:rsidP="00F55BAA">
      <w:r w:rsidRPr="00F55BAA">
        <w:t xml:space="preserve">This analysis was essentially the same as that undertaken in </w:t>
      </w:r>
      <w:r w:rsidR="007C1172">
        <w:t>S</w:t>
      </w:r>
      <w:r w:rsidRPr="00F55BAA">
        <w:t>tudy GS-US-236-0102</w:t>
      </w:r>
      <w:r w:rsidR="007C1172">
        <w:t xml:space="preserve"> as</w:t>
      </w:r>
      <w:r w:rsidRPr="00F55BAA">
        <w:t xml:space="preserve"> is described in section 6.2 above. There were several differences as follows:</w:t>
      </w:r>
    </w:p>
    <w:p w:rsidR="00F55BAA" w:rsidRPr="00F55BAA" w:rsidRDefault="00F55BAA" w:rsidP="007C1172">
      <w:pPr>
        <w:pStyle w:val="ListBullet"/>
      </w:pPr>
      <w:r w:rsidRPr="00F55BAA">
        <w:t>Important treatment</w:t>
      </w:r>
      <w:r w:rsidR="007C1172">
        <w:t xml:space="preserve"> </w:t>
      </w:r>
      <w:r w:rsidRPr="00F55BAA">
        <w:t>emergent AEs comprised only rash events.</w:t>
      </w:r>
    </w:p>
    <w:p w:rsidR="00F55BAA" w:rsidRPr="00F55BAA" w:rsidRDefault="00F55BAA" w:rsidP="007C1172">
      <w:pPr>
        <w:pStyle w:val="ListBullet"/>
      </w:pPr>
      <w:r w:rsidRPr="00F55BAA">
        <w:t>There was a DEXA sub</w:t>
      </w:r>
      <w:r w:rsidR="007C1172">
        <w:t>-</w:t>
      </w:r>
      <w:r w:rsidRPr="00F55BAA">
        <w:t>study which included subjects who had non missing hip or spine bone mineral density (BMD) for the baseline and at least 1 post baseline visit; for those in the sub</w:t>
      </w:r>
      <w:r w:rsidR="007C1172">
        <w:t>-</w:t>
      </w:r>
      <w:r w:rsidRPr="00F55BAA">
        <w:t xml:space="preserve">study, DEXA scans of the spine and hip were performed at baseline and at </w:t>
      </w:r>
      <w:r w:rsidR="007C1172">
        <w:t>W</w:t>
      </w:r>
      <w:r w:rsidRPr="00F55BAA">
        <w:t>eeks 24, 48, 96, and 144 (and at early study drug discontinuation visit, if applicable) to measure changes from baseline in BMD.</w:t>
      </w:r>
    </w:p>
    <w:p w:rsidR="00F55BAA" w:rsidRPr="00F55BAA" w:rsidRDefault="00F55BAA" w:rsidP="007C1172">
      <w:pPr>
        <w:pStyle w:val="Heading4"/>
      </w:pPr>
      <w:r w:rsidRPr="00F55BAA">
        <w:t xml:space="preserve">Safety </w:t>
      </w:r>
      <w:r w:rsidR="007F292F">
        <w:t>r</w:t>
      </w:r>
      <w:r w:rsidRPr="00F55BAA">
        <w:t>esults</w:t>
      </w:r>
    </w:p>
    <w:p w:rsidR="00F55BAA" w:rsidRPr="00F55BAA" w:rsidRDefault="00F55BAA" w:rsidP="00F55BAA">
      <w:r w:rsidRPr="00F55BAA">
        <w:t>The SAS comprised 708 subjects, 353 receiving STB and 355 receiving ATV/r</w:t>
      </w:r>
      <w:r w:rsidR="007C1172">
        <w:t xml:space="preserve"> </w:t>
      </w:r>
      <w:r w:rsidRPr="00F55BAA">
        <w:t>+</w:t>
      </w:r>
      <w:r w:rsidR="007C1172">
        <w:t xml:space="preserve"> </w:t>
      </w:r>
      <w:r w:rsidRPr="00F55BAA">
        <w:t>TVD. Data provided showed that the median duration of exposure to study drug was 145.3 weeks with STB and 144.9 weeks with ATV/r</w:t>
      </w:r>
      <w:r w:rsidR="007C1172">
        <w:t xml:space="preserve"> </w:t>
      </w:r>
      <w:r w:rsidRPr="00F55BAA">
        <w:t>+</w:t>
      </w:r>
      <w:r w:rsidR="007C1172">
        <w:t xml:space="preserve"> </w:t>
      </w:r>
      <w:r w:rsidRPr="00F55BAA">
        <w:t>TVD. The majority received study drug for ≥</w:t>
      </w:r>
      <w:r w:rsidR="007C1172">
        <w:t xml:space="preserve"> </w:t>
      </w:r>
      <w:r w:rsidRPr="00F55BAA">
        <w:t>144 weeks: STB: 70.3%/248; ATV/r</w:t>
      </w:r>
      <w:r w:rsidR="007C1172">
        <w:t xml:space="preserve"> </w:t>
      </w:r>
      <w:r w:rsidRPr="00F55BAA">
        <w:t>+</w:t>
      </w:r>
      <w:r w:rsidR="007C1172">
        <w:t xml:space="preserve"> </w:t>
      </w:r>
      <w:r w:rsidRPr="00F55BAA">
        <w:t>TVD: 66.5%/236. A summary of the data provided by the sponsor is presented below.</w:t>
      </w:r>
    </w:p>
    <w:p w:rsidR="007C1172" w:rsidRPr="007C1172" w:rsidRDefault="007C1172" w:rsidP="007C1172">
      <w:pPr>
        <w:pStyle w:val="Heading5"/>
        <w:rPr>
          <w:rFonts w:eastAsiaTheme="minorHAnsi"/>
        </w:rPr>
      </w:pPr>
      <w:r w:rsidRPr="007C1172">
        <w:rPr>
          <w:rFonts w:eastAsiaTheme="minorHAnsi"/>
        </w:rPr>
        <w:lastRenderedPageBreak/>
        <w:t>Adverse events</w:t>
      </w:r>
    </w:p>
    <w:p w:rsidR="007C1172" w:rsidRPr="007C1172" w:rsidRDefault="007C1172" w:rsidP="007C1172">
      <w:r w:rsidRPr="007C1172">
        <w:t>Similar % of subjects reported any AE with STB (97.2%/343) and ATV/r</w:t>
      </w:r>
      <w:r>
        <w:t xml:space="preserve"> </w:t>
      </w:r>
      <w:r w:rsidRPr="007C1172">
        <w:t>+</w:t>
      </w:r>
      <w:r>
        <w:t xml:space="preserve"> </w:t>
      </w:r>
      <w:r w:rsidRPr="007C1172">
        <w:t>TVD (97.7%/347). A summary of AEs is presented in the table below. Of note, there were fewer subjects who experienced an AE assessed as treatment related.</w:t>
      </w:r>
    </w:p>
    <w:p w:rsidR="007F292F" w:rsidRDefault="007C1172" w:rsidP="007C1172">
      <w:pPr>
        <w:pStyle w:val="Tabletitle"/>
        <w:keepLines/>
      </w:pPr>
      <w:r w:rsidRPr="007C1172">
        <w:t xml:space="preserve">Table 31: GS-US-236-0103: Overall </w:t>
      </w:r>
      <w:r w:rsidR="00D23B58">
        <w:t xml:space="preserve">summary of treatment </w:t>
      </w:r>
      <w:r w:rsidR="007F292F" w:rsidRPr="007C1172">
        <w:t>emergent adverse events: safety analysis set</w:t>
      </w:r>
    </w:p>
    <w:p w:rsidR="007C1172" w:rsidRDefault="007C1172" w:rsidP="007F292F">
      <w:r w:rsidRPr="007F292F">
        <w:rPr>
          <w:noProof/>
          <w:lang w:eastAsia="en-AU"/>
        </w:rPr>
        <w:drawing>
          <wp:inline distT="0" distB="0" distL="0" distR="0" wp14:anchorId="19D54F63" wp14:editId="2753418A">
            <wp:extent cx="5743575" cy="3016719"/>
            <wp:effectExtent l="0" t="0" r="0" b="0"/>
            <wp:docPr id="47" name="Picture 47" descr="Table 31: GS-US-236-0103: Overall summary of treatment-emergent adverse event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43575" cy="3016719"/>
                    </a:xfrm>
                    <a:prstGeom prst="rect">
                      <a:avLst/>
                    </a:prstGeom>
                    <a:noFill/>
                    <a:ln>
                      <a:noFill/>
                    </a:ln>
                  </pic:spPr>
                </pic:pic>
              </a:graphicData>
            </a:graphic>
          </wp:inline>
        </w:drawing>
      </w:r>
    </w:p>
    <w:p w:rsidR="007C1172" w:rsidRPr="007C1172" w:rsidRDefault="007C1172" w:rsidP="007C1172">
      <w:r w:rsidRPr="007C1172">
        <w:t>Frequent AEs were consistent with those expected in the subject population and the known safety profiles of study drugs. The most frequently reported were diarrhoea (STB 27.2%/96; ATV/r</w:t>
      </w:r>
      <w:r>
        <w:t xml:space="preserve"> </w:t>
      </w:r>
      <w:r w:rsidRPr="007C1172">
        <w:t>+</w:t>
      </w:r>
      <w:r>
        <w:t xml:space="preserve"> </w:t>
      </w:r>
      <w:r w:rsidRPr="007C1172">
        <w:t>TVD 33.2%/118), URTI (STB 23.5%/83; ATV/r</w:t>
      </w:r>
      <w:r>
        <w:t xml:space="preserve"> </w:t>
      </w:r>
      <w:r w:rsidRPr="007C1172">
        <w:t>+</w:t>
      </w:r>
      <w:r>
        <w:t xml:space="preserve"> </w:t>
      </w:r>
      <w:r w:rsidRPr="007C1172">
        <w:t>TVD 25.6%/91) and nausea (STB 21.8%/77; ATV/r</w:t>
      </w:r>
      <w:r>
        <w:t xml:space="preserve"> </w:t>
      </w:r>
      <w:r w:rsidRPr="007C1172">
        <w:t>+</w:t>
      </w:r>
      <w:r>
        <w:t xml:space="preserve"> </w:t>
      </w:r>
      <w:r w:rsidRPr="007C1172">
        <w:t>TVD 22.0%/78). Among the events reported for at least 10% of subjects in either treatment group, the only AE with a notable between group difference was ocular icterus: STB 0.6%/2; ATV/r</w:t>
      </w:r>
      <w:r>
        <w:t xml:space="preserve"> </w:t>
      </w:r>
      <w:r w:rsidRPr="007C1172">
        <w:t>+</w:t>
      </w:r>
      <w:r>
        <w:t xml:space="preserve"> </w:t>
      </w:r>
      <w:r w:rsidRPr="007C1172">
        <w:t>TVD 14.6%/52.</w:t>
      </w:r>
    </w:p>
    <w:p w:rsidR="007C1172" w:rsidRPr="007C1172" w:rsidRDefault="007C1172" w:rsidP="007C1172">
      <w:r w:rsidRPr="007C1172">
        <w:t xml:space="preserve">Most AEs reported in each group were </w:t>
      </w:r>
      <w:r>
        <w:t>G</w:t>
      </w:r>
      <w:r w:rsidRPr="007C1172">
        <w:t>rade 1 or 2 in severity. A slightly lower % with STB (19.3%/68) reported any Grade 3 or 4 AE than with ATV/r</w:t>
      </w:r>
      <w:r>
        <w:t xml:space="preserve"> </w:t>
      </w:r>
      <w:r w:rsidRPr="007C1172">
        <w:t>+</w:t>
      </w:r>
      <w:r>
        <w:t xml:space="preserve"> </w:t>
      </w:r>
      <w:r w:rsidRPr="007C1172">
        <w:t>TVD 22.0%/78. Grade 3 or 4 AEs reported for ≥ 1% in either group were depression, fatigue, diarrhoea, abdominal pain and blood creatine phosphokinase (CPK) increased; the maximum % in either group was 1.7% of subjects reporting abdominal pain with ATV/r</w:t>
      </w:r>
      <w:r>
        <w:t xml:space="preserve"> </w:t>
      </w:r>
      <w:r w:rsidRPr="007C1172">
        <w:t>+</w:t>
      </w:r>
      <w:r>
        <w:t xml:space="preserve"> </w:t>
      </w:r>
      <w:r w:rsidRPr="007C1172">
        <w:t>TVD. Grade 3 or 4 AEs were assessed as treatment related in 29 subjects (STB 3.1%/11; ATV/r</w:t>
      </w:r>
      <w:r>
        <w:t xml:space="preserve"> </w:t>
      </w:r>
      <w:r w:rsidRPr="007C1172">
        <w:t>+</w:t>
      </w:r>
      <w:r>
        <w:t xml:space="preserve"> </w:t>
      </w:r>
      <w:r w:rsidRPr="007C1172">
        <w:t>TVD 5.1%/18).</w:t>
      </w:r>
    </w:p>
    <w:p w:rsidR="007C1172" w:rsidRPr="007C1172" w:rsidRDefault="007C1172" w:rsidP="007C1172">
      <w:r w:rsidRPr="007C1172">
        <w:t>A lower % with STB (46.7%/165) reported any AE assessed as treatment related than with ATV/r</w:t>
      </w:r>
      <w:r>
        <w:t xml:space="preserve"> </w:t>
      </w:r>
      <w:r w:rsidRPr="007C1172">
        <w:t>+</w:t>
      </w:r>
      <w:r>
        <w:t xml:space="preserve"> </w:t>
      </w:r>
      <w:r w:rsidRPr="007C1172">
        <w:t>TVD (61.1%/217). The most frequently reported AEs assessed as treatment related were nausea (15.0%/53), diarrhoea (13.0%/46) and headache (7.1%/25) with STB and diarrhoea (16.9%/60), nausea (13.5%/48) and ocular icterus (13.2%/47 subjects) with ATV/r</w:t>
      </w:r>
      <w:r>
        <w:t xml:space="preserve"> </w:t>
      </w:r>
      <w:r w:rsidRPr="007C1172">
        <w:t>+</w:t>
      </w:r>
      <w:r>
        <w:t xml:space="preserve"> </w:t>
      </w:r>
      <w:r w:rsidRPr="007C1172">
        <w:t>TVD. Treatment related AEs with a notable between group difference (≥ 5%) and a lower % with STB were ocular icterus, jaundice and flatulence; there were no ≥ 5% higher AEs reported with STB.</w:t>
      </w:r>
    </w:p>
    <w:p w:rsidR="007C1172" w:rsidRPr="007C1172" w:rsidRDefault="007C1172" w:rsidP="007C1172">
      <w:r w:rsidRPr="007C1172">
        <w:t>Information on AEs of interest is as follows. 8 subjects (2.3%) with STB and 9 (2.5%) with ATV/r</w:t>
      </w:r>
      <w:r>
        <w:t xml:space="preserve"> </w:t>
      </w:r>
      <w:r w:rsidRPr="007C1172">
        <w:t>+</w:t>
      </w:r>
      <w:r>
        <w:t xml:space="preserve"> </w:t>
      </w:r>
      <w:r w:rsidRPr="007C1172">
        <w:t>TVD discontinued due to a renal event or had a pre</w:t>
      </w:r>
      <w:r>
        <w:t>-</w:t>
      </w:r>
      <w:r w:rsidRPr="007C1172">
        <w:t>specified renal AE of interest. With STB, these were increased blood creatinine x 2, renal failure x 3, acute renal failure x 2 and chronic renal failure x 1. With ATV/r</w:t>
      </w:r>
      <w:r>
        <w:t xml:space="preserve"> </w:t>
      </w:r>
      <w:r w:rsidRPr="007C1172">
        <w:t>+</w:t>
      </w:r>
      <w:r>
        <w:t xml:space="preserve"> </w:t>
      </w:r>
      <w:r w:rsidRPr="007C1172">
        <w:t xml:space="preserve">TVD, these were toxic nephropathy x 2, increased blood creatinine x 2, and decreased renal creatinine clearance, hypophosphatemia, acquired Fanconi syndrome, decreased GFR and renal failure in 1. 5 subjects (1.4%) with STB and 8 (2.3%) with </w:t>
      </w:r>
      <w:r w:rsidRPr="007C1172">
        <w:lastRenderedPageBreak/>
        <w:t>ATV/r</w:t>
      </w:r>
      <w:r>
        <w:t xml:space="preserve"> </w:t>
      </w:r>
      <w:r w:rsidRPr="007C1172">
        <w:t>+</w:t>
      </w:r>
      <w:r>
        <w:t xml:space="preserve"> </w:t>
      </w:r>
      <w:r w:rsidRPr="007C1172">
        <w:t>TVD discontinued due to a renal event or AE of interest. For 3 subjects with ATV/r</w:t>
      </w:r>
      <w:r>
        <w:t xml:space="preserve"> </w:t>
      </w:r>
      <w:r w:rsidRPr="007C1172">
        <w:t>+</w:t>
      </w:r>
      <w:r>
        <w:t xml:space="preserve"> </w:t>
      </w:r>
      <w:r w:rsidRPr="007C1172">
        <w:t>TVD, the renal AEs and laboratory findings were consistent with PRT. All discontinued. After discontinuation renal tubular laboratory abnormalities normalised and Scr improved in all subjects but did not completely resolve. No subject with a renal AE who did not discontinue met the criteria for subclinical kidney disease.</w:t>
      </w:r>
    </w:p>
    <w:p w:rsidR="007C1172" w:rsidRPr="007C1172" w:rsidRDefault="007C1172" w:rsidP="007C1172">
      <w:r w:rsidRPr="007C1172">
        <w:t>Bone events were infrequent with STB (2.8%/10) and ATV/r</w:t>
      </w:r>
      <w:r>
        <w:t xml:space="preserve"> </w:t>
      </w:r>
      <w:r w:rsidRPr="007C1172">
        <w:t>+</w:t>
      </w:r>
      <w:r>
        <w:t xml:space="preserve"> </w:t>
      </w:r>
      <w:r w:rsidRPr="007C1172">
        <w:t>TVD (5.4%/19) and the difference between groups was not statistically significant: p = 0.13. The majority of fractures occurred due to traumatic injury. 2 subjects receiving ATV/r</w:t>
      </w:r>
      <w:r>
        <w:t xml:space="preserve"> </w:t>
      </w:r>
      <w:r w:rsidRPr="007C1172">
        <w:t>+</w:t>
      </w:r>
      <w:r>
        <w:t xml:space="preserve"> </w:t>
      </w:r>
      <w:r w:rsidRPr="007C1172">
        <w:t>TVD group experienced non</w:t>
      </w:r>
      <w:r>
        <w:t>-</w:t>
      </w:r>
      <w:r w:rsidRPr="007C1172">
        <w:t>traumatic bone fractures.</w:t>
      </w:r>
    </w:p>
    <w:p w:rsidR="007C1172" w:rsidRPr="007C1172" w:rsidRDefault="007C1172" w:rsidP="007C1172">
      <w:r w:rsidRPr="007C1172">
        <w:t>For the important AE, Rash, a similar % with STB (23.8%/84) and ATV/r</w:t>
      </w:r>
      <w:r>
        <w:t xml:space="preserve"> </w:t>
      </w:r>
      <w:r w:rsidRPr="007C1172">
        <w:t>+</w:t>
      </w:r>
      <w:r>
        <w:t xml:space="preserve"> </w:t>
      </w:r>
      <w:r w:rsidRPr="007C1172">
        <w:t>TVD (25.4%/90) reported any rash AE. The most frequently PTs reported were rash, eczema and dermatitis. Most were Grade 1 or 2 in severity. 1 with STB and 4 with ATV/r</w:t>
      </w:r>
      <w:r>
        <w:t xml:space="preserve"> </w:t>
      </w:r>
      <w:r w:rsidRPr="007C1172">
        <w:t>+</w:t>
      </w:r>
      <w:r>
        <w:t xml:space="preserve"> </w:t>
      </w:r>
      <w:r w:rsidRPr="007C1172">
        <w:t>TVD reported a Grade 3 AE there were no Grade 4 AEs. 1 subject with ATV/r</w:t>
      </w:r>
      <w:r>
        <w:t xml:space="preserve"> </w:t>
      </w:r>
      <w:r w:rsidRPr="007C1172">
        <w:t>+</w:t>
      </w:r>
      <w:r>
        <w:t xml:space="preserve"> </w:t>
      </w:r>
      <w:r w:rsidRPr="007C1172">
        <w:t>TVD reported a rash SAE (drug eruption) assessed as treatment related. 1 subject with STB and 4 with ATV/r</w:t>
      </w:r>
      <w:r>
        <w:t xml:space="preserve"> </w:t>
      </w:r>
      <w:r w:rsidRPr="007C1172">
        <w:t>+</w:t>
      </w:r>
      <w:r>
        <w:t xml:space="preserve"> </w:t>
      </w:r>
      <w:r w:rsidRPr="007C1172">
        <w:t>TVD group discontinued due to a rash AE.</w:t>
      </w:r>
    </w:p>
    <w:p w:rsidR="007C1172" w:rsidRPr="007C1172" w:rsidRDefault="007C1172" w:rsidP="007C1172">
      <w:r w:rsidRPr="007C1172">
        <w:t>There were 4 deaths, 3 of which, all with ATV/r</w:t>
      </w:r>
      <w:r>
        <w:t xml:space="preserve"> </w:t>
      </w:r>
      <w:r w:rsidRPr="007C1172">
        <w:t>+</w:t>
      </w:r>
      <w:r>
        <w:t xml:space="preserve"> </w:t>
      </w:r>
      <w:r w:rsidRPr="007C1172">
        <w:t>TVD, were treatment emergent. None was assessed as treatment related.</w:t>
      </w:r>
    </w:p>
    <w:p w:rsidR="007C1172" w:rsidRPr="007C1172" w:rsidRDefault="007C1172" w:rsidP="007C1172">
      <w:r w:rsidRPr="007C1172">
        <w:t>SAEs were reported for a similar % with STB (14.4%/51) and ATV/r</w:t>
      </w:r>
      <w:r>
        <w:t xml:space="preserve"> </w:t>
      </w:r>
      <w:r w:rsidRPr="007C1172">
        <w:t>+</w:t>
      </w:r>
      <w:r>
        <w:t xml:space="preserve"> </w:t>
      </w:r>
      <w:r w:rsidRPr="007C1172">
        <w:t>TVD (16.6%/59). The most common SAE and the only SAE that occurred in ≥ 1% of subjects in either group was abdominal pain. SAEs assessed as treatment related were infrequent: STB 0.6%/2 subjects; ATV/r</w:t>
      </w:r>
      <w:r>
        <w:t xml:space="preserve"> </w:t>
      </w:r>
      <w:r w:rsidRPr="007C1172">
        <w:t>+</w:t>
      </w:r>
      <w:r>
        <w:t xml:space="preserve"> </w:t>
      </w:r>
      <w:r w:rsidRPr="007C1172">
        <w:t>TVD 1.1%/4. 5 SAEs, 3 with STB and 2 with ATV/r +TVD, were classed as CDC Class C AIDS-defining events. Only 1, Burkitt’s lymphoma in a subject with STB was assessed as treatment related.</w:t>
      </w:r>
    </w:p>
    <w:p w:rsidR="007C1172" w:rsidRPr="007C1172" w:rsidRDefault="007C1172" w:rsidP="007C1172">
      <w:r w:rsidRPr="007C1172">
        <w:t>Discontinuations due to AEs occurred in 51 subjects: STB 5.9%/21; ATV/r</w:t>
      </w:r>
      <w:r>
        <w:t xml:space="preserve"> </w:t>
      </w:r>
      <w:r w:rsidRPr="007C1172">
        <w:t>+</w:t>
      </w:r>
      <w:r>
        <w:t xml:space="preserve"> </w:t>
      </w:r>
      <w:r w:rsidRPr="007C1172">
        <w:t>TVD 8.5%/30. Events leading to discontinuations were consistent with the safety profiles of study drugs. AEs leading to discontinuation in ≥ 1 subject in either group were blood creatinine increased, diarrhoea, hepatitis C, and pyrexia (each reported for 2 subjects) with STB, and, ocular icterus and nausea (each in 4 subjects), and blood creatinine increased, dizziness, drug eruption, fatigue, jaundice, nephropathy toxic, and vomiting (each reported for 2 subjects) with ATV/r</w:t>
      </w:r>
      <w:r>
        <w:t xml:space="preserve"> </w:t>
      </w:r>
      <w:r w:rsidRPr="007C1172">
        <w:t>+</w:t>
      </w:r>
      <w:r>
        <w:t xml:space="preserve"> </w:t>
      </w:r>
      <w:r w:rsidRPr="007C1172">
        <w:t>TVD.</w:t>
      </w:r>
    </w:p>
    <w:p w:rsidR="007C1172" w:rsidRPr="007C1172" w:rsidRDefault="007C1172" w:rsidP="00344DEF">
      <w:pPr>
        <w:pStyle w:val="Heading5"/>
        <w:rPr>
          <w:rFonts w:eastAsiaTheme="minorHAnsi"/>
        </w:rPr>
      </w:pPr>
      <w:r w:rsidRPr="007C1172">
        <w:rPr>
          <w:rFonts w:eastAsiaTheme="minorHAnsi"/>
        </w:rPr>
        <w:t xml:space="preserve">Clinical </w:t>
      </w:r>
      <w:r w:rsidR="007F292F" w:rsidRPr="007C1172">
        <w:rPr>
          <w:rFonts w:eastAsiaTheme="minorHAnsi"/>
        </w:rPr>
        <w:t>laboratory</w:t>
      </w:r>
      <w:r w:rsidR="007F292F">
        <w:t xml:space="preserve"> </w:t>
      </w:r>
      <w:r w:rsidR="007F292F" w:rsidRPr="007C1172">
        <w:rPr>
          <w:rFonts w:eastAsiaTheme="minorHAnsi"/>
        </w:rPr>
        <w:t>evaluations</w:t>
      </w:r>
    </w:p>
    <w:p w:rsidR="007C1172" w:rsidRPr="007C1172" w:rsidRDefault="007C1172" w:rsidP="007C1172">
      <w:r w:rsidRPr="007C1172">
        <w:t xml:space="preserve">There were no clinically relevant changes from baseline in median values for haematology and clinical chemistry (excluding renal laboratory, fasting lipid, and hepatic parameters, which are described separately) parameters in either group to </w:t>
      </w:r>
      <w:r>
        <w:t>W</w:t>
      </w:r>
      <w:r w:rsidRPr="007C1172">
        <w:t>eek 144. Also, median values were within normal ranges. The majority of subjects had at least 1 treatment-emergent laboratory abnormality: STB 94.0%/331; ATV/r</w:t>
      </w:r>
      <w:r w:rsidR="00344DEF">
        <w:t xml:space="preserve"> </w:t>
      </w:r>
      <w:r w:rsidRPr="007C1172">
        <w:t>+</w:t>
      </w:r>
      <w:r w:rsidR="00344DEF">
        <w:t xml:space="preserve"> </w:t>
      </w:r>
      <w:r w:rsidRPr="007C1172">
        <w:t>TVD 98.9%/348. With STB, the majority were Grade 1 or 2 in severity, whilst with ATV/r</w:t>
      </w:r>
      <w:r w:rsidR="00344DEF">
        <w:t xml:space="preserve"> </w:t>
      </w:r>
      <w:r w:rsidRPr="007C1172">
        <w:t>+</w:t>
      </w:r>
      <w:r w:rsidR="00344DEF">
        <w:t xml:space="preserve"> </w:t>
      </w:r>
      <w:r w:rsidRPr="007C1172">
        <w:t>TVD most were Grade 3. Grade 3 or 4 abnormalities were reported less frequently with STB (22.4%/79) than with ATV/r</w:t>
      </w:r>
      <w:r w:rsidR="00344DEF">
        <w:t xml:space="preserve"> </w:t>
      </w:r>
      <w:r w:rsidRPr="007C1172">
        <w:t>+</w:t>
      </w:r>
      <w:r w:rsidR="00344DEF">
        <w:t xml:space="preserve"> </w:t>
      </w:r>
      <w:r w:rsidRPr="007C1172">
        <w:t>TVD (78.4%/276); the largest contributor to this differential was hyperbilirubinaemia which was reported in a small % with STB (1.1%/4) compared to ATV/r</w:t>
      </w:r>
      <w:r w:rsidR="00344DEF">
        <w:t xml:space="preserve"> </w:t>
      </w:r>
      <w:r w:rsidRPr="007C1172">
        <w:t>+</w:t>
      </w:r>
      <w:r w:rsidR="00344DEF">
        <w:t xml:space="preserve"> </w:t>
      </w:r>
      <w:r w:rsidRPr="007C1172">
        <w:t>TVD (68.5%/241).</w:t>
      </w:r>
    </w:p>
    <w:p w:rsidR="007C1172" w:rsidRPr="007C1172" w:rsidRDefault="00344DEF" w:rsidP="00344DEF">
      <w:pPr>
        <w:pStyle w:val="Heading6"/>
        <w:rPr>
          <w:rFonts w:eastAsiaTheme="minorHAnsi"/>
        </w:rPr>
      </w:pPr>
      <w:r>
        <w:rPr>
          <w:rFonts w:eastAsiaTheme="minorHAnsi"/>
        </w:rPr>
        <w:t xml:space="preserve">Renal </w:t>
      </w:r>
      <w:r w:rsidR="007F292F">
        <w:rPr>
          <w:rFonts w:eastAsiaTheme="minorHAnsi"/>
        </w:rPr>
        <w:t>laboratory parameters</w:t>
      </w:r>
    </w:p>
    <w:p w:rsidR="00344DEF" w:rsidRDefault="007C1172" w:rsidP="00344DEF">
      <w:pPr>
        <w:pStyle w:val="ListBullet"/>
      </w:pPr>
      <w:r w:rsidRPr="007C1172">
        <w:t xml:space="preserve">Creatinine: Increases from the baseline median Scr of 0.94 mg/dL in both groups were noted by </w:t>
      </w:r>
      <w:r w:rsidR="00344DEF">
        <w:t>W</w:t>
      </w:r>
      <w:r w:rsidRPr="007C1172">
        <w:t>eek 2 with changes of 0.09 mg/dL with STB and 0.05 mg/dL with ATV/r</w:t>
      </w:r>
      <w:r w:rsidR="00344DEF">
        <w:t xml:space="preserve"> </w:t>
      </w:r>
      <w:r w:rsidRPr="007C1172">
        <w:t>+</w:t>
      </w:r>
      <w:r w:rsidR="00344DEF">
        <w:t xml:space="preserve"> </w:t>
      </w:r>
      <w:r w:rsidRPr="007C1172">
        <w:t>TVD. After this, median values generally stabilised and were non</w:t>
      </w:r>
      <w:r w:rsidR="00344DEF">
        <w:t>-</w:t>
      </w:r>
      <w:r w:rsidRPr="007C1172">
        <w:t>progressive with changes from baseline of 0.12 mg/dL with STB and 0.08 mg/dL ATV/r</w:t>
      </w:r>
      <w:r w:rsidR="00344DEF">
        <w:t xml:space="preserve"> </w:t>
      </w:r>
      <w:r w:rsidRPr="007C1172">
        <w:t>+</w:t>
      </w:r>
      <w:r w:rsidR="00344DEF">
        <w:t xml:space="preserve"> </w:t>
      </w:r>
      <w:r w:rsidRPr="007C1172">
        <w:t xml:space="preserve">TVD to </w:t>
      </w:r>
      <w:r w:rsidR="00344DEF">
        <w:t>W</w:t>
      </w:r>
      <w:r w:rsidRPr="007C1172">
        <w:t>eek 144. There was a higher % of Grade 1 or 2 elevated Scr abnormalities with STB (9.1%/32) than ATV/r</w:t>
      </w:r>
      <w:r w:rsidR="00344DEF">
        <w:t xml:space="preserve"> </w:t>
      </w:r>
      <w:r w:rsidRPr="007C1172">
        <w:t>+</w:t>
      </w:r>
      <w:r w:rsidR="00344DEF">
        <w:t xml:space="preserve"> </w:t>
      </w:r>
      <w:r w:rsidRPr="007C1172">
        <w:t>TVD (6.0%/21). No treatment</w:t>
      </w:r>
      <w:r w:rsidR="00344DEF">
        <w:t xml:space="preserve"> </w:t>
      </w:r>
      <w:r w:rsidRPr="007C1172">
        <w:t>emergent Grade 3 or 4 abnormalities were reported. 4 subjects with STB and 2 with ATV/r</w:t>
      </w:r>
      <w:r w:rsidR="00344DEF">
        <w:t xml:space="preserve"> </w:t>
      </w:r>
      <w:r w:rsidRPr="007C1172">
        <w:t>+</w:t>
      </w:r>
      <w:r w:rsidR="00344DEF">
        <w:t xml:space="preserve"> </w:t>
      </w:r>
      <w:r w:rsidRPr="007C1172">
        <w:t>TVD discont</w:t>
      </w:r>
      <w:r w:rsidR="00344DEF">
        <w:t>inued due to increased Scr AEs.</w:t>
      </w:r>
    </w:p>
    <w:p w:rsidR="007C1172" w:rsidRPr="007C1172" w:rsidRDefault="007C1172" w:rsidP="00344DEF">
      <w:pPr>
        <w:pStyle w:val="ListBullet"/>
      </w:pPr>
      <w:r w:rsidRPr="007C1172">
        <w:lastRenderedPageBreak/>
        <w:t>Phosphorus: Median serum phosphorus was within normal ranges throughout the study. Hypophosphatemia of any grade was reported for similar %s of subjects with STB (8.5%/30) and ATV/r</w:t>
      </w:r>
      <w:r w:rsidR="00344DEF">
        <w:t xml:space="preserve"> </w:t>
      </w:r>
      <w:r w:rsidRPr="007C1172">
        <w:t>+</w:t>
      </w:r>
      <w:r w:rsidR="00344DEF">
        <w:t xml:space="preserve"> </w:t>
      </w:r>
      <w:r w:rsidRPr="007C1172">
        <w:t>TVD (10.8%/38) all of which was Grade 1 or 2 in severity, except in 4 subjects with ATV/r</w:t>
      </w:r>
      <w:r w:rsidR="00344DEF">
        <w:t xml:space="preserve"> </w:t>
      </w:r>
      <w:r w:rsidRPr="007C1172">
        <w:t>+</w:t>
      </w:r>
      <w:r w:rsidR="00344DEF">
        <w:t xml:space="preserve"> </w:t>
      </w:r>
      <w:r w:rsidRPr="007C1172">
        <w:t>TVD group who had Grade 3 events.</w:t>
      </w:r>
    </w:p>
    <w:p w:rsidR="007C1172" w:rsidRPr="007C1172" w:rsidRDefault="007C1172" w:rsidP="00344DEF">
      <w:pPr>
        <w:pStyle w:val="ListBullet"/>
      </w:pPr>
      <w:r w:rsidRPr="007C1172">
        <w:t>Estimated Glomerular Filtration Rate: Decreases in median eGFR</w:t>
      </w:r>
      <w:r w:rsidRPr="00344DEF">
        <w:rPr>
          <w:vertAlign w:val="subscript"/>
        </w:rPr>
        <w:t>CG</w:t>
      </w:r>
      <w:r w:rsidRPr="007C1172">
        <w:t xml:space="preserve"> </w:t>
      </w:r>
      <w:r w:rsidR="00344DEF">
        <w:t>were observed by W</w:t>
      </w:r>
      <w:r w:rsidRPr="007C1172">
        <w:t>eek 2 with STB (change of –9.4 mL/min from baseline median of 112.9 mL/min) and ATV/r</w:t>
      </w:r>
      <w:r w:rsidR="00344DEF">
        <w:t xml:space="preserve"> </w:t>
      </w:r>
      <w:r w:rsidRPr="007C1172">
        <w:t>+</w:t>
      </w:r>
      <w:r w:rsidR="00344DEF">
        <w:t xml:space="preserve"> </w:t>
      </w:r>
      <w:r w:rsidRPr="007C1172">
        <w:t>TVD (change of –4.5 mL/min from median baseline of 114.7 mL/min). The changes generally stabilised and were non</w:t>
      </w:r>
      <w:r w:rsidR="00344DEF">
        <w:t>-</w:t>
      </w:r>
      <w:r w:rsidRPr="007C1172">
        <w:t>progressive with changes from baseline of –13.0 mL/min with STB and –10.0 mL/min with ATV/r</w:t>
      </w:r>
      <w:r w:rsidR="00344DEF">
        <w:t xml:space="preserve"> </w:t>
      </w:r>
      <w:r w:rsidRPr="007C1172">
        <w:t>+</w:t>
      </w:r>
      <w:r w:rsidR="00344DEF">
        <w:t xml:space="preserve"> </w:t>
      </w:r>
      <w:r w:rsidRPr="007C1172">
        <w:t xml:space="preserve">TVD up to </w:t>
      </w:r>
      <w:r w:rsidR="00344DEF">
        <w:t>W</w:t>
      </w:r>
      <w:r w:rsidRPr="007C1172">
        <w:t>eek 144. Results for eGFR</w:t>
      </w:r>
      <w:r w:rsidRPr="00344DEF">
        <w:rPr>
          <w:vertAlign w:val="subscript"/>
        </w:rPr>
        <w:t>MDRD</w:t>
      </w:r>
      <w:r w:rsidRPr="007C1172">
        <w:t xml:space="preserve"> were consistent with those observed for eGFR</w:t>
      </w:r>
      <w:r w:rsidRPr="00344DEF">
        <w:rPr>
          <w:vertAlign w:val="subscript"/>
        </w:rPr>
        <w:t>CG</w:t>
      </w:r>
      <w:r w:rsidRPr="007C1172">
        <w:t>.</w:t>
      </w:r>
    </w:p>
    <w:p w:rsidR="007C1172" w:rsidRPr="007C1172" w:rsidRDefault="007C1172" w:rsidP="00344DEF">
      <w:pPr>
        <w:pStyle w:val="ListBullet"/>
      </w:pPr>
      <w:r w:rsidRPr="007C1172">
        <w:t>Glycosuria: Less glycosuria was observed with STB (3.4%/12) than ATV/r</w:t>
      </w:r>
      <w:r w:rsidR="00344DEF">
        <w:t xml:space="preserve"> </w:t>
      </w:r>
      <w:r w:rsidRPr="007C1172">
        <w:t>+</w:t>
      </w:r>
      <w:r w:rsidR="00344DEF">
        <w:t xml:space="preserve"> </w:t>
      </w:r>
      <w:r w:rsidRPr="007C1172">
        <w:t>TVD (8.5%/30). Grade 3 abnormalities were reported for 6 subjects (1.7%) with STB and for 9 (2.6%) with ATV/r</w:t>
      </w:r>
      <w:r w:rsidR="00344DEF">
        <w:t xml:space="preserve"> </w:t>
      </w:r>
      <w:r w:rsidRPr="007C1172">
        <w:t>+</w:t>
      </w:r>
      <w:r w:rsidR="00344DEF">
        <w:t xml:space="preserve"> </w:t>
      </w:r>
      <w:r w:rsidRPr="007C1172">
        <w:t>TVD.</w:t>
      </w:r>
    </w:p>
    <w:p w:rsidR="00344DEF" w:rsidRPr="00344DEF" w:rsidRDefault="00344DEF" w:rsidP="00344DEF">
      <w:pPr>
        <w:pStyle w:val="ListBullet"/>
      </w:pPr>
      <w:r w:rsidRPr="00344DEF">
        <w:t>Proteinuria: Treatment</w:t>
      </w:r>
      <w:r>
        <w:t xml:space="preserve"> </w:t>
      </w:r>
      <w:r w:rsidRPr="00344DEF">
        <w:t>emergent proteinuria was reported in more subjects with STB (49.1%/173) than ATV/r</w:t>
      </w:r>
      <w:r>
        <w:t xml:space="preserve"> </w:t>
      </w:r>
      <w:r w:rsidRPr="00344DEF">
        <w:t>+</w:t>
      </w:r>
      <w:r>
        <w:t xml:space="preserve"> </w:t>
      </w:r>
      <w:r w:rsidRPr="00344DEF">
        <w:t>TVD (41.8%/147). Most was Grade 1 in severity (STB 40.9%/144; ATV/r</w:t>
      </w:r>
      <w:r>
        <w:t xml:space="preserve"> </w:t>
      </w:r>
      <w:r w:rsidRPr="00344DEF">
        <w:t>+</w:t>
      </w:r>
      <w:r>
        <w:t xml:space="preserve"> </w:t>
      </w:r>
      <w:r w:rsidRPr="00344DEF">
        <w:t>TVD 33.0%/116). Results of other analyses taking into account the presence of baseline proteinuria did not reveal any clinically relevant between group differences. Abnormalities in individual patients were generally isolated and transient.</w:t>
      </w:r>
    </w:p>
    <w:p w:rsidR="00344DEF" w:rsidRPr="00344DEF" w:rsidRDefault="00344DEF" w:rsidP="00344DEF">
      <w:r w:rsidRPr="00344DEF">
        <w:t>With fasting glucose and lipid parameters increases from baseline in fasting triglycerides were lower with STB than with ATV/r</w:t>
      </w:r>
      <w:r>
        <w:t xml:space="preserve"> </w:t>
      </w:r>
      <w:r w:rsidRPr="00344DEF">
        <w:t>+</w:t>
      </w:r>
      <w:r>
        <w:t xml:space="preserve"> </w:t>
      </w:r>
      <w:r w:rsidRPr="00344DEF">
        <w:t xml:space="preserve">TVD. There were no clinically relevant changes from baseline to </w:t>
      </w:r>
      <w:r>
        <w:t>W</w:t>
      </w:r>
      <w:r w:rsidRPr="00344DEF">
        <w:t>eek 144 in mean fasting total cholesterol, fasting LDL cholesterol, fasting HDL cholesterol, fasting total cholesterol to HDL ratio, or fasting glucose in either group. Mean values for each fasting metabolic laboratory analyte remained in the normal range in both treatment groups, abnormalities were generally isolated and transient and there was no apparent pattern in the occurrence of these abnormalities.</w:t>
      </w:r>
    </w:p>
    <w:p w:rsidR="00344DEF" w:rsidRPr="00344DEF" w:rsidRDefault="00344DEF" w:rsidP="00344DEF">
      <w:r w:rsidRPr="00344DEF">
        <w:t>For liver</w:t>
      </w:r>
      <w:r>
        <w:t xml:space="preserve"> </w:t>
      </w:r>
      <w:r w:rsidRPr="00344DEF">
        <w:t>related laboratory tests fewer subjects with STB (9.7%/34) had elevations of AST or ALT &gt; 3 x ULN than with ATV/r</w:t>
      </w:r>
      <w:r>
        <w:t xml:space="preserve"> </w:t>
      </w:r>
      <w:r w:rsidRPr="00344DEF">
        <w:t>+</w:t>
      </w:r>
      <w:r>
        <w:t xml:space="preserve"> </w:t>
      </w:r>
      <w:r w:rsidRPr="00344DEF">
        <w:t>TVD (13.4%/47). Around 50% of those receiving ATV/r</w:t>
      </w:r>
      <w:r>
        <w:t xml:space="preserve"> </w:t>
      </w:r>
      <w:r w:rsidRPr="00344DEF">
        <w:t>+</w:t>
      </w:r>
      <w:r>
        <w:t xml:space="preserve"> </w:t>
      </w:r>
      <w:r w:rsidRPr="00344DEF">
        <w:t>TVD also had elevations in total bilirubin and alkaline phosphatase whilst none receiving STB had elevations in these parameters. Elevations in total bilirubin (&gt; 1 x ULN) were observed for notably fewer subjects with STB (7.1%/25) than with ATV/r</w:t>
      </w:r>
      <w:r>
        <w:t xml:space="preserve"> </w:t>
      </w:r>
      <w:r w:rsidRPr="00344DEF">
        <w:t>+</w:t>
      </w:r>
      <w:r>
        <w:t xml:space="preserve"> </w:t>
      </w:r>
      <w:r w:rsidRPr="00344DEF">
        <w:t>TVD (97.7%/344). Subjects with significant liver function test abnormalities generally had concurrent underlying hepatic disease such as chronic hepatitis co</w:t>
      </w:r>
      <w:r>
        <w:t>-</w:t>
      </w:r>
      <w:r w:rsidRPr="00344DEF">
        <w:t xml:space="preserve">infection or a history of alcoholism. No </w:t>
      </w:r>
      <w:r>
        <w:t>Hy’s Law cases were identified.</w:t>
      </w:r>
    </w:p>
    <w:p w:rsidR="00344DEF" w:rsidRPr="00344DEF" w:rsidRDefault="00344DEF" w:rsidP="00344DEF">
      <w:pPr>
        <w:pStyle w:val="Heading5"/>
        <w:rPr>
          <w:rFonts w:eastAsiaTheme="minorHAnsi"/>
        </w:rPr>
      </w:pPr>
      <w:r w:rsidRPr="00344DEF">
        <w:rPr>
          <w:rFonts w:eastAsiaTheme="minorHAnsi"/>
        </w:rPr>
        <w:t xml:space="preserve">Body </w:t>
      </w:r>
      <w:r w:rsidR="007F292F">
        <w:rPr>
          <w:rFonts w:eastAsiaTheme="minorHAnsi"/>
        </w:rPr>
        <w:t>w</w:t>
      </w:r>
      <w:r w:rsidRPr="00344DEF">
        <w:rPr>
          <w:rFonts w:eastAsiaTheme="minorHAnsi"/>
        </w:rPr>
        <w:t>eight</w:t>
      </w:r>
    </w:p>
    <w:p w:rsidR="00344DEF" w:rsidRPr="00344DEF" w:rsidRDefault="00344DEF" w:rsidP="00344DEF">
      <w:r w:rsidRPr="00344DEF">
        <w:t>There were no clinically relevant changes from baseline in median values for body weight in either group.</w:t>
      </w:r>
    </w:p>
    <w:p w:rsidR="00344DEF" w:rsidRPr="00344DEF" w:rsidRDefault="00344DEF" w:rsidP="00344DEF">
      <w:pPr>
        <w:pStyle w:val="Heading5"/>
        <w:rPr>
          <w:rFonts w:eastAsiaTheme="minorHAnsi"/>
        </w:rPr>
      </w:pPr>
      <w:r>
        <w:rPr>
          <w:rFonts w:eastAsiaTheme="minorHAnsi"/>
        </w:rPr>
        <w:t>Electrocardiogram</w:t>
      </w:r>
    </w:p>
    <w:p w:rsidR="00344DEF" w:rsidRPr="00344DEF" w:rsidRDefault="00344DEF" w:rsidP="00344DEF">
      <w:r w:rsidRPr="00344DEF">
        <w:t>There were no notable differences between treatment groups in the %s of subjects with ECG abnormalities. Clinically significant ECG abnormalities were reported for 7 subjects, 2 with STB and 5 with ATV/r</w:t>
      </w:r>
      <w:r>
        <w:t xml:space="preserve"> </w:t>
      </w:r>
      <w:r w:rsidRPr="00344DEF">
        <w:t>+</w:t>
      </w:r>
      <w:r>
        <w:t xml:space="preserve"> </w:t>
      </w:r>
      <w:r w:rsidRPr="00344DEF">
        <w:t xml:space="preserve">TVD. Both with STB had normal ECGs at baseline; </w:t>
      </w:r>
      <w:r>
        <w:t>W</w:t>
      </w:r>
      <w:r w:rsidRPr="00344DEF">
        <w:t>eek 144 information was not available. With ATV/r</w:t>
      </w:r>
      <w:r>
        <w:t xml:space="preserve"> </w:t>
      </w:r>
      <w:r w:rsidRPr="00344DEF">
        <w:t>+</w:t>
      </w:r>
      <w:r>
        <w:t xml:space="preserve"> </w:t>
      </w:r>
      <w:r w:rsidRPr="00344DEF">
        <w:t xml:space="preserve">TVD, 2 subjects had abnormalities at baseline assessed as not clinically significant; it is indicated that findings at </w:t>
      </w:r>
      <w:r>
        <w:t>W</w:t>
      </w:r>
      <w:r w:rsidRPr="00344DEF">
        <w:t xml:space="preserve">eek 144 were considered not clinically significant except for 1 subject in whom there is no comment regarding </w:t>
      </w:r>
      <w:r>
        <w:t>W</w:t>
      </w:r>
      <w:r w:rsidRPr="00344DEF">
        <w:t>eek 144 data.</w:t>
      </w:r>
    </w:p>
    <w:p w:rsidR="00344DEF" w:rsidRPr="00344DEF" w:rsidRDefault="00344DEF" w:rsidP="00344DEF">
      <w:pPr>
        <w:pStyle w:val="Heading5"/>
        <w:rPr>
          <w:rFonts w:eastAsiaTheme="minorHAnsi"/>
        </w:rPr>
      </w:pPr>
      <w:r>
        <w:rPr>
          <w:rFonts w:eastAsiaTheme="minorHAnsi"/>
        </w:rPr>
        <w:t xml:space="preserve">DEXA </w:t>
      </w:r>
      <w:r w:rsidR="007F292F">
        <w:rPr>
          <w:rFonts w:eastAsiaTheme="minorHAnsi"/>
        </w:rPr>
        <w:t>sub-study analysis</w:t>
      </w:r>
    </w:p>
    <w:p w:rsidR="00344DEF" w:rsidRPr="00344DEF" w:rsidRDefault="00344DEF" w:rsidP="00344DEF">
      <w:r w:rsidRPr="00344DEF">
        <w:t>132 subjects (STB: 144; ATV/r</w:t>
      </w:r>
      <w:r>
        <w:t xml:space="preserve"> </w:t>
      </w:r>
      <w:r w:rsidRPr="00344DEF">
        <w:t>+</w:t>
      </w:r>
      <w:r>
        <w:t xml:space="preserve"> </w:t>
      </w:r>
      <w:r w:rsidRPr="00344DEF">
        <w:t>TVD: 66) were enrolled in the DEXA sub</w:t>
      </w:r>
      <w:r>
        <w:t>-</w:t>
      </w:r>
      <w:r w:rsidRPr="00344DEF">
        <w:t>study. 120 were eligible for inclusion in the DEXA analysis set as 12 subjects only had baseline scans. Key results from the data provided are:</w:t>
      </w:r>
    </w:p>
    <w:p w:rsidR="00344DEF" w:rsidRPr="00344DEF" w:rsidRDefault="00344DEF" w:rsidP="00344DEF">
      <w:pPr>
        <w:pStyle w:val="ListBullet"/>
      </w:pPr>
      <w:r w:rsidRPr="00344DEF">
        <w:lastRenderedPageBreak/>
        <w:t>Decreases in spine and hip BMD were observed with STB and ATV/r</w:t>
      </w:r>
      <w:r>
        <w:t xml:space="preserve"> </w:t>
      </w:r>
      <w:r w:rsidRPr="00344DEF">
        <w:t>+</w:t>
      </w:r>
      <w:r>
        <w:t xml:space="preserve"> </w:t>
      </w:r>
      <w:r w:rsidRPr="00344DEF">
        <w:t>TVD in the 1</w:t>
      </w:r>
      <w:r w:rsidRPr="00344DEF">
        <w:rPr>
          <w:vertAlign w:val="superscript"/>
        </w:rPr>
        <w:t xml:space="preserve">st </w:t>
      </w:r>
      <w:r w:rsidRPr="00344DEF">
        <w:t>24</w:t>
      </w:r>
      <w:r>
        <w:t xml:space="preserve"> to </w:t>
      </w:r>
      <w:r w:rsidRPr="00344DEF">
        <w:t xml:space="preserve">48 weeks of treatment after which they generally stabilised and did not progress up to </w:t>
      </w:r>
      <w:r>
        <w:t>W</w:t>
      </w:r>
      <w:r w:rsidRPr="00344DEF">
        <w:t>eek 144.</w:t>
      </w:r>
    </w:p>
    <w:p w:rsidR="00344DEF" w:rsidRPr="00344DEF" w:rsidRDefault="00344DEF" w:rsidP="00344DEF">
      <w:pPr>
        <w:pStyle w:val="ListBullet"/>
      </w:pPr>
      <w:r w:rsidRPr="00344DEF">
        <w:t xml:space="preserve">The mean % change from baseline at </w:t>
      </w:r>
      <w:r>
        <w:t>W</w:t>
      </w:r>
      <w:r w:rsidRPr="00344DEF">
        <w:t>eek 144 in spine BMD was –1.43% with STB and -3.68% with ATV/r</w:t>
      </w:r>
      <w:r>
        <w:t xml:space="preserve"> </w:t>
      </w:r>
      <w:r w:rsidRPr="00344DEF">
        <w:t>+</w:t>
      </w:r>
      <w:r>
        <w:t xml:space="preserve"> </w:t>
      </w:r>
      <w:r w:rsidRPr="00344DEF">
        <w:t>TVD; the point estimate of the treatment difference (STB - ATV/r + TVD) was 2.25 (95% CI: 0.40 to 4.10; p = 0.018).</w:t>
      </w:r>
    </w:p>
    <w:p w:rsidR="00344DEF" w:rsidRPr="00344DEF" w:rsidRDefault="00344DEF" w:rsidP="00344DEF">
      <w:pPr>
        <w:pStyle w:val="ListBullet"/>
      </w:pPr>
      <w:r w:rsidRPr="00344DEF">
        <w:t xml:space="preserve">The mean % change from baseline at </w:t>
      </w:r>
      <w:r>
        <w:t>W</w:t>
      </w:r>
      <w:r w:rsidRPr="00344DEF">
        <w:t>eek 144 in hip BMD was similar with STB (–2.83%) and ATV/r</w:t>
      </w:r>
      <w:r>
        <w:t xml:space="preserve"> </w:t>
      </w:r>
      <w:r w:rsidRPr="00344DEF">
        <w:t>+</w:t>
      </w:r>
      <w:r>
        <w:t xml:space="preserve"> </w:t>
      </w:r>
      <w:r w:rsidRPr="00344DEF">
        <w:t>TVD (-3.77%); the point estimate of the treatment difference between groups (STB - ATV/r + TVD) was 0.95 (95% CI: -0.61 to 2.51; p = 0.23).</w:t>
      </w:r>
    </w:p>
    <w:p w:rsidR="00344DEF" w:rsidRPr="00344DEF" w:rsidRDefault="00344DEF" w:rsidP="00344DEF">
      <w:pPr>
        <w:pStyle w:val="ListBullet"/>
      </w:pPr>
      <w:r w:rsidRPr="00344DEF">
        <w:t xml:space="preserve">At </w:t>
      </w:r>
      <w:r>
        <w:t>W</w:t>
      </w:r>
      <w:r w:rsidRPr="00344DEF">
        <w:t>eek 144, a smaller % receiving STB than ATV/r</w:t>
      </w:r>
      <w:r>
        <w:t xml:space="preserve"> </w:t>
      </w:r>
      <w:r w:rsidRPr="00344DEF">
        <w:t>+</w:t>
      </w:r>
      <w:r>
        <w:t xml:space="preserve"> </w:t>
      </w:r>
      <w:r w:rsidRPr="00344DEF">
        <w:t>TVD had a &gt; 3% decrease in spine or hip BMD (spine: STB 37.5%, ATV/r</w:t>
      </w:r>
      <w:r>
        <w:t xml:space="preserve"> </w:t>
      </w:r>
      <w:r w:rsidRPr="00344DEF">
        <w:t>+</w:t>
      </w:r>
      <w:r>
        <w:t xml:space="preserve"> </w:t>
      </w:r>
      <w:r w:rsidRPr="00344DEF">
        <w:t>TVD 59.6%; hip: STB 38.5%, ATV/r</w:t>
      </w:r>
      <w:r>
        <w:t xml:space="preserve"> </w:t>
      </w:r>
      <w:r w:rsidRPr="00344DEF">
        <w:t>+</w:t>
      </w:r>
      <w:r>
        <w:t xml:space="preserve"> </w:t>
      </w:r>
      <w:r w:rsidRPr="00344DEF">
        <w:t>TVD 57.4%).</w:t>
      </w:r>
    </w:p>
    <w:p w:rsidR="00344DEF" w:rsidRPr="00344DEF" w:rsidRDefault="00344DEF" w:rsidP="00344DEF">
      <w:pPr>
        <w:pStyle w:val="ListBullet"/>
      </w:pPr>
      <w:r w:rsidRPr="00344DEF">
        <w:t xml:space="preserve">Similar numbers of subjects in each group showed a deterioration from baseline in spine or hip clinical status measured by BMD T-scores at </w:t>
      </w:r>
      <w:r>
        <w:t>W</w:t>
      </w:r>
      <w:r w:rsidRPr="00344DEF">
        <w:t>eek 144: spine: STB 7/54 subjects, ATV/r</w:t>
      </w:r>
      <w:r>
        <w:t xml:space="preserve"> </w:t>
      </w:r>
      <w:r w:rsidRPr="00344DEF">
        <w:t>+</w:t>
      </w:r>
      <w:r>
        <w:t xml:space="preserve"> </w:t>
      </w:r>
      <w:r w:rsidRPr="00344DEF">
        <w:t>TVD 10/66; hip: STB 3/54; ATV/r</w:t>
      </w:r>
      <w:r>
        <w:t xml:space="preserve"> </w:t>
      </w:r>
      <w:r w:rsidRPr="00344DEF">
        <w:t>+</w:t>
      </w:r>
      <w:r>
        <w:t xml:space="preserve"> </w:t>
      </w:r>
      <w:r w:rsidRPr="00344DEF">
        <w:t>TVD 3/66.</w:t>
      </w:r>
    </w:p>
    <w:p w:rsidR="00344DEF" w:rsidRPr="00344DEF" w:rsidRDefault="00344DEF" w:rsidP="00344DEF">
      <w:pPr>
        <w:pStyle w:val="ListBullet"/>
      </w:pPr>
      <w:r w:rsidRPr="00344DEF">
        <w:t>There were decreases in spine and hip BMD Z</w:t>
      </w:r>
      <w:r>
        <w:t>-</w:t>
      </w:r>
      <w:r w:rsidRPr="00344DEF">
        <w:t>scores with STB and ATV/r</w:t>
      </w:r>
      <w:r>
        <w:t xml:space="preserve"> </w:t>
      </w:r>
      <w:r w:rsidRPr="00344DEF">
        <w:t>+</w:t>
      </w:r>
      <w:r>
        <w:t xml:space="preserve"> </w:t>
      </w:r>
      <w:r w:rsidRPr="00344DEF">
        <w:t>TVD in the 1</w:t>
      </w:r>
      <w:r w:rsidRPr="00344DEF">
        <w:rPr>
          <w:vertAlign w:val="superscript"/>
        </w:rPr>
        <w:t xml:space="preserve">st </w:t>
      </w:r>
      <w:r w:rsidRPr="00344DEF">
        <w:t xml:space="preserve">48 weeks of treatment, after which they generally stabilised and did not progress up to </w:t>
      </w:r>
      <w:r>
        <w:t>W</w:t>
      </w:r>
      <w:r w:rsidRPr="00344DEF">
        <w:t xml:space="preserve">eek 144; the mean change from baseline at </w:t>
      </w:r>
      <w:r>
        <w:t>W</w:t>
      </w:r>
      <w:r w:rsidRPr="00344DEF">
        <w:t>eek 144 in spine and hip BMD Z-scores was similar with STB (spine: –0.11; hip: –0.18) and ATV/r</w:t>
      </w:r>
      <w:r>
        <w:t xml:space="preserve"> </w:t>
      </w:r>
      <w:r w:rsidRPr="00344DEF">
        <w:t>+</w:t>
      </w:r>
      <w:r>
        <w:t xml:space="preserve"> </w:t>
      </w:r>
      <w:r w:rsidRPr="00344DEF">
        <w:t>TVD (spine: -0.32; hip: -0.23).</w:t>
      </w:r>
    </w:p>
    <w:p w:rsidR="00344DEF" w:rsidRPr="00344DEF" w:rsidRDefault="007F292F" w:rsidP="007F292F">
      <w:pPr>
        <w:pStyle w:val="Comment"/>
      </w:pPr>
      <w:r w:rsidRPr="007F292F">
        <w:rPr>
          <w:b/>
        </w:rPr>
        <w:t>C</w:t>
      </w:r>
      <w:r w:rsidR="00344DEF" w:rsidRPr="007F292F">
        <w:rPr>
          <w:b/>
        </w:rPr>
        <w:t>omment</w:t>
      </w:r>
      <w:r w:rsidRPr="007F292F">
        <w:rPr>
          <w:b/>
        </w:rPr>
        <w:t>:</w:t>
      </w:r>
      <w:r>
        <w:t xml:space="preserve"> </w:t>
      </w:r>
      <w:r w:rsidR="00344DEF" w:rsidRPr="00344DEF">
        <w:t>The sponsor’s conclusions are accepted.</w:t>
      </w:r>
    </w:p>
    <w:p w:rsidR="00344DEF" w:rsidRPr="00344DEF" w:rsidRDefault="00344DEF" w:rsidP="00FE2237">
      <w:pPr>
        <w:pStyle w:val="Heading3"/>
      </w:pPr>
      <w:bookmarkStart w:id="33" w:name="_Toc481586183"/>
      <w:r w:rsidRPr="00344DEF">
        <w:t>GS-US-236-0115</w:t>
      </w:r>
      <w:bookmarkEnd w:id="33"/>
    </w:p>
    <w:p w:rsidR="00344DEF" w:rsidRPr="00344DEF" w:rsidRDefault="00344DEF" w:rsidP="00FE2237">
      <w:pPr>
        <w:pStyle w:val="Heading4"/>
      </w:pPr>
      <w:r w:rsidRPr="00344DEF">
        <w:t xml:space="preserve">Safety </w:t>
      </w:r>
      <w:r w:rsidR="007F292F">
        <w:t>a</w:t>
      </w:r>
      <w:r w:rsidRPr="00344DEF">
        <w:t>nalysis</w:t>
      </w:r>
    </w:p>
    <w:p w:rsidR="00344DEF" w:rsidRPr="00344DEF" w:rsidRDefault="00344DEF" w:rsidP="00344DEF">
      <w:r w:rsidRPr="00344DEF">
        <w:t xml:space="preserve">This comprised baseline and post baseline analysis of AEs, clinical laboratory tests (chemistry, haematology, </w:t>
      </w:r>
      <w:r w:rsidR="00315C61" w:rsidRPr="00344DEF">
        <w:t>and urinalysis</w:t>
      </w:r>
      <w:r w:rsidRPr="00344DEF">
        <w:t>), ECGs, height, weight, vital signs and physical examination. Summaries of treatment</w:t>
      </w:r>
      <w:r w:rsidR="00FE2237">
        <w:t xml:space="preserve"> </w:t>
      </w:r>
      <w:r w:rsidRPr="00344DEF">
        <w:t>emergent AEs were provided by treatment group using the SAS. AE subgroup analyses were undertaken by age (&lt; 40 and ≥ 40 years), sex, race (</w:t>
      </w:r>
      <w:r w:rsidR="00B90068">
        <w:t>White</w:t>
      </w:r>
      <w:r w:rsidRPr="00344DEF">
        <w:t xml:space="preserve"> and non-</w:t>
      </w:r>
      <w:r w:rsidR="00B90068">
        <w:t>White</w:t>
      </w:r>
      <w:r w:rsidRPr="00344DEF">
        <w:t>), NNRTI at screening (EFV and non-EFV) and number of prior ARV regimens (1, 2, or &gt; 2). Clinically significant renal AEs and laboratory parameters were considered as AEs of interest and assessed for association with PRT. Laboratory data (clinical chemistry and haematology) were summarised using descriptive statistics. To identify potential subclinical kidney disease, an analysis of renal laboratory abnormalities was performed to identify possible glomerular dysfunction. Results for other safety data were summarised or provided in listings.</w:t>
      </w:r>
    </w:p>
    <w:p w:rsidR="00344DEF" w:rsidRPr="00344DEF" w:rsidRDefault="00344DEF" w:rsidP="00FE2237">
      <w:pPr>
        <w:pStyle w:val="Heading4"/>
      </w:pPr>
      <w:r w:rsidRPr="00344DEF">
        <w:t xml:space="preserve">Safety </w:t>
      </w:r>
      <w:r w:rsidR="007F292F">
        <w:t>r</w:t>
      </w:r>
      <w:r w:rsidRPr="00344DEF">
        <w:t>esults</w:t>
      </w:r>
    </w:p>
    <w:p w:rsidR="00344DEF" w:rsidRPr="00344DEF" w:rsidRDefault="00344DEF" w:rsidP="00344DEF">
      <w:r w:rsidRPr="00344DEF">
        <w:t>The SAS comprised 293 subjects receiving STB and 140 receiving SBR (ritonavir</w:t>
      </w:r>
      <w:r w:rsidR="00FE2237">
        <w:t xml:space="preserve"> </w:t>
      </w:r>
      <w:r w:rsidRPr="00344DEF">
        <w:t>boosted P</w:t>
      </w:r>
      <w:r w:rsidR="00FE2237">
        <w:t>I</w:t>
      </w:r>
      <w:r w:rsidRPr="00344DEF">
        <w:t xml:space="preserve">n plus FTC/TDF). Data are provided showing that the median duration of exposure was 71.9 weeks (51.3-83.7) with STB and 70.7 weeks (48.1-83.3) with SBR 48.1-83.3. The majority of subjects in each group received study drug for ≥ 144 weeks (STB: 82.6%, 242/293; SBR: 78.6%, 110/140). A summary of the safety data provided by </w:t>
      </w:r>
      <w:r w:rsidR="00FE2237">
        <w:t>the sponsor is presented below.</w:t>
      </w:r>
    </w:p>
    <w:p w:rsidR="00344DEF" w:rsidRPr="00344DEF" w:rsidRDefault="007F292F" w:rsidP="00FE2237">
      <w:pPr>
        <w:pStyle w:val="Heading5"/>
      </w:pPr>
      <w:r>
        <w:t>Adverse events</w:t>
      </w:r>
    </w:p>
    <w:p w:rsidR="00344DEF" w:rsidRPr="00344DEF" w:rsidRDefault="00344DEF" w:rsidP="00344DEF">
      <w:r w:rsidRPr="00344DEF">
        <w:t xml:space="preserve">The summary of AEs is presented in the table below. It is noted that, as expected, when comparing virologically suppressed subjects switching to a new regimen with those </w:t>
      </w:r>
      <w:r w:rsidR="00106BD8">
        <w:t>SBR</w:t>
      </w:r>
      <w:r w:rsidRPr="00344DEF">
        <w:t>, higher %s in the switch group (STB) had any AE reported: STB 79.2%/232 of 293 subjects; SBR 74.3%, 104/140) and any AE assessed as treatment related (STB: 24.9%, 73/323; SBR 6.4%, 9/140).</w:t>
      </w:r>
    </w:p>
    <w:p w:rsidR="007F292F" w:rsidRDefault="00FE2237" w:rsidP="00FE2237">
      <w:pPr>
        <w:pStyle w:val="Tabletitle"/>
        <w:keepLines/>
      </w:pPr>
      <w:r>
        <w:lastRenderedPageBreak/>
        <w:t xml:space="preserve">Table 32: GS-US-236-0115: Overall </w:t>
      </w:r>
      <w:r w:rsidR="007F292F">
        <w:t>summary of adverse events (safety analysis set)</w:t>
      </w:r>
    </w:p>
    <w:p w:rsidR="00FE2237" w:rsidRPr="00344DEF" w:rsidRDefault="00FE2237" w:rsidP="003426B8">
      <w:r w:rsidRPr="007F292F">
        <w:rPr>
          <w:noProof/>
          <w:lang w:eastAsia="en-AU"/>
        </w:rPr>
        <w:drawing>
          <wp:inline distT="0" distB="0" distL="0" distR="0" wp14:anchorId="3C697256" wp14:editId="34542DC0">
            <wp:extent cx="5514975" cy="3888336"/>
            <wp:effectExtent l="0" t="0" r="0" b="0"/>
            <wp:docPr id="48" name="Picture 48" descr="Table 32: GS-US-236-0115: Overall summary of adverse event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14975" cy="3888336"/>
                    </a:xfrm>
                    <a:prstGeom prst="rect">
                      <a:avLst/>
                    </a:prstGeom>
                    <a:noFill/>
                    <a:ln>
                      <a:noFill/>
                    </a:ln>
                  </pic:spPr>
                </pic:pic>
              </a:graphicData>
            </a:graphic>
          </wp:inline>
        </w:drawing>
      </w:r>
    </w:p>
    <w:p w:rsidR="00FE2237" w:rsidRPr="00FE2237" w:rsidRDefault="00FE2237" w:rsidP="00FE2237">
      <w:r w:rsidRPr="00FE2237">
        <w:t xml:space="preserve">The most common AEs </w:t>
      </w:r>
      <w:r>
        <w:t>by treatment group were:</w:t>
      </w:r>
    </w:p>
    <w:p w:rsidR="00FE2237" w:rsidRPr="00FE2237" w:rsidRDefault="00FE2237" w:rsidP="00FE2237">
      <w:pPr>
        <w:pStyle w:val="ListBullet"/>
      </w:pPr>
      <w:r w:rsidRPr="00FE2237">
        <w:t>STB: nasopharyngitis (11.9%/35 subjects), URTI (8.2%/24), diarrhoea (7.2%/21) and nausea (7.2%/21).</w:t>
      </w:r>
    </w:p>
    <w:p w:rsidR="00FE2237" w:rsidRPr="00FE2237" w:rsidRDefault="00FE2237" w:rsidP="00FE2237">
      <w:pPr>
        <w:pStyle w:val="ListBullet"/>
      </w:pPr>
      <w:r w:rsidRPr="00FE2237">
        <w:t>SBR: nasopharyngitis (10.0%/14 subjects), diarrhoea (7.9%/11), headache (6.4%/9) and depression (5.7%/8).</w:t>
      </w:r>
    </w:p>
    <w:p w:rsidR="00FE2237" w:rsidRPr="00FE2237" w:rsidRDefault="00FE2237" w:rsidP="00FE2237">
      <w:r w:rsidRPr="00FE2237">
        <w:t>No AE was reported with a ≥ 5% difference in %s between groups. Most AEs in either group were mild or moderate in severity. Similar %s of subjects in each group had any Grade 2, 3, or 4 AE (STB 45.4%; SBR 40.7%), or any Grade 3 or 4 AE reported (STB 4.1%; SBR 7.9%). No Grade 3 or 4 AEs were reported for ≥1% of subjects in either group.</w:t>
      </w:r>
    </w:p>
    <w:p w:rsidR="00FE2237" w:rsidRPr="00FE2237" w:rsidRDefault="00FE2237" w:rsidP="00FE2237">
      <w:r w:rsidRPr="00FE2237">
        <w:t>A higher % of subjects with STB had any AE assessed as treatment related (STB 24.9%, 73/293; SBR 6.4%, 9/140). Most were Grade 1 in severity. The % with treatment related Grade 2, 3, or 4 AEs were low, STB 3.8% and SBR 1.4%, and there were few Grade 3 or 4 AEs, STB 0.7% and SBR 0%. With STB, the most common treatment related AEs were nausea (3.4%/10 subjects), flatulence (2.4%/7), and hypercholesterolemia (1.7%/5). With SBR, the only treatment related AE that occurred in &gt;1 subject was haematuria (1.4%/2 subjects).</w:t>
      </w:r>
    </w:p>
    <w:p w:rsidR="00FE2237" w:rsidRPr="00FE2237" w:rsidRDefault="00FE2237" w:rsidP="00FE2237">
      <w:r w:rsidRPr="00FE2237">
        <w:t>No subject with STB experienced a clinically significant renal event, namely a renal SAE or AE resulting in discontinuation. 1 subject receiving SBR had an AE of decreased GFR resulting in discontinuation. No subject met the criteria for subclinical kidney disease. In both groups, all subjects had ≤ 1 treatment-emergent confirmed renal laboratory abnormality.</w:t>
      </w:r>
    </w:p>
    <w:p w:rsidR="00FE2237" w:rsidRPr="00FE2237" w:rsidRDefault="00FE2237" w:rsidP="00FE2237">
      <w:r w:rsidRPr="00FE2237">
        <w:t>Data provided on subgroup analyses of AEs by age, sex, race, PI at screening, and number of prior ARV regimens showed the following key results:</w:t>
      </w:r>
    </w:p>
    <w:p w:rsidR="00FE2237" w:rsidRPr="00FE2237" w:rsidRDefault="00FE2237" w:rsidP="00FE2237">
      <w:pPr>
        <w:pStyle w:val="ListBullet"/>
      </w:pPr>
      <w:r w:rsidRPr="00FE2237">
        <w:t xml:space="preserve">With STB and SBR, the %s of subjects experiencing any AE </w:t>
      </w:r>
      <w:r w:rsidR="007F292F">
        <w:t>was</w:t>
      </w:r>
      <w:r w:rsidRPr="00FE2237">
        <w:t xml:space="preserve"> slightly higher in the subgroup receiving DRV compared with ATV or LPV at screening.</w:t>
      </w:r>
    </w:p>
    <w:p w:rsidR="007C1172" w:rsidRPr="00FE2237" w:rsidRDefault="00FE2237" w:rsidP="007C1172">
      <w:pPr>
        <w:pStyle w:val="ListBullet"/>
        <w:autoSpaceDE w:val="0"/>
        <w:autoSpaceDN w:val="0"/>
        <w:adjustRightInd w:val="0"/>
        <w:spacing w:before="0" w:after="0" w:line="240" w:lineRule="auto"/>
        <w:rPr>
          <w:rFonts w:eastAsiaTheme="minorHAnsi" w:cstheme="minorBidi"/>
          <w:sz w:val="24"/>
          <w:szCs w:val="24"/>
        </w:rPr>
      </w:pPr>
      <w:r w:rsidRPr="00FE2237">
        <w:lastRenderedPageBreak/>
        <w:t>There were no notable differences in the %s of subjects with any AE in subjects &lt; 40 and ≥ 40 yea</w:t>
      </w:r>
      <w:r>
        <w:t>rs and by sex with STB and SBR.</w:t>
      </w:r>
    </w:p>
    <w:p w:rsidR="00D66354" w:rsidRPr="00D66354" w:rsidRDefault="00D66354" w:rsidP="00D66354">
      <w:pPr>
        <w:pStyle w:val="ListBullet"/>
      </w:pPr>
      <w:r w:rsidRPr="00D66354">
        <w:t>In non</w:t>
      </w:r>
      <w:r>
        <w:t>-</w:t>
      </w:r>
      <w:r w:rsidR="00B90068">
        <w:t>White</w:t>
      </w:r>
      <w:r w:rsidRPr="00D66354">
        <w:t xml:space="preserve"> subjects, the %s with any AE was slightly higher than </w:t>
      </w:r>
      <w:r w:rsidR="00B90068">
        <w:t>White</w:t>
      </w:r>
      <w:r w:rsidRPr="00D66354">
        <w:t xml:space="preserve"> subjects with STB (non</w:t>
      </w:r>
      <w:r>
        <w:t>-</w:t>
      </w:r>
      <w:r w:rsidR="00B90068">
        <w:t>White</w:t>
      </w:r>
      <w:r w:rsidRPr="00D66354">
        <w:t xml:space="preserve"> 86.0%, 49/57) and slightly lower than </w:t>
      </w:r>
      <w:r w:rsidR="00B90068">
        <w:t>White</w:t>
      </w:r>
      <w:r w:rsidRPr="00D66354">
        <w:t xml:space="preserve"> subjects with SBR (non</w:t>
      </w:r>
      <w:r>
        <w:t>-</w:t>
      </w:r>
      <w:r w:rsidR="00B90068">
        <w:t>White</w:t>
      </w:r>
      <w:r w:rsidRPr="00D66354">
        <w:t xml:space="preserve"> 68.0%, 17/25 subjects); it is noted that the numbers of non</w:t>
      </w:r>
      <w:r>
        <w:t>-</w:t>
      </w:r>
      <w:r w:rsidR="00B90068">
        <w:t>White</w:t>
      </w:r>
      <w:r w:rsidRPr="00D66354">
        <w:t xml:space="preserve"> subjects with SBR was relatively small with the difference unlikely to be clinically meaningful as the study drugs were generally well tolerated overall.</w:t>
      </w:r>
    </w:p>
    <w:p w:rsidR="00D66354" w:rsidRPr="00D66354" w:rsidRDefault="00D66354" w:rsidP="00D66354">
      <w:pPr>
        <w:pStyle w:val="ListBullet"/>
      </w:pPr>
      <w:r w:rsidRPr="00D66354">
        <w:t>The % of subjects with any AE who received 2 prior regimens with SBR group was lower than those receiving 1 or 2 prior regimens with STB and 1 prior regimen with SBR group.</w:t>
      </w:r>
    </w:p>
    <w:p w:rsidR="00D66354" w:rsidRPr="00D66354" w:rsidRDefault="00D66354" w:rsidP="00D66354">
      <w:r w:rsidRPr="00D66354">
        <w:t>Also:</w:t>
      </w:r>
    </w:p>
    <w:p w:rsidR="00D66354" w:rsidRPr="00D66354" w:rsidRDefault="00D66354" w:rsidP="00D66354">
      <w:pPr>
        <w:pStyle w:val="ListBullet"/>
      </w:pPr>
      <w:r w:rsidRPr="00D66354">
        <w:t>There was 1 death. This occurred in a subject receiving SBR who died of bronchial carcinoma and was assessed as not treatment related.</w:t>
      </w:r>
    </w:p>
    <w:p w:rsidR="00D66354" w:rsidRPr="00D66354" w:rsidRDefault="00D66354" w:rsidP="00D66354">
      <w:pPr>
        <w:pStyle w:val="ListBullet"/>
      </w:pPr>
      <w:r w:rsidRPr="00D66354">
        <w:t>SAEs were reported for similar %s in both groups: STB 5.8%, 17/293 subjects; SBR 6.4%, 9/140. No SAE was reported in &gt; 1 subject in either group. 2 subjects receiving STB had SAEs assessed as treatment related. These were attempted suicide and major depression, and, Hodgkin’s disease.</w:t>
      </w:r>
    </w:p>
    <w:p w:rsidR="00D66354" w:rsidRPr="00D66354" w:rsidRDefault="00D66354" w:rsidP="00D66354">
      <w:pPr>
        <w:pStyle w:val="ListBullet"/>
      </w:pPr>
      <w:r w:rsidRPr="00D66354">
        <w:t>There were few discontinuations due to AEs in either group: STB 2.0%, 6/293 subjects; SBR 2.9%, 4/140.</w:t>
      </w:r>
    </w:p>
    <w:p w:rsidR="00D66354" w:rsidRPr="00D66354" w:rsidRDefault="00D66354" w:rsidP="00D66354">
      <w:pPr>
        <w:pStyle w:val="Heading5"/>
        <w:rPr>
          <w:rFonts w:eastAsiaTheme="minorHAnsi"/>
        </w:rPr>
      </w:pPr>
      <w:r w:rsidRPr="00D66354">
        <w:rPr>
          <w:rFonts w:eastAsiaTheme="minorHAnsi"/>
        </w:rPr>
        <w:t xml:space="preserve">Clinical </w:t>
      </w:r>
      <w:r w:rsidR="007F292F">
        <w:rPr>
          <w:rFonts w:eastAsiaTheme="minorHAnsi"/>
        </w:rPr>
        <w:t>laboratory evaluations</w:t>
      </w:r>
    </w:p>
    <w:p w:rsidR="00D66354" w:rsidRPr="00D66354" w:rsidRDefault="00D66354" w:rsidP="00D66354">
      <w:r w:rsidRPr="00D66354">
        <w:t xml:space="preserve">There were no clinically relevant trends in the median of change from baseline for haematology and clinical chemistry parameters (excluding renal laboratory and fasting lipid parameters, which are summarised separately) parameters in either group up to </w:t>
      </w:r>
      <w:r>
        <w:t>W</w:t>
      </w:r>
      <w:r w:rsidRPr="00D66354">
        <w:t>eek 48. Most subjects had at least 1 laboratory abnormality (STB 85.0%, 249/293 subjects; SBR 89.9%, 125/139) the majority of which were Grade 1 or 2 in severity. Grade 3 or 4 abnormalities were reported for a lower % with STB (14.3%/42) than SBR (23.0%/32), predominantly due to the higher incidence of hyperbilirubinaemia with SBR (STB 0%; SBR 12.2%/17). All hyperbilirubinaemia with SBR occurred in subjects taking ATV consistent with the known profile of this drug. The most common laboratory abnormalities were:</w:t>
      </w:r>
    </w:p>
    <w:p w:rsidR="00D66354" w:rsidRPr="00D66354" w:rsidRDefault="00D66354" w:rsidP="00D66354">
      <w:pPr>
        <w:pStyle w:val="ListBullet"/>
      </w:pPr>
      <w:r w:rsidRPr="00D66354">
        <w:t>STB: urine protein (33.1%, 97/293), and increases in total cholesterol (31.8%, 91/286) and ALT (29.4%, 86/293).</w:t>
      </w:r>
    </w:p>
    <w:p w:rsidR="00D66354" w:rsidRPr="00D66354" w:rsidRDefault="00D66354" w:rsidP="00D66354">
      <w:pPr>
        <w:pStyle w:val="ListBullet"/>
      </w:pPr>
      <w:r w:rsidRPr="00D66354">
        <w:t>SBR: increases in total cholesterol (38.3%, 51/133) and total bilirubin (23.0%, 32/139) and urine protein (27.3%, 38/139).</w:t>
      </w:r>
    </w:p>
    <w:p w:rsidR="00D66354" w:rsidRPr="00D66354" w:rsidRDefault="00D66354" w:rsidP="00D66354">
      <w:r w:rsidRPr="00D66354">
        <w:t>Laboratory abnormalities occurring in notably different %s (≥ 5%) by treatment group were:</w:t>
      </w:r>
    </w:p>
    <w:p w:rsidR="00D66354" w:rsidRPr="00D66354" w:rsidRDefault="00D66354" w:rsidP="00D66354">
      <w:pPr>
        <w:pStyle w:val="ListBullet"/>
      </w:pPr>
      <w:r w:rsidRPr="00D66354">
        <w:t>Higher with STB: urine protein, increased ALT and gamma glutamyltransferase (GGT).</w:t>
      </w:r>
    </w:p>
    <w:p w:rsidR="00D66354" w:rsidRPr="00D66354" w:rsidRDefault="00D66354" w:rsidP="00D66354">
      <w:pPr>
        <w:pStyle w:val="ListBullet"/>
      </w:pPr>
      <w:r w:rsidRPr="00D66354">
        <w:t>Lower with STB: increased total cholesterol and total bilirubin.</w:t>
      </w:r>
    </w:p>
    <w:p w:rsidR="00D66354" w:rsidRPr="00D66354" w:rsidRDefault="00D66354" w:rsidP="00D66354">
      <w:r w:rsidRPr="00D66354">
        <w:t>Lipase testing was only performed in subjects with total amylase &gt; 1.5 x the ULN. The % with lipase abnormalities was 40.0% (6/15) in those receiving STB and none with SBR. Grade 3 or 4 abnormalities of ALT and GGT were reported for a similar % of subjects in each group. All were non</w:t>
      </w:r>
      <w:r w:rsidR="00FC4F83">
        <w:t>-</w:t>
      </w:r>
      <w:r w:rsidRPr="00D66354">
        <w:t>serious and no action was taken with study drug in relation to these AEs.</w:t>
      </w:r>
    </w:p>
    <w:p w:rsidR="00D66354" w:rsidRDefault="00D66354" w:rsidP="00D66354">
      <w:pPr>
        <w:pStyle w:val="Heading6"/>
      </w:pPr>
      <w:r>
        <w:t xml:space="preserve">Renal </w:t>
      </w:r>
      <w:r w:rsidR="007F292F">
        <w:t>laboratory parameters</w:t>
      </w:r>
    </w:p>
    <w:p w:rsidR="00D66354" w:rsidRPr="00D66354" w:rsidRDefault="00D66354" w:rsidP="00D66354">
      <w:pPr>
        <w:pStyle w:val="ListBullet"/>
      </w:pPr>
      <w:r w:rsidRPr="00D66354">
        <w:t xml:space="preserve">Creatinine: With STB, there was an increase (0.04 mg/dL) in Scr from a baseline median of 0.95 mg/dL by </w:t>
      </w:r>
      <w:r>
        <w:t>W</w:t>
      </w:r>
      <w:r w:rsidRPr="00D66354">
        <w:t>eek 4 that generally stabilised and was non</w:t>
      </w:r>
      <w:r>
        <w:t>-</w:t>
      </w:r>
      <w:r w:rsidRPr="00D66354">
        <w:t xml:space="preserve">progressive up to </w:t>
      </w:r>
      <w:r>
        <w:t>W</w:t>
      </w:r>
      <w:r w:rsidRPr="00D66354">
        <w:t xml:space="preserve">eek 48 (median change 0.07 mg/dL). There were no notable trends in the change from baseline for Scr with SBR. There were few graded Scr abnormalities in both groups. All were </w:t>
      </w:r>
      <w:r>
        <w:t>G</w:t>
      </w:r>
      <w:r w:rsidRPr="00D66354">
        <w:t>rade 1 and none were reported as AEs.</w:t>
      </w:r>
    </w:p>
    <w:p w:rsidR="00D66354" w:rsidRPr="00D66354" w:rsidRDefault="00D66354" w:rsidP="00D66354">
      <w:pPr>
        <w:pStyle w:val="ListBullet"/>
      </w:pPr>
      <w:r w:rsidRPr="00D66354">
        <w:lastRenderedPageBreak/>
        <w:t>Phosphorus: There were no clinically relevant trends in the median of change from baseline in serum phosphorus values in either group. Graded serum phosphorous abnormalities (hypophosphatemia) were reported for similar % in each group the majority of which were Grade 1 or 2 in severity with none reported as AEs.</w:t>
      </w:r>
    </w:p>
    <w:p w:rsidR="00D66354" w:rsidRPr="00D66354" w:rsidRDefault="00D66354" w:rsidP="00D66354">
      <w:pPr>
        <w:pStyle w:val="ListBullet"/>
      </w:pPr>
      <w:r w:rsidRPr="00D66354">
        <w:t>Estimated Glomerular Filtration Rate: With STB, there was a median change of 5.2 mL/min in eGFR</w:t>
      </w:r>
      <w:r w:rsidRPr="00D66354">
        <w:rPr>
          <w:vertAlign w:val="subscript"/>
        </w:rPr>
        <w:t>CG</w:t>
      </w:r>
      <w:r w:rsidRPr="00D66354">
        <w:t xml:space="preserve"> from a baseline median of 111.2 mL/min by </w:t>
      </w:r>
      <w:r>
        <w:t>W</w:t>
      </w:r>
      <w:r w:rsidRPr="00D66354">
        <w:t>eek 4; this generally stabilised and was non</w:t>
      </w:r>
      <w:r>
        <w:t>-</w:t>
      </w:r>
      <w:r w:rsidRPr="00D66354">
        <w:t xml:space="preserve">progressive with a median change from baseline of 7.5 mL/min </w:t>
      </w:r>
      <w:r>
        <w:t>at W</w:t>
      </w:r>
      <w:r w:rsidRPr="00D66354">
        <w:t>eek 48. A similar pattern was seen for eGFR</w:t>
      </w:r>
      <w:r w:rsidRPr="00D66354">
        <w:rPr>
          <w:vertAlign w:val="subscript"/>
        </w:rPr>
        <w:t>MDRD</w:t>
      </w:r>
      <w:r w:rsidRPr="00D66354">
        <w:t>. There were no notable trends in the change from baseline for eGFR</w:t>
      </w:r>
      <w:r w:rsidRPr="00D66354">
        <w:rPr>
          <w:vertAlign w:val="subscript"/>
        </w:rPr>
        <w:t>CG</w:t>
      </w:r>
      <w:r w:rsidRPr="00D66354">
        <w:t xml:space="preserve"> with SBR. 2 subjects (1 in each group) had AEs of decreased GFR both of which were non</w:t>
      </w:r>
      <w:r>
        <w:t>-</w:t>
      </w:r>
      <w:r w:rsidRPr="00D66354">
        <w:t>serious and assessed as treatment related. The subject receiving SBR discontinued.</w:t>
      </w:r>
    </w:p>
    <w:p w:rsidR="00E823CB" w:rsidRPr="00E823CB" w:rsidRDefault="00E823CB" w:rsidP="002A7715">
      <w:pPr>
        <w:pStyle w:val="ListBullet"/>
      </w:pPr>
      <w:r w:rsidRPr="00E823CB">
        <w:t>Glycosuria: Graded urine glucose abnormalities were reported for a similar % with STB (1.7%, 5/293) and SBR (3.6%, 5/139). Grade 3 abnormalities were reported in 2 subjects, 1 in each group and were associat</w:t>
      </w:r>
      <w:r w:rsidR="002A7715">
        <w:t>ed with hyperglycaemia in both.</w:t>
      </w:r>
    </w:p>
    <w:p w:rsidR="00E823CB" w:rsidRPr="00E823CB" w:rsidRDefault="00E823CB" w:rsidP="002A7715">
      <w:pPr>
        <w:pStyle w:val="ListBullet"/>
      </w:pPr>
      <w:r w:rsidRPr="00E823CB">
        <w:t>Proteinuria: Graded urine protein abnormalities were reported for a slightly higher % with STB (33.1%, 97/293) than SBR (27.3%, 38/139). All except for 1 were Grade 1 or 2 in severity. 5 subjects receiving STB and 3 receiving SBR group had AEs of proteinuria. All were non</w:t>
      </w:r>
      <w:r w:rsidR="002A7715">
        <w:t>-</w:t>
      </w:r>
      <w:r w:rsidRPr="00E823CB">
        <w:t>serious and no action was taken with study drug.</w:t>
      </w:r>
    </w:p>
    <w:p w:rsidR="00E823CB" w:rsidRPr="00E823CB" w:rsidRDefault="00E823CB" w:rsidP="002A7715">
      <w:pPr>
        <w:pStyle w:val="Heading6"/>
      </w:pPr>
      <w:r w:rsidRPr="00E823CB">
        <w:t xml:space="preserve">Fasting </w:t>
      </w:r>
      <w:r w:rsidR="007F292F" w:rsidRPr="00E823CB">
        <w:t>glucose and lipid parameters</w:t>
      </w:r>
    </w:p>
    <w:p w:rsidR="00E823CB" w:rsidRPr="00E823CB" w:rsidRDefault="00E823CB" w:rsidP="00E823CB">
      <w:r w:rsidRPr="00E823CB">
        <w:t>There were no notable changes from baseline with STB or SBR for fasting glucose, LDL cholesterol, HDL cholesterol or the ratio of fasting total:</w:t>
      </w:r>
      <w:r w:rsidR="004D60F2">
        <w:t xml:space="preserve"> </w:t>
      </w:r>
      <w:r w:rsidRPr="00E823CB">
        <w:t xml:space="preserve">HDL cholesterol up to </w:t>
      </w:r>
      <w:r w:rsidR="002A7715">
        <w:t>W</w:t>
      </w:r>
      <w:r w:rsidRPr="00E823CB">
        <w:t xml:space="preserve">eek 48. There was a decrease (improvement) in fasting triglycerides of -16 mg/dL with STB from a baseline median of 119 mg/dL up to </w:t>
      </w:r>
      <w:r w:rsidR="002A7715">
        <w:t>W</w:t>
      </w:r>
      <w:r w:rsidRPr="00E823CB">
        <w:t xml:space="preserve">eek 48 with no notable change in those receiving SBR with a baseline median of 128 mg/dL and median change up to </w:t>
      </w:r>
      <w:r w:rsidR="002A7715">
        <w:t>W</w:t>
      </w:r>
      <w:r w:rsidRPr="00E823CB">
        <w:t>eek 48 of 3 mg/dL. The between group differences for these changes from baseline were statistically significant at all time points: p ≤ 0.005. Subgroup analyses showed that this was mainly driven by subjects who switched to STB from regimens containing LPV or ATV at screening. Abnormalities in fasting glucose and lipid parameters were generally isolated and transient. Similar and small %s of subjects in each group had laboratory abnormalities in serum glucose (hyper- and hypoglycaemia). The % with hypercholesterolaemia was lower with STB (31.8%, 91/286) than SBR (38.3%, 51/133) and Grade 3 or 4 hypercholesterolaemia was uncommon in both. Similar small %s of subjects in each group had hypertriglyceridemia. Lipid-related AEs were uncommon in both groups. All were non</w:t>
      </w:r>
      <w:r w:rsidR="002A7715">
        <w:t>-</w:t>
      </w:r>
      <w:r w:rsidRPr="00E823CB">
        <w:t>serious and did not result in study discontinuation.</w:t>
      </w:r>
    </w:p>
    <w:p w:rsidR="00E823CB" w:rsidRPr="00E823CB" w:rsidRDefault="00E823CB" w:rsidP="002A7715">
      <w:pPr>
        <w:pStyle w:val="Heading5"/>
      </w:pPr>
      <w:r w:rsidRPr="00E823CB">
        <w:t xml:space="preserve">Vital </w:t>
      </w:r>
      <w:r w:rsidR="004D60F2" w:rsidRPr="00E823CB">
        <w:t>signs, physical findings, and other</w:t>
      </w:r>
      <w:r w:rsidR="004D60F2">
        <w:t xml:space="preserve"> observations related to safety</w:t>
      </w:r>
    </w:p>
    <w:p w:rsidR="00E823CB" w:rsidRPr="00E823CB" w:rsidRDefault="00E823CB" w:rsidP="00E823CB">
      <w:r w:rsidRPr="00E823CB">
        <w:t>There were no clinically relevant trends in the median of change from baseline for body weight and no clinically relevant changes in any vital signs parameter during the study.</w:t>
      </w:r>
    </w:p>
    <w:p w:rsidR="002A7715" w:rsidRPr="002A7715" w:rsidRDefault="002A7715" w:rsidP="002A7715">
      <w:r w:rsidRPr="002A7715">
        <w:t>The sponsor concluded that:</w:t>
      </w:r>
    </w:p>
    <w:p w:rsidR="002A7715" w:rsidRPr="002A7715" w:rsidRDefault="002A7715" w:rsidP="002A7715">
      <w:pPr>
        <w:pStyle w:val="ListBullet"/>
      </w:pPr>
      <w:r w:rsidRPr="002A7715">
        <w:t>STB and SBR were generally well tolerated as shown by infrequent discontinuations due to AEs and low incidence of study drug-related SAEs. There were no clinically significant renal events (i</w:t>
      </w:r>
      <w:r>
        <w:t>.</w:t>
      </w:r>
      <w:r w:rsidRPr="002A7715">
        <w:t>e</w:t>
      </w:r>
      <w:r>
        <w:t>.</w:t>
      </w:r>
      <w:r w:rsidRPr="002A7715">
        <w:t xml:space="preserve"> SAEs or AEs leading to discontinuation) with STB.</w:t>
      </w:r>
    </w:p>
    <w:p w:rsidR="002A7715" w:rsidRPr="002A7715" w:rsidRDefault="002A7715" w:rsidP="002A7715">
      <w:pPr>
        <w:pStyle w:val="ListBullet"/>
      </w:pPr>
      <w:r w:rsidRPr="002A7715">
        <w:t>No new safety issues were identified.</w:t>
      </w:r>
    </w:p>
    <w:p w:rsidR="002A7715" w:rsidRPr="002A7715" w:rsidRDefault="004D60F2" w:rsidP="004D60F2">
      <w:pPr>
        <w:pStyle w:val="Comment"/>
      </w:pPr>
      <w:r w:rsidRPr="004D60F2">
        <w:rPr>
          <w:b/>
        </w:rPr>
        <w:t>C</w:t>
      </w:r>
      <w:r w:rsidR="002A7715" w:rsidRPr="004D60F2">
        <w:rPr>
          <w:b/>
        </w:rPr>
        <w:t>omment</w:t>
      </w:r>
      <w:r w:rsidRPr="004D60F2">
        <w:rPr>
          <w:b/>
        </w:rPr>
        <w:t>:</w:t>
      </w:r>
      <w:r>
        <w:t xml:space="preserve"> </w:t>
      </w:r>
      <w:r w:rsidR="002A7715" w:rsidRPr="002A7715">
        <w:t>The sponsor’s conclusions are accepted.</w:t>
      </w:r>
    </w:p>
    <w:p w:rsidR="002A7715" w:rsidRPr="002A7715" w:rsidRDefault="002A7715" w:rsidP="002A7715">
      <w:pPr>
        <w:pStyle w:val="Heading3"/>
        <w:rPr>
          <w:rFonts w:eastAsiaTheme="minorHAnsi"/>
        </w:rPr>
      </w:pPr>
      <w:bookmarkStart w:id="34" w:name="_Toc481586184"/>
      <w:r w:rsidRPr="002A7715">
        <w:rPr>
          <w:rFonts w:eastAsiaTheme="minorHAnsi"/>
        </w:rPr>
        <w:lastRenderedPageBreak/>
        <w:t>GS-US-236-0121</w:t>
      </w:r>
      <w:bookmarkEnd w:id="34"/>
    </w:p>
    <w:p w:rsidR="002A7715" w:rsidRPr="002A7715" w:rsidRDefault="002A7715" w:rsidP="002A7715">
      <w:pPr>
        <w:pStyle w:val="Heading4"/>
      </w:pPr>
      <w:r w:rsidRPr="002A7715">
        <w:t xml:space="preserve">Safety </w:t>
      </w:r>
      <w:r w:rsidR="004D60F2">
        <w:t>a</w:t>
      </w:r>
      <w:r w:rsidRPr="002A7715">
        <w:t>nalysis</w:t>
      </w:r>
    </w:p>
    <w:p w:rsidR="002A7715" w:rsidRPr="002A7715" w:rsidRDefault="002A7715" w:rsidP="002A7715">
      <w:r w:rsidRPr="002A7715">
        <w:t xml:space="preserve">This was the same as that undertaken for </w:t>
      </w:r>
      <w:r>
        <w:t>S</w:t>
      </w:r>
      <w:r w:rsidRPr="002A7715">
        <w:t xml:space="preserve">tudy GS-US-236-0115 described in </w:t>
      </w:r>
      <w:r>
        <w:t>S</w:t>
      </w:r>
      <w:r w:rsidRPr="002A7715">
        <w:t>ection 6.4 above. In addition, rash and nervous system and psychiatric symptoms were assessed as important AEs.</w:t>
      </w:r>
    </w:p>
    <w:p w:rsidR="002A7715" w:rsidRPr="002A7715" w:rsidRDefault="002A7715" w:rsidP="002A7715">
      <w:pPr>
        <w:pStyle w:val="Heading4"/>
      </w:pPr>
      <w:r w:rsidRPr="002A7715">
        <w:t xml:space="preserve">Safety </w:t>
      </w:r>
      <w:r w:rsidR="004D60F2">
        <w:t>r</w:t>
      </w:r>
      <w:r w:rsidRPr="002A7715">
        <w:t>esults</w:t>
      </w:r>
    </w:p>
    <w:p w:rsidR="002A7715" w:rsidRPr="002A7715" w:rsidRDefault="002A7715" w:rsidP="002A7715">
      <w:r w:rsidRPr="002A7715">
        <w:t>The SAS comprised 291 subjects receiving STB and 143 receiving SBR (NNRTI plus FTC and tenofovir DF). The median duration of exposure to study drug was 60.6 weeks (48.6</w:t>
      </w:r>
      <w:r>
        <w:t xml:space="preserve"> to </w:t>
      </w:r>
      <w:r w:rsidRPr="002A7715">
        <w:t>72.9 weeks) with STB and 61.0 weeks (48.1</w:t>
      </w:r>
      <w:r>
        <w:t xml:space="preserve"> to </w:t>
      </w:r>
      <w:r w:rsidRPr="002A7715">
        <w:t>73.7 weeks) with SBR. The majority of subjects in each group received study drug for ≥ 48 weeks (STB 84.9%, 247/291 subjects; SBR 81.8%, 117/143).</w:t>
      </w:r>
    </w:p>
    <w:p w:rsidR="002A7715" w:rsidRPr="002A7715" w:rsidRDefault="002A7715" w:rsidP="002A7715">
      <w:pPr>
        <w:pStyle w:val="Heading4"/>
      </w:pPr>
      <w:r w:rsidRPr="002A7715">
        <w:t xml:space="preserve">Adverse </w:t>
      </w:r>
      <w:r w:rsidR="004D60F2">
        <w:t>e</w:t>
      </w:r>
      <w:r w:rsidRPr="002A7715">
        <w:t>vents</w:t>
      </w:r>
    </w:p>
    <w:p w:rsidR="002A7715" w:rsidRPr="002A7715" w:rsidRDefault="002A7715" w:rsidP="002A7715">
      <w:pPr>
        <w:rPr>
          <w:rFonts w:eastAsiaTheme="minorHAnsi" w:cstheme="minorBidi"/>
          <w:sz w:val="24"/>
          <w:szCs w:val="24"/>
        </w:rPr>
      </w:pPr>
      <w:r w:rsidRPr="002A7715">
        <w:t xml:space="preserve">It is noted that, as expected, when comparing virologically suppressed subjects switching to a new regimen with those </w:t>
      </w:r>
      <w:r w:rsidR="00106BD8">
        <w:t>SBR</w:t>
      </w:r>
      <w:r w:rsidRPr="002A7715">
        <w:t>, higher %s in the switch group (STB) had any AE reported (STB 81.4%, 237/291; SBR 74.8%, 107/143) and any AE considered related to study drug by the investigator (STB 23.4%/68; SBR 6.3%/9). A summary of AEs i</w:t>
      </w:r>
      <w:r>
        <w:t>s presented in the table below.</w:t>
      </w:r>
    </w:p>
    <w:p w:rsidR="004D60F2" w:rsidRDefault="002A7715" w:rsidP="002A7715">
      <w:pPr>
        <w:pStyle w:val="Tabletitle"/>
        <w:keepLines/>
      </w:pPr>
      <w:r>
        <w:t xml:space="preserve">Table 33: GS-US-236-0121: Overall </w:t>
      </w:r>
      <w:r w:rsidR="004D60F2">
        <w:t>summary of adverse events (safety analysis set</w:t>
      </w:r>
      <w:r>
        <w:t>)</w:t>
      </w:r>
    </w:p>
    <w:p w:rsidR="002A7715" w:rsidRDefault="002A7715" w:rsidP="004D60F2">
      <w:r w:rsidRPr="004D60F2">
        <w:rPr>
          <w:noProof/>
          <w:lang w:eastAsia="en-AU"/>
        </w:rPr>
        <w:drawing>
          <wp:inline distT="0" distB="0" distL="0" distR="0" wp14:anchorId="1F6DFF99" wp14:editId="59F3530B">
            <wp:extent cx="5413248" cy="3510409"/>
            <wp:effectExtent l="0" t="0" r="0" b="0"/>
            <wp:docPr id="49" name="Picture 49" descr="Table 33: GS-US-236-0121: Overall summary of adverse event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10151" cy="3508401"/>
                    </a:xfrm>
                    <a:prstGeom prst="rect">
                      <a:avLst/>
                    </a:prstGeom>
                    <a:noFill/>
                    <a:ln>
                      <a:noFill/>
                    </a:ln>
                  </pic:spPr>
                </pic:pic>
              </a:graphicData>
            </a:graphic>
          </wp:inline>
        </w:drawing>
      </w:r>
    </w:p>
    <w:p w:rsidR="002A7715" w:rsidRPr="002A7715" w:rsidRDefault="002A7715" w:rsidP="002A7715">
      <w:r w:rsidRPr="002A7715">
        <w:t>The most common AEs occu</w:t>
      </w:r>
      <w:r>
        <w:t>rring in ≥ 5% of subjects were:</w:t>
      </w:r>
    </w:p>
    <w:p w:rsidR="002A7715" w:rsidRPr="002A7715" w:rsidRDefault="002A7715" w:rsidP="002A7715">
      <w:pPr>
        <w:pStyle w:val="ListBullet"/>
      </w:pPr>
      <w:r w:rsidRPr="002A7715">
        <w:t>STB: URTI (9.6%, 28 subjects), headache (9.6%, 28), and nasopharyngitis (9.3%/27).</w:t>
      </w:r>
    </w:p>
    <w:p w:rsidR="002A7715" w:rsidRPr="002A7715" w:rsidRDefault="002A7715" w:rsidP="002A7715">
      <w:pPr>
        <w:pStyle w:val="ListBullet"/>
      </w:pPr>
      <w:r w:rsidRPr="002A7715">
        <w:t>SBR: nasopharyngitis (9.8%, 14 subjects), diarrhoea</w:t>
      </w:r>
      <w:r w:rsidR="004D60F2">
        <w:t xml:space="preserve"> (7.0%/10) and URTI (7.0%, 10).</w:t>
      </w:r>
    </w:p>
    <w:p w:rsidR="002A7715" w:rsidRPr="002A7715" w:rsidRDefault="002A7715" w:rsidP="002A7715">
      <w:r w:rsidRPr="002A7715">
        <w:t>Headache and nausea were the only AEs reported for a notably higher % with STB than SBR.</w:t>
      </w:r>
    </w:p>
    <w:p w:rsidR="002A7715" w:rsidRPr="002A7715" w:rsidRDefault="002A7715" w:rsidP="002A7715">
      <w:r w:rsidRPr="002A7715">
        <w:t>Most AEs reported in either treatment group were Grade 1 or 2 in severity. In both there were similar %s with Grade 2, 3, or 4 AEs or any Grade 3 or 4 AE reported.</w:t>
      </w:r>
    </w:p>
    <w:p w:rsidR="002A7715" w:rsidRPr="002A7715" w:rsidRDefault="002A7715" w:rsidP="002A7715">
      <w:r w:rsidRPr="002A7715">
        <w:t xml:space="preserve">A higher % with STB (23.4%, 68/291) had any AE assessed as treatment related than with SBR (6.3%, 9/143). The majority were Grade 1 in severity. The %s with Grade 2, 3, or 4 related AEs were low with STB (5.5%/16) and SBR (1.4%/2). With STB, the most common AEs assessed as </w:t>
      </w:r>
      <w:r w:rsidRPr="002A7715">
        <w:lastRenderedPageBreak/>
        <w:t>treatment related were nausea (4.8%/14), headache (3.4%/10) and diarrhoea (2.4%/7). With SBR, the only AE assessed as related occurring in &gt; 1 subject was abnormal dreams (1.4%/2). There were small numbers of subjects with Grade 2 and 3 AEs and no Grade 4 events assessed as related.</w:t>
      </w:r>
    </w:p>
    <w:p w:rsidR="002A7715" w:rsidRPr="002A7715" w:rsidRDefault="002A7715" w:rsidP="002A7715">
      <w:r w:rsidRPr="002A7715">
        <w:t>Clinically significant renal events (renal SAEs and AEs leading to discontinuation) were uncommon. 2 subjects receiving STB had renal AEs (acquired Fanconi syndrome and increased blood creatinine) resulting in discontinuation. There was 1 with SBR, acute renal failure. No subjects met the criteria for subclinical kidney disease. All except the subject with Fanconi syndrome, had no confirmed treatment emergent abnormalities or had a single confirmed abnormality that, in isolation, did not constitute a marker of kidney damage.</w:t>
      </w:r>
    </w:p>
    <w:p w:rsidR="002A7715" w:rsidRPr="002A7715" w:rsidRDefault="002A7715" w:rsidP="002A7715">
      <w:r w:rsidRPr="002A7715">
        <w:t>Nervous system or psychiatric events, and rash events, were designated important AEs. The % with nervous system or psychiatric AEs was higher with STB (26.8%, 78/291) than SBR (17.5%, 25/143). There was a similar pattern in subjects on EFV at screening. The most common important nervous system or psychiatric AEs were:</w:t>
      </w:r>
    </w:p>
    <w:p w:rsidR="002A7715" w:rsidRPr="002A7715" w:rsidRDefault="002A7715" w:rsidP="00BE63AA">
      <w:pPr>
        <w:pStyle w:val="ListBullet"/>
      </w:pPr>
      <w:r w:rsidRPr="002A7715">
        <w:t>STB: headache (9.6%, 28/291), insomnia (5.8</w:t>
      </w:r>
      <w:r w:rsidR="00BE63AA">
        <w:t>%/17) and depression (3.8%/11).</w:t>
      </w:r>
    </w:p>
    <w:p w:rsidR="002A7715" w:rsidRPr="002A7715" w:rsidRDefault="002A7715" w:rsidP="00BE63AA">
      <w:pPr>
        <w:pStyle w:val="ListBullet"/>
      </w:pPr>
      <w:r w:rsidRPr="002A7715">
        <w:t>SBR: insomnia (4.9%, 7/143), headache (3.5%/5) and abnormal dreams (2.8%/4)</w:t>
      </w:r>
      <w:r w:rsidR="00BE63AA">
        <w:t>.</w:t>
      </w:r>
    </w:p>
    <w:p w:rsidR="002A7715" w:rsidRPr="002A7715" w:rsidRDefault="002A7715" w:rsidP="002A7715">
      <w:r w:rsidRPr="002A7715">
        <w:t>6 subjects with STB and none with SBR had Grade 3 or 4 nervous system or psychiatric AEs. 1 subject had a Grade 3 psychiatric AE (depression) assessed as treatment related. 6 subjects with STB and none with SBR had nervous system or psychiatric SAEs.</w:t>
      </w:r>
    </w:p>
    <w:p w:rsidR="00BE63AA" w:rsidRPr="00BE63AA" w:rsidRDefault="00BE63AA" w:rsidP="00BE63AA">
      <w:r w:rsidRPr="00BE63AA">
        <w:t>A similar % of subjects with STB (8.2%, 24 of 291) and SBR (4.2%, 6 of 143) reported any rash AE. All were Grade 1 or 2 in severity. No subject discontinued because of a rash event or had a rash SAE. The most frequently reported were:</w:t>
      </w:r>
    </w:p>
    <w:p w:rsidR="00BE63AA" w:rsidRPr="00BE63AA" w:rsidRDefault="00BE63AA" w:rsidP="00BE63AA">
      <w:pPr>
        <w:pStyle w:val="ListBullet"/>
      </w:pPr>
      <w:r w:rsidRPr="00BE63AA">
        <w:t>STB: rash (3.4%, 10/291), pruritis (2.7%/81) and rash pruritic (0.7%/2).</w:t>
      </w:r>
    </w:p>
    <w:p w:rsidR="00BE63AA" w:rsidRPr="00BE63AA" w:rsidRDefault="00BE63AA" w:rsidP="00BE63AA">
      <w:pPr>
        <w:pStyle w:val="ListBullet"/>
      </w:pPr>
      <w:r w:rsidRPr="00BE63AA">
        <w:t xml:space="preserve">SBR: rash (2.1%, 3/143), erythema, rash erythematous, rash </w:t>
      </w:r>
      <w:proofErr w:type="gramStart"/>
      <w:r w:rsidRPr="00BE63AA">
        <w:t>pustular,</w:t>
      </w:r>
      <w:proofErr w:type="gramEnd"/>
      <w:r w:rsidRPr="00BE63AA">
        <w:t xml:space="preserve"> and skin ulcer (each 0.7%, 1/143).</w:t>
      </w:r>
    </w:p>
    <w:p w:rsidR="00BE63AA" w:rsidRPr="00BE63AA" w:rsidRDefault="00BE63AA" w:rsidP="00BE63AA">
      <w:r w:rsidRPr="00BE63AA">
        <w:t xml:space="preserve">Subgroup analysis by age, sex, race, NNRTI at screening, and number of prior ARV regimens showed that overall the AE profiles for STB and SBR were similar across the subgroups of age, sex, race, and number of prior regimens. With STB and SBR, the %s of subjects experiencing any AE </w:t>
      </w:r>
      <w:r w:rsidR="004D60F2">
        <w:t>was</w:t>
      </w:r>
      <w:r w:rsidRPr="00BE63AA">
        <w:t xml:space="preserve"> lower in subjects on EFV at screening compared with those who were not.</w:t>
      </w:r>
    </w:p>
    <w:p w:rsidR="00BE63AA" w:rsidRPr="00BE63AA" w:rsidRDefault="00BE63AA" w:rsidP="00BE63AA">
      <w:r w:rsidRPr="00BE63AA">
        <w:t>Also:</w:t>
      </w:r>
    </w:p>
    <w:p w:rsidR="00BE63AA" w:rsidRPr="00BE63AA" w:rsidRDefault="00BE63AA" w:rsidP="00BE63AA">
      <w:pPr>
        <w:pStyle w:val="ListBullet"/>
      </w:pPr>
      <w:r w:rsidRPr="00BE63AA">
        <w:t>There was 1 death due to suicide in the STB treatment group assessed as not treatment related.</w:t>
      </w:r>
    </w:p>
    <w:p w:rsidR="00BE63AA" w:rsidRPr="00BE63AA" w:rsidRDefault="00BE63AA" w:rsidP="00BE63AA">
      <w:pPr>
        <w:pStyle w:val="ListBullet"/>
      </w:pPr>
      <w:r w:rsidRPr="00BE63AA">
        <w:t>SAEs were reported for similar %s with STB (4.8%, 14/291) and SBR (4.2%, 6/143) with none assessed as treatment related.</w:t>
      </w:r>
    </w:p>
    <w:p w:rsidR="00BE63AA" w:rsidRPr="00BE63AA" w:rsidRDefault="00BE63AA" w:rsidP="00BE63AA">
      <w:pPr>
        <w:pStyle w:val="ListBullet"/>
      </w:pPr>
      <w:r w:rsidRPr="00BE63AA">
        <w:t>There were few discontinuations due to AEs with STB (2.1%, 6/291) and SBR (0.7%, 1/143); these were assessed as treatment related in 3 subjects with STB and in the 1 with SBR.</w:t>
      </w:r>
    </w:p>
    <w:p w:rsidR="00BE63AA" w:rsidRPr="00BE63AA" w:rsidRDefault="00BE63AA" w:rsidP="00AD504A">
      <w:pPr>
        <w:pStyle w:val="Heading5"/>
        <w:rPr>
          <w:rFonts w:eastAsiaTheme="minorHAnsi"/>
        </w:rPr>
      </w:pPr>
      <w:r w:rsidRPr="00BE63AA">
        <w:rPr>
          <w:rFonts w:eastAsiaTheme="minorHAnsi"/>
        </w:rPr>
        <w:t xml:space="preserve">Clinical </w:t>
      </w:r>
      <w:r w:rsidR="004D60F2">
        <w:rPr>
          <w:rFonts w:eastAsiaTheme="minorHAnsi"/>
        </w:rPr>
        <w:t>laboratory evaluations</w:t>
      </w:r>
    </w:p>
    <w:p w:rsidR="00BE63AA" w:rsidRPr="00BE63AA" w:rsidRDefault="00BE63AA" w:rsidP="00BE63AA">
      <w:r w:rsidRPr="00BE63AA">
        <w:t>There were no clinically relevant trends in the median of change from baseline for haematology and clinical chemistry (excluding renal laboratory and fasting lipid parameters, which are summarised separately) parameters in either group up to w eek 48. Most subjects had at least 1 laboratory abnormality: STB 84.4%, 2</w:t>
      </w:r>
      <w:r w:rsidR="004D60F2">
        <w:t xml:space="preserve">43 out of 288 subjects; SBR 86.4%, 121 out of </w:t>
      </w:r>
      <w:r w:rsidRPr="00BE63AA">
        <w:t>140. The majority were Grade 1 or 2 in severity. The most common abnormalities by treatment group were:</w:t>
      </w:r>
    </w:p>
    <w:p w:rsidR="00BE63AA" w:rsidRPr="00BE63AA" w:rsidRDefault="004D60F2" w:rsidP="00AD504A">
      <w:pPr>
        <w:pStyle w:val="ListBullet"/>
      </w:pPr>
      <w:r>
        <w:lastRenderedPageBreak/>
        <w:t xml:space="preserve">STB: urine protein (33.0%, 95 out of </w:t>
      </w:r>
      <w:r w:rsidR="00BE63AA" w:rsidRPr="00BE63AA">
        <w:t>288) and, increased total cholesterol (28.6%, 82</w:t>
      </w:r>
      <w:r>
        <w:t xml:space="preserve">out of 287) and ALT (21.2%, 61 out of </w:t>
      </w:r>
      <w:r w:rsidR="00BE63AA" w:rsidRPr="00BE63AA">
        <w:t>288)</w:t>
      </w:r>
      <w:r w:rsidR="003426B8">
        <w:t>.</w:t>
      </w:r>
    </w:p>
    <w:p w:rsidR="00BE63AA" w:rsidRPr="00BE63AA" w:rsidRDefault="004D60F2" w:rsidP="00AD504A">
      <w:pPr>
        <w:pStyle w:val="ListBullet"/>
      </w:pPr>
      <w:r>
        <w:t xml:space="preserve">SBR: urine protein (30.7%, 43 out of </w:t>
      </w:r>
      <w:r w:rsidR="00BE63AA" w:rsidRPr="00BE63AA">
        <w:t>140) and, increased total cholesterol (</w:t>
      </w:r>
      <w:r>
        <w:t xml:space="preserve">35.0%, 48 out of </w:t>
      </w:r>
      <w:r w:rsidR="00BE63AA" w:rsidRPr="00BE63AA">
        <w:t>137) and ALT (23.6%, 33 of 140)</w:t>
      </w:r>
      <w:r w:rsidR="003426B8">
        <w:t>.</w:t>
      </w:r>
    </w:p>
    <w:p w:rsidR="00BE63AA" w:rsidRPr="00BE63AA" w:rsidRDefault="00BE63AA" w:rsidP="00BE63AA">
      <w:r w:rsidRPr="00BE63AA">
        <w:t>Small numbers had lipase abnormalities, 6 with STB group and 2 with SBR. These were generally transient and not associated with pancreatic or hepatic AEs. Laboratory abnormalities that occurred in notably different %s (≥ 5%) of subjects by treatment group were:</w:t>
      </w:r>
    </w:p>
    <w:p w:rsidR="00BE63AA" w:rsidRPr="00BE63AA" w:rsidRDefault="00BE63AA" w:rsidP="00AD504A">
      <w:pPr>
        <w:pStyle w:val="ListBullet"/>
      </w:pPr>
      <w:r w:rsidRPr="00BE63AA">
        <w:t>Higher with STB: Hyperuricaemia: STB 10.4%/30; SBR 3.6%/5.</w:t>
      </w:r>
    </w:p>
    <w:p w:rsidR="00BE63AA" w:rsidRPr="00BE63AA" w:rsidRDefault="00BE63AA" w:rsidP="00AD504A">
      <w:pPr>
        <w:pStyle w:val="ListBullet"/>
      </w:pPr>
      <w:r w:rsidRPr="00BE63AA">
        <w:t>Lower with STB: Elevated AST (STB 16.0%/46; SBR 21.4%/30), GGT (STB 8.0%/23; SBR 15.7%/22), serum glucose (STB 12.5%/36; SBR 17.9%/25) and total cholesterol (STB 28.6%/82; SBR 35.0%/48).</w:t>
      </w:r>
    </w:p>
    <w:p w:rsidR="00BE63AA" w:rsidRPr="00BE63AA" w:rsidRDefault="00BE63AA" w:rsidP="00BE63AA">
      <w:r w:rsidRPr="00BE63AA">
        <w:t xml:space="preserve">Apart from 1 Grade 3 abnormality, there were no notable AEs </w:t>
      </w:r>
      <w:r w:rsidR="00AD504A">
        <w:t>in the hyperuricaemia with STB.</w:t>
      </w:r>
    </w:p>
    <w:p w:rsidR="00BE63AA" w:rsidRPr="00BE63AA" w:rsidRDefault="00BE63AA" w:rsidP="00BE63AA">
      <w:r w:rsidRPr="00BE63AA">
        <w:t>Results for renal laboratory assessments are summarised as follows:</w:t>
      </w:r>
    </w:p>
    <w:p w:rsidR="00BE63AA" w:rsidRPr="00BE63AA" w:rsidRDefault="00BE63AA" w:rsidP="00AD504A">
      <w:pPr>
        <w:pStyle w:val="ListBullet"/>
      </w:pPr>
      <w:r w:rsidRPr="00BE63AA">
        <w:t xml:space="preserve">Creatinine: With STB, there was an increase from a baseline median Scr of 0.94 mg/dL of 0.10 mg/dL by </w:t>
      </w:r>
      <w:r w:rsidR="00AD504A">
        <w:t>W</w:t>
      </w:r>
      <w:r w:rsidRPr="00BE63AA">
        <w:t>eek 4 that generally stabilised and was non</w:t>
      </w:r>
      <w:r w:rsidR="00AD504A">
        <w:t>-</w:t>
      </w:r>
      <w:r w:rsidRPr="00BE63AA">
        <w:t xml:space="preserve">progressive with a median change from baseline of 0.12 mg/dL at </w:t>
      </w:r>
      <w:r w:rsidR="00AD504A">
        <w:t>W</w:t>
      </w:r>
      <w:r w:rsidRPr="00BE63AA">
        <w:t xml:space="preserve">eek 48. There was no notable change from baseline for Scr with SBR. All Scr abnormalities were Grade 1 or 2 in severity and reported for a similar % with STB </w:t>
      </w:r>
      <w:r w:rsidR="004D60F2">
        <w:t xml:space="preserve">(4.2%, 12 out of 291) and SBR (4.3%, 6 of </w:t>
      </w:r>
      <w:r w:rsidRPr="00BE63AA">
        <w:t>143 subjects). 4 subjects receiving STB had non</w:t>
      </w:r>
      <w:r w:rsidR="00AD504A">
        <w:t>-</w:t>
      </w:r>
      <w:r w:rsidRPr="00BE63AA">
        <w:t>serious AEs of elevated creatinine with 1 discontinuing due to the event.</w:t>
      </w:r>
    </w:p>
    <w:p w:rsidR="00BE63AA" w:rsidRPr="00BE63AA" w:rsidRDefault="00BE63AA" w:rsidP="00AD504A">
      <w:pPr>
        <w:pStyle w:val="ListBullet"/>
      </w:pPr>
      <w:r w:rsidRPr="00BE63AA">
        <w:t>Phosphorus: There were no clinically relevant trends in the median of change from baseline in serum phosphorus values in both groups and small numbers of serum phosphorous abnormalities (hypophosphatemia) were reported for a similar % in each. 1 subject receiving STB had an AE of hypophosphatemia.</w:t>
      </w:r>
    </w:p>
    <w:p w:rsidR="00BE63AA" w:rsidRPr="00BE63AA" w:rsidRDefault="00BE63AA" w:rsidP="00AD504A">
      <w:pPr>
        <w:pStyle w:val="ListBullet"/>
      </w:pPr>
      <w:r w:rsidRPr="00BE63AA">
        <w:t xml:space="preserve">Estimated Glomerular Filtration Rate: With STB, there was a decrease of -11.3 mL/min by </w:t>
      </w:r>
      <w:r w:rsidR="00AD504A">
        <w:t>W</w:t>
      </w:r>
      <w:r w:rsidRPr="00BE63AA">
        <w:t>eek 4 from a median baseline of 114.4 mL/min in eGFR</w:t>
      </w:r>
      <w:r w:rsidRPr="00AD504A">
        <w:rPr>
          <w:vertAlign w:val="subscript"/>
        </w:rPr>
        <w:t>CG</w:t>
      </w:r>
      <w:r w:rsidR="00AD504A">
        <w:t>.</w:t>
      </w:r>
      <w:r w:rsidRPr="00BE63AA">
        <w:t xml:space="preserve"> This generally stabilised and was non</w:t>
      </w:r>
      <w:r w:rsidR="00AD504A">
        <w:t>-</w:t>
      </w:r>
      <w:r w:rsidRPr="00BE63AA">
        <w:t xml:space="preserve">progressive with a change from baseline of -11.6 mL/min at </w:t>
      </w:r>
      <w:r w:rsidR="00AD504A">
        <w:t>W</w:t>
      </w:r>
      <w:r w:rsidRPr="00BE63AA">
        <w:t>eek 48. A similar pattern was seen for eGFR</w:t>
      </w:r>
      <w:r w:rsidRPr="00AD504A">
        <w:rPr>
          <w:vertAlign w:val="subscript"/>
        </w:rPr>
        <w:t>MDRD</w:t>
      </w:r>
      <w:r w:rsidRPr="00BE63AA">
        <w:t>. There was no notable change from baseline for eGFR</w:t>
      </w:r>
      <w:r w:rsidRPr="00AD504A">
        <w:rPr>
          <w:vertAlign w:val="subscript"/>
        </w:rPr>
        <w:t>CG</w:t>
      </w:r>
      <w:r w:rsidRPr="00BE63AA">
        <w:t xml:space="preserve"> with SBR. 1 </w:t>
      </w:r>
      <w:r w:rsidR="00AD504A">
        <w:t>subject receiving STB had a non-</w:t>
      </w:r>
      <w:r w:rsidRPr="00BE63AA">
        <w:t>serious AE of decreased GFR with no discontinuation.</w:t>
      </w:r>
    </w:p>
    <w:p w:rsidR="00AD504A" w:rsidRPr="00AD504A" w:rsidRDefault="00AD504A" w:rsidP="00AD504A">
      <w:pPr>
        <w:pStyle w:val="ListBullet"/>
      </w:pPr>
      <w:r w:rsidRPr="00AD504A">
        <w:t>Glycosuria: Abnormalities were reported for a similar % with STB (3.5%, 10/288) and SBR (2.1%, 3/140). Grade 3 abnormalities were reported in 4 subjects, 2 in each group and associated with hyperglycaemia in 3. 2 receiving STB had non</w:t>
      </w:r>
      <w:r>
        <w:t>-</w:t>
      </w:r>
      <w:r w:rsidRPr="00AD504A">
        <w:t>serious AEs of glycosuria 1 of whom discontinued due to Fanconi Syndrome.</w:t>
      </w:r>
    </w:p>
    <w:p w:rsidR="00AD504A" w:rsidRPr="00AD504A" w:rsidRDefault="00AD504A" w:rsidP="00AD504A">
      <w:pPr>
        <w:pStyle w:val="ListBullet"/>
      </w:pPr>
      <w:r w:rsidRPr="00AD504A">
        <w:t>Proteinuria: Abnormalities were reported for a similar % with STB (33.0%, 95/288) and SBR 30.7%, 43/140) all of which were Grade 1 or 2 in severity. 4 subjects receiving STB and 3 receiving SBR had non</w:t>
      </w:r>
      <w:r>
        <w:t>-</w:t>
      </w:r>
      <w:r w:rsidRPr="00AD504A">
        <w:t>serious AEs of proteinuria one of which was in a subject who discontinued due to Fanconi Syndrome.</w:t>
      </w:r>
    </w:p>
    <w:p w:rsidR="00AD504A" w:rsidRPr="00AD504A" w:rsidRDefault="00AD504A" w:rsidP="00AD504A">
      <w:pPr>
        <w:pStyle w:val="Heading6"/>
        <w:rPr>
          <w:rFonts w:eastAsiaTheme="minorHAnsi"/>
        </w:rPr>
      </w:pPr>
      <w:r w:rsidRPr="00AD504A">
        <w:rPr>
          <w:rFonts w:eastAsiaTheme="minorHAnsi"/>
        </w:rPr>
        <w:t xml:space="preserve">Fasting </w:t>
      </w:r>
      <w:r w:rsidR="004D60F2" w:rsidRPr="00AD504A">
        <w:rPr>
          <w:rFonts w:eastAsiaTheme="minorHAnsi"/>
        </w:rPr>
        <w:t>glucose and lipid parameters</w:t>
      </w:r>
    </w:p>
    <w:p w:rsidR="00AD504A" w:rsidRPr="00AD504A" w:rsidRDefault="00AD504A" w:rsidP="00AD504A">
      <w:r w:rsidRPr="00AD504A">
        <w:t xml:space="preserve">There was a small improvement in fasting total cholesterol with STB with a median change at </w:t>
      </w:r>
      <w:r>
        <w:t>W</w:t>
      </w:r>
      <w:r w:rsidRPr="00AD504A">
        <w:t xml:space="preserve">eek 48 of -5 mg/dL from a baseline median of 189 mg/dL. There was no notable change with SBR. The between group differences for changes from baseline were statistically significant at </w:t>
      </w:r>
      <w:r w:rsidR="00315C61" w:rsidRPr="00AD504A">
        <w:t>all-time</w:t>
      </w:r>
      <w:r w:rsidRPr="00AD504A">
        <w:t xml:space="preserve"> points prior to </w:t>
      </w:r>
      <w:r>
        <w:t>W</w:t>
      </w:r>
      <w:r w:rsidRPr="00AD504A">
        <w:t xml:space="preserve">eek 48 (p &lt; 0.004), and was 0.071 at </w:t>
      </w:r>
      <w:r w:rsidR="006542AF">
        <w:t>W</w:t>
      </w:r>
      <w:r w:rsidRPr="00AD504A">
        <w:t>eek 48. These differences were mainly due to changes in subjects who switched from an EFV containing regimen to STB. Similar patterns were seen for LDL and HDL cholesterol overall and by use of EFV at screening. There were no notable trends in change from baseline with STB or SBR for fasting triglycerides, fasting glucose, or the ratio of fasting total</w:t>
      </w:r>
      <w:proofErr w:type="gramStart"/>
      <w:r w:rsidRPr="00AD504A">
        <w:t>:HDL</w:t>
      </w:r>
      <w:proofErr w:type="gramEnd"/>
      <w:r w:rsidRPr="00AD504A">
        <w:t xml:space="preserve"> cholesterol. Abnormalities in fasting glucose and lipid </w:t>
      </w:r>
      <w:r w:rsidRPr="00AD504A">
        <w:lastRenderedPageBreak/>
        <w:t>parameters were generally isolated and transient. The % with hyperglycaemia was lower with STB (12.5%, 36/288) than SBR (17.9%, 25/140) and there was only 1 Grade 3 or 4 event in each group. The % with hypercholesterolaemia was lower with STB (28.6%, 82/287) than SBR (35.0%, 48/137) and there was only 2 Grade 3 or 4 hypercholesterolaemia in each group. There was a similar % of hypertriglyceridaemia with STB (2.4%, 7/287) and SBR (3.6%, 5/137). Lipid-related AEs were uncommon and reported in 1-3 subjects in either group with no associated discontinuations.</w:t>
      </w:r>
    </w:p>
    <w:p w:rsidR="00AD504A" w:rsidRPr="00AD504A" w:rsidRDefault="00AD504A" w:rsidP="00AD504A">
      <w:pPr>
        <w:pStyle w:val="Heading5"/>
        <w:rPr>
          <w:rFonts w:eastAsiaTheme="minorHAnsi"/>
        </w:rPr>
      </w:pPr>
      <w:r w:rsidRPr="00AD504A">
        <w:rPr>
          <w:rFonts w:eastAsiaTheme="minorHAnsi"/>
        </w:rPr>
        <w:t xml:space="preserve">Vital </w:t>
      </w:r>
      <w:r w:rsidR="004D60F2" w:rsidRPr="00AD504A">
        <w:rPr>
          <w:rFonts w:eastAsiaTheme="minorHAnsi"/>
        </w:rPr>
        <w:t>signs, physical findings, and other</w:t>
      </w:r>
      <w:r w:rsidR="004D60F2">
        <w:rPr>
          <w:rFonts w:eastAsiaTheme="minorHAnsi"/>
        </w:rPr>
        <w:t xml:space="preserve"> observations related to safety</w:t>
      </w:r>
    </w:p>
    <w:p w:rsidR="00AD504A" w:rsidRPr="00AD504A" w:rsidRDefault="00AD504A" w:rsidP="00AD504A">
      <w:r w:rsidRPr="00AD504A">
        <w:t>There were no clinically relevant trends in the median of change from baseline for body weight and no clinically relevant changes in any vital signs parameter during the study.</w:t>
      </w:r>
    </w:p>
    <w:p w:rsidR="00AD504A" w:rsidRPr="00AD504A" w:rsidRDefault="00AD504A" w:rsidP="00AD504A">
      <w:r w:rsidRPr="00AD504A">
        <w:t>The sponsor concluded that:</w:t>
      </w:r>
    </w:p>
    <w:p w:rsidR="00AD504A" w:rsidRPr="00AD504A" w:rsidRDefault="00AD504A" w:rsidP="00AD504A">
      <w:pPr>
        <w:pStyle w:val="ListBullet"/>
      </w:pPr>
      <w:r w:rsidRPr="00AD504A">
        <w:t>STB and SBR were generally well tolerated as shown by infrequent discontinuations due to AEs and low incidence of study drug</w:t>
      </w:r>
      <w:r>
        <w:t xml:space="preserve"> </w:t>
      </w:r>
      <w:r w:rsidRPr="00AD504A">
        <w:t>related SAEs.</w:t>
      </w:r>
    </w:p>
    <w:p w:rsidR="00AD504A" w:rsidRPr="00AD504A" w:rsidRDefault="00AD504A" w:rsidP="00AD504A">
      <w:pPr>
        <w:pStyle w:val="ListBullet"/>
      </w:pPr>
      <w:r w:rsidRPr="00AD504A">
        <w:t>The renal safety profile was consistent with that seen in previous studies.</w:t>
      </w:r>
    </w:p>
    <w:p w:rsidR="00AD504A" w:rsidRPr="00AD504A" w:rsidRDefault="00AD504A" w:rsidP="00AD504A">
      <w:pPr>
        <w:pStyle w:val="ListBullet"/>
      </w:pPr>
      <w:r w:rsidRPr="00AD504A">
        <w:t>No new safety issues were identified.</w:t>
      </w:r>
    </w:p>
    <w:p w:rsidR="00AD504A" w:rsidRPr="00AD504A" w:rsidRDefault="004D60F2" w:rsidP="004D60F2">
      <w:pPr>
        <w:pStyle w:val="Comment"/>
      </w:pPr>
      <w:r w:rsidRPr="004D60F2">
        <w:rPr>
          <w:b/>
        </w:rPr>
        <w:t>C</w:t>
      </w:r>
      <w:r w:rsidR="00AD504A" w:rsidRPr="004D60F2">
        <w:rPr>
          <w:b/>
        </w:rPr>
        <w:t>omment</w:t>
      </w:r>
      <w:r w:rsidRPr="004D60F2">
        <w:rPr>
          <w:b/>
        </w:rPr>
        <w:t>:</w:t>
      </w:r>
      <w:r>
        <w:t xml:space="preserve"> </w:t>
      </w:r>
      <w:r w:rsidR="00AD504A" w:rsidRPr="00AD504A">
        <w:t>The spon</w:t>
      </w:r>
      <w:r w:rsidR="00AD504A">
        <w:t>sor’s conclusions are accepted.</w:t>
      </w:r>
    </w:p>
    <w:p w:rsidR="00AD504A" w:rsidRPr="00AD504A" w:rsidRDefault="00AD504A" w:rsidP="00AD504A">
      <w:pPr>
        <w:pStyle w:val="Heading3"/>
        <w:rPr>
          <w:rFonts w:eastAsiaTheme="minorHAnsi"/>
        </w:rPr>
      </w:pPr>
      <w:bookmarkStart w:id="35" w:name="_Toc481586185"/>
      <w:r w:rsidRPr="00AD504A">
        <w:rPr>
          <w:rFonts w:eastAsiaTheme="minorHAnsi"/>
        </w:rPr>
        <w:t>GS-US-236-0123</w:t>
      </w:r>
      <w:bookmarkEnd w:id="35"/>
    </w:p>
    <w:p w:rsidR="00AD504A" w:rsidRPr="00AD504A" w:rsidRDefault="00AD504A" w:rsidP="00AD504A">
      <w:r w:rsidRPr="00AD504A">
        <w:t>Information on the design, objectives, treatment and inclusion criteria are presented in</w:t>
      </w:r>
      <w:r>
        <w:t xml:space="preserve"> </w:t>
      </w:r>
      <w:r w:rsidR="004D60F2">
        <w:t>the clinical efficacy s</w:t>
      </w:r>
      <w:r w:rsidR="004D60F2" w:rsidRPr="00AD504A">
        <w:t xml:space="preserve">ection </w:t>
      </w:r>
      <w:r w:rsidRPr="00AD504A">
        <w:t>of this report.</w:t>
      </w:r>
    </w:p>
    <w:p w:rsidR="00AD504A" w:rsidRPr="00AD504A" w:rsidRDefault="00AD504A" w:rsidP="00AD504A">
      <w:pPr>
        <w:pStyle w:val="Heading4"/>
      </w:pPr>
      <w:r w:rsidRPr="00AD504A">
        <w:t xml:space="preserve">Safety </w:t>
      </w:r>
      <w:r w:rsidR="004D60F2">
        <w:t>a</w:t>
      </w:r>
      <w:r w:rsidRPr="00AD504A">
        <w:t>nalysis</w:t>
      </w:r>
    </w:p>
    <w:p w:rsidR="00AD504A" w:rsidRPr="00AD504A" w:rsidRDefault="00AD504A" w:rsidP="00AD504A">
      <w:r w:rsidRPr="00AD504A">
        <w:t>This was t</w:t>
      </w:r>
      <w:r>
        <w:t>he same as that undertaken for S</w:t>
      </w:r>
      <w:r w:rsidRPr="00AD504A">
        <w:t>tudy GS-US-236-0115 described above except that subgroup analysis with and without EFV was not undertaken as it was irrelevant for this study.</w:t>
      </w:r>
    </w:p>
    <w:p w:rsidR="00AD504A" w:rsidRPr="00AD504A" w:rsidRDefault="00AD504A" w:rsidP="00AD504A">
      <w:pPr>
        <w:pStyle w:val="Heading4"/>
      </w:pPr>
      <w:r w:rsidRPr="00AD504A">
        <w:t xml:space="preserve">Safety </w:t>
      </w:r>
      <w:r w:rsidR="004D60F2">
        <w:t>r</w:t>
      </w:r>
      <w:r w:rsidRPr="00AD504A">
        <w:t>esult</w:t>
      </w:r>
      <w:r>
        <w:t>s</w:t>
      </w:r>
    </w:p>
    <w:p w:rsidR="00AD504A" w:rsidRPr="00AD504A" w:rsidRDefault="00AD504A" w:rsidP="00AD504A">
      <w:r w:rsidRPr="00AD504A">
        <w:t>The SAS comprised 48 subjects all of whom received STB. The median (Q1, Q3) duration of exposure to study drug was 48.1 weeks (48.0, 48.7 weeks). All subjects received study drug for &gt; 44 weeks. The majority of subjects (58.3%) rece</w:t>
      </w:r>
      <w:r>
        <w:t>ived study drug for &gt; 48 weeks.</w:t>
      </w:r>
    </w:p>
    <w:p w:rsidR="00AD504A" w:rsidRPr="00AD504A" w:rsidRDefault="00AD504A" w:rsidP="00AD504A">
      <w:pPr>
        <w:pStyle w:val="Heading5"/>
        <w:rPr>
          <w:rFonts w:eastAsiaTheme="minorHAnsi"/>
        </w:rPr>
      </w:pPr>
      <w:r w:rsidRPr="00AD504A">
        <w:rPr>
          <w:rFonts w:eastAsiaTheme="minorHAnsi"/>
        </w:rPr>
        <w:t>Adverse effects</w:t>
      </w:r>
    </w:p>
    <w:p w:rsidR="00AD504A" w:rsidRPr="00AD504A" w:rsidRDefault="00AD504A" w:rsidP="00AD504A">
      <w:r w:rsidRPr="00AD504A">
        <w:t>One or more AEs were reported for 43 of 48 subjects (89.6%). A summary of AEs is presented in the table below.</w:t>
      </w:r>
    </w:p>
    <w:p w:rsidR="004D60F2" w:rsidRDefault="00AD504A" w:rsidP="00AD504A">
      <w:pPr>
        <w:pStyle w:val="Tabletitle"/>
        <w:keepLines/>
      </w:pPr>
      <w:r>
        <w:lastRenderedPageBreak/>
        <w:t xml:space="preserve">Table 34: GS-US-236-0123: Overall </w:t>
      </w:r>
      <w:r w:rsidR="004D60F2">
        <w:t>summary of adverse events (safety analysis set)</w:t>
      </w:r>
    </w:p>
    <w:p w:rsidR="00BE63AA" w:rsidRDefault="00AD504A" w:rsidP="004D60F2">
      <w:r w:rsidRPr="004D60F2">
        <w:rPr>
          <w:noProof/>
          <w:lang w:eastAsia="en-AU"/>
        </w:rPr>
        <w:drawing>
          <wp:inline distT="0" distB="0" distL="0" distR="0" wp14:anchorId="66C5AB41" wp14:editId="4847C9C9">
            <wp:extent cx="5572125" cy="2601814"/>
            <wp:effectExtent l="0" t="0" r="0" b="8255"/>
            <wp:docPr id="50" name="Picture 50" descr="Table 34: GS-US-236-0123: Overall summary of adverse event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72125" cy="2601814"/>
                    </a:xfrm>
                    <a:prstGeom prst="rect">
                      <a:avLst/>
                    </a:prstGeom>
                    <a:noFill/>
                    <a:ln>
                      <a:noFill/>
                    </a:ln>
                  </pic:spPr>
                </pic:pic>
              </a:graphicData>
            </a:graphic>
          </wp:inline>
        </w:drawing>
      </w:r>
    </w:p>
    <w:p w:rsidR="00AD504A" w:rsidRPr="00AD504A" w:rsidRDefault="00AD504A" w:rsidP="00AD504A">
      <w:r w:rsidRPr="00AD504A">
        <w:t>Key findings were:</w:t>
      </w:r>
    </w:p>
    <w:p w:rsidR="00AD504A" w:rsidRPr="00AD504A" w:rsidRDefault="00AD504A" w:rsidP="000B1615">
      <w:pPr>
        <w:pStyle w:val="ListBullet"/>
      </w:pPr>
      <w:r w:rsidRPr="00AD504A">
        <w:t>The most common AEs were URTI (20.8%/10 subjects), insomnia (12.5%/6) and anxiety, diarrhoea, and fatigue (each 10.4%/5).</w:t>
      </w:r>
    </w:p>
    <w:p w:rsidR="00AD504A" w:rsidRPr="00AD504A" w:rsidRDefault="00AD504A" w:rsidP="000B1615">
      <w:pPr>
        <w:pStyle w:val="ListBullet"/>
      </w:pPr>
      <w:r w:rsidRPr="00AD504A">
        <w:t>Over 95% of AEs were Grade 1 or Grade 2 in severity. There were 2 Grade 3 AEs neither of which was assessed as treatment related. There were no Gra</w:t>
      </w:r>
      <w:r w:rsidR="000B1615">
        <w:t>de 4 AEs.</w:t>
      </w:r>
    </w:p>
    <w:p w:rsidR="00AD504A" w:rsidRPr="00AD504A" w:rsidRDefault="00AD504A" w:rsidP="000B1615">
      <w:pPr>
        <w:pStyle w:val="ListBullet"/>
      </w:pPr>
      <w:r w:rsidRPr="00AD504A">
        <w:t>AEs assessed as treatment related were reported for 25.0% of subjects. The most common AEs were fatigue (3), and abdominal discomfort, diarrhoea, dyspepsia, gastroesophageal reflux, and sleep disorder (each reported for 2 subjects).</w:t>
      </w:r>
    </w:p>
    <w:p w:rsidR="00AD504A" w:rsidRPr="00AD504A" w:rsidRDefault="00AD504A" w:rsidP="000B1615">
      <w:pPr>
        <w:pStyle w:val="ListBullet"/>
      </w:pPr>
      <w:r w:rsidRPr="00AD504A">
        <w:t>No clinically significant renal AEs were reported; no subject met the criterion for subclinical kidney disease.</w:t>
      </w:r>
    </w:p>
    <w:p w:rsidR="00AD504A" w:rsidRPr="00AD504A" w:rsidRDefault="00AD504A" w:rsidP="000B1615">
      <w:pPr>
        <w:pStyle w:val="ListBullet"/>
      </w:pPr>
      <w:r w:rsidRPr="00AD504A">
        <w:t>There were no deaths.</w:t>
      </w:r>
    </w:p>
    <w:p w:rsidR="00AD504A" w:rsidRPr="00AD504A" w:rsidRDefault="00AD504A" w:rsidP="000B1615">
      <w:pPr>
        <w:pStyle w:val="ListBullet"/>
      </w:pPr>
      <w:r w:rsidRPr="00AD504A">
        <w:t>SAEs were reported in 1 subject (2.1%)</w:t>
      </w:r>
      <w:r w:rsidR="000F310E">
        <w:t>. This</w:t>
      </w:r>
      <w:r w:rsidRPr="00AD504A">
        <w:t xml:space="preserve"> </w:t>
      </w:r>
      <w:r w:rsidR="000F310E" w:rsidRPr="00AD504A">
        <w:t>w</w:t>
      </w:r>
      <w:r w:rsidR="000F310E">
        <w:t>as</w:t>
      </w:r>
      <w:r w:rsidR="000F310E" w:rsidRPr="00AD504A">
        <w:t xml:space="preserve"> </w:t>
      </w:r>
      <w:r w:rsidRPr="00AD504A">
        <w:t>assessed as not treatment related.</w:t>
      </w:r>
    </w:p>
    <w:p w:rsidR="00AD504A" w:rsidRPr="00AD504A" w:rsidRDefault="00AD504A" w:rsidP="000B1615">
      <w:pPr>
        <w:pStyle w:val="ListBullet"/>
      </w:pPr>
      <w:r w:rsidRPr="00AD504A">
        <w:t>There were no discontinuations due to an AE.</w:t>
      </w:r>
    </w:p>
    <w:p w:rsidR="00AD504A" w:rsidRPr="00AD504A" w:rsidRDefault="00AD504A" w:rsidP="000B1615">
      <w:pPr>
        <w:pStyle w:val="ListBullet"/>
      </w:pPr>
      <w:r w:rsidRPr="00AD504A">
        <w:t>There were no notable findings in the subgroup analysis by age. The numbers of females and non</w:t>
      </w:r>
      <w:r w:rsidR="000B1615">
        <w:t>-</w:t>
      </w:r>
      <w:r w:rsidR="00B90068">
        <w:t>White</w:t>
      </w:r>
      <w:r w:rsidRPr="00AD504A">
        <w:t>s were too small for meaningful assessment of differences by sex and race.</w:t>
      </w:r>
    </w:p>
    <w:p w:rsidR="00AD504A" w:rsidRPr="00AD504A" w:rsidRDefault="00AD504A" w:rsidP="00745337">
      <w:pPr>
        <w:pStyle w:val="Heading5"/>
        <w:rPr>
          <w:rFonts w:eastAsiaTheme="minorHAnsi"/>
        </w:rPr>
      </w:pPr>
      <w:r w:rsidRPr="00AD504A">
        <w:rPr>
          <w:rFonts w:eastAsiaTheme="minorHAnsi"/>
        </w:rPr>
        <w:t xml:space="preserve">Clinical </w:t>
      </w:r>
      <w:r w:rsidR="004D60F2">
        <w:rPr>
          <w:rFonts w:eastAsiaTheme="minorHAnsi"/>
        </w:rPr>
        <w:t>laboratory evaluations</w:t>
      </w:r>
    </w:p>
    <w:p w:rsidR="00AD504A" w:rsidRPr="00AD504A" w:rsidRDefault="00AD504A" w:rsidP="00AD504A">
      <w:r w:rsidRPr="00AD504A">
        <w:t xml:space="preserve">There were no clinically relevant trends in the median of change from baseline for haematology and clinical chemistry (excluding renal laboratory and fasting lipid parameters, which are described separately) parameters up to </w:t>
      </w:r>
      <w:r w:rsidR="00C82A00">
        <w:t>W</w:t>
      </w:r>
      <w:r w:rsidRPr="00AD504A">
        <w:t>eek 48. Most subjects (91.7%, 44) had at least 1 laboratory abnormality the majority of which were Grade 1 or 2 in severity. Grade 3 or 4 abnormalities were reported for 2 subjects both of which were increased creatine kinase with neither reported as an AE.</w:t>
      </w:r>
    </w:p>
    <w:p w:rsidR="00AD504A" w:rsidRPr="00AD504A" w:rsidRDefault="00AD504A" w:rsidP="00AD504A">
      <w:r w:rsidRPr="00AD504A">
        <w:t>Results for the renal laboratory parameters are summarised as follows:</w:t>
      </w:r>
    </w:p>
    <w:p w:rsidR="00AD504A" w:rsidRPr="00AD504A" w:rsidRDefault="00AD504A" w:rsidP="00C82A00">
      <w:pPr>
        <w:pStyle w:val="ListBullet"/>
      </w:pPr>
      <w:r w:rsidRPr="00AD504A">
        <w:t xml:space="preserve">Creatinine: There was a small increase of 0.06 mg/dL from a median baseline Scr of 1.06 mg/dL by </w:t>
      </w:r>
      <w:r w:rsidR="00C82A00">
        <w:t>W</w:t>
      </w:r>
      <w:r w:rsidRPr="00AD504A">
        <w:t>eek 4 which generally stabilised and was non</w:t>
      </w:r>
      <w:r w:rsidR="00C82A00">
        <w:t>-</w:t>
      </w:r>
      <w:r w:rsidRPr="00AD504A">
        <w:t xml:space="preserve">progressive with a median change from baseline of 0.04 mg/dL at </w:t>
      </w:r>
      <w:r w:rsidR="00C82A00">
        <w:t>W</w:t>
      </w:r>
      <w:r w:rsidRPr="00AD504A">
        <w:t>eek 48. 3 subjects had Grade 1 abnormalities of increased blood creatinine. This was reported as an AE for 1 subject without any associated discontinuation.</w:t>
      </w:r>
    </w:p>
    <w:p w:rsidR="00AD504A" w:rsidRPr="00AD504A" w:rsidRDefault="00AD504A" w:rsidP="00C82A00">
      <w:pPr>
        <w:pStyle w:val="ListBullet"/>
      </w:pPr>
      <w:r w:rsidRPr="00AD504A">
        <w:lastRenderedPageBreak/>
        <w:t>Phosphorus: There was no clinically relevant trend in the median of change from baseline in serum phosphorus. Transient or intermittent hypophosphatemia (Grade 2) was reported for 4 subjects and confirmed hypophosphatemia reported for 1. None was reported as an AE.</w:t>
      </w:r>
    </w:p>
    <w:p w:rsidR="00AD504A" w:rsidRPr="00AD504A" w:rsidRDefault="00AD504A" w:rsidP="00C82A00">
      <w:pPr>
        <w:pStyle w:val="ListBullet"/>
      </w:pPr>
      <w:r w:rsidRPr="00AD504A">
        <w:t>Estimated Glomerular Filtration Rate: There was a median decrease in eGFR</w:t>
      </w:r>
      <w:r w:rsidRPr="00C82A00">
        <w:rPr>
          <w:vertAlign w:val="subscript"/>
        </w:rPr>
        <w:t>CG</w:t>
      </w:r>
      <w:r w:rsidRPr="00AD504A">
        <w:t xml:space="preserve"> of -5.0 mL/min at </w:t>
      </w:r>
      <w:r w:rsidR="00C82A00">
        <w:t>W</w:t>
      </w:r>
      <w:r w:rsidRPr="00AD504A">
        <w:t>eek 4 from a baseline median of 105.4 mL/min. This generally stabilised and was non</w:t>
      </w:r>
      <w:r w:rsidR="00C82A00">
        <w:t>-</w:t>
      </w:r>
      <w:r w:rsidRPr="00AD504A">
        <w:t xml:space="preserve">progressive with a median change from baseline of -6.2 mL/min at </w:t>
      </w:r>
      <w:r w:rsidR="00C82A00">
        <w:t>W</w:t>
      </w:r>
      <w:r w:rsidRPr="00AD504A">
        <w:t>eek 48 which was not considered clinically relevant. Results for eGFR</w:t>
      </w:r>
      <w:r w:rsidRPr="00C82A00">
        <w:rPr>
          <w:vertAlign w:val="subscript"/>
        </w:rPr>
        <w:t>MDRD</w:t>
      </w:r>
      <w:r w:rsidRPr="00AD504A">
        <w:t xml:space="preserve"> were consistent with those observed for eGFR</w:t>
      </w:r>
      <w:r w:rsidRPr="00C82A00">
        <w:rPr>
          <w:vertAlign w:val="subscript"/>
        </w:rPr>
        <w:t>CG</w:t>
      </w:r>
      <w:r w:rsidR="00C82A00">
        <w:t>.</w:t>
      </w:r>
    </w:p>
    <w:p w:rsidR="00AD504A" w:rsidRPr="00AD504A" w:rsidRDefault="00AD504A" w:rsidP="00C82A00">
      <w:pPr>
        <w:pStyle w:val="ListBullet"/>
      </w:pPr>
      <w:r w:rsidRPr="00AD504A">
        <w:t>Glycosuria: Grade 1glycosuria was observed in 2 subjects. This was transient in 1 subject and the other had a history of type 2 diabetes.</w:t>
      </w:r>
    </w:p>
    <w:p w:rsidR="00AD504A" w:rsidRPr="00AD504A" w:rsidRDefault="00AD504A" w:rsidP="00C82A00">
      <w:pPr>
        <w:pStyle w:val="ListBullet"/>
      </w:pPr>
      <w:r w:rsidRPr="00AD504A">
        <w:t>Proteinuria: Treatment</w:t>
      </w:r>
      <w:r w:rsidR="00C82A00">
        <w:t xml:space="preserve"> </w:t>
      </w:r>
      <w:r w:rsidRPr="00AD504A">
        <w:t>emergent graded proteinuria was observed for 14 subjects all of which were Grade 1 or Grade 2 in severity and generally transient. It was reported as an AE for 2 subjects with no associated discontinuations.</w:t>
      </w:r>
    </w:p>
    <w:p w:rsidR="00C82A00" w:rsidRPr="00B10B5E" w:rsidRDefault="00C82A00" w:rsidP="00B10B5E">
      <w:r w:rsidRPr="00B10B5E">
        <w:t>There were no clinically relevant changes from baseline in mean or median fasting values for glucose and lipid parameters. Abnormalities in these parameters were generally isolated and transient with no apparent pattern in their occurrence.</w:t>
      </w:r>
    </w:p>
    <w:p w:rsidR="00C82A00" w:rsidRPr="00B10B5E" w:rsidRDefault="00C82A00" w:rsidP="00B10B5E">
      <w:pPr>
        <w:pStyle w:val="Heading5"/>
        <w:rPr>
          <w:rFonts w:eastAsiaTheme="minorHAnsi"/>
        </w:rPr>
      </w:pPr>
      <w:r w:rsidRPr="00B10B5E">
        <w:rPr>
          <w:rFonts w:eastAsiaTheme="minorHAnsi"/>
        </w:rPr>
        <w:t xml:space="preserve">Vital </w:t>
      </w:r>
      <w:r w:rsidR="004D60F2" w:rsidRPr="00B10B5E">
        <w:rPr>
          <w:rFonts w:eastAsiaTheme="minorHAnsi"/>
        </w:rPr>
        <w:t>signs and other observations related to safety</w:t>
      </w:r>
    </w:p>
    <w:p w:rsidR="00C82A00" w:rsidRPr="00B10B5E" w:rsidRDefault="00C82A00" w:rsidP="00B10B5E">
      <w:r w:rsidRPr="00B10B5E">
        <w:t>There were no clinically relevant changes in vital signs parameter, change from baseline for body weight and ECG findings reported during the study.</w:t>
      </w:r>
    </w:p>
    <w:p w:rsidR="00C82A00" w:rsidRPr="00B10B5E" w:rsidRDefault="00C82A00" w:rsidP="00B10B5E">
      <w:r w:rsidRPr="00B10B5E">
        <w:t>The sponsor concluded that: “Stribild was well tolerated in this study, as evidenced by the absence of discontinuations due to AEs and study drug</w:t>
      </w:r>
      <w:r w:rsidR="00B10B5E">
        <w:t xml:space="preserve"> </w:t>
      </w:r>
      <w:r w:rsidRPr="00B10B5E">
        <w:t>related SAEs. There were no clinically relevant changes from baseline in renal parameters. No subject had laboratory findings consistent with PRT.”</w:t>
      </w:r>
    </w:p>
    <w:p w:rsidR="00C82A00" w:rsidRPr="00B10B5E" w:rsidRDefault="00C82A00" w:rsidP="00B10B5E">
      <w:pPr>
        <w:pStyle w:val="Heading3"/>
        <w:rPr>
          <w:rFonts w:eastAsiaTheme="minorHAnsi"/>
        </w:rPr>
      </w:pPr>
      <w:bookmarkStart w:id="36" w:name="_Toc481586186"/>
      <w:r w:rsidRPr="00B10B5E">
        <w:rPr>
          <w:rFonts w:eastAsiaTheme="minorHAnsi"/>
        </w:rPr>
        <w:t>E</w:t>
      </w:r>
      <w:r w:rsidR="00A1355E">
        <w:rPr>
          <w:rFonts w:eastAsiaTheme="minorHAnsi"/>
        </w:rPr>
        <w:t>valuator’s conclusion on</w:t>
      </w:r>
      <w:r w:rsidRPr="00B10B5E">
        <w:rPr>
          <w:rFonts w:eastAsiaTheme="minorHAnsi"/>
        </w:rPr>
        <w:t xml:space="preserve"> </w:t>
      </w:r>
      <w:r w:rsidR="00A1355E">
        <w:rPr>
          <w:rFonts w:eastAsiaTheme="minorHAnsi"/>
        </w:rPr>
        <w:t>safety</w:t>
      </w:r>
      <w:bookmarkEnd w:id="36"/>
    </w:p>
    <w:p w:rsidR="00C82A00" w:rsidRPr="00B10B5E" w:rsidRDefault="00C82A00" w:rsidP="00B10B5E">
      <w:r w:rsidRPr="00B10B5E">
        <w:t xml:space="preserve">The results of </w:t>
      </w:r>
      <w:r w:rsidR="00B10B5E">
        <w:t>S</w:t>
      </w:r>
      <w:r w:rsidRPr="00B10B5E">
        <w:t>tudy GS-US-236-0118 showed that in HIV-1 infected subjects with mild</w:t>
      </w:r>
      <w:r w:rsidR="00B10B5E">
        <w:t xml:space="preserve"> </w:t>
      </w:r>
      <w:r w:rsidRPr="00B10B5E">
        <w:t>to</w:t>
      </w:r>
      <w:r w:rsidR="00B10B5E">
        <w:t xml:space="preserve"> </w:t>
      </w:r>
      <w:r w:rsidRPr="00B10B5E">
        <w:t>moderate renal impairment, the renal safety profiles of COBI</w:t>
      </w:r>
      <w:r w:rsidR="00B10B5E">
        <w:t xml:space="preserve"> </w:t>
      </w:r>
      <w:r w:rsidRPr="00B10B5E">
        <w:t>containing regimens, STB or a regimen including a PI with or without TDF, were consistent with those from previous studies.</w:t>
      </w:r>
    </w:p>
    <w:p w:rsidR="00B10B5E" w:rsidRDefault="00C82A00" w:rsidP="00B10B5E">
      <w:r w:rsidRPr="00B10B5E">
        <w:t xml:space="preserve">The </w:t>
      </w:r>
      <w:r w:rsidR="00B10B5E">
        <w:t>W</w:t>
      </w:r>
      <w:r w:rsidRPr="00B10B5E">
        <w:t xml:space="preserve">eek 144 results from </w:t>
      </w:r>
      <w:r w:rsidR="00B10B5E">
        <w:t>S</w:t>
      </w:r>
      <w:r w:rsidRPr="00B10B5E">
        <w:t>tudies GS-US-236-0102 and GS-US-236-0103 continued to show a favourable safety and tolerability profile. This included clinically relevant tolerability advantages over ATR and ATV/r</w:t>
      </w:r>
      <w:r w:rsidR="00B10B5E">
        <w:t xml:space="preserve"> </w:t>
      </w:r>
      <w:r w:rsidRPr="00B10B5E">
        <w:t>+</w:t>
      </w:r>
      <w:r w:rsidR="00B10B5E">
        <w:t xml:space="preserve"> </w:t>
      </w:r>
      <w:r w:rsidRPr="00B10B5E">
        <w:t>TVD as follows:</w:t>
      </w:r>
    </w:p>
    <w:p w:rsidR="00C82A00" w:rsidRPr="00B10B5E" w:rsidRDefault="00C82A00" w:rsidP="007128A1">
      <w:pPr>
        <w:pStyle w:val="ListBullet"/>
      </w:pPr>
      <w:r w:rsidRPr="00B10B5E">
        <w:t>Lower incidence of AEs considered related to study drug</w:t>
      </w:r>
      <w:r w:rsidR="003067CB">
        <w:t>.</w:t>
      </w:r>
    </w:p>
    <w:p w:rsidR="00C82A00" w:rsidRPr="00B10B5E" w:rsidRDefault="00C82A00" w:rsidP="007128A1">
      <w:pPr>
        <w:pStyle w:val="ListBullet"/>
      </w:pPr>
      <w:r w:rsidRPr="00B10B5E">
        <w:t>Lower incidence of treatment</w:t>
      </w:r>
      <w:r w:rsidR="007128A1">
        <w:t xml:space="preserve"> </w:t>
      </w:r>
      <w:r w:rsidRPr="00B10B5E">
        <w:t>emergent Grade 3 or 4 laboratory abnormalities</w:t>
      </w:r>
      <w:r w:rsidR="003067CB">
        <w:t>.</w:t>
      </w:r>
    </w:p>
    <w:p w:rsidR="00C82A00" w:rsidRPr="00B10B5E" w:rsidRDefault="00C82A00" w:rsidP="007128A1">
      <w:pPr>
        <w:pStyle w:val="ListBullet"/>
      </w:pPr>
      <w:r w:rsidRPr="00B10B5E">
        <w:t>Smaller increases from baseline in fasting total cholesterol and LDL cholesterol versus ATR and smaller increases from baseline in fasting triglycerides versus ATV/r</w:t>
      </w:r>
      <w:r w:rsidR="007128A1">
        <w:t xml:space="preserve"> </w:t>
      </w:r>
      <w:r w:rsidRPr="00B10B5E">
        <w:t>+</w:t>
      </w:r>
      <w:r w:rsidR="007128A1">
        <w:t xml:space="preserve"> </w:t>
      </w:r>
      <w:r w:rsidRPr="00B10B5E">
        <w:t>TVD</w:t>
      </w:r>
      <w:r w:rsidR="003067CB">
        <w:t>.</w:t>
      </w:r>
    </w:p>
    <w:p w:rsidR="00C82A00" w:rsidRPr="00B10B5E" w:rsidRDefault="00C82A00" w:rsidP="007128A1">
      <w:pPr>
        <w:pStyle w:val="ListBullet"/>
      </w:pPr>
      <w:r w:rsidRPr="00B10B5E">
        <w:t>Lower incidence of neurological and psychiatric AEs versus ATR</w:t>
      </w:r>
      <w:r w:rsidR="003067CB">
        <w:t>.</w:t>
      </w:r>
    </w:p>
    <w:p w:rsidR="00C82A00" w:rsidRPr="00B10B5E" w:rsidRDefault="00C82A00" w:rsidP="007128A1">
      <w:pPr>
        <w:pStyle w:val="ListBullet"/>
      </w:pPr>
      <w:r w:rsidRPr="00B10B5E">
        <w:t>Lower incidence of rash AEs versus ATR</w:t>
      </w:r>
      <w:r w:rsidR="003067CB">
        <w:t>.</w:t>
      </w:r>
    </w:p>
    <w:p w:rsidR="00C82A00" w:rsidRPr="00B10B5E" w:rsidRDefault="00C82A00" w:rsidP="007128A1">
      <w:pPr>
        <w:pStyle w:val="ListBullet"/>
      </w:pPr>
      <w:r w:rsidRPr="00B10B5E">
        <w:t>Lower incidence of liver-related laboratory abnormalities versus ATR or ATV/r</w:t>
      </w:r>
      <w:r w:rsidR="007128A1">
        <w:t xml:space="preserve"> </w:t>
      </w:r>
      <w:r w:rsidRPr="00B10B5E">
        <w:t>+</w:t>
      </w:r>
      <w:r w:rsidR="007128A1">
        <w:t xml:space="preserve"> </w:t>
      </w:r>
      <w:r w:rsidRPr="00B10B5E">
        <w:t>TVD</w:t>
      </w:r>
      <w:r w:rsidR="003067CB">
        <w:t>.</w:t>
      </w:r>
    </w:p>
    <w:p w:rsidR="00C82A00" w:rsidRPr="00B10B5E" w:rsidRDefault="00C82A00" w:rsidP="00B10B5E">
      <w:r w:rsidRPr="00B10B5E">
        <w:t>Also:</w:t>
      </w:r>
    </w:p>
    <w:p w:rsidR="00C82A00" w:rsidRPr="00B10B5E" w:rsidRDefault="00C82A00" w:rsidP="007128A1">
      <w:pPr>
        <w:pStyle w:val="ListBullet"/>
      </w:pPr>
      <w:r w:rsidRPr="00B10B5E">
        <w:t>The renal events and changes from baseline in renal parameters were consistent with the known safety profile.</w:t>
      </w:r>
    </w:p>
    <w:p w:rsidR="00C82A00" w:rsidRPr="00B10B5E" w:rsidRDefault="00C82A00" w:rsidP="007128A1">
      <w:pPr>
        <w:pStyle w:val="ListBullet"/>
      </w:pPr>
      <w:r w:rsidRPr="00B10B5E">
        <w:t>The findings in relation to bone fractures and changes in BMD were consistent with data from other studies of TDF</w:t>
      </w:r>
      <w:r w:rsidR="007128A1">
        <w:t xml:space="preserve"> </w:t>
      </w:r>
      <w:r w:rsidRPr="00B10B5E">
        <w:t>containing regimens.</w:t>
      </w:r>
    </w:p>
    <w:p w:rsidR="007128A1" w:rsidRDefault="00C82A00" w:rsidP="00B10B5E">
      <w:r w:rsidRPr="00B10B5E">
        <w:lastRenderedPageBreak/>
        <w:t xml:space="preserve">In </w:t>
      </w:r>
      <w:r w:rsidR="007128A1">
        <w:t>S</w:t>
      </w:r>
      <w:r w:rsidRPr="00B10B5E">
        <w:t xml:space="preserve">tudies GS-US-236-0115 and GS-US-236-0121, there </w:t>
      </w:r>
      <w:proofErr w:type="gramStart"/>
      <w:r w:rsidRPr="00B10B5E">
        <w:t>were</w:t>
      </w:r>
      <w:proofErr w:type="gramEnd"/>
      <w:r w:rsidRPr="00B10B5E">
        <w:t xml:space="preserve"> higher %s of AEs with STB. This was considered to be expected when changing to a new treatment regimen. The higher % of subjects with AEs assessed as treatment related is consistent with this. Of note, there were few Grade 3 or 4 treatment related AEs. SAEs were reported for a similar % of subjects in both groups in both studies and there were few discontinuations due to AEs. In </w:t>
      </w:r>
      <w:r w:rsidR="007128A1">
        <w:t>S</w:t>
      </w:r>
      <w:r w:rsidRPr="00B10B5E">
        <w:t xml:space="preserve">tudy GS-US-236-0115 no subject with STB experienced a clinically significant renal event, namely a renal SAE or AE resulting in discontinuation and there were no notable changes in renal laboratory parameters with STB. In </w:t>
      </w:r>
      <w:r w:rsidR="007128A1">
        <w:t>S</w:t>
      </w:r>
      <w:r w:rsidRPr="00B10B5E">
        <w:t>tudy GS-US-236-0121, 2 subjects receiving STB had renal AEs (acquired Fanconi syndrome and increased blood creatinine) resulting in discontinuation. Results for laboratory evaluations (in particular fasting glucose and lipids) and nervous system, psychiatric and rash events were consistent with known information.</w:t>
      </w:r>
    </w:p>
    <w:p w:rsidR="001F38F1" w:rsidRDefault="00C82A00" w:rsidP="00B10B5E">
      <w:r w:rsidRPr="00B10B5E">
        <w:t>An overview of AEs in these studies is presented below</w:t>
      </w:r>
      <w:r w:rsidR="001F38F1">
        <w:t>.</w:t>
      </w:r>
    </w:p>
    <w:p w:rsidR="004D60F2" w:rsidRDefault="007128A1" w:rsidP="007128A1">
      <w:pPr>
        <w:pStyle w:val="Tabletitle"/>
        <w:keepLines/>
      </w:pPr>
      <w:r>
        <w:t xml:space="preserve">Table 35: GS-US-236-0115 and GS-US-236-0121: Overall </w:t>
      </w:r>
      <w:r w:rsidR="004D60F2">
        <w:t>summary of adverse events (safety analysis set)</w:t>
      </w:r>
    </w:p>
    <w:p w:rsidR="00B96D00" w:rsidRDefault="007128A1" w:rsidP="004D60F2">
      <w:r w:rsidRPr="004D60F2">
        <w:rPr>
          <w:noProof/>
          <w:lang w:eastAsia="en-AU"/>
        </w:rPr>
        <w:drawing>
          <wp:inline distT="0" distB="0" distL="0" distR="0" wp14:anchorId="0514F073" wp14:editId="0F5929BF">
            <wp:extent cx="5244998" cy="4309404"/>
            <wp:effectExtent l="0" t="0" r="0" b="0"/>
            <wp:docPr id="51" name="Picture 51" descr="Table 35: GS-US-236-0115 and GS-US-236-0121: Overall summary of adverse event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46677" cy="4310784"/>
                    </a:xfrm>
                    <a:prstGeom prst="rect">
                      <a:avLst/>
                    </a:prstGeom>
                    <a:noFill/>
                    <a:ln>
                      <a:noFill/>
                    </a:ln>
                  </pic:spPr>
                </pic:pic>
              </a:graphicData>
            </a:graphic>
          </wp:inline>
        </w:drawing>
      </w:r>
    </w:p>
    <w:p w:rsidR="007128A1" w:rsidRPr="007128A1" w:rsidRDefault="007128A1" w:rsidP="007128A1">
      <w:r w:rsidRPr="007128A1">
        <w:t>The sponsor’s conclusions summarised belo</w:t>
      </w:r>
      <w:r>
        <w:t>w are accepted: concluded that:</w:t>
      </w:r>
    </w:p>
    <w:p w:rsidR="007128A1" w:rsidRPr="007128A1" w:rsidRDefault="007128A1" w:rsidP="007128A1">
      <w:pPr>
        <w:pStyle w:val="ListBullet"/>
      </w:pPr>
      <w:r w:rsidRPr="007128A1">
        <w:t>STB and SBR were generally well tolerated as shown by infrequent discontinuations due to AEs and low incidence of study drug-related SAEs.</w:t>
      </w:r>
    </w:p>
    <w:p w:rsidR="007128A1" w:rsidRPr="007128A1" w:rsidRDefault="007128A1" w:rsidP="007128A1">
      <w:pPr>
        <w:pStyle w:val="ListBullet"/>
      </w:pPr>
      <w:r w:rsidRPr="007128A1">
        <w:t>The renal safety profile was consistent with that seen in previous studies.</w:t>
      </w:r>
    </w:p>
    <w:p w:rsidR="007128A1" w:rsidRPr="007128A1" w:rsidRDefault="007128A1" w:rsidP="007128A1">
      <w:pPr>
        <w:pStyle w:val="ListBullet"/>
      </w:pPr>
      <w:r w:rsidRPr="007128A1">
        <w:t>No new</w:t>
      </w:r>
      <w:r>
        <w:t xml:space="preserve"> safety issues were identified.</w:t>
      </w:r>
    </w:p>
    <w:p w:rsidR="007128A1" w:rsidRPr="007128A1" w:rsidRDefault="007128A1" w:rsidP="007128A1">
      <w:r w:rsidRPr="007128A1">
        <w:t xml:space="preserve">The results from </w:t>
      </w:r>
      <w:r>
        <w:t>S</w:t>
      </w:r>
      <w:r w:rsidRPr="007128A1">
        <w:t xml:space="preserve">tudy GS-US-236-0123 in which subjects switched to STB from a RAL + FTC/TDF regimen showed that STB was well tolerated and that there </w:t>
      </w:r>
      <w:proofErr w:type="gramStart"/>
      <w:r w:rsidRPr="007128A1">
        <w:t>were</w:t>
      </w:r>
      <w:proofErr w:type="gramEnd"/>
      <w:r w:rsidRPr="007128A1">
        <w:t xml:space="preserve"> no new safety issues observed. Key findings were:</w:t>
      </w:r>
    </w:p>
    <w:p w:rsidR="007128A1" w:rsidRPr="007128A1" w:rsidRDefault="007128A1" w:rsidP="007128A1">
      <w:pPr>
        <w:pStyle w:val="ListBullet"/>
      </w:pPr>
      <w:r w:rsidRPr="007128A1">
        <w:lastRenderedPageBreak/>
        <w:t>The AEs and laboratory findings reported were consistent with the known safety profile of STB.</w:t>
      </w:r>
    </w:p>
    <w:p w:rsidR="007128A1" w:rsidRPr="007128A1" w:rsidRDefault="007128A1" w:rsidP="007128A1">
      <w:pPr>
        <w:pStyle w:val="ListBullet"/>
      </w:pPr>
      <w:r w:rsidRPr="007128A1">
        <w:t xml:space="preserve">43 of 48 subjects (89.6%) experienced ≥ 1 AE; there were </w:t>
      </w:r>
      <w:r>
        <w:t>G</w:t>
      </w:r>
      <w:r w:rsidRPr="007128A1">
        <w:t xml:space="preserve">rade 3 events in 2 subjects and no </w:t>
      </w:r>
      <w:r>
        <w:t>G</w:t>
      </w:r>
      <w:r w:rsidRPr="007128A1">
        <w:t>rade 4.</w:t>
      </w:r>
    </w:p>
    <w:p w:rsidR="007128A1" w:rsidRPr="007128A1" w:rsidRDefault="007128A1" w:rsidP="007128A1">
      <w:pPr>
        <w:pStyle w:val="ListBullet"/>
      </w:pPr>
      <w:r w:rsidRPr="007128A1">
        <w:t>2 SAEs were reported neither of which were assessed as treatment related.</w:t>
      </w:r>
    </w:p>
    <w:p w:rsidR="007128A1" w:rsidRPr="007128A1" w:rsidRDefault="007128A1" w:rsidP="007128A1">
      <w:pPr>
        <w:pStyle w:val="ListBullet"/>
      </w:pPr>
      <w:r w:rsidRPr="007128A1">
        <w:t>There were no discontinuations due to an AE and no deaths.</w:t>
      </w:r>
    </w:p>
    <w:p w:rsidR="007128A1" w:rsidRPr="007128A1" w:rsidRDefault="007128A1" w:rsidP="007128A1">
      <w:pPr>
        <w:pStyle w:val="ListBullet"/>
      </w:pPr>
      <w:r w:rsidRPr="007128A1">
        <w:t>Results for renal parameters were consistent with the known profile and there were no clinically significant renal AEs.</w:t>
      </w:r>
    </w:p>
    <w:p w:rsidR="00C22678" w:rsidRDefault="00C22678" w:rsidP="00C22678">
      <w:pPr>
        <w:pStyle w:val="Heading2"/>
      </w:pPr>
      <w:bookmarkStart w:id="37" w:name="_Toc481586187"/>
      <w:r>
        <w:t>First round benefit-risk assessment</w:t>
      </w:r>
      <w:bookmarkEnd w:id="37"/>
    </w:p>
    <w:p w:rsidR="007128A1" w:rsidRPr="007128A1" w:rsidRDefault="007128A1" w:rsidP="007128A1">
      <w:pPr>
        <w:pStyle w:val="Heading3"/>
        <w:rPr>
          <w:rFonts w:eastAsiaTheme="minorHAnsi"/>
        </w:rPr>
      </w:pPr>
      <w:bookmarkStart w:id="38" w:name="_Toc481586188"/>
      <w:r w:rsidRPr="007128A1">
        <w:rPr>
          <w:rFonts w:eastAsiaTheme="minorHAnsi"/>
        </w:rPr>
        <w:t>F</w:t>
      </w:r>
      <w:r>
        <w:rPr>
          <w:rFonts w:eastAsiaTheme="minorHAnsi"/>
        </w:rPr>
        <w:t>irst round assessment of benefits</w:t>
      </w:r>
      <w:bookmarkEnd w:id="38"/>
    </w:p>
    <w:p w:rsidR="007128A1" w:rsidRPr="007128A1" w:rsidRDefault="007128A1" w:rsidP="007128A1">
      <w:r w:rsidRPr="007128A1">
        <w:t>The</w:t>
      </w:r>
      <w:r>
        <w:t xml:space="preserve"> W</w:t>
      </w:r>
      <w:r w:rsidRPr="007128A1">
        <w:t xml:space="preserve">eek 144 efficacy results for </w:t>
      </w:r>
      <w:r>
        <w:t>S</w:t>
      </w:r>
      <w:r w:rsidRPr="007128A1">
        <w:t xml:space="preserve">tudies GS-US-236-0102 and GS-US-236-0103 showed continued and similar rates of virologic success following on from the </w:t>
      </w:r>
      <w:r>
        <w:t>W</w:t>
      </w:r>
      <w:r w:rsidRPr="007128A1">
        <w:t>eek 48 results. Resistance development to ≥ 1 components of STB, ATR, or ATV/r</w:t>
      </w:r>
      <w:r>
        <w:t xml:space="preserve"> </w:t>
      </w:r>
      <w:r w:rsidRPr="007128A1">
        <w:t>+</w:t>
      </w:r>
      <w:r>
        <w:t xml:space="preserve"> </w:t>
      </w:r>
      <w:r w:rsidRPr="007128A1">
        <w:t xml:space="preserve">TVD occurred infrequently and the majority of emergent resistance was reported during the first 48 weeks of study drug treatment. As well as robust and durable efficacy, STB demonstrated a favourable safety and tolerability profile with clinically relevant advantages over </w:t>
      </w:r>
      <w:proofErr w:type="gramStart"/>
      <w:r w:rsidRPr="007128A1">
        <w:t>both ATR</w:t>
      </w:r>
      <w:proofErr w:type="gramEnd"/>
      <w:r w:rsidRPr="007128A1">
        <w:t xml:space="preserve"> and ATV/r</w:t>
      </w:r>
      <w:r>
        <w:t xml:space="preserve"> </w:t>
      </w:r>
      <w:r w:rsidRPr="007128A1">
        <w:t>+</w:t>
      </w:r>
      <w:r>
        <w:t xml:space="preserve"> </w:t>
      </w:r>
      <w:r w:rsidRPr="007128A1">
        <w:t>TVD.</w:t>
      </w:r>
    </w:p>
    <w:p w:rsidR="007128A1" w:rsidRPr="007128A1" w:rsidRDefault="007128A1" w:rsidP="007128A1">
      <w:r w:rsidRPr="007128A1">
        <w:t xml:space="preserve">In </w:t>
      </w:r>
      <w:r w:rsidR="008064FC">
        <w:t>S</w:t>
      </w:r>
      <w:r w:rsidRPr="007128A1">
        <w:t xml:space="preserve">tudies GS-US-236-0115 and GS-US-236-0121, high rates of virologic suppression were maintained to </w:t>
      </w:r>
      <w:r w:rsidR="008064FC">
        <w:t>W</w:t>
      </w:r>
      <w:r w:rsidRPr="007128A1">
        <w:t>eek 48 in subjects who switched to STB and in those who remained on their baseline regimens containing a PI + RTV + FTC/TDF or an NNRTI + FTC/TDF. In each study, results of the primary efficacy analysis using the FDA</w:t>
      </w:r>
      <w:r w:rsidR="008064FC">
        <w:t xml:space="preserve"> </w:t>
      </w:r>
      <w:r w:rsidRPr="007128A1">
        <w:t>defined snapshot algorithm demonstrated that switching to STB was non</w:t>
      </w:r>
      <w:r w:rsidR="008064FC">
        <w:t>-</w:t>
      </w:r>
      <w:r w:rsidRPr="007128A1">
        <w:t>inferior to</w:t>
      </w:r>
      <w:r w:rsidR="00317E78">
        <w:t xml:space="preserve"> SBR</w:t>
      </w:r>
      <w:r w:rsidRPr="007128A1">
        <w:t xml:space="preserve">. In </w:t>
      </w:r>
      <w:r w:rsidR="008064FC">
        <w:t>S</w:t>
      </w:r>
      <w:r w:rsidRPr="007128A1">
        <w:t>tudy GS-US-236- 0115, statistical superiority of STB over SBR (PI + RTV + FTC/TDF) was established.</w:t>
      </w:r>
    </w:p>
    <w:p w:rsidR="007128A1" w:rsidRPr="007128A1" w:rsidRDefault="007128A1" w:rsidP="007128A1">
      <w:r w:rsidRPr="007128A1">
        <w:t>In the single</w:t>
      </w:r>
      <w:r>
        <w:t xml:space="preserve"> </w:t>
      </w:r>
      <w:r w:rsidRPr="007128A1">
        <w:t xml:space="preserve">group </w:t>
      </w:r>
      <w:r>
        <w:t>S</w:t>
      </w:r>
      <w:r w:rsidRPr="007128A1">
        <w:t xml:space="preserve">tudy GS-US-236-0123, 100% of subjects who switched to STB from RAL + FTC/TDF had virologic success at </w:t>
      </w:r>
      <w:r>
        <w:t>W</w:t>
      </w:r>
      <w:r w:rsidRPr="007128A1">
        <w:t>eek 48.</w:t>
      </w:r>
    </w:p>
    <w:p w:rsidR="007128A1" w:rsidRPr="007128A1" w:rsidRDefault="007128A1" w:rsidP="007128A1">
      <w:r w:rsidRPr="007128A1">
        <w:t>There was no treatment</w:t>
      </w:r>
      <w:r>
        <w:t xml:space="preserve"> </w:t>
      </w:r>
      <w:r w:rsidRPr="007128A1">
        <w:t xml:space="preserve">emergent HIV-1 drug resistance in </w:t>
      </w:r>
      <w:r>
        <w:t>S</w:t>
      </w:r>
      <w:r w:rsidRPr="007128A1">
        <w:t xml:space="preserve">tudies GS-US-236-0115, GS-US-236-0121 and GS-US-236-0123 either in subjects switching to STB or in those </w:t>
      </w:r>
      <w:r w:rsidR="00317E78">
        <w:t>SBR</w:t>
      </w:r>
      <w:r w:rsidRPr="007128A1">
        <w:t xml:space="preserve"> through the 48 week treatment periods.</w:t>
      </w:r>
    </w:p>
    <w:p w:rsidR="007128A1" w:rsidRPr="007128A1" w:rsidRDefault="007128A1" w:rsidP="007128A1">
      <w:pPr>
        <w:pStyle w:val="Heading3"/>
        <w:rPr>
          <w:rFonts w:eastAsiaTheme="minorHAnsi"/>
        </w:rPr>
      </w:pPr>
      <w:bookmarkStart w:id="39" w:name="_Toc481586189"/>
      <w:r w:rsidRPr="007128A1">
        <w:rPr>
          <w:rFonts w:eastAsiaTheme="minorHAnsi"/>
        </w:rPr>
        <w:t>F</w:t>
      </w:r>
      <w:r>
        <w:rPr>
          <w:rFonts w:eastAsiaTheme="minorHAnsi"/>
        </w:rPr>
        <w:t>irst round assessment of risks</w:t>
      </w:r>
      <w:bookmarkEnd w:id="39"/>
    </w:p>
    <w:p w:rsidR="007128A1" w:rsidRPr="007128A1" w:rsidRDefault="007128A1" w:rsidP="007128A1">
      <w:r w:rsidRPr="007128A1">
        <w:t>Results from</w:t>
      </w:r>
      <w:r>
        <w:t xml:space="preserve"> S</w:t>
      </w:r>
      <w:r w:rsidRPr="007128A1">
        <w:t xml:space="preserve">tudies GS-US-236-0102 and GS-US-236-0103 showed that the safety profile for STB at </w:t>
      </w:r>
      <w:r>
        <w:t>W</w:t>
      </w:r>
      <w:r w:rsidRPr="007128A1">
        <w:t xml:space="preserve">eek 144 was the same as that for the </w:t>
      </w:r>
      <w:r>
        <w:t>W</w:t>
      </w:r>
      <w:r w:rsidRPr="007128A1">
        <w:t>eek 48 data. There were no new adverse drug reactions (ADRs) though the frequency of some ADRs changed. Of note, the renal safety profile was consistent with existing information and there were only several bone events not related to trauma</w:t>
      </w:r>
      <w:r>
        <w:t>.</w:t>
      </w:r>
    </w:p>
    <w:p w:rsidR="007128A1" w:rsidRPr="007128A1" w:rsidRDefault="007128A1" w:rsidP="007128A1">
      <w:r w:rsidRPr="007128A1">
        <w:t xml:space="preserve">In </w:t>
      </w:r>
      <w:r>
        <w:t>S</w:t>
      </w:r>
      <w:r w:rsidRPr="007128A1">
        <w:t>tudy GS-US-236-0118 with HIV-1 infected subjects with mild</w:t>
      </w:r>
      <w:r>
        <w:t xml:space="preserve"> </w:t>
      </w:r>
      <w:r w:rsidRPr="007128A1">
        <w:t>to</w:t>
      </w:r>
      <w:r>
        <w:t xml:space="preserve"> </w:t>
      </w:r>
      <w:r w:rsidRPr="007128A1">
        <w:t xml:space="preserve">moderate renal impairment there were no clinically relevant median changes from baseline in </w:t>
      </w:r>
      <w:r w:rsidR="00161B57">
        <w:t>C</w:t>
      </w:r>
      <w:r w:rsidRPr="007128A1">
        <w:t>ysC</w:t>
      </w:r>
      <w:r>
        <w:t xml:space="preserve"> </w:t>
      </w:r>
      <w:r w:rsidRPr="007128A1">
        <w:t>based estimates of GFR for subjects who received STB, no clinically relevant changes in creatinine</w:t>
      </w:r>
      <w:r>
        <w:t xml:space="preserve"> </w:t>
      </w:r>
      <w:r w:rsidRPr="007128A1">
        <w:t xml:space="preserve">or </w:t>
      </w:r>
      <w:r w:rsidR="00161B57">
        <w:t>C</w:t>
      </w:r>
      <w:r w:rsidRPr="007128A1">
        <w:t>ysC</w:t>
      </w:r>
      <w:r>
        <w:t xml:space="preserve"> </w:t>
      </w:r>
      <w:r w:rsidRPr="007128A1">
        <w:t>based estimates of GFR for subjects who switched RTV to COBI in the PI/co cohort, and no changes in aGFR in either cohort. Also, there were no clinically relevant changes from baseline in median values for other renal endpoints (serum phosphorus; urine FEPO</w:t>
      </w:r>
      <w:r w:rsidRPr="00D120A0">
        <w:rPr>
          <w:vertAlign w:val="subscript"/>
        </w:rPr>
        <w:t>4</w:t>
      </w:r>
      <w:r w:rsidRPr="007128A1">
        <w:t>), and few subjects had clinically relevant changes in urine glucose or urine protein. Overall renal safety results were similar for subjects in subgroups by baseline eGFR</w:t>
      </w:r>
      <w:r w:rsidRPr="007128A1">
        <w:rPr>
          <w:vertAlign w:val="subscript"/>
        </w:rPr>
        <w:t>CG</w:t>
      </w:r>
      <w:r w:rsidRPr="007128A1">
        <w:t xml:space="preserve"> (&lt; 70 mL/min and ≥ 70 mL/min).</w:t>
      </w:r>
    </w:p>
    <w:p w:rsidR="007128A1" w:rsidRPr="007128A1" w:rsidRDefault="007128A1" w:rsidP="007128A1">
      <w:r w:rsidRPr="007128A1">
        <w:lastRenderedPageBreak/>
        <w:t xml:space="preserve">In </w:t>
      </w:r>
      <w:r>
        <w:t>S</w:t>
      </w:r>
      <w:r w:rsidRPr="007128A1">
        <w:t>tudies GS-US-236-0115 and GS-US-236-0121, there were a higher % of subjects who switched to STB experiencing an AE assessed as treatment related. The AEs were consistent with the known profile. Only a few of these were Grade 3 events and there were no Grade 4 events. Discontinuations due to AEs were infrequent. Overall STB was generally well tolerated in subjects who switched and there were no new safety issues identified.</w:t>
      </w:r>
    </w:p>
    <w:p w:rsidR="007128A1" w:rsidRPr="007128A1" w:rsidRDefault="007128A1" w:rsidP="007128A1">
      <w:r w:rsidRPr="007128A1">
        <w:t xml:space="preserve">In </w:t>
      </w:r>
      <w:r>
        <w:t>S</w:t>
      </w:r>
      <w:r w:rsidRPr="007128A1">
        <w:t>tudy GS-US-236-0123 STB was well tolerated. Nearly all AEs were Grade 1 or 2 in severity with only 2 Grade 3 and none Grade 4. No subject discontinued due to an AE.</w:t>
      </w:r>
    </w:p>
    <w:p w:rsidR="007128A1" w:rsidRPr="007128A1" w:rsidRDefault="007128A1" w:rsidP="00077A03">
      <w:pPr>
        <w:pStyle w:val="Heading3"/>
        <w:rPr>
          <w:rFonts w:eastAsiaTheme="minorHAnsi"/>
        </w:rPr>
      </w:pPr>
      <w:bookmarkStart w:id="40" w:name="_Toc481586190"/>
      <w:r w:rsidRPr="007128A1">
        <w:rPr>
          <w:rFonts w:eastAsiaTheme="minorHAnsi"/>
        </w:rPr>
        <w:t>F</w:t>
      </w:r>
      <w:r w:rsidR="00077A03">
        <w:rPr>
          <w:rFonts w:eastAsiaTheme="minorHAnsi"/>
        </w:rPr>
        <w:t>irst round assessment of benefit-risk balance</w:t>
      </w:r>
      <w:bookmarkEnd w:id="40"/>
    </w:p>
    <w:p w:rsidR="007128A1" w:rsidRPr="007128A1" w:rsidRDefault="007128A1" w:rsidP="007128A1">
      <w:pPr>
        <w:autoSpaceDE w:val="0"/>
        <w:autoSpaceDN w:val="0"/>
        <w:adjustRightInd w:val="0"/>
        <w:spacing w:before="0" w:after="0" w:line="240" w:lineRule="auto"/>
        <w:rPr>
          <w:rFonts w:eastAsiaTheme="minorHAnsi" w:cs="Cambria"/>
        </w:rPr>
      </w:pPr>
      <w:r w:rsidRPr="007128A1">
        <w:rPr>
          <w:rFonts w:eastAsiaTheme="minorHAnsi" w:cs="Cambria"/>
        </w:rPr>
        <w:t xml:space="preserve">The results of </w:t>
      </w:r>
      <w:r w:rsidR="00077A03">
        <w:rPr>
          <w:rFonts w:eastAsiaTheme="minorHAnsi" w:cs="Cambria"/>
        </w:rPr>
        <w:t>S</w:t>
      </w:r>
      <w:r w:rsidRPr="007128A1">
        <w:rPr>
          <w:rFonts w:eastAsiaTheme="minorHAnsi" w:cs="Cambria"/>
        </w:rPr>
        <w:t>tudies GS-US-236-0102 and GS-US-236-0103 support the benefit</w:t>
      </w:r>
      <w:r w:rsidR="00077A03">
        <w:rPr>
          <w:rFonts w:eastAsiaTheme="minorHAnsi" w:cs="Cambria"/>
        </w:rPr>
        <w:t xml:space="preserve"> </w:t>
      </w:r>
      <w:r w:rsidRPr="007128A1">
        <w:rPr>
          <w:rFonts w:eastAsiaTheme="minorHAnsi" w:cs="Cambria"/>
        </w:rPr>
        <w:t xml:space="preserve">risk balance of use of STB in treatment naïve subjects. The results of </w:t>
      </w:r>
      <w:r w:rsidR="00077A03">
        <w:rPr>
          <w:rFonts w:eastAsiaTheme="minorHAnsi" w:cs="Cambria"/>
        </w:rPr>
        <w:t>S</w:t>
      </w:r>
      <w:r w:rsidRPr="007128A1">
        <w:rPr>
          <w:rFonts w:eastAsiaTheme="minorHAnsi" w:cs="Cambria"/>
        </w:rPr>
        <w:t>tudies GS-US-236-0115, GS-US-236-0121 and GS-US-236-0123 support the use of STB in virologically suppressed subjects</w:t>
      </w:r>
      <w:r w:rsidR="00077A03">
        <w:rPr>
          <w:rFonts w:eastAsiaTheme="minorHAnsi" w:cs="Cambria"/>
        </w:rPr>
        <w:t>.</w:t>
      </w:r>
    </w:p>
    <w:p w:rsidR="00C22678" w:rsidRDefault="00C22678" w:rsidP="00C22678">
      <w:pPr>
        <w:pStyle w:val="Heading2"/>
      </w:pPr>
      <w:bookmarkStart w:id="41" w:name="_Toc481586191"/>
      <w:r>
        <w:t>First round recommendation regarding authorisation</w:t>
      </w:r>
      <w:bookmarkEnd w:id="41"/>
    </w:p>
    <w:p w:rsidR="00077A03" w:rsidRPr="00077A03" w:rsidRDefault="00077A03" w:rsidP="00077A03">
      <w:r w:rsidRPr="00077A03">
        <w:t>It is recommended that the indications for use of STB are extended to include use in vir</w:t>
      </w:r>
      <w:r>
        <w:t>ologically suppressed subjects.</w:t>
      </w:r>
    </w:p>
    <w:p w:rsidR="00C22678" w:rsidRDefault="00C22678" w:rsidP="00C22678">
      <w:pPr>
        <w:pStyle w:val="Heading2"/>
      </w:pPr>
      <w:bookmarkStart w:id="42" w:name="_Toc481586192"/>
      <w:r>
        <w:t>Clinical questions</w:t>
      </w:r>
      <w:bookmarkEnd w:id="42"/>
    </w:p>
    <w:p w:rsidR="00077A03" w:rsidRPr="00077A03" w:rsidRDefault="00077A03" w:rsidP="00077A03">
      <w:r>
        <w:t>It is requested that:</w:t>
      </w:r>
    </w:p>
    <w:p w:rsidR="00077A03" w:rsidRPr="00077A03" w:rsidRDefault="00077A03" w:rsidP="00077A03">
      <w:pPr>
        <w:pStyle w:val="ListBullet"/>
      </w:pPr>
      <w:r w:rsidRPr="00077A03">
        <w:t>The sponsor addresses the issues regarding the PI and provides an updated PI</w:t>
      </w:r>
      <w:r>
        <w:t>. I</w:t>
      </w:r>
      <w:r w:rsidRPr="00077A03">
        <w:t>n the updated PI it is requested that the spelling is consistent with Australian norms.</w:t>
      </w:r>
    </w:p>
    <w:p w:rsidR="00077A03" w:rsidRPr="00077A03" w:rsidRDefault="00077A03" w:rsidP="00077A03">
      <w:pPr>
        <w:pStyle w:val="ListBullet"/>
      </w:pPr>
      <w:r w:rsidRPr="00077A03">
        <w:t>Provide an update on the international regulatory status of STB.</w:t>
      </w:r>
    </w:p>
    <w:p w:rsidR="00C618F7" w:rsidRDefault="00C618F7" w:rsidP="00C618F7">
      <w:pPr>
        <w:pStyle w:val="Heading2"/>
      </w:pPr>
      <w:bookmarkStart w:id="43" w:name="_Toc481586193"/>
      <w:r>
        <w:t>Second round evaluation of clinical data submitted in response to questions</w:t>
      </w:r>
      <w:bookmarkEnd w:id="43"/>
    </w:p>
    <w:p w:rsidR="008064FC" w:rsidRDefault="00077A03" w:rsidP="008064FC">
      <w:r w:rsidRPr="008064FC">
        <w:t>The sponsor did not provide an update on the regulatory status of STB. However it is noted that the US label dated December 2014 includes use of STB in virologically suppressed patients.</w:t>
      </w:r>
    </w:p>
    <w:p w:rsidR="00077A03" w:rsidRDefault="00077A03" w:rsidP="008064FC">
      <w:r w:rsidRPr="008064FC">
        <w:t>Apart from the international regulatory status update, there were no questions in relation to the clinical data and information. The first round recommendation that the indications for use of STB are extended to include use in treatment naïve and virologically suppressed subjects remains the same.</w:t>
      </w:r>
    </w:p>
    <w:p w:rsidR="000C5A6C" w:rsidRPr="008064FC" w:rsidRDefault="000C5A6C" w:rsidP="008064FC"/>
    <w:bookmarkEnd w:id="2"/>
    <w:bookmarkEnd w:id="1"/>
    <w:bookmarkEnd w:id="3"/>
    <w:p w:rsidR="008064FC" w:rsidRPr="001D043B" w:rsidRDefault="008064FC" w:rsidP="002666AC">
      <w:pPr>
        <w:sectPr w:rsidR="008064FC" w:rsidRPr="001D043B" w:rsidSect="008D770F">
          <w:headerReference w:type="even" r:id="rId63"/>
          <w:headerReference w:type="default" r:id="rId64"/>
          <w:headerReference w:type="first" r:id="rId65"/>
          <w:footerReference w:type="first" r:id="rId66"/>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DE7FE1">
        <w:trPr>
          <w:trHeight w:hRule="exact" w:val="564"/>
        </w:trPr>
        <w:tc>
          <w:tcPr>
            <w:tcW w:w="9175" w:type="dxa"/>
          </w:tcPr>
          <w:p w:rsidR="00B3567E" w:rsidRPr="00487162" w:rsidRDefault="00B3567E" w:rsidP="00DE7FE1">
            <w:pPr>
              <w:pStyle w:val="TGASignoff"/>
            </w:pPr>
            <w:r w:rsidRPr="00487162">
              <w:lastRenderedPageBreak/>
              <w:t>Therapeutic Goods Administration</w:t>
            </w:r>
          </w:p>
        </w:tc>
      </w:tr>
      <w:tr w:rsidR="00B3567E" w:rsidRPr="00487162" w:rsidTr="00DE7FE1">
        <w:trPr>
          <w:trHeight w:val="1221"/>
        </w:trPr>
        <w:tc>
          <w:tcPr>
            <w:tcW w:w="9175" w:type="dxa"/>
            <w:tcMar>
              <w:top w:w="28" w:type="dxa"/>
            </w:tcMar>
          </w:tcPr>
          <w:p w:rsidR="00B3567E" w:rsidRPr="00487162" w:rsidRDefault="00B3567E" w:rsidP="00DE7FE1">
            <w:pPr>
              <w:pStyle w:val="Address"/>
            </w:pPr>
            <w:r w:rsidRPr="00487162">
              <w:t>PO Box 100 Woden ACT 2606 Australia</w:t>
            </w:r>
          </w:p>
          <w:p w:rsidR="00B3567E" w:rsidRPr="00487162" w:rsidRDefault="00B3567E" w:rsidP="00DE7FE1">
            <w:pPr>
              <w:pStyle w:val="Address"/>
            </w:pPr>
            <w:r w:rsidRPr="00487162">
              <w:t xml:space="preserve">Email: </w:t>
            </w:r>
            <w:hyperlink r:id="rId67" w:history="1">
              <w:r w:rsidRPr="008D770F">
                <w:rPr>
                  <w:rStyle w:val="Hyperlink"/>
                </w:rPr>
                <w:t>info@tga.gov.au</w:t>
              </w:r>
            </w:hyperlink>
            <w:r w:rsidR="008B6777">
              <w:t xml:space="preserve"> </w:t>
            </w:r>
            <w:r w:rsidRPr="00487162">
              <w:t>Phone: 1800 020 653</w:t>
            </w:r>
            <w:r w:rsidR="008B6777">
              <w:t xml:space="preserve"> </w:t>
            </w:r>
            <w:r w:rsidRPr="00487162">
              <w:t>Fax: 02 6232 8605</w:t>
            </w:r>
          </w:p>
          <w:p w:rsidR="00B3567E" w:rsidRPr="008D770F" w:rsidRDefault="004B658D" w:rsidP="00DE7FE1">
            <w:pPr>
              <w:pStyle w:val="Address"/>
              <w:spacing w:line="260" w:lineRule="atLeast"/>
              <w:rPr>
                <w:b/>
                <w:color w:val="0000FF"/>
                <w:u w:val="single"/>
              </w:rPr>
            </w:pPr>
            <w:hyperlink r:id="rId68"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69"/>
      <w:headerReference w:type="default" r:id="rId70"/>
      <w:footerReference w:type="default" r:id="rId71"/>
      <w:headerReference w:type="first" r:id="rId72"/>
      <w:footerReference w:type="first" r:id="rId73"/>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7D3F" w:rsidRDefault="004E7D3F" w:rsidP="00C40A36">
      <w:pPr>
        <w:spacing w:after="0"/>
      </w:pPr>
      <w:r>
        <w:separator/>
      </w:r>
    </w:p>
  </w:endnote>
  <w:endnote w:type="continuationSeparator" w:id="0">
    <w:p w:rsidR="004E7D3F" w:rsidRDefault="004E7D3F"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4E7D3F" w:rsidRPr="00487162" w:rsidTr="007A6059">
      <w:trPr>
        <w:trHeight w:val="269"/>
      </w:trPr>
      <w:tc>
        <w:tcPr>
          <w:tcW w:w="7655" w:type="dxa"/>
          <w:tcMar>
            <w:top w:w="142" w:type="dxa"/>
            <w:bottom w:w="0" w:type="dxa"/>
          </w:tcMar>
        </w:tcPr>
        <w:p w:rsidR="004E7D3F" w:rsidRPr="00487162" w:rsidRDefault="00FA7843" w:rsidP="00C342B9">
          <w:pPr>
            <w:pStyle w:val="Footer"/>
          </w:pPr>
          <w:r w:rsidRPr="00FA7843">
            <w:t xml:space="preserve">Stribild </w:t>
          </w:r>
          <w:r w:rsidR="004E7D3F" w:rsidRPr="007A6059">
            <w:t>- Tenofovir</w:t>
          </w:r>
          <w:r w:rsidR="004E7D3F">
            <w:t xml:space="preserve"> d</w:t>
          </w:r>
          <w:r w:rsidR="004E7D3F" w:rsidRPr="007A6059">
            <w:t xml:space="preserve">isoproxil </w:t>
          </w:r>
          <w:r w:rsidR="004E7D3F">
            <w:t>f</w:t>
          </w:r>
          <w:r w:rsidR="004E7D3F" w:rsidRPr="007A6059">
            <w:t>umarate</w:t>
          </w:r>
          <w:r w:rsidR="004E7D3F">
            <w:t>/</w:t>
          </w:r>
          <w:r w:rsidR="004E7D3F" w:rsidRPr="007A6059">
            <w:t>Emtricitabine</w:t>
          </w:r>
          <w:r w:rsidR="004E7D3F">
            <w:t>/</w:t>
          </w:r>
          <w:r w:rsidR="004B658D">
            <w:t>Elvitegravir</w:t>
          </w:r>
          <w:r w:rsidR="004E7D3F">
            <w:t>/</w:t>
          </w:r>
          <w:r w:rsidR="004E7D3F" w:rsidRPr="007A6059">
            <w:t>Cobicista</w:t>
          </w:r>
          <w:r w:rsidR="004E7D3F">
            <w:t>t</w:t>
          </w:r>
          <w:r w:rsidR="004E7D3F" w:rsidRPr="007A6059">
            <w:t xml:space="preserve"> - Gilead Sciences Pty Ltd - PM-2014-01079-1-2 Extract from the CER </w:t>
          </w:r>
        </w:p>
      </w:tc>
      <w:tc>
        <w:tcPr>
          <w:tcW w:w="1206" w:type="dxa"/>
          <w:tcMar>
            <w:top w:w="142" w:type="dxa"/>
            <w:bottom w:w="0" w:type="dxa"/>
          </w:tcMar>
        </w:tcPr>
        <w:p w:rsidR="004E7D3F" w:rsidRPr="00981D66" w:rsidRDefault="004E7D3F"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4B658D">
            <w:rPr>
              <w:noProof/>
            </w:rPr>
            <w:t>91</w:t>
          </w:r>
          <w:r w:rsidRPr="00981D66">
            <w:fldChar w:fldCharType="end"/>
          </w:r>
          <w:r w:rsidRPr="00981D66">
            <w:t xml:space="preserve"> of </w:t>
          </w:r>
          <w:r w:rsidR="004B658D">
            <w:fldChar w:fldCharType="begin"/>
          </w:r>
          <w:r w:rsidR="004B658D">
            <w:instrText xml:space="preserve"> NUMPAGES  \* Arabic  \* MERGEFORMAT </w:instrText>
          </w:r>
          <w:r w:rsidR="004B658D">
            <w:fldChar w:fldCharType="separate"/>
          </w:r>
          <w:r w:rsidR="004B658D">
            <w:rPr>
              <w:noProof/>
            </w:rPr>
            <w:t>92</w:t>
          </w:r>
          <w:r w:rsidR="004B658D">
            <w:rPr>
              <w:noProof/>
            </w:rPr>
            <w:fldChar w:fldCharType="end"/>
          </w:r>
        </w:p>
      </w:tc>
    </w:tr>
  </w:tbl>
  <w:p w:rsidR="004E7D3F" w:rsidRDefault="004E7D3F"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4E7D3F" w:rsidRPr="00487162" w:rsidTr="00E45619">
      <w:trPr>
        <w:trHeight w:val="269"/>
      </w:trPr>
      <w:tc>
        <w:tcPr>
          <w:tcW w:w="4519" w:type="dxa"/>
          <w:tcBorders>
            <w:top w:val="single" w:sz="4" w:space="0" w:color="auto"/>
          </w:tcBorders>
          <w:tcMar>
            <w:top w:w="142" w:type="dxa"/>
            <w:bottom w:w="0" w:type="dxa"/>
          </w:tcMar>
        </w:tcPr>
        <w:p w:rsidR="004E7D3F" w:rsidRPr="00487162" w:rsidRDefault="004E7D3F" w:rsidP="00FE1DEE">
          <w:pPr>
            <w:pStyle w:val="Footer"/>
          </w:pPr>
          <w:r w:rsidRPr="00487162">
            <w:t>Document title, Part #, Section # - Section title</w:t>
          </w:r>
        </w:p>
        <w:p w:rsidR="004E7D3F" w:rsidRPr="00487162" w:rsidRDefault="004E7D3F" w:rsidP="00FE1DEE">
          <w:pPr>
            <w:pStyle w:val="Footer"/>
          </w:pPr>
          <w:r w:rsidRPr="00487162">
            <w:t>V1.0 October 2010</w:t>
          </w:r>
        </w:p>
      </w:tc>
      <w:tc>
        <w:tcPr>
          <w:tcW w:w="4342" w:type="dxa"/>
          <w:tcBorders>
            <w:top w:val="single" w:sz="4" w:space="0" w:color="auto"/>
          </w:tcBorders>
          <w:tcMar>
            <w:top w:w="142" w:type="dxa"/>
            <w:bottom w:w="0" w:type="dxa"/>
          </w:tcMar>
        </w:tcPr>
        <w:p w:rsidR="004E7D3F" w:rsidRPr="00487162" w:rsidRDefault="004E7D3F"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93</w:t>
            </w:r>
          </w:fldSimple>
        </w:p>
      </w:tc>
    </w:tr>
  </w:tbl>
  <w:p w:rsidR="004E7D3F" w:rsidRDefault="004E7D3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D3F" w:rsidRDefault="004E7D3F"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4E7D3F" w:rsidTr="0010601F">
      <w:trPr>
        <w:trHeight w:val="108"/>
      </w:trPr>
      <w:tc>
        <w:tcPr>
          <w:tcW w:w="8875" w:type="dxa"/>
          <w:gridSpan w:val="2"/>
          <w:tcBorders>
            <w:bottom w:val="single" w:sz="4" w:space="0" w:color="auto"/>
          </w:tcBorders>
          <w:tcMar>
            <w:right w:w="284" w:type="dxa"/>
          </w:tcMar>
        </w:tcPr>
        <w:p w:rsidR="004E7D3F" w:rsidRDefault="004E7D3F" w:rsidP="006E08B3">
          <w:pPr>
            <w:pStyle w:val="Heading3"/>
          </w:pPr>
          <w:r>
            <w:t>Copyright</w:t>
          </w:r>
        </w:p>
        <w:p w:rsidR="004E7D3F" w:rsidRDefault="004E7D3F" w:rsidP="006E08B3">
          <w:r>
            <w:rPr>
              <w:rFonts w:cs="Arial"/>
            </w:rPr>
            <w:t>©</w:t>
          </w:r>
          <w:r>
            <w:t xml:space="preserve"> Commonwealth of Australia [add year]</w:t>
          </w:r>
        </w:p>
        <w:p w:rsidR="004E7D3F" w:rsidRDefault="004E7D3F" w:rsidP="006E08B3"/>
        <w:p w:rsidR="004E7D3F" w:rsidRDefault="004E7D3F"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4E7D3F" w:rsidRDefault="004E7D3F" w:rsidP="006E08B3"/>
        <w:p w:rsidR="004E7D3F" w:rsidRDefault="004E7D3F" w:rsidP="006E08B3">
          <w:pPr>
            <w:pStyle w:val="Heading3"/>
          </w:pPr>
          <w:r>
            <w:t>Confidentiality</w:t>
          </w:r>
        </w:p>
        <w:p w:rsidR="004E7D3F" w:rsidRDefault="004E7D3F"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4E7D3F" w:rsidRDefault="004E7D3F" w:rsidP="006E08B3"/>
        <w:p w:rsidR="004E7D3F" w:rsidRDefault="004E7D3F" w:rsidP="006E08B3">
          <w:r>
            <w:t>For submission made by individuals, all personal details, other than your name, will be removed from your submission before it is published on the TGA’s Internet site.</w:t>
          </w:r>
        </w:p>
        <w:p w:rsidR="004E7D3F" w:rsidRDefault="004E7D3F" w:rsidP="006E08B3"/>
        <w:p w:rsidR="004E7D3F" w:rsidRDefault="004E7D3F" w:rsidP="006E08B3">
          <w:r>
            <w:t>In addition, a list of parties making submissions will be published. If you do not wish to be identified with your submission you must specifically request this in the space provided ib the submission coversheet.</w:t>
          </w:r>
        </w:p>
      </w:tc>
    </w:tr>
    <w:tr w:rsidR="004E7D3F" w:rsidTr="0010601F">
      <w:trPr>
        <w:trHeight w:val="417"/>
      </w:trPr>
      <w:tc>
        <w:tcPr>
          <w:tcW w:w="4519" w:type="dxa"/>
          <w:tcBorders>
            <w:top w:val="single" w:sz="4" w:space="0" w:color="auto"/>
          </w:tcBorders>
          <w:tcMar>
            <w:top w:w="142" w:type="dxa"/>
            <w:bottom w:w="0" w:type="dxa"/>
          </w:tcMar>
        </w:tcPr>
        <w:p w:rsidR="004E7D3F" w:rsidRDefault="004E7D3F" w:rsidP="006E08B3">
          <w:r>
            <w:t>Document title, Part #, Section # - Section title</w:t>
          </w:r>
        </w:p>
        <w:p w:rsidR="004E7D3F" w:rsidRDefault="004E7D3F" w:rsidP="006E08B3">
          <w:r>
            <w:t>V1.0 October 2010</w:t>
          </w:r>
        </w:p>
      </w:tc>
      <w:tc>
        <w:tcPr>
          <w:tcW w:w="4356" w:type="dxa"/>
          <w:tcBorders>
            <w:top w:val="single" w:sz="4" w:space="0" w:color="auto"/>
          </w:tcBorders>
          <w:tcMar>
            <w:top w:w="142" w:type="dxa"/>
            <w:bottom w:w="0" w:type="dxa"/>
          </w:tcMar>
        </w:tcPr>
        <w:p w:rsidR="004E7D3F" w:rsidRDefault="004E7D3F"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93</w:t>
            </w:r>
          </w:fldSimple>
          <w:r>
            <w:t xml:space="preserve"> </w:t>
          </w:r>
        </w:p>
      </w:tc>
    </w:tr>
  </w:tbl>
  <w:p w:rsidR="004E7D3F" w:rsidRDefault="004E7D3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7D3F" w:rsidRDefault="004E7D3F" w:rsidP="00C40A36">
      <w:pPr>
        <w:spacing w:after="0"/>
      </w:pPr>
      <w:r>
        <w:separator/>
      </w:r>
    </w:p>
  </w:footnote>
  <w:footnote w:type="continuationSeparator" w:id="0">
    <w:p w:rsidR="004E7D3F" w:rsidRDefault="004E7D3F" w:rsidP="00C4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D3F" w:rsidRDefault="004E7D3F"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D3F" w:rsidRDefault="004E7D3F">
    <w:pPr>
      <w:rPr>
        <w:noProof/>
        <w:lang w:eastAsia="en-AU"/>
      </w:rPr>
    </w:pPr>
    <w:r w:rsidRPr="002D545C">
      <w:rPr>
        <w:noProof/>
        <w:lang w:eastAsia="en-AU"/>
      </w:rPr>
      <w:drawing>
        <wp:anchor distT="0" distB="0" distL="114300" distR="114300" simplePos="0" relativeHeight="251659264" behindDoc="1" locked="0" layoutInCell="1" allowOverlap="1" wp14:anchorId="4C6914EA" wp14:editId="76542C39">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4E7D3F" w:rsidRDefault="004E7D3F" w:rsidP="00593AD1">
    <w:pPr>
      <w:pStyle w:val="HeaderNoLine"/>
    </w:pPr>
    <w:r>
      <w:rPr>
        <w:noProof/>
        <w:lang w:eastAsia="en-AU"/>
      </w:rPr>
      <w:drawing>
        <wp:inline distT="0" distB="0" distL="0" distR="0" wp14:anchorId="16317108" wp14:editId="01CA1029">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D3F" w:rsidRDefault="004E7D3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D3F" w:rsidRDefault="004E7D3F">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D3F" w:rsidRDefault="004E7D3F">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D3F" w:rsidRDefault="004E7D3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D3F" w:rsidRDefault="004E7D3F"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D3F" w:rsidRDefault="004E7D3F" w:rsidP="006E08B3">
    <w:r>
      <w:t>Therapeutic Goods Administration</w:t>
    </w:r>
  </w:p>
  <w:p w:rsidR="004E7D3F" w:rsidRDefault="004E7D3F"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8C307B8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475A1C7F"/>
    <w:multiLevelType w:val="hybridMultilevel"/>
    <w:tmpl w:val="F12A8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9">
    <w:nsid w:val="56D02D5B"/>
    <w:multiLevelType w:val="hybridMultilevel"/>
    <w:tmpl w:val="433E19F6"/>
    <w:lvl w:ilvl="0" w:tplc="6E542986">
      <w:numFmt w:val="bullet"/>
      <w:lvlText w:val="•"/>
      <w:lvlJc w:val="left"/>
      <w:pPr>
        <w:ind w:left="72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1">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2">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617"/>
        </w:tabs>
        <w:ind w:left="1617"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6"/>
  </w:num>
  <w:num w:numId="26">
    <w:abstractNumId w:val="8"/>
  </w:num>
  <w:num w:numId="27">
    <w:abstractNumId w:val="10"/>
  </w:num>
  <w:num w:numId="28">
    <w:abstractNumId w:val="11"/>
  </w:num>
  <w:num w:numId="29">
    <w:abstractNumId w:val="12"/>
  </w:num>
  <w:num w:numId="30">
    <w:abstractNumId w:val="12"/>
  </w:num>
  <w:num w:numId="31">
    <w:abstractNumId w:val="12"/>
  </w:num>
  <w:num w:numId="32">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7"/>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339"/>
    <w:rsid w:val="00002031"/>
    <w:rsid w:val="00004734"/>
    <w:rsid w:val="00006B22"/>
    <w:rsid w:val="0001276A"/>
    <w:rsid w:val="00021F5A"/>
    <w:rsid w:val="00023844"/>
    <w:rsid w:val="000246AE"/>
    <w:rsid w:val="00025C67"/>
    <w:rsid w:val="00026A7E"/>
    <w:rsid w:val="00035175"/>
    <w:rsid w:val="00040ACB"/>
    <w:rsid w:val="00051584"/>
    <w:rsid w:val="0005559E"/>
    <w:rsid w:val="00077775"/>
    <w:rsid w:val="00077A03"/>
    <w:rsid w:val="00081F64"/>
    <w:rsid w:val="00090471"/>
    <w:rsid w:val="00097B5E"/>
    <w:rsid w:val="000A3AED"/>
    <w:rsid w:val="000A63AF"/>
    <w:rsid w:val="000B1615"/>
    <w:rsid w:val="000B3532"/>
    <w:rsid w:val="000B3A75"/>
    <w:rsid w:val="000C5A6C"/>
    <w:rsid w:val="000C690F"/>
    <w:rsid w:val="000C6E6C"/>
    <w:rsid w:val="000D10A7"/>
    <w:rsid w:val="000D1295"/>
    <w:rsid w:val="000D391B"/>
    <w:rsid w:val="000D3D6D"/>
    <w:rsid w:val="000D4FC7"/>
    <w:rsid w:val="000F02F9"/>
    <w:rsid w:val="000F310E"/>
    <w:rsid w:val="000F4869"/>
    <w:rsid w:val="000F5B42"/>
    <w:rsid w:val="000F6E6F"/>
    <w:rsid w:val="0010193C"/>
    <w:rsid w:val="00104613"/>
    <w:rsid w:val="0010601F"/>
    <w:rsid w:val="00106BD8"/>
    <w:rsid w:val="0010788A"/>
    <w:rsid w:val="00107A31"/>
    <w:rsid w:val="00110EA5"/>
    <w:rsid w:val="00112F56"/>
    <w:rsid w:val="00125318"/>
    <w:rsid w:val="001305A2"/>
    <w:rsid w:val="00133238"/>
    <w:rsid w:val="0014197B"/>
    <w:rsid w:val="001447CD"/>
    <w:rsid w:val="001516B1"/>
    <w:rsid w:val="00154EBB"/>
    <w:rsid w:val="00156316"/>
    <w:rsid w:val="00161B57"/>
    <w:rsid w:val="00165389"/>
    <w:rsid w:val="001660FA"/>
    <w:rsid w:val="0017078F"/>
    <w:rsid w:val="00172339"/>
    <w:rsid w:val="0017693F"/>
    <w:rsid w:val="0018110E"/>
    <w:rsid w:val="00181684"/>
    <w:rsid w:val="00183F91"/>
    <w:rsid w:val="001843C6"/>
    <w:rsid w:val="001850E0"/>
    <w:rsid w:val="001A2158"/>
    <w:rsid w:val="001A525F"/>
    <w:rsid w:val="001B09F9"/>
    <w:rsid w:val="001B5D98"/>
    <w:rsid w:val="001B6448"/>
    <w:rsid w:val="001C657B"/>
    <w:rsid w:val="001E07CF"/>
    <w:rsid w:val="001E3ACE"/>
    <w:rsid w:val="001E59F1"/>
    <w:rsid w:val="001F38F1"/>
    <w:rsid w:val="001F497A"/>
    <w:rsid w:val="001F49EB"/>
    <w:rsid w:val="001F6CBA"/>
    <w:rsid w:val="001F7B2D"/>
    <w:rsid w:val="00201D4E"/>
    <w:rsid w:val="002076C9"/>
    <w:rsid w:val="00220B8A"/>
    <w:rsid w:val="00222429"/>
    <w:rsid w:val="002257F3"/>
    <w:rsid w:val="00233456"/>
    <w:rsid w:val="002339A5"/>
    <w:rsid w:val="00250F98"/>
    <w:rsid w:val="002536E1"/>
    <w:rsid w:val="00257848"/>
    <w:rsid w:val="002666AC"/>
    <w:rsid w:val="0027084A"/>
    <w:rsid w:val="00286434"/>
    <w:rsid w:val="00286C59"/>
    <w:rsid w:val="00292113"/>
    <w:rsid w:val="002942D1"/>
    <w:rsid w:val="0029501A"/>
    <w:rsid w:val="0029502A"/>
    <w:rsid w:val="002A2DDA"/>
    <w:rsid w:val="002A7715"/>
    <w:rsid w:val="002B1638"/>
    <w:rsid w:val="002C63ED"/>
    <w:rsid w:val="002D545C"/>
    <w:rsid w:val="002D6161"/>
    <w:rsid w:val="002E4C9A"/>
    <w:rsid w:val="002F11F8"/>
    <w:rsid w:val="002F1B9F"/>
    <w:rsid w:val="002F3F56"/>
    <w:rsid w:val="002F44B5"/>
    <w:rsid w:val="002F72E7"/>
    <w:rsid w:val="003067CB"/>
    <w:rsid w:val="00311AC0"/>
    <w:rsid w:val="00315C61"/>
    <w:rsid w:val="00316C97"/>
    <w:rsid w:val="00317E78"/>
    <w:rsid w:val="0032583B"/>
    <w:rsid w:val="00327883"/>
    <w:rsid w:val="00335504"/>
    <w:rsid w:val="003426B8"/>
    <w:rsid w:val="00344DEF"/>
    <w:rsid w:val="00346EDA"/>
    <w:rsid w:val="003521E8"/>
    <w:rsid w:val="003556A0"/>
    <w:rsid w:val="003728F3"/>
    <w:rsid w:val="0037496E"/>
    <w:rsid w:val="0037549B"/>
    <w:rsid w:val="0037623D"/>
    <w:rsid w:val="00386150"/>
    <w:rsid w:val="003874CE"/>
    <w:rsid w:val="00390789"/>
    <w:rsid w:val="00390900"/>
    <w:rsid w:val="00391DD3"/>
    <w:rsid w:val="00396C92"/>
    <w:rsid w:val="003A42B2"/>
    <w:rsid w:val="003A7F6C"/>
    <w:rsid w:val="003B1113"/>
    <w:rsid w:val="003B4D60"/>
    <w:rsid w:val="003B634F"/>
    <w:rsid w:val="003B7E39"/>
    <w:rsid w:val="003C58DC"/>
    <w:rsid w:val="003D0A3B"/>
    <w:rsid w:val="003D0D37"/>
    <w:rsid w:val="003D1E62"/>
    <w:rsid w:val="003E1D9F"/>
    <w:rsid w:val="003E2486"/>
    <w:rsid w:val="003E3208"/>
    <w:rsid w:val="003F0B04"/>
    <w:rsid w:val="0040134E"/>
    <w:rsid w:val="00415D59"/>
    <w:rsid w:val="00423D28"/>
    <w:rsid w:val="00432988"/>
    <w:rsid w:val="0043797D"/>
    <w:rsid w:val="00440A2D"/>
    <w:rsid w:val="00454941"/>
    <w:rsid w:val="004564A7"/>
    <w:rsid w:val="004617BF"/>
    <w:rsid w:val="00463658"/>
    <w:rsid w:val="00471FDC"/>
    <w:rsid w:val="004722CC"/>
    <w:rsid w:val="004743EE"/>
    <w:rsid w:val="00487D2B"/>
    <w:rsid w:val="004936E4"/>
    <w:rsid w:val="00494E60"/>
    <w:rsid w:val="00497487"/>
    <w:rsid w:val="004A7E13"/>
    <w:rsid w:val="004B658D"/>
    <w:rsid w:val="004B7B76"/>
    <w:rsid w:val="004C0841"/>
    <w:rsid w:val="004C1F75"/>
    <w:rsid w:val="004C2DCA"/>
    <w:rsid w:val="004D60F2"/>
    <w:rsid w:val="004E7D3F"/>
    <w:rsid w:val="004F0F38"/>
    <w:rsid w:val="004F4AF5"/>
    <w:rsid w:val="00500D57"/>
    <w:rsid w:val="00501921"/>
    <w:rsid w:val="00530354"/>
    <w:rsid w:val="0053625B"/>
    <w:rsid w:val="005434C6"/>
    <w:rsid w:val="00543B39"/>
    <w:rsid w:val="00544A7D"/>
    <w:rsid w:val="005470DD"/>
    <w:rsid w:val="00550096"/>
    <w:rsid w:val="00557A77"/>
    <w:rsid w:val="00557FF9"/>
    <w:rsid w:val="00576378"/>
    <w:rsid w:val="00577945"/>
    <w:rsid w:val="00577C16"/>
    <w:rsid w:val="00577E38"/>
    <w:rsid w:val="00585322"/>
    <w:rsid w:val="005857C6"/>
    <w:rsid w:val="00586F98"/>
    <w:rsid w:val="00592F6E"/>
    <w:rsid w:val="00593AD1"/>
    <w:rsid w:val="005A4180"/>
    <w:rsid w:val="005A68B6"/>
    <w:rsid w:val="005C5570"/>
    <w:rsid w:val="005C79A4"/>
    <w:rsid w:val="005D5123"/>
    <w:rsid w:val="005D5442"/>
    <w:rsid w:val="005E29F3"/>
    <w:rsid w:val="005E3FF4"/>
    <w:rsid w:val="005E7948"/>
    <w:rsid w:val="005F18A7"/>
    <w:rsid w:val="00603F32"/>
    <w:rsid w:val="006134A1"/>
    <w:rsid w:val="006170F0"/>
    <w:rsid w:val="00620406"/>
    <w:rsid w:val="00623987"/>
    <w:rsid w:val="00630D66"/>
    <w:rsid w:val="006317B1"/>
    <w:rsid w:val="00632398"/>
    <w:rsid w:val="00640FC3"/>
    <w:rsid w:val="00642020"/>
    <w:rsid w:val="00646206"/>
    <w:rsid w:val="0065337B"/>
    <w:rsid w:val="0065419D"/>
    <w:rsid w:val="006542AF"/>
    <w:rsid w:val="006604D8"/>
    <w:rsid w:val="00664A5B"/>
    <w:rsid w:val="006763D2"/>
    <w:rsid w:val="00680C08"/>
    <w:rsid w:val="00683527"/>
    <w:rsid w:val="006931B1"/>
    <w:rsid w:val="006933F5"/>
    <w:rsid w:val="006A15C0"/>
    <w:rsid w:val="006B4C50"/>
    <w:rsid w:val="006C130C"/>
    <w:rsid w:val="006C3E2A"/>
    <w:rsid w:val="006C642F"/>
    <w:rsid w:val="006C7B76"/>
    <w:rsid w:val="006D03E5"/>
    <w:rsid w:val="006D5D3E"/>
    <w:rsid w:val="006E08B3"/>
    <w:rsid w:val="006E62FF"/>
    <w:rsid w:val="006F17AC"/>
    <w:rsid w:val="006F1D37"/>
    <w:rsid w:val="006F26D0"/>
    <w:rsid w:val="006F2796"/>
    <w:rsid w:val="006F572E"/>
    <w:rsid w:val="007046D6"/>
    <w:rsid w:val="00705DB0"/>
    <w:rsid w:val="007128A1"/>
    <w:rsid w:val="00722B57"/>
    <w:rsid w:val="007247B4"/>
    <w:rsid w:val="007355B5"/>
    <w:rsid w:val="00740039"/>
    <w:rsid w:val="0074253D"/>
    <w:rsid w:val="0074429B"/>
    <w:rsid w:val="00744563"/>
    <w:rsid w:val="00745337"/>
    <w:rsid w:val="007513B4"/>
    <w:rsid w:val="007615BC"/>
    <w:rsid w:val="00761CE8"/>
    <w:rsid w:val="00762F05"/>
    <w:rsid w:val="007652FF"/>
    <w:rsid w:val="00770EF1"/>
    <w:rsid w:val="00773EF7"/>
    <w:rsid w:val="00774E1D"/>
    <w:rsid w:val="0077675A"/>
    <w:rsid w:val="00780355"/>
    <w:rsid w:val="00785721"/>
    <w:rsid w:val="00793A59"/>
    <w:rsid w:val="007A6059"/>
    <w:rsid w:val="007B4284"/>
    <w:rsid w:val="007B6E9F"/>
    <w:rsid w:val="007C10BD"/>
    <w:rsid w:val="007C1172"/>
    <w:rsid w:val="007C1216"/>
    <w:rsid w:val="007C1AF7"/>
    <w:rsid w:val="007C2D31"/>
    <w:rsid w:val="007C5AD1"/>
    <w:rsid w:val="007E6E27"/>
    <w:rsid w:val="007F292F"/>
    <w:rsid w:val="007F3E00"/>
    <w:rsid w:val="0080353E"/>
    <w:rsid w:val="00805D27"/>
    <w:rsid w:val="008064FC"/>
    <w:rsid w:val="00821776"/>
    <w:rsid w:val="008321F5"/>
    <w:rsid w:val="00832369"/>
    <w:rsid w:val="00834660"/>
    <w:rsid w:val="00836BC2"/>
    <w:rsid w:val="008414A0"/>
    <w:rsid w:val="0085641B"/>
    <w:rsid w:val="00857136"/>
    <w:rsid w:val="00860D8A"/>
    <w:rsid w:val="0087211D"/>
    <w:rsid w:val="00886D15"/>
    <w:rsid w:val="00887DD8"/>
    <w:rsid w:val="00896018"/>
    <w:rsid w:val="008960DD"/>
    <w:rsid w:val="0089635C"/>
    <w:rsid w:val="008A267F"/>
    <w:rsid w:val="008A2B9D"/>
    <w:rsid w:val="008A5E0B"/>
    <w:rsid w:val="008A6D59"/>
    <w:rsid w:val="008B4446"/>
    <w:rsid w:val="008B4B03"/>
    <w:rsid w:val="008B596F"/>
    <w:rsid w:val="008B5A3E"/>
    <w:rsid w:val="008B6777"/>
    <w:rsid w:val="008B6C94"/>
    <w:rsid w:val="008C159F"/>
    <w:rsid w:val="008C1623"/>
    <w:rsid w:val="008C1850"/>
    <w:rsid w:val="008C51A9"/>
    <w:rsid w:val="008D4C44"/>
    <w:rsid w:val="008D6B07"/>
    <w:rsid w:val="008D770F"/>
    <w:rsid w:val="008E7846"/>
    <w:rsid w:val="008F1CCC"/>
    <w:rsid w:val="008F2967"/>
    <w:rsid w:val="008F6943"/>
    <w:rsid w:val="008F69AF"/>
    <w:rsid w:val="00902A21"/>
    <w:rsid w:val="00906445"/>
    <w:rsid w:val="0091553A"/>
    <w:rsid w:val="00917002"/>
    <w:rsid w:val="00920330"/>
    <w:rsid w:val="009219D7"/>
    <w:rsid w:val="00922138"/>
    <w:rsid w:val="00922D53"/>
    <w:rsid w:val="00923B70"/>
    <w:rsid w:val="00924482"/>
    <w:rsid w:val="00930237"/>
    <w:rsid w:val="009346B3"/>
    <w:rsid w:val="009438E8"/>
    <w:rsid w:val="0094614A"/>
    <w:rsid w:val="00946EA5"/>
    <w:rsid w:val="0095160F"/>
    <w:rsid w:val="00963166"/>
    <w:rsid w:val="00963824"/>
    <w:rsid w:val="00963C08"/>
    <w:rsid w:val="00981D66"/>
    <w:rsid w:val="0098585A"/>
    <w:rsid w:val="0098669D"/>
    <w:rsid w:val="009921F5"/>
    <w:rsid w:val="00994C95"/>
    <w:rsid w:val="009A4CED"/>
    <w:rsid w:val="009A690D"/>
    <w:rsid w:val="009B1D12"/>
    <w:rsid w:val="009B416B"/>
    <w:rsid w:val="009C4BD5"/>
    <w:rsid w:val="009D7B77"/>
    <w:rsid w:val="009E0BB0"/>
    <w:rsid w:val="009E3FBB"/>
    <w:rsid w:val="00A102E4"/>
    <w:rsid w:val="00A12C42"/>
    <w:rsid w:val="00A1355E"/>
    <w:rsid w:val="00A14DF7"/>
    <w:rsid w:val="00A15754"/>
    <w:rsid w:val="00A235D9"/>
    <w:rsid w:val="00A3246D"/>
    <w:rsid w:val="00A36FA7"/>
    <w:rsid w:val="00A475B7"/>
    <w:rsid w:val="00A47AF7"/>
    <w:rsid w:val="00A47C3E"/>
    <w:rsid w:val="00A50226"/>
    <w:rsid w:val="00A60BAD"/>
    <w:rsid w:val="00A63FE8"/>
    <w:rsid w:val="00A8572A"/>
    <w:rsid w:val="00A964D1"/>
    <w:rsid w:val="00A978A9"/>
    <w:rsid w:val="00AA0ED0"/>
    <w:rsid w:val="00AA3499"/>
    <w:rsid w:val="00AB4D8E"/>
    <w:rsid w:val="00AC23A4"/>
    <w:rsid w:val="00AC2B40"/>
    <w:rsid w:val="00AC2BB2"/>
    <w:rsid w:val="00AC2C3C"/>
    <w:rsid w:val="00AC512D"/>
    <w:rsid w:val="00AD504A"/>
    <w:rsid w:val="00AD6467"/>
    <w:rsid w:val="00AE01C2"/>
    <w:rsid w:val="00AE65EB"/>
    <w:rsid w:val="00AE67A7"/>
    <w:rsid w:val="00AF1D94"/>
    <w:rsid w:val="00AF60C5"/>
    <w:rsid w:val="00B004FD"/>
    <w:rsid w:val="00B009C6"/>
    <w:rsid w:val="00B01548"/>
    <w:rsid w:val="00B02208"/>
    <w:rsid w:val="00B10B5E"/>
    <w:rsid w:val="00B1425E"/>
    <w:rsid w:val="00B219C3"/>
    <w:rsid w:val="00B21D29"/>
    <w:rsid w:val="00B25034"/>
    <w:rsid w:val="00B275F4"/>
    <w:rsid w:val="00B33588"/>
    <w:rsid w:val="00B33863"/>
    <w:rsid w:val="00B3567E"/>
    <w:rsid w:val="00B37D17"/>
    <w:rsid w:val="00B4175E"/>
    <w:rsid w:val="00B452CE"/>
    <w:rsid w:val="00B54C25"/>
    <w:rsid w:val="00B76B91"/>
    <w:rsid w:val="00B77EB1"/>
    <w:rsid w:val="00B811C6"/>
    <w:rsid w:val="00B85A87"/>
    <w:rsid w:val="00B90068"/>
    <w:rsid w:val="00B92E08"/>
    <w:rsid w:val="00B96D00"/>
    <w:rsid w:val="00B96EBE"/>
    <w:rsid w:val="00BC622A"/>
    <w:rsid w:val="00BD45E3"/>
    <w:rsid w:val="00BD7924"/>
    <w:rsid w:val="00BE0A78"/>
    <w:rsid w:val="00BE32A6"/>
    <w:rsid w:val="00BE6252"/>
    <w:rsid w:val="00BE63AA"/>
    <w:rsid w:val="00BE79F0"/>
    <w:rsid w:val="00BF046D"/>
    <w:rsid w:val="00BF1190"/>
    <w:rsid w:val="00BF5D04"/>
    <w:rsid w:val="00C00F82"/>
    <w:rsid w:val="00C1164D"/>
    <w:rsid w:val="00C137CE"/>
    <w:rsid w:val="00C16861"/>
    <w:rsid w:val="00C20580"/>
    <w:rsid w:val="00C21610"/>
    <w:rsid w:val="00C22678"/>
    <w:rsid w:val="00C342B9"/>
    <w:rsid w:val="00C404A6"/>
    <w:rsid w:val="00C40A36"/>
    <w:rsid w:val="00C44419"/>
    <w:rsid w:val="00C45E7B"/>
    <w:rsid w:val="00C4625F"/>
    <w:rsid w:val="00C471B1"/>
    <w:rsid w:val="00C57D11"/>
    <w:rsid w:val="00C618F7"/>
    <w:rsid w:val="00C6240B"/>
    <w:rsid w:val="00C62A3F"/>
    <w:rsid w:val="00C6316B"/>
    <w:rsid w:val="00C634A9"/>
    <w:rsid w:val="00C63DF8"/>
    <w:rsid w:val="00C64586"/>
    <w:rsid w:val="00C66D87"/>
    <w:rsid w:val="00C70D53"/>
    <w:rsid w:val="00C73D0B"/>
    <w:rsid w:val="00C772FF"/>
    <w:rsid w:val="00C801AF"/>
    <w:rsid w:val="00C80256"/>
    <w:rsid w:val="00C811C0"/>
    <w:rsid w:val="00C822DF"/>
    <w:rsid w:val="00C82A00"/>
    <w:rsid w:val="00C86172"/>
    <w:rsid w:val="00C92A76"/>
    <w:rsid w:val="00CB327D"/>
    <w:rsid w:val="00CB6BC0"/>
    <w:rsid w:val="00CB6C9B"/>
    <w:rsid w:val="00CC1B7C"/>
    <w:rsid w:val="00CC727F"/>
    <w:rsid w:val="00CD31CE"/>
    <w:rsid w:val="00CF15C3"/>
    <w:rsid w:val="00CF2B6F"/>
    <w:rsid w:val="00CF58B6"/>
    <w:rsid w:val="00CF5F26"/>
    <w:rsid w:val="00D017ED"/>
    <w:rsid w:val="00D040D3"/>
    <w:rsid w:val="00D04C65"/>
    <w:rsid w:val="00D120A0"/>
    <w:rsid w:val="00D14F08"/>
    <w:rsid w:val="00D224FE"/>
    <w:rsid w:val="00D23B58"/>
    <w:rsid w:val="00D33DF6"/>
    <w:rsid w:val="00D5197B"/>
    <w:rsid w:val="00D53A31"/>
    <w:rsid w:val="00D569D7"/>
    <w:rsid w:val="00D6493E"/>
    <w:rsid w:val="00D66354"/>
    <w:rsid w:val="00D70E32"/>
    <w:rsid w:val="00D7301E"/>
    <w:rsid w:val="00D8099D"/>
    <w:rsid w:val="00D83AE1"/>
    <w:rsid w:val="00D855D4"/>
    <w:rsid w:val="00D87961"/>
    <w:rsid w:val="00D93466"/>
    <w:rsid w:val="00D97CAF"/>
    <w:rsid w:val="00DA1124"/>
    <w:rsid w:val="00DA5D8A"/>
    <w:rsid w:val="00DB0E73"/>
    <w:rsid w:val="00DB75B7"/>
    <w:rsid w:val="00DC156B"/>
    <w:rsid w:val="00DC6E02"/>
    <w:rsid w:val="00DD74BE"/>
    <w:rsid w:val="00DE02AE"/>
    <w:rsid w:val="00DE7FE1"/>
    <w:rsid w:val="00DF1D7F"/>
    <w:rsid w:val="00DF4BE4"/>
    <w:rsid w:val="00E01044"/>
    <w:rsid w:val="00E02FB4"/>
    <w:rsid w:val="00E063B9"/>
    <w:rsid w:val="00E07F15"/>
    <w:rsid w:val="00E20571"/>
    <w:rsid w:val="00E235F7"/>
    <w:rsid w:val="00E23659"/>
    <w:rsid w:val="00E239D4"/>
    <w:rsid w:val="00E26130"/>
    <w:rsid w:val="00E2741C"/>
    <w:rsid w:val="00E3416C"/>
    <w:rsid w:val="00E35C63"/>
    <w:rsid w:val="00E40B22"/>
    <w:rsid w:val="00E42627"/>
    <w:rsid w:val="00E45619"/>
    <w:rsid w:val="00E4588F"/>
    <w:rsid w:val="00E46DA3"/>
    <w:rsid w:val="00E51BB1"/>
    <w:rsid w:val="00E624A5"/>
    <w:rsid w:val="00E625B1"/>
    <w:rsid w:val="00E67D67"/>
    <w:rsid w:val="00E7299E"/>
    <w:rsid w:val="00E7344E"/>
    <w:rsid w:val="00E77B22"/>
    <w:rsid w:val="00E823CB"/>
    <w:rsid w:val="00E86C48"/>
    <w:rsid w:val="00E936E3"/>
    <w:rsid w:val="00E958A8"/>
    <w:rsid w:val="00E979F4"/>
    <w:rsid w:val="00EA1995"/>
    <w:rsid w:val="00EB0798"/>
    <w:rsid w:val="00EB30DD"/>
    <w:rsid w:val="00EB40AD"/>
    <w:rsid w:val="00EB586E"/>
    <w:rsid w:val="00EB5FC8"/>
    <w:rsid w:val="00EC4698"/>
    <w:rsid w:val="00ED3CAD"/>
    <w:rsid w:val="00ED3F4D"/>
    <w:rsid w:val="00ED5A41"/>
    <w:rsid w:val="00EE1DE8"/>
    <w:rsid w:val="00F033EC"/>
    <w:rsid w:val="00F04F68"/>
    <w:rsid w:val="00F12670"/>
    <w:rsid w:val="00F14B27"/>
    <w:rsid w:val="00F21E6C"/>
    <w:rsid w:val="00F245AB"/>
    <w:rsid w:val="00F3148D"/>
    <w:rsid w:val="00F325C5"/>
    <w:rsid w:val="00F32FE0"/>
    <w:rsid w:val="00F35298"/>
    <w:rsid w:val="00F3740D"/>
    <w:rsid w:val="00F47333"/>
    <w:rsid w:val="00F47E37"/>
    <w:rsid w:val="00F53C07"/>
    <w:rsid w:val="00F54B65"/>
    <w:rsid w:val="00F55BAA"/>
    <w:rsid w:val="00F640B6"/>
    <w:rsid w:val="00F80E40"/>
    <w:rsid w:val="00F848D9"/>
    <w:rsid w:val="00F87F0B"/>
    <w:rsid w:val="00F92812"/>
    <w:rsid w:val="00FA5B82"/>
    <w:rsid w:val="00FA639E"/>
    <w:rsid w:val="00FA7843"/>
    <w:rsid w:val="00FC25E4"/>
    <w:rsid w:val="00FC4EF7"/>
    <w:rsid w:val="00FC4F83"/>
    <w:rsid w:val="00FE1DEE"/>
    <w:rsid w:val="00FE2237"/>
    <w:rsid w:val="00FE6E8B"/>
    <w:rsid w:val="00FF2126"/>
    <w:rsid w:val="00FF5755"/>
    <w:rsid w:val="00FF69BE"/>
    <w:rsid w:val="00FF7B93"/>
    <w:rsid w:val="00FF7EAD"/>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F7EAD"/>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Default">
    <w:name w:val="Default"/>
    <w:rsid w:val="007C5AD1"/>
    <w:pPr>
      <w:autoSpaceDE w:val="0"/>
      <w:autoSpaceDN w:val="0"/>
      <w:adjustRightInd w:val="0"/>
      <w:spacing w:after="0" w:line="240" w:lineRule="auto"/>
    </w:pPr>
    <w:rPr>
      <w:rFonts w:ascii="Times New Roman" w:eastAsia="Calibri" w:hAnsi="Times New Roman" w:cs="Times New Roman"/>
      <w:color w:val="000000"/>
      <w:sz w:val="24"/>
      <w:szCs w:val="24"/>
      <w:lang w:eastAsia="en-AU"/>
    </w:rPr>
  </w:style>
  <w:style w:type="paragraph" w:styleId="ListParagraph">
    <w:name w:val="List Paragraph"/>
    <w:basedOn w:val="Normal"/>
    <w:uiPriority w:val="34"/>
    <w:rsid w:val="00C62A3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F7EAD"/>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Default">
    <w:name w:val="Default"/>
    <w:rsid w:val="007C5AD1"/>
    <w:pPr>
      <w:autoSpaceDE w:val="0"/>
      <w:autoSpaceDN w:val="0"/>
      <w:adjustRightInd w:val="0"/>
      <w:spacing w:after="0" w:line="240" w:lineRule="auto"/>
    </w:pPr>
    <w:rPr>
      <w:rFonts w:ascii="Times New Roman" w:eastAsia="Calibri" w:hAnsi="Times New Roman" w:cs="Times New Roman"/>
      <w:color w:val="000000"/>
      <w:sz w:val="24"/>
      <w:szCs w:val="24"/>
      <w:lang w:eastAsia="en-AU"/>
    </w:rPr>
  </w:style>
  <w:style w:type="paragraph" w:styleId="ListParagraph">
    <w:name w:val="List Paragraph"/>
    <w:basedOn w:val="Normal"/>
    <w:uiPriority w:val="34"/>
    <w:rsid w:val="00C62A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emf"/><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image" Target="media/image43.emf"/><Relationship Id="rId63" Type="http://schemas.openxmlformats.org/officeDocument/2006/relationships/header" Target="header3.xml"/><Relationship Id="rId68" Type="http://schemas.openxmlformats.org/officeDocument/2006/relationships/hyperlink" Target="https://www.tga.gov.au" TargetMode="External"/><Relationship Id="rId7" Type="http://schemas.openxmlformats.org/officeDocument/2006/relationships/footnotes" Target="footnotes.xml"/><Relationship Id="rId71"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41.png"/><Relationship Id="rId58" Type="http://schemas.openxmlformats.org/officeDocument/2006/relationships/image" Target="media/image46.emf"/><Relationship Id="rId66" Type="http://schemas.openxmlformats.org/officeDocument/2006/relationships/footer" Target="footer2.xm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emf"/><Relationship Id="rId49" Type="http://schemas.openxmlformats.org/officeDocument/2006/relationships/image" Target="media/image37.png"/><Relationship Id="rId57" Type="http://schemas.openxmlformats.org/officeDocument/2006/relationships/image" Target="media/image45.emf"/><Relationship Id="rId61" Type="http://schemas.openxmlformats.org/officeDocument/2006/relationships/image" Target="media/image49.emf"/><Relationship Id="rId10" Type="http://schemas.openxmlformats.org/officeDocument/2006/relationships/hyperlink" Target="https://www.tga.gov.au/product-information-pi" TargetMode="External"/><Relationship Id="rId19" Type="http://schemas.openxmlformats.org/officeDocument/2006/relationships/image" Target="media/image7.png"/><Relationship Id="rId31" Type="http://schemas.openxmlformats.org/officeDocument/2006/relationships/image" Target="media/image19.emf"/><Relationship Id="rId44" Type="http://schemas.openxmlformats.org/officeDocument/2006/relationships/image" Target="media/image32.png"/><Relationship Id="rId52" Type="http://schemas.openxmlformats.org/officeDocument/2006/relationships/image" Target="media/image40.emf"/><Relationship Id="rId60" Type="http://schemas.openxmlformats.org/officeDocument/2006/relationships/image" Target="media/image48.emf"/><Relationship Id="rId65" Type="http://schemas.openxmlformats.org/officeDocument/2006/relationships/header" Target="header5.xml"/><Relationship Id="rId73"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emf"/><Relationship Id="rId64" Type="http://schemas.openxmlformats.org/officeDocument/2006/relationships/header" Target="header4.xml"/><Relationship Id="rId69"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image" Target="media/image39.emf"/><Relationship Id="rId72" Type="http://schemas.openxmlformats.org/officeDocument/2006/relationships/header" Target="header8.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emf"/><Relationship Id="rId59" Type="http://schemas.openxmlformats.org/officeDocument/2006/relationships/image" Target="media/image47.emf"/><Relationship Id="rId67" Type="http://schemas.openxmlformats.org/officeDocument/2006/relationships/hyperlink" Target="mailto:info@tga.gov.au" TargetMode="External"/><Relationship Id="rId20" Type="http://schemas.openxmlformats.org/officeDocument/2006/relationships/image" Target="media/image8.png"/><Relationship Id="rId41" Type="http://schemas.openxmlformats.org/officeDocument/2006/relationships/image" Target="media/image29.emf"/><Relationship Id="rId54" Type="http://schemas.openxmlformats.org/officeDocument/2006/relationships/image" Target="media/image42.emf"/><Relationship Id="rId62" Type="http://schemas.openxmlformats.org/officeDocument/2006/relationships/image" Target="media/image50.emf"/><Relationship Id="rId70" Type="http://schemas.openxmlformats.org/officeDocument/2006/relationships/header" Target="header7.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atsu\AppData\Local\Hewlett-Packard\HP%20TRIM\TEMP\HPTRIM.3844\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D6E519-BCDE-49DB-9476-0BC5AFBA7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85</TotalTime>
  <Pages>92</Pages>
  <Words>35116</Words>
  <Characters>178040</Characters>
  <Application>Microsoft Office Word</Application>
  <DocSecurity>0</DocSecurity>
  <Lines>3179</Lines>
  <Paragraphs>1627</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Tenofovir disoproxil fumarate / Emtricitabine / Elvitegravir / Cobicistat</vt:lpstr>
    </vt:vector>
  </TitlesOfParts>
  <Company/>
  <LinksUpToDate>false</LinksUpToDate>
  <CharactersWithSpaces>211529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Tenofovir disoproxil fumarate / Emtricitabine / Elvitegravir / Cobicistat</dc:title>
  <dc:subject>Prescription medicines</dc:subject>
  <dc:creator>Therapeutic Goods Administration</dc:creator>
  <cp:keywords>AusPARs</cp:keywords>
  <cp:lastModifiedBy>MORENO, David</cp:lastModifiedBy>
  <cp:revision>9</cp:revision>
  <cp:lastPrinted>2017-01-13T05:50:00Z</cp:lastPrinted>
  <dcterms:created xsi:type="dcterms:W3CDTF">2017-05-03T04:08:00Z</dcterms:created>
  <dcterms:modified xsi:type="dcterms:W3CDTF">2017-06-07T00:51:00Z</dcterms:modified>
</cp:coreProperties>
</file>