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487162" w:rsidRDefault="00E17BC6" w:rsidP="00E45619">
            <w:pPr>
              <w:rPr>
                <w:rFonts w:ascii="Arial" w:hAnsi="Arial" w:cs="Arial"/>
                <w:b/>
                <w:color w:val="002C47"/>
                <w:sz w:val="36"/>
                <w:szCs w:val="36"/>
              </w:rPr>
            </w:pPr>
            <w:r>
              <w:rPr>
                <w:rFonts w:ascii="Arial" w:hAnsi="Arial" w:cs="Arial"/>
                <w:b/>
                <w:color w:val="002C47"/>
                <w:sz w:val="36"/>
                <w:szCs w:val="36"/>
              </w:rPr>
              <w:t>August</w:t>
            </w:r>
            <w:r w:rsidR="009D7967">
              <w:rPr>
                <w:rFonts w:ascii="Arial" w:hAnsi="Arial" w:cs="Arial"/>
                <w:b/>
                <w:color w:val="002C47"/>
                <w:sz w:val="36"/>
                <w:szCs w:val="36"/>
              </w:rPr>
              <w:t xml:space="preserve"> </w:t>
            </w:r>
            <w:r w:rsidR="008253C8">
              <w:rPr>
                <w:rFonts w:ascii="Arial" w:hAnsi="Arial" w:cs="Arial"/>
                <w:b/>
                <w:color w:val="002C47"/>
                <w:sz w:val="36"/>
                <w:szCs w:val="36"/>
              </w:rPr>
              <w:t>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240200">
            <w:pPr>
              <w:pStyle w:val="Title"/>
              <w:rPr>
                <w:color w:val="FFFFFF" w:themeColor="background1"/>
              </w:rPr>
            </w:pPr>
            <w:r w:rsidRPr="00A964D1">
              <w:rPr>
                <w:color w:val="FFFFFF" w:themeColor="background1"/>
              </w:rPr>
              <w:t>Australian Public Assessment Report for</w:t>
            </w:r>
            <w:r w:rsidR="00841BE4">
              <w:rPr>
                <w:color w:val="FFFFFF" w:themeColor="background1"/>
              </w:rPr>
              <w:t xml:space="preserve"> </w:t>
            </w:r>
            <w:proofErr w:type="spellStart"/>
            <w:r w:rsidR="008253C8" w:rsidRPr="008253C8">
              <w:rPr>
                <w:color w:val="FFFFFF" w:themeColor="background1"/>
              </w:rPr>
              <w:t>Tenofovir</w:t>
            </w:r>
            <w:proofErr w:type="spellEnd"/>
            <w:r w:rsidR="008253C8" w:rsidRPr="008253C8">
              <w:rPr>
                <w:color w:val="FFFFFF" w:themeColor="background1"/>
              </w:rPr>
              <w:t xml:space="preserve"> </w:t>
            </w:r>
            <w:proofErr w:type="spellStart"/>
            <w:r w:rsidR="008253C8" w:rsidRPr="008253C8">
              <w:rPr>
                <w:color w:val="FFFFFF" w:themeColor="background1"/>
              </w:rPr>
              <w:t>disoproxil</w:t>
            </w:r>
            <w:proofErr w:type="spellEnd"/>
            <w:r w:rsidR="008253C8" w:rsidRPr="008253C8">
              <w:rPr>
                <w:color w:val="FFFFFF" w:themeColor="background1"/>
              </w:rPr>
              <w:t xml:space="preserve"> </w:t>
            </w:r>
            <w:proofErr w:type="spellStart"/>
            <w:r w:rsidR="008253C8" w:rsidRPr="008253C8">
              <w:rPr>
                <w:color w:val="FFFFFF" w:themeColor="background1"/>
              </w:rPr>
              <w:t>fumarate</w:t>
            </w:r>
            <w:proofErr w:type="spellEnd"/>
            <w:r w:rsidR="00240200">
              <w:rPr>
                <w:color w:val="FFFFFF" w:themeColor="background1"/>
              </w:rPr>
              <w:t xml:space="preserve">/ </w:t>
            </w:r>
            <w:proofErr w:type="spellStart"/>
            <w:r w:rsidR="008253C8" w:rsidRPr="008253C8">
              <w:rPr>
                <w:color w:val="FFFFFF" w:themeColor="background1"/>
              </w:rPr>
              <w:t>Emtricitabine</w:t>
            </w:r>
            <w:proofErr w:type="spellEnd"/>
            <w:r w:rsidR="00240200">
              <w:rPr>
                <w:color w:val="FFFFFF" w:themeColor="background1"/>
              </w:rPr>
              <w:t>/</w:t>
            </w:r>
            <w:proofErr w:type="spellStart"/>
            <w:r w:rsidR="008253C8" w:rsidRPr="008253C8">
              <w:rPr>
                <w:color w:val="FFFFFF" w:themeColor="background1"/>
              </w:rPr>
              <w:t>Elvitegravir</w:t>
            </w:r>
            <w:proofErr w:type="spellEnd"/>
            <w:r w:rsidR="00240200">
              <w:rPr>
                <w:color w:val="FFFFFF" w:themeColor="background1"/>
              </w:rPr>
              <w:t>/</w:t>
            </w:r>
            <w:proofErr w:type="spellStart"/>
            <w:r w:rsidR="008253C8" w:rsidRPr="008253C8">
              <w:rPr>
                <w:color w:val="FFFFFF" w:themeColor="background1"/>
              </w:rPr>
              <w:t>Cobicistat</w:t>
            </w:r>
            <w:proofErr w:type="spellEnd"/>
          </w:p>
        </w:tc>
      </w:tr>
      <w:tr w:rsidR="0032583B" w:rsidRPr="00B64760" w:rsidTr="0032583B">
        <w:tc>
          <w:tcPr>
            <w:tcW w:w="9079" w:type="dxa"/>
          </w:tcPr>
          <w:p w:rsidR="0032583B" w:rsidRPr="008E7846" w:rsidRDefault="0032583B" w:rsidP="008253C8">
            <w:pPr>
              <w:pStyle w:val="Subtitle"/>
              <w:rPr>
                <w:color w:val="FFFFFF" w:themeColor="background1"/>
              </w:rPr>
            </w:pPr>
            <w:r w:rsidRPr="008E7846">
              <w:rPr>
                <w:color w:val="FFFFFF" w:themeColor="background1"/>
              </w:rPr>
              <w:t xml:space="preserve">Proprietary Product Name: </w:t>
            </w:r>
            <w:r w:rsidR="008253C8">
              <w:rPr>
                <w:color w:val="FFFFFF" w:themeColor="background1"/>
              </w:rPr>
              <w:t>Stribild</w:t>
            </w:r>
            <w:r w:rsidRPr="008E7846">
              <w:rPr>
                <w:color w:val="FFFFFF" w:themeColor="background1"/>
              </w:rPr>
              <w:t xml:space="preserve"> </w:t>
            </w:r>
          </w:p>
        </w:tc>
      </w:tr>
      <w:tr w:rsidR="0032583B" w:rsidRPr="00B64760" w:rsidTr="0032583B">
        <w:trPr>
          <w:trHeight w:val="486"/>
        </w:trPr>
        <w:tc>
          <w:tcPr>
            <w:tcW w:w="9079" w:type="dxa"/>
          </w:tcPr>
          <w:p w:rsidR="0032583B" w:rsidRPr="008E7846" w:rsidRDefault="0032583B" w:rsidP="008253C8">
            <w:pPr>
              <w:pStyle w:val="Subtitle"/>
              <w:rPr>
                <w:color w:val="FFFFFF" w:themeColor="background1"/>
              </w:rPr>
            </w:pPr>
            <w:r w:rsidRPr="008E7846">
              <w:rPr>
                <w:color w:val="FFFFFF" w:themeColor="background1"/>
              </w:rPr>
              <w:t>Sponsor:</w:t>
            </w:r>
            <w:r w:rsidR="00841BE4">
              <w:rPr>
                <w:color w:val="FFFFFF" w:themeColor="background1"/>
              </w:rPr>
              <w:t xml:space="preserve"> </w:t>
            </w:r>
            <w:r w:rsidR="008253C8" w:rsidRPr="008253C8">
              <w:rPr>
                <w:color w:val="FFFFFF" w:themeColor="background1"/>
              </w:rPr>
              <w:t xml:space="preserve">Gilead Sciences Pty Ltd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8E7846">
      <w:pPr>
        <w:pStyle w:val="ListBullet"/>
        <w:numPr>
          <w:ilvl w:val="0"/>
          <w:numId w:val="3"/>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565A26" w:rsidRDefault="00F35DF9">
          <w:pPr>
            <w:pStyle w:val="TOC2"/>
            <w:rPr>
              <w:rFonts w:asciiTheme="minorHAnsi" w:eastAsiaTheme="minorEastAsia" w:hAnsiTheme="minorHAnsi" w:cstheme="minorBidi"/>
              <w:b w:val="0"/>
              <w:noProof/>
              <w:sz w:val="22"/>
              <w:lang w:eastAsia="en-AU"/>
            </w:rPr>
          </w:pPr>
          <w:r w:rsidRPr="00F35DF9">
            <w:fldChar w:fldCharType="begin"/>
          </w:r>
          <w:r w:rsidR="0089635C">
            <w:instrText xml:space="preserve"> TOC \o "1-3" \h \z \u </w:instrText>
          </w:r>
          <w:r w:rsidRPr="00F35DF9">
            <w:fldChar w:fldCharType="separate"/>
          </w:r>
          <w:hyperlink w:anchor="_Toc363456652" w:history="1">
            <w:r w:rsidR="00565A26" w:rsidRPr="00F75E50">
              <w:rPr>
                <w:rStyle w:val="Hyperlink"/>
                <w:noProof/>
              </w:rPr>
              <w:t>I. Introduction to product submission</w:t>
            </w:r>
            <w:r w:rsidR="00565A26">
              <w:rPr>
                <w:noProof/>
                <w:webHidden/>
              </w:rPr>
              <w:tab/>
            </w:r>
            <w:r>
              <w:rPr>
                <w:noProof/>
                <w:webHidden/>
              </w:rPr>
              <w:fldChar w:fldCharType="begin"/>
            </w:r>
            <w:r w:rsidR="00565A26">
              <w:rPr>
                <w:noProof/>
                <w:webHidden/>
              </w:rPr>
              <w:instrText xml:space="preserve"> PAGEREF _Toc363456652 \h </w:instrText>
            </w:r>
            <w:r>
              <w:rPr>
                <w:noProof/>
                <w:webHidden/>
              </w:rPr>
            </w:r>
            <w:r>
              <w:rPr>
                <w:noProof/>
                <w:webHidden/>
              </w:rPr>
              <w:fldChar w:fldCharType="separate"/>
            </w:r>
            <w:r w:rsidR="001B0D9A">
              <w:rPr>
                <w:noProof/>
                <w:webHidden/>
              </w:rPr>
              <w:t>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53" w:history="1">
            <w:r w:rsidR="00565A26" w:rsidRPr="00F75E50">
              <w:rPr>
                <w:rStyle w:val="Hyperlink"/>
                <w:noProof/>
                <w:lang w:eastAsia="en-AU"/>
              </w:rPr>
              <w:t>Submission details</w:t>
            </w:r>
            <w:r w:rsidR="00565A26">
              <w:rPr>
                <w:noProof/>
                <w:webHidden/>
              </w:rPr>
              <w:tab/>
            </w:r>
            <w:r>
              <w:rPr>
                <w:noProof/>
                <w:webHidden/>
              </w:rPr>
              <w:fldChar w:fldCharType="begin"/>
            </w:r>
            <w:r w:rsidR="00565A26">
              <w:rPr>
                <w:noProof/>
                <w:webHidden/>
              </w:rPr>
              <w:instrText xml:space="preserve"> PAGEREF _Toc363456653 \h </w:instrText>
            </w:r>
            <w:r>
              <w:rPr>
                <w:noProof/>
                <w:webHidden/>
              </w:rPr>
            </w:r>
            <w:r>
              <w:rPr>
                <w:noProof/>
                <w:webHidden/>
              </w:rPr>
              <w:fldChar w:fldCharType="separate"/>
            </w:r>
            <w:r w:rsidR="001B0D9A">
              <w:rPr>
                <w:noProof/>
                <w:webHidden/>
              </w:rPr>
              <w:t>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54" w:history="1">
            <w:r w:rsidR="00565A26" w:rsidRPr="00F75E50">
              <w:rPr>
                <w:rStyle w:val="Hyperlink"/>
                <w:noProof/>
              </w:rPr>
              <w:t>Product background</w:t>
            </w:r>
            <w:r w:rsidR="00565A26">
              <w:rPr>
                <w:noProof/>
                <w:webHidden/>
              </w:rPr>
              <w:tab/>
            </w:r>
            <w:r>
              <w:rPr>
                <w:noProof/>
                <w:webHidden/>
              </w:rPr>
              <w:fldChar w:fldCharType="begin"/>
            </w:r>
            <w:r w:rsidR="00565A26">
              <w:rPr>
                <w:noProof/>
                <w:webHidden/>
              </w:rPr>
              <w:instrText xml:space="preserve"> PAGEREF _Toc363456654 \h </w:instrText>
            </w:r>
            <w:r>
              <w:rPr>
                <w:noProof/>
                <w:webHidden/>
              </w:rPr>
            </w:r>
            <w:r>
              <w:rPr>
                <w:noProof/>
                <w:webHidden/>
              </w:rPr>
              <w:fldChar w:fldCharType="separate"/>
            </w:r>
            <w:r w:rsidR="001B0D9A">
              <w:rPr>
                <w:noProof/>
                <w:webHidden/>
              </w:rPr>
              <w:t>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55" w:history="1">
            <w:r w:rsidR="00565A26" w:rsidRPr="00F75E50">
              <w:rPr>
                <w:rStyle w:val="Hyperlink"/>
                <w:noProof/>
              </w:rPr>
              <w:t>Regulatory status</w:t>
            </w:r>
            <w:r w:rsidR="00565A26">
              <w:rPr>
                <w:noProof/>
                <w:webHidden/>
              </w:rPr>
              <w:tab/>
            </w:r>
            <w:r>
              <w:rPr>
                <w:noProof/>
                <w:webHidden/>
              </w:rPr>
              <w:fldChar w:fldCharType="begin"/>
            </w:r>
            <w:r w:rsidR="00565A26">
              <w:rPr>
                <w:noProof/>
                <w:webHidden/>
              </w:rPr>
              <w:instrText xml:space="preserve"> PAGEREF _Toc363456655 \h </w:instrText>
            </w:r>
            <w:r>
              <w:rPr>
                <w:noProof/>
                <w:webHidden/>
              </w:rPr>
            </w:r>
            <w:r>
              <w:rPr>
                <w:noProof/>
                <w:webHidden/>
              </w:rPr>
              <w:fldChar w:fldCharType="separate"/>
            </w:r>
            <w:r w:rsidR="001B0D9A">
              <w:rPr>
                <w:noProof/>
                <w:webHidden/>
              </w:rPr>
              <w:t>6</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56" w:history="1">
            <w:r w:rsidR="00565A26" w:rsidRPr="00F75E50">
              <w:rPr>
                <w:rStyle w:val="Hyperlink"/>
                <w:noProof/>
              </w:rPr>
              <w:t>Product Information</w:t>
            </w:r>
            <w:r w:rsidR="00565A26">
              <w:rPr>
                <w:noProof/>
                <w:webHidden/>
              </w:rPr>
              <w:tab/>
            </w:r>
            <w:r>
              <w:rPr>
                <w:noProof/>
                <w:webHidden/>
              </w:rPr>
              <w:fldChar w:fldCharType="begin"/>
            </w:r>
            <w:r w:rsidR="00565A26">
              <w:rPr>
                <w:noProof/>
                <w:webHidden/>
              </w:rPr>
              <w:instrText xml:space="preserve"> PAGEREF _Toc363456656 \h </w:instrText>
            </w:r>
            <w:r>
              <w:rPr>
                <w:noProof/>
                <w:webHidden/>
              </w:rPr>
            </w:r>
            <w:r>
              <w:rPr>
                <w:noProof/>
                <w:webHidden/>
              </w:rPr>
              <w:fldChar w:fldCharType="separate"/>
            </w:r>
            <w:r w:rsidR="001B0D9A">
              <w:rPr>
                <w:noProof/>
                <w:webHidden/>
              </w:rPr>
              <w:t>6</w:t>
            </w:r>
            <w:r>
              <w:rPr>
                <w:noProof/>
                <w:webHidden/>
              </w:rPr>
              <w:fldChar w:fldCharType="end"/>
            </w:r>
          </w:hyperlink>
        </w:p>
        <w:p w:rsidR="00565A26" w:rsidRDefault="00F35DF9">
          <w:pPr>
            <w:pStyle w:val="TOC2"/>
            <w:rPr>
              <w:rFonts w:asciiTheme="minorHAnsi" w:eastAsiaTheme="minorEastAsia" w:hAnsiTheme="minorHAnsi" w:cstheme="minorBidi"/>
              <w:b w:val="0"/>
              <w:noProof/>
              <w:sz w:val="22"/>
              <w:lang w:eastAsia="en-AU"/>
            </w:rPr>
          </w:pPr>
          <w:hyperlink w:anchor="_Toc363456657" w:history="1">
            <w:r w:rsidR="00565A26" w:rsidRPr="00F75E50">
              <w:rPr>
                <w:rStyle w:val="Hyperlink"/>
                <w:noProof/>
              </w:rPr>
              <w:t>II. Quality findings</w:t>
            </w:r>
            <w:r w:rsidR="00565A26">
              <w:rPr>
                <w:noProof/>
                <w:webHidden/>
              </w:rPr>
              <w:tab/>
            </w:r>
            <w:r>
              <w:rPr>
                <w:noProof/>
                <w:webHidden/>
              </w:rPr>
              <w:fldChar w:fldCharType="begin"/>
            </w:r>
            <w:r w:rsidR="00565A26">
              <w:rPr>
                <w:noProof/>
                <w:webHidden/>
              </w:rPr>
              <w:instrText xml:space="preserve"> PAGEREF _Toc363456657 \h </w:instrText>
            </w:r>
            <w:r>
              <w:rPr>
                <w:noProof/>
                <w:webHidden/>
              </w:rPr>
            </w:r>
            <w:r>
              <w:rPr>
                <w:noProof/>
                <w:webHidden/>
              </w:rPr>
              <w:fldChar w:fldCharType="separate"/>
            </w:r>
            <w:r w:rsidR="001B0D9A">
              <w:rPr>
                <w:noProof/>
                <w:webHidden/>
              </w:rPr>
              <w:t>6</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58" w:history="1">
            <w:r w:rsidR="00565A26" w:rsidRPr="00F75E50">
              <w:rPr>
                <w:rStyle w:val="Hyperlink"/>
                <w:noProof/>
              </w:rPr>
              <w:t>Drug substance (active ingredient)</w:t>
            </w:r>
            <w:r w:rsidR="00565A26">
              <w:rPr>
                <w:noProof/>
                <w:webHidden/>
              </w:rPr>
              <w:tab/>
            </w:r>
            <w:r>
              <w:rPr>
                <w:noProof/>
                <w:webHidden/>
              </w:rPr>
              <w:fldChar w:fldCharType="begin"/>
            </w:r>
            <w:r w:rsidR="00565A26">
              <w:rPr>
                <w:noProof/>
                <w:webHidden/>
              </w:rPr>
              <w:instrText xml:space="preserve"> PAGEREF _Toc363456658 \h </w:instrText>
            </w:r>
            <w:r>
              <w:rPr>
                <w:noProof/>
                <w:webHidden/>
              </w:rPr>
            </w:r>
            <w:r>
              <w:rPr>
                <w:noProof/>
                <w:webHidden/>
              </w:rPr>
              <w:fldChar w:fldCharType="separate"/>
            </w:r>
            <w:r w:rsidR="001B0D9A">
              <w:rPr>
                <w:noProof/>
                <w:webHidden/>
              </w:rPr>
              <w:t>7</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59" w:history="1">
            <w:r w:rsidR="00565A26" w:rsidRPr="00F75E50">
              <w:rPr>
                <w:rStyle w:val="Hyperlink"/>
                <w:noProof/>
              </w:rPr>
              <w:t>Drug product</w:t>
            </w:r>
            <w:r w:rsidR="00565A26">
              <w:rPr>
                <w:noProof/>
                <w:webHidden/>
              </w:rPr>
              <w:tab/>
            </w:r>
            <w:r>
              <w:rPr>
                <w:noProof/>
                <w:webHidden/>
              </w:rPr>
              <w:fldChar w:fldCharType="begin"/>
            </w:r>
            <w:r w:rsidR="00565A26">
              <w:rPr>
                <w:noProof/>
                <w:webHidden/>
              </w:rPr>
              <w:instrText xml:space="preserve"> PAGEREF _Toc363456659 \h </w:instrText>
            </w:r>
            <w:r>
              <w:rPr>
                <w:noProof/>
                <w:webHidden/>
              </w:rPr>
            </w:r>
            <w:r>
              <w:rPr>
                <w:noProof/>
                <w:webHidden/>
              </w:rPr>
              <w:fldChar w:fldCharType="separate"/>
            </w:r>
            <w:r w:rsidR="001B0D9A">
              <w:rPr>
                <w:noProof/>
                <w:webHidden/>
              </w:rPr>
              <w:t>7</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0" w:history="1">
            <w:r w:rsidR="00565A26" w:rsidRPr="00F75E50">
              <w:rPr>
                <w:rStyle w:val="Hyperlink"/>
                <w:noProof/>
              </w:rPr>
              <w:t>Biopharmaceutics</w:t>
            </w:r>
            <w:r w:rsidR="00565A26">
              <w:rPr>
                <w:noProof/>
                <w:webHidden/>
              </w:rPr>
              <w:tab/>
            </w:r>
            <w:r>
              <w:rPr>
                <w:noProof/>
                <w:webHidden/>
              </w:rPr>
              <w:fldChar w:fldCharType="begin"/>
            </w:r>
            <w:r w:rsidR="00565A26">
              <w:rPr>
                <w:noProof/>
                <w:webHidden/>
              </w:rPr>
              <w:instrText xml:space="preserve"> PAGEREF _Toc363456660 \h </w:instrText>
            </w:r>
            <w:r>
              <w:rPr>
                <w:noProof/>
                <w:webHidden/>
              </w:rPr>
            </w:r>
            <w:r>
              <w:rPr>
                <w:noProof/>
                <w:webHidden/>
              </w:rPr>
              <w:fldChar w:fldCharType="separate"/>
            </w:r>
            <w:r w:rsidR="001B0D9A">
              <w:rPr>
                <w:noProof/>
                <w:webHidden/>
              </w:rPr>
              <w:t>8</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1" w:history="1">
            <w:r w:rsidR="00565A26" w:rsidRPr="00F75E50">
              <w:rPr>
                <w:rStyle w:val="Hyperlink"/>
                <w:noProof/>
              </w:rPr>
              <w:t>Advisory committee considerations</w:t>
            </w:r>
            <w:r w:rsidR="00565A26">
              <w:rPr>
                <w:noProof/>
                <w:webHidden/>
              </w:rPr>
              <w:tab/>
            </w:r>
            <w:r>
              <w:rPr>
                <w:noProof/>
                <w:webHidden/>
              </w:rPr>
              <w:fldChar w:fldCharType="begin"/>
            </w:r>
            <w:r w:rsidR="00565A26">
              <w:rPr>
                <w:noProof/>
                <w:webHidden/>
              </w:rPr>
              <w:instrText xml:space="preserve"> PAGEREF _Toc363456661 \h </w:instrText>
            </w:r>
            <w:r>
              <w:rPr>
                <w:noProof/>
                <w:webHidden/>
              </w:rPr>
            </w:r>
            <w:r>
              <w:rPr>
                <w:noProof/>
                <w:webHidden/>
              </w:rPr>
              <w:fldChar w:fldCharType="separate"/>
            </w:r>
            <w:r w:rsidR="001B0D9A">
              <w:rPr>
                <w:noProof/>
                <w:webHidden/>
              </w:rPr>
              <w:t>8</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2" w:history="1">
            <w:r w:rsidR="00565A26" w:rsidRPr="00F75E50">
              <w:rPr>
                <w:rStyle w:val="Hyperlink"/>
                <w:noProof/>
              </w:rPr>
              <w:t>Quality summary and conclusions</w:t>
            </w:r>
            <w:r w:rsidR="00565A26">
              <w:rPr>
                <w:noProof/>
                <w:webHidden/>
              </w:rPr>
              <w:tab/>
            </w:r>
            <w:r>
              <w:rPr>
                <w:noProof/>
                <w:webHidden/>
              </w:rPr>
              <w:fldChar w:fldCharType="begin"/>
            </w:r>
            <w:r w:rsidR="00565A26">
              <w:rPr>
                <w:noProof/>
                <w:webHidden/>
              </w:rPr>
              <w:instrText xml:space="preserve"> PAGEREF _Toc363456662 \h </w:instrText>
            </w:r>
            <w:r>
              <w:rPr>
                <w:noProof/>
                <w:webHidden/>
              </w:rPr>
            </w:r>
            <w:r>
              <w:rPr>
                <w:noProof/>
                <w:webHidden/>
              </w:rPr>
              <w:fldChar w:fldCharType="separate"/>
            </w:r>
            <w:r w:rsidR="001B0D9A">
              <w:rPr>
                <w:noProof/>
                <w:webHidden/>
              </w:rPr>
              <w:t>9</w:t>
            </w:r>
            <w:r>
              <w:rPr>
                <w:noProof/>
                <w:webHidden/>
              </w:rPr>
              <w:fldChar w:fldCharType="end"/>
            </w:r>
          </w:hyperlink>
        </w:p>
        <w:p w:rsidR="00565A26" w:rsidRDefault="00F35DF9">
          <w:pPr>
            <w:pStyle w:val="TOC2"/>
            <w:rPr>
              <w:rFonts w:asciiTheme="minorHAnsi" w:eastAsiaTheme="minorEastAsia" w:hAnsiTheme="minorHAnsi" w:cstheme="minorBidi"/>
              <w:b w:val="0"/>
              <w:noProof/>
              <w:sz w:val="22"/>
              <w:lang w:eastAsia="en-AU"/>
            </w:rPr>
          </w:pPr>
          <w:hyperlink w:anchor="_Toc363456663" w:history="1">
            <w:r w:rsidR="00565A26" w:rsidRPr="00F75E50">
              <w:rPr>
                <w:rStyle w:val="Hyperlink"/>
                <w:noProof/>
              </w:rPr>
              <w:t>III. Nonclinical findings</w:t>
            </w:r>
            <w:r w:rsidR="00565A26">
              <w:rPr>
                <w:noProof/>
                <w:webHidden/>
              </w:rPr>
              <w:tab/>
            </w:r>
            <w:r>
              <w:rPr>
                <w:noProof/>
                <w:webHidden/>
              </w:rPr>
              <w:fldChar w:fldCharType="begin"/>
            </w:r>
            <w:r w:rsidR="00565A26">
              <w:rPr>
                <w:noProof/>
                <w:webHidden/>
              </w:rPr>
              <w:instrText xml:space="preserve"> PAGEREF _Toc363456663 \h </w:instrText>
            </w:r>
            <w:r>
              <w:rPr>
                <w:noProof/>
                <w:webHidden/>
              </w:rPr>
            </w:r>
            <w:r>
              <w:rPr>
                <w:noProof/>
                <w:webHidden/>
              </w:rPr>
              <w:fldChar w:fldCharType="separate"/>
            </w:r>
            <w:r w:rsidR="001B0D9A">
              <w:rPr>
                <w:noProof/>
                <w:webHidden/>
              </w:rPr>
              <w:t>9</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4" w:history="1">
            <w:r w:rsidR="00565A26" w:rsidRPr="00F75E50">
              <w:rPr>
                <w:rStyle w:val="Hyperlink"/>
                <w:noProof/>
              </w:rPr>
              <w:t>Introduction</w:t>
            </w:r>
            <w:r w:rsidR="00565A26">
              <w:rPr>
                <w:noProof/>
                <w:webHidden/>
              </w:rPr>
              <w:tab/>
            </w:r>
            <w:r>
              <w:rPr>
                <w:noProof/>
                <w:webHidden/>
              </w:rPr>
              <w:fldChar w:fldCharType="begin"/>
            </w:r>
            <w:r w:rsidR="00565A26">
              <w:rPr>
                <w:noProof/>
                <w:webHidden/>
              </w:rPr>
              <w:instrText xml:space="preserve"> PAGEREF _Toc363456664 \h </w:instrText>
            </w:r>
            <w:r>
              <w:rPr>
                <w:noProof/>
                <w:webHidden/>
              </w:rPr>
            </w:r>
            <w:r>
              <w:rPr>
                <w:noProof/>
                <w:webHidden/>
              </w:rPr>
              <w:fldChar w:fldCharType="separate"/>
            </w:r>
            <w:r w:rsidR="001B0D9A">
              <w:rPr>
                <w:noProof/>
                <w:webHidden/>
              </w:rPr>
              <w:t>9</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5" w:history="1">
            <w:r w:rsidR="00565A26" w:rsidRPr="00F75E50">
              <w:rPr>
                <w:rStyle w:val="Hyperlink"/>
                <w:noProof/>
              </w:rPr>
              <w:t>Pharmacology</w:t>
            </w:r>
            <w:r w:rsidR="00565A26">
              <w:rPr>
                <w:noProof/>
                <w:webHidden/>
              </w:rPr>
              <w:tab/>
            </w:r>
            <w:r>
              <w:rPr>
                <w:noProof/>
                <w:webHidden/>
              </w:rPr>
              <w:fldChar w:fldCharType="begin"/>
            </w:r>
            <w:r w:rsidR="00565A26">
              <w:rPr>
                <w:noProof/>
                <w:webHidden/>
              </w:rPr>
              <w:instrText xml:space="preserve"> PAGEREF _Toc363456665 \h </w:instrText>
            </w:r>
            <w:r>
              <w:rPr>
                <w:noProof/>
                <w:webHidden/>
              </w:rPr>
            </w:r>
            <w:r>
              <w:rPr>
                <w:noProof/>
                <w:webHidden/>
              </w:rPr>
              <w:fldChar w:fldCharType="separate"/>
            </w:r>
            <w:r w:rsidR="001B0D9A">
              <w:rPr>
                <w:noProof/>
                <w:webHidden/>
              </w:rPr>
              <w:t>9</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6" w:history="1">
            <w:r w:rsidR="00565A26" w:rsidRPr="00F75E50">
              <w:rPr>
                <w:rStyle w:val="Hyperlink"/>
                <w:noProof/>
              </w:rPr>
              <w:t>Pharmacokinetics</w:t>
            </w:r>
            <w:r w:rsidR="00565A26">
              <w:rPr>
                <w:noProof/>
                <w:webHidden/>
              </w:rPr>
              <w:tab/>
            </w:r>
            <w:r>
              <w:rPr>
                <w:noProof/>
                <w:webHidden/>
              </w:rPr>
              <w:fldChar w:fldCharType="begin"/>
            </w:r>
            <w:r w:rsidR="00565A26">
              <w:rPr>
                <w:noProof/>
                <w:webHidden/>
              </w:rPr>
              <w:instrText xml:space="preserve"> PAGEREF _Toc363456666 \h </w:instrText>
            </w:r>
            <w:r>
              <w:rPr>
                <w:noProof/>
                <w:webHidden/>
              </w:rPr>
            </w:r>
            <w:r>
              <w:rPr>
                <w:noProof/>
                <w:webHidden/>
              </w:rPr>
              <w:fldChar w:fldCharType="separate"/>
            </w:r>
            <w:r w:rsidR="001B0D9A">
              <w:rPr>
                <w:noProof/>
                <w:webHidden/>
              </w:rPr>
              <w:t>11</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7" w:history="1">
            <w:r w:rsidR="00565A26" w:rsidRPr="00F75E50">
              <w:rPr>
                <w:rStyle w:val="Hyperlink"/>
                <w:noProof/>
              </w:rPr>
              <w:t>Toxicology</w:t>
            </w:r>
            <w:r w:rsidR="00565A26">
              <w:rPr>
                <w:noProof/>
                <w:webHidden/>
              </w:rPr>
              <w:tab/>
            </w:r>
            <w:r>
              <w:rPr>
                <w:noProof/>
                <w:webHidden/>
              </w:rPr>
              <w:fldChar w:fldCharType="begin"/>
            </w:r>
            <w:r w:rsidR="00565A26">
              <w:rPr>
                <w:noProof/>
                <w:webHidden/>
              </w:rPr>
              <w:instrText xml:space="preserve"> PAGEREF _Toc363456667 \h </w:instrText>
            </w:r>
            <w:r>
              <w:rPr>
                <w:noProof/>
                <w:webHidden/>
              </w:rPr>
            </w:r>
            <w:r>
              <w:rPr>
                <w:noProof/>
                <w:webHidden/>
              </w:rPr>
              <w:fldChar w:fldCharType="separate"/>
            </w:r>
            <w:r w:rsidR="001B0D9A">
              <w:rPr>
                <w:noProof/>
                <w:webHidden/>
              </w:rPr>
              <w:t>15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68" w:history="1">
            <w:r w:rsidR="00565A26" w:rsidRPr="00F75E50">
              <w:rPr>
                <w:rStyle w:val="Hyperlink"/>
                <w:noProof/>
              </w:rPr>
              <w:t>Nonclinical summary and conclusions</w:t>
            </w:r>
            <w:r w:rsidR="00565A26">
              <w:rPr>
                <w:noProof/>
                <w:webHidden/>
              </w:rPr>
              <w:tab/>
            </w:r>
            <w:r>
              <w:rPr>
                <w:noProof/>
                <w:webHidden/>
              </w:rPr>
              <w:fldChar w:fldCharType="begin"/>
            </w:r>
            <w:r w:rsidR="00565A26">
              <w:rPr>
                <w:noProof/>
                <w:webHidden/>
              </w:rPr>
              <w:instrText xml:space="preserve"> PAGEREF _Toc363456668 \h </w:instrText>
            </w:r>
            <w:r>
              <w:rPr>
                <w:noProof/>
                <w:webHidden/>
              </w:rPr>
            </w:r>
            <w:r>
              <w:rPr>
                <w:noProof/>
                <w:webHidden/>
              </w:rPr>
              <w:fldChar w:fldCharType="separate"/>
            </w:r>
            <w:r w:rsidR="001B0D9A">
              <w:rPr>
                <w:noProof/>
                <w:webHidden/>
              </w:rPr>
              <w:t>21</w:t>
            </w:r>
            <w:r>
              <w:rPr>
                <w:noProof/>
                <w:webHidden/>
              </w:rPr>
              <w:fldChar w:fldCharType="end"/>
            </w:r>
          </w:hyperlink>
        </w:p>
        <w:p w:rsidR="00565A26" w:rsidRDefault="00F35DF9">
          <w:pPr>
            <w:pStyle w:val="TOC2"/>
            <w:rPr>
              <w:rFonts w:asciiTheme="minorHAnsi" w:eastAsiaTheme="minorEastAsia" w:hAnsiTheme="minorHAnsi" w:cstheme="minorBidi"/>
              <w:b w:val="0"/>
              <w:noProof/>
              <w:sz w:val="22"/>
              <w:lang w:eastAsia="en-AU"/>
            </w:rPr>
          </w:pPr>
          <w:hyperlink w:anchor="_Toc363456669" w:history="1">
            <w:r w:rsidR="00565A26" w:rsidRPr="00F75E50">
              <w:rPr>
                <w:rStyle w:val="Hyperlink"/>
                <w:noProof/>
              </w:rPr>
              <w:t>IV. Clinical findings</w:t>
            </w:r>
            <w:r w:rsidR="00565A26">
              <w:rPr>
                <w:noProof/>
                <w:webHidden/>
              </w:rPr>
              <w:tab/>
            </w:r>
            <w:r>
              <w:rPr>
                <w:noProof/>
                <w:webHidden/>
              </w:rPr>
              <w:fldChar w:fldCharType="begin"/>
            </w:r>
            <w:r w:rsidR="00565A26">
              <w:rPr>
                <w:noProof/>
                <w:webHidden/>
              </w:rPr>
              <w:instrText xml:space="preserve"> PAGEREF _Toc363456669 \h </w:instrText>
            </w:r>
            <w:r>
              <w:rPr>
                <w:noProof/>
                <w:webHidden/>
              </w:rPr>
            </w:r>
            <w:r>
              <w:rPr>
                <w:noProof/>
                <w:webHidden/>
              </w:rPr>
              <w:fldChar w:fldCharType="separate"/>
            </w:r>
            <w:r w:rsidR="001B0D9A">
              <w:rPr>
                <w:noProof/>
                <w:webHidden/>
              </w:rPr>
              <w:t>25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0" w:history="1">
            <w:r w:rsidR="00565A26" w:rsidRPr="00F75E50">
              <w:rPr>
                <w:rStyle w:val="Hyperlink"/>
                <w:noProof/>
              </w:rPr>
              <w:t>Introduction</w:t>
            </w:r>
            <w:r w:rsidR="00565A26">
              <w:rPr>
                <w:noProof/>
                <w:webHidden/>
              </w:rPr>
              <w:tab/>
            </w:r>
            <w:r>
              <w:rPr>
                <w:noProof/>
                <w:webHidden/>
              </w:rPr>
              <w:fldChar w:fldCharType="begin"/>
            </w:r>
            <w:r w:rsidR="00565A26">
              <w:rPr>
                <w:noProof/>
                <w:webHidden/>
              </w:rPr>
              <w:instrText xml:space="preserve"> PAGEREF _Toc363456670 \h </w:instrText>
            </w:r>
            <w:r>
              <w:rPr>
                <w:noProof/>
                <w:webHidden/>
              </w:rPr>
            </w:r>
            <w:r>
              <w:rPr>
                <w:noProof/>
                <w:webHidden/>
              </w:rPr>
              <w:fldChar w:fldCharType="separate"/>
            </w:r>
            <w:r w:rsidR="001B0D9A">
              <w:rPr>
                <w:noProof/>
                <w:webHidden/>
              </w:rPr>
              <w:t>25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1" w:history="1">
            <w:r w:rsidR="00565A26" w:rsidRPr="00F75E50">
              <w:rPr>
                <w:rStyle w:val="Hyperlink"/>
                <w:noProof/>
              </w:rPr>
              <w:t>Pharmacokinetics</w:t>
            </w:r>
            <w:r w:rsidR="00565A26">
              <w:rPr>
                <w:noProof/>
                <w:webHidden/>
              </w:rPr>
              <w:tab/>
            </w:r>
            <w:r>
              <w:rPr>
                <w:noProof/>
                <w:webHidden/>
              </w:rPr>
              <w:fldChar w:fldCharType="begin"/>
            </w:r>
            <w:r w:rsidR="00565A26">
              <w:rPr>
                <w:noProof/>
                <w:webHidden/>
              </w:rPr>
              <w:instrText xml:space="preserve"> PAGEREF _Toc363456671 \h </w:instrText>
            </w:r>
            <w:r>
              <w:rPr>
                <w:noProof/>
                <w:webHidden/>
              </w:rPr>
            </w:r>
            <w:r>
              <w:rPr>
                <w:noProof/>
                <w:webHidden/>
              </w:rPr>
              <w:fldChar w:fldCharType="separate"/>
            </w:r>
            <w:r w:rsidR="001B0D9A">
              <w:rPr>
                <w:noProof/>
                <w:webHidden/>
              </w:rPr>
              <w:t>26</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2" w:history="1">
            <w:r w:rsidR="00565A26" w:rsidRPr="00F75E50">
              <w:rPr>
                <w:rStyle w:val="Hyperlink"/>
                <w:noProof/>
              </w:rPr>
              <w:t>Pharmacodynamics</w:t>
            </w:r>
            <w:r w:rsidR="00565A26">
              <w:rPr>
                <w:noProof/>
                <w:webHidden/>
              </w:rPr>
              <w:tab/>
            </w:r>
            <w:r>
              <w:rPr>
                <w:noProof/>
                <w:webHidden/>
              </w:rPr>
              <w:fldChar w:fldCharType="begin"/>
            </w:r>
            <w:r w:rsidR="00565A26">
              <w:rPr>
                <w:noProof/>
                <w:webHidden/>
              </w:rPr>
              <w:instrText xml:space="preserve"> PAGEREF _Toc363456672 \h </w:instrText>
            </w:r>
            <w:r>
              <w:rPr>
                <w:noProof/>
                <w:webHidden/>
              </w:rPr>
            </w:r>
            <w:r>
              <w:rPr>
                <w:noProof/>
                <w:webHidden/>
              </w:rPr>
              <w:fldChar w:fldCharType="separate"/>
            </w:r>
            <w:r w:rsidR="001B0D9A">
              <w:rPr>
                <w:noProof/>
                <w:webHidden/>
              </w:rPr>
              <w:t>29</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3" w:history="1">
            <w:r w:rsidR="00565A26" w:rsidRPr="00F75E50">
              <w:rPr>
                <w:rStyle w:val="Hyperlink"/>
                <w:noProof/>
              </w:rPr>
              <w:t>Efficacy</w:t>
            </w:r>
            <w:r w:rsidR="00565A26">
              <w:rPr>
                <w:noProof/>
                <w:webHidden/>
              </w:rPr>
              <w:tab/>
            </w:r>
            <w:r>
              <w:rPr>
                <w:noProof/>
                <w:webHidden/>
              </w:rPr>
              <w:fldChar w:fldCharType="begin"/>
            </w:r>
            <w:r w:rsidR="00565A26">
              <w:rPr>
                <w:noProof/>
                <w:webHidden/>
              </w:rPr>
              <w:instrText xml:space="preserve"> PAGEREF _Toc363456673 \h </w:instrText>
            </w:r>
            <w:r>
              <w:rPr>
                <w:noProof/>
                <w:webHidden/>
              </w:rPr>
            </w:r>
            <w:r>
              <w:rPr>
                <w:noProof/>
                <w:webHidden/>
              </w:rPr>
              <w:fldChar w:fldCharType="separate"/>
            </w:r>
            <w:r w:rsidR="001B0D9A">
              <w:rPr>
                <w:noProof/>
                <w:webHidden/>
              </w:rPr>
              <w:t>30</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4" w:history="1">
            <w:r w:rsidR="00565A26" w:rsidRPr="00F75E50">
              <w:rPr>
                <w:rStyle w:val="Hyperlink"/>
                <w:noProof/>
              </w:rPr>
              <w:t>Safety</w:t>
            </w:r>
            <w:r w:rsidR="00565A26">
              <w:rPr>
                <w:noProof/>
                <w:webHidden/>
              </w:rPr>
              <w:tab/>
            </w:r>
            <w:r>
              <w:rPr>
                <w:noProof/>
                <w:webHidden/>
              </w:rPr>
              <w:fldChar w:fldCharType="begin"/>
            </w:r>
            <w:r w:rsidR="00565A26">
              <w:rPr>
                <w:noProof/>
                <w:webHidden/>
              </w:rPr>
              <w:instrText xml:space="preserve"> PAGEREF _Toc363456674 \h </w:instrText>
            </w:r>
            <w:r>
              <w:rPr>
                <w:noProof/>
                <w:webHidden/>
              </w:rPr>
            </w:r>
            <w:r>
              <w:rPr>
                <w:noProof/>
                <w:webHidden/>
              </w:rPr>
              <w:fldChar w:fldCharType="separate"/>
            </w:r>
            <w:r w:rsidR="001B0D9A">
              <w:rPr>
                <w:noProof/>
                <w:webHidden/>
              </w:rPr>
              <w:t>33</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5" w:history="1">
            <w:r w:rsidR="00565A26" w:rsidRPr="00F75E50">
              <w:rPr>
                <w:rStyle w:val="Hyperlink"/>
                <w:noProof/>
              </w:rPr>
              <w:t>List of questions</w:t>
            </w:r>
            <w:r w:rsidR="00565A26">
              <w:rPr>
                <w:noProof/>
                <w:webHidden/>
              </w:rPr>
              <w:tab/>
            </w:r>
            <w:r>
              <w:rPr>
                <w:noProof/>
                <w:webHidden/>
              </w:rPr>
              <w:fldChar w:fldCharType="begin"/>
            </w:r>
            <w:r w:rsidR="00565A26">
              <w:rPr>
                <w:noProof/>
                <w:webHidden/>
              </w:rPr>
              <w:instrText xml:space="preserve"> PAGEREF _Toc363456675 \h </w:instrText>
            </w:r>
            <w:r>
              <w:rPr>
                <w:noProof/>
                <w:webHidden/>
              </w:rPr>
            </w:r>
            <w:r>
              <w:rPr>
                <w:noProof/>
                <w:webHidden/>
              </w:rPr>
              <w:fldChar w:fldCharType="separate"/>
            </w:r>
            <w:r w:rsidR="001B0D9A">
              <w:rPr>
                <w:noProof/>
                <w:webHidden/>
              </w:rPr>
              <w:t>35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6" w:history="1">
            <w:r w:rsidR="00565A26" w:rsidRPr="00F75E50">
              <w:rPr>
                <w:rStyle w:val="Hyperlink"/>
                <w:noProof/>
              </w:rPr>
              <w:t>First round clinical summary and conclusions</w:t>
            </w:r>
            <w:r w:rsidR="00565A26">
              <w:rPr>
                <w:noProof/>
                <w:webHidden/>
              </w:rPr>
              <w:tab/>
            </w:r>
            <w:r>
              <w:rPr>
                <w:noProof/>
                <w:webHidden/>
              </w:rPr>
              <w:fldChar w:fldCharType="begin"/>
            </w:r>
            <w:r w:rsidR="00565A26">
              <w:rPr>
                <w:noProof/>
                <w:webHidden/>
              </w:rPr>
              <w:instrText xml:space="preserve"> PAGEREF _Toc363456676 \h </w:instrText>
            </w:r>
            <w:r>
              <w:rPr>
                <w:noProof/>
                <w:webHidden/>
              </w:rPr>
            </w:r>
            <w:r>
              <w:rPr>
                <w:noProof/>
                <w:webHidden/>
              </w:rPr>
              <w:fldChar w:fldCharType="separate"/>
            </w:r>
            <w:r w:rsidR="001B0D9A">
              <w:rPr>
                <w:noProof/>
                <w:webHidden/>
              </w:rPr>
              <w:t>36</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7" w:history="1">
            <w:r w:rsidR="00565A26" w:rsidRPr="00F75E50">
              <w:rPr>
                <w:rStyle w:val="Hyperlink"/>
                <w:noProof/>
              </w:rPr>
              <w:t>Second round clinical evaluation</w:t>
            </w:r>
            <w:r w:rsidR="00565A26">
              <w:rPr>
                <w:noProof/>
                <w:webHidden/>
              </w:rPr>
              <w:tab/>
            </w:r>
            <w:r>
              <w:rPr>
                <w:noProof/>
                <w:webHidden/>
              </w:rPr>
              <w:fldChar w:fldCharType="begin"/>
            </w:r>
            <w:r w:rsidR="00565A26">
              <w:rPr>
                <w:noProof/>
                <w:webHidden/>
              </w:rPr>
              <w:instrText xml:space="preserve"> PAGEREF _Toc363456677 \h </w:instrText>
            </w:r>
            <w:r>
              <w:rPr>
                <w:noProof/>
                <w:webHidden/>
              </w:rPr>
            </w:r>
            <w:r>
              <w:rPr>
                <w:noProof/>
                <w:webHidden/>
              </w:rPr>
              <w:fldChar w:fldCharType="separate"/>
            </w:r>
            <w:r w:rsidR="001B0D9A">
              <w:rPr>
                <w:noProof/>
                <w:webHidden/>
              </w:rPr>
              <w:t>39</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8" w:history="1">
            <w:r w:rsidR="00565A26" w:rsidRPr="00F75E50">
              <w:rPr>
                <w:rStyle w:val="Hyperlink"/>
                <w:noProof/>
              </w:rPr>
              <w:t>Second round benefit-risk assessment</w:t>
            </w:r>
            <w:r w:rsidR="00565A26">
              <w:rPr>
                <w:noProof/>
                <w:webHidden/>
              </w:rPr>
              <w:tab/>
            </w:r>
            <w:r>
              <w:rPr>
                <w:noProof/>
                <w:webHidden/>
              </w:rPr>
              <w:fldChar w:fldCharType="begin"/>
            </w:r>
            <w:r w:rsidR="00565A26">
              <w:rPr>
                <w:noProof/>
                <w:webHidden/>
              </w:rPr>
              <w:instrText xml:space="preserve"> PAGEREF _Toc363456678 \h </w:instrText>
            </w:r>
            <w:r>
              <w:rPr>
                <w:noProof/>
                <w:webHidden/>
              </w:rPr>
            </w:r>
            <w:r>
              <w:rPr>
                <w:noProof/>
                <w:webHidden/>
              </w:rPr>
              <w:fldChar w:fldCharType="separate"/>
            </w:r>
            <w:r w:rsidR="001B0D9A">
              <w:rPr>
                <w:noProof/>
                <w:webHidden/>
              </w:rPr>
              <w:t>41</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79" w:history="1">
            <w:r w:rsidR="00565A26" w:rsidRPr="00F75E50">
              <w:rPr>
                <w:rStyle w:val="Hyperlink"/>
                <w:noProof/>
              </w:rPr>
              <w:t>Second round recommendation regarding authorisation</w:t>
            </w:r>
            <w:r w:rsidR="00565A26">
              <w:rPr>
                <w:noProof/>
                <w:webHidden/>
              </w:rPr>
              <w:tab/>
            </w:r>
            <w:r>
              <w:rPr>
                <w:noProof/>
                <w:webHidden/>
              </w:rPr>
              <w:fldChar w:fldCharType="begin"/>
            </w:r>
            <w:r w:rsidR="00565A26">
              <w:rPr>
                <w:noProof/>
                <w:webHidden/>
              </w:rPr>
              <w:instrText xml:space="preserve"> PAGEREF _Toc363456679 \h </w:instrText>
            </w:r>
            <w:r>
              <w:rPr>
                <w:noProof/>
                <w:webHidden/>
              </w:rPr>
            </w:r>
            <w:r>
              <w:rPr>
                <w:noProof/>
                <w:webHidden/>
              </w:rPr>
              <w:fldChar w:fldCharType="separate"/>
            </w:r>
            <w:r w:rsidR="001B0D9A">
              <w:rPr>
                <w:noProof/>
                <w:webHidden/>
              </w:rPr>
              <w:t>41</w:t>
            </w:r>
            <w:r>
              <w:rPr>
                <w:noProof/>
                <w:webHidden/>
              </w:rPr>
              <w:fldChar w:fldCharType="end"/>
            </w:r>
          </w:hyperlink>
        </w:p>
        <w:p w:rsidR="00565A26" w:rsidRDefault="00F35DF9">
          <w:pPr>
            <w:pStyle w:val="TOC2"/>
            <w:rPr>
              <w:rFonts w:asciiTheme="minorHAnsi" w:eastAsiaTheme="minorEastAsia" w:hAnsiTheme="minorHAnsi" w:cstheme="minorBidi"/>
              <w:b w:val="0"/>
              <w:noProof/>
              <w:sz w:val="22"/>
              <w:lang w:eastAsia="en-AU"/>
            </w:rPr>
          </w:pPr>
          <w:hyperlink w:anchor="_Toc363456680" w:history="1">
            <w:r w:rsidR="00565A26" w:rsidRPr="00F75E50">
              <w:rPr>
                <w:rStyle w:val="Hyperlink"/>
                <w:noProof/>
              </w:rPr>
              <w:t>V. Pharmacovigilance findings</w:t>
            </w:r>
            <w:r w:rsidR="00565A26">
              <w:rPr>
                <w:noProof/>
                <w:webHidden/>
              </w:rPr>
              <w:tab/>
            </w:r>
            <w:r>
              <w:rPr>
                <w:noProof/>
                <w:webHidden/>
              </w:rPr>
              <w:fldChar w:fldCharType="begin"/>
            </w:r>
            <w:r w:rsidR="00565A26">
              <w:rPr>
                <w:noProof/>
                <w:webHidden/>
              </w:rPr>
              <w:instrText xml:space="preserve"> PAGEREF _Toc363456680 \h </w:instrText>
            </w:r>
            <w:r>
              <w:rPr>
                <w:noProof/>
                <w:webHidden/>
              </w:rPr>
            </w:r>
            <w:r>
              <w:rPr>
                <w:noProof/>
                <w:webHidden/>
              </w:rPr>
              <w:fldChar w:fldCharType="separate"/>
            </w:r>
            <w:r w:rsidR="001B0D9A">
              <w:rPr>
                <w:noProof/>
                <w:webHidden/>
              </w:rPr>
              <w:t>41</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1" w:history="1">
            <w:r w:rsidR="00565A26" w:rsidRPr="00F75E50">
              <w:rPr>
                <w:rStyle w:val="Hyperlink"/>
                <w:noProof/>
                <w:lang w:eastAsia="en-AU"/>
              </w:rPr>
              <w:t>Risk management plan</w:t>
            </w:r>
            <w:r w:rsidR="00565A26">
              <w:rPr>
                <w:noProof/>
                <w:webHidden/>
              </w:rPr>
              <w:tab/>
            </w:r>
            <w:r>
              <w:rPr>
                <w:noProof/>
                <w:webHidden/>
              </w:rPr>
              <w:fldChar w:fldCharType="begin"/>
            </w:r>
            <w:r w:rsidR="00565A26">
              <w:rPr>
                <w:noProof/>
                <w:webHidden/>
              </w:rPr>
              <w:instrText xml:space="preserve"> PAGEREF _Toc363456681 \h </w:instrText>
            </w:r>
            <w:r>
              <w:rPr>
                <w:noProof/>
                <w:webHidden/>
              </w:rPr>
            </w:r>
            <w:r>
              <w:rPr>
                <w:noProof/>
                <w:webHidden/>
              </w:rPr>
              <w:fldChar w:fldCharType="separate"/>
            </w:r>
            <w:r w:rsidR="001B0D9A">
              <w:rPr>
                <w:noProof/>
                <w:webHidden/>
              </w:rPr>
              <w:t>41</w:t>
            </w:r>
            <w:r>
              <w:rPr>
                <w:noProof/>
                <w:webHidden/>
              </w:rPr>
              <w:fldChar w:fldCharType="end"/>
            </w:r>
          </w:hyperlink>
        </w:p>
        <w:p w:rsidR="00565A26" w:rsidRDefault="00F35DF9">
          <w:pPr>
            <w:pStyle w:val="TOC2"/>
            <w:rPr>
              <w:rFonts w:asciiTheme="minorHAnsi" w:eastAsiaTheme="minorEastAsia" w:hAnsiTheme="minorHAnsi" w:cstheme="minorBidi"/>
              <w:b w:val="0"/>
              <w:noProof/>
              <w:sz w:val="22"/>
              <w:lang w:eastAsia="en-AU"/>
            </w:rPr>
          </w:pPr>
          <w:hyperlink w:anchor="_Toc363456682" w:history="1">
            <w:r w:rsidR="00565A26" w:rsidRPr="00F75E50">
              <w:rPr>
                <w:rStyle w:val="Hyperlink"/>
                <w:noProof/>
              </w:rPr>
              <w:t>VI. Overall conclusion and risk/benefit assessment</w:t>
            </w:r>
            <w:r w:rsidR="00565A26">
              <w:rPr>
                <w:noProof/>
                <w:webHidden/>
              </w:rPr>
              <w:tab/>
            </w:r>
            <w:r>
              <w:rPr>
                <w:noProof/>
                <w:webHidden/>
              </w:rPr>
              <w:fldChar w:fldCharType="begin"/>
            </w:r>
            <w:r w:rsidR="00565A26">
              <w:rPr>
                <w:noProof/>
                <w:webHidden/>
              </w:rPr>
              <w:instrText xml:space="preserve"> PAGEREF _Toc363456682 \h </w:instrText>
            </w:r>
            <w:r>
              <w:rPr>
                <w:noProof/>
                <w:webHidden/>
              </w:rPr>
            </w:r>
            <w:r>
              <w:rPr>
                <w:noProof/>
                <w:webHidden/>
              </w:rPr>
              <w:fldChar w:fldCharType="separate"/>
            </w:r>
            <w:r w:rsidR="001B0D9A">
              <w:rPr>
                <w:noProof/>
                <w:webHidden/>
              </w:rPr>
              <w:t>44</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3" w:history="1">
            <w:r w:rsidR="00565A26" w:rsidRPr="00F75E50">
              <w:rPr>
                <w:rStyle w:val="Hyperlink"/>
                <w:noProof/>
              </w:rPr>
              <w:t>Quality</w:t>
            </w:r>
            <w:r w:rsidR="00565A26">
              <w:rPr>
                <w:noProof/>
                <w:webHidden/>
              </w:rPr>
              <w:tab/>
            </w:r>
            <w:r>
              <w:rPr>
                <w:noProof/>
                <w:webHidden/>
              </w:rPr>
              <w:fldChar w:fldCharType="begin"/>
            </w:r>
            <w:r w:rsidR="00565A26">
              <w:rPr>
                <w:noProof/>
                <w:webHidden/>
              </w:rPr>
              <w:instrText xml:space="preserve"> PAGEREF _Toc363456683 \h </w:instrText>
            </w:r>
            <w:r>
              <w:rPr>
                <w:noProof/>
                <w:webHidden/>
              </w:rPr>
            </w:r>
            <w:r>
              <w:rPr>
                <w:noProof/>
                <w:webHidden/>
              </w:rPr>
              <w:fldChar w:fldCharType="separate"/>
            </w:r>
            <w:r w:rsidR="001B0D9A">
              <w:rPr>
                <w:noProof/>
                <w:webHidden/>
              </w:rPr>
              <w:t>44</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4" w:history="1">
            <w:r w:rsidR="00565A26" w:rsidRPr="00F75E50">
              <w:rPr>
                <w:rStyle w:val="Hyperlink"/>
                <w:noProof/>
              </w:rPr>
              <w:t>Nonclinical</w:t>
            </w:r>
            <w:r w:rsidR="00565A26">
              <w:rPr>
                <w:noProof/>
                <w:webHidden/>
              </w:rPr>
              <w:tab/>
            </w:r>
            <w:r>
              <w:rPr>
                <w:noProof/>
                <w:webHidden/>
              </w:rPr>
              <w:fldChar w:fldCharType="begin"/>
            </w:r>
            <w:r w:rsidR="00565A26">
              <w:rPr>
                <w:noProof/>
                <w:webHidden/>
              </w:rPr>
              <w:instrText xml:space="preserve"> PAGEREF _Toc363456684 \h </w:instrText>
            </w:r>
            <w:r>
              <w:rPr>
                <w:noProof/>
                <w:webHidden/>
              </w:rPr>
            </w:r>
            <w:r>
              <w:rPr>
                <w:noProof/>
                <w:webHidden/>
              </w:rPr>
              <w:fldChar w:fldCharType="separate"/>
            </w:r>
            <w:r w:rsidR="001B0D9A">
              <w:rPr>
                <w:noProof/>
                <w:webHidden/>
              </w:rPr>
              <w:t>45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5" w:history="1">
            <w:r w:rsidR="00565A26" w:rsidRPr="00F75E50">
              <w:rPr>
                <w:rStyle w:val="Hyperlink"/>
                <w:noProof/>
              </w:rPr>
              <w:t>Clinical</w:t>
            </w:r>
            <w:r w:rsidR="00565A26">
              <w:rPr>
                <w:noProof/>
                <w:webHidden/>
              </w:rPr>
              <w:tab/>
            </w:r>
            <w:r>
              <w:rPr>
                <w:noProof/>
                <w:webHidden/>
              </w:rPr>
              <w:fldChar w:fldCharType="begin"/>
            </w:r>
            <w:r w:rsidR="00565A26">
              <w:rPr>
                <w:noProof/>
                <w:webHidden/>
              </w:rPr>
              <w:instrText xml:space="preserve"> PAGEREF _Toc363456685 \h </w:instrText>
            </w:r>
            <w:r>
              <w:rPr>
                <w:noProof/>
                <w:webHidden/>
              </w:rPr>
            </w:r>
            <w:r>
              <w:rPr>
                <w:noProof/>
                <w:webHidden/>
              </w:rPr>
              <w:fldChar w:fldCharType="separate"/>
            </w:r>
            <w:r w:rsidR="001B0D9A">
              <w:rPr>
                <w:noProof/>
                <w:webHidden/>
              </w:rPr>
              <w:t>45</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6" w:history="1">
            <w:r w:rsidR="00565A26" w:rsidRPr="00F75E50">
              <w:rPr>
                <w:rStyle w:val="Hyperlink"/>
                <w:noProof/>
                <w:lang w:eastAsia="en-AU"/>
              </w:rPr>
              <w:t>Risk management plan</w:t>
            </w:r>
            <w:r w:rsidR="00565A26">
              <w:rPr>
                <w:noProof/>
                <w:webHidden/>
              </w:rPr>
              <w:tab/>
            </w:r>
            <w:r>
              <w:rPr>
                <w:noProof/>
                <w:webHidden/>
              </w:rPr>
              <w:fldChar w:fldCharType="begin"/>
            </w:r>
            <w:r w:rsidR="00565A26">
              <w:rPr>
                <w:noProof/>
                <w:webHidden/>
              </w:rPr>
              <w:instrText xml:space="preserve"> PAGEREF _Toc363456686 \h </w:instrText>
            </w:r>
            <w:r>
              <w:rPr>
                <w:noProof/>
                <w:webHidden/>
              </w:rPr>
            </w:r>
            <w:r>
              <w:rPr>
                <w:noProof/>
                <w:webHidden/>
              </w:rPr>
              <w:fldChar w:fldCharType="separate"/>
            </w:r>
            <w:r w:rsidR="001B0D9A">
              <w:rPr>
                <w:noProof/>
                <w:webHidden/>
              </w:rPr>
              <w:t>58</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7" w:history="1">
            <w:r w:rsidR="00565A26" w:rsidRPr="00F75E50">
              <w:rPr>
                <w:rStyle w:val="Hyperlink"/>
                <w:noProof/>
              </w:rPr>
              <w:t>Risk-benefit analysis</w:t>
            </w:r>
            <w:r w:rsidR="00565A26">
              <w:rPr>
                <w:noProof/>
                <w:webHidden/>
              </w:rPr>
              <w:tab/>
            </w:r>
            <w:r>
              <w:rPr>
                <w:noProof/>
                <w:webHidden/>
              </w:rPr>
              <w:fldChar w:fldCharType="begin"/>
            </w:r>
            <w:r w:rsidR="00565A26">
              <w:rPr>
                <w:noProof/>
                <w:webHidden/>
              </w:rPr>
              <w:instrText xml:space="preserve"> PAGEREF _Toc363456687 \h </w:instrText>
            </w:r>
            <w:r>
              <w:rPr>
                <w:noProof/>
                <w:webHidden/>
              </w:rPr>
            </w:r>
            <w:r>
              <w:rPr>
                <w:noProof/>
                <w:webHidden/>
              </w:rPr>
              <w:fldChar w:fldCharType="separate"/>
            </w:r>
            <w:r w:rsidR="001B0D9A">
              <w:rPr>
                <w:noProof/>
                <w:webHidden/>
              </w:rPr>
              <w:t>58</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8" w:history="1">
            <w:r w:rsidR="00565A26" w:rsidRPr="00F75E50">
              <w:rPr>
                <w:rStyle w:val="Hyperlink"/>
                <w:noProof/>
              </w:rPr>
              <w:t>Outcome</w:t>
            </w:r>
            <w:r w:rsidR="00565A26">
              <w:rPr>
                <w:noProof/>
                <w:webHidden/>
              </w:rPr>
              <w:tab/>
            </w:r>
            <w:r>
              <w:rPr>
                <w:noProof/>
                <w:webHidden/>
              </w:rPr>
              <w:fldChar w:fldCharType="begin"/>
            </w:r>
            <w:r w:rsidR="00565A26">
              <w:rPr>
                <w:noProof/>
                <w:webHidden/>
              </w:rPr>
              <w:instrText xml:space="preserve"> PAGEREF _Toc363456688 \h </w:instrText>
            </w:r>
            <w:r>
              <w:rPr>
                <w:noProof/>
                <w:webHidden/>
              </w:rPr>
            </w:r>
            <w:r>
              <w:rPr>
                <w:noProof/>
                <w:webHidden/>
              </w:rPr>
              <w:fldChar w:fldCharType="separate"/>
            </w:r>
            <w:r w:rsidR="001B0D9A">
              <w:rPr>
                <w:noProof/>
                <w:webHidden/>
              </w:rPr>
              <w:t>66</w:t>
            </w:r>
            <w:r>
              <w:rPr>
                <w:noProof/>
                <w:webHidden/>
              </w:rPr>
              <w:fldChar w:fldCharType="end"/>
            </w:r>
          </w:hyperlink>
        </w:p>
        <w:p w:rsidR="00565A26" w:rsidRDefault="00F35DF9">
          <w:pPr>
            <w:pStyle w:val="TOC3"/>
            <w:rPr>
              <w:rFonts w:asciiTheme="minorHAnsi" w:eastAsiaTheme="minorEastAsia" w:hAnsiTheme="minorHAnsi" w:cstheme="minorBidi"/>
              <w:noProof/>
              <w:lang w:eastAsia="en-AU"/>
            </w:rPr>
          </w:pPr>
          <w:hyperlink w:anchor="_Toc363456689" w:history="1">
            <w:r w:rsidR="00565A26" w:rsidRPr="00F75E50">
              <w:rPr>
                <w:rStyle w:val="Hyperlink"/>
                <w:noProof/>
              </w:rPr>
              <w:t>Request for Review under Section 60 of the Therapeutic Goods Act 1989</w:t>
            </w:r>
            <w:r w:rsidR="00565A26">
              <w:rPr>
                <w:noProof/>
                <w:webHidden/>
              </w:rPr>
              <w:tab/>
            </w:r>
            <w:r>
              <w:rPr>
                <w:noProof/>
                <w:webHidden/>
              </w:rPr>
              <w:fldChar w:fldCharType="begin"/>
            </w:r>
            <w:r w:rsidR="00565A26">
              <w:rPr>
                <w:noProof/>
                <w:webHidden/>
              </w:rPr>
              <w:instrText xml:space="preserve"> PAGEREF _Toc363456689 \h </w:instrText>
            </w:r>
            <w:r>
              <w:rPr>
                <w:noProof/>
                <w:webHidden/>
              </w:rPr>
            </w:r>
            <w:r>
              <w:rPr>
                <w:noProof/>
                <w:webHidden/>
              </w:rPr>
              <w:fldChar w:fldCharType="separate"/>
            </w:r>
            <w:r w:rsidR="001B0D9A">
              <w:rPr>
                <w:noProof/>
                <w:webHidden/>
              </w:rPr>
              <w:t>66</w:t>
            </w:r>
            <w:r>
              <w:rPr>
                <w:noProof/>
                <w:webHidden/>
              </w:rPr>
              <w:fldChar w:fldCharType="end"/>
            </w:r>
          </w:hyperlink>
        </w:p>
        <w:p w:rsidR="00565A26" w:rsidRDefault="00F35DF9">
          <w:pPr>
            <w:pStyle w:val="TOC2"/>
            <w:tabs>
              <w:tab w:val="left" w:pos="2448"/>
            </w:tabs>
            <w:rPr>
              <w:rFonts w:asciiTheme="minorHAnsi" w:eastAsiaTheme="minorEastAsia" w:hAnsiTheme="minorHAnsi" w:cstheme="minorBidi"/>
              <w:b w:val="0"/>
              <w:noProof/>
              <w:sz w:val="22"/>
              <w:lang w:eastAsia="en-AU"/>
            </w:rPr>
          </w:pPr>
          <w:hyperlink w:anchor="_Toc363456690" w:history="1">
            <w:r w:rsidR="00565A26" w:rsidRPr="00F75E50">
              <w:rPr>
                <w:rStyle w:val="Hyperlink"/>
                <w:noProof/>
              </w:rPr>
              <w:t>Attachment 1.</w:t>
            </w:r>
            <w:r w:rsidR="00565A26">
              <w:rPr>
                <w:rFonts w:asciiTheme="minorHAnsi" w:eastAsiaTheme="minorEastAsia" w:hAnsiTheme="minorHAnsi" w:cstheme="minorBidi"/>
                <w:b w:val="0"/>
                <w:noProof/>
                <w:sz w:val="22"/>
                <w:lang w:eastAsia="en-AU"/>
              </w:rPr>
              <w:tab/>
            </w:r>
            <w:r w:rsidR="00565A26" w:rsidRPr="00F75E50">
              <w:rPr>
                <w:rStyle w:val="Hyperlink"/>
                <w:noProof/>
              </w:rPr>
              <w:t>Product Information</w:t>
            </w:r>
            <w:r w:rsidR="00565A26">
              <w:rPr>
                <w:noProof/>
                <w:webHidden/>
              </w:rPr>
              <w:tab/>
            </w:r>
            <w:r>
              <w:rPr>
                <w:noProof/>
                <w:webHidden/>
              </w:rPr>
              <w:fldChar w:fldCharType="begin"/>
            </w:r>
            <w:r w:rsidR="00565A26">
              <w:rPr>
                <w:noProof/>
                <w:webHidden/>
              </w:rPr>
              <w:instrText xml:space="preserve"> PAGEREF _Toc363456690 \h </w:instrText>
            </w:r>
            <w:r>
              <w:rPr>
                <w:noProof/>
                <w:webHidden/>
              </w:rPr>
            </w:r>
            <w:r>
              <w:rPr>
                <w:noProof/>
                <w:webHidden/>
              </w:rPr>
              <w:fldChar w:fldCharType="separate"/>
            </w:r>
            <w:r w:rsidR="001B0D9A">
              <w:rPr>
                <w:noProof/>
                <w:webHidden/>
              </w:rPr>
              <w:t>69</w:t>
            </w:r>
            <w:r>
              <w:rPr>
                <w:noProof/>
                <w:webHidden/>
              </w:rPr>
              <w:fldChar w:fldCharType="end"/>
            </w:r>
          </w:hyperlink>
        </w:p>
        <w:p w:rsidR="00565A26" w:rsidRDefault="00F35DF9">
          <w:pPr>
            <w:pStyle w:val="TOC2"/>
            <w:tabs>
              <w:tab w:val="left" w:pos="2448"/>
            </w:tabs>
            <w:rPr>
              <w:rFonts w:asciiTheme="minorHAnsi" w:eastAsiaTheme="minorEastAsia" w:hAnsiTheme="minorHAnsi" w:cstheme="minorBidi"/>
              <w:b w:val="0"/>
              <w:noProof/>
              <w:sz w:val="22"/>
              <w:lang w:eastAsia="en-AU"/>
            </w:rPr>
          </w:pPr>
          <w:hyperlink w:anchor="_Toc363456691" w:history="1">
            <w:r w:rsidR="00565A26" w:rsidRPr="00F75E50">
              <w:rPr>
                <w:rStyle w:val="Hyperlink"/>
                <w:noProof/>
              </w:rPr>
              <w:t>Attachment 2.</w:t>
            </w:r>
            <w:r w:rsidR="00565A26">
              <w:rPr>
                <w:rFonts w:asciiTheme="minorHAnsi" w:eastAsiaTheme="minorEastAsia" w:hAnsiTheme="minorHAnsi" w:cstheme="minorBidi"/>
                <w:b w:val="0"/>
                <w:noProof/>
                <w:sz w:val="22"/>
                <w:lang w:eastAsia="en-AU"/>
              </w:rPr>
              <w:tab/>
            </w:r>
            <w:r w:rsidR="00565A26" w:rsidRPr="00F75E50">
              <w:rPr>
                <w:rStyle w:val="Hyperlink"/>
                <w:noProof/>
              </w:rPr>
              <w:t>Extract from the Clinical Evaluation Report</w:t>
            </w:r>
            <w:r w:rsidR="00565A26">
              <w:rPr>
                <w:noProof/>
                <w:webHidden/>
              </w:rPr>
              <w:tab/>
            </w:r>
            <w:r>
              <w:rPr>
                <w:noProof/>
                <w:webHidden/>
              </w:rPr>
              <w:fldChar w:fldCharType="begin"/>
            </w:r>
            <w:r w:rsidR="00565A26">
              <w:rPr>
                <w:noProof/>
                <w:webHidden/>
              </w:rPr>
              <w:instrText xml:space="preserve"> PAGEREF _Toc363456691 \h </w:instrText>
            </w:r>
            <w:r>
              <w:rPr>
                <w:noProof/>
                <w:webHidden/>
              </w:rPr>
            </w:r>
            <w:r>
              <w:rPr>
                <w:noProof/>
                <w:webHidden/>
              </w:rPr>
              <w:fldChar w:fldCharType="separate"/>
            </w:r>
            <w:r w:rsidR="001B0D9A">
              <w:rPr>
                <w:noProof/>
                <w:webHidden/>
              </w:rPr>
              <w:t>69</w:t>
            </w:r>
            <w:r>
              <w:rPr>
                <w:noProof/>
                <w:webHidden/>
              </w:rPr>
              <w:fldChar w:fldCharType="end"/>
            </w:r>
          </w:hyperlink>
        </w:p>
        <w:p w:rsidR="003A7F6C" w:rsidRPr="00B811C6" w:rsidRDefault="00F35DF9" w:rsidP="007B0A6D">
          <w:r>
            <w:fldChar w:fldCharType="end"/>
          </w:r>
        </w:p>
      </w:sdtContent>
    </w:sdt>
    <w:bookmarkStart w:id="2" w:name="_Toc314842482" w:displacedByCustomXml="prev"/>
    <w:p w:rsidR="006F5E72" w:rsidRDefault="006F5E72">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3" w:name="_Toc363456652"/>
      <w:r>
        <w:lastRenderedPageBreak/>
        <w:t>I.</w:t>
      </w:r>
      <w:r w:rsidR="008E7846">
        <w:t xml:space="preserve"> Introduction to product submission</w:t>
      </w:r>
      <w:bookmarkEnd w:id="3"/>
      <w:bookmarkEnd w:id="2"/>
      <w:bookmarkEnd w:id="0"/>
    </w:p>
    <w:p w:rsidR="008E7846" w:rsidRDefault="008E7846" w:rsidP="008E7846">
      <w:pPr>
        <w:pStyle w:val="Heading3"/>
        <w:rPr>
          <w:lang w:eastAsia="en-AU"/>
        </w:rPr>
      </w:pPr>
      <w:bookmarkStart w:id="4" w:name="_Toc247691502"/>
      <w:bookmarkStart w:id="5" w:name="_Toc314842483"/>
      <w:bookmarkStart w:id="6" w:name="_Toc363456653"/>
      <w:r>
        <w:rPr>
          <w:lang w:eastAsia="en-AU"/>
        </w:rPr>
        <w:t>Submission details</w:t>
      </w:r>
      <w:bookmarkEnd w:id="4"/>
      <w:bookmarkEnd w:id="5"/>
      <w:bookmarkEnd w:id="6"/>
    </w:p>
    <w:tbl>
      <w:tblPr>
        <w:tblW w:w="8505" w:type="dxa"/>
        <w:tblInd w:w="108" w:type="dxa"/>
        <w:tblLook w:val="01E0"/>
      </w:tblPr>
      <w:tblGrid>
        <w:gridCol w:w="2907"/>
        <w:gridCol w:w="5598"/>
      </w:tblGrid>
      <w:tr w:rsidR="008E7846" w:rsidRPr="003D1E62" w:rsidTr="007B0A6D">
        <w:trPr>
          <w:trHeight w:hRule="exact" w:val="591"/>
        </w:trPr>
        <w:tc>
          <w:tcPr>
            <w:tcW w:w="2907" w:type="dxa"/>
          </w:tcPr>
          <w:p w:rsidR="008E7846" w:rsidRPr="003D1E62" w:rsidRDefault="008E7846" w:rsidP="003D1E62">
            <w:pPr>
              <w:rPr>
                <w:i/>
              </w:rPr>
            </w:pPr>
            <w:r w:rsidRPr="003D1E62">
              <w:rPr>
                <w:i/>
              </w:rPr>
              <w:t>Type of Submission</w:t>
            </w:r>
            <w:r w:rsidR="00BB2DAA">
              <w:rPr>
                <w:i/>
              </w:rPr>
              <w:t>:</w:t>
            </w:r>
          </w:p>
        </w:tc>
        <w:tc>
          <w:tcPr>
            <w:tcW w:w="5598" w:type="dxa"/>
          </w:tcPr>
          <w:p w:rsidR="008E7846" w:rsidRPr="003D1E62" w:rsidRDefault="008253C8" w:rsidP="00BB2DAA">
            <w:pPr>
              <w:spacing w:after="0"/>
            </w:pPr>
            <w:r>
              <w:rPr>
                <w:rFonts w:eastAsiaTheme="minorEastAsia"/>
              </w:rPr>
              <w:t>New fixed dose combination</w:t>
            </w:r>
            <w:r w:rsidR="00BB2DAA">
              <w:rPr>
                <w:rFonts w:eastAsiaTheme="minorEastAsia"/>
              </w:rPr>
              <w:t xml:space="preserve"> product</w:t>
            </w:r>
          </w:p>
        </w:tc>
      </w:tr>
      <w:tr w:rsidR="008E7846" w:rsidRPr="003D1E62" w:rsidTr="007B0A6D">
        <w:trPr>
          <w:trHeight w:hRule="exact" w:val="454"/>
        </w:trPr>
        <w:tc>
          <w:tcPr>
            <w:tcW w:w="2907" w:type="dxa"/>
          </w:tcPr>
          <w:p w:rsidR="008E7846" w:rsidRPr="003D1E62" w:rsidRDefault="008E7846" w:rsidP="003D1E62">
            <w:r w:rsidRPr="003D1E62">
              <w:rPr>
                <w:i/>
              </w:rPr>
              <w:t>Decision</w:t>
            </w:r>
            <w:r w:rsidRPr="003D1E62">
              <w:t>:</w:t>
            </w:r>
          </w:p>
        </w:tc>
        <w:tc>
          <w:tcPr>
            <w:tcW w:w="5598" w:type="dxa"/>
          </w:tcPr>
          <w:p w:rsidR="008E7846" w:rsidRPr="003D1E62" w:rsidRDefault="008E7846" w:rsidP="008253C8">
            <w:r w:rsidRPr="003D1E62">
              <w:t xml:space="preserve">Approved </w:t>
            </w:r>
          </w:p>
        </w:tc>
      </w:tr>
      <w:tr w:rsidR="008E7846" w:rsidRPr="003D1E62" w:rsidTr="007B0A6D">
        <w:trPr>
          <w:trHeight w:hRule="exact" w:val="454"/>
        </w:trPr>
        <w:tc>
          <w:tcPr>
            <w:tcW w:w="2907" w:type="dxa"/>
          </w:tcPr>
          <w:p w:rsidR="008E7846" w:rsidRPr="003D1E62" w:rsidRDefault="008E7846" w:rsidP="003D1E62">
            <w:pPr>
              <w:rPr>
                <w:i/>
              </w:rPr>
            </w:pPr>
            <w:r w:rsidRPr="003D1E62">
              <w:rPr>
                <w:i/>
              </w:rPr>
              <w:t>Date of Decision:</w:t>
            </w:r>
          </w:p>
        </w:tc>
        <w:tc>
          <w:tcPr>
            <w:tcW w:w="5598" w:type="dxa"/>
          </w:tcPr>
          <w:p w:rsidR="008E7846" w:rsidRPr="003D1E62" w:rsidRDefault="00FE5142" w:rsidP="003D1E62">
            <w:r>
              <w:t>7 February 2013</w:t>
            </w:r>
          </w:p>
        </w:tc>
      </w:tr>
    </w:tbl>
    <w:p w:rsidR="008E7846" w:rsidRDefault="008E7846" w:rsidP="008E7846"/>
    <w:tbl>
      <w:tblPr>
        <w:tblW w:w="8505" w:type="dxa"/>
        <w:tblInd w:w="108" w:type="dxa"/>
        <w:tblLook w:val="01E0"/>
      </w:tblPr>
      <w:tblGrid>
        <w:gridCol w:w="2907"/>
        <w:gridCol w:w="5598"/>
      </w:tblGrid>
      <w:tr w:rsidR="008E7846" w:rsidRPr="00487162" w:rsidTr="007B0A6D">
        <w:tc>
          <w:tcPr>
            <w:tcW w:w="2907" w:type="dxa"/>
          </w:tcPr>
          <w:p w:rsidR="008E7846" w:rsidRPr="00487162" w:rsidRDefault="008253C8" w:rsidP="008253C8">
            <w:pPr>
              <w:rPr>
                <w:i/>
              </w:rPr>
            </w:pPr>
            <w:r>
              <w:rPr>
                <w:i/>
              </w:rPr>
              <w:t>Active ingredient</w:t>
            </w:r>
            <w:r w:rsidR="008E7846" w:rsidRPr="00487162">
              <w:rPr>
                <w:i/>
              </w:rPr>
              <w:t xml:space="preserve">s: </w:t>
            </w:r>
          </w:p>
        </w:tc>
        <w:tc>
          <w:tcPr>
            <w:tcW w:w="5598" w:type="dxa"/>
          </w:tcPr>
          <w:p w:rsidR="008E7846" w:rsidRPr="00487162" w:rsidRDefault="00FE5142" w:rsidP="00A2001C">
            <w:r>
              <w:t>T</w:t>
            </w:r>
            <w:r w:rsidR="008253C8" w:rsidRPr="008253C8">
              <w:t xml:space="preserve">enofovir disoproxil fumarate, </w:t>
            </w:r>
            <w:r w:rsidR="00A2001C">
              <w:t>emtricitabine</w:t>
            </w:r>
            <w:r w:rsidR="008253C8" w:rsidRPr="008253C8">
              <w:t xml:space="preserve">, </w:t>
            </w:r>
            <w:r w:rsidR="00BB2DAA">
              <w:rPr>
                <w:rFonts w:eastAsiaTheme="minorEastAsia"/>
              </w:rPr>
              <w:t xml:space="preserve">elvitegravir </w:t>
            </w:r>
            <w:r w:rsidR="008253C8" w:rsidRPr="008253C8">
              <w:t xml:space="preserve">and </w:t>
            </w:r>
            <w:r w:rsidR="00A2001C">
              <w:t xml:space="preserve">cobicistat </w:t>
            </w:r>
          </w:p>
        </w:tc>
      </w:tr>
      <w:tr w:rsidR="008E7846" w:rsidRPr="00487162" w:rsidTr="007B0A6D">
        <w:tc>
          <w:tcPr>
            <w:tcW w:w="2907" w:type="dxa"/>
          </w:tcPr>
          <w:p w:rsidR="008E7846" w:rsidRPr="00487162" w:rsidRDefault="008253C8" w:rsidP="00E45619">
            <w:pPr>
              <w:rPr>
                <w:i/>
              </w:rPr>
            </w:pPr>
            <w:r>
              <w:rPr>
                <w:i/>
              </w:rPr>
              <w:t>Product Name</w:t>
            </w:r>
            <w:r w:rsidR="008E7846" w:rsidRPr="00487162">
              <w:rPr>
                <w:i/>
              </w:rPr>
              <w:t xml:space="preserve">: </w:t>
            </w:r>
          </w:p>
        </w:tc>
        <w:tc>
          <w:tcPr>
            <w:tcW w:w="5598" w:type="dxa"/>
          </w:tcPr>
          <w:p w:rsidR="008253C8" w:rsidRPr="00487162" w:rsidRDefault="008253C8" w:rsidP="008253C8">
            <w:pPr>
              <w:spacing w:before="0" w:after="0" w:line="240" w:lineRule="auto"/>
            </w:pPr>
            <w:r>
              <w:t>Stribild</w:t>
            </w:r>
          </w:p>
        </w:tc>
      </w:tr>
      <w:tr w:rsidR="008E7846" w:rsidRPr="00487162" w:rsidTr="007B0A6D">
        <w:tc>
          <w:tcPr>
            <w:tcW w:w="2907" w:type="dxa"/>
          </w:tcPr>
          <w:p w:rsidR="008E7846" w:rsidRPr="00487162" w:rsidRDefault="008E7846" w:rsidP="00E45619">
            <w:pPr>
              <w:rPr>
                <w:i/>
              </w:rPr>
            </w:pPr>
            <w:r w:rsidRPr="00487162">
              <w:rPr>
                <w:i/>
              </w:rPr>
              <w:t>Sponsor’s Name and Address:</w:t>
            </w:r>
          </w:p>
        </w:tc>
        <w:tc>
          <w:tcPr>
            <w:tcW w:w="5598" w:type="dxa"/>
          </w:tcPr>
          <w:p w:rsidR="008253C8" w:rsidRDefault="008253C8" w:rsidP="008253C8">
            <w:pPr>
              <w:spacing w:before="0" w:after="0" w:line="240" w:lineRule="auto"/>
            </w:pPr>
            <w:r w:rsidRPr="008253C8">
              <w:t>Gilead Sciences Pty Ltd</w:t>
            </w:r>
          </w:p>
          <w:p w:rsidR="008253C8" w:rsidRDefault="008253C8" w:rsidP="008253C8">
            <w:pPr>
              <w:spacing w:before="0" w:after="0" w:line="240" w:lineRule="auto"/>
            </w:pPr>
            <w:r>
              <w:t xml:space="preserve">Level </w:t>
            </w:r>
            <w:r w:rsidR="00BB2DA3">
              <w:t>6</w:t>
            </w:r>
            <w:r w:rsidR="00512626">
              <w:t>,</w:t>
            </w:r>
            <w:r>
              <w:t xml:space="preserve"> </w:t>
            </w:r>
            <w:r w:rsidR="0063401D" w:rsidRPr="0063401D">
              <w:t>417</w:t>
            </w:r>
            <w:r w:rsidR="0063401D">
              <w:t xml:space="preserve"> </w:t>
            </w:r>
            <w:r w:rsidR="00BB2DA3">
              <w:t>St Kilda</w:t>
            </w:r>
            <w:r>
              <w:t xml:space="preserve"> Road</w:t>
            </w:r>
          </w:p>
          <w:p w:rsidR="008253C8" w:rsidRDefault="00B2627F" w:rsidP="00FE5142">
            <w:pPr>
              <w:spacing w:before="0" w:after="0" w:line="240" w:lineRule="auto"/>
            </w:pPr>
            <w:r>
              <w:t>Melbourne</w:t>
            </w:r>
            <w:r w:rsidR="008253C8">
              <w:t xml:space="preserve"> VIC 300</w:t>
            </w:r>
            <w:r w:rsidR="00BB2DA3">
              <w:t>4</w:t>
            </w:r>
          </w:p>
          <w:p w:rsidR="008E7846" w:rsidRPr="00487162" w:rsidRDefault="008253C8" w:rsidP="00FE5142">
            <w:pPr>
              <w:spacing w:before="0" w:after="0" w:line="240" w:lineRule="auto"/>
            </w:pPr>
            <w:r>
              <w:t>Australia</w:t>
            </w:r>
          </w:p>
        </w:tc>
      </w:tr>
      <w:tr w:rsidR="008E7846" w:rsidRPr="00487162" w:rsidTr="007B0A6D">
        <w:tc>
          <w:tcPr>
            <w:tcW w:w="2907" w:type="dxa"/>
          </w:tcPr>
          <w:p w:rsidR="008E7846" w:rsidRPr="00487162" w:rsidRDefault="008253C8" w:rsidP="00E45619">
            <w:pPr>
              <w:rPr>
                <w:i/>
              </w:rPr>
            </w:pPr>
            <w:r>
              <w:rPr>
                <w:i/>
              </w:rPr>
              <w:t>Dose form</w:t>
            </w:r>
            <w:r w:rsidR="008E7846" w:rsidRPr="00487162">
              <w:rPr>
                <w:i/>
              </w:rPr>
              <w:t xml:space="preserve">: </w:t>
            </w:r>
          </w:p>
        </w:tc>
        <w:tc>
          <w:tcPr>
            <w:tcW w:w="5598" w:type="dxa"/>
          </w:tcPr>
          <w:p w:rsidR="00732DF7" w:rsidRDefault="008253C8">
            <w:r>
              <w:t>Tablet</w:t>
            </w:r>
            <w:r w:rsidR="00CB0A3E">
              <w:t xml:space="preserve">, film coated </w:t>
            </w:r>
          </w:p>
        </w:tc>
      </w:tr>
      <w:tr w:rsidR="008E7846" w:rsidRPr="00487162" w:rsidTr="007B0A6D">
        <w:tc>
          <w:tcPr>
            <w:tcW w:w="2907" w:type="dxa"/>
          </w:tcPr>
          <w:p w:rsidR="008E7846" w:rsidRPr="00487162" w:rsidRDefault="008E7846" w:rsidP="00FE5142">
            <w:pPr>
              <w:rPr>
                <w:i/>
              </w:rPr>
            </w:pPr>
            <w:r w:rsidRPr="00487162">
              <w:rPr>
                <w:i/>
              </w:rPr>
              <w:t xml:space="preserve">Strength: </w:t>
            </w:r>
          </w:p>
        </w:tc>
        <w:tc>
          <w:tcPr>
            <w:tcW w:w="5598" w:type="dxa"/>
          </w:tcPr>
          <w:p w:rsidR="008E7846" w:rsidRPr="00487162" w:rsidRDefault="008253C8" w:rsidP="00D758DE">
            <w:r>
              <w:t>300</w:t>
            </w:r>
            <w:r w:rsidR="00FE5142">
              <w:t xml:space="preserve"> </w:t>
            </w:r>
            <w:r>
              <w:t xml:space="preserve">mg </w:t>
            </w:r>
            <w:r w:rsidR="00FE5142">
              <w:t>(</w:t>
            </w:r>
            <w:r w:rsidR="00D758DE">
              <w:t>tenofovir disoproxil fumarate</w:t>
            </w:r>
            <w:r w:rsidR="00FE5142">
              <w:t>)</w:t>
            </w:r>
            <w:r>
              <w:t xml:space="preserve">, 200 mg </w:t>
            </w:r>
            <w:r w:rsidR="00FE5142">
              <w:t>(</w:t>
            </w:r>
            <w:r w:rsidR="00D758DE">
              <w:t>emtricitabine</w:t>
            </w:r>
            <w:r w:rsidR="00FE5142">
              <w:t>)</w:t>
            </w:r>
            <w:r>
              <w:t xml:space="preserve">, 150 mg </w:t>
            </w:r>
            <w:r w:rsidR="00FE5142">
              <w:t>(</w:t>
            </w:r>
            <w:r w:rsidR="00D758DE">
              <w:rPr>
                <w:rFonts w:eastAsiaTheme="minorEastAsia"/>
              </w:rPr>
              <w:t>elvitegravir</w:t>
            </w:r>
            <w:r w:rsidR="00FE5142">
              <w:t>)</w:t>
            </w:r>
            <w:r>
              <w:t xml:space="preserve"> and 150 mg </w:t>
            </w:r>
            <w:r w:rsidR="00FE5142">
              <w:t>(</w:t>
            </w:r>
            <w:r w:rsidR="00D758DE">
              <w:t>cobicistat</w:t>
            </w:r>
            <w:r w:rsidR="00FE5142">
              <w:t>)</w:t>
            </w:r>
          </w:p>
        </w:tc>
      </w:tr>
      <w:tr w:rsidR="008E7846" w:rsidRPr="00487162" w:rsidTr="007B0A6D">
        <w:tc>
          <w:tcPr>
            <w:tcW w:w="2907" w:type="dxa"/>
          </w:tcPr>
          <w:p w:rsidR="008E7846" w:rsidRPr="00487162" w:rsidRDefault="008E7846" w:rsidP="00FE5142">
            <w:pPr>
              <w:rPr>
                <w:i/>
              </w:rPr>
            </w:pPr>
            <w:r w:rsidRPr="00487162">
              <w:rPr>
                <w:i/>
              </w:rPr>
              <w:t>Container:</w:t>
            </w:r>
          </w:p>
        </w:tc>
        <w:tc>
          <w:tcPr>
            <w:tcW w:w="5598" w:type="dxa"/>
          </w:tcPr>
          <w:p w:rsidR="008E7846" w:rsidRPr="00B2627F" w:rsidRDefault="008253C8" w:rsidP="00B2627F">
            <w:r w:rsidRPr="00B2627F">
              <w:t>Bottle</w:t>
            </w:r>
            <w:r w:rsidR="00B2627F" w:rsidRPr="00B2627F">
              <w:t xml:space="preserve">, high </w:t>
            </w:r>
            <w:r w:rsidR="00B2627F">
              <w:t>d</w:t>
            </w:r>
            <w:r w:rsidR="00B2627F" w:rsidRPr="00B2627F">
              <w:t xml:space="preserve">ensity </w:t>
            </w:r>
            <w:r w:rsidR="00B2627F">
              <w:t>p</w:t>
            </w:r>
            <w:r w:rsidR="00B2627F" w:rsidRPr="00B2627F">
              <w:t>olyethylene</w:t>
            </w:r>
            <w:r w:rsidR="00CB0A3E" w:rsidRPr="00B2627F">
              <w:t xml:space="preserve"> (HDPE)</w:t>
            </w:r>
          </w:p>
        </w:tc>
      </w:tr>
      <w:tr w:rsidR="008E7846" w:rsidRPr="00487162" w:rsidTr="002454B8">
        <w:trPr>
          <w:trHeight w:val="386"/>
        </w:trPr>
        <w:tc>
          <w:tcPr>
            <w:tcW w:w="2907" w:type="dxa"/>
          </w:tcPr>
          <w:p w:rsidR="008E7846" w:rsidRPr="00487162" w:rsidRDefault="00FE5142" w:rsidP="00E45619">
            <w:pPr>
              <w:rPr>
                <w:i/>
              </w:rPr>
            </w:pPr>
            <w:r>
              <w:rPr>
                <w:i/>
              </w:rPr>
              <w:t>Pack size</w:t>
            </w:r>
            <w:r w:rsidR="008E7846" w:rsidRPr="00487162">
              <w:rPr>
                <w:i/>
              </w:rPr>
              <w:t>:</w:t>
            </w:r>
          </w:p>
        </w:tc>
        <w:tc>
          <w:tcPr>
            <w:tcW w:w="5598" w:type="dxa"/>
          </w:tcPr>
          <w:p w:rsidR="008E7846" w:rsidRPr="00487162" w:rsidRDefault="008253C8" w:rsidP="00E45619">
            <w:r>
              <w:t>30</w:t>
            </w:r>
          </w:p>
        </w:tc>
      </w:tr>
      <w:tr w:rsidR="008E7846" w:rsidRPr="00487162" w:rsidTr="002454B8">
        <w:trPr>
          <w:trHeight w:val="2009"/>
        </w:trPr>
        <w:tc>
          <w:tcPr>
            <w:tcW w:w="2907" w:type="dxa"/>
          </w:tcPr>
          <w:p w:rsidR="008E7846" w:rsidRPr="00487162" w:rsidRDefault="008E7846" w:rsidP="00E45619">
            <w:pPr>
              <w:rPr>
                <w:i/>
              </w:rPr>
            </w:pPr>
            <w:r w:rsidRPr="00487162">
              <w:rPr>
                <w:i/>
              </w:rPr>
              <w:t>Approved Therapeutic use:</w:t>
            </w:r>
          </w:p>
        </w:tc>
        <w:tc>
          <w:tcPr>
            <w:tcW w:w="5598" w:type="dxa"/>
          </w:tcPr>
          <w:p w:rsidR="003F2F24" w:rsidRDefault="008253C8" w:rsidP="002454B8">
            <w:pPr>
              <w:spacing w:after="0"/>
            </w:pPr>
            <w:r w:rsidRPr="008253C8">
              <w:t>S</w:t>
            </w:r>
            <w:r w:rsidR="00FE5142">
              <w:t>trib</w:t>
            </w:r>
            <w:r w:rsidR="00BB2DA3">
              <w:t>i</w:t>
            </w:r>
            <w:r w:rsidR="00FE5142">
              <w:t xml:space="preserve">ld </w:t>
            </w:r>
            <w:r w:rsidRPr="008253C8">
              <w:t>is indicated as a single tablet regimen for the treatment of HIV infection in treatment-</w:t>
            </w:r>
            <w:r w:rsidR="007553B1">
              <w:t>naïve</w:t>
            </w:r>
            <w:r w:rsidRPr="008253C8">
              <w:t xml:space="preserve"> adults. </w:t>
            </w:r>
          </w:p>
          <w:p w:rsidR="008E7846" w:rsidRPr="00487162" w:rsidRDefault="008253C8" w:rsidP="002454B8">
            <w:pPr>
              <w:rPr>
                <w:rFonts w:eastAsia="MS Mincho"/>
                <w:lang w:eastAsia="ja-JP"/>
              </w:rPr>
            </w:pPr>
            <w:r w:rsidRPr="008253C8">
              <w:t>S</w:t>
            </w:r>
            <w:r w:rsidR="00FE5142" w:rsidRPr="008253C8">
              <w:t>tribild</w:t>
            </w:r>
            <w:r w:rsidRPr="008253C8">
              <w:t xml:space="preserve"> is a fixed dose combination of one integrase inhibitor, one pharmacokinetic enhancer and two nucleos(t)ide HIV-</w:t>
            </w:r>
            <w:r w:rsidR="00BB2DAA">
              <w:t>type 1 (HIV-</w:t>
            </w:r>
            <w:r w:rsidRPr="008253C8">
              <w:t>1</w:t>
            </w:r>
            <w:r w:rsidR="00BB2DAA">
              <w:t>)</w:t>
            </w:r>
            <w:r w:rsidRPr="008253C8">
              <w:t xml:space="preserve"> reverse transcriptase inhibitors.</w:t>
            </w:r>
          </w:p>
        </w:tc>
      </w:tr>
      <w:tr w:rsidR="008E7846" w:rsidRPr="00487162" w:rsidTr="007B0A6D">
        <w:tc>
          <w:tcPr>
            <w:tcW w:w="2907" w:type="dxa"/>
          </w:tcPr>
          <w:p w:rsidR="008E7846" w:rsidRPr="00487162" w:rsidRDefault="00B2627F" w:rsidP="00E45619">
            <w:pPr>
              <w:rPr>
                <w:i/>
              </w:rPr>
            </w:pPr>
            <w:r>
              <w:rPr>
                <w:i/>
              </w:rPr>
              <w:t>Route</w:t>
            </w:r>
            <w:r w:rsidR="008E7846" w:rsidRPr="00487162">
              <w:rPr>
                <w:i/>
              </w:rPr>
              <w:t xml:space="preserve"> of administration:</w:t>
            </w:r>
          </w:p>
        </w:tc>
        <w:tc>
          <w:tcPr>
            <w:tcW w:w="5598" w:type="dxa"/>
          </w:tcPr>
          <w:p w:rsidR="008E7846" w:rsidRPr="00487162" w:rsidRDefault="008253C8" w:rsidP="00E45619">
            <w:r>
              <w:t>Oral</w:t>
            </w:r>
          </w:p>
        </w:tc>
      </w:tr>
      <w:tr w:rsidR="008E7846" w:rsidRPr="00487162" w:rsidTr="007B0A6D">
        <w:tc>
          <w:tcPr>
            <w:tcW w:w="2907" w:type="dxa"/>
          </w:tcPr>
          <w:p w:rsidR="008E7846" w:rsidRPr="00487162" w:rsidRDefault="008E7846" w:rsidP="00E45619">
            <w:pPr>
              <w:rPr>
                <w:i/>
              </w:rPr>
            </w:pPr>
            <w:r w:rsidRPr="00487162">
              <w:rPr>
                <w:i/>
              </w:rPr>
              <w:t>Dosage:</w:t>
            </w:r>
          </w:p>
        </w:tc>
        <w:tc>
          <w:tcPr>
            <w:tcW w:w="5598" w:type="dxa"/>
          </w:tcPr>
          <w:p w:rsidR="008E7846" w:rsidRPr="00487162" w:rsidRDefault="00FE5142" w:rsidP="00E45619">
            <w:r>
              <w:t>One tablet daily</w:t>
            </w:r>
          </w:p>
        </w:tc>
      </w:tr>
      <w:tr w:rsidR="008E7846" w:rsidRPr="00487162" w:rsidTr="007B0A6D">
        <w:tc>
          <w:tcPr>
            <w:tcW w:w="2907" w:type="dxa"/>
          </w:tcPr>
          <w:p w:rsidR="008E7846" w:rsidRPr="00487162" w:rsidRDefault="008E7846" w:rsidP="008253C8">
            <w:pPr>
              <w:rPr>
                <w:i/>
              </w:rPr>
            </w:pPr>
            <w:r w:rsidRPr="00487162">
              <w:rPr>
                <w:i/>
              </w:rPr>
              <w:t>ARTG Number</w:t>
            </w:r>
            <w:r w:rsidR="008253C8">
              <w:rPr>
                <w:i/>
              </w:rPr>
              <w:t>:</w:t>
            </w:r>
          </w:p>
        </w:tc>
        <w:tc>
          <w:tcPr>
            <w:tcW w:w="5598" w:type="dxa"/>
          </w:tcPr>
          <w:p w:rsidR="008E7846" w:rsidRPr="00487162" w:rsidRDefault="008253C8" w:rsidP="00E45619">
            <w:r w:rsidRPr="008253C8">
              <w:t>194081</w:t>
            </w:r>
          </w:p>
        </w:tc>
      </w:tr>
    </w:tbl>
    <w:p w:rsidR="008E7846" w:rsidRDefault="008E7846" w:rsidP="008E7846">
      <w:pPr>
        <w:pStyle w:val="Heading3"/>
      </w:pPr>
      <w:bookmarkStart w:id="7" w:name="_Toc247691503"/>
      <w:bookmarkStart w:id="8" w:name="_Toc314842484"/>
      <w:bookmarkStart w:id="9" w:name="_Toc363456654"/>
      <w:r>
        <w:t>Product background</w:t>
      </w:r>
      <w:bookmarkEnd w:id="7"/>
      <w:bookmarkEnd w:id="8"/>
      <w:bookmarkEnd w:id="9"/>
    </w:p>
    <w:p w:rsidR="004B28AC" w:rsidRDefault="009D6B9E" w:rsidP="004B28AC">
      <w:r w:rsidRPr="004D7C3E">
        <w:t>Th</w:t>
      </w:r>
      <w:r>
        <w:t xml:space="preserve">is AusPAR describes the application by Gilead Sciences Pty Ltd (the sponsor) to register </w:t>
      </w:r>
      <w:r w:rsidR="00903998">
        <w:t>a new fixed</w:t>
      </w:r>
      <w:r w:rsidR="00BB2DAA">
        <w:t xml:space="preserve"> </w:t>
      </w:r>
      <w:r w:rsidR="006C6BD7">
        <w:t>dose combination tablet containing</w:t>
      </w:r>
      <w:r w:rsidR="00903998">
        <w:t xml:space="preserve"> </w:t>
      </w:r>
      <w:r w:rsidR="00221BAA">
        <w:t xml:space="preserve">300 mg </w:t>
      </w:r>
      <w:proofErr w:type="spellStart"/>
      <w:r w:rsidR="00A2001C">
        <w:t>tenofovir</w:t>
      </w:r>
      <w:proofErr w:type="spellEnd"/>
      <w:r w:rsidR="00A2001C">
        <w:t xml:space="preserve"> </w:t>
      </w:r>
      <w:proofErr w:type="spellStart"/>
      <w:r w:rsidR="00A2001C">
        <w:t>disoproxil</w:t>
      </w:r>
      <w:proofErr w:type="spellEnd"/>
      <w:r w:rsidR="00A2001C">
        <w:t xml:space="preserve"> </w:t>
      </w:r>
      <w:proofErr w:type="spellStart"/>
      <w:r w:rsidR="00A2001C">
        <w:t>fumarate</w:t>
      </w:r>
      <w:proofErr w:type="spellEnd"/>
      <w:r w:rsidR="00903998">
        <w:t xml:space="preserve"> (TDF), </w:t>
      </w:r>
      <w:r w:rsidR="00221BAA">
        <w:t xml:space="preserve">200 mg </w:t>
      </w:r>
      <w:r w:rsidR="00A2001C">
        <w:t xml:space="preserve">emtricitabine </w:t>
      </w:r>
      <w:r w:rsidR="00903998">
        <w:t xml:space="preserve">(FTC), </w:t>
      </w:r>
      <w:r w:rsidR="00221BAA">
        <w:t xml:space="preserve">150 mg </w:t>
      </w:r>
      <w:r w:rsidR="00BB2DAA">
        <w:rPr>
          <w:rFonts w:eastAsiaTheme="minorEastAsia"/>
        </w:rPr>
        <w:t xml:space="preserve">elvitegravir </w:t>
      </w:r>
      <w:r w:rsidR="00903998">
        <w:t xml:space="preserve">(EVG) and </w:t>
      </w:r>
      <w:r w:rsidR="00221BAA">
        <w:t xml:space="preserve">150 mg </w:t>
      </w:r>
      <w:r w:rsidR="00A2001C">
        <w:t xml:space="preserve">cobicistat </w:t>
      </w:r>
      <w:r w:rsidR="00903998">
        <w:t>(COBI)</w:t>
      </w:r>
      <w:r w:rsidR="004B28AC">
        <w:t xml:space="preserve">, </w:t>
      </w:r>
      <w:r w:rsidR="00221BAA">
        <w:t>under the product name Stribild</w:t>
      </w:r>
      <w:r w:rsidR="00640CCF">
        <w:t>,</w:t>
      </w:r>
      <w:r w:rsidR="00221BAA">
        <w:t xml:space="preserve"> </w:t>
      </w:r>
      <w:r w:rsidR="004B28AC">
        <w:t>for the following indication:</w:t>
      </w:r>
    </w:p>
    <w:p w:rsidR="004B28AC" w:rsidRPr="00221BAA" w:rsidRDefault="00221BAA" w:rsidP="00221BAA">
      <w:pPr>
        <w:ind w:left="720"/>
        <w:rPr>
          <w:i/>
        </w:rPr>
      </w:pPr>
      <w:r w:rsidRPr="00221BAA">
        <w:rPr>
          <w:i/>
        </w:rPr>
        <w:t xml:space="preserve">as a complete regimen for the treatment of HIV infection in adults who have no known mutations associated with resistance to the individual components of </w:t>
      </w:r>
      <w:r w:rsidR="00D758DE">
        <w:rPr>
          <w:i/>
        </w:rPr>
        <w:t>Stribild</w:t>
      </w:r>
    </w:p>
    <w:p w:rsidR="00EB6F47" w:rsidRDefault="00D758DE" w:rsidP="00EB6F47">
      <w:pPr>
        <w:autoSpaceDE w:val="0"/>
        <w:autoSpaceDN w:val="0"/>
        <w:adjustRightInd w:val="0"/>
      </w:pPr>
      <w:r w:rsidRPr="00D758DE">
        <w:lastRenderedPageBreak/>
        <w:t xml:space="preserve">The product is referred to as ‘Stribild’ throughout this </w:t>
      </w:r>
      <w:r w:rsidR="00EB6F47">
        <w:t>document; however, the names ‘Quad’</w:t>
      </w:r>
      <w:r w:rsidR="00724946">
        <w:t xml:space="preserve"> </w:t>
      </w:r>
      <w:r w:rsidR="00EB6F47">
        <w:t>and ‘Stribild’ are considered interchangeable for the purpose of this AusPAR.</w:t>
      </w:r>
    </w:p>
    <w:p w:rsidR="004B28AC" w:rsidRDefault="00903998" w:rsidP="004B28AC">
      <w:r>
        <w:t xml:space="preserve">The </w:t>
      </w:r>
      <w:r w:rsidR="00BB2DAA">
        <w:t xml:space="preserve">proposed </w:t>
      </w:r>
      <w:r>
        <w:t>formulation is described a</w:t>
      </w:r>
      <w:r w:rsidR="006C6BD7">
        <w:t>s a single-tablet regimen (STR) and</w:t>
      </w:r>
      <w:r>
        <w:t xml:space="preserve"> contains </w:t>
      </w:r>
      <w:r w:rsidR="005C1062">
        <w:t xml:space="preserve">2 </w:t>
      </w:r>
      <w:r w:rsidR="00BB2DAA">
        <w:t>n</w:t>
      </w:r>
      <w:r>
        <w:t xml:space="preserve">ew </w:t>
      </w:r>
      <w:r w:rsidR="00BB2DAA">
        <w:t>c</w:t>
      </w:r>
      <w:r>
        <w:t xml:space="preserve">hemical </w:t>
      </w:r>
      <w:r w:rsidR="00BB2DAA">
        <w:t>e</w:t>
      </w:r>
      <w:r>
        <w:t>ntities</w:t>
      </w:r>
      <w:r w:rsidR="00BB2DAA">
        <w:t>,</w:t>
      </w:r>
      <w:r>
        <w:t xml:space="preserve"> EVG and COBI</w:t>
      </w:r>
      <w:r w:rsidR="00A2001C">
        <w:t>, which were under</w:t>
      </w:r>
      <w:r w:rsidR="004B28AC">
        <w:t xml:space="preserve"> evaluation </w:t>
      </w:r>
      <w:r w:rsidR="00A2001C">
        <w:t xml:space="preserve">for registration as individual therapeutic goods </w:t>
      </w:r>
      <w:r w:rsidR="004B28AC">
        <w:t>by the TGA at the time this application was considered. The other components, TDF and FTC</w:t>
      </w:r>
      <w:r w:rsidR="00F25DA1">
        <w:t>,</w:t>
      </w:r>
      <w:r w:rsidR="004B28AC">
        <w:t xml:space="preserve"> were registered in Australia since 2002 and 2005, respectively</w:t>
      </w:r>
      <w:r w:rsidR="00A2001C">
        <w:t xml:space="preserve">, and </w:t>
      </w:r>
      <w:r w:rsidR="005C5945">
        <w:t>are currently available in Australia in a number of formulations/products, including fixed-dose combinations</w:t>
      </w:r>
      <w:r w:rsidR="00512626">
        <w:t xml:space="preserve">, for use in the treatment of </w:t>
      </w:r>
      <w:r w:rsidR="00546DAC">
        <w:t>human immunodeficiency virus (</w:t>
      </w:r>
      <w:r w:rsidR="00512626">
        <w:t>HIV</w:t>
      </w:r>
      <w:r w:rsidR="00546DAC">
        <w:t>)</w:t>
      </w:r>
      <w:r w:rsidR="005C5945">
        <w:t>.</w:t>
      </w:r>
    </w:p>
    <w:p w:rsidR="003746AD" w:rsidRDefault="00EB6F47" w:rsidP="003746AD">
      <w:pPr>
        <w:tabs>
          <w:tab w:val="left" w:pos="720"/>
        </w:tabs>
        <w:autoSpaceDE w:val="0"/>
        <w:autoSpaceDN w:val="0"/>
        <w:adjustRightInd w:val="0"/>
        <w:rPr>
          <w:rFonts w:cs="TimesNewRomanPSMT"/>
          <w:lang w:val="en-US"/>
        </w:rPr>
      </w:pPr>
      <w:r>
        <w:t xml:space="preserve">Tenofovir disoproxil fumarate </w:t>
      </w:r>
      <w:r w:rsidR="003746AD">
        <w:t xml:space="preserve">is a nucleotide </w:t>
      </w:r>
      <w:r w:rsidR="00173013">
        <w:t xml:space="preserve">(Nt) </w:t>
      </w:r>
      <w:r w:rsidR="003746AD">
        <w:t>reverse transcriptase inhibitor (RTI</w:t>
      </w:r>
      <w:r w:rsidR="00173013">
        <w:t>; NtRTI</w:t>
      </w:r>
      <w:r w:rsidR="003746AD">
        <w:t>)</w:t>
      </w:r>
      <w:r w:rsidR="00F25DA1">
        <w:t xml:space="preserve">; FTC </w:t>
      </w:r>
      <w:r w:rsidR="003746AD">
        <w:t xml:space="preserve">is a </w:t>
      </w:r>
      <w:r w:rsidR="003746AD">
        <w:rPr>
          <w:rStyle w:val="st1"/>
        </w:rPr>
        <w:t>nucleoside reverse</w:t>
      </w:r>
      <w:r w:rsidR="00F25DA1">
        <w:rPr>
          <w:rStyle w:val="st1"/>
        </w:rPr>
        <w:t xml:space="preserve"> transcriptase inhibitor (NRTI);</w:t>
      </w:r>
      <w:r w:rsidR="003746AD">
        <w:rPr>
          <w:rStyle w:val="st1"/>
        </w:rPr>
        <w:t xml:space="preserve"> </w:t>
      </w:r>
      <w:r w:rsidR="00F25DA1">
        <w:rPr>
          <w:rStyle w:val="st1"/>
        </w:rPr>
        <w:t xml:space="preserve">and </w:t>
      </w:r>
      <w:r w:rsidR="003746AD">
        <w:t xml:space="preserve">EVG is a HIV-1 </w:t>
      </w:r>
      <w:r w:rsidR="003746AD">
        <w:rPr>
          <w:lang w:val="en-US"/>
        </w:rPr>
        <w:t xml:space="preserve">integrase strand-transfer inhibitor (INSTI) </w:t>
      </w:r>
      <w:r w:rsidR="003746AD">
        <w:t xml:space="preserve">and works by preventing integration of the HIV-1 </w:t>
      </w:r>
      <w:r w:rsidR="00CC6848">
        <w:t>deoxyribonucleic acid (</w:t>
      </w:r>
      <w:r w:rsidR="003746AD">
        <w:t>DNA</w:t>
      </w:r>
      <w:r w:rsidR="00CC6848">
        <w:t>)</w:t>
      </w:r>
      <w:r w:rsidR="003746AD">
        <w:t xml:space="preserve"> into the host-cell genome. C</w:t>
      </w:r>
      <w:r w:rsidR="00700A07">
        <w:t xml:space="preserve">obicistat </w:t>
      </w:r>
      <w:r w:rsidR="003746AD">
        <w:t>is a selective</w:t>
      </w:r>
      <w:r w:rsidR="00F9043A">
        <w:t>,</w:t>
      </w:r>
      <w:r w:rsidR="003746AD">
        <w:t xml:space="preserve"> mechanism-based inhibitor of </w:t>
      </w:r>
      <w:r w:rsidR="00A2001C">
        <w:t xml:space="preserve">the </w:t>
      </w:r>
      <w:r w:rsidR="003746AD">
        <w:t xml:space="preserve">cytochrome P450 </w:t>
      </w:r>
      <w:r w:rsidR="00A2001C">
        <w:t xml:space="preserve">(CYP) </w:t>
      </w:r>
      <w:r w:rsidR="003746AD">
        <w:t>3A</w:t>
      </w:r>
      <w:r w:rsidR="00700A07">
        <w:t xml:space="preserve"> subfamily. Inhibition of CYP3A </w:t>
      </w:r>
      <w:r w:rsidR="003746AD">
        <w:t>mediated metabolism by COBI enhances the systemic exposure of CYP3A substrates, one of which is EVG.</w:t>
      </w:r>
    </w:p>
    <w:p w:rsidR="00903998" w:rsidRDefault="00020513" w:rsidP="00903998">
      <w:r>
        <w:rPr>
          <w:rFonts w:eastAsiaTheme="minorEastAsia"/>
        </w:rPr>
        <w:t xml:space="preserve">Elvitegravir </w:t>
      </w:r>
      <w:r w:rsidR="00903998">
        <w:t xml:space="preserve">is of the same drug class as the currently registered </w:t>
      </w:r>
      <w:r w:rsidR="00935CA7">
        <w:t xml:space="preserve">anti-HIV agent </w:t>
      </w:r>
      <w:r w:rsidR="00903998">
        <w:t>raltegravir</w:t>
      </w:r>
      <w:r w:rsidR="006C6BD7">
        <w:t xml:space="preserve"> (RTG)</w:t>
      </w:r>
      <w:r w:rsidR="00903998">
        <w:t xml:space="preserve">. </w:t>
      </w:r>
      <w:r w:rsidR="00700A07">
        <w:t xml:space="preserve">Cobicistat </w:t>
      </w:r>
      <w:r w:rsidR="00903998">
        <w:t xml:space="preserve">is a structural analogue of </w:t>
      </w:r>
      <w:r w:rsidR="00E53195">
        <w:t xml:space="preserve">the </w:t>
      </w:r>
      <w:r w:rsidR="002363DD">
        <w:t xml:space="preserve">registered </w:t>
      </w:r>
      <w:r w:rsidR="00E53195">
        <w:t xml:space="preserve">protease inhibitor </w:t>
      </w:r>
      <w:r w:rsidR="00903998">
        <w:t xml:space="preserve">ritonavir (RTV) </w:t>
      </w:r>
      <w:r w:rsidR="00E53195">
        <w:t xml:space="preserve">but it </w:t>
      </w:r>
      <w:r w:rsidR="009A139B">
        <w:t>has no anti</w:t>
      </w:r>
      <w:r w:rsidR="00903998">
        <w:t xml:space="preserve">retroviral </w:t>
      </w:r>
      <w:r w:rsidR="009A139B">
        <w:t xml:space="preserve">(ARV) </w:t>
      </w:r>
      <w:r w:rsidR="00903998">
        <w:t xml:space="preserve">activity. </w:t>
      </w:r>
      <w:r w:rsidR="00BB2DAA">
        <w:t xml:space="preserve">As with RTV, COBI </w:t>
      </w:r>
      <w:r w:rsidR="00903998">
        <w:t xml:space="preserve">acts as a pharmacokinetic </w:t>
      </w:r>
      <w:r w:rsidR="007C46CB">
        <w:t xml:space="preserve">(PK) </w:t>
      </w:r>
      <w:r w:rsidR="00903998">
        <w:t xml:space="preserve">enhancer/booster for CYP3A substrates including EVG. The currently approved INSTI </w:t>
      </w:r>
      <w:r w:rsidR="00954626">
        <w:t>RTG</w:t>
      </w:r>
      <w:r w:rsidR="00903998">
        <w:t xml:space="preserve"> is not a CYP3A substrate.</w:t>
      </w:r>
      <w:r w:rsidR="00BB2DAA">
        <w:t xml:space="preserve"> </w:t>
      </w:r>
      <w:r w:rsidR="00700A07">
        <w:t>Ritonavir</w:t>
      </w:r>
      <w:r w:rsidR="00903998">
        <w:t xml:space="preserve"> as </w:t>
      </w:r>
      <w:r w:rsidR="005C5945">
        <w:t xml:space="preserve">a </w:t>
      </w:r>
      <w:r w:rsidR="007C46CB">
        <w:t xml:space="preserve">PK </w:t>
      </w:r>
      <w:r w:rsidR="00903998">
        <w:t xml:space="preserve">enhancer is routinely used with </w:t>
      </w:r>
      <w:r w:rsidR="00E53195">
        <w:t>o</w:t>
      </w:r>
      <w:r w:rsidR="005C5945">
        <w:t>the</w:t>
      </w:r>
      <w:r w:rsidR="00E53195">
        <w:t>r</w:t>
      </w:r>
      <w:r w:rsidR="005C5945">
        <w:t xml:space="preserve"> </w:t>
      </w:r>
      <w:r w:rsidR="00BB2DAA">
        <w:t>p</w:t>
      </w:r>
      <w:r w:rsidR="00903998">
        <w:t xml:space="preserve">rotease </w:t>
      </w:r>
      <w:r w:rsidR="00BB2DAA">
        <w:t>i</w:t>
      </w:r>
      <w:r w:rsidR="00935CA7">
        <w:t>nhibitor</w:t>
      </w:r>
      <w:r w:rsidR="00E53195">
        <w:t>s</w:t>
      </w:r>
      <w:r w:rsidR="00903998">
        <w:t xml:space="preserve"> </w:t>
      </w:r>
      <w:r w:rsidR="00935CA7">
        <w:t>(</w:t>
      </w:r>
      <w:r w:rsidR="00E53195">
        <w:t xml:space="preserve">such as </w:t>
      </w:r>
      <w:r w:rsidR="00935CA7">
        <w:t xml:space="preserve">atazanavir </w:t>
      </w:r>
      <w:r w:rsidR="00700A07">
        <w:t xml:space="preserve">(ATV) </w:t>
      </w:r>
      <w:r w:rsidR="00935CA7">
        <w:rPr>
          <w:rFonts w:eastAsia="Calibri" w:cs="TimesNewRomanPSMT"/>
          <w:lang w:val="en-US"/>
        </w:rPr>
        <w:t>and darunavir)</w:t>
      </w:r>
      <w:r w:rsidR="00935CA7">
        <w:t xml:space="preserve"> </w:t>
      </w:r>
      <w:r w:rsidR="00903998">
        <w:t>in the treatment of HIV infection.</w:t>
      </w:r>
    </w:p>
    <w:p w:rsidR="002D459A" w:rsidRDefault="005C5945" w:rsidP="008E4AF3">
      <w:r>
        <w:t xml:space="preserve">Stribild </w:t>
      </w:r>
      <w:r w:rsidR="00903998">
        <w:t xml:space="preserve">contains the current standard-of-care dual </w:t>
      </w:r>
      <w:r w:rsidR="00173013">
        <w:t xml:space="preserve">Nt/NRTI </w:t>
      </w:r>
      <w:r w:rsidR="00903998">
        <w:t>backbone</w:t>
      </w:r>
      <w:r>
        <w:t xml:space="preserve">, that is, </w:t>
      </w:r>
      <w:r w:rsidR="00903998">
        <w:t>TDF/FTC</w:t>
      </w:r>
      <w:r>
        <w:t>,</w:t>
      </w:r>
      <w:r w:rsidR="00903998">
        <w:t xml:space="preserve"> in the same doses as currently approved in adults (300</w:t>
      </w:r>
      <w:r>
        <w:t xml:space="preserve"> </w:t>
      </w:r>
      <w:r w:rsidR="00903998">
        <w:t>mg TDF, 200</w:t>
      </w:r>
      <w:r>
        <w:t xml:space="preserve"> </w:t>
      </w:r>
      <w:r w:rsidR="00903998">
        <w:t xml:space="preserve">mg FTC). This is the first fixed-dose combination product </w:t>
      </w:r>
      <w:r w:rsidR="00A2001C">
        <w:t xml:space="preserve">for the treatment of HIV </w:t>
      </w:r>
      <w:r w:rsidR="00243D57">
        <w:t xml:space="preserve">that contains </w:t>
      </w:r>
      <w:r w:rsidR="005C1062">
        <w:t xml:space="preserve">4 </w:t>
      </w:r>
      <w:r w:rsidR="00903998">
        <w:t xml:space="preserve">active ingredients. </w:t>
      </w:r>
      <w:r w:rsidR="008E4AF3">
        <w:t xml:space="preserve">Currently 2 fixed-dose products </w:t>
      </w:r>
      <w:r w:rsidR="002D459A">
        <w:t xml:space="preserve">containing 3 anti HIV agents </w:t>
      </w:r>
      <w:r w:rsidR="008E4AF3">
        <w:t>are approv</w:t>
      </w:r>
      <w:r w:rsidR="002D459A">
        <w:t>ed in Australia; both contain</w:t>
      </w:r>
      <w:r w:rsidR="008E4AF3">
        <w:t xml:space="preserve"> the TDF/FTC backbone in combination with</w:t>
      </w:r>
      <w:r w:rsidR="002D459A">
        <w:t xml:space="preserve">, respectively, </w:t>
      </w:r>
      <w:proofErr w:type="spellStart"/>
      <w:r w:rsidR="002D459A">
        <w:t>efavirenz</w:t>
      </w:r>
      <w:proofErr w:type="spellEnd"/>
      <w:r w:rsidR="002D459A">
        <w:t xml:space="preserve"> (EFV) and </w:t>
      </w:r>
      <w:proofErr w:type="spellStart"/>
      <w:r w:rsidR="002D459A">
        <w:t>rilpivirine</w:t>
      </w:r>
      <w:proofErr w:type="spellEnd"/>
      <w:r w:rsidR="002D459A">
        <w:t xml:space="preserve"> (RPV). Efavirenz and RPV</w:t>
      </w:r>
      <w:r w:rsidR="003C6E7B">
        <w:t xml:space="preserve"> are non-n</w:t>
      </w:r>
      <w:r w:rsidR="002D459A">
        <w:t>u</w:t>
      </w:r>
      <w:r w:rsidR="003C6E7B">
        <w:t>c</w:t>
      </w:r>
      <w:r w:rsidR="002D459A">
        <w:t>leoside reverse transcriptase inhibitors (NNRTI).</w:t>
      </w:r>
    </w:p>
    <w:p w:rsidR="008E7846" w:rsidRPr="003F31A2" w:rsidRDefault="00386150" w:rsidP="008E7846">
      <w:pPr>
        <w:pStyle w:val="Heading3"/>
      </w:pPr>
      <w:bookmarkStart w:id="10" w:name="_Toc314842485"/>
      <w:bookmarkStart w:id="11" w:name="_Toc363456655"/>
      <w:bookmarkStart w:id="12" w:name="_Toc247691504"/>
      <w:r>
        <w:t>Regulatory s</w:t>
      </w:r>
      <w:r w:rsidR="008E7846">
        <w:t>tatus</w:t>
      </w:r>
      <w:bookmarkEnd w:id="10"/>
      <w:bookmarkEnd w:id="11"/>
      <w:r w:rsidR="008E7846">
        <w:t xml:space="preserve"> </w:t>
      </w:r>
      <w:bookmarkEnd w:id="12"/>
    </w:p>
    <w:p w:rsidR="008E7846" w:rsidRDefault="008E7846" w:rsidP="008E7846">
      <w:r>
        <w:t xml:space="preserve">The product received </w:t>
      </w:r>
      <w:r w:rsidR="00C76F4E">
        <w:t>registration on the Australian Register of Therapeutic Goods (</w:t>
      </w:r>
      <w:r>
        <w:t>ARTG</w:t>
      </w:r>
      <w:r w:rsidR="00C76F4E">
        <w:t>)</w:t>
      </w:r>
      <w:r>
        <w:t xml:space="preserve"> on</w:t>
      </w:r>
      <w:r w:rsidR="00FE5142">
        <w:t xml:space="preserve"> 22 February 2013</w:t>
      </w:r>
      <w:r w:rsidR="00C76F4E">
        <w:t xml:space="preserve">. At the time </w:t>
      </w:r>
      <w:r w:rsidR="00DC7DAD">
        <w:t xml:space="preserve">the TGA considered </w:t>
      </w:r>
      <w:r w:rsidR="00C76F4E">
        <w:t>this application, a</w:t>
      </w:r>
      <w:r w:rsidRPr="00C27667">
        <w:t xml:space="preserve"> similar application </w:t>
      </w:r>
      <w:r w:rsidR="00C76F4E">
        <w:t>was approved in the USA (</w:t>
      </w:r>
      <w:r w:rsidR="00FD364B">
        <w:t>o</w:t>
      </w:r>
      <w:r w:rsidR="00C76F4E">
        <w:t xml:space="preserve">n </w:t>
      </w:r>
      <w:r w:rsidR="00FD364B">
        <w:t>27</w:t>
      </w:r>
      <w:r w:rsidR="00732DF7" w:rsidRPr="00732DF7">
        <w:rPr>
          <w:vertAlign w:val="superscript"/>
        </w:rPr>
        <w:t>th</w:t>
      </w:r>
      <w:r w:rsidR="00FD364B">
        <w:t xml:space="preserve"> </w:t>
      </w:r>
      <w:r w:rsidR="00C76F4E">
        <w:t>August 2012) and was under consideration in the European Union (EU) and Canada.</w:t>
      </w:r>
      <w:r w:rsidR="00FD364B">
        <w:rPr>
          <w:rStyle w:val="FootnoteReference"/>
        </w:rPr>
        <w:footnoteReference w:id="1"/>
      </w:r>
      <w:r w:rsidR="00C76F4E">
        <w:t xml:space="preserve"> </w:t>
      </w:r>
    </w:p>
    <w:p w:rsidR="008E7846" w:rsidRDefault="008E7846" w:rsidP="008E7846">
      <w:pPr>
        <w:pStyle w:val="Heading3"/>
      </w:pPr>
      <w:bookmarkStart w:id="13" w:name="_Toc247691505"/>
      <w:bookmarkStart w:id="14" w:name="_Toc314842486"/>
      <w:bookmarkStart w:id="15" w:name="_Toc363456656"/>
      <w:r>
        <w:t>Product Information</w:t>
      </w:r>
      <w:bookmarkEnd w:id="13"/>
      <w:bookmarkEnd w:id="14"/>
      <w:bookmarkEnd w:id="15"/>
    </w:p>
    <w:p w:rsidR="008E7846" w:rsidRDefault="008E7846" w:rsidP="008E7846">
      <w:r>
        <w:t>The approved Product Information (PI) current at the time this AusPAR was prepared can be found as Attachment 1.</w:t>
      </w:r>
      <w:bookmarkStart w:id="16" w:name="_Toc247691506"/>
      <w:bookmarkStart w:id="17" w:name="_Toc314842487"/>
    </w:p>
    <w:p w:rsidR="008E7846" w:rsidRPr="003602A9" w:rsidRDefault="008E7846" w:rsidP="008E7846">
      <w:pPr>
        <w:pStyle w:val="Heading2"/>
        <w:ind w:left="-11"/>
      </w:pPr>
      <w:bookmarkStart w:id="18" w:name="_Toc363456657"/>
      <w:r>
        <w:t>II. Quality</w:t>
      </w:r>
      <w:bookmarkEnd w:id="1"/>
      <w:r>
        <w:t xml:space="preserve"> findings</w:t>
      </w:r>
      <w:bookmarkEnd w:id="16"/>
      <w:bookmarkEnd w:id="17"/>
      <w:bookmarkEnd w:id="18"/>
    </w:p>
    <w:p w:rsidR="00CB0A3E" w:rsidRDefault="00CB0A3E" w:rsidP="00F52974">
      <w:r w:rsidRPr="00CB0A3E">
        <w:t xml:space="preserve">Tenofovir disoproxil fumarate and </w:t>
      </w:r>
      <w:r w:rsidR="00A2001C">
        <w:t>FTC</w:t>
      </w:r>
      <w:r w:rsidRPr="00CB0A3E">
        <w:t xml:space="preserve"> are contained in a number of registered products, including V</w:t>
      </w:r>
      <w:r w:rsidR="00A2001C">
        <w:t xml:space="preserve">iread </w:t>
      </w:r>
      <w:r w:rsidRPr="00CB0A3E">
        <w:t xml:space="preserve">300 mg </w:t>
      </w:r>
      <w:r w:rsidR="00A2001C">
        <w:t xml:space="preserve">TDF </w:t>
      </w:r>
      <w:r w:rsidRPr="00CB0A3E">
        <w:t>tablets, E</w:t>
      </w:r>
      <w:r w:rsidR="00A2001C">
        <w:t xml:space="preserve">mtriva </w:t>
      </w:r>
      <w:r w:rsidRPr="00CB0A3E">
        <w:t xml:space="preserve">200 mg </w:t>
      </w:r>
      <w:r w:rsidR="00A2001C">
        <w:t xml:space="preserve">FTC </w:t>
      </w:r>
      <w:r w:rsidRPr="00CB0A3E">
        <w:t xml:space="preserve">capsules and </w:t>
      </w:r>
      <w:r w:rsidR="00A2001C">
        <w:t xml:space="preserve">Truvada tablets containing 300 mg TDF </w:t>
      </w:r>
      <w:r w:rsidR="00020513">
        <w:t>plus</w:t>
      </w:r>
      <w:r w:rsidRPr="00CB0A3E">
        <w:t xml:space="preserve"> </w:t>
      </w:r>
      <w:r w:rsidR="00A2001C">
        <w:t>200 mg FTC</w:t>
      </w:r>
      <w:r w:rsidRPr="00CB0A3E">
        <w:t>.</w:t>
      </w:r>
      <w:r w:rsidR="00A2001C">
        <w:t xml:space="preserve"> The new chemical entities EVG and COBI are not </w:t>
      </w:r>
      <w:r w:rsidR="00A2001C">
        <w:lastRenderedPageBreak/>
        <w:t>currently registered in Australia. The chemical structure</w:t>
      </w:r>
      <w:r w:rsidR="003F3CE3">
        <w:t>s</w:t>
      </w:r>
      <w:r w:rsidR="00A2001C">
        <w:t xml:space="preserve"> of </w:t>
      </w:r>
      <w:r w:rsidR="003F3CE3">
        <w:t>these agents are shown in Figure 1.</w:t>
      </w:r>
    </w:p>
    <w:p w:rsidR="00C76F4E" w:rsidRDefault="003F3CE3" w:rsidP="00E44D8F">
      <w:pPr>
        <w:pStyle w:val="FigureTitle"/>
        <w:keepNext/>
      </w:pPr>
      <w:r w:rsidRPr="003F3CE3">
        <w:t>Figure 1. Chemical structure</w:t>
      </w:r>
      <w:r>
        <w:t>s</w:t>
      </w:r>
      <w:r w:rsidRPr="003F3CE3">
        <w:t xml:space="preserve"> of </w:t>
      </w:r>
      <w:proofErr w:type="spellStart"/>
      <w:r w:rsidRPr="003F3CE3">
        <w:t>tenofovir</w:t>
      </w:r>
      <w:proofErr w:type="spellEnd"/>
      <w:r w:rsidRPr="003F3CE3">
        <w:t xml:space="preserve"> </w:t>
      </w:r>
      <w:proofErr w:type="spellStart"/>
      <w:r w:rsidRPr="003F3CE3">
        <w:t>disoproxil</w:t>
      </w:r>
      <w:proofErr w:type="spellEnd"/>
      <w:r w:rsidRPr="003F3CE3">
        <w:t xml:space="preserve"> </w:t>
      </w:r>
      <w:proofErr w:type="spellStart"/>
      <w:r w:rsidRPr="003F3CE3">
        <w:t>fumarate</w:t>
      </w:r>
      <w:proofErr w:type="spellEnd"/>
      <w:r w:rsidRPr="003F3CE3">
        <w:t xml:space="preserve">, </w:t>
      </w:r>
      <w:proofErr w:type="spellStart"/>
      <w:r w:rsidRPr="003F3CE3">
        <w:t>emtricitabine</w:t>
      </w:r>
      <w:proofErr w:type="spellEnd"/>
      <w:r w:rsidRPr="003F3CE3">
        <w:t>, elvitegravir and cobicistat</w:t>
      </w:r>
    </w:p>
    <w:p w:rsidR="009D7967" w:rsidRPr="003F3CE3" w:rsidRDefault="00B4682C" w:rsidP="00E44D8F">
      <w:pPr>
        <w:pStyle w:val="FigureTitle"/>
        <w:keepNext/>
      </w:pPr>
      <w:r>
        <w:rPr>
          <w:b w:val="0"/>
          <w:noProof/>
          <w:lang w:eastAsia="en-AU"/>
        </w:rPr>
        <w:drawing>
          <wp:inline distT="0" distB="0" distL="0" distR="0">
            <wp:extent cx="5400040" cy="3596084"/>
            <wp:effectExtent l="19050" t="0" r="0" b="0"/>
            <wp:docPr id="2" name="Picture 2" descr="Figure 1. Chemical structures of tenofovir disoproxil fumarate, emtricitabine, elvitegravir and cobici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400040" cy="3596084"/>
                    </a:xfrm>
                    <a:prstGeom prst="rect">
                      <a:avLst/>
                    </a:prstGeom>
                    <a:noFill/>
                    <a:ln w="9525">
                      <a:noFill/>
                      <a:miter lim="800000"/>
                      <a:headEnd/>
                      <a:tailEnd/>
                    </a:ln>
                  </pic:spPr>
                </pic:pic>
              </a:graphicData>
            </a:graphic>
          </wp:inline>
        </w:drawing>
      </w:r>
    </w:p>
    <w:p w:rsidR="008E7846" w:rsidRDefault="008E7846" w:rsidP="008E7846">
      <w:pPr>
        <w:pStyle w:val="Heading3"/>
      </w:pPr>
      <w:bookmarkStart w:id="19" w:name="_Toc247691507"/>
      <w:bookmarkStart w:id="20" w:name="_Toc314842488"/>
      <w:bookmarkStart w:id="21" w:name="_Toc363456658"/>
      <w:r w:rsidRPr="008751DC">
        <w:t xml:space="preserve">Drug </w:t>
      </w:r>
      <w:r>
        <w:t>s</w:t>
      </w:r>
      <w:r w:rsidRPr="008751DC">
        <w:t>ubstance</w:t>
      </w:r>
      <w:r>
        <w:t xml:space="preserve"> (active ingredient)</w:t>
      </w:r>
      <w:bookmarkEnd w:id="19"/>
      <w:bookmarkEnd w:id="20"/>
      <w:bookmarkEnd w:id="21"/>
    </w:p>
    <w:p w:rsidR="00243D57" w:rsidRDefault="00CB0A3E" w:rsidP="00CB0A3E">
      <w:r>
        <w:t xml:space="preserve">Tenofovir disoproxil fumarate and </w:t>
      </w:r>
      <w:r w:rsidR="00A2001C">
        <w:t>FTC</w:t>
      </w:r>
      <w:r>
        <w:t xml:space="preserve"> drug substances are identical to the substances already registered. </w:t>
      </w:r>
    </w:p>
    <w:p w:rsidR="00CB0A3E" w:rsidRPr="00CB0A3E" w:rsidRDefault="00CB0A3E" w:rsidP="00CB0A3E">
      <w:r>
        <w:t xml:space="preserve">Elvitegravir </w:t>
      </w:r>
      <w:r w:rsidR="00FD364B">
        <w:t xml:space="preserve">and COBI are </w:t>
      </w:r>
      <w:r>
        <w:t>new, synthetic substance</w:t>
      </w:r>
      <w:r w:rsidR="00FD364B">
        <w:t>s</w:t>
      </w:r>
      <w:r>
        <w:t xml:space="preserve">. </w:t>
      </w:r>
      <w:r w:rsidRPr="00CB0A3E">
        <w:t>Cobicistat is n</w:t>
      </w:r>
      <w:r w:rsidR="003F3CE3">
        <w:t>ot active against the HIV virus</w:t>
      </w:r>
      <w:r w:rsidRPr="00CB0A3E">
        <w:t xml:space="preserve"> but is included in the tablets as a </w:t>
      </w:r>
      <w:r w:rsidR="007C46CB">
        <w:t xml:space="preserve">PK </w:t>
      </w:r>
      <w:r w:rsidRPr="00CB0A3E">
        <w:t xml:space="preserve">enhancer. It is a potent inhibitor of CYP3A4, resulting in significantly increased plasma concentrations of the </w:t>
      </w:r>
      <w:r w:rsidR="005C1062">
        <w:t xml:space="preserve">3 </w:t>
      </w:r>
      <w:r w:rsidRPr="00CB0A3E">
        <w:t xml:space="preserve">other active ingredients, particularly </w:t>
      </w:r>
      <w:r w:rsidR="00297B94">
        <w:t>EVG</w:t>
      </w:r>
      <w:r w:rsidRPr="00CB0A3E">
        <w:t xml:space="preserve">. </w:t>
      </w:r>
    </w:p>
    <w:p w:rsidR="008E7846" w:rsidRPr="00CB0A3E" w:rsidRDefault="00CB0A3E" w:rsidP="00CB0A3E">
      <w:r w:rsidRPr="00CB0A3E">
        <w:t xml:space="preserve">There are a number of impurities in both </w:t>
      </w:r>
      <w:r w:rsidR="00BB2DAA">
        <w:t xml:space="preserve">EVG </w:t>
      </w:r>
      <w:r w:rsidRPr="00CB0A3E">
        <w:t xml:space="preserve">and </w:t>
      </w:r>
      <w:r w:rsidR="00A2001C">
        <w:t>COBI</w:t>
      </w:r>
      <w:r w:rsidRPr="00CB0A3E">
        <w:t xml:space="preserve"> that are controlled at levels above the relevant</w:t>
      </w:r>
      <w:r w:rsidR="00B40747">
        <w:t xml:space="preserve"> </w:t>
      </w:r>
      <w:r w:rsidR="00B40747" w:rsidRPr="00B40747">
        <w:t>International Conference on Harmonisation (ICH) guideline</w:t>
      </w:r>
      <w:r w:rsidR="00B40747">
        <w:t>s</w:t>
      </w:r>
      <w:r w:rsidRPr="00CB0A3E">
        <w:t xml:space="preserve"> </w:t>
      </w:r>
      <w:r w:rsidR="00B40747">
        <w:t xml:space="preserve">on </w:t>
      </w:r>
      <w:r w:rsidRPr="00CB0A3E">
        <w:t xml:space="preserve">qualification threshold. The </w:t>
      </w:r>
      <w:r w:rsidR="003F3CE3">
        <w:t xml:space="preserve">proposed levels are adequately qualified according to the TGA’s </w:t>
      </w:r>
      <w:r w:rsidRPr="00CB0A3E">
        <w:t>Medicines Toxicology Evaluation Section</w:t>
      </w:r>
      <w:r w:rsidR="003F3CE3">
        <w:t xml:space="preserve"> (MTES)</w:t>
      </w:r>
      <w:r w:rsidRPr="00CB0A3E">
        <w:t>.</w:t>
      </w:r>
    </w:p>
    <w:p w:rsidR="008E7846" w:rsidRDefault="008E7846" w:rsidP="008E7846">
      <w:pPr>
        <w:pStyle w:val="Heading3"/>
      </w:pPr>
      <w:bookmarkStart w:id="22" w:name="_Toc247691508"/>
      <w:bookmarkStart w:id="23" w:name="_Toc314842490"/>
      <w:bookmarkStart w:id="24" w:name="_Toc363456659"/>
      <w:r w:rsidRPr="008751DC">
        <w:t xml:space="preserve">Drug </w:t>
      </w:r>
      <w:r>
        <w:t>p</w:t>
      </w:r>
      <w:r w:rsidRPr="008751DC">
        <w:t>roduct</w:t>
      </w:r>
      <w:bookmarkEnd w:id="22"/>
      <w:bookmarkEnd w:id="23"/>
      <w:bookmarkEnd w:id="24"/>
    </w:p>
    <w:p w:rsidR="00CB0A3E" w:rsidRPr="00CB0A3E" w:rsidRDefault="00CB0A3E" w:rsidP="00CB0A3E">
      <w:r w:rsidRPr="00CB0A3E">
        <w:t xml:space="preserve">The drug product is an immediate release tablet containing </w:t>
      </w:r>
      <w:r w:rsidR="00BB2DAA">
        <w:t xml:space="preserve">EVG </w:t>
      </w:r>
      <w:r w:rsidRPr="00CB0A3E">
        <w:t xml:space="preserve">150 mg, </w:t>
      </w:r>
      <w:r w:rsidR="00A2001C">
        <w:t>COBI</w:t>
      </w:r>
      <w:r w:rsidRPr="00CB0A3E">
        <w:t xml:space="preserve"> 150 mg, </w:t>
      </w:r>
      <w:r w:rsidR="00A2001C">
        <w:t>FTC</w:t>
      </w:r>
      <w:r w:rsidRPr="00CB0A3E">
        <w:t xml:space="preserve"> 200 mg, and </w:t>
      </w:r>
      <w:r w:rsidR="00A2001C">
        <w:t>TDF</w:t>
      </w:r>
      <w:r w:rsidRPr="00CB0A3E">
        <w:t xml:space="preserve"> 300 mg (equivalent to 245 mg of tenofovir disoproxil). The tablets are green, capsule-shaped and film-coated. The tablets will be packaged in HDPE bottles containing silica gel desiccant. </w:t>
      </w:r>
    </w:p>
    <w:p w:rsidR="00CB0A3E" w:rsidRPr="00CB0A3E" w:rsidRDefault="003F3CE3" w:rsidP="00CB0A3E">
      <w:r>
        <w:t xml:space="preserve">Amendments to the dissolution method were made during drug development. </w:t>
      </w:r>
      <w:r w:rsidR="00CB0A3E" w:rsidRPr="00CB0A3E">
        <w:t xml:space="preserve">However, </w:t>
      </w:r>
      <w:r>
        <w:t>t</w:t>
      </w:r>
      <w:r w:rsidR="00CB0A3E" w:rsidRPr="00CB0A3E">
        <w:t xml:space="preserve">he </w:t>
      </w:r>
      <w:r>
        <w:t xml:space="preserve">sponsor’s </w:t>
      </w:r>
      <w:r w:rsidR="00CB0A3E" w:rsidRPr="00CB0A3E">
        <w:t xml:space="preserve">justification for amending the dissolution test method and limits </w:t>
      </w:r>
      <w:r>
        <w:t>wa</w:t>
      </w:r>
      <w:r w:rsidR="00CB0A3E" w:rsidRPr="00CB0A3E">
        <w:t>s not accepted</w:t>
      </w:r>
      <w:r>
        <w:t xml:space="preserve"> by the evaluator, who recommended that </w:t>
      </w:r>
      <w:r w:rsidR="00CB0A3E" w:rsidRPr="00CB0A3E">
        <w:t xml:space="preserve">a condition of registration </w:t>
      </w:r>
      <w:r>
        <w:t xml:space="preserve">should be </w:t>
      </w:r>
      <w:r w:rsidR="00CB0A3E" w:rsidRPr="00CB0A3E">
        <w:t xml:space="preserve">that the original test method and limits are applied. </w:t>
      </w:r>
    </w:p>
    <w:p w:rsidR="00CB0A3E" w:rsidRPr="00CB0A3E" w:rsidRDefault="00CB0A3E" w:rsidP="00CB0A3E">
      <w:r w:rsidRPr="00CB0A3E">
        <w:t xml:space="preserve">The stability data submitted support the proposed shelf life of 2 years below 25°C. </w:t>
      </w:r>
    </w:p>
    <w:p w:rsidR="008E7846" w:rsidRPr="00CB0A3E" w:rsidRDefault="00CB0A3E" w:rsidP="00CB0A3E">
      <w:r w:rsidRPr="00CB0A3E">
        <w:lastRenderedPageBreak/>
        <w:t xml:space="preserve">Limits for a number of degradants in the finished product </w:t>
      </w:r>
      <w:r w:rsidR="003F3CE3">
        <w:t xml:space="preserve">were </w:t>
      </w:r>
      <w:r w:rsidRPr="00CB0A3E">
        <w:t xml:space="preserve">referred to the </w:t>
      </w:r>
      <w:r w:rsidR="003F3CE3">
        <w:t xml:space="preserve">MTES </w:t>
      </w:r>
      <w:r w:rsidRPr="00CB0A3E">
        <w:t>for assessment.</w:t>
      </w:r>
      <w:r w:rsidR="003F3CE3">
        <w:t xml:space="preserve"> No objections to the limits were raised.</w:t>
      </w:r>
    </w:p>
    <w:p w:rsidR="008E7846" w:rsidRDefault="008E7846" w:rsidP="008E7846">
      <w:pPr>
        <w:pStyle w:val="Heading3"/>
      </w:pPr>
      <w:bookmarkStart w:id="25" w:name="_Toc314842491"/>
      <w:bookmarkStart w:id="26" w:name="_Toc363456660"/>
      <w:r>
        <w:t>Biopharmaceutics</w:t>
      </w:r>
      <w:bookmarkEnd w:id="25"/>
      <w:bookmarkEnd w:id="26"/>
    </w:p>
    <w:p w:rsidR="00CB0A3E" w:rsidRPr="00CB0A3E" w:rsidRDefault="00CB0A3E" w:rsidP="00CB0A3E">
      <w:r w:rsidRPr="00CB0A3E">
        <w:t xml:space="preserve">The tablet formulation proposed for registration (‘Formulation 2’) was used in Phase </w:t>
      </w:r>
      <w:r w:rsidR="00B249F4">
        <w:t>III</w:t>
      </w:r>
      <w:r w:rsidRPr="00CB0A3E">
        <w:t xml:space="preserve"> clinical studies. However, an earlier formulation (‘Formulation 1’) had been used in a Phase </w:t>
      </w:r>
      <w:r w:rsidR="00B249F4">
        <w:t>II</w:t>
      </w:r>
      <w:r w:rsidRPr="00CB0A3E">
        <w:t xml:space="preserve"> study. A steady state bioequivalence study (Study GS-US-236-0110) was conducted to compare the </w:t>
      </w:r>
      <w:r w:rsidR="005C1062">
        <w:t xml:space="preserve">2 </w:t>
      </w:r>
      <w:r w:rsidRPr="00CB0A3E">
        <w:t xml:space="preserve">formulations. The study also involved comparison with the registered </w:t>
      </w:r>
      <w:r w:rsidR="00A2001C">
        <w:t>FTC</w:t>
      </w:r>
      <w:r w:rsidRPr="00CB0A3E">
        <w:t xml:space="preserve"> 200 mg capsule and the registered </w:t>
      </w:r>
      <w:r w:rsidR="00A2001C">
        <w:t>TDF</w:t>
      </w:r>
      <w:r w:rsidRPr="00CB0A3E">
        <w:t xml:space="preserve"> 300 mg tablet given concomitantly. The study demonstrated bioequivalence between Formulations 1 </w:t>
      </w:r>
      <w:r w:rsidR="00B249F4">
        <w:t xml:space="preserve">and </w:t>
      </w:r>
      <w:r w:rsidRPr="00CB0A3E">
        <w:t xml:space="preserve">2 with regard to </w:t>
      </w:r>
      <w:r w:rsidR="00BB2DAA">
        <w:t xml:space="preserve">EVG </w:t>
      </w:r>
      <w:r w:rsidRPr="00CB0A3E">
        <w:t xml:space="preserve">and </w:t>
      </w:r>
      <w:r w:rsidR="00A2001C">
        <w:t>COBI</w:t>
      </w:r>
      <w:r w:rsidRPr="00CB0A3E">
        <w:t xml:space="preserve">. Emtricitabine </w:t>
      </w:r>
      <w:r w:rsidR="00B249F4">
        <w:t>area under the concentration-time curve (</w:t>
      </w:r>
      <w:r w:rsidRPr="00CB0A3E">
        <w:t>AUC</w:t>
      </w:r>
      <w:r w:rsidR="00B249F4">
        <w:t>)</w:t>
      </w:r>
      <w:r w:rsidRPr="00CB0A3E">
        <w:t xml:space="preserve"> and </w:t>
      </w:r>
      <w:r w:rsidR="00B249F4">
        <w:t>maximum concentration (</w:t>
      </w:r>
      <w:r w:rsidRPr="00CB0A3E">
        <w:t>Cmax</w:t>
      </w:r>
      <w:r w:rsidR="00B249F4">
        <w:t>)</w:t>
      </w:r>
      <w:r w:rsidRPr="00CB0A3E">
        <w:t xml:space="preserve"> were increased by 21% and 16%, respectively, in Formulation 2 compared to the single agent product. Tenofovir AUC and Cmax were increased by 26% and 50%, respectively, in Formulation 2 compared to the single agent product. The company claims that these increases are not clinically relevant as they are similar to the exposures observed when these agents are given with other CYP3A4 inhibitors, </w:t>
      </w:r>
      <w:r w:rsidR="00B249F4">
        <w:t>for example,</w:t>
      </w:r>
      <w:r w:rsidRPr="00CB0A3E">
        <w:t xml:space="preserve"> </w:t>
      </w:r>
      <w:r w:rsidR="00CC292E">
        <w:t>RTV</w:t>
      </w:r>
      <w:r w:rsidRPr="00CB0A3E">
        <w:t xml:space="preserve"> (the so-called ‘boosted’ protease inhibitor regimen). </w:t>
      </w:r>
    </w:p>
    <w:p w:rsidR="00CB0A3E" w:rsidRDefault="00CB0A3E" w:rsidP="00841BE4">
      <w:r w:rsidRPr="00841BE4">
        <w:t>Study GS-US-236-0105 assessed the effects of a high fat meal and a light meal on tablet bioavailability compared to administration in the fasted state</w:t>
      </w:r>
      <w:r w:rsidR="00297B94">
        <w:t>. The results</w:t>
      </w:r>
      <w:r w:rsidR="00B249F4" w:rsidRPr="00841BE4">
        <w:t xml:space="preserve"> </w:t>
      </w:r>
      <w:r w:rsidR="00297B94">
        <w:t>(AUC extrapolated to infinity (AUC</w:t>
      </w:r>
      <w:r w:rsidR="00297B94" w:rsidRPr="00B249F4">
        <w:rPr>
          <w:vertAlign w:val="subscript"/>
        </w:rPr>
        <w:t>∞</w:t>
      </w:r>
      <w:r w:rsidR="00297B94">
        <w:t>)</w:t>
      </w:r>
      <w:r w:rsidR="00297B94" w:rsidRPr="00841BE4">
        <w:t xml:space="preserve"> </w:t>
      </w:r>
      <w:r w:rsidR="00297B94">
        <w:t xml:space="preserve">and </w:t>
      </w:r>
      <w:proofErr w:type="spellStart"/>
      <w:r w:rsidR="00297B94">
        <w:t>Cmax</w:t>
      </w:r>
      <w:proofErr w:type="spellEnd"/>
      <w:r w:rsidR="00297B94">
        <w:t xml:space="preserve">) </w:t>
      </w:r>
      <w:r w:rsidRPr="00841BE4">
        <w:t xml:space="preserve">are summarised </w:t>
      </w:r>
      <w:r w:rsidR="00A51BB4">
        <w:t>T</w:t>
      </w:r>
      <w:r w:rsidRPr="00841BE4">
        <w:t xml:space="preserve">able </w:t>
      </w:r>
      <w:r w:rsidR="00A51BB4">
        <w:t xml:space="preserve">1 </w:t>
      </w:r>
      <w:r w:rsidRPr="00841BE4">
        <w:t>below (means and 90% confidence intervals</w:t>
      </w:r>
      <w:r w:rsidR="00B249F4">
        <w:t xml:space="preserve"> (CIs)</w:t>
      </w:r>
      <w:r w:rsidRPr="00841BE4">
        <w:t xml:space="preserve">). Emtricitabine bioavailability is not affected. Tenofovir bioavailability is increased slightly in the presence of food, while </w:t>
      </w:r>
      <w:r w:rsidR="00A2001C">
        <w:t>COBI</w:t>
      </w:r>
      <w:r w:rsidRPr="00841BE4">
        <w:t xml:space="preserve"> bioavailability is decreased slightly in the presence of a high fat meal. Elvitegravir bioavailability is increased substantially with food, particularly with a high fat meal. The company considers the differences between a light meal and a high fat meal in respect of </w:t>
      </w:r>
      <w:r w:rsidR="00BB2DAA">
        <w:t xml:space="preserve">EVG </w:t>
      </w:r>
      <w:r w:rsidRPr="00841BE4">
        <w:t>bioavailability to be not clinically significant. The PI recommends that the tablets be taken with a meal.</w:t>
      </w:r>
    </w:p>
    <w:p w:rsidR="00B249F4" w:rsidRPr="00841BE4" w:rsidRDefault="00B249F4" w:rsidP="006A4D4A">
      <w:pPr>
        <w:pStyle w:val="TableTitle"/>
      </w:pPr>
      <w:r>
        <w:t>Table 1. Effect of food on the bioavailability of tenofovir disoproxil fumarate, emtricitabine, elvitegravir and cobicistat.</w:t>
      </w:r>
    </w:p>
    <w:tbl>
      <w:tblPr>
        <w:tblStyle w:val="TableTGAblue"/>
        <w:tblW w:w="0" w:type="auto"/>
        <w:tblLayout w:type="fixed"/>
        <w:tblLook w:val="04A0"/>
      </w:tblPr>
      <w:tblGrid>
        <w:gridCol w:w="1101"/>
        <w:gridCol w:w="939"/>
        <w:gridCol w:w="939"/>
        <w:gridCol w:w="939"/>
        <w:gridCol w:w="939"/>
        <w:gridCol w:w="939"/>
        <w:gridCol w:w="939"/>
        <w:gridCol w:w="939"/>
        <w:gridCol w:w="939"/>
      </w:tblGrid>
      <w:tr w:rsidR="00CB0A3E" w:rsidRPr="00B249F4" w:rsidTr="00EF018F">
        <w:trPr>
          <w:cnfStyle w:val="100000000000"/>
          <w:tblHeader/>
        </w:trPr>
        <w:tc>
          <w:tcPr>
            <w:tcW w:w="1101" w:type="dxa"/>
            <w:vMerge w:val="restart"/>
          </w:tcPr>
          <w:p w:rsidR="00CB0A3E" w:rsidRPr="00B249F4" w:rsidRDefault="00CB0A3E" w:rsidP="00EF018F">
            <w:pPr>
              <w:keepNext/>
              <w:ind w:left="0" w:right="0"/>
              <w:rPr>
                <w:b w:val="0"/>
                <w:sz w:val="18"/>
                <w:szCs w:val="18"/>
              </w:rPr>
            </w:pPr>
          </w:p>
        </w:tc>
        <w:tc>
          <w:tcPr>
            <w:tcW w:w="1878" w:type="dxa"/>
            <w:gridSpan w:val="2"/>
            <w:hideMark/>
          </w:tcPr>
          <w:p w:rsidR="00CB0A3E" w:rsidRPr="00B249F4" w:rsidRDefault="00CB0A3E" w:rsidP="00EF018F">
            <w:pPr>
              <w:keepNext/>
              <w:ind w:left="0" w:right="0"/>
              <w:rPr>
                <w:b w:val="0"/>
                <w:sz w:val="18"/>
                <w:szCs w:val="18"/>
              </w:rPr>
            </w:pPr>
            <w:r w:rsidRPr="00B249F4">
              <w:rPr>
                <w:sz w:val="18"/>
                <w:szCs w:val="18"/>
              </w:rPr>
              <w:t>Elvitegravir</w:t>
            </w:r>
          </w:p>
        </w:tc>
        <w:tc>
          <w:tcPr>
            <w:tcW w:w="1878" w:type="dxa"/>
            <w:gridSpan w:val="2"/>
            <w:hideMark/>
          </w:tcPr>
          <w:p w:rsidR="00CB0A3E" w:rsidRPr="00B249F4" w:rsidRDefault="00CB0A3E" w:rsidP="00EF018F">
            <w:pPr>
              <w:keepNext/>
              <w:ind w:left="0" w:right="0"/>
              <w:rPr>
                <w:b w:val="0"/>
                <w:sz w:val="18"/>
                <w:szCs w:val="18"/>
              </w:rPr>
            </w:pPr>
            <w:r w:rsidRPr="00B249F4">
              <w:rPr>
                <w:sz w:val="18"/>
                <w:szCs w:val="18"/>
              </w:rPr>
              <w:t>Cobicistat</w:t>
            </w:r>
          </w:p>
        </w:tc>
        <w:tc>
          <w:tcPr>
            <w:tcW w:w="1878" w:type="dxa"/>
            <w:gridSpan w:val="2"/>
            <w:hideMark/>
          </w:tcPr>
          <w:p w:rsidR="00CB0A3E" w:rsidRPr="00B249F4" w:rsidRDefault="00CB0A3E" w:rsidP="00EF018F">
            <w:pPr>
              <w:keepNext/>
              <w:ind w:left="0" w:right="0"/>
              <w:rPr>
                <w:b w:val="0"/>
                <w:sz w:val="18"/>
                <w:szCs w:val="18"/>
              </w:rPr>
            </w:pPr>
            <w:r w:rsidRPr="00B249F4">
              <w:rPr>
                <w:sz w:val="18"/>
                <w:szCs w:val="18"/>
              </w:rPr>
              <w:t>Emtricitabine</w:t>
            </w:r>
          </w:p>
        </w:tc>
        <w:tc>
          <w:tcPr>
            <w:tcW w:w="1878" w:type="dxa"/>
            <w:gridSpan w:val="2"/>
            <w:hideMark/>
          </w:tcPr>
          <w:p w:rsidR="00CB0A3E" w:rsidRPr="00B249F4" w:rsidRDefault="00CB0A3E" w:rsidP="00EF018F">
            <w:pPr>
              <w:keepNext/>
              <w:ind w:left="0" w:right="0"/>
              <w:rPr>
                <w:b w:val="0"/>
                <w:sz w:val="18"/>
                <w:szCs w:val="18"/>
              </w:rPr>
            </w:pPr>
            <w:r w:rsidRPr="00B249F4">
              <w:rPr>
                <w:sz w:val="18"/>
                <w:szCs w:val="18"/>
              </w:rPr>
              <w:t>Tenofovir</w:t>
            </w:r>
          </w:p>
        </w:tc>
      </w:tr>
      <w:tr w:rsidR="00EF018F" w:rsidRPr="00B249F4" w:rsidTr="00EF018F">
        <w:trPr>
          <w:cnfStyle w:val="100000000000"/>
          <w:tblHeader/>
        </w:trPr>
        <w:tc>
          <w:tcPr>
            <w:tcW w:w="1101" w:type="dxa"/>
            <w:vMerge/>
            <w:hideMark/>
          </w:tcPr>
          <w:p w:rsidR="00CB0A3E" w:rsidRPr="00B249F4" w:rsidRDefault="00CB0A3E" w:rsidP="00EF018F">
            <w:pPr>
              <w:keepNext/>
              <w:ind w:left="0" w:right="0"/>
              <w:rPr>
                <w:b w:val="0"/>
                <w:sz w:val="18"/>
                <w:szCs w:val="18"/>
              </w:rPr>
            </w:pPr>
          </w:p>
        </w:tc>
        <w:tc>
          <w:tcPr>
            <w:tcW w:w="939" w:type="dxa"/>
            <w:hideMark/>
          </w:tcPr>
          <w:p w:rsidR="00CB0A3E" w:rsidRPr="00B249F4" w:rsidRDefault="00CB0A3E" w:rsidP="00EF018F">
            <w:pPr>
              <w:keepNext/>
              <w:ind w:left="0" w:right="0"/>
              <w:rPr>
                <w:b w:val="0"/>
                <w:sz w:val="18"/>
                <w:szCs w:val="18"/>
              </w:rPr>
            </w:pPr>
            <w:r w:rsidRPr="00B249F4">
              <w:rPr>
                <w:sz w:val="18"/>
                <w:szCs w:val="18"/>
              </w:rPr>
              <w:t>AUC</w:t>
            </w:r>
            <w:r w:rsidRPr="00B249F4">
              <w:rPr>
                <w:sz w:val="18"/>
                <w:szCs w:val="18"/>
                <w:vertAlign w:val="subscript"/>
              </w:rPr>
              <w:t>∞</w:t>
            </w:r>
          </w:p>
        </w:tc>
        <w:tc>
          <w:tcPr>
            <w:tcW w:w="939" w:type="dxa"/>
            <w:hideMark/>
          </w:tcPr>
          <w:p w:rsidR="00CB0A3E" w:rsidRPr="00B249F4" w:rsidRDefault="00CB0A3E" w:rsidP="00EF018F">
            <w:pPr>
              <w:keepNext/>
              <w:ind w:left="0" w:right="0"/>
              <w:rPr>
                <w:b w:val="0"/>
                <w:sz w:val="18"/>
                <w:szCs w:val="18"/>
              </w:rPr>
            </w:pPr>
            <w:r w:rsidRPr="00B249F4">
              <w:rPr>
                <w:sz w:val="18"/>
                <w:szCs w:val="18"/>
              </w:rPr>
              <w:t>Cmax</w:t>
            </w:r>
          </w:p>
        </w:tc>
        <w:tc>
          <w:tcPr>
            <w:tcW w:w="939" w:type="dxa"/>
            <w:hideMark/>
          </w:tcPr>
          <w:p w:rsidR="00CB0A3E" w:rsidRPr="00B249F4" w:rsidRDefault="00CB0A3E" w:rsidP="00EF018F">
            <w:pPr>
              <w:keepNext/>
              <w:ind w:left="0" w:right="0"/>
              <w:rPr>
                <w:b w:val="0"/>
                <w:sz w:val="18"/>
                <w:szCs w:val="18"/>
              </w:rPr>
            </w:pPr>
            <w:r w:rsidRPr="00B249F4">
              <w:rPr>
                <w:sz w:val="18"/>
                <w:szCs w:val="18"/>
              </w:rPr>
              <w:t>AUC</w:t>
            </w:r>
            <w:r w:rsidRPr="00B249F4">
              <w:rPr>
                <w:sz w:val="18"/>
                <w:szCs w:val="18"/>
                <w:vertAlign w:val="subscript"/>
              </w:rPr>
              <w:t>∞</w:t>
            </w:r>
          </w:p>
        </w:tc>
        <w:tc>
          <w:tcPr>
            <w:tcW w:w="939" w:type="dxa"/>
            <w:hideMark/>
          </w:tcPr>
          <w:p w:rsidR="00CB0A3E" w:rsidRPr="00B249F4" w:rsidRDefault="00CB0A3E" w:rsidP="00EF018F">
            <w:pPr>
              <w:keepNext/>
              <w:ind w:left="0" w:right="0"/>
              <w:rPr>
                <w:b w:val="0"/>
                <w:sz w:val="18"/>
                <w:szCs w:val="18"/>
              </w:rPr>
            </w:pPr>
            <w:r w:rsidRPr="00B249F4">
              <w:rPr>
                <w:sz w:val="18"/>
                <w:szCs w:val="18"/>
              </w:rPr>
              <w:t>Cmax</w:t>
            </w:r>
          </w:p>
        </w:tc>
        <w:tc>
          <w:tcPr>
            <w:tcW w:w="939" w:type="dxa"/>
            <w:hideMark/>
          </w:tcPr>
          <w:p w:rsidR="00CB0A3E" w:rsidRPr="00B249F4" w:rsidRDefault="00CB0A3E" w:rsidP="00EF018F">
            <w:pPr>
              <w:keepNext/>
              <w:ind w:left="0" w:right="0"/>
              <w:rPr>
                <w:b w:val="0"/>
                <w:sz w:val="18"/>
                <w:szCs w:val="18"/>
              </w:rPr>
            </w:pPr>
            <w:r w:rsidRPr="00B249F4">
              <w:rPr>
                <w:sz w:val="18"/>
                <w:szCs w:val="18"/>
              </w:rPr>
              <w:t>AUC</w:t>
            </w:r>
            <w:r w:rsidRPr="00B249F4">
              <w:rPr>
                <w:sz w:val="18"/>
                <w:szCs w:val="18"/>
                <w:vertAlign w:val="subscript"/>
              </w:rPr>
              <w:t>∞</w:t>
            </w:r>
          </w:p>
        </w:tc>
        <w:tc>
          <w:tcPr>
            <w:tcW w:w="939" w:type="dxa"/>
            <w:hideMark/>
          </w:tcPr>
          <w:p w:rsidR="00CB0A3E" w:rsidRPr="00B249F4" w:rsidRDefault="00CB0A3E" w:rsidP="00EF018F">
            <w:pPr>
              <w:keepNext/>
              <w:ind w:left="0" w:right="0"/>
              <w:rPr>
                <w:b w:val="0"/>
                <w:sz w:val="18"/>
                <w:szCs w:val="18"/>
              </w:rPr>
            </w:pPr>
            <w:r w:rsidRPr="00B249F4">
              <w:rPr>
                <w:sz w:val="18"/>
                <w:szCs w:val="18"/>
              </w:rPr>
              <w:t>Cmax</w:t>
            </w:r>
          </w:p>
        </w:tc>
        <w:tc>
          <w:tcPr>
            <w:tcW w:w="939" w:type="dxa"/>
            <w:hideMark/>
          </w:tcPr>
          <w:p w:rsidR="00CB0A3E" w:rsidRPr="00B249F4" w:rsidRDefault="00CB0A3E" w:rsidP="00EF018F">
            <w:pPr>
              <w:keepNext/>
              <w:ind w:left="0" w:right="0"/>
              <w:rPr>
                <w:b w:val="0"/>
                <w:sz w:val="18"/>
                <w:szCs w:val="18"/>
              </w:rPr>
            </w:pPr>
            <w:r w:rsidRPr="00B249F4">
              <w:rPr>
                <w:sz w:val="18"/>
                <w:szCs w:val="18"/>
              </w:rPr>
              <w:t>AUC</w:t>
            </w:r>
            <w:r w:rsidRPr="00B249F4">
              <w:rPr>
                <w:sz w:val="18"/>
                <w:szCs w:val="18"/>
                <w:vertAlign w:val="subscript"/>
              </w:rPr>
              <w:t>∞</w:t>
            </w:r>
          </w:p>
        </w:tc>
        <w:tc>
          <w:tcPr>
            <w:tcW w:w="939" w:type="dxa"/>
            <w:hideMark/>
          </w:tcPr>
          <w:p w:rsidR="00CB0A3E" w:rsidRPr="00B249F4" w:rsidRDefault="00CB0A3E" w:rsidP="00EF018F">
            <w:pPr>
              <w:keepNext/>
              <w:ind w:left="0" w:right="0"/>
              <w:rPr>
                <w:b w:val="0"/>
                <w:sz w:val="18"/>
                <w:szCs w:val="18"/>
              </w:rPr>
            </w:pPr>
            <w:r w:rsidRPr="00B249F4">
              <w:rPr>
                <w:sz w:val="18"/>
                <w:szCs w:val="18"/>
              </w:rPr>
              <w:t>Cmax</w:t>
            </w:r>
          </w:p>
        </w:tc>
      </w:tr>
      <w:tr w:rsidR="00EF018F" w:rsidRPr="00B249F4" w:rsidTr="00EF018F">
        <w:tc>
          <w:tcPr>
            <w:tcW w:w="1101" w:type="dxa"/>
            <w:hideMark/>
          </w:tcPr>
          <w:p w:rsidR="00CB0A3E" w:rsidRPr="00B249F4" w:rsidRDefault="00CB0A3E" w:rsidP="00EF018F">
            <w:pPr>
              <w:keepNext/>
              <w:ind w:left="0" w:right="0"/>
              <w:rPr>
                <w:sz w:val="18"/>
                <w:szCs w:val="18"/>
              </w:rPr>
            </w:pPr>
            <w:r w:rsidRPr="00B249F4">
              <w:rPr>
                <w:sz w:val="18"/>
                <w:szCs w:val="18"/>
              </w:rPr>
              <w:t>High fat meal/ fasting</w:t>
            </w:r>
          </w:p>
        </w:tc>
        <w:tc>
          <w:tcPr>
            <w:tcW w:w="939" w:type="dxa"/>
            <w:hideMark/>
          </w:tcPr>
          <w:p w:rsidR="00CB0A3E" w:rsidRPr="00B249F4" w:rsidRDefault="00CB0A3E" w:rsidP="00EF018F">
            <w:pPr>
              <w:keepNext/>
              <w:ind w:left="0" w:right="0"/>
              <w:rPr>
                <w:sz w:val="18"/>
                <w:szCs w:val="18"/>
              </w:rPr>
            </w:pPr>
            <w:r w:rsidRPr="00B249F4">
              <w:rPr>
                <w:sz w:val="18"/>
                <w:szCs w:val="18"/>
              </w:rPr>
              <w:t>187%</w:t>
            </w:r>
            <w:r w:rsidR="00B249F4">
              <w:rPr>
                <w:sz w:val="18"/>
                <w:szCs w:val="18"/>
              </w:rPr>
              <w:t xml:space="preserve"> </w:t>
            </w:r>
            <w:r w:rsidRPr="00B249F4">
              <w:rPr>
                <w:sz w:val="18"/>
                <w:szCs w:val="18"/>
              </w:rPr>
              <w:t>(166-210%)</w:t>
            </w:r>
          </w:p>
        </w:tc>
        <w:tc>
          <w:tcPr>
            <w:tcW w:w="939" w:type="dxa"/>
            <w:hideMark/>
          </w:tcPr>
          <w:p w:rsidR="00CB0A3E" w:rsidRPr="00B249F4" w:rsidRDefault="00CB0A3E" w:rsidP="00EF018F">
            <w:pPr>
              <w:keepNext/>
              <w:ind w:left="0" w:right="0"/>
              <w:rPr>
                <w:sz w:val="18"/>
                <w:szCs w:val="18"/>
              </w:rPr>
            </w:pPr>
            <w:r w:rsidRPr="00B249F4">
              <w:rPr>
                <w:sz w:val="18"/>
                <w:szCs w:val="18"/>
              </w:rPr>
              <w:t>156%</w:t>
            </w:r>
            <w:r w:rsidR="00841BE4" w:rsidRPr="00B249F4">
              <w:rPr>
                <w:sz w:val="18"/>
                <w:szCs w:val="18"/>
              </w:rPr>
              <w:t xml:space="preserve">  </w:t>
            </w:r>
            <w:r w:rsidRPr="00B249F4">
              <w:rPr>
                <w:sz w:val="18"/>
                <w:szCs w:val="18"/>
              </w:rPr>
              <w:t>(138-176%)</w:t>
            </w:r>
          </w:p>
        </w:tc>
        <w:tc>
          <w:tcPr>
            <w:tcW w:w="939" w:type="dxa"/>
            <w:hideMark/>
          </w:tcPr>
          <w:p w:rsidR="00CB0A3E" w:rsidRPr="00B249F4" w:rsidRDefault="00CB0A3E" w:rsidP="00EF018F">
            <w:pPr>
              <w:keepNext/>
              <w:ind w:left="0" w:right="0"/>
              <w:rPr>
                <w:sz w:val="18"/>
                <w:szCs w:val="18"/>
              </w:rPr>
            </w:pPr>
            <w:r w:rsidRPr="00B249F4">
              <w:rPr>
                <w:sz w:val="18"/>
                <w:szCs w:val="18"/>
              </w:rPr>
              <w:t>83%</w:t>
            </w:r>
            <w:r w:rsidR="00841BE4" w:rsidRPr="00B249F4">
              <w:rPr>
                <w:sz w:val="18"/>
                <w:szCs w:val="18"/>
              </w:rPr>
              <w:t xml:space="preserve">    </w:t>
            </w:r>
            <w:r w:rsidRPr="00B249F4">
              <w:rPr>
                <w:sz w:val="18"/>
                <w:szCs w:val="18"/>
              </w:rPr>
              <w:t>(73-95%)</w:t>
            </w:r>
          </w:p>
        </w:tc>
        <w:tc>
          <w:tcPr>
            <w:tcW w:w="939" w:type="dxa"/>
            <w:hideMark/>
          </w:tcPr>
          <w:p w:rsidR="00CB0A3E" w:rsidRPr="00B249F4" w:rsidRDefault="00CB0A3E" w:rsidP="00EF018F">
            <w:pPr>
              <w:keepNext/>
              <w:ind w:left="0" w:right="0"/>
              <w:rPr>
                <w:sz w:val="18"/>
                <w:szCs w:val="18"/>
              </w:rPr>
            </w:pPr>
            <w:r w:rsidRPr="00B249F4">
              <w:rPr>
                <w:sz w:val="18"/>
                <w:szCs w:val="18"/>
              </w:rPr>
              <w:t>76%</w:t>
            </w:r>
            <w:r w:rsidR="00841BE4" w:rsidRPr="00B249F4">
              <w:rPr>
                <w:sz w:val="18"/>
                <w:szCs w:val="18"/>
              </w:rPr>
              <w:t xml:space="preserve">    </w:t>
            </w:r>
            <w:r w:rsidRPr="00B249F4">
              <w:rPr>
                <w:sz w:val="18"/>
                <w:szCs w:val="18"/>
              </w:rPr>
              <w:t>(68-84%)</w:t>
            </w:r>
          </w:p>
        </w:tc>
        <w:tc>
          <w:tcPr>
            <w:tcW w:w="939" w:type="dxa"/>
            <w:hideMark/>
          </w:tcPr>
          <w:p w:rsidR="00CB0A3E" w:rsidRPr="00B249F4" w:rsidRDefault="00CB0A3E" w:rsidP="00EF018F">
            <w:pPr>
              <w:keepNext/>
              <w:ind w:left="0" w:right="0"/>
              <w:rPr>
                <w:sz w:val="18"/>
                <w:szCs w:val="18"/>
              </w:rPr>
            </w:pPr>
            <w:r w:rsidRPr="00B249F4">
              <w:rPr>
                <w:sz w:val="18"/>
                <w:szCs w:val="18"/>
              </w:rPr>
              <w:t>96%</w:t>
            </w:r>
            <w:r w:rsidR="00841BE4" w:rsidRPr="00B249F4">
              <w:rPr>
                <w:sz w:val="18"/>
                <w:szCs w:val="18"/>
              </w:rPr>
              <w:t xml:space="preserve">    </w:t>
            </w:r>
            <w:r w:rsidRPr="00B249F4">
              <w:rPr>
                <w:sz w:val="18"/>
                <w:szCs w:val="18"/>
              </w:rPr>
              <w:t>(92-100%)</w:t>
            </w:r>
          </w:p>
        </w:tc>
        <w:tc>
          <w:tcPr>
            <w:tcW w:w="939" w:type="dxa"/>
            <w:hideMark/>
          </w:tcPr>
          <w:p w:rsidR="00CB0A3E" w:rsidRPr="00B249F4" w:rsidRDefault="00CB0A3E" w:rsidP="00EF018F">
            <w:pPr>
              <w:keepNext/>
              <w:ind w:left="0" w:right="0"/>
              <w:rPr>
                <w:sz w:val="18"/>
                <w:szCs w:val="18"/>
              </w:rPr>
            </w:pPr>
            <w:r w:rsidRPr="00B249F4">
              <w:rPr>
                <w:sz w:val="18"/>
                <w:szCs w:val="18"/>
              </w:rPr>
              <w:t>96%</w:t>
            </w:r>
            <w:r w:rsidR="00841BE4" w:rsidRPr="00B249F4">
              <w:rPr>
                <w:sz w:val="18"/>
                <w:szCs w:val="18"/>
              </w:rPr>
              <w:t xml:space="preserve">    </w:t>
            </w:r>
            <w:r w:rsidRPr="00B249F4">
              <w:rPr>
                <w:sz w:val="18"/>
                <w:szCs w:val="18"/>
              </w:rPr>
              <w:t>(87-106%)</w:t>
            </w:r>
          </w:p>
        </w:tc>
        <w:tc>
          <w:tcPr>
            <w:tcW w:w="939" w:type="dxa"/>
            <w:hideMark/>
          </w:tcPr>
          <w:p w:rsidR="00CB0A3E" w:rsidRPr="00B249F4" w:rsidRDefault="00CB0A3E" w:rsidP="00EF018F">
            <w:pPr>
              <w:keepNext/>
              <w:ind w:left="0" w:right="0"/>
              <w:rPr>
                <w:sz w:val="18"/>
                <w:szCs w:val="18"/>
              </w:rPr>
            </w:pPr>
            <w:r w:rsidRPr="00B249F4">
              <w:rPr>
                <w:sz w:val="18"/>
                <w:szCs w:val="18"/>
              </w:rPr>
              <w:t>123%</w:t>
            </w:r>
            <w:r w:rsidR="00841BE4" w:rsidRPr="00B249F4">
              <w:rPr>
                <w:sz w:val="18"/>
                <w:szCs w:val="18"/>
              </w:rPr>
              <w:t xml:space="preserve">  </w:t>
            </w:r>
            <w:r w:rsidRPr="00B249F4">
              <w:rPr>
                <w:sz w:val="18"/>
                <w:szCs w:val="18"/>
              </w:rPr>
              <w:t>(117-129%)</w:t>
            </w:r>
          </w:p>
        </w:tc>
        <w:tc>
          <w:tcPr>
            <w:tcW w:w="939" w:type="dxa"/>
            <w:hideMark/>
          </w:tcPr>
          <w:p w:rsidR="00CB0A3E" w:rsidRPr="00B249F4" w:rsidRDefault="00CB0A3E" w:rsidP="00EF018F">
            <w:pPr>
              <w:keepNext/>
              <w:ind w:left="0" w:right="0"/>
              <w:rPr>
                <w:sz w:val="18"/>
                <w:szCs w:val="18"/>
              </w:rPr>
            </w:pPr>
            <w:r w:rsidRPr="00B249F4">
              <w:rPr>
                <w:sz w:val="18"/>
                <w:szCs w:val="18"/>
              </w:rPr>
              <w:t>103%</w:t>
            </w:r>
            <w:r w:rsidR="00841BE4" w:rsidRPr="00B249F4">
              <w:rPr>
                <w:sz w:val="18"/>
                <w:szCs w:val="18"/>
              </w:rPr>
              <w:t xml:space="preserve">   </w:t>
            </w:r>
            <w:r w:rsidRPr="00B249F4">
              <w:rPr>
                <w:sz w:val="18"/>
                <w:szCs w:val="18"/>
              </w:rPr>
              <w:t>(89-120%)</w:t>
            </w:r>
          </w:p>
        </w:tc>
      </w:tr>
      <w:tr w:rsidR="00EF018F" w:rsidRPr="00B249F4" w:rsidTr="00EF018F">
        <w:tc>
          <w:tcPr>
            <w:tcW w:w="1101" w:type="dxa"/>
            <w:hideMark/>
          </w:tcPr>
          <w:p w:rsidR="00CB0A3E" w:rsidRPr="00B249F4" w:rsidRDefault="00CB0A3E" w:rsidP="00EF018F">
            <w:pPr>
              <w:keepNext/>
              <w:ind w:left="0" w:right="0"/>
              <w:rPr>
                <w:sz w:val="18"/>
                <w:szCs w:val="18"/>
              </w:rPr>
            </w:pPr>
            <w:r w:rsidRPr="00B249F4">
              <w:rPr>
                <w:sz w:val="18"/>
                <w:szCs w:val="18"/>
              </w:rPr>
              <w:t>Light meal/ fasting</w:t>
            </w:r>
          </w:p>
        </w:tc>
        <w:tc>
          <w:tcPr>
            <w:tcW w:w="939" w:type="dxa"/>
            <w:hideMark/>
          </w:tcPr>
          <w:p w:rsidR="00CB0A3E" w:rsidRPr="00B249F4" w:rsidRDefault="00CB0A3E" w:rsidP="00EF018F">
            <w:pPr>
              <w:keepNext/>
              <w:ind w:left="0" w:right="0"/>
              <w:rPr>
                <w:sz w:val="18"/>
                <w:szCs w:val="18"/>
              </w:rPr>
            </w:pPr>
            <w:r w:rsidRPr="00B249F4">
              <w:rPr>
                <w:sz w:val="18"/>
                <w:szCs w:val="18"/>
              </w:rPr>
              <w:t>134%</w:t>
            </w:r>
            <w:r w:rsidR="00841BE4" w:rsidRPr="00B249F4">
              <w:rPr>
                <w:sz w:val="18"/>
                <w:szCs w:val="18"/>
              </w:rPr>
              <w:t xml:space="preserve">  </w:t>
            </w:r>
            <w:r w:rsidRPr="00B249F4">
              <w:rPr>
                <w:sz w:val="18"/>
                <w:szCs w:val="18"/>
              </w:rPr>
              <w:t>(119-151%)</w:t>
            </w:r>
          </w:p>
        </w:tc>
        <w:tc>
          <w:tcPr>
            <w:tcW w:w="939" w:type="dxa"/>
            <w:hideMark/>
          </w:tcPr>
          <w:p w:rsidR="00CB0A3E" w:rsidRPr="00B249F4" w:rsidRDefault="00CB0A3E" w:rsidP="00EF018F">
            <w:pPr>
              <w:keepNext/>
              <w:ind w:left="0" w:right="0"/>
              <w:rPr>
                <w:sz w:val="18"/>
                <w:szCs w:val="18"/>
              </w:rPr>
            </w:pPr>
            <w:r w:rsidRPr="00B249F4">
              <w:rPr>
                <w:sz w:val="18"/>
                <w:szCs w:val="18"/>
              </w:rPr>
              <w:t>122%</w:t>
            </w:r>
            <w:r w:rsidR="00841BE4" w:rsidRPr="00B249F4">
              <w:rPr>
                <w:sz w:val="18"/>
                <w:szCs w:val="18"/>
              </w:rPr>
              <w:t xml:space="preserve">  </w:t>
            </w:r>
            <w:r w:rsidRPr="00B249F4">
              <w:rPr>
                <w:sz w:val="18"/>
                <w:szCs w:val="18"/>
              </w:rPr>
              <w:t>(108-138%)</w:t>
            </w:r>
          </w:p>
        </w:tc>
        <w:tc>
          <w:tcPr>
            <w:tcW w:w="939" w:type="dxa"/>
            <w:hideMark/>
          </w:tcPr>
          <w:p w:rsidR="00CB0A3E" w:rsidRPr="00B249F4" w:rsidRDefault="00CB0A3E" w:rsidP="00EF018F">
            <w:pPr>
              <w:keepNext/>
              <w:ind w:left="0" w:right="0"/>
              <w:rPr>
                <w:sz w:val="18"/>
                <w:szCs w:val="18"/>
              </w:rPr>
            </w:pPr>
            <w:r w:rsidRPr="00B249F4">
              <w:rPr>
                <w:sz w:val="18"/>
                <w:szCs w:val="18"/>
              </w:rPr>
              <w:t>103%</w:t>
            </w:r>
            <w:r w:rsidR="00841BE4" w:rsidRPr="00B249F4">
              <w:rPr>
                <w:sz w:val="18"/>
                <w:szCs w:val="18"/>
              </w:rPr>
              <w:t xml:space="preserve">   </w:t>
            </w:r>
            <w:r w:rsidRPr="00B249F4">
              <w:rPr>
                <w:sz w:val="18"/>
                <w:szCs w:val="18"/>
              </w:rPr>
              <w:t>(90-117%)</w:t>
            </w:r>
          </w:p>
        </w:tc>
        <w:tc>
          <w:tcPr>
            <w:tcW w:w="939" w:type="dxa"/>
            <w:hideMark/>
          </w:tcPr>
          <w:p w:rsidR="00CB0A3E" w:rsidRPr="00B249F4" w:rsidRDefault="00CB0A3E" w:rsidP="00EF018F">
            <w:pPr>
              <w:keepNext/>
              <w:ind w:left="0" w:right="0"/>
              <w:rPr>
                <w:sz w:val="18"/>
                <w:szCs w:val="18"/>
              </w:rPr>
            </w:pPr>
            <w:r w:rsidRPr="00B249F4">
              <w:rPr>
                <w:sz w:val="18"/>
                <w:szCs w:val="18"/>
              </w:rPr>
              <w:t>104%</w:t>
            </w:r>
            <w:r w:rsidR="00841BE4" w:rsidRPr="00B249F4">
              <w:rPr>
                <w:sz w:val="18"/>
                <w:szCs w:val="18"/>
              </w:rPr>
              <w:t xml:space="preserve">   </w:t>
            </w:r>
            <w:r w:rsidRPr="00B249F4">
              <w:rPr>
                <w:sz w:val="18"/>
                <w:szCs w:val="18"/>
              </w:rPr>
              <w:t>(94-114%)</w:t>
            </w:r>
          </w:p>
        </w:tc>
        <w:tc>
          <w:tcPr>
            <w:tcW w:w="939" w:type="dxa"/>
            <w:hideMark/>
          </w:tcPr>
          <w:p w:rsidR="00CB0A3E" w:rsidRPr="00B249F4" w:rsidRDefault="00CB0A3E" w:rsidP="00EF018F">
            <w:pPr>
              <w:keepNext/>
              <w:ind w:left="0" w:right="0"/>
              <w:rPr>
                <w:sz w:val="18"/>
                <w:szCs w:val="18"/>
              </w:rPr>
            </w:pPr>
            <w:r w:rsidRPr="00B249F4">
              <w:rPr>
                <w:sz w:val="18"/>
                <w:szCs w:val="18"/>
              </w:rPr>
              <w:t>95%</w:t>
            </w:r>
            <w:r w:rsidR="00841BE4" w:rsidRPr="00B249F4">
              <w:rPr>
                <w:sz w:val="18"/>
                <w:szCs w:val="18"/>
              </w:rPr>
              <w:t xml:space="preserve">    </w:t>
            </w:r>
            <w:r w:rsidRPr="00B249F4">
              <w:rPr>
                <w:sz w:val="18"/>
                <w:szCs w:val="18"/>
              </w:rPr>
              <w:t>(91-100%)</w:t>
            </w:r>
          </w:p>
        </w:tc>
        <w:tc>
          <w:tcPr>
            <w:tcW w:w="939" w:type="dxa"/>
            <w:hideMark/>
          </w:tcPr>
          <w:p w:rsidR="00CB0A3E" w:rsidRPr="00B249F4" w:rsidRDefault="00CB0A3E" w:rsidP="00EF018F">
            <w:pPr>
              <w:keepNext/>
              <w:ind w:left="0" w:right="0"/>
              <w:rPr>
                <w:sz w:val="18"/>
                <w:szCs w:val="18"/>
              </w:rPr>
            </w:pPr>
            <w:r w:rsidRPr="00B249F4">
              <w:rPr>
                <w:sz w:val="18"/>
                <w:szCs w:val="18"/>
              </w:rPr>
              <w:t>95%</w:t>
            </w:r>
            <w:r w:rsidR="00841BE4" w:rsidRPr="00B249F4">
              <w:rPr>
                <w:sz w:val="18"/>
                <w:szCs w:val="18"/>
              </w:rPr>
              <w:t xml:space="preserve">    </w:t>
            </w:r>
            <w:r w:rsidRPr="00B249F4">
              <w:rPr>
                <w:sz w:val="18"/>
                <w:szCs w:val="18"/>
              </w:rPr>
              <w:t>(86-105%)</w:t>
            </w:r>
          </w:p>
        </w:tc>
        <w:tc>
          <w:tcPr>
            <w:tcW w:w="939" w:type="dxa"/>
            <w:hideMark/>
          </w:tcPr>
          <w:p w:rsidR="00CB0A3E" w:rsidRPr="00B249F4" w:rsidRDefault="00CB0A3E" w:rsidP="00EF018F">
            <w:pPr>
              <w:keepNext/>
              <w:ind w:left="0" w:right="0"/>
              <w:rPr>
                <w:sz w:val="18"/>
                <w:szCs w:val="18"/>
              </w:rPr>
            </w:pPr>
            <w:r w:rsidRPr="00B249F4">
              <w:rPr>
                <w:sz w:val="18"/>
                <w:szCs w:val="18"/>
              </w:rPr>
              <w:t>124%</w:t>
            </w:r>
            <w:r w:rsidR="00841BE4" w:rsidRPr="00B249F4">
              <w:rPr>
                <w:sz w:val="18"/>
                <w:szCs w:val="18"/>
              </w:rPr>
              <w:t xml:space="preserve">  </w:t>
            </w:r>
            <w:r w:rsidRPr="00B249F4">
              <w:rPr>
                <w:sz w:val="18"/>
                <w:szCs w:val="18"/>
              </w:rPr>
              <w:t>(118-130%)</w:t>
            </w:r>
          </w:p>
        </w:tc>
        <w:tc>
          <w:tcPr>
            <w:tcW w:w="939" w:type="dxa"/>
            <w:hideMark/>
          </w:tcPr>
          <w:p w:rsidR="00CB0A3E" w:rsidRPr="00B249F4" w:rsidRDefault="00CB0A3E" w:rsidP="00EF018F">
            <w:pPr>
              <w:keepNext/>
              <w:ind w:left="0" w:right="0"/>
              <w:rPr>
                <w:sz w:val="18"/>
                <w:szCs w:val="18"/>
              </w:rPr>
            </w:pPr>
            <w:r w:rsidRPr="00B249F4">
              <w:rPr>
                <w:sz w:val="18"/>
                <w:szCs w:val="18"/>
              </w:rPr>
              <w:t>120%</w:t>
            </w:r>
            <w:r w:rsidR="00841BE4" w:rsidRPr="00B249F4">
              <w:rPr>
                <w:sz w:val="18"/>
                <w:szCs w:val="18"/>
              </w:rPr>
              <w:t xml:space="preserve">  </w:t>
            </w:r>
            <w:r w:rsidRPr="00B249F4">
              <w:rPr>
                <w:sz w:val="18"/>
                <w:szCs w:val="18"/>
              </w:rPr>
              <w:t>(104-139%)</w:t>
            </w:r>
          </w:p>
        </w:tc>
      </w:tr>
    </w:tbl>
    <w:p w:rsidR="008E7846" w:rsidRDefault="008E7846" w:rsidP="00EF018F">
      <w:pPr>
        <w:pStyle w:val="Heading3"/>
        <w:keepNext w:val="0"/>
      </w:pPr>
      <w:bookmarkStart w:id="27" w:name="_Toc314842492"/>
      <w:bookmarkStart w:id="28" w:name="_Toc363456661"/>
      <w:r>
        <w:t>Advisory committee considerations</w:t>
      </w:r>
      <w:bookmarkEnd w:id="27"/>
      <w:bookmarkEnd w:id="28"/>
    </w:p>
    <w:p w:rsidR="00CB0A3E" w:rsidRDefault="00CB0A3E" w:rsidP="00EF018F">
      <w:bookmarkStart w:id="29" w:name="_Toc247691509"/>
      <w:bookmarkStart w:id="30" w:name="_Toc314842493"/>
      <w:r w:rsidRPr="00CB0A3E">
        <w:t xml:space="preserve">This submission was considered by the Pharmaceutical Subcommittee </w:t>
      </w:r>
      <w:r w:rsidR="00B249F4">
        <w:t xml:space="preserve">(PSC) </w:t>
      </w:r>
      <w:r w:rsidRPr="00CB0A3E">
        <w:t xml:space="preserve">of the </w:t>
      </w:r>
      <w:r w:rsidR="00B249F4">
        <w:t>Advisory Committee on Prescription Medicines (</w:t>
      </w:r>
      <w:r w:rsidRPr="00CB0A3E">
        <w:t>ACPM</w:t>
      </w:r>
      <w:r w:rsidR="00B249F4">
        <w:t>)</w:t>
      </w:r>
      <w:r w:rsidRPr="00CB0A3E">
        <w:t xml:space="preserve"> at its 145</w:t>
      </w:r>
      <w:r w:rsidRPr="00B249F4">
        <w:rPr>
          <w:vertAlign w:val="superscript"/>
        </w:rPr>
        <w:t>th</w:t>
      </w:r>
      <w:r w:rsidR="00B249F4">
        <w:t xml:space="preserve"> </w:t>
      </w:r>
      <w:r w:rsidRPr="00CB0A3E">
        <w:t xml:space="preserve">meeting </w:t>
      </w:r>
      <w:r w:rsidR="00B249F4">
        <w:t xml:space="preserve">in </w:t>
      </w:r>
      <w:r w:rsidRPr="00CB0A3E">
        <w:t xml:space="preserve">May 2012. The subcommittee did not raise any additional </w:t>
      </w:r>
      <w:r w:rsidR="00B249F4">
        <w:t>c</w:t>
      </w:r>
      <w:r w:rsidR="00B249F4" w:rsidRPr="00CB0A3E">
        <w:t xml:space="preserve">hemistry, </w:t>
      </w:r>
      <w:r w:rsidR="00B249F4">
        <w:t>m</w:t>
      </w:r>
      <w:r w:rsidR="00B249F4" w:rsidRPr="00CB0A3E">
        <w:t xml:space="preserve">anufacturing and </w:t>
      </w:r>
      <w:r w:rsidR="00B249F4">
        <w:t>c</w:t>
      </w:r>
      <w:r w:rsidR="00B249F4" w:rsidRPr="00CB0A3E">
        <w:t xml:space="preserve">ontrols </w:t>
      </w:r>
      <w:r w:rsidR="00B249F4">
        <w:t>(</w:t>
      </w:r>
      <w:r w:rsidRPr="00CB0A3E">
        <w:t>CMC</w:t>
      </w:r>
      <w:r w:rsidR="00B249F4">
        <w:t>)</w:t>
      </w:r>
      <w:r w:rsidRPr="00CB0A3E">
        <w:t xml:space="preserve"> questions beyond those that had been raised by the TGA. However, the subcommittee considered that insufficient information had been provided concerning the population </w:t>
      </w:r>
      <w:r w:rsidR="00B63F3A">
        <w:t>pharmacokinetics (</w:t>
      </w:r>
      <w:r w:rsidR="00B249F4">
        <w:t>PK</w:t>
      </w:r>
      <w:r w:rsidR="00B63F3A">
        <w:t>)</w:t>
      </w:r>
      <w:r w:rsidR="00B249F4">
        <w:t xml:space="preserve"> </w:t>
      </w:r>
      <w:r w:rsidRPr="00CB0A3E">
        <w:t>modelling. This was brought to the attention of the Delegate.</w:t>
      </w:r>
    </w:p>
    <w:p w:rsidR="008E7846" w:rsidRPr="008751DC" w:rsidRDefault="008E7846" w:rsidP="00EF018F">
      <w:pPr>
        <w:pStyle w:val="Heading3"/>
        <w:keepNext w:val="0"/>
      </w:pPr>
      <w:bookmarkStart w:id="31" w:name="_Toc363456662"/>
      <w:r>
        <w:lastRenderedPageBreak/>
        <w:t>Quality s</w:t>
      </w:r>
      <w:r w:rsidRPr="008751DC">
        <w:t>ummary</w:t>
      </w:r>
      <w:r>
        <w:t xml:space="preserve"> and conclusions</w:t>
      </w:r>
      <w:bookmarkEnd w:id="29"/>
      <w:bookmarkEnd w:id="30"/>
      <w:bookmarkEnd w:id="31"/>
    </w:p>
    <w:p w:rsidR="008E7846" w:rsidRPr="00CB0A3E" w:rsidRDefault="00CB0A3E" w:rsidP="00CB0A3E">
      <w:r w:rsidRPr="00CB0A3E">
        <w:t xml:space="preserve">All of the CMC questions raised by the TGA following the initial review of this submission </w:t>
      </w:r>
      <w:r w:rsidR="000A6568">
        <w:t xml:space="preserve">were </w:t>
      </w:r>
      <w:r w:rsidRPr="00CB0A3E">
        <w:t xml:space="preserve">satisfactorily addressed by the company. There are no objections in respect of </w:t>
      </w:r>
      <w:r w:rsidR="00B249F4">
        <w:t xml:space="preserve">CMC </w:t>
      </w:r>
      <w:r w:rsidRPr="00CB0A3E">
        <w:t xml:space="preserve">to registration of Stribild tablets provided the PI is amended to include the correct pKa values of </w:t>
      </w:r>
      <w:r w:rsidR="00A2001C">
        <w:t>COBI</w:t>
      </w:r>
      <w:r w:rsidRPr="00CB0A3E">
        <w:t>. Furthermore, it should be a condition of registration that the dissolution test and limits for the product be as originally submitted</w:t>
      </w:r>
      <w:r w:rsidR="00BB7072">
        <w:t>.</w:t>
      </w:r>
      <w:r w:rsidR="00BB7072">
        <w:rPr>
          <w:rStyle w:val="FootnoteReference"/>
        </w:rPr>
        <w:footnoteReference w:id="2"/>
      </w:r>
      <w:r w:rsidR="00841BE4">
        <w:t xml:space="preserve"> </w:t>
      </w:r>
    </w:p>
    <w:p w:rsidR="008E7846" w:rsidRDefault="008E7846" w:rsidP="008E7846">
      <w:pPr>
        <w:pStyle w:val="Heading2"/>
      </w:pPr>
      <w:bookmarkStart w:id="32" w:name="_Toc196046439"/>
      <w:bookmarkStart w:id="33" w:name="_Toc247691510"/>
      <w:bookmarkStart w:id="34" w:name="_Toc314842494"/>
      <w:bookmarkStart w:id="35" w:name="_Toc363456663"/>
      <w:r>
        <w:t>III. Nonclinical</w:t>
      </w:r>
      <w:bookmarkEnd w:id="32"/>
      <w:r>
        <w:t xml:space="preserve"> findings</w:t>
      </w:r>
      <w:bookmarkEnd w:id="33"/>
      <w:bookmarkEnd w:id="34"/>
      <w:bookmarkEnd w:id="35"/>
    </w:p>
    <w:p w:rsidR="008E7846" w:rsidRDefault="008E7846" w:rsidP="008E7846">
      <w:pPr>
        <w:pStyle w:val="Heading3"/>
      </w:pPr>
      <w:bookmarkStart w:id="36" w:name="_Toc247691511"/>
      <w:bookmarkStart w:id="37" w:name="_Toc314842495"/>
      <w:bookmarkStart w:id="38" w:name="_Toc363456664"/>
      <w:r>
        <w:t>Introduction</w:t>
      </w:r>
      <w:bookmarkEnd w:id="36"/>
      <w:bookmarkEnd w:id="37"/>
      <w:bookmarkEnd w:id="38"/>
    </w:p>
    <w:p w:rsidR="00F52974" w:rsidRPr="00F52974" w:rsidRDefault="00F52974" w:rsidP="00F52974">
      <w:r w:rsidRPr="00BB7072">
        <w:rPr>
          <w:i/>
        </w:rPr>
        <w:t>Over</w:t>
      </w:r>
      <w:r w:rsidR="00841BE4" w:rsidRPr="00BB7072">
        <w:rPr>
          <w:i/>
        </w:rPr>
        <w:t>all quality of the submission.</w:t>
      </w:r>
      <w:r w:rsidR="00841BE4">
        <w:t xml:space="preserve"> </w:t>
      </w:r>
      <w:r w:rsidRPr="00F52974">
        <w:t>The nonclinical dossier was adequate, with appropriate studies generally being compliant</w:t>
      </w:r>
      <w:r w:rsidR="004F155B">
        <w:t xml:space="preserve"> with principles of Good Laboratory Practices (GLP)</w:t>
      </w:r>
      <w:r w:rsidRPr="00F52974">
        <w:t xml:space="preserve">, although there were some </w:t>
      </w:r>
      <w:r w:rsidR="00FD364B">
        <w:t xml:space="preserve">issues </w:t>
      </w:r>
      <w:r w:rsidRPr="00F52974">
        <w:t>as indicated</w:t>
      </w:r>
      <w:r w:rsidR="00196D16">
        <w:t xml:space="preserve"> below</w:t>
      </w:r>
      <w:r w:rsidRPr="00F52974">
        <w:t>.</w:t>
      </w:r>
      <w:r w:rsidR="00841BE4">
        <w:t xml:space="preserve"> </w:t>
      </w:r>
      <w:r w:rsidRPr="00F52974">
        <w:t xml:space="preserve">Submitted studies related only to the </w:t>
      </w:r>
      <w:r w:rsidR="005C1062">
        <w:t xml:space="preserve">2 </w:t>
      </w:r>
      <w:r w:rsidRPr="00F52974">
        <w:t xml:space="preserve">new chemical entities, </w:t>
      </w:r>
      <w:r w:rsidR="00BB2DAA">
        <w:t xml:space="preserve">EVG </w:t>
      </w:r>
      <w:r w:rsidRPr="00F52974">
        <w:t xml:space="preserve">and </w:t>
      </w:r>
      <w:r w:rsidR="00A2001C">
        <w:t>COBI</w:t>
      </w:r>
      <w:r w:rsidR="00196D16">
        <w:t>.</w:t>
      </w:r>
      <w:r w:rsidRPr="00F52974">
        <w:t xml:space="preserve"> </w:t>
      </w:r>
      <w:r w:rsidR="00196D16">
        <w:t>R</w:t>
      </w:r>
      <w:r w:rsidRPr="00F52974">
        <w:t xml:space="preserve">eferences to </w:t>
      </w:r>
      <w:r w:rsidR="00A2001C">
        <w:t>FTC</w:t>
      </w:r>
      <w:r w:rsidRPr="00F52974">
        <w:t xml:space="preserve"> and </w:t>
      </w:r>
      <w:r w:rsidR="00BB7072">
        <w:t>TDF</w:t>
      </w:r>
      <w:r w:rsidRPr="00F52974">
        <w:t xml:space="preserve"> in </w:t>
      </w:r>
      <w:r w:rsidR="00196D16">
        <w:t xml:space="preserve">the nonclinical information below </w:t>
      </w:r>
      <w:r w:rsidRPr="00F52974">
        <w:t xml:space="preserve">are from previous </w:t>
      </w:r>
      <w:r w:rsidR="00BB7072">
        <w:t xml:space="preserve">TGA </w:t>
      </w:r>
      <w:r w:rsidRPr="00F52974">
        <w:t xml:space="preserve">evaluation reports </w:t>
      </w:r>
      <w:r w:rsidR="00BB7072">
        <w:t xml:space="preserve">of these agents </w:t>
      </w:r>
      <w:r w:rsidRPr="00F52974">
        <w:t>and the E</w:t>
      </w:r>
      <w:r w:rsidR="00BB7072">
        <w:t xml:space="preserve">mtriva </w:t>
      </w:r>
      <w:r w:rsidRPr="00F52974">
        <w:t>and V</w:t>
      </w:r>
      <w:r w:rsidR="00BB7072">
        <w:t>iread PI documents</w:t>
      </w:r>
      <w:r w:rsidRPr="00F52974">
        <w:t>.</w:t>
      </w:r>
      <w:r w:rsidR="00841BE4">
        <w:t xml:space="preserve"> </w:t>
      </w:r>
    </w:p>
    <w:p w:rsidR="008E7846" w:rsidRDefault="008E7846" w:rsidP="008E7846">
      <w:pPr>
        <w:pStyle w:val="Heading3"/>
      </w:pPr>
      <w:bookmarkStart w:id="39" w:name="_Toc247691512"/>
      <w:bookmarkStart w:id="40" w:name="_Toc314842496"/>
      <w:bookmarkStart w:id="41" w:name="_Toc363456665"/>
      <w:r w:rsidRPr="00020030">
        <w:t>Pharmacology</w:t>
      </w:r>
      <w:bookmarkEnd w:id="39"/>
      <w:bookmarkEnd w:id="40"/>
      <w:bookmarkEnd w:id="41"/>
    </w:p>
    <w:p w:rsidR="00EA5CFE" w:rsidRPr="00EA5CFE" w:rsidRDefault="00EA5CFE" w:rsidP="00EA5CFE">
      <w:r w:rsidRPr="00BB7072">
        <w:rPr>
          <w:i/>
        </w:rPr>
        <w:t>Primary pharmacodynamics.</w:t>
      </w:r>
      <w:r w:rsidR="00841BE4">
        <w:t xml:space="preserve"> </w:t>
      </w:r>
      <w:r w:rsidRPr="00EA5CFE">
        <w:t xml:space="preserve">The integrase inhibitor </w:t>
      </w:r>
      <w:r w:rsidR="00BB2DAA">
        <w:t xml:space="preserve">EVG </w:t>
      </w:r>
      <w:r w:rsidRPr="00EA5CFE">
        <w:t xml:space="preserve">is a new chemical entity which showed potent anti-HIV-1 activity </w:t>
      </w:r>
      <w:r w:rsidR="00BB7072" w:rsidRPr="00BB7072">
        <w:rPr>
          <w:i/>
        </w:rPr>
        <w:t>in vitro</w:t>
      </w:r>
      <w:r w:rsidRPr="00EA5CFE">
        <w:t>.</w:t>
      </w:r>
      <w:r w:rsidR="00841BE4">
        <w:t xml:space="preserve"> </w:t>
      </w:r>
      <w:r w:rsidRPr="00EA5CFE">
        <w:t xml:space="preserve">Studies were included in </w:t>
      </w:r>
      <w:r w:rsidR="00BB7072">
        <w:t xml:space="preserve">the clinical part of the submission </w:t>
      </w:r>
      <w:r w:rsidRPr="00EA5CFE">
        <w:t xml:space="preserve">along with clinical anti-viral studies, but there were sufficient details in the virology summary to demonstrate its efficacy, with typical </w:t>
      </w:r>
      <w:r w:rsidR="00494B88" w:rsidRPr="00494B88">
        <w:t>concentration tha</w:t>
      </w:r>
      <w:r w:rsidR="00494B88">
        <w:t>t results in 50</w:t>
      </w:r>
      <w:r w:rsidR="00494B88" w:rsidRPr="00494B88">
        <w:t>% inhibition</w:t>
      </w:r>
      <w:r w:rsidR="00494B88">
        <w:t xml:space="preserve"> (</w:t>
      </w:r>
      <w:r w:rsidRPr="00EA5CFE">
        <w:t>IC</w:t>
      </w:r>
      <w:r w:rsidRPr="00BB7072">
        <w:rPr>
          <w:vertAlign w:val="subscript"/>
        </w:rPr>
        <w:t>50</w:t>
      </w:r>
      <w:r w:rsidR="00494B88" w:rsidRPr="00494B88">
        <w:t>)</w:t>
      </w:r>
      <w:r w:rsidRPr="00EA5CFE">
        <w:t xml:space="preserve"> values of</w:t>
      </w:r>
      <w:r w:rsidR="007C10EC" w:rsidRPr="007C10EC">
        <w:t xml:space="preserve"> approximately </w:t>
      </w:r>
      <w:r w:rsidRPr="00EA5CFE">
        <w:t>0.1-1.3 nM.</w:t>
      </w:r>
      <w:r w:rsidR="00841BE4">
        <w:t xml:space="preserve"> </w:t>
      </w:r>
      <w:r w:rsidRPr="00EA5CFE">
        <w:t>The main human metabolites M1 and M4 were also active, although less potent than the parent drug (</w:t>
      </w:r>
      <w:r w:rsidR="007C10EC">
        <w:t xml:space="preserve">approximately </w:t>
      </w:r>
      <w:r w:rsidR="00736D88">
        <w:t xml:space="preserve">7 to </w:t>
      </w:r>
      <w:r w:rsidRPr="00EA5CFE">
        <w:t>10</w:t>
      </w:r>
      <w:r w:rsidR="00173013">
        <w:t xml:space="preserve"> times </w:t>
      </w:r>
      <w:r w:rsidRPr="00EA5CFE">
        <w:t xml:space="preserve">in one study, in terms of </w:t>
      </w:r>
      <w:r w:rsidR="00BB7072" w:rsidRPr="00EA5CFE">
        <w:t>IC</w:t>
      </w:r>
      <w:r w:rsidR="00BB7072" w:rsidRPr="00BB7072">
        <w:rPr>
          <w:vertAlign w:val="subscript"/>
        </w:rPr>
        <w:t>50</w:t>
      </w:r>
      <w:r w:rsidRPr="00EA5CFE">
        <w:t>).</w:t>
      </w:r>
      <w:r w:rsidR="00841BE4">
        <w:t xml:space="preserve"> </w:t>
      </w:r>
      <w:r w:rsidRPr="00EA5CFE">
        <w:t xml:space="preserve">However, they probably made a minor contribution to anti-HIV-1 activity as their plasma concentrations were low compared with </w:t>
      </w:r>
      <w:r w:rsidR="00BB2DAA">
        <w:t xml:space="preserve">EVG </w:t>
      </w:r>
      <w:r w:rsidRPr="00EA5CFE">
        <w:t>(</w:t>
      </w:r>
      <w:r w:rsidR="00173013">
        <w:t xml:space="preserve">see </w:t>
      </w:r>
      <w:r w:rsidRPr="00173013">
        <w:rPr>
          <w:i/>
        </w:rPr>
        <w:t>Pharmacokinetics and relative drug exposures</w:t>
      </w:r>
      <w:r w:rsidR="00173013">
        <w:t>, below</w:t>
      </w:r>
      <w:r w:rsidRPr="00EA5CFE">
        <w:t>).</w:t>
      </w:r>
      <w:r w:rsidR="00841BE4">
        <w:t xml:space="preserve"> </w:t>
      </w:r>
      <w:r w:rsidRPr="00EA5CFE">
        <w:t xml:space="preserve">The other anti-HIV components of the proposed combination tablet, which are both </w:t>
      </w:r>
      <w:r w:rsidR="00173013">
        <w:t>RTIs</w:t>
      </w:r>
      <w:r w:rsidRPr="00EA5CFE">
        <w:t>, were less potent</w:t>
      </w:r>
      <w:r w:rsidR="00173013">
        <w:t>,</w:t>
      </w:r>
      <w:r w:rsidRPr="00EA5CFE">
        <w:t xml:space="preserve"> with corresponding values of 1.3-640 nM </w:t>
      </w:r>
      <w:r w:rsidR="00173013">
        <w:t xml:space="preserve">for </w:t>
      </w:r>
      <w:r w:rsidR="00A2001C">
        <w:t>FTC</w:t>
      </w:r>
      <w:r w:rsidR="00173013">
        <w:t xml:space="preserve"> </w:t>
      </w:r>
      <w:r w:rsidRPr="00EA5CFE">
        <w:t xml:space="preserve">and 0.07-8.5 µM </w:t>
      </w:r>
      <w:r w:rsidR="00173013">
        <w:t xml:space="preserve">for </w:t>
      </w:r>
      <w:r w:rsidRPr="00EA5CFE">
        <w:t>tenofovir.</w:t>
      </w:r>
      <w:r w:rsidR="00841BE4">
        <w:t xml:space="preserve"> </w:t>
      </w:r>
      <w:r w:rsidRPr="00EA5CFE">
        <w:t xml:space="preserve">As may be expected, development of resistance to </w:t>
      </w:r>
      <w:r w:rsidR="00BB2DAA">
        <w:t xml:space="preserve">EVG </w:t>
      </w:r>
      <w:r w:rsidRPr="00EA5CFE">
        <w:t xml:space="preserve">was demonstrated </w:t>
      </w:r>
      <w:r w:rsidR="00BB7072" w:rsidRPr="00BB7072">
        <w:rPr>
          <w:i/>
        </w:rPr>
        <w:t>in vitro</w:t>
      </w:r>
      <w:r w:rsidRPr="00EA5CFE">
        <w:t>, and was associated with single and multiple integrase gene mutations, including initially T66I with concentration-escalation, and E92Q and Q148R during breakthrough resistance to high concentrations.</w:t>
      </w:r>
      <w:r w:rsidR="00841BE4">
        <w:t xml:space="preserve"> </w:t>
      </w:r>
      <w:r w:rsidRPr="00EA5CFE">
        <w:t xml:space="preserve">Respective plasma </w:t>
      </w:r>
      <w:r w:rsidR="00BB2DAA">
        <w:t xml:space="preserve">EVG </w:t>
      </w:r>
      <w:r w:rsidRPr="00EA5CFE">
        <w:t xml:space="preserve">Cmax and </w:t>
      </w:r>
      <w:r w:rsidR="00173013">
        <w:t>minimum concentration (</w:t>
      </w:r>
      <w:r w:rsidRPr="00EA5CFE">
        <w:t>Cmin</w:t>
      </w:r>
      <w:r w:rsidR="00173013">
        <w:t>)</w:t>
      </w:r>
      <w:r w:rsidRPr="00EA5CFE">
        <w:t xml:space="preserve"> values in humans of 1.73 and 0.45 µg/mL are equivalent to</w:t>
      </w:r>
      <w:r w:rsidR="007C10EC" w:rsidRPr="007C10EC">
        <w:t xml:space="preserve"> approximately </w:t>
      </w:r>
      <w:r w:rsidRPr="00EA5CFE">
        <w:t xml:space="preserve">3.9 and 1 µM, </w:t>
      </w:r>
      <w:r w:rsidR="00173013">
        <w:t xml:space="preserve">that is, </w:t>
      </w:r>
      <w:r w:rsidRPr="00EA5CFE">
        <w:t xml:space="preserve">considerably higher than the anti-HIV-1 </w:t>
      </w:r>
      <w:r w:rsidR="00BB7072" w:rsidRPr="00EA5CFE">
        <w:t>IC</w:t>
      </w:r>
      <w:r w:rsidR="00BB7072" w:rsidRPr="00BB7072">
        <w:rPr>
          <w:vertAlign w:val="subscript"/>
        </w:rPr>
        <w:t>50</w:t>
      </w:r>
      <w:r w:rsidRPr="00EA5CFE">
        <w:t xml:space="preserve"> value.</w:t>
      </w:r>
      <w:r w:rsidR="00841BE4">
        <w:t xml:space="preserve"> </w:t>
      </w:r>
    </w:p>
    <w:p w:rsidR="00EA5CFE" w:rsidRPr="00EA5CFE" w:rsidRDefault="00EA5CFE" w:rsidP="00EA5CFE">
      <w:r w:rsidRPr="00EA5CFE">
        <w:t xml:space="preserve">Cobicistat, also a new chemical entity, is structurally related to </w:t>
      </w:r>
      <w:r w:rsidR="00CC292E">
        <w:t>RTV</w:t>
      </w:r>
      <w:r w:rsidRPr="00EA5CFE">
        <w:t xml:space="preserve"> but did not show any anti-HIV activity.</w:t>
      </w:r>
      <w:r w:rsidR="00841BE4">
        <w:t xml:space="preserve"> </w:t>
      </w:r>
      <w:r w:rsidR="00BB7072" w:rsidRPr="00BB7072">
        <w:rPr>
          <w:i/>
        </w:rPr>
        <w:t>In vitro</w:t>
      </w:r>
      <w:r w:rsidRPr="00EA5CFE">
        <w:t>, it demonstrated its desired activity of inhibiting human CYP3A activity (testosterone β-hydroxylase and midazolam 1’-hydroxylase), with an IC</w:t>
      </w:r>
      <w:r w:rsidRPr="00BB7072">
        <w:rPr>
          <w:vertAlign w:val="subscript"/>
        </w:rPr>
        <w:t>50</w:t>
      </w:r>
      <w:r w:rsidRPr="00EA5CFE">
        <w:t xml:space="preserve"> value of 0.15 nM which was similar to th</w:t>
      </w:r>
      <w:r w:rsidR="00E1241E">
        <w:t>at</w:t>
      </w:r>
      <w:r w:rsidRPr="00EA5CFE">
        <w:t xml:space="preserve"> for </w:t>
      </w:r>
      <w:r w:rsidR="00CC292E">
        <w:t>RTV</w:t>
      </w:r>
      <w:r w:rsidRPr="00EA5CFE">
        <w:t>.</w:t>
      </w:r>
      <w:r w:rsidR="00841BE4">
        <w:t xml:space="preserve"> </w:t>
      </w:r>
      <w:r w:rsidRPr="00EA5CFE">
        <w:t xml:space="preserve">This activity should increase exposure to </w:t>
      </w:r>
      <w:r w:rsidR="00BB2DAA">
        <w:t xml:space="preserve">EVG </w:t>
      </w:r>
      <w:r w:rsidRPr="00EA5CFE">
        <w:t>which is metabolised by this CYP isoform, but this was not demonstrated in the experimental species (</w:t>
      </w:r>
      <w:r w:rsidR="00173013">
        <w:t xml:space="preserve">see </w:t>
      </w:r>
      <w:r w:rsidRPr="00173013">
        <w:rPr>
          <w:i/>
        </w:rPr>
        <w:t>Pharmacokinetics and relative drug exposures</w:t>
      </w:r>
      <w:r w:rsidR="00173013">
        <w:t>, below</w:t>
      </w:r>
      <w:r w:rsidRPr="00EA5CFE">
        <w:t>). Hepatic micr</w:t>
      </w:r>
      <w:r w:rsidR="00E1241E">
        <w:t>osomal CYP3A from rats and dogs</w:t>
      </w:r>
      <w:r w:rsidRPr="00EA5CFE">
        <w:t xml:space="preserve"> as well as cynomolgus monkeys was</w:t>
      </w:r>
      <w:r w:rsidR="00E1241E">
        <w:t>,</w:t>
      </w:r>
      <w:r w:rsidRPr="00EA5CFE">
        <w:t xml:space="preserve"> however</w:t>
      </w:r>
      <w:r w:rsidR="00E1241E">
        <w:t>,</w:t>
      </w:r>
      <w:r w:rsidRPr="00EA5CFE">
        <w:t xml:space="preserve"> shown to be susceptible to </w:t>
      </w:r>
      <w:r w:rsidR="00A2001C">
        <w:t>COBI</w:t>
      </w:r>
      <w:r w:rsidRPr="00EA5CFE">
        <w:t xml:space="preserve"> (respective </w:t>
      </w:r>
      <w:r w:rsidR="00BB7072" w:rsidRPr="00EA5CFE">
        <w:t>IC</w:t>
      </w:r>
      <w:r w:rsidR="00BB7072" w:rsidRPr="00BB7072">
        <w:rPr>
          <w:vertAlign w:val="subscript"/>
        </w:rPr>
        <w:t>50</w:t>
      </w:r>
      <w:r w:rsidR="00173013">
        <w:t xml:space="preserve"> values of 0.17, 0.12 and 0.12 </w:t>
      </w:r>
      <w:r w:rsidRPr="00EA5CFE">
        <w:t>µM), although in contrast to human samples this inhibition was generally not mechanism-based.</w:t>
      </w:r>
      <w:r w:rsidR="00841BE4">
        <w:t xml:space="preserve"> </w:t>
      </w:r>
      <w:r w:rsidRPr="00EA5CFE">
        <w:t xml:space="preserve">The specificity of </w:t>
      </w:r>
      <w:r w:rsidR="00A2001C">
        <w:t>COBI</w:t>
      </w:r>
      <w:r w:rsidRPr="00EA5CFE">
        <w:t xml:space="preserve"> CYP inhibition was shown </w:t>
      </w:r>
      <w:r w:rsidR="00BB7072" w:rsidRPr="00BB7072">
        <w:rPr>
          <w:i/>
        </w:rPr>
        <w:t>in vitro</w:t>
      </w:r>
      <w:r w:rsidRPr="00EA5CFE">
        <w:t xml:space="preserve">, with the only other human CYP isoforms investigated for which </w:t>
      </w:r>
      <w:r w:rsidR="00A2001C">
        <w:t>COBI</w:t>
      </w:r>
      <w:r w:rsidRPr="00EA5CFE">
        <w:t xml:space="preserve"> </w:t>
      </w:r>
      <w:r w:rsidR="00BB7072" w:rsidRPr="00EA5CFE">
        <w:t>IC</w:t>
      </w:r>
      <w:r w:rsidR="00BB7072" w:rsidRPr="00BB7072">
        <w:rPr>
          <w:vertAlign w:val="subscript"/>
        </w:rPr>
        <w:t>50</w:t>
      </w:r>
      <w:r w:rsidRPr="00EA5CFE">
        <w:t xml:space="preserve"> values were &lt;25 µM were CYP2B6 </w:t>
      </w:r>
      <w:r w:rsidRPr="00EA5CFE">
        <w:lastRenderedPageBreak/>
        <w:t>and CYP2D6 (respectively 2.8 and 9.2 µM).</w:t>
      </w:r>
      <w:r w:rsidR="00841BE4">
        <w:t xml:space="preserve"> </w:t>
      </w:r>
      <w:r w:rsidRPr="00EA5CFE">
        <w:t xml:space="preserve">The demonstrated weak inhibition of </w:t>
      </w:r>
      <w:r w:rsidR="00700880">
        <w:t xml:space="preserve">the enzyme </w:t>
      </w:r>
      <w:r w:rsidR="00700880" w:rsidRPr="00700880">
        <w:t>uridine diphosphate glucuronosyltransferase</w:t>
      </w:r>
      <w:r w:rsidR="00700880" w:rsidRPr="00EA5CFE">
        <w:t xml:space="preserve"> </w:t>
      </w:r>
      <w:r w:rsidR="00700880">
        <w:t>(</w:t>
      </w:r>
      <w:r w:rsidRPr="00EA5CFE">
        <w:t>UGT1A1</w:t>
      </w:r>
      <w:r w:rsidR="00700880">
        <w:t>)</w:t>
      </w:r>
      <w:r w:rsidRPr="00EA5CFE">
        <w:t xml:space="preserve"> </w:t>
      </w:r>
      <w:r w:rsidR="00BB7072" w:rsidRPr="00BB7072">
        <w:rPr>
          <w:i/>
        </w:rPr>
        <w:t>in vitro</w:t>
      </w:r>
      <w:r w:rsidRPr="00EA5CFE">
        <w:t xml:space="preserve"> (</w:t>
      </w:r>
      <w:r w:rsidR="00BB7072" w:rsidRPr="00EA5CFE">
        <w:t>IC</w:t>
      </w:r>
      <w:r w:rsidR="00BB7072" w:rsidRPr="00BB7072">
        <w:rPr>
          <w:vertAlign w:val="subscript"/>
        </w:rPr>
        <w:t>50</w:t>
      </w:r>
      <w:r w:rsidRPr="00EA5CFE">
        <w:t xml:space="preserve"> o</w:t>
      </w:r>
      <w:r w:rsidR="00700880">
        <w:t>f 16.3 </w:t>
      </w:r>
      <w:r w:rsidRPr="00EA5CFE">
        <w:t xml:space="preserve">µM) is unlikely to affect drug interactions as the expected human </w:t>
      </w:r>
      <w:r w:rsidR="00A2001C">
        <w:t>COBI</w:t>
      </w:r>
      <w:r w:rsidRPr="00EA5CFE">
        <w:t xml:space="preserve"> Cmax is</w:t>
      </w:r>
      <w:r w:rsidR="007C10EC" w:rsidRPr="007C10EC">
        <w:t xml:space="preserve"> approximately </w:t>
      </w:r>
      <w:r w:rsidRPr="00EA5CFE">
        <w:t>1.5 µM (1.14 µg/mL).</w:t>
      </w:r>
      <w:r w:rsidR="00841BE4">
        <w:t xml:space="preserve"> </w:t>
      </w:r>
    </w:p>
    <w:p w:rsidR="00EA5CFE" w:rsidRPr="00EA5CFE" w:rsidRDefault="00EA5CFE" w:rsidP="00EA5CFE">
      <w:r w:rsidRPr="00700880">
        <w:rPr>
          <w:i/>
        </w:rPr>
        <w:t>Safety and secondary pharmacology.</w:t>
      </w:r>
      <w:r w:rsidR="00841BE4">
        <w:t xml:space="preserve"> </w:t>
      </w:r>
      <w:r w:rsidRPr="00EA5CFE">
        <w:t xml:space="preserve">Safety pharmacology investigations of </w:t>
      </w:r>
      <w:r w:rsidR="00BB2DAA">
        <w:t xml:space="preserve">EVG </w:t>
      </w:r>
      <w:r w:rsidRPr="00EA5CFE">
        <w:t>were adequate.</w:t>
      </w:r>
      <w:r w:rsidR="00841BE4">
        <w:t xml:space="preserve"> </w:t>
      </w:r>
      <w:r w:rsidRPr="00EA5CFE">
        <w:t xml:space="preserve">It elicited a small but significant inhibition </w:t>
      </w:r>
      <w:r w:rsidRPr="00700880">
        <w:t xml:space="preserve">of </w:t>
      </w:r>
      <w:r w:rsidR="00700880">
        <w:t xml:space="preserve">the </w:t>
      </w:r>
      <w:r w:rsidR="00700880" w:rsidRPr="00700880">
        <w:rPr>
          <w:i/>
        </w:rPr>
        <w:t>human Ether-à-go-go Related Gene</w:t>
      </w:r>
      <w:r w:rsidR="00700880" w:rsidRPr="00700880">
        <w:t xml:space="preserve"> </w:t>
      </w:r>
      <w:r w:rsidR="00700880">
        <w:t>(</w:t>
      </w:r>
      <w:r w:rsidRPr="00700880">
        <w:t>hERG</w:t>
      </w:r>
      <w:r w:rsidR="00700880">
        <w:t>)</w:t>
      </w:r>
      <w:r w:rsidRPr="00EA5CFE">
        <w:t xml:space="preserve"> current in stably transfected HEK293 </w:t>
      </w:r>
      <w:r w:rsidR="00700880">
        <w:t xml:space="preserve">(kidney) </w:t>
      </w:r>
      <w:r w:rsidRPr="00EA5CFE">
        <w:t xml:space="preserve">cells </w:t>
      </w:r>
      <w:r w:rsidR="00BB7072" w:rsidRPr="00BB7072">
        <w:rPr>
          <w:i/>
        </w:rPr>
        <w:t>in vitro</w:t>
      </w:r>
      <w:r w:rsidRPr="00EA5CFE">
        <w:t xml:space="preserve"> at the highest concentration tested of 10 µM (29.5%</w:t>
      </w:r>
      <w:r w:rsidR="00700880" w:rsidRPr="00700880">
        <w:t xml:space="preserve"> versus </w:t>
      </w:r>
      <w:r w:rsidRPr="00EA5CFE">
        <w:t>6.9% for the vehicle), but it had no adverse effect on action potentials in isolated guinea pig papillary muscles, although the maximum concentration tested was only 3 µM due to limited solubility.</w:t>
      </w:r>
      <w:r w:rsidR="00841BE4">
        <w:t xml:space="preserve"> </w:t>
      </w:r>
      <w:r w:rsidRPr="00EA5CFE">
        <w:t xml:space="preserve">This finding is probably of little toxicological significance, especially as the assay was conducted in protein-free medium and binding to plasma proteins is very high (99.3% for human plasma </w:t>
      </w:r>
      <w:r w:rsidR="00BB7072" w:rsidRPr="00BB7072">
        <w:rPr>
          <w:i/>
        </w:rPr>
        <w:t>in vitro</w:t>
      </w:r>
      <w:r w:rsidRPr="00EA5CFE">
        <w:t>).</w:t>
      </w:r>
      <w:r w:rsidR="00841BE4">
        <w:t xml:space="preserve"> </w:t>
      </w:r>
      <w:r w:rsidRPr="00EA5CFE">
        <w:t xml:space="preserve">In an </w:t>
      </w:r>
      <w:r w:rsidR="00BB7072" w:rsidRPr="00BB7072">
        <w:rPr>
          <w:i/>
        </w:rPr>
        <w:t>in vivo</w:t>
      </w:r>
      <w:r w:rsidRPr="00EA5CFE">
        <w:t xml:space="preserve"> study, </w:t>
      </w:r>
      <w:r w:rsidR="00700880">
        <w:t xml:space="preserve">oral (PO) </w:t>
      </w:r>
      <w:r w:rsidRPr="00EA5CFE">
        <w:t>doses up to 100 mg/kg did not elicit any cardiovascular effects, including QT interval prolongation.</w:t>
      </w:r>
      <w:r w:rsidR="00700880">
        <w:rPr>
          <w:rStyle w:val="FootnoteReference"/>
        </w:rPr>
        <w:footnoteReference w:id="3"/>
      </w:r>
      <w:r w:rsidR="00841BE4">
        <w:t xml:space="preserve"> </w:t>
      </w:r>
      <w:r w:rsidRPr="00EA5CFE">
        <w:t xml:space="preserve">Although quantitative </w:t>
      </w:r>
      <w:r w:rsidR="00700880">
        <w:t>electrocardiogram (</w:t>
      </w:r>
      <w:r w:rsidRPr="00EA5CFE">
        <w:t>ECG</w:t>
      </w:r>
      <w:r w:rsidR="00700880">
        <w:t>)</w:t>
      </w:r>
      <w:r w:rsidRPr="00EA5CFE">
        <w:t xml:space="preserve"> values were unaffected in the dog repeat-dose toxicity studies, measurements were conducted prior to dosing (</w:t>
      </w:r>
      <w:r w:rsidR="00700880">
        <w:t>that is,</w:t>
      </w:r>
      <w:r w:rsidRPr="00EA5CFE">
        <w:t xml:space="preserve"> 24 h post-dosing).</w:t>
      </w:r>
      <w:r w:rsidR="00841BE4">
        <w:t xml:space="preserve"> </w:t>
      </w:r>
      <w:r w:rsidRPr="00EA5CFE">
        <w:t xml:space="preserve">Other </w:t>
      </w:r>
      <w:r w:rsidR="00BB7072" w:rsidRPr="00BB7072">
        <w:rPr>
          <w:i/>
        </w:rPr>
        <w:t>in vivo</w:t>
      </w:r>
      <w:r w:rsidRPr="00EA5CFE">
        <w:t xml:space="preserve"> assessments failed to show any </w:t>
      </w:r>
      <w:r w:rsidR="00E1241E">
        <w:t>central nervous system (</w:t>
      </w:r>
      <w:r w:rsidRPr="00EA5CFE">
        <w:t>CNS</w:t>
      </w:r>
      <w:r w:rsidR="00E1241E">
        <w:t>)</w:t>
      </w:r>
      <w:r w:rsidRPr="00EA5CFE">
        <w:t xml:space="preserve">, renal or </w:t>
      </w:r>
      <w:r w:rsidR="00E1241E">
        <w:t>gastrointestinal (</w:t>
      </w:r>
      <w:r w:rsidRPr="00EA5CFE">
        <w:t>GI</w:t>
      </w:r>
      <w:r w:rsidR="00E1241E">
        <w:t>)</w:t>
      </w:r>
      <w:r w:rsidRPr="00EA5CFE">
        <w:t>-tract transport effects in rats, or respiratory effects in dogs, with PO doses of up to 2000 mg/kg (rats) or 100 mg/kg (dogs).</w:t>
      </w:r>
      <w:r w:rsidR="00841BE4">
        <w:t xml:space="preserve"> </w:t>
      </w:r>
    </w:p>
    <w:p w:rsidR="00EA5CFE" w:rsidRPr="00EA5CFE" w:rsidRDefault="00EA5CFE" w:rsidP="00EA5CFE">
      <w:r w:rsidRPr="00EA5CFE">
        <w:t xml:space="preserve">In contrast to </w:t>
      </w:r>
      <w:r w:rsidR="00E1241E">
        <w:t>EVG</w:t>
      </w:r>
      <w:r w:rsidRPr="00EA5CFE">
        <w:t xml:space="preserve">, </w:t>
      </w:r>
      <w:r w:rsidR="00A2001C">
        <w:t>COBI</w:t>
      </w:r>
      <w:r w:rsidRPr="00EA5CFE">
        <w:t xml:space="preserve"> elicited significant, concentration-dependent inhibition of hERG current in stably transfected HEK293 cells </w:t>
      </w:r>
      <w:r w:rsidR="00BB7072" w:rsidRPr="00BB7072">
        <w:rPr>
          <w:i/>
        </w:rPr>
        <w:t>in vitro</w:t>
      </w:r>
      <w:r w:rsidRPr="00EA5CFE">
        <w:t xml:space="preserve">, by 37-89% at 1-10 µM with a non-significant inhibition of 3.2% at 0.1 µM and an </w:t>
      </w:r>
      <w:r w:rsidR="00BB7072" w:rsidRPr="00EA5CFE">
        <w:t>IC</w:t>
      </w:r>
      <w:r w:rsidR="00BB7072" w:rsidRPr="00BB7072">
        <w:rPr>
          <w:vertAlign w:val="subscript"/>
        </w:rPr>
        <w:t>50</w:t>
      </w:r>
      <w:r w:rsidRPr="00EA5CFE">
        <w:t xml:space="preserve"> value of 1.8 µM.</w:t>
      </w:r>
      <w:r w:rsidR="00841BE4">
        <w:t xml:space="preserve"> </w:t>
      </w:r>
      <w:r w:rsidRPr="00EA5CFE">
        <w:t>Consistent results (</w:t>
      </w:r>
      <w:r w:rsidR="00BB7072" w:rsidRPr="00EA5CFE">
        <w:t>IC</w:t>
      </w:r>
      <w:r w:rsidR="00BB7072" w:rsidRPr="00BB7072">
        <w:rPr>
          <w:vertAlign w:val="subscript"/>
        </w:rPr>
        <w:t>50</w:t>
      </w:r>
      <w:r w:rsidRPr="00EA5CFE">
        <w:t xml:space="preserve"> value of 1.85 µM) were obtained in a subsequent, non-GLP study by the same laboratory (study TX-216-2015), in which the corresponding value for </w:t>
      </w:r>
      <w:r w:rsidR="00CC292E">
        <w:t>RTV</w:t>
      </w:r>
      <w:r w:rsidRPr="00EA5CFE">
        <w:t xml:space="preserve"> was 8.75 µM.</w:t>
      </w:r>
      <w:r w:rsidR="00841BE4">
        <w:t xml:space="preserve"> </w:t>
      </w:r>
      <w:r w:rsidRPr="00EA5CFE">
        <w:t xml:space="preserve">Inhibition of the hCav 1.2 </w:t>
      </w:r>
      <w:r w:rsidR="004F155B">
        <w:t xml:space="preserve">(calcium subtype) </w:t>
      </w:r>
      <w:r w:rsidRPr="00EA5CFE">
        <w:t>channel and</w:t>
      </w:r>
      <w:r w:rsidR="00E1241E">
        <w:t>,</w:t>
      </w:r>
      <w:r w:rsidRPr="00EA5CFE">
        <w:t xml:space="preserve"> at very high concentration</w:t>
      </w:r>
      <w:r w:rsidR="00E1241E">
        <w:t>s,</w:t>
      </w:r>
      <w:r w:rsidRPr="00EA5CFE">
        <w:t xml:space="preserve"> the hNav 1.5 </w:t>
      </w:r>
      <w:r w:rsidR="004F155B">
        <w:t xml:space="preserve">(sodium subtype) </w:t>
      </w:r>
      <w:r w:rsidRPr="00EA5CFE">
        <w:t xml:space="preserve">channel was also shown in this study, with respective </w:t>
      </w:r>
      <w:r w:rsidR="00BB7072" w:rsidRPr="00EA5CFE">
        <w:t>IC</w:t>
      </w:r>
      <w:r w:rsidR="00BB7072" w:rsidRPr="00BB7072">
        <w:rPr>
          <w:vertAlign w:val="subscript"/>
        </w:rPr>
        <w:t>50</w:t>
      </w:r>
      <w:r w:rsidRPr="00EA5CFE">
        <w:t xml:space="preserve"> values of</w:t>
      </w:r>
      <w:r w:rsidR="007C10EC" w:rsidRPr="007C10EC">
        <w:t xml:space="preserve"> approximately </w:t>
      </w:r>
      <w:r w:rsidRPr="00EA5CFE">
        <w:t>6 and 86 µM.</w:t>
      </w:r>
      <w:r w:rsidR="00841BE4">
        <w:t xml:space="preserve"> </w:t>
      </w:r>
      <w:r w:rsidRPr="00EA5CFE">
        <w:t xml:space="preserve">Together, these results suggest a potential for untoward cardiovascular effects, although (to a lesser extent than </w:t>
      </w:r>
      <w:r w:rsidR="00BB2DAA">
        <w:t xml:space="preserve">EVG </w:t>
      </w:r>
      <w:r w:rsidRPr="00EA5CFE">
        <w:t xml:space="preserve">) </w:t>
      </w:r>
      <w:r w:rsidR="00A2001C">
        <w:t>COBI</w:t>
      </w:r>
      <w:r w:rsidRPr="00EA5CFE">
        <w:t xml:space="preserve"> was highly plasma protein bound (93.7% at 1</w:t>
      </w:r>
      <w:r w:rsidR="00E1241E">
        <w:t xml:space="preserve"> </w:t>
      </w:r>
      <w:r w:rsidRPr="00EA5CFE">
        <w:t xml:space="preserve">µM in human plasma </w:t>
      </w:r>
      <w:r w:rsidR="00BB7072" w:rsidRPr="00BB7072">
        <w:rPr>
          <w:i/>
        </w:rPr>
        <w:t>in vitro</w:t>
      </w:r>
      <w:r w:rsidRPr="00EA5CFE">
        <w:t>).</w:t>
      </w:r>
      <w:r w:rsidR="00841BE4">
        <w:t xml:space="preserve"> </w:t>
      </w:r>
      <w:r w:rsidRPr="00EA5CFE">
        <w:t xml:space="preserve">The </w:t>
      </w:r>
      <w:r w:rsidR="00BB7072" w:rsidRPr="00BB7072">
        <w:rPr>
          <w:i/>
        </w:rPr>
        <w:t>in vitro</w:t>
      </w:r>
      <w:r w:rsidRPr="00EA5CFE">
        <w:t xml:space="preserve"> effect of </w:t>
      </w:r>
      <w:r w:rsidR="00A2001C">
        <w:t>COBI</w:t>
      </w:r>
      <w:r w:rsidR="004F155B">
        <w:t xml:space="preserve"> on electrophysiology/</w:t>
      </w:r>
      <w:r w:rsidRPr="00EA5CFE">
        <w:t>electrocardiography was investigated in 2 non-GLP studies (PC-216-2007 and PC-216-2009) by different laboratories, each in both paced and unpaced Langendorff isolated rabbit hearts.</w:t>
      </w:r>
      <w:r w:rsidR="00841BE4">
        <w:t xml:space="preserve"> </w:t>
      </w:r>
      <w:r w:rsidRPr="00EA5CFE">
        <w:t xml:space="preserve">Consistent findings in both studies were a prolongation of the PR </w:t>
      </w:r>
      <w:r w:rsidR="004F155B">
        <w:t xml:space="preserve">(electrical wave) </w:t>
      </w:r>
      <w:r w:rsidRPr="00EA5CFE">
        <w:t xml:space="preserve">interval and a negative inotropic effect (reductions in </w:t>
      </w:r>
      <w:r w:rsidR="004F155B">
        <w:t>left ventricular diastolic pressure (</w:t>
      </w:r>
      <w:r w:rsidRPr="00EA5CFE">
        <w:t>LVDP</w:t>
      </w:r>
      <w:r w:rsidR="004F155B">
        <w:t xml:space="preserve">) and ventricular performance </w:t>
      </w:r>
      <w:r w:rsidR="00C10967">
        <w:t>measures</w:t>
      </w:r>
      <w:r w:rsidRPr="00EA5CFE">
        <w:t>), but despite the clear inhibition of hERG current observed above, QT interval prolongation was not observed.</w:t>
      </w:r>
      <w:r w:rsidR="00841BE4">
        <w:t xml:space="preserve"> </w:t>
      </w:r>
      <w:r w:rsidRPr="00EA5CFE">
        <w:t>In fact, a reduction in QT interval was observed in paced hearts in study PC-216-2007.</w:t>
      </w:r>
      <w:r w:rsidR="00841BE4">
        <w:t xml:space="preserve"> </w:t>
      </w:r>
    </w:p>
    <w:p w:rsidR="00EA5CFE" w:rsidRPr="00EA5CFE" w:rsidRDefault="00EA5CFE" w:rsidP="00EA5CFE">
      <w:r w:rsidRPr="00EA5CFE">
        <w:t xml:space="preserve">In an </w:t>
      </w:r>
      <w:r w:rsidR="00BB7072" w:rsidRPr="00BB7072">
        <w:rPr>
          <w:i/>
        </w:rPr>
        <w:t>in vivo</w:t>
      </w:r>
      <w:r w:rsidRPr="00EA5CFE">
        <w:t xml:space="preserve"> study in dogs, however, significant increases in QT interval were observed, mainly at a dose of 45 mg/kg PO which resulted in a plasma 1 h drug concentration of</w:t>
      </w:r>
      <w:r w:rsidR="007C10EC" w:rsidRPr="007C10EC">
        <w:t xml:space="preserve"> approximately </w:t>
      </w:r>
      <w:r w:rsidRPr="00EA5CFE">
        <w:t xml:space="preserve">6 µg/mL, although changes were minor (10% for QT, &lt;4% for </w:t>
      </w:r>
      <w:r w:rsidR="004F155B">
        <w:t xml:space="preserve">corrected </w:t>
      </w:r>
      <w:r w:rsidRPr="00EA5CFE">
        <w:t>QT</w:t>
      </w:r>
      <w:r w:rsidR="004F155B">
        <w:t xml:space="preserve"> (QT</w:t>
      </w:r>
      <w:r w:rsidRPr="00EA5CFE">
        <w:t>c</w:t>
      </w:r>
      <w:r w:rsidR="004F155B">
        <w:t>)</w:t>
      </w:r>
      <w:r w:rsidRPr="00EA5CFE">
        <w:t>) and were largest towards the end of the 24 h measurement period.</w:t>
      </w:r>
      <w:r w:rsidR="00841BE4">
        <w:t xml:space="preserve"> </w:t>
      </w:r>
      <w:r w:rsidRPr="00EA5CFE">
        <w:t xml:space="preserve">Small increases were also seen for PR intervals, which were also apparent in a 4 week dog toxicity study using the same doses (measurements were at 1-2 h post-dosing), but only in females on one of 2 measurement days (day 3), while increased RR </w:t>
      </w:r>
      <w:r w:rsidR="00E1241E">
        <w:t xml:space="preserve">(electrical wave) </w:t>
      </w:r>
      <w:r w:rsidRPr="00EA5CFE">
        <w:t>intervals were seen in males only on day 22.</w:t>
      </w:r>
      <w:r w:rsidR="00841BE4">
        <w:t xml:space="preserve"> </w:t>
      </w:r>
      <w:r w:rsidRPr="00EA5CFE">
        <w:t xml:space="preserve">QT and QTc were unaffected by treatment in this study. There were no ECG findings in a one week toxicity study in which very high lethal doses were examined (50, 125, 250 mg/kg/day), although surviving animal numbers were small, </w:t>
      </w:r>
      <w:r w:rsidRPr="00EA5CFE">
        <w:lastRenderedPageBreak/>
        <w:t xml:space="preserve">or in the 39 week study in which treatment achieved </w:t>
      </w:r>
      <w:r w:rsidR="00A2001C">
        <w:t>COBI</w:t>
      </w:r>
      <w:r w:rsidRPr="00EA5CFE">
        <w:t xml:space="preserve"> exposure ratios of &gt;5.</w:t>
      </w:r>
      <w:r w:rsidR="00841BE4">
        <w:t xml:space="preserve"> </w:t>
      </w:r>
      <w:r w:rsidRPr="00EA5CFE">
        <w:t>Despite the findings relating to hERG currents, it appears that the potential for untoward cardiovascular effects with the proposed dose is low.</w:t>
      </w:r>
      <w:r w:rsidR="00841BE4">
        <w:t xml:space="preserve"> </w:t>
      </w:r>
      <w:r w:rsidRPr="00EA5CFE">
        <w:t xml:space="preserve">A modest increase in PR interval was seen in a clinical study requested by the FDA to investigate pro-arrhythmic potential (GS-US-216-0107) but this was not considered clinically significant, and apparently neither </w:t>
      </w:r>
      <w:r w:rsidR="00BB2DAA">
        <w:t xml:space="preserve">EVG </w:t>
      </w:r>
      <w:r w:rsidRPr="00EA5CFE">
        <w:t xml:space="preserve">or </w:t>
      </w:r>
      <w:r w:rsidR="00A2001C">
        <w:t>COBI</w:t>
      </w:r>
      <w:r w:rsidRPr="00EA5CFE">
        <w:t xml:space="preserve"> elicited significant ECG changes (</w:t>
      </w:r>
      <w:r w:rsidR="00E1241E">
        <w:t>according to the sponsor’s c</w:t>
      </w:r>
      <w:r w:rsidRPr="00EA5CFE">
        <w:t xml:space="preserve">linical </w:t>
      </w:r>
      <w:r w:rsidR="00E1241E">
        <w:t>o</w:t>
      </w:r>
      <w:r w:rsidRPr="00EA5CFE">
        <w:t>verview).</w:t>
      </w:r>
      <w:r w:rsidR="00841BE4">
        <w:t xml:space="preserve"> </w:t>
      </w:r>
    </w:p>
    <w:p w:rsidR="00EA5CFE" w:rsidRPr="00EA5CFE" w:rsidRDefault="00EA5CFE" w:rsidP="00EA5CFE">
      <w:r w:rsidRPr="00EA5CFE">
        <w:t>Other safety pharmacology studies, at doses up to 500 mg/kg in rats, showed no effect on respiratory values, but did show reductions in body temperature and reduced locomotor activity, with a no-effect dose of 50 mg/kg.</w:t>
      </w:r>
      <w:r w:rsidR="00841BE4">
        <w:t xml:space="preserve"> </w:t>
      </w:r>
      <w:r w:rsidRPr="00EA5CFE">
        <w:t xml:space="preserve">Studies of each of the 3 areas examined (CNS, cardiovascular, respiratory) were also conducted with GS-8374, an investigational HIV-1 protease inhibitor, together with a fixed </w:t>
      </w:r>
      <w:r w:rsidR="00A2001C">
        <w:t>COBI</w:t>
      </w:r>
      <w:r w:rsidRPr="00EA5CFE">
        <w:t xml:space="preserve"> dose, but only the cardiovascular study included a </w:t>
      </w:r>
      <w:r w:rsidR="00A2001C">
        <w:t>COBI</w:t>
      </w:r>
      <w:r w:rsidRPr="00EA5CFE">
        <w:t xml:space="preserve"> alone group (15 mg/kg).</w:t>
      </w:r>
      <w:r w:rsidR="00841BE4">
        <w:t xml:space="preserve"> </w:t>
      </w:r>
      <w:r w:rsidRPr="00EA5CFE">
        <w:t xml:space="preserve">There were, however, no studies with </w:t>
      </w:r>
      <w:r w:rsidR="00A2001C">
        <w:t>COBI</w:t>
      </w:r>
      <w:r w:rsidRPr="00EA5CFE">
        <w:t xml:space="preserve"> plus </w:t>
      </w:r>
      <w:r w:rsidR="00BB2DAA">
        <w:t xml:space="preserve">EVG </w:t>
      </w:r>
      <w:r w:rsidRPr="00EA5CFE">
        <w:t xml:space="preserve">and some combination investigations would be warranted as both agents inhibited hERG currents, </w:t>
      </w:r>
      <w:r w:rsidRPr="00E1241E">
        <w:rPr>
          <w:i/>
        </w:rPr>
        <w:t>albeit</w:t>
      </w:r>
      <w:r w:rsidRPr="00EA5CFE">
        <w:t xml:space="preserve"> with different potencies.</w:t>
      </w:r>
      <w:r w:rsidR="00841BE4">
        <w:t xml:space="preserve"> </w:t>
      </w:r>
      <w:r w:rsidRPr="00EA5CFE">
        <w:t xml:space="preserve">Unlike </w:t>
      </w:r>
      <w:r w:rsidR="00E1241E">
        <w:t>EVG</w:t>
      </w:r>
      <w:r w:rsidRPr="00EA5CFE">
        <w:t xml:space="preserve">, effects of </w:t>
      </w:r>
      <w:r w:rsidR="00A2001C">
        <w:t>COBI</w:t>
      </w:r>
      <w:r w:rsidRPr="00EA5CFE">
        <w:t xml:space="preserve"> on renal function were not examined, although urinary volume was increased in the rat toxicity studies, a finding of unknown cause and relevance (</w:t>
      </w:r>
      <w:r w:rsidR="00E1241E">
        <w:t xml:space="preserve">see </w:t>
      </w:r>
      <w:r w:rsidRPr="00E1241E">
        <w:rPr>
          <w:i/>
        </w:rPr>
        <w:t>General toxicity</w:t>
      </w:r>
      <w:r w:rsidR="00E1241E">
        <w:t>, below</w:t>
      </w:r>
      <w:r w:rsidRPr="00EA5CFE">
        <w:t>).</w:t>
      </w:r>
      <w:r w:rsidR="00841BE4">
        <w:t xml:space="preserve"> </w:t>
      </w:r>
    </w:p>
    <w:p w:rsidR="00EA5CFE" w:rsidRPr="00EA5CFE" w:rsidRDefault="00EA5CFE" w:rsidP="00EA5CFE">
      <w:r w:rsidRPr="00EA5CFE">
        <w:t xml:space="preserve">Emtricitabine and </w:t>
      </w:r>
      <w:r w:rsidR="00BB7072">
        <w:t>TDF</w:t>
      </w:r>
      <w:r w:rsidRPr="00EA5CFE">
        <w:t xml:space="preserve"> apparently did not elicit cardiovascular changes in dogs, although the study with the former was not GLP-compliant and did not include full data. Emtricitabine also was without effect on renal function in rats, but </w:t>
      </w:r>
      <w:r w:rsidR="00BB7072">
        <w:t>TDF</w:t>
      </w:r>
      <w:r w:rsidRPr="00EA5CFE">
        <w:t xml:space="preserve"> elicited reductions in urinary volume and excretion of electrolytes (but not urea or creatinine).</w:t>
      </w:r>
      <w:r w:rsidR="00841BE4">
        <w:t xml:space="preserve"> </w:t>
      </w:r>
      <w:r w:rsidRPr="00EA5CFE">
        <w:t>As discussed below (</w:t>
      </w:r>
      <w:r w:rsidR="00E1241E">
        <w:t xml:space="preserve">see </w:t>
      </w:r>
      <w:r w:rsidRPr="00E1241E">
        <w:rPr>
          <w:i/>
        </w:rPr>
        <w:t>General toxicity</w:t>
      </w:r>
      <w:r w:rsidRPr="00EA5CFE">
        <w:t>), it was also associated with renal histological changes.</w:t>
      </w:r>
      <w:r w:rsidR="00841BE4">
        <w:t xml:space="preserve"> </w:t>
      </w:r>
    </w:p>
    <w:p w:rsidR="00EA5CFE" w:rsidRPr="00EA5CFE" w:rsidRDefault="00EA5CFE" w:rsidP="00EA5CFE">
      <w:r w:rsidRPr="00EA5CFE">
        <w:t xml:space="preserve">Notable findings in the secondary pharmacology studies of </w:t>
      </w:r>
      <w:r w:rsidR="00BB2DAA">
        <w:t xml:space="preserve">EVG </w:t>
      </w:r>
      <w:r w:rsidRPr="00EA5CFE">
        <w:t xml:space="preserve">were the lack of inhibition of topoisomerases, effect on mitochondrial DNA </w:t>
      </w:r>
      <w:r w:rsidR="00BB7072" w:rsidRPr="00BB7072">
        <w:rPr>
          <w:i/>
        </w:rPr>
        <w:t>in vitro</w:t>
      </w:r>
      <w:r w:rsidRPr="00EA5CFE">
        <w:t xml:space="preserve"> or convulsogenic interaction with </w:t>
      </w:r>
      <w:r w:rsidR="00E1241E">
        <w:t>non steroidal anti inflammatory drug</w:t>
      </w:r>
      <w:r w:rsidR="00CC6848">
        <w:t>s (</w:t>
      </w:r>
      <w:r w:rsidRPr="00EA5CFE">
        <w:t>NSAID</w:t>
      </w:r>
      <w:r w:rsidR="00CC6848">
        <w:t>s)</w:t>
      </w:r>
      <w:r w:rsidRPr="00EA5CFE">
        <w:t xml:space="preserve"> in mice.</w:t>
      </w:r>
      <w:r w:rsidR="00841BE4">
        <w:t xml:space="preserve"> </w:t>
      </w:r>
      <w:r w:rsidRPr="00EA5CFE">
        <w:t xml:space="preserve">Cobicistat and its E1, E3 and E5 metabolites were shown not to inhibit HIV-1 </w:t>
      </w:r>
      <w:r w:rsidR="00BB7072" w:rsidRPr="00BB7072">
        <w:rPr>
          <w:i/>
        </w:rPr>
        <w:t>in vitro</w:t>
      </w:r>
      <w:r w:rsidRPr="00EA5CFE">
        <w:t>, while the parent drug had little or no effect on lipid accumulation and glucose uptake by adipocytes.</w:t>
      </w:r>
      <w:r w:rsidR="00841BE4">
        <w:t xml:space="preserve"> </w:t>
      </w:r>
    </w:p>
    <w:p w:rsidR="008E7846" w:rsidRDefault="008E7846" w:rsidP="008E7846">
      <w:pPr>
        <w:pStyle w:val="Heading3"/>
      </w:pPr>
      <w:bookmarkStart w:id="42" w:name="_Toc247691513"/>
      <w:bookmarkStart w:id="43" w:name="_Toc314842497"/>
      <w:bookmarkStart w:id="44" w:name="_Toc363456666"/>
      <w:r>
        <w:t>Pharmacokinetics</w:t>
      </w:r>
      <w:bookmarkEnd w:id="42"/>
      <w:bookmarkEnd w:id="43"/>
      <w:bookmarkEnd w:id="44"/>
    </w:p>
    <w:p w:rsidR="00EA5CFE" w:rsidRDefault="00EA5CFE" w:rsidP="00266218">
      <w:r w:rsidRPr="00CC6848">
        <w:rPr>
          <w:i/>
        </w:rPr>
        <w:t>Pharmacokinetics and relative drug exposures.</w:t>
      </w:r>
      <w:r w:rsidR="00841BE4">
        <w:t xml:space="preserve"> </w:t>
      </w:r>
      <w:r w:rsidRPr="00EA5CFE">
        <w:t xml:space="preserve">Elvitegravir was rapidly cleared from plasma following single </w:t>
      </w:r>
      <w:r w:rsidR="00CC6848">
        <w:t>intravenous (</w:t>
      </w:r>
      <w:r w:rsidRPr="00EA5CFE">
        <w:t>IV</w:t>
      </w:r>
      <w:r w:rsidR="00CC6848">
        <w:t>)</w:t>
      </w:r>
      <w:r w:rsidRPr="00EA5CFE">
        <w:t xml:space="preserve"> administratio</w:t>
      </w:r>
      <w:r w:rsidR="00CC6848">
        <w:t>n to male rats or dogs (0.5-1.0 </w:t>
      </w:r>
      <w:r w:rsidRPr="00EA5CFE">
        <w:t xml:space="preserve">L/h/kg), with associated short </w:t>
      </w:r>
      <w:r w:rsidR="00CC6848">
        <w:t>half life (</w:t>
      </w:r>
      <w:r w:rsidRPr="00EA5CFE">
        <w:t>t</w:t>
      </w:r>
      <w:r w:rsidR="00CC6848">
        <w:t>½</w:t>
      </w:r>
      <w:r w:rsidRPr="00EA5CFE">
        <w:t>β</w:t>
      </w:r>
      <w:r w:rsidR="00CC6848">
        <w:t>)</w:t>
      </w:r>
      <w:r w:rsidRPr="00EA5CFE">
        <w:t xml:space="preserve"> values of 1.5-1.6 h, which were only slightly shorter than for radioactivity </w:t>
      </w:r>
      <w:r w:rsidR="00802AA0">
        <w:t xml:space="preserve">(carbon 14; </w:t>
      </w:r>
      <w:r w:rsidR="00802AA0">
        <w:rPr>
          <w:vertAlign w:val="superscript"/>
        </w:rPr>
        <w:t>14</w:t>
      </w:r>
      <w:r w:rsidR="00802AA0">
        <w:t xml:space="preserve">C) </w:t>
      </w:r>
      <w:r w:rsidRPr="00EA5CFE">
        <w:t xml:space="preserve">following administration of </w:t>
      </w:r>
      <w:r w:rsidRPr="00CC6848">
        <w:rPr>
          <w:vertAlign w:val="superscript"/>
        </w:rPr>
        <w:t>14</w:t>
      </w:r>
      <w:r w:rsidRPr="00EA5CFE">
        <w:t>C</w:t>
      </w:r>
      <w:r w:rsidR="00802AA0">
        <w:t xml:space="preserve"> </w:t>
      </w:r>
      <w:r w:rsidRPr="00EA5CFE">
        <w:t>labelled drug.</w:t>
      </w:r>
      <w:r w:rsidR="00841BE4">
        <w:t xml:space="preserve"> </w:t>
      </w:r>
      <w:r w:rsidRPr="00EA5CFE">
        <w:t>There were apparently no IV data in humans for comparison, although a t</w:t>
      </w:r>
      <w:r w:rsidR="00CC6848">
        <w:t xml:space="preserve">½ </w:t>
      </w:r>
      <w:r w:rsidRPr="00EA5CFE">
        <w:t xml:space="preserve">value of 3.1 h was quoted in one study following single PO administration (GS-US-183-0102, </w:t>
      </w:r>
      <w:r w:rsidR="00CC6848">
        <w:t xml:space="preserve">in the sponsor’s </w:t>
      </w:r>
      <w:r w:rsidRPr="00EA5CFE">
        <w:t>summary of clinical pharmacology studies).</w:t>
      </w:r>
      <w:r w:rsidR="00841BE4">
        <w:t xml:space="preserve"> </w:t>
      </w:r>
      <w:r w:rsidRPr="00EA5CFE">
        <w:t xml:space="preserve">Plasma clearance of </w:t>
      </w:r>
      <w:r w:rsidR="00A2001C">
        <w:t>COBI</w:t>
      </w:r>
      <w:r w:rsidRPr="00EA5CFE">
        <w:t xml:space="preserve"> was even faster in male rats and dogs (respectively 3.6 and 2.2 L/h/kg), and also in male cynomolgus monkeys (1.4 L/h/kg) which were not a species used for toxicity testing.</w:t>
      </w:r>
      <w:r w:rsidR="00841BE4">
        <w:t xml:space="preserve"> </w:t>
      </w:r>
      <w:r w:rsidRPr="00EA5CFE">
        <w:t>Drug exposures achieved in the main</w:t>
      </w:r>
      <w:r w:rsidR="00841BE4">
        <w:t xml:space="preserve"> </w:t>
      </w:r>
      <w:r w:rsidRPr="00EA5CFE">
        <w:t>toxicity studies are tabulated below</w:t>
      </w:r>
      <w:r w:rsidR="00A51BB4">
        <w:t xml:space="preserve"> (Table 2)</w:t>
      </w:r>
      <w:r w:rsidRPr="00EA5CFE">
        <w:t>.</w:t>
      </w:r>
      <w:r w:rsidR="00841BE4">
        <w:t xml:space="preserve"> </w:t>
      </w:r>
    </w:p>
    <w:p w:rsidR="00802AA0" w:rsidRPr="00EA5CFE" w:rsidRDefault="00802AA0" w:rsidP="006A4D4A">
      <w:pPr>
        <w:pStyle w:val="TableTitle"/>
      </w:pPr>
      <w:r>
        <w:t xml:space="preserve">Table </w:t>
      </w:r>
      <w:r w:rsidR="00A51BB4">
        <w:t>2</w:t>
      </w:r>
      <w:r>
        <w:t xml:space="preserve">. </w:t>
      </w:r>
      <w:r w:rsidR="003E7823">
        <w:t>Drug e</w:t>
      </w:r>
      <w:r>
        <w:t xml:space="preserve">xposure </w:t>
      </w:r>
      <w:r w:rsidR="003E7823">
        <w:t>in animal toxicology studies</w:t>
      </w:r>
    </w:p>
    <w:tbl>
      <w:tblPr>
        <w:tblStyle w:val="TableTGAblue"/>
        <w:tblW w:w="8647" w:type="dxa"/>
        <w:tblLayout w:type="fixed"/>
        <w:tblLook w:val="04A0"/>
      </w:tblPr>
      <w:tblGrid>
        <w:gridCol w:w="851"/>
        <w:gridCol w:w="958"/>
        <w:gridCol w:w="34"/>
        <w:gridCol w:w="1701"/>
        <w:gridCol w:w="1809"/>
        <w:gridCol w:w="176"/>
        <w:gridCol w:w="1525"/>
        <w:gridCol w:w="176"/>
        <w:gridCol w:w="1417"/>
      </w:tblGrid>
      <w:tr w:rsidR="00EA5CFE" w:rsidRPr="00164E1F" w:rsidTr="00EF018F">
        <w:trPr>
          <w:cnfStyle w:val="100000000000"/>
          <w:cantSplit/>
          <w:trHeight w:val="637"/>
          <w:tblHeader/>
        </w:trPr>
        <w:tc>
          <w:tcPr>
            <w:tcW w:w="851" w:type="dxa"/>
            <w:hideMark/>
          </w:tcPr>
          <w:p w:rsidR="00EA5CFE" w:rsidRPr="00EF018F" w:rsidRDefault="00EA5CFE" w:rsidP="00EF018F">
            <w:pPr>
              <w:keepNext/>
              <w:spacing w:before="0" w:after="0" w:line="240" w:lineRule="auto"/>
              <w:ind w:left="0" w:right="0"/>
              <w:rPr>
                <w:b w:val="0"/>
                <w:sz w:val="18"/>
                <w:szCs w:val="18"/>
              </w:rPr>
            </w:pPr>
            <w:r w:rsidRPr="00EF018F">
              <w:rPr>
                <w:b w:val="0"/>
                <w:sz w:val="18"/>
                <w:szCs w:val="18"/>
              </w:rPr>
              <w:t>Species</w:t>
            </w:r>
          </w:p>
        </w:tc>
        <w:tc>
          <w:tcPr>
            <w:tcW w:w="992" w:type="dxa"/>
            <w:gridSpan w:val="2"/>
            <w:hideMark/>
          </w:tcPr>
          <w:p w:rsidR="00EA5CFE" w:rsidRPr="00EF018F" w:rsidRDefault="00EA5CFE" w:rsidP="00EF018F">
            <w:pPr>
              <w:keepNext/>
              <w:spacing w:before="0" w:after="0" w:line="240" w:lineRule="auto"/>
              <w:ind w:left="0" w:right="0"/>
              <w:rPr>
                <w:b w:val="0"/>
                <w:sz w:val="18"/>
                <w:szCs w:val="18"/>
              </w:rPr>
            </w:pPr>
            <w:r w:rsidRPr="00EF018F">
              <w:rPr>
                <w:b w:val="0"/>
                <w:sz w:val="18"/>
                <w:szCs w:val="18"/>
              </w:rPr>
              <w:t>Duration (weeks)</w:t>
            </w:r>
          </w:p>
        </w:tc>
        <w:tc>
          <w:tcPr>
            <w:tcW w:w="1701" w:type="dxa"/>
            <w:hideMark/>
          </w:tcPr>
          <w:p w:rsidR="00EA5CFE" w:rsidRPr="00EF018F" w:rsidRDefault="00EA5CFE" w:rsidP="00EF018F">
            <w:pPr>
              <w:keepNext/>
              <w:spacing w:before="0" w:after="0" w:line="240" w:lineRule="auto"/>
              <w:ind w:left="0" w:right="0"/>
              <w:rPr>
                <w:b w:val="0"/>
                <w:sz w:val="18"/>
                <w:szCs w:val="18"/>
              </w:rPr>
            </w:pPr>
            <w:r w:rsidRPr="00EF018F">
              <w:rPr>
                <w:b w:val="0"/>
                <w:sz w:val="18"/>
                <w:szCs w:val="18"/>
              </w:rPr>
              <w:t>Dose (mg/kg/ day PO)</w:t>
            </w:r>
          </w:p>
        </w:tc>
        <w:tc>
          <w:tcPr>
            <w:tcW w:w="1985" w:type="dxa"/>
            <w:gridSpan w:val="2"/>
            <w:hideMark/>
          </w:tcPr>
          <w:p w:rsidR="00EA5CFE" w:rsidRPr="00EF018F" w:rsidRDefault="00EA5CFE" w:rsidP="00EF018F">
            <w:pPr>
              <w:keepNext/>
              <w:spacing w:before="0" w:after="0" w:line="240" w:lineRule="auto"/>
              <w:ind w:left="0" w:right="0"/>
              <w:rPr>
                <w:b w:val="0"/>
                <w:sz w:val="18"/>
                <w:szCs w:val="18"/>
              </w:rPr>
            </w:pPr>
            <w:r w:rsidRPr="00EF018F">
              <w:rPr>
                <w:b w:val="0"/>
                <w:sz w:val="18"/>
                <w:szCs w:val="18"/>
              </w:rPr>
              <w:t>AUC</w:t>
            </w:r>
            <w:r w:rsidRPr="00EF018F">
              <w:rPr>
                <w:b w:val="0"/>
                <w:sz w:val="18"/>
                <w:szCs w:val="18"/>
                <w:vertAlign w:val="subscript"/>
              </w:rPr>
              <w:t>0-t</w:t>
            </w:r>
            <w:r w:rsidRPr="00EF018F">
              <w:rPr>
                <w:b w:val="0"/>
                <w:sz w:val="18"/>
                <w:szCs w:val="18"/>
              </w:rPr>
              <w:t xml:space="preserve"> (μg.h/mL)</w:t>
            </w:r>
            <w:r w:rsidRPr="00EF018F">
              <w:rPr>
                <w:b w:val="0"/>
                <w:sz w:val="18"/>
                <w:szCs w:val="18"/>
                <w:vertAlign w:val="superscript"/>
              </w:rPr>
              <w:t>†</w:t>
            </w:r>
            <w:r w:rsidRPr="00EF018F">
              <w:rPr>
                <w:b w:val="0"/>
                <w:sz w:val="18"/>
                <w:szCs w:val="18"/>
              </w:rPr>
              <w:t>, sample day/week</w:t>
            </w:r>
          </w:p>
        </w:tc>
        <w:tc>
          <w:tcPr>
            <w:tcW w:w="1701" w:type="dxa"/>
            <w:gridSpan w:val="2"/>
            <w:hideMark/>
          </w:tcPr>
          <w:p w:rsidR="00EA5CFE" w:rsidRPr="00EF018F" w:rsidRDefault="00EA5CFE" w:rsidP="00EF018F">
            <w:pPr>
              <w:keepNext/>
              <w:spacing w:before="0" w:after="0" w:line="240" w:lineRule="auto"/>
              <w:ind w:left="0" w:right="0"/>
              <w:rPr>
                <w:b w:val="0"/>
                <w:sz w:val="18"/>
                <w:szCs w:val="18"/>
              </w:rPr>
            </w:pPr>
            <w:r w:rsidRPr="00EF018F">
              <w:rPr>
                <w:b w:val="0"/>
                <w:sz w:val="18"/>
                <w:szCs w:val="18"/>
              </w:rPr>
              <w:t>Cmax (μg/mL)^</w:t>
            </w:r>
          </w:p>
        </w:tc>
        <w:tc>
          <w:tcPr>
            <w:tcW w:w="1417" w:type="dxa"/>
            <w:hideMark/>
          </w:tcPr>
          <w:p w:rsidR="00EA5CFE" w:rsidRPr="00EF018F" w:rsidRDefault="00EA5CFE" w:rsidP="00EF018F">
            <w:pPr>
              <w:keepNext/>
              <w:spacing w:before="0" w:after="0" w:line="240" w:lineRule="auto"/>
              <w:ind w:left="0" w:right="0"/>
              <w:rPr>
                <w:b w:val="0"/>
                <w:sz w:val="18"/>
                <w:szCs w:val="18"/>
              </w:rPr>
            </w:pPr>
            <w:r w:rsidRPr="00EF018F">
              <w:rPr>
                <w:b w:val="0"/>
                <w:sz w:val="18"/>
                <w:szCs w:val="18"/>
              </w:rPr>
              <w:t>AUC exposure ratio (ER)</w:t>
            </w:r>
            <w:r w:rsidRPr="00EF018F">
              <w:rPr>
                <w:b w:val="0"/>
                <w:sz w:val="18"/>
                <w:szCs w:val="18"/>
                <w:vertAlign w:val="superscript"/>
              </w:rPr>
              <w:t>&amp;</w:t>
            </w:r>
          </w:p>
        </w:tc>
      </w:tr>
      <w:tr w:rsidR="00EA5CFE" w:rsidRPr="00164E1F" w:rsidTr="00EF018F">
        <w:tc>
          <w:tcPr>
            <w:tcW w:w="8647" w:type="dxa"/>
            <w:gridSpan w:val="9"/>
            <w:hideMark/>
          </w:tcPr>
          <w:p w:rsidR="00890D33" w:rsidRPr="00164E1F" w:rsidRDefault="00EA5CFE" w:rsidP="006A4D4A">
            <w:pPr>
              <w:spacing w:before="100" w:after="100" w:line="240" w:lineRule="auto"/>
              <w:ind w:left="0" w:right="0"/>
              <w:rPr>
                <w:b/>
                <w:sz w:val="18"/>
                <w:szCs w:val="18"/>
              </w:rPr>
            </w:pPr>
            <w:r w:rsidRPr="00164E1F">
              <w:rPr>
                <w:b/>
                <w:sz w:val="18"/>
                <w:szCs w:val="18"/>
              </w:rPr>
              <w:t>Elvitegravir: General toxicity and carcinogenicity</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Mouse</w:t>
            </w:r>
          </w:p>
        </w:tc>
        <w:tc>
          <w:tcPr>
            <w:tcW w:w="958" w:type="dxa"/>
            <w:hideMark/>
          </w:tcPr>
          <w:p w:rsidR="00EA5CFE" w:rsidRPr="00164E1F" w:rsidRDefault="00EA5CFE" w:rsidP="00EF018F">
            <w:pPr>
              <w:spacing w:before="0" w:after="0" w:line="240" w:lineRule="auto"/>
              <w:ind w:left="0" w:right="0"/>
              <w:rPr>
                <w:sz w:val="18"/>
                <w:szCs w:val="18"/>
              </w:rPr>
            </w:pPr>
            <w:r w:rsidRPr="00164E1F">
              <w:rPr>
                <w:sz w:val="18"/>
                <w:szCs w:val="18"/>
              </w:rPr>
              <w:t>13</w:t>
            </w:r>
          </w:p>
        </w:tc>
        <w:tc>
          <w:tcPr>
            <w:tcW w:w="173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100, 500, 2000</w:t>
            </w:r>
          </w:p>
        </w:tc>
        <w:tc>
          <w:tcPr>
            <w:tcW w:w="1809" w:type="dxa"/>
            <w:hideMark/>
          </w:tcPr>
          <w:p w:rsidR="00EA5CFE" w:rsidRPr="00164E1F" w:rsidRDefault="00EA5CFE" w:rsidP="00EF018F">
            <w:pPr>
              <w:spacing w:before="0" w:after="0" w:line="240" w:lineRule="auto"/>
              <w:ind w:left="0" w:right="0"/>
              <w:rPr>
                <w:sz w:val="18"/>
                <w:szCs w:val="18"/>
              </w:rPr>
            </w:pPr>
            <w:r w:rsidRPr="00164E1F">
              <w:rPr>
                <w:sz w:val="18"/>
                <w:szCs w:val="18"/>
              </w:rPr>
              <w:t>4.4, 23.1, 86.2 m</w:t>
            </w:r>
          </w:p>
          <w:p w:rsidR="00EA5CFE" w:rsidRPr="00164E1F" w:rsidRDefault="00EA5CFE" w:rsidP="00EF018F">
            <w:pPr>
              <w:spacing w:before="0" w:after="0" w:line="240" w:lineRule="auto"/>
              <w:ind w:left="0" w:right="0"/>
              <w:rPr>
                <w:sz w:val="18"/>
                <w:szCs w:val="18"/>
              </w:rPr>
            </w:pPr>
            <w:r w:rsidRPr="00164E1F">
              <w:rPr>
                <w:sz w:val="18"/>
                <w:szCs w:val="18"/>
              </w:rPr>
              <w:t>7.3, 36.8, 125.3 f</w:t>
            </w:r>
          </w:p>
          <w:p w:rsidR="00EA5CFE" w:rsidRPr="00164E1F" w:rsidRDefault="00EA5CFE" w:rsidP="00EF018F">
            <w:pPr>
              <w:spacing w:before="0" w:after="0" w:line="240" w:lineRule="auto"/>
              <w:ind w:left="0" w:right="0"/>
              <w:rPr>
                <w:sz w:val="18"/>
                <w:szCs w:val="18"/>
              </w:rPr>
            </w:pPr>
            <w:r w:rsidRPr="00164E1F">
              <w:rPr>
                <w:sz w:val="18"/>
                <w:szCs w:val="18"/>
              </w:rPr>
              <w:t>days 1 and 91</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 xml:space="preserve">3.1, 13.1, 24.9 </w:t>
            </w:r>
          </w:p>
          <w:p w:rsidR="00EA5CFE" w:rsidRPr="00164E1F" w:rsidRDefault="00EA5CFE" w:rsidP="00EF018F">
            <w:pPr>
              <w:spacing w:before="0" w:after="0" w:line="240" w:lineRule="auto"/>
              <w:ind w:left="0" w:right="0"/>
              <w:rPr>
                <w:sz w:val="18"/>
                <w:szCs w:val="18"/>
              </w:rPr>
            </w:pPr>
            <w:r w:rsidRPr="00164E1F">
              <w:rPr>
                <w:sz w:val="18"/>
                <w:szCs w:val="18"/>
              </w:rPr>
              <w:t xml:space="preserve">2.7, 13.3, 35.8 </w:t>
            </w:r>
          </w:p>
        </w:tc>
        <w:tc>
          <w:tcPr>
            <w:tcW w:w="1593"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0.2, 1.0, 3.7</w:t>
            </w:r>
          </w:p>
          <w:p w:rsidR="00EA5CFE" w:rsidRPr="00164E1F" w:rsidRDefault="00EA5CFE" w:rsidP="00EF018F">
            <w:pPr>
              <w:spacing w:before="0" w:after="0" w:line="240" w:lineRule="auto"/>
              <w:ind w:left="0" w:right="0"/>
              <w:rPr>
                <w:sz w:val="18"/>
                <w:szCs w:val="18"/>
              </w:rPr>
            </w:pPr>
            <w:r w:rsidRPr="00164E1F">
              <w:rPr>
                <w:sz w:val="18"/>
                <w:szCs w:val="18"/>
              </w:rPr>
              <w:t>0.3, 1.6, 5.4</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Mouse</w:t>
            </w:r>
          </w:p>
        </w:tc>
        <w:tc>
          <w:tcPr>
            <w:tcW w:w="958" w:type="dxa"/>
            <w:hideMark/>
          </w:tcPr>
          <w:p w:rsidR="00EA5CFE" w:rsidRPr="00164E1F" w:rsidRDefault="00EA5CFE" w:rsidP="00EF018F">
            <w:pPr>
              <w:spacing w:before="0" w:after="0" w:line="240" w:lineRule="auto"/>
              <w:ind w:left="0" w:right="0"/>
              <w:rPr>
                <w:sz w:val="18"/>
                <w:szCs w:val="18"/>
              </w:rPr>
            </w:pPr>
            <w:r w:rsidRPr="00164E1F">
              <w:rPr>
                <w:sz w:val="18"/>
                <w:szCs w:val="18"/>
              </w:rPr>
              <w:t>104*</w:t>
            </w:r>
          </w:p>
        </w:tc>
        <w:tc>
          <w:tcPr>
            <w:tcW w:w="173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200, 600, 2000, 2000R#</w:t>
            </w:r>
          </w:p>
        </w:tc>
        <w:tc>
          <w:tcPr>
            <w:tcW w:w="1809" w:type="dxa"/>
            <w:hideMark/>
          </w:tcPr>
          <w:p w:rsidR="00EA5CFE" w:rsidRPr="00164E1F" w:rsidRDefault="00EA5CFE" w:rsidP="00EF018F">
            <w:pPr>
              <w:spacing w:before="0" w:after="0" w:line="240" w:lineRule="auto"/>
              <w:ind w:left="0" w:right="0"/>
              <w:rPr>
                <w:sz w:val="18"/>
                <w:szCs w:val="18"/>
              </w:rPr>
            </w:pPr>
            <w:r w:rsidRPr="00164E1F">
              <w:rPr>
                <w:sz w:val="18"/>
                <w:szCs w:val="18"/>
              </w:rPr>
              <w:t>7.5, 21.4, 42.7, 268 m</w:t>
            </w:r>
          </w:p>
          <w:p w:rsidR="00EA5CFE" w:rsidRPr="00164E1F" w:rsidRDefault="00EA5CFE" w:rsidP="00EF018F">
            <w:pPr>
              <w:spacing w:before="0" w:after="0" w:line="240" w:lineRule="auto"/>
              <w:ind w:left="0" w:right="0"/>
              <w:rPr>
                <w:sz w:val="18"/>
                <w:szCs w:val="18"/>
              </w:rPr>
            </w:pPr>
            <w:r w:rsidRPr="00164E1F">
              <w:rPr>
                <w:sz w:val="18"/>
                <w:szCs w:val="18"/>
              </w:rPr>
              <w:t>13.3, 36.3, 64.8, 249 f</w:t>
            </w:r>
          </w:p>
          <w:p w:rsidR="00EA5CFE" w:rsidRPr="00164E1F" w:rsidRDefault="00EA5CFE" w:rsidP="00EF018F">
            <w:pPr>
              <w:spacing w:before="0" w:after="0" w:line="240" w:lineRule="auto"/>
              <w:ind w:left="0" w:right="0"/>
              <w:rPr>
                <w:sz w:val="18"/>
                <w:szCs w:val="18"/>
              </w:rPr>
            </w:pPr>
            <w:r w:rsidRPr="00164E1F">
              <w:rPr>
                <w:sz w:val="18"/>
                <w:szCs w:val="18"/>
              </w:rPr>
              <w:t>day 4 and wk 26$</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4.1, 12.6, 20.2, 72.9</w:t>
            </w:r>
          </w:p>
          <w:p w:rsidR="00EA5CFE" w:rsidRPr="00164E1F" w:rsidRDefault="00EA5CFE" w:rsidP="00EF018F">
            <w:pPr>
              <w:spacing w:before="0" w:after="0" w:line="240" w:lineRule="auto"/>
              <w:ind w:left="0" w:right="0"/>
              <w:rPr>
                <w:sz w:val="18"/>
                <w:szCs w:val="18"/>
              </w:rPr>
            </w:pPr>
            <w:r w:rsidRPr="00164E1F">
              <w:rPr>
                <w:sz w:val="18"/>
                <w:szCs w:val="18"/>
              </w:rPr>
              <w:t>7.6, 24.8, 29.9, 55.9</w:t>
            </w:r>
          </w:p>
        </w:tc>
        <w:tc>
          <w:tcPr>
            <w:tcW w:w="1593"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0.3, 1.0, 1.9, 11.6</w:t>
            </w:r>
          </w:p>
          <w:p w:rsidR="00EA5CFE" w:rsidRPr="00164E1F" w:rsidRDefault="00EA5CFE" w:rsidP="00EF018F">
            <w:pPr>
              <w:spacing w:before="0" w:after="0" w:line="240" w:lineRule="auto"/>
              <w:ind w:left="0" w:right="0"/>
              <w:rPr>
                <w:sz w:val="18"/>
                <w:szCs w:val="18"/>
              </w:rPr>
            </w:pPr>
            <w:r w:rsidRPr="00164E1F">
              <w:rPr>
                <w:sz w:val="18"/>
                <w:szCs w:val="18"/>
              </w:rPr>
              <w:t>0.6, 1.6, 2.8, 10.8</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lastRenderedPageBreak/>
              <w:t>Rat</w:t>
            </w:r>
          </w:p>
        </w:tc>
        <w:tc>
          <w:tcPr>
            <w:tcW w:w="958" w:type="dxa"/>
            <w:hideMark/>
          </w:tcPr>
          <w:p w:rsidR="00EA5CFE" w:rsidRPr="00164E1F" w:rsidRDefault="00EA5CFE" w:rsidP="00EF018F">
            <w:pPr>
              <w:spacing w:before="0" w:after="0" w:line="240" w:lineRule="auto"/>
              <w:ind w:left="0" w:right="0"/>
              <w:rPr>
                <w:sz w:val="18"/>
                <w:szCs w:val="18"/>
              </w:rPr>
            </w:pPr>
            <w:r w:rsidRPr="00164E1F">
              <w:rPr>
                <w:sz w:val="18"/>
                <w:szCs w:val="18"/>
              </w:rPr>
              <w:t>13</w:t>
            </w:r>
          </w:p>
        </w:tc>
        <w:tc>
          <w:tcPr>
            <w:tcW w:w="173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100, 300, 1000, 2000</w:t>
            </w:r>
          </w:p>
        </w:tc>
        <w:tc>
          <w:tcPr>
            <w:tcW w:w="1809" w:type="dxa"/>
            <w:hideMark/>
          </w:tcPr>
          <w:p w:rsidR="00EA5CFE" w:rsidRPr="00164E1F" w:rsidRDefault="00EA5CFE" w:rsidP="00EF018F">
            <w:pPr>
              <w:spacing w:before="0" w:after="0" w:line="240" w:lineRule="auto"/>
              <w:ind w:left="0" w:right="0"/>
              <w:rPr>
                <w:sz w:val="18"/>
                <w:szCs w:val="18"/>
              </w:rPr>
            </w:pPr>
            <w:r w:rsidRPr="00164E1F">
              <w:rPr>
                <w:sz w:val="18"/>
                <w:szCs w:val="18"/>
              </w:rPr>
              <w:t>45.5, 142, 183, 240 m</w:t>
            </w:r>
          </w:p>
          <w:p w:rsidR="00EA5CFE" w:rsidRPr="00164E1F" w:rsidRDefault="00EA5CFE" w:rsidP="00EF018F">
            <w:pPr>
              <w:spacing w:before="0" w:after="0" w:line="240" w:lineRule="auto"/>
              <w:ind w:left="0" w:right="0"/>
              <w:rPr>
                <w:sz w:val="18"/>
                <w:szCs w:val="18"/>
              </w:rPr>
            </w:pPr>
            <w:r w:rsidRPr="00164E1F">
              <w:rPr>
                <w:sz w:val="18"/>
                <w:szCs w:val="18"/>
              </w:rPr>
              <w:t>83.6, 172, 233, 306 f</w:t>
            </w:r>
          </w:p>
          <w:p w:rsidR="00EA5CFE" w:rsidRPr="00164E1F" w:rsidRDefault="00EA5CFE" w:rsidP="00EF018F">
            <w:pPr>
              <w:spacing w:before="0" w:after="0" w:line="240" w:lineRule="auto"/>
              <w:ind w:left="0" w:right="0"/>
              <w:rPr>
                <w:sz w:val="18"/>
                <w:szCs w:val="18"/>
              </w:rPr>
            </w:pPr>
            <w:r w:rsidRPr="00164E1F">
              <w:rPr>
                <w:sz w:val="18"/>
                <w:szCs w:val="18"/>
              </w:rPr>
              <w:t>days 1 and 90</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16.6, 23.7, 24.6, 28.4</w:t>
            </w:r>
          </w:p>
          <w:p w:rsidR="00EA5CFE" w:rsidRPr="00164E1F" w:rsidRDefault="00EA5CFE" w:rsidP="00EF018F">
            <w:pPr>
              <w:spacing w:before="0" w:after="0" w:line="240" w:lineRule="auto"/>
              <w:ind w:left="0" w:right="0"/>
              <w:rPr>
                <w:sz w:val="18"/>
                <w:szCs w:val="18"/>
              </w:rPr>
            </w:pPr>
            <w:r w:rsidRPr="00164E1F">
              <w:rPr>
                <w:sz w:val="18"/>
                <w:szCs w:val="18"/>
              </w:rPr>
              <w:t>32.8, 48.4, 46.4, 50.7</w:t>
            </w:r>
          </w:p>
        </w:tc>
        <w:tc>
          <w:tcPr>
            <w:tcW w:w="1593"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2.0, 6.2, 8.0, 10.4</w:t>
            </w:r>
          </w:p>
          <w:p w:rsidR="00EA5CFE" w:rsidRPr="00164E1F" w:rsidRDefault="00EA5CFE" w:rsidP="00EF018F">
            <w:pPr>
              <w:spacing w:before="0" w:after="0" w:line="240" w:lineRule="auto"/>
              <w:ind w:left="0" w:right="0"/>
              <w:rPr>
                <w:sz w:val="18"/>
                <w:szCs w:val="18"/>
              </w:rPr>
            </w:pPr>
            <w:r w:rsidRPr="00164E1F">
              <w:rPr>
                <w:sz w:val="18"/>
                <w:szCs w:val="18"/>
              </w:rPr>
              <w:t>3.6, 7.5, 10.1, 13.3</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58" w:type="dxa"/>
            <w:hideMark/>
          </w:tcPr>
          <w:p w:rsidR="00EA5CFE" w:rsidRPr="00164E1F" w:rsidRDefault="00EA5CFE" w:rsidP="00EF018F">
            <w:pPr>
              <w:spacing w:before="0" w:after="0" w:line="240" w:lineRule="auto"/>
              <w:ind w:left="0" w:right="0"/>
              <w:rPr>
                <w:sz w:val="18"/>
                <w:szCs w:val="18"/>
              </w:rPr>
            </w:pPr>
            <w:r w:rsidRPr="00164E1F">
              <w:rPr>
                <w:sz w:val="18"/>
                <w:szCs w:val="18"/>
              </w:rPr>
              <w:t>26</w:t>
            </w:r>
          </w:p>
        </w:tc>
        <w:tc>
          <w:tcPr>
            <w:tcW w:w="173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100, 300, 2000</w:t>
            </w:r>
          </w:p>
        </w:tc>
        <w:tc>
          <w:tcPr>
            <w:tcW w:w="1809" w:type="dxa"/>
            <w:hideMark/>
          </w:tcPr>
          <w:p w:rsidR="00EA5CFE" w:rsidRPr="00164E1F" w:rsidRDefault="00EA5CFE" w:rsidP="00EF018F">
            <w:pPr>
              <w:spacing w:before="0" w:after="0" w:line="240" w:lineRule="auto"/>
              <w:ind w:left="0" w:right="0"/>
              <w:rPr>
                <w:sz w:val="18"/>
                <w:szCs w:val="18"/>
              </w:rPr>
            </w:pPr>
            <w:r w:rsidRPr="00164E1F">
              <w:rPr>
                <w:sz w:val="18"/>
                <w:szCs w:val="18"/>
              </w:rPr>
              <w:t>65.5, 161, 468 m</w:t>
            </w:r>
          </w:p>
          <w:p w:rsidR="00EA5CFE" w:rsidRPr="00164E1F" w:rsidRDefault="00EA5CFE" w:rsidP="00EF018F">
            <w:pPr>
              <w:spacing w:before="0" w:after="0" w:line="240" w:lineRule="auto"/>
              <w:ind w:left="0" w:right="0"/>
              <w:rPr>
                <w:sz w:val="18"/>
                <w:szCs w:val="18"/>
              </w:rPr>
            </w:pPr>
            <w:r w:rsidRPr="00164E1F">
              <w:rPr>
                <w:sz w:val="18"/>
                <w:szCs w:val="18"/>
              </w:rPr>
              <w:t>152, 321, 821 f</w:t>
            </w:r>
          </w:p>
          <w:p w:rsidR="00EA5CFE" w:rsidRPr="00164E1F" w:rsidRDefault="00EA5CFE" w:rsidP="00EF018F">
            <w:pPr>
              <w:spacing w:before="0" w:after="0" w:line="240" w:lineRule="auto"/>
              <w:ind w:left="0" w:right="0"/>
              <w:rPr>
                <w:sz w:val="18"/>
                <w:szCs w:val="18"/>
              </w:rPr>
            </w:pPr>
            <w:r w:rsidRPr="00164E1F">
              <w:rPr>
                <w:sz w:val="18"/>
                <w:szCs w:val="18"/>
              </w:rPr>
              <w:t>days 1 and 181</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 xml:space="preserve">17.0, 28.6, 35.8 </w:t>
            </w:r>
          </w:p>
          <w:p w:rsidR="00EA5CFE" w:rsidRPr="00164E1F" w:rsidRDefault="00EA5CFE" w:rsidP="00EF018F">
            <w:pPr>
              <w:spacing w:before="0" w:after="0" w:line="240" w:lineRule="auto"/>
              <w:ind w:left="0" w:right="0"/>
              <w:rPr>
                <w:sz w:val="18"/>
                <w:szCs w:val="18"/>
              </w:rPr>
            </w:pPr>
            <w:r w:rsidRPr="00164E1F">
              <w:rPr>
                <w:sz w:val="18"/>
                <w:szCs w:val="18"/>
              </w:rPr>
              <w:t>44.6, 56.1, 72.3</w:t>
            </w:r>
          </w:p>
        </w:tc>
        <w:tc>
          <w:tcPr>
            <w:tcW w:w="1593"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2.8, 7.0, 20.3</w:t>
            </w:r>
          </w:p>
          <w:p w:rsidR="00EA5CFE" w:rsidRPr="00164E1F" w:rsidRDefault="00EA5CFE" w:rsidP="00EF018F">
            <w:pPr>
              <w:spacing w:before="0" w:after="0" w:line="240" w:lineRule="auto"/>
              <w:ind w:left="0" w:right="0"/>
              <w:rPr>
                <w:sz w:val="18"/>
                <w:szCs w:val="18"/>
              </w:rPr>
            </w:pPr>
            <w:r w:rsidRPr="00164E1F">
              <w:rPr>
                <w:sz w:val="18"/>
                <w:szCs w:val="18"/>
              </w:rPr>
              <w:t>6.6, 13.9, 35.7</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58" w:type="dxa"/>
            <w:hideMark/>
          </w:tcPr>
          <w:p w:rsidR="00EA5CFE" w:rsidRPr="00164E1F" w:rsidRDefault="00EA5CFE" w:rsidP="00EF018F">
            <w:pPr>
              <w:spacing w:before="0" w:after="0" w:line="240" w:lineRule="auto"/>
              <w:ind w:left="0" w:right="0"/>
              <w:rPr>
                <w:sz w:val="18"/>
                <w:szCs w:val="18"/>
              </w:rPr>
            </w:pPr>
            <w:r w:rsidRPr="00164E1F">
              <w:rPr>
                <w:sz w:val="18"/>
                <w:szCs w:val="18"/>
              </w:rPr>
              <w:t>88-90*</w:t>
            </w:r>
          </w:p>
        </w:tc>
        <w:tc>
          <w:tcPr>
            <w:tcW w:w="173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100, 300, 2000</w:t>
            </w:r>
          </w:p>
        </w:tc>
        <w:tc>
          <w:tcPr>
            <w:tcW w:w="1809" w:type="dxa"/>
            <w:hideMark/>
          </w:tcPr>
          <w:p w:rsidR="00EA5CFE" w:rsidRPr="00164E1F" w:rsidRDefault="00EA5CFE" w:rsidP="00EF018F">
            <w:pPr>
              <w:spacing w:before="0" w:after="0" w:line="240" w:lineRule="auto"/>
              <w:ind w:left="0" w:right="0"/>
              <w:rPr>
                <w:sz w:val="18"/>
                <w:szCs w:val="18"/>
              </w:rPr>
            </w:pPr>
            <w:r w:rsidRPr="00164E1F">
              <w:rPr>
                <w:sz w:val="18"/>
                <w:szCs w:val="18"/>
              </w:rPr>
              <w:t>51.2, 62.0, 254 m</w:t>
            </w:r>
          </w:p>
          <w:p w:rsidR="00EA5CFE" w:rsidRPr="00164E1F" w:rsidRDefault="00EA5CFE" w:rsidP="00EF018F">
            <w:pPr>
              <w:spacing w:before="0" w:after="0" w:line="240" w:lineRule="auto"/>
              <w:ind w:left="0" w:right="0"/>
              <w:rPr>
                <w:sz w:val="18"/>
                <w:szCs w:val="18"/>
              </w:rPr>
            </w:pPr>
            <w:r w:rsidRPr="00164E1F">
              <w:rPr>
                <w:sz w:val="18"/>
                <w:szCs w:val="18"/>
              </w:rPr>
              <w:t>107, 211, 502 f</w:t>
            </w:r>
          </w:p>
          <w:p w:rsidR="00EA5CFE" w:rsidRPr="00164E1F" w:rsidRDefault="00EA5CFE" w:rsidP="00EF018F">
            <w:pPr>
              <w:spacing w:before="0" w:after="0" w:line="240" w:lineRule="auto"/>
              <w:ind w:left="0" w:right="0"/>
              <w:rPr>
                <w:sz w:val="18"/>
                <w:szCs w:val="18"/>
              </w:rPr>
            </w:pPr>
            <w:r w:rsidRPr="00164E1F">
              <w:rPr>
                <w:sz w:val="18"/>
                <w:szCs w:val="18"/>
              </w:rPr>
              <w:t>days 4, 178 and 360</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 xml:space="preserve">15.2, 20.8, 33.5 </w:t>
            </w:r>
          </w:p>
          <w:p w:rsidR="00EA5CFE" w:rsidRPr="00164E1F" w:rsidRDefault="00EA5CFE" w:rsidP="00EF018F">
            <w:pPr>
              <w:spacing w:before="0" w:after="0" w:line="240" w:lineRule="auto"/>
              <w:ind w:left="0" w:right="0"/>
              <w:rPr>
                <w:sz w:val="18"/>
                <w:szCs w:val="18"/>
              </w:rPr>
            </w:pPr>
            <w:r w:rsidRPr="00164E1F">
              <w:rPr>
                <w:sz w:val="18"/>
                <w:szCs w:val="18"/>
              </w:rPr>
              <w:t>29.7, 46.3, 62.7</w:t>
            </w:r>
          </w:p>
        </w:tc>
        <w:tc>
          <w:tcPr>
            <w:tcW w:w="1593"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2.2, 2.7, 11.0</w:t>
            </w:r>
          </w:p>
          <w:p w:rsidR="00EA5CFE" w:rsidRPr="00164E1F" w:rsidRDefault="00EA5CFE" w:rsidP="00EF018F">
            <w:pPr>
              <w:spacing w:before="0" w:after="0" w:line="240" w:lineRule="auto"/>
              <w:ind w:left="0" w:right="0"/>
              <w:rPr>
                <w:sz w:val="18"/>
                <w:szCs w:val="18"/>
              </w:rPr>
            </w:pPr>
            <w:r w:rsidRPr="00164E1F">
              <w:rPr>
                <w:sz w:val="18"/>
                <w:szCs w:val="18"/>
              </w:rPr>
              <w:t>4.6, 9.2, 21.8</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Dog</w:t>
            </w:r>
          </w:p>
        </w:tc>
        <w:tc>
          <w:tcPr>
            <w:tcW w:w="958" w:type="dxa"/>
            <w:hideMark/>
          </w:tcPr>
          <w:p w:rsidR="00EA5CFE" w:rsidRPr="00164E1F" w:rsidRDefault="00EA5CFE" w:rsidP="00EF018F">
            <w:pPr>
              <w:spacing w:before="0" w:after="0" w:line="240" w:lineRule="auto"/>
              <w:ind w:left="0" w:right="0"/>
              <w:rPr>
                <w:sz w:val="18"/>
                <w:szCs w:val="18"/>
              </w:rPr>
            </w:pPr>
            <w:r w:rsidRPr="00164E1F">
              <w:rPr>
                <w:sz w:val="18"/>
                <w:szCs w:val="18"/>
              </w:rPr>
              <w:t>39</w:t>
            </w:r>
          </w:p>
        </w:tc>
        <w:tc>
          <w:tcPr>
            <w:tcW w:w="173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10, 30, 100</w:t>
            </w:r>
          </w:p>
        </w:tc>
        <w:tc>
          <w:tcPr>
            <w:tcW w:w="1809" w:type="dxa"/>
            <w:hideMark/>
          </w:tcPr>
          <w:p w:rsidR="00EA5CFE" w:rsidRPr="00164E1F" w:rsidRDefault="00EA5CFE" w:rsidP="00EF018F">
            <w:pPr>
              <w:spacing w:before="0" w:after="0" w:line="240" w:lineRule="auto"/>
              <w:ind w:left="0" w:right="0"/>
              <w:rPr>
                <w:sz w:val="18"/>
                <w:szCs w:val="18"/>
              </w:rPr>
            </w:pPr>
            <w:r w:rsidRPr="00164E1F">
              <w:rPr>
                <w:sz w:val="18"/>
                <w:szCs w:val="18"/>
              </w:rPr>
              <w:t>7.5, 24.9, 51.3 m</w:t>
            </w:r>
          </w:p>
          <w:p w:rsidR="00EA5CFE" w:rsidRPr="00164E1F" w:rsidRDefault="00EA5CFE" w:rsidP="00EF018F">
            <w:pPr>
              <w:spacing w:before="0" w:after="0" w:line="240" w:lineRule="auto"/>
              <w:ind w:left="0" w:right="0"/>
              <w:rPr>
                <w:sz w:val="18"/>
                <w:szCs w:val="18"/>
              </w:rPr>
            </w:pPr>
            <w:r w:rsidRPr="00164E1F">
              <w:rPr>
                <w:sz w:val="18"/>
                <w:szCs w:val="18"/>
              </w:rPr>
              <w:t>8.7, 23.1, 61.6 f</w:t>
            </w:r>
          </w:p>
          <w:p w:rsidR="00EA5CFE" w:rsidRPr="00164E1F" w:rsidRDefault="00EA5CFE" w:rsidP="00EF018F">
            <w:pPr>
              <w:spacing w:before="0" w:after="0" w:line="240" w:lineRule="auto"/>
              <w:ind w:left="0" w:right="0"/>
              <w:rPr>
                <w:sz w:val="18"/>
                <w:szCs w:val="18"/>
              </w:rPr>
            </w:pPr>
            <w:r w:rsidRPr="00164E1F">
              <w:rPr>
                <w:sz w:val="18"/>
                <w:szCs w:val="18"/>
              </w:rPr>
              <w:t>days 58 and 273</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1.1, 4.1, 8.5</w:t>
            </w:r>
          </w:p>
          <w:p w:rsidR="00EA5CFE" w:rsidRPr="00164E1F" w:rsidRDefault="00EA5CFE" w:rsidP="00EF018F">
            <w:pPr>
              <w:spacing w:before="0" w:after="0" w:line="240" w:lineRule="auto"/>
              <w:ind w:left="0" w:right="0"/>
              <w:rPr>
                <w:sz w:val="18"/>
                <w:szCs w:val="18"/>
              </w:rPr>
            </w:pPr>
            <w:r w:rsidRPr="00164E1F">
              <w:rPr>
                <w:sz w:val="18"/>
                <w:szCs w:val="18"/>
              </w:rPr>
              <w:t>1.3, 3.0, 8.2</w:t>
            </w:r>
          </w:p>
        </w:tc>
        <w:tc>
          <w:tcPr>
            <w:tcW w:w="1593"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0.3, 1.1, 2.2</w:t>
            </w:r>
          </w:p>
          <w:p w:rsidR="00EA5CFE" w:rsidRPr="00164E1F" w:rsidRDefault="00EA5CFE" w:rsidP="00EF018F">
            <w:pPr>
              <w:spacing w:before="0" w:after="0" w:line="240" w:lineRule="auto"/>
              <w:ind w:left="0" w:right="0"/>
              <w:rPr>
                <w:sz w:val="18"/>
                <w:szCs w:val="18"/>
              </w:rPr>
            </w:pPr>
            <w:r w:rsidRPr="00164E1F">
              <w:rPr>
                <w:sz w:val="18"/>
                <w:szCs w:val="18"/>
              </w:rPr>
              <w:t>0.4, 1.0, 2.7</w:t>
            </w:r>
          </w:p>
        </w:tc>
      </w:tr>
      <w:tr w:rsidR="00EA5CFE" w:rsidRPr="00164E1F" w:rsidTr="00EF018F">
        <w:tc>
          <w:tcPr>
            <w:tcW w:w="3544" w:type="dxa"/>
            <w:gridSpan w:val="4"/>
            <w:hideMark/>
          </w:tcPr>
          <w:p w:rsidR="00890D33" w:rsidRPr="00164E1F" w:rsidRDefault="00EA5CFE" w:rsidP="006A4D4A">
            <w:pPr>
              <w:spacing w:before="60" w:after="60" w:line="240" w:lineRule="auto"/>
              <w:ind w:left="0" w:right="0"/>
              <w:rPr>
                <w:b/>
                <w:sz w:val="18"/>
                <w:szCs w:val="18"/>
              </w:rPr>
            </w:pPr>
            <w:proofErr w:type="spellStart"/>
            <w:r w:rsidRPr="00164E1F">
              <w:rPr>
                <w:b/>
                <w:sz w:val="18"/>
                <w:szCs w:val="18"/>
              </w:rPr>
              <w:t>Elvitegravir</w:t>
            </w:r>
            <w:proofErr w:type="spellEnd"/>
            <w:r w:rsidRPr="00164E1F">
              <w:rPr>
                <w:b/>
                <w:sz w:val="18"/>
                <w:szCs w:val="18"/>
              </w:rPr>
              <w:t>: Reproductive toxicity</w:t>
            </w:r>
          </w:p>
        </w:tc>
        <w:tc>
          <w:tcPr>
            <w:tcW w:w="5103" w:type="dxa"/>
            <w:gridSpan w:val="5"/>
          </w:tcPr>
          <w:p w:rsidR="00EA5CFE" w:rsidRPr="00164E1F" w:rsidRDefault="00EA5CFE" w:rsidP="00EF018F">
            <w:pPr>
              <w:spacing w:before="0" w:after="0" w:line="240" w:lineRule="auto"/>
              <w:ind w:left="0" w:right="0"/>
              <w:rPr>
                <w:sz w:val="18"/>
                <w:szCs w:val="18"/>
              </w:rPr>
            </w:pP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GD 7-17</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300, 1000, 2000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 xml:space="preserve">155, 379, 612 </w:t>
            </w:r>
          </w:p>
          <w:p w:rsidR="00EA5CFE" w:rsidRPr="00164E1F" w:rsidRDefault="00EA5CFE" w:rsidP="00EF018F">
            <w:pPr>
              <w:spacing w:before="0" w:after="0" w:line="240" w:lineRule="auto"/>
              <w:ind w:left="0" w:right="0"/>
              <w:rPr>
                <w:sz w:val="18"/>
                <w:szCs w:val="18"/>
              </w:rPr>
            </w:pPr>
            <w:r w:rsidRPr="00164E1F">
              <w:rPr>
                <w:sz w:val="18"/>
                <w:szCs w:val="18"/>
              </w:rPr>
              <w:t>GD 7 and 17</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28.4, 46.5, 58.1</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6.7, 16.5, 26.6</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 xml:space="preserve">Rat </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GD 6-17</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100R, 1000R, 1000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 xml:space="preserve">59.2, 169, 183 </w:t>
            </w:r>
          </w:p>
          <w:p w:rsidR="00EA5CFE" w:rsidRPr="00164E1F" w:rsidRDefault="00EA5CFE" w:rsidP="00EF018F">
            <w:pPr>
              <w:spacing w:before="0" w:after="0" w:line="240" w:lineRule="auto"/>
              <w:ind w:left="0" w:right="0"/>
              <w:rPr>
                <w:sz w:val="18"/>
                <w:szCs w:val="18"/>
              </w:rPr>
            </w:pPr>
            <w:r w:rsidRPr="00164E1F">
              <w:rPr>
                <w:sz w:val="18"/>
                <w:szCs w:val="18"/>
              </w:rPr>
              <w:t>GD 6 and 17</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11.3, 29.2, 27.9</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2.6, 7.3, 8.0</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GD 7-PPD 20</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300, 1000, 2000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67.2, 200, 408</w:t>
            </w:r>
          </w:p>
          <w:p w:rsidR="00EA5CFE" w:rsidRPr="00164E1F" w:rsidRDefault="00EA5CFE" w:rsidP="00EF018F">
            <w:pPr>
              <w:spacing w:before="0" w:after="0" w:line="240" w:lineRule="auto"/>
              <w:ind w:left="0" w:right="0"/>
              <w:rPr>
                <w:sz w:val="18"/>
                <w:szCs w:val="18"/>
              </w:rPr>
            </w:pPr>
            <w:r w:rsidRPr="00164E1F">
              <w:rPr>
                <w:sz w:val="18"/>
                <w:szCs w:val="18"/>
              </w:rPr>
              <w:t>PPD 14</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17.5, 34.7, 36.0</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2.9, 8.7, 17.7</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 juvenile∆</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PPD 22-49</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300, 1000, 2000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45.0, 89.2, 136 m</w:t>
            </w:r>
          </w:p>
          <w:p w:rsidR="00EA5CFE" w:rsidRPr="00164E1F" w:rsidRDefault="00EA5CFE" w:rsidP="00EF018F">
            <w:pPr>
              <w:spacing w:before="0" w:after="0" w:line="240" w:lineRule="auto"/>
              <w:ind w:left="0" w:right="0"/>
              <w:rPr>
                <w:sz w:val="18"/>
                <w:szCs w:val="18"/>
              </w:rPr>
            </w:pPr>
            <w:r w:rsidRPr="00164E1F">
              <w:rPr>
                <w:sz w:val="18"/>
                <w:szCs w:val="18"/>
              </w:rPr>
              <w:t>54.6, 126, 164f</w:t>
            </w:r>
          </w:p>
          <w:p w:rsidR="00EA5CFE" w:rsidRPr="00164E1F" w:rsidRDefault="00EA5CFE" w:rsidP="00EF018F">
            <w:pPr>
              <w:spacing w:before="0" w:after="0" w:line="240" w:lineRule="auto"/>
              <w:ind w:left="0" w:right="0"/>
              <w:rPr>
                <w:sz w:val="18"/>
                <w:szCs w:val="18"/>
              </w:rPr>
            </w:pPr>
            <w:r w:rsidRPr="00164E1F">
              <w:rPr>
                <w:sz w:val="18"/>
                <w:szCs w:val="18"/>
              </w:rPr>
              <w:t>PPD 22 and 49</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11.8, 19.1, 25.3</w:t>
            </w:r>
          </w:p>
          <w:p w:rsidR="00EA5CFE" w:rsidRPr="00164E1F" w:rsidRDefault="00EA5CFE" w:rsidP="00EF018F">
            <w:pPr>
              <w:spacing w:before="0" w:after="0" w:line="240" w:lineRule="auto"/>
              <w:ind w:left="0" w:right="0"/>
              <w:rPr>
                <w:sz w:val="18"/>
                <w:szCs w:val="18"/>
              </w:rPr>
            </w:pPr>
            <w:r w:rsidRPr="00164E1F">
              <w:rPr>
                <w:sz w:val="18"/>
                <w:szCs w:val="18"/>
              </w:rPr>
              <w:t>16.8, 25.0, 25.2</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2.0, 3.9, 5.9</w:t>
            </w:r>
          </w:p>
          <w:p w:rsidR="00EA5CFE" w:rsidRPr="00164E1F" w:rsidRDefault="00EA5CFE" w:rsidP="00EF018F">
            <w:pPr>
              <w:spacing w:before="0" w:after="0" w:line="240" w:lineRule="auto"/>
              <w:ind w:left="0" w:right="0"/>
              <w:rPr>
                <w:sz w:val="18"/>
                <w:szCs w:val="18"/>
              </w:rPr>
            </w:pPr>
            <w:r w:rsidRPr="00164E1F">
              <w:rPr>
                <w:sz w:val="18"/>
                <w:szCs w:val="18"/>
              </w:rPr>
              <w:t>2.4, 5.5, 7.1</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Rabbit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GD 7-19</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50, 150, 450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1.1, 2.4, 4.3</w:t>
            </w:r>
          </w:p>
          <w:p w:rsidR="00EA5CFE" w:rsidRPr="00164E1F" w:rsidRDefault="00EA5CFE" w:rsidP="00EF018F">
            <w:pPr>
              <w:spacing w:before="0" w:after="0" w:line="240" w:lineRule="auto"/>
              <w:ind w:left="0" w:right="0"/>
              <w:rPr>
                <w:sz w:val="18"/>
                <w:szCs w:val="18"/>
              </w:rPr>
            </w:pPr>
            <w:r w:rsidRPr="00164E1F">
              <w:rPr>
                <w:sz w:val="18"/>
                <w:szCs w:val="18"/>
              </w:rPr>
              <w:t>GD 7 and 19</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0.08, 0.12, 0.29</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&lt;0.1, 0.1, 0.2</w:t>
            </w:r>
          </w:p>
        </w:tc>
      </w:tr>
      <w:tr w:rsidR="00EA5CFE" w:rsidRPr="00164E1F" w:rsidTr="00EF018F">
        <w:tc>
          <w:tcPr>
            <w:tcW w:w="8647" w:type="dxa"/>
            <w:gridSpan w:val="9"/>
            <w:hideMark/>
          </w:tcPr>
          <w:p w:rsidR="00890D33" w:rsidRPr="00164E1F" w:rsidRDefault="00EA5CFE" w:rsidP="006A4D4A">
            <w:pPr>
              <w:spacing w:before="60" w:after="60" w:line="240" w:lineRule="auto"/>
              <w:ind w:left="0" w:right="0"/>
              <w:rPr>
                <w:b/>
                <w:sz w:val="18"/>
                <w:szCs w:val="18"/>
              </w:rPr>
            </w:pPr>
            <w:r w:rsidRPr="00164E1F">
              <w:rPr>
                <w:b/>
                <w:sz w:val="18"/>
                <w:szCs w:val="18"/>
              </w:rPr>
              <w:t>Cobicistat: General toxicity and carcinogenicity</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Mouse</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13</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5, 15, 50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0.70, 11.9, 39.3 m</w:t>
            </w:r>
          </w:p>
          <w:p w:rsidR="00EA5CFE" w:rsidRPr="00164E1F" w:rsidRDefault="00EA5CFE" w:rsidP="00EF018F">
            <w:pPr>
              <w:spacing w:before="0" w:after="0" w:line="240" w:lineRule="auto"/>
              <w:ind w:left="0" w:right="0"/>
              <w:rPr>
                <w:sz w:val="18"/>
                <w:szCs w:val="18"/>
              </w:rPr>
            </w:pPr>
            <w:r w:rsidRPr="00164E1F">
              <w:rPr>
                <w:sz w:val="18"/>
                <w:szCs w:val="18"/>
              </w:rPr>
              <w:t>1.1, 10.2, 53.2 f</w:t>
            </w:r>
          </w:p>
          <w:p w:rsidR="00EA5CFE" w:rsidRPr="00164E1F" w:rsidRDefault="00EA5CFE" w:rsidP="00EF018F">
            <w:pPr>
              <w:spacing w:before="0" w:after="0" w:line="240" w:lineRule="auto"/>
              <w:ind w:left="0" w:right="0"/>
              <w:rPr>
                <w:sz w:val="18"/>
                <w:szCs w:val="18"/>
              </w:rPr>
            </w:pPr>
            <w:r w:rsidRPr="00164E1F">
              <w:rPr>
                <w:sz w:val="18"/>
                <w:szCs w:val="18"/>
              </w:rPr>
              <w:t>weeks 1 and 13</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0.31, 3.5, 8.7</w:t>
            </w:r>
          </w:p>
          <w:p w:rsidR="00EA5CFE" w:rsidRPr="00164E1F" w:rsidRDefault="00EA5CFE" w:rsidP="00EF018F">
            <w:pPr>
              <w:spacing w:before="0" w:after="0" w:line="240" w:lineRule="auto"/>
              <w:ind w:left="0" w:right="0"/>
              <w:rPr>
                <w:sz w:val="18"/>
                <w:szCs w:val="18"/>
              </w:rPr>
            </w:pPr>
            <w:r w:rsidRPr="00164E1F">
              <w:rPr>
                <w:sz w:val="18"/>
                <w:szCs w:val="18"/>
              </w:rPr>
              <w:t>0.35, 3.6, 11.4</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&lt;0.1, 1.4, 4.7</w:t>
            </w:r>
          </w:p>
          <w:p w:rsidR="00EA5CFE" w:rsidRPr="00164E1F" w:rsidRDefault="00EA5CFE" w:rsidP="00EF018F">
            <w:pPr>
              <w:spacing w:before="0" w:after="0" w:line="240" w:lineRule="auto"/>
              <w:ind w:left="0" w:right="0"/>
              <w:rPr>
                <w:sz w:val="18"/>
                <w:szCs w:val="18"/>
              </w:rPr>
            </w:pPr>
            <w:r w:rsidRPr="00164E1F">
              <w:rPr>
                <w:sz w:val="18"/>
                <w:szCs w:val="18"/>
              </w:rPr>
              <w:t>0.1, 1.2, 6.4</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Mouse</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87-100*</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5, 15, 50</w:t>
            </w:r>
          </w:p>
          <w:p w:rsidR="00EA5CFE" w:rsidRPr="00164E1F" w:rsidRDefault="00EA5CFE" w:rsidP="00EF018F">
            <w:pPr>
              <w:spacing w:before="0" w:after="0" w:line="240" w:lineRule="auto"/>
              <w:ind w:left="0" w:right="0"/>
              <w:rPr>
                <w:sz w:val="18"/>
                <w:szCs w:val="18"/>
              </w:rPr>
            </w:pPr>
            <w:r w:rsidRPr="00164E1F">
              <w:rPr>
                <w:sz w:val="18"/>
                <w:szCs w:val="18"/>
              </w:rPr>
              <w:t>10, 30, 100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2.3, 13.3, 113 m</w:t>
            </w:r>
          </w:p>
          <w:p w:rsidR="00EA5CFE" w:rsidRPr="00164E1F" w:rsidRDefault="00EA5CFE" w:rsidP="00EF018F">
            <w:pPr>
              <w:spacing w:before="0" w:after="0" w:line="240" w:lineRule="auto"/>
              <w:ind w:left="0" w:right="0"/>
              <w:rPr>
                <w:sz w:val="18"/>
                <w:szCs w:val="18"/>
              </w:rPr>
            </w:pPr>
            <w:r w:rsidRPr="00164E1F">
              <w:rPr>
                <w:sz w:val="18"/>
                <w:szCs w:val="18"/>
              </w:rPr>
              <w:t>9.1, 54, 136 f</w:t>
            </w:r>
          </w:p>
          <w:p w:rsidR="00EA5CFE" w:rsidRPr="00164E1F" w:rsidRDefault="00EA5CFE" w:rsidP="00EF018F">
            <w:pPr>
              <w:spacing w:before="0" w:after="0" w:line="240" w:lineRule="auto"/>
              <w:ind w:left="0" w:right="0"/>
              <w:rPr>
                <w:sz w:val="18"/>
                <w:szCs w:val="18"/>
              </w:rPr>
            </w:pPr>
            <w:r w:rsidRPr="00164E1F">
              <w:rPr>
                <w:sz w:val="18"/>
                <w:szCs w:val="18"/>
              </w:rPr>
              <w:t>day 1 and</w:t>
            </w:r>
            <w:r w:rsidR="00841BE4" w:rsidRPr="00164E1F">
              <w:rPr>
                <w:sz w:val="18"/>
                <w:szCs w:val="18"/>
              </w:rPr>
              <w:t xml:space="preserve"> </w:t>
            </w:r>
            <w:r w:rsidRPr="00164E1F">
              <w:rPr>
                <w:sz w:val="18"/>
                <w:szCs w:val="18"/>
              </w:rPr>
              <w:t>wk 29</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1.2, 3.9, 9.7</w:t>
            </w:r>
          </w:p>
          <w:p w:rsidR="00EA5CFE" w:rsidRPr="00164E1F" w:rsidRDefault="00EA5CFE" w:rsidP="00EF018F">
            <w:pPr>
              <w:spacing w:before="0" w:after="0" w:line="240" w:lineRule="auto"/>
              <w:ind w:left="0" w:right="0"/>
              <w:rPr>
                <w:sz w:val="18"/>
                <w:szCs w:val="18"/>
              </w:rPr>
            </w:pPr>
            <w:r w:rsidRPr="00164E1F">
              <w:rPr>
                <w:sz w:val="18"/>
                <w:szCs w:val="18"/>
              </w:rPr>
              <w:t>4.9, 10.2, 19.2</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0.3, 1.6, 13.6</w:t>
            </w:r>
          </w:p>
          <w:p w:rsidR="00EA5CFE" w:rsidRPr="00164E1F" w:rsidRDefault="00EA5CFE" w:rsidP="00EF018F">
            <w:pPr>
              <w:spacing w:before="0" w:after="0" w:line="240" w:lineRule="auto"/>
              <w:ind w:left="0" w:right="0"/>
              <w:rPr>
                <w:sz w:val="18"/>
                <w:szCs w:val="18"/>
              </w:rPr>
            </w:pPr>
            <w:r w:rsidRPr="00164E1F">
              <w:rPr>
                <w:sz w:val="18"/>
                <w:szCs w:val="18"/>
              </w:rPr>
              <w:t>1.1, 6.5, 16.4</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267</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10, 30, 100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1.0, 7.9, 36.6 m</w:t>
            </w:r>
          </w:p>
          <w:p w:rsidR="00EA5CFE" w:rsidRPr="00164E1F" w:rsidRDefault="00EA5CFE" w:rsidP="00EF018F">
            <w:pPr>
              <w:spacing w:before="0" w:after="0" w:line="240" w:lineRule="auto"/>
              <w:ind w:left="0" w:right="0"/>
              <w:rPr>
                <w:sz w:val="18"/>
                <w:szCs w:val="18"/>
              </w:rPr>
            </w:pPr>
            <w:r w:rsidRPr="00164E1F">
              <w:rPr>
                <w:sz w:val="18"/>
                <w:szCs w:val="18"/>
              </w:rPr>
              <w:t>2.5, 12.5, 55.3 f</w:t>
            </w:r>
          </w:p>
          <w:p w:rsidR="00EA5CFE" w:rsidRPr="00164E1F" w:rsidRDefault="00EA5CFE" w:rsidP="00EF018F">
            <w:pPr>
              <w:spacing w:before="0" w:after="0" w:line="240" w:lineRule="auto"/>
              <w:ind w:left="0" w:right="0"/>
              <w:rPr>
                <w:sz w:val="18"/>
                <w:szCs w:val="18"/>
              </w:rPr>
            </w:pPr>
            <w:r w:rsidRPr="00164E1F">
              <w:rPr>
                <w:sz w:val="18"/>
                <w:szCs w:val="18"/>
              </w:rPr>
              <w:t>day 1, wks 13 and 26</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0.66, 1.6, 3.9</w:t>
            </w:r>
          </w:p>
          <w:p w:rsidR="00EA5CFE" w:rsidRPr="00164E1F" w:rsidRDefault="00EA5CFE" w:rsidP="00EF018F">
            <w:pPr>
              <w:spacing w:before="0" w:after="0" w:line="240" w:lineRule="auto"/>
              <w:ind w:left="0" w:right="0"/>
              <w:rPr>
                <w:sz w:val="18"/>
                <w:szCs w:val="18"/>
              </w:rPr>
            </w:pPr>
            <w:r w:rsidRPr="00164E1F">
              <w:rPr>
                <w:sz w:val="18"/>
                <w:szCs w:val="18"/>
              </w:rPr>
              <w:t>1.0, 2.9, 6.1</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0.1, 0.9, 4.4</w:t>
            </w:r>
          </w:p>
          <w:p w:rsidR="00EA5CFE" w:rsidRPr="00164E1F" w:rsidRDefault="00EA5CFE" w:rsidP="00EF018F">
            <w:pPr>
              <w:spacing w:before="0" w:after="0" w:line="240" w:lineRule="auto"/>
              <w:ind w:left="0" w:right="0"/>
              <w:rPr>
                <w:sz w:val="18"/>
                <w:szCs w:val="18"/>
              </w:rPr>
            </w:pPr>
            <w:r w:rsidRPr="00164E1F">
              <w:rPr>
                <w:sz w:val="18"/>
                <w:szCs w:val="18"/>
              </w:rPr>
              <w:t>0.3, 1.5, 6.7</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97-102*</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10, 25, 50</w:t>
            </w:r>
          </w:p>
          <w:p w:rsidR="00EA5CFE" w:rsidRPr="00164E1F" w:rsidRDefault="00EA5CFE" w:rsidP="00EF018F">
            <w:pPr>
              <w:spacing w:before="0" w:after="0" w:line="240" w:lineRule="auto"/>
              <w:ind w:left="0" w:right="0"/>
              <w:rPr>
                <w:sz w:val="18"/>
                <w:szCs w:val="18"/>
              </w:rPr>
            </w:pPr>
            <w:r w:rsidRPr="00164E1F">
              <w:rPr>
                <w:sz w:val="18"/>
                <w:szCs w:val="18"/>
              </w:rPr>
              <w:t>5, 15, 30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0.69, 5.8, 21.7 m</w:t>
            </w:r>
          </w:p>
          <w:p w:rsidR="00EA5CFE" w:rsidRPr="00164E1F" w:rsidRDefault="00EA5CFE" w:rsidP="00EF018F">
            <w:pPr>
              <w:spacing w:before="0" w:after="0" w:line="240" w:lineRule="auto"/>
              <w:ind w:left="0" w:right="0"/>
              <w:rPr>
                <w:sz w:val="18"/>
                <w:szCs w:val="18"/>
              </w:rPr>
            </w:pPr>
            <w:r w:rsidRPr="00164E1F">
              <w:rPr>
                <w:sz w:val="18"/>
                <w:szCs w:val="18"/>
              </w:rPr>
              <w:t>0.42, 5.1, 15.9 f</w:t>
            </w:r>
          </w:p>
          <w:p w:rsidR="00EA5CFE" w:rsidRPr="00164E1F" w:rsidRDefault="00EA5CFE" w:rsidP="00EF018F">
            <w:pPr>
              <w:spacing w:before="0" w:after="0" w:line="240" w:lineRule="auto"/>
              <w:ind w:left="0" w:right="0"/>
              <w:rPr>
                <w:sz w:val="18"/>
                <w:szCs w:val="18"/>
              </w:rPr>
            </w:pPr>
            <w:r w:rsidRPr="00164E1F">
              <w:rPr>
                <w:sz w:val="18"/>
                <w:szCs w:val="18"/>
              </w:rPr>
              <w:t>day 1 and wk 26</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0.23, 1.1, 2.7</w:t>
            </w:r>
          </w:p>
          <w:p w:rsidR="00EA5CFE" w:rsidRPr="00164E1F" w:rsidRDefault="00EA5CFE" w:rsidP="00EF018F">
            <w:pPr>
              <w:spacing w:before="0" w:after="0" w:line="240" w:lineRule="auto"/>
              <w:ind w:left="0" w:right="0"/>
              <w:rPr>
                <w:sz w:val="18"/>
                <w:szCs w:val="18"/>
              </w:rPr>
            </w:pPr>
            <w:r w:rsidRPr="00164E1F">
              <w:rPr>
                <w:sz w:val="18"/>
                <w:szCs w:val="18"/>
              </w:rPr>
              <w:t>0.37, 1.4, 2.7</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&lt;0.1, 0.7, 2.6</w:t>
            </w:r>
          </w:p>
          <w:p w:rsidR="00EA5CFE" w:rsidRPr="00164E1F" w:rsidRDefault="00EA5CFE" w:rsidP="00EF018F">
            <w:pPr>
              <w:spacing w:before="0" w:after="0" w:line="240" w:lineRule="auto"/>
              <w:ind w:left="0" w:right="0"/>
              <w:rPr>
                <w:sz w:val="18"/>
                <w:szCs w:val="18"/>
              </w:rPr>
            </w:pPr>
            <w:r w:rsidRPr="00164E1F">
              <w:rPr>
                <w:sz w:val="18"/>
                <w:szCs w:val="18"/>
              </w:rPr>
              <w:t>&lt;0.1, 0.6, 1.9</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Dog</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39</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5, 10, 20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3.8, 15.7, 45.8 m</w:t>
            </w:r>
          </w:p>
          <w:p w:rsidR="00EA5CFE" w:rsidRPr="00164E1F" w:rsidRDefault="00EA5CFE" w:rsidP="00EF018F">
            <w:pPr>
              <w:spacing w:before="0" w:after="0" w:line="240" w:lineRule="auto"/>
              <w:ind w:left="0" w:right="0"/>
              <w:rPr>
                <w:sz w:val="18"/>
                <w:szCs w:val="18"/>
              </w:rPr>
            </w:pPr>
            <w:r w:rsidRPr="00164E1F">
              <w:rPr>
                <w:sz w:val="18"/>
                <w:szCs w:val="18"/>
              </w:rPr>
              <w:t>4.1, 11.3, 68.8 f</w:t>
            </w:r>
          </w:p>
          <w:p w:rsidR="00EA5CFE" w:rsidRPr="00164E1F" w:rsidRDefault="00EA5CFE" w:rsidP="00EF018F">
            <w:pPr>
              <w:spacing w:before="0" w:after="0" w:line="240" w:lineRule="auto"/>
              <w:ind w:left="0" w:right="0"/>
              <w:rPr>
                <w:sz w:val="18"/>
                <w:szCs w:val="18"/>
              </w:rPr>
            </w:pPr>
            <w:r w:rsidRPr="00164E1F">
              <w:rPr>
                <w:sz w:val="18"/>
                <w:szCs w:val="18"/>
              </w:rPr>
              <w:t>day 1, wks 13 and 39</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0.80, 2.4, 5.0</w:t>
            </w:r>
          </w:p>
          <w:p w:rsidR="00EA5CFE" w:rsidRPr="00164E1F" w:rsidRDefault="00EA5CFE" w:rsidP="00EF018F">
            <w:pPr>
              <w:spacing w:before="0" w:after="0" w:line="240" w:lineRule="auto"/>
              <w:ind w:left="0" w:right="0"/>
              <w:rPr>
                <w:sz w:val="18"/>
                <w:szCs w:val="18"/>
              </w:rPr>
            </w:pPr>
            <w:r w:rsidRPr="00164E1F">
              <w:rPr>
                <w:sz w:val="18"/>
                <w:szCs w:val="18"/>
              </w:rPr>
              <w:t>0.83, 1.7, 6.2</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0.5, 1.9, 5.5</w:t>
            </w:r>
          </w:p>
          <w:p w:rsidR="00EA5CFE" w:rsidRPr="00164E1F" w:rsidRDefault="00EA5CFE" w:rsidP="00EF018F">
            <w:pPr>
              <w:spacing w:before="0" w:after="0" w:line="240" w:lineRule="auto"/>
              <w:ind w:left="0" w:right="0"/>
              <w:rPr>
                <w:sz w:val="18"/>
                <w:szCs w:val="18"/>
              </w:rPr>
            </w:pPr>
            <w:r w:rsidRPr="00164E1F">
              <w:rPr>
                <w:sz w:val="18"/>
                <w:szCs w:val="18"/>
              </w:rPr>
              <w:t>0.5, 1.4, 8.3</w:t>
            </w:r>
          </w:p>
        </w:tc>
      </w:tr>
      <w:tr w:rsidR="00EA5CFE" w:rsidRPr="00164E1F" w:rsidTr="00EF018F">
        <w:tc>
          <w:tcPr>
            <w:tcW w:w="8647" w:type="dxa"/>
            <w:gridSpan w:val="9"/>
            <w:hideMark/>
          </w:tcPr>
          <w:p w:rsidR="00890D33" w:rsidRPr="00164E1F" w:rsidRDefault="00EA5CFE" w:rsidP="006A4D4A">
            <w:pPr>
              <w:spacing w:before="60" w:after="60" w:line="240" w:lineRule="auto"/>
              <w:ind w:left="0" w:right="0"/>
              <w:rPr>
                <w:b/>
                <w:sz w:val="18"/>
                <w:szCs w:val="18"/>
              </w:rPr>
            </w:pPr>
            <w:proofErr w:type="spellStart"/>
            <w:r w:rsidRPr="00164E1F">
              <w:rPr>
                <w:b/>
                <w:sz w:val="18"/>
                <w:szCs w:val="18"/>
              </w:rPr>
              <w:t>Cobicistat</w:t>
            </w:r>
            <w:proofErr w:type="spellEnd"/>
            <w:r w:rsidRPr="00164E1F">
              <w:rPr>
                <w:b/>
                <w:sz w:val="18"/>
                <w:szCs w:val="18"/>
              </w:rPr>
              <w:t>: Reproductive toxicity</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GD 6-17</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25, 50, 125</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8.5, 20.9, 59.6</w:t>
            </w:r>
          </w:p>
          <w:p w:rsidR="00EA5CFE" w:rsidRPr="00164E1F" w:rsidRDefault="00EA5CFE" w:rsidP="00EF018F">
            <w:pPr>
              <w:spacing w:before="0" w:after="0" w:line="240" w:lineRule="auto"/>
              <w:ind w:left="0" w:right="0"/>
              <w:rPr>
                <w:sz w:val="18"/>
                <w:szCs w:val="18"/>
              </w:rPr>
            </w:pPr>
            <w:r w:rsidRPr="00164E1F">
              <w:rPr>
                <w:sz w:val="18"/>
                <w:szCs w:val="18"/>
              </w:rPr>
              <w:t>GD 6 and 17</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1.2, 2.2, 4.6</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1.0, 2.5, 7.2</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GD 6-PPD 20</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10, 30, 75</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1.9, 6.4, 9.9</w:t>
            </w:r>
          </w:p>
          <w:p w:rsidR="00EA5CFE" w:rsidRPr="00164E1F" w:rsidRDefault="00EA5CFE" w:rsidP="00EF018F">
            <w:pPr>
              <w:spacing w:before="0" w:after="0" w:line="240" w:lineRule="auto"/>
              <w:ind w:left="0" w:right="0"/>
              <w:rPr>
                <w:sz w:val="18"/>
                <w:szCs w:val="18"/>
              </w:rPr>
            </w:pPr>
            <w:r w:rsidRPr="00164E1F">
              <w:rPr>
                <w:sz w:val="18"/>
                <w:szCs w:val="18"/>
              </w:rPr>
              <w:t>PPD 10</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0.38, 1.1, 1.8</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0.2, 0.8, 1.2</w:t>
            </w:r>
          </w:p>
        </w:tc>
      </w:tr>
      <w:tr w:rsidR="00EA5CFE" w:rsidRPr="00164E1F" w:rsidTr="00EF018F">
        <w:tc>
          <w:tcPr>
            <w:tcW w:w="851" w:type="dxa"/>
            <w:hideMark/>
          </w:tcPr>
          <w:p w:rsidR="00EA5CFE" w:rsidRPr="00164E1F" w:rsidRDefault="00400E88" w:rsidP="00EF018F">
            <w:pPr>
              <w:spacing w:before="0" w:after="0" w:line="240" w:lineRule="auto"/>
              <w:ind w:left="0" w:right="0"/>
              <w:rPr>
                <w:sz w:val="18"/>
                <w:szCs w:val="18"/>
              </w:rPr>
            </w:pPr>
            <w:r w:rsidRPr="00164E1F">
              <w:rPr>
                <w:sz w:val="18"/>
                <w:szCs w:val="18"/>
              </w:rPr>
              <w:t>J</w:t>
            </w:r>
            <w:r w:rsidR="00EA5CFE" w:rsidRPr="00164E1F">
              <w:rPr>
                <w:sz w:val="18"/>
                <w:szCs w:val="18"/>
              </w:rPr>
              <w:t>uvenile</w:t>
            </w:r>
            <w:r w:rsidRPr="00164E1F">
              <w:rPr>
                <w:sz w:val="18"/>
                <w:szCs w:val="18"/>
              </w:rPr>
              <w:t xml:space="preserve"> rat </w:t>
            </w:r>
            <w:r w:rsidR="00EA5CFE" w:rsidRPr="00164E1F">
              <w:rPr>
                <w:sz w:val="18"/>
                <w:szCs w:val="18"/>
              </w:rPr>
              <w: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PPD 22-49</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10, 30, 75</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0.31, 7.0, 26.3 m</w:t>
            </w:r>
          </w:p>
          <w:p w:rsidR="00EA5CFE" w:rsidRPr="00164E1F" w:rsidRDefault="00EA5CFE" w:rsidP="00EF018F">
            <w:pPr>
              <w:spacing w:before="0" w:after="0" w:line="240" w:lineRule="auto"/>
              <w:ind w:left="0" w:right="0"/>
              <w:rPr>
                <w:sz w:val="18"/>
                <w:szCs w:val="18"/>
              </w:rPr>
            </w:pPr>
            <w:r w:rsidRPr="00164E1F">
              <w:rPr>
                <w:sz w:val="18"/>
                <w:szCs w:val="18"/>
              </w:rPr>
              <w:t>1.1, 7.5, 19.8 f</w:t>
            </w:r>
          </w:p>
          <w:p w:rsidR="00EA5CFE" w:rsidRPr="00164E1F" w:rsidRDefault="00EA5CFE" w:rsidP="00EF018F">
            <w:pPr>
              <w:spacing w:before="0" w:after="0" w:line="240" w:lineRule="auto"/>
              <w:ind w:left="0" w:right="0"/>
              <w:rPr>
                <w:sz w:val="18"/>
                <w:szCs w:val="18"/>
              </w:rPr>
            </w:pPr>
            <w:r w:rsidRPr="00164E1F">
              <w:rPr>
                <w:sz w:val="18"/>
                <w:szCs w:val="18"/>
              </w:rPr>
              <w:t>PPD 22 and 49</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0.09, 1.4, 3.4</w:t>
            </w:r>
          </w:p>
          <w:p w:rsidR="00EA5CFE" w:rsidRPr="00164E1F" w:rsidRDefault="00EA5CFE" w:rsidP="00EF018F">
            <w:pPr>
              <w:spacing w:before="0" w:after="0" w:line="240" w:lineRule="auto"/>
              <w:ind w:left="0" w:right="0"/>
              <w:rPr>
                <w:sz w:val="18"/>
                <w:szCs w:val="18"/>
              </w:rPr>
            </w:pPr>
            <w:r w:rsidRPr="00164E1F">
              <w:rPr>
                <w:sz w:val="18"/>
                <w:szCs w:val="18"/>
              </w:rPr>
              <w:t>0.26, 1.8, 3.1</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&lt;0.1, 0.8, 3.2</w:t>
            </w:r>
          </w:p>
          <w:p w:rsidR="00EA5CFE" w:rsidRPr="00164E1F" w:rsidRDefault="00EA5CFE" w:rsidP="00EF018F">
            <w:pPr>
              <w:spacing w:before="0" w:after="0" w:line="240" w:lineRule="auto"/>
              <w:ind w:left="0" w:right="0"/>
              <w:rPr>
                <w:sz w:val="18"/>
                <w:szCs w:val="18"/>
              </w:rPr>
            </w:pPr>
            <w:r w:rsidRPr="00164E1F">
              <w:rPr>
                <w:sz w:val="18"/>
                <w:szCs w:val="18"/>
              </w:rPr>
              <w:t>0.1, 0.9, 2.4</w:t>
            </w:r>
          </w:p>
        </w:tc>
      </w:tr>
      <w:tr w:rsidR="00EA5CFE" w:rsidRPr="00164E1F" w:rsidTr="00EF018F">
        <w:tc>
          <w:tcPr>
            <w:tcW w:w="851" w:type="dxa"/>
            <w:hideMark/>
          </w:tcPr>
          <w:p w:rsidR="00EA5CFE" w:rsidRPr="00164E1F" w:rsidRDefault="00EA5CFE" w:rsidP="00EF018F">
            <w:pPr>
              <w:spacing w:before="0" w:after="0" w:line="240" w:lineRule="auto"/>
              <w:ind w:left="0" w:right="0"/>
              <w:rPr>
                <w:sz w:val="18"/>
                <w:szCs w:val="18"/>
              </w:rPr>
            </w:pPr>
            <w:r w:rsidRPr="00164E1F">
              <w:rPr>
                <w:sz w:val="18"/>
                <w:szCs w:val="18"/>
              </w:rPr>
              <w:t>Rabbit</w:t>
            </w:r>
          </w:p>
        </w:tc>
        <w:tc>
          <w:tcPr>
            <w:tcW w:w="992"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GD 7-20</w:t>
            </w:r>
          </w:p>
        </w:tc>
        <w:tc>
          <w:tcPr>
            <w:tcW w:w="1701" w:type="dxa"/>
            <w:hideMark/>
          </w:tcPr>
          <w:p w:rsidR="00EA5CFE" w:rsidRPr="00164E1F" w:rsidRDefault="00EA5CFE" w:rsidP="00EF018F">
            <w:pPr>
              <w:spacing w:before="0" w:after="0" w:line="240" w:lineRule="auto"/>
              <w:ind w:left="0" w:right="0"/>
              <w:rPr>
                <w:sz w:val="18"/>
                <w:szCs w:val="18"/>
              </w:rPr>
            </w:pPr>
            <w:r w:rsidRPr="00164E1F">
              <w:rPr>
                <w:sz w:val="18"/>
                <w:szCs w:val="18"/>
              </w:rPr>
              <w:t>25, 50, 100</w:t>
            </w:r>
          </w:p>
        </w:tc>
        <w:tc>
          <w:tcPr>
            <w:tcW w:w="1985"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0.86, 9.7x, 23.4</w:t>
            </w:r>
          </w:p>
          <w:p w:rsidR="00EA5CFE" w:rsidRPr="00164E1F" w:rsidRDefault="00EA5CFE" w:rsidP="00EF018F">
            <w:pPr>
              <w:spacing w:before="0" w:after="0" w:line="240" w:lineRule="auto"/>
              <w:ind w:left="0" w:right="0"/>
              <w:rPr>
                <w:sz w:val="18"/>
                <w:szCs w:val="18"/>
              </w:rPr>
            </w:pPr>
            <w:r w:rsidRPr="00164E1F">
              <w:rPr>
                <w:sz w:val="18"/>
                <w:szCs w:val="18"/>
              </w:rPr>
              <w:t>GD 7 and 20</w:t>
            </w:r>
          </w:p>
        </w:tc>
        <w:tc>
          <w:tcPr>
            <w:tcW w:w="1701" w:type="dxa"/>
            <w:gridSpan w:val="2"/>
            <w:hideMark/>
          </w:tcPr>
          <w:p w:rsidR="00EA5CFE" w:rsidRPr="00164E1F" w:rsidRDefault="00EA5CFE" w:rsidP="00EF018F">
            <w:pPr>
              <w:spacing w:before="0" w:after="0" w:line="240" w:lineRule="auto"/>
              <w:ind w:left="0" w:right="0"/>
              <w:rPr>
                <w:sz w:val="18"/>
                <w:szCs w:val="18"/>
              </w:rPr>
            </w:pPr>
            <w:r w:rsidRPr="00164E1F">
              <w:rPr>
                <w:sz w:val="18"/>
                <w:szCs w:val="18"/>
              </w:rPr>
              <w:t>0.37, 2.4, 2.9</w:t>
            </w:r>
          </w:p>
        </w:tc>
        <w:tc>
          <w:tcPr>
            <w:tcW w:w="1417" w:type="dxa"/>
            <w:hideMark/>
          </w:tcPr>
          <w:p w:rsidR="00EA5CFE" w:rsidRPr="00164E1F" w:rsidRDefault="00EA5CFE" w:rsidP="00EF018F">
            <w:pPr>
              <w:spacing w:before="0" w:after="0" w:line="240" w:lineRule="auto"/>
              <w:ind w:left="0" w:right="0"/>
              <w:rPr>
                <w:sz w:val="18"/>
                <w:szCs w:val="18"/>
              </w:rPr>
            </w:pPr>
            <w:r w:rsidRPr="00164E1F">
              <w:rPr>
                <w:sz w:val="18"/>
                <w:szCs w:val="18"/>
              </w:rPr>
              <w:t>0.1, 1.2, 2.8</w:t>
            </w:r>
          </w:p>
        </w:tc>
      </w:tr>
      <w:tr w:rsidR="00EA5CFE" w:rsidRPr="00164E1F" w:rsidTr="00EF018F">
        <w:tc>
          <w:tcPr>
            <w:tcW w:w="8647" w:type="dxa"/>
            <w:gridSpan w:val="9"/>
            <w:hideMark/>
          </w:tcPr>
          <w:p w:rsidR="00890D33" w:rsidRPr="00164E1F" w:rsidRDefault="00EA5CFE" w:rsidP="006A4D4A">
            <w:pPr>
              <w:keepNext/>
              <w:spacing w:before="60" w:after="60" w:line="240" w:lineRule="auto"/>
              <w:ind w:left="0" w:right="0"/>
              <w:rPr>
                <w:b/>
                <w:sz w:val="18"/>
                <w:szCs w:val="18"/>
              </w:rPr>
            </w:pPr>
            <w:r w:rsidRPr="00164E1F">
              <w:rPr>
                <w:b/>
                <w:sz w:val="18"/>
                <w:szCs w:val="18"/>
              </w:rPr>
              <w:t xml:space="preserve">Elvitegravir/ </w:t>
            </w:r>
            <w:r w:rsidR="00A2001C" w:rsidRPr="00164E1F">
              <w:rPr>
                <w:b/>
                <w:sz w:val="18"/>
                <w:szCs w:val="18"/>
              </w:rPr>
              <w:t>COBI</w:t>
            </w:r>
            <w:r w:rsidRPr="00164E1F">
              <w:rPr>
                <w:b/>
                <w:sz w:val="18"/>
                <w:szCs w:val="18"/>
              </w:rPr>
              <w:t xml:space="preserve"> combination: General toxicity</w:t>
            </w:r>
          </w:p>
        </w:tc>
      </w:tr>
      <w:tr w:rsidR="00EA5CFE" w:rsidRPr="00164E1F" w:rsidTr="00EF018F">
        <w:tc>
          <w:tcPr>
            <w:tcW w:w="851" w:type="dxa"/>
            <w:hideMark/>
          </w:tcPr>
          <w:p w:rsidR="00EA5CFE" w:rsidRPr="00164E1F" w:rsidRDefault="00EA5CFE" w:rsidP="00EF018F">
            <w:pPr>
              <w:keepNext/>
              <w:keepLines/>
              <w:spacing w:before="0" w:after="0" w:line="240" w:lineRule="auto"/>
              <w:ind w:left="0" w:right="0"/>
              <w:rPr>
                <w:sz w:val="18"/>
                <w:szCs w:val="18"/>
              </w:rPr>
            </w:pPr>
            <w:r w:rsidRPr="00164E1F">
              <w:rPr>
                <w:sz w:val="18"/>
                <w:szCs w:val="18"/>
              </w:rPr>
              <w:t>Rat</w:t>
            </w:r>
          </w:p>
        </w:tc>
        <w:tc>
          <w:tcPr>
            <w:tcW w:w="992" w:type="dxa"/>
            <w:gridSpan w:val="2"/>
            <w:hideMark/>
          </w:tcPr>
          <w:p w:rsidR="00EA5CFE" w:rsidRPr="00164E1F" w:rsidRDefault="00EA5CFE" w:rsidP="00EF018F">
            <w:pPr>
              <w:keepNext/>
              <w:keepLines/>
              <w:spacing w:before="0" w:after="0" w:line="240" w:lineRule="auto"/>
              <w:ind w:left="0" w:right="0"/>
              <w:rPr>
                <w:sz w:val="18"/>
                <w:szCs w:val="18"/>
              </w:rPr>
            </w:pPr>
            <w:r w:rsidRPr="00164E1F">
              <w:rPr>
                <w:sz w:val="18"/>
                <w:szCs w:val="18"/>
              </w:rPr>
              <w:t>13</w:t>
            </w:r>
          </w:p>
        </w:tc>
        <w:tc>
          <w:tcPr>
            <w:tcW w:w="1701" w:type="dxa"/>
          </w:tcPr>
          <w:p w:rsidR="00EA5CFE" w:rsidRPr="00164E1F" w:rsidRDefault="00EA5CFE" w:rsidP="00EF018F">
            <w:pPr>
              <w:keepNext/>
              <w:keepLines/>
              <w:spacing w:before="0" w:after="0" w:line="240" w:lineRule="auto"/>
              <w:ind w:left="0" w:right="0"/>
              <w:rPr>
                <w:sz w:val="18"/>
                <w:szCs w:val="18"/>
              </w:rPr>
            </w:pPr>
            <w:r w:rsidRPr="00164E1F">
              <w:rPr>
                <w:sz w:val="18"/>
                <w:szCs w:val="18"/>
              </w:rPr>
              <w:t>100/30, 1000/30, 1000/0</w:t>
            </w:r>
          </w:p>
          <w:p w:rsidR="00EA5CFE" w:rsidRPr="00164E1F" w:rsidRDefault="00EA5CFE" w:rsidP="00EF018F">
            <w:pPr>
              <w:keepNext/>
              <w:keepLines/>
              <w:spacing w:before="0" w:after="0" w:line="240" w:lineRule="auto"/>
              <w:ind w:left="0" w:right="0"/>
              <w:rPr>
                <w:sz w:val="18"/>
                <w:szCs w:val="18"/>
              </w:rPr>
            </w:pPr>
          </w:p>
          <w:p w:rsidR="00EA5CFE" w:rsidRPr="00164E1F" w:rsidRDefault="00EA5CFE" w:rsidP="00EF018F">
            <w:pPr>
              <w:keepNext/>
              <w:keepLines/>
              <w:spacing w:before="0" w:after="0" w:line="240" w:lineRule="auto"/>
              <w:ind w:left="0" w:right="0"/>
              <w:rPr>
                <w:sz w:val="18"/>
                <w:szCs w:val="18"/>
              </w:rPr>
            </w:pPr>
            <w:r w:rsidRPr="00164E1F">
              <w:rPr>
                <w:sz w:val="18"/>
                <w:szCs w:val="18"/>
              </w:rPr>
              <w:t>0/30, 100/30, 1000/30</w:t>
            </w:r>
          </w:p>
        </w:tc>
        <w:tc>
          <w:tcPr>
            <w:tcW w:w="1985" w:type="dxa"/>
            <w:gridSpan w:val="2"/>
          </w:tcPr>
          <w:p w:rsidR="00EA5CFE" w:rsidRPr="00164E1F" w:rsidRDefault="00EA5CFE" w:rsidP="00EF018F">
            <w:pPr>
              <w:keepNext/>
              <w:keepLines/>
              <w:spacing w:before="0" w:after="0" w:line="240" w:lineRule="auto"/>
              <w:ind w:left="0" w:right="0"/>
              <w:rPr>
                <w:sz w:val="18"/>
                <w:szCs w:val="18"/>
              </w:rPr>
            </w:pPr>
            <w:r w:rsidRPr="00164E1F">
              <w:rPr>
                <w:sz w:val="18"/>
                <w:szCs w:val="18"/>
              </w:rPr>
              <w:t>Elvitegravir:</w:t>
            </w:r>
          </w:p>
          <w:p w:rsidR="00EA5CFE" w:rsidRPr="00164E1F" w:rsidRDefault="00EA5CFE" w:rsidP="00EF018F">
            <w:pPr>
              <w:keepNext/>
              <w:keepLines/>
              <w:spacing w:before="0" w:after="0" w:line="240" w:lineRule="auto"/>
              <w:ind w:left="0" w:right="0"/>
              <w:rPr>
                <w:sz w:val="18"/>
                <w:szCs w:val="18"/>
              </w:rPr>
            </w:pPr>
            <w:r w:rsidRPr="00164E1F">
              <w:rPr>
                <w:sz w:val="18"/>
                <w:szCs w:val="18"/>
              </w:rPr>
              <w:t>92.9, 302, 123 m</w:t>
            </w:r>
          </w:p>
          <w:p w:rsidR="00EA5CFE" w:rsidRPr="00164E1F" w:rsidRDefault="00EA5CFE" w:rsidP="00EF018F">
            <w:pPr>
              <w:keepNext/>
              <w:keepLines/>
              <w:spacing w:before="0" w:after="0" w:line="240" w:lineRule="auto"/>
              <w:ind w:left="0" w:right="0"/>
              <w:rPr>
                <w:sz w:val="18"/>
                <w:szCs w:val="18"/>
              </w:rPr>
            </w:pPr>
            <w:r w:rsidRPr="00164E1F">
              <w:rPr>
                <w:sz w:val="18"/>
                <w:szCs w:val="18"/>
              </w:rPr>
              <w:t xml:space="preserve">102, 295, 238 f </w:t>
            </w:r>
          </w:p>
          <w:p w:rsidR="00EA5CFE" w:rsidRPr="00164E1F" w:rsidRDefault="00EA5CFE" w:rsidP="00EF018F">
            <w:pPr>
              <w:keepNext/>
              <w:keepLines/>
              <w:spacing w:before="0" w:after="0" w:line="240" w:lineRule="auto"/>
              <w:ind w:left="0" w:right="0"/>
              <w:rPr>
                <w:sz w:val="18"/>
                <w:szCs w:val="18"/>
              </w:rPr>
            </w:pPr>
            <w:r w:rsidRPr="00164E1F">
              <w:rPr>
                <w:sz w:val="18"/>
                <w:szCs w:val="18"/>
              </w:rPr>
              <w:t xml:space="preserve">Cobicistat: </w:t>
            </w:r>
          </w:p>
          <w:p w:rsidR="00EA5CFE" w:rsidRPr="00164E1F" w:rsidRDefault="00EA5CFE" w:rsidP="00EF018F">
            <w:pPr>
              <w:keepNext/>
              <w:keepLines/>
              <w:spacing w:before="0" w:after="0" w:line="240" w:lineRule="auto"/>
              <w:ind w:left="0" w:right="0"/>
              <w:rPr>
                <w:sz w:val="18"/>
                <w:szCs w:val="18"/>
              </w:rPr>
            </w:pPr>
            <w:r w:rsidRPr="00164E1F">
              <w:rPr>
                <w:sz w:val="18"/>
                <w:szCs w:val="18"/>
              </w:rPr>
              <w:t>9.3, 7.2, 4.2 m</w:t>
            </w:r>
          </w:p>
          <w:p w:rsidR="00EA5CFE" w:rsidRPr="00164E1F" w:rsidRDefault="00EA5CFE" w:rsidP="00EF018F">
            <w:pPr>
              <w:keepNext/>
              <w:keepLines/>
              <w:spacing w:before="0" w:after="0" w:line="240" w:lineRule="auto"/>
              <w:ind w:left="0" w:right="0"/>
              <w:rPr>
                <w:sz w:val="18"/>
                <w:szCs w:val="18"/>
              </w:rPr>
            </w:pPr>
            <w:r w:rsidRPr="00164E1F">
              <w:rPr>
                <w:sz w:val="18"/>
                <w:szCs w:val="18"/>
              </w:rPr>
              <w:t>14.6, 13.7, 9.4 f</w:t>
            </w:r>
          </w:p>
          <w:p w:rsidR="00EA5CFE" w:rsidRPr="00164E1F" w:rsidRDefault="00EA5CFE" w:rsidP="00EF018F">
            <w:pPr>
              <w:keepNext/>
              <w:keepLines/>
              <w:spacing w:before="0" w:after="0" w:line="240" w:lineRule="auto"/>
              <w:ind w:left="0" w:right="0"/>
              <w:rPr>
                <w:sz w:val="18"/>
                <w:szCs w:val="18"/>
              </w:rPr>
            </w:pPr>
            <w:r w:rsidRPr="00164E1F">
              <w:rPr>
                <w:sz w:val="18"/>
                <w:szCs w:val="18"/>
              </w:rPr>
              <w:t>days 1 and 90</w:t>
            </w:r>
          </w:p>
        </w:tc>
        <w:tc>
          <w:tcPr>
            <w:tcW w:w="1701" w:type="dxa"/>
            <w:gridSpan w:val="2"/>
          </w:tcPr>
          <w:p w:rsidR="00EA5CFE" w:rsidRPr="00164E1F" w:rsidRDefault="00EA5CFE" w:rsidP="00EF018F">
            <w:pPr>
              <w:keepNext/>
              <w:keepLines/>
              <w:spacing w:before="0" w:after="0" w:line="240" w:lineRule="auto"/>
              <w:ind w:left="0" w:right="0"/>
              <w:rPr>
                <w:sz w:val="18"/>
                <w:szCs w:val="18"/>
              </w:rPr>
            </w:pPr>
          </w:p>
          <w:p w:rsidR="00EA5CFE" w:rsidRPr="00164E1F" w:rsidRDefault="00EA5CFE" w:rsidP="00EF018F">
            <w:pPr>
              <w:keepNext/>
              <w:keepLines/>
              <w:spacing w:before="0" w:after="0" w:line="240" w:lineRule="auto"/>
              <w:ind w:left="0" w:right="0"/>
              <w:rPr>
                <w:sz w:val="18"/>
                <w:szCs w:val="18"/>
              </w:rPr>
            </w:pPr>
            <w:r w:rsidRPr="00164E1F">
              <w:rPr>
                <w:sz w:val="18"/>
                <w:szCs w:val="18"/>
              </w:rPr>
              <w:t>26.9, 52.8, 35.3</w:t>
            </w:r>
          </w:p>
          <w:p w:rsidR="00EA5CFE" w:rsidRPr="00164E1F" w:rsidRDefault="00EA5CFE" w:rsidP="00EF018F">
            <w:pPr>
              <w:keepNext/>
              <w:keepLines/>
              <w:spacing w:before="0" w:after="0" w:line="240" w:lineRule="auto"/>
              <w:ind w:left="0" w:right="0"/>
              <w:rPr>
                <w:sz w:val="18"/>
                <w:szCs w:val="18"/>
              </w:rPr>
            </w:pPr>
            <w:r w:rsidRPr="00164E1F">
              <w:rPr>
                <w:sz w:val="18"/>
                <w:szCs w:val="18"/>
              </w:rPr>
              <w:t>23.5, 60.9, 58.1</w:t>
            </w:r>
          </w:p>
          <w:p w:rsidR="00EA5CFE" w:rsidRPr="00164E1F" w:rsidRDefault="00EA5CFE" w:rsidP="00EF018F">
            <w:pPr>
              <w:keepNext/>
              <w:keepLines/>
              <w:spacing w:before="0" w:after="0" w:line="240" w:lineRule="auto"/>
              <w:ind w:left="0" w:right="0"/>
              <w:rPr>
                <w:sz w:val="18"/>
                <w:szCs w:val="18"/>
              </w:rPr>
            </w:pPr>
          </w:p>
          <w:p w:rsidR="00EA5CFE" w:rsidRPr="00164E1F" w:rsidRDefault="00EA5CFE" w:rsidP="00EF018F">
            <w:pPr>
              <w:keepNext/>
              <w:keepLines/>
              <w:spacing w:before="0" w:after="0" w:line="240" w:lineRule="auto"/>
              <w:ind w:left="0" w:right="0"/>
              <w:rPr>
                <w:sz w:val="18"/>
                <w:szCs w:val="18"/>
              </w:rPr>
            </w:pPr>
            <w:r w:rsidRPr="00164E1F">
              <w:rPr>
                <w:sz w:val="18"/>
                <w:szCs w:val="18"/>
              </w:rPr>
              <w:t>2.2, 1.8, 1.2</w:t>
            </w:r>
          </w:p>
          <w:p w:rsidR="00EA5CFE" w:rsidRPr="00164E1F" w:rsidRDefault="00EA5CFE" w:rsidP="00EF018F">
            <w:pPr>
              <w:keepNext/>
              <w:keepLines/>
              <w:spacing w:before="0" w:after="0" w:line="240" w:lineRule="auto"/>
              <w:ind w:left="0" w:right="0"/>
              <w:rPr>
                <w:sz w:val="18"/>
                <w:szCs w:val="18"/>
              </w:rPr>
            </w:pPr>
            <w:r w:rsidRPr="00164E1F">
              <w:rPr>
                <w:sz w:val="18"/>
                <w:szCs w:val="18"/>
              </w:rPr>
              <w:t>2.9, 2.6, 3.0</w:t>
            </w:r>
          </w:p>
        </w:tc>
        <w:tc>
          <w:tcPr>
            <w:tcW w:w="1417" w:type="dxa"/>
          </w:tcPr>
          <w:p w:rsidR="00EA5CFE" w:rsidRPr="00164E1F" w:rsidRDefault="00EA5CFE" w:rsidP="00EF018F">
            <w:pPr>
              <w:keepNext/>
              <w:keepLines/>
              <w:spacing w:before="0" w:after="0" w:line="240" w:lineRule="auto"/>
              <w:ind w:left="0" w:right="0"/>
              <w:rPr>
                <w:sz w:val="18"/>
                <w:szCs w:val="18"/>
              </w:rPr>
            </w:pPr>
          </w:p>
          <w:p w:rsidR="00EA5CFE" w:rsidRPr="00164E1F" w:rsidRDefault="00EA5CFE" w:rsidP="00EF018F">
            <w:pPr>
              <w:keepNext/>
              <w:keepLines/>
              <w:spacing w:before="0" w:after="0" w:line="240" w:lineRule="auto"/>
              <w:ind w:left="0" w:right="0"/>
              <w:rPr>
                <w:sz w:val="18"/>
                <w:szCs w:val="18"/>
              </w:rPr>
            </w:pPr>
            <w:r w:rsidRPr="00164E1F">
              <w:rPr>
                <w:sz w:val="18"/>
                <w:szCs w:val="18"/>
              </w:rPr>
              <w:t>4.0, 13.1, 5.3</w:t>
            </w:r>
          </w:p>
          <w:p w:rsidR="00EA5CFE" w:rsidRPr="00164E1F" w:rsidRDefault="00EA5CFE" w:rsidP="00EF018F">
            <w:pPr>
              <w:keepNext/>
              <w:keepLines/>
              <w:spacing w:before="0" w:after="0" w:line="240" w:lineRule="auto"/>
              <w:ind w:left="0" w:right="0"/>
              <w:rPr>
                <w:sz w:val="18"/>
                <w:szCs w:val="18"/>
              </w:rPr>
            </w:pPr>
            <w:r w:rsidRPr="00164E1F">
              <w:rPr>
                <w:sz w:val="18"/>
                <w:szCs w:val="18"/>
              </w:rPr>
              <w:t>4.4, 12.8, 10.3</w:t>
            </w:r>
          </w:p>
          <w:p w:rsidR="00EA5CFE" w:rsidRPr="00164E1F" w:rsidRDefault="00EA5CFE" w:rsidP="00EF018F">
            <w:pPr>
              <w:keepNext/>
              <w:keepLines/>
              <w:spacing w:before="0" w:after="0" w:line="240" w:lineRule="auto"/>
              <w:ind w:left="0" w:right="0"/>
              <w:rPr>
                <w:sz w:val="18"/>
                <w:szCs w:val="18"/>
              </w:rPr>
            </w:pPr>
          </w:p>
          <w:p w:rsidR="00EA5CFE" w:rsidRPr="00164E1F" w:rsidRDefault="00EA5CFE" w:rsidP="00EF018F">
            <w:pPr>
              <w:keepNext/>
              <w:keepLines/>
              <w:spacing w:before="0" w:after="0" w:line="240" w:lineRule="auto"/>
              <w:ind w:left="0" w:right="0"/>
              <w:rPr>
                <w:sz w:val="18"/>
                <w:szCs w:val="18"/>
              </w:rPr>
            </w:pPr>
            <w:r w:rsidRPr="00164E1F">
              <w:rPr>
                <w:sz w:val="18"/>
                <w:szCs w:val="18"/>
              </w:rPr>
              <w:t>1.1, 0.9, 0.5</w:t>
            </w:r>
          </w:p>
          <w:p w:rsidR="00EA5CFE" w:rsidRPr="00164E1F" w:rsidRDefault="00EA5CFE" w:rsidP="00EF018F">
            <w:pPr>
              <w:keepNext/>
              <w:keepLines/>
              <w:spacing w:before="0" w:after="0" w:line="240" w:lineRule="auto"/>
              <w:ind w:left="0" w:right="0"/>
              <w:rPr>
                <w:sz w:val="18"/>
                <w:szCs w:val="18"/>
              </w:rPr>
            </w:pPr>
            <w:r w:rsidRPr="00164E1F">
              <w:rPr>
                <w:sz w:val="18"/>
                <w:szCs w:val="18"/>
              </w:rPr>
              <w:t>1.8, 1.6, 1.1</w:t>
            </w:r>
          </w:p>
        </w:tc>
      </w:tr>
    </w:tbl>
    <w:p w:rsidR="00EA5CFE" w:rsidRPr="00877062" w:rsidRDefault="00EA5CFE" w:rsidP="00EF018F">
      <w:pPr>
        <w:keepNext/>
        <w:keepLines/>
        <w:spacing w:before="0" w:after="0" w:line="240" w:lineRule="auto"/>
        <w:rPr>
          <w:sz w:val="18"/>
          <w:szCs w:val="18"/>
        </w:rPr>
      </w:pPr>
      <w:r w:rsidRPr="00877062">
        <w:rPr>
          <w:sz w:val="18"/>
          <w:szCs w:val="18"/>
        </w:rPr>
        <w:lastRenderedPageBreak/>
        <w:t>† concentrations were generally given as ng in reports and these have been standardised (and rounded) as µg</w:t>
      </w:r>
      <w:r w:rsidR="00400E88">
        <w:rPr>
          <w:sz w:val="18"/>
          <w:szCs w:val="18"/>
        </w:rPr>
        <w:t>;</w:t>
      </w:r>
      <w:r w:rsidRPr="00877062">
        <w:rPr>
          <w:sz w:val="18"/>
          <w:szCs w:val="18"/>
        </w:rPr>
        <w:t xml:space="preserve"> </w:t>
      </w:r>
    </w:p>
    <w:p w:rsidR="00EA5CFE" w:rsidRPr="00877062" w:rsidRDefault="00EA5CFE" w:rsidP="00EF018F">
      <w:pPr>
        <w:keepNext/>
        <w:keepLines/>
        <w:spacing w:before="0" w:after="0" w:line="240" w:lineRule="auto"/>
        <w:rPr>
          <w:sz w:val="18"/>
          <w:szCs w:val="18"/>
        </w:rPr>
      </w:pPr>
      <w:r w:rsidRPr="00877062">
        <w:rPr>
          <w:sz w:val="18"/>
          <w:szCs w:val="18"/>
        </w:rPr>
        <w:t>^ highest measured mean concentration rather than true Cmax because of relatively sparse sampling times</w:t>
      </w:r>
      <w:r w:rsidR="00400E88">
        <w:rPr>
          <w:sz w:val="18"/>
          <w:szCs w:val="18"/>
        </w:rPr>
        <w:t>;</w:t>
      </w:r>
    </w:p>
    <w:p w:rsidR="00EA5CFE" w:rsidRPr="00877062" w:rsidRDefault="00EA5CFE" w:rsidP="00EF018F">
      <w:pPr>
        <w:keepNext/>
        <w:keepLines/>
        <w:spacing w:before="0" w:after="0" w:line="240" w:lineRule="auto"/>
        <w:rPr>
          <w:sz w:val="18"/>
          <w:szCs w:val="18"/>
        </w:rPr>
      </w:pPr>
      <w:r w:rsidRPr="00877062">
        <w:rPr>
          <w:sz w:val="18"/>
          <w:szCs w:val="18"/>
        </w:rPr>
        <w:t xml:space="preserve">* carcinogenicity studies, # R = </w:t>
      </w:r>
      <w:r w:rsidR="00BB2DAA" w:rsidRPr="00877062">
        <w:rPr>
          <w:sz w:val="18"/>
          <w:szCs w:val="18"/>
        </w:rPr>
        <w:t xml:space="preserve">EVG </w:t>
      </w:r>
      <w:r w:rsidRPr="00877062">
        <w:rPr>
          <w:sz w:val="18"/>
          <w:szCs w:val="18"/>
        </w:rPr>
        <w:t xml:space="preserve">together with 10 or 25 mg/kg/day </w:t>
      </w:r>
      <w:r w:rsidR="00CC292E">
        <w:rPr>
          <w:sz w:val="18"/>
          <w:szCs w:val="18"/>
        </w:rPr>
        <w:t>RTV</w:t>
      </w:r>
      <w:r w:rsidR="00400E88">
        <w:rPr>
          <w:sz w:val="18"/>
          <w:szCs w:val="18"/>
        </w:rPr>
        <w:t>;</w:t>
      </w:r>
    </w:p>
    <w:p w:rsidR="00EA5CFE" w:rsidRPr="00877062" w:rsidRDefault="00EA5CFE" w:rsidP="00EF018F">
      <w:pPr>
        <w:keepNext/>
        <w:keepLines/>
        <w:spacing w:before="0" w:after="0" w:line="240" w:lineRule="auto"/>
        <w:rPr>
          <w:sz w:val="18"/>
          <w:szCs w:val="18"/>
        </w:rPr>
      </w:pPr>
      <w:r w:rsidRPr="00877062">
        <w:rPr>
          <w:sz w:val="18"/>
          <w:szCs w:val="18"/>
        </w:rPr>
        <w:t>&amp; AUC</w:t>
      </w:r>
      <w:r w:rsidRPr="00400E88">
        <w:rPr>
          <w:sz w:val="18"/>
          <w:szCs w:val="18"/>
          <w:vertAlign w:val="subscript"/>
        </w:rPr>
        <w:t>0-t</w:t>
      </w:r>
      <w:r w:rsidRPr="00877062">
        <w:rPr>
          <w:sz w:val="18"/>
          <w:szCs w:val="18"/>
        </w:rPr>
        <w:t xml:space="preserve"> relative to human steady state values of 23.0 (</w:t>
      </w:r>
      <w:r w:rsidR="00BB2DAA" w:rsidRPr="00877062">
        <w:rPr>
          <w:sz w:val="18"/>
          <w:szCs w:val="18"/>
        </w:rPr>
        <w:t xml:space="preserve">EVG </w:t>
      </w:r>
      <w:r w:rsidRPr="00877062">
        <w:rPr>
          <w:sz w:val="18"/>
          <w:szCs w:val="18"/>
        </w:rPr>
        <w:t>) and 8.3 (</w:t>
      </w:r>
      <w:r w:rsidR="00A2001C" w:rsidRPr="00877062">
        <w:rPr>
          <w:sz w:val="18"/>
          <w:szCs w:val="18"/>
        </w:rPr>
        <w:t>COBI</w:t>
      </w:r>
      <w:r w:rsidRPr="00877062">
        <w:rPr>
          <w:sz w:val="18"/>
          <w:szCs w:val="18"/>
        </w:rPr>
        <w:t>) μg.h/mL after treatment with the 4-drug combination in HIV-1 infected subjects ; AUC</w:t>
      </w:r>
      <w:r w:rsidRPr="00400E88">
        <w:rPr>
          <w:sz w:val="18"/>
          <w:szCs w:val="18"/>
          <w:vertAlign w:val="subscript"/>
        </w:rPr>
        <w:t>0-t</w:t>
      </w:r>
      <w:r w:rsidRPr="00877062">
        <w:rPr>
          <w:sz w:val="18"/>
          <w:szCs w:val="18"/>
        </w:rPr>
        <w:t xml:space="preserve"> values are to times of last measurable concentration up to 24 h with daily dosing</w:t>
      </w:r>
      <w:r w:rsidR="00400E88">
        <w:rPr>
          <w:sz w:val="18"/>
          <w:szCs w:val="18"/>
        </w:rPr>
        <w:t>;</w:t>
      </w:r>
      <w:r w:rsidRPr="00877062">
        <w:rPr>
          <w:sz w:val="18"/>
          <w:szCs w:val="18"/>
        </w:rPr>
        <w:t xml:space="preserve"> $ only week 26 for the </w:t>
      </w:r>
      <w:r w:rsidR="00400E88">
        <w:rPr>
          <w:sz w:val="18"/>
          <w:szCs w:val="18"/>
        </w:rPr>
        <w:t xml:space="preserve">low dose and mid dose </w:t>
      </w:r>
      <w:r w:rsidRPr="00877062">
        <w:rPr>
          <w:sz w:val="18"/>
          <w:szCs w:val="18"/>
        </w:rPr>
        <w:t>(not determined in week 1)</w:t>
      </w:r>
      <w:r w:rsidR="00400E88">
        <w:rPr>
          <w:sz w:val="18"/>
          <w:szCs w:val="18"/>
        </w:rPr>
        <w:t xml:space="preserve">; </w:t>
      </w:r>
      <w:r w:rsidRPr="00877062">
        <w:rPr>
          <w:sz w:val="18"/>
          <w:szCs w:val="18"/>
        </w:rPr>
        <w:t xml:space="preserve">∆ part of the pre-/post-natal studies; offspring also dosed </w:t>
      </w:r>
      <w:r w:rsidRPr="00400E88">
        <w:rPr>
          <w:i/>
          <w:sz w:val="18"/>
          <w:szCs w:val="18"/>
        </w:rPr>
        <w:t>in utero</w:t>
      </w:r>
      <w:r w:rsidRPr="00877062">
        <w:rPr>
          <w:sz w:val="18"/>
          <w:szCs w:val="18"/>
        </w:rPr>
        <w:t xml:space="preserve"> and </w:t>
      </w:r>
      <w:r w:rsidR="00BB7072" w:rsidRPr="00877062">
        <w:rPr>
          <w:i/>
          <w:sz w:val="18"/>
          <w:szCs w:val="18"/>
        </w:rPr>
        <w:t>via</w:t>
      </w:r>
      <w:r w:rsidRPr="00877062">
        <w:rPr>
          <w:sz w:val="18"/>
          <w:szCs w:val="18"/>
        </w:rPr>
        <w:t xml:space="preserve"> milk</w:t>
      </w:r>
      <w:r w:rsidR="00877062">
        <w:rPr>
          <w:sz w:val="18"/>
          <w:szCs w:val="18"/>
        </w:rPr>
        <w:t xml:space="preserve">; </w:t>
      </w:r>
      <w:r w:rsidR="00400E88">
        <w:rPr>
          <w:sz w:val="18"/>
          <w:szCs w:val="18"/>
        </w:rPr>
        <w:t>x mean of 0.31 and 19.2 µg.h/mL;</w:t>
      </w:r>
      <w:r w:rsidR="00400E88" w:rsidRPr="00877062">
        <w:rPr>
          <w:sz w:val="18"/>
          <w:szCs w:val="18"/>
        </w:rPr>
        <w:t xml:space="preserve"> </w:t>
      </w:r>
      <w:r w:rsidRPr="00877062">
        <w:rPr>
          <w:sz w:val="18"/>
          <w:szCs w:val="18"/>
        </w:rPr>
        <w:t>GD = gestation day, PPD = post-partum day</w:t>
      </w:r>
      <w:r w:rsidR="00400E88">
        <w:rPr>
          <w:sz w:val="18"/>
          <w:szCs w:val="18"/>
        </w:rPr>
        <w:t>,</w:t>
      </w:r>
      <w:r w:rsidR="00266218">
        <w:rPr>
          <w:sz w:val="18"/>
          <w:szCs w:val="18"/>
        </w:rPr>
        <w:t xml:space="preserve"> wks = weeks</w:t>
      </w:r>
    </w:p>
    <w:p w:rsidR="00EA5CFE" w:rsidRPr="00EA5CFE" w:rsidRDefault="00EA5CFE" w:rsidP="00EF018F">
      <w:r w:rsidRPr="00EA5CFE">
        <w:t xml:space="preserve">Elvitegravir exposure ratios were high in the rat studies, with noticeably higher values in females than males, but relatively low in dogs and mice, although these were boosted considerably by co-administration of </w:t>
      </w:r>
      <w:r w:rsidR="00CC292E">
        <w:t>RTV</w:t>
      </w:r>
      <w:r w:rsidRPr="00EA5CFE">
        <w:t xml:space="preserve"> in the latter species.</w:t>
      </w:r>
      <w:r w:rsidR="00841BE4">
        <w:t xml:space="preserve"> </w:t>
      </w:r>
      <w:r w:rsidRPr="00EA5CFE">
        <w:t xml:space="preserve">Particularly low values were achieved in the rabbit embryofetal development study, which is discussed further under </w:t>
      </w:r>
      <w:r w:rsidRPr="00ED7FA8">
        <w:rPr>
          <w:i/>
        </w:rPr>
        <w:t>Reproductive toxicity</w:t>
      </w:r>
      <w:r w:rsidR="00ED7FA8">
        <w:t>, below</w:t>
      </w:r>
      <w:r w:rsidRPr="00EA5CFE">
        <w:t>.</w:t>
      </w:r>
      <w:r w:rsidR="00841BE4">
        <w:t xml:space="preserve"> </w:t>
      </w:r>
      <w:r w:rsidRPr="00EA5CFE">
        <w:t>Cobicistat exposure ratios were relatively low in all studies, but were acceptable except for those achieved in the rat pre-/post-natal study in which the high dose exposure was comparable to those expected in humans. There were no toxicokinetic data for the fertility and early embryonic development studies conducted in rats, but they could be estimated from the 13 week (</w:t>
      </w:r>
      <w:r w:rsidR="00BB2DAA">
        <w:t xml:space="preserve">EVG </w:t>
      </w:r>
      <w:r w:rsidRPr="00EA5CFE">
        <w:t>) or 26 week (</w:t>
      </w:r>
      <w:r w:rsidR="00A2001C">
        <w:t>COBI</w:t>
      </w:r>
      <w:r w:rsidRPr="00EA5CFE">
        <w:t xml:space="preserve">) general toxicity study values. Exposures were less than optimal in the rat </w:t>
      </w:r>
      <w:r w:rsidR="00A2001C">
        <w:t>COBI</w:t>
      </w:r>
      <w:r w:rsidRPr="00EA5CFE">
        <w:t xml:space="preserve"> carcinogenicity study, with only the high-dose values being above that expected in humans.</w:t>
      </w:r>
      <w:r w:rsidR="00841BE4">
        <w:t xml:space="preserve"> </w:t>
      </w:r>
    </w:p>
    <w:p w:rsidR="00EA5CFE" w:rsidRPr="00EA5CFE" w:rsidRDefault="00BB7072" w:rsidP="00EA5CFE">
      <w:r w:rsidRPr="00BB7072">
        <w:rPr>
          <w:i/>
        </w:rPr>
        <w:t>In vitro</w:t>
      </w:r>
      <w:r w:rsidR="00EA5CFE" w:rsidRPr="00EA5CFE">
        <w:t xml:space="preserve"> plasma protein binding assessments showed almost complete binding for </w:t>
      </w:r>
      <w:r w:rsidR="00BB2DAA">
        <w:t xml:space="preserve">EVG </w:t>
      </w:r>
      <w:r w:rsidR="00EA5CFE" w:rsidRPr="00EA5CFE">
        <w:t>(0.1-10 µg/mL) in human, dog and rat samples, with only minimally higher values in rats (99.9%</w:t>
      </w:r>
      <w:r w:rsidR="00700880" w:rsidRPr="00700880">
        <w:t xml:space="preserve"> versus </w:t>
      </w:r>
      <w:r w:rsidR="00EA5CFE" w:rsidRPr="00EA5CFE">
        <w:t>99.3% in humans), and no adjustment in exposure ratios is required.</w:t>
      </w:r>
      <w:r w:rsidR="00841BE4">
        <w:t xml:space="preserve"> </w:t>
      </w:r>
      <w:r w:rsidRPr="00BB7072">
        <w:rPr>
          <w:i/>
        </w:rPr>
        <w:t>In vitro</w:t>
      </w:r>
      <w:r w:rsidR="00EA5CFE" w:rsidRPr="00EA5CFE">
        <w:t xml:space="preserve"> data were obtained for mouse plasma following </w:t>
      </w:r>
      <w:r w:rsidRPr="00BB7072">
        <w:rPr>
          <w:i/>
        </w:rPr>
        <w:t>in vivo</w:t>
      </w:r>
      <w:r w:rsidR="00EA5CFE" w:rsidRPr="00EA5CFE">
        <w:t xml:space="preserve"> exposure, with a similarly high binding of added </w:t>
      </w:r>
      <w:r w:rsidR="00802AA0" w:rsidRPr="00CC6848">
        <w:rPr>
          <w:vertAlign w:val="superscript"/>
        </w:rPr>
        <w:t>14</w:t>
      </w:r>
      <w:r w:rsidR="00802AA0" w:rsidRPr="00EA5CFE">
        <w:t>C</w:t>
      </w:r>
      <w:r w:rsidR="00802AA0">
        <w:t>-</w:t>
      </w:r>
      <w:r w:rsidR="00BB2DAA">
        <w:t xml:space="preserve">EVG </w:t>
      </w:r>
      <w:r w:rsidR="00EA5CFE" w:rsidRPr="00EA5CFE">
        <w:t>(0.5 µg/mL) being measured (99.7%).</w:t>
      </w:r>
      <w:r w:rsidR="00841BE4">
        <w:t xml:space="preserve"> </w:t>
      </w:r>
      <w:r w:rsidR="00EA5CFE" w:rsidRPr="00EA5CFE">
        <w:t xml:space="preserve">Cobicistat showed lower binding, </w:t>
      </w:r>
      <w:r w:rsidR="00700880">
        <w:t>that is,</w:t>
      </w:r>
      <w:r w:rsidR="00EA5CFE" w:rsidRPr="00EA5CFE">
        <w:t xml:space="preserve"> 93.7% at 0.78 µg/mL (which approximates the mean Cmax of </w:t>
      </w:r>
      <w:r w:rsidR="007C46CB">
        <w:t>1.1 </w:t>
      </w:r>
      <w:r w:rsidR="00EA5CFE" w:rsidRPr="00EA5CFE">
        <w:t>µg/mL) in human plasma, and there was a noticeable inverse dose-relationship</w:t>
      </w:r>
      <w:r w:rsidR="00735A65">
        <w:t xml:space="preserve"> </w:t>
      </w:r>
      <w:r w:rsidR="00EA5CFE" w:rsidRPr="00EA5CFE">
        <w:t>in rats.</w:t>
      </w:r>
      <w:r w:rsidR="00841BE4">
        <w:t xml:space="preserve"> </w:t>
      </w:r>
      <w:r w:rsidR="00EA5CFE" w:rsidRPr="00EA5CFE">
        <w:t xml:space="preserve">However, the overall pattern of binding values did not suggest any adjustment of exposure ratios was needed. Adequate tissue distribution studies were conducted in male rats receiving PO </w:t>
      </w:r>
      <w:r w:rsidR="00802AA0" w:rsidRPr="00CC6848">
        <w:rPr>
          <w:vertAlign w:val="superscript"/>
        </w:rPr>
        <w:t>14</w:t>
      </w:r>
      <w:r w:rsidR="00802AA0" w:rsidRPr="00EA5CFE">
        <w:t>C</w:t>
      </w:r>
      <w:r w:rsidR="00802AA0">
        <w:t>-</w:t>
      </w:r>
      <w:r w:rsidR="00A2001C">
        <w:t>COBI</w:t>
      </w:r>
      <w:r w:rsidR="00EA5CFE" w:rsidRPr="00EA5CFE">
        <w:t xml:space="preserve"> or </w:t>
      </w:r>
      <w:r w:rsidR="00802AA0" w:rsidRPr="00CC6848">
        <w:rPr>
          <w:vertAlign w:val="superscript"/>
        </w:rPr>
        <w:t>14</w:t>
      </w:r>
      <w:r w:rsidR="00802AA0" w:rsidRPr="00EA5CFE">
        <w:t>C</w:t>
      </w:r>
      <w:r w:rsidR="00802AA0">
        <w:t>-</w:t>
      </w:r>
      <w:r w:rsidR="00E1241E">
        <w:t>EVG</w:t>
      </w:r>
      <w:r w:rsidR="00EA5CFE" w:rsidRPr="00EA5CFE">
        <w:t>, with no unexpected findings, but it was notable that radioactivity was low in the CNS after treatment with both compounds.</w:t>
      </w:r>
      <w:r w:rsidR="00841BE4">
        <w:t xml:space="preserve"> </w:t>
      </w:r>
      <w:r w:rsidR="00EA5CFE" w:rsidRPr="00EA5CFE">
        <w:t xml:space="preserve">Little solid tissue radioactivity was measurable in dogs at the only sample time of 168 h after PO or IV administration of </w:t>
      </w:r>
      <w:r w:rsidR="00802AA0" w:rsidRPr="00CC6848">
        <w:rPr>
          <w:vertAlign w:val="superscript"/>
        </w:rPr>
        <w:t>14</w:t>
      </w:r>
      <w:r w:rsidR="00802AA0" w:rsidRPr="00EA5CFE">
        <w:t>C</w:t>
      </w:r>
      <w:r w:rsidR="00802AA0">
        <w:t>-</w:t>
      </w:r>
      <w:r w:rsidR="00BB2DAA">
        <w:t xml:space="preserve">EVG </w:t>
      </w:r>
      <w:r w:rsidR="00EA5CFE" w:rsidRPr="00EA5CFE">
        <w:t xml:space="preserve">in what was primarily a plasma </w:t>
      </w:r>
      <w:r w:rsidR="007C46CB">
        <w:t xml:space="preserve">PK </w:t>
      </w:r>
      <w:r w:rsidR="00EA5CFE" w:rsidRPr="00EA5CFE">
        <w:t>study.</w:t>
      </w:r>
      <w:r w:rsidR="00841BE4">
        <w:t xml:space="preserve"> </w:t>
      </w:r>
    </w:p>
    <w:p w:rsidR="00EA5CFE" w:rsidRPr="00EA5CFE" w:rsidRDefault="00EA5CFE" w:rsidP="00EA5CFE">
      <w:r w:rsidRPr="007C46CB">
        <w:rPr>
          <w:i/>
        </w:rPr>
        <w:t>Metabolism.</w:t>
      </w:r>
      <w:r w:rsidRPr="00EA5CFE">
        <w:t xml:space="preserve"> Plasma radioactivity was associated primarily with unchanged drug following PO </w:t>
      </w:r>
      <w:r w:rsidR="00802AA0" w:rsidRPr="00CC6848">
        <w:rPr>
          <w:vertAlign w:val="superscript"/>
        </w:rPr>
        <w:t>14</w:t>
      </w:r>
      <w:r w:rsidR="00802AA0" w:rsidRPr="00EA5CFE">
        <w:t>C</w:t>
      </w:r>
      <w:r w:rsidR="00802AA0">
        <w:t>-</w:t>
      </w:r>
      <w:r w:rsidR="00BB2DAA">
        <w:t xml:space="preserve">EVG </w:t>
      </w:r>
      <w:r w:rsidRPr="00EA5CFE">
        <w:t>administration in humans (94%), with minor metabolites including the glucuronide M4 (GS-9200).</w:t>
      </w:r>
      <w:r w:rsidR="00841BE4">
        <w:t xml:space="preserve"> </w:t>
      </w:r>
      <w:r w:rsidRPr="00EA5CFE">
        <w:t>This metabolite, which also showed some anti-HIV-1 activity, was present in mouse and rat plasma after PO administration, but only sporadically in dog plasma although it was present in more substantial amounts in this species after IV administration.</w:t>
      </w:r>
      <w:r w:rsidR="00841BE4">
        <w:t xml:space="preserve"> </w:t>
      </w:r>
      <w:r w:rsidRPr="00EA5CFE">
        <w:t>Plasma AUC</w:t>
      </w:r>
      <w:r w:rsidR="007C46CB">
        <w:t xml:space="preserve"> over time zero to 24 h (AUC</w:t>
      </w:r>
      <w:r w:rsidRPr="007C46CB">
        <w:rPr>
          <w:vertAlign w:val="subscript"/>
        </w:rPr>
        <w:t>0-24 h</w:t>
      </w:r>
      <w:r w:rsidR="007C46CB">
        <w:t>)</w:t>
      </w:r>
      <w:r w:rsidRPr="00EA5CFE">
        <w:t xml:space="preserve"> measurements in the mouse 13 week toxicity study showed that high-dose exposure to GS-9200 was 27-30% that for the parent drug on day 91.</w:t>
      </w:r>
      <w:r w:rsidR="00841BE4">
        <w:t xml:space="preserve"> </w:t>
      </w:r>
      <w:r w:rsidRPr="00EA5CFE">
        <w:t xml:space="preserve">Following administration of PO </w:t>
      </w:r>
      <w:r w:rsidR="00802AA0" w:rsidRPr="00CC6848">
        <w:rPr>
          <w:vertAlign w:val="superscript"/>
        </w:rPr>
        <w:t>14</w:t>
      </w:r>
      <w:r w:rsidR="00802AA0" w:rsidRPr="00EA5CFE">
        <w:t>C</w:t>
      </w:r>
      <w:r w:rsidR="00802AA0">
        <w:t>-</w:t>
      </w:r>
      <w:r w:rsidR="00A2001C">
        <w:t>COBI</w:t>
      </w:r>
      <w:r w:rsidRPr="00EA5CFE">
        <w:t xml:space="preserve"> to humans, plasma radioactivity was overwhelmingly associated with parent drug (98.6% over 24 h). This was in contrast to the male rat and dog in which systemic exposure to metabolites, including the human faecal metabolites M21 (cleavage product) and M31 (hydroxylated derivative), was higher.</w:t>
      </w:r>
      <w:r w:rsidR="00841BE4">
        <w:t xml:space="preserve"> </w:t>
      </w:r>
      <w:r w:rsidRPr="00EA5CFE">
        <w:t>M31 (also known as E3 or GS-9612) was measured in the mouse 13 week, rat 26 week and dog 39 week PO toxicity studies, with high-dose AUC</w:t>
      </w:r>
      <w:r w:rsidRPr="007C46CB">
        <w:rPr>
          <w:vertAlign w:val="subscript"/>
        </w:rPr>
        <w:t>0-t</w:t>
      </w:r>
      <w:r w:rsidRPr="00EA5CFE">
        <w:t xml:space="preserve"> values at the end of dosing being</w:t>
      </w:r>
      <w:r w:rsidR="007C10EC" w:rsidRPr="007C10EC">
        <w:t xml:space="preserve"> approximately </w:t>
      </w:r>
      <w:r w:rsidRPr="00EA5CFE">
        <w:t>2-3% those for parent drug.</w:t>
      </w:r>
      <w:r w:rsidR="00841BE4">
        <w:t xml:space="preserve"> </w:t>
      </w:r>
    </w:p>
    <w:p w:rsidR="00EA5CFE" w:rsidRPr="00EA5CFE" w:rsidRDefault="00EA5CFE" w:rsidP="00EA5CFE">
      <w:r w:rsidRPr="00EA5CFE">
        <w:t xml:space="preserve">As in humans, excretion of both </w:t>
      </w:r>
      <w:r w:rsidR="005E673E">
        <w:t>EVG</w:t>
      </w:r>
      <w:r w:rsidRPr="00EA5CFE">
        <w:t xml:space="preserve">- and </w:t>
      </w:r>
      <w:r w:rsidR="00A2001C">
        <w:t>COBI</w:t>
      </w:r>
      <w:r w:rsidRPr="00EA5CFE">
        <w:t xml:space="preserve">-related material was primarily </w:t>
      </w:r>
      <w:r w:rsidR="00BB7072" w:rsidRPr="00BB7072">
        <w:rPr>
          <w:i/>
        </w:rPr>
        <w:t>via</w:t>
      </w:r>
      <w:r w:rsidRPr="00EA5CFE">
        <w:t xml:space="preserve"> the faeces in the experimental species (there were no data for </w:t>
      </w:r>
      <w:r w:rsidR="00BB2DAA">
        <w:t xml:space="preserve">EVG </w:t>
      </w:r>
      <w:r w:rsidRPr="00EA5CFE">
        <w:t xml:space="preserve">in the mouse), and biliary excretion was shown in the dog and/or rat. Additionally, human faecal components after PO </w:t>
      </w:r>
      <w:r w:rsidR="00BB2DAA">
        <w:t xml:space="preserve">EVG </w:t>
      </w:r>
      <w:r w:rsidRPr="00EA5CFE">
        <w:t xml:space="preserve">(parent drug and M1 hydroxylated derivative) and </w:t>
      </w:r>
      <w:r w:rsidR="00A2001C">
        <w:t>COBI</w:t>
      </w:r>
      <w:r w:rsidRPr="00EA5CFE">
        <w:t xml:space="preserve"> (parent drug, M21 and M31) were prominent in the faeces of the experimental species used, and overall these species were appropriate for toxicity testing with respect to their metabolism. By contrast, </w:t>
      </w:r>
      <w:r w:rsidR="00A2001C">
        <w:t>FTC</w:t>
      </w:r>
      <w:r w:rsidRPr="00EA5CFE">
        <w:t xml:space="preserve"> and tenofovir showed largely urinary excretion with</w:t>
      </w:r>
      <w:r w:rsidR="005E673E">
        <w:t>,</w:t>
      </w:r>
      <w:r w:rsidRPr="00EA5CFE">
        <w:t xml:space="preserve"> respectively</w:t>
      </w:r>
      <w:r w:rsidR="005E673E">
        <w:t>,</w:t>
      </w:r>
      <w:r w:rsidRPr="00EA5CFE">
        <w:t xml:space="preserve"> limited or no metabolism in the experimental species, as in humans.</w:t>
      </w:r>
      <w:r w:rsidR="00841BE4">
        <w:t xml:space="preserve"> </w:t>
      </w:r>
      <w:r w:rsidRPr="00EA5CFE">
        <w:t xml:space="preserve">Additionally both agents did not </w:t>
      </w:r>
      <w:r w:rsidRPr="00EA5CFE">
        <w:lastRenderedPageBreak/>
        <w:t xml:space="preserve">substantially inhibit major CYP450 isoforms </w:t>
      </w:r>
      <w:r w:rsidR="00BB7072" w:rsidRPr="00BB7072">
        <w:rPr>
          <w:i/>
        </w:rPr>
        <w:t>in vitro</w:t>
      </w:r>
      <w:r w:rsidRPr="00EA5CFE">
        <w:t>.</w:t>
      </w:r>
      <w:r w:rsidR="00841BE4">
        <w:t xml:space="preserve"> </w:t>
      </w:r>
      <w:r w:rsidRPr="00EA5CFE">
        <w:t xml:space="preserve">Plasma clearance values for both compounds in male rats were 1.7-1.8 L/h/kg with a 10 mg/kg dose, with a lower value of 0.23 L/h/kg for tenofovir in male dogs (there were no data for </w:t>
      </w:r>
      <w:r w:rsidR="00A2001C">
        <w:t>FTC</w:t>
      </w:r>
      <w:r w:rsidRPr="00EA5CFE">
        <w:t xml:space="preserve"> in dogs).</w:t>
      </w:r>
      <w:r w:rsidR="00841BE4">
        <w:t xml:space="preserve"> </w:t>
      </w:r>
    </w:p>
    <w:p w:rsidR="00EA5CFE" w:rsidRPr="00EA5CFE" w:rsidRDefault="00EA5CFE" w:rsidP="00EA5CFE">
      <w:r w:rsidRPr="00EA5CFE">
        <w:t xml:space="preserve">Elvitegravir was shown to be metabolised </w:t>
      </w:r>
      <w:r w:rsidR="00BB7072" w:rsidRPr="00BB7072">
        <w:rPr>
          <w:i/>
        </w:rPr>
        <w:t>in vitro</w:t>
      </w:r>
      <w:r w:rsidRPr="00EA5CFE">
        <w:t xml:space="preserve"> by recombinant CYP3A with the formation mainly of the hydroxylated compound M1 (GS-9202) which was also the main metabolite formed by human hepatic microsomal fractions.</w:t>
      </w:r>
      <w:r w:rsidR="00841BE4">
        <w:t xml:space="preserve"> </w:t>
      </w:r>
      <w:r w:rsidRPr="00EA5CFE">
        <w:t xml:space="preserve">Ritonavir and </w:t>
      </w:r>
      <w:r w:rsidR="00A2001C">
        <w:t>COBI</w:t>
      </w:r>
      <w:r w:rsidRPr="00EA5CFE">
        <w:t xml:space="preserve"> are potent and relatively specific inhibitors of CYP3A </w:t>
      </w:r>
      <w:r w:rsidR="00BB7072" w:rsidRPr="00BB7072">
        <w:rPr>
          <w:i/>
        </w:rPr>
        <w:t>in vitro</w:t>
      </w:r>
      <w:r w:rsidRPr="00EA5CFE">
        <w:t xml:space="preserve">, and co-administration should elevate </w:t>
      </w:r>
      <w:r w:rsidR="00BB2DAA">
        <w:t xml:space="preserve">EVG </w:t>
      </w:r>
      <w:r w:rsidRPr="00EA5CFE">
        <w:t>exposure.</w:t>
      </w:r>
      <w:r w:rsidR="00841BE4">
        <w:t xml:space="preserve"> </w:t>
      </w:r>
      <w:r w:rsidRPr="00EA5CFE">
        <w:t xml:space="preserve">Cobicistat (unlike </w:t>
      </w:r>
      <w:r w:rsidR="00CC292E">
        <w:t>RTV</w:t>
      </w:r>
      <w:r w:rsidRPr="00EA5CFE">
        <w:t>) has the advantage of not showing anti-HIV activity.</w:t>
      </w:r>
      <w:r w:rsidR="00841BE4">
        <w:t xml:space="preserve"> </w:t>
      </w:r>
      <w:r w:rsidRPr="00EA5CFE">
        <w:t xml:space="preserve">However, in the only toxicity study involving </w:t>
      </w:r>
      <w:r w:rsidR="00BB2DAA">
        <w:t xml:space="preserve">EVG </w:t>
      </w:r>
      <w:r w:rsidRPr="00EA5CFE">
        <w:t xml:space="preserve">and </w:t>
      </w:r>
      <w:r w:rsidR="00A2001C">
        <w:t>COBI</w:t>
      </w:r>
      <w:r w:rsidRPr="00EA5CFE">
        <w:t xml:space="preserve"> alone and co-administered (13 w</w:t>
      </w:r>
      <w:r w:rsidR="00A13034">
        <w:t>eek rat study, TX-236-2001), 30 </w:t>
      </w:r>
      <w:r w:rsidRPr="00EA5CFE">
        <w:t xml:space="preserve">mg/kg/day </w:t>
      </w:r>
      <w:r w:rsidR="00A2001C">
        <w:t>COBI</w:t>
      </w:r>
      <w:r w:rsidRPr="00EA5CFE">
        <w:t xml:space="preserve"> had little effect on 1000 mg/kg/day </w:t>
      </w:r>
      <w:r w:rsidR="00BB2DAA">
        <w:t xml:space="preserve">EVG </w:t>
      </w:r>
      <w:r w:rsidRPr="00EA5CFE">
        <w:t>AUC</w:t>
      </w:r>
      <w:r w:rsidRPr="00A13034">
        <w:rPr>
          <w:vertAlign w:val="subscript"/>
        </w:rPr>
        <w:t>0-24 h</w:t>
      </w:r>
      <w:r w:rsidRPr="00EA5CFE">
        <w:t xml:space="preserve"> values on day 90 (1.7</w:t>
      </w:r>
      <w:r w:rsidR="00A13034">
        <w:t xml:space="preserve"> times</w:t>
      </w:r>
      <w:r w:rsidRPr="00EA5CFE">
        <w:t xml:space="preserve"> the value with </w:t>
      </w:r>
      <w:r w:rsidR="00BB2DAA">
        <w:t xml:space="preserve">EVG </w:t>
      </w:r>
      <w:r w:rsidRPr="00EA5CFE">
        <w:t>alone in males, 0.8</w:t>
      </w:r>
      <w:r w:rsidR="00A13034">
        <w:t xml:space="preserve"> times </w:t>
      </w:r>
      <w:r w:rsidRPr="00EA5CFE">
        <w:t>in females), although they were higher on day 1 (respectively 3 and 1.6</w:t>
      </w:r>
      <w:r w:rsidR="005E673E">
        <w:t xml:space="preserve"> times</w:t>
      </w:r>
      <w:r w:rsidRPr="00EA5CFE">
        <w:t>).</w:t>
      </w:r>
      <w:r w:rsidR="00841BE4">
        <w:t xml:space="preserve"> </w:t>
      </w:r>
      <w:r w:rsidRPr="00EA5CFE">
        <w:t xml:space="preserve">The achieved </w:t>
      </w:r>
      <w:r w:rsidR="00A2001C">
        <w:t>COBI</w:t>
      </w:r>
      <w:r w:rsidRPr="00EA5CFE">
        <w:t xml:space="preserve"> AUC</w:t>
      </w:r>
      <w:r w:rsidRPr="005E673E">
        <w:rPr>
          <w:vertAlign w:val="subscript"/>
        </w:rPr>
        <w:t>0-24 h</w:t>
      </w:r>
      <w:r w:rsidRPr="00EA5CFE">
        <w:t xml:space="preserve"> values with this combination were relatively low (5.2-7.5 µg.h/mL</w:t>
      </w:r>
      <w:r w:rsidR="00700880" w:rsidRPr="00700880">
        <w:t xml:space="preserve"> versus </w:t>
      </w:r>
      <w:r w:rsidRPr="00EA5CFE">
        <w:t>8.3 µg.h/mL in humans), but were sufficient to result in modest increases in hepatic microsomal fraction CYP3A activity (a</w:t>
      </w:r>
      <w:r w:rsidR="007C10EC">
        <w:t>pproximately</w:t>
      </w:r>
      <w:r w:rsidRPr="00EA5CFE">
        <w:t xml:space="preserve"> 2-2.8</w:t>
      </w:r>
      <w:r w:rsidR="007C10EC">
        <w:t xml:space="preserve"> times</w:t>
      </w:r>
      <w:r w:rsidRPr="00EA5CFE">
        <w:t xml:space="preserve"> vehicle values for testosterone 6β-hydroxylase).</w:t>
      </w:r>
      <w:r w:rsidR="00841BE4">
        <w:t xml:space="preserve"> </w:t>
      </w:r>
      <w:r w:rsidRPr="00EA5CFE">
        <w:t xml:space="preserve">Consequently, terminal </w:t>
      </w:r>
      <w:r w:rsidR="00BB2DAA">
        <w:t xml:space="preserve">EVG </w:t>
      </w:r>
      <w:r w:rsidRPr="00EA5CFE">
        <w:t xml:space="preserve">exposures would be expected to be influenced in rats both by inhibition and induction of CYP3A, but combination </w:t>
      </w:r>
      <w:r w:rsidR="007C46CB">
        <w:t xml:space="preserve">PK </w:t>
      </w:r>
      <w:r w:rsidRPr="00EA5CFE">
        <w:t>were not investigated in another species.</w:t>
      </w:r>
      <w:r w:rsidR="00841BE4">
        <w:t xml:space="preserve"> </w:t>
      </w:r>
    </w:p>
    <w:p w:rsidR="00EA5CFE" w:rsidRPr="00EA5CFE" w:rsidRDefault="00EA5CFE" w:rsidP="00EA5CFE">
      <w:r w:rsidRPr="00EA5CFE">
        <w:t xml:space="preserve">The same </w:t>
      </w:r>
      <w:r w:rsidR="00A2001C">
        <w:t>COBI</w:t>
      </w:r>
      <w:r w:rsidRPr="00EA5CFE">
        <w:t xml:space="preserve"> 30 mg/kg/day dose substantially elevated exposure to lower doses of </w:t>
      </w:r>
      <w:r w:rsidR="00700A07">
        <w:t xml:space="preserve">ATV </w:t>
      </w:r>
      <w:r w:rsidRPr="00EA5CFE">
        <w:t>(20 and 50 mg/kg/day), an HIV-1 protease inhibitor also metabolised by CYP3A4, in another 13 week rat toxicity study (TX-216-2024).</w:t>
      </w:r>
      <w:r w:rsidR="00841BE4">
        <w:t xml:space="preserve"> </w:t>
      </w:r>
      <w:r w:rsidRPr="00EA5CFE">
        <w:t>Day 90 AUC</w:t>
      </w:r>
      <w:r w:rsidRPr="00A13034">
        <w:rPr>
          <w:vertAlign w:val="subscript"/>
        </w:rPr>
        <w:t>0-24 h</w:t>
      </w:r>
      <w:r w:rsidRPr="00EA5CFE">
        <w:t xml:space="preserve"> values were</w:t>
      </w:r>
      <w:r w:rsidR="00A13034">
        <w:t>,</w:t>
      </w:r>
      <w:r w:rsidRPr="00EA5CFE">
        <w:t xml:space="preserve"> respectively</w:t>
      </w:r>
      <w:r w:rsidR="00A13034">
        <w:t>,</w:t>
      </w:r>
      <w:r w:rsidRPr="00EA5CFE">
        <w:t xml:space="preserve"> 3.9 and 2.9 (males) or 2.6</w:t>
      </w:r>
      <w:r w:rsidR="00A13034">
        <w:t xml:space="preserve"> and 1.45</w:t>
      </w:r>
      <w:r w:rsidRPr="00EA5CFE">
        <w:t xml:space="preserve"> (females) </w:t>
      </w:r>
      <w:r w:rsidR="00A13034">
        <w:t xml:space="preserve">times </w:t>
      </w:r>
      <w:r w:rsidRPr="00EA5CFE">
        <w:t xml:space="preserve">those in the absence of </w:t>
      </w:r>
      <w:r w:rsidR="00A2001C">
        <w:t>COBI</w:t>
      </w:r>
      <w:r w:rsidRPr="00EA5CFE">
        <w:t>.</w:t>
      </w:r>
      <w:r w:rsidR="00841BE4">
        <w:t xml:space="preserve"> </w:t>
      </w:r>
      <w:r w:rsidRPr="00EA5CFE">
        <w:t xml:space="preserve">This was despite significantly higher terminal CYP3A activities in females receiving combination treatment with </w:t>
      </w:r>
      <w:r w:rsidR="00A2001C">
        <w:t>COBI</w:t>
      </w:r>
      <w:r w:rsidRPr="00EA5CFE">
        <w:t xml:space="preserve"> (2.6-3.5</w:t>
      </w:r>
      <w:r w:rsidR="00A13034">
        <w:t xml:space="preserve"> times</w:t>
      </w:r>
      <w:r w:rsidRPr="00EA5CFE">
        <w:t xml:space="preserve"> vehicle values).</w:t>
      </w:r>
      <w:r w:rsidR="00841BE4">
        <w:t xml:space="preserve"> </w:t>
      </w:r>
      <w:r w:rsidRPr="00EA5CFE">
        <w:t xml:space="preserve">A 4 week PO rat toxicity study was conducted with </w:t>
      </w:r>
      <w:r w:rsidR="00A2001C">
        <w:t>COBI</w:t>
      </w:r>
      <w:r w:rsidRPr="00EA5CFE">
        <w:t xml:space="preserve"> in combination with the same doses of </w:t>
      </w:r>
      <w:r w:rsidR="00BB2DAA">
        <w:t xml:space="preserve">EVG </w:t>
      </w:r>
      <w:r w:rsidRPr="00EA5CFE">
        <w:t>(30 and 50 mg/kg/day) to compare regular and degraded mixtures (TX-236-2002), but this did not include groups receiving each drug alone.</w:t>
      </w:r>
      <w:r w:rsidR="00841BE4">
        <w:t xml:space="preserve"> </w:t>
      </w:r>
    </w:p>
    <w:p w:rsidR="00EA5CFE" w:rsidRPr="00EA5CFE" w:rsidRDefault="00EA5CFE" w:rsidP="00EA5CFE">
      <w:r w:rsidRPr="00EA5CFE">
        <w:t xml:space="preserve">Co-administration of </w:t>
      </w:r>
      <w:r w:rsidR="00CC292E">
        <w:t>RTV</w:t>
      </w:r>
      <w:r w:rsidRPr="00EA5CFE">
        <w:t xml:space="preserve"> and </w:t>
      </w:r>
      <w:r w:rsidR="00BB2DAA">
        <w:t xml:space="preserve">EVG </w:t>
      </w:r>
      <w:r w:rsidRPr="00EA5CFE">
        <w:t xml:space="preserve">was also </w:t>
      </w:r>
      <w:r w:rsidR="00A13034">
        <w:t xml:space="preserve">assessed, </w:t>
      </w:r>
      <w:r w:rsidRPr="00EA5CFE">
        <w:t>with variable results.</w:t>
      </w:r>
      <w:r w:rsidR="00841BE4">
        <w:t xml:space="preserve"> </w:t>
      </w:r>
      <w:r w:rsidRPr="00EA5CFE">
        <w:t xml:space="preserve">A dose of 10 mg/kg/day had no (rat embryofetal development study TX-183-2008) or slight (rat 13 week toxicity study TX-183-2007) effects on </w:t>
      </w:r>
      <w:r w:rsidR="00BB2DAA">
        <w:t xml:space="preserve">EVG </w:t>
      </w:r>
      <w:r w:rsidRPr="00EA5CFE">
        <w:t>exposure, wh</w:t>
      </w:r>
      <w:r w:rsidR="00A13034">
        <w:t>ile 25 mg/kg/day elicited a 6.3</w:t>
      </w:r>
      <w:r w:rsidRPr="00EA5CFE">
        <w:t xml:space="preserve"> (males) or 3.8 (females) </w:t>
      </w:r>
      <w:r w:rsidR="00A13034">
        <w:t xml:space="preserve">fold </w:t>
      </w:r>
      <w:r w:rsidRPr="00EA5CFE">
        <w:t>higher value in the mouse carcinogenicity study.</w:t>
      </w:r>
      <w:r w:rsidR="00841BE4">
        <w:t xml:space="preserve"> </w:t>
      </w:r>
      <w:r w:rsidRPr="00EA5CFE">
        <w:t xml:space="preserve">In a clinical study 100 mg </w:t>
      </w:r>
      <w:r w:rsidR="00A13034">
        <w:t>twice daily (</w:t>
      </w:r>
      <w:r w:rsidRPr="00EA5CFE">
        <w:t>bid</w:t>
      </w:r>
      <w:r w:rsidR="00A13034">
        <w:t>)</w:t>
      </w:r>
      <w:r w:rsidRPr="00EA5CFE">
        <w:t xml:space="preserve"> </w:t>
      </w:r>
      <w:r w:rsidR="00CC292E">
        <w:t>RTV</w:t>
      </w:r>
      <w:r w:rsidRPr="00EA5CFE">
        <w:t xml:space="preserve"> plus 100 mg bid </w:t>
      </w:r>
      <w:r w:rsidR="00BB2DAA">
        <w:t xml:space="preserve">EVG </w:t>
      </w:r>
      <w:r w:rsidRPr="00EA5CFE">
        <w:t xml:space="preserve">apparently enhanced </w:t>
      </w:r>
      <w:r w:rsidR="00BB2DAA">
        <w:t xml:space="preserve">EVG </w:t>
      </w:r>
      <w:r w:rsidRPr="00EA5CFE">
        <w:t>exposure (AUC</w:t>
      </w:r>
      <w:r w:rsidRPr="005E673E">
        <w:rPr>
          <w:vertAlign w:val="subscript"/>
        </w:rPr>
        <w:t>0-24 h</w:t>
      </w:r>
      <w:r w:rsidRPr="00EA5CFE">
        <w:t>)</w:t>
      </w:r>
      <w:r w:rsidR="007C10EC" w:rsidRPr="007C10EC">
        <w:t xml:space="preserve"> approximately </w:t>
      </w:r>
      <w:r w:rsidR="00A13034">
        <w:t>20 fold</w:t>
      </w:r>
      <w:r w:rsidRPr="00EA5CFE">
        <w:t xml:space="preserve"> after 10 days, and there was evidence for autoinduction of </w:t>
      </w:r>
      <w:r w:rsidR="00BB2DAA">
        <w:t xml:space="preserve">EVG </w:t>
      </w:r>
      <w:r w:rsidRPr="00EA5CFE">
        <w:t xml:space="preserve">metabolism when this was given alone. By comparison, although induction of CYP3A by </w:t>
      </w:r>
      <w:r w:rsidR="00BB2DAA">
        <w:t xml:space="preserve">EVG </w:t>
      </w:r>
      <w:r w:rsidRPr="00EA5CFE">
        <w:t xml:space="preserve">was shown in human hepatocytes </w:t>
      </w:r>
      <w:r w:rsidR="00BB7072" w:rsidRPr="00BB7072">
        <w:rPr>
          <w:i/>
        </w:rPr>
        <w:t>in vitro</w:t>
      </w:r>
      <w:r w:rsidRPr="00EA5CFE">
        <w:t xml:space="preserve">, multiple dosing in the toxicity studies did not result in consistent decreases in </w:t>
      </w:r>
      <w:r w:rsidR="00BB2DAA">
        <w:t xml:space="preserve">EVG </w:t>
      </w:r>
      <w:r w:rsidRPr="00EA5CFE">
        <w:t>exposure in mice, rats or dogs.</w:t>
      </w:r>
      <w:r w:rsidR="00841BE4">
        <w:t xml:space="preserve"> </w:t>
      </w:r>
      <w:r w:rsidRPr="00EA5CFE">
        <w:t xml:space="preserve">Clinical studies also apparently demonstrated </w:t>
      </w:r>
      <w:r w:rsidR="00A2001C">
        <w:t>COBI</w:t>
      </w:r>
      <w:r w:rsidRPr="00EA5CFE">
        <w:t xml:space="preserve"> inhibition of CYP3A, as judged by midazolam substrate </w:t>
      </w:r>
      <w:r w:rsidR="007C46CB">
        <w:t>PK</w:t>
      </w:r>
      <w:r w:rsidRPr="00EA5CFE">
        <w:t xml:space="preserve">, and it (as part of </w:t>
      </w:r>
      <w:r w:rsidR="00A13034">
        <w:t xml:space="preserve">the proposed combination </w:t>
      </w:r>
      <w:r w:rsidRPr="00EA5CFE">
        <w:t xml:space="preserve">tablet) resulted in a similar </w:t>
      </w:r>
      <w:r w:rsidR="00BB2DAA">
        <w:t xml:space="preserve">EVG </w:t>
      </w:r>
      <w:r w:rsidRPr="00EA5CFE">
        <w:t xml:space="preserve">exposure as that measured with the same </w:t>
      </w:r>
      <w:r w:rsidR="00BB2DAA">
        <w:t xml:space="preserve">EVG </w:t>
      </w:r>
      <w:r w:rsidRPr="00EA5CFE">
        <w:t xml:space="preserve">dose co-administered with </w:t>
      </w:r>
      <w:r w:rsidR="00CC292E">
        <w:t>RTV</w:t>
      </w:r>
      <w:r w:rsidRPr="00EA5CFE">
        <w:t xml:space="preserve">. </w:t>
      </w:r>
    </w:p>
    <w:p w:rsidR="00EA5CFE" w:rsidRPr="00EA5CFE" w:rsidRDefault="00EA5CFE" w:rsidP="00EA5CFE">
      <w:r w:rsidRPr="00EA5CFE">
        <w:t xml:space="preserve">By comparison, </w:t>
      </w:r>
      <w:r w:rsidR="00A2001C">
        <w:t>COBI</w:t>
      </w:r>
      <w:r w:rsidRPr="00EA5CFE">
        <w:t xml:space="preserve"> was shown to elevate CYP3A4 and CYP1A2 </w:t>
      </w:r>
      <w:r w:rsidR="003020B1">
        <w:t>messenger ribonucleic acid (</w:t>
      </w:r>
      <w:r w:rsidRPr="00EA5CFE">
        <w:t>mRNA</w:t>
      </w:r>
      <w:r w:rsidR="003020B1">
        <w:t>)</w:t>
      </w:r>
      <w:r w:rsidRPr="00EA5CFE">
        <w:t xml:space="preserve"> levels in hepatocytes </w:t>
      </w:r>
      <w:r w:rsidR="00BB7072" w:rsidRPr="00BB7072">
        <w:rPr>
          <w:i/>
        </w:rPr>
        <w:t>in vitro</w:t>
      </w:r>
      <w:r w:rsidRPr="00EA5CFE">
        <w:t>, and to consistently increase hepatic CYP3A activity (testosterone 6β-hydroxylase) in the mouse and rat toxicity studies, sometimes together with CYP2B and CYP1A.</w:t>
      </w:r>
      <w:r w:rsidR="00841BE4">
        <w:t xml:space="preserve"> </w:t>
      </w:r>
      <w:r w:rsidRPr="00EA5CFE">
        <w:t xml:space="preserve">It is noteworthy in this context that </w:t>
      </w:r>
      <w:r w:rsidR="00A2001C">
        <w:t>COBI</w:t>
      </w:r>
      <w:r w:rsidRPr="00EA5CFE">
        <w:t xml:space="preserve"> was also shown to activate rat pregnane X-receptor </w:t>
      </w:r>
      <w:r w:rsidR="00BB7072" w:rsidRPr="00BB7072">
        <w:rPr>
          <w:i/>
        </w:rPr>
        <w:t>in vitro</w:t>
      </w:r>
      <w:r w:rsidRPr="00EA5CFE">
        <w:t>.</w:t>
      </w:r>
      <w:r w:rsidR="00841BE4">
        <w:t xml:space="preserve"> </w:t>
      </w:r>
      <w:r w:rsidRPr="00EA5CFE">
        <w:t>The response was different in dogs, however, with reduced CYP3A being measured in the 1 and 4 week toxicity studies, but this was not examined in the long term 39 week study.</w:t>
      </w:r>
      <w:r w:rsidR="00841BE4">
        <w:t xml:space="preserve"> </w:t>
      </w:r>
      <w:r w:rsidRPr="00EA5CFE">
        <w:t xml:space="preserve">It was suggested in the reports that these reductions may have reflected inhibition by high concentrations of </w:t>
      </w:r>
      <w:r w:rsidR="00A2001C">
        <w:t>COBI</w:t>
      </w:r>
      <w:r w:rsidRPr="00EA5CFE">
        <w:t xml:space="preserve"> remaining in the liver. Rodent hepatic enzyme induction was associated with increased liver weight and hepatocytic hypertrophy, and effects on the thyroid in rats (</w:t>
      </w:r>
      <w:r w:rsidR="005E673E">
        <w:t xml:space="preserve">see </w:t>
      </w:r>
      <w:r w:rsidRPr="005E673E">
        <w:rPr>
          <w:i/>
        </w:rPr>
        <w:t>General toxicity</w:t>
      </w:r>
      <w:r w:rsidR="005E673E">
        <w:t>, below</w:t>
      </w:r>
      <w:r w:rsidRPr="00EA5CFE">
        <w:t>).</w:t>
      </w:r>
      <w:r w:rsidR="00841BE4">
        <w:t xml:space="preserve"> </w:t>
      </w:r>
    </w:p>
    <w:p w:rsidR="008E7846" w:rsidRDefault="008E7846" w:rsidP="008E7846">
      <w:pPr>
        <w:pStyle w:val="Heading3"/>
      </w:pPr>
      <w:bookmarkStart w:id="45" w:name="_Toc247691514"/>
      <w:bookmarkStart w:id="46" w:name="_Toc314842498"/>
      <w:bookmarkStart w:id="47" w:name="_Toc363456667"/>
      <w:r>
        <w:lastRenderedPageBreak/>
        <w:t>Toxicology</w:t>
      </w:r>
      <w:bookmarkEnd w:id="45"/>
      <w:bookmarkEnd w:id="46"/>
      <w:bookmarkEnd w:id="47"/>
    </w:p>
    <w:p w:rsidR="005E673E" w:rsidRDefault="00EA5CFE" w:rsidP="00BB3D4A">
      <w:pPr>
        <w:pStyle w:val="Heading5"/>
      </w:pPr>
      <w:r w:rsidRPr="005E673E">
        <w:t>General toxicity</w:t>
      </w:r>
      <w:r w:rsidR="00841BE4">
        <w:t xml:space="preserve"> </w:t>
      </w:r>
    </w:p>
    <w:p w:rsidR="00EA5CFE" w:rsidRPr="00EA5CFE" w:rsidRDefault="00EA5CFE" w:rsidP="00EA5CFE">
      <w:r w:rsidRPr="00EA5CFE">
        <w:t xml:space="preserve">Elvitegravir and </w:t>
      </w:r>
      <w:r w:rsidR="00A2001C">
        <w:t>COBI</w:t>
      </w:r>
      <w:r w:rsidRPr="00EA5CFE">
        <w:t xml:space="preserve"> are new chemical entities and their toxicity was investigated in a range of single and repeat-dose studies, although there was only one (13 week rat) study with these agents alone and in combination.</w:t>
      </w:r>
      <w:r w:rsidR="00841BE4">
        <w:t xml:space="preserve"> </w:t>
      </w:r>
      <w:r w:rsidRPr="00EA5CFE">
        <w:t xml:space="preserve">Emtricitabine and </w:t>
      </w:r>
      <w:r w:rsidR="00A2001C">
        <w:t>TDF</w:t>
      </w:r>
      <w:r w:rsidRPr="00EA5CFE">
        <w:t xml:space="preserve"> are established drugs, with information on their toxicity being available from previous evaluation reports.</w:t>
      </w:r>
      <w:r w:rsidR="00841BE4">
        <w:t xml:space="preserve"> </w:t>
      </w:r>
      <w:r w:rsidRPr="00EA5CFE">
        <w:t>They are both present in the proposed combination tablet at the same level as in individual tablets (respectively 200 mg and 300 mg) and the T</w:t>
      </w:r>
      <w:r w:rsidR="005E673E" w:rsidRPr="00EA5CFE">
        <w:t>ruvada</w:t>
      </w:r>
      <w:r w:rsidRPr="00EA5CFE">
        <w:t xml:space="preserve"> and A</w:t>
      </w:r>
      <w:r w:rsidR="005E673E" w:rsidRPr="00EA5CFE">
        <w:t>tripla</w:t>
      </w:r>
      <w:r w:rsidRPr="00EA5CFE">
        <w:t xml:space="preserve"> combination tablets containing these 2 drugs.</w:t>
      </w:r>
      <w:r w:rsidR="00841BE4">
        <w:t xml:space="preserve"> </w:t>
      </w:r>
    </w:p>
    <w:p w:rsidR="00EA5CFE" w:rsidRPr="00EA5CFE" w:rsidRDefault="00EA5CFE" w:rsidP="00EA5CFE">
      <w:r w:rsidRPr="005E673E">
        <w:rPr>
          <w:i/>
        </w:rPr>
        <w:t>Elvitegravir.</w:t>
      </w:r>
      <w:r w:rsidR="00841BE4">
        <w:t xml:space="preserve"> </w:t>
      </w:r>
      <w:r w:rsidRPr="00EA5CFE">
        <w:t xml:space="preserve">This showed little toxicity in the repeated-dose studies, although drug exposures (AUC) ranged from high in rats to relatively low in mice and dogs. The high-dose was boosted in the mouse carcinogenicity study by co-administration of </w:t>
      </w:r>
      <w:r w:rsidR="00CC292E">
        <w:t>RTV</w:t>
      </w:r>
      <w:r w:rsidRPr="00EA5CFE">
        <w:t>, but the high-dose in the 39 week dog study (100 mg/kg/day) could probably have been increased. There was a substantially reduced body weight gain with this high-dose relative to the vehicle (by 39%), but not compared with an additional water control group. The only changes seen with the high-dose, which achieved a drug exposure ratio of</w:t>
      </w:r>
      <w:r w:rsidR="007C10EC" w:rsidRPr="007C10EC">
        <w:t xml:space="preserve"> approximately </w:t>
      </w:r>
      <w:r w:rsidRPr="00EA5CFE">
        <w:t>2.5, were reduced urinary volume and electrolyte excretion (females only) and the presence of very slight lipid droplets in the duodenum and jejunum lamina propria.</w:t>
      </w:r>
      <w:r w:rsidR="00841BE4">
        <w:t xml:space="preserve"> </w:t>
      </w:r>
    </w:p>
    <w:p w:rsidR="00EA5CFE" w:rsidRPr="00EA5CFE" w:rsidRDefault="00EA5CFE" w:rsidP="00EA5CFE">
      <w:r w:rsidRPr="00EA5CFE">
        <w:t>The significance of the urinalysis changes seen only in one sex is not clear, but there were no comparable findings in the other species tested.</w:t>
      </w:r>
      <w:r w:rsidR="00841BE4">
        <w:t xml:space="preserve"> </w:t>
      </w:r>
      <w:r w:rsidRPr="00EA5CFE">
        <w:t>By contrast, lipid droplets in the duodenum/jejunum were consistent findings in the rat studies, and a series of mechanistic studies was</w:t>
      </w:r>
      <w:r w:rsidR="005E673E">
        <w:t xml:space="preserve"> conducted to investigate this</w:t>
      </w:r>
      <w:r w:rsidRPr="00EA5CFE">
        <w:t>.</w:t>
      </w:r>
      <w:r w:rsidR="00841BE4">
        <w:t xml:space="preserve"> </w:t>
      </w:r>
      <w:r w:rsidRPr="00EA5CFE">
        <w:t>These suggested that lipid was of dietary origin and that droplet formation was related to the local drug concentration rather than systemic exposure, but are probably of little toxicological significance especially at a low unit dose of 3 mg/kg for a 50 kg patient.</w:t>
      </w:r>
      <w:r w:rsidR="00841BE4">
        <w:t xml:space="preserve"> </w:t>
      </w:r>
      <w:r w:rsidRPr="00EA5CFE">
        <w:t>Another notable finding in rats, increased caecal weights without histological correlates, was probably related to anti-bacterial activity as seen in the bacterial reverse mutation assay.</w:t>
      </w:r>
      <w:r w:rsidR="00841BE4">
        <w:t xml:space="preserve"> </w:t>
      </w:r>
      <w:r w:rsidRPr="00EA5CFE">
        <w:t xml:space="preserve">Anti-bacterial activity was not specifically investigated but may be expected given that </w:t>
      </w:r>
      <w:r w:rsidR="00BB2DAA">
        <w:t xml:space="preserve">EVG </w:t>
      </w:r>
      <w:r w:rsidRPr="00EA5CFE">
        <w:t>is a quinolone carboxylic acid derivative. Rats in the longest duration (26 week) study also showed stomach erosion</w:t>
      </w:r>
      <w:r w:rsidR="00E17BC6">
        <w:t xml:space="preserve">, </w:t>
      </w:r>
      <w:r w:rsidRPr="00EA5CFE">
        <w:t>fibrosis</w:t>
      </w:r>
      <w:r w:rsidR="00E17BC6">
        <w:t xml:space="preserve"> and </w:t>
      </w:r>
      <w:r w:rsidRPr="00EA5CFE">
        <w:t>oedema, mainly in males with the high-dose of 2000 mg/kg/day, which probably reflected local irritation after prolonged treatment, although this was not noted with the same dose in the carcinogenicity study. Incidences of liver basophilic foci were also increased in the 26 week but not the carcinogenicity study in which they were relatively common in the controls (7/60 males, 16/60 females).</w:t>
      </w:r>
      <w:r w:rsidR="00841BE4">
        <w:t xml:space="preserve"> </w:t>
      </w:r>
    </w:p>
    <w:p w:rsidR="00EA5CFE" w:rsidRPr="00EA5CFE" w:rsidRDefault="00EA5CFE" w:rsidP="00EA5CFE">
      <w:r w:rsidRPr="00EA5CFE">
        <w:t xml:space="preserve">The corn oil vehicle used in the PO dog studies was shown in single dose toxicity/toxicokinetic studies (JTK303-TX-013, JTK303-TX-014) to give higher </w:t>
      </w:r>
      <w:r w:rsidR="00BB2DAA">
        <w:t xml:space="preserve">EVG </w:t>
      </w:r>
      <w:r w:rsidRPr="00EA5CFE">
        <w:t>exposures than 0.5% methylcellulose, the vehicle used in the rodent studies.</w:t>
      </w:r>
      <w:r w:rsidR="00841BE4">
        <w:t xml:space="preserve"> </w:t>
      </w:r>
      <w:r w:rsidRPr="00EA5CFE">
        <w:t>Surprisingly, vomiting which was apparent at doses as low as 10 mg/kg/day was not a major finding in the repeat-dose studies, being only sporadic and also involving vehicle control dogs (4 week study) or virtually absent (39 week study).</w:t>
      </w:r>
      <w:r w:rsidR="00841BE4">
        <w:t xml:space="preserve"> </w:t>
      </w:r>
      <w:r w:rsidRPr="00EA5CFE">
        <w:t>Vomiting may explain the apparently low high-dose AUC0-24 h value in single dose study 03133, while a single-dose IV study indicated that vomiting was related to local rather than systemic drug levels.</w:t>
      </w:r>
      <w:r w:rsidR="00841BE4">
        <w:t xml:space="preserve"> </w:t>
      </w:r>
    </w:p>
    <w:p w:rsidR="00EA5CFE" w:rsidRPr="00EA5CFE" w:rsidRDefault="00EA5CFE" w:rsidP="00EA5CFE">
      <w:r w:rsidRPr="005E673E">
        <w:rPr>
          <w:i/>
        </w:rPr>
        <w:t>Cobicistat.</w:t>
      </w:r>
      <w:r w:rsidR="00841BE4">
        <w:t xml:space="preserve"> </w:t>
      </w:r>
      <w:r w:rsidRPr="00EA5CFE">
        <w:t>Treatment elicited increased liver weights and hepatocytic hypertrophy in mice, rats and dogs, and was associated with thyroid changes in rats.</w:t>
      </w:r>
      <w:r w:rsidR="00841BE4">
        <w:t xml:space="preserve"> </w:t>
      </w:r>
      <w:r w:rsidRPr="00EA5CFE">
        <w:t>Thyroid follicular cell hyperplasia/hypertrophy was apparent with</w:t>
      </w:r>
      <w:r w:rsidR="005E673E">
        <w:t xml:space="preserve"> doses of 50 and 100 mg/kg/day for</w:t>
      </w:r>
      <w:r w:rsidRPr="00EA5CFE">
        <w:t xml:space="preserve"> 4 weeks and 100 mg/kg/day </w:t>
      </w:r>
      <w:r w:rsidR="005E673E">
        <w:t xml:space="preserve">for </w:t>
      </w:r>
      <w:r w:rsidRPr="00EA5CFE">
        <w:t xml:space="preserve">27 weeks, and thyroid stimulating hormone </w:t>
      </w:r>
      <w:r w:rsidR="005E673E">
        <w:t xml:space="preserve">(TSH) </w:t>
      </w:r>
      <w:r w:rsidRPr="00EA5CFE">
        <w:t>was shown to be elevated in the latter study.</w:t>
      </w:r>
      <w:r w:rsidR="00841BE4">
        <w:t xml:space="preserve"> </w:t>
      </w:r>
      <w:r w:rsidRPr="00EA5CFE">
        <w:t xml:space="preserve">Although these thyroid changes are almost certainly rat specific, TSH, </w:t>
      </w:r>
      <w:r w:rsidR="005E673E">
        <w:t>triiodothyronine</w:t>
      </w:r>
      <w:r w:rsidR="005E673E" w:rsidRPr="005E673E">
        <w:t xml:space="preserve"> </w:t>
      </w:r>
      <w:r w:rsidR="005E673E">
        <w:t>(</w:t>
      </w:r>
      <w:r w:rsidRPr="00EA5CFE">
        <w:t>T3</w:t>
      </w:r>
      <w:r w:rsidR="005E673E">
        <w:t>)</w:t>
      </w:r>
      <w:r w:rsidRPr="00EA5CFE">
        <w:t xml:space="preserve"> and </w:t>
      </w:r>
      <w:r w:rsidR="005E673E">
        <w:t>thyroxine (</w:t>
      </w:r>
      <w:r w:rsidRPr="00EA5CFE">
        <w:t>T4</w:t>
      </w:r>
      <w:r w:rsidR="005E673E">
        <w:t>)</w:t>
      </w:r>
      <w:r w:rsidRPr="00EA5CFE">
        <w:t xml:space="preserve"> were measured in one clinical study (</w:t>
      </w:r>
      <w:r w:rsidR="00432FB3" w:rsidRPr="00432FB3">
        <w:t>according to the sponsor’s s</w:t>
      </w:r>
      <w:r w:rsidRPr="00432FB3">
        <w:t>ummary of clinical safety</w:t>
      </w:r>
      <w:r w:rsidRPr="00EA5CFE">
        <w:t>) with apparently no effect of combination treatment being seen.</w:t>
      </w:r>
      <w:r w:rsidR="00841BE4">
        <w:t xml:space="preserve"> </w:t>
      </w:r>
      <w:r w:rsidRPr="00EA5CFE">
        <w:t xml:space="preserve">Other findings included elevated </w:t>
      </w:r>
      <w:r w:rsidR="00432FB3">
        <w:t>aspartate aminotransferase (</w:t>
      </w:r>
      <w:r w:rsidRPr="00EA5CFE">
        <w:t>AST</w:t>
      </w:r>
      <w:r w:rsidR="00432FB3">
        <w:t>)</w:t>
      </w:r>
      <w:r w:rsidRPr="00EA5CFE">
        <w:t xml:space="preserve"> and </w:t>
      </w:r>
      <w:r w:rsidR="00432FB3">
        <w:t>alanine aminotransferase (</w:t>
      </w:r>
      <w:r w:rsidRPr="00EA5CFE">
        <w:t>ALT</w:t>
      </w:r>
      <w:r w:rsidR="00432FB3">
        <w:t>)</w:t>
      </w:r>
      <w:r w:rsidRPr="00EA5CFE">
        <w:t xml:space="preserve"> activities in mice, which </w:t>
      </w:r>
      <w:r w:rsidRPr="00EA5CFE">
        <w:lastRenderedPageBreak/>
        <w:t>were probably related to hepatocyte hypertrophy which in this species was associated with vacuolation, and clinical pathology changes.</w:t>
      </w:r>
      <w:r w:rsidR="00841BE4">
        <w:t xml:space="preserve"> </w:t>
      </w:r>
      <w:r w:rsidRPr="00EA5CFE">
        <w:t>These included slightly decreased erythroid values and increased platelets (rat), increased cholesterol (mouse, rat), increased serum protein (rat) and increased urinary volume (rat).</w:t>
      </w:r>
      <w:r w:rsidR="00841BE4">
        <w:t xml:space="preserve"> </w:t>
      </w:r>
      <w:r w:rsidRPr="00EA5CFE">
        <w:t xml:space="preserve">Increased urinary volumes in rats were often substantial, </w:t>
      </w:r>
      <w:r w:rsidR="00432FB3">
        <w:t xml:space="preserve">for example, </w:t>
      </w:r>
      <w:r w:rsidRPr="00EA5CFE">
        <w:t>4.4</w:t>
      </w:r>
      <w:r w:rsidR="00432FB3">
        <w:t xml:space="preserve"> times</w:t>
      </w:r>
      <w:r w:rsidRPr="00EA5CFE">
        <w:t xml:space="preserve"> the vehicle control value in high-dose females in the 4 week study, and were associated with significantly higher sodium excretion in the 27 week study.</w:t>
      </w:r>
      <w:r w:rsidR="00841BE4">
        <w:t xml:space="preserve"> </w:t>
      </w:r>
      <w:r w:rsidRPr="00EA5CFE">
        <w:t>This diuretic-like effect was, however, not associated with changes in antidiuretic hormone or aldosterone which were monitored in the longer duration study.</w:t>
      </w:r>
      <w:r w:rsidR="00841BE4">
        <w:t xml:space="preserve"> </w:t>
      </w:r>
      <w:r w:rsidRPr="00EA5CFE">
        <w:t xml:space="preserve">A substantially increased urinary volume was also noted in a 4 week rat toxicity study using a regular and impurity-spiked </w:t>
      </w:r>
      <w:r w:rsidR="00A2001C">
        <w:t>COBI</w:t>
      </w:r>
      <w:r w:rsidRPr="00EA5CFE">
        <w:t xml:space="preserve"> batch (TX-216-2045).</w:t>
      </w:r>
      <w:r w:rsidR="00841BE4">
        <w:t xml:space="preserve"> </w:t>
      </w:r>
    </w:p>
    <w:p w:rsidR="00EA5CFE" w:rsidRPr="00EA5CFE" w:rsidRDefault="00EA5CFE" w:rsidP="00EA5CFE">
      <w:r w:rsidRPr="00EA5CFE">
        <w:t>There was some indication of possible renal effects in the dog 39 week study, although results were difficult to interpret, with tendencies for reduced electrolyte excretion in high-dose females but not males.</w:t>
      </w:r>
      <w:r w:rsidR="00841BE4">
        <w:t xml:space="preserve"> </w:t>
      </w:r>
      <w:r w:rsidRPr="00EA5CFE">
        <w:t>Although the mechanism for these urinary changes was not investigated, there were no associated elevations in serum urea or creatinine and no renal histological findings, in rats or dogs.</w:t>
      </w:r>
      <w:r w:rsidR="00841BE4">
        <w:t xml:space="preserve"> </w:t>
      </w:r>
      <w:r w:rsidRPr="00EA5CFE">
        <w:t>Additionally, urinary volume and sodium excretion values in rats had normalised after the recovery periods.</w:t>
      </w:r>
      <w:r w:rsidR="00841BE4">
        <w:t xml:space="preserve"> </w:t>
      </w:r>
      <w:r w:rsidRPr="00EA5CFE">
        <w:t xml:space="preserve">In </w:t>
      </w:r>
      <w:r w:rsidR="00432FB3">
        <w:t xml:space="preserve">a </w:t>
      </w:r>
      <w:r w:rsidRPr="00EA5CFE">
        <w:t xml:space="preserve">response to </w:t>
      </w:r>
      <w:r w:rsidR="00432FB3">
        <w:t xml:space="preserve">a request for information from the TGA, </w:t>
      </w:r>
      <w:r w:rsidRPr="00EA5CFE">
        <w:t>the sponsor considered that although the mechanism of such changes was not fully understood, the weak diuretic effect was probably related to calcium channel inhibition, which has been demonstrated for hCav 1.2 (</w:t>
      </w:r>
      <w:r w:rsidR="00432FB3">
        <w:t xml:space="preserve">see </w:t>
      </w:r>
      <w:r w:rsidRPr="00432FB3">
        <w:rPr>
          <w:i/>
        </w:rPr>
        <w:t>Safety and secondary pharmacology</w:t>
      </w:r>
      <w:r w:rsidR="00432FB3">
        <w:t>, above</w:t>
      </w:r>
      <w:r w:rsidRPr="00EA5CFE">
        <w:t xml:space="preserve">). Cobicistat apparently elicited small increases in serum creatinine in the clinical trials, with results being consistent with inhibition of renal creatinine secretion and a similar effect being apparent with </w:t>
      </w:r>
      <w:r w:rsidR="00CC292E">
        <w:t>RTV</w:t>
      </w:r>
      <w:r w:rsidRPr="00EA5CFE">
        <w:t xml:space="preserve"> (</w:t>
      </w:r>
      <w:r w:rsidR="00432FB3">
        <w:t>according to the sponsor’s c</w:t>
      </w:r>
      <w:r w:rsidRPr="00EA5CFE">
        <w:t>linical overview).</w:t>
      </w:r>
      <w:r w:rsidR="00841BE4">
        <w:t xml:space="preserve"> </w:t>
      </w:r>
      <w:r w:rsidRPr="00D25299">
        <w:t xml:space="preserve">This probably reflects inhibition of </w:t>
      </w:r>
      <w:r w:rsidR="00D25299" w:rsidRPr="00D25299">
        <w:t>organic cation transporter</w:t>
      </w:r>
      <w:r w:rsidR="00D25299">
        <w:t>-1</w:t>
      </w:r>
      <w:r w:rsidR="00D25299" w:rsidRPr="00D25299">
        <w:t xml:space="preserve"> (OCT</w:t>
      </w:r>
      <w:r w:rsidR="00D25299">
        <w:t>1</w:t>
      </w:r>
      <w:r w:rsidR="00D25299" w:rsidRPr="00D25299">
        <w:t xml:space="preserve">) </w:t>
      </w:r>
      <w:r w:rsidR="00D25299">
        <w:t xml:space="preserve">or </w:t>
      </w:r>
      <w:r w:rsidR="00D25299" w:rsidRPr="00D25299">
        <w:t xml:space="preserve">multidrug and toxin extrusion transporter-1 </w:t>
      </w:r>
      <w:r w:rsidR="00D25299">
        <w:t>(</w:t>
      </w:r>
      <w:r w:rsidRPr="00D25299">
        <w:t>MATE1</w:t>
      </w:r>
      <w:r w:rsidR="00D25299">
        <w:t>)</w:t>
      </w:r>
      <w:r w:rsidRPr="00D25299">
        <w:t xml:space="preserve"> by </w:t>
      </w:r>
      <w:r w:rsidR="00A2001C" w:rsidRPr="00D25299">
        <w:t>COBI</w:t>
      </w:r>
      <w:r w:rsidRPr="00D25299">
        <w:t>, for</w:t>
      </w:r>
      <w:r w:rsidRPr="00EA5CFE">
        <w:t xml:space="preserve"> which respective </w:t>
      </w:r>
      <w:r w:rsidR="00BB7072" w:rsidRPr="00EA5CFE">
        <w:t>IC</w:t>
      </w:r>
      <w:r w:rsidR="00BB7072" w:rsidRPr="00BB7072">
        <w:rPr>
          <w:vertAlign w:val="subscript"/>
        </w:rPr>
        <w:t>50</w:t>
      </w:r>
      <w:r w:rsidRPr="00EA5CFE">
        <w:t xml:space="preserve"> values of 8.24 and 1.87 µM were obtained </w:t>
      </w:r>
      <w:r w:rsidR="00BB7072" w:rsidRPr="00BB7072">
        <w:rPr>
          <w:i/>
        </w:rPr>
        <w:t>in vitro</w:t>
      </w:r>
      <w:r w:rsidRPr="00EA5CFE">
        <w:t>.</w:t>
      </w:r>
      <w:r w:rsidR="00841BE4">
        <w:t xml:space="preserve"> </w:t>
      </w:r>
    </w:p>
    <w:p w:rsidR="00EA5CFE" w:rsidRPr="00EA5CFE" w:rsidRDefault="00EA5CFE" w:rsidP="00EA5CFE">
      <w:r w:rsidRPr="00EA5CFE">
        <w:t>Higher doses were used in an initial 1 week dog study (50, 125 and 250 mg/kg/day), which elicited marked toxicity, including deaths, weight loss and lymphoid depletion in the thymus, spleen and lymph node.</w:t>
      </w:r>
      <w:r w:rsidR="00841BE4">
        <w:t xml:space="preserve"> </w:t>
      </w:r>
      <w:r w:rsidRPr="00EA5CFE">
        <w:t>Body weight loss in males or excessive reductions in body weight gains in both sexes were seen with the mid- and high-doses in the 4 week dog study (respectively</w:t>
      </w:r>
      <w:r w:rsidR="00432FB3">
        <w:t>,</w:t>
      </w:r>
      <w:r w:rsidRPr="00EA5CFE">
        <w:t xml:space="preserve"> 15 and 45 mg/kg/day).</w:t>
      </w:r>
      <w:r w:rsidR="00841BE4">
        <w:t xml:space="preserve"> </w:t>
      </w:r>
      <w:r w:rsidRPr="00EA5CFE">
        <w:t>Further, significantly lower male body weight gains were seen with the mid- and high-doses used 39 week study (respectively</w:t>
      </w:r>
      <w:r w:rsidR="00432FB3">
        <w:t>, 10 and 20 </w:t>
      </w:r>
      <w:r w:rsidRPr="00EA5CFE">
        <w:t>mg/kg/day), and thymic involution and adrenal cortical hypertrophy were seen in high-dose males and indicative of toxicity.</w:t>
      </w:r>
      <w:r w:rsidR="00841BE4">
        <w:t xml:space="preserve"> </w:t>
      </w:r>
      <w:r w:rsidRPr="00EA5CFE">
        <w:t>It would not have been appropriate to have increased doses, although these achieved drug exposure ratios that while acceptable were relatively low (to 5.5 in males and 8.3 in females).</w:t>
      </w:r>
      <w:r w:rsidR="00841BE4">
        <w:t xml:space="preserve"> </w:t>
      </w:r>
      <w:r w:rsidRPr="00EA5CFE">
        <w:t>Drug exposure ratios in the mouse and rat studies were also acceptable but relatively low, and the high-dose of 50 mg/kg/day in the mouse 13 week study probably could have been higher.</w:t>
      </w:r>
      <w:r w:rsidR="00841BE4">
        <w:t xml:space="preserve"> </w:t>
      </w:r>
      <w:r w:rsidR="00432FB3">
        <w:t>The high-dose of 100 </w:t>
      </w:r>
      <w:r w:rsidRPr="00EA5CFE">
        <w:t>mg/kg/day in the rat 27 week study resulted in impaired male body weight gain (by 22%) associated with slightly reduced food consumption.</w:t>
      </w:r>
      <w:r w:rsidR="00841BE4">
        <w:t xml:space="preserve"> </w:t>
      </w:r>
    </w:p>
    <w:p w:rsidR="00EA5CFE" w:rsidRPr="00EA5CFE" w:rsidRDefault="00EA5CFE" w:rsidP="00EA5CFE">
      <w:r w:rsidRPr="00EA5CFE">
        <w:t>A special 4 week immunotoxicity study (JTK303-TX-011) in rats revealed some effects of treatment, notably increased incidences of lymphoid depletion in spleen germinal centres and reduced antibody response to keyhole limpet haemocyanin.</w:t>
      </w:r>
      <w:r w:rsidR="00841BE4">
        <w:t xml:space="preserve"> </w:t>
      </w:r>
      <w:r w:rsidRPr="00EA5CFE">
        <w:t xml:space="preserve">There was little effect on </w:t>
      </w:r>
      <w:r w:rsidR="00432FB3">
        <w:t>immunoglobulin M (Ig</w:t>
      </w:r>
      <w:r w:rsidRPr="00EA5CFE">
        <w:t>M</w:t>
      </w:r>
      <w:r w:rsidR="00432FB3">
        <w:t>)</w:t>
      </w:r>
      <w:r w:rsidRPr="00EA5CFE">
        <w:t xml:space="preserve"> levels, but significant decreases in IgG were seen in mid- and high-dose (50 and 150 mg/kg/day) females with tendencies for reduced high-dose levels in high-dose males.</w:t>
      </w:r>
      <w:r w:rsidR="00841BE4">
        <w:t xml:space="preserve"> </w:t>
      </w:r>
      <w:r w:rsidRPr="00EA5CFE">
        <w:t xml:space="preserve">Toxicokinetic data gave drug exposure ratios of &lt;1 </w:t>
      </w:r>
      <w:r>
        <w:t>(</w:t>
      </w:r>
      <w:r w:rsidR="00432FB3">
        <w:t>low-dose, 20 </w:t>
      </w:r>
      <w:r w:rsidRPr="00EA5CFE">
        <w:t>mg/kg/day),</w:t>
      </w:r>
      <w:r w:rsidR="007C10EC" w:rsidRPr="007C10EC">
        <w:t xml:space="preserve"> approximately </w:t>
      </w:r>
      <w:r w:rsidRPr="00EA5CFE">
        <w:t>2.2 (mid-dose) and 5.7-9.5 (high-dose).</w:t>
      </w:r>
      <w:r w:rsidR="00841BE4">
        <w:t xml:space="preserve"> </w:t>
      </w:r>
      <w:r w:rsidRPr="00EA5CFE">
        <w:t>The significance of the impaired antibody response is not clear, but there were no other indications of specific immunotoxicity in other studies which included peripheral blood immunophenotyping in the longest duration rat and dog studies.</w:t>
      </w:r>
      <w:r w:rsidR="00841BE4">
        <w:t xml:space="preserve"> </w:t>
      </w:r>
      <w:r w:rsidRPr="00EA5CFE">
        <w:t>Spleen weights were elevated in rats (4 and 27 week studies), but there were no histological correlates.</w:t>
      </w:r>
      <w:r w:rsidR="00841BE4">
        <w:t xml:space="preserve"> </w:t>
      </w:r>
      <w:r w:rsidRPr="00EA5CFE">
        <w:t>Small decreases in IgG and IgM were apparently seen in a clinical study with combination treatment of HIV-1 patients (</w:t>
      </w:r>
      <w:r w:rsidR="00432FB3">
        <w:t>according to the sponsor’s s</w:t>
      </w:r>
      <w:r w:rsidRPr="00EA5CFE">
        <w:t>ummary of clinical safety).</w:t>
      </w:r>
      <w:r w:rsidR="00841BE4">
        <w:t xml:space="preserve"> </w:t>
      </w:r>
    </w:p>
    <w:p w:rsidR="00EA5CFE" w:rsidRPr="00EA5CFE" w:rsidRDefault="00EA5CFE" w:rsidP="00EA5CFE">
      <w:r w:rsidRPr="00EA5CFE">
        <w:lastRenderedPageBreak/>
        <w:t xml:space="preserve">Cobicistat was also tested in rats in combination with </w:t>
      </w:r>
      <w:r w:rsidR="00BB2DAA">
        <w:t xml:space="preserve">EVG </w:t>
      </w:r>
      <w:r w:rsidRPr="00EA5CFE">
        <w:t xml:space="preserve">in a 13 week study, but the </w:t>
      </w:r>
      <w:r w:rsidR="00A2001C">
        <w:t>COBI</w:t>
      </w:r>
      <w:r w:rsidRPr="00EA5CFE">
        <w:t xml:space="preserve"> dose of 30 mg/kg achieved exposures with little or no safety margin for this drug.</w:t>
      </w:r>
      <w:r w:rsidR="00841BE4">
        <w:t xml:space="preserve"> </w:t>
      </w:r>
      <w:r w:rsidRPr="00EA5CFE">
        <w:t>Although there were no unexpected findings for the combination compared with the drugs alone, the full potential for interactions may not have been fully assessed in this study.</w:t>
      </w:r>
      <w:r w:rsidR="00841BE4">
        <w:t xml:space="preserve"> </w:t>
      </w:r>
      <w:r w:rsidRPr="00EA5CFE">
        <w:t xml:space="preserve">The </w:t>
      </w:r>
      <w:r w:rsidR="00BB2DAA">
        <w:t>EVG</w:t>
      </w:r>
      <w:r w:rsidRPr="00EA5CFE">
        <w:t>/</w:t>
      </w:r>
      <w:r w:rsidR="00A2001C">
        <w:t>COBI</w:t>
      </w:r>
      <w:r w:rsidRPr="00EA5CFE">
        <w:t xml:space="preserve"> ratio used was quite different to that proposed in </w:t>
      </w:r>
      <w:r w:rsidR="00A64789">
        <w:t xml:space="preserve">Stribild </w:t>
      </w:r>
      <w:r w:rsidR="00432FB3">
        <w:t>(1000/30 </w:t>
      </w:r>
      <w:r w:rsidRPr="00EA5CFE">
        <w:t>mg/kg/day</w:t>
      </w:r>
      <w:r w:rsidR="00700880" w:rsidRPr="00700880">
        <w:t xml:space="preserve"> versus </w:t>
      </w:r>
      <w:r w:rsidRPr="00EA5CFE">
        <w:t>equal doses), and although equal doses were used in a 4 week female rat impurity study (TX-236-2002), they</w:t>
      </w:r>
      <w:r w:rsidR="00432FB3">
        <w:t xml:space="preserve"> were relatively low (30 and 50 </w:t>
      </w:r>
      <w:r w:rsidRPr="00EA5CFE">
        <w:t>mg/kg/day of each component).</w:t>
      </w:r>
      <w:r w:rsidR="00841BE4">
        <w:t xml:space="preserve"> </w:t>
      </w:r>
      <w:r w:rsidRPr="00EA5CFE">
        <w:t xml:space="preserve">Nevertheless, the high-dose non-degraded combination achieved a </w:t>
      </w:r>
      <w:r w:rsidR="00A2001C">
        <w:t>COBI</w:t>
      </w:r>
      <w:r w:rsidRPr="00EA5CFE">
        <w:t xml:space="preserve"> exposure ratio of 4.1 (mean of days 1 and 28 AUC</w:t>
      </w:r>
      <w:r w:rsidRPr="00432FB3">
        <w:rPr>
          <w:vertAlign w:val="subscript"/>
        </w:rPr>
        <w:t>0-t</w:t>
      </w:r>
      <w:r w:rsidRPr="00EA5CFE">
        <w:t xml:space="preserve">), and it was notable that the corresponding ratio for </w:t>
      </w:r>
      <w:r w:rsidR="00BB2DAA">
        <w:t xml:space="preserve">EVG </w:t>
      </w:r>
      <w:r w:rsidRPr="00EA5CFE">
        <w:t>decreased from 6.9 on day 1 to 1.9 on day 28.</w:t>
      </w:r>
      <w:r w:rsidR="00841BE4">
        <w:t xml:space="preserve"> </w:t>
      </w:r>
      <w:r w:rsidRPr="00EA5CFE">
        <w:t xml:space="preserve">Combinations were well tolerated, suggesting that a higher </w:t>
      </w:r>
      <w:r w:rsidR="00A2001C">
        <w:t>COBI</w:t>
      </w:r>
      <w:r w:rsidRPr="00EA5CFE">
        <w:t xml:space="preserve"> dose could have been used in the main 13 week combination study.</w:t>
      </w:r>
      <w:r w:rsidR="00841BE4">
        <w:t xml:space="preserve"> </w:t>
      </w:r>
      <w:r w:rsidRPr="00EA5CFE">
        <w:t xml:space="preserve">Additional 13 week rat combination studies tested </w:t>
      </w:r>
      <w:r w:rsidR="00A2001C">
        <w:t>COBI</w:t>
      </w:r>
      <w:r w:rsidRPr="00EA5CFE">
        <w:t xml:space="preserve"> plus </w:t>
      </w:r>
      <w:r w:rsidR="00700A07">
        <w:t xml:space="preserve">ATV </w:t>
      </w:r>
      <w:r w:rsidRPr="00EA5CFE">
        <w:t xml:space="preserve">and </w:t>
      </w:r>
      <w:r w:rsidR="00BB2DAA">
        <w:t xml:space="preserve">EVG </w:t>
      </w:r>
      <w:r w:rsidRPr="00EA5CFE">
        <w:t xml:space="preserve">plus </w:t>
      </w:r>
      <w:r w:rsidR="00CC292E">
        <w:t>RTV</w:t>
      </w:r>
      <w:r w:rsidRPr="00EA5CFE">
        <w:t>, and were of limited relevance to the current application.</w:t>
      </w:r>
      <w:r w:rsidR="00841BE4">
        <w:t xml:space="preserve"> </w:t>
      </w:r>
    </w:p>
    <w:p w:rsidR="00EA5CFE" w:rsidRPr="00EA5CFE" w:rsidRDefault="00EA5CFE" w:rsidP="00EA5CFE">
      <w:r w:rsidRPr="00EA5CFE">
        <w:t xml:space="preserve">Ritonavir is closely related to </w:t>
      </w:r>
      <w:r w:rsidR="00A2001C">
        <w:t>COBI</w:t>
      </w:r>
      <w:r w:rsidRPr="00EA5CFE">
        <w:t xml:space="preserve"> and its use has been associated with untoward effects including pancreatitis, hyperglycaemia/diabetes and elevated triglycerides (N</w:t>
      </w:r>
      <w:r w:rsidR="00432FB3" w:rsidRPr="00EA5CFE">
        <w:t>orvir</w:t>
      </w:r>
      <w:r w:rsidRPr="00EA5CFE">
        <w:t xml:space="preserve"> </w:t>
      </w:r>
      <w:r w:rsidR="00297B94">
        <w:t>PI</w:t>
      </w:r>
      <w:r w:rsidRPr="00EA5CFE">
        <w:t>).</w:t>
      </w:r>
      <w:r w:rsidR="00841BE4">
        <w:t xml:space="preserve"> </w:t>
      </w:r>
      <w:r w:rsidRPr="00EA5CFE">
        <w:t xml:space="preserve">Serum glucose and cholesterol were not consistently affected in the </w:t>
      </w:r>
      <w:r w:rsidR="00A2001C">
        <w:t>COBI</w:t>
      </w:r>
      <w:r w:rsidRPr="00EA5CFE">
        <w:t xml:space="preserve"> toxicity studies.</w:t>
      </w:r>
      <w:r w:rsidR="00841BE4">
        <w:t xml:space="preserve"> </w:t>
      </w:r>
      <w:r w:rsidRPr="00EA5CFE">
        <w:t>Elevated glucose levels were seen with 250 and 500 mg/kg in a rat single-dose study, doses that were generally above those in the repeat-dose studies.</w:t>
      </w:r>
      <w:r w:rsidR="00841BE4">
        <w:t xml:space="preserve"> </w:t>
      </w:r>
      <w:r w:rsidRPr="00EA5CFE">
        <w:t>It was also elevated in a 4 week female rat impurity study (TX-216-2045) at 100 mg/kg/day, but not by the same dose in the 4 and 27 week general toxicity studies.</w:t>
      </w:r>
      <w:r w:rsidR="00841BE4">
        <w:t xml:space="preserve"> </w:t>
      </w:r>
      <w:r w:rsidRPr="00EA5CFE">
        <w:t xml:space="preserve">Cholesterol was elevated in mice, the 4 week rat study and the 13 week rat </w:t>
      </w:r>
      <w:r w:rsidR="00D25299">
        <w:t>EVG</w:t>
      </w:r>
      <w:r w:rsidRPr="00EA5CFE">
        <w:t>/</w:t>
      </w:r>
      <w:r w:rsidR="00A2001C">
        <w:t>COBI</w:t>
      </w:r>
      <w:r w:rsidRPr="00EA5CFE">
        <w:t xml:space="preserve"> combination study (together with triglycerides), but not in dogs and only in females in the 27 week rat study.</w:t>
      </w:r>
      <w:r w:rsidR="00841BE4">
        <w:t xml:space="preserve"> </w:t>
      </w:r>
      <w:r w:rsidRPr="00EA5CFE">
        <w:t xml:space="preserve">Increases were also apparent in the impurity study noted above, and in the 4 week rat study using degraded and non-degraded </w:t>
      </w:r>
      <w:r w:rsidR="00D25299">
        <w:t>EVG</w:t>
      </w:r>
      <w:r w:rsidRPr="00EA5CFE">
        <w:t>/</w:t>
      </w:r>
      <w:r w:rsidR="00A2001C">
        <w:t>COBI</w:t>
      </w:r>
      <w:r w:rsidRPr="00EA5CFE">
        <w:t xml:space="preserve"> mixture (TX-236-2002) although </w:t>
      </w:r>
      <w:r w:rsidR="00A2001C">
        <w:t>COBI</w:t>
      </w:r>
      <w:r w:rsidRPr="00EA5CFE">
        <w:t xml:space="preserve"> alone was not tested in the latter.</w:t>
      </w:r>
      <w:r w:rsidR="00841BE4">
        <w:t xml:space="preserve"> </w:t>
      </w:r>
      <w:r w:rsidRPr="00EA5CFE">
        <w:t>Serum lipase and amylase were not measured but there were no histological indications of pancreatic toxicity.</w:t>
      </w:r>
      <w:r w:rsidR="00841BE4">
        <w:t xml:space="preserve"> </w:t>
      </w:r>
      <w:r w:rsidRPr="00EA5CFE">
        <w:t>As noted above (</w:t>
      </w:r>
      <w:r w:rsidR="00432FB3">
        <w:t xml:space="preserve">under </w:t>
      </w:r>
      <w:r w:rsidRPr="00432FB3">
        <w:rPr>
          <w:i/>
        </w:rPr>
        <w:t>Secondary pharmacology</w:t>
      </w:r>
      <w:r w:rsidRPr="00EA5CFE">
        <w:t xml:space="preserve">), </w:t>
      </w:r>
      <w:r w:rsidR="00A2001C">
        <w:t>COBI</w:t>
      </w:r>
      <w:r w:rsidRPr="00EA5CFE">
        <w:t xml:space="preserve"> showed little effect on lipid accumulation and glucose uptake </w:t>
      </w:r>
      <w:r w:rsidR="00BB7072" w:rsidRPr="00BB7072">
        <w:rPr>
          <w:i/>
        </w:rPr>
        <w:t>in vitro</w:t>
      </w:r>
      <w:r w:rsidRPr="00EA5CFE">
        <w:t>.</w:t>
      </w:r>
      <w:r w:rsidR="00841BE4">
        <w:t xml:space="preserve"> </w:t>
      </w:r>
    </w:p>
    <w:p w:rsidR="00EA5CFE" w:rsidRPr="00EA5CFE" w:rsidRDefault="00EA5CFE" w:rsidP="00EA5CFE">
      <w:r w:rsidRPr="006036F4">
        <w:rPr>
          <w:i/>
        </w:rPr>
        <w:t>Emtricitabine.</w:t>
      </w:r>
      <w:r w:rsidR="00841BE4">
        <w:t xml:space="preserve"> </w:t>
      </w:r>
      <w:r w:rsidRPr="00EA5CFE">
        <w:t xml:space="preserve">The toxicity of this </w:t>
      </w:r>
      <w:r w:rsidR="00B7498B">
        <w:t xml:space="preserve">NRTI </w:t>
      </w:r>
      <w:r w:rsidRPr="00EA5CFE">
        <w:t>(closely related to lamivudine in structure) has been assessed in mice, rats and cynomolgus monkeys, with respective durations of 6 months (2 studies), 3 months and 12 months for the pivotal studies.</w:t>
      </w:r>
      <w:r w:rsidR="00841BE4">
        <w:t xml:space="preserve"> </w:t>
      </w:r>
      <w:r w:rsidRPr="00EA5CFE">
        <w:t>The high doses that were used achieved high drug systemic exposures, which gave exposure ratios of</w:t>
      </w:r>
      <w:r w:rsidR="007C10EC" w:rsidRPr="007C10EC">
        <w:t xml:space="preserve"> approximately </w:t>
      </w:r>
      <w:r w:rsidRPr="00EA5CFE">
        <w:t>84 and 185 (mouse), 151 (rat) and 26 (cynomolgus monkey based on a human AUC</w:t>
      </w:r>
      <w:r w:rsidR="00D25299" w:rsidRPr="00D25299">
        <w:rPr>
          <w:vertAlign w:val="subscript"/>
        </w:rPr>
        <w:t>0-24 h</w:t>
      </w:r>
      <w:r w:rsidRPr="00EA5CFE">
        <w:t xml:space="preserve"> value of 9.65 µg.h/mL rather than 12.7 µg.h/mL for </w:t>
      </w:r>
      <w:r w:rsidR="00A64789">
        <w:t>the proposed combination tablet</w:t>
      </w:r>
      <w:r w:rsidRPr="00EA5CFE">
        <w:t>.</w:t>
      </w:r>
      <w:r w:rsidR="00841BE4">
        <w:t xml:space="preserve"> </w:t>
      </w:r>
      <w:r w:rsidRPr="00EA5CFE">
        <w:t>Emtricitabine was generally well tolerated and there was an absence of significant drug-related toxicity in these studies, although the evaluation report assessment noted that there was often large inter-animal variability which precluded meaningful interpretation of clinical pathology values.</w:t>
      </w:r>
      <w:r w:rsidR="00841BE4">
        <w:t xml:space="preserve"> </w:t>
      </w:r>
    </w:p>
    <w:p w:rsidR="00EA5CFE" w:rsidRPr="00EA5CFE" w:rsidRDefault="00EA5CFE" w:rsidP="00EA5CFE">
      <w:r w:rsidRPr="00B7498B">
        <w:rPr>
          <w:i/>
        </w:rPr>
        <w:t>Tenofovir disoproxil fumarate</w:t>
      </w:r>
      <w:r w:rsidRPr="00EA5CFE">
        <w:t>.</w:t>
      </w:r>
      <w:r w:rsidR="00841BE4">
        <w:t xml:space="preserve"> </w:t>
      </w:r>
      <w:r w:rsidRPr="00EA5CFE">
        <w:t>T</w:t>
      </w:r>
      <w:r w:rsidR="00D25299">
        <w:t>his is the prodrug of tenofovir</w:t>
      </w:r>
      <w:r w:rsidRPr="00EA5CFE">
        <w:t xml:space="preserve"> which</w:t>
      </w:r>
      <w:r w:rsidR="00D25299">
        <w:t>,</w:t>
      </w:r>
      <w:r w:rsidRPr="00EA5CFE">
        <w:t xml:space="preserve"> following intracellular phosphorylation</w:t>
      </w:r>
      <w:r w:rsidR="00D25299">
        <w:t>,</w:t>
      </w:r>
      <w:r w:rsidRPr="00EA5CFE">
        <w:t xml:space="preserve"> is a nucleotide analogue inhibitor of reverse transcriptase.</w:t>
      </w:r>
      <w:r w:rsidR="00841BE4">
        <w:t xml:space="preserve"> </w:t>
      </w:r>
      <w:r w:rsidRPr="00EA5CFE">
        <w:t xml:space="preserve">By contrast with </w:t>
      </w:r>
      <w:r w:rsidR="00A2001C">
        <w:t>FTC</w:t>
      </w:r>
      <w:r w:rsidRPr="00EA5CFE">
        <w:t>, TDF showed significant toxicity notably osteopenia in the main experimental species used (rat, dog) and nephrotoxicity in dogs and rhesus monkeys and to a lesser extent mice and rats.</w:t>
      </w:r>
      <w:r w:rsidR="00841BE4">
        <w:t xml:space="preserve"> </w:t>
      </w:r>
      <w:r w:rsidRPr="00EA5CFE">
        <w:t>The pivotal 13-42 week toxicity studies used high-doses that achieved drug exposure ratios of</w:t>
      </w:r>
      <w:r w:rsidR="007C10EC" w:rsidRPr="007C10EC">
        <w:t xml:space="preserve"> approximately </w:t>
      </w:r>
      <w:r w:rsidRPr="00EA5CFE">
        <w:t>15 (rat) and 9 (dog), based on a human AUC</w:t>
      </w:r>
      <w:r w:rsidRPr="00B7498B">
        <w:rPr>
          <w:vertAlign w:val="subscript"/>
        </w:rPr>
        <w:t>0-24 h</w:t>
      </w:r>
      <w:r w:rsidRPr="00EA5CFE">
        <w:t xml:space="preserve"> value of 3.2 µg.h/mL compared with 4.4 µg.h/mL for </w:t>
      </w:r>
      <w:r w:rsidR="00A64789">
        <w:t xml:space="preserve">the proposed </w:t>
      </w:r>
      <w:r w:rsidRPr="00EA5CFE">
        <w:t>combination.</w:t>
      </w:r>
      <w:r w:rsidR="00841BE4">
        <w:t xml:space="preserve"> </w:t>
      </w:r>
      <w:r w:rsidRPr="00EA5CFE">
        <w:t>Untoward effects were observed at relatively low drug exposures, and there were safety margins of only 2-2.3 for bone mineral loss in rats and dogs, which appeared to be due to impaired phosphorus absorption and altered homeostasis.</w:t>
      </w:r>
      <w:r w:rsidR="00841BE4">
        <w:t xml:space="preserve"> </w:t>
      </w:r>
      <w:r w:rsidRPr="00EA5CFE">
        <w:t xml:space="preserve">However, the proposed </w:t>
      </w:r>
      <w:r w:rsidR="00297B94">
        <w:t xml:space="preserve">PI </w:t>
      </w:r>
      <w:r w:rsidRPr="00EA5CFE">
        <w:t xml:space="preserve">for </w:t>
      </w:r>
      <w:r w:rsidR="00B7498B">
        <w:t xml:space="preserve">Stribild </w:t>
      </w:r>
      <w:r w:rsidRPr="00EA5CFE">
        <w:t>notes that clinically relevant bone abnormalities have not been seen in long-term clinical studies.</w:t>
      </w:r>
      <w:r w:rsidR="00841BE4">
        <w:t xml:space="preserve"> </w:t>
      </w:r>
      <w:r w:rsidRPr="00EA5CFE">
        <w:t>TDF-elicited nephrotoxicity was app</w:t>
      </w:r>
      <w:r w:rsidR="00B7498B">
        <w:t>arent in dogs at 10 </w:t>
      </w:r>
      <w:r w:rsidRPr="00EA5CFE">
        <w:t xml:space="preserve">mg/kg/day (tubular dilation, tubular degeneration/regeneration, glucosuria) and there was no safety margin at the </w:t>
      </w:r>
      <w:r w:rsidR="00B7498B">
        <w:t>no observed effect level (</w:t>
      </w:r>
      <w:r w:rsidRPr="00EA5CFE">
        <w:t>NOEL</w:t>
      </w:r>
      <w:r w:rsidR="00B7498B">
        <w:t>)</w:t>
      </w:r>
      <w:r w:rsidRPr="00EA5CFE">
        <w:t xml:space="preserve"> of 3 mg/kg/day.</w:t>
      </w:r>
      <w:r w:rsidR="00841BE4">
        <w:t xml:space="preserve"> </w:t>
      </w:r>
      <w:r w:rsidRPr="00EA5CFE">
        <w:t>Renal findings in rhesus monkeys after 8 weeks treatment, including tubular single cell necrosis and tubular dilation, were apparent at a dose giving an ER of</w:t>
      </w:r>
      <w:r w:rsidR="007C10EC" w:rsidRPr="007C10EC">
        <w:t xml:space="preserve"> approximately </w:t>
      </w:r>
      <w:r w:rsidRPr="00EA5CFE">
        <w:t xml:space="preserve">5 (1.2 at the </w:t>
      </w:r>
      <w:r w:rsidRPr="00EA5CFE">
        <w:lastRenderedPageBreak/>
        <w:t>NOEL).</w:t>
      </w:r>
      <w:r w:rsidR="00841BE4">
        <w:t xml:space="preserve"> </w:t>
      </w:r>
      <w:r w:rsidRPr="00EA5CFE">
        <w:t xml:space="preserve">The proposed </w:t>
      </w:r>
      <w:r w:rsidR="00297B94">
        <w:t xml:space="preserve">PI </w:t>
      </w:r>
      <w:r w:rsidRPr="00EA5CFE">
        <w:t xml:space="preserve">for </w:t>
      </w:r>
      <w:r w:rsidR="00B7498B">
        <w:t xml:space="preserve">Stribild </w:t>
      </w:r>
      <w:r w:rsidRPr="00EA5CFE">
        <w:t>and that for V</w:t>
      </w:r>
      <w:r w:rsidR="00B7498B" w:rsidRPr="00EA5CFE">
        <w:t>iread</w:t>
      </w:r>
      <w:r w:rsidRPr="00EA5CFE">
        <w:t xml:space="preserve"> note that a range of renal and urinary disorders have been observed during post-marketing surveillance.</w:t>
      </w:r>
      <w:r w:rsidR="00841BE4">
        <w:t xml:space="preserve"> </w:t>
      </w:r>
      <w:r w:rsidRPr="00EA5CFE">
        <w:t>High PO TDF doses also elicited GI-tract toxicity in rats, including gastritis, stomach mucosal erosion and duodenal and jejunal epithelial hyperplasia, probably related to local irritation effects.</w:t>
      </w:r>
      <w:r w:rsidR="00841BE4">
        <w:t xml:space="preserve"> </w:t>
      </w:r>
      <w:r w:rsidRPr="00EA5CFE">
        <w:t xml:space="preserve"> </w:t>
      </w:r>
    </w:p>
    <w:p w:rsidR="00EA5CFE" w:rsidRPr="00EA5CFE" w:rsidRDefault="00EA5CFE" w:rsidP="00EA5CFE">
      <w:r w:rsidRPr="00EA5CFE">
        <w:t xml:space="preserve">Overall, there were no findings of concern in the adequate toxicity studies conducted with </w:t>
      </w:r>
      <w:r w:rsidR="00BB2DAA">
        <w:t xml:space="preserve">EVG </w:t>
      </w:r>
      <w:r w:rsidRPr="00EA5CFE">
        <w:t xml:space="preserve">and </w:t>
      </w:r>
      <w:r w:rsidR="00A2001C">
        <w:t>COBI</w:t>
      </w:r>
      <w:r w:rsidRPr="00EA5CFE">
        <w:t xml:space="preserve"> alone.</w:t>
      </w:r>
      <w:r w:rsidR="00841BE4">
        <w:t xml:space="preserve"> </w:t>
      </w:r>
      <w:r w:rsidRPr="00EA5CFE">
        <w:t xml:space="preserve">However, while the fixed combination of TDF plus </w:t>
      </w:r>
      <w:r w:rsidR="00A2001C">
        <w:t>FTC</w:t>
      </w:r>
      <w:r w:rsidRPr="00EA5CFE">
        <w:t xml:space="preserve"> is a registered (T</w:t>
      </w:r>
      <w:r w:rsidR="00B7498B" w:rsidRPr="00EA5CFE">
        <w:t>ruvada</w:t>
      </w:r>
      <w:r w:rsidRPr="00EA5CFE">
        <w:t xml:space="preserve">) product, and the new chemical entity combination </w:t>
      </w:r>
      <w:r w:rsidR="00D25299">
        <w:t>EVG</w:t>
      </w:r>
      <w:r w:rsidRPr="00EA5CFE">
        <w:t>/</w:t>
      </w:r>
      <w:r w:rsidR="00A2001C">
        <w:t>COBI</w:t>
      </w:r>
      <w:r w:rsidRPr="00EA5CFE">
        <w:t xml:space="preserve"> was tested over 13 weeks in one species, </w:t>
      </w:r>
      <w:r w:rsidRPr="00E1241E">
        <w:rPr>
          <w:i/>
        </w:rPr>
        <w:t>albeit</w:t>
      </w:r>
      <w:r w:rsidRPr="00EA5CFE">
        <w:t xml:space="preserve"> with some deficiency (see above), other potential interactions have not been investigated.</w:t>
      </w:r>
      <w:r w:rsidR="00841BE4">
        <w:t xml:space="preserve"> </w:t>
      </w:r>
      <w:r w:rsidRPr="00EA5CFE">
        <w:t xml:space="preserve">On the other hand, </w:t>
      </w:r>
      <w:r w:rsidR="00BB7072">
        <w:t>TDF</w:t>
      </w:r>
      <w:r w:rsidRPr="00EA5CFE">
        <w:t xml:space="preserve"> shows the highest toxicity profile of the 4 components in </w:t>
      </w:r>
      <w:r w:rsidR="00B7498B">
        <w:t>Stribild</w:t>
      </w:r>
      <w:r w:rsidRPr="00EA5CFE">
        <w:t xml:space="preserve">, but there was little indication of overlapping toxicities for the individual drugs other than GI-tract irritation, and it is considered that unexpected interactions between all 4 drugs, in terms of enhanced or additional toxicity is unlikely, although this cannot be completely excluded. Although </w:t>
      </w:r>
      <w:r w:rsidR="00BB7072">
        <w:t>TDF</w:t>
      </w:r>
      <w:r w:rsidRPr="00EA5CFE">
        <w:t xml:space="preserve"> may affect the kidneys in experimental animals and in humans, the urinary changes seen with </w:t>
      </w:r>
      <w:r w:rsidR="00A2001C">
        <w:t>COBI</w:t>
      </w:r>
      <w:r w:rsidRPr="00EA5CFE">
        <w:t xml:space="preserve"> were not associated with plasma changes or renal histological findings. A </w:t>
      </w:r>
      <w:r w:rsidR="00BB7072">
        <w:t>TDF</w:t>
      </w:r>
      <w:r w:rsidRPr="00EA5CFE">
        <w:t>/</w:t>
      </w:r>
      <w:r w:rsidR="00A2001C">
        <w:t>COBI</w:t>
      </w:r>
      <w:r w:rsidRPr="00EA5CFE">
        <w:t xml:space="preserve"> combination toxicity study would, however, have helped to provide reassurance of a lack of renal interaction between these drugs.</w:t>
      </w:r>
      <w:r w:rsidR="00841BE4">
        <w:t xml:space="preserve"> </w:t>
      </w:r>
      <w:r w:rsidRPr="00EA5CFE">
        <w:t xml:space="preserve">The 13 week </w:t>
      </w:r>
      <w:r w:rsidR="00BB2DAA">
        <w:t>EVG</w:t>
      </w:r>
      <w:r w:rsidRPr="00EA5CFE">
        <w:t>/</w:t>
      </w:r>
      <w:r w:rsidR="00A2001C">
        <w:t>COBI</w:t>
      </w:r>
      <w:r w:rsidRPr="00EA5CFE">
        <w:t xml:space="preserve"> study was designed to be in accordance with </w:t>
      </w:r>
      <w:r w:rsidR="00F419FC" w:rsidRPr="00F419FC">
        <w:t xml:space="preserve">the </w:t>
      </w:r>
      <w:r w:rsidRPr="00F419FC">
        <w:t xml:space="preserve">FDA </w:t>
      </w:r>
      <w:r w:rsidR="00F419FC">
        <w:t xml:space="preserve">guideline </w:t>
      </w:r>
      <w:r w:rsidR="00F419FC" w:rsidRPr="00F419FC">
        <w:rPr>
          <w:i/>
        </w:rPr>
        <w:t>Guidance for Industry. Nonclinical Safety Evaluation of Drug or Biologic Combinations</w:t>
      </w:r>
      <w:r w:rsidR="00F419FC">
        <w:rPr>
          <w:rStyle w:val="FootnoteReference"/>
        </w:rPr>
        <w:footnoteReference w:id="4"/>
      </w:r>
      <w:r w:rsidR="00F419FC">
        <w:t xml:space="preserve"> </w:t>
      </w:r>
      <w:r w:rsidRPr="00EA5CFE">
        <w:t>regarding nonclinical safety evaluation of drug combinations, specifically for 2 new chemical entities.</w:t>
      </w:r>
      <w:r w:rsidR="00841BE4">
        <w:t xml:space="preserve"> </w:t>
      </w:r>
      <w:r w:rsidRPr="00EA5CFE">
        <w:t>It would have been desirable to have tested all 4 drugs together, although the use of doses that would have achieved substantial exposure ratios in terms of AUC for each component may not be practical.</w:t>
      </w:r>
      <w:r w:rsidR="00841BE4">
        <w:t xml:space="preserve"> </w:t>
      </w:r>
      <w:r w:rsidRPr="00EA5CFE">
        <w:t xml:space="preserve">In this context, the complexity of performing and interpreting a combination toxicity study with more than 2 drugs was noted in a recent </w:t>
      </w:r>
      <w:r w:rsidR="00BB3D4A">
        <w:t xml:space="preserve">(2012) </w:t>
      </w:r>
      <w:r w:rsidR="00D25299">
        <w:t>European Medicines Agency (</w:t>
      </w:r>
      <w:r w:rsidRPr="00EA5CFE">
        <w:t>EMA</w:t>
      </w:r>
      <w:r w:rsidR="00D25299">
        <w:t>)</w:t>
      </w:r>
      <w:r w:rsidRPr="00EA5CFE">
        <w:t xml:space="preserve"> question and answer document</w:t>
      </w:r>
      <w:r w:rsidRPr="00BB3D4A">
        <w:rPr>
          <w:vertAlign w:val="superscript"/>
        </w:rPr>
        <w:footnoteReference w:id="5"/>
      </w:r>
      <w:r w:rsidRPr="00EA5CFE">
        <w:t>.</w:t>
      </w:r>
      <w:r w:rsidR="00841BE4">
        <w:t xml:space="preserve"> </w:t>
      </w:r>
      <w:r w:rsidRPr="00EA5CFE">
        <w:t>Given the above, the acceptability of this 4 drug combination will depend on the extent to which it is clinically justified.</w:t>
      </w:r>
      <w:r w:rsidR="00841BE4">
        <w:t xml:space="preserve"> </w:t>
      </w:r>
    </w:p>
    <w:p w:rsidR="00BB3D4A" w:rsidRDefault="00EA5CFE" w:rsidP="00BB3D4A">
      <w:pPr>
        <w:pStyle w:val="Heading5"/>
      </w:pPr>
      <w:r w:rsidRPr="00EA5CFE">
        <w:t>G</w:t>
      </w:r>
      <w:r w:rsidR="00BB3D4A">
        <w:t>enotoxicity and carcinogenicity</w:t>
      </w:r>
      <w:r w:rsidR="00841BE4">
        <w:t xml:space="preserve"> </w:t>
      </w:r>
    </w:p>
    <w:p w:rsidR="00EA5CFE" w:rsidRPr="00EA5CFE" w:rsidRDefault="00EA5CFE" w:rsidP="00EA5CFE">
      <w:r w:rsidRPr="00EA5CFE">
        <w:t xml:space="preserve">Elvitegravir showed an equivocal positive response in an </w:t>
      </w:r>
      <w:r w:rsidR="00BB7072" w:rsidRPr="00BB7072">
        <w:rPr>
          <w:i/>
        </w:rPr>
        <w:t>in vitro</w:t>
      </w:r>
      <w:r w:rsidRPr="00EA5CFE">
        <w:t xml:space="preserve"> test for clastogenicity in Chinese hamster lung cells, with an increased frequency of cells with chomosomal aberrations being seen at 55-75 µg/mL with 6 h exposure in the absence of </w:t>
      </w:r>
      <w:r w:rsidR="006748D5">
        <w:t xml:space="preserve">microsomal </w:t>
      </w:r>
      <w:r w:rsidR="00D306AF">
        <w:t>enzyme</w:t>
      </w:r>
      <w:r w:rsidRPr="00EA5CFE">
        <w:t xml:space="preserve"> activation.</w:t>
      </w:r>
      <w:r w:rsidR="00841BE4">
        <w:t xml:space="preserve"> </w:t>
      </w:r>
      <w:r w:rsidRPr="00EA5CFE">
        <w:t>Although, no response was seen in the 24 h exposure, concentrations tested were lower (25-45 µg/mL).</w:t>
      </w:r>
      <w:r w:rsidR="00841BE4">
        <w:t xml:space="preserve"> </w:t>
      </w:r>
      <w:r w:rsidRPr="00EA5CFE">
        <w:t xml:space="preserve">However, </w:t>
      </w:r>
      <w:r w:rsidR="00BB2DAA">
        <w:t xml:space="preserve">EVG </w:t>
      </w:r>
      <w:r w:rsidRPr="00EA5CFE">
        <w:t xml:space="preserve">gave negative results in an </w:t>
      </w:r>
      <w:r w:rsidR="00BB7072" w:rsidRPr="00BB7072">
        <w:rPr>
          <w:i/>
        </w:rPr>
        <w:t>in vivo</w:t>
      </w:r>
      <w:r w:rsidRPr="00EA5CFE">
        <w:t xml:space="preserve"> rat micronucleus test using high PO doses (500-2000 mg/kg) and together with negative results for bacterial reverse mutation (</w:t>
      </w:r>
      <w:r w:rsidRPr="00E1241E">
        <w:rPr>
          <w:i/>
        </w:rPr>
        <w:t>albeit</w:t>
      </w:r>
      <w:r w:rsidRPr="00EA5CFE">
        <w:t xml:space="preserve"> at concentrations limited by growth inhibition), it was not considered to be genotoxic.</w:t>
      </w:r>
      <w:r w:rsidR="00841BE4">
        <w:t xml:space="preserve"> </w:t>
      </w:r>
      <w:r w:rsidRPr="00EA5CFE">
        <w:t>It should be noted that concentrations for which metaphases were scored (as opposed to concentrations tested) did not achieve cytotoxicity of &gt;50%.</w:t>
      </w:r>
      <w:r w:rsidR="00841BE4">
        <w:t xml:space="preserve"> </w:t>
      </w:r>
      <w:r w:rsidRPr="00EA5CFE">
        <w:t xml:space="preserve">However, there were no oncogenic responses to </w:t>
      </w:r>
      <w:r w:rsidR="00BB2DAA">
        <w:t xml:space="preserve">EVG </w:t>
      </w:r>
      <w:r w:rsidR="00D306AF">
        <w:t>in mice and rats</w:t>
      </w:r>
      <w:r w:rsidRPr="00EA5CFE">
        <w:t xml:space="preserve"> using high-doses (2000 mg/kg/day) that achieved drug exposure ratios of &gt;10, although in the case of mice this was achieved only by co-administration of </w:t>
      </w:r>
      <w:r w:rsidR="00CC292E">
        <w:t>RTV</w:t>
      </w:r>
      <w:r w:rsidRPr="00EA5CFE">
        <w:t>.</w:t>
      </w:r>
      <w:r w:rsidR="00841BE4">
        <w:t xml:space="preserve"> </w:t>
      </w:r>
    </w:p>
    <w:p w:rsidR="00EA5CFE" w:rsidRPr="00EA5CFE" w:rsidRDefault="00EA5CFE" w:rsidP="00EA5CFE">
      <w:r w:rsidRPr="00EA5CFE">
        <w:t xml:space="preserve">Cobicistat did not show any genotoxicity in adequate assays, resembling </w:t>
      </w:r>
      <w:r w:rsidR="00CC292E">
        <w:t>RTV</w:t>
      </w:r>
      <w:r w:rsidRPr="00EA5CFE">
        <w:t xml:space="preserve"> in this respect (N</w:t>
      </w:r>
      <w:r w:rsidR="00D306AF">
        <w:t xml:space="preserve">ovir </w:t>
      </w:r>
      <w:r w:rsidR="00297B94">
        <w:t>PI</w:t>
      </w:r>
      <w:r w:rsidRPr="00EA5CFE">
        <w:t>), and the only oncogenic response in long-term rodent carcinogenicity studies involved thyroid follicular cell tumours in rats.</w:t>
      </w:r>
      <w:r w:rsidR="00841BE4">
        <w:t xml:space="preserve"> </w:t>
      </w:r>
      <w:r w:rsidRPr="00EA5CFE">
        <w:t>These were almost certainly related to hepatocytic hypertrophy and changes in thyroid hormones as seen in the rat toxicity studies (</w:t>
      </w:r>
      <w:r w:rsidR="00D306AF">
        <w:t xml:space="preserve">see </w:t>
      </w:r>
      <w:r w:rsidRPr="00D306AF">
        <w:rPr>
          <w:i/>
        </w:rPr>
        <w:t>General toxicity</w:t>
      </w:r>
      <w:r w:rsidR="00D306AF">
        <w:t xml:space="preserve"> above</w:t>
      </w:r>
      <w:r w:rsidRPr="00EA5CFE">
        <w:t>).</w:t>
      </w:r>
      <w:r w:rsidR="00841BE4">
        <w:t xml:space="preserve"> </w:t>
      </w:r>
      <w:r w:rsidRPr="00EA5CFE">
        <w:t xml:space="preserve">Adrenal medullary phaeochromocytoma incidences tended to be higher in </w:t>
      </w:r>
      <w:r w:rsidR="00D306AF">
        <w:t xml:space="preserve">mid- </w:t>
      </w:r>
      <w:r w:rsidRPr="00EA5CFE">
        <w:t xml:space="preserve">and </w:t>
      </w:r>
      <w:r w:rsidR="00D306AF">
        <w:t xml:space="preserve">high-dose </w:t>
      </w:r>
      <w:r w:rsidRPr="00EA5CFE">
        <w:t>male rats but these appeared to be incidental, based on lack of a significant trend, incidences within the historical control range, no associated histological changes and occurrence only in one sex.</w:t>
      </w:r>
      <w:r w:rsidR="00841BE4">
        <w:t xml:space="preserve"> </w:t>
      </w:r>
      <w:r w:rsidRPr="00EA5CFE">
        <w:t>Drug exposures in the rat study were relatively low, and while the high-dose achieved exposure ratios of</w:t>
      </w:r>
      <w:r w:rsidR="007C10EC" w:rsidRPr="007C10EC">
        <w:t xml:space="preserve"> </w:t>
      </w:r>
      <w:r w:rsidR="007C10EC" w:rsidRPr="007C10EC">
        <w:lastRenderedPageBreak/>
        <w:t xml:space="preserve">approximately </w:t>
      </w:r>
      <w:r w:rsidRPr="00EA5CFE">
        <w:t>2 or slightly above, low- and mid-dose values exposures were below that expected in humans.</w:t>
      </w:r>
      <w:r w:rsidR="00841BE4">
        <w:t xml:space="preserve"> </w:t>
      </w:r>
      <w:r w:rsidRPr="00EA5CFE">
        <w:t>Based on the pattern of mortality and body weight changes, and lack of significant additional toxicities, the high-doses (50 (males) or 30 (females) mg/kg/day) could probably have been increased, although 100 mg/kg/day in the male 27 week toxicity study resulted in a pronounced decrease in body weight gain (by 22%).</w:t>
      </w:r>
      <w:r w:rsidR="00841BE4">
        <w:t xml:space="preserve"> </w:t>
      </w:r>
      <w:r w:rsidRPr="00EA5CFE">
        <w:t>By contrast, drug exposures in the mouse study were much higher, especially in females in which doses of 10-100 mg/kg/day were used.</w:t>
      </w:r>
      <w:r w:rsidR="00841BE4">
        <w:t xml:space="preserve"> </w:t>
      </w:r>
    </w:p>
    <w:p w:rsidR="00EA5CFE" w:rsidRPr="00EA5CFE" w:rsidRDefault="00EA5CFE" w:rsidP="00EA5CFE">
      <w:r w:rsidRPr="00EA5CFE">
        <w:t>Emtricitabine was not genotoxic and also showed no oncogenic responses in rodent PO carcinogenicity studies using high-doses of 750 (mouse) or 600 (rat) mg/kg/day, which achieved AUC exposure ratios of &gt;25 (mean of weeks 2 and 26).</w:t>
      </w:r>
      <w:r w:rsidR="00841BE4">
        <w:t xml:space="preserve"> </w:t>
      </w:r>
      <w:r w:rsidRPr="00EA5CFE">
        <w:t>By contrast and as noted in the V</w:t>
      </w:r>
      <w:r w:rsidR="00D306AF" w:rsidRPr="00EA5CFE">
        <w:t>iread</w:t>
      </w:r>
      <w:r w:rsidRPr="00EA5CFE">
        <w:t xml:space="preserve"> </w:t>
      </w:r>
      <w:r w:rsidR="00297B94">
        <w:t>PI</w:t>
      </w:r>
      <w:r w:rsidRPr="00EA5CFE">
        <w:t xml:space="preserve">, </w:t>
      </w:r>
      <w:r w:rsidR="00BB7072">
        <w:t>TDF</w:t>
      </w:r>
      <w:r w:rsidRPr="00EA5CFE">
        <w:t xml:space="preserve"> showed positive responses in the mouse lymphoma L5178Y (tk locus) assay and an ex vivo assay for unscheduled DNA synthesis in rat hepatocytes, but not for bacterial reverse mutation or in the </w:t>
      </w:r>
      <w:r w:rsidR="00BB7072" w:rsidRPr="00BB7072">
        <w:rPr>
          <w:i/>
        </w:rPr>
        <w:t>in vivo</w:t>
      </w:r>
      <w:r w:rsidRPr="00EA5CFE">
        <w:t xml:space="preserve"> micronucleus test.</w:t>
      </w:r>
      <w:r w:rsidR="00841BE4">
        <w:t xml:space="preserve"> </w:t>
      </w:r>
      <w:r w:rsidRPr="00EA5CFE">
        <w:t>The tenofovir base did not show genotoxic activity in the bacterial reverse mutation assay but was equivocally positive in the L5178Y lymphoma assay.</w:t>
      </w:r>
      <w:r w:rsidR="00841BE4">
        <w:t xml:space="preserve"> </w:t>
      </w:r>
      <w:r w:rsidRPr="00EA5CFE">
        <w:t xml:space="preserve">Long-term rodent carcinogenicity studies with </w:t>
      </w:r>
      <w:r w:rsidR="00BB7072">
        <w:t>TDF</w:t>
      </w:r>
      <w:r w:rsidRPr="00EA5CFE">
        <w:t xml:space="preserve"> failed to show any oncogenic response other than a low incidence of upper duodenal tumours with associated epithelial hyperplasia in mice, which probably reflected local irritation by formaldehyde released during hydrolysis of the disoproxil diester.</w:t>
      </w:r>
      <w:r w:rsidR="00841BE4">
        <w:t xml:space="preserve"> </w:t>
      </w:r>
      <w:r w:rsidRPr="00EA5CFE">
        <w:t xml:space="preserve">Apparently increased incidences of some other tumours (hepatocellular adenomas in female mice, Harderian gland adenomas in male mice, </w:t>
      </w:r>
      <w:r w:rsidR="00D306AF">
        <w:t xml:space="preserve">subcutaneous </w:t>
      </w:r>
      <w:r w:rsidRPr="00EA5CFE">
        <w:t xml:space="preserve">lipomas in male rats and uterine endometrial stromal polyps in rats) were </w:t>
      </w:r>
      <w:r w:rsidR="00D306AF">
        <w:t xml:space="preserve">previously considered by TGA evaluators </w:t>
      </w:r>
      <w:r w:rsidRPr="00EA5CFE">
        <w:t>to be incidental or of little relevance to human risk assessment.</w:t>
      </w:r>
      <w:r w:rsidR="00841BE4">
        <w:t xml:space="preserve"> </w:t>
      </w:r>
      <w:r w:rsidRPr="00EA5CFE">
        <w:t>PO high-doses used in these studies (600 mg/kg/day in mice, 300 mg/kg/day in rats) achieved respective tenofovir exposure ratios of 15 (mice) or 5 (rats).</w:t>
      </w:r>
      <w:r w:rsidR="00841BE4">
        <w:t xml:space="preserve"> </w:t>
      </w:r>
    </w:p>
    <w:p w:rsidR="00EA5CFE" w:rsidRPr="00EA5CFE" w:rsidRDefault="00EA5CFE" w:rsidP="00EA5CFE">
      <w:r w:rsidRPr="00EA5CFE">
        <w:t>Combination genotoxicity or carcinogenicity studies have not been conducted and are not considered necessary.</w:t>
      </w:r>
      <w:r w:rsidR="00841BE4">
        <w:t xml:space="preserve"> </w:t>
      </w:r>
    </w:p>
    <w:p w:rsidR="00D306AF" w:rsidRDefault="00EA5CFE" w:rsidP="00D306AF">
      <w:pPr>
        <w:pStyle w:val="Heading5"/>
      </w:pPr>
      <w:r w:rsidRPr="00EA5CFE">
        <w:t>Reproductive toxicity</w:t>
      </w:r>
      <w:r w:rsidR="00841BE4">
        <w:t xml:space="preserve"> </w:t>
      </w:r>
    </w:p>
    <w:p w:rsidR="00EA5CFE" w:rsidRPr="00EA5CFE" w:rsidRDefault="00EA5CFE" w:rsidP="00EA5CFE">
      <w:r w:rsidRPr="00EA5CFE">
        <w:t xml:space="preserve">Reproductive toxicity was assessed in a full range of PO studies with both </w:t>
      </w:r>
      <w:r w:rsidR="00BB2DAA">
        <w:t xml:space="preserve">EVG </w:t>
      </w:r>
      <w:r w:rsidRPr="00EA5CFE">
        <w:t xml:space="preserve">and </w:t>
      </w:r>
      <w:r w:rsidR="00A2001C">
        <w:t>COBI</w:t>
      </w:r>
      <w:r w:rsidRPr="00EA5CFE">
        <w:t xml:space="preserve"> separately, often with initial pilot studies, although both agents in combination were not used.</w:t>
      </w:r>
      <w:r w:rsidR="00841BE4">
        <w:t xml:space="preserve"> </w:t>
      </w:r>
      <w:r w:rsidRPr="00EA5CFE">
        <w:t xml:space="preserve">An additional rat embryofetal development study was conducted with </w:t>
      </w:r>
      <w:r w:rsidR="00BB2DAA">
        <w:t xml:space="preserve">EVG </w:t>
      </w:r>
      <w:r w:rsidRPr="00EA5CFE">
        <w:t xml:space="preserve">co-administered with </w:t>
      </w:r>
      <w:r w:rsidR="00CC292E">
        <w:t>RTV</w:t>
      </w:r>
      <w:r w:rsidRPr="00EA5CFE">
        <w:t xml:space="preserve"> but this was of limited relevance to the current submission.</w:t>
      </w:r>
      <w:r w:rsidR="00841BE4">
        <w:t xml:space="preserve"> </w:t>
      </w:r>
      <w:r w:rsidRPr="00EA5CFE">
        <w:t xml:space="preserve">Milk secretion was observed for </w:t>
      </w:r>
      <w:r w:rsidR="00BB2DAA">
        <w:t xml:space="preserve">EVG </w:t>
      </w:r>
      <w:r w:rsidRPr="00EA5CFE">
        <w:t xml:space="preserve">and to a greater extent </w:t>
      </w:r>
      <w:r w:rsidR="00A2001C">
        <w:t>COBI</w:t>
      </w:r>
      <w:r w:rsidRPr="00EA5CFE">
        <w:t xml:space="preserve"> but placental transfer was not investigated for either compound.</w:t>
      </w:r>
      <w:r w:rsidR="00841BE4">
        <w:t xml:space="preserve"> </w:t>
      </w:r>
    </w:p>
    <w:p w:rsidR="00EA5CFE" w:rsidRPr="00EA5CFE" w:rsidRDefault="00EA5CFE" w:rsidP="00EA5CFE">
      <w:r w:rsidRPr="00D306AF">
        <w:rPr>
          <w:i/>
        </w:rPr>
        <w:t>Elvitegravir</w:t>
      </w:r>
      <w:r w:rsidRPr="00EA5CFE">
        <w:t>.</w:t>
      </w:r>
      <w:r w:rsidR="00841BE4">
        <w:t xml:space="preserve"> </w:t>
      </w:r>
      <w:r w:rsidRPr="00EA5CFE">
        <w:t>Fertility and early embryonic development were unaffected by doses up to 2000 mg/kg/day in male or female rats, which would be expected to have achieved high drug exposures based on data from the 13- and 26-week general toxicity studies.</w:t>
      </w:r>
      <w:r w:rsidR="00841BE4">
        <w:t xml:space="preserve"> </w:t>
      </w:r>
      <w:r w:rsidRPr="00EA5CFE">
        <w:t>Elvitegravir was similarly without effect in the rat embryofetal development study, but as noted above (</w:t>
      </w:r>
      <w:r w:rsidR="00D306AF">
        <w:t xml:space="preserve">under </w:t>
      </w:r>
      <w:r w:rsidRPr="00D306AF">
        <w:rPr>
          <w:i/>
        </w:rPr>
        <w:t>Pharmacokinetics and relative drug exposures</w:t>
      </w:r>
      <w:r w:rsidRPr="00EA5CFE">
        <w:t xml:space="preserve">), the doses used achieved particularly low </w:t>
      </w:r>
      <w:r w:rsidR="00BB2DAA">
        <w:t xml:space="preserve">EVG </w:t>
      </w:r>
      <w:r w:rsidRPr="00EA5CFE">
        <w:t>exposures (AUC) in the corresponding rabbit study.</w:t>
      </w:r>
      <w:r w:rsidR="00841BE4">
        <w:t xml:space="preserve"> </w:t>
      </w:r>
      <w:r w:rsidRPr="00EA5CFE">
        <w:t>Comparison with the rat study shows that drug exposures in the rat were very much higher than in the rabbit (</w:t>
      </w:r>
      <w:r w:rsidR="00D306AF">
        <w:t xml:space="preserve">for example, </w:t>
      </w:r>
      <w:r w:rsidRPr="00EA5CFE">
        <w:t>155 µg.h/mL at 300 mg/kg day</w:t>
      </w:r>
      <w:r w:rsidR="00700880" w:rsidRPr="00700880">
        <w:t xml:space="preserve"> versus </w:t>
      </w:r>
      <w:r w:rsidRPr="00EA5CFE">
        <w:t>4.3 µg.h/mL with 450 mg/kg/day).</w:t>
      </w:r>
      <w:r w:rsidR="00841BE4">
        <w:t xml:space="preserve"> </w:t>
      </w:r>
      <w:r w:rsidRPr="00EA5CFE">
        <w:t xml:space="preserve">The reason for this large difference is not clear, and there were no other </w:t>
      </w:r>
      <w:r w:rsidR="007C46CB">
        <w:t xml:space="preserve">PK </w:t>
      </w:r>
      <w:r w:rsidRPr="00EA5CFE">
        <w:t>data for rabbits.</w:t>
      </w:r>
      <w:r w:rsidR="00841BE4">
        <w:t xml:space="preserve"> </w:t>
      </w:r>
      <w:r w:rsidRPr="00EA5CFE">
        <w:t>Although the vehicle used was 0.5% methylcellulose in rats and corn oil in rabbits, the latter was shown to give higher exposures after single administration to male dogs (</w:t>
      </w:r>
      <w:r w:rsidR="00D306AF">
        <w:t xml:space="preserve">see </w:t>
      </w:r>
      <w:r w:rsidRPr="00D306AF">
        <w:rPr>
          <w:i/>
        </w:rPr>
        <w:t>General toxicity</w:t>
      </w:r>
      <w:r w:rsidRPr="00EA5CFE">
        <w:t>).</w:t>
      </w:r>
      <w:r w:rsidR="00841BE4">
        <w:t xml:space="preserve"> </w:t>
      </w:r>
      <w:r w:rsidRPr="00EA5CFE">
        <w:t>Additionally, there was little or no effect of treatment in the main rabbit study, which was preceded by a pilot study using doses of up to 600 mg/kg/day. These resulted in somewhat higher exposures but still with a high-dose exposure ratio of only</w:t>
      </w:r>
      <w:r w:rsidR="007C10EC" w:rsidRPr="007C10EC">
        <w:t xml:space="preserve"> approximately </w:t>
      </w:r>
      <w:r w:rsidRPr="00EA5CFE">
        <w:t>0.5.</w:t>
      </w:r>
      <w:r w:rsidR="00841BE4">
        <w:t xml:space="preserve"> </w:t>
      </w:r>
      <w:r w:rsidRPr="00EA5CFE">
        <w:t xml:space="preserve">The pilot study was confounded by anorexia in some does, which was not drug-related and of no obvious cause, but there was little effect of </w:t>
      </w:r>
      <w:r w:rsidR="00BB2DAA">
        <w:t xml:space="preserve">EVG </w:t>
      </w:r>
      <w:r w:rsidRPr="00EA5CFE">
        <w:t>on embryofetal development.</w:t>
      </w:r>
      <w:r w:rsidR="00841BE4">
        <w:t xml:space="preserve"> </w:t>
      </w:r>
      <w:r w:rsidRPr="00EA5CFE">
        <w:t xml:space="preserve">The high-dose for </w:t>
      </w:r>
      <w:r w:rsidR="00D306AF">
        <w:t>the main study (450 </w:t>
      </w:r>
      <w:r w:rsidRPr="00EA5CFE">
        <w:t xml:space="preserve">mg/kg/day) was a cautious selection and it would have been prudent to have repeated the pilot study to include doses higher than 600 mg/kg/day, and to have </w:t>
      </w:r>
      <w:r w:rsidRPr="00EA5CFE">
        <w:lastRenderedPageBreak/>
        <w:t>explored the reason for the apparently low bioavailability.</w:t>
      </w:r>
      <w:r w:rsidR="00841BE4">
        <w:t xml:space="preserve"> </w:t>
      </w:r>
      <w:r w:rsidRPr="00EA5CFE">
        <w:t xml:space="preserve">Overall, it is considered that the developmental toxicity of </w:t>
      </w:r>
      <w:r w:rsidR="00BB2DAA">
        <w:t xml:space="preserve">EVG </w:t>
      </w:r>
      <w:r w:rsidRPr="00EA5CFE">
        <w:t>has not been adequately investigated in the rabbit.</w:t>
      </w:r>
      <w:r w:rsidR="00841BE4">
        <w:t xml:space="preserve"> </w:t>
      </w:r>
    </w:p>
    <w:p w:rsidR="00EA5CFE" w:rsidRPr="00EA5CFE" w:rsidRDefault="00EA5CFE" w:rsidP="00EA5CFE">
      <w:r w:rsidRPr="00EA5CFE">
        <w:t>There was no clear evidence of maternal or reproductive toxicity in the rat pre-post-natal study, with doses that achieved adequate drug exposure.</w:t>
      </w:r>
      <w:r w:rsidR="00841BE4">
        <w:t xml:space="preserve"> </w:t>
      </w:r>
      <w:r w:rsidRPr="00EA5CFE">
        <w:t xml:space="preserve">Although </w:t>
      </w:r>
      <w:r w:rsidR="00BB2DAA">
        <w:t xml:space="preserve">EVG </w:t>
      </w:r>
      <w:r w:rsidRPr="00EA5CFE">
        <w:t>is proposed for use only in adults, this study included a juvenile toxicity study in which offspring were dosed for 4 weeks</w:t>
      </w:r>
      <w:r w:rsidR="00841BE4">
        <w:t xml:space="preserve"> </w:t>
      </w:r>
      <w:r w:rsidRPr="00EA5CFE">
        <w:t xml:space="preserve">from post-partum day 22, following exposure </w:t>
      </w:r>
      <w:r w:rsidRPr="00D306AF">
        <w:rPr>
          <w:i/>
        </w:rPr>
        <w:t>in utero</w:t>
      </w:r>
      <w:r w:rsidRPr="00EA5CFE">
        <w:t xml:space="preserve"> and </w:t>
      </w:r>
      <w:r w:rsidR="00BB7072" w:rsidRPr="00BB7072">
        <w:rPr>
          <w:i/>
        </w:rPr>
        <w:t>via</w:t>
      </w:r>
      <w:r w:rsidRPr="00EA5CFE">
        <w:t xml:space="preserve"> milk.</w:t>
      </w:r>
      <w:r w:rsidR="00841BE4">
        <w:t xml:space="preserve"> </w:t>
      </w:r>
      <w:r w:rsidRPr="00EA5CFE">
        <w:t>Doses were the same as their respective dams (to 2000 mg/kg/day), with little or no effect of treatment beings seen, although drug exposures were not as high as in dams (exposure ratios of up to 5.9 in males and 7.1 in females</w:t>
      </w:r>
      <w:r w:rsidR="00700880" w:rsidRPr="00700880">
        <w:t xml:space="preserve"> versus </w:t>
      </w:r>
      <w:r w:rsidRPr="00EA5CFE">
        <w:t>up to 17.7 in dams).</w:t>
      </w:r>
      <w:r w:rsidR="00841BE4">
        <w:t xml:space="preserve"> </w:t>
      </w:r>
    </w:p>
    <w:p w:rsidR="00EA5CFE" w:rsidRPr="00EA5CFE" w:rsidRDefault="00EA5CFE" w:rsidP="00EA5CFE">
      <w:r w:rsidRPr="00D306AF">
        <w:rPr>
          <w:i/>
        </w:rPr>
        <w:t>Cobicistat.</w:t>
      </w:r>
      <w:r w:rsidR="00841BE4">
        <w:t xml:space="preserve"> </w:t>
      </w:r>
      <w:r w:rsidRPr="00EA5CFE">
        <w:t xml:space="preserve">PO doses and drug exposure ratios were lower than in the corresponding </w:t>
      </w:r>
      <w:r w:rsidR="00BB2DAA">
        <w:t xml:space="preserve">EVG </w:t>
      </w:r>
      <w:r w:rsidRPr="00EA5CFE">
        <w:t>studies, with the exception of the rabbit embryofetal development study, but food consumption and body weight gain in rats were adversely affected at doses of</w:t>
      </w:r>
      <w:r w:rsidR="00841BE4">
        <w:t xml:space="preserve"> </w:t>
      </w:r>
      <w:r w:rsidRPr="00EA5CFE">
        <w:t>≥ approx</w:t>
      </w:r>
      <w:r w:rsidR="00D306AF">
        <w:t>imately</w:t>
      </w:r>
      <w:r w:rsidRPr="00EA5CFE">
        <w:t xml:space="preserve"> 100 mg/kg/day, resulting in marked mortality at 200 mg/kg/day. Maximum doses used decreased with duration of the studies in rats (</w:t>
      </w:r>
      <w:r w:rsidR="00700880">
        <w:t>that is,</w:t>
      </w:r>
      <w:r w:rsidRPr="00EA5CFE">
        <w:t xml:space="preserve"> 125, 100 and 75 mg/kg/day for the embryofetal development, fertility and pre/postnatal studies, respectively) and were considered appropriate. Significant decreases in maternal body weight gain were seen with the high-dose in all these studies, but there were no specific effects on reproductive parameters.</w:t>
      </w:r>
      <w:r w:rsidR="00841BE4">
        <w:t xml:space="preserve"> </w:t>
      </w:r>
    </w:p>
    <w:p w:rsidR="00EA5CFE" w:rsidRPr="00EA5CFE" w:rsidRDefault="00EA5CFE" w:rsidP="00EA5CFE">
      <w:r w:rsidRPr="00EA5CFE">
        <w:t>A non-significant increase in post-implantation loss, and a reduction in fetal weight (only significant after covariate analysis) was seen with the high-dose in the rat embryofetal development study, but this resulted in markedly lower body weight gain over the dosing period (by &gt;50%) associated with reduced food consumption. Increased incidences of incomplete ossification of a number of fetal bones in this study probably reflected lower fetal weights.</w:t>
      </w:r>
      <w:r w:rsidR="00841BE4">
        <w:t xml:space="preserve"> </w:t>
      </w:r>
      <w:r w:rsidRPr="00EA5CFE">
        <w:t>Based on toxicokinetic data from the 26-week rat study, exposure ratios with the high-dose in the fertility and early embryonic development study were 4.4 (males) or 6.7 (females).</w:t>
      </w:r>
      <w:r w:rsidR="00841BE4">
        <w:t xml:space="preserve"> </w:t>
      </w:r>
      <w:r w:rsidRPr="00EA5CFE">
        <w:t>However, there was no safety margin with the high-dose in the rat pre-/post-natal development study for which the drug exposure ratio was 1.2, but it is not clear why AUC values were several fold lower than those in other studies, including the pilot embryofetal development study.</w:t>
      </w:r>
      <w:r w:rsidR="00841BE4">
        <w:t xml:space="preserve"> </w:t>
      </w:r>
      <w:r w:rsidRPr="00EA5CFE">
        <w:t xml:space="preserve">As with </w:t>
      </w:r>
      <w:r w:rsidR="00E1241E">
        <w:t>EVG</w:t>
      </w:r>
      <w:r w:rsidRPr="00EA5CFE">
        <w:t>, the pre-post-natal study included a similar juvenile toxicity study, in which there were a number of findings.</w:t>
      </w:r>
      <w:r w:rsidR="00841BE4">
        <w:t xml:space="preserve"> </w:t>
      </w:r>
      <w:r w:rsidRPr="00EA5CFE">
        <w:t>These notably included hepatocytic hypertrophy, elevated thyroid stimulating hormone and thyroid follicular cell hypertrophy, as in adults (</w:t>
      </w:r>
      <w:r w:rsidR="0048357F">
        <w:t xml:space="preserve">see </w:t>
      </w:r>
      <w:r w:rsidRPr="0048357F">
        <w:rPr>
          <w:i/>
        </w:rPr>
        <w:t>General toxicity</w:t>
      </w:r>
      <w:r w:rsidR="0048357F">
        <w:t xml:space="preserve"> above</w:t>
      </w:r>
      <w:r w:rsidRPr="00EA5CFE">
        <w:t>).</w:t>
      </w:r>
      <w:r w:rsidR="00841BE4">
        <w:t xml:space="preserve"> </w:t>
      </w:r>
      <w:r w:rsidRPr="00EA5CFE">
        <w:t>Other observations such as small increases in platelets and serum protein were also apparent in adults, although urinary volumes were unaffected, and overall there were no unexpected toxicities.</w:t>
      </w:r>
      <w:r w:rsidR="00841BE4">
        <w:t xml:space="preserve"> </w:t>
      </w:r>
    </w:p>
    <w:p w:rsidR="00EA5CFE" w:rsidRPr="00EA5CFE" w:rsidRDefault="00EA5CFE" w:rsidP="00EA5CFE">
      <w:r w:rsidRPr="00EA5CFE">
        <w:t>The high-dose used in the main rabbit embryofetal development study (100 mg/kg/day) was appropriate based on the results of the pilot study, although this predicted more severe body weight changes than were actually observed in the main study.</w:t>
      </w:r>
      <w:r w:rsidR="00841BE4">
        <w:t xml:space="preserve"> </w:t>
      </w:r>
      <w:r w:rsidRPr="00EA5CFE">
        <w:t>Although this resulted in a drug exposure ratio of only 2.8, it elicited a 25% decrement in maternal body weight gain over the dosing period, associated with reduced food consumption.</w:t>
      </w:r>
      <w:r w:rsidR="00841BE4">
        <w:t xml:space="preserve"> </w:t>
      </w:r>
    </w:p>
    <w:p w:rsidR="00EA5CFE" w:rsidRPr="00EA5CFE" w:rsidRDefault="00EA5CFE" w:rsidP="00EA5CFE">
      <w:r w:rsidRPr="0048357F">
        <w:rPr>
          <w:i/>
        </w:rPr>
        <w:t>Emtricitabine.</w:t>
      </w:r>
      <w:r w:rsidR="00841BE4">
        <w:t xml:space="preserve"> </w:t>
      </w:r>
      <w:r w:rsidRPr="00EA5CFE">
        <w:t>Drug exposures were high in the reproductive toxicity studies (exposure ratios of &gt;50), with no specific effects being observed (</w:t>
      </w:r>
      <w:r w:rsidR="00BC7D9D">
        <w:t xml:space="preserve">Emtricitabine is in </w:t>
      </w:r>
      <w:r w:rsidRPr="00EA5CFE">
        <w:t>Pregnancy category B1</w:t>
      </w:r>
      <w:r w:rsidR="00BC7D9D">
        <w:rPr>
          <w:rStyle w:val="FootnoteReference"/>
        </w:rPr>
        <w:footnoteReference w:id="6"/>
      </w:r>
      <w:r w:rsidRPr="00EA5CFE">
        <w:t>).</w:t>
      </w:r>
      <w:r w:rsidR="00841BE4">
        <w:t xml:space="preserve"> </w:t>
      </w:r>
    </w:p>
    <w:p w:rsidR="00EA5CFE" w:rsidRPr="00EA5CFE" w:rsidRDefault="00EA5CFE" w:rsidP="00EA5CFE">
      <w:r w:rsidRPr="0048357F">
        <w:rPr>
          <w:i/>
        </w:rPr>
        <w:t>Tenofovir disoproxil fumarate.</w:t>
      </w:r>
      <w:r w:rsidR="00841BE4">
        <w:t xml:space="preserve"> </w:t>
      </w:r>
      <w:r w:rsidRPr="00EA5CFE">
        <w:t xml:space="preserve">High-dose drug exposures were much lower than for </w:t>
      </w:r>
      <w:r w:rsidR="00A2001C">
        <w:t>FTC</w:t>
      </w:r>
      <w:r w:rsidRPr="00EA5CFE">
        <w:t xml:space="preserve"> in the standard rat reproductive toxicity studies (4-6, but 66 in rabbits) with no specific effects being observed.</w:t>
      </w:r>
      <w:r w:rsidR="00841BE4">
        <w:t xml:space="preserve"> </w:t>
      </w:r>
      <w:r w:rsidRPr="00EA5CFE">
        <w:t xml:space="preserve">There were, however, several untoward effects at maternotoxic (mid 2- and high-) doses of 450 and 600 mg/kg/day, including decreased live pups and </w:t>
      </w:r>
      <w:r w:rsidRPr="00EA5CFE">
        <w:lastRenderedPageBreak/>
        <w:t>their weight at birth and weaning, increased offspring mortality over days 1-4 and post-weaning, and slightly delayed sexual maturation.</w:t>
      </w:r>
      <w:r w:rsidR="00841BE4">
        <w:t xml:space="preserve"> </w:t>
      </w:r>
      <w:r w:rsidRPr="00EA5CFE">
        <w:t>Additionally, and as noted above (</w:t>
      </w:r>
      <w:r w:rsidRPr="0048357F">
        <w:rPr>
          <w:i/>
        </w:rPr>
        <w:t>General toxicity</w:t>
      </w:r>
      <w:r w:rsidRPr="00EA5CFE">
        <w:t>), tenofovir may exhibit bone toxicity associated with alterations in phosphorus haemostasis.</w:t>
      </w:r>
      <w:r w:rsidR="00841BE4">
        <w:t xml:space="preserve"> </w:t>
      </w:r>
      <w:r w:rsidRPr="00EA5CFE">
        <w:t xml:space="preserve">In a published study, </w:t>
      </w:r>
      <w:r w:rsidR="0048357F">
        <w:t xml:space="preserve">subcutaneous </w:t>
      </w:r>
      <w:r w:rsidRPr="00EA5CFE">
        <w:t xml:space="preserve">treatment of pregnant rhesus monkeys with 30 mg/kg/day tenofovir during the last half of pregnancy elicited reduced offspring serum phosphorus at birth, and continued neonatal treatment resulted in severe bone toxicity. The </w:t>
      </w:r>
      <w:r w:rsidR="00BB7072">
        <w:t>TDF</w:t>
      </w:r>
      <w:r w:rsidRPr="00EA5CFE">
        <w:t xml:space="preserve"> pregnancy category is B3</w:t>
      </w:r>
      <w:r w:rsidR="00BC7D9D">
        <w:rPr>
          <w:rStyle w:val="FootnoteReference"/>
        </w:rPr>
        <w:footnoteReference w:id="7"/>
      </w:r>
      <w:r w:rsidRPr="00EA5CFE">
        <w:t xml:space="preserve">. </w:t>
      </w:r>
      <w:r w:rsidR="00BC7D9D">
        <w:t>Stribild is also proposed to be included in pregnancy category B3.</w:t>
      </w:r>
    </w:p>
    <w:p w:rsidR="00EA5CFE" w:rsidRDefault="00EA5CFE" w:rsidP="00EA5CFE">
      <w:r w:rsidRPr="00EA5CFE">
        <w:t xml:space="preserve">The </w:t>
      </w:r>
      <w:r w:rsidR="005C1062">
        <w:t xml:space="preserve">2 </w:t>
      </w:r>
      <w:r w:rsidRPr="00EA5CFE">
        <w:t>new chemical entities have not been tested in combination, although based on findings with each drug alone unexpected or enhanced toxicities are considered unlikely, which i</w:t>
      </w:r>
      <w:r w:rsidR="00447FD2">
        <w:t>s consistent with the</w:t>
      </w:r>
      <w:r w:rsidR="006748D5">
        <w:t xml:space="preserve"> relevant EM</w:t>
      </w:r>
      <w:r w:rsidRPr="00EA5CFE">
        <w:t>A guideline</w:t>
      </w:r>
      <w:r w:rsidR="00447FD2">
        <w:t>.</w:t>
      </w:r>
      <w:r w:rsidRPr="0048357F">
        <w:rPr>
          <w:vertAlign w:val="superscript"/>
        </w:rPr>
        <w:footnoteReference w:id="8"/>
      </w:r>
      <w:r w:rsidR="00841BE4">
        <w:t xml:space="preserve"> </w:t>
      </w:r>
      <w:r w:rsidRPr="00EA5CFE">
        <w:t xml:space="preserve">A combination rat embryofetal development study was conducted with </w:t>
      </w:r>
      <w:r w:rsidR="00BB2DAA">
        <w:t xml:space="preserve">EVG </w:t>
      </w:r>
      <w:r w:rsidRPr="00EA5CFE">
        <w:t xml:space="preserve">plus </w:t>
      </w:r>
      <w:r w:rsidR="00CC292E">
        <w:t>RTV</w:t>
      </w:r>
      <w:r w:rsidRPr="00EA5CFE">
        <w:t xml:space="preserve">, a close structural analogue of </w:t>
      </w:r>
      <w:r w:rsidR="00A2001C">
        <w:t>COBI</w:t>
      </w:r>
      <w:r w:rsidRPr="00EA5CFE">
        <w:t xml:space="preserve"> with a similar CYP3A inhibitory action, with no clear effects of the combination compared with each drug alone.</w:t>
      </w:r>
      <w:r w:rsidR="00841BE4">
        <w:t xml:space="preserve"> </w:t>
      </w:r>
      <w:r w:rsidRPr="00EA5CFE">
        <w:t>However, as noted above (</w:t>
      </w:r>
      <w:r w:rsidRPr="0048357F">
        <w:rPr>
          <w:i/>
        </w:rPr>
        <w:t>Pharmacokinetics and relative drug exposures</w:t>
      </w:r>
      <w:r w:rsidRPr="00EA5CFE">
        <w:t xml:space="preserve">), </w:t>
      </w:r>
      <w:r w:rsidR="00BB2DAA">
        <w:t xml:space="preserve">EVG </w:t>
      </w:r>
      <w:r w:rsidRPr="00EA5CFE">
        <w:t xml:space="preserve">exposure was unaffected by </w:t>
      </w:r>
      <w:r w:rsidR="00CC292E">
        <w:t>RTV</w:t>
      </w:r>
      <w:r w:rsidRPr="00EA5CFE">
        <w:t xml:space="preserve"> and it is not certain that the dose used was pharmacologically active.</w:t>
      </w:r>
      <w:r w:rsidR="00841BE4">
        <w:t xml:space="preserve"> </w:t>
      </w:r>
    </w:p>
    <w:p w:rsidR="0048357F" w:rsidRDefault="00EA5CFE" w:rsidP="0048357F">
      <w:pPr>
        <w:pStyle w:val="Heading5"/>
      </w:pPr>
      <w:r w:rsidRPr="00EA5CFE">
        <w:t>Impurities</w:t>
      </w:r>
    </w:p>
    <w:p w:rsidR="00EA5CFE" w:rsidRDefault="00EA5CFE" w:rsidP="00EA5CFE">
      <w:r w:rsidRPr="00EA5CFE">
        <w:t xml:space="preserve">Elvitegravir and </w:t>
      </w:r>
      <w:r w:rsidR="00A2001C">
        <w:t>COBI</w:t>
      </w:r>
      <w:r w:rsidRPr="00EA5CFE">
        <w:t xml:space="preserve"> specifications included proposed limits for several specified impurities and (for </w:t>
      </w:r>
      <w:r w:rsidR="00A2001C">
        <w:t>COBI</w:t>
      </w:r>
      <w:r w:rsidRPr="00EA5CFE">
        <w:t xml:space="preserve"> only) degradation products</w:t>
      </w:r>
      <w:r w:rsidR="0048357F">
        <w:t xml:space="preserve">. Studies and information to justify the proposed limits were provided. For </w:t>
      </w:r>
      <w:r w:rsidR="00A2001C">
        <w:t>FTC</w:t>
      </w:r>
      <w:r w:rsidRPr="00EA5CFE">
        <w:t xml:space="preserve"> or </w:t>
      </w:r>
      <w:r w:rsidR="00BB7072">
        <w:t>TDF</w:t>
      </w:r>
      <w:r w:rsidRPr="00EA5CFE">
        <w:t>, their proposed impurity profile is presumably the same as for T</w:t>
      </w:r>
      <w:r w:rsidR="0048357F">
        <w:t>ruvada</w:t>
      </w:r>
      <w:r w:rsidRPr="00EA5CFE">
        <w:t>.</w:t>
      </w:r>
      <w:r w:rsidR="00841BE4">
        <w:t xml:space="preserve"> </w:t>
      </w:r>
    </w:p>
    <w:p w:rsidR="00A273C3" w:rsidRPr="00A273C3" w:rsidRDefault="00A273C3" w:rsidP="00A273C3">
      <w:r w:rsidRPr="00A273C3">
        <w:t xml:space="preserve">Overall, there are no objections on toxicological grounds to the proposed limits for the </w:t>
      </w:r>
      <w:r w:rsidR="00A2001C">
        <w:t>COBI</w:t>
      </w:r>
      <w:r w:rsidRPr="00A273C3">
        <w:t xml:space="preserve"> and </w:t>
      </w:r>
      <w:r w:rsidR="0048357F">
        <w:t>EVG</w:t>
      </w:r>
      <w:r w:rsidRPr="00A273C3">
        <w:t>-related impurities/degradants.</w:t>
      </w:r>
    </w:p>
    <w:p w:rsidR="008E7846" w:rsidRDefault="008E7846" w:rsidP="008E7846">
      <w:pPr>
        <w:pStyle w:val="Heading3"/>
      </w:pPr>
      <w:bookmarkStart w:id="48" w:name="_Toc247691515"/>
      <w:bookmarkStart w:id="49" w:name="_Toc314842499"/>
      <w:bookmarkStart w:id="50" w:name="_Toc363456668"/>
      <w:r>
        <w:t>Nonclinical summary and conclusions</w:t>
      </w:r>
      <w:bookmarkEnd w:id="48"/>
      <w:bookmarkEnd w:id="49"/>
      <w:bookmarkEnd w:id="50"/>
    </w:p>
    <w:p w:rsidR="00F52974" w:rsidRPr="00F52974" w:rsidRDefault="00F52974" w:rsidP="00F52974">
      <w:pPr>
        <w:pStyle w:val="ListBullet"/>
      </w:pPr>
      <w:r w:rsidRPr="00F52974">
        <w:t xml:space="preserve">The proposed combination contains </w:t>
      </w:r>
      <w:r w:rsidR="005C1062">
        <w:t xml:space="preserve">2 </w:t>
      </w:r>
      <w:r w:rsidRPr="00F52974">
        <w:t>new chemical entities, an HIV-1 integrase inhibitor (</w:t>
      </w:r>
      <w:r w:rsidR="00BB2DAA">
        <w:t xml:space="preserve">EVG </w:t>
      </w:r>
      <w:r w:rsidRPr="00F52974">
        <w:t>) and an inhibitor of CYP3A (</w:t>
      </w:r>
      <w:r w:rsidR="00A2001C">
        <w:t>COBI</w:t>
      </w:r>
      <w:r w:rsidRPr="00F52974">
        <w:t xml:space="preserve">) that is structurally related to </w:t>
      </w:r>
      <w:r w:rsidR="00CC292E">
        <w:t>RTV</w:t>
      </w:r>
      <w:r w:rsidRPr="00F52974">
        <w:t xml:space="preserve"> and which is included to enhance </w:t>
      </w:r>
      <w:r w:rsidR="00BB2DAA">
        <w:t xml:space="preserve">EVG </w:t>
      </w:r>
      <w:r w:rsidRPr="00F52974">
        <w:t>plasma levels.</w:t>
      </w:r>
      <w:r w:rsidR="00841BE4">
        <w:t xml:space="preserve"> </w:t>
      </w:r>
      <w:r w:rsidRPr="00F52974">
        <w:t xml:space="preserve">The other components are the HIV-1 reverse transcriptase inhibitors </w:t>
      </w:r>
      <w:r w:rsidR="00A2001C">
        <w:t>TDF</w:t>
      </w:r>
      <w:r w:rsidRPr="00F52974">
        <w:t xml:space="preserve"> and </w:t>
      </w:r>
      <w:r w:rsidR="00A2001C">
        <w:t>FTC</w:t>
      </w:r>
      <w:r w:rsidRPr="00F52974">
        <w:t>, which are registered as single agents and as a combination.</w:t>
      </w:r>
      <w:r w:rsidR="00841BE4">
        <w:t xml:space="preserve"> </w:t>
      </w:r>
      <w:r w:rsidRPr="00F52974">
        <w:t xml:space="preserve">It is proposed that respective doses of these </w:t>
      </w:r>
      <w:r w:rsidR="005C1062">
        <w:t xml:space="preserve">4 </w:t>
      </w:r>
      <w:r w:rsidRPr="00F52974">
        <w:t>agents are 150, 150, 300 and 200 mg/day.</w:t>
      </w:r>
      <w:r w:rsidR="00841BE4">
        <w:t xml:space="preserve"> </w:t>
      </w:r>
      <w:r w:rsidRPr="00F52974">
        <w:t>The nonclinical dossier included only studies with the new chemical entities</w:t>
      </w:r>
      <w:r w:rsidR="00E17BC6">
        <w:t>.</w:t>
      </w:r>
      <w:r w:rsidRPr="00F52974">
        <w:t xml:space="preserve"> </w:t>
      </w:r>
      <w:r w:rsidR="00E17BC6">
        <w:t>N</w:t>
      </w:r>
      <w:r w:rsidRPr="00F52974">
        <w:t xml:space="preserve">onclinical virology studies were only included in </w:t>
      </w:r>
      <w:r w:rsidR="00BB7072">
        <w:t>the clinical part of the submission</w:t>
      </w:r>
      <w:r w:rsidRPr="00F52974">
        <w:t>.</w:t>
      </w:r>
      <w:r w:rsidR="00841BE4">
        <w:t xml:space="preserve"> </w:t>
      </w:r>
    </w:p>
    <w:p w:rsidR="00F52974" w:rsidRPr="00F52974" w:rsidRDefault="00F52974" w:rsidP="00F52974">
      <w:pPr>
        <w:pStyle w:val="ListBullet"/>
      </w:pPr>
      <w:r w:rsidRPr="00F52974">
        <w:t xml:space="preserve">In </w:t>
      </w:r>
      <w:r w:rsidR="00BB7072" w:rsidRPr="00BB7072">
        <w:rPr>
          <w:i/>
        </w:rPr>
        <w:t>in vitro</w:t>
      </w:r>
      <w:r w:rsidRPr="00F52974">
        <w:t xml:space="preserve"> experiments, </w:t>
      </w:r>
      <w:r w:rsidR="00BB2DAA">
        <w:t xml:space="preserve">EVG </w:t>
      </w:r>
      <w:r w:rsidRPr="00F52974">
        <w:t>inhibited the HIV-1 integrase strand transfer reaction and integration of viral DNA into host cell chromosomal DNA, but it had no effect on reverse transcriptase.</w:t>
      </w:r>
      <w:r w:rsidR="00841BE4">
        <w:t xml:space="preserve"> </w:t>
      </w:r>
      <w:r w:rsidRPr="00F52974">
        <w:t xml:space="preserve">It was a potent inhibitor of HIV-1, with typical </w:t>
      </w:r>
      <w:r w:rsidR="00BB7072" w:rsidRPr="00EA5CFE">
        <w:t>IC</w:t>
      </w:r>
      <w:r w:rsidR="00BB7072" w:rsidRPr="00BB7072">
        <w:rPr>
          <w:vertAlign w:val="subscript"/>
        </w:rPr>
        <w:t>50</w:t>
      </w:r>
      <w:r w:rsidR="00930471">
        <w:t xml:space="preserve"> values of 0.1</w:t>
      </w:r>
      <w:r w:rsidR="00930471">
        <w:noBreakHyphen/>
      </w:r>
      <w:r w:rsidRPr="00F52974">
        <w:t>1.3 nM which were increased in the presence of 50% human serum (7.5</w:t>
      </w:r>
      <w:r w:rsidR="00930471">
        <w:t xml:space="preserve"> times </w:t>
      </w:r>
      <w:r w:rsidRPr="00F52974">
        <w:t>in one experiment).</w:t>
      </w:r>
      <w:r w:rsidR="00841BE4">
        <w:t xml:space="preserve"> </w:t>
      </w:r>
      <w:r w:rsidRPr="00F52974">
        <w:t xml:space="preserve">The </w:t>
      </w:r>
      <w:r w:rsidR="005C1062">
        <w:t xml:space="preserve">2 </w:t>
      </w:r>
      <w:r w:rsidRPr="00F52974">
        <w:t xml:space="preserve">main human metabolites were also active, </w:t>
      </w:r>
      <w:r w:rsidRPr="00E1241E">
        <w:rPr>
          <w:i/>
        </w:rPr>
        <w:t>albeit</w:t>
      </w:r>
      <w:r w:rsidRPr="00F52974">
        <w:t xml:space="preserve"> less potent.</w:t>
      </w:r>
      <w:r w:rsidR="00841BE4">
        <w:t xml:space="preserve"> </w:t>
      </w:r>
      <w:r w:rsidRPr="00F52974">
        <w:t xml:space="preserve">The </w:t>
      </w:r>
      <w:r w:rsidR="00BB2DAA">
        <w:t>EVG</w:t>
      </w:r>
      <w:r w:rsidRPr="00F52974">
        <w:t>/tenofovir/</w:t>
      </w:r>
      <w:r w:rsidR="00A2001C">
        <w:t>FTC</w:t>
      </w:r>
      <w:r w:rsidRPr="00F52974">
        <w:t xml:space="preserve"> combination, with and without </w:t>
      </w:r>
      <w:r w:rsidR="00A2001C">
        <w:t>COBI</w:t>
      </w:r>
      <w:r w:rsidRPr="00F52974">
        <w:t xml:space="preserve">, showed synergistic interaction. Variants of varying resistance could be generated in </w:t>
      </w:r>
      <w:r w:rsidR="00BB2DAA">
        <w:t xml:space="preserve">EVG </w:t>
      </w:r>
      <w:r w:rsidRPr="00F52974">
        <w:t>ascending concentration or high dose breakthrough cultures.</w:t>
      </w:r>
      <w:r w:rsidR="00841BE4">
        <w:t xml:space="preserve"> </w:t>
      </w:r>
      <w:r w:rsidRPr="00F52974">
        <w:t xml:space="preserve">These were associated with viral integrase gene mutations resulting in amino acid substitutions including T66I, E92Q </w:t>
      </w:r>
      <w:r w:rsidRPr="00F52974">
        <w:lastRenderedPageBreak/>
        <w:t>and Q148R.</w:t>
      </w:r>
      <w:r w:rsidR="00841BE4">
        <w:t xml:space="preserve"> </w:t>
      </w:r>
      <w:r w:rsidRPr="00F52974">
        <w:t>It showed no activity against topoisomerases and did not affect mitochondrial DNA.</w:t>
      </w:r>
      <w:r w:rsidR="00841BE4">
        <w:t xml:space="preserve"> </w:t>
      </w:r>
    </w:p>
    <w:p w:rsidR="00F52974" w:rsidRPr="00F52974" w:rsidRDefault="00F52974" w:rsidP="00F52974">
      <w:pPr>
        <w:pStyle w:val="ListBullet"/>
      </w:pPr>
      <w:r w:rsidRPr="00F52974">
        <w:t xml:space="preserve">Cobicistat exhibited a largely mechanism-based (cofactor-dependent) inhibition of human microsomal fraction CYP3A activity </w:t>
      </w:r>
      <w:r w:rsidR="00BB7072" w:rsidRPr="00BB7072">
        <w:rPr>
          <w:i/>
        </w:rPr>
        <w:t>in vitro</w:t>
      </w:r>
      <w:r w:rsidRPr="00F52974">
        <w:t xml:space="preserve">, with a similar potency to </w:t>
      </w:r>
      <w:r w:rsidR="00CC292E">
        <w:t>RTV</w:t>
      </w:r>
      <w:r w:rsidRPr="00F52974">
        <w:t xml:space="preserve"> (</w:t>
      </w:r>
      <w:r w:rsidR="00BB7072" w:rsidRPr="00EA5CFE">
        <w:t>IC</w:t>
      </w:r>
      <w:r w:rsidR="00BB7072" w:rsidRPr="00BB7072">
        <w:rPr>
          <w:vertAlign w:val="subscript"/>
        </w:rPr>
        <w:t>50</w:t>
      </w:r>
      <w:r w:rsidRPr="00F52974">
        <w:t xml:space="preserve"> of 0.15 nM).</w:t>
      </w:r>
      <w:r w:rsidR="00841BE4">
        <w:t xml:space="preserve"> </w:t>
      </w:r>
      <w:r w:rsidRPr="00F52974">
        <w:t xml:space="preserve">It had little or no activity against other CYP isoforms tested, except for weak inhibition of CYP2B6 and CYP2D6 (respective </w:t>
      </w:r>
      <w:r w:rsidR="00BB7072" w:rsidRPr="00EA5CFE">
        <w:t>IC</w:t>
      </w:r>
      <w:r w:rsidR="00BB7072" w:rsidRPr="00BB7072">
        <w:rPr>
          <w:vertAlign w:val="subscript"/>
        </w:rPr>
        <w:t>50</w:t>
      </w:r>
      <w:r w:rsidRPr="00F52974">
        <w:t xml:space="preserve"> values of 2.8 and 9.2 µM), and it also weakly inhibited UGT1A1 (</w:t>
      </w:r>
      <w:r w:rsidR="00BB7072" w:rsidRPr="00EA5CFE">
        <w:t>IC</w:t>
      </w:r>
      <w:r w:rsidR="00BB7072" w:rsidRPr="00BB7072">
        <w:rPr>
          <w:vertAlign w:val="subscript"/>
        </w:rPr>
        <w:t>50</w:t>
      </w:r>
      <w:r w:rsidRPr="00F52974">
        <w:t xml:space="preserve"> of 16.3 µM).</w:t>
      </w:r>
      <w:r w:rsidR="00841BE4">
        <w:t xml:space="preserve"> </w:t>
      </w:r>
      <w:r w:rsidRPr="00F52974">
        <w:t xml:space="preserve">Unlike </w:t>
      </w:r>
      <w:r w:rsidR="00CC292E">
        <w:t>RTV</w:t>
      </w:r>
      <w:r w:rsidRPr="00F52974">
        <w:t xml:space="preserve">, </w:t>
      </w:r>
      <w:r w:rsidR="00A2001C">
        <w:t>COBI</w:t>
      </w:r>
      <w:r w:rsidRPr="00F52974">
        <w:t xml:space="preserve"> had no activity against HIV-1.</w:t>
      </w:r>
      <w:r w:rsidR="00841BE4">
        <w:t xml:space="preserve"> </w:t>
      </w:r>
      <w:r w:rsidRPr="00F52974">
        <w:t xml:space="preserve">It also had no effect on the anti-HIV-1 activities of </w:t>
      </w:r>
      <w:r w:rsidR="00E1241E">
        <w:t>EVG</w:t>
      </w:r>
      <w:r w:rsidRPr="00F52974">
        <w:t xml:space="preserve">, </w:t>
      </w:r>
      <w:r w:rsidR="00A2001C">
        <w:t>FTC</w:t>
      </w:r>
      <w:r w:rsidRPr="00F52974">
        <w:t xml:space="preserve"> or tenofovir.</w:t>
      </w:r>
      <w:r w:rsidR="00841BE4">
        <w:t xml:space="preserve"> </w:t>
      </w:r>
    </w:p>
    <w:p w:rsidR="00F52974" w:rsidRPr="00F52974" w:rsidRDefault="00F52974" w:rsidP="00F52974">
      <w:pPr>
        <w:pStyle w:val="ListBullet"/>
      </w:pPr>
      <w:r w:rsidRPr="00F52974">
        <w:t xml:space="preserve">Safety pharmacology studies conducted with </w:t>
      </w:r>
      <w:r w:rsidR="00BB2DAA">
        <w:t xml:space="preserve">EVG </w:t>
      </w:r>
      <w:r w:rsidRPr="00F52974">
        <w:t>were adequate.</w:t>
      </w:r>
      <w:r w:rsidR="00841BE4">
        <w:t xml:space="preserve"> </w:t>
      </w:r>
      <w:r w:rsidRPr="00F52974">
        <w:t xml:space="preserve">Weak inhibition of hERG currents were seen </w:t>
      </w:r>
      <w:r w:rsidR="00BB7072" w:rsidRPr="00BB7072">
        <w:rPr>
          <w:i/>
        </w:rPr>
        <w:t>in vitro</w:t>
      </w:r>
      <w:r w:rsidRPr="00F52974">
        <w:t xml:space="preserve"> (by</w:t>
      </w:r>
      <w:r w:rsidR="007C10EC" w:rsidRPr="007C10EC">
        <w:t xml:space="preserve"> approximately </w:t>
      </w:r>
      <w:r w:rsidRPr="00F52974">
        <w:t>29% at 10 µM</w:t>
      </w:r>
      <w:r w:rsidR="00700880" w:rsidRPr="00700880">
        <w:t xml:space="preserve"> versus </w:t>
      </w:r>
      <w:r w:rsidRPr="00F52974">
        <w:t>7% for the vehicle), but it had little effect on papillary muscle action potentials at the highest concentration tested (3 µM).</w:t>
      </w:r>
      <w:r w:rsidR="00841BE4">
        <w:t xml:space="preserve"> </w:t>
      </w:r>
      <w:r w:rsidRPr="00F52974">
        <w:t>There were no CNS, renal or GI-tract transport effects of PO treatment in rats or cardiovascular or respiratory effects in dogs.</w:t>
      </w:r>
      <w:r w:rsidR="00841BE4">
        <w:t xml:space="preserve"> </w:t>
      </w:r>
      <w:r w:rsidRPr="00F52974">
        <w:t>Elvitegravir did not show phototoxicity in a single-dose study in mice.</w:t>
      </w:r>
    </w:p>
    <w:p w:rsidR="00F52974" w:rsidRPr="00F52974" w:rsidRDefault="00F52974" w:rsidP="00F52974">
      <w:pPr>
        <w:pStyle w:val="ListBullet"/>
      </w:pPr>
      <w:r w:rsidRPr="00F52974">
        <w:t xml:space="preserve">Cobicistat significantly inhibited hERG currents and at higher concentrations the hCav 1.2 calcium channel (respective </w:t>
      </w:r>
      <w:r w:rsidR="00BB7072" w:rsidRPr="00EA5CFE">
        <w:t>IC</w:t>
      </w:r>
      <w:r w:rsidR="00BB7072" w:rsidRPr="00BB7072">
        <w:rPr>
          <w:vertAlign w:val="subscript"/>
        </w:rPr>
        <w:t>50</w:t>
      </w:r>
      <w:r w:rsidRPr="00F52974">
        <w:t xml:space="preserve"> values of</w:t>
      </w:r>
      <w:r w:rsidR="007C10EC" w:rsidRPr="007C10EC">
        <w:t xml:space="preserve"> approximately </w:t>
      </w:r>
      <w:r w:rsidRPr="00F52974">
        <w:t>1.8 µM and 6 µM).</w:t>
      </w:r>
      <w:r w:rsidR="00841BE4">
        <w:t xml:space="preserve"> </w:t>
      </w:r>
      <w:r w:rsidRPr="00F52974">
        <w:t>Inhibition of the hNav 1.5 sodium channel occurred at much higher concentrations (</w:t>
      </w:r>
      <w:r w:rsidR="00BB7072" w:rsidRPr="00EA5CFE">
        <w:t>IC</w:t>
      </w:r>
      <w:r w:rsidR="00BB7072" w:rsidRPr="00BB7072">
        <w:rPr>
          <w:vertAlign w:val="subscript"/>
        </w:rPr>
        <w:t>50</w:t>
      </w:r>
      <w:r w:rsidRPr="00F52974">
        <w:t xml:space="preserve"> of 86 µM).</w:t>
      </w:r>
      <w:r w:rsidR="00841BE4">
        <w:t xml:space="preserve"> </w:t>
      </w:r>
      <w:r w:rsidRPr="00F52974">
        <w:t xml:space="preserve">Although </w:t>
      </w:r>
      <w:r w:rsidR="00A2001C">
        <w:t>COBI</w:t>
      </w:r>
      <w:r w:rsidRPr="00F52974">
        <w:t xml:space="preserve"> treatment elicited some changes in isolated rabbit hearts, including prolonged PR interval and a negative inotropic effect, QT interval prolongation was not seen.</w:t>
      </w:r>
      <w:r w:rsidR="00841BE4">
        <w:t xml:space="preserve"> </w:t>
      </w:r>
      <w:r w:rsidR="00BB7072" w:rsidRPr="00BB7072">
        <w:rPr>
          <w:i/>
        </w:rPr>
        <w:t>In vivo</w:t>
      </w:r>
      <w:r w:rsidRPr="00F52974">
        <w:t>, QT intervals were slightly prolonged (single dose) or unaffected (4 week toxicity study) by PO treatment of dogs with up to 45 mg/kg.</w:t>
      </w:r>
      <w:r w:rsidR="00841BE4">
        <w:t xml:space="preserve"> </w:t>
      </w:r>
      <w:r w:rsidRPr="00F52974">
        <w:t>No respiratory effects were seen in rats treated with up to 500 mg/kg PO, but a CNS study showed decreased body temperatures and reduced m</w:t>
      </w:r>
      <w:r w:rsidR="00930471">
        <w:t>otor activity with a NOEL of 50 </w:t>
      </w:r>
      <w:r w:rsidRPr="00F52974">
        <w:t>mg/kg.</w:t>
      </w:r>
      <w:r w:rsidR="00841BE4">
        <w:t xml:space="preserve"> </w:t>
      </w:r>
      <w:r w:rsidRPr="00F52974">
        <w:t xml:space="preserve">Renal effects of </w:t>
      </w:r>
      <w:r w:rsidR="00A2001C">
        <w:t>COBI</w:t>
      </w:r>
      <w:r w:rsidRPr="00F52974">
        <w:t xml:space="preserve"> were not investigated.</w:t>
      </w:r>
      <w:r w:rsidR="00841BE4">
        <w:t xml:space="preserve"> </w:t>
      </w:r>
    </w:p>
    <w:p w:rsidR="00F52974" w:rsidRPr="00F52974" w:rsidRDefault="00F52974" w:rsidP="00F52974">
      <w:pPr>
        <w:pStyle w:val="ListBullet"/>
      </w:pPr>
      <w:r w:rsidRPr="00F52974">
        <w:t>Elvitegravir plasma clearance values in the rat and dog after single IV administration were 0.5-1.0 L/h/kg for males.</w:t>
      </w:r>
      <w:r w:rsidR="00841BE4">
        <w:t xml:space="preserve"> </w:t>
      </w:r>
      <w:r w:rsidRPr="00F52974">
        <w:t>Respective PO bioavailabilities in non-fasted rats and dogs were</w:t>
      </w:r>
      <w:r w:rsidR="007C10EC" w:rsidRPr="007C10EC">
        <w:t xml:space="preserve"> approximately </w:t>
      </w:r>
      <w:r w:rsidRPr="00F52974">
        <w:t xml:space="preserve">33-35% or 26-30% with 0.5% methylcellulose vehicle, compared with 41% absorption of radioactivity in both species after dosing with </w:t>
      </w:r>
      <w:r w:rsidR="00802AA0" w:rsidRPr="00CC6848">
        <w:rPr>
          <w:vertAlign w:val="superscript"/>
        </w:rPr>
        <w:t>14</w:t>
      </w:r>
      <w:r w:rsidR="00802AA0" w:rsidRPr="00EA5CFE">
        <w:t>C</w:t>
      </w:r>
      <w:r w:rsidR="00802AA0">
        <w:t xml:space="preserve"> </w:t>
      </w:r>
      <w:r w:rsidRPr="00F52974">
        <w:t>labelled drug.</w:t>
      </w:r>
      <w:r w:rsidR="00841BE4">
        <w:t xml:space="preserve"> </w:t>
      </w:r>
      <w:r w:rsidR="00BB7072" w:rsidRPr="00BB7072">
        <w:rPr>
          <w:i/>
        </w:rPr>
        <w:t>In vitro</w:t>
      </w:r>
      <w:r w:rsidRPr="00F52974">
        <w:t xml:space="preserve"> plasma protein binding was very high in rat, dog and human samples at 0.1-10 µM concentrations (≥99.2%).</w:t>
      </w:r>
      <w:r w:rsidR="00841BE4">
        <w:t xml:space="preserve"> </w:t>
      </w:r>
      <w:r w:rsidRPr="00F52974">
        <w:t xml:space="preserve">In rat tissue distribution studies using </w:t>
      </w:r>
      <w:r w:rsidR="00802AA0" w:rsidRPr="00CC6848">
        <w:rPr>
          <w:vertAlign w:val="superscript"/>
        </w:rPr>
        <w:t>14</w:t>
      </w:r>
      <w:r w:rsidR="00802AA0" w:rsidRPr="00EA5CFE">
        <w:t>C</w:t>
      </w:r>
      <w:r w:rsidR="00802AA0">
        <w:t>-</w:t>
      </w:r>
      <w:r w:rsidR="00E1241E">
        <w:t>EVG</w:t>
      </w:r>
      <w:r w:rsidRPr="00F52974">
        <w:t>, high radioactivity concentrations were seen in the liver and adrenals, with particularly low values for the brain, eye, fat and testes.</w:t>
      </w:r>
      <w:r w:rsidR="00841BE4">
        <w:t xml:space="preserve"> </w:t>
      </w:r>
      <w:r w:rsidRPr="00F52974">
        <w:t>Radioactivity was not measurable or was very low by 96 h, and multiple PO dosing for 7 days resulted in accumulation of radioactivity in some organs (</w:t>
      </w:r>
      <w:r w:rsidR="00930471">
        <w:t xml:space="preserve">such as </w:t>
      </w:r>
      <w:r w:rsidRPr="00F52974">
        <w:t>liver, kidney, skin, lymph node).</w:t>
      </w:r>
      <w:r w:rsidR="00841BE4">
        <w:t xml:space="preserve"> </w:t>
      </w:r>
      <w:r w:rsidRPr="00F52974">
        <w:t xml:space="preserve">Elvitegravir was a p-glycoprotein substrate in an </w:t>
      </w:r>
      <w:r w:rsidR="00BB7072" w:rsidRPr="00BB7072">
        <w:rPr>
          <w:i/>
        </w:rPr>
        <w:t>in vitro</w:t>
      </w:r>
      <w:r w:rsidRPr="00F52974">
        <w:t xml:space="preserve"> assay with LLC-PK1 porcine kidney epithelial cells.</w:t>
      </w:r>
      <w:r w:rsidR="00841BE4">
        <w:t xml:space="preserve"> </w:t>
      </w:r>
    </w:p>
    <w:p w:rsidR="00F52974" w:rsidRPr="00F52974" w:rsidRDefault="00F52974" w:rsidP="00F52974">
      <w:pPr>
        <w:pStyle w:val="ListBullet"/>
      </w:pPr>
      <w:r w:rsidRPr="00F52974">
        <w:t xml:space="preserve">Prominent </w:t>
      </w:r>
      <w:r w:rsidR="00BB7072" w:rsidRPr="00BB7072">
        <w:rPr>
          <w:i/>
        </w:rPr>
        <w:t>in vitro</w:t>
      </w:r>
      <w:r w:rsidRPr="00F52974">
        <w:t xml:space="preserve"> </w:t>
      </w:r>
      <w:r w:rsidR="00BB2DAA">
        <w:t xml:space="preserve">EVG </w:t>
      </w:r>
      <w:r w:rsidRPr="00F52974">
        <w:t>metabolites were the hydroxy derivative M1, generated largely by CYP3A, and the acyl glucuronide conjugate M4, generated largely by UGT1A3, but with several other derivatives also being seen.</w:t>
      </w:r>
      <w:r w:rsidR="00841BE4">
        <w:t xml:space="preserve"> </w:t>
      </w:r>
      <w:r w:rsidRPr="00F52974">
        <w:t>Elvitegravir was a weak inhibitor of CYP3A4 (</w:t>
      </w:r>
      <w:r w:rsidR="00BB7072" w:rsidRPr="00EA5CFE">
        <w:t>IC</w:t>
      </w:r>
      <w:r w:rsidR="00BB7072" w:rsidRPr="00BB7072">
        <w:rPr>
          <w:vertAlign w:val="subscript"/>
        </w:rPr>
        <w:t>50</w:t>
      </w:r>
      <w:r w:rsidRPr="00F52974">
        <w:t xml:space="preserve"> value of</w:t>
      </w:r>
      <w:r w:rsidR="007C10EC" w:rsidRPr="007C10EC">
        <w:t xml:space="preserve"> approximately </w:t>
      </w:r>
      <w:r w:rsidRPr="00F52974">
        <w:t>30 µg/mL) and some other CYP isoforms.</w:t>
      </w:r>
      <w:r w:rsidR="00841BE4">
        <w:t xml:space="preserve"> </w:t>
      </w:r>
      <w:r w:rsidRPr="00F52974">
        <w:t xml:space="preserve">M1 and M4 were also prominent </w:t>
      </w:r>
      <w:r w:rsidR="00BB7072" w:rsidRPr="00BB7072">
        <w:rPr>
          <w:i/>
        </w:rPr>
        <w:t>in vivo</w:t>
      </w:r>
      <w:r w:rsidRPr="00F52974">
        <w:t xml:space="preserve"> metabolites in the rat and dog, together with an oxidation and glucuronidation product (M6) in the latter.</w:t>
      </w:r>
      <w:r w:rsidR="00841BE4">
        <w:t xml:space="preserve"> </w:t>
      </w:r>
      <w:r w:rsidRPr="00F52974">
        <w:t>Low levels of M4 were reported for human plasma, while M1 was a major faecal metabolite.</w:t>
      </w:r>
      <w:r w:rsidR="00841BE4">
        <w:t xml:space="preserve"> </w:t>
      </w:r>
      <w:r w:rsidRPr="00F52974">
        <w:t xml:space="preserve">Excretion of radioactivity after PO or IV administration to rats and dogs was overwhelmingly </w:t>
      </w:r>
      <w:r w:rsidR="00BB7072" w:rsidRPr="00BB7072">
        <w:rPr>
          <w:i/>
        </w:rPr>
        <w:t>via</w:t>
      </w:r>
      <w:r w:rsidRPr="00F52974">
        <w:t xml:space="preserve"> the faeces, as in humans, and biliary excretion was demonstrated in the rat.</w:t>
      </w:r>
      <w:r w:rsidR="00841BE4">
        <w:t xml:space="preserve"> </w:t>
      </w:r>
      <w:r w:rsidRPr="00F52974">
        <w:t xml:space="preserve">CYP3A induction was shown in human hepatocytes </w:t>
      </w:r>
      <w:r w:rsidR="00BB7072" w:rsidRPr="00BB7072">
        <w:rPr>
          <w:i/>
        </w:rPr>
        <w:t>in vitro</w:t>
      </w:r>
      <w:r w:rsidRPr="00F52974">
        <w:t>.</w:t>
      </w:r>
      <w:r w:rsidR="00841BE4">
        <w:t xml:space="preserve"> </w:t>
      </w:r>
    </w:p>
    <w:p w:rsidR="00F52974" w:rsidRPr="00930471" w:rsidRDefault="00F52974" w:rsidP="00F52974">
      <w:pPr>
        <w:pStyle w:val="ListBullet"/>
      </w:pPr>
      <w:r w:rsidRPr="00F52974">
        <w:t>Cobicistat plasma clearance values were relatively high in the rat and dog after single IV administration (2.2-3.6 L/h/kg).</w:t>
      </w:r>
      <w:r w:rsidR="00841BE4">
        <w:t xml:space="preserve"> </w:t>
      </w:r>
      <w:r w:rsidRPr="00F52974">
        <w:t>PO bioavailabilities using ethanol/propylene glycol/water vehicles (pH 3 adjusted for the rat) were 34% (rat) and 12% (dog).</w:t>
      </w:r>
      <w:r w:rsidR="00841BE4">
        <w:t xml:space="preserve"> </w:t>
      </w:r>
      <w:r w:rsidR="00BB7072" w:rsidRPr="00BB7072">
        <w:rPr>
          <w:i/>
        </w:rPr>
        <w:t>In vitro</w:t>
      </w:r>
      <w:r w:rsidRPr="00F52974">
        <w:t xml:space="preserve"> plasma protein binding was extensive in mouse, rat, dog and human samples (91.1-97.7</w:t>
      </w:r>
      <w:r w:rsidR="00930471">
        <w:t>%</w:t>
      </w:r>
      <w:r w:rsidRPr="00F52974">
        <w:t xml:space="preserve"> at 1-10 µM).</w:t>
      </w:r>
      <w:r w:rsidR="00841BE4">
        <w:t xml:space="preserve"> </w:t>
      </w:r>
      <w:r w:rsidRPr="00F52974">
        <w:t xml:space="preserve">Rat tissue distribution studies showed high radioactivity </w:t>
      </w:r>
      <w:r w:rsidRPr="00F52974">
        <w:lastRenderedPageBreak/>
        <w:t>concentrations in the liver, adrenals and pituitary and low values in the brain/spinal cord and testes.</w:t>
      </w:r>
      <w:r w:rsidR="00841BE4">
        <w:t xml:space="preserve"> </w:t>
      </w:r>
      <w:r w:rsidRPr="00F52974">
        <w:t xml:space="preserve">There was no specific association of radioactivity with skin melanin in pigmented rats although the uveal tract concentration was higher than that in another study with </w:t>
      </w:r>
      <w:r w:rsidRPr="00930471">
        <w:t>albino rats.</w:t>
      </w:r>
      <w:r w:rsidR="00841BE4" w:rsidRPr="00930471">
        <w:t xml:space="preserve"> </w:t>
      </w:r>
      <w:r w:rsidRPr="00930471">
        <w:t xml:space="preserve">Cobicistat was a p-glycoprotein substrate in transfected canine kidney MDCKII cells, but no significant efflux was seen across </w:t>
      </w:r>
      <w:hyperlink r:id="rId17" w:tooltip="Human" w:history="1">
        <w:r w:rsidR="00930471" w:rsidRPr="00930471">
          <w:t>human</w:t>
        </w:r>
      </w:hyperlink>
      <w:r w:rsidR="00930471" w:rsidRPr="00930471">
        <w:t xml:space="preserve"> </w:t>
      </w:r>
      <w:hyperlink r:id="rId18" w:tooltip="Epithelium" w:history="1">
        <w:r w:rsidR="00930471" w:rsidRPr="00930471">
          <w:t>epithelial</w:t>
        </w:r>
      </w:hyperlink>
      <w:r w:rsidR="00930471" w:rsidRPr="00930471">
        <w:t xml:space="preserve"> </w:t>
      </w:r>
      <w:hyperlink r:id="rId19" w:tooltip="Colon (anatomy)" w:history="1">
        <w:r w:rsidR="00930471" w:rsidRPr="00930471">
          <w:t>colorectal</w:t>
        </w:r>
      </w:hyperlink>
      <w:r w:rsidR="00930471" w:rsidRPr="00930471">
        <w:t xml:space="preserve"> </w:t>
      </w:r>
      <w:hyperlink r:id="rId20" w:tooltip="Adenocarcinoma" w:history="1">
        <w:r w:rsidR="00930471" w:rsidRPr="00930471">
          <w:t>adenocarcinoma</w:t>
        </w:r>
      </w:hyperlink>
      <w:r w:rsidR="00930471" w:rsidRPr="00930471">
        <w:t xml:space="preserve"> </w:t>
      </w:r>
      <w:r w:rsidR="00930471">
        <w:t>(</w:t>
      </w:r>
      <w:r w:rsidRPr="00930471">
        <w:t>Caco-2</w:t>
      </w:r>
      <w:r w:rsidR="00930471">
        <w:t>)</w:t>
      </w:r>
      <w:r w:rsidRPr="00930471">
        <w:t xml:space="preserve"> cell monolayers.</w:t>
      </w:r>
      <w:r w:rsidR="00841BE4" w:rsidRPr="00930471">
        <w:t xml:space="preserve"> </w:t>
      </w:r>
    </w:p>
    <w:p w:rsidR="00F52974" w:rsidRPr="00F52974" w:rsidRDefault="00F52974" w:rsidP="00F52974">
      <w:pPr>
        <w:pStyle w:val="ListBullet"/>
      </w:pPr>
      <w:r w:rsidRPr="00F52974">
        <w:t xml:space="preserve">Prominent </w:t>
      </w:r>
      <w:r w:rsidR="00A2001C">
        <w:t>COBI</w:t>
      </w:r>
      <w:r w:rsidRPr="00F52974">
        <w:t xml:space="preserve"> metabolites </w:t>
      </w:r>
      <w:r w:rsidR="00BB7072" w:rsidRPr="00BB7072">
        <w:rPr>
          <w:i/>
        </w:rPr>
        <w:t>in vitro</w:t>
      </w:r>
      <w:r w:rsidRPr="00F52974">
        <w:t xml:space="preserve"> were a carbamate cleavage product (M21), a dealkylated methylurea derivative (M26) and a hydroxylated product (M31), seen in mouse, rat, dog and human samples.</w:t>
      </w:r>
      <w:r w:rsidR="00841BE4">
        <w:t xml:space="preserve"> </w:t>
      </w:r>
      <w:r w:rsidRPr="00F52974">
        <w:t>Metabolism by human recombinant CYP2D6 and to a lesser extent CYP3A were shown.</w:t>
      </w:r>
      <w:r w:rsidR="00841BE4">
        <w:t xml:space="preserve"> </w:t>
      </w:r>
      <w:r w:rsidRPr="00F52974">
        <w:t xml:space="preserve">M21 and M31 were also prominent in mice, rats and dogs </w:t>
      </w:r>
      <w:r w:rsidR="00BB7072" w:rsidRPr="00BB7072">
        <w:rPr>
          <w:i/>
        </w:rPr>
        <w:t>in vivo</w:t>
      </w:r>
      <w:r w:rsidRPr="00F52974">
        <w:t xml:space="preserve"> after PO administration, and were human faecal metabolites.</w:t>
      </w:r>
      <w:r w:rsidR="00841BE4">
        <w:t xml:space="preserve"> </w:t>
      </w:r>
      <w:r w:rsidRPr="00F52974">
        <w:t xml:space="preserve">Excretion of radioactivity after PO </w:t>
      </w:r>
      <w:r w:rsidR="00802AA0" w:rsidRPr="00CC6848">
        <w:rPr>
          <w:vertAlign w:val="superscript"/>
        </w:rPr>
        <w:t>14</w:t>
      </w:r>
      <w:r w:rsidR="00802AA0" w:rsidRPr="00EA5CFE">
        <w:t>C</w:t>
      </w:r>
      <w:r w:rsidR="00802AA0">
        <w:t>-</w:t>
      </w:r>
      <w:r w:rsidR="00A2001C">
        <w:t>COBI</w:t>
      </w:r>
      <w:r w:rsidRPr="00F52974">
        <w:t xml:space="preserve"> administration was overwhelmingly </w:t>
      </w:r>
      <w:r w:rsidR="00BB7072" w:rsidRPr="00BB7072">
        <w:rPr>
          <w:i/>
        </w:rPr>
        <w:t>via</w:t>
      </w:r>
      <w:r w:rsidRPr="00F52974">
        <w:t xml:space="preserve"> the faeces in the mouse, rat and dog, as in humans, and biliary excretion was shown in the rat and dog.</w:t>
      </w:r>
      <w:r w:rsidR="00841BE4">
        <w:t xml:space="preserve"> </w:t>
      </w:r>
      <w:r w:rsidRPr="00F52974">
        <w:t xml:space="preserve">Weak induction of CYP3A4 and CYP1A2 mRNA levels was shown in human hepatocytes </w:t>
      </w:r>
      <w:r w:rsidR="00BB7072" w:rsidRPr="00BB7072">
        <w:rPr>
          <w:i/>
        </w:rPr>
        <w:t>in vitro</w:t>
      </w:r>
      <w:r w:rsidRPr="00F52974">
        <w:t>.</w:t>
      </w:r>
      <w:r w:rsidR="00841BE4">
        <w:t xml:space="preserve"> </w:t>
      </w:r>
    </w:p>
    <w:p w:rsidR="00F52974" w:rsidRPr="00F52974" w:rsidRDefault="00F52974" w:rsidP="00F52974">
      <w:pPr>
        <w:pStyle w:val="ListBullet"/>
      </w:pPr>
      <w:r w:rsidRPr="00F52974">
        <w:t>Elvitegravir was shown to inhibit organic anion transporter peptide</w:t>
      </w:r>
      <w:r w:rsidR="00930471" w:rsidRPr="00930471">
        <w:t xml:space="preserve"> </w:t>
      </w:r>
      <w:r w:rsidR="00930471">
        <w:t>(</w:t>
      </w:r>
      <w:r w:rsidR="00930471" w:rsidRPr="00F52974">
        <w:t>OATP1B3</w:t>
      </w:r>
      <w:r w:rsidRPr="00F52974">
        <w:t xml:space="preserve">) </w:t>
      </w:r>
      <w:r w:rsidR="00BB7072" w:rsidRPr="00BB7072">
        <w:rPr>
          <w:i/>
        </w:rPr>
        <w:t>in vitro</w:t>
      </w:r>
      <w:r w:rsidRPr="00F52974">
        <w:t xml:space="preserve"> with an </w:t>
      </w:r>
      <w:r w:rsidR="00BB7072" w:rsidRPr="00EA5CFE">
        <w:t>IC</w:t>
      </w:r>
      <w:r w:rsidR="00BB7072" w:rsidRPr="00BB7072">
        <w:rPr>
          <w:vertAlign w:val="subscript"/>
        </w:rPr>
        <w:t>50</w:t>
      </w:r>
      <w:r w:rsidRPr="00F52974">
        <w:t xml:space="preserve"> value of 0.44 µM.</w:t>
      </w:r>
      <w:r w:rsidR="00841BE4">
        <w:t xml:space="preserve"> </w:t>
      </w:r>
      <w:r w:rsidRPr="00F52974">
        <w:t xml:space="preserve">Cobicistat was screened against of a range of cellular transporters, with notable inhibition of OATP1B3, MATE1, OCTN1 (organic cation transporter) and OATP1B1 (respective </w:t>
      </w:r>
      <w:r w:rsidR="00BB7072" w:rsidRPr="00EA5CFE">
        <w:t>IC</w:t>
      </w:r>
      <w:r w:rsidR="00BB7072" w:rsidRPr="00BB7072">
        <w:rPr>
          <w:vertAlign w:val="subscript"/>
        </w:rPr>
        <w:t>50</w:t>
      </w:r>
      <w:r w:rsidRPr="00F52974">
        <w:t xml:space="preserve"> values of 1.9, 1.9, 2.5 and 3.5 µM) being measured.</w:t>
      </w:r>
      <w:r w:rsidR="00841BE4">
        <w:t xml:space="preserve"> </w:t>
      </w:r>
      <w:r w:rsidRPr="00F52974">
        <w:t xml:space="preserve">Cobicistat activated rat and, to a lesser extent, human pregnane X receptors, with activation of the human form being less pronounced than with </w:t>
      </w:r>
      <w:r w:rsidR="00CC292E">
        <w:t>RTV</w:t>
      </w:r>
      <w:r w:rsidRPr="00F52974">
        <w:t>.</w:t>
      </w:r>
      <w:r w:rsidR="00841BE4">
        <w:t xml:space="preserve"> </w:t>
      </w:r>
    </w:p>
    <w:p w:rsidR="00F52974" w:rsidRPr="00F52974" w:rsidRDefault="00F52974" w:rsidP="00F52974">
      <w:pPr>
        <w:pStyle w:val="ListBullet"/>
      </w:pPr>
      <w:r w:rsidRPr="00F52974">
        <w:t xml:space="preserve">Repeat-dose toxicity studies with </w:t>
      </w:r>
      <w:r w:rsidR="00BB2DAA">
        <w:t xml:space="preserve">EVG </w:t>
      </w:r>
      <w:r w:rsidRPr="00F52974">
        <w:t>were conducted in rats and dogs, with respective durations of up to 26 and 39 weeks, and a mouse 13 week study was also carried out.</w:t>
      </w:r>
      <w:r w:rsidR="00841BE4">
        <w:t xml:space="preserve"> </w:t>
      </w:r>
      <w:r w:rsidRPr="00F52974">
        <w:t>PO doses achieved systemic drug exposure ratios (AUC relative to the expected human value) in the pivotal studies that were high in rats (up to 36) and relatively low in mice and dogs (respectively up to 5.4 and 2.7).</w:t>
      </w:r>
      <w:r w:rsidR="00841BE4">
        <w:t xml:space="preserve"> </w:t>
      </w:r>
      <w:r w:rsidRPr="00F52974">
        <w:t>Cobicistat studies were also conducted in these 3 species for these durations, with achieved drug exposure ratios of up to 6.4 (mouse), 6.7 (rat) and 8.3 (dog).</w:t>
      </w:r>
      <w:r w:rsidR="00841BE4">
        <w:t xml:space="preserve"> </w:t>
      </w:r>
    </w:p>
    <w:p w:rsidR="00F52974" w:rsidRPr="00F52974" w:rsidRDefault="00F52974" w:rsidP="00F52974">
      <w:pPr>
        <w:pStyle w:val="ListBullet"/>
      </w:pPr>
      <w:r w:rsidRPr="00F52974">
        <w:t>Elvitegravir was well tolerated.</w:t>
      </w:r>
      <w:r w:rsidR="00841BE4">
        <w:t xml:space="preserve"> </w:t>
      </w:r>
      <w:r w:rsidRPr="00F52974">
        <w:t>Notable findings in rats were lipid droplets in the duodenum/jejunum, increased caecal weights with no histological correlates and with the high-dose (2000 mg/kg/day) for 26 weeks, stomach erosion/fibrosis/oedema.</w:t>
      </w:r>
      <w:r w:rsidR="00841BE4">
        <w:t xml:space="preserve"> </w:t>
      </w:r>
      <w:r w:rsidRPr="00F52974">
        <w:t>Mechanistic studies suggested that lipid in the droplets was of dietary origin and droplets were related to local rather than systemic drug concentrations.</w:t>
      </w:r>
      <w:r w:rsidR="00841BE4">
        <w:t xml:space="preserve"> </w:t>
      </w:r>
      <w:r w:rsidRPr="00F52974">
        <w:t>Reduced urinary volume and electrolyte excretion of uncertain cause and significance was seen in dogs, but in females only, together with very slight duodenal lipid droplets.</w:t>
      </w:r>
      <w:r w:rsidR="00841BE4">
        <w:t xml:space="preserve"> </w:t>
      </w:r>
    </w:p>
    <w:p w:rsidR="00F52974" w:rsidRPr="00F52974" w:rsidRDefault="00F52974" w:rsidP="00F52974">
      <w:pPr>
        <w:pStyle w:val="ListBullet"/>
      </w:pPr>
      <w:r w:rsidRPr="00F52974">
        <w:t xml:space="preserve">A salient finding with </w:t>
      </w:r>
      <w:r w:rsidR="00A2001C">
        <w:t>COBI</w:t>
      </w:r>
      <w:r w:rsidRPr="00F52974">
        <w:t xml:space="preserve"> was hepatocytic hypertrophy, which was associated with thyroid follicular cell hypertrophy/hyperplasia and elevated thyroid stimulating hormone in rats, and which represented an adaptive response.</w:t>
      </w:r>
      <w:r w:rsidR="00841BE4">
        <w:t xml:space="preserve"> </w:t>
      </w:r>
      <w:r w:rsidRPr="00F52974">
        <w:t>Other findings (mainly in rats) included slightly decreased erythroid values and increased platelets, and elevated cholesterol, serum protein and urinary volumes.</w:t>
      </w:r>
      <w:r w:rsidR="00841BE4">
        <w:t xml:space="preserve"> </w:t>
      </w:r>
      <w:r w:rsidRPr="00F52974">
        <w:t>The latter were often substantial and were associated with increased sodium excretion in the rat 27 week study.</w:t>
      </w:r>
      <w:r w:rsidR="00841BE4">
        <w:t xml:space="preserve"> </w:t>
      </w:r>
      <w:r w:rsidRPr="00F52974">
        <w:t>There were some indications of functional renal effects in the longest duration dog study but findings were difficult to interpret.</w:t>
      </w:r>
      <w:r w:rsidR="00841BE4">
        <w:t xml:space="preserve"> </w:t>
      </w:r>
      <w:r w:rsidRPr="00F52974">
        <w:t>Cobicistat elicited an impaired IgG response in a special 4 week immunotoxicity study, and increased incidence of lymphoid depletion in spleen germinal centres.</w:t>
      </w:r>
      <w:r w:rsidR="00841BE4">
        <w:t xml:space="preserve"> </w:t>
      </w:r>
      <w:r w:rsidRPr="00F52974">
        <w:t>There were no indications of immunotoxicity in the general toxicity studies.</w:t>
      </w:r>
      <w:r w:rsidR="00841BE4">
        <w:t xml:space="preserve"> </w:t>
      </w:r>
    </w:p>
    <w:p w:rsidR="00F52974" w:rsidRPr="00F52974" w:rsidRDefault="00F52974" w:rsidP="00F52974">
      <w:pPr>
        <w:pStyle w:val="ListBullet"/>
      </w:pPr>
      <w:r w:rsidRPr="00F52974">
        <w:t xml:space="preserve">A 13 week combination study using </w:t>
      </w:r>
      <w:r w:rsidR="00BB2DAA">
        <w:t xml:space="preserve">EVG </w:t>
      </w:r>
      <w:r w:rsidRPr="00F52974">
        <w:t xml:space="preserve">with and without </w:t>
      </w:r>
      <w:r w:rsidR="00A2001C">
        <w:t>COBI</w:t>
      </w:r>
      <w:r w:rsidRPr="00F52974">
        <w:t xml:space="preserve"> was conducted in rats, with no unexpected findings for the combination relative to each drug alone, although the fixed </w:t>
      </w:r>
      <w:r w:rsidR="00A2001C">
        <w:t>COBI</w:t>
      </w:r>
      <w:r w:rsidRPr="00F52974">
        <w:t xml:space="preserve"> dose used (30 mg/kg/day) was insufficient to achieve high enough drug exposures.</w:t>
      </w:r>
      <w:r w:rsidR="00841BE4">
        <w:t xml:space="preserve"> </w:t>
      </w:r>
      <w:r w:rsidRPr="00F52974">
        <w:t xml:space="preserve">Elvitegravir exposure was not substantially affected by </w:t>
      </w:r>
      <w:r w:rsidR="00A2001C">
        <w:t>COBI</w:t>
      </w:r>
      <w:r w:rsidRPr="00F52974">
        <w:t xml:space="preserve"> except in males after the first dose (3</w:t>
      </w:r>
      <w:r w:rsidR="00930471">
        <w:t xml:space="preserve"> times </w:t>
      </w:r>
      <w:r w:rsidRPr="00F52974">
        <w:t>higher AUC).</w:t>
      </w:r>
      <w:r w:rsidR="00841BE4">
        <w:t xml:space="preserve"> </w:t>
      </w:r>
      <w:r w:rsidRPr="00F52974">
        <w:t xml:space="preserve">Other combination studies conducted </w:t>
      </w:r>
      <w:r w:rsidRPr="00F52974">
        <w:lastRenderedPageBreak/>
        <w:t>(</w:t>
      </w:r>
      <w:r w:rsidR="00700A07">
        <w:t xml:space="preserve">ATV </w:t>
      </w:r>
      <w:r w:rsidRPr="00F52974">
        <w:t xml:space="preserve">with and without </w:t>
      </w:r>
      <w:r w:rsidR="00A2001C">
        <w:t>COBI</w:t>
      </w:r>
      <w:r w:rsidRPr="00F52974">
        <w:t xml:space="preserve">, </w:t>
      </w:r>
      <w:r w:rsidR="00BB2DAA">
        <w:t xml:space="preserve">EVG </w:t>
      </w:r>
      <w:r w:rsidRPr="00F52974">
        <w:t xml:space="preserve">with and without </w:t>
      </w:r>
      <w:r w:rsidR="00CC292E">
        <w:t>RTV</w:t>
      </w:r>
      <w:r w:rsidRPr="00F52974">
        <w:t>) were of limited relevance.</w:t>
      </w:r>
      <w:r w:rsidR="00841BE4">
        <w:t xml:space="preserve"> </w:t>
      </w:r>
      <w:r w:rsidRPr="00F52974">
        <w:t xml:space="preserve">The combination of all </w:t>
      </w:r>
      <w:r w:rsidR="005C1062">
        <w:t xml:space="preserve">4 </w:t>
      </w:r>
      <w:r w:rsidRPr="00F52974">
        <w:t xml:space="preserve">components of </w:t>
      </w:r>
      <w:r w:rsidR="00930471">
        <w:t xml:space="preserve">Stribild </w:t>
      </w:r>
      <w:r w:rsidRPr="00F52974">
        <w:t>has not been tested.</w:t>
      </w:r>
      <w:r w:rsidR="00841BE4">
        <w:t xml:space="preserve"> </w:t>
      </w:r>
    </w:p>
    <w:p w:rsidR="00F52974" w:rsidRPr="00F52974" w:rsidRDefault="00F52974" w:rsidP="00F52974">
      <w:pPr>
        <w:pStyle w:val="ListBullet"/>
      </w:pPr>
      <w:r w:rsidRPr="00F52974">
        <w:t xml:space="preserve">Elvitegravir was not considered to be genotoxic, although an equivocal positive response was obtained in an </w:t>
      </w:r>
      <w:r w:rsidR="00BB7072" w:rsidRPr="00BB7072">
        <w:rPr>
          <w:i/>
        </w:rPr>
        <w:t>in vitro</w:t>
      </w:r>
      <w:r w:rsidRPr="00F52974">
        <w:t xml:space="preserve"> test for clastogenicity.</w:t>
      </w:r>
      <w:r w:rsidR="00841BE4">
        <w:t xml:space="preserve"> </w:t>
      </w:r>
      <w:r w:rsidRPr="00F52974">
        <w:t xml:space="preserve">No oncogenic response was seen in long-term carcinogenicity studies in mice and rats using doses that resulted in drug exposure ratios of up to &gt;10, although in the case </w:t>
      </w:r>
      <w:r w:rsidR="00930471">
        <w:t>of mice this was achieved by co</w:t>
      </w:r>
      <w:r w:rsidR="00930471">
        <w:noBreakHyphen/>
      </w:r>
      <w:r w:rsidRPr="00F52974">
        <w:t xml:space="preserve">administration with </w:t>
      </w:r>
      <w:r w:rsidR="00CC292E">
        <w:t>RTV</w:t>
      </w:r>
      <w:r w:rsidRPr="00F52974">
        <w:t>.</w:t>
      </w:r>
      <w:r w:rsidR="00841BE4">
        <w:t xml:space="preserve"> </w:t>
      </w:r>
    </w:p>
    <w:p w:rsidR="00F52974" w:rsidRPr="00F52974" w:rsidRDefault="00F52974" w:rsidP="00F52974">
      <w:pPr>
        <w:pStyle w:val="ListBullet"/>
      </w:pPr>
      <w:r w:rsidRPr="00F52974">
        <w:t>Cobicistat was not genotoxic in adequate assays.</w:t>
      </w:r>
      <w:r w:rsidR="00841BE4">
        <w:t xml:space="preserve"> </w:t>
      </w:r>
      <w:r w:rsidRPr="00F52974">
        <w:t>There were no oncogenic responses in a long-term carcinogenicity study in mice, in which doses achieved adequate drug exposures.</w:t>
      </w:r>
      <w:r w:rsidR="00841BE4">
        <w:t xml:space="preserve"> </w:t>
      </w:r>
      <w:r w:rsidRPr="00F52974">
        <w:t>Thyroid follicular cell tumours were seen in the corresponding rat study, associated with hepatocytic hypertrophy and considered to be specific to this species.</w:t>
      </w:r>
      <w:r w:rsidR="00841BE4">
        <w:t xml:space="preserve"> </w:t>
      </w:r>
      <w:r w:rsidRPr="00F52974">
        <w:t>Achieved drug exposure ratios in rats were less than 1.0 (low and mid-doses) or</w:t>
      </w:r>
      <w:r w:rsidR="007C10EC" w:rsidRPr="007C10EC">
        <w:t xml:space="preserve"> approximately </w:t>
      </w:r>
      <w:r w:rsidRPr="00F52974">
        <w:t>2 or slightly above (high-dose).</w:t>
      </w:r>
      <w:r w:rsidR="00841BE4">
        <w:t xml:space="preserve"> </w:t>
      </w:r>
    </w:p>
    <w:p w:rsidR="00F52974" w:rsidRPr="00F52974" w:rsidRDefault="00F52974" w:rsidP="00F52974">
      <w:pPr>
        <w:pStyle w:val="ListBullet"/>
      </w:pPr>
      <w:r w:rsidRPr="00F52974">
        <w:t xml:space="preserve">Reproductive toxicity was examined in full range of studies with </w:t>
      </w:r>
      <w:r w:rsidR="00BB2DAA">
        <w:t xml:space="preserve">EVG </w:t>
      </w:r>
      <w:r w:rsidRPr="00F52974">
        <w:t xml:space="preserve">and </w:t>
      </w:r>
      <w:r w:rsidR="00A2001C">
        <w:t>COBI</w:t>
      </w:r>
      <w:r w:rsidRPr="00F52974">
        <w:t xml:space="preserve"> alone, and an additional rat embryofetal development study was conducted with </w:t>
      </w:r>
      <w:r w:rsidR="00BB2DAA">
        <w:t xml:space="preserve">EVG </w:t>
      </w:r>
      <w:r w:rsidRPr="00F52974">
        <w:t xml:space="preserve">with and without </w:t>
      </w:r>
      <w:r w:rsidR="00CC292E">
        <w:t>RTV</w:t>
      </w:r>
      <w:r w:rsidRPr="00F52974">
        <w:t>.</w:t>
      </w:r>
      <w:r w:rsidR="00841BE4">
        <w:t xml:space="preserve"> </w:t>
      </w:r>
      <w:r w:rsidRPr="00F52974">
        <w:t xml:space="preserve">Elvitegravir was present in rat milk at low concentrations at the only measurement time (0.5 h after dosing), but 2 h milk concentrations of </w:t>
      </w:r>
      <w:r w:rsidR="00A2001C">
        <w:t>COBI</w:t>
      </w:r>
      <w:r w:rsidRPr="00F52974">
        <w:t xml:space="preserve"> were higher than maximal maternal plasma values.</w:t>
      </w:r>
      <w:r w:rsidR="00841BE4">
        <w:t xml:space="preserve"> </w:t>
      </w:r>
      <w:r w:rsidR="00E17BC6">
        <w:t xml:space="preserve">The pre- and </w:t>
      </w:r>
      <w:r w:rsidRPr="00F52974">
        <w:t>post-natal studies included assessment of juvenile rat toxicity in which selected offspring from treated dams were dosed for 4 weeks.</w:t>
      </w:r>
      <w:r w:rsidR="00841BE4">
        <w:t xml:space="preserve"> </w:t>
      </w:r>
    </w:p>
    <w:p w:rsidR="00F52974" w:rsidRPr="00F52974" w:rsidRDefault="00F52974" w:rsidP="00F52974">
      <w:pPr>
        <w:pStyle w:val="ListBullet"/>
      </w:pPr>
      <w:r w:rsidRPr="00F52974">
        <w:t>Elvitegravir elicited little or no effect in these studies, but exposures in the rabbit embryofetal development study were inadequate and below that expected in humans.</w:t>
      </w:r>
      <w:r w:rsidR="00841BE4">
        <w:t xml:space="preserve"> </w:t>
      </w:r>
      <w:r w:rsidRPr="00F52974">
        <w:t>Cobicistat doses that could be used were limited by maternal toxicity, but no specific effects on reproductive parameters were observed.</w:t>
      </w:r>
      <w:r w:rsidR="00841BE4">
        <w:t xml:space="preserve"> </w:t>
      </w:r>
      <w:r w:rsidRPr="00F52974">
        <w:t>However, no safety margin was measurable with the high-</w:t>
      </w:r>
      <w:r w:rsidR="00E17BC6">
        <w:t xml:space="preserve">dose (75 mg/kg/day) in the pre- and </w:t>
      </w:r>
      <w:r w:rsidRPr="00F52974">
        <w:t>post-natal study.</w:t>
      </w:r>
      <w:r w:rsidR="00841BE4">
        <w:t xml:space="preserve"> </w:t>
      </w:r>
    </w:p>
    <w:p w:rsidR="00F52974" w:rsidRPr="00F52974" w:rsidRDefault="00F52974" w:rsidP="00F52974">
      <w:pPr>
        <w:pStyle w:val="ListBullet"/>
      </w:pPr>
      <w:r w:rsidRPr="00F52974">
        <w:t xml:space="preserve">The nonclinical profile of </w:t>
      </w:r>
      <w:r w:rsidR="00A2001C">
        <w:t>FTC</w:t>
      </w:r>
      <w:r w:rsidRPr="00F52974">
        <w:t xml:space="preserve"> (from a previous </w:t>
      </w:r>
      <w:r w:rsidR="00930471">
        <w:t xml:space="preserve">TGA </w:t>
      </w:r>
      <w:r w:rsidRPr="00F52974">
        <w:t>evaluation report) included an absence of significant drug-related toxicity, genotoxicity or oncogenic responses in long-term rodent carcinogenicity studies.</w:t>
      </w:r>
      <w:r w:rsidR="00841BE4">
        <w:t xml:space="preserve"> </w:t>
      </w:r>
      <w:r w:rsidRPr="00F52974">
        <w:t>It also did not exhibit reproductive toxicity in adequate studies.</w:t>
      </w:r>
      <w:r w:rsidR="00841BE4">
        <w:t xml:space="preserve"> </w:t>
      </w:r>
    </w:p>
    <w:p w:rsidR="00F52974" w:rsidRPr="00F52974" w:rsidRDefault="00F52974" w:rsidP="00F52974">
      <w:pPr>
        <w:pStyle w:val="ListBullet"/>
      </w:pPr>
      <w:r w:rsidRPr="00F52974">
        <w:t xml:space="preserve">By contrast, </w:t>
      </w:r>
      <w:r w:rsidR="00BB7072">
        <w:t>TDF</w:t>
      </w:r>
      <w:r w:rsidRPr="00F52974">
        <w:t xml:space="preserve"> elicited osteopenia (probably secondary to impaired dietary phosphorus absorption), nephrotoxicity and GI-tract lesions.</w:t>
      </w:r>
      <w:r w:rsidR="00841BE4">
        <w:t xml:space="preserve"> </w:t>
      </w:r>
      <w:r w:rsidRPr="00F52974">
        <w:t>Positive results were obtained in some genotoxicity assays, notably the mouse L5178Y lymphoma test, but there were no oncogenic responses in long-term rodent carcinogenicity studies except for a low incidence of duodenal tumours in high-dose mice.</w:t>
      </w:r>
      <w:r w:rsidR="00841BE4">
        <w:t xml:space="preserve"> </w:t>
      </w:r>
      <w:r w:rsidRPr="00F52974">
        <w:t>These were most likely related to local hydrolysis of the disoproxil ester.</w:t>
      </w:r>
      <w:r w:rsidR="00841BE4">
        <w:t xml:space="preserve"> </w:t>
      </w:r>
      <w:r w:rsidRPr="00F52974">
        <w:t>Specific reproductive toxicity was not apparent in standard rat and rabbit studies, but SC treatment of pregnant rhesus monkeys with 30 mg/kg/day of tenofovir resulted in reduced offspring serum phosphorus concentrations.</w:t>
      </w:r>
      <w:r w:rsidR="00841BE4">
        <w:t xml:space="preserve"> </w:t>
      </w:r>
    </w:p>
    <w:p w:rsidR="00F52974" w:rsidRPr="00F52974" w:rsidRDefault="00F52974" w:rsidP="00F52974">
      <w:pPr>
        <w:pStyle w:val="Heading5"/>
      </w:pPr>
      <w:bookmarkStart w:id="51" w:name="_Toc325442407"/>
      <w:r w:rsidRPr="00F52974">
        <w:t>Conclusions and recommendations</w:t>
      </w:r>
      <w:bookmarkEnd w:id="51"/>
    </w:p>
    <w:p w:rsidR="00F52974" w:rsidRPr="00F52974" w:rsidRDefault="00F52974" w:rsidP="00F52974">
      <w:r w:rsidRPr="00F52974">
        <w:t xml:space="preserve">The intended pharmacological activities of the </w:t>
      </w:r>
      <w:r w:rsidR="005C1062">
        <w:t xml:space="preserve">2 </w:t>
      </w:r>
      <w:r w:rsidRPr="00F52974">
        <w:t xml:space="preserve">new chemical entities, anti-HIV-1 activity and CYP3A inhibition, were adequately demonstrated </w:t>
      </w:r>
      <w:r w:rsidR="00BB7072" w:rsidRPr="00BB7072">
        <w:rPr>
          <w:i/>
        </w:rPr>
        <w:t>in vitro</w:t>
      </w:r>
      <w:r w:rsidRPr="00F52974">
        <w:t xml:space="preserve">, but </w:t>
      </w:r>
      <w:r w:rsidR="00A2001C">
        <w:t>COBI</w:t>
      </w:r>
      <w:r w:rsidRPr="00F52974">
        <w:t xml:space="preserve">-induced enhancement of </w:t>
      </w:r>
      <w:r w:rsidR="00BB2DAA">
        <w:t xml:space="preserve">EVG </w:t>
      </w:r>
      <w:r w:rsidRPr="00F52974">
        <w:t>exposures in experimental species was not specifically investigated.</w:t>
      </w:r>
      <w:r w:rsidR="00841BE4">
        <w:t xml:space="preserve"> </w:t>
      </w:r>
    </w:p>
    <w:p w:rsidR="00F52974" w:rsidRPr="00F52974" w:rsidRDefault="00F52974" w:rsidP="00F52974">
      <w:r w:rsidRPr="00F52974">
        <w:t xml:space="preserve">There were no findings in the adequate toxicity studies with </w:t>
      </w:r>
      <w:r w:rsidR="00BB2DAA">
        <w:t xml:space="preserve">EVG </w:t>
      </w:r>
      <w:r w:rsidRPr="00F52974">
        <w:t xml:space="preserve">and </w:t>
      </w:r>
      <w:r w:rsidR="00A2001C">
        <w:t>COBI</w:t>
      </w:r>
      <w:r w:rsidRPr="00F52974">
        <w:t xml:space="preserve"> conducted alone that would preclude registration</w:t>
      </w:r>
      <w:r w:rsidR="00E17BC6">
        <w:t xml:space="preserve">, however </w:t>
      </w:r>
      <w:r w:rsidRPr="00F52974">
        <w:t>no safety margin (</w:t>
      </w:r>
      <w:r w:rsidR="003913DC">
        <w:t xml:space="preserve">based on </w:t>
      </w:r>
      <w:r w:rsidRPr="00F52974">
        <w:t xml:space="preserve">AUC) for </w:t>
      </w:r>
      <w:r w:rsidR="00A2001C">
        <w:t>COBI</w:t>
      </w:r>
      <w:r w:rsidRPr="00F52974">
        <w:t xml:space="preserve"> was demonstrated in the only combination study with these </w:t>
      </w:r>
      <w:r w:rsidR="005C1062">
        <w:t xml:space="preserve">2 </w:t>
      </w:r>
      <w:r w:rsidRPr="00F52974">
        <w:t>drugs.</w:t>
      </w:r>
      <w:r w:rsidR="00841BE4">
        <w:t xml:space="preserve"> </w:t>
      </w:r>
      <w:r w:rsidRPr="00F52974">
        <w:t xml:space="preserve">While there were no untoward effects in this 13 week rat study, and </w:t>
      </w:r>
      <w:r w:rsidR="00A2001C">
        <w:t>FTC</w:t>
      </w:r>
      <w:r w:rsidRPr="00F52974">
        <w:t xml:space="preserve"> and </w:t>
      </w:r>
      <w:r w:rsidR="00A2001C">
        <w:t>TDF</w:t>
      </w:r>
      <w:r w:rsidRPr="00F52974">
        <w:t xml:space="preserve"> are components of </w:t>
      </w:r>
      <w:proofErr w:type="spellStart"/>
      <w:r w:rsidRPr="00F52974">
        <w:t>T</w:t>
      </w:r>
      <w:r w:rsidR="003913DC" w:rsidRPr="00F52974">
        <w:t>ruvada</w:t>
      </w:r>
      <w:proofErr w:type="spellEnd"/>
      <w:r w:rsidRPr="00F52974">
        <w:t xml:space="preserve"> and </w:t>
      </w:r>
      <w:proofErr w:type="spellStart"/>
      <w:r w:rsidRPr="00F52974">
        <w:t>A</w:t>
      </w:r>
      <w:r w:rsidR="003913DC" w:rsidRPr="00F52974">
        <w:t>tripla</w:t>
      </w:r>
      <w:proofErr w:type="spellEnd"/>
      <w:r w:rsidRPr="00F52974">
        <w:t xml:space="preserve">, all </w:t>
      </w:r>
      <w:r w:rsidR="005C1062">
        <w:t xml:space="preserve">4 </w:t>
      </w:r>
      <w:r w:rsidRPr="00F52974">
        <w:t>proposed drugs in combination have not been investigated in nonclinical studies.</w:t>
      </w:r>
      <w:r w:rsidR="00841BE4">
        <w:t xml:space="preserve"> </w:t>
      </w:r>
      <w:r w:rsidRPr="00F52974">
        <w:t>Such a combination toxicity study may not be practicable, however, in terms of achieving adequate exposures to each drug.</w:t>
      </w:r>
      <w:r w:rsidR="00841BE4">
        <w:t xml:space="preserve"> </w:t>
      </w:r>
      <w:r w:rsidRPr="00F52974">
        <w:t>The acceptability of the proposed combination will therefore depend on the extent to which it is clinically justified.</w:t>
      </w:r>
      <w:r w:rsidR="00841BE4">
        <w:t xml:space="preserve"> </w:t>
      </w:r>
    </w:p>
    <w:p w:rsidR="00F52974" w:rsidRPr="00F52974" w:rsidRDefault="00F52974" w:rsidP="00F52974">
      <w:r w:rsidRPr="00F52974">
        <w:lastRenderedPageBreak/>
        <w:t>Cobicistat elicited an increased incidence of thyroid follicular cell tumours in rats, but these were associated with an adaptive hepatocytic response and altered thyroid hormones, and are considered to be to be specific to this species.</w:t>
      </w:r>
      <w:r w:rsidR="00841BE4">
        <w:t xml:space="preserve"> </w:t>
      </w:r>
    </w:p>
    <w:p w:rsidR="00F52974" w:rsidRPr="00F52974" w:rsidRDefault="00F52974" w:rsidP="00F52974">
      <w:r w:rsidRPr="00F52974">
        <w:t xml:space="preserve">Cobicistat showed significant inhibition of hERG and hCav 1.2 channels </w:t>
      </w:r>
      <w:r w:rsidR="00BB7072" w:rsidRPr="00BB7072">
        <w:rPr>
          <w:i/>
        </w:rPr>
        <w:t>in vitro</w:t>
      </w:r>
      <w:r w:rsidRPr="00F52974">
        <w:t xml:space="preserve">, and although it elicited only minor ECG changes in dogs </w:t>
      </w:r>
      <w:r w:rsidR="00BB7072" w:rsidRPr="00BB7072">
        <w:rPr>
          <w:i/>
        </w:rPr>
        <w:t>in vivo</w:t>
      </w:r>
      <w:r w:rsidRPr="00F52974">
        <w:t>, any potential for cardiovascular effects should be addressed in the clinical studies.</w:t>
      </w:r>
      <w:r w:rsidR="00841BE4">
        <w:t xml:space="preserve"> </w:t>
      </w:r>
      <w:r w:rsidRPr="00F52974">
        <w:t xml:space="preserve">Functional renal changes were observed with </w:t>
      </w:r>
      <w:r w:rsidR="00A2001C">
        <w:t>COBI</w:t>
      </w:r>
      <w:r w:rsidRPr="00F52974">
        <w:t>, mainly a reversible diuretic-like effect in the rat toxicity studies, but these were not associated with any serum chemistry or histological indications of renal toxicity.</w:t>
      </w:r>
      <w:r w:rsidR="00841BE4">
        <w:t xml:space="preserve"> </w:t>
      </w:r>
      <w:r w:rsidRPr="00F52974">
        <w:t xml:space="preserve">The significance of these findings, if any, is not clear, but given the known potential of </w:t>
      </w:r>
      <w:r w:rsidR="00A2001C">
        <w:t>TDF</w:t>
      </w:r>
      <w:r w:rsidRPr="00F52974">
        <w:t xml:space="preserve"> for nephrotoxicity, renal effects of treatment should receive attention in the clinical studies.</w:t>
      </w:r>
      <w:r w:rsidR="00841BE4">
        <w:t xml:space="preserve"> </w:t>
      </w:r>
    </w:p>
    <w:p w:rsidR="00F52974" w:rsidRPr="00F52974" w:rsidRDefault="00F52974" w:rsidP="00F52974">
      <w:r w:rsidRPr="00F52974">
        <w:t xml:space="preserve">It should be noted that the full potential for reproductive toxicity of </w:t>
      </w:r>
      <w:r w:rsidR="00BB2DAA">
        <w:t xml:space="preserve">EVG </w:t>
      </w:r>
      <w:r w:rsidRPr="00F52974">
        <w:t>may not have been revealed because of low and inadequate drug exposures in the rabbit embryofetal development study.</w:t>
      </w:r>
      <w:r w:rsidR="00841BE4">
        <w:t xml:space="preserve"> </w:t>
      </w:r>
      <w:r w:rsidR="00BA647D">
        <w:t>No objections were raised to the proposal to include Stribild in pregnancy category B3.</w:t>
      </w:r>
      <w:r w:rsidR="00BA647D">
        <w:rPr>
          <w:rStyle w:val="FootnoteReference"/>
        </w:rPr>
        <w:footnoteReference w:id="9"/>
      </w:r>
    </w:p>
    <w:p w:rsidR="00F52974" w:rsidRPr="00F52974" w:rsidRDefault="00F52974" w:rsidP="00F52974">
      <w:r w:rsidRPr="00F52974">
        <w:t xml:space="preserve">The </w:t>
      </w:r>
      <w:r w:rsidR="003913DC">
        <w:t xml:space="preserve">nonclinical evaluator recommended amendments to nonclinical statements in the proposed Stribild PI; details of these are beyond the scope of this AusPAR. </w:t>
      </w:r>
    </w:p>
    <w:p w:rsidR="008E7846" w:rsidRDefault="008E7846" w:rsidP="008E7846">
      <w:pPr>
        <w:pStyle w:val="Heading2"/>
      </w:pPr>
      <w:bookmarkStart w:id="52" w:name="_Toc196046462"/>
      <w:bookmarkStart w:id="53" w:name="_Toc247691516"/>
      <w:bookmarkStart w:id="54" w:name="_Toc314842500"/>
      <w:bookmarkStart w:id="55" w:name="_Toc363456669"/>
      <w:bookmarkStart w:id="56" w:name="_Toc163441353"/>
      <w:bookmarkStart w:id="57" w:name="_Toc163441348"/>
      <w:r>
        <w:t xml:space="preserve">IV. </w:t>
      </w:r>
      <w:r w:rsidRPr="00254787">
        <w:t>Clinical</w:t>
      </w:r>
      <w:bookmarkEnd w:id="52"/>
      <w:r>
        <w:t xml:space="preserve"> </w:t>
      </w:r>
      <w:r w:rsidR="003A7F6C">
        <w:t>f</w:t>
      </w:r>
      <w:r>
        <w:t>indings</w:t>
      </w:r>
      <w:bookmarkEnd w:id="53"/>
      <w:bookmarkEnd w:id="54"/>
      <w:bookmarkEnd w:id="55"/>
    </w:p>
    <w:p w:rsidR="00D80148" w:rsidRPr="00D80148" w:rsidRDefault="00D80148" w:rsidP="00D80148">
      <w:r w:rsidRPr="00D80148">
        <w:t>A summary of the clinical findings is presented in this section. Further details of these clinical findings can be found in Attachment 2.</w:t>
      </w:r>
    </w:p>
    <w:p w:rsidR="008E7846" w:rsidRDefault="008E7846" w:rsidP="008E7846">
      <w:pPr>
        <w:pStyle w:val="Heading3"/>
      </w:pPr>
      <w:bookmarkStart w:id="58" w:name="_Toc196046463"/>
      <w:bookmarkStart w:id="59" w:name="_Toc247691517"/>
      <w:bookmarkStart w:id="60" w:name="_Toc314842501"/>
      <w:bookmarkStart w:id="61" w:name="_Toc363456670"/>
      <w:r w:rsidRPr="00254787">
        <w:t>Introduction</w:t>
      </w:r>
      <w:bookmarkEnd w:id="58"/>
      <w:bookmarkEnd w:id="59"/>
      <w:bookmarkEnd w:id="60"/>
      <w:bookmarkEnd w:id="61"/>
    </w:p>
    <w:p w:rsidR="00736D88" w:rsidRDefault="00736D88" w:rsidP="00736D88">
      <w:bookmarkStart w:id="62" w:name="_Toc326576757"/>
      <w:bookmarkStart w:id="63" w:name="_Toc290846223"/>
      <w:bookmarkStart w:id="64" w:name="_Toc272414601"/>
      <w:r w:rsidRPr="00736D88">
        <w:t>This is a submission to register a fixed-dose combination tablet comprising 300</w:t>
      </w:r>
      <w:r>
        <w:t xml:space="preserve"> </w:t>
      </w:r>
      <w:r w:rsidRPr="00736D88">
        <w:t>mg of TDF, 200 mg of FTC, 150 mg of EVG and 150 mg of COBI.</w:t>
      </w:r>
      <w:r>
        <w:t xml:space="preserve"> </w:t>
      </w:r>
      <w:r w:rsidR="009E0936">
        <w:t xml:space="preserve">Tenofovir disoproxil fumarate </w:t>
      </w:r>
      <w:r w:rsidRPr="00736D88">
        <w:t>300</w:t>
      </w:r>
      <w:r>
        <w:t xml:space="preserve"> </w:t>
      </w:r>
      <w:r w:rsidRPr="00736D88">
        <w:t>mg and FTC 200</w:t>
      </w:r>
      <w:r>
        <w:t xml:space="preserve"> </w:t>
      </w:r>
      <w:r w:rsidRPr="00736D88">
        <w:t xml:space="preserve">mg have been previously approved as single active ingredient medicines by TGA (under the brand names of </w:t>
      </w:r>
      <w:proofErr w:type="spellStart"/>
      <w:r w:rsidRPr="00736D88">
        <w:t>Viread</w:t>
      </w:r>
      <w:proofErr w:type="spellEnd"/>
      <w:r w:rsidRPr="00736D88">
        <w:t xml:space="preserve"> and </w:t>
      </w:r>
      <w:proofErr w:type="spellStart"/>
      <w:r w:rsidRPr="00736D88">
        <w:t>Emtriva</w:t>
      </w:r>
      <w:proofErr w:type="spellEnd"/>
      <w:r w:rsidRPr="00736D88">
        <w:t>, respectively) for the treatment of HIV infection. A fixed-dose combination tablet combining 300 mg of TDF and 200 mg of FTC (</w:t>
      </w:r>
      <w:proofErr w:type="spellStart"/>
      <w:r w:rsidRPr="00736D88">
        <w:t>Truvada</w:t>
      </w:r>
      <w:proofErr w:type="spellEnd"/>
      <w:r w:rsidRPr="00736D88">
        <w:t xml:space="preserve">) has also been previously approved by TGA. Elvitegravir and </w:t>
      </w:r>
      <w:r>
        <w:t xml:space="preserve">COBI </w:t>
      </w:r>
      <w:r w:rsidRPr="00736D88">
        <w:t>are new chemical entities.</w:t>
      </w:r>
    </w:p>
    <w:p w:rsidR="00D80148" w:rsidRPr="00D80148" w:rsidRDefault="00D80148" w:rsidP="00D80148">
      <w:r w:rsidRPr="00D80148">
        <w:t xml:space="preserve">The proposed indication </w:t>
      </w:r>
      <w:r>
        <w:t>(as stated in the draft PI document) is for the use of [Stribild]</w:t>
      </w:r>
      <w:r w:rsidRPr="00D80148">
        <w:t xml:space="preserve"> as a complete regimen for the treatment of HIV infection in adults who have no known mutations associated with resistance to the individual</w:t>
      </w:r>
      <w:r>
        <w:t xml:space="preserve"> components of [Stribild].</w:t>
      </w:r>
    </w:p>
    <w:p w:rsidR="00E42C9C" w:rsidRDefault="00E42C9C" w:rsidP="00D80148">
      <w:pPr>
        <w:pStyle w:val="Heading4"/>
        <w:keepNext/>
      </w:pPr>
      <w:r>
        <w:t>Clinical rationale</w:t>
      </w:r>
      <w:bookmarkEnd w:id="62"/>
      <w:bookmarkEnd w:id="63"/>
      <w:bookmarkEnd w:id="64"/>
      <w:r>
        <w:t xml:space="preserve"> </w:t>
      </w:r>
    </w:p>
    <w:p w:rsidR="00BB7E5D" w:rsidRPr="00BB7E5D" w:rsidRDefault="00BB7E5D" w:rsidP="00D80148">
      <w:pPr>
        <w:keepNext/>
      </w:pPr>
      <w:r w:rsidRPr="00BB7E5D">
        <w:t>In the clinical dossier for this submission, the sponsor has stated that current treatment guidelines recommend that initial treatment for ARV treatment-</w:t>
      </w:r>
      <w:r w:rsidR="007553B1">
        <w:t>naïve</w:t>
      </w:r>
      <w:r w:rsidRPr="00BB7E5D">
        <w:t xml:space="preserve"> HIV</w:t>
      </w:r>
      <w:r w:rsidR="00BA647D">
        <w:noBreakHyphen/>
      </w:r>
      <w:r w:rsidRPr="00BB7E5D">
        <w:t>1 in</w:t>
      </w:r>
      <w:r w:rsidR="00BA647D">
        <w:t xml:space="preserve">fected patients should involve </w:t>
      </w:r>
      <w:r w:rsidR="005C1062">
        <w:t xml:space="preserve">2 </w:t>
      </w:r>
      <w:r w:rsidRPr="00BB7E5D">
        <w:t>N(t)RTIs (</w:t>
      </w:r>
      <w:r w:rsidR="00BA647D">
        <w:t xml:space="preserve">such as </w:t>
      </w:r>
      <w:r w:rsidRPr="00BB7E5D">
        <w:t>FTC and TDF) and either a NNRTI (</w:t>
      </w:r>
      <w:r w:rsidR="00BA647D">
        <w:t xml:space="preserve">such as </w:t>
      </w:r>
      <w:r w:rsidRPr="00BB7E5D">
        <w:t xml:space="preserve">EFV), a boosted protease inhibitor, or an INSTI. Currently in Australia, </w:t>
      </w:r>
      <w:r w:rsidR="00954626">
        <w:t>RTG</w:t>
      </w:r>
      <w:r w:rsidRPr="00BB7E5D">
        <w:t xml:space="preserve"> is the only INSTI approved for use in adults and it requires </w:t>
      </w:r>
      <w:r w:rsidR="00BA647D">
        <w:t xml:space="preserve">a </w:t>
      </w:r>
      <w:r w:rsidRPr="00BB7E5D">
        <w:t>twice</w:t>
      </w:r>
      <w:r w:rsidR="00BA647D">
        <w:t xml:space="preserve"> </w:t>
      </w:r>
      <w:r w:rsidRPr="00BB7E5D">
        <w:t>daily dosing regimen.</w:t>
      </w:r>
      <w:r w:rsidR="00894E9E">
        <w:t xml:space="preserve"> </w:t>
      </w:r>
    </w:p>
    <w:p w:rsidR="00BB7E5D" w:rsidRPr="00BB7E5D" w:rsidRDefault="00BB7E5D" w:rsidP="00BB7E5D">
      <w:r w:rsidRPr="00BB7E5D">
        <w:t xml:space="preserve">As adherence to ARV drug regimen is important in preventing viral rebound and to reduce risk of drug resistance development, fixed-dose combination STRs have been developed to </w:t>
      </w:r>
      <w:r w:rsidRPr="00BB7E5D">
        <w:lastRenderedPageBreak/>
        <w:t>improve compliance. Cur</w:t>
      </w:r>
      <w:r w:rsidR="00BA647D">
        <w:t xml:space="preserve">rently in Australia, there are </w:t>
      </w:r>
      <w:r w:rsidR="005C1062">
        <w:t xml:space="preserve">2 </w:t>
      </w:r>
      <w:r w:rsidRPr="00BB7E5D">
        <w:t>NNRTI/N(t)RTI based</w:t>
      </w:r>
      <w:r w:rsidR="00BA647D">
        <w:t xml:space="preserve"> </w:t>
      </w:r>
      <w:r w:rsidRPr="00BB7E5D">
        <w:t>STRs approved for once</w:t>
      </w:r>
      <w:r w:rsidR="00BA647D">
        <w:t xml:space="preserve"> </w:t>
      </w:r>
      <w:r w:rsidRPr="00BB7E5D">
        <w:t>daily administration in the treatment of HIV-1 infection: Atripla (FTC/TDF/EFV) (approved in July 2009) and Eviplera (FTC/TDF/</w:t>
      </w:r>
      <w:r w:rsidR="00B40747">
        <w:t>RPV</w:t>
      </w:r>
      <w:r w:rsidRPr="00BB7E5D">
        <w:t>) (approved in January 2012). No STRs exist that combine an INSTI with an N(t)RTI backbone.</w:t>
      </w:r>
    </w:p>
    <w:p w:rsidR="00E42C9C" w:rsidRDefault="00BB7E5D" w:rsidP="00E42C9C">
      <w:r w:rsidRPr="00BB7E5D">
        <w:t xml:space="preserve">The sponsor has stated that the clinical rationale for formulating </w:t>
      </w:r>
      <w:r w:rsidR="00BA647D">
        <w:t xml:space="preserve">Stribild </w:t>
      </w:r>
      <w:r w:rsidRPr="00BB7E5D">
        <w:t xml:space="preserve">is that there remains a need for alternative STRs with potent and sustained efficacy and with a favourable tolerability and safety profile across subgroups of the HIV-1 infected patient population. </w:t>
      </w:r>
    </w:p>
    <w:p w:rsidR="00E42C9C" w:rsidRDefault="00E42C9C" w:rsidP="00E42C9C">
      <w:pPr>
        <w:pStyle w:val="Heading5"/>
      </w:pPr>
      <w:bookmarkStart w:id="65" w:name="_Toc326576764"/>
      <w:bookmarkStart w:id="66" w:name="_Toc290846234"/>
      <w:r>
        <w:t>Scope of the clinical dossier</w:t>
      </w:r>
      <w:bookmarkEnd w:id="65"/>
      <w:bookmarkEnd w:id="66"/>
    </w:p>
    <w:p w:rsidR="00BB7E5D" w:rsidRDefault="00BB7E5D" w:rsidP="00BB7E5D">
      <w:r>
        <w:t>The submission contained the following clinical information:</w:t>
      </w:r>
    </w:p>
    <w:p w:rsidR="00BB7E5D" w:rsidRDefault="005C1062" w:rsidP="00BB7E5D">
      <w:pPr>
        <w:pStyle w:val="Bullet2"/>
        <w:spacing w:after="120"/>
        <w:rPr>
          <w:kern w:val="0"/>
          <w:szCs w:val="22"/>
        </w:rPr>
      </w:pPr>
      <w:r>
        <w:rPr>
          <w:kern w:val="0"/>
          <w:szCs w:val="22"/>
        </w:rPr>
        <w:t xml:space="preserve">two </w:t>
      </w:r>
      <w:r w:rsidR="00BB7E5D">
        <w:rPr>
          <w:kern w:val="0"/>
          <w:szCs w:val="22"/>
        </w:rPr>
        <w:t xml:space="preserve">pivotal Phase III efficacy/safety studies ( </w:t>
      </w:r>
      <w:r w:rsidR="00BB7E5D">
        <w:rPr>
          <w:rFonts w:eastAsia="SimSun"/>
          <w:kern w:val="0"/>
          <w:szCs w:val="22"/>
          <w:lang w:val="en-US" w:eastAsia="zh-CN"/>
        </w:rPr>
        <w:t>GS-US-236-0102 and GS-US-236-0103)</w:t>
      </w:r>
    </w:p>
    <w:p w:rsidR="00BB7E5D" w:rsidRDefault="00577215" w:rsidP="00BB7E5D">
      <w:pPr>
        <w:pStyle w:val="Bullet2"/>
        <w:spacing w:after="120"/>
        <w:rPr>
          <w:kern w:val="0"/>
          <w:szCs w:val="22"/>
        </w:rPr>
      </w:pPr>
      <w:r>
        <w:rPr>
          <w:kern w:val="0"/>
          <w:szCs w:val="22"/>
        </w:rPr>
        <w:t>one</w:t>
      </w:r>
      <w:r w:rsidR="00BB7E5D">
        <w:rPr>
          <w:kern w:val="0"/>
          <w:szCs w:val="22"/>
        </w:rPr>
        <w:t xml:space="preserve"> Phase II efficacy/safety study ( </w:t>
      </w:r>
      <w:r w:rsidR="00BB7E5D">
        <w:rPr>
          <w:rFonts w:eastAsia="SimSun"/>
          <w:kern w:val="0"/>
          <w:szCs w:val="22"/>
          <w:lang w:val="en-US" w:eastAsia="zh-CN"/>
        </w:rPr>
        <w:t>GS-US-236-0104)</w:t>
      </w:r>
    </w:p>
    <w:p w:rsidR="00BB7E5D" w:rsidRDefault="00BA647D" w:rsidP="00BB7E5D">
      <w:pPr>
        <w:pStyle w:val="Bullet2"/>
        <w:spacing w:after="120"/>
        <w:rPr>
          <w:kern w:val="0"/>
          <w:szCs w:val="22"/>
        </w:rPr>
      </w:pPr>
      <w:r>
        <w:rPr>
          <w:kern w:val="0"/>
          <w:szCs w:val="22"/>
        </w:rPr>
        <w:t xml:space="preserve">The sponsor’s </w:t>
      </w:r>
      <w:r w:rsidRPr="00BA647D">
        <w:rPr>
          <w:i/>
          <w:kern w:val="0"/>
          <w:szCs w:val="22"/>
        </w:rPr>
        <w:t>C</w:t>
      </w:r>
      <w:r w:rsidR="00BB7E5D" w:rsidRPr="00BA647D">
        <w:rPr>
          <w:i/>
          <w:kern w:val="0"/>
          <w:szCs w:val="22"/>
        </w:rPr>
        <w:t xml:space="preserve">linical </w:t>
      </w:r>
      <w:r w:rsidRPr="00BA647D">
        <w:rPr>
          <w:i/>
          <w:kern w:val="0"/>
          <w:szCs w:val="22"/>
        </w:rPr>
        <w:t>o</w:t>
      </w:r>
      <w:r w:rsidR="00BB7E5D" w:rsidRPr="00BA647D">
        <w:rPr>
          <w:i/>
          <w:kern w:val="0"/>
          <w:szCs w:val="22"/>
        </w:rPr>
        <w:t>verview</w:t>
      </w:r>
      <w:r w:rsidR="00BB7E5D">
        <w:rPr>
          <w:kern w:val="0"/>
          <w:szCs w:val="22"/>
        </w:rPr>
        <w:t xml:space="preserve">, </w:t>
      </w:r>
      <w:r w:rsidRPr="00BA647D">
        <w:rPr>
          <w:i/>
          <w:kern w:val="0"/>
          <w:szCs w:val="22"/>
        </w:rPr>
        <w:t>S</w:t>
      </w:r>
      <w:r w:rsidR="00BB7E5D" w:rsidRPr="00BA647D">
        <w:rPr>
          <w:i/>
          <w:kern w:val="0"/>
          <w:szCs w:val="22"/>
        </w:rPr>
        <w:t xml:space="preserve">ummary of </w:t>
      </w:r>
      <w:r w:rsidRPr="00BA647D">
        <w:rPr>
          <w:i/>
          <w:kern w:val="0"/>
          <w:szCs w:val="22"/>
        </w:rPr>
        <w:t>c</w:t>
      </w:r>
      <w:r w:rsidR="00BB7E5D" w:rsidRPr="00BA647D">
        <w:rPr>
          <w:i/>
          <w:kern w:val="0"/>
          <w:szCs w:val="22"/>
        </w:rPr>
        <w:t xml:space="preserve">linical </w:t>
      </w:r>
      <w:r w:rsidRPr="00BA647D">
        <w:rPr>
          <w:i/>
          <w:kern w:val="0"/>
          <w:szCs w:val="22"/>
        </w:rPr>
        <w:t>efficacy</w:t>
      </w:r>
      <w:r>
        <w:rPr>
          <w:kern w:val="0"/>
          <w:szCs w:val="22"/>
        </w:rPr>
        <w:t xml:space="preserve"> and</w:t>
      </w:r>
      <w:r w:rsidR="00BB7E5D">
        <w:rPr>
          <w:kern w:val="0"/>
          <w:szCs w:val="22"/>
        </w:rPr>
        <w:t xml:space="preserve"> </w:t>
      </w:r>
      <w:r w:rsidR="00BB7E5D" w:rsidRPr="00BA647D">
        <w:rPr>
          <w:i/>
          <w:kern w:val="0"/>
          <w:szCs w:val="22"/>
        </w:rPr>
        <w:t xml:space="preserve">Summary of </w:t>
      </w:r>
      <w:r>
        <w:rPr>
          <w:i/>
          <w:kern w:val="0"/>
          <w:szCs w:val="22"/>
        </w:rPr>
        <w:t>c</w:t>
      </w:r>
      <w:r w:rsidR="00BB7E5D" w:rsidRPr="00BA647D">
        <w:rPr>
          <w:i/>
          <w:kern w:val="0"/>
          <w:szCs w:val="22"/>
        </w:rPr>
        <w:t xml:space="preserve">linical </w:t>
      </w:r>
      <w:r>
        <w:rPr>
          <w:i/>
          <w:kern w:val="0"/>
          <w:szCs w:val="22"/>
        </w:rPr>
        <w:t>s</w:t>
      </w:r>
      <w:r w:rsidR="00BB7E5D" w:rsidRPr="00BA647D">
        <w:rPr>
          <w:i/>
          <w:kern w:val="0"/>
          <w:szCs w:val="22"/>
        </w:rPr>
        <w:t>afety</w:t>
      </w:r>
      <w:r w:rsidRPr="00BA647D">
        <w:rPr>
          <w:kern w:val="0"/>
          <w:szCs w:val="22"/>
        </w:rPr>
        <w:t>,</w:t>
      </w:r>
      <w:r w:rsidR="00BB7E5D">
        <w:rPr>
          <w:kern w:val="0"/>
          <w:szCs w:val="22"/>
        </w:rPr>
        <w:t xml:space="preserve"> and literature references.</w:t>
      </w:r>
    </w:p>
    <w:p w:rsidR="00E42C9C" w:rsidRDefault="00E42C9C" w:rsidP="00E42C9C">
      <w:pPr>
        <w:pStyle w:val="Heading5"/>
        <w:rPr>
          <w:szCs w:val="20"/>
        </w:rPr>
      </w:pPr>
      <w:bookmarkStart w:id="67" w:name="_Toc290846235"/>
      <w:bookmarkStart w:id="68" w:name="_Toc326576765"/>
      <w:r>
        <w:t>Paediatric data</w:t>
      </w:r>
      <w:bookmarkEnd w:id="67"/>
      <w:bookmarkEnd w:id="68"/>
    </w:p>
    <w:p w:rsidR="00BB7E5D" w:rsidRDefault="00BB7E5D" w:rsidP="00BB7E5D">
      <w:r>
        <w:t xml:space="preserve">This submission did not include paediatric data. </w:t>
      </w:r>
      <w:r>
        <w:rPr>
          <w:rFonts w:eastAsia="SimSun"/>
          <w:lang w:eastAsia="zh-CN"/>
        </w:rPr>
        <w:t xml:space="preserve">In addition, </w:t>
      </w:r>
      <w:r>
        <w:rPr>
          <w:rFonts w:eastAsia="SimSun"/>
          <w:lang w:val="en-US" w:eastAsia="zh-CN"/>
        </w:rPr>
        <w:t xml:space="preserve">as the sponsor is not proposing to include an indication for use in children (aged &lt;18 years), information on a </w:t>
      </w:r>
      <w:r w:rsidR="00BA647D">
        <w:t>Paediatric</w:t>
      </w:r>
      <w:r w:rsidR="00BA647D">
        <w:rPr>
          <w:rFonts w:eastAsia="SimSun"/>
          <w:lang w:val="en-US" w:eastAsia="zh-CN"/>
        </w:rPr>
        <w:t xml:space="preserve"> </w:t>
      </w:r>
      <w:r>
        <w:rPr>
          <w:rFonts w:eastAsia="SimSun"/>
          <w:lang w:val="en-US" w:eastAsia="zh-CN"/>
        </w:rPr>
        <w:t>Development Program was not included in this application.</w:t>
      </w:r>
    </w:p>
    <w:p w:rsidR="00E42C9C" w:rsidRDefault="00E42C9C" w:rsidP="00E42C9C">
      <w:pPr>
        <w:pStyle w:val="Heading5"/>
        <w:rPr>
          <w:szCs w:val="20"/>
        </w:rPr>
      </w:pPr>
      <w:bookmarkStart w:id="69" w:name="_Toc326576766"/>
      <w:bookmarkStart w:id="70" w:name="_Toc290846236"/>
      <w:bookmarkStart w:id="71" w:name="_Toc272414612"/>
      <w:r>
        <w:t>Good clinical practice</w:t>
      </w:r>
      <w:bookmarkEnd w:id="69"/>
      <w:bookmarkEnd w:id="70"/>
      <w:bookmarkEnd w:id="71"/>
    </w:p>
    <w:p w:rsidR="00BB7E5D" w:rsidRDefault="00B12B07" w:rsidP="00BB7E5D">
      <w:bookmarkStart w:id="72" w:name="_Toc241374282"/>
      <w:r>
        <w:t xml:space="preserve">The </w:t>
      </w:r>
      <w:r w:rsidR="005C1062">
        <w:t xml:space="preserve">3 </w:t>
      </w:r>
      <w:r w:rsidR="00BB7E5D">
        <w:t xml:space="preserve">clinical studies </w:t>
      </w:r>
      <w:r w:rsidR="00BB7E5D">
        <w:rPr>
          <w:lang w:val="en-GB"/>
        </w:rPr>
        <w:t xml:space="preserve">reviewed in this evaluation </w:t>
      </w:r>
      <w:r w:rsidR="00BB7E5D">
        <w:t xml:space="preserve">were in compliance with </w:t>
      </w:r>
      <w:r w:rsidR="00577215">
        <w:t xml:space="preserve">the EMA’s </w:t>
      </w:r>
      <w:r w:rsidR="00577215">
        <w:rPr>
          <w:color w:val="000000"/>
        </w:rPr>
        <w:t>Committee for Medicinal Products for Human Use</w:t>
      </w:r>
      <w:r w:rsidR="00577215">
        <w:t xml:space="preserve"> (</w:t>
      </w:r>
      <w:r w:rsidR="00BB7E5D">
        <w:t>CPMP</w:t>
      </w:r>
      <w:r w:rsidR="00577215">
        <w:t xml:space="preserve">) </w:t>
      </w:r>
      <w:r w:rsidR="00577215" w:rsidRPr="00577215">
        <w:rPr>
          <w:i/>
        </w:rPr>
        <w:t>Note for Guidance on Good Clinical Practice</w:t>
      </w:r>
      <w:r w:rsidR="00577215">
        <w:t xml:space="preserve"> (CHMP</w:t>
      </w:r>
      <w:r w:rsidR="00BB7E5D">
        <w:t>/ICH/135/95</w:t>
      </w:r>
      <w:r w:rsidR="00577215">
        <w:t>)</w:t>
      </w:r>
      <w:r w:rsidR="00BB7E5D">
        <w:t>.</w:t>
      </w:r>
      <w:r w:rsidR="00BB7E5D">
        <w:rPr>
          <w:i/>
        </w:rPr>
        <w:t xml:space="preserve"> </w:t>
      </w:r>
      <w:bookmarkEnd w:id="72"/>
    </w:p>
    <w:p w:rsidR="008E7846" w:rsidRPr="00254787" w:rsidRDefault="008E7846" w:rsidP="008E7846">
      <w:pPr>
        <w:pStyle w:val="Heading3"/>
      </w:pPr>
      <w:bookmarkStart w:id="73" w:name="_Toc196046464"/>
      <w:bookmarkStart w:id="74" w:name="_Toc247691518"/>
      <w:bookmarkStart w:id="75" w:name="_Toc314842502"/>
      <w:bookmarkStart w:id="76" w:name="_Toc363456671"/>
      <w:r w:rsidRPr="00254787">
        <w:t>Pharmacokinetics</w:t>
      </w:r>
      <w:bookmarkEnd w:id="56"/>
      <w:bookmarkEnd w:id="73"/>
      <w:bookmarkEnd w:id="74"/>
      <w:bookmarkEnd w:id="75"/>
      <w:bookmarkEnd w:id="76"/>
    </w:p>
    <w:p w:rsidR="00E42C9C" w:rsidRPr="0020620C" w:rsidRDefault="00E42C9C" w:rsidP="00E42C9C">
      <w:pPr>
        <w:pStyle w:val="Heading4"/>
      </w:pPr>
      <w:bookmarkStart w:id="77" w:name="_Ref271018934"/>
      <w:bookmarkStart w:id="78" w:name="_Ref271018924"/>
      <w:bookmarkStart w:id="79" w:name="_Ref271017296"/>
      <w:bookmarkStart w:id="80" w:name="_Toc326576768"/>
      <w:bookmarkStart w:id="81" w:name="_Toc290846238"/>
      <w:bookmarkStart w:id="82" w:name="_Toc272414614"/>
      <w:r w:rsidRPr="0020620C">
        <w:t>Studies</w:t>
      </w:r>
      <w:bookmarkEnd w:id="77"/>
      <w:bookmarkEnd w:id="78"/>
      <w:bookmarkEnd w:id="79"/>
      <w:r w:rsidRPr="0020620C">
        <w:t xml:space="preserve"> providing pharmacokinetic data</w:t>
      </w:r>
      <w:bookmarkEnd w:id="80"/>
      <w:bookmarkEnd w:id="81"/>
      <w:bookmarkEnd w:id="82"/>
    </w:p>
    <w:p w:rsidR="00BB7E5D" w:rsidRDefault="00A51BB4" w:rsidP="00BB7E5D">
      <w:r>
        <w:t>Table 3</w:t>
      </w:r>
      <w:r w:rsidR="00BB7E5D">
        <w:t xml:space="preserve"> shows the studies relating to each </w:t>
      </w:r>
      <w:r w:rsidR="007C46CB">
        <w:t xml:space="preserve">PK </w:t>
      </w:r>
      <w:r w:rsidR="00BB7E5D">
        <w:t>topic.</w:t>
      </w:r>
    </w:p>
    <w:p w:rsidR="00BB7E5D" w:rsidRPr="00164155" w:rsidRDefault="00A51BB4" w:rsidP="007641EA">
      <w:pPr>
        <w:pStyle w:val="TableTitle"/>
      </w:pPr>
      <w:r>
        <w:t>Table 3</w:t>
      </w:r>
      <w:r w:rsidR="00164155">
        <w:t xml:space="preserve">. </w:t>
      </w:r>
      <w:r w:rsidR="00BB7E5D" w:rsidRPr="00164155">
        <w:t>Submitted pharmacokinetic studies.</w:t>
      </w:r>
    </w:p>
    <w:tbl>
      <w:tblPr>
        <w:tblStyle w:val="TableTGAblue"/>
        <w:tblW w:w="7513" w:type="dxa"/>
        <w:tblLayout w:type="fixed"/>
        <w:tblLook w:val="04A0"/>
      </w:tblPr>
      <w:tblGrid>
        <w:gridCol w:w="1418"/>
        <w:gridCol w:w="2835"/>
        <w:gridCol w:w="1701"/>
        <w:gridCol w:w="1559"/>
      </w:tblGrid>
      <w:tr w:rsidR="00164155" w:rsidRPr="00164155" w:rsidTr="00A03BEE">
        <w:trPr>
          <w:cnfStyle w:val="100000000000"/>
          <w:tblHeader/>
        </w:trPr>
        <w:tc>
          <w:tcPr>
            <w:tcW w:w="1418" w:type="dxa"/>
            <w:hideMark/>
          </w:tcPr>
          <w:p w:rsidR="00164155" w:rsidRPr="00164155" w:rsidRDefault="00164155" w:rsidP="00890D33">
            <w:pPr>
              <w:spacing w:before="0" w:after="0" w:line="240" w:lineRule="auto"/>
              <w:ind w:left="0" w:right="0"/>
              <w:rPr>
                <w:rFonts w:asciiTheme="minorHAnsi" w:hAnsiTheme="minorHAnsi"/>
                <w:b w:val="0"/>
                <w:sz w:val="20"/>
                <w:szCs w:val="20"/>
              </w:rPr>
            </w:pPr>
            <w:r w:rsidRPr="00164155">
              <w:rPr>
                <w:rFonts w:asciiTheme="minorHAnsi" w:hAnsiTheme="minorHAnsi"/>
                <w:sz w:val="20"/>
                <w:szCs w:val="20"/>
              </w:rPr>
              <w:t>PK topic</w:t>
            </w:r>
          </w:p>
        </w:tc>
        <w:tc>
          <w:tcPr>
            <w:tcW w:w="2835" w:type="dxa"/>
            <w:hideMark/>
          </w:tcPr>
          <w:p w:rsidR="00164155" w:rsidRPr="00164155" w:rsidRDefault="00164155" w:rsidP="00890D33">
            <w:pPr>
              <w:spacing w:before="0" w:after="0" w:line="240" w:lineRule="auto"/>
              <w:ind w:left="0" w:right="0"/>
              <w:rPr>
                <w:rFonts w:asciiTheme="minorHAnsi" w:hAnsiTheme="minorHAnsi"/>
                <w:b w:val="0"/>
                <w:sz w:val="20"/>
                <w:szCs w:val="20"/>
              </w:rPr>
            </w:pPr>
            <w:r w:rsidRPr="00164155">
              <w:rPr>
                <w:rFonts w:asciiTheme="minorHAnsi" w:hAnsiTheme="minorHAnsi"/>
                <w:sz w:val="20"/>
                <w:szCs w:val="20"/>
              </w:rPr>
              <w:t>Subtopic</w:t>
            </w:r>
          </w:p>
        </w:tc>
        <w:tc>
          <w:tcPr>
            <w:tcW w:w="1701" w:type="dxa"/>
            <w:hideMark/>
          </w:tcPr>
          <w:p w:rsidR="00164155" w:rsidRPr="00164155" w:rsidRDefault="00164155" w:rsidP="00890D33">
            <w:pPr>
              <w:spacing w:before="0" w:after="0" w:line="240" w:lineRule="auto"/>
              <w:ind w:left="0" w:right="0"/>
              <w:rPr>
                <w:rFonts w:asciiTheme="minorHAnsi" w:hAnsiTheme="minorHAnsi"/>
                <w:b w:val="0"/>
                <w:sz w:val="20"/>
                <w:szCs w:val="20"/>
              </w:rPr>
            </w:pPr>
            <w:r w:rsidRPr="00164155">
              <w:rPr>
                <w:rFonts w:asciiTheme="minorHAnsi" w:hAnsiTheme="minorHAnsi"/>
                <w:sz w:val="20"/>
                <w:szCs w:val="20"/>
              </w:rPr>
              <w:t>Study ID</w:t>
            </w:r>
          </w:p>
        </w:tc>
        <w:tc>
          <w:tcPr>
            <w:tcW w:w="1559" w:type="dxa"/>
            <w:hideMark/>
          </w:tcPr>
          <w:p w:rsidR="00164155" w:rsidRPr="00164155" w:rsidRDefault="00164155" w:rsidP="00890D33">
            <w:pPr>
              <w:spacing w:before="0" w:after="0" w:line="240" w:lineRule="auto"/>
              <w:ind w:left="0" w:right="0"/>
              <w:rPr>
                <w:rFonts w:asciiTheme="minorHAnsi" w:hAnsiTheme="minorHAnsi"/>
                <w:b w:val="0"/>
                <w:sz w:val="20"/>
                <w:szCs w:val="20"/>
              </w:rPr>
            </w:pPr>
            <w:r w:rsidRPr="00164155">
              <w:rPr>
                <w:rFonts w:asciiTheme="minorHAnsi" w:hAnsiTheme="minorHAnsi"/>
                <w:sz w:val="20"/>
                <w:szCs w:val="20"/>
              </w:rPr>
              <w:t>Primary Drug</w:t>
            </w:r>
          </w:p>
        </w:tc>
      </w:tr>
      <w:tr w:rsidR="00164155" w:rsidRPr="00164155" w:rsidTr="00511CF0">
        <w:tc>
          <w:tcPr>
            <w:tcW w:w="1418" w:type="dxa"/>
            <w:vMerge w:val="restart"/>
          </w:tcPr>
          <w:p w:rsidR="00164155" w:rsidRPr="007641EA" w:rsidRDefault="00164155" w:rsidP="00890D33">
            <w:pPr>
              <w:spacing w:before="0" w:after="0" w:line="240" w:lineRule="auto"/>
              <w:ind w:left="0" w:right="0"/>
              <w:rPr>
                <w:rFonts w:asciiTheme="minorHAnsi" w:hAnsiTheme="minorHAnsi"/>
                <w:b/>
                <w:sz w:val="20"/>
                <w:szCs w:val="20"/>
              </w:rPr>
            </w:pPr>
            <w:r w:rsidRPr="00164155">
              <w:rPr>
                <w:rFonts w:asciiTheme="minorHAnsi" w:hAnsiTheme="minorHAnsi"/>
                <w:b/>
                <w:sz w:val="20"/>
                <w:szCs w:val="20"/>
              </w:rPr>
              <w:t>PK in healthy adults</w:t>
            </w:r>
          </w:p>
        </w:tc>
        <w:tc>
          <w:tcPr>
            <w:tcW w:w="2835" w:type="dxa"/>
            <w:hideMark/>
          </w:tcPr>
          <w:p w:rsidR="00164155" w:rsidRPr="00164155" w:rsidRDefault="00164155" w:rsidP="007641EA">
            <w:pPr>
              <w:tabs>
                <w:tab w:val="left" w:pos="1559"/>
              </w:tabs>
              <w:spacing w:before="0" w:after="0" w:line="240" w:lineRule="auto"/>
              <w:ind w:left="0" w:right="0"/>
              <w:rPr>
                <w:rFonts w:asciiTheme="minorHAnsi" w:hAnsiTheme="minorHAnsi"/>
                <w:sz w:val="20"/>
                <w:szCs w:val="20"/>
              </w:rPr>
            </w:pPr>
            <w:r>
              <w:rPr>
                <w:rFonts w:asciiTheme="minorHAnsi" w:hAnsiTheme="minorHAnsi"/>
                <w:sz w:val="20"/>
                <w:szCs w:val="20"/>
              </w:rPr>
              <w:t>General PK</w:t>
            </w:r>
            <w:r>
              <w:rPr>
                <w:rFonts w:asciiTheme="minorHAnsi" w:hAnsiTheme="minorHAnsi"/>
                <w:sz w:val="20"/>
                <w:szCs w:val="20"/>
              </w:rPr>
              <w:tab/>
            </w:r>
            <w:r w:rsidRPr="00164155">
              <w:rPr>
                <w:rFonts w:asciiTheme="minorHAnsi" w:hAnsiTheme="minorHAnsi"/>
                <w:sz w:val="20"/>
                <w:szCs w:val="20"/>
              </w:rPr>
              <w:t>Single dose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GS-US-216-0101</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tcPr>
          <w:p w:rsidR="00164155" w:rsidRPr="00164155" w:rsidRDefault="00164155" w:rsidP="00890D33">
            <w:pPr>
              <w:spacing w:before="0" w:after="0" w:line="240" w:lineRule="auto"/>
              <w:ind w:left="0" w:right="0"/>
              <w:rPr>
                <w:rFonts w:asciiTheme="minorHAnsi" w:hAnsiTheme="minorHAnsi"/>
                <w:sz w:val="20"/>
                <w:szCs w:val="20"/>
              </w:rPr>
            </w:pP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GS-US-216-0113</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COBI</w:t>
            </w:r>
          </w:p>
        </w:tc>
      </w:tr>
      <w:tr w:rsidR="00511CF0" w:rsidRPr="00164155" w:rsidTr="00511CF0">
        <w:tc>
          <w:tcPr>
            <w:tcW w:w="1418" w:type="dxa"/>
            <w:vMerge/>
            <w:hideMark/>
          </w:tcPr>
          <w:p w:rsidR="00511CF0" w:rsidRPr="00164155" w:rsidRDefault="00511CF0" w:rsidP="00890D33">
            <w:pPr>
              <w:spacing w:before="0" w:after="0" w:line="240" w:lineRule="auto"/>
              <w:ind w:left="0" w:right="0"/>
              <w:rPr>
                <w:rFonts w:asciiTheme="minorHAnsi" w:hAnsiTheme="minorHAnsi"/>
                <w:sz w:val="20"/>
                <w:szCs w:val="20"/>
              </w:rPr>
            </w:pPr>
          </w:p>
        </w:tc>
        <w:tc>
          <w:tcPr>
            <w:tcW w:w="6095" w:type="dxa"/>
            <w:gridSpan w:val="3"/>
          </w:tcPr>
          <w:p w:rsidR="00511CF0" w:rsidRPr="00164155" w:rsidRDefault="00511CF0" w:rsidP="00890D33">
            <w:pPr>
              <w:spacing w:before="0" w:after="0" w:line="240" w:lineRule="auto"/>
              <w:ind w:left="0" w:right="0"/>
              <w:rPr>
                <w:rFonts w:asciiTheme="minorHAnsi" w:hAnsiTheme="minorHAnsi"/>
                <w:sz w:val="20"/>
                <w:szCs w:val="20"/>
              </w:rPr>
            </w:pP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7641EA" w:rsidP="007641EA">
            <w:pPr>
              <w:tabs>
                <w:tab w:val="left" w:pos="1559"/>
              </w:tabs>
              <w:spacing w:before="0" w:after="0" w:line="240" w:lineRule="auto"/>
              <w:ind w:left="0" w:right="0"/>
              <w:rPr>
                <w:rFonts w:asciiTheme="minorHAnsi" w:hAnsiTheme="minorHAnsi"/>
                <w:sz w:val="20"/>
                <w:szCs w:val="20"/>
              </w:rPr>
            </w:pPr>
            <w:r>
              <w:rPr>
                <w:rFonts w:asciiTheme="minorHAnsi" w:hAnsiTheme="minorHAnsi"/>
                <w:sz w:val="20"/>
                <w:szCs w:val="20"/>
              </w:rPr>
              <w:tab/>
            </w:r>
            <w:r w:rsidR="00164155" w:rsidRPr="00164155">
              <w:rPr>
                <w:rFonts w:asciiTheme="minorHAnsi" w:hAnsiTheme="minorHAnsi"/>
                <w:sz w:val="20"/>
                <w:szCs w:val="20"/>
              </w:rPr>
              <w:t>Multi-dose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GS-US-216-0101</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tcPr>
          <w:p w:rsidR="00164155" w:rsidRPr="00164155" w:rsidRDefault="00164155" w:rsidP="00890D33">
            <w:pPr>
              <w:spacing w:before="0" w:after="0" w:line="240" w:lineRule="auto"/>
              <w:ind w:left="0" w:right="0"/>
              <w:rPr>
                <w:rFonts w:asciiTheme="minorHAnsi" w:hAnsiTheme="minorHAnsi"/>
                <w:sz w:val="20"/>
                <w:szCs w:val="20"/>
              </w:rPr>
            </w:pP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GS-US-216-0113</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COBI</w:t>
            </w:r>
          </w:p>
        </w:tc>
      </w:tr>
      <w:tr w:rsidR="00511CF0" w:rsidRPr="00164155" w:rsidTr="00511CF0">
        <w:tc>
          <w:tcPr>
            <w:tcW w:w="1418" w:type="dxa"/>
            <w:vMerge/>
            <w:hideMark/>
          </w:tcPr>
          <w:p w:rsidR="00511CF0" w:rsidRPr="00164155" w:rsidRDefault="00511CF0" w:rsidP="00890D33">
            <w:pPr>
              <w:spacing w:before="0" w:after="0" w:line="240" w:lineRule="auto"/>
              <w:ind w:left="0" w:right="0"/>
              <w:rPr>
                <w:rFonts w:asciiTheme="minorHAnsi" w:hAnsiTheme="minorHAnsi"/>
                <w:sz w:val="20"/>
                <w:szCs w:val="20"/>
              </w:rPr>
            </w:pPr>
          </w:p>
        </w:tc>
        <w:tc>
          <w:tcPr>
            <w:tcW w:w="6095" w:type="dxa"/>
            <w:gridSpan w:val="3"/>
          </w:tcPr>
          <w:p w:rsidR="00511CF0" w:rsidRPr="00164155" w:rsidRDefault="00511CF0" w:rsidP="00890D33">
            <w:pPr>
              <w:spacing w:before="0" w:after="0" w:line="240" w:lineRule="auto"/>
              <w:ind w:left="0" w:right="0"/>
              <w:rPr>
                <w:rFonts w:asciiTheme="minorHAnsi" w:hAnsiTheme="minorHAnsi"/>
                <w:sz w:val="20"/>
                <w:szCs w:val="20"/>
              </w:rPr>
            </w:pPr>
          </w:p>
        </w:tc>
      </w:tr>
      <w:tr w:rsidR="00164155" w:rsidRPr="00164155" w:rsidTr="00A03BEE">
        <w:trPr>
          <w:cantSplit/>
        </w:trPr>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7641EA" w:rsidP="007641EA">
            <w:pPr>
              <w:keepNext/>
              <w:tabs>
                <w:tab w:val="left" w:pos="1559"/>
              </w:tabs>
              <w:spacing w:before="0" w:after="0" w:line="240" w:lineRule="auto"/>
              <w:ind w:left="0" w:right="0"/>
              <w:rPr>
                <w:rFonts w:asciiTheme="minorHAnsi" w:hAnsiTheme="minorHAnsi"/>
                <w:sz w:val="20"/>
                <w:szCs w:val="20"/>
              </w:rPr>
            </w:pPr>
            <w:r>
              <w:rPr>
                <w:rFonts w:asciiTheme="minorHAnsi" w:hAnsiTheme="minorHAnsi"/>
                <w:sz w:val="20"/>
                <w:szCs w:val="20"/>
              </w:rPr>
              <w:t>Bioequivalence†</w:t>
            </w:r>
            <w:r>
              <w:rPr>
                <w:rFonts w:asciiTheme="minorHAnsi" w:hAnsiTheme="minorHAnsi"/>
                <w:sz w:val="20"/>
                <w:szCs w:val="20"/>
              </w:rPr>
              <w:tab/>
            </w:r>
            <w:r w:rsidR="00164155" w:rsidRPr="00164155">
              <w:rPr>
                <w:rFonts w:asciiTheme="minorHAnsi" w:hAnsiTheme="minorHAnsi"/>
                <w:sz w:val="20"/>
                <w:szCs w:val="20"/>
              </w:rPr>
              <w:t>Single dose</w:t>
            </w:r>
          </w:p>
        </w:tc>
        <w:tc>
          <w:tcPr>
            <w:tcW w:w="1701" w:type="dxa"/>
            <w:hideMark/>
          </w:tcPr>
          <w:p w:rsidR="00164155" w:rsidRP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GS-US-236-0105</w:t>
            </w:r>
          </w:p>
          <w:p w:rsidR="00164155" w:rsidRP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GS-US-183-0140</w:t>
            </w:r>
          </w:p>
        </w:tc>
        <w:tc>
          <w:tcPr>
            <w:tcW w:w="1559" w:type="dxa"/>
          </w:tcPr>
          <w:p w:rsidR="00164155" w:rsidRP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p w:rsidR="00164155" w:rsidRP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tc>
      </w:tr>
      <w:tr w:rsidR="00511CF0" w:rsidRPr="00164155" w:rsidTr="00A03BEE">
        <w:trPr>
          <w:cantSplit/>
        </w:trPr>
        <w:tc>
          <w:tcPr>
            <w:tcW w:w="1418" w:type="dxa"/>
            <w:vMerge/>
            <w:hideMark/>
          </w:tcPr>
          <w:p w:rsidR="00511CF0" w:rsidRPr="00164155" w:rsidRDefault="00511CF0" w:rsidP="00890D33">
            <w:pPr>
              <w:spacing w:before="0" w:after="0" w:line="240" w:lineRule="auto"/>
              <w:ind w:left="0" w:right="0"/>
              <w:rPr>
                <w:rFonts w:asciiTheme="minorHAnsi" w:hAnsiTheme="minorHAnsi"/>
                <w:sz w:val="20"/>
                <w:szCs w:val="20"/>
              </w:rPr>
            </w:pPr>
          </w:p>
        </w:tc>
        <w:tc>
          <w:tcPr>
            <w:tcW w:w="6095" w:type="dxa"/>
            <w:gridSpan w:val="3"/>
          </w:tcPr>
          <w:p w:rsidR="00511CF0" w:rsidRPr="00164155" w:rsidRDefault="00511CF0" w:rsidP="00A03BEE">
            <w:pPr>
              <w:keepNext/>
              <w:spacing w:before="0" w:after="0" w:line="240" w:lineRule="auto"/>
              <w:ind w:left="0" w:right="0"/>
              <w:rPr>
                <w:rFonts w:asciiTheme="minorHAnsi" w:hAnsiTheme="minorHAnsi"/>
                <w:sz w:val="20"/>
                <w:szCs w:val="20"/>
              </w:rPr>
            </w:pPr>
          </w:p>
        </w:tc>
      </w:tr>
      <w:tr w:rsidR="00164155" w:rsidRPr="00164155" w:rsidTr="00A03BEE">
        <w:trPr>
          <w:cantSplit/>
        </w:trPr>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7641EA">
            <w:pPr>
              <w:keepNext/>
              <w:tabs>
                <w:tab w:val="left" w:pos="1559"/>
              </w:tabs>
              <w:spacing w:before="0" w:after="0" w:line="240" w:lineRule="auto"/>
              <w:ind w:left="0" w:right="0"/>
              <w:rPr>
                <w:rFonts w:asciiTheme="minorHAnsi" w:hAnsiTheme="minorHAnsi"/>
                <w:sz w:val="20"/>
                <w:szCs w:val="20"/>
              </w:rPr>
            </w:pPr>
            <w:r w:rsidRPr="00164155">
              <w:rPr>
                <w:rFonts w:asciiTheme="minorHAnsi" w:hAnsiTheme="minorHAnsi"/>
                <w:sz w:val="20"/>
                <w:szCs w:val="20"/>
              </w:rPr>
              <w:tab/>
              <w:t>Multi-dose</w:t>
            </w:r>
          </w:p>
        </w:tc>
        <w:tc>
          <w:tcPr>
            <w:tcW w:w="1701" w:type="dxa"/>
            <w:hideMark/>
          </w:tcPr>
          <w:p w:rsidR="00164155" w:rsidRP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GS-US-236-0105</w:t>
            </w:r>
          </w:p>
          <w:p w:rsidR="00164155" w:rsidRP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GS-US-183-0140</w:t>
            </w:r>
          </w:p>
        </w:tc>
        <w:tc>
          <w:tcPr>
            <w:tcW w:w="1559" w:type="dxa"/>
            <w:hideMark/>
          </w:tcPr>
          <w:p w:rsidR="00164155" w:rsidRP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p w:rsidR="00164155" w:rsidRDefault="00164155"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p w:rsidR="00CE3CB8" w:rsidRPr="00164155" w:rsidRDefault="00CE3CB8" w:rsidP="00A03BEE">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QUAD*</w:t>
            </w:r>
          </w:p>
        </w:tc>
      </w:tr>
      <w:tr w:rsidR="00CE3CB8" w:rsidRPr="00164155" w:rsidTr="00E17BC6">
        <w:tc>
          <w:tcPr>
            <w:tcW w:w="1418" w:type="dxa"/>
            <w:vMerge/>
            <w:hideMark/>
          </w:tcPr>
          <w:p w:rsidR="00CE3CB8" w:rsidRPr="00164155" w:rsidRDefault="00CE3CB8" w:rsidP="00890D33">
            <w:pPr>
              <w:spacing w:before="0" w:after="0" w:line="240" w:lineRule="auto"/>
              <w:ind w:left="0" w:right="0"/>
              <w:rPr>
                <w:rFonts w:asciiTheme="minorHAnsi" w:hAnsiTheme="minorHAnsi"/>
                <w:sz w:val="20"/>
                <w:szCs w:val="20"/>
              </w:rPr>
            </w:pPr>
          </w:p>
        </w:tc>
        <w:tc>
          <w:tcPr>
            <w:tcW w:w="6095" w:type="dxa"/>
            <w:gridSpan w:val="3"/>
          </w:tcPr>
          <w:p w:rsidR="00CE3CB8" w:rsidRPr="00164155" w:rsidRDefault="00CE3CB8" w:rsidP="00890D33">
            <w:pPr>
              <w:spacing w:before="0" w:after="0" w:line="240" w:lineRule="auto"/>
              <w:ind w:left="0" w:right="0"/>
              <w:rPr>
                <w:rFonts w:asciiTheme="minorHAnsi" w:hAnsiTheme="minorHAnsi"/>
                <w:sz w:val="20"/>
                <w:szCs w:val="20"/>
              </w:rPr>
            </w:pPr>
          </w:p>
        </w:tc>
      </w:tr>
      <w:tr w:rsidR="006720BA" w:rsidRPr="00164155" w:rsidTr="00511CF0">
        <w:trPr>
          <w:trHeight w:val="268"/>
        </w:trPr>
        <w:tc>
          <w:tcPr>
            <w:tcW w:w="1418" w:type="dxa"/>
            <w:vMerge/>
            <w:hideMark/>
          </w:tcPr>
          <w:p w:rsidR="006720BA" w:rsidRPr="00164155" w:rsidRDefault="006720BA" w:rsidP="00890D33">
            <w:pPr>
              <w:spacing w:before="0" w:after="0" w:line="240" w:lineRule="auto"/>
              <w:ind w:left="0" w:right="0"/>
              <w:rPr>
                <w:rFonts w:asciiTheme="minorHAnsi" w:hAnsiTheme="minorHAnsi"/>
                <w:sz w:val="20"/>
                <w:szCs w:val="20"/>
              </w:rPr>
            </w:pPr>
          </w:p>
        </w:tc>
        <w:tc>
          <w:tcPr>
            <w:tcW w:w="2835" w:type="dxa"/>
            <w:hideMark/>
          </w:tcPr>
          <w:p w:rsidR="006720BA" w:rsidRPr="00164155" w:rsidRDefault="006720BA"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Food effect</w:t>
            </w:r>
          </w:p>
        </w:tc>
        <w:tc>
          <w:tcPr>
            <w:tcW w:w="1701" w:type="dxa"/>
            <w:hideMark/>
          </w:tcPr>
          <w:p w:rsidR="006720BA" w:rsidRPr="00164155" w:rsidRDefault="006720BA"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GS-US-236-0105</w:t>
            </w:r>
          </w:p>
        </w:tc>
        <w:tc>
          <w:tcPr>
            <w:tcW w:w="1559" w:type="dxa"/>
            <w:hideMark/>
          </w:tcPr>
          <w:p w:rsidR="006720BA" w:rsidRPr="00164155" w:rsidRDefault="006720BA"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Mass Balance Study</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GS-US-183-0126</w:t>
            </w:r>
          </w:p>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GS-US-216-0111</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COBI</w:t>
            </w:r>
          </w:p>
        </w:tc>
      </w:tr>
      <w:tr w:rsidR="00164155" w:rsidRPr="00164155" w:rsidTr="00511CF0">
        <w:tc>
          <w:tcPr>
            <w:tcW w:w="1418" w:type="dxa"/>
            <w:vMerge w:val="restart"/>
          </w:tcPr>
          <w:p w:rsidR="00164155" w:rsidRPr="007641EA" w:rsidRDefault="00164155" w:rsidP="00890D33">
            <w:pPr>
              <w:keepNext/>
              <w:spacing w:before="0" w:after="0" w:line="240" w:lineRule="auto"/>
              <w:ind w:left="0" w:right="0"/>
              <w:rPr>
                <w:rFonts w:asciiTheme="minorHAnsi" w:hAnsiTheme="minorHAnsi"/>
                <w:b/>
                <w:sz w:val="20"/>
                <w:szCs w:val="20"/>
              </w:rPr>
            </w:pPr>
            <w:r w:rsidRPr="00164155">
              <w:rPr>
                <w:rFonts w:asciiTheme="minorHAnsi" w:hAnsiTheme="minorHAnsi"/>
                <w:b/>
                <w:sz w:val="20"/>
                <w:szCs w:val="20"/>
              </w:rPr>
              <w:lastRenderedPageBreak/>
              <w:t>PK in special populations</w:t>
            </w:r>
          </w:p>
        </w:tc>
        <w:tc>
          <w:tcPr>
            <w:tcW w:w="2835" w:type="dxa"/>
            <w:hideMark/>
          </w:tcPr>
          <w:p w:rsidR="00164155" w:rsidRPr="00164155" w:rsidRDefault="00164155" w:rsidP="007641EA">
            <w:pPr>
              <w:keepNext/>
              <w:tabs>
                <w:tab w:val="left" w:pos="1529"/>
              </w:tabs>
              <w:spacing w:before="0" w:after="0" w:line="240" w:lineRule="auto"/>
              <w:ind w:left="0" w:right="0"/>
              <w:rPr>
                <w:rFonts w:asciiTheme="minorHAnsi" w:hAnsiTheme="minorHAnsi"/>
                <w:sz w:val="20"/>
                <w:szCs w:val="20"/>
              </w:rPr>
            </w:pPr>
            <w:r w:rsidRPr="00164155">
              <w:rPr>
                <w:rFonts w:asciiTheme="minorHAnsi" w:hAnsiTheme="minorHAnsi"/>
                <w:sz w:val="20"/>
                <w:szCs w:val="20"/>
              </w:rPr>
              <w:t>Target population §</w:t>
            </w:r>
            <w:r w:rsidRPr="00164155">
              <w:rPr>
                <w:rFonts w:asciiTheme="minorHAnsi" w:hAnsiTheme="minorHAnsi"/>
                <w:sz w:val="20"/>
                <w:szCs w:val="20"/>
              </w:rPr>
              <w:tab/>
              <w:t>Single dose</w:t>
            </w:r>
          </w:p>
        </w:tc>
        <w:tc>
          <w:tcPr>
            <w:tcW w:w="1701" w:type="dxa"/>
          </w:tcPr>
          <w:p w:rsidR="00164155" w:rsidRPr="00164155" w:rsidRDefault="00164155" w:rsidP="00890D33">
            <w:pPr>
              <w:keepNext/>
              <w:spacing w:before="0" w:after="0" w:line="240" w:lineRule="auto"/>
              <w:ind w:left="0" w:right="0"/>
              <w:rPr>
                <w:rFonts w:asciiTheme="minorHAnsi" w:hAnsiTheme="minorHAnsi"/>
                <w:sz w:val="20"/>
                <w:szCs w:val="20"/>
              </w:rPr>
            </w:pPr>
          </w:p>
        </w:tc>
        <w:tc>
          <w:tcPr>
            <w:tcW w:w="1559" w:type="dxa"/>
          </w:tcPr>
          <w:p w:rsidR="00164155" w:rsidRPr="00164155" w:rsidRDefault="00164155" w:rsidP="00890D33">
            <w:pPr>
              <w:keepNext/>
              <w:spacing w:before="0" w:after="0" w:line="240" w:lineRule="auto"/>
              <w:ind w:left="0" w:right="0"/>
              <w:rPr>
                <w:rFonts w:asciiTheme="minorHAnsi" w:hAnsiTheme="minorHAnsi"/>
                <w:sz w:val="20"/>
                <w:szCs w:val="20"/>
              </w:rPr>
            </w:pPr>
          </w:p>
        </w:tc>
      </w:tr>
      <w:tr w:rsidR="00164155" w:rsidRPr="00164155" w:rsidTr="00511CF0">
        <w:tc>
          <w:tcPr>
            <w:tcW w:w="1418" w:type="dxa"/>
            <w:vMerge/>
            <w:hideMark/>
          </w:tcPr>
          <w:p w:rsidR="00164155" w:rsidRPr="00164155" w:rsidRDefault="00164155" w:rsidP="00890D33">
            <w:pPr>
              <w:keepNext/>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7641EA">
            <w:pPr>
              <w:keepNext/>
              <w:tabs>
                <w:tab w:val="left" w:pos="1529"/>
              </w:tabs>
              <w:spacing w:before="0" w:after="0" w:line="240" w:lineRule="auto"/>
              <w:ind w:left="0" w:right="0"/>
              <w:rPr>
                <w:rFonts w:asciiTheme="minorHAnsi" w:hAnsiTheme="minorHAnsi"/>
                <w:sz w:val="20"/>
                <w:szCs w:val="20"/>
              </w:rPr>
            </w:pPr>
            <w:r w:rsidRPr="00164155">
              <w:rPr>
                <w:rFonts w:asciiTheme="minorHAnsi" w:hAnsiTheme="minorHAnsi"/>
                <w:sz w:val="20"/>
                <w:szCs w:val="20"/>
              </w:rPr>
              <w:tab/>
              <w:t>Multi-dose</w:t>
            </w:r>
          </w:p>
        </w:tc>
        <w:tc>
          <w:tcPr>
            <w:tcW w:w="1701" w:type="dxa"/>
            <w:hideMark/>
          </w:tcPr>
          <w:p w:rsidR="00164155" w:rsidRPr="00164155" w:rsidRDefault="00164155" w:rsidP="00890D33">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GS-US-183-0101</w:t>
            </w:r>
          </w:p>
          <w:p w:rsidR="00164155" w:rsidRPr="00164155" w:rsidRDefault="00164155" w:rsidP="00890D33">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GS-US-183-0105</w:t>
            </w:r>
          </w:p>
        </w:tc>
        <w:tc>
          <w:tcPr>
            <w:tcW w:w="1559" w:type="dxa"/>
            <w:hideMark/>
          </w:tcPr>
          <w:p w:rsidR="00164155" w:rsidRPr="00164155" w:rsidRDefault="00164155" w:rsidP="00890D33">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p w:rsidR="00164155" w:rsidRPr="00164155" w:rsidRDefault="00164155" w:rsidP="00890D33">
            <w:pPr>
              <w:keepNext/>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Hepatic impairment</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GS-US-183-0133</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Renal impairment</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GS-US-216-0124</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val="restart"/>
            <w:hideMark/>
          </w:tcPr>
          <w:p w:rsidR="00164155" w:rsidRPr="00164155" w:rsidRDefault="00164155" w:rsidP="00890D33">
            <w:pPr>
              <w:spacing w:before="0" w:after="0" w:line="240" w:lineRule="auto"/>
              <w:ind w:left="0" w:right="0"/>
              <w:rPr>
                <w:rFonts w:asciiTheme="minorHAnsi" w:hAnsiTheme="minorHAnsi"/>
                <w:b/>
                <w:sz w:val="20"/>
                <w:szCs w:val="20"/>
              </w:rPr>
            </w:pPr>
            <w:r w:rsidRPr="00164155">
              <w:rPr>
                <w:rFonts w:asciiTheme="minorHAnsi" w:hAnsiTheme="minorHAnsi"/>
                <w:b/>
                <w:sz w:val="20"/>
                <w:szCs w:val="20"/>
              </w:rPr>
              <w:t>PK interactions</w:t>
            </w: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ritonavir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GS-US-183-0102</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ritonavir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GS-US-183-0113</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atazanavir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GS-US-183-0106</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ritonavir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GS-US-183-0106</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atazanavir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GS-US-183-0108</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lopinavir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GS-US-183-0116</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omeprazole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GS-US-183-0119</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ketoconazole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GS-US-183-0146</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700A07" w:rsidP="00890D33">
            <w:pPr>
              <w:spacing w:before="0" w:after="0" w:line="240" w:lineRule="auto"/>
              <w:ind w:left="0" w:right="0"/>
              <w:rPr>
                <w:rFonts w:asciiTheme="minorHAnsi" w:hAnsiTheme="minorHAnsi"/>
                <w:sz w:val="20"/>
                <w:szCs w:val="20"/>
              </w:rPr>
            </w:pPr>
            <w:r>
              <w:rPr>
                <w:rFonts w:asciiTheme="minorHAnsi" w:hAnsiTheme="minorHAnsi"/>
                <w:sz w:val="20"/>
                <w:szCs w:val="20"/>
              </w:rPr>
              <w:t>d</w:t>
            </w:r>
            <w:r w:rsidR="00164155" w:rsidRPr="00164155">
              <w:rPr>
                <w:rFonts w:asciiTheme="minorHAnsi" w:hAnsiTheme="minorHAnsi"/>
                <w:sz w:val="20"/>
                <w:szCs w:val="20"/>
              </w:rPr>
              <w:t>arunavir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GS-US-201-0104</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700A07" w:rsidP="00890D33">
            <w:pPr>
              <w:spacing w:before="0" w:after="0" w:line="240" w:lineRule="auto"/>
              <w:ind w:left="0" w:right="0"/>
              <w:rPr>
                <w:rFonts w:asciiTheme="minorHAnsi" w:hAnsiTheme="minorHAnsi"/>
                <w:sz w:val="20"/>
                <w:szCs w:val="20"/>
              </w:rPr>
            </w:pPr>
            <w:r>
              <w:rPr>
                <w:rFonts w:asciiTheme="minorHAnsi" w:hAnsiTheme="minorHAnsi"/>
                <w:sz w:val="20"/>
                <w:szCs w:val="20"/>
              </w:rPr>
              <w:t>d</w:t>
            </w:r>
            <w:r w:rsidR="00164155" w:rsidRPr="00164155">
              <w:rPr>
                <w:rFonts w:asciiTheme="minorHAnsi" w:hAnsiTheme="minorHAnsi"/>
                <w:sz w:val="20"/>
                <w:szCs w:val="20"/>
              </w:rPr>
              <w:t>meprazole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GS-US-216-0120</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famotidine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GS-US-216-0120</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famotidine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GS-US-216-0122</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700A07" w:rsidP="00890D33">
            <w:pPr>
              <w:spacing w:before="0" w:after="0" w:line="240" w:lineRule="auto"/>
              <w:ind w:left="0" w:right="0"/>
              <w:rPr>
                <w:rFonts w:asciiTheme="minorHAnsi" w:hAnsiTheme="minorHAnsi"/>
                <w:sz w:val="20"/>
                <w:szCs w:val="20"/>
              </w:rPr>
            </w:pPr>
            <w:r>
              <w:rPr>
                <w:rFonts w:asciiTheme="minorHAnsi" w:hAnsiTheme="minorHAnsi"/>
                <w:sz w:val="20"/>
                <w:szCs w:val="20"/>
              </w:rPr>
              <w:t>a</w:t>
            </w:r>
            <w:r w:rsidR="00164155" w:rsidRPr="00164155">
              <w:rPr>
                <w:rFonts w:asciiTheme="minorHAnsi" w:hAnsiTheme="minorHAnsi"/>
                <w:sz w:val="20"/>
                <w:szCs w:val="20"/>
              </w:rPr>
              <w:t>tazanavir</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GS-US-216-0123</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700A07" w:rsidP="00890D33">
            <w:pPr>
              <w:spacing w:before="0" w:after="0" w:line="240" w:lineRule="auto"/>
              <w:ind w:left="0" w:right="0"/>
              <w:rPr>
                <w:rFonts w:asciiTheme="minorHAnsi" w:hAnsiTheme="minorHAnsi"/>
                <w:sz w:val="20"/>
                <w:szCs w:val="20"/>
              </w:rPr>
            </w:pPr>
            <w:r>
              <w:rPr>
                <w:rFonts w:asciiTheme="minorHAnsi" w:hAnsiTheme="minorHAnsi"/>
                <w:sz w:val="20"/>
                <w:szCs w:val="20"/>
              </w:rPr>
              <w:t>r</w:t>
            </w:r>
            <w:r w:rsidR="00164155" w:rsidRPr="00164155">
              <w:rPr>
                <w:rFonts w:asciiTheme="minorHAnsi" w:hAnsiTheme="minorHAnsi"/>
                <w:sz w:val="20"/>
                <w:szCs w:val="20"/>
              </w:rPr>
              <w:t>osuvastatin</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GS-US-216-0123</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700A07" w:rsidP="00890D33">
            <w:pPr>
              <w:spacing w:before="0" w:after="0" w:line="240" w:lineRule="auto"/>
              <w:ind w:left="0" w:right="0"/>
              <w:rPr>
                <w:rFonts w:asciiTheme="minorHAnsi" w:hAnsiTheme="minorHAnsi"/>
                <w:sz w:val="20"/>
                <w:szCs w:val="20"/>
              </w:rPr>
            </w:pPr>
            <w:r>
              <w:rPr>
                <w:rFonts w:asciiTheme="minorHAnsi" w:hAnsiTheme="minorHAnsi"/>
                <w:sz w:val="20"/>
                <w:szCs w:val="20"/>
              </w:rPr>
              <w:t>r</w:t>
            </w:r>
            <w:r w:rsidR="00164155" w:rsidRPr="00164155">
              <w:rPr>
                <w:rFonts w:asciiTheme="minorHAnsi" w:hAnsiTheme="minorHAnsi"/>
                <w:sz w:val="20"/>
                <w:szCs w:val="20"/>
              </w:rPr>
              <w:t>ifabutin</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GS-US-216-0123</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164155" w:rsidRPr="00164155" w:rsidTr="00511CF0">
        <w:tc>
          <w:tcPr>
            <w:tcW w:w="1418" w:type="dxa"/>
            <w:vMerge/>
            <w:hideMark/>
          </w:tcPr>
          <w:p w:rsidR="00164155" w:rsidRPr="00164155" w:rsidRDefault="00164155" w:rsidP="00890D33">
            <w:pPr>
              <w:spacing w:before="0" w:after="0" w:line="240" w:lineRule="auto"/>
              <w:ind w:left="0" w:right="0"/>
              <w:rPr>
                <w:rFonts w:asciiTheme="minorHAnsi" w:hAnsiTheme="minorHAnsi"/>
                <w:sz w:val="20"/>
                <w:szCs w:val="20"/>
              </w:rPr>
            </w:pPr>
          </w:p>
        </w:tc>
        <w:tc>
          <w:tcPr>
            <w:tcW w:w="2835"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Oral Contraceptive</w:t>
            </w:r>
          </w:p>
        </w:tc>
        <w:tc>
          <w:tcPr>
            <w:tcW w:w="1701"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GS-US-236-0106</w:t>
            </w:r>
          </w:p>
        </w:tc>
        <w:tc>
          <w:tcPr>
            <w:tcW w:w="1559" w:type="dxa"/>
            <w:hideMark/>
          </w:tcPr>
          <w:p w:rsidR="00164155" w:rsidRPr="00164155" w:rsidRDefault="00164155"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EVG/COBI</w:t>
            </w:r>
          </w:p>
        </w:tc>
      </w:tr>
      <w:tr w:rsidR="00E5704A" w:rsidRPr="00164155" w:rsidTr="00E5704A">
        <w:trPr>
          <w:trHeight w:val="358"/>
        </w:trPr>
        <w:tc>
          <w:tcPr>
            <w:tcW w:w="1418" w:type="dxa"/>
            <w:vMerge w:val="restart"/>
            <w:hideMark/>
          </w:tcPr>
          <w:p w:rsidR="00E5704A" w:rsidRPr="00164155" w:rsidRDefault="00E5704A" w:rsidP="00890D33">
            <w:pPr>
              <w:spacing w:before="0" w:after="0" w:line="240" w:lineRule="auto"/>
              <w:ind w:left="0" w:right="0"/>
              <w:rPr>
                <w:rFonts w:asciiTheme="minorHAnsi" w:hAnsiTheme="minorHAnsi"/>
                <w:b/>
                <w:sz w:val="20"/>
                <w:szCs w:val="20"/>
              </w:rPr>
            </w:pPr>
            <w:r w:rsidRPr="00164155">
              <w:rPr>
                <w:rFonts w:asciiTheme="minorHAnsi" w:hAnsiTheme="minorHAnsi"/>
                <w:b/>
                <w:sz w:val="20"/>
                <w:szCs w:val="20"/>
              </w:rPr>
              <w:t>Population PK analyses</w:t>
            </w:r>
          </w:p>
        </w:tc>
        <w:tc>
          <w:tcPr>
            <w:tcW w:w="2835" w:type="dxa"/>
            <w:hideMark/>
          </w:tcPr>
          <w:p w:rsidR="00E5704A" w:rsidRPr="00164155" w:rsidRDefault="00E5704A"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Healthy subjects</w:t>
            </w:r>
          </w:p>
        </w:tc>
        <w:tc>
          <w:tcPr>
            <w:tcW w:w="1701" w:type="dxa"/>
            <w:hideMark/>
          </w:tcPr>
          <w:p w:rsidR="00E5704A" w:rsidRPr="00164155" w:rsidRDefault="00E5704A" w:rsidP="00890D33">
            <w:pPr>
              <w:spacing w:before="0" w:after="0" w:line="240" w:lineRule="auto"/>
              <w:ind w:left="0" w:right="0"/>
              <w:rPr>
                <w:rFonts w:asciiTheme="minorHAnsi" w:hAnsiTheme="minorHAnsi"/>
                <w:sz w:val="20"/>
                <w:szCs w:val="20"/>
              </w:rPr>
            </w:pPr>
          </w:p>
        </w:tc>
        <w:tc>
          <w:tcPr>
            <w:tcW w:w="1559" w:type="dxa"/>
            <w:hideMark/>
          </w:tcPr>
          <w:p w:rsidR="00E5704A" w:rsidRPr="00164155" w:rsidRDefault="00E5704A"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tc>
      </w:tr>
      <w:tr w:rsidR="00E5704A" w:rsidRPr="00164155" w:rsidTr="00511CF0">
        <w:tc>
          <w:tcPr>
            <w:tcW w:w="1418" w:type="dxa"/>
            <w:vMerge/>
          </w:tcPr>
          <w:p w:rsidR="00E5704A" w:rsidRPr="00164155" w:rsidRDefault="00E5704A" w:rsidP="00890D33">
            <w:pPr>
              <w:spacing w:before="0" w:after="0" w:line="240" w:lineRule="auto"/>
              <w:ind w:left="0" w:right="0"/>
              <w:rPr>
                <w:rFonts w:asciiTheme="minorHAnsi" w:hAnsiTheme="minorHAnsi"/>
                <w:sz w:val="20"/>
                <w:szCs w:val="20"/>
              </w:rPr>
            </w:pPr>
          </w:p>
        </w:tc>
        <w:tc>
          <w:tcPr>
            <w:tcW w:w="2835" w:type="dxa"/>
            <w:hideMark/>
          </w:tcPr>
          <w:p w:rsidR="00E5704A" w:rsidRPr="00164155" w:rsidRDefault="00E5704A"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Target population</w:t>
            </w:r>
          </w:p>
        </w:tc>
        <w:tc>
          <w:tcPr>
            <w:tcW w:w="1701" w:type="dxa"/>
            <w:hideMark/>
          </w:tcPr>
          <w:p w:rsidR="00E5704A" w:rsidRPr="00164155" w:rsidRDefault="00E5704A" w:rsidP="00890D33">
            <w:pPr>
              <w:spacing w:before="0" w:after="0" w:line="240" w:lineRule="auto"/>
              <w:ind w:left="0" w:right="0"/>
              <w:rPr>
                <w:rFonts w:asciiTheme="minorHAnsi" w:hAnsiTheme="minorHAnsi"/>
                <w:sz w:val="20"/>
                <w:szCs w:val="20"/>
              </w:rPr>
            </w:pPr>
          </w:p>
        </w:tc>
        <w:tc>
          <w:tcPr>
            <w:tcW w:w="1559" w:type="dxa"/>
            <w:hideMark/>
          </w:tcPr>
          <w:p w:rsidR="00E5704A" w:rsidRPr="00164155" w:rsidRDefault="00E5704A" w:rsidP="00890D33">
            <w:pPr>
              <w:spacing w:before="0" w:after="0" w:line="240" w:lineRule="auto"/>
              <w:ind w:left="0" w:right="0"/>
              <w:rPr>
                <w:rFonts w:asciiTheme="minorHAnsi" w:hAnsiTheme="minorHAnsi"/>
                <w:sz w:val="20"/>
                <w:szCs w:val="20"/>
              </w:rPr>
            </w:pPr>
            <w:r w:rsidRPr="00164155">
              <w:rPr>
                <w:rFonts w:asciiTheme="minorHAnsi" w:hAnsiTheme="minorHAnsi"/>
                <w:sz w:val="20"/>
                <w:szCs w:val="20"/>
              </w:rPr>
              <w:t>EVG§</w:t>
            </w:r>
          </w:p>
        </w:tc>
      </w:tr>
    </w:tbl>
    <w:p w:rsidR="00BB7E5D" w:rsidRPr="006720BA" w:rsidRDefault="00BB7E5D" w:rsidP="00164E1F">
      <w:pPr>
        <w:spacing w:before="0" w:line="240" w:lineRule="auto"/>
        <w:rPr>
          <w:sz w:val="18"/>
          <w:szCs w:val="18"/>
        </w:rPr>
      </w:pPr>
      <w:r w:rsidRPr="006720BA">
        <w:rPr>
          <w:sz w:val="18"/>
          <w:szCs w:val="18"/>
        </w:rPr>
        <w:t>* Indicates the primary aim of the study. § Subjects who would be eligible to receive the drug if approved for the proposed indication.</w:t>
      </w:r>
    </w:p>
    <w:p w:rsidR="00BB7E5D" w:rsidRPr="00164155" w:rsidRDefault="00BB7E5D" w:rsidP="00164E1F">
      <w:r w:rsidRPr="00164155">
        <w:t xml:space="preserve">None of the </w:t>
      </w:r>
      <w:r w:rsidR="007C46CB" w:rsidRPr="00164155">
        <w:t xml:space="preserve">PK </w:t>
      </w:r>
      <w:r w:rsidRPr="00164155">
        <w:t>studies had deficiencies that excluded their results from consideration.</w:t>
      </w:r>
    </w:p>
    <w:p w:rsidR="005A3321" w:rsidRPr="005A3321" w:rsidRDefault="005A3321" w:rsidP="005A3321">
      <w:pPr>
        <w:pStyle w:val="Heading4"/>
      </w:pPr>
      <w:bookmarkStart w:id="83" w:name="_Toc326305067"/>
      <w:bookmarkStart w:id="84" w:name="_Toc290846239"/>
      <w:bookmarkStart w:id="85" w:name="_Toc272414616"/>
      <w:bookmarkStart w:id="86" w:name="_Ref269118175"/>
      <w:r w:rsidRPr="005A3321">
        <w:t>Summary of pharmacokinetics</w:t>
      </w:r>
      <w:bookmarkEnd w:id="83"/>
      <w:bookmarkEnd w:id="84"/>
      <w:bookmarkEnd w:id="85"/>
      <w:bookmarkEnd w:id="86"/>
    </w:p>
    <w:p w:rsidR="005A3321" w:rsidRDefault="005A3321" w:rsidP="005A3321">
      <w:r>
        <w:t xml:space="preserve">The information in the following summary is derived from conventional </w:t>
      </w:r>
      <w:r w:rsidR="007C46CB">
        <w:t xml:space="preserve">PK </w:t>
      </w:r>
      <w:r>
        <w:t>studies unless otherwise stated.</w:t>
      </w:r>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PSMT"/>
          <w:lang w:val="en-US"/>
        </w:rPr>
        <w:t xml:space="preserve">Elvitegravir is a potent HIV-1 integrase strand-transfer inhibitor. Emtricitabine and </w:t>
      </w:r>
      <w:r w:rsidR="006264E8">
        <w:rPr>
          <w:rFonts w:eastAsia="Calibri" w:cs="TimesNewRomanPSMT"/>
          <w:lang w:val="en-US"/>
        </w:rPr>
        <w:t>t</w:t>
      </w:r>
      <w:r>
        <w:rPr>
          <w:rFonts w:eastAsia="Calibri"/>
          <w:bCs/>
          <w:lang w:val="en-US"/>
        </w:rPr>
        <w:t xml:space="preserve">enofovir </w:t>
      </w:r>
      <w:r>
        <w:rPr>
          <w:rFonts w:eastAsia="Calibri" w:cs="TimesNewRomanPSMT"/>
          <w:lang w:val="en-US"/>
        </w:rPr>
        <w:t xml:space="preserve">are potent and selective inhibitors of HIV-1 reverse transcriptase. Cobicistat (COBI) is a pharmaco-enhancer that is a potent mechanism-based inhibitor of CYP3A enzymes that reduces systemic clearance and increases exposure of EVG. Both EVG and COBI undergo hepatic metabolism and are minimally excreted in the urine. EVG is primarily metabolized </w:t>
      </w:r>
      <w:r w:rsidR="00BB7072" w:rsidRPr="00BB7072">
        <w:rPr>
          <w:rFonts w:eastAsia="Calibri" w:cs="TimesNewRomanPSMT"/>
          <w:i/>
          <w:lang w:val="en-US"/>
        </w:rPr>
        <w:t>via</w:t>
      </w:r>
      <w:r>
        <w:rPr>
          <w:rFonts w:eastAsia="Calibri" w:cs="TimesNewRomanPSMT"/>
          <w:lang w:val="en-US"/>
        </w:rPr>
        <w:t xml:space="preserve"> CYP-mediated aromatic and aliphatic hydroxylation and/or primary or secondary glucuronidation. There are </w:t>
      </w:r>
      <w:r w:rsidR="005C1062">
        <w:rPr>
          <w:rFonts w:eastAsia="Calibri" w:cs="TimesNewRomanPSMT"/>
          <w:lang w:val="en-US"/>
        </w:rPr>
        <w:t xml:space="preserve">2 </w:t>
      </w:r>
      <w:r>
        <w:rPr>
          <w:rFonts w:eastAsia="Calibri" w:cs="TimesNewRomanPSMT"/>
          <w:lang w:val="en-US"/>
        </w:rPr>
        <w:t>main metabolites M1 (GS-9202) and M4 (GS-9200) both of which are present at lower concentrations than EVG in plasma. Both metabolites are much less potent than EVG and do not contribute to the clinical effects of the drug.</w:t>
      </w:r>
      <w:r w:rsidR="00841BE4">
        <w:rPr>
          <w:rFonts w:eastAsia="Calibri" w:cs="TimesNewRomanPSMT"/>
          <w:lang w:val="en-US"/>
        </w:rPr>
        <w:t xml:space="preserve"> </w:t>
      </w:r>
      <w:r>
        <w:rPr>
          <w:rFonts w:eastAsia="Calibri" w:cs="TimesNewRomanPSMT"/>
          <w:lang w:val="en-US"/>
        </w:rPr>
        <w:t xml:space="preserve">Similarly COBI was the predominant species in plasma; observed metabolites were at undetectable to very low concentrations relative to systemic exposure of COBI. Metabolites M21, M26, and M31 are weaker inhibitors of CYP3A compared with COBI, and due to their low systemic concentrations, should not contribute to the primary </w:t>
      </w:r>
      <w:r w:rsidR="006264E8">
        <w:rPr>
          <w:rFonts w:eastAsia="Calibri" w:cs="TimesNewRomanPSMT"/>
          <w:lang w:val="en-US"/>
        </w:rPr>
        <w:t>pharmacodynamic (</w:t>
      </w:r>
      <w:r>
        <w:rPr>
          <w:rFonts w:eastAsia="Calibri" w:cs="TimesNewRomanPSMT"/>
          <w:lang w:val="en-US"/>
        </w:rPr>
        <w:t>PD</w:t>
      </w:r>
      <w:r w:rsidR="006264E8">
        <w:rPr>
          <w:rFonts w:eastAsia="Calibri" w:cs="TimesNewRomanPSMT"/>
          <w:lang w:val="en-US"/>
        </w:rPr>
        <w:t>)</w:t>
      </w:r>
      <w:r>
        <w:rPr>
          <w:rFonts w:eastAsia="Calibri" w:cs="TimesNewRomanPSMT"/>
          <w:lang w:val="en-US"/>
        </w:rPr>
        <w:t xml:space="preserve"> effect of CYP3A inhibition</w:t>
      </w:r>
      <w:r w:rsidR="006264E8">
        <w:rPr>
          <w:rFonts w:eastAsia="Calibri" w:cs="TimesNewRomanPSMT"/>
          <w:lang w:val="en-US"/>
        </w:rPr>
        <w:t>.</w:t>
      </w:r>
      <w:r>
        <w:rPr>
          <w:rFonts w:eastAsia="Calibri" w:cs="TimesNewRomanPSMT"/>
          <w:lang w:val="en-US"/>
        </w:rPr>
        <w:t xml:space="preserve"> </w:t>
      </w:r>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PSMT"/>
          <w:lang w:val="en-US"/>
        </w:rPr>
        <w:t>EVG is rapidly absorbed with peak plasma concentrations occurring 3-4</w:t>
      </w:r>
      <w:r w:rsidR="00CC292E">
        <w:rPr>
          <w:rFonts w:eastAsia="Calibri" w:cs="TimesNewRomanPSMT"/>
          <w:lang w:val="en-US"/>
        </w:rPr>
        <w:t xml:space="preserve"> </w:t>
      </w:r>
      <w:r>
        <w:rPr>
          <w:rFonts w:eastAsia="Calibri" w:cs="TimesNewRomanPSMT"/>
          <w:lang w:val="en-US"/>
        </w:rPr>
        <w:t>h</w:t>
      </w:r>
      <w:r w:rsidR="00CC292E">
        <w:rPr>
          <w:rFonts w:eastAsia="Calibri" w:cs="TimesNewRomanPSMT"/>
          <w:lang w:val="en-US"/>
        </w:rPr>
        <w:t xml:space="preserve"> </w:t>
      </w:r>
      <w:r>
        <w:rPr>
          <w:rFonts w:eastAsia="Calibri" w:cs="TimesNewRomanPSMT"/>
          <w:lang w:val="en-US"/>
        </w:rPr>
        <w:t>after the dose. Taken with a high fat meal the absorption is increased. EVG is highly bound (&gt;95%) to plasma proteins with a large volume of distribution (exceeding total body water) indicating extensive distribution to the tissues.</w:t>
      </w:r>
      <w:r w:rsidR="00841BE4">
        <w:rPr>
          <w:rFonts w:eastAsia="Calibri" w:cs="TimesNewRomanPSMT"/>
          <w:lang w:val="en-US"/>
        </w:rPr>
        <w:t xml:space="preserve"> </w:t>
      </w:r>
      <w:r>
        <w:rPr>
          <w:rFonts w:eastAsia="Calibri" w:cs="TimesNewRomanPSMT"/>
          <w:lang w:val="en-US"/>
        </w:rPr>
        <w:t xml:space="preserve">EVG demonstrates non-linear </w:t>
      </w:r>
      <w:r w:rsidR="007C46CB">
        <w:rPr>
          <w:rFonts w:eastAsia="Calibri" w:cs="TimesNewRomanPSMT"/>
          <w:lang w:val="en-US"/>
        </w:rPr>
        <w:t xml:space="preserve">PK </w:t>
      </w:r>
      <w:r>
        <w:rPr>
          <w:rFonts w:eastAsia="Calibri" w:cs="TimesNewRomanPSMT"/>
          <w:lang w:val="en-US"/>
        </w:rPr>
        <w:t xml:space="preserve">with less than dose proportional increases in systemic exposure with increasing doses of EVG alone. In the presence of a CYP3A inhibitor (as in the </w:t>
      </w:r>
      <w:r w:rsidR="00CC292E">
        <w:rPr>
          <w:rFonts w:eastAsia="Calibri" w:cs="TimesNewRomanPSMT"/>
          <w:lang w:val="en-US"/>
        </w:rPr>
        <w:t>proposed combination product</w:t>
      </w:r>
      <w:r>
        <w:rPr>
          <w:rFonts w:eastAsia="Calibri" w:cs="TimesNewRomanPSMT"/>
          <w:lang w:val="en-US"/>
        </w:rPr>
        <w:t xml:space="preserve">) systemic </w:t>
      </w:r>
      <w:r>
        <w:rPr>
          <w:rFonts w:eastAsia="Calibri" w:cs="TimesNewRomanPSMT"/>
          <w:lang w:val="en-US"/>
        </w:rPr>
        <w:lastRenderedPageBreak/>
        <w:t xml:space="preserve">exposures were greater than dose proportional. Elimination half life was also prolonged (from </w:t>
      </w:r>
      <w:r w:rsidR="00CC292E">
        <w:rPr>
          <w:rFonts w:eastAsia="Calibri" w:cs="TimesNewRomanPSMT"/>
          <w:lang w:val="en-US"/>
        </w:rPr>
        <w:t xml:space="preserve">approximately </w:t>
      </w:r>
      <w:r>
        <w:rPr>
          <w:rFonts w:eastAsia="Calibri" w:cs="TimesNewRomanPSMT"/>
          <w:lang w:val="en-US"/>
        </w:rPr>
        <w:t>3</w:t>
      </w:r>
      <w:r w:rsidR="00CC292E">
        <w:rPr>
          <w:rFonts w:eastAsia="Calibri" w:cs="TimesNewRomanPSMT"/>
          <w:lang w:val="en-US"/>
        </w:rPr>
        <w:t xml:space="preserve"> </w:t>
      </w:r>
      <w:r>
        <w:rPr>
          <w:rFonts w:eastAsia="Calibri" w:cs="TimesNewRomanPSMT"/>
          <w:lang w:val="en-US"/>
        </w:rPr>
        <w:t>h to 9</w:t>
      </w:r>
      <w:r w:rsidR="00CC292E">
        <w:rPr>
          <w:rFonts w:eastAsia="Calibri" w:cs="TimesNewRomanPSMT"/>
          <w:lang w:val="en-US"/>
        </w:rPr>
        <w:t xml:space="preserve"> </w:t>
      </w:r>
      <w:r>
        <w:rPr>
          <w:rFonts w:eastAsia="Calibri" w:cs="TimesNewRomanPSMT"/>
          <w:lang w:val="en-US"/>
        </w:rPr>
        <w:t xml:space="preserve">h) in the presence of </w:t>
      </w:r>
      <w:r w:rsidR="00CC292E">
        <w:t>RTV</w:t>
      </w:r>
      <w:r>
        <w:rPr>
          <w:rFonts w:eastAsia="Calibri" w:cs="TimesNewRomanPSMT"/>
          <w:lang w:val="en-US"/>
        </w:rPr>
        <w:t xml:space="preserve"> (a CYP3A inhibitor).</w:t>
      </w:r>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PSMT"/>
          <w:lang w:val="en-US"/>
        </w:rPr>
        <w:t xml:space="preserve">No clinically relevant changes in EVG or COBI exposures are observed in the setting of renal or moderate hepatic impairment. The PK profiles of FTC, EVG, COBI and TDF, and of </w:t>
      </w:r>
      <w:r w:rsidR="00CB0D53">
        <w:rPr>
          <w:rFonts w:eastAsia="Calibri" w:cs="TimesNewRomanPSMT"/>
          <w:lang w:val="en-US"/>
        </w:rPr>
        <w:t xml:space="preserve">Stribild </w:t>
      </w:r>
      <w:r>
        <w:rPr>
          <w:rFonts w:eastAsia="Calibri" w:cs="TimesNewRomanPSMT"/>
          <w:lang w:val="en-US"/>
        </w:rPr>
        <w:t xml:space="preserve">have been established in HIV-1 infected subjects and some special populations. No clinically relevant differences in the PK of the </w:t>
      </w:r>
      <w:r w:rsidR="00CB0D53">
        <w:rPr>
          <w:rFonts w:eastAsia="Calibri" w:cs="TimesNewRomanPSMT"/>
          <w:lang w:val="en-US"/>
        </w:rPr>
        <w:t xml:space="preserve">Stribild </w:t>
      </w:r>
      <w:r>
        <w:rPr>
          <w:rFonts w:eastAsia="Calibri" w:cs="TimesNewRomanPSMT"/>
          <w:lang w:val="en-US"/>
        </w:rPr>
        <w:t xml:space="preserve">STR were observed with respect to demographic variables. </w:t>
      </w:r>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PSMT"/>
          <w:lang w:val="en-US"/>
        </w:rPr>
        <w:t>C</w:t>
      </w:r>
      <w:r w:rsidR="00707E6B">
        <w:rPr>
          <w:rFonts w:eastAsia="Calibri" w:cs="TimesNewRomanPSMT"/>
          <w:lang w:val="en-US"/>
        </w:rPr>
        <w:t xml:space="preserve">obicistat </w:t>
      </w:r>
      <w:r>
        <w:rPr>
          <w:rFonts w:eastAsia="Calibri" w:cs="TimesNewRomanPSMT"/>
          <w:lang w:val="en-US"/>
        </w:rPr>
        <w:t xml:space="preserve">has been shown to decrease estimated </w:t>
      </w:r>
      <w:r w:rsidR="00707E6B">
        <w:rPr>
          <w:rFonts w:eastAsia="Calibri" w:cs="TimesNewRomanPSMT"/>
          <w:lang w:val="en-US"/>
        </w:rPr>
        <w:t>creatinine clearance (</w:t>
      </w:r>
      <w:r>
        <w:rPr>
          <w:rFonts w:eastAsia="Calibri" w:cs="TimesNewRomanPSMT"/>
          <w:lang w:val="en-US"/>
        </w:rPr>
        <w:t>CLcr</w:t>
      </w:r>
      <w:r w:rsidR="00707E6B">
        <w:rPr>
          <w:rFonts w:eastAsia="Calibri" w:cs="TimesNewRomanPSMT"/>
          <w:lang w:val="en-US"/>
        </w:rPr>
        <w:t>)</w:t>
      </w:r>
      <w:r>
        <w:rPr>
          <w:rFonts w:eastAsia="Calibri" w:cs="TimesNewRomanPSMT"/>
          <w:lang w:val="en-US"/>
        </w:rPr>
        <w:t xml:space="preserve">, due to inhibition of tubular secretion of creatinine, without affecting renal glomerular function. Dose adjustment of EVG or COBI would not be warranted in subjects with renal impairment. However, dose-interval adjustment is required for FTC </w:t>
      </w:r>
      <w:r w:rsidR="00707E6B">
        <w:rPr>
          <w:rFonts w:eastAsia="Calibri" w:cs="TimesNewRomanPSMT"/>
          <w:lang w:val="en-US"/>
        </w:rPr>
        <w:t>and TDF in patients with CLcr &lt;</w:t>
      </w:r>
      <w:r>
        <w:rPr>
          <w:rFonts w:eastAsia="Calibri" w:cs="TimesNewRomanPSMT"/>
          <w:lang w:val="en-US"/>
        </w:rPr>
        <w:t xml:space="preserve">50 mL/min which cannot be achieved with the fixed-dose combination tablet. Consequently, </w:t>
      </w:r>
      <w:r w:rsidR="00707E6B" w:rsidRPr="00707E6B">
        <w:t xml:space="preserve">Stribild </w:t>
      </w:r>
      <w:r>
        <w:rPr>
          <w:rFonts w:eastAsia="Calibri" w:cs="TimesNewRomanPSMT"/>
          <w:lang w:val="en-US"/>
        </w:rPr>
        <w:t xml:space="preserve">would need to be discontinued in such patients (CLcr </w:t>
      </w:r>
      <w:r w:rsidR="00707E6B">
        <w:rPr>
          <w:rFonts w:eastAsia="Calibri" w:cs="TimesNewRomanPSMT"/>
          <w:lang w:val="en-US"/>
        </w:rPr>
        <w:t>&lt;50 </w:t>
      </w:r>
      <w:r>
        <w:rPr>
          <w:rFonts w:eastAsia="Calibri" w:cs="TimesNewRomanPSMT"/>
          <w:lang w:val="en-US"/>
        </w:rPr>
        <w:t>mL/min).</w:t>
      </w:r>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PSMT"/>
          <w:lang w:val="en-US"/>
        </w:rPr>
        <w:t xml:space="preserve">Dose adjustment of </w:t>
      </w:r>
      <w:r w:rsidR="00707E6B" w:rsidRPr="00707E6B">
        <w:t xml:space="preserve">Stribild </w:t>
      </w:r>
      <w:r>
        <w:rPr>
          <w:rFonts w:eastAsia="Calibri" w:cs="TimesNewRomanPSMT"/>
          <w:lang w:val="en-US"/>
        </w:rPr>
        <w:t xml:space="preserve">STR in </w:t>
      </w:r>
      <w:r w:rsidR="00E403CA">
        <w:rPr>
          <w:rFonts w:eastAsia="Calibri" w:cs="TimesNewRomanPSMT"/>
          <w:lang w:val="en-US"/>
        </w:rPr>
        <w:t>patients with mild</w:t>
      </w:r>
      <w:r>
        <w:rPr>
          <w:rFonts w:eastAsia="Calibri" w:cs="TimesNewRomanPSMT"/>
          <w:lang w:val="en-US"/>
        </w:rPr>
        <w:t xml:space="preserve"> or moderate hepatic</w:t>
      </w:r>
      <w:r w:rsidR="00E403CA">
        <w:rPr>
          <w:rFonts w:eastAsia="Calibri" w:cs="TimesNewRomanPSMT"/>
          <w:lang w:val="en-US"/>
        </w:rPr>
        <w:t xml:space="preserve"> impairment</w:t>
      </w:r>
      <w:r>
        <w:rPr>
          <w:rFonts w:eastAsia="Calibri" w:cs="TimesNewRomanPSMT"/>
          <w:lang w:val="en-US"/>
        </w:rPr>
        <w:t xml:space="preserve"> would appear to be unnecessary as the PK of its components is unaffected in moderate hepatic impairment. No data are available regarding the use of EVG or COBI in subjects with severe hepatic impairment. </w:t>
      </w:r>
      <w:r w:rsidR="00707E6B" w:rsidRPr="00707E6B">
        <w:t>Stribild</w:t>
      </w:r>
      <w:r>
        <w:rPr>
          <w:rFonts w:eastAsia="Calibri" w:cs="TimesNewRomanPSMT"/>
          <w:lang w:val="en-US"/>
        </w:rPr>
        <w:t xml:space="preserve"> STR is not recommended for use in these patients.</w:t>
      </w:r>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PSMT"/>
          <w:lang w:val="en-US"/>
        </w:rPr>
        <w:t xml:space="preserve">Based on the drug-drug interaction profile of EVG and COBI the </w:t>
      </w:r>
      <w:r w:rsidR="00707E6B" w:rsidRPr="00707E6B">
        <w:t>Stribild</w:t>
      </w:r>
      <w:r>
        <w:rPr>
          <w:rFonts w:eastAsia="Calibri" w:cs="TimesNewRomanPSMT"/>
          <w:lang w:val="en-US"/>
        </w:rPr>
        <w:t xml:space="preserve"> STR may have clinically significant interactions with drugs </w:t>
      </w:r>
      <w:r>
        <w:rPr>
          <w:rFonts w:eastAsia="Calibri" w:cs="TimesNewRomanPSMT"/>
        </w:rPr>
        <w:t>metabolised</w:t>
      </w:r>
      <w:r>
        <w:rPr>
          <w:rFonts w:eastAsia="Calibri" w:cs="TimesNewRomanPSMT"/>
          <w:lang w:val="en-US"/>
        </w:rPr>
        <w:t xml:space="preserve"> </w:t>
      </w:r>
      <w:r>
        <w:rPr>
          <w:rFonts w:eastAsia="Calibri" w:cs="TimesNewRomanPSMT"/>
        </w:rPr>
        <w:t xml:space="preserve">by or which inhibit CYP3A. Thus </w:t>
      </w:r>
      <w:r>
        <w:rPr>
          <w:rFonts w:eastAsia="Calibri" w:cs="TimesNewRomanPSMT"/>
          <w:lang w:val="en-US"/>
        </w:rPr>
        <w:t>potent CYP3A inducers could decrease COBI and EVG plasma concentrations</w:t>
      </w:r>
      <w:r w:rsidR="00E403CA">
        <w:rPr>
          <w:rFonts w:eastAsia="Calibri" w:cs="TimesNewRomanPSMT"/>
          <w:lang w:val="en-US"/>
        </w:rPr>
        <w:t>,</w:t>
      </w:r>
      <w:r>
        <w:rPr>
          <w:rFonts w:eastAsia="Calibri" w:cs="TimesNewRomanPSMT"/>
          <w:lang w:val="en-US"/>
        </w:rPr>
        <w:t xml:space="preserve"> potentially reducing therapeutic efficacy. Similarly </w:t>
      </w:r>
      <w:r w:rsidR="00707E6B" w:rsidRPr="00707E6B">
        <w:t>Stribild</w:t>
      </w:r>
      <w:r>
        <w:rPr>
          <w:rFonts w:eastAsia="Calibri" w:cs="TimesNewRomanPSMT"/>
          <w:lang w:val="en-US"/>
        </w:rPr>
        <w:t xml:space="preserve"> STR may inhibit the metabolism of drugs dependent on CYP3A for clearance and potentiate adverse or life threatening events. Antacids co-administered with EVG reduced the absorption due to a chelating effect. Staggered dosing, by at least </w:t>
      </w:r>
      <w:r w:rsidR="005C1062">
        <w:rPr>
          <w:rFonts w:eastAsia="Calibri" w:cs="TimesNewRomanPSMT"/>
          <w:lang w:val="en-US"/>
        </w:rPr>
        <w:t xml:space="preserve">2 </w:t>
      </w:r>
      <w:r>
        <w:rPr>
          <w:rFonts w:eastAsia="Calibri" w:cs="TimesNewRomanPSMT"/>
          <w:lang w:val="en-US"/>
        </w:rPr>
        <w:t xml:space="preserve">h, has been shown to avoid this issue. </w:t>
      </w:r>
    </w:p>
    <w:p w:rsidR="00E42C9C" w:rsidRPr="0020620C" w:rsidRDefault="00E42C9C" w:rsidP="00E42C9C">
      <w:pPr>
        <w:pStyle w:val="Heading4"/>
        <w:keepNext/>
      </w:pPr>
      <w:bookmarkStart w:id="87" w:name="_Toc326576775"/>
      <w:bookmarkStart w:id="88" w:name="_Toc290846258"/>
      <w:bookmarkStart w:id="89" w:name="_Toc272414635"/>
      <w:bookmarkStart w:id="90" w:name="_Ref271018755"/>
      <w:bookmarkStart w:id="91" w:name="_Ref271018704"/>
      <w:bookmarkStart w:id="92" w:name="_Ref269982040"/>
      <w:bookmarkStart w:id="93" w:name="_Toc241374296"/>
      <w:r w:rsidRPr="0020620C">
        <w:t>Evaluator’s overall conclusions on pharmacokinetics</w:t>
      </w:r>
      <w:bookmarkEnd w:id="87"/>
      <w:bookmarkEnd w:id="88"/>
      <w:bookmarkEnd w:id="89"/>
      <w:bookmarkEnd w:id="90"/>
      <w:bookmarkEnd w:id="91"/>
      <w:bookmarkEnd w:id="92"/>
      <w:bookmarkEnd w:id="93"/>
    </w:p>
    <w:p w:rsidR="00E403CA" w:rsidRDefault="005A3321" w:rsidP="005A3321">
      <w:r>
        <w:t xml:space="preserve">The main drug in the STR, for which the sponsor seeks approval, is EVG boosted with the CYP3A inhibitor COBI. The other </w:t>
      </w:r>
      <w:r w:rsidR="005C1062">
        <w:t xml:space="preserve">2 </w:t>
      </w:r>
      <w:r>
        <w:t xml:space="preserve">components of </w:t>
      </w:r>
      <w:r w:rsidR="00E403CA">
        <w:t xml:space="preserve">Stribild </w:t>
      </w:r>
      <w:r>
        <w:t>are compounds which already have approval for use</w:t>
      </w:r>
      <w:r w:rsidR="00B41070">
        <w:t>,</w:t>
      </w:r>
      <w:r>
        <w:t xml:space="preserve"> namely </w:t>
      </w:r>
      <w:r>
        <w:rPr>
          <w:rFonts w:eastAsia="Calibri" w:cs="TimesNewRomanPSMT"/>
          <w:lang w:val="en-US"/>
        </w:rPr>
        <w:t xml:space="preserve">FTC and TDF. The PK (and PD) studies have therefore mostly focused on EVG and COBI either alone or in combination with some studies conducted with </w:t>
      </w:r>
      <w:r w:rsidR="00E403CA">
        <w:rPr>
          <w:rFonts w:eastAsia="Calibri" w:cs="TimesNewRomanPSMT"/>
          <w:lang w:val="en-US"/>
        </w:rPr>
        <w:t xml:space="preserve">the </w:t>
      </w:r>
      <w:r w:rsidR="00E403CA">
        <w:t xml:space="preserve">Stribild (formerly called the Quad) </w:t>
      </w:r>
      <w:r>
        <w:rPr>
          <w:rFonts w:eastAsia="Calibri" w:cs="TimesNewRomanPSMT"/>
          <w:lang w:val="en-US"/>
        </w:rPr>
        <w:t>formulation.</w:t>
      </w:r>
      <w:r>
        <w:t xml:space="preserve"> The sponsor has provided an extensive range of PK studies evaluating single and multiple doses of EVG, COBI or the combination usage in special populations as well as in patients with HIV.</w:t>
      </w:r>
      <w:r w:rsidR="00841BE4">
        <w:t xml:space="preserve"> </w:t>
      </w:r>
      <w:r>
        <w:t xml:space="preserve">In general these studies have been performed to a high standard and for each of the studies </w:t>
      </w:r>
      <w:r w:rsidR="00E403CA">
        <w:rPr>
          <w:i/>
        </w:rPr>
        <w:t>a </w:t>
      </w:r>
      <w:r>
        <w:rPr>
          <w:i/>
        </w:rPr>
        <w:t>priori</w:t>
      </w:r>
      <w:r>
        <w:t xml:space="preserve"> power analysis has been undertaken to justify sample sizes. The studies where power may have been an issue is in those of renal and hepatic impairment, where the numbers in each group were probably less than that needed to examine strict bioequivalence (n=10-12 per group). A </w:t>
      </w:r>
      <w:r>
        <w:rPr>
          <w:i/>
        </w:rPr>
        <w:t>post-hoc</w:t>
      </w:r>
      <w:r>
        <w:t xml:space="preserve"> calculation of power based on the observed differences may be more convincing for these </w:t>
      </w:r>
      <w:r w:rsidR="005C1062">
        <w:t xml:space="preserve">2 </w:t>
      </w:r>
      <w:r>
        <w:t xml:space="preserve">studies. </w:t>
      </w:r>
    </w:p>
    <w:p w:rsidR="00E403CA" w:rsidRDefault="005A3321" w:rsidP="005A3321">
      <w:r>
        <w:t xml:space="preserve">The drug-drug interaction studies have primarily focused on the other </w:t>
      </w:r>
      <w:r w:rsidR="009A139B">
        <w:t xml:space="preserve">ARV </w:t>
      </w:r>
      <w:r>
        <w:t xml:space="preserve">agents and their potential for interaction with EVG. Based on the metabolism of EVG by CYP3A4, and the known propensity of </w:t>
      </w:r>
      <w:r w:rsidR="009A139B">
        <w:t xml:space="preserve">ARV </w:t>
      </w:r>
      <w:r>
        <w:t>agents to inhibit this cytochrome, this would seem to be appropriate. Similarly the ability of othe</w:t>
      </w:r>
      <w:r w:rsidR="00E403CA">
        <w:t>r known CYP3A4 inhibitors (such as</w:t>
      </w:r>
      <w:r>
        <w:t xml:space="preserve"> ketoconazole) to affect EVG/COBI PK has also been investigated. </w:t>
      </w:r>
    </w:p>
    <w:p w:rsidR="00E403CA" w:rsidRDefault="005A3321" w:rsidP="005A3321">
      <w:r>
        <w:t xml:space="preserve">Given the occurrence of psychiatric disorders in patients with HIV (mania/hypomania and depression) it was surprising that no formal </w:t>
      </w:r>
      <w:r w:rsidR="00BB7072" w:rsidRPr="00BB7072">
        <w:rPr>
          <w:i/>
        </w:rPr>
        <w:t>in vivo</w:t>
      </w:r>
      <w:r>
        <w:t xml:space="preserve"> studies were performed to examine potential PK interactions. While the </w:t>
      </w:r>
      <w:r w:rsidR="00BB7072" w:rsidRPr="00BB7072">
        <w:rPr>
          <w:i/>
        </w:rPr>
        <w:t>in vitro</w:t>
      </w:r>
      <w:r>
        <w:t xml:space="preserve"> profile of EVG/COBI suggests some interaction with psychotropic medications there is no mention of a potential interaction with lithium, which is known to affect renal function.</w:t>
      </w:r>
      <w:r w:rsidR="00841BE4">
        <w:t xml:space="preserve"> </w:t>
      </w:r>
    </w:p>
    <w:p w:rsidR="005A3321" w:rsidRDefault="005A3321" w:rsidP="005A3321">
      <w:r>
        <w:lastRenderedPageBreak/>
        <w:t xml:space="preserve">The proposed PI reflects adequately the PK studies that have been performed and provides suitable warnings about the potential for drug-drug interactions based on the studies that have been performed as well as theoretical possibilities given the known metabolic pathways for EVG and COBI. </w:t>
      </w:r>
    </w:p>
    <w:p w:rsidR="008E7846" w:rsidRDefault="008E7846" w:rsidP="008E7846">
      <w:pPr>
        <w:pStyle w:val="Heading3"/>
      </w:pPr>
      <w:bookmarkStart w:id="94" w:name="_Toc196046481"/>
      <w:bookmarkStart w:id="95" w:name="_Toc247691520"/>
      <w:bookmarkStart w:id="96" w:name="_Toc314842503"/>
      <w:bookmarkStart w:id="97" w:name="_Toc363456672"/>
      <w:r w:rsidRPr="00254787">
        <w:t>Pharmacodynamics</w:t>
      </w:r>
      <w:bookmarkEnd w:id="57"/>
      <w:bookmarkEnd w:id="94"/>
      <w:bookmarkEnd w:id="95"/>
      <w:bookmarkEnd w:id="96"/>
      <w:bookmarkEnd w:id="97"/>
    </w:p>
    <w:p w:rsidR="00E42C9C" w:rsidRDefault="00E42C9C" w:rsidP="00E42C9C">
      <w:pPr>
        <w:pStyle w:val="Heading4"/>
      </w:pPr>
      <w:bookmarkStart w:id="98" w:name="_Toc272414637"/>
      <w:bookmarkStart w:id="99" w:name="_Toc290846260"/>
      <w:bookmarkStart w:id="100" w:name="_Toc326576777"/>
      <w:r>
        <w:t>Studies providing pharmacodynamic data</w:t>
      </w:r>
      <w:bookmarkEnd w:id="98"/>
      <w:bookmarkEnd w:id="99"/>
      <w:bookmarkEnd w:id="100"/>
    </w:p>
    <w:p w:rsidR="005A3321" w:rsidRPr="00A51BB4" w:rsidRDefault="005A3321" w:rsidP="00A51BB4">
      <w:r w:rsidRPr="00A51BB4">
        <w:t xml:space="preserve">Table </w:t>
      </w:r>
      <w:r w:rsidR="00A51BB4">
        <w:t>4</w:t>
      </w:r>
      <w:r w:rsidRPr="00A51BB4">
        <w:t xml:space="preserve"> shows the studies relating to each </w:t>
      </w:r>
      <w:r w:rsidR="00BE247D" w:rsidRPr="00A51BB4">
        <w:t xml:space="preserve">PD </w:t>
      </w:r>
      <w:r w:rsidRPr="00A51BB4">
        <w:t>topic.</w:t>
      </w:r>
    </w:p>
    <w:p w:rsidR="005A3321" w:rsidRPr="00E403CA" w:rsidRDefault="005A3321" w:rsidP="007641EA">
      <w:pPr>
        <w:pStyle w:val="TableTitle"/>
      </w:pPr>
      <w:bookmarkStart w:id="101" w:name="_Ref269985397"/>
      <w:bookmarkStart w:id="102" w:name="_Toc326305165"/>
      <w:bookmarkStart w:id="103" w:name="_Toc300307735"/>
      <w:r w:rsidRPr="00E403CA">
        <w:t xml:space="preserve">Table </w:t>
      </w:r>
      <w:bookmarkEnd w:id="101"/>
      <w:r w:rsidR="00A51BB4">
        <w:t>4</w:t>
      </w:r>
      <w:r w:rsidRPr="00E403CA">
        <w:t>. Submitted pharmacodynamic studies</w:t>
      </w:r>
      <w:bookmarkEnd w:id="102"/>
      <w:bookmarkEnd w:id="103"/>
    </w:p>
    <w:tbl>
      <w:tblPr>
        <w:tblStyle w:val="TableTGAblue"/>
        <w:tblW w:w="7652" w:type="dxa"/>
        <w:tblLayout w:type="fixed"/>
        <w:tblLook w:val="04A0"/>
      </w:tblPr>
      <w:tblGrid>
        <w:gridCol w:w="2126"/>
        <w:gridCol w:w="2518"/>
        <w:gridCol w:w="1843"/>
        <w:gridCol w:w="1165"/>
      </w:tblGrid>
      <w:tr w:rsidR="00E403CA" w:rsidRPr="00E403CA" w:rsidTr="007641EA">
        <w:trPr>
          <w:cnfStyle w:val="100000000000"/>
          <w:tblHeader/>
        </w:trPr>
        <w:tc>
          <w:tcPr>
            <w:tcW w:w="2126" w:type="dxa"/>
            <w:hideMark/>
          </w:tcPr>
          <w:p w:rsidR="00E403CA" w:rsidRPr="00E403CA" w:rsidRDefault="00E403CA" w:rsidP="00890D33">
            <w:pPr>
              <w:keepNext/>
              <w:spacing w:before="0" w:after="0" w:line="240" w:lineRule="auto"/>
              <w:ind w:left="0" w:right="0"/>
              <w:rPr>
                <w:rFonts w:asciiTheme="minorHAnsi" w:hAnsiTheme="minorHAnsi"/>
                <w:b w:val="0"/>
                <w:sz w:val="20"/>
                <w:szCs w:val="20"/>
              </w:rPr>
            </w:pPr>
            <w:r w:rsidRPr="00E403CA">
              <w:rPr>
                <w:rFonts w:asciiTheme="minorHAnsi" w:hAnsiTheme="minorHAnsi"/>
                <w:sz w:val="20"/>
                <w:szCs w:val="20"/>
              </w:rPr>
              <w:t>PD Topic</w:t>
            </w:r>
          </w:p>
        </w:tc>
        <w:tc>
          <w:tcPr>
            <w:tcW w:w="2518" w:type="dxa"/>
            <w:hideMark/>
          </w:tcPr>
          <w:p w:rsidR="00E403CA" w:rsidRPr="00E403CA" w:rsidRDefault="00E403CA" w:rsidP="00890D33">
            <w:pPr>
              <w:keepNext/>
              <w:spacing w:before="0" w:after="0" w:line="240" w:lineRule="auto"/>
              <w:ind w:left="0" w:right="0"/>
              <w:rPr>
                <w:rFonts w:asciiTheme="minorHAnsi" w:hAnsiTheme="minorHAnsi"/>
                <w:b w:val="0"/>
                <w:sz w:val="20"/>
                <w:szCs w:val="20"/>
              </w:rPr>
            </w:pPr>
            <w:r w:rsidRPr="00E403CA">
              <w:rPr>
                <w:rFonts w:asciiTheme="minorHAnsi" w:hAnsiTheme="minorHAnsi"/>
                <w:sz w:val="20"/>
                <w:szCs w:val="20"/>
              </w:rPr>
              <w:t>Subtopic</w:t>
            </w:r>
          </w:p>
        </w:tc>
        <w:tc>
          <w:tcPr>
            <w:tcW w:w="1843" w:type="dxa"/>
            <w:hideMark/>
          </w:tcPr>
          <w:p w:rsidR="00E403CA" w:rsidRPr="00E403CA" w:rsidRDefault="00E403CA" w:rsidP="00890D33">
            <w:pPr>
              <w:keepNext/>
              <w:spacing w:before="0" w:after="0" w:line="240" w:lineRule="auto"/>
              <w:ind w:left="0" w:right="0"/>
              <w:rPr>
                <w:rFonts w:asciiTheme="minorHAnsi" w:hAnsiTheme="minorHAnsi"/>
                <w:b w:val="0"/>
                <w:sz w:val="20"/>
                <w:szCs w:val="20"/>
              </w:rPr>
            </w:pPr>
            <w:r w:rsidRPr="00E403CA">
              <w:rPr>
                <w:rFonts w:asciiTheme="minorHAnsi" w:hAnsiTheme="minorHAnsi"/>
                <w:sz w:val="20"/>
                <w:szCs w:val="20"/>
              </w:rPr>
              <w:t>Study ID</w:t>
            </w:r>
          </w:p>
        </w:tc>
        <w:tc>
          <w:tcPr>
            <w:tcW w:w="1165" w:type="dxa"/>
            <w:hideMark/>
          </w:tcPr>
          <w:p w:rsidR="00E403CA" w:rsidRPr="00E403CA" w:rsidRDefault="00E403CA" w:rsidP="007641EA">
            <w:pPr>
              <w:keepNext/>
              <w:spacing w:before="0" w:after="0" w:line="240" w:lineRule="auto"/>
              <w:ind w:left="0" w:right="0"/>
              <w:rPr>
                <w:rFonts w:asciiTheme="minorHAnsi" w:hAnsiTheme="minorHAnsi"/>
                <w:b w:val="0"/>
                <w:sz w:val="20"/>
                <w:szCs w:val="20"/>
              </w:rPr>
            </w:pPr>
            <w:r w:rsidRPr="00E403CA">
              <w:rPr>
                <w:rFonts w:asciiTheme="minorHAnsi" w:hAnsiTheme="minorHAnsi"/>
                <w:sz w:val="20"/>
                <w:szCs w:val="20"/>
              </w:rPr>
              <w:t>Primary</w:t>
            </w:r>
            <w:r w:rsidR="007641EA">
              <w:rPr>
                <w:rFonts w:asciiTheme="minorHAnsi" w:hAnsiTheme="minorHAnsi"/>
                <w:sz w:val="20"/>
                <w:szCs w:val="20"/>
              </w:rPr>
              <w:t xml:space="preserve"> </w:t>
            </w:r>
            <w:r w:rsidRPr="00E403CA">
              <w:rPr>
                <w:rFonts w:asciiTheme="minorHAnsi" w:hAnsiTheme="minorHAnsi"/>
                <w:sz w:val="20"/>
                <w:szCs w:val="20"/>
              </w:rPr>
              <w:t>drug</w:t>
            </w:r>
          </w:p>
        </w:tc>
      </w:tr>
      <w:tr w:rsidR="00E403CA" w:rsidRPr="00E403CA" w:rsidTr="00890D33">
        <w:trPr>
          <w:trHeight w:val="360"/>
        </w:trPr>
        <w:tc>
          <w:tcPr>
            <w:tcW w:w="2126" w:type="dxa"/>
            <w:vMerge w:val="restart"/>
            <w:hideMark/>
          </w:tcPr>
          <w:p w:rsidR="00E403CA" w:rsidRPr="00E403CA" w:rsidRDefault="00E403CA" w:rsidP="00890D33">
            <w:pPr>
              <w:keepNext/>
              <w:spacing w:before="0" w:after="0" w:line="240" w:lineRule="auto"/>
              <w:ind w:left="0" w:right="0"/>
              <w:rPr>
                <w:rFonts w:asciiTheme="minorHAnsi" w:hAnsiTheme="minorHAnsi"/>
                <w:sz w:val="20"/>
                <w:szCs w:val="20"/>
              </w:rPr>
            </w:pPr>
            <w:r w:rsidRPr="00E403CA">
              <w:rPr>
                <w:rFonts w:asciiTheme="minorHAnsi" w:hAnsiTheme="minorHAnsi"/>
                <w:sz w:val="20"/>
                <w:szCs w:val="20"/>
              </w:rPr>
              <w:t>Primary Pharmacology</w:t>
            </w:r>
          </w:p>
        </w:tc>
        <w:tc>
          <w:tcPr>
            <w:tcW w:w="2518" w:type="dxa"/>
            <w:hideMark/>
          </w:tcPr>
          <w:p w:rsidR="00E403CA" w:rsidRPr="00E403CA" w:rsidRDefault="00E403CA" w:rsidP="00890D33">
            <w:pPr>
              <w:keepNext/>
              <w:spacing w:before="0" w:after="0" w:line="240" w:lineRule="auto"/>
              <w:ind w:left="0" w:right="0"/>
              <w:rPr>
                <w:rFonts w:asciiTheme="minorHAnsi" w:hAnsiTheme="minorHAnsi"/>
                <w:sz w:val="20"/>
                <w:szCs w:val="20"/>
              </w:rPr>
            </w:pPr>
            <w:r w:rsidRPr="00E403CA">
              <w:rPr>
                <w:rFonts w:asciiTheme="minorHAnsi" w:hAnsiTheme="minorHAnsi"/>
                <w:sz w:val="20"/>
                <w:szCs w:val="20"/>
              </w:rPr>
              <w:t xml:space="preserve">Antiviral activity </w:t>
            </w:r>
          </w:p>
        </w:tc>
        <w:tc>
          <w:tcPr>
            <w:tcW w:w="1843" w:type="dxa"/>
            <w:hideMark/>
          </w:tcPr>
          <w:p w:rsidR="00E403CA" w:rsidRPr="00E403CA" w:rsidRDefault="00E403CA" w:rsidP="00890D33">
            <w:pPr>
              <w:keepNext/>
              <w:spacing w:before="0" w:after="0" w:line="240" w:lineRule="auto"/>
              <w:ind w:left="0" w:right="0"/>
              <w:rPr>
                <w:rFonts w:asciiTheme="minorHAnsi" w:hAnsiTheme="minorHAnsi"/>
                <w:sz w:val="20"/>
                <w:szCs w:val="20"/>
              </w:rPr>
            </w:pPr>
            <w:r w:rsidRPr="00E403CA">
              <w:rPr>
                <w:rFonts w:asciiTheme="minorHAnsi" w:hAnsiTheme="minorHAnsi"/>
                <w:sz w:val="20"/>
                <w:szCs w:val="20"/>
              </w:rPr>
              <w:t>GS-US-183-0101</w:t>
            </w:r>
          </w:p>
        </w:tc>
        <w:tc>
          <w:tcPr>
            <w:tcW w:w="1165" w:type="dxa"/>
            <w:hideMark/>
          </w:tcPr>
          <w:p w:rsidR="00E403CA" w:rsidRPr="00E403CA" w:rsidRDefault="00E403CA" w:rsidP="00890D33">
            <w:pPr>
              <w:keepNext/>
              <w:spacing w:before="0" w:after="0" w:line="240" w:lineRule="auto"/>
              <w:ind w:left="0" w:right="0"/>
              <w:rPr>
                <w:rFonts w:asciiTheme="minorHAnsi" w:hAnsiTheme="minorHAnsi"/>
                <w:sz w:val="20"/>
                <w:szCs w:val="20"/>
              </w:rPr>
            </w:pPr>
            <w:r w:rsidRPr="00E403CA">
              <w:rPr>
                <w:rFonts w:asciiTheme="minorHAnsi" w:hAnsiTheme="minorHAnsi"/>
                <w:sz w:val="20"/>
                <w:szCs w:val="20"/>
              </w:rPr>
              <w:t>EVG</w:t>
            </w:r>
          </w:p>
        </w:tc>
      </w:tr>
      <w:tr w:rsidR="00E403CA" w:rsidRPr="00E403CA" w:rsidTr="00890D33">
        <w:trPr>
          <w:trHeight w:val="356"/>
        </w:trPr>
        <w:tc>
          <w:tcPr>
            <w:tcW w:w="2126" w:type="dxa"/>
            <w:vMerge/>
            <w:hideMark/>
          </w:tcPr>
          <w:p w:rsidR="00E403CA" w:rsidRPr="00E403CA" w:rsidRDefault="00E403CA" w:rsidP="00890D33">
            <w:pPr>
              <w:spacing w:before="0" w:after="0" w:line="240" w:lineRule="auto"/>
              <w:ind w:left="0" w:right="0"/>
              <w:rPr>
                <w:rFonts w:asciiTheme="minorHAnsi" w:hAnsiTheme="minorHAnsi"/>
                <w:sz w:val="20"/>
                <w:szCs w:val="20"/>
              </w:rPr>
            </w:pPr>
          </w:p>
        </w:tc>
        <w:tc>
          <w:tcPr>
            <w:tcW w:w="2518"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 xml:space="preserve">Antiviral activity </w:t>
            </w:r>
          </w:p>
        </w:tc>
        <w:tc>
          <w:tcPr>
            <w:tcW w:w="1843"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GS-US-183-0105</w:t>
            </w:r>
          </w:p>
        </w:tc>
        <w:tc>
          <w:tcPr>
            <w:tcW w:w="1165"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EVG</w:t>
            </w:r>
          </w:p>
        </w:tc>
      </w:tr>
      <w:tr w:rsidR="00E403CA" w:rsidRPr="00E403CA" w:rsidTr="00D80148">
        <w:trPr>
          <w:trHeight w:val="583"/>
        </w:trPr>
        <w:tc>
          <w:tcPr>
            <w:tcW w:w="2126" w:type="dxa"/>
            <w:vMerge w:val="restart"/>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Secondary Pharmacology</w:t>
            </w:r>
          </w:p>
        </w:tc>
        <w:tc>
          <w:tcPr>
            <w:tcW w:w="2518"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ECG (QTc F)</w:t>
            </w:r>
          </w:p>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ECG (QTcF)</w:t>
            </w:r>
          </w:p>
        </w:tc>
        <w:tc>
          <w:tcPr>
            <w:tcW w:w="1843"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GS-US-183-0128</w:t>
            </w:r>
          </w:p>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GS-US-216-0107</w:t>
            </w:r>
          </w:p>
        </w:tc>
        <w:tc>
          <w:tcPr>
            <w:tcW w:w="1165"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EVG</w:t>
            </w:r>
          </w:p>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COBI</w:t>
            </w:r>
          </w:p>
        </w:tc>
      </w:tr>
      <w:tr w:rsidR="00E403CA" w:rsidRPr="00E403CA" w:rsidTr="00D80148">
        <w:trPr>
          <w:trHeight w:val="520"/>
        </w:trPr>
        <w:tc>
          <w:tcPr>
            <w:tcW w:w="2126" w:type="dxa"/>
            <w:vMerge/>
            <w:hideMark/>
          </w:tcPr>
          <w:p w:rsidR="00E403CA" w:rsidRPr="00E403CA" w:rsidRDefault="00E403CA" w:rsidP="00890D33">
            <w:pPr>
              <w:spacing w:before="0" w:after="0" w:line="240" w:lineRule="auto"/>
              <w:ind w:left="0" w:right="0"/>
              <w:rPr>
                <w:rFonts w:asciiTheme="minorHAnsi" w:hAnsiTheme="minorHAnsi"/>
                <w:sz w:val="20"/>
                <w:szCs w:val="20"/>
              </w:rPr>
            </w:pPr>
          </w:p>
        </w:tc>
        <w:tc>
          <w:tcPr>
            <w:tcW w:w="2518"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Renal function (CrCL)</w:t>
            </w:r>
          </w:p>
        </w:tc>
        <w:tc>
          <w:tcPr>
            <w:tcW w:w="1843"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GS-US-216-0121</w:t>
            </w:r>
          </w:p>
        </w:tc>
        <w:tc>
          <w:tcPr>
            <w:tcW w:w="1165" w:type="dxa"/>
            <w:hideMark/>
          </w:tcPr>
          <w:p w:rsidR="00E403CA" w:rsidRPr="00E403CA" w:rsidRDefault="00E403CA"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COBI</w:t>
            </w:r>
          </w:p>
        </w:tc>
      </w:tr>
      <w:tr w:rsidR="00BE247D" w:rsidRPr="00E403CA" w:rsidTr="00D80148">
        <w:trPr>
          <w:trHeight w:val="568"/>
        </w:trPr>
        <w:tc>
          <w:tcPr>
            <w:tcW w:w="2126" w:type="dxa"/>
            <w:vMerge w:val="restart"/>
            <w:hideMark/>
          </w:tcPr>
          <w:p w:rsidR="00BE247D" w:rsidRPr="00E403CA" w:rsidRDefault="00BE247D"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PD Interactions</w:t>
            </w:r>
          </w:p>
        </w:tc>
        <w:tc>
          <w:tcPr>
            <w:tcW w:w="2518" w:type="dxa"/>
            <w:hideMark/>
          </w:tcPr>
          <w:p w:rsidR="00BE247D" w:rsidRPr="00E403CA" w:rsidRDefault="00BE247D"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P-glycoprotein, CYP2B6, CYP 2D6</w:t>
            </w:r>
          </w:p>
        </w:tc>
        <w:tc>
          <w:tcPr>
            <w:tcW w:w="1843" w:type="dxa"/>
            <w:hideMark/>
          </w:tcPr>
          <w:p w:rsidR="00BE247D" w:rsidRPr="00E403CA" w:rsidRDefault="00BE247D"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GS-US-216-0112</w:t>
            </w:r>
          </w:p>
        </w:tc>
        <w:tc>
          <w:tcPr>
            <w:tcW w:w="1165" w:type="dxa"/>
            <w:hideMark/>
          </w:tcPr>
          <w:p w:rsidR="00BE247D" w:rsidRPr="00E403CA" w:rsidRDefault="00BE247D"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COBI</w:t>
            </w:r>
          </w:p>
        </w:tc>
      </w:tr>
      <w:tr w:rsidR="00BE247D" w:rsidRPr="00E403CA" w:rsidTr="00D80148">
        <w:trPr>
          <w:trHeight w:val="409"/>
        </w:trPr>
        <w:tc>
          <w:tcPr>
            <w:tcW w:w="2126" w:type="dxa"/>
            <w:vMerge/>
            <w:hideMark/>
          </w:tcPr>
          <w:p w:rsidR="00BE247D" w:rsidRPr="00E403CA" w:rsidRDefault="00BE247D" w:rsidP="00890D33">
            <w:pPr>
              <w:spacing w:before="0" w:after="0" w:line="240" w:lineRule="auto"/>
              <w:ind w:left="0" w:right="0"/>
              <w:rPr>
                <w:rFonts w:asciiTheme="minorHAnsi" w:hAnsiTheme="minorHAnsi"/>
                <w:sz w:val="20"/>
                <w:szCs w:val="20"/>
              </w:rPr>
            </w:pPr>
          </w:p>
        </w:tc>
        <w:tc>
          <w:tcPr>
            <w:tcW w:w="2518" w:type="dxa"/>
            <w:hideMark/>
          </w:tcPr>
          <w:p w:rsidR="00BE247D" w:rsidRPr="00E403CA" w:rsidRDefault="00BE247D"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midazolam</w:t>
            </w:r>
          </w:p>
        </w:tc>
        <w:tc>
          <w:tcPr>
            <w:tcW w:w="1843" w:type="dxa"/>
            <w:hideMark/>
          </w:tcPr>
          <w:p w:rsidR="00BE247D" w:rsidRPr="00E403CA" w:rsidRDefault="00BE247D"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GS-US-216-0116</w:t>
            </w:r>
          </w:p>
        </w:tc>
        <w:tc>
          <w:tcPr>
            <w:tcW w:w="1165" w:type="dxa"/>
            <w:hideMark/>
          </w:tcPr>
          <w:p w:rsidR="00BE247D" w:rsidRPr="00E403CA" w:rsidRDefault="00BE247D" w:rsidP="00890D33">
            <w:pPr>
              <w:spacing w:before="0" w:after="0" w:line="240" w:lineRule="auto"/>
              <w:ind w:left="0" w:right="0"/>
              <w:rPr>
                <w:rFonts w:asciiTheme="minorHAnsi" w:hAnsiTheme="minorHAnsi"/>
                <w:sz w:val="20"/>
                <w:szCs w:val="20"/>
              </w:rPr>
            </w:pPr>
            <w:r w:rsidRPr="00E403CA">
              <w:rPr>
                <w:rFonts w:asciiTheme="minorHAnsi" w:hAnsiTheme="minorHAnsi"/>
                <w:sz w:val="20"/>
                <w:szCs w:val="20"/>
              </w:rPr>
              <w:t>COBI</w:t>
            </w:r>
          </w:p>
        </w:tc>
      </w:tr>
    </w:tbl>
    <w:p w:rsidR="00BE247D" w:rsidRDefault="005A3321" w:rsidP="00BE247D">
      <w:pPr>
        <w:spacing w:before="0" w:after="0" w:line="240" w:lineRule="auto"/>
        <w:rPr>
          <w:sz w:val="18"/>
          <w:szCs w:val="18"/>
        </w:rPr>
      </w:pPr>
      <w:r w:rsidRPr="00BE247D">
        <w:rPr>
          <w:sz w:val="18"/>
          <w:szCs w:val="18"/>
        </w:rPr>
        <w:t xml:space="preserve">§ Subjects who would be eligible to receive the drug if approved for the proposed indication. </w:t>
      </w:r>
    </w:p>
    <w:p w:rsidR="005A3321" w:rsidRPr="00BE247D" w:rsidRDefault="005A3321" w:rsidP="00BE247D">
      <w:pPr>
        <w:spacing w:before="0" w:after="0" w:line="240" w:lineRule="auto"/>
        <w:rPr>
          <w:sz w:val="18"/>
          <w:szCs w:val="18"/>
        </w:rPr>
      </w:pPr>
      <w:r w:rsidRPr="00BE247D">
        <w:rPr>
          <w:sz w:val="18"/>
          <w:szCs w:val="18"/>
        </w:rPr>
        <w:t>‡ And adolescents if applicable.</w:t>
      </w:r>
    </w:p>
    <w:p w:rsidR="005A3321" w:rsidRDefault="005A3321" w:rsidP="00164E1F">
      <w:r>
        <w:t xml:space="preserve">None of the </w:t>
      </w:r>
      <w:r w:rsidR="00B41070">
        <w:t xml:space="preserve">PD </w:t>
      </w:r>
      <w:r>
        <w:t>studies had deficiencies that excluded their results from consideration.</w:t>
      </w:r>
    </w:p>
    <w:p w:rsidR="005A3321" w:rsidRPr="005A3321" w:rsidRDefault="005A3321" w:rsidP="005A3321">
      <w:pPr>
        <w:pStyle w:val="Heading4"/>
      </w:pPr>
      <w:bookmarkStart w:id="104" w:name="_Toc326305101"/>
      <w:r w:rsidRPr="005A3321">
        <w:t>Evaluator’s overall conclusions on pharmacodynamics</w:t>
      </w:r>
      <w:bookmarkEnd w:id="104"/>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Bold"/>
          <w:bCs/>
        </w:rPr>
        <w:t>A small number of PD studies, which were generally well conducted and adequately powered, were presented by the sponsor. The primary endpoint of antiviral activity in HIV infected patients was assessed in a PK-PD analysis of data obtained from a short term (10</w:t>
      </w:r>
      <w:r w:rsidR="00BE247D">
        <w:rPr>
          <w:rFonts w:eastAsia="Calibri" w:cs="TimesNewRoman,Bold"/>
          <w:bCs/>
        </w:rPr>
        <w:t xml:space="preserve"> </w:t>
      </w:r>
      <w:r>
        <w:rPr>
          <w:rFonts w:eastAsia="Calibri" w:cs="TimesNewRoman,Bold"/>
          <w:bCs/>
        </w:rPr>
        <w:t xml:space="preserve">day) study and a comparative 48 week trial. Taken alone EVG was able to reduce viral load. When combined with </w:t>
      </w:r>
      <w:r w:rsidR="00CC292E">
        <w:t>RTV</w:t>
      </w:r>
      <w:r>
        <w:rPr>
          <w:rFonts w:eastAsia="Calibri" w:cs="TimesNewRoman,Bold"/>
          <w:bCs/>
        </w:rPr>
        <w:t xml:space="preserve">, EVG demonstrated non-inferiority to a </w:t>
      </w:r>
      <w:r>
        <w:rPr>
          <w:rFonts w:eastAsia="Calibri" w:cs="TimesNewRomanPSMT"/>
          <w:lang w:val="en-US"/>
        </w:rPr>
        <w:t xml:space="preserve">comparative protease inhibitor </w:t>
      </w:r>
      <w:r w:rsidR="00BE247D">
        <w:rPr>
          <w:rFonts w:eastAsia="Calibri" w:cs="TimesNewRomanPSMT"/>
          <w:lang w:val="en-US"/>
        </w:rPr>
        <w:t xml:space="preserve">(CPI) </w:t>
      </w:r>
      <w:r>
        <w:rPr>
          <w:rFonts w:eastAsia="Calibri" w:cs="TimesNewRomanPSMT"/>
          <w:lang w:val="en-US"/>
        </w:rPr>
        <w:t xml:space="preserve">combined with </w:t>
      </w:r>
      <w:r w:rsidR="00CC292E">
        <w:t>RTV</w:t>
      </w:r>
      <w:r>
        <w:rPr>
          <w:rFonts w:eastAsia="Calibri" w:cs="TimesNewRomanPSMT"/>
          <w:lang w:val="en-US"/>
        </w:rPr>
        <w:t xml:space="preserve"> (CPI/r</w:t>
      </w:r>
      <w:r w:rsidR="00AF593A">
        <w:rPr>
          <w:rStyle w:val="FootnoteReference"/>
          <w:rFonts w:eastAsia="Calibri" w:cs="TimesNewRomanPSMT"/>
          <w:lang w:val="en-US"/>
        </w:rPr>
        <w:footnoteReference w:id="10"/>
      </w:r>
      <w:r>
        <w:rPr>
          <w:rFonts w:eastAsia="Calibri" w:cs="TimesNewRomanPSMT"/>
          <w:lang w:val="en-US"/>
        </w:rPr>
        <w:t>). In both studies the PK-PD data fitted simple</w:t>
      </w:r>
      <w:r w:rsidR="00632CDA">
        <w:rPr>
          <w:rFonts w:eastAsia="Calibri" w:cs="TimesNewRomanPSMT"/>
          <w:lang w:val="en-US"/>
        </w:rPr>
        <w:t xml:space="preserve"> models of maximum PD effect (</w:t>
      </w:r>
      <w:r w:rsidRPr="00632CDA">
        <w:rPr>
          <w:rFonts w:eastAsia="Calibri" w:cs="TimesNewRomanPSMT"/>
          <w:lang w:val="en-US"/>
        </w:rPr>
        <w:t>Emax models</w:t>
      </w:r>
      <w:r w:rsidR="00632CDA">
        <w:rPr>
          <w:rFonts w:eastAsia="Calibri" w:cs="TimesNewRomanPSMT"/>
          <w:lang w:val="en-US"/>
        </w:rPr>
        <w:t>)</w:t>
      </w:r>
      <w:r w:rsidRPr="00632CDA">
        <w:rPr>
          <w:rFonts w:eastAsia="Calibri" w:cs="TimesNewRomanPSMT"/>
          <w:lang w:val="en-US"/>
        </w:rPr>
        <w:t>.</w:t>
      </w:r>
      <w:r>
        <w:rPr>
          <w:rFonts w:eastAsia="Calibri" w:cs="TimesNewRomanPSMT"/>
          <w:lang w:val="en-US"/>
        </w:rPr>
        <w:t xml:space="preserve"> EVG trough concentrations with the dosing regimens used exceeded the </w:t>
      </w:r>
      <w:r w:rsidR="00494B88">
        <w:rPr>
          <w:rFonts w:eastAsia="Calibri" w:cs="TimesNewRomanPSMT"/>
          <w:lang w:val="en-US"/>
        </w:rPr>
        <w:t>concentration that results in 95</w:t>
      </w:r>
      <w:r w:rsidR="00494B88" w:rsidRPr="00494B88">
        <w:rPr>
          <w:rFonts w:eastAsia="Calibri" w:cs="TimesNewRomanPSMT"/>
          <w:lang w:val="en-US"/>
        </w:rPr>
        <w:t>% inhibition</w:t>
      </w:r>
      <w:r w:rsidR="00494B88">
        <w:rPr>
          <w:rFonts w:eastAsia="Calibri" w:cs="TimesNewRomanPSMT"/>
          <w:lang w:val="en-US"/>
        </w:rPr>
        <w:t xml:space="preserve"> (</w:t>
      </w:r>
      <w:r w:rsidRPr="00494B88">
        <w:rPr>
          <w:rFonts w:eastAsia="Calibri" w:cs="TimesNewRomanPSMT"/>
          <w:lang w:val="en-US"/>
        </w:rPr>
        <w:t>IC</w:t>
      </w:r>
      <w:r w:rsidRPr="00494B88">
        <w:rPr>
          <w:rFonts w:eastAsia="Calibri" w:cs="TimesNewRomanPSMT"/>
          <w:vertAlign w:val="subscript"/>
          <w:lang w:val="en-US"/>
        </w:rPr>
        <w:t>95</w:t>
      </w:r>
      <w:r w:rsidR="00494B88" w:rsidRPr="00494B88">
        <w:rPr>
          <w:rFonts w:eastAsia="Calibri" w:cs="TimesNewRomanPSMT"/>
          <w:lang w:val="en-US"/>
        </w:rPr>
        <w:t>)</w:t>
      </w:r>
      <w:r>
        <w:rPr>
          <w:rFonts w:eastAsia="Calibri" w:cs="TimesNewRomanPSMT"/>
          <w:lang w:val="en-US"/>
        </w:rPr>
        <w:t xml:space="preserve"> for the entire dosing interval. </w:t>
      </w:r>
    </w:p>
    <w:p w:rsidR="005A3321" w:rsidRDefault="005A3321" w:rsidP="005A3321">
      <w:pPr>
        <w:tabs>
          <w:tab w:val="left" w:pos="720"/>
        </w:tabs>
        <w:autoSpaceDE w:val="0"/>
        <w:autoSpaceDN w:val="0"/>
        <w:adjustRightInd w:val="0"/>
        <w:rPr>
          <w:rFonts w:eastAsia="Calibri" w:cs="TimesNewRoman,Bold"/>
          <w:bCs/>
          <w:lang w:eastAsia="en-AU"/>
        </w:rPr>
      </w:pPr>
      <w:r>
        <w:rPr>
          <w:rFonts w:eastAsia="Calibri" w:cs="TimesNewRoman,Bold"/>
          <w:bCs/>
        </w:rPr>
        <w:t>The cardiovascular safety of both EVG and COBI were assessed in healthy volunteers. Assay sensitivity was established in both studies by using moxafloxacin as a control condition. At doses which would exceed that recommended in clinical practise there was no significant effect on QTcF.</w:t>
      </w:r>
      <w:r w:rsidR="00841BE4">
        <w:rPr>
          <w:rFonts w:eastAsia="Calibri" w:cs="TimesNewRoman,Bold"/>
          <w:bCs/>
        </w:rPr>
        <w:t xml:space="preserve"> </w:t>
      </w:r>
      <w:r>
        <w:rPr>
          <w:rFonts w:eastAsia="Calibri" w:cs="TimesNewRomanPSMT"/>
          <w:lang w:val="en-US"/>
        </w:rPr>
        <w:t xml:space="preserve">The effect of COBI on left ventricular function assessed with </w:t>
      </w:r>
      <w:r w:rsidR="00494B88">
        <w:rPr>
          <w:rFonts w:eastAsia="Calibri" w:cs="TimesNewRomanPSMT"/>
          <w:lang w:val="en-US"/>
        </w:rPr>
        <w:t>echo</w:t>
      </w:r>
      <w:r>
        <w:rPr>
          <w:rFonts w:eastAsia="Calibri"/>
          <w:lang w:val="en-US"/>
        </w:rPr>
        <w:t xml:space="preserve">cardiograms showed no clinically significant change from baseline. Taken together the data would suggest that EVG or COBI do not produce significant effects on cardiovascular function, at least at the doses investigated. </w:t>
      </w:r>
    </w:p>
    <w:p w:rsidR="005A3321" w:rsidRDefault="005A3321" w:rsidP="005A3321">
      <w:pPr>
        <w:tabs>
          <w:tab w:val="left" w:pos="720"/>
        </w:tabs>
        <w:autoSpaceDE w:val="0"/>
        <w:autoSpaceDN w:val="0"/>
        <w:adjustRightInd w:val="0"/>
        <w:rPr>
          <w:rFonts w:eastAsia="Calibri" w:cs="TimesNewRomanPSMT"/>
          <w:lang w:val="en-US"/>
        </w:rPr>
      </w:pPr>
      <w:r>
        <w:rPr>
          <w:rFonts w:eastAsia="Calibri" w:cs="TimesNewRoman,Bold"/>
          <w:bCs/>
        </w:rPr>
        <w:t xml:space="preserve">COBI tended to decrease the estimated </w:t>
      </w:r>
      <w:r w:rsidR="00632CDA">
        <w:rPr>
          <w:rFonts w:eastAsia="Calibri" w:cs="TimesNewRoman,Bold"/>
          <w:bCs/>
        </w:rPr>
        <w:t>glomerular filtration rate (</w:t>
      </w:r>
      <w:r>
        <w:rPr>
          <w:rFonts w:eastAsia="Calibri" w:cs="TimesNewRoman,Bold"/>
          <w:bCs/>
        </w:rPr>
        <w:t>GFR</w:t>
      </w:r>
      <w:r w:rsidR="00632CDA">
        <w:rPr>
          <w:rFonts w:eastAsia="Calibri" w:cs="TimesNewRoman,Bold"/>
          <w:bCs/>
        </w:rPr>
        <w:t xml:space="preserve">, using </w:t>
      </w:r>
      <w:r w:rsidR="00654450">
        <w:rPr>
          <w:rFonts w:eastAsia="Calibri" w:cs="TimesNewRoman,Bold"/>
          <w:bCs/>
        </w:rPr>
        <w:t xml:space="preserve">the </w:t>
      </w:r>
      <w:r>
        <w:rPr>
          <w:rFonts w:eastAsia="Calibri" w:cs="TimesNewRoman,Bold"/>
          <w:bCs/>
        </w:rPr>
        <w:t>Cockcroft</w:t>
      </w:r>
      <w:r w:rsidR="00632CDA">
        <w:rPr>
          <w:rFonts w:eastAsia="Calibri" w:cs="TimesNewRoman,Bold"/>
          <w:bCs/>
        </w:rPr>
        <w:noBreakHyphen/>
      </w:r>
      <w:r>
        <w:rPr>
          <w:rFonts w:eastAsia="Calibri" w:cs="TimesNewRoman,Bold"/>
          <w:bCs/>
        </w:rPr>
        <w:t>Gault</w:t>
      </w:r>
      <w:r w:rsidR="00632CDA">
        <w:rPr>
          <w:rFonts w:eastAsia="Calibri" w:cs="TimesNewRoman,Bold"/>
          <w:bCs/>
        </w:rPr>
        <w:t xml:space="preserve"> </w:t>
      </w:r>
      <w:r w:rsidR="00654450">
        <w:rPr>
          <w:rFonts w:eastAsia="Calibri" w:cs="TimesNewRoman,Bold"/>
          <w:bCs/>
        </w:rPr>
        <w:t>equation</w:t>
      </w:r>
      <w:r>
        <w:rPr>
          <w:rFonts w:eastAsia="Calibri" w:cs="TimesNewRoman,Bold"/>
          <w:bCs/>
        </w:rPr>
        <w:t xml:space="preserve">). However measurement of actual </w:t>
      </w:r>
      <w:r>
        <w:rPr>
          <w:rFonts w:eastAsia="Calibri" w:cs="TimesNewRomanPSMT"/>
          <w:lang w:val="en-US"/>
        </w:rPr>
        <w:t xml:space="preserve">GFR </w:t>
      </w:r>
      <w:r w:rsidR="00BB7072" w:rsidRPr="00BB7072">
        <w:rPr>
          <w:rFonts w:eastAsia="Calibri" w:cs="TimesNewRomanPSMT"/>
          <w:i/>
          <w:lang w:val="en-US"/>
        </w:rPr>
        <w:t>via</w:t>
      </w:r>
      <w:r>
        <w:rPr>
          <w:rFonts w:eastAsia="Calibri" w:cs="TimesNewRomanPSMT"/>
          <w:lang w:val="en-US"/>
        </w:rPr>
        <w:t xml:space="preserve"> assessment with iohexol clearance showed no effect on renal clearance. </w:t>
      </w:r>
    </w:p>
    <w:p w:rsidR="005A3321" w:rsidRDefault="005A3321" w:rsidP="005A3321">
      <w:pPr>
        <w:tabs>
          <w:tab w:val="left" w:pos="720"/>
        </w:tabs>
        <w:autoSpaceDE w:val="0"/>
        <w:autoSpaceDN w:val="0"/>
        <w:adjustRightInd w:val="0"/>
        <w:rPr>
          <w:rFonts w:eastAsia="Calibri" w:cs="TimesNewRoman,Bold"/>
          <w:bCs/>
          <w:lang w:eastAsia="en-AU"/>
        </w:rPr>
      </w:pPr>
      <w:r>
        <w:rPr>
          <w:rFonts w:eastAsia="Calibri" w:cs="TimesNewRoman,Bold"/>
          <w:bCs/>
        </w:rPr>
        <w:lastRenderedPageBreak/>
        <w:t xml:space="preserve">Some studies appear to be out of place in the PD section: the studies on interactions were reported as PD studies by the sponsor but were clearly PK studies as there were no PD endpoints. Nevertheless, these studies addressed some issues of potential drug-drug interactions of COBI and supported the notion that it was a CYP3A4 inhibitor, which might be successfully used to increase systemic exposure to EVG, if administered together. </w:t>
      </w:r>
    </w:p>
    <w:p w:rsidR="008E7846" w:rsidRPr="00254787" w:rsidRDefault="008E7846" w:rsidP="008E7846">
      <w:pPr>
        <w:pStyle w:val="Heading3"/>
      </w:pPr>
      <w:bookmarkStart w:id="105" w:name="_Toc163441372"/>
      <w:bookmarkStart w:id="106" w:name="_Toc196046485"/>
      <w:bookmarkStart w:id="107" w:name="_Toc247691521"/>
      <w:bookmarkStart w:id="108" w:name="_Toc314842504"/>
      <w:bookmarkStart w:id="109" w:name="_Toc363456673"/>
      <w:r w:rsidRPr="00254787">
        <w:t>Efficacy</w:t>
      </w:r>
      <w:bookmarkEnd w:id="105"/>
      <w:bookmarkEnd w:id="106"/>
      <w:bookmarkEnd w:id="107"/>
      <w:bookmarkEnd w:id="108"/>
      <w:bookmarkEnd w:id="109"/>
    </w:p>
    <w:p w:rsidR="00E42C9C" w:rsidRPr="003F4606" w:rsidRDefault="00E42C9C" w:rsidP="00E42C9C">
      <w:pPr>
        <w:pStyle w:val="Heading4"/>
      </w:pPr>
      <w:bookmarkStart w:id="110" w:name="_Toc326576781"/>
      <w:bookmarkStart w:id="111" w:name="_Toc290846271"/>
      <w:bookmarkStart w:id="112" w:name="_Toc272414649"/>
      <w:bookmarkStart w:id="113" w:name="_Ref271214453"/>
      <w:bookmarkStart w:id="114" w:name="_Toc184439992"/>
      <w:bookmarkStart w:id="115" w:name="_Toc184440279"/>
      <w:bookmarkStart w:id="116" w:name="_Toc184444657"/>
      <w:bookmarkStart w:id="117" w:name="_Toc196046487"/>
      <w:r>
        <w:t>D</w:t>
      </w:r>
      <w:r w:rsidRPr="003F4606">
        <w:t>osage selection for the pivotal stud</w:t>
      </w:r>
      <w:r>
        <w:t>y</w:t>
      </w:r>
      <w:bookmarkEnd w:id="110"/>
      <w:bookmarkEnd w:id="111"/>
      <w:bookmarkEnd w:id="112"/>
      <w:bookmarkEnd w:id="113"/>
    </w:p>
    <w:p w:rsidR="00BA00FC" w:rsidRPr="00494B88" w:rsidRDefault="00BA00FC" w:rsidP="00494B88">
      <w:r w:rsidRPr="00494B88">
        <w:t xml:space="preserve">The </w:t>
      </w:r>
      <w:r w:rsidR="00494B88" w:rsidRPr="00494B88">
        <w:t xml:space="preserve">Stribild (formerly called </w:t>
      </w:r>
      <w:r w:rsidRPr="00494B88">
        <w:t>Q</w:t>
      </w:r>
      <w:r w:rsidR="00494B88" w:rsidRPr="00494B88">
        <w:t xml:space="preserve">uad) </w:t>
      </w:r>
      <w:r w:rsidRPr="00494B88">
        <w:t>STR formulation used in the pivotal Phase III studies was a fixed-dose combination tablet comprising of 300</w:t>
      </w:r>
      <w:r w:rsidR="00494B88" w:rsidRPr="00494B88">
        <w:t xml:space="preserve"> </w:t>
      </w:r>
      <w:r w:rsidRPr="00494B88">
        <w:t xml:space="preserve">mg </w:t>
      </w:r>
      <w:r w:rsidR="00494B88" w:rsidRPr="00494B88">
        <w:t xml:space="preserve">of </w:t>
      </w:r>
      <w:r w:rsidR="00A2001C" w:rsidRPr="00494B88">
        <w:t>TDF</w:t>
      </w:r>
      <w:r w:rsidR="00494B88" w:rsidRPr="00494B88">
        <w:t>,</w:t>
      </w:r>
      <w:r w:rsidRPr="00494B88">
        <w:t xml:space="preserve"> 200 mg of FTC, 150 mg of </w:t>
      </w:r>
      <w:r w:rsidR="00BB2DAA" w:rsidRPr="00494B88">
        <w:t xml:space="preserve">EVG </w:t>
      </w:r>
      <w:r w:rsidRPr="00494B88">
        <w:t xml:space="preserve">and 150 mg of </w:t>
      </w:r>
      <w:r w:rsidR="00A2001C" w:rsidRPr="00494B88">
        <w:t>COBI</w:t>
      </w:r>
      <w:r w:rsidRPr="00494B88">
        <w:t xml:space="preserve">. The doses of FTC and TDF in the proposed </w:t>
      </w:r>
      <w:r w:rsidR="00494B88" w:rsidRPr="00494B88">
        <w:t xml:space="preserve">Stribild </w:t>
      </w:r>
      <w:r w:rsidRPr="00494B88">
        <w:t xml:space="preserve">STR were the respective therapeutic doses approved for use in Australia. </w:t>
      </w:r>
    </w:p>
    <w:p w:rsidR="00BA00FC" w:rsidRPr="00494B88" w:rsidRDefault="00BA00FC" w:rsidP="00BA00FC">
      <w:pPr>
        <w:autoSpaceDE w:val="0"/>
        <w:autoSpaceDN w:val="0"/>
        <w:adjustRightInd w:val="0"/>
      </w:pPr>
      <w:r w:rsidRPr="00494B88">
        <w:t>EVG and COBI are both new chemical entities. In describing the justification for choice of dose of EVG, the sponsor has stated that in study GS-US-183-0105, which was a dose-finding study that assessed the non</w:t>
      </w:r>
      <w:r w:rsidR="003E7586">
        <w:t>-</w:t>
      </w:r>
      <w:r w:rsidRPr="00494B88">
        <w:t>inferiority of RTV-boosted EVG relative t</w:t>
      </w:r>
      <w:r w:rsidR="00494B88">
        <w:t>o an RTV</w:t>
      </w:r>
      <w:r w:rsidR="00494B88">
        <w:noBreakHyphen/>
      </w:r>
      <w:r w:rsidR="00494B88" w:rsidRPr="00494B88">
        <w:t>boosted comparative p</w:t>
      </w:r>
      <w:r w:rsidRPr="00494B88">
        <w:t xml:space="preserve">rotease </w:t>
      </w:r>
      <w:r w:rsidR="00494B88" w:rsidRPr="00494B88">
        <w:t>i</w:t>
      </w:r>
      <w:r w:rsidRPr="00494B88">
        <w:t>nhibitor, the highest EVG dose tested was 125</w:t>
      </w:r>
      <w:r w:rsidR="00494B88" w:rsidRPr="00494B88">
        <w:t xml:space="preserve"> </w:t>
      </w:r>
      <w:r w:rsidRPr="00494B88">
        <w:t xml:space="preserve">mg. Study GS-US-183-0140, which evaluated the multiple-dose </w:t>
      </w:r>
      <w:r w:rsidR="00494B88">
        <w:t>relative bioavailability of RTV</w:t>
      </w:r>
      <w:r w:rsidR="00494B88">
        <w:noBreakHyphen/>
      </w:r>
      <w:r w:rsidRPr="00494B88">
        <w:t>boosted EVG 125</w:t>
      </w:r>
      <w:r w:rsidR="00494B88">
        <w:t xml:space="preserve"> </w:t>
      </w:r>
      <w:r w:rsidRPr="00494B88">
        <w:t>mg and RTV-boosted EVG 150</w:t>
      </w:r>
      <w:r w:rsidR="000E5497">
        <w:t xml:space="preserve"> </w:t>
      </w:r>
      <w:r w:rsidRPr="00494B88">
        <w:t>mg, showed that the 125 mg dose and the 150 mg dose of EVG provided bioequivalent EVG exposures. No rationale was given by the sponsor for the eventual choice of 150</w:t>
      </w:r>
      <w:r w:rsidR="00494B88">
        <w:t xml:space="preserve"> </w:t>
      </w:r>
      <w:r w:rsidRPr="00494B88">
        <w:t>mg instead of 125</w:t>
      </w:r>
      <w:r w:rsidR="00494B88">
        <w:t xml:space="preserve"> </w:t>
      </w:r>
      <w:r w:rsidRPr="00494B88">
        <w:t xml:space="preserve">mg of EVG in the proposed </w:t>
      </w:r>
      <w:r w:rsidR="00494B88">
        <w:t xml:space="preserve">Stribild </w:t>
      </w:r>
      <w:r w:rsidRPr="00494B88">
        <w:t xml:space="preserve">STR. </w:t>
      </w:r>
    </w:p>
    <w:p w:rsidR="00BA00FC" w:rsidRDefault="00BA00FC" w:rsidP="00BA00FC">
      <w:pPr>
        <w:autoSpaceDE w:val="0"/>
        <w:autoSpaceDN w:val="0"/>
        <w:adjustRightInd w:val="0"/>
      </w:pPr>
      <w:r>
        <w:rPr>
          <w:lang w:val="en-GB"/>
        </w:rPr>
        <w:t>In describing the justification of choice of dose of COBI, the sponsor has stated that study</w:t>
      </w:r>
      <w:r>
        <w:t xml:space="preserve"> GS-US-236-0101 showed that although administration of EVG as an STR with COBI at a dose of 100 mg resulted in bioequivalent EVG exposure relative to RTV-boosted EVG </w:t>
      </w:r>
      <w:r w:rsidR="00632CDA">
        <w:t>(</w:t>
      </w:r>
      <w:r>
        <w:t>as assessed by AUC</w:t>
      </w:r>
      <w:r w:rsidR="00632CDA">
        <w:t xml:space="preserve"> over the dosing interval (AUC</w:t>
      </w:r>
      <w:r w:rsidRPr="00494B88">
        <w:rPr>
          <w:vertAlign w:val="subscript"/>
        </w:rPr>
        <w:t>tau</w:t>
      </w:r>
      <w:r w:rsidR="00632CDA" w:rsidRPr="00632CDA">
        <w:t>)</w:t>
      </w:r>
      <w:r>
        <w:t xml:space="preserve"> and Cmax</w:t>
      </w:r>
      <w:r w:rsidR="00632CDA">
        <w:t>)</w:t>
      </w:r>
      <w:r>
        <w:t xml:space="preserve">, it was 37% lower relative to RTV-boosted EVG </w:t>
      </w:r>
      <w:r w:rsidR="00632CDA">
        <w:t xml:space="preserve">when </w:t>
      </w:r>
      <w:r>
        <w:t xml:space="preserve">assessed </w:t>
      </w:r>
      <w:r w:rsidR="0019005A">
        <w:t xml:space="preserve">using </w:t>
      </w:r>
      <w:r w:rsidR="00632CDA" w:rsidRPr="00632CDA">
        <w:t>observed drug concentration at the end of the dosing interval</w:t>
      </w:r>
      <w:r w:rsidR="00632CDA">
        <w:t xml:space="preserve"> (</w:t>
      </w:r>
      <w:r>
        <w:t>Ctau</w:t>
      </w:r>
      <w:r w:rsidR="00632CDA">
        <w:t>)</w:t>
      </w:r>
      <w:r>
        <w:t xml:space="preserve">. With the STR containing COBI 150 mg, EVG exposure was modestly </w:t>
      </w:r>
      <w:r w:rsidRPr="00AF593A">
        <w:t xml:space="preserve">higher </w:t>
      </w:r>
      <w:r w:rsidR="00AF593A">
        <w:t xml:space="preserve">for </w:t>
      </w:r>
      <w:r w:rsidRPr="00AF593A">
        <w:t xml:space="preserve">Cmax and met the definition of bioequivalence, and the upper limit of the 90% </w:t>
      </w:r>
      <w:r w:rsidR="0019005A" w:rsidRPr="00AF593A">
        <w:t xml:space="preserve">CI </w:t>
      </w:r>
      <w:r w:rsidRPr="00AF593A">
        <w:t>of AUC</w:t>
      </w:r>
      <w:r w:rsidRPr="00AF593A">
        <w:rPr>
          <w:vertAlign w:val="subscript"/>
        </w:rPr>
        <w:t>tau</w:t>
      </w:r>
      <w:r w:rsidRPr="00AF593A">
        <w:t xml:space="preserve"> exceeded the criteria by 1%.</w:t>
      </w:r>
      <w:r>
        <w:t xml:space="preserve"> The sponsor has stated that it was also taken into consideration that there could be a potential difference in exposure of COBI and EVG in HIV-1 infected patients compared with healthy subjects, as boosted agents frequently have lower exposures in the HIV-1 infected patient population compared to in healthy subjects, and this led to the selection of 150 mg dose of COBI to be used in the proposed STR formulation.</w:t>
      </w:r>
    </w:p>
    <w:p w:rsidR="0019005A" w:rsidRDefault="0019005A" w:rsidP="0019005A">
      <w:pPr>
        <w:pStyle w:val="Heading4"/>
      </w:pPr>
      <w:bookmarkStart w:id="118" w:name="_Toc326576784"/>
      <w:bookmarkStart w:id="119" w:name="_Toc290846274"/>
      <w:bookmarkStart w:id="120" w:name="_Toc272414652"/>
      <w:bookmarkStart w:id="121" w:name="_Ref271037274"/>
      <w:r>
        <w:t xml:space="preserve">Studies providing </w:t>
      </w:r>
      <w:r w:rsidRPr="0019005A">
        <w:t>efficacy</w:t>
      </w:r>
      <w:r>
        <w:t xml:space="preserve"> data</w:t>
      </w:r>
    </w:p>
    <w:bookmarkEnd w:id="118"/>
    <w:bookmarkEnd w:id="119"/>
    <w:bookmarkEnd w:id="120"/>
    <w:bookmarkEnd w:id="121"/>
    <w:p w:rsidR="00BA00FC" w:rsidRDefault="00BA00FC" w:rsidP="00BA00FC">
      <w:pPr>
        <w:tabs>
          <w:tab w:val="left" w:pos="720"/>
        </w:tabs>
        <w:autoSpaceDE w:val="0"/>
        <w:autoSpaceDN w:val="0"/>
        <w:adjustRightInd w:val="0"/>
      </w:pPr>
      <w:r w:rsidRPr="0019005A">
        <w:t xml:space="preserve">The principal clinical efficacy and safety data in support of this application submission were derived from 2 Phase III registration studies, Study GS-US-236-0102 and Study GS-US-236-0103. This was supplemented by data from a Phase II study, Study GS-US-236-0104, which had been conducted for the purpose of providing an estimation of the response rate of </w:t>
      </w:r>
      <w:r w:rsidR="0019005A" w:rsidRPr="0019005A">
        <w:t>Stribild</w:t>
      </w:r>
      <w:r w:rsidRPr="0019005A">
        <w:t>, to</w:t>
      </w:r>
      <w:r w:rsidRPr="005046B9">
        <w:rPr>
          <w:lang w:val="en-US"/>
        </w:rPr>
        <w:t xml:space="preserve"> </w:t>
      </w:r>
      <w:r w:rsidRPr="0019005A">
        <w:t>allow for the planning of the Phase III studies. The 2 Phase III studies contained data up to Week 48 of the respective studies. The sample size of the Phase II study was small (n=71), but provided data beyond Week 48 th</w:t>
      </w:r>
      <w:r w:rsidR="00F56A9F">
        <w:t>r</w:t>
      </w:r>
      <w:r w:rsidRPr="0019005A">
        <w:t xml:space="preserve">ough Week 96, and hence provided some preliminary efficacy and safety data on the long-term use of </w:t>
      </w:r>
      <w:r w:rsidR="00707E6B" w:rsidRPr="0019005A">
        <w:t>Stribild</w:t>
      </w:r>
      <w:r w:rsidRPr="0019005A">
        <w:t xml:space="preserve"> beyond 48 weeks.</w:t>
      </w:r>
    </w:p>
    <w:p w:rsidR="003E7586" w:rsidRPr="005046B9" w:rsidRDefault="003E7586" w:rsidP="003E7586">
      <w:pPr>
        <w:autoSpaceDE w:val="0"/>
        <w:autoSpaceDN w:val="0"/>
        <w:adjustRightInd w:val="0"/>
      </w:pPr>
      <w:r w:rsidRPr="005046B9">
        <w:t xml:space="preserve">Study GS-US-236-0102 was a Phase III, double-blind, double-dummy, multi-centre, randomised, active-control study to assess the safety and efficacy of the </w:t>
      </w:r>
      <w:r>
        <w:t xml:space="preserve">Stribild </w:t>
      </w:r>
      <w:r w:rsidRPr="005046B9">
        <w:t>STR versus Atripla (ATR) STR in HIV-1 infected, ARV treatment-</w:t>
      </w:r>
      <w:r w:rsidR="007553B1">
        <w:t>naïve</w:t>
      </w:r>
      <w:r w:rsidRPr="005046B9">
        <w:t xml:space="preserve"> adult subjects. Subjects were randomised in a 1:1 ratio to </w:t>
      </w:r>
      <w:r>
        <w:t xml:space="preserve">Stribild </w:t>
      </w:r>
      <w:r w:rsidRPr="005046B9">
        <w:t>or ATR once daily.</w:t>
      </w:r>
    </w:p>
    <w:p w:rsidR="003E7586" w:rsidRPr="005046B9" w:rsidRDefault="003E7586" w:rsidP="003E7586">
      <w:pPr>
        <w:autoSpaceDE w:val="0"/>
        <w:autoSpaceDN w:val="0"/>
        <w:adjustRightInd w:val="0"/>
      </w:pPr>
      <w:r w:rsidRPr="005046B9">
        <w:lastRenderedPageBreak/>
        <w:t xml:space="preserve">The primary objective of this study was to evaluate the efficacy of </w:t>
      </w:r>
      <w:r>
        <w:t xml:space="preserve">Stribild </w:t>
      </w:r>
      <w:r w:rsidRPr="005046B9">
        <w:t>STR (containing 200</w:t>
      </w:r>
      <w:r>
        <w:t xml:space="preserve"> </w:t>
      </w:r>
      <w:r w:rsidRPr="005046B9">
        <w:t>mg</w:t>
      </w:r>
      <w:r>
        <w:t xml:space="preserve"> </w:t>
      </w:r>
      <w:r w:rsidRPr="005046B9">
        <w:t>FTC/300</w:t>
      </w:r>
      <w:r>
        <w:t xml:space="preserve"> </w:t>
      </w:r>
      <w:r w:rsidRPr="005046B9">
        <w:t>mg</w:t>
      </w:r>
      <w:r>
        <w:t xml:space="preserve"> </w:t>
      </w:r>
      <w:r w:rsidRPr="005046B9">
        <w:t>TDF/150</w:t>
      </w:r>
      <w:r>
        <w:t xml:space="preserve"> </w:t>
      </w:r>
      <w:r w:rsidRPr="005046B9">
        <w:t>mg</w:t>
      </w:r>
      <w:r>
        <w:t xml:space="preserve"> </w:t>
      </w:r>
      <w:r w:rsidRPr="005046B9">
        <w:t>EVG/150</w:t>
      </w:r>
      <w:r>
        <w:t xml:space="preserve"> </w:t>
      </w:r>
      <w:r w:rsidRPr="005046B9">
        <w:t>mg</w:t>
      </w:r>
      <w:r>
        <w:t xml:space="preserve"> </w:t>
      </w:r>
      <w:r w:rsidRPr="005046B9">
        <w:t>COBI) versus ATR STR (containing 200</w:t>
      </w:r>
      <w:r>
        <w:t xml:space="preserve"> </w:t>
      </w:r>
      <w:r w:rsidRPr="005046B9">
        <w:t>mg</w:t>
      </w:r>
      <w:r>
        <w:t xml:space="preserve"> </w:t>
      </w:r>
      <w:r w:rsidRPr="005046B9">
        <w:t>FTC/300</w:t>
      </w:r>
      <w:r>
        <w:t xml:space="preserve"> </w:t>
      </w:r>
      <w:r w:rsidRPr="005046B9">
        <w:t>mg</w:t>
      </w:r>
      <w:r>
        <w:t xml:space="preserve"> </w:t>
      </w:r>
      <w:r w:rsidRPr="005046B9">
        <w:t>TDF/600</w:t>
      </w:r>
      <w:r>
        <w:t xml:space="preserve"> </w:t>
      </w:r>
      <w:r w:rsidRPr="005046B9">
        <w:t>mg</w:t>
      </w:r>
      <w:r>
        <w:t xml:space="preserve"> </w:t>
      </w:r>
      <w:r w:rsidRPr="005046B9">
        <w:t xml:space="preserve">EFV) in HIV-1 infected, ARV treatment-naïve adult subjects, as determined by the achievement of HIV-1 RNA &lt;50 copies/mL at Week 48. The secondary study objective was to evaluate the efficacy, safety, and tolerability of the </w:t>
      </w:r>
      <w:r w:rsidR="005C1062">
        <w:t xml:space="preserve">2 </w:t>
      </w:r>
      <w:r w:rsidRPr="005046B9">
        <w:t>STRs through 96 weeks of treatment.</w:t>
      </w:r>
    </w:p>
    <w:p w:rsidR="003E7586" w:rsidRDefault="003E7586" w:rsidP="003E7586">
      <w:pPr>
        <w:autoSpaceDE w:val="0"/>
        <w:autoSpaceDN w:val="0"/>
        <w:adjustRightInd w:val="0"/>
      </w:pPr>
      <w:r>
        <w:t xml:space="preserve">Study GS-US-236-0103 is a Phase III, double-blind, double dummy, multi-centre, randomised, active-control study to assess the safety and efficacy of the Stribild  STR versus RTV-boosted </w:t>
      </w:r>
      <w:r w:rsidR="00700A07">
        <w:t>ATV</w:t>
      </w:r>
      <w:r>
        <w:t xml:space="preserve"> (ATV/r) plus Truvada (TVD; comprising of 200 mg FTC and 300 mg TDF) in HIV-1 infected, ARV treatment-</w:t>
      </w:r>
      <w:r w:rsidR="007553B1">
        <w:t>naïve</w:t>
      </w:r>
      <w:r>
        <w:t xml:space="preserve"> adult subjects. Subjects were randomised in a 1:1 ratio to 1 of 2 treatment groups: Stribild STR and placebo for RTV, ATV, and TVD each once daily, or ATV 300 mg, RTV 100 mg, and TVD (FTC 200 mg/TDF 300 mg) and placebo for </w:t>
      </w:r>
      <w:r w:rsidR="003854F8">
        <w:t>Stribild</w:t>
      </w:r>
      <w:r>
        <w:t xml:space="preserve"> STR each once daily.</w:t>
      </w:r>
    </w:p>
    <w:p w:rsidR="003E7586" w:rsidRDefault="003E7586" w:rsidP="003E7586">
      <w:pPr>
        <w:tabs>
          <w:tab w:val="left" w:pos="720"/>
        </w:tabs>
        <w:autoSpaceDE w:val="0"/>
        <w:autoSpaceDN w:val="0"/>
        <w:adjustRightInd w:val="0"/>
        <w:rPr>
          <w:lang w:val="en-US"/>
        </w:rPr>
      </w:pPr>
      <w:r>
        <w:t xml:space="preserve">The primary objective of this study was to evaluate the efficacy of Stribild STR versus </w:t>
      </w:r>
      <w:r>
        <w:rPr>
          <w:lang w:val="en-US"/>
        </w:rPr>
        <w:t>a regimen containing ATV/r and TVD (ATVr+TVD)</w:t>
      </w:r>
      <w:r>
        <w:t xml:space="preserve"> in HIV-1 infected, ARV treatment-naïve adult subjects, as determined by the achievement of HIV-1 RNA &lt; 50 copies/mL at Week 48. The secondary study objective was to evaluate the efficacy, safety, and tolerability of the 2 </w:t>
      </w:r>
      <w:r>
        <w:rPr>
          <w:lang w:val="en-US"/>
        </w:rPr>
        <w:t>treatment regimens</w:t>
      </w:r>
      <w:r>
        <w:t xml:space="preserve"> through 96 weeks of treatment.</w:t>
      </w:r>
    </w:p>
    <w:p w:rsidR="003E7586" w:rsidRDefault="003E7586" w:rsidP="003E7586">
      <w:pPr>
        <w:autoSpaceDE w:val="0"/>
        <w:autoSpaceDN w:val="0"/>
        <w:adjustRightInd w:val="0"/>
        <w:rPr>
          <w:i/>
          <w:lang w:val="en-US"/>
        </w:rPr>
      </w:pPr>
      <w:r>
        <w:t>Study GS-US-236-0104 was a Phase II, double-dummy, randomised, double-blind, multicentre, active-control study evaluating the safety and efficacy of the Stribild STR versus ATR in 71 HIV-1 infected, ARV treatment-</w:t>
      </w:r>
      <w:r w:rsidR="007553B1">
        <w:t xml:space="preserve">naïve </w:t>
      </w:r>
      <w:r>
        <w:t xml:space="preserve">adult subjects (≥18 years of age). This study was conducted to provide an </w:t>
      </w:r>
      <w:r>
        <w:rPr>
          <w:lang w:val="en-US"/>
        </w:rPr>
        <w:t>estimation of the response rate of HIV-1 RNA &lt;50</w:t>
      </w:r>
      <w:r w:rsidR="00C331C1">
        <w:rPr>
          <w:lang w:val="en-US"/>
        </w:rPr>
        <w:t> </w:t>
      </w:r>
      <w:r>
        <w:rPr>
          <w:lang w:val="en-US"/>
        </w:rPr>
        <w:t xml:space="preserve">copies/mL of </w:t>
      </w:r>
      <w:r w:rsidR="00C331C1">
        <w:t>Stribild</w:t>
      </w:r>
      <w:r>
        <w:rPr>
          <w:lang w:val="en-US"/>
        </w:rPr>
        <w:t>, in order to allow</w:t>
      </w:r>
      <w:r w:rsidR="00C331C1">
        <w:rPr>
          <w:lang w:val="en-US"/>
        </w:rPr>
        <w:t xml:space="preserve"> for the planning of the Phase III</w:t>
      </w:r>
      <w:r>
        <w:rPr>
          <w:lang w:val="en-US"/>
        </w:rPr>
        <w:t xml:space="preserve"> studies. </w:t>
      </w:r>
      <w:r>
        <w:t xml:space="preserve">This is a multicentre study where subjects were enrolled in a total of </w:t>
      </w:r>
      <w:r>
        <w:rPr>
          <w:lang w:val="en-US"/>
        </w:rPr>
        <w:t>30 study sites in the United States.</w:t>
      </w:r>
      <w:r>
        <w:t xml:space="preserve"> The study start date (first subject screened) was 30th March 2009. The study was ongoing in an open-label extension phase at the time of this submission, and data through Week 96 were presented in the </w:t>
      </w:r>
      <w:r w:rsidR="00D73F32">
        <w:t>clinical study report (</w:t>
      </w:r>
      <w:r>
        <w:t>CSR</w:t>
      </w:r>
      <w:r w:rsidR="00D73F32">
        <w:t>)</w:t>
      </w:r>
      <w:r>
        <w:t xml:space="preserve"> submitted. </w:t>
      </w:r>
      <w:r>
        <w:rPr>
          <w:lang w:val="en-US"/>
        </w:rPr>
        <w:t xml:space="preserve">The date of </w:t>
      </w:r>
      <w:r>
        <w:t xml:space="preserve">last subject observation for this CSR was 17th May 2011. </w:t>
      </w:r>
    </w:p>
    <w:p w:rsidR="003E7586" w:rsidRDefault="003E7586" w:rsidP="003E7586">
      <w:pPr>
        <w:autoSpaceDE w:val="0"/>
        <w:autoSpaceDN w:val="0"/>
        <w:adjustRightInd w:val="0"/>
      </w:pPr>
      <w:r>
        <w:t xml:space="preserve">The primary objective of this study was to evaluate the efficacy of </w:t>
      </w:r>
      <w:r w:rsidR="00C331C1">
        <w:t xml:space="preserve">Stribild </w:t>
      </w:r>
      <w:r>
        <w:t>STR (EVG/COBI/FTC/ TDF) versus ATR STR (EFV/FTC/TDF) in HIV-1 infected, ARV treatment-naïve adult subjects, as determined by</w:t>
      </w:r>
      <w:r w:rsidR="00C331C1">
        <w:t xml:space="preserve"> the achievement of HIV-1 RNA &lt;</w:t>
      </w:r>
      <w:r>
        <w:t xml:space="preserve">50 copies/mL at Week 24. The secondary study objectives were to evaluate the efficacy of </w:t>
      </w:r>
      <w:r w:rsidR="003854F8">
        <w:t>Stribild</w:t>
      </w:r>
      <w:r>
        <w:t xml:space="preserve"> STR versus ATR STR in HIV-1 infected, ARV treatment-naïve adult subjects at Week 48, and to evaluate the safety and tolerability of the 2 STRs through 48 weeks of treatment.</w:t>
      </w:r>
    </w:p>
    <w:p w:rsidR="00BA00FC" w:rsidRPr="0019005A" w:rsidRDefault="00E42C9C" w:rsidP="0019005A">
      <w:pPr>
        <w:pStyle w:val="Heading4"/>
      </w:pPr>
      <w:r>
        <w:t>Evaluator’s conclusions on clinical efficacy</w:t>
      </w:r>
      <w:r w:rsidR="0019005A">
        <w:t xml:space="preserve"> </w:t>
      </w:r>
      <w:bookmarkStart w:id="122" w:name="_Toc326305109"/>
      <w:r w:rsidR="00BA00FC" w:rsidRPr="0019005A">
        <w:t xml:space="preserve">of </w:t>
      </w:r>
      <w:r w:rsidR="00707E6B" w:rsidRPr="0019005A">
        <w:t>Stribild</w:t>
      </w:r>
      <w:r w:rsidR="00BA00FC" w:rsidRPr="0019005A">
        <w:t xml:space="preserve"> as a complete regimen for the treatment of HIV infection in adults</w:t>
      </w:r>
      <w:bookmarkEnd w:id="122"/>
    </w:p>
    <w:p w:rsidR="00894E9E" w:rsidRPr="00447FD2" w:rsidRDefault="00BA00FC" w:rsidP="00447FD2">
      <w:r w:rsidRPr="00447FD2">
        <w:t xml:space="preserve">Overall, in the 2 Phase III registration trials, the conclusion from the primary efficacy analyses </w:t>
      </w:r>
      <w:r w:rsidR="00926D33" w:rsidRPr="00447FD2">
        <w:t xml:space="preserve">was </w:t>
      </w:r>
      <w:r w:rsidRPr="00447FD2">
        <w:t xml:space="preserve">that there was non-inferiority in the virologic efficacy of </w:t>
      </w:r>
      <w:r w:rsidR="0019005A" w:rsidRPr="00447FD2">
        <w:t xml:space="preserve">Stribild </w:t>
      </w:r>
      <w:r w:rsidRPr="00447FD2">
        <w:t xml:space="preserve">STR compared with </w:t>
      </w:r>
      <w:r w:rsidR="00951589" w:rsidRPr="00447FD2">
        <w:t xml:space="preserve">co-formulated EFV </w:t>
      </w:r>
      <w:r w:rsidR="00362035" w:rsidRPr="00447FD2">
        <w:t>/</w:t>
      </w:r>
      <w:r w:rsidR="00951589" w:rsidRPr="00447FD2">
        <w:t>FTC</w:t>
      </w:r>
      <w:r w:rsidR="00362035" w:rsidRPr="00447FD2">
        <w:t>/</w:t>
      </w:r>
      <w:r w:rsidR="00951589" w:rsidRPr="00447FD2">
        <w:t xml:space="preserve">TDF </w:t>
      </w:r>
      <w:r w:rsidR="00362035" w:rsidRPr="00447FD2">
        <w:t>(Atripla</w:t>
      </w:r>
      <w:r w:rsidR="00951589" w:rsidRPr="00447FD2">
        <w:t>;</w:t>
      </w:r>
      <w:r w:rsidR="00362035" w:rsidRPr="00447FD2">
        <w:t xml:space="preserve"> </w:t>
      </w:r>
      <w:r w:rsidRPr="00447FD2">
        <w:t>ATR</w:t>
      </w:r>
      <w:r w:rsidR="00951589" w:rsidRPr="00447FD2">
        <w:t>)</w:t>
      </w:r>
      <w:r w:rsidRPr="00447FD2">
        <w:t xml:space="preserve"> or ATV/r</w:t>
      </w:r>
      <w:r w:rsidR="00951589" w:rsidRPr="00447FD2">
        <w:t xml:space="preserve"> </w:t>
      </w:r>
      <w:r w:rsidRPr="00447FD2">
        <w:t>+TVD</w:t>
      </w:r>
      <w:r w:rsidR="00926D33" w:rsidRPr="00447FD2">
        <w:t xml:space="preserve">. This conclusion </w:t>
      </w:r>
      <w:r w:rsidRPr="00447FD2">
        <w:t>was appropriate. The study designs of both Phase III registration trials are sound. Inclusion and exclusion criteria are in line with recommendations on the study population in the TGA-adopted EMA guideline on the clinical development of medicinal products for the treatment of HIV infection, and study primary endpoints are in agreement with current HIV research guidelines and recommendations</w:t>
      </w:r>
      <w:r w:rsidR="00447FD2" w:rsidRPr="00447FD2">
        <w:t>.</w:t>
      </w:r>
      <w:r w:rsidR="00447FD2">
        <w:rPr>
          <w:rStyle w:val="FootnoteReference"/>
        </w:rPr>
        <w:footnoteReference w:id="11"/>
      </w:r>
      <w:r w:rsidRPr="00447FD2">
        <w:t xml:space="preserve"> </w:t>
      </w:r>
    </w:p>
    <w:p w:rsidR="00BA00FC" w:rsidRPr="00447FD2" w:rsidRDefault="00BA00FC" w:rsidP="00447FD2">
      <w:r w:rsidRPr="00447FD2">
        <w:lastRenderedPageBreak/>
        <w:t>The choices of active control ARV drug regimen of ATR in Study GS-US-236-0102 and of ATV/r+TVD</w:t>
      </w:r>
      <w:r w:rsidR="00841BE4" w:rsidRPr="00447FD2">
        <w:t xml:space="preserve"> </w:t>
      </w:r>
      <w:r w:rsidRPr="00447FD2">
        <w:t>in Study GS-US-236-0103 are appropriate as both ARV drug regimens are recommended first-line treatment regimen for ARV treatment-</w:t>
      </w:r>
      <w:r w:rsidR="007553B1" w:rsidRPr="00447FD2">
        <w:t>naïve</w:t>
      </w:r>
      <w:r w:rsidRPr="00447FD2">
        <w:t xml:space="preserve"> HIV-1 infected patients, in accordance with current treatment guidelines.</w:t>
      </w:r>
      <w:r w:rsidR="00841BE4" w:rsidRPr="00447FD2">
        <w:t xml:space="preserve"> </w:t>
      </w:r>
    </w:p>
    <w:p w:rsidR="00BA00FC" w:rsidRDefault="00BA00FC" w:rsidP="00BA00FC">
      <w:r>
        <w:t xml:space="preserve">In each of the 2 Phase III studies, demographic and baseline disease characteristics were similar between treatment groups. The majority of subjects in each study had CD4 </w:t>
      </w:r>
      <w:r w:rsidR="00926D33">
        <w:t xml:space="preserve">(a subtype of T lymphocyte helper cells) </w:t>
      </w:r>
      <w:r>
        <w:t>counts ≤ 500 cells/μL, and median CD4 counts were 380 and 367 cells/μL in studies GS-US-236-0102 and GS-US-236-0103, respectively, suggesting clinical relevance of the study population, as current treatment guidelines for treatment of HIV infection recommend initiation of ARV treatment when CD4 cell counts are &lt;500 cells/μL.</w:t>
      </w:r>
    </w:p>
    <w:p w:rsidR="00BA00FC" w:rsidRDefault="00BA00FC" w:rsidP="00BA00FC">
      <w:pPr>
        <w:tabs>
          <w:tab w:val="left" w:pos="0"/>
        </w:tabs>
        <w:ind w:right="-1"/>
      </w:pPr>
      <w:r w:rsidRPr="00926D33">
        <w:t xml:space="preserve">Primary efficacy outcomes demonstrated non-inferiority of </w:t>
      </w:r>
      <w:r w:rsidR="000703CC" w:rsidRPr="00926D33">
        <w:t xml:space="preserve">Stribild </w:t>
      </w:r>
      <w:r w:rsidRPr="00926D33">
        <w:t xml:space="preserve">versus ATR or ATV/r+TVD. Secondary and tertiary endpoints analyses showed that the conclusion of non-inferiority of </w:t>
      </w:r>
      <w:r w:rsidR="000703CC" w:rsidRPr="00926D33">
        <w:t>Stribild</w:t>
      </w:r>
      <w:r w:rsidRPr="00926D33">
        <w:t xml:space="preserve"> versus ATR or ATV/r+TVD obtained in the respective primary efficacy outcomes was supported by other analyses, including analysis in the </w:t>
      </w:r>
      <w:r w:rsidR="00926D33" w:rsidRPr="00926D33">
        <w:t xml:space="preserve">per protocol </w:t>
      </w:r>
      <w:r w:rsidR="00894E9E">
        <w:t>(</w:t>
      </w:r>
      <w:r w:rsidRPr="00926D33">
        <w:t>PP</w:t>
      </w:r>
      <w:r w:rsidR="00894E9E">
        <w:t>)</w:t>
      </w:r>
      <w:r w:rsidRPr="00926D33">
        <w:t xml:space="preserve"> dataset, analysis using the </w:t>
      </w:r>
      <w:r w:rsidR="00926D33" w:rsidRPr="00926D33">
        <w:t>time to loss of virologic response (</w:t>
      </w:r>
      <w:r w:rsidRPr="00926D33">
        <w:t>TLVOR</w:t>
      </w:r>
      <w:r w:rsidR="00926D33" w:rsidRPr="00926D33">
        <w:t>)</w:t>
      </w:r>
      <w:r w:rsidRPr="00926D33">
        <w:t xml:space="preserve"> algorithm, and analysis using different imputation methods. Virologic response measured in terms of</w:t>
      </w:r>
      <w:r>
        <w:t xml:space="preserve"> decrease in HIV-1 RNA levels from baseline, and drug effect measured in terms of immunological response were both consistent with the primary efficacy outcome: virologic response measured in terms of decrease in HIV-1 RNA levels from baseline at Week 48 was similar between treatment groups in both studies, while drug effect measured in terms of immunological response was statistically significant in favour of </w:t>
      </w:r>
      <w:r w:rsidR="000703CC">
        <w:t>Stribild</w:t>
      </w:r>
      <w:r>
        <w:t xml:space="preserve"> over ATR, and did not show any statistically significant difference between </w:t>
      </w:r>
      <w:r w:rsidR="000703CC">
        <w:t>Stribild</w:t>
      </w:r>
      <w:r>
        <w:t xml:space="preserve"> and ATV/r+TVD.</w:t>
      </w:r>
    </w:p>
    <w:p w:rsidR="00BA00FC" w:rsidRDefault="00BA00FC" w:rsidP="00BA00FC">
      <w:pPr>
        <w:tabs>
          <w:tab w:val="left" w:pos="0"/>
        </w:tabs>
        <w:ind w:right="-1"/>
      </w:pPr>
      <w:r>
        <w:t>Subgroup analyses in the 2 Phase III studies generally supported the respective primary efficacy results. In both studies, homogeneity tests performed for the primary endpoint did not show a significant difference in treatment effects between subgroups. In both studies, the lower limits of the 95% CI of the difference in response rate in the subgroup analyses were all greater than the prespecified −12% non-inferiority margin in all the subgroups, except for the subgroup of patient</w:t>
      </w:r>
      <w:r w:rsidR="00894E9E">
        <w:t xml:space="preserve">s who were females (-15.5% and </w:t>
      </w:r>
      <w:r w:rsidR="00894E9E">
        <w:noBreakHyphen/>
      </w:r>
      <w:r>
        <w:t>20.6% in studies GS-US-236-0102 and GS-US-236-0103, respectively). However, the 95% CI of the difference in response rate in this subgroup was very wide in both studies (-15.5% to 20.1% in study GS-US-236-0102 and -20.6% to 18.3% in study GS-US-236-0103) reflecting the small sample size in this subgroup (n=41 and n=24 in studies GS-US-236-0102 and GS-US-236-0103, respectively), which makes interpretation of the results difficult.</w:t>
      </w:r>
    </w:p>
    <w:p w:rsidR="00BA00FC" w:rsidRDefault="00BA00FC" w:rsidP="00BA00FC">
      <w:pPr>
        <w:autoSpaceDE w:val="0"/>
        <w:autoSpaceDN w:val="0"/>
        <w:adjustRightInd w:val="0"/>
        <w:ind w:right="-1"/>
        <w:rPr>
          <w:i/>
        </w:rPr>
      </w:pPr>
      <w:r>
        <w:t xml:space="preserve">In the small Phase II study, Study GS-US-236-0104, although the results in the primary and secondary endpoint analyses in the randomised phase mostly failed to demonstrate non-inferiority of </w:t>
      </w:r>
      <w:r w:rsidR="000703CC">
        <w:t>Stribild</w:t>
      </w:r>
      <w:r>
        <w:t xml:space="preserve"> versus ATR,</w:t>
      </w:r>
      <w:r w:rsidR="00841BE4">
        <w:t xml:space="preserve"> </w:t>
      </w:r>
      <w:r>
        <w:t xml:space="preserve">the analysis at Week 48 using the FDA snapshot analysis algorithm (a secondary endpoint in this study) yielded results suggesting non-inferiority of </w:t>
      </w:r>
      <w:r w:rsidR="000703CC">
        <w:t>Stribild</w:t>
      </w:r>
      <w:r>
        <w:t xml:space="preserve"> versus ATR. </w:t>
      </w:r>
      <w:r>
        <w:rPr>
          <w:i/>
        </w:rPr>
        <w:t xml:space="preserve">These results need to be taken in the context that this study was not powered to evaluate non-inferiority of QUAD </w:t>
      </w:r>
      <w:r w:rsidR="000703CC">
        <w:rPr>
          <w:i/>
        </w:rPr>
        <w:t xml:space="preserve">[Stribild] </w:t>
      </w:r>
      <w:r>
        <w:rPr>
          <w:i/>
        </w:rPr>
        <w:t xml:space="preserve">versus ATR, but to obtain an </w:t>
      </w:r>
      <w:r>
        <w:rPr>
          <w:i/>
          <w:lang w:val="en-US"/>
        </w:rPr>
        <w:t>estimation of the response rate of HIV-1 RNA &lt; 5</w:t>
      </w:r>
      <w:r w:rsidR="00894E9E">
        <w:rPr>
          <w:i/>
          <w:lang w:val="en-US"/>
        </w:rPr>
        <w:t xml:space="preserve">0 copies/mL at Week 24 for </w:t>
      </w:r>
      <w:r w:rsidR="000703CC">
        <w:rPr>
          <w:i/>
          <w:lang w:val="en-US"/>
        </w:rPr>
        <w:t xml:space="preserve">[Stribild] </w:t>
      </w:r>
      <w:r>
        <w:rPr>
          <w:i/>
          <w:lang w:val="en-US"/>
        </w:rPr>
        <w:t>STR.</w:t>
      </w:r>
    </w:p>
    <w:p w:rsidR="00BA00FC" w:rsidRDefault="00BA00FC" w:rsidP="00BA00FC">
      <w:pPr>
        <w:autoSpaceDE w:val="0"/>
        <w:autoSpaceDN w:val="0"/>
        <w:adjustRightInd w:val="0"/>
      </w:pPr>
      <w:r>
        <w:t xml:space="preserve">The virologic response rate in the </w:t>
      </w:r>
      <w:r w:rsidR="000703CC">
        <w:t xml:space="preserve">Stribild </w:t>
      </w:r>
      <w:r>
        <w:t xml:space="preserve">group at Week 48 using snapshot analysis was comparable to those obtained in Study GS-US-236-0102 and Study GS-US-236-0103, as was the mean change from baseline at Week 48 of HIV-1 RNA levels and CD4 counts in the </w:t>
      </w:r>
      <w:r w:rsidR="000703CC">
        <w:t xml:space="preserve">Stribild </w:t>
      </w:r>
      <w:r>
        <w:t xml:space="preserve">group, providing some evidence of consistency in the virological and immunological response rates of </w:t>
      </w:r>
      <w:r w:rsidR="000703CC">
        <w:t>Stribild</w:t>
      </w:r>
      <w:r>
        <w:t>.</w:t>
      </w:r>
    </w:p>
    <w:p w:rsidR="00BA00FC" w:rsidRDefault="00BA00FC" w:rsidP="00BA00FC">
      <w:pPr>
        <w:autoSpaceDE w:val="0"/>
        <w:autoSpaceDN w:val="0"/>
        <w:adjustRightInd w:val="0"/>
      </w:pPr>
      <w:r>
        <w:t xml:space="preserve">Results in the open-label phase of Study GS-US-236-0104 suggested that in patients who were on </w:t>
      </w:r>
      <w:r w:rsidR="000703CC">
        <w:t xml:space="preserve">Stribild </w:t>
      </w:r>
      <w:r>
        <w:t xml:space="preserve">in the randomised phase and who continued on </w:t>
      </w:r>
      <w:r w:rsidR="000703CC">
        <w:t xml:space="preserve">Stribild </w:t>
      </w:r>
      <w:r>
        <w:t>in the open-label phase (</w:t>
      </w:r>
      <w:r w:rsidR="00700880">
        <w:t>that is,</w:t>
      </w:r>
      <w:r w:rsidR="00894E9E">
        <w:t xml:space="preserve"> &gt;</w:t>
      </w:r>
      <w:r>
        <w:t xml:space="preserve">60 weeks of </w:t>
      </w:r>
      <w:r w:rsidR="000703CC">
        <w:t>Stribild</w:t>
      </w:r>
      <w:r>
        <w:t xml:space="preserve">), there was further and sustained suppression of HIV-1 RNA levels and increase in CD4 cell count, suggesting that both virological and </w:t>
      </w:r>
      <w:r>
        <w:lastRenderedPageBreak/>
        <w:t xml:space="preserve">immunological responses were sustained beyond 48 weeks of </w:t>
      </w:r>
      <w:r w:rsidR="000703CC">
        <w:t>Stribild</w:t>
      </w:r>
      <w:r>
        <w:t xml:space="preserve"> dosing. The sample size was small and </w:t>
      </w:r>
      <w:r w:rsidR="00894E9E">
        <w:t>inadequate</w:t>
      </w:r>
      <w:r>
        <w:t xml:space="preserve"> for definitive evaluation of long-term efficacy, but gave a preliminary indication of potential long-term efficacy.</w:t>
      </w:r>
    </w:p>
    <w:p w:rsidR="00BA00FC" w:rsidRPr="00BC1840" w:rsidRDefault="00BA00FC" w:rsidP="00BC1840">
      <w:r>
        <w:t xml:space="preserve">Pooled efficacy analysis is appropriate as the study designs of the 3 studies were similar and baseline demographic and disease characteristics of the study populations were similar. Pooled efficacy analysis results were consistent with the individual study results, showing non-inferiority of pooled </w:t>
      </w:r>
      <w:r w:rsidR="000703CC">
        <w:t>Stribild</w:t>
      </w:r>
      <w:r>
        <w:t xml:space="preserve"> group versus pooled ATR group, of pooled </w:t>
      </w:r>
      <w:r w:rsidR="000703CC">
        <w:t>Stribild</w:t>
      </w:r>
      <w:r w:rsidR="005A2D3A">
        <w:t xml:space="preserve"> group versus pooled ATV/r</w:t>
      </w:r>
      <w:r>
        <w:t xml:space="preserve">+TVD group, and of pooled </w:t>
      </w:r>
      <w:r w:rsidR="000703CC">
        <w:t>Stribild</w:t>
      </w:r>
      <w:r>
        <w:t xml:space="preserve"> versus pooled active control group.</w:t>
      </w:r>
    </w:p>
    <w:p w:rsidR="00BA00FC" w:rsidRPr="00BC1840" w:rsidRDefault="00BA00FC" w:rsidP="00BC1840">
      <w:r w:rsidRPr="00BC1840">
        <w:t xml:space="preserve">The main issues with regards to the efficacy results were the emergent study drug resistance results, and the rationale for the doses of the EVG of </w:t>
      </w:r>
      <w:r w:rsidR="000703CC" w:rsidRPr="00BC1840">
        <w:t>Stribild</w:t>
      </w:r>
      <w:r w:rsidRPr="00BC1840">
        <w:t xml:space="preserve">. With regards to emergent study drug resistance, in Study GS-US-236-0102, although the proportions of patients who developed emergent </w:t>
      </w:r>
      <w:r w:rsidR="00894E9E" w:rsidRPr="00BC1840">
        <w:t>reverse transcriptase resistance (</w:t>
      </w:r>
      <w:r w:rsidRPr="00BC1840">
        <w:t>RT-R</w:t>
      </w:r>
      <w:r w:rsidR="00894E9E" w:rsidRPr="00BC1840">
        <w:t>)</w:t>
      </w:r>
      <w:r w:rsidRPr="00BC1840">
        <w:t xml:space="preserve"> mutations were similar between the </w:t>
      </w:r>
      <w:r w:rsidR="000703CC" w:rsidRPr="00BC1840">
        <w:t>Stribild</w:t>
      </w:r>
      <w:r w:rsidRPr="00BC1840">
        <w:t xml:space="preserve"> and ATR groups, seven out of the 8 subjects in the </w:t>
      </w:r>
      <w:r w:rsidR="000703CC" w:rsidRPr="00BC1840">
        <w:t>Stribild</w:t>
      </w:r>
      <w:r w:rsidRPr="00BC1840">
        <w:t xml:space="preserve"> group who were tested for study drug resistance developed INSTI-</w:t>
      </w:r>
      <w:r w:rsidR="00894E9E" w:rsidRPr="00BC1840">
        <w:t>resistance (INSTI-</w:t>
      </w:r>
      <w:r w:rsidRPr="00BC1840">
        <w:t>R</w:t>
      </w:r>
      <w:r w:rsidR="00894E9E" w:rsidRPr="00BC1840">
        <w:t>)</w:t>
      </w:r>
      <w:r w:rsidRPr="00BC1840">
        <w:t xml:space="preserve"> mutations, compared with none in the ATR group. In Study GS-US-236-0103, out of 12 subjects tested in the </w:t>
      </w:r>
      <w:r w:rsidR="000703CC" w:rsidRPr="00BC1840">
        <w:t>Stribild</w:t>
      </w:r>
      <w:r w:rsidRPr="00BC1840">
        <w:t xml:space="preserve"> group, 4 subjects developed RT-R mutations, and 4 subjects developed INSTI-R mutations, while in the ATV/r+TVD group, out of the 8 subjects tested, none developed emergent resistance to a study drug. Although the number of patients analysed for emergent study drug resistance were too small for meaningful statistical analysis, the above results suggest that development of INSTI-R mutations may be an issue with the use of </w:t>
      </w:r>
      <w:r w:rsidR="000703CC" w:rsidRPr="00BC1840">
        <w:t>Stribild</w:t>
      </w:r>
      <w:r w:rsidRPr="00BC1840">
        <w:t xml:space="preserve">, compared to the active controls. This is, however, within expectations, as neither ATR nor ATV/r+TVD contain an INSTI, whereas the EVG component of </w:t>
      </w:r>
      <w:r w:rsidR="000703CC" w:rsidRPr="00BC1840">
        <w:t>Stribild</w:t>
      </w:r>
      <w:r w:rsidRPr="00BC1840">
        <w:t xml:space="preserve"> is an INSTI. This also needs to be taken in the context that the calculated percentage of patients in the </w:t>
      </w:r>
      <w:r w:rsidR="000703CC" w:rsidRPr="00BC1840">
        <w:t>Stribild</w:t>
      </w:r>
      <w:r w:rsidRPr="00BC1840">
        <w:t xml:space="preserve"> group with emergent INSTI-R mutations was low: 2.0% in Study GS-US-236-0102, and 1.1% in Study GS-US-236-0103</w:t>
      </w:r>
      <w:r w:rsidR="00BC1840" w:rsidRPr="00BC1840">
        <w:t xml:space="preserve"> (assuming that subjects who</w:t>
      </w:r>
      <w:r w:rsidR="00BC1840">
        <w:t xml:space="preserve"> did not show virologic failure,</w:t>
      </w:r>
      <w:r w:rsidR="00BC1840" w:rsidRPr="00BC1840">
        <w:t xml:space="preserve"> and hence </w:t>
      </w:r>
      <w:r w:rsidR="00BC1840">
        <w:t xml:space="preserve">were </w:t>
      </w:r>
      <w:r w:rsidR="00BC1840" w:rsidRPr="00BC1840">
        <w:t>not tested for study drug resistance, did not have the resistance mutations</w:t>
      </w:r>
      <w:r w:rsidR="00BC1840">
        <w:t>)</w:t>
      </w:r>
      <w:r w:rsidRPr="00BC1840">
        <w:t>.</w:t>
      </w:r>
    </w:p>
    <w:p w:rsidR="00BA00FC" w:rsidRPr="00BC1840" w:rsidRDefault="00BA00FC" w:rsidP="00BC1840">
      <w:r w:rsidRPr="00BC1840">
        <w:t xml:space="preserve">With regards to the rationale for the doses of the EVG of </w:t>
      </w:r>
      <w:r w:rsidR="000703CC" w:rsidRPr="00BC1840">
        <w:t>Stribild</w:t>
      </w:r>
      <w:r w:rsidRPr="00BC1840">
        <w:t>, in describing the justification for choice of dose of EVG, the sponsor has stated that in study GS-US-183-0105, RTV-boosted EVG of 125</w:t>
      </w:r>
      <w:r w:rsidR="00894E9E" w:rsidRPr="00BC1840">
        <w:t xml:space="preserve"> </w:t>
      </w:r>
      <w:r w:rsidRPr="00BC1840">
        <w:t>mg dose formulation was used, and that study GS-US-183-0140 showed that the 125 mg dose and the 150 mg dose provided bioequivalent EVG exposures. No rationale was given for the choice of 150</w:t>
      </w:r>
      <w:r w:rsidR="000E5497" w:rsidRPr="00BC1840">
        <w:t xml:space="preserve"> </w:t>
      </w:r>
      <w:r w:rsidRPr="00BC1840">
        <w:t>mg instead of 125</w:t>
      </w:r>
      <w:r w:rsidR="000E5497" w:rsidRPr="00BC1840">
        <w:t xml:space="preserve"> </w:t>
      </w:r>
      <w:r w:rsidRPr="00BC1840">
        <w:t xml:space="preserve">mg of EVG. </w:t>
      </w:r>
    </w:p>
    <w:p w:rsidR="008E7846" w:rsidRPr="002E238E" w:rsidRDefault="008E7846" w:rsidP="002D03A6">
      <w:pPr>
        <w:pStyle w:val="Heading3"/>
      </w:pPr>
      <w:bookmarkStart w:id="123" w:name="_Toc163441378"/>
      <w:bookmarkStart w:id="124" w:name="_Toc196046495"/>
      <w:bookmarkStart w:id="125" w:name="_Toc247691522"/>
      <w:bookmarkStart w:id="126" w:name="_Toc314842505"/>
      <w:bookmarkStart w:id="127" w:name="_Toc363456674"/>
      <w:bookmarkEnd w:id="114"/>
      <w:bookmarkEnd w:id="115"/>
      <w:bookmarkEnd w:id="116"/>
      <w:bookmarkEnd w:id="117"/>
      <w:r w:rsidRPr="002E238E">
        <w:t>Safety</w:t>
      </w:r>
      <w:bookmarkEnd w:id="123"/>
      <w:bookmarkEnd w:id="124"/>
      <w:bookmarkEnd w:id="125"/>
      <w:bookmarkEnd w:id="126"/>
      <w:bookmarkEnd w:id="127"/>
    </w:p>
    <w:p w:rsidR="0085562C" w:rsidRDefault="0085562C" w:rsidP="002D03A6">
      <w:pPr>
        <w:pStyle w:val="Heading4"/>
        <w:keepNext/>
      </w:pPr>
      <w:bookmarkStart w:id="128" w:name="_Toc272414659"/>
      <w:bookmarkStart w:id="129" w:name="_Toc290846284"/>
      <w:bookmarkStart w:id="130" w:name="_Toc326576827"/>
      <w:bookmarkStart w:id="131" w:name="_Toc184440288"/>
      <w:bookmarkStart w:id="132" w:name="_Toc184444666"/>
      <w:bookmarkStart w:id="133" w:name="_Toc196046496"/>
      <w:r>
        <w:t>Studies providing safety data</w:t>
      </w:r>
      <w:bookmarkEnd w:id="128"/>
      <w:bookmarkEnd w:id="129"/>
      <w:bookmarkEnd w:id="130"/>
    </w:p>
    <w:p w:rsidR="00BC084C" w:rsidRDefault="00BC084C" w:rsidP="002D03A6">
      <w:pPr>
        <w:keepNext/>
      </w:pPr>
      <w:r>
        <w:t>The principal clinical safety data in this submission were derived from the 2 Phase III studies (GS-US-236-0102 and GS-US-236-01</w:t>
      </w:r>
      <w:r w:rsidR="00D73F32">
        <w:t>03) and supported by the Phase II</w:t>
      </w:r>
      <w:r>
        <w:t xml:space="preserve"> study, Study GS-US-236-0104.</w:t>
      </w:r>
    </w:p>
    <w:p w:rsidR="00BC084C" w:rsidRDefault="00BC084C" w:rsidP="00BC084C">
      <w:r>
        <w:t>The sponsor has provided a pooled safety analysis (using pooled safety data up to Week 48 plus the available data up to the respective cut-off dates for Studies GS-US-236-0102 and GS-US-236-0103, and up to Week 60 [</w:t>
      </w:r>
      <w:r w:rsidR="00700880">
        <w:t>that is,</w:t>
      </w:r>
      <w:r>
        <w:t xml:space="preserve"> randomised phase] for Study GS-US-236-0104) in the clinical summary of safety data, in addition to individual safety data of the 3 studies in the respective CSRs.</w:t>
      </w:r>
    </w:p>
    <w:p w:rsidR="0085562C" w:rsidRDefault="00BC084C" w:rsidP="00362035">
      <w:r>
        <w:t>It is considered by the evaluator that a pooled analysis is appropriate as the study designs of the 3 studies were similar apart from the active control used. In this evaluation, the pooled safety analysis as well as the safety data in the open-label phase of Study GS-US-236-0104 will be presented.</w:t>
      </w:r>
    </w:p>
    <w:p w:rsidR="0085562C" w:rsidRDefault="0085562C" w:rsidP="00B26037">
      <w:pPr>
        <w:pStyle w:val="Heading5"/>
      </w:pPr>
      <w:r>
        <w:lastRenderedPageBreak/>
        <w:t>Patient exposure</w:t>
      </w:r>
    </w:p>
    <w:p w:rsidR="00BC084C" w:rsidRDefault="00BC084C" w:rsidP="00BC084C">
      <w:pPr>
        <w:autoSpaceDE w:val="0"/>
        <w:autoSpaceDN w:val="0"/>
        <w:adjustRightInd w:val="0"/>
      </w:pPr>
      <w:r>
        <w:t>Exposure in the pooled safety analysis set in Studies GS-US-236-0102, GS-US-236-0103, and GS-US-236-0104 is summarised in</w:t>
      </w:r>
      <w:r w:rsidR="00362035">
        <w:t xml:space="preserve"> Table </w:t>
      </w:r>
      <w:r w:rsidR="00A51BB4">
        <w:t>5</w:t>
      </w:r>
      <w:r w:rsidR="00362035">
        <w:t xml:space="preserve"> below</w:t>
      </w:r>
      <w:r>
        <w:rPr>
          <w:b/>
        </w:rPr>
        <w:t>.</w:t>
      </w:r>
      <w:r>
        <w:t xml:space="preserve"> Overall, 749 subjects received </w:t>
      </w:r>
      <w:r w:rsidR="000703CC">
        <w:t>Stribild</w:t>
      </w:r>
      <w:r>
        <w:t xml:space="preserve"> </w:t>
      </w:r>
      <w:r w:rsidR="000703CC">
        <w:t>(formerly know</w:t>
      </w:r>
      <w:r w:rsidR="002D03A6">
        <w:t>n</w:t>
      </w:r>
      <w:r w:rsidR="000703CC">
        <w:t xml:space="preserve"> as Quad) </w:t>
      </w:r>
      <w:r>
        <w:t xml:space="preserve">in these studies, 375 subjects received ATR, and 355 subjects received ATV/r+TVD. The median duration of exposure to study drug was 48.4 weeks in the </w:t>
      </w:r>
      <w:r w:rsidR="000703CC">
        <w:t>Stribild</w:t>
      </w:r>
      <w:r>
        <w:t xml:space="preserve"> group, 58.9 weeks in the ATR group, and 48.1 weeks in the ATV/r+TVD group. </w:t>
      </w:r>
    </w:p>
    <w:p w:rsidR="00BC084C" w:rsidRPr="00362035" w:rsidRDefault="00BC084C" w:rsidP="00AE4AFF">
      <w:pPr>
        <w:pStyle w:val="TableTitle"/>
      </w:pPr>
      <w:bookmarkStart w:id="134" w:name="_Toc326305170"/>
      <w:r w:rsidRPr="00362035">
        <w:t xml:space="preserve">Table </w:t>
      </w:r>
      <w:r w:rsidR="00A51BB4">
        <w:t>5</w:t>
      </w:r>
      <w:r w:rsidR="00362035">
        <w:t xml:space="preserve">. </w:t>
      </w:r>
      <w:r w:rsidRPr="00362035">
        <w:t>GS-US-236-0102, 0103, 0104: Duration of Exposure to Study Drug (Safety Analysis Set)</w:t>
      </w:r>
      <w:bookmarkEnd w:id="134"/>
    </w:p>
    <w:p w:rsidR="00BC084C" w:rsidRDefault="00BC084C" w:rsidP="00D73F32">
      <w:pPr>
        <w:keepNext/>
        <w:autoSpaceDE w:val="0"/>
        <w:autoSpaceDN w:val="0"/>
        <w:adjustRightInd w:val="0"/>
      </w:pPr>
      <w:r>
        <w:rPr>
          <w:noProof/>
          <w:lang w:eastAsia="en-AU"/>
        </w:rPr>
        <w:drawing>
          <wp:inline distT="0" distB="0" distL="0" distR="0">
            <wp:extent cx="4985385" cy="2802890"/>
            <wp:effectExtent l="19050" t="0" r="5715" b="0"/>
            <wp:docPr id="281" name="Picture 281" descr="Table 5. GS-US-236-0102, 0103, 0104: Duration of Exposure to Study Drug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 cstate="print"/>
                    <a:srcRect/>
                    <a:stretch>
                      <a:fillRect/>
                    </a:stretch>
                  </pic:blipFill>
                  <pic:spPr bwMode="auto">
                    <a:xfrm>
                      <a:off x="0" y="0"/>
                      <a:ext cx="4985385" cy="2802890"/>
                    </a:xfrm>
                    <a:prstGeom prst="rect">
                      <a:avLst/>
                    </a:prstGeom>
                    <a:noFill/>
                    <a:ln w="9525">
                      <a:noFill/>
                      <a:miter lim="800000"/>
                      <a:headEnd/>
                      <a:tailEnd/>
                    </a:ln>
                  </pic:spPr>
                </pic:pic>
              </a:graphicData>
            </a:graphic>
          </wp:inline>
        </w:drawing>
      </w:r>
    </w:p>
    <w:p w:rsidR="00D73F32" w:rsidRDefault="00D73F32" w:rsidP="00BC084C">
      <w:pPr>
        <w:autoSpaceDE w:val="0"/>
        <w:autoSpaceDN w:val="0"/>
        <w:adjustRightInd w:val="0"/>
      </w:pPr>
      <w:r>
        <w:t xml:space="preserve">Note: The name Quad was subsequently changed to Stribild. </w:t>
      </w:r>
      <w:r w:rsidR="00EB6F47">
        <w:t>Quad and Stribild</w:t>
      </w:r>
      <w:r>
        <w:t xml:space="preserve"> </w:t>
      </w:r>
      <w:r w:rsidR="00EB6F47">
        <w:t xml:space="preserve">are considered interchangeable for the purpose of this </w:t>
      </w:r>
      <w:r>
        <w:t>AusPAR.</w:t>
      </w:r>
    </w:p>
    <w:p w:rsidR="00BC084C" w:rsidRDefault="00BC084C" w:rsidP="00BC084C">
      <w:pPr>
        <w:autoSpaceDE w:val="0"/>
        <w:autoSpaceDN w:val="0"/>
        <w:adjustRightInd w:val="0"/>
      </w:pPr>
      <w:r>
        <w:t xml:space="preserve">The safety analysis set in the open-label phase of Study GS-US-236-0104 (called the “All </w:t>
      </w:r>
      <w:r w:rsidR="00544F47">
        <w:t>Stribild</w:t>
      </w:r>
      <w:r>
        <w:t xml:space="preserve">” group) consisted of 62 subjects (48 subjects in the </w:t>
      </w:r>
      <w:r w:rsidR="00544F47">
        <w:t>Stribild</w:t>
      </w:r>
      <w:r>
        <w:t>/</w:t>
      </w:r>
      <w:r w:rsidR="00544F47">
        <w:t xml:space="preserve">Stribild </w:t>
      </w:r>
      <w:r>
        <w:t>group and 14 subjects in the ATR/</w:t>
      </w:r>
      <w:r w:rsidR="00544F47">
        <w:t xml:space="preserve">Stribild </w:t>
      </w:r>
      <w:r>
        <w:t xml:space="preserve">group). The median exposure was 96.1 weeks in the </w:t>
      </w:r>
      <w:r w:rsidR="00544F47">
        <w:t>Stribild</w:t>
      </w:r>
      <w:r>
        <w:t>/</w:t>
      </w:r>
      <w:r w:rsidR="00544F47">
        <w:t xml:space="preserve">Stribild </w:t>
      </w:r>
      <w:r>
        <w:t>group and 37.2 weeks in the ATR/</w:t>
      </w:r>
      <w:r w:rsidR="00544F47">
        <w:t xml:space="preserve">Stribild </w:t>
      </w:r>
      <w:r>
        <w:t>group.</w:t>
      </w:r>
    </w:p>
    <w:p w:rsidR="00BC084C" w:rsidRPr="00D73F32" w:rsidRDefault="00D73F32" w:rsidP="00D73F32">
      <w:r>
        <w:t>The evaluator considered that, o</w:t>
      </w:r>
      <w:r w:rsidR="00BC084C" w:rsidRPr="00D73F32">
        <w:t xml:space="preserve">verall, the amount of exposure to </w:t>
      </w:r>
      <w:r>
        <w:t xml:space="preserve">Stribild </w:t>
      </w:r>
      <w:r w:rsidR="00BC084C" w:rsidRPr="00D73F32">
        <w:t xml:space="preserve">is adequate to evaluate the safety profile of the drug. In the 2 Phase III trials, 509 HIV1-infected patients were exposed to </w:t>
      </w:r>
      <w:r>
        <w:t xml:space="preserve">Stribild </w:t>
      </w:r>
      <w:r w:rsidR="00BC084C" w:rsidRPr="00D73F32">
        <w:t xml:space="preserve">for at least 48 weeks. Longer-term safety data was derived from the open-label phase of the Phase II study, where subjects were exposed to </w:t>
      </w:r>
      <w:r w:rsidR="00544F47">
        <w:t xml:space="preserve">Stribild </w:t>
      </w:r>
      <w:r w:rsidR="00BC084C" w:rsidRPr="00D73F32">
        <w:t>beyond 48 weeks, but the sample size was small.</w:t>
      </w:r>
    </w:p>
    <w:p w:rsidR="0085562C" w:rsidRDefault="0085562C" w:rsidP="0085562C">
      <w:pPr>
        <w:pStyle w:val="Heading4"/>
        <w:keepNext/>
      </w:pPr>
      <w:bookmarkStart w:id="135" w:name="_Toc241374328"/>
      <w:bookmarkStart w:id="136" w:name="_Toc272414691"/>
      <w:bookmarkStart w:id="137" w:name="_Toc290846329"/>
      <w:bookmarkStart w:id="138" w:name="_Toc326576880"/>
      <w:r>
        <w:t>Evaluator’s overall conclusions on clinical safety</w:t>
      </w:r>
      <w:bookmarkEnd w:id="135"/>
      <w:bookmarkEnd w:id="136"/>
      <w:bookmarkEnd w:id="137"/>
      <w:bookmarkEnd w:id="138"/>
    </w:p>
    <w:p w:rsidR="00EA5E38" w:rsidRPr="00362035" w:rsidRDefault="00EA5E38" w:rsidP="00362035">
      <w:r w:rsidRPr="00362035">
        <w:t xml:space="preserve">Overall, there were no significant concerns of note in the incidences of </w:t>
      </w:r>
      <w:r w:rsidR="00B75105">
        <w:t>adverse events (</w:t>
      </w:r>
      <w:r w:rsidRPr="00362035">
        <w:t>AEs</w:t>
      </w:r>
      <w:r w:rsidR="00B75105">
        <w:t>)</w:t>
      </w:r>
      <w:r w:rsidRPr="00362035">
        <w:t xml:space="preserve"> with administration of </w:t>
      </w:r>
      <w:r w:rsidR="000703CC">
        <w:t>Stribild</w:t>
      </w:r>
      <w:r w:rsidRPr="00362035">
        <w:t xml:space="preserve">. The most </w:t>
      </w:r>
      <w:r w:rsidR="00854E8B">
        <w:t>frequently reported study drug-</w:t>
      </w:r>
      <w:r w:rsidRPr="00362035">
        <w:t xml:space="preserve">related AEs in the </w:t>
      </w:r>
      <w:r w:rsidR="000703CC">
        <w:t>Stribild</w:t>
      </w:r>
      <w:r w:rsidRPr="00362035">
        <w:t xml:space="preserve"> group were nausea, diarrhoea and abnormal dreams. Results in the All </w:t>
      </w:r>
      <w:r w:rsidR="00654450">
        <w:t xml:space="preserve">Stribild </w:t>
      </w:r>
      <w:r w:rsidRPr="00362035">
        <w:t xml:space="preserve">group showed that in patients who continued on, or were switched to </w:t>
      </w:r>
      <w:r w:rsidR="00FE2BA7">
        <w:t>Stribild</w:t>
      </w:r>
      <w:r w:rsidRPr="00362035">
        <w:t>, the incidences and types of AEs remained stable.</w:t>
      </w:r>
    </w:p>
    <w:p w:rsidR="00EA5E38" w:rsidRPr="00362035" w:rsidRDefault="00EA5E38" w:rsidP="00362035">
      <w:r w:rsidRPr="00362035">
        <w:t xml:space="preserve">There were no particular concerns raised with regards to the AE of special interest of bone fractures. Although the incidence of renal AEs of interest as well as the percentage of patients who discontinued study drug due to renal AEs, were higher in the pooled </w:t>
      </w:r>
      <w:r w:rsidR="00FE2BA7">
        <w:t>Stribild</w:t>
      </w:r>
      <w:r w:rsidRPr="00362035">
        <w:t xml:space="preserve"> group than in the ATR or ATV/r+TVD group, the renal AEs and the abnormal renal parameters appeared to be reversible after drug discontinuation, and none of the 4 subjects with renal failure in the </w:t>
      </w:r>
      <w:r w:rsidR="00FE2BA7">
        <w:t>Stribild</w:t>
      </w:r>
      <w:r w:rsidRPr="00362035">
        <w:t xml:space="preserve"> group required dialysis or other forms of renal </w:t>
      </w:r>
      <w:r w:rsidRPr="00362035">
        <w:lastRenderedPageBreak/>
        <w:t xml:space="preserve">replacement therapy during the study. It is also noted that the reporting of the AE of renal failure was based on renal laboratory abnormalities (raised serum creatinine and reduced </w:t>
      </w:r>
      <w:r w:rsidR="00654450">
        <w:t xml:space="preserve">estimated </w:t>
      </w:r>
      <w:r w:rsidRPr="00362035">
        <w:t xml:space="preserve">GFR), and analysis of renal laboratory parameters showed that although there were greater increases in median values for serum creatinine and a greater decrease in median </w:t>
      </w:r>
      <w:r w:rsidR="00654450">
        <w:rPr>
          <w:rFonts w:eastAsia="Calibri" w:cs="TimesNewRomanPSMT"/>
          <w:lang w:val="en-US"/>
        </w:rPr>
        <w:t>estimated GFR calculated using the Cockroft-Gault equation</w:t>
      </w:r>
      <w:r w:rsidR="00654450" w:rsidRPr="00362035">
        <w:t xml:space="preserve"> </w:t>
      </w:r>
      <w:r w:rsidR="00654450">
        <w:t>(eGFR</w:t>
      </w:r>
      <w:r w:rsidR="00654450" w:rsidRPr="00BC1840">
        <w:rPr>
          <w:vertAlign w:val="subscript"/>
        </w:rPr>
        <w:t>CG</w:t>
      </w:r>
      <w:r w:rsidR="00654450">
        <w:t xml:space="preserve">) </w:t>
      </w:r>
      <w:r w:rsidRPr="00362035">
        <w:t xml:space="preserve">in the pooled </w:t>
      </w:r>
      <w:r w:rsidR="00FE2BA7">
        <w:t>Stribild</w:t>
      </w:r>
      <w:r w:rsidRPr="00362035">
        <w:t xml:space="preserve"> group compared to the ATR and ATV/r+TVD groups, there were no corresponding decreases from baseline of </w:t>
      </w:r>
      <w:r w:rsidR="00654450">
        <w:t>estimated GFR calculated using the Cystatin-C method (</w:t>
      </w:r>
      <w:r w:rsidRPr="00362035">
        <w:t>cysGFR</w:t>
      </w:r>
      <w:r w:rsidR="00654450">
        <w:t>)</w:t>
      </w:r>
      <w:r w:rsidRPr="00362035">
        <w:t>, suggesting that the raised serum creatinine levels and reduced eGFR</w:t>
      </w:r>
      <w:r w:rsidRPr="00BC1840">
        <w:rPr>
          <w:vertAlign w:val="subscript"/>
        </w:rPr>
        <w:t>CG</w:t>
      </w:r>
      <w:r w:rsidRPr="00362035">
        <w:t xml:space="preserve"> could be due to the inhibition of tubular secretion of creatinine by COBI, and not reflecting an actual nephrotoxic effect of </w:t>
      </w:r>
      <w:r w:rsidR="00FE2BA7">
        <w:t>Stribild</w:t>
      </w:r>
      <w:r w:rsidRPr="00362035">
        <w:t xml:space="preserve">. </w:t>
      </w:r>
    </w:p>
    <w:p w:rsidR="00EA5E38" w:rsidRPr="005A2D3A" w:rsidRDefault="00EA5E38" w:rsidP="005A2D3A">
      <w:r w:rsidRPr="005A2D3A">
        <w:t xml:space="preserve">The main concern pertaining to the laboratory safety results is with regards to hypophosphatemia and urine fractional excretion of phosphate. The percentage of subjects with hypophosphatemia was higher in the </w:t>
      </w:r>
      <w:r w:rsidR="00FE2BA7" w:rsidRPr="005A2D3A">
        <w:t>Stribild</w:t>
      </w:r>
      <w:r w:rsidRPr="005A2D3A">
        <w:t xml:space="preserve"> group than in the ATR group in Study GS-US-236-0102. However, it was lower in the </w:t>
      </w:r>
      <w:r w:rsidR="00FE2BA7" w:rsidRPr="005A2D3A">
        <w:t>Stribild</w:t>
      </w:r>
      <w:r w:rsidRPr="005A2D3A">
        <w:t xml:space="preserve"> group than in the ATV/r+TVD group in Study GS-US-236-0103, and most o</w:t>
      </w:r>
      <w:r w:rsidR="00654450" w:rsidRPr="005A2D3A">
        <w:t>f the hypophosphatemia were of G</w:t>
      </w:r>
      <w:r w:rsidRPr="005A2D3A">
        <w:t xml:space="preserve">rades 1 or 2 in severity. The median increases from baseline of urine fractional excretion of phosphate at Week 48 was greater in the </w:t>
      </w:r>
      <w:r w:rsidR="00FE2BA7" w:rsidRPr="005A2D3A">
        <w:t>Stribild</w:t>
      </w:r>
      <w:r w:rsidRPr="005A2D3A">
        <w:t xml:space="preserve"> group compared to those in the ATR group in Study GS-US-236-0102, and those in the ATV/r+TVD group in Study GS-US-236-0103. However, the increases from baseline were small, of up to 2.7% through to Week 48, and the maximum median urine fractional excretion of phosphate were comparable between the </w:t>
      </w:r>
      <w:r w:rsidR="00FE2BA7" w:rsidRPr="005A2D3A">
        <w:t>Stribild</w:t>
      </w:r>
      <w:r w:rsidRPr="005A2D3A">
        <w:t xml:space="preserve"> groups and the respective active controls. The maximum median urine fractional excretion of phosphate in the </w:t>
      </w:r>
      <w:r w:rsidR="00FE2BA7" w:rsidRPr="005A2D3A">
        <w:t>Stribild</w:t>
      </w:r>
      <w:r w:rsidRPr="005A2D3A">
        <w:t xml:space="preserve"> groups w</w:t>
      </w:r>
      <w:r w:rsidR="00B03F1E">
        <w:t>as</w:t>
      </w:r>
      <w:r w:rsidRPr="005A2D3A">
        <w:t xml:space="preserve"> 12.4% and 12.6% in Study GS-US-236-0102 and Study GS-US-236-0103, respectively, falling within the normal range of 5% and 20%. Urine fractional excretion of phosphate was not measured in Study GS-US-236-0104, thus no results for beyond Week 48 was available. </w:t>
      </w:r>
    </w:p>
    <w:p w:rsidR="008E7846" w:rsidRDefault="008E7846" w:rsidP="008E7846">
      <w:pPr>
        <w:pStyle w:val="Heading3"/>
      </w:pPr>
      <w:bookmarkStart w:id="139" w:name="_Toc255919423"/>
      <w:bookmarkStart w:id="140" w:name="_Toc241374329"/>
      <w:bookmarkStart w:id="141" w:name="_Toc270320087"/>
      <w:bookmarkStart w:id="142" w:name="_Toc314842506"/>
      <w:bookmarkStart w:id="143" w:name="_Toc363456675"/>
      <w:bookmarkStart w:id="144" w:name="_Toc163441387"/>
      <w:bookmarkEnd w:id="131"/>
      <w:bookmarkEnd w:id="132"/>
      <w:bookmarkEnd w:id="133"/>
      <w:r>
        <w:t>List of questions</w:t>
      </w:r>
      <w:bookmarkEnd w:id="139"/>
      <w:bookmarkEnd w:id="140"/>
      <w:bookmarkEnd w:id="141"/>
      <w:bookmarkEnd w:id="142"/>
      <w:bookmarkEnd w:id="143"/>
    </w:p>
    <w:p w:rsidR="00EA5E38" w:rsidRPr="00AE4AFF" w:rsidRDefault="00EA5E38" w:rsidP="00AE4AFF">
      <w:pPr>
        <w:pStyle w:val="Heading4"/>
        <w:spacing w:before="120"/>
        <w:rPr>
          <w:b w:val="0"/>
          <w:i/>
        </w:rPr>
      </w:pPr>
      <w:bookmarkStart w:id="145" w:name="_Toc326305152"/>
      <w:bookmarkStart w:id="146" w:name="_Toc290846342"/>
      <w:bookmarkStart w:id="147" w:name="_Toc272414702"/>
      <w:r w:rsidRPr="00AE4AFF">
        <w:rPr>
          <w:b w:val="0"/>
          <w:i/>
        </w:rPr>
        <w:t>Pharmacokinetics</w:t>
      </w:r>
      <w:bookmarkEnd w:id="145"/>
      <w:bookmarkEnd w:id="146"/>
      <w:bookmarkEnd w:id="147"/>
    </w:p>
    <w:p w:rsidR="00EA5E38" w:rsidRPr="00EA5E38" w:rsidRDefault="00873E90" w:rsidP="00EA5E38">
      <w:r>
        <w:t xml:space="preserve">Question 1a. </w:t>
      </w:r>
      <w:r w:rsidR="00EA5E38" w:rsidRPr="00EA5E38">
        <w:t xml:space="preserve">Although EVG has the potential for stereoisomeric forms there were no studies on the possible inter-conversion of isomers </w:t>
      </w:r>
      <w:r w:rsidR="00BB7072" w:rsidRPr="00BB7072">
        <w:rPr>
          <w:i/>
        </w:rPr>
        <w:t>in vivo</w:t>
      </w:r>
      <w:r w:rsidR="00EA5E38" w:rsidRPr="00EA5E38">
        <w:t xml:space="preserve">. </w:t>
      </w:r>
      <w:r w:rsidR="00BC1840">
        <w:t>Was this issue addressed in non</w:t>
      </w:r>
      <w:r w:rsidR="00EA5E38" w:rsidRPr="00EA5E38">
        <w:t xml:space="preserve">clinical studies and inter-conversion ruled out? </w:t>
      </w:r>
    </w:p>
    <w:p w:rsidR="00EA5E38" w:rsidRPr="00EA5E38" w:rsidRDefault="00873E90" w:rsidP="00EA5E38">
      <w:r>
        <w:t>Question 1b.</w:t>
      </w:r>
      <w:r w:rsidR="003854F8">
        <w:t xml:space="preserve"> </w:t>
      </w:r>
      <w:r w:rsidR="00EA5E38" w:rsidRPr="00EA5E38">
        <w:t xml:space="preserve">In assessing the drug interaction potential of the </w:t>
      </w:r>
      <w:r w:rsidR="00FE2BA7">
        <w:t>Stribild</w:t>
      </w:r>
      <w:r w:rsidR="00EA5E38" w:rsidRPr="00EA5E38">
        <w:t xml:space="preserve"> reliance has been placed on </w:t>
      </w:r>
      <w:r w:rsidR="00BB7072" w:rsidRPr="00BB7072">
        <w:rPr>
          <w:i/>
        </w:rPr>
        <w:t>in vitro</w:t>
      </w:r>
      <w:r w:rsidR="00EA5E38" w:rsidRPr="00EA5E38">
        <w:t xml:space="preserve"> assessments and some </w:t>
      </w:r>
      <w:r w:rsidR="00BB7072" w:rsidRPr="00BB7072">
        <w:rPr>
          <w:i/>
        </w:rPr>
        <w:t>in vivo</w:t>
      </w:r>
      <w:r w:rsidR="00EA5E38" w:rsidRPr="00EA5E38">
        <w:t xml:space="preserve"> studies with ‘model’ substrates. There have been few </w:t>
      </w:r>
      <w:r w:rsidR="00BB7072" w:rsidRPr="00BB7072">
        <w:rPr>
          <w:i/>
        </w:rPr>
        <w:t>in vivo</w:t>
      </w:r>
      <w:r w:rsidR="00EA5E38" w:rsidRPr="00EA5E38">
        <w:t xml:space="preserve"> studies with medications used to treat possible co-morbid, non-virus related conditions. Given the effect of COBI on renal function and the potential use of lithium in HIV patients, and its known effect on renal function, has a study been conducted to examine this interaction? A study using the </w:t>
      </w:r>
      <w:r w:rsidR="00FE2BA7">
        <w:t>Stribild</w:t>
      </w:r>
      <w:r w:rsidR="00EA5E38" w:rsidRPr="00EA5E38">
        <w:t xml:space="preserve"> rather than any of the components would seem to be potentially more useful in deciding the clinical significance of any such interaction effects found. </w:t>
      </w:r>
    </w:p>
    <w:p w:rsidR="00EA5E38" w:rsidRPr="00AE4AFF" w:rsidRDefault="00EA5E38" w:rsidP="00AE4AFF">
      <w:pPr>
        <w:pStyle w:val="Heading4"/>
        <w:spacing w:before="120"/>
        <w:rPr>
          <w:b w:val="0"/>
          <w:i/>
        </w:rPr>
      </w:pPr>
      <w:bookmarkStart w:id="148" w:name="_Toc326305153"/>
      <w:bookmarkStart w:id="149" w:name="_Toc290846343"/>
      <w:bookmarkStart w:id="150" w:name="_Toc272414703"/>
      <w:r w:rsidRPr="00AE4AFF">
        <w:rPr>
          <w:b w:val="0"/>
          <w:i/>
        </w:rPr>
        <w:t>Pharmacodynamics</w:t>
      </w:r>
      <w:bookmarkEnd w:id="148"/>
      <w:bookmarkEnd w:id="149"/>
      <w:bookmarkEnd w:id="150"/>
    </w:p>
    <w:p w:rsidR="00EA5E38" w:rsidRPr="00EA5E38" w:rsidRDefault="00873E90" w:rsidP="00EA5E38">
      <w:bookmarkStart w:id="151" w:name="_Toc300307715"/>
      <w:bookmarkStart w:id="152" w:name="_Toc290846344"/>
      <w:bookmarkStart w:id="153" w:name="_Toc272414704"/>
      <w:r>
        <w:t>Question 2.</w:t>
      </w:r>
      <w:r w:rsidR="003854F8">
        <w:t xml:space="preserve"> </w:t>
      </w:r>
      <w:r w:rsidR="00EA5E38" w:rsidRPr="00EA5E38">
        <w:t xml:space="preserve">Has the potential PD interaction with the </w:t>
      </w:r>
      <w:r w:rsidR="00FE2BA7">
        <w:t>Stribild</w:t>
      </w:r>
      <w:r w:rsidR="00EA5E38" w:rsidRPr="00EA5E38">
        <w:t xml:space="preserve"> and alcohol been considered? Perhaps an </w:t>
      </w:r>
      <w:r w:rsidR="00BB7072" w:rsidRPr="00BB7072">
        <w:rPr>
          <w:i/>
        </w:rPr>
        <w:t>in vivo</w:t>
      </w:r>
      <w:r w:rsidR="00EA5E38" w:rsidRPr="00EA5E38">
        <w:t xml:space="preserve"> study assessing the effects on cognitive and psychomotor performance would be useful.</w:t>
      </w:r>
    </w:p>
    <w:p w:rsidR="00EA5E38" w:rsidRPr="00AE4AFF" w:rsidRDefault="00EA5E38" w:rsidP="00AE4AFF">
      <w:pPr>
        <w:pStyle w:val="Heading4"/>
        <w:spacing w:before="120"/>
        <w:rPr>
          <w:b w:val="0"/>
          <w:i/>
        </w:rPr>
      </w:pPr>
      <w:bookmarkStart w:id="154" w:name="_Toc326305154"/>
      <w:r w:rsidRPr="00AE4AFF">
        <w:rPr>
          <w:b w:val="0"/>
          <w:i/>
        </w:rPr>
        <w:t>Efficacy</w:t>
      </w:r>
      <w:bookmarkEnd w:id="151"/>
      <w:bookmarkEnd w:id="152"/>
      <w:bookmarkEnd w:id="153"/>
      <w:bookmarkEnd w:id="154"/>
    </w:p>
    <w:p w:rsidR="00EA5E38" w:rsidRPr="00EA5E38" w:rsidRDefault="00873E90" w:rsidP="00AE4AFF">
      <w:r>
        <w:t>Question 3.</w:t>
      </w:r>
      <w:r w:rsidR="003854F8">
        <w:t xml:space="preserve"> </w:t>
      </w:r>
      <w:r w:rsidR="00EA5E38" w:rsidRPr="00EA5E38">
        <w:t>Please justify the dose for EVG</w:t>
      </w:r>
      <w:r w:rsidR="00841BE4">
        <w:t xml:space="preserve"> </w:t>
      </w:r>
      <w:r w:rsidR="00EA5E38" w:rsidRPr="00EA5E38">
        <w:t xml:space="preserve">in the formulation of </w:t>
      </w:r>
      <w:r w:rsidR="00FE2BA7">
        <w:t>Stribild</w:t>
      </w:r>
      <w:r w:rsidR="00EA5E38" w:rsidRPr="00EA5E38">
        <w:t>.</w:t>
      </w:r>
      <w:r>
        <w:t xml:space="preserve"> </w:t>
      </w:r>
      <w:r w:rsidR="00EA5E38" w:rsidRPr="00EA5E38">
        <w:t>In describing the justification for choice of dose of EVG, the sponsor has stated that in study GS-US-183-0105, RTV-boosted EVG of 125</w:t>
      </w:r>
      <w:r w:rsidR="000E5497">
        <w:t xml:space="preserve"> </w:t>
      </w:r>
      <w:r w:rsidR="00EA5E38" w:rsidRPr="00EA5E38">
        <w:t>mg dose formulation was used, and that study GS-US-183-0140 showed that the 125 mg dose and the 150 mg dose of EVG provided bioequivalent EVG exposures. No rationale was given for the choice of 150</w:t>
      </w:r>
      <w:r w:rsidR="000E5497">
        <w:t xml:space="preserve"> </w:t>
      </w:r>
      <w:r w:rsidR="00EA5E38" w:rsidRPr="00EA5E38">
        <w:t>mg instead of 125</w:t>
      </w:r>
      <w:r w:rsidR="005A2D3A">
        <w:t xml:space="preserve"> </w:t>
      </w:r>
      <w:r w:rsidR="00EA5E38" w:rsidRPr="00EA5E38">
        <w:t xml:space="preserve">mg of EVG. </w:t>
      </w:r>
    </w:p>
    <w:p w:rsidR="008E7846" w:rsidRPr="006E137C" w:rsidRDefault="007023C8" w:rsidP="008E7846">
      <w:pPr>
        <w:pStyle w:val="Heading3"/>
      </w:pPr>
      <w:bookmarkStart w:id="155" w:name="_Toc247691523"/>
      <w:bookmarkStart w:id="156" w:name="_Toc314842507"/>
      <w:bookmarkStart w:id="157" w:name="_Toc363456676"/>
      <w:bookmarkStart w:id="158" w:name="_Toc184440295"/>
      <w:bookmarkStart w:id="159" w:name="_Toc184444673"/>
      <w:bookmarkStart w:id="160" w:name="_Toc196046503"/>
      <w:bookmarkEnd w:id="144"/>
      <w:r>
        <w:lastRenderedPageBreak/>
        <w:t>First round c</w:t>
      </w:r>
      <w:r w:rsidR="008E7846">
        <w:t>linical summary and conclusions</w:t>
      </w:r>
      <w:bookmarkEnd w:id="155"/>
      <w:bookmarkEnd w:id="156"/>
      <w:bookmarkEnd w:id="157"/>
    </w:p>
    <w:p w:rsidR="00AD6AB2" w:rsidRDefault="007023C8" w:rsidP="00AD6AB2">
      <w:pPr>
        <w:pStyle w:val="Heading4"/>
      </w:pPr>
      <w:bookmarkStart w:id="161" w:name="_Toc196046504"/>
      <w:bookmarkStart w:id="162" w:name="_Toc163441390"/>
      <w:bookmarkEnd w:id="158"/>
      <w:bookmarkEnd w:id="159"/>
      <w:bookmarkEnd w:id="160"/>
      <w:r>
        <w:t>First round b</w:t>
      </w:r>
      <w:r w:rsidR="00AD6AB2">
        <w:t xml:space="preserve">enefit-risk assessment </w:t>
      </w:r>
    </w:p>
    <w:p w:rsidR="00AD6AB2" w:rsidRDefault="007023C8" w:rsidP="00AD6AB2">
      <w:pPr>
        <w:pStyle w:val="Heading5"/>
      </w:pPr>
      <w:r>
        <w:t>First round a</w:t>
      </w:r>
      <w:r w:rsidR="00AD6AB2">
        <w:t>ssessment of benefits</w:t>
      </w:r>
    </w:p>
    <w:p w:rsidR="00EA5E38" w:rsidRDefault="00EA5E38" w:rsidP="00EA5E38">
      <w:r>
        <w:t xml:space="preserve">The benefit of </w:t>
      </w:r>
      <w:r w:rsidR="00FE2BA7">
        <w:t>Stribild</w:t>
      </w:r>
      <w:r>
        <w:t xml:space="preserve"> in the propo</w:t>
      </w:r>
      <w:r w:rsidR="00CB0D53">
        <w:t xml:space="preserve">sed usage is as an alternative </w:t>
      </w:r>
      <w:r>
        <w:t>STR, combining an INSTI with an N(t)RTI backbone, for the treatment of ARV treatment-</w:t>
      </w:r>
      <w:r w:rsidR="007553B1">
        <w:t>naïve</w:t>
      </w:r>
      <w:r>
        <w:t xml:space="preserve"> HIV-1 infected adult patients. Current treatment guidelines recommend that initial treatment for ARV treatment-</w:t>
      </w:r>
      <w:r w:rsidR="007553B1">
        <w:t>naïve</w:t>
      </w:r>
      <w:r>
        <w:t xml:space="preserve"> HIV-1 infected patients should involve </w:t>
      </w:r>
      <w:r w:rsidR="005C1062">
        <w:t xml:space="preserve">2 </w:t>
      </w:r>
      <w:r>
        <w:t>N(t)RTIs (</w:t>
      </w:r>
      <w:r w:rsidR="005A2D3A">
        <w:t xml:space="preserve">for example, </w:t>
      </w:r>
      <w:r>
        <w:t>FTC and TDF) and either an NNRTI (</w:t>
      </w:r>
      <w:r w:rsidR="005A2D3A">
        <w:t xml:space="preserve">for example </w:t>
      </w:r>
      <w:r>
        <w:t xml:space="preserve">EFV or </w:t>
      </w:r>
      <w:r w:rsidR="00B40747">
        <w:t>RPV</w:t>
      </w:r>
      <w:r>
        <w:t xml:space="preserve">), a boosted protease inhibitor, or an INSTI. Currently in Australia, </w:t>
      </w:r>
      <w:r w:rsidR="00954626">
        <w:t>RTG</w:t>
      </w:r>
      <w:r>
        <w:t xml:space="preserve"> is the only INSTI approved for u</w:t>
      </w:r>
      <w:r w:rsidR="005A2D3A">
        <w:t xml:space="preserve">se in adults. It requires twice </w:t>
      </w:r>
      <w:r>
        <w:t xml:space="preserve">daily dosing regimen, and is not formulated as an STR with an N(t)RTI combination. Currently in Australia, there are </w:t>
      </w:r>
      <w:r w:rsidR="005C1062">
        <w:t xml:space="preserve">2 </w:t>
      </w:r>
      <w:r>
        <w:t>STRs approved for once</w:t>
      </w:r>
      <w:r w:rsidR="005A2D3A">
        <w:t xml:space="preserve"> </w:t>
      </w:r>
      <w:r>
        <w:t>daily administration in the treatment of HIV-1 infection, and both combine an NNRTI with an N(t)RTI backbone of FTC and TDF: Atripla (FTC/TDF/EFV) and Eviplera (FTC/TDF/</w:t>
      </w:r>
      <w:r w:rsidR="00B40747">
        <w:t>RPV</w:t>
      </w:r>
      <w:r>
        <w:t xml:space="preserve">). No approved STRs exist that combine an INSTI with an N(t)RTI backbone. The </w:t>
      </w:r>
      <w:r w:rsidR="00FE2BA7">
        <w:t>Stribild</w:t>
      </w:r>
      <w:r>
        <w:t xml:space="preserve"> STR has a role as an alternative treatment for patients who cannot tolerate NNRTIs or boosted PIs, while allowing for a simplified drug regimen which can improve compliance and reduce the risk of development of drug resistance.</w:t>
      </w:r>
    </w:p>
    <w:p w:rsidR="00EA5E38" w:rsidRPr="005A2D3A" w:rsidRDefault="00EA5E38" w:rsidP="005A2D3A">
      <w:r w:rsidRPr="005A2D3A">
        <w:t xml:space="preserve">Efficacy results showed that the use of </w:t>
      </w:r>
      <w:r w:rsidR="00FE2BA7" w:rsidRPr="005A2D3A">
        <w:t>Stribild</w:t>
      </w:r>
      <w:r w:rsidRPr="005A2D3A">
        <w:t xml:space="preserve"> STR in</w:t>
      </w:r>
      <w:r w:rsidR="007553B1">
        <w:t xml:space="preserve"> the treatment of ARV treatment</w:t>
      </w:r>
      <w:r w:rsidR="007553B1">
        <w:noBreakHyphen/>
        <w:t>naïve</w:t>
      </w:r>
      <w:r w:rsidRPr="005A2D3A">
        <w:t xml:space="preserve"> HIV-1 infected adult pat</w:t>
      </w:r>
      <w:r w:rsidR="005A2D3A" w:rsidRPr="005A2D3A">
        <w:t>ients with baseline HIV-1 RNA ≥</w:t>
      </w:r>
      <w:r w:rsidRPr="005A2D3A">
        <w:t xml:space="preserve">5000 copies/mL, led to approximately 89% of patients achieving virologic levels of </w:t>
      </w:r>
      <w:r w:rsidR="005A2D3A" w:rsidRPr="005A2D3A">
        <w:t>&lt;</w:t>
      </w:r>
      <w:r w:rsidRPr="005A2D3A">
        <w:t xml:space="preserve">50 HIV-1 copies/mL at Week 48, as defined by the FDA snapshot analysis algorithm. When benchmarked against treatment guidelines-recommended first-line ARV drug of ATR STR or ARV drug regimen of ATV/r+TVD, this proportion of virologic response of </w:t>
      </w:r>
      <w:r w:rsidR="00FE2BA7" w:rsidRPr="005A2D3A">
        <w:t>Stribild</w:t>
      </w:r>
      <w:r w:rsidRPr="005A2D3A">
        <w:t xml:space="preserve"> was found to be non-inferior to those of ATR STR or ATV/r+TVD.</w:t>
      </w:r>
    </w:p>
    <w:p w:rsidR="00AD6AB2" w:rsidRDefault="00EA5E38" w:rsidP="005A2D3A">
      <w:pPr>
        <w:autoSpaceDE w:val="0"/>
        <w:autoSpaceDN w:val="0"/>
        <w:adjustRightInd w:val="0"/>
      </w:pPr>
      <w:r>
        <w:t xml:space="preserve">In addition, efficacy results in patients who were on </w:t>
      </w:r>
      <w:r w:rsidR="00FE2BA7">
        <w:t>Stribild</w:t>
      </w:r>
      <w:r>
        <w:t xml:space="preserve"> for more than 48 weeks showed that there was further and sustained suppression of HIV-1 RNA levels and increase in CD4 cell count, suggesting that both virological and immunological responses were sustained beyond 48 weeks of </w:t>
      </w:r>
      <w:r w:rsidR="00FE2BA7">
        <w:t>Stribild</w:t>
      </w:r>
      <w:r>
        <w:t xml:space="preserve"> dosing.</w:t>
      </w:r>
    </w:p>
    <w:p w:rsidR="00AD6AB2" w:rsidRDefault="007023C8" w:rsidP="00AD6AB2">
      <w:pPr>
        <w:pStyle w:val="Heading5"/>
      </w:pPr>
      <w:r>
        <w:t>First round a</w:t>
      </w:r>
      <w:r w:rsidR="00AD6AB2">
        <w:t>ssessment of risks</w:t>
      </w:r>
    </w:p>
    <w:p w:rsidR="00EA5E38" w:rsidRDefault="00EA5E38" w:rsidP="00EA5E38">
      <w:r>
        <w:t xml:space="preserve">The risks of </w:t>
      </w:r>
      <w:r w:rsidR="00FE2BA7">
        <w:t>Stribild</w:t>
      </w:r>
      <w:r>
        <w:t xml:space="preserve"> in the proposed usage are:</w:t>
      </w:r>
    </w:p>
    <w:p w:rsidR="00EA5E38" w:rsidRPr="005A2D3A" w:rsidRDefault="00EA5E38" w:rsidP="005A2D3A">
      <w:pPr>
        <w:pStyle w:val="ListBullet"/>
      </w:pPr>
      <w:r w:rsidRPr="005A2D3A">
        <w:t>the potential adverse effect on the renal system</w:t>
      </w:r>
    </w:p>
    <w:p w:rsidR="00EA5E38" w:rsidRDefault="005A2D3A" w:rsidP="00EA5E38">
      <w:pPr>
        <w:pStyle w:val="Bullet1"/>
        <w:numPr>
          <w:ilvl w:val="0"/>
          <w:numId w:val="0"/>
        </w:numPr>
        <w:tabs>
          <w:tab w:val="left" w:pos="720"/>
        </w:tabs>
        <w:spacing w:before="0" w:after="120"/>
        <w:rPr>
          <w:kern w:val="0"/>
          <w:szCs w:val="22"/>
        </w:rPr>
      </w:pPr>
      <w:r>
        <w:rPr>
          <w:kern w:val="0"/>
          <w:szCs w:val="22"/>
        </w:rPr>
        <w:t xml:space="preserve">In the </w:t>
      </w:r>
      <w:r w:rsidR="005C1062">
        <w:rPr>
          <w:kern w:val="0"/>
          <w:szCs w:val="22"/>
        </w:rPr>
        <w:t xml:space="preserve">2 </w:t>
      </w:r>
      <w:r w:rsidR="00EA5E38">
        <w:rPr>
          <w:kern w:val="0"/>
          <w:szCs w:val="22"/>
        </w:rPr>
        <w:t>pivotal Phase III registration studies, safety results showed that the incidence of renal AE of interest as well as</w:t>
      </w:r>
      <w:r w:rsidR="00841BE4">
        <w:rPr>
          <w:kern w:val="0"/>
          <w:szCs w:val="22"/>
        </w:rPr>
        <w:t xml:space="preserve"> </w:t>
      </w:r>
      <w:r w:rsidR="00EA5E38">
        <w:rPr>
          <w:kern w:val="0"/>
          <w:szCs w:val="22"/>
        </w:rPr>
        <w:t xml:space="preserve">the percentage of patients who discontinued study drug due to renal AEs, were higher in the pooled </w:t>
      </w:r>
      <w:r w:rsidR="00FE2BA7">
        <w:t>Stribild</w:t>
      </w:r>
      <w:r w:rsidR="00EA5E38">
        <w:rPr>
          <w:kern w:val="0"/>
          <w:szCs w:val="22"/>
        </w:rPr>
        <w:t xml:space="preserve"> group than in the ATR or ATV/r+TVD group. In addition, the majority of the renal AEs of interest in the </w:t>
      </w:r>
      <w:r w:rsidR="00FE2BA7">
        <w:t>Stribild</w:t>
      </w:r>
      <w:r w:rsidR="00EA5E38">
        <w:rPr>
          <w:kern w:val="0"/>
          <w:szCs w:val="22"/>
        </w:rPr>
        <w:t xml:space="preserve"> group were that of renal failure.</w:t>
      </w:r>
    </w:p>
    <w:p w:rsidR="00EA5E38" w:rsidRDefault="00EA5E38" w:rsidP="00EA5E38">
      <w:pPr>
        <w:pStyle w:val="Bullet1"/>
        <w:numPr>
          <w:ilvl w:val="0"/>
          <w:numId w:val="0"/>
        </w:numPr>
        <w:tabs>
          <w:tab w:val="left" w:pos="720"/>
        </w:tabs>
        <w:spacing w:before="0" w:after="120"/>
        <w:rPr>
          <w:kern w:val="0"/>
          <w:szCs w:val="22"/>
        </w:rPr>
      </w:pPr>
      <w:r>
        <w:rPr>
          <w:kern w:val="0"/>
          <w:szCs w:val="22"/>
        </w:rPr>
        <w:t xml:space="preserve">However, the renal AEs and the abnormal renal parameters appeared to be reversible after drug discontinuation, and none of the subjects with renal failure in the </w:t>
      </w:r>
      <w:r w:rsidR="00FE2BA7">
        <w:t>Stribild</w:t>
      </w:r>
      <w:r>
        <w:rPr>
          <w:kern w:val="0"/>
          <w:szCs w:val="22"/>
        </w:rPr>
        <w:t xml:space="preserve"> group required dialysis or other forms of renal replacement therapy during the study. This also needs to be considered in the context that the renal </w:t>
      </w:r>
      <w:r w:rsidR="00B75105">
        <w:rPr>
          <w:kern w:val="0"/>
          <w:szCs w:val="22"/>
        </w:rPr>
        <w:t xml:space="preserve">AEs </w:t>
      </w:r>
      <w:r>
        <w:rPr>
          <w:kern w:val="0"/>
          <w:szCs w:val="22"/>
        </w:rPr>
        <w:t>and abnormal laboratory parameters can be monitored and detected by routine laboratory tests. It is also noted that the reporting of the AE of renal failure was based on renal laboratory abnormalities (raised serum creatinine and reduced eGFR), and analysis of renal laboratory parameters showed that although there were greater increases in median values for serum creatinine and a greater decrease in median eGFR</w:t>
      </w:r>
      <w:r>
        <w:rPr>
          <w:kern w:val="0"/>
          <w:szCs w:val="22"/>
          <w:vertAlign w:val="subscript"/>
        </w:rPr>
        <w:t xml:space="preserve">CG </w:t>
      </w:r>
      <w:r>
        <w:rPr>
          <w:kern w:val="0"/>
          <w:szCs w:val="22"/>
        </w:rPr>
        <w:t xml:space="preserve">in the pooled </w:t>
      </w:r>
      <w:r w:rsidR="00FE2BA7">
        <w:t>Stribild</w:t>
      </w:r>
      <w:r>
        <w:rPr>
          <w:kern w:val="0"/>
          <w:szCs w:val="22"/>
        </w:rPr>
        <w:t xml:space="preserve"> group compared to the ATR and ATV/r+TVD groups, there were no corresponding decreases from baseline of cysGFR, suggesting that the raised serum creatinine levels and reduced eGFR</w:t>
      </w:r>
      <w:r>
        <w:rPr>
          <w:kern w:val="0"/>
          <w:szCs w:val="22"/>
          <w:vertAlign w:val="subscript"/>
        </w:rPr>
        <w:t>CG</w:t>
      </w:r>
      <w:r>
        <w:rPr>
          <w:kern w:val="0"/>
          <w:szCs w:val="22"/>
        </w:rPr>
        <w:t xml:space="preserve"> could be due to the inhibition of tubular secretion of creatinine by COBI, and not reflecting an actual nephrotoxic effect of </w:t>
      </w:r>
      <w:r w:rsidR="00FE2BA7">
        <w:t>Stribild</w:t>
      </w:r>
      <w:r>
        <w:rPr>
          <w:kern w:val="0"/>
          <w:szCs w:val="22"/>
        </w:rPr>
        <w:t xml:space="preserve">. </w:t>
      </w:r>
    </w:p>
    <w:p w:rsidR="00EA5E38" w:rsidRDefault="00BC1840" w:rsidP="00EA5E38">
      <w:pPr>
        <w:pStyle w:val="Bullet1"/>
        <w:numPr>
          <w:ilvl w:val="0"/>
          <w:numId w:val="0"/>
        </w:numPr>
        <w:tabs>
          <w:tab w:val="left" w:pos="720"/>
        </w:tabs>
        <w:spacing w:before="0" w:after="120"/>
        <w:rPr>
          <w:kern w:val="0"/>
          <w:szCs w:val="22"/>
        </w:rPr>
      </w:pPr>
      <w:r>
        <w:rPr>
          <w:kern w:val="0"/>
          <w:szCs w:val="22"/>
        </w:rPr>
        <w:lastRenderedPageBreak/>
        <w:t xml:space="preserve">In the </w:t>
      </w:r>
      <w:r w:rsidR="005C1062">
        <w:rPr>
          <w:kern w:val="0"/>
          <w:szCs w:val="22"/>
        </w:rPr>
        <w:t xml:space="preserve">2 </w:t>
      </w:r>
      <w:r w:rsidR="00EA5E38">
        <w:rPr>
          <w:kern w:val="0"/>
          <w:szCs w:val="22"/>
        </w:rPr>
        <w:t xml:space="preserve">pivotal Phase III registration studies, the median increase from baseline of urine fractional excretion of phosphate, used as a measure of proximal renal tubular injury, was greater at Week 48 in the </w:t>
      </w:r>
      <w:r w:rsidR="00FE2BA7">
        <w:t>Stribild</w:t>
      </w:r>
      <w:r w:rsidR="00EA5E38">
        <w:rPr>
          <w:kern w:val="0"/>
          <w:szCs w:val="22"/>
        </w:rPr>
        <w:t xml:space="preserve"> group compared to those in the ATR or ATV/r+TVD group. However, the increases from baseline were small</w:t>
      </w:r>
      <w:r>
        <w:rPr>
          <w:kern w:val="0"/>
          <w:szCs w:val="22"/>
        </w:rPr>
        <w:t xml:space="preserve"> (</w:t>
      </w:r>
      <w:r w:rsidR="00EA5E38">
        <w:rPr>
          <w:kern w:val="0"/>
          <w:szCs w:val="22"/>
        </w:rPr>
        <w:t>up to 2.7% through to Week 48</w:t>
      </w:r>
      <w:r>
        <w:rPr>
          <w:kern w:val="0"/>
          <w:szCs w:val="22"/>
        </w:rPr>
        <w:t>)</w:t>
      </w:r>
      <w:r w:rsidR="00EA5E38">
        <w:rPr>
          <w:kern w:val="0"/>
          <w:szCs w:val="22"/>
        </w:rPr>
        <w:t xml:space="preserve"> and the maximum median urine fractional excretion of phosphate were comparable between the </w:t>
      </w:r>
      <w:r w:rsidR="00FE2BA7">
        <w:t>Stribild</w:t>
      </w:r>
      <w:r w:rsidR="00EA5E38">
        <w:rPr>
          <w:kern w:val="0"/>
          <w:szCs w:val="22"/>
        </w:rPr>
        <w:t xml:space="preserve"> groups and the respective active controls. In addition, the maximum median urine fractional excretion of phosphate in the </w:t>
      </w:r>
      <w:r w:rsidR="00FE2BA7">
        <w:t>Stribild</w:t>
      </w:r>
      <w:r w:rsidR="00EA5E38">
        <w:rPr>
          <w:kern w:val="0"/>
          <w:szCs w:val="22"/>
        </w:rPr>
        <w:t xml:space="preserve"> groups of 12.4% and 12.6% in Study GS-US-236-0102 and Study GS-US-236-0103, respectively, fell within the normal range of 5% and 20%. This was also not associated with significant concerns regarding the incidence of hypophosphatemia, with safety results showing that the percentage of subjects with hypophosphatemia in the </w:t>
      </w:r>
      <w:r w:rsidR="00FE2BA7">
        <w:t>Stribild</w:t>
      </w:r>
      <w:r w:rsidR="00EA5E38">
        <w:rPr>
          <w:kern w:val="0"/>
          <w:szCs w:val="22"/>
        </w:rPr>
        <w:t xml:space="preserve"> group, although higher than that in the ATR group, was lower than that in the ATV/r+TVD group, and that most of the hypophosphatemia were of </w:t>
      </w:r>
      <w:r>
        <w:rPr>
          <w:kern w:val="0"/>
          <w:szCs w:val="22"/>
        </w:rPr>
        <w:t>G</w:t>
      </w:r>
      <w:r w:rsidR="00EA5E38">
        <w:rPr>
          <w:kern w:val="0"/>
          <w:szCs w:val="22"/>
        </w:rPr>
        <w:t>rades 1 or 2 in severity.</w:t>
      </w:r>
    </w:p>
    <w:p w:rsidR="00EA5E38" w:rsidRDefault="00EA5E38" w:rsidP="00BC1840">
      <w:pPr>
        <w:pStyle w:val="ListBullet"/>
      </w:pPr>
      <w:r>
        <w:t>the emergence of resistance to INSTI</w:t>
      </w:r>
    </w:p>
    <w:p w:rsidR="00AD6AB2" w:rsidRDefault="00EA5E38" w:rsidP="00BC1840">
      <w:pPr>
        <w:pStyle w:val="Bullet1"/>
        <w:numPr>
          <w:ilvl w:val="0"/>
          <w:numId w:val="0"/>
        </w:numPr>
        <w:tabs>
          <w:tab w:val="left" w:pos="720"/>
        </w:tabs>
        <w:spacing w:before="0" w:after="120"/>
      </w:pPr>
      <w:r>
        <w:rPr>
          <w:kern w:val="0"/>
          <w:szCs w:val="22"/>
        </w:rPr>
        <w:t xml:space="preserve">Study results suggested that development of INSTI-R mutations may be an issue with the use of </w:t>
      </w:r>
      <w:r w:rsidR="00FE2BA7">
        <w:t>Stribild</w:t>
      </w:r>
      <w:r>
        <w:rPr>
          <w:kern w:val="0"/>
          <w:szCs w:val="22"/>
        </w:rPr>
        <w:t>, compared to the active controls of ATR and ATV/r+TVD. This, h</w:t>
      </w:r>
      <w:r w:rsidR="00BC1840">
        <w:rPr>
          <w:kern w:val="0"/>
          <w:szCs w:val="22"/>
        </w:rPr>
        <w:t xml:space="preserve">owever, is within expectations </w:t>
      </w:r>
      <w:r>
        <w:rPr>
          <w:kern w:val="0"/>
          <w:szCs w:val="22"/>
        </w:rPr>
        <w:t>as ne</w:t>
      </w:r>
      <w:r w:rsidR="00BC1840">
        <w:rPr>
          <w:kern w:val="0"/>
          <w:szCs w:val="22"/>
        </w:rPr>
        <w:t>ither ATR nor ATV/r+TVD contain</w:t>
      </w:r>
      <w:r>
        <w:rPr>
          <w:kern w:val="0"/>
          <w:szCs w:val="22"/>
        </w:rPr>
        <w:t xml:space="preserve"> an INSTI, whereas the EVG component of </w:t>
      </w:r>
      <w:r w:rsidR="00FE2BA7">
        <w:t>Stribild</w:t>
      </w:r>
      <w:r>
        <w:rPr>
          <w:kern w:val="0"/>
          <w:szCs w:val="22"/>
        </w:rPr>
        <w:t xml:space="preserve"> is an INSTI. </w:t>
      </w:r>
      <w:r>
        <w:rPr>
          <w:kern w:val="0"/>
          <w:szCs w:val="22"/>
          <w:lang w:val="en-US" w:eastAsia="en-US"/>
        </w:rPr>
        <w:t xml:space="preserve">The calculated percentage of patients in the </w:t>
      </w:r>
      <w:r w:rsidR="00FE2BA7">
        <w:t>Stribild</w:t>
      </w:r>
      <w:r>
        <w:rPr>
          <w:kern w:val="0"/>
          <w:szCs w:val="22"/>
          <w:lang w:val="en-US" w:eastAsia="en-US"/>
        </w:rPr>
        <w:t xml:space="preserve"> group with emergent INSTI-R mutations was low: 2.0% in </w:t>
      </w:r>
      <w:r>
        <w:rPr>
          <w:kern w:val="0"/>
          <w:szCs w:val="22"/>
        </w:rPr>
        <w:t>Study GS-US-236-0102, and</w:t>
      </w:r>
      <w:r>
        <w:rPr>
          <w:kern w:val="0"/>
          <w:szCs w:val="22"/>
          <w:lang w:val="en-US" w:eastAsia="en-US"/>
        </w:rPr>
        <w:t xml:space="preserve"> 1.1% in </w:t>
      </w:r>
      <w:r>
        <w:rPr>
          <w:kern w:val="0"/>
          <w:szCs w:val="22"/>
        </w:rPr>
        <w:t xml:space="preserve">Study GS-US-236-0103 (assuming that subjects who did not show virologic failure, and hence </w:t>
      </w:r>
      <w:r w:rsidR="00BC1840">
        <w:rPr>
          <w:kern w:val="0"/>
          <w:szCs w:val="22"/>
        </w:rPr>
        <w:t xml:space="preserve">were </w:t>
      </w:r>
      <w:r>
        <w:rPr>
          <w:kern w:val="0"/>
          <w:szCs w:val="22"/>
        </w:rPr>
        <w:t xml:space="preserve">not tested for study drug resistance, did not develop the resistance mutations). The proportions of patients who developed emergent </w:t>
      </w:r>
      <w:r>
        <w:rPr>
          <w:kern w:val="0"/>
          <w:szCs w:val="22"/>
          <w:lang w:val="en-US" w:eastAsia="en-US"/>
        </w:rPr>
        <w:t>RT-R mutations</w:t>
      </w:r>
      <w:r>
        <w:rPr>
          <w:kern w:val="0"/>
          <w:szCs w:val="22"/>
        </w:rPr>
        <w:t xml:space="preserve"> were similar between the </w:t>
      </w:r>
      <w:r w:rsidR="00FE2BA7">
        <w:t>Stribild</w:t>
      </w:r>
      <w:r>
        <w:rPr>
          <w:kern w:val="0"/>
          <w:szCs w:val="22"/>
        </w:rPr>
        <w:t xml:space="preserve"> and ATR groups, but higher in the </w:t>
      </w:r>
      <w:r w:rsidR="00FE2BA7">
        <w:t>Stribild</w:t>
      </w:r>
      <w:r>
        <w:rPr>
          <w:kern w:val="0"/>
          <w:szCs w:val="22"/>
          <w:lang w:val="en-US" w:eastAsia="en-US"/>
        </w:rPr>
        <w:t xml:space="preserve"> group compared to the </w:t>
      </w:r>
      <w:r>
        <w:rPr>
          <w:kern w:val="0"/>
          <w:szCs w:val="22"/>
        </w:rPr>
        <w:t xml:space="preserve">ATV/r+TVD group, </w:t>
      </w:r>
      <w:r>
        <w:rPr>
          <w:kern w:val="0"/>
          <w:szCs w:val="22"/>
          <w:lang w:val="en-US" w:eastAsia="en-US"/>
        </w:rPr>
        <w:t xml:space="preserve">although </w:t>
      </w:r>
      <w:r>
        <w:rPr>
          <w:kern w:val="0"/>
          <w:szCs w:val="22"/>
        </w:rPr>
        <w:t>the number of patients analysed for emergent study drug resistance was too small for meaningful statistical analysis</w:t>
      </w:r>
    </w:p>
    <w:p w:rsidR="00AD6AB2" w:rsidRDefault="007023C8" w:rsidP="00AD6AB2">
      <w:pPr>
        <w:pStyle w:val="Heading5"/>
      </w:pPr>
      <w:bookmarkStart w:id="163" w:name="_Toc236802597"/>
      <w:bookmarkStart w:id="164" w:name="_Toc241374335"/>
      <w:bookmarkStart w:id="165" w:name="_Toc272414695"/>
      <w:bookmarkStart w:id="166" w:name="_Toc290846333"/>
      <w:bookmarkStart w:id="167" w:name="_Toc326576884"/>
      <w:r>
        <w:t>First round a</w:t>
      </w:r>
      <w:r w:rsidR="00AD6AB2">
        <w:t>ssessment of benefit-risk balance</w:t>
      </w:r>
      <w:bookmarkEnd w:id="163"/>
      <w:bookmarkEnd w:id="164"/>
      <w:bookmarkEnd w:id="165"/>
      <w:bookmarkEnd w:id="166"/>
      <w:bookmarkEnd w:id="167"/>
    </w:p>
    <w:p w:rsidR="00EA5E38" w:rsidRDefault="00EA5E38" w:rsidP="00EA5E38">
      <w:r>
        <w:t xml:space="preserve">The benefit-risk balance of </w:t>
      </w:r>
      <w:r w:rsidR="00FE2BA7">
        <w:t>Stribild</w:t>
      </w:r>
      <w:r>
        <w:t>, given the proposed usage, is favourable.</w:t>
      </w:r>
    </w:p>
    <w:p w:rsidR="00EA5E38" w:rsidRPr="00BC1840" w:rsidRDefault="00EA5E38" w:rsidP="00BC1840">
      <w:pPr>
        <w:pStyle w:val="ListBullet"/>
      </w:pPr>
      <w:r w:rsidRPr="00BC1840">
        <w:t xml:space="preserve">Efficacy results showed that the use of </w:t>
      </w:r>
      <w:r w:rsidR="00BC1840">
        <w:t>Stribild</w:t>
      </w:r>
      <w:r w:rsidRPr="00BC1840">
        <w:t xml:space="preserve"> STR in</w:t>
      </w:r>
      <w:r w:rsidR="007553B1">
        <w:t xml:space="preserve"> the treatment of ARV treatment</w:t>
      </w:r>
      <w:r w:rsidR="007553B1">
        <w:noBreakHyphen/>
        <w:t>naïve</w:t>
      </w:r>
      <w:r w:rsidRPr="00BC1840">
        <w:t xml:space="preserve"> HIV-1 infected adult patients with baseline HIV-1 RNA ≥5000 copies/mL, led to approximately 89% of patients achieving virologic levels of </w:t>
      </w:r>
      <w:r w:rsidR="00BC1840">
        <w:t>&lt;</w:t>
      </w:r>
      <w:r w:rsidRPr="00BC1840">
        <w:t xml:space="preserve">50 HIV-1 copies/mL at Week 48, as defined by the FDA snapshot analysis algorithm. When benchmarked against treatment guidelines-recommended first-line ARV drug of ATR STR or ARV drug regimen of ATV/r+TVD, this proportion of virologic response of </w:t>
      </w:r>
      <w:r w:rsidR="00B75105">
        <w:t>Stribild</w:t>
      </w:r>
      <w:r w:rsidRPr="00BC1840">
        <w:t xml:space="preserve"> was found to be non-inferior to those of ATR STR or ATV/r+TVD. </w:t>
      </w:r>
    </w:p>
    <w:p w:rsidR="00EA5E38" w:rsidRPr="00BC1840" w:rsidRDefault="00EA5E38" w:rsidP="00BC1840">
      <w:pPr>
        <w:pStyle w:val="ListBullet"/>
      </w:pPr>
      <w:r w:rsidRPr="00BC1840">
        <w:t xml:space="preserve">Preliminary efficacy results in patients who were on </w:t>
      </w:r>
      <w:r w:rsidR="00B75105">
        <w:t>Stribild</w:t>
      </w:r>
      <w:r w:rsidR="00B75105" w:rsidRPr="00BC1840">
        <w:t xml:space="preserve"> </w:t>
      </w:r>
      <w:r w:rsidRPr="00BC1840">
        <w:t xml:space="preserve">for more than 48 weeks suggested that there was further and sustained suppression of HIV-1 RNA levels and increase in CD4 cell count, suggesting that both virological and immunological responses were sustained beyond 48 weeks of </w:t>
      </w:r>
      <w:r w:rsidR="003854F8">
        <w:t>Stribild</w:t>
      </w:r>
      <w:r w:rsidRPr="00BC1840">
        <w:t xml:space="preserve"> dosing.</w:t>
      </w:r>
    </w:p>
    <w:p w:rsidR="00EA5E38" w:rsidRPr="00BC1840" w:rsidRDefault="00EA5E38" w:rsidP="00BC1840">
      <w:r w:rsidRPr="00BC1840">
        <w:t xml:space="preserve">The main risks involve the potential adverse effect on the renal system and the emergence of resistance to INSTI with the use of </w:t>
      </w:r>
      <w:r w:rsidR="00B75105">
        <w:t>Stribild</w:t>
      </w:r>
      <w:r w:rsidRPr="00BC1840">
        <w:t xml:space="preserve">. </w:t>
      </w:r>
    </w:p>
    <w:p w:rsidR="00EA5E38" w:rsidRPr="00B75105" w:rsidRDefault="00EA5E38" w:rsidP="00B75105">
      <w:pPr>
        <w:pStyle w:val="ListBullet"/>
      </w:pPr>
      <w:r w:rsidRPr="00B75105">
        <w:t>potential adverse effect on the renal system</w:t>
      </w:r>
    </w:p>
    <w:p w:rsidR="00EA5E38" w:rsidRPr="00B75105" w:rsidRDefault="00EA5E38" w:rsidP="00B75105">
      <w:pPr>
        <w:ind w:left="360"/>
      </w:pPr>
      <w:r w:rsidRPr="00B75105">
        <w:t xml:space="preserve">Although safety results showed that there was a higher incidence of renal AE of interest in the </w:t>
      </w:r>
      <w:r w:rsidR="003854F8">
        <w:t>Stribild</w:t>
      </w:r>
      <w:r w:rsidRPr="00B75105">
        <w:t xml:space="preserve"> group than in the ATR or ATV/r+TVD group, and that the majority of these renal AEs of interest in the </w:t>
      </w:r>
      <w:r w:rsidR="00B75105">
        <w:t>Stribild</w:t>
      </w:r>
      <w:r w:rsidR="00B75105" w:rsidRPr="00B75105">
        <w:t xml:space="preserve"> </w:t>
      </w:r>
      <w:r w:rsidRPr="00B75105">
        <w:t>group were renal failure, the reporting of these AEs of renal failure was based on renal laboratory abnormalities (raised serum creatinine and reduced eGFR). Analysis of renal laboratory parameters showed that although there were greater increases in median values for serum creatinine and a greater decrease in median eGFR</w:t>
      </w:r>
      <w:r w:rsidRPr="00B75105">
        <w:rPr>
          <w:vertAlign w:val="subscript"/>
        </w:rPr>
        <w:t>CG</w:t>
      </w:r>
      <w:r w:rsidRPr="00B75105">
        <w:t xml:space="preserve"> in the </w:t>
      </w:r>
      <w:r w:rsidR="00B75105">
        <w:t>Stribild</w:t>
      </w:r>
      <w:r w:rsidR="00B75105" w:rsidRPr="00B75105">
        <w:t xml:space="preserve"> </w:t>
      </w:r>
      <w:r w:rsidRPr="00B75105">
        <w:t xml:space="preserve">group compared to the ATR or ATV/r+TVD groups, there were no corresponding decreases from baseline of cysGFR. This raised the possibility that the increased serum creatinine levels and </w:t>
      </w:r>
      <w:r w:rsidRPr="00B75105">
        <w:lastRenderedPageBreak/>
        <w:t>reduced eGFR</w:t>
      </w:r>
      <w:r w:rsidRPr="00B75105">
        <w:rPr>
          <w:vertAlign w:val="subscript"/>
        </w:rPr>
        <w:t>CG</w:t>
      </w:r>
      <w:r w:rsidRPr="00B75105">
        <w:t xml:space="preserve"> could be due to the inhibition of tubular secretion of creatinine by COBI, and not reflecting an actual nephrotoxic effect of </w:t>
      </w:r>
      <w:r w:rsidR="00B75105">
        <w:t>Stribild</w:t>
      </w:r>
      <w:r w:rsidRPr="00B75105">
        <w:t xml:space="preserve">, and that the renal AEs were triggered when the raised serum creatinine and reduced eGFR were noted. In addition, the renal AEs and the abnormal renal parameters appeared to be reversible after drug discontinuation. It is also taken into consideration that the renal </w:t>
      </w:r>
      <w:r w:rsidR="00B75105">
        <w:t>AE</w:t>
      </w:r>
      <w:r w:rsidRPr="00B75105">
        <w:t xml:space="preserve">s and abnormal laboratory parameters can be monitored and detected by routine laboratory tests. </w:t>
      </w:r>
    </w:p>
    <w:p w:rsidR="00EA5E38" w:rsidRPr="00B75105" w:rsidRDefault="00EA5E38" w:rsidP="00B75105">
      <w:pPr>
        <w:ind w:left="360"/>
      </w:pPr>
      <w:r w:rsidRPr="00B75105">
        <w:t xml:space="preserve">Overall, the potential risk of adverse effect on the renal system with the use of </w:t>
      </w:r>
      <w:r w:rsidR="00B75105">
        <w:t>Stribild</w:t>
      </w:r>
      <w:r w:rsidRPr="00B75105">
        <w:t xml:space="preserve"> is not considered to be high, given that safety results suggested that the renal AEs and abnormal renal laboratory parameters detected in the studies may be reflecting the effect of COBI on tubular secretion of creatinine rather than an actual </w:t>
      </w:r>
      <w:proofErr w:type="spellStart"/>
      <w:r w:rsidRPr="00B75105">
        <w:t>nephrotoxic</w:t>
      </w:r>
      <w:proofErr w:type="spellEnd"/>
      <w:r w:rsidRPr="00B75105">
        <w:t xml:space="preserve"> effect of </w:t>
      </w:r>
      <w:proofErr w:type="spellStart"/>
      <w:r w:rsidR="003854F8">
        <w:t>Stribild</w:t>
      </w:r>
      <w:proofErr w:type="spellEnd"/>
      <w:r w:rsidRPr="00B75105">
        <w:t>, and given that it is monitorable and reversible. It is also noted that appropriate precaution</w:t>
      </w:r>
      <w:r w:rsidR="00E7453D">
        <w:t>s are stated in the proposed PI.</w:t>
      </w:r>
    </w:p>
    <w:p w:rsidR="00EA5E38" w:rsidRPr="00E7453D" w:rsidRDefault="00EA5E38" w:rsidP="00E7453D">
      <w:pPr>
        <w:pStyle w:val="ListBullet"/>
      </w:pPr>
      <w:r w:rsidRPr="00E7453D">
        <w:t xml:space="preserve">emergence of resistance to INSTI with the use of </w:t>
      </w:r>
      <w:r w:rsidR="00E7453D">
        <w:t>Stribild</w:t>
      </w:r>
    </w:p>
    <w:p w:rsidR="00EA5E38" w:rsidRPr="00E7453D" w:rsidRDefault="00EA5E38" w:rsidP="00E7453D">
      <w:pPr>
        <w:ind w:left="360"/>
      </w:pPr>
      <w:r w:rsidRPr="00E7453D">
        <w:t xml:space="preserve">With regards to the emergence of resistance to ARVs, there are no significant concerns that the rate of emergence of RT-T mutations was higher with the use of </w:t>
      </w:r>
      <w:r w:rsidR="00E7453D">
        <w:t>Stribild</w:t>
      </w:r>
      <w:r w:rsidRPr="00E7453D">
        <w:t xml:space="preserve"> compared to ATR or ATV/r+TVD. However, results suggested that INSTI-R mutations may be an issue with the use of </w:t>
      </w:r>
      <w:r w:rsidR="00E7453D">
        <w:t>Stribild</w:t>
      </w:r>
      <w:r w:rsidRPr="00E7453D">
        <w:t xml:space="preserve">, compared to the active controls of ATR and ATV/r+TVD. This, however, is within expectations, as neither ATR nor ATV/r+TVD contains an INSTI, whereas the EVG component of </w:t>
      </w:r>
      <w:r w:rsidR="00E7453D">
        <w:t>Stribild</w:t>
      </w:r>
      <w:r w:rsidRPr="00E7453D">
        <w:t xml:space="preserve"> is an INSTI with the use of </w:t>
      </w:r>
      <w:r w:rsidR="00E7453D">
        <w:t>Stribild</w:t>
      </w:r>
      <w:r w:rsidRPr="00E7453D">
        <w:t xml:space="preserve">. The degree to which the INSTI resistance mutations which was found to emerge with the use of </w:t>
      </w:r>
      <w:r w:rsidR="00E7453D">
        <w:t>Stribild</w:t>
      </w:r>
      <w:r w:rsidRPr="00E7453D">
        <w:t xml:space="preserve"> will lead to resistance to other INSTIs is not known. Additional data needs to be collected with regards to cross-resistance in this relatively new class of ARV medications. However, it is noted that the percentage of patients in the </w:t>
      </w:r>
      <w:r w:rsidR="00E7453D">
        <w:t>Stribild</w:t>
      </w:r>
      <w:r w:rsidRPr="00E7453D">
        <w:t xml:space="preserve"> group in the Phase III studies with emergent INSTI-R mutations was low, at between 1 to 2%.</w:t>
      </w:r>
    </w:p>
    <w:p w:rsidR="00AD6AB2" w:rsidRDefault="007023C8" w:rsidP="00AD6AB2">
      <w:pPr>
        <w:pStyle w:val="Heading5"/>
      </w:pPr>
      <w:r>
        <w:t>First round c</w:t>
      </w:r>
      <w:r w:rsidR="00AD6AB2">
        <w:t>onclusion</w:t>
      </w:r>
      <w:r>
        <w:t>s</w:t>
      </w:r>
      <w:r w:rsidR="00AD6AB2">
        <w:t xml:space="preserve"> </w:t>
      </w:r>
    </w:p>
    <w:p w:rsidR="00EA5E38" w:rsidRPr="00E7453D" w:rsidRDefault="00EA5E38" w:rsidP="00E7453D">
      <w:r w:rsidRPr="00E7453D">
        <w:t xml:space="preserve">Overall, the benefit-risk balance of </w:t>
      </w:r>
      <w:r w:rsidR="00E7453D">
        <w:t>Stribild</w:t>
      </w:r>
      <w:r w:rsidRPr="00E7453D">
        <w:t xml:space="preserve"> is positive, and meets the EMA guideline on the clinical development of medicinal products for the treatment of HIV infection, which recommended that a </w:t>
      </w:r>
      <w:r w:rsidRPr="00E7453D">
        <w:rPr>
          <w:i/>
        </w:rPr>
        <w:t>“convincingly demonstrated non-inferior benefit-risk at 48 weeks versus a well recognised reference product may serve as a basis for approval”</w:t>
      </w:r>
      <w:r w:rsidR="00447FD2">
        <w:rPr>
          <w:i/>
        </w:rPr>
        <w:t>.</w:t>
      </w:r>
      <w:r w:rsidRPr="00E7453D">
        <w:rPr>
          <w:vertAlign w:val="superscript"/>
        </w:rPr>
        <w:footnoteReference w:id="12"/>
      </w:r>
      <w:r w:rsidRPr="00E7453D">
        <w:t xml:space="preserve"> With study results showing that efficacy is comparable with that of ATR and of ATV/r+TVD, both recognised reference ARV drug or drug regimens for</w:t>
      </w:r>
      <w:r w:rsidR="007553B1">
        <w:t xml:space="preserve"> the treatment of ARV treatment</w:t>
      </w:r>
      <w:r w:rsidR="007553B1">
        <w:noBreakHyphen/>
        <w:t>naïve</w:t>
      </w:r>
      <w:r w:rsidRPr="00E7453D">
        <w:t xml:space="preserve"> HIV-1 infected adult patients, and with a safety profile that does not raise significant concerns, </w:t>
      </w:r>
      <w:r w:rsidR="00E7453D">
        <w:t>Stribild</w:t>
      </w:r>
      <w:r w:rsidRPr="00E7453D">
        <w:t xml:space="preserve"> has a role as an alternative treatment option for HIV-1 infected treatment-naïve adult patients who cannot tolerate NNRTIs or boosted PIs.</w:t>
      </w:r>
    </w:p>
    <w:p w:rsidR="00BB7E5D" w:rsidRDefault="007023C8" w:rsidP="00B03F1E">
      <w:pPr>
        <w:pStyle w:val="Heading4"/>
        <w:keepNext/>
      </w:pPr>
      <w:r>
        <w:lastRenderedPageBreak/>
        <w:t>First round r</w:t>
      </w:r>
      <w:r w:rsidR="00BB7E5D">
        <w:t>ecommendation regarding authorisation</w:t>
      </w:r>
    </w:p>
    <w:p w:rsidR="00EA5E38" w:rsidRDefault="00EA5E38" w:rsidP="00B03F1E">
      <w:pPr>
        <w:keepNext/>
      </w:pPr>
      <w:r>
        <w:t xml:space="preserve">It is recommended that the application for registration of </w:t>
      </w:r>
      <w:r w:rsidR="00E7453D">
        <w:t>Stribild</w:t>
      </w:r>
      <w:r>
        <w:t xml:space="preserve">, for the proposed indication of </w:t>
      </w:r>
      <w:r>
        <w:rPr>
          <w:lang w:val="en-GB"/>
        </w:rPr>
        <w:t xml:space="preserve">treatment of HIV-1 infection in ARV treatment-naïve adult patients </w:t>
      </w:r>
      <w:r>
        <w:t xml:space="preserve">be approved, subject to a satisfactory response to the recommended changes </w:t>
      </w:r>
      <w:r w:rsidR="00E7453D">
        <w:t>to the PI</w:t>
      </w:r>
      <w:r>
        <w:t>.</w:t>
      </w:r>
      <w:r w:rsidR="00E7453D">
        <w:rPr>
          <w:rStyle w:val="FootnoteReference"/>
        </w:rPr>
        <w:footnoteReference w:id="13"/>
      </w:r>
    </w:p>
    <w:p w:rsidR="00AA280C" w:rsidRPr="00AA280C" w:rsidRDefault="00AA280C" w:rsidP="00AA280C">
      <w:pPr>
        <w:keepNext/>
      </w:pPr>
      <w:r>
        <w:t>I</w:t>
      </w:r>
      <w:r w:rsidRPr="00AA280C">
        <w:t xml:space="preserve">t is recommended that the indications of </w:t>
      </w:r>
      <w:r>
        <w:t xml:space="preserve">[Stribild] </w:t>
      </w:r>
      <w:r w:rsidRPr="00AA280C">
        <w:t xml:space="preserve">be further clarified, from the original proposed text of </w:t>
      </w:r>
    </w:p>
    <w:p w:rsidR="00AA280C" w:rsidRPr="00AA280C" w:rsidRDefault="00AA280C" w:rsidP="00AA280C">
      <w:pPr>
        <w:keepNext/>
        <w:rPr>
          <w:lang w:val="en-US"/>
        </w:rPr>
      </w:pPr>
      <w:r w:rsidRPr="00AA280C">
        <w:rPr>
          <w:lang w:val="en-US"/>
        </w:rPr>
        <w:t>“</w:t>
      </w:r>
      <w:r w:rsidRPr="00AA280C">
        <w:t xml:space="preserve">[Stribild] </w:t>
      </w:r>
      <w:r w:rsidRPr="00AA280C">
        <w:rPr>
          <w:lang w:val="en-US"/>
        </w:rPr>
        <w:t xml:space="preserve">is indicated as a complete regimen for the treatment of HIV infection in adults who have no known mutations associated with resistance to the individual components of </w:t>
      </w:r>
      <w:r w:rsidRPr="00AA280C">
        <w:t>[Stribild]</w:t>
      </w:r>
      <w:r w:rsidRPr="00AA280C">
        <w:rPr>
          <w:lang w:val="en-US"/>
        </w:rPr>
        <w:t>”</w:t>
      </w:r>
    </w:p>
    <w:p w:rsidR="00AA280C" w:rsidRPr="00AA280C" w:rsidRDefault="00AA280C" w:rsidP="00AA280C">
      <w:pPr>
        <w:keepNext/>
        <w:rPr>
          <w:lang w:val="en-US"/>
        </w:rPr>
      </w:pPr>
      <w:r w:rsidRPr="00AA280C">
        <w:rPr>
          <w:lang w:val="en-US"/>
        </w:rPr>
        <w:t>to</w:t>
      </w:r>
    </w:p>
    <w:p w:rsidR="00AA280C" w:rsidRPr="00AA280C" w:rsidRDefault="00AA280C" w:rsidP="00AA280C">
      <w:pPr>
        <w:keepNext/>
      </w:pPr>
      <w:r w:rsidRPr="00AA280C">
        <w:rPr>
          <w:lang w:val="en-US"/>
        </w:rPr>
        <w:t>“</w:t>
      </w:r>
      <w:r w:rsidRPr="00AA280C">
        <w:t xml:space="preserve">[Stribild] </w:t>
      </w:r>
      <w:r w:rsidRPr="00AA280C">
        <w:rPr>
          <w:lang w:val="en-US"/>
        </w:rPr>
        <w:t xml:space="preserve">is indicated as a complete regimen for </w:t>
      </w:r>
      <w:r w:rsidRPr="00AA280C">
        <w:t xml:space="preserve">the treatment of HIV-1 infection in ARV treatment-naive adults aged 18 years and over, who have no known mutations associated with resistance to the individual components of [Stribild].” </w:t>
      </w:r>
    </w:p>
    <w:p w:rsidR="00EA5E38" w:rsidRDefault="00EA5E38" w:rsidP="00EA5E38">
      <w:r>
        <w:t xml:space="preserve">It is noted that at the time of submission of this clinical dossier, the </w:t>
      </w:r>
      <w:r w:rsidR="005C1062">
        <w:t xml:space="preserve">2 </w:t>
      </w:r>
      <w:r w:rsidR="00B03F1E">
        <w:t>pivotal P</w:t>
      </w:r>
      <w:r>
        <w:t>hase III studies and the Phase II study were both ongoing. It is recommended that the sponsor submit the results of these studies as soon as they are completed.</w:t>
      </w:r>
    </w:p>
    <w:p w:rsidR="007023C8" w:rsidRDefault="007023C8" w:rsidP="007023C8">
      <w:pPr>
        <w:pStyle w:val="Heading3"/>
      </w:pPr>
      <w:bookmarkStart w:id="168" w:name="_Toc363456677"/>
      <w:r>
        <w:t>Second round clinical evaluation</w:t>
      </w:r>
      <w:bookmarkEnd w:id="168"/>
    </w:p>
    <w:p w:rsidR="007023C8" w:rsidRDefault="007023C8" w:rsidP="007023C8">
      <w:pPr>
        <w:pStyle w:val="Heading4"/>
      </w:pPr>
      <w:r>
        <w:t>Evaluation of data submitted in response to questions</w:t>
      </w:r>
    </w:p>
    <w:p w:rsidR="00423B31" w:rsidRPr="0089631D" w:rsidRDefault="00423B31" w:rsidP="0089631D">
      <w:pPr>
        <w:pStyle w:val="Heading5"/>
      </w:pPr>
      <w:r w:rsidRPr="0089631D">
        <w:t>Sponsor’s response</w:t>
      </w:r>
      <w:r w:rsidR="00873E90" w:rsidRPr="0089631D">
        <w:t xml:space="preserve"> to TGA question 1a</w:t>
      </w:r>
      <w:r w:rsidRPr="0089631D">
        <w:t>:</w:t>
      </w:r>
    </w:p>
    <w:p w:rsidR="00423B31" w:rsidRDefault="00423B31" w:rsidP="00423B31">
      <w:r>
        <w:t xml:space="preserve">The </w:t>
      </w:r>
      <w:r w:rsidR="00BB7072" w:rsidRPr="00BB7072">
        <w:rPr>
          <w:i/>
        </w:rPr>
        <w:t>in vivo</w:t>
      </w:r>
      <w:r>
        <w:t xml:space="preserve"> </w:t>
      </w:r>
      <w:proofErr w:type="spellStart"/>
      <w:r>
        <w:t>interconversion</w:t>
      </w:r>
      <w:proofErr w:type="spellEnd"/>
      <w:r>
        <w:t xml:space="preserve"> of </w:t>
      </w:r>
      <w:r w:rsidR="00BB2DAA">
        <w:t xml:space="preserve">EVG </w:t>
      </w:r>
      <w:r>
        <w:t>to the (R)-</w:t>
      </w:r>
      <w:proofErr w:type="spellStart"/>
      <w:r>
        <w:t>enantiomer</w:t>
      </w:r>
      <w:proofErr w:type="spellEnd"/>
      <w:r>
        <w:t xml:space="preserve"> (JTP-65381) was evaluated in a study in rats and dogs. JTP-65381 was not detected in rat and dog plasma after oral administration of EVG. Additionally, the chiral center in the EVG molecule (</w:t>
      </w:r>
      <w:r w:rsidR="00700880">
        <w:t>that is,</w:t>
      </w:r>
      <w:r w:rsidR="0047057F">
        <w:t xml:space="preserve"> the (S)</w:t>
      </w:r>
      <w:r w:rsidR="0047057F">
        <w:noBreakHyphen/>
      </w:r>
      <w:proofErr w:type="spellStart"/>
      <w:r>
        <w:t>enantiomer</w:t>
      </w:r>
      <w:proofErr w:type="spellEnd"/>
      <w:r>
        <w:t>) is not inter-convertible because of the relatively high pKa value of the proton on the chiral center contained in the valinol moiety and the strong connective bonds between the stereogenic center and the appending groups. Thus, the chiral center is not labile and formation of the (R)-enantiomer starting from EVG is highly unlikely. Stability study results support this assessment as the (R)-enantiomer of EVG has not been detected under long term and accelerated conditions. Thus, ba</w:t>
      </w:r>
      <w:r w:rsidR="00BA2646">
        <w:t>sed on the results from the non</w:t>
      </w:r>
      <w:r>
        <w:t xml:space="preserve">clinical study in rats and dogs, and the chemical knowledge and understanding of the pathways necessary for epimerization of chiral centers to occur, the chemical activity of the chiral center in the EVG molecule, and the chemical stability data for EVG, the potential inter-conversion of isomers </w:t>
      </w:r>
      <w:r w:rsidR="00BB7072" w:rsidRPr="00BB7072">
        <w:rPr>
          <w:i/>
        </w:rPr>
        <w:t>in vivo</w:t>
      </w:r>
      <w:r>
        <w:t xml:space="preserve"> is highly unlikely therefore, clinical studies evaluating the inter-conversion are not considered necessary.</w:t>
      </w:r>
    </w:p>
    <w:p w:rsidR="00423B31" w:rsidRPr="0089631D" w:rsidRDefault="00423B31" w:rsidP="0089631D">
      <w:pPr>
        <w:pStyle w:val="Heading5"/>
      </w:pPr>
      <w:r w:rsidRPr="0089631D">
        <w:t>TGA evaluator’s comment</w:t>
      </w:r>
    </w:p>
    <w:p w:rsidR="00423B31" w:rsidRDefault="00423B31" w:rsidP="00423B31">
      <w:r>
        <w:t>The response is considered acceptable.</w:t>
      </w:r>
    </w:p>
    <w:p w:rsidR="00423B31" w:rsidRPr="0089631D" w:rsidRDefault="00423B31" w:rsidP="0089631D">
      <w:pPr>
        <w:pStyle w:val="Heading5"/>
      </w:pPr>
      <w:r w:rsidRPr="0089631D">
        <w:t>Sponsor’s response</w:t>
      </w:r>
      <w:r w:rsidR="00873E90" w:rsidRPr="0089631D">
        <w:t xml:space="preserve"> to TGA Question 1b.</w:t>
      </w:r>
    </w:p>
    <w:p w:rsidR="00423B31" w:rsidRDefault="00423B31" w:rsidP="00423B31">
      <w:r>
        <w:t xml:space="preserve">The assessment of drug interaction potential between </w:t>
      </w:r>
      <w:r w:rsidR="00BA2646">
        <w:t xml:space="preserve">Stribild </w:t>
      </w:r>
      <w:r>
        <w:t xml:space="preserve">and concomitant medications that may be used to treat co-morbidities in HIV-1 infected patients is based on a thorough evaluation of the relevant </w:t>
      </w:r>
      <w:r w:rsidR="00BA2646">
        <w:t>absorption, distribution, metabolism and excretion (</w:t>
      </w:r>
      <w:r>
        <w:t>ADME</w:t>
      </w:r>
      <w:r w:rsidR="00BA2646">
        <w:t>)</w:t>
      </w:r>
      <w:r>
        <w:t xml:space="preserve"> properties of each of the components, including the investigational agents </w:t>
      </w:r>
      <w:r w:rsidR="00BB2DAA">
        <w:t xml:space="preserve">EVG </w:t>
      </w:r>
      <w:r>
        <w:t xml:space="preserve">and </w:t>
      </w:r>
      <w:r w:rsidR="00A2001C">
        <w:t>COBI</w:t>
      </w:r>
      <w:r>
        <w:t xml:space="preserve">, and the marketed agents </w:t>
      </w:r>
      <w:r w:rsidR="00BB7072">
        <w:t>TDF</w:t>
      </w:r>
      <w:r>
        <w:t xml:space="preserve"> and </w:t>
      </w:r>
      <w:r w:rsidR="00A2001C">
        <w:t>FTC</w:t>
      </w:r>
      <w:r>
        <w:t>. These overall recommendations are consistent with the approach taken for other ARV</w:t>
      </w:r>
      <w:r w:rsidR="00BA2646">
        <w:t xml:space="preserve"> agents</w:t>
      </w:r>
      <w:r>
        <w:t xml:space="preserve"> which are used as part of an ARV regimen (along with concomitant medications if necessary).</w:t>
      </w:r>
    </w:p>
    <w:p w:rsidR="00423B31" w:rsidRDefault="00423B31" w:rsidP="00423B31">
      <w:r>
        <w:lastRenderedPageBreak/>
        <w:t xml:space="preserve">This approach is also consistent with the European Guidelines: </w:t>
      </w:r>
      <w:r w:rsidRPr="00BA2646">
        <w:rPr>
          <w:i/>
        </w:rPr>
        <w:t>Guideline on the investigation of Drug Interactions (EMA/CHMP/EWP/125211/2010)</w:t>
      </w:r>
      <w:r>
        <w:t xml:space="preserve"> and the US Guideline for Industry </w:t>
      </w:r>
      <w:r w:rsidRPr="00BA2646">
        <w:rPr>
          <w:i/>
        </w:rPr>
        <w:t>Drug Interaction Studies - Study Design, Data Analysis, Implications for Dosing and Label</w:t>
      </w:r>
      <w:r w:rsidR="00BA2646">
        <w:rPr>
          <w:i/>
        </w:rPr>
        <w:t>l</w:t>
      </w:r>
      <w:r w:rsidRPr="00BA2646">
        <w:rPr>
          <w:i/>
        </w:rPr>
        <w:t>ing Recommendations</w:t>
      </w:r>
      <w:r>
        <w:t xml:space="preserve"> (February 2012) for evaluation of drug interactions.</w:t>
      </w:r>
    </w:p>
    <w:p w:rsidR="00423B31" w:rsidRDefault="00423B31" w:rsidP="00423B31">
      <w:r>
        <w:t xml:space="preserve">Following oral administration, lithium is excreted almost entirely by the kidney, </w:t>
      </w:r>
      <w:r w:rsidR="00BB7072" w:rsidRPr="00BB7072">
        <w:rPr>
          <w:i/>
        </w:rPr>
        <w:t>via</w:t>
      </w:r>
      <w:r>
        <w:t xml:space="preserve"> glomerular fi</w:t>
      </w:r>
      <w:r w:rsidR="00BB7072">
        <w:t xml:space="preserve">ltration. Study GS-US-216-0121 </w:t>
      </w:r>
      <w:r>
        <w:t>demonstrated that COBI affects the</w:t>
      </w:r>
      <w:r w:rsidR="00BA2646">
        <w:t xml:space="preserve"> </w:t>
      </w:r>
      <w:r>
        <w:t>eGFR, which is calculated based on serum creatinine (an endogenous agent that is both filtered and secreted) and not the actual GFR, as assessed by clearance of iohexol, a exogenous marker that is eliminated almost exclusively by filtration. The mechanism of change in eGFR has been elucidated to be a transporter mediated interaction between COBI and creatinine (</w:t>
      </w:r>
      <w:r w:rsidR="00700880">
        <w:t>that is,</w:t>
      </w:r>
      <w:r>
        <w:t xml:space="preserve"> inhibition of primarily the MATE-1 transporter-mediated secretion of creatinine by COBI). Therefore it is unlikely for COBI to undergo clinically relevant interactions with lithium.</w:t>
      </w:r>
    </w:p>
    <w:p w:rsidR="00423B31" w:rsidRDefault="00423B31" w:rsidP="00423B31">
      <w:r>
        <w:t xml:space="preserve">Elvitegravir, the other investigational component of </w:t>
      </w:r>
      <w:r w:rsidR="00BA2646">
        <w:t>Stribild</w:t>
      </w:r>
      <w:r>
        <w:t xml:space="preserve">, is minimally eliminated in urine (and not as unchanged parent), and is not associated with changes in GFR. The </w:t>
      </w:r>
      <w:r w:rsidR="007C46CB">
        <w:t xml:space="preserve">PK </w:t>
      </w:r>
      <w:r>
        <w:t xml:space="preserve">properties of the marketed NRTI components of </w:t>
      </w:r>
      <w:r w:rsidR="00BA2646">
        <w:t>Stribild</w:t>
      </w:r>
      <w:r>
        <w:t xml:space="preserve">, </w:t>
      </w:r>
      <w:r w:rsidR="00BB7072">
        <w:t>TDF</w:t>
      </w:r>
      <w:r>
        <w:t xml:space="preserve"> and </w:t>
      </w:r>
      <w:r w:rsidR="00A2001C">
        <w:t>FTC</w:t>
      </w:r>
      <w:r>
        <w:t xml:space="preserve">, have been well established, and the exposures of </w:t>
      </w:r>
      <w:r w:rsidR="00BB7072">
        <w:t>TDF</w:t>
      </w:r>
      <w:r>
        <w:t xml:space="preserve"> and </w:t>
      </w:r>
      <w:r w:rsidR="00A2001C">
        <w:t>FTC</w:t>
      </w:r>
      <w:r>
        <w:t xml:space="preserve"> with </w:t>
      </w:r>
      <w:r w:rsidR="003854F8">
        <w:t>Stribild</w:t>
      </w:r>
      <w:r>
        <w:t xml:space="preserve"> are comparable to those historically observed upon their administration as individual agents with other ARVs. Mechanistically, these agents are not expected to affect lithium </w:t>
      </w:r>
      <w:r w:rsidR="004E0486">
        <w:t>PK</w:t>
      </w:r>
      <w:r>
        <w:t xml:space="preserve">. From a drug interaction perspective, the clinical experience with </w:t>
      </w:r>
      <w:r w:rsidR="00BA2646">
        <w:t>Stribild</w:t>
      </w:r>
      <w:r>
        <w:t xml:space="preserve"> and lithium is expected to be consistent with that when lithium is coadministered with other ARV regimens, including </w:t>
      </w:r>
      <w:r w:rsidR="00BA2646">
        <w:t>RTV</w:t>
      </w:r>
      <w:r>
        <w:t xml:space="preserve">-boosted protease inhibitors used in combination with </w:t>
      </w:r>
      <w:r w:rsidR="00BB7072">
        <w:t>TDF</w:t>
      </w:r>
      <w:r>
        <w:t xml:space="preserve"> and/or </w:t>
      </w:r>
      <w:r w:rsidR="00A2001C">
        <w:t>FTC</w:t>
      </w:r>
      <w:r>
        <w:t>.</w:t>
      </w:r>
    </w:p>
    <w:p w:rsidR="00423B31" w:rsidRDefault="00423B31" w:rsidP="00423B31">
      <w:r>
        <w:t xml:space="preserve">In summary, the totality of data indicates that it is unlikely for COBI or any other component of </w:t>
      </w:r>
      <w:r w:rsidR="00BA2646">
        <w:t xml:space="preserve">Stribild </w:t>
      </w:r>
      <w:r>
        <w:t>to undergo clinically relevant interactions with lithium.</w:t>
      </w:r>
    </w:p>
    <w:p w:rsidR="00423B31" w:rsidRPr="0089631D" w:rsidRDefault="00423B31" w:rsidP="0089631D">
      <w:pPr>
        <w:pStyle w:val="Heading5"/>
      </w:pPr>
      <w:r w:rsidRPr="0089631D">
        <w:t>TGA evaluator’s comment</w:t>
      </w:r>
    </w:p>
    <w:p w:rsidR="00423B31" w:rsidRDefault="00423B31" w:rsidP="00423B31">
      <w:r>
        <w:t>The response is considered acceptable.</w:t>
      </w:r>
    </w:p>
    <w:p w:rsidR="00423B31" w:rsidRPr="0089631D" w:rsidRDefault="00423B31" w:rsidP="0089631D">
      <w:pPr>
        <w:pStyle w:val="Heading5"/>
      </w:pPr>
      <w:r w:rsidRPr="0089631D">
        <w:t>Sponsor’s response</w:t>
      </w:r>
      <w:r w:rsidR="00653760" w:rsidRPr="0089631D">
        <w:t xml:space="preserve"> to Question 2.</w:t>
      </w:r>
    </w:p>
    <w:p w:rsidR="00423B31" w:rsidRPr="00BA2646" w:rsidRDefault="00423B31" w:rsidP="00BA2646">
      <w:r w:rsidRPr="00BA2646">
        <w:t xml:space="preserve">There are no relevant interactions expected between the components of </w:t>
      </w:r>
      <w:r w:rsidR="00BA2646">
        <w:t>Stribild</w:t>
      </w:r>
      <w:r w:rsidRPr="00BA2646">
        <w:t xml:space="preserve"> and alcohol that may affect alcohol </w:t>
      </w:r>
      <w:r w:rsidR="004E0486" w:rsidRPr="00BA2646">
        <w:t>PK</w:t>
      </w:r>
      <w:r w:rsidRPr="00BA2646">
        <w:t xml:space="preserve">. The metabolism of alcohol is mediated by alcohol dehydrogenase and also by CYP2E1. These enzymes are not considered to be affected by the components of </w:t>
      </w:r>
      <w:r w:rsidR="00BA2646">
        <w:t>Stribild</w:t>
      </w:r>
      <w:r w:rsidRPr="00BA2646">
        <w:t xml:space="preserve">, including COBI. In particular, the substrate and inhibitor specificities of these enzymes are restrictive, such that COBI (based on molecular weight) is not expected to interact with these enzymes. Further data with a structurally related molecule </w:t>
      </w:r>
      <w:r w:rsidR="00CC292E" w:rsidRPr="00BA2646">
        <w:t>RTV</w:t>
      </w:r>
      <w:r w:rsidRPr="00BA2646">
        <w:t xml:space="preserve"> indicate the lack of inhibition of CYP2E1. Report JTK303-AD-027 demonstrates that EVG, when tested as an inhibitor of CYP2E1 </w:t>
      </w:r>
      <w:r w:rsidR="00BB7072" w:rsidRPr="00BA2646">
        <w:rPr>
          <w:i/>
        </w:rPr>
        <w:t>in vitro</w:t>
      </w:r>
      <w:r w:rsidRPr="00BA2646">
        <w:t xml:space="preserve"> had no effect (</w:t>
      </w:r>
      <w:r w:rsidR="00BB7072" w:rsidRPr="00BA2646">
        <w:t>IC</w:t>
      </w:r>
      <w:r w:rsidR="00BB7072" w:rsidRPr="00BA2646">
        <w:rPr>
          <w:vertAlign w:val="subscript"/>
        </w:rPr>
        <w:t>50</w:t>
      </w:r>
      <w:r w:rsidRPr="00BA2646">
        <w:t xml:space="preserve"> &gt;30 μg/mL). In the absence of a PK-driven interaction between </w:t>
      </w:r>
      <w:r w:rsidR="00BA2646">
        <w:t>Stribild</w:t>
      </w:r>
      <w:r w:rsidR="00BA2646" w:rsidRPr="00BA2646">
        <w:t xml:space="preserve"> </w:t>
      </w:r>
      <w:r w:rsidRPr="00BA2646">
        <w:t>and alcohol, a PD interaction is considered unlikely.</w:t>
      </w:r>
    </w:p>
    <w:p w:rsidR="00423B31" w:rsidRPr="0089631D" w:rsidRDefault="00423B31" w:rsidP="0089631D">
      <w:pPr>
        <w:pStyle w:val="Heading5"/>
      </w:pPr>
      <w:r w:rsidRPr="0089631D">
        <w:t>TGA evaluator’s comment</w:t>
      </w:r>
    </w:p>
    <w:p w:rsidR="00423B31" w:rsidRDefault="00423B31" w:rsidP="00423B31">
      <w:r>
        <w:t>The response is considered acceptable</w:t>
      </w:r>
    </w:p>
    <w:p w:rsidR="00653760" w:rsidRPr="0089631D" w:rsidRDefault="00653760" w:rsidP="0089631D">
      <w:pPr>
        <w:pStyle w:val="Heading5"/>
      </w:pPr>
      <w:r w:rsidRPr="0089631D">
        <w:t>Sponsor’s response to TGA Question 3:</w:t>
      </w:r>
    </w:p>
    <w:p w:rsidR="00423B31" w:rsidRDefault="00423B31" w:rsidP="00423B31">
      <w:r>
        <w:t>The dose of EVG (150 mg) was selected based on results from GS-U</w:t>
      </w:r>
      <w:r w:rsidR="00B61849">
        <w:t>S-183-0101, as well as a Phase II</w:t>
      </w:r>
      <w:r>
        <w:t xml:space="preserve"> study in heavily treatment-experienced HIV-1 infected subjects</w:t>
      </w:r>
      <w:r w:rsidR="00B61849">
        <w:t xml:space="preserve"> (GS-US-183-0105), and a Phase I</w:t>
      </w:r>
      <w:r>
        <w:t xml:space="preserve"> biopharmaceutics/formulation study (GS-US-183-0140). The reports for these studies were provided to TGA in </w:t>
      </w:r>
      <w:r w:rsidR="00BB7072">
        <w:t>the clinical part of the submission</w:t>
      </w:r>
      <w:r>
        <w:t>.</w:t>
      </w:r>
    </w:p>
    <w:p w:rsidR="00423B31" w:rsidRDefault="00423B31" w:rsidP="00423B31">
      <w:r>
        <w:t xml:space="preserve">During the development program of </w:t>
      </w:r>
      <w:r w:rsidR="00E1241E">
        <w:t>EVG</w:t>
      </w:r>
      <w:r>
        <w:t xml:space="preserve">, a Phase </w:t>
      </w:r>
      <w:r w:rsidR="00B61849">
        <w:t>I</w:t>
      </w:r>
      <w:r>
        <w:t xml:space="preserve"> study to evaluate the relative bioavailability of the various formulations of </w:t>
      </w:r>
      <w:r w:rsidR="00CC292E">
        <w:t>RTV</w:t>
      </w:r>
      <w:r>
        <w:t xml:space="preserve">-boosted </w:t>
      </w:r>
      <w:r w:rsidR="00BB2DAA">
        <w:t xml:space="preserve">EVG </w:t>
      </w:r>
      <w:r>
        <w:t xml:space="preserve">was performed in Study GS-US-183-0121. Study GS-US-183-0121 was ongoing at the time of the submission for </w:t>
      </w:r>
      <w:r w:rsidR="00B61849">
        <w:t>Stribild</w:t>
      </w:r>
      <w:r>
        <w:t xml:space="preserve">, however </w:t>
      </w:r>
      <w:r w:rsidR="00B61849">
        <w:t xml:space="preserve">it </w:t>
      </w:r>
      <w:r>
        <w:t xml:space="preserve">is provided in response to the above question. Among the formulations tested, this study demonstrated that EVG 125 mg Test Formulation 2 provided </w:t>
      </w:r>
      <w:r w:rsidR="00CC292E">
        <w:lastRenderedPageBreak/>
        <w:t xml:space="preserve">approximately </w:t>
      </w:r>
      <w:r>
        <w:t>10% lower EVG exposures compared to the Reference</w:t>
      </w:r>
      <w:r w:rsidR="00B61849">
        <w:t xml:space="preserve"> Formulation used in the Phase II</w:t>
      </w:r>
      <w:r>
        <w:t xml:space="preserve"> Study GS-US-183-0105. Accordingly, a higher dose of EVG 150 mg using Test Formulation 2 was evaluated further in Study GS-US-183-0140 as a pot</w:t>
      </w:r>
      <w:r w:rsidR="00B61849">
        <w:t>ential Phase III</w:t>
      </w:r>
      <w:r>
        <w:t xml:space="preserve"> and proposed commercial formulation.</w:t>
      </w:r>
    </w:p>
    <w:p w:rsidR="00423B31" w:rsidRPr="00B61849" w:rsidRDefault="00423B31" w:rsidP="00B61849">
      <w:r w:rsidRPr="00B61849">
        <w:t>Study GS-US-183-0140 then demonstrated that the newer EVG formulation 150 mg in boosted condition provides bioequivalent EVG e</w:t>
      </w:r>
      <w:r w:rsidR="00B61849">
        <w:t>xposures relative to the Phase II</w:t>
      </w:r>
      <w:r w:rsidRPr="00B61849">
        <w:t xml:space="preserve"> tablet of boosted-EVG 125 mg, including EVG trough concentrations, resulting in the selection of 150 mg of the newer EVG formulation as the dose and formulation for the Phase </w:t>
      </w:r>
      <w:r w:rsidR="00B61849">
        <w:t>III</w:t>
      </w:r>
      <w:r w:rsidRPr="00B61849">
        <w:t xml:space="preserve"> study and commercial use of the stand-alone tablet for boosted-EVG 150 mg, and for the formulation of </w:t>
      </w:r>
      <w:r w:rsidR="003854F8">
        <w:t>Stribild</w:t>
      </w:r>
      <w:r w:rsidRPr="00B61849">
        <w:t xml:space="preserve">. </w:t>
      </w:r>
    </w:p>
    <w:p w:rsidR="00423B31" w:rsidRPr="0089631D" w:rsidRDefault="00423B31" w:rsidP="0089631D">
      <w:pPr>
        <w:pStyle w:val="Heading5"/>
      </w:pPr>
      <w:r w:rsidRPr="0089631D">
        <w:t>TGA evaluator’s comment</w:t>
      </w:r>
    </w:p>
    <w:p w:rsidR="00423B31" w:rsidRDefault="00423B31" w:rsidP="00423B31">
      <w:r>
        <w:t>The sponsor’s response is considered acceptable.</w:t>
      </w:r>
    </w:p>
    <w:p w:rsidR="007023C8" w:rsidRDefault="007023C8" w:rsidP="00637252">
      <w:pPr>
        <w:pStyle w:val="Heading3"/>
      </w:pPr>
      <w:bookmarkStart w:id="169" w:name="_Toc363456678"/>
      <w:r>
        <w:t>Second round benefit-risk assessment</w:t>
      </w:r>
      <w:bookmarkEnd w:id="169"/>
      <w:r>
        <w:t xml:space="preserve"> </w:t>
      </w:r>
    </w:p>
    <w:p w:rsidR="007023C8" w:rsidRDefault="007023C8" w:rsidP="007023C8">
      <w:r>
        <w:t>The risk-benefit assessment provided by the Round 1 evaluators (see above) is considered final with respect to this clinical evaluation report.</w:t>
      </w:r>
    </w:p>
    <w:p w:rsidR="007023C8" w:rsidRDefault="007023C8" w:rsidP="00637252">
      <w:pPr>
        <w:pStyle w:val="Heading3"/>
      </w:pPr>
      <w:bookmarkStart w:id="170" w:name="_Toc363456679"/>
      <w:r>
        <w:t>Second round recommendation regarding authorisation</w:t>
      </w:r>
      <w:bookmarkEnd w:id="170"/>
    </w:p>
    <w:p w:rsidR="007023C8" w:rsidRPr="007023C8" w:rsidRDefault="007023C8" w:rsidP="007023C8">
      <w:r>
        <w:t>The recommendation with respect to market authorisation made by the Round 1 evaluator (see above) is considered final with respect to this evaluation report.</w:t>
      </w:r>
    </w:p>
    <w:p w:rsidR="008E7846" w:rsidRPr="00E41208" w:rsidRDefault="008E7846" w:rsidP="008E7846">
      <w:pPr>
        <w:pStyle w:val="Heading2"/>
      </w:pPr>
      <w:bookmarkStart w:id="171" w:name="_Toc247691524"/>
      <w:bookmarkStart w:id="172" w:name="_Toc314842508"/>
      <w:bookmarkStart w:id="173" w:name="_Toc363456680"/>
      <w:r w:rsidRPr="00E41208">
        <w:t xml:space="preserve">V. Pharmacovigilance </w:t>
      </w:r>
      <w:r>
        <w:t>f</w:t>
      </w:r>
      <w:r w:rsidRPr="00E41208">
        <w:t>indings</w:t>
      </w:r>
      <w:bookmarkEnd w:id="171"/>
      <w:bookmarkEnd w:id="172"/>
      <w:bookmarkEnd w:id="173"/>
    </w:p>
    <w:p w:rsidR="008E7846" w:rsidRDefault="00386150" w:rsidP="008E7846">
      <w:pPr>
        <w:pStyle w:val="Heading3"/>
        <w:rPr>
          <w:lang w:eastAsia="en-AU"/>
        </w:rPr>
      </w:pPr>
      <w:bookmarkStart w:id="174" w:name="_Toc247691526"/>
      <w:bookmarkStart w:id="175" w:name="_Toc314842509"/>
      <w:bookmarkStart w:id="176" w:name="_Toc363456681"/>
      <w:r>
        <w:rPr>
          <w:lang w:eastAsia="en-AU"/>
        </w:rPr>
        <w:t>Risk m</w:t>
      </w:r>
      <w:r w:rsidR="008E7846">
        <w:rPr>
          <w:lang w:eastAsia="en-AU"/>
        </w:rPr>
        <w:t xml:space="preserve">anagement </w:t>
      </w:r>
      <w:r>
        <w:rPr>
          <w:lang w:eastAsia="en-AU"/>
        </w:rPr>
        <w:t>p</w:t>
      </w:r>
      <w:r w:rsidR="008E7846">
        <w:rPr>
          <w:lang w:eastAsia="en-AU"/>
        </w:rPr>
        <w:t>lan</w:t>
      </w:r>
      <w:bookmarkEnd w:id="174"/>
      <w:bookmarkEnd w:id="175"/>
      <w:bookmarkEnd w:id="176"/>
    </w:p>
    <w:p w:rsidR="008E7846" w:rsidRDefault="008E7846" w:rsidP="008E7846">
      <w:pPr>
        <w:rPr>
          <w:lang w:eastAsia="en-AU"/>
        </w:rPr>
      </w:pPr>
      <w:r>
        <w:rPr>
          <w:lang w:eastAsia="en-AU"/>
        </w:rPr>
        <w:t xml:space="preserve">The sponsor submitted a Risk Management Plan </w:t>
      </w:r>
      <w:r w:rsidR="00121FF0">
        <w:rPr>
          <w:lang w:eastAsia="en-AU"/>
        </w:rPr>
        <w:t>(</w:t>
      </w:r>
      <w:r w:rsidR="00121FF0">
        <w:t>Version</w:t>
      </w:r>
      <w:r w:rsidR="00121FF0">
        <w:rPr>
          <w:iCs/>
        </w:rPr>
        <w:t xml:space="preserve">: 0.1, dated 24 November 2011) </w:t>
      </w:r>
      <w:r>
        <w:rPr>
          <w:lang w:eastAsia="en-AU"/>
        </w:rPr>
        <w:t>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7B5E35" w:rsidRDefault="007B5E35" w:rsidP="007B5E35">
      <w:r>
        <w:t>Subject to the evaluation of the non-clinical aspects of the Safety Specification (SS) by the Toxicology area of the OSE and the clinical aspects of the SS by the OMA, the summary of the Ongoing Safety Concerns as specified by the sponsor is as follows</w:t>
      </w:r>
      <w:r w:rsidR="00870A18">
        <w:t xml:space="preserve"> (Tables </w:t>
      </w:r>
      <w:r w:rsidR="00A51BB4">
        <w:t>6</w:t>
      </w:r>
      <w:r w:rsidR="00870A18">
        <w:t xml:space="preserve"> and </w:t>
      </w:r>
      <w:r w:rsidR="00A51BB4">
        <w:t>7</w:t>
      </w:r>
      <w:r w:rsidR="00870A18">
        <w:t>)</w:t>
      </w:r>
      <w:r>
        <w:t>:</w:t>
      </w:r>
    </w:p>
    <w:p w:rsidR="007B5E35" w:rsidRPr="00870A18" w:rsidRDefault="00A51BB4" w:rsidP="00637252">
      <w:pPr>
        <w:pStyle w:val="TableTitle"/>
      </w:pPr>
      <w:r>
        <w:t>Table 6</w:t>
      </w:r>
      <w:r w:rsidR="00870A18" w:rsidRPr="00870A18">
        <w:t>. Ongoing Safety Concerns f</w:t>
      </w:r>
      <w:r w:rsidR="007B5E35" w:rsidRPr="00870A18">
        <w:t xml:space="preserve">or </w:t>
      </w:r>
      <w:r w:rsidR="005C5945" w:rsidRPr="00870A18">
        <w:t xml:space="preserve">Stribild </w:t>
      </w:r>
      <w:r w:rsidR="007B5E35" w:rsidRPr="00870A18">
        <w:t>as a whole</w:t>
      </w:r>
    </w:p>
    <w:p w:rsidR="007B5E35" w:rsidRDefault="007B5E35" w:rsidP="000E675C">
      <w:r>
        <w:rPr>
          <w:noProof/>
          <w:lang w:eastAsia="en-AU"/>
        </w:rPr>
        <w:drawing>
          <wp:inline distT="0" distB="0" distL="0" distR="0">
            <wp:extent cx="4696671" cy="772952"/>
            <wp:effectExtent l="19050" t="0" r="8679" b="0"/>
            <wp:docPr id="247" name="Picture 247" descr="Table 6. Ongoing Safety Concerns for Stribild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cstate="print"/>
                    <a:srcRect/>
                    <a:stretch>
                      <a:fillRect/>
                    </a:stretch>
                  </pic:blipFill>
                  <pic:spPr bwMode="auto">
                    <a:xfrm>
                      <a:off x="0" y="0"/>
                      <a:ext cx="4712249" cy="775516"/>
                    </a:xfrm>
                    <a:prstGeom prst="rect">
                      <a:avLst/>
                    </a:prstGeom>
                    <a:noFill/>
                    <a:ln w="9525">
                      <a:noFill/>
                      <a:miter lim="800000"/>
                      <a:headEnd/>
                      <a:tailEnd/>
                    </a:ln>
                  </pic:spPr>
                </pic:pic>
              </a:graphicData>
            </a:graphic>
          </wp:inline>
        </w:drawing>
      </w:r>
    </w:p>
    <w:p w:rsidR="00870A18" w:rsidRPr="00870A18" w:rsidRDefault="00A51BB4" w:rsidP="00637252">
      <w:pPr>
        <w:pStyle w:val="TableTitle"/>
      </w:pPr>
      <w:r>
        <w:lastRenderedPageBreak/>
        <w:t>Table 7</w:t>
      </w:r>
      <w:r w:rsidR="00870A18" w:rsidRPr="00870A18">
        <w:t xml:space="preserve">. Ongoing Safety Concerns for </w:t>
      </w:r>
      <w:r w:rsidR="00870A18">
        <w:t xml:space="preserve">the components of </w:t>
      </w:r>
      <w:r w:rsidR="00870A18" w:rsidRPr="00870A18">
        <w:t xml:space="preserve">Stribild </w:t>
      </w:r>
    </w:p>
    <w:p w:rsidR="007B5E35" w:rsidRDefault="007B5E35" w:rsidP="000E675C">
      <w:r>
        <w:rPr>
          <w:noProof/>
          <w:lang w:eastAsia="en-AU"/>
        </w:rPr>
        <w:drawing>
          <wp:inline distT="0" distB="0" distL="0" distR="0">
            <wp:extent cx="4613925" cy="2799080"/>
            <wp:effectExtent l="19050" t="0" r="0" b="0"/>
            <wp:docPr id="248" name="Picture 248" descr="Table 7. Ongoing Safety Concerns for the components of Strib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 cstate="print"/>
                    <a:srcRect/>
                    <a:stretch>
                      <a:fillRect/>
                    </a:stretch>
                  </pic:blipFill>
                  <pic:spPr bwMode="auto">
                    <a:xfrm>
                      <a:off x="0" y="0"/>
                      <a:ext cx="4616761" cy="2800801"/>
                    </a:xfrm>
                    <a:prstGeom prst="rect">
                      <a:avLst/>
                    </a:prstGeom>
                    <a:noFill/>
                    <a:ln w="9525">
                      <a:noFill/>
                      <a:miter lim="800000"/>
                      <a:headEnd/>
                      <a:tailEnd/>
                    </a:ln>
                  </pic:spPr>
                </pic:pic>
              </a:graphicData>
            </a:graphic>
          </wp:inline>
        </w:drawing>
      </w:r>
    </w:p>
    <w:p w:rsidR="007B5E35" w:rsidRDefault="007B5E35" w:rsidP="00637252">
      <w:pPr>
        <w:pStyle w:val="Heading5"/>
      </w:pPr>
      <w:r>
        <w:t>OPR reviewer comment:</w:t>
      </w:r>
      <w:r w:rsidR="00841BE4">
        <w:t xml:space="preserve"> </w:t>
      </w:r>
    </w:p>
    <w:p w:rsidR="007B5E35" w:rsidRPr="00870A18" w:rsidRDefault="007B5E35" w:rsidP="000E675C">
      <w:pPr>
        <w:keepNext/>
      </w:pPr>
      <w:r w:rsidRPr="00870A18">
        <w:t>The above ongoing safety concerns are generally consistent with those previously accepted for E</w:t>
      </w:r>
      <w:r w:rsidR="00870A18" w:rsidRPr="00870A18">
        <w:t xml:space="preserve">viplera </w:t>
      </w:r>
      <w:r w:rsidRPr="00870A18">
        <w:t xml:space="preserve">and </w:t>
      </w:r>
      <w:r w:rsidR="00870A18" w:rsidRPr="00870A18">
        <w:t xml:space="preserve">its </w:t>
      </w:r>
      <w:r w:rsidRPr="00870A18">
        <w:t xml:space="preserve">components: tenofovir and </w:t>
      </w:r>
      <w:r w:rsidR="00A2001C" w:rsidRPr="00870A18">
        <w:t>FTC</w:t>
      </w:r>
      <w:r w:rsidRPr="00870A18">
        <w:t>.</w:t>
      </w:r>
      <w:r w:rsidR="000532EF">
        <w:t xml:space="preserve"> </w:t>
      </w:r>
      <w:r w:rsidRPr="00870A18">
        <w:t xml:space="preserve">Pursuant to the evaluation of the nonclinical and clinical aspects of the SS, the above summary of the Ongoing Safety Concerns is considered acceptable. </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0B6C24" w:rsidRPr="00121FF0" w:rsidRDefault="000B6C24" w:rsidP="00121FF0">
      <w:r w:rsidRPr="00121FF0">
        <w:t xml:space="preserve">The sponsor states that routine pharmacovigilance </w:t>
      </w:r>
      <w:r w:rsidR="000532EF">
        <w:t xml:space="preserve">(PV) </w:t>
      </w:r>
      <w:r w:rsidRPr="00121FF0">
        <w:t xml:space="preserve">activities, consistent with the activities outlined in </w:t>
      </w:r>
      <w:r w:rsidRPr="00121FF0">
        <w:rPr>
          <w:i/>
        </w:rPr>
        <w:t>3.1.2 Routine pharmacovigilance practices, Note for Guidance on Planning Pharmacovigilance Activities (CPMP/ICH/5716/03)</w:t>
      </w:r>
      <w:r w:rsidRPr="00121FF0">
        <w:t xml:space="preserve"> including targeted follow-up questionnaires where applicable, are proposed to monitor all the spec</w:t>
      </w:r>
      <w:r w:rsidR="00121FF0" w:rsidRPr="00121FF0">
        <w:t xml:space="preserve">ified ongoing safety concerns. </w:t>
      </w:r>
      <w:r w:rsidRPr="00121FF0">
        <w:t>However copies of these targeted follow-up que</w:t>
      </w:r>
      <w:r w:rsidR="00121FF0">
        <w:t xml:space="preserve">stionnaires were not provided. </w:t>
      </w:r>
      <w:r w:rsidRPr="00121FF0">
        <w:t>Subsequently the sponsor</w:t>
      </w:r>
      <w:r w:rsidR="00870A18">
        <w:t xml:space="preserve"> </w:t>
      </w:r>
      <w:r w:rsidRPr="00121FF0">
        <w:t>advised that only the important missing information: ‘Safety in patients with renal impairment’, yet inclusive of the important identified risk: ‘Renal toxicity’, currently had an associated tar</w:t>
      </w:r>
      <w:r w:rsidR="00121FF0">
        <w:t xml:space="preserve">geted follow-up questionnaire. </w:t>
      </w:r>
      <w:r w:rsidRPr="00121FF0">
        <w:t xml:space="preserve">A copy of this document was provided </w:t>
      </w:r>
      <w:r w:rsidR="00870A18">
        <w:t>to the TGA</w:t>
      </w:r>
      <w:r w:rsidRPr="00121FF0">
        <w:t>.</w:t>
      </w:r>
    </w:p>
    <w:p w:rsidR="00121FF0" w:rsidRDefault="000B6C24" w:rsidP="000B6C24">
      <w:r>
        <w:t>In addition</w:t>
      </w:r>
      <w:r w:rsidR="00870A18">
        <w:t xml:space="preserve"> to routine activities,</w:t>
      </w:r>
      <w:r>
        <w:t xml:space="preserve"> ongoing clinical studies are proposed to further monitor the </w:t>
      </w:r>
      <w:r w:rsidR="00121FF0">
        <w:t>following missing important information:</w:t>
      </w:r>
    </w:p>
    <w:p w:rsidR="000B6C24" w:rsidRDefault="000B6C24" w:rsidP="00870A18">
      <w:pPr>
        <w:pStyle w:val="ListBullet"/>
        <w:rPr>
          <w:rFonts w:cs="Arial"/>
          <w:bCs/>
        </w:rPr>
      </w:pPr>
      <w:r>
        <w:t xml:space="preserve">‘Long-term safety information’ relating to </w:t>
      </w:r>
      <w:r w:rsidR="005C5945">
        <w:t xml:space="preserve">Stribild </w:t>
      </w:r>
      <w:r>
        <w:t>as a whole</w:t>
      </w:r>
      <w:r w:rsidR="00121FF0">
        <w:t xml:space="preserve"> and </w:t>
      </w:r>
      <w:r w:rsidR="00870A18">
        <w:t>t</w:t>
      </w:r>
      <w:r>
        <w:t xml:space="preserve">he </w:t>
      </w:r>
      <w:r w:rsidR="00A2001C">
        <w:rPr>
          <w:rFonts w:cs="Arial"/>
          <w:bCs/>
        </w:rPr>
        <w:t>COBI</w:t>
      </w:r>
      <w:r>
        <w:rPr>
          <w:rFonts w:cs="Arial"/>
          <w:bCs/>
        </w:rPr>
        <w:t xml:space="preserve"> component</w:t>
      </w:r>
    </w:p>
    <w:p w:rsidR="000B6C24" w:rsidRDefault="000B6C24" w:rsidP="00870A18">
      <w:pPr>
        <w:pStyle w:val="ListBullet"/>
      </w:pPr>
      <w:r>
        <w:t>‘Safety in patients wit</w:t>
      </w:r>
      <w:r w:rsidR="00870A18">
        <w:t>h renal impairment’ relating to</w:t>
      </w:r>
      <w:r w:rsidR="00121FF0">
        <w:t xml:space="preserve"> </w:t>
      </w:r>
      <w:r w:rsidR="005C5945">
        <w:t xml:space="preserve">Stribild </w:t>
      </w:r>
      <w:r w:rsidR="00121FF0">
        <w:t xml:space="preserve">as a whole and </w:t>
      </w:r>
      <w:r w:rsidR="00870A18">
        <w:t>t</w:t>
      </w:r>
      <w:r>
        <w:t xml:space="preserve">he </w:t>
      </w:r>
      <w:r>
        <w:rPr>
          <w:rFonts w:cs="Arial"/>
          <w:bCs/>
        </w:rPr>
        <w:t>TDF component</w:t>
      </w:r>
    </w:p>
    <w:p w:rsidR="000B6C24" w:rsidRDefault="000B6C24" w:rsidP="00870A18">
      <w:pPr>
        <w:pStyle w:val="ListBullet"/>
      </w:pPr>
      <w:r>
        <w:t>‘Safety in pregnancy’ relating to</w:t>
      </w:r>
      <w:r w:rsidR="00121FF0">
        <w:t xml:space="preserve"> </w:t>
      </w:r>
      <w:r w:rsidR="00870A18">
        <w:t>t</w:t>
      </w:r>
      <w:r>
        <w:t xml:space="preserve">he </w:t>
      </w:r>
      <w:r w:rsidR="00E1241E">
        <w:t>EVG</w:t>
      </w:r>
      <w:r>
        <w:t xml:space="preserve">, </w:t>
      </w:r>
      <w:r w:rsidR="00A2001C">
        <w:t>FTC</w:t>
      </w:r>
      <w:r>
        <w:t xml:space="preserve"> and </w:t>
      </w:r>
      <w:r>
        <w:rPr>
          <w:rFonts w:cs="Arial"/>
          <w:bCs/>
        </w:rPr>
        <w:t>TDF components</w:t>
      </w:r>
      <w:r w:rsidR="00121FF0">
        <w:rPr>
          <w:rFonts w:cs="Arial"/>
          <w:bCs/>
        </w:rPr>
        <w:t xml:space="preserve"> </w:t>
      </w:r>
    </w:p>
    <w:p w:rsidR="000B6C24" w:rsidRDefault="000B6C24" w:rsidP="00870A18">
      <w:pPr>
        <w:pStyle w:val="ListBullet"/>
      </w:pPr>
      <w:r>
        <w:t>‘Safety in children’ relating to</w:t>
      </w:r>
      <w:r w:rsidR="00121FF0">
        <w:t xml:space="preserve"> </w:t>
      </w:r>
      <w:r w:rsidR="00870A18">
        <w:t>t</w:t>
      </w:r>
      <w:r>
        <w:t xml:space="preserve">he </w:t>
      </w:r>
      <w:r w:rsidR="00A2001C">
        <w:rPr>
          <w:rFonts w:cs="Arial"/>
          <w:bCs/>
        </w:rPr>
        <w:t>COBI</w:t>
      </w:r>
      <w:r w:rsidR="00870A18">
        <w:rPr>
          <w:rFonts w:cs="Arial"/>
          <w:bCs/>
        </w:rPr>
        <w:t xml:space="preserve"> component</w:t>
      </w:r>
      <w:r w:rsidR="00121FF0">
        <w:rPr>
          <w:rFonts w:cs="Arial"/>
          <w:bCs/>
        </w:rPr>
        <w:t xml:space="preserve"> and </w:t>
      </w:r>
      <w:r w:rsidR="00870A18">
        <w:rPr>
          <w:rFonts w:cs="Arial"/>
          <w:bCs/>
        </w:rPr>
        <w:t>t</w:t>
      </w:r>
      <w:r>
        <w:t xml:space="preserve">he </w:t>
      </w:r>
      <w:r>
        <w:rPr>
          <w:rFonts w:cs="Arial"/>
          <w:bCs/>
        </w:rPr>
        <w:t>TDF component</w:t>
      </w:r>
    </w:p>
    <w:p w:rsidR="000B6C24" w:rsidRDefault="00870A18" w:rsidP="00121FF0">
      <w:pPr>
        <w:rPr>
          <w:rFonts w:cs="Arial"/>
          <w:bCs/>
        </w:rPr>
      </w:pPr>
      <w:r>
        <w:t>S</w:t>
      </w:r>
      <w:r w:rsidR="000B6C24">
        <w:t xml:space="preserve">tudies are </w:t>
      </w:r>
      <w:r>
        <w:t xml:space="preserve">also </w:t>
      </w:r>
      <w:r w:rsidR="000B6C24">
        <w:t xml:space="preserve">proposed to further monitor the important identified risk: ‘Renal toxicity’ relating to the </w:t>
      </w:r>
      <w:r w:rsidR="000B6C24" w:rsidRPr="00121FF0">
        <w:rPr>
          <w:rFonts w:cs="Arial"/>
          <w:bCs/>
        </w:rPr>
        <w:t>TDF component</w:t>
      </w:r>
      <w:r>
        <w:rPr>
          <w:rFonts w:cs="Arial"/>
          <w:bCs/>
        </w:rPr>
        <w:t>.</w:t>
      </w:r>
    </w:p>
    <w:p w:rsidR="000532EF" w:rsidRDefault="000532EF" w:rsidP="00121FF0">
      <w:r>
        <w:rPr>
          <w:rFonts w:cs="Arial"/>
          <w:bCs/>
        </w:rPr>
        <w:t xml:space="preserve">The OPR reviewer’s recommendations in relation to the above are shown below under </w:t>
      </w:r>
      <w:r w:rsidRPr="000532EF">
        <w:rPr>
          <w:rFonts w:cs="Arial"/>
          <w:bCs/>
          <w:i/>
        </w:rPr>
        <w:t>Summary of recommendations</w:t>
      </w:r>
      <w:r>
        <w:rPr>
          <w:rFonts w:cs="Arial"/>
          <w:bCs/>
        </w:rPr>
        <w:t xml:space="preserve">. </w:t>
      </w:r>
    </w:p>
    <w:p w:rsidR="008E7846" w:rsidRDefault="008E7846" w:rsidP="000532EF">
      <w:pPr>
        <w:pStyle w:val="Heading4"/>
        <w:keepNext/>
        <w:rPr>
          <w:lang w:eastAsia="en-AU"/>
        </w:rPr>
      </w:pPr>
      <w:r>
        <w:rPr>
          <w:lang w:eastAsia="en-AU"/>
        </w:rPr>
        <w:lastRenderedPageBreak/>
        <w:t xml:space="preserve">Risk </w:t>
      </w:r>
      <w:r w:rsidR="003A7F6C">
        <w:rPr>
          <w:lang w:eastAsia="en-AU"/>
        </w:rPr>
        <w:t>m</w:t>
      </w:r>
      <w:r>
        <w:rPr>
          <w:lang w:eastAsia="en-AU"/>
        </w:rPr>
        <w:t xml:space="preserve">inimisation </w:t>
      </w:r>
      <w:r w:rsidR="003A7F6C">
        <w:rPr>
          <w:lang w:eastAsia="en-AU"/>
        </w:rPr>
        <w:t>a</w:t>
      </w:r>
      <w:r>
        <w:rPr>
          <w:lang w:eastAsia="en-AU"/>
        </w:rPr>
        <w:t>ctivities</w:t>
      </w:r>
    </w:p>
    <w:p w:rsidR="000B6C24" w:rsidRDefault="000B6C24" w:rsidP="000532EF">
      <w:pPr>
        <w:keepNext/>
      </w:pPr>
      <w:bookmarkStart w:id="177" w:name="_Toc247691527"/>
      <w:r>
        <w:t xml:space="preserve">The sponsor has concluded that routine risk minimisation activities for all the specified ongoing safety concerns are sufficient, except for the important identified risk: ‘Renal toxicity’ for which additional risk minimisation activities are also proposed; and the important missing information: ‘Long-term safety information’ for which no routine risk minimisation is proposed. </w:t>
      </w:r>
    </w:p>
    <w:p w:rsidR="000B6C24" w:rsidRDefault="000B6C24" w:rsidP="00637252">
      <w:pPr>
        <w:pStyle w:val="Heading5"/>
      </w:pPr>
      <w:r>
        <w:t>OPR reviewer comment:</w:t>
      </w:r>
    </w:p>
    <w:p w:rsidR="000B6C24" w:rsidRPr="00FA16CD" w:rsidRDefault="000B6C24" w:rsidP="00FA16CD">
      <w:r w:rsidRPr="00FA16CD">
        <w:t>The above conclusion was previously accepted for E</w:t>
      </w:r>
      <w:r w:rsidR="00993867" w:rsidRPr="00FA16CD">
        <w:t>viplera</w:t>
      </w:r>
      <w:r w:rsidRPr="00FA16CD">
        <w:t>.</w:t>
      </w:r>
      <w:r w:rsidR="00841BE4">
        <w:t xml:space="preserve"> </w:t>
      </w:r>
      <w:r w:rsidRPr="00FA16CD">
        <w:t xml:space="preserve">In addition the specified ongoing safety concerns related to the </w:t>
      </w:r>
      <w:r w:rsidR="00BB2DAA">
        <w:t xml:space="preserve">EVG </w:t>
      </w:r>
      <w:r w:rsidRPr="00FA16CD">
        <w:t xml:space="preserve">and </w:t>
      </w:r>
      <w:r w:rsidR="00A2001C">
        <w:t>COBI</w:t>
      </w:r>
      <w:r w:rsidRPr="00FA16CD">
        <w:t xml:space="preserve"> components would not appear to warrant additional risk minimisation activities.</w:t>
      </w:r>
      <w:r w:rsidR="00841BE4">
        <w:t xml:space="preserve"> </w:t>
      </w:r>
    </w:p>
    <w:p w:rsidR="00FA16CD" w:rsidRPr="00FA16CD" w:rsidRDefault="00FA16CD" w:rsidP="00FA16CD">
      <w:r w:rsidRPr="00FA16CD">
        <w:t xml:space="preserve">Routine risk minimisation activities will comprise product labelling, including contraindications, </w:t>
      </w:r>
      <w:r w:rsidR="004E0486">
        <w:t xml:space="preserve">PK </w:t>
      </w:r>
      <w:r w:rsidR="00993867">
        <w:t>data, special warning and</w:t>
      </w:r>
      <w:r w:rsidRPr="00FA16CD">
        <w:t xml:space="preserve"> precaution statements, instructions for use, drug interactions and/or notification of undesirable effects for all the specified ongoing safety concerns, except for the important missing information: ‘Long-term safety information’ for which no routine risk minimisation is proposed.</w:t>
      </w:r>
    </w:p>
    <w:p w:rsidR="00FA16CD" w:rsidRPr="00FA16CD" w:rsidRDefault="00FA16CD" w:rsidP="00FA16CD">
      <w:r w:rsidRPr="00FA16CD">
        <w:t xml:space="preserve">The sponsor states that the important identified risk: ‘Renal toxicity’ associated with the TDF component of </w:t>
      </w:r>
      <w:r w:rsidR="005C5945">
        <w:t xml:space="preserve">Stribild </w:t>
      </w:r>
      <w:r w:rsidRPr="00FA16CD">
        <w:t>is being addressed by the HIV renal educational program for healthcare providers.</w:t>
      </w:r>
      <w:r w:rsidR="00841BE4">
        <w:t xml:space="preserve"> </w:t>
      </w:r>
    </w:p>
    <w:p w:rsidR="00FA16CD" w:rsidRPr="00FA16CD" w:rsidRDefault="00FA16CD" w:rsidP="00FA16CD">
      <w:r w:rsidRPr="00FA16CD">
        <w:t>Further details of the medical education activities for HIV treating physicians have been provided, including an assurance that all educational materials will be in line with TGA and Medicines Australia requirements and the educational programs will be continued post launch.</w:t>
      </w:r>
    </w:p>
    <w:p w:rsidR="008E7846" w:rsidRPr="00FA16CD" w:rsidRDefault="00791807" w:rsidP="00993867">
      <w:r>
        <w:t xml:space="preserve">The sponsor’s proposed application of routine and additional risk minimisation activities would appear to be reasonable, </w:t>
      </w:r>
      <w:r w:rsidR="00915248">
        <w:t xml:space="preserve">except for some aspects of the </w:t>
      </w:r>
      <w:r w:rsidR="00993867">
        <w:t xml:space="preserve">PI. </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B6C24" w:rsidRDefault="000B6C24" w:rsidP="000B6C24">
      <w:bookmarkStart w:id="178" w:name="_Toc314842510"/>
      <w:r>
        <w:t>The OPR provides these recommendations</w:t>
      </w:r>
      <w:r w:rsidR="00C63CBB">
        <w:rPr>
          <w:rStyle w:val="FootnoteReference"/>
        </w:rPr>
        <w:footnoteReference w:id="14"/>
      </w:r>
      <w:r>
        <w:t xml:space="preserve"> in the context that the submitted RMP is supportive to the application; and the implementation of a RMP satisfactory to the TGA is imposed as a condition of registration:</w:t>
      </w:r>
    </w:p>
    <w:p w:rsidR="000B6C24" w:rsidRPr="004957AE" w:rsidRDefault="000B6C24" w:rsidP="004957AE">
      <w:pPr>
        <w:pStyle w:val="ListBullet"/>
      </w:pPr>
      <w:r w:rsidRPr="004957AE">
        <w:t xml:space="preserve">The sponsor should include the information provided in its correspondence </w:t>
      </w:r>
      <w:r w:rsidR="00A70EFF" w:rsidRPr="004957AE">
        <w:t xml:space="preserve">to TGA </w:t>
      </w:r>
      <w:r w:rsidRPr="004957AE">
        <w:t xml:space="preserve">listing the ongoing safety concerns which are the focus of a targeted follow-up questionnaire in the </w:t>
      </w:r>
      <w:r w:rsidR="004957AE" w:rsidRPr="004957AE">
        <w:t xml:space="preserve">Australian </w:t>
      </w:r>
      <w:r w:rsidR="004957AE">
        <w:t>(</w:t>
      </w:r>
      <w:r w:rsidRPr="004957AE">
        <w:t>AU</w:t>
      </w:r>
      <w:r w:rsidR="004957AE">
        <w:t>)</w:t>
      </w:r>
      <w:r w:rsidRPr="004957AE">
        <w:t>-RMP when this document is next updated.</w:t>
      </w:r>
      <w:r w:rsidR="00841BE4" w:rsidRPr="004957AE">
        <w:t xml:space="preserve"> </w:t>
      </w:r>
      <w:r w:rsidRPr="004957AE">
        <w:t>In addition a copy of this targeted follow-up questionnaire should be provided as an annex to the AU-RMP.</w:t>
      </w:r>
    </w:p>
    <w:p w:rsidR="000B6C24" w:rsidRPr="004957AE" w:rsidRDefault="000B6C24" w:rsidP="004957AE">
      <w:pPr>
        <w:pStyle w:val="ListBullet"/>
      </w:pPr>
      <w:r w:rsidRPr="004957AE">
        <w:t xml:space="preserve">The sponsor should include the information provided in its correspondence </w:t>
      </w:r>
      <w:r w:rsidR="00A70EFF" w:rsidRPr="004957AE">
        <w:t xml:space="preserve">to the TGA </w:t>
      </w:r>
      <w:r w:rsidRPr="004957AE">
        <w:t xml:space="preserve">relating to an update to the estimated timelines for interim and/or final results, including the completion of some activities, in </w:t>
      </w:r>
      <w:r w:rsidR="004957AE">
        <w:t xml:space="preserve">the </w:t>
      </w:r>
      <w:r w:rsidRPr="004957AE">
        <w:rPr>
          <w:i/>
        </w:rPr>
        <w:t>‘Overview of Study Protocols for the Pharmacovigilance Plan’</w:t>
      </w:r>
      <w:r w:rsidRPr="004957AE">
        <w:t xml:space="preserve"> of the AU-RMP when this document is next updated.</w:t>
      </w:r>
      <w:r w:rsidR="00841BE4" w:rsidRPr="004957AE">
        <w:t xml:space="preserve"> </w:t>
      </w:r>
      <w:r w:rsidR="00446028" w:rsidRPr="004957AE">
        <w:t xml:space="preserve">Revisions should be made to update </w:t>
      </w:r>
      <w:r w:rsidRPr="004957AE">
        <w:t xml:space="preserve">milestones for planned data availability for proposed additional </w:t>
      </w:r>
      <w:r w:rsidR="000532EF">
        <w:t xml:space="preserve">PV </w:t>
      </w:r>
      <w:r w:rsidRPr="004957AE">
        <w:t xml:space="preserve">activities </w:t>
      </w:r>
      <w:r w:rsidR="00446028" w:rsidRPr="004957AE">
        <w:t xml:space="preserve">as appropriate </w:t>
      </w:r>
      <w:r w:rsidRPr="004957AE">
        <w:t xml:space="preserve">and this information </w:t>
      </w:r>
      <w:r w:rsidR="00446028" w:rsidRPr="004957AE">
        <w:t xml:space="preserve">should be included </w:t>
      </w:r>
      <w:r w:rsidRPr="004957AE">
        <w:t>in the AU-RMP when this document is next updated.</w:t>
      </w:r>
      <w:r w:rsidR="00841BE4" w:rsidRPr="004957AE">
        <w:t xml:space="preserve"> </w:t>
      </w:r>
    </w:p>
    <w:p w:rsidR="000B6C24" w:rsidRPr="004957AE" w:rsidRDefault="004957AE" w:rsidP="004957AE">
      <w:pPr>
        <w:pStyle w:val="ListBullet"/>
      </w:pPr>
      <w:r>
        <w:t>A</w:t>
      </w:r>
      <w:r w:rsidR="000B6C24" w:rsidRPr="004957AE">
        <w:t xml:space="preserve">n update on the progress/results/analysis of </w:t>
      </w:r>
      <w:r w:rsidRPr="004957AE">
        <w:t xml:space="preserve">ongoing </w:t>
      </w:r>
      <w:r w:rsidR="000B6C24" w:rsidRPr="004957AE">
        <w:t>studies</w:t>
      </w:r>
      <w:r w:rsidR="00446028" w:rsidRPr="004957AE">
        <w:t xml:space="preserve"> </w:t>
      </w:r>
      <w:r w:rsidR="000B6C24" w:rsidRPr="004957AE">
        <w:t>will be expected in future PSURs.</w:t>
      </w:r>
    </w:p>
    <w:p w:rsidR="000B6C24" w:rsidRPr="004957AE" w:rsidRDefault="00446028" w:rsidP="004957AE">
      <w:pPr>
        <w:pStyle w:val="ListBullet"/>
      </w:pPr>
      <w:r w:rsidRPr="004957AE">
        <w:t>D</w:t>
      </w:r>
      <w:r w:rsidR="000B6C24" w:rsidRPr="004957AE">
        <w:t xml:space="preserve">raft protocols for studies </w:t>
      </w:r>
      <w:r w:rsidRPr="004957AE">
        <w:t xml:space="preserve">that have not yet been provided should be </w:t>
      </w:r>
      <w:r w:rsidR="000B6C24" w:rsidRPr="004957AE">
        <w:t>provided to the</w:t>
      </w:r>
      <w:r w:rsidR="004957AE">
        <w:t xml:space="preserve"> TGA when they become available.</w:t>
      </w:r>
    </w:p>
    <w:p w:rsidR="004957AE" w:rsidRDefault="000B6C24" w:rsidP="004957AE">
      <w:pPr>
        <w:pStyle w:val="ListBullet"/>
      </w:pPr>
      <w:r w:rsidRPr="004957AE">
        <w:lastRenderedPageBreak/>
        <w:t xml:space="preserve">The sponsor’s proposed application of routine and additional risk minimisation activities would appear to be reasonable, </w:t>
      </w:r>
      <w:r w:rsidR="00915248">
        <w:t xml:space="preserve">provided certain modifications are made to the </w:t>
      </w:r>
      <w:r w:rsidR="004957AE">
        <w:t>PI. Details of recommended PI revisions are beyond the scope of this AusPAR.</w:t>
      </w:r>
    </w:p>
    <w:p w:rsidR="000B6C24" w:rsidRDefault="000B6C24" w:rsidP="00915248">
      <w:pPr>
        <w:pStyle w:val="ListBullet"/>
      </w:pPr>
      <w:r w:rsidRPr="00915248">
        <w:t>It remains unclear as to how the effectiveness of the educational programs as a measure to reduce the important identified risk: ‘Renal toxicity’ will be reported to the TGA.</w:t>
      </w:r>
      <w:r w:rsidR="00841BE4" w:rsidRPr="00915248">
        <w:t xml:space="preserve"> </w:t>
      </w:r>
      <w:r w:rsidRPr="00915248">
        <w:t>The sponsor should state and justify a specific timeframe for the reporting of these results to the TGA and include such information in the AU-RMP when this document is next updated.</w:t>
      </w:r>
    </w:p>
    <w:p w:rsidR="00614B11" w:rsidRPr="00614B11" w:rsidRDefault="00614B11" w:rsidP="00614B11">
      <w:r>
        <w:t>In addition, t</w:t>
      </w:r>
      <w:r w:rsidRPr="00614B11">
        <w:t xml:space="preserve">he OPR reviewer recommended several revisions </w:t>
      </w:r>
      <w:r>
        <w:t xml:space="preserve">be made </w:t>
      </w:r>
      <w:r w:rsidRPr="00614B11">
        <w:t>to the text of tables in the RMP and to information in the PI and Consumer Medicine Information</w:t>
      </w:r>
      <w:r>
        <w:t xml:space="preserve"> (CMI)</w:t>
      </w:r>
      <w:r w:rsidRPr="00614B11">
        <w:t>. Details of these recommendations are beyond the scope of this AusPAR.</w:t>
      </w:r>
    </w:p>
    <w:p w:rsidR="008E7846" w:rsidRPr="00792A32" w:rsidRDefault="008E7846" w:rsidP="008E7846">
      <w:pPr>
        <w:pStyle w:val="Heading2"/>
      </w:pPr>
      <w:bookmarkStart w:id="179" w:name="_Toc36345668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61"/>
      <w:bookmarkEnd w:id="177"/>
      <w:bookmarkEnd w:id="178"/>
      <w:bookmarkEnd w:id="179"/>
    </w:p>
    <w:p w:rsidR="008E7846" w:rsidRDefault="008E7846" w:rsidP="008E7846">
      <w:bookmarkStart w:id="180" w:name="_Toc247691528"/>
      <w:r>
        <w:t xml:space="preserve">The submission was summarised in the following </w:t>
      </w:r>
      <w:r w:rsidRPr="00EF5C48">
        <w:t xml:space="preserve">Delegate’s </w:t>
      </w:r>
      <w:r>
        <w:t>overview</w:t>
      </w:r>
      <w:r w:rsidRPr="00EF5C48">
        <w:t xml:space="preserve"> and recommendation</w:t>
      </w:r>
      <w:r>
        <w:t>s:</w:t>
      </w:r>
    </w:p>
    <w:p w:rsidR="00EF57A7" w:rsidRDefault="00EF57A7" w:rsidP="00637252">
      <w:pPr>
        <w:pStyle w:val="Heading3"/>
      </w:pPr>
      <w:r>
        <w:t>Introduction</w:t>
      </w:r>
    </w:p>
    <w:p w:rsidR="00336BCD" w:rsidRPr="00336BCD" w:rsidRDefault="00336BCD" w:rsidP="000E675C">
      <w:pPr>
        <w:keepNext/>
      </w:pPr>
      <w:r w:rsidRPr="00336BCD">
        <w:t xml:space="preserve">This submission seeks registration of a new fixed-dose combination of TDF, FTC, </w:t>
      </w:r>
      <w:r w:rsidR="00BB2DAA">
        <w:t xml:space="preserve">EVG </w:t>
      </w:r>
      <w:r w:rsidRPr="00336BCD">
        <w:t xml:space="preserve">and </w:t>
      </w:r>
      <w:r w:rsidR="00A2001C">
        <w:t>COBI</w:t>
      </w:r>
      <w:r w:rsidRPr="00336BCD">
        <w:t xml:space="preserve">. The TDF/FTC/EVG/COBI (300/200/150/150 mg) formulation, which is described as a STR, contains </w:t>
      </w:r>
      <w:r w:rsidR="005C1062">
        <w:t xml:space="preserve">2 </w:t>
      </w:r>
      <w:r w:rsidR="005F17E9">
        <w:t>n</w:t>
      </w:r>
      <w:r w:rsidRPr="00336BCD">
        <w:t xml:space="preserve">ew </w:t>
      </w:r>
      <w:r w:rsidR="005F17E9">
        <w:t>c</w:t>
      </w:r>
      <w:r w:rsidRPr="00336BCD">
        <w:t xml:space="preserve">hemical </w:t>
      </w:r>
      <w:r w:rsidR="005F17E9">
        <w:t>e</w:t>
      </w:r>
      <w:r w:rsidRPr="00336BCD">
        <w:t xml:space="preserve">ntities </w:t>
      </w:r>
      <w:r w:rsidR="00700880">
        <w:t>that is,</w:t>
      </w:r>
      <w:r w:rsidRPr="00336BCD">
        <w:t xml:space="preserve"> EVG and COBI.</w:t>
      </w:r>
      <w:r w:rsidR="005F17E9">
        <w:t xml:space="preserve"> </w:t>
      </w:r>
      <w:r w:rsidRPr="00336BCD">
        <w:t>Both EVG and COBI are currently unregistered in Australia. Applications for registration of both individual drugs as mono-agents have been received and are currently under early stages of evaluation.</w:t>
      </w:r>
    </w:p>
    <w:p w:rsidR="00336BCD" w:rsidRPr="00AF593A" w:rsidRDefault="005C5945" w:rsidP="00AF593A">
      <w:r>
        <w:t xml:space="preserve">Stribild </w:t>
      </w:r>
      <w:r w:rsidR="00336BCD" w:rsidRPr="00336BCD">
        <w:t>contains the current standard-of-care dual Nt/NRTI backbone</w:t>
      </w:r>
      <w:r w:rsidR="005F17E9">
        <w:t>,</w:t>
      </w:r>
      <w:r w:rsidR="00336BCD" w:rsidRPr="00336BCD">
        <w:t xml:space="preserve"> </w:t>
      </w:r>
      <w:r w:rsidR="00700880">
        <w:t>that is,</w:t>
      </w:r>
      <w:r w:rsidR="00336BCD" w:rsidRPr="00336BCD">
        <w:t xml:space="preserve"> TDF/FTC in the same doses as currently approved in adults (300</w:t>
      </w:r>
      <w:r w:rsidR="000E5497">
        <w:t xml:space="preserve"> </w:t>
      </w:r>
      <w:r w:rsidR="00336BCD" w:rsidRPr="00336BCD">
        <w:t>mg TDF, 200</w:t>
      </w:r>
      <w:r w:rsidR="000E5497">
        <w:t xml:space="preserve"> </w:t>
      </w:r>
      <w:r w:rsidR="00336BCD" w:rsidRPr="00336BCD">
        <w:t>mg FTC). TDF and FTC are currently available in Australia in a number of formulations/products</w:t>
      </w:r>
      <w:r w:rsidR="005F17E9">
        <w:t>,</w:t>
      </w:r>
      <w:r w:rsidR="00336BCD" w:rsidRPr="00336BCD">
        <w:t xml:space="preserve"> including fixed-dose combinations.</w:t>
      </w:r>
    </w:p>
    <w:p w:rsidR="002D459A" w:rsidRDefault="002D459A" w:rsidP="002D459A">
      <w:r>
        <w:t xml:space="preserve">This is the first fixed-dose combination product for the treatment of HIV that contains 4 active ingredients. Currently 2 fixed-dose products containing 3 anti HIV agents are approved in Australia; both contain the TDF/FTC backbone in combination with, respectively, EFV and RPV. </w:t>
      </w:r>
    </w:p>
    <w:p w:rsidR="00336BCD" w:rsidRPr="00336BCD" w:rsidRDefault="00AF593A" w:rsidP="00336BCD">
      <w:r w:rsidRPr="00AF593A">
        <w:t xml:space="preserve">The indication </w:t>
      </w:r>
      <w:r>
        <w:t xml:space="preserve">for Stribild </w:t>
      </w:r>
      <w:r w:rsidRPr="00AF593A">
        <w:t xml:space="preserve">proposed by the sponsor is: </w:t>
      </w:r>
      <w:r w:rsidRPr="00AF593A">
        <w:rPr>
          <w:i/>
        </w:rPr>
        <w:t>as a complete regimen for the treatment of HIV infection in adults who have no known mutations associated with resistance to the individual components of Stribild</w:t>
      </w:r>
      <w:r>
        <w:rPr>
          <w:i/>
        </w:rPr>
        <w:t>.</w:t>
      </w:r>
      <w:r w:rsidR="00447FD2">
        <w:rPr>
          <w:i/>
        </w:rPr>
        <w:t xml:space="preserve"> </w:t>
      </w:r>
      <w:r w:rsidR="00336BCD" w:rsidRPr="00336BCD">
        <w:t xml:space="preserve">The pivotal clinical data for </w:t>
      </w:r>
      <w:r w:rsidR="005C5945">
        <w:t xml:space="preserve">Stribild </w:t>
      </w:r>
      <w:r w:rsidR="00091D6C">
        <w:t>were obtained in ‘</w:t>
      </w:r>
      <w:r w:rsidR="00336BCD" w:rsidRPr="00336BCD">
        <w:t>antiretroviral treatment-</w:t>
      </w:r>
      <w:r w:rsidR="007553B1">
        <w:t>naïve</w:t>
      </w:r>
      <w:r w:rsidR="00091D6C">
        <w:t>’</w:t>
      </w:r>
      <w:r w:rsidR="00336BCD" w:rsidRPr="00336BCD">
        <w:t xml:space="preserve"> adult HIV-1 patients although the proposed indication does not make this explicit.</w:t>
      </w:r>
    </w:p>
    <w:p w:rsidR="00336BCD" w:rsidRPr="00336BCD" w:rsidRDefault="00336BCD" w:rsidP="00B559EF">
      <w:r w:rsidRPr="00B559EF">
        <w:t xml:space="preserve">The current </w:t>
      </w:r>
      <w:r w:rsidR="00B03F1E" w:rsidRPr="00E84AB7">
        <w:rPr>
          <w:i/>
        </w:rPr>
        <w:t>Guidelines for the Use of Antiretroviral Agents in</w:t>
      </w:r>
      <w:r w:rsidR="00B559EF" w:rsidRPr="00E84AB7">
        <w:rPr>
          <w:i/>
        </w:rPr>
        <w:t xml:space="preserve"> </w:t>
      </w:r>
      <w:r w:rsidR="00B03F1E" w:rsidRPr="00E84AB7">
        <w:rPr>
          <w:i/>
        </w:rPr>
        <w:t>HIV-1-Infected Adults and Adolescents</w:t>
      </w:r>
      <w:r w:rsidR="00B03F1E" w:rsidRPr="00B559EF">
        <w:t xml:space="preserve"> </w:t>
      </w:r>
      <w:r w:rsidR="00B559EF">
        <w:t xml:space="preserve">[Incorporating Australian commentary of 18 May 2012] </w:t>
      </w:r>
      <w:r w:rsidRPr="00B559EF">
        <w:t>can be</w:t>
      </w:r>
      <w:r w:rsidRPr="00336BCD">
        <w:t xml:space="preserve"> accessed online at </w:t>
      </w:r>
      <w:r w:rsidR="00637252">
        <w:t>&lt;</w:t>
      </w:r>
      <w:hyperlink r:id="rId24" w:history="1">
        <w:r w:rsidR="00447FD2" w:rsidRPr="001A6FC0">
          <w:rPr>
            <w:rStyle w:val="Hyperlink"/>
          </w:rPr>
          <w:t>http://arv.ashm.org.au/pdf/ARV_Guidelines_AustCommentary_March28.pdf</w:t>
        </w:r>
      </w:hyperlink>
      <w:r w:rsidR="00637252">
        <w:t>&gt;.</w:t>
      </w:r>
    </w:p>
    <w:p w:rsidR="008E7846" w:rsidRDefault="008E7846" w:rsidP="008E7846">
      <w:pPr>
        <w:pStyle w:val="Heading3"/>
      </w:pPr>
      <w:bookmarkStart w:id="181" w:name="_Toc314842511"/>
      <w:bookmarkStart w:id="182" w:name="_Toc363456683"/>
      <w:r>
        <w:t>Quality</w:t>
      </w:r>
      <w:bookmarkEnd w:id="180"/>
      <w:bookmarkEnd w:id="181"/>
      <w:bookmarkEnd w:id="182"/>
    </w:p>
    <w:p w:rsidR="00336BCD" w:rsidRPr="00336BCD" w:rsidRDefault="00336BCD" w:rsidP="00336BCD">
      <w:r w:rsidRPr="00336BCD">
        <w:t xml:space="preserve">Elvitegravir and COBI are both new agents. Tenofovir disoproxil fumarate and FTC are identical to the drug substances already registered. </w:t>
      </w:r>
    </w:p>
    <w:p w:rsidR="00020513" w:rsidRDefault="00336BCD" w:rsidP="007E27FF">
      <w:r w:rsidRPr="00336BCD">
        <w:t xml:space="preserve">EVG and COBI both are synthetic agents. The </w:t>
      </w:r>
      <w:r w:rsidR="00020513" w:rsidRPr="00336BCD">
        <w:t xml:space="preserve">Pharmaceutical Chemistry Section (PCS) of the TGA </w:t>
      </w:r>
      <w:r w:rsidRPr="00336BCD">
        <w:t xml:space="preserve">pointed out the presence of a number of impurities with EVG and COBI. These are currently controlled at levels above the relevant ICH threshold. The MTES of TGA has not </w:t>
      </w:r>
      <w:r w:rsidRPr="00336BCD">
        <w:lastRenderedPageBreak/>
        <w:t>raised any objection in this regard.</w:t>
      </w:r>
      <w:r w:rsidR="00020513">
        <w:t xml:space="preserve"> </w:t>
      </w:r>
      <w:r w:rsidR="007E27FF" w:rsidRPr="00336BCD">
        <w:t>The submission has been considered by the PSC</w:t>
      </w:r>
      <w:r w:rsidR="007E27FF">
        <w:t xml:space="preserve"> </w:t>
      </w:r>
      <w:r w:rsidR="007E27FF" w:rsidRPr="00336BCD">
        <w:t>of the ACPM at its 145</w:t>
      </w:r>
      <w:r w:rsidR="007E27FF" w:rsidRPr="007E27FF">
        <w:rPr>
          <w:vertAlign w:val="superscript"/>
        </w:rPr>
        <w:t>th</w:t>
      </w:r>
      <w:r w:rsidR="007E27FF">
        <w:t xml:space="preserve"> </w:t>
      </w:r>
      <w:r w:rsidR="007E27FF" w:rsidRPr="00336BCD">
        <w:t>meeting</w:t>
      </w:r>
      <w:r w:rsidR="00020513">
        <w:t>.</w:t>
      </w:r>
    </w:p>
    <w:p w:rsidR="00336BCD" w:rsidRPr="00336BCD" w:rsidRDefault="00020513" w:rsidP="00336BCD">
      <w:r>
        <w:t>T</w:t>
      </w:r>
      <w:r w:rsidR="007E27FF" w:rsidRPr="00336BCD">
        <w:t>he PCS of the TGA recommends approval</w:t>
      </w:r>
      <w:r>
        <w:t xml:space="preserve"> of the product</w:t>
      </w:r>
      <w:r w:rsidR="007E27FF" w:rsidRPr="00336BCD">
        <w:t xml:space="preserve">. </w:t>
      </w:r>
      <w:r w:rsidR="00336BCD" w:rsidRPr="00336BCD">
        <w:t>The PCS also recommend</w:t>
      </w:r>
      <w:r w:rsidR="007E27FF">
        <w:t>s</w:t>
      </w:r>
      <w:r w:rsidR="00336BCD" w:rsidRPr="00336BCD">
        <w:t xml:space="preserve"> that it should be a condition of registration that the dissolution test and limits for the product are as originally submitted</w:t>
      </w:r>
      <w:r w:rsidR="007E27FF">
        <w:t>.</w:t>
      </w:r>
      <w:r w:rsidR="00700880">
        <w:rPr>
          <w:rStyle w:val="FootnoteReference"/>
        </w:rPr>
        <w:footnoteReference w:id="15"/>
      </w:r>
    </w:p>
    <w:p w:rsidR="008E7846" w:rsidRDefault="008E7846" w:rsidP="008E7846">
      <w:pPr>
        <w:pStyle w:val="Heading3"/>
      </w:pPr>
      <w:bookmarkStart w:id="183" w:name="_Toc314842512"/>
      <w:bookmarkStart w:id="184" w:name="_Toc363456684"/>
      <w:r>
        <w:t>Nonclinical</w:t>
      </w:r>
      <w:bookmarkEnd w:id="183"/>
      <w:bookmarkEnd w:id="184"/>
    </w:p>
    <w:p w:rsidR="00336BCD" w:rsidRPr="00336BCD" w:rsidRDefault="00336BCD" w:rsidP="00336BCD">
      <w:r w:rsidRPr="00336BCD">
        <w:t xml:space="preserve">The toxicology findings </w:t>
      </w:r>
      <w:r w:rsidR="003F7F14">
        <w:t xml:space="preserve">and the </w:t>
      </w:r>
      <w:r w:rsidR="003F7F14" w:rsidRPr="00336BCD">
        <w:t xml:space="preserve">toxicology conclusions </w:t>
      </w:r>
      <w:r w:rsidRPr="00336BCD">
        <w:t xml:space="preserve">were as </w:t>
      </w:r>
      <w:r w:rsidR="003F7F14">
        <w:t xml:space="preserve">described under </w:t>
      </w:r>
      <w:r w:rsidR="003F7F14" w:rsidRPr="003F7F14">
        <w:rPr>
          <w:i/>
        </w:rPr>
        <w:t>Nonclinical summary and conclusions</w:t>
      </w:r>
      <w:r w:rsidR="003F7F14">
        <w:t>, above</w:t>
      </w:r>
      <w:r w:rsidR="00020513">
        <w:t>. There were no objections on nonclinical grounds to the registration of the product.</w:t>
      </w:r>
    </w:p>
    <w:p w:rsidR="008E7846" w:rsidRDefault="008E7846" w:rsidP="000E675C">
      <w:pPr>
        <w:pStyle w:val="Heading3"/>
      </w:pPr>
      <w:bookmarkStart w:id="185" w:name="_Toc247691530"/>
      <w:bookmarkStart w:id="186" w:name="_Toc314842513"/>
      <w:bookmarkStart w:id="187" w:name="_Toc363456685"/>
      <w:r>
        <w:t>Clinical</w:t>
      </w:r>
      <w:bookmarkEnd w:id="185"/>
      <w:bookmarkEnd w:id="186"/>
      <w:bookmarkEnd w:id="187"/>
    </w:p>
    <w:p w:rsidR="004D682E" w:rsidRPr="004D682E" w:rsidRDefault="004D682E" w:rsidP="000E675C">
      <w:pPr>
        <w:pStyle w:val="Heading4"/>
        <w:keepNext/>
      </w:pPr>
      <w:r w:rsidRPr="004D682E">
        <w:t>Pharmacokinetics, bioequivalence, dose selection</w:t>
      </w:r>
    </w:p>
    <w:p w:rsidR="004D682E" w:rsidRPr="004D682E" w:rsidRDefault="004D682E" w:rsidP="000E675C">
      <w:pPr>
        <w:keepNext/>
      </w:pPr>
      <w:r w:rsidRPr="004D682E">
        <w:t>Absolute bioavailability of neither EVG nor COBI was studied.</w:t>
      </w:r>
      <w:r w:rsidR="008643A3">
        <w:t xml:space="preserve"> </w:t>
      </w:r>
      <w:r w:rsidRPr="004D682E">
        <w:t xml:space="preserve">Mass balance studies were </w:t>
      </w:r>
      <w:r w:rsidR="008643A3">
        <w:t xml:space="preserve">Study </w:t>
      </w:r>
      <w:r w:rsidRPr="004D682E">
        <w:t xml:space="preserve">183-0126 (EVG) and </w:t>
      </w:r>
      <w:r w:rsidR="008643A3">
        <w:t xml:space="preserve">Study </w:t>
      </w:r>
      <w:r w:rsidRPr="004D682E">
        <w:t>216-0111 (COBI).</w:t>
      </w:r>
    </w:p>
    <w:p w:rsidR="004D682E" w:rsidRPr="004D682E" w:rsidRDefault="00116D9C" w:rsidP="004D682E">
      <w:r w:rsidRPr="00116D9C">
        <w:rPr>
          <w:rFonts w:eastAsiaTheme="minorEastAsia"/>
          <w:i/>
        </w:rPr>
        <w:t>Elvitegravir</w:t>
      </w:r>
      <w:r w:rsidR="004D682E" w:rsidRPr="00116D9C">
        <w:rPr>
          <w:i/>
        </w:rPr>
        <w:t>:</w:t>
      </w:r>
      <w:r w:rsidR="004D682E" w:rsidRPr="004D682E">
        <w:t xml:space="preserve"> 95% radioactivity was recovered in faeces after oral administration. The combined faecal and urinary recovery accounted for 100% of the drug and indicated hepatobiliary excretion. The EVG biotransformation is primarily </w:t>
      </w:r>
      <w:r w:rsidR="00BB7072" w:rsidRPr="00BB7072">
        <w:rPr>
          <w:i/>
        </w:rPr>
        <w:t>via</w:t>
      </w:r>
      <w:r w:rsidR="004D682E" w:rsidRPr="004D682E">
        <w:t xml:space="preserve"> aromatic and aliphatic hydroxylation and/or primary or secondary glucuronidation. In plasma, nearly 94% activity is from the intact drug with the remaining radioactivity made up of low levels of metabolites from hydroxylation and/or glucuronidatio</w:t>
      </w:r>
      <w:r w:rsidR="00AF593A">
        <w:t>n including GS-9200 (M4) and GS </w:t>
      </w:r>
      <w:r w:rsidR="004D682E" w:rsidRPr="004D682E">
        <w:t xml:space="preserve">9202 (M1). In faeces, the radioactivity was accounted </w:t>
      </w:r>
      <w:r w:rsidR="00AF593A">
        <w:t>for mainly by intact EVG and GS</w:t>
      </w:r>
      <w:r w:rsidR="00AF593A">
        <w:noBreakHyphen/>
      </w:r>
      <w:r w:rsidR="004D682E" w:rsidRPr="004D682E">
        <w:t>9202 (M1) In urine, the radioactivity was mainly accounted for by GS-9200 (M4)</w:t>
      </w:r>
      <w:r w:rsidR="00841BE4">
        <w:t xml:space="preserve"> </w:t>
      </w:r>
      <w:r w:rsidR="004D682E" w:rsidRPr="004D682E">
        <w:t>or other glucuronides of EVG hydroxylation (M7, M19, M20). Intact EVG radioactivity was not recovered from any urine sample.</w:t>
      </w:r>
    </w:p>
    <w:p w:rsidR="004D682E" w:rsidRPr="004D682E" w:rsidRDefault="00116D9C" w:rsidP="004D682E">
      <w:r w:rsidRPr="00116D9C">
        <w:rPr>
          <w:i/>
        </w:rPr>
        <w:t>Cobicistat</w:t>
      </w:r>
      <w:r w:rsidR="004D682E" w:rsidRPr="00116D9C">
        <w:rPr>
          <w:i/>
        </w:rPr>
        <w:t>:</w:t>
      </w:r>
      <w:r w:rsidR="004D682E" w:rsidRPr="004D682E">
        <w:t xml:space="preserve"> 94% radioactivity is recovered from faeces (86%) and urine (&lt;10%). Intact drug is the predominant species in plasma (99%) with no quantifiable metabolites in plasma. In faeces, 27% radioactivity was accounted for by the intact molecule and remaining by metabolites (mainly E3 and E1).</w:t>
      </w:r>
    </w:p>
    <w:p w:rsidR="004D682E" w:rsidRPr="004D682E" w:rsidRDefault="004D682E" w:rsidP="004D682E">
      <w:r w:rsidRPr="004D682E">
        <w:t xml:space="preserve">Both </w:t>
      </w:r>
      <w:r w:rsidR="00AF593A">
        <w:t xml:space="preserve">EVG and COBI </w:t>
      </w:r>
      <w:r w:rsidRPr="004D682E">
        <w:t>are highly protein bound.</w:t>
      </w:r>
    </w:p>
    <w:p w:rsidR="004D682E" w:rsidRPr="004D682E" w:rsidRDefault="004D682E" w:rsidP="004D682E">
      <w:r w:rsidRPr="004D682E">
        <w:t xml:space="preserve">Single and multiple dose </w:t>
      </w:r>
      <w:r w:rsidR="004E0486">
        <w:t xml:space="preserve">PK </w:t>
      </w:r>
      <w:r w:rsidRPr="004D682E">
        <w:t xml:space="preserve">were examined in </w:t>
      </w:r>
      <w:r w:rsidR="00116D9C">
        <w:t>S</w:t>
      </w:r>
      <w:r w:rsidRPr="004D682E">
        <w:t>tudy 183-0102 in healthy volunteers (EVG 100</w:t>
      </w:r>
      <w:r w:rsidR="000E5497">
        <w:t xml:space="preserve"> </w:t>
      </w:r>
      <w:r w:rsidRPr="004D682E">
        <w:t>mg bid with and without RTV 100</w:t>
      </w:r>
      <w:r w:rsidR="000E5497">
        <w:t xml:space="preserve"> </w:t>
      </w:r>
      <w:r w:rsidRPr="004D682E">
        <w:t xml:space="preserve">mg). The AUC for EVG following multiple doses was about 20% lower compared to the AUC after single dose. The </w:t>
      </w:r>
      <w:r w:rsidR="00353F80">
        <w:t>t½ was 3 to 3.5 </w:t>
      </w:r>
      <w:r w:rsidRPr="004D682E">
        <w:t>h. Addition of RTV 100</w:t>
      </w:r>
      <w:r w:rsidR="000E5497">
        <w:t xml:space="preserve"> </w:t>
      </w:r>
      <w:r w:rsidRPr="004D682E">
        <w:t>mg to a single dose of EVG increased exposure to EVG by nearly 7</w:t>
      </w:r>
      <w:r w:rsidR="00353F80">
        <w:t> </w:t>
      </w:r>
      <w:r w:rsidRPr="004D682E">
        <w:t>fold. After multiple dosi</w:t>
      </w:r>
      <w:r w:rsidR="00353F80">
        <w:t>ng the exposure was higher by &gt;</w:t>
      </w:r>
      <w:r w:rsidRPr="004D682E">
        <w:t xml:space="preserve">20 times. The continuous accumulation over </w:t>
      </w:r>
      <w:r w:rsidR="00353F80">
        <w:t xml:space="preserve">a </w:t>
      </w:r>
      <w:r w:rsidRPr="004D682E">
        <w:t>10 day treatment period</w:t>
      </w:r>
      <w:r w:rsidR="00841BE4">
        <w:t xml:space="preserve"> </w:t>
      </w:r>
      <w:r w:rsidRPr="004D682E">
        <w:t>(</w:t>
      </w:r>
      <w:r w:rsidR="00353F80">
        <w:t xml:space="preserve">t½ </w:t>
      </w:r>
      <w:r w:rsidRPr="004D682E">
        <w:t>18 h</w:t>
      </w:r>
      <w:r w:rsidR="00353F80">
        <w:t xml:space="preserve"> </w:t>
      </w:r>
      <w:r w:rsidRPr="004D682E">
        <w:t>after single dose, 9.5 h</w:t>
      </w:r>
      <w:r w:rsidR="00353F80">
        <w:t xml:space="preserve"> </w:t>
      </w:r>
      <w:r w:rsidRPr="004D682E">
        <w:t>at 10 days</w:t>
      </w:r>
      <w:r w:rsidR="00353F80">
        <w:t>)</w:t>
      </w:r>
      <w:r w:rsidRPr="004D682E">
        <w:t xml:space="preserve"> indicated non-linear clearance. The exposure difference with EVG compared to EVG/r in this study is the claimed basis for including a </w:t>
      </w:r>
      <w:r w:rsidR="004E0486">
        <w:t xml:space="preserve">PK </w:t>
      </w:r>
      <w:r w:rsidRPr="004D682E">
        <w:t xml:space="preserve">booster with EVG. RTV also behaved non-linearly in this setting (single dose AUC </w:t>
      </w:r>
      <w:r w:rsidR="00353F80">
        <w:t xml:space="preserve">of </w:t>
      </w:r>
      <w:r w:rsidRPr="004D682E">
        <w:t xml:space="preserve">4979.4 </w:t>
      </w:r>
      <w:r w:rsidR="00353F80" w:rsidRPr="004D682E">
        <w:t>ng.h/mL</w:t>
      </w:r>
      <w:r w:rsidR="00353F80">
        <w:t xml:space="preserve"> versus</w:t>
      </w:r>
      <w:r w:rsidRPr="004D682E">
        <w:t xml:space="preserve"> multiple dose AUC </w:t>
      </w:r>
      <w:r w:rsidR="00353F80">
        <w:t>of 9402.5 </w:t>
      </w:r>
      <w:r w:rsidRPr="004D682E">
        <w:t>ng.h/mL).</w:t>
      </w:r>
    </w:p>
    <w:p w:rsidR="004D682E" w:rsidRPr="004D682E" w:rsidRDefault="00353F80" w:rsidP="004D682E">
      <w:r>
        <w:t>S</w:t>
      </w:r>
      <w:r w:rsidR="004D682E" w:rsidRPr="004D682E">
        <w:t>tudy 183-0101 in HIV-1 patients (</w:t>
      </w:r>
      <w:r w:rsidR="007553B1">
        <w:t xml:space="preserve">naïve </w:t>
      </w:r>
      <w:r w:rsidR="004D682E" w:rsidRPr="004D682E">
        <w:t>or experienced but not on ART) was a placebo-controlled, dose ranging, proof of concept study in which EVR/r 50/100</w:t>
      </w:r>
      <w:r w:rsidR="000E5497">
        <w:t xml:space="preserve"> </w:t>
      </w:r>
      <w:r>
        <w:t>mg (once daily; qd</w:t>
      </w:r>
      <w:r w:rsidR="004D682E" w:rsidRPr="004D682E">
        <w:t>) was compared with EVG 200, 400, 800</w:t>
      </w:r>
      <w:r w:rsidR="000E5497">
        <w:t xml:space="preserve"> </w:t>
      </w:r>
      <w:r w:rsidR="004D682E" w:rsidRPr="004D682E">
        <w:t>mg (bid) and 800</w:t>
      </w:r>
      <w:r w:rsidR="000E5497">
        <w:t xml:space="preserve"> </w:t>
      </w:r>
      <w:r w:rsidR="004D682E" w:rsidRPr="004D682E">
        <w:t>mg (qd). The exposure</w:t>
      </w:r>
      <w:r>
        <w:t>s</w:t>
      </w:r>
      <w:r w:rsidR="004D682E" w:rsidRPr="004D682E">
        <w:t xml:space="preserve"> obtained with EVG 800</w:t>
      </w:r>
      <w:r w:rsidR="000E5497">
        <w:t xml:space="preserve"> </w:t>
      </w:r>
      <w:r w:rsidR="004D682E" w:rsidRPr="004D682E">
        <w:t xml:space="preserve">mg </w:t>
      </w:r>
      <w:r w:rsidR="00AF593A">
        <w:t>(</w:t>
      </w:r>
      <w:r w:rsidR="004D682E" w:rsidRPr="004D682E">
        <w:t>qd</w:t>
      </w:r>
      <w:r w:rsidR="00AF593A">
        <w:t>)</w:t>
      </w:r>
      <w:r w:rsidR="004D682E" w:rsidRPr="004D682E">
        <w:t xml:space="preserve"> was not consistent with those obtained with EVG (bid) dosing. The exposure and </w:t>
      </w:r>
      <w:r>
        <w:t xml:space="preserve">t½ </w:t>
      </w:r>
      <w:r w:rsidR="004D682E" w:rsidRPr="004D682E">
        <w:t>obtained with EVG/r 50/100</w:t>
      </w:r>
      <w:r w:rsidR="000E5497">
        <w:t xml:space="preserve"> </w:t>
      </w:r>
      <w:r w:rsidR="004D682E" w:rsidRPr="004D682E">
        <w:t xml:space="preserve">mg was consistent with that </w:t>
      </w:r>
      <w:r w:rsidR="004D682E" w:rsidRPr="004D682E">
        <w:lastRenderedPageBreak/>
        <w:t>obtained with EVG/r 100/100</w:t>
      </w:r>
      <w:r w:rsidR="000E5497">
        <w:t xml:space="preserve"> </w:t>
      </w:r>
      <w:r w:rsidR="004D682E" w:rsidRPr="004D682E">
        <w:t xml:space="preserve">mg in </w:t>
      </w:r>
      <w:r>
        <w:t xml:space="preserve">a </w:t>
      </w:r>
      <w:r w:rsidR="004D682E" w:rsidRPr="004D682E">
        <w:t>previous study (183-0102) and along with the effect on viral load seen in this study is the claimed basis for further testing of EVG/r dosing.</w:t>
      </w:r>
    </w:p>
    <w:p w:rsidR="00091027" w:rsidRDefault="00353F80" w:rsidP="004D682E">
      <w:r>
        <w:t>S</w:t>
      </w:r>
      <w:r w:rsidR="004D682E" w:rsidRPr="004D682E">
        <w:t>tudy 183-0105 was a dose finding study using treatment-experienced HIV patients on ART which examined EVG/r 20/100, 50/100 and 125/100</w:t>
      </w:r>
      <w:r w:rsidR="000E5497">
        <w:t xml:space="preserve"> </w:t>
      </w:r>
      <w:r w:rsidR="004D682E" w:rsidRPr="004D682E">
        <w:t>mg doses compared with CPI/r</w:t>
      </w:r>
      <w:r w:rsidR="00433759">
        <w:t xml:space="preserve"> control</w:t>
      </w:r>
      <w:r w:rsidR="004D682E" w:rsidRPr="004D682E">
        <w:t xml:space="preserve">. The EVG exposures obtained with 50/100 </w:t>
      </w:r>
      <w:r w:rsidR="00AF593A">
        <w:t xml:space="preserve">mg </w:t>
      </w:r>
      <w:r w:rsidR="004D682E" w:rsidRPr="004D682E">
        <w:t xml:space="preserve">and 125/100 </w:t>
      </w:r>
      <w:r w:rsidR="00AF593A">
        <w:t xml:space="preserve">mg </w:t>
      </w:r>
      <w:r w:rsidR="004D682E" w:rsidRPr="004D682E">
        <w:t xml:space="preserve">EVG/r dosing were consistent with those seen in the previous </w:t>
      </w:r>
      <w:r w:rsidR="005C1062">
        <w:t xml:space="preserve">2 </w:t>
      </w:r>
      <w:r w:rsidR="004D682E" w:rsidRPr="004D682E">
        <w:t xml:space="preserve">studies (102 and 101), and along with </w:t>
      </w:r>
      <w:r w:rsidR="00433759">
        <w:t xml:space="preserve">a </w:t>
      </w:r>
      <w:r w:rsidR="004D682E" w:rsidRPr="004D682E">
        <w:t>dose response (change in viral RNA from baseline), supported the selection of EVG/r 125/100</w:t>
      </w:r>
      <w:r w:rsidR="000E5497">
        <w:t xml:space="preserve"> </w:t>
      </w:r>
      <w:r w:rsidR="004D682E" w:rsidRPr="004D682E">
        <w:t>mg dose</w:t>
      </w:r>
      <w:r w:rsidR="00433759">
        <w:t>s</w:t>
      </w:r>
      <w:r w:rsidR="00091027">
        <w:t xml:space="preserve"> (see Figure </w:t>
      </w:r>
      <w:r w:rsidR="009C4045">
        <w:t>2</w:t>
      </w:r>
      <w:r w:rsidR="00091027">
        <w:t xml:space="preserve"> below)</w:t>
      </w:r>
      <w:r w:rsidR="004D682E" w:rsidRPr="004D682E">
        <w:t xml:space="preserve">. </w:t>
      </w:r>
    </w:p>
    <w:p w:rsidR="00091027" w:rsidRPr="00091027" w:rsidRDefault="00091027" w:rsidP="000E675C">
      <w:pPr>
        <w:pStyle w:val="FigureTitle"/>
        <w:keepNext/>
      </w:pPr>
      <w:bookmarkStart w:id="188" w:name="_Ref326304015"/>
      <w:bookmarkStart w:id="189" w:name="_Toc326305240"/>
      <w:r w:rsidRPr="00091027">
        <w:t xml:space="preserve">Figure </w:t>
      </w:r>
      <w:r w:rsidR="009C4045">
        <w:t>2</w:t>
      </w:r>
      <w:r>
        <w:t>.</w:t>
      </w:r>
      <w:r w:rsidRPr="00091027">
        <w:t xml:space="preserve"> EVG Dose-</w:t>
      </w:r>
      <w:r>
        <w:t>r</w:t>
      </w:r>
      <w:r w:rsidRPr="00091027">
        <w:t xml:space="preserve">esponse </w:t>
      </w:r>
      <w:r>
        <w:t>m</w:t>
      </w:r>
      <w:r w:rsidRPr="00091027">
        <w:t xml:space="preserve">odel </w:t>
      </w:r>
      <w:r>
        <w:t>b</w:t>
      </w:r>
      <w:r w:rsidRPr="00091027">
        <w:t xml:space="preserve">ased on </w:t>
      </w:r>
      <w:r>
        <w:t>m</w:t>
      </w:r>
      <w:r w:rsidRPr="00091027">
        <w:t xml:space="preserve">onotherapy and </w:t>
      </w:r>
      <w:r>
        <w:t>P</w:t>
      </w:r>
      <w:r w:rsidRPr="00091027">
        <w:t xml:space="preserve">hase </w:t>
      </w:r>
      <w:r>
        <w:t>II</w:t>
      </w:r>
      <w:r w:rsidRPr="00091027">
        <w:t xml:space="preserve"> </w:t>
      </w:r>
      <w:r>
        <w:t>d</w:t>
      </w:r>
      <w:r w:rsidRPr="00091027">
        <w:t>ose-</w:t>
      </w:r>
      <w:r>
        <w:t>r</w:t>
      </w:r>
      <w:r w:rsidRPr="00091027">
        <w:t xml:space="preserve">anging </w:t>
      </w:r>
      <w:r>
        <w:t>s</w:t>
      </w:r>
      <w:r w:rsidRPr="00091027">
        <w:t>tudies</w:t>
      </w:r>
      <w:bookmarkEnd w:id="188"/>
      <w:bookmarkEnd w:id="189"/>
      <w:r w:rsidRPr="00091027">
        <w:t xml:space="preserve"> (Combined </w:t>
      </w:r>
      <w:r>
        <w:t>d</w:t>
      </w:r>
      <w:r w:rsidRPr="00091027">
        <w:t>ata from Studies GS-US-183-0101 and GS-US-183-0105</w:t>
      </w:r>
      <w:r>
        <w:t>)</w:t>
      </w:r>
    </w:p>
    <w:p w:rsidR="00091027" w:rsidRPr="00091027" w:rsidRDefault="00091027" w:rsidP="000E675C">
      <w:pPr>
        <w:keepNext/>
      </w:pPr>
    </w:p>
    <w:p w:rsidR="00091027" w:rsidRPr="005046B9" w:rsidRDefault="00091027" w:rsidP="000E675C">
      <w:pPr>
        <w:keepNext/>
        <w:rPr>
          <w:rFonts w:ascii="Calibri" w:hAnsi="Calibri"/>
          <w:sz w:val="20"/>
          <w:szCs w:val="20"/>
        </w:rPr>
      </w:pPr>
      <w:r>
        <w:rPr>
          <w:rFonts w:ascii="Calibri" w:hAnsi="Calibri"/>
          <w:noProof/>
          <w:sz w:val="20"/>
          <w:szCs w:val="20"/>
          <w:lang w:eastAsia="en-AU"/>
        </w:rPr>
        <w:drawing>
          <wp:inline distT="0" distB="0" distL="0" distR="0">
            <wp:extent cx="4953000" cy="4132580"/>
            <wp:effectExtent l="19050" t="0" r="0" b="0"/>
            <wp:docPr id="46" name="Picture 46" descr="Figure 2. EVG Dose-response model based on monotherapy and Phase II dose-ranging studies (Combined data from Studies GS-US-183-0101 and GS-US-183-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4953000" cy="4132580"/>
                    </a:xfrm>
                    <a:prstGeom prst="rect">
                      <a:avLst/>
                    </a:prstGeom>
                    <a:noFill/>
                    <a:ln w="9525">
                      <a:noFill/>
                      <a:miter lim="800000"/>
                      <a:headEnd/>
                      <a:tailEnd/>
                    </a:ln>
                  </pic:spPr>
                </pic:pic>
              </a:graphicData>
            </a:graphic>
          </wp:inline>
        </w:drawing>
      </w:r>
    </w:p>
    <w:p w:rsidR="004D682E" w:rsidRPr="00AF593A" w:rsidRDefault="00433759" w:rsidP="00AF593A">
      <w:r w:rsidRPr="00AF593A">
        <w:t>However, another S</w:t>
      </w:r>
      <w:r w:rsidR="004D682E" w:rsidRPr="00AF593A">
        <w:t>tudy 183-0121</w:t>
      </w:r>
      <w:r w:rsidRPr="00AF593A">
        <w:t>,</w:t>
      </w:r>
      <w:r w:rsidR="004D682E" w:rsidRPr="00AF593A">
        <w:t xml:space="preserve"> which was provided in response to </w:t>
      </w:r>
      <w:r w:rsidRPr="00AF593A">
        <w:t xml:space="preserve">a TGA request for information </w:t>
      </w:r>
      <w:r w:rsidR="004D682E" w:rsidRPr="00AF593A">
        <w:t>and is stated to have been ongoing at the time of initial submission of this dossier, was a relative bioavailability (bioequivalence) study</w:t>
      </w:r>
      <w:r w:rsidR="00091027" w:rsidRPr="00AF593A">
        <w:t xml:space="preserve">. This study </w:t>
      </w:r>
      <w:r w:rsidR="004D682E" w:rsidRPr="00AF593A">
        <w:t xml:space="preserve">showed that the EVG exposures (AUC) </w:t>
      </w:r>
      <w:r w:rsidRPr="00AF593A">
        <w:t xml:space="preserve">were </w:t>
      </w:r>
      <w:r w:rsidR="004D682E" w:rsidRPr="00AF593A">
        <w:t>nearly 10% lower with the proposed Formulation 2 (EVG/r 125/100</w:t>
      </w:r>
      <w:r w:rsidRPr="00AF593A">
        <w:t xml:space="preserve"> mg</w:t>
      </w:r>
      <w:r w:rsidR="004D682E" w:rsidRPr="00AF593A">
        <w:t>) compared to the Reference formulation (EVG/r 125/100</w:t>
      </w:r>
      <w:r w:rsidRPr="00AF593A">
        <w:t xml:space="preserve"> mg</w:t>
      </w:r>
      <w:r w:rsidR="004D682E" w:rsidRPr="00AF593A">
        <w:t xml:space="preserve">) which was also used in the previous </w:t>
      </w:r>
      <w:r w:rsidRPr="00AF593A">
        <w:t>S</w:t>
      </w:r>
      <w:r w:rsidR="004D682E" w:rsidRPr="00AF593A">
        <w:t>tudy 183-0105. The dose of EV</w:t>
      </w:r>
      <w:r w:rsidRPr="00AF593A">
        <w:t xml:space="preserve">G was thus increased to 150/100 mg </w:t>
      </w:r>
      <w:r w:rsidR="004D682E" w:rsidRPr="00AF593A">
        <w:t>in the Formulation 2 for subsequent testing.</w:t>
      </w:r>
    </w:p>
    <w:p w:rsidR="004D682E" w:rsidRPr="004D682E" w:rsidRDefault="004D682E" w:rsidP="004D682E">
      <w:r w:rsidRPr="004D682E">
        <w:t xml:space="preserve">The new formulation EVG/r 150/100 </w:t>
      </w:r>
      <w:r w:rsidR="00B43FB2">
        <w:t xml:space="preserve">mg </w:t>
      </w:r>
      <w:r w:rsidRPr="004D682E">
        <w:t xml:space="preserve">was examined in the multiple dose </w:t>
      </w:r>
      <w:r w:rsidR="00B43FB2">
        <w:t>S</w:t>
      </w:r>
      <w:r w:rsidRPr="004D682E">
        <w:t>tudy 18</w:t>
      </w:r>
      <w:r w:rsidR="00B43FB2">
        <w:noBreakHyphen/>
      </w:r>
      <w:r w:rsidRPr="004D682E">
        <w:t xml:space="preserve">0140 in healthy volunteers and compared with the previous 125/100 </w:t>
      </w:r>
      <w:r w:rsidR="00B43FB2">
        <w:t xml:space="preserve">mg </w:t>
      </w:r>
      <w:r w:rsidRPr="004D682E">
        <w:t>formulation.</w:t>
      </w:r>
      <w:r w:rsidR="00841BE4">
        <w:t xml:space="preserve"> </w:t>
      </w:r>
      <w:r w:rsidRPr="004D682E">
        <w:t xml:space="preserve">The </w:t>
      </w:r>
      <w:r w:rsidR="005C1062">
        <w:t xml:space="preserve">2 </w:t>
      </w:r>
      <w:r w:rsidRPr="004D682E">
        <w:t>were found to be bioequivalent based on the acceptance criterion of 80-125% for EVG geometric means ratio with respect to both AUC and Cmax.</w:t>
      </w:r>
    </w:p>
    <w:p w:rsidR="004D682E" w:rsidRPr="004D682E" w:rsidRDefault="004D682E" w:rsidP="004D682E">
      <w:r w:rsidRPr="004D682E">
        <w:t xml:space="preserve">The </w:t>
      </w:r>
      <w:r w:rsidR="004E0486">
        <w:t xml:space="preserve">PK </w:t>
      </w:r>
      <w:r w:rsidR="00B43FB2">
        <w:t>of COBI was examined in S</w:t>
      </w:r>
      <w:r w:rsidRPr="004D682E">
        <w:t>tudy 216-0101 in healthy volunteers with single and multiple dosing of COBI 50, 100 and 200</w:t>
      </w:r>
      <w:r w:rsidR="000E5497">
        <w:t xml:space="preserve"> </w:t>
      </w:r>
      <w:r w:rsidRPr="004D682E">
        <w:t xml:space="preserve">mg. The results indicated </w:t>
      </w:r>
      <w:r w:rsidR="00B43FB2">
        <w:t xml:space="preserve">a </w:t>
      </w:r>
      <w:r w:rsidRPr="004D682E">
        <w:t xml:space="preserve">non-linear rise in plasma exposure to COBI with falling clearance within this dose range. The study also </w:t>
      </w:r>
      <w:r w:rsidRPr="004D682E">
        <w:lastRenderedPageBreak/>
        <w:t xml:space="preserve">examined suppression of CYP3A by COBI using </w:t>
      </w:r>
      <w:r w:rsidR="00AF593A">
        <w:t xml:space="preserve">a </w:t>
      </w:r>
      <w:r w:rsidRPr="004D682E">
        <w:t>midazolam probe as compared with suppression with RTV 100</w:t>
      </w:r>
      <w:r w:rsidR="000E5497">
        <w:t xml:space="preserve"> </w:t>
      </w:r>
      <w:r w:rsidRPr="004D682E">
        <w:t>mg. The suppression was effective as indicated by midazolam plasma exposure increasing by about 20 times with COBI 200</w:t>
      </w:r>
      <w:r w:rsidR="000E5497">
        <w:t xml:space="preserve"> </w:t>
      </w:r>
      <w:r w:rsidRPr="004D682E">
        <w:t>mg and with RTV 100</w:t>
      </w:r>
      <w:r w:rsidR="000E5497">
        <w:t xml:space="preserve"> </w:t>
      </w:r>
      <w:r w:rsidRPr="004D682E">
        <w:t>mg dosing compared with midazolam alone. Despite non-linearity of COBI plasma exposure in this dose range noted early in this study, the effect on CYP3A (midazolam clearance and plasma exposure) was indicative of dose response.</w:t>
      </w:r>
    </w:p>
    <w:p w:rsidR="004D682E" w:rsidRPr="004D682E" w:rsidRDefault="004D682E" w:rsidP="004D682E">
      <w:r w:rsidRPr="004D682E">
        <w:t xml:space="preserve">The bioequivalence of </w:t>
      </w:r>
      <w:r w:rsidR="00B43FB2">
        <w:t xml:space="preserve">the </w:t>
      </w:r>
      <w:r w:rsidRPr="004D682E">
        <w:t>S</w:t>
      </w:r>
      <w:r w:rsidR="00B43FB2">
        <w:t xml:space="preserve">tribild </w:t>
      </w:r>
      <w:r w:rsidRPr="004D682E">
        <w:t>formulation (TDF/FTC/EVG/COBI 300/200/150/150</w:t>
      </w:r>
      <w:r w:rsidR="00CE6568">
        <w:t> </w:t>
      </w:r>
      <w:r w:rsidR="00B43FB2">
        <w:t>mg</w:t>
      </w:r>
      <w:r w:rsidRPr="004D682E">
        <w:t xml:space="preserve">) to its components is based on the steady state </w:t>
      </w:r>
      <w:r w:rsidR="00B43FB2">
        <w:t>S</w:t>
      </w:r>
      <w:r w:rsidR="00CE6568">
        <w:t>tudy 236</w:t>
      </w:r>
      <w:r w:rsidR="00CE6568">
        <w:noBreakHyphen/>
      </w:r>
      <w:r w:rsidRPr="004D682E">
        <w:t xml:space="preserve">0101 in healthy volunteers. This study is also the claimed link between EVG/COBI in </w:t>
      </w:r>
      <w:r w:rsidR="005C5945">
        <w:t xml:space="preserve">Stribild </w:t>
      </w:r>
      <w:r w:rsidRPr="004D682E">
        <w:t xml:space="preserve">and EVG/r. The study compared </w:t>
      </w:r>
      <w:r w:rsidR="00B43FB2">
        <w:t xml:space="preserve">the </w:t>
      </w:r>
      <w:r w:rsidR="00FA5CAB">
        <w:t xml:space="preserve">PK </w:t>
      </w:r>
      <w:r w:rsidRPr="004D682E">
        <w:t xml:space="preserve">of the constituent active drugs in TDF/FTC/EVG/COBI 300/200/150/150 </w:t>
      </w:r>
      <w:r w:rsidR="00B43FB2">
        <w:t xml:space="preserve">mg </w:t>
      </w:r>
      <w:r w:rsidRPr="004D682E">
        <w:t>(</w:t>
      </w:r>
      <w:r w:rsidR="005C5945">
        <w:t>Stribild</w:t>
      </w:r>
      <w:r w:rsidRPr="004D682E">
        <w:t>) against EVG/r 150/100</w:t>
      </w:r>
      <w:r w:rsidR="00CE6568">
        <w:t xml:space="preserve"> mg</w:t>
      </w:r>
      <w:r w:rsidRPr="004D682E">
        <w:t xml:space="preserve">, TDF/FTC 300/200 </w:t>
      </w:r>
      <w:r w:rsidR="00B43FB2">
        <w:t xml:space="preserve">mg </w:t>
      </w:r>
      <w:r w:rsidRPr="004D682E">
        <w:t>and TDF/FTC/EVG/COBI 300/200/150/100</w:t>
      </w:r>
      <w:r w:rsidR="00B43FB2">
        <w:t xml:space="preserve"> mg</w:t>
      </w:r>
      <w:r w:rsidRPr="004D682E">
        <w:t xml:space="preserve">. The peak and total plasma exposures (Cmax and AUC) of COBI were significantly higher with TDF/FTC/EVG/COBI 300/200/150/150 </w:t>
      </w:r>
      <w:r w:rsidR="00302798">
        <w:t xml:space="preserve">mg </w:t>
      </w:r>
      <w:r w:rsidRPr="004D682E">
        <w:t xml:space="preserve">compared to TDF/FTC/EVG/COBI 300/200/150/100 </w:t>
      </w:r>
      <w:r w:rsidR="00302798">
        <w:t xml:space="preserve">mg </w:t>
      </w:r>
      <w:r w:rsidRPr="004D682E">
        <w:t xml:space="preserve">whereas the EVG peak and total exposures for TDF/FTC/EVG/COBI 300/200/150/100 </w:t>
      </w:r>
      <w:r w:rsidR="00302798">
        <w:t xml:space="preserve">mg </w:t>
      </w:r>
      <w:r w:rsidRPr="004D682E">
        <w:t xml:space="preserve">versus EVG/r 150/100 </w:t>
      </w:r>
      <w:r w:rsidR="00302798">
        <w:t xml:space="preserve">mg </w:t>
      </w:r>
      <w:r w:rsidRPr="004D682E">
        <w:t xml:space="preserve">were comparable (bioequivalent) in all respects. The peak and total plasma exposures for the 3 components (EVG, FTC, </w:t>
      </w:r>
      <w:r w:rsidR="00302798">
        <w:t>TDF) were “clinically comparable”</w:t>
      </w:r>
      <w:r w:rsidRPr="004D682E">
        <w:t xml:space="preserve"> for the TDF/FTC/EVG/COBI 300/200/150/150 </w:t>
      </w:r>
      <w:r w:rsidR="00302798">
        <w:t xml:space="preserve">mg </w:t>
      </w:r>
      <w:r w:rsidRPr="004D682E">
        <w:t xml:space="preserve">against EVG/r 150/100 </w:t>
      </w:r>
      <w:r w:rsidR="00302798">
        <w:t xml:space="preserve">mg </w:t>
      </w:r>
      <w:r w:rsidRPr="004D682E">
        <w:t xml:space="preserve">and TDF/FTC 300/200 </w:t>
      </w:r>
      <w:r w:rsidR="00302798">
        <w:t xml:space="preserve">mg </w:t>
      </w:r>
      <w:r w:rsidRPr="004D682E">
        <w:t>comparators. However, a number of point estimates or upper side</w:t>
      </w:r>
      <w:r w:rsidR="00CE6568">
        <w:t>s</w:t>
      </w:r>
      <w:r w:rsidRPr="004D682E">
        <w:t xml:space="preserve"> of </w:t>
      </w:r>
      <w:r w:rsidR="00CE6568">
        <w:t xml:space="preserve">the </w:t>
      </w:r>
      <w:r w:rsidRPr="004D682E">
        <w:t>90% CI were above the 125% limit. These magnitudes are claimed to be clinically not important and similar to ART with boosted protease inhibitor use.</w:t>
      </w:r>
    </w:p>
    <w:p w:rsidR="004D682E" w:rsidRPr="004D682E" w:rsidRDefault="004D682E" w:rsidP="004D682E">
      <w:r w:rsidRPr="004D682E">
        <w:t>Overall, the data support EVG/COBI combination of 125/100</w:t>
      </w:r>
      <w:r w:rsidR="00CE6568">
        <w:t xml:space="preserve"> mg</w:t>
      </w:r>
      <w:r w:rsidRPr="004D682E">
        <w:t xml:space="preserve">, 150/100 </w:t>
      </w:r>
      <w:r w:rsidR="00CE6568">
        <w:t xml:space="preserve">mg or 150/150 mg, </w:t>
      </w:r>
      <w:r w:rsidRPr="004D682E">
        <w:t xml:space="preserve">of which 150/150 </w:t>
      </w:r>
      <w:r w:rsidR="00CE6568">
        <w:t xml:space="preserve">mg </w:t>
      </w:r>
      <w:r w:rsidRPr="004D682E">
        <w:t xml:space="preserve">was selected for </w:t>
      </w:r>
      <w:r w:rsidR="00CE6568">
        <w:t>Stribild</w:t>
      </w:r>
      <w:r w:rsidRPr="004D682E">
        <w:t>. This is not unreasonable but does indicate a known bias for picking relatively higher doses in drug development. Replacing RTV with COBI would have been a proprietary consideration.</w:t>
      </w:r>
    </w:p>
    <w:p w:rsidR="004D682E" w:rsidRPr="004D682E" w:rsidRDefault="004D682E" w:rsidP="004D682E">
      <w:r w:rsidRPr="004D682E">
        <w:t xml:space="preserve">Food effect with </w:t>
      </w:r>
      <w:r w:rsidR="005C5945">
        <w:t xml:space="preserve">Stribild </w:t>
      </w:r>
      <w:r w:rsidRPr="004D682E">
        <w:t>was studie</w:t>
      </w:r>
      <w:r w:rsidR="00CE6568">
        <w:t>d</w:t>
      </w:r>
      <w:r w:rsidRPr="004D682E">
        <w:t xml:space="preserve"> in </w:t>
      </w:r>
      <w:r w:rsidR="00CE6568">
        <w:t>S</w:t>
      </w:r>
      <w:r w:rsidRPr="004D682E">
        <w:t xml:space="preserve">tudy 236-0105. The results </w:t>
      </w:r>
      <w:r w:rsidR="00CE6568" w:rsidRPr="004D682E">
        <w:t>(ratio of means and 90% CI)</w:t>
      </w:r>
      <w:r w:rsidR="00CE6568">
        <w:t xml:space="preserve"> </w:t>
      </w:r>
      <w:r w:rsidRPr="004D682E">
        <w:t xml:space="preserve">are summarised </w:t>
      </w:r>
      <w:r w:rsidR="00A51BB4">
        <w:t>in Table 1 of this AusPAR</w:t>
      </w:r>
      <w:r w:rsidRPr="004D682E">
        <w:t>. Emtricitabine bioavailability is not affected</w:t>
      </w:r>
      <w:r w:rsidR="00CE6568">
        <w:t>;</w:t>
      </w:r>
      <w:r w:rsidRPr="004D682E">
        <w:t xml:space="preserve"> </w:t>
      </w:r>
      <w:r w:rsidR="00CE6568">
        <w:t xml:space="preserve">TDF </w:t>
      </w:r>
      <w:r w:rsidRPr="004D682E">
        <w:t xml:space="preserve">bioavailability is increased slightly in the presence of food, while </w:t>
      </w:r>
      <w:r w:rsidR="00A2001C">
        <w:t>COBI</w:t>
      </w:r>
      <w:r w:rsidRPr="004D682E">
        <w:t xml:space="preserve"> bioavailability is decreased slightly in the presence of a high fat meal. Elvitegravir bioavailability is increased substantially with food, particularly with a high fat meal. The company considers the differences between a light meal and a high fat meal in respect of </w:t>
      </w:r>
      <w:r w:rsidR="00BB2DAA">
        <w:t xml:space="preserve">EVG </w:t>
      </w:r>
      <w:r w:rsidRPr="004D682E">
        <w:t>bioavailability to be not clinically significant. The PI recommends that the tablets be taken with a meal, without specifying the type of meal.</w:t>
      </w:r>
    </w:p>
    <w:p w:rsidR="004D682E" w:rsidRPr="004D682E" w:rsidRDefault="004D682E" w:rsidP="00D52A2C">
      <w:pPr>
        <w:pStyle w:val="Heading5"/>
      </w:pPr>
      <w:r w:rsidRPr="004D682E">
        <w:t xml:space="preserve">Population </w:t>
      </w:r>
      <w:r w:rsidR="00CE6568">
        <w:t>p</w:t>
      </w:r>
      <w:r w:rsidRPr="004D682E">
        <w:t>harmacokinetics</w:t>
      </w:r>
    </w:p>
    <w:p w:rsidR="004D682E" w:rsidRPr="00CE6568" w:rsidRDefault="004D682E" w:rsidP="00CE6568">
      <w:r w:rsidRPr="00CE6568">
        <w:t xml:space="preserve">Based on mathematical modelling, apparent systemic clearance of EVG was estimated to be 6.55 L/h. A modest effect of body surface area on EVG apparent clearance was observed but was not considered clinically relevant. No other demographic variable was found to be significant. Note a reliable estimate of systemic clearance of EVG was otherwise not available from </w:t>
      </w:r>
      <w:r w:rsidR="00CE6568">
        <w:t xml:space="preserve">the </w:t>
      </w:r>
      <w:r w:rsidRPr="00CE6568">
        <w:t xml:space="preserve">EVG </w:t>
      </w:r>
      <w:r w:rsidR="00FA5CAB" w:rsidRPr="00CE6568">
        <w:t xml:space="preserve">PK </w:t>
      </w:r>
      <w:r w:rsidRPr="00CE6568">
        <w:t>or pivotal efficacy studies due to non-linear behaviour.</w:t>
      </w:r>
    </w:p>
    <w:p w:rsidR="004D682E" w:rsidRPr="004D682E" w:rsidRDefault="004D682E" w:rsidP="00D52A2C">
      <w:pPr>
        <w:pStyle w:val="Heading5"/>
      </w:pPr>
      <w:r w:rsidRPr="004D682E">
        <w:t>PK studies in special population groups</w:t>
      </w:r>
    </w:p>
    <w:p w:rsidR="004D682E" w:rsidRPr="00CE6568" w:rsidRDefault="004D682E" w:rsidP="00CE6568">
      <w:r w:rsidRPr="00CE6568">
        <w:t xml:space="preserve">Renal </w:t>
      </w:r>
      <w:r w:rsidR="00CE6568" w:rsidRPr="00CE6568">
        <w:t>S</w:t>
      </w:r>
      <w:r w:rsidRPr="00CE6568">
        <w:t xml:space="preserve">tudy 216-0121 demonstrated </w:t>
      </w:r>
      <w:r w:rsidR="00CE6568">
        <w:t xml:space="preserve">the </w:t>
      </w:r>
      <w:r w:rsidRPr="00CE6568">
        <w:t xml:space="preserve">effect of COBI on GFR estimated based on </w:t>
      </w:r>
      <w:r w:rsidR="00CE6568">
        <w:t xml:space="preserve">CrCl </w:t>
      </w:r>
      <w:r w:rsidRPr="00CE6568">
        <w:t>(decrease of about 10</w:t>
      </w:r>
      <w:r w:rsidR="00CE6568">
        <w:t xml:space="preserve"> </w:t>
      </w:r>
      <w:r w:rsidRPr="00CE6568">
        <w:t xml:space="preserve">mL/min relative to baseline in both group of subjects with normal and with moderate renal impairment) after 7 days of dosing. The changes reversed after 7 days of cessation of treatment. In contrast, GFR estimated using extraneous inert substance iohexol </w:t>
      </w:r>
      <w:r w:rsidR="00CE6568">
        <w:t xml:space="preserve">was </w:t>
      </w:r>
      <w:r w:rsidRPr="00CE6568">
        <w:t>not affected by treatment with COBI. The effect on estimated GFR is consistent with inhibition of tubular secretion of creatinine. The mechanism has been elucidated to be a transporter mediated interaction between COBI and creatinine.</w:t>
      </w:r>
    </w:p>
    <w:p w:rsidR="004D682E" w:rsidRPr="00CE6568" w:rsidRDefault="004D682E" w:rsidP="00CE6568">
      <w:r w:rsidRPr="00CE6568">
        <w:t xml:space="preserve">In Renal study 216-0124, the effect of EVG/COBI 150/150 </w:t>
      </w:r>
      <w:r w:rsidR="00CE6568">
        <w:t xml:space="preserve">mg </w:t>
      </w:r>
      <w:r w:rsidRPr="00CE6568">
        <w:t xml:space="preserve">multiple dose treatment in patients with severe renal impairment was examined and showed 33% and 25% lower </w:t>
      </w:r>
      <w:r w:rsidRPr="00CE6568">
        <w:lastRenderedPageBreak/>
        <w:t>peak and total plasma exposure to EVG and 22% and 25% higher peak and total COBI exposures compared to patients with normal renal function.</w:t>
      </w:r>
    </w:p>
    <w:p w:rsidR="004D682E" w:rsidRPr="00CE6568" w:rsidRDefault="004D682E" w:rsidP="00CE6568">
      <w:r w:rsidRPr="00CE6568">
        <w:t xml:space="preserve">In </w:t>
      </w:r>
      <w:r w:rsidR="00CE6568">
        <w:t>h</w:t>
      </w:r>
      <w:r w:rsidRPr="00CE6568">
        <w:t xml:space="preserve">epatic </w:t>
      </w:r>
      <w:r w:rsidR="00CE6568">
        <w:t>S</w:t>
      </w:r>
      <w:r w:rsidRPr="00CE6568">
        <w:t xml:space="preserve">tudy 183-0133, the effect of multiple dose </w:t>
      </w:r>
      <w:r w:rsidR="00CE6568">
        <w:t xml:space="preserve">treatment with EVG/COBI 150/150 mg </w:t>
      </w:r>
      <w:r w:rsidRPr="00CE6568">
        <w:t>in patients with moderate hepatic impairment was studied and showed 40% and 35% higher peak and total EVG exposures compared to the normal matched controls. The COBI plasma exposures were unaffected.</w:t>
      </w:r>
    </w:p>
    <w:p w:rsidR="004D682E" w:rsidRPr="004D682E" w:rsidRDefault="00CE6568" w:rsidP="00EF57A7">
      <w:pPr>
        <w:pStyle w:val="Heading5"/>
      </w:pPr>
      <w:r>
        <w:t>Pharmacokinetic i</w:t>
      </w:r>
      <w:r w:rsidR="004D682E" w:rsidRPr="004D682E">
        <w:t>nteractions</w:t>
      </w:r>
    </w:p>
    <w:p w:rsidR="004D682E" w:rsidRPr="00CE6568" w:rsidRDefault="00CE6568" w:rsidP="00CE6568">
      <w:r>
        <w:rPr>
          <w:rFonts w:eastAsiaTheme="minorEastAsia"/>
        </w:rPr>
        <w:t xml:space="preserve">Elvitegravir </w:t>
      </w:r>
      <w:r w:rsidR="004D682E" w:rsidRPr="00CE6568">
        <w:t xml:space="preserve">and COBI are metabolized by CYP3A. </w:t>
      </w:r>
      <w:r>
        <w:t xml:space="preserve">Cobicistat </w:t>
      </w:r>
      <w:r w:rsidR="004D682E" w:rsidRPr="00CE6568">
        <w:t>is also metabolized, to a minor extent, by CYP2D6.</w:t>
      </w:r>
      <w:r w:rsidR="00841BE4" w:rsidRPr="00CE6568">
        <w:t xml:space="preserve"> </w:t>
      </w:r>
      <w:r w:rsidR="004D682E" w:rsidRPr="00CE6568">
        <w:t xml:space="preserve">Hence an extensive number of interactions are expected and a number have been studied. In addition, EVG forms a complex with divalent cations at the active site of the </w:t>
      </w:r>
      <w:r w:rsidR="00E57859">
        <w:t xml:space="preserve">integrase </w:t>
      </w:r>
      <w:r w:rsidR="004D682E" w:rsidRPr="00CE6568">
        <w:t>enzyme. Interaction with antacids in the gastrointestinal tract are thus expected. The relevant studies were183- (0106, 0108, 0116, 0119, 0104), 216- (0120, 0122, 0123), and 236- (0106).</w:t>
      </w:r>
    </w:p>
    <w:p w:rsidR="004D682E" w:rsidRPr="004D682E" w:rsidRDefault="004D682E" w:rsidP="00D52A2C">
      <w:pPr>
        <w:pStyle w:val="Heading4"/>
      </w:pPr>
      <w:r w:rsidRPr="004D682E">
        <w:t>Pharmacodynamics</w:t>
      </w:r>
    </w:p>
    <w:p w:rsidR="004D682E" w:rsidRPr="004D682E" w:rsidRDefault="004D682E" w:rsidP="004D682E">
      <w:r w:rsidRPr="004D682E">
        <w:t>The clinical studies include dedicated QT studies (EVG study 183-0128; COBI study 126-0107) and COBI cardiovascular safety study 126-0116.</w:t>
      </w:r>
    </w:p>
    <w:p w:rsidR="004D682E" w:rsidRPr="004D682E" w:rsidRDefault="004D682E" w:rsidP="00D52A2C">
      <w:pPr>
        <w:pStyle w:val="Heading4"/>
      </w:pPr>
      <w:r w:rsidRPr="004D682E">
        <w:t>Resistance</w:t>
      </w:r>
    </w:p>
    <w:p w:rsidR="004D682E" w:rsidRPr="008A3E2C" w:rsidRDefault="008A3E2C" w:rsidP="008A3E2C">
      <w:r>
        <w:t xml:space="preserve">Reference was made to the </w:t>
      </w:r>
      <w:r w:rsidR="004D682E" w:rsidRPr="008A3E2C">
        <w:t xml:space="preserve">following information extracted from the recently approved US </w:t>
      </w:r>
      <w:r w:rsidR="005833FC" w:rsidRPr="008A3E2C">
        <w:t>label for Stribild</w:t>
      </w:r>
      <w:r w:rsidR="004D682E" w:rsidRPr="008A3E2C">
        <w:t>:</w:t>
      </w:r>
    </w:p>
    <w:p w:rsidR="004D682E" w:rsidRPr="00D52A2C" w:rsidRDefault="004D682E" w:rsidP="00F95416">
      <w:pPr>
        <w:ind w:left="284"/>
        <w:rPr>
          <w:b/>
        </w:rPr>
      </w:pPr>
      <w:r w:rsidRPr="00D52A2C">
        <w:rPr>
          <w:b/>
        </w:rPr>
        <w:t>In cell culture</w:t>
      </w:r>
    </w:p>
    <w:p w:rsidR="004D682E" w:rsidRPr="00D52A2C" w:rsidRDefault="004D682E" w:rsidP="00F95416">
      <w:pPr>
        <w:ind w:left="284"/>
        <w:rPr>
          <w:i/>
        </w:rPr>
      </w:pPr>
      <w:r w:rsidRPr="00D52A2C">
        <w:rPr>
          <w:i/>
        </w:rPr>
        <w:t>Elvitegravir</w:t>
      </w:r>
    </w:p>
    <w:p w:rsidR="004D682E" w:rsidRPr="004D682E" w:rsidRDefault="004D682E" w:rsidP="00F95416">
      <w:pPr>
        <w:ind w:left="284"/>
      </w:pPr>
      <w:r w:rsidRPr="004D682E">
        <w:t xml:space="preserve">HIV-1 isolates with reduced susceptibility to </w:t>
      </w:r>
      <w:r w:rsidR="00BB2DAA">
        <w:t xml:space="preserve">EVG </w:t>
      </w:r>
      <w:r w:rsidRPr="004D682E">
        <w:t xml:space="preserve">have been selected in cell culture. Reduced susceptibility to </w:t>
      </w:r>
      <w:r w:rsidR="00BB2DAA">
        <w:t xml:space="preserve">EVG </w:t>
      </w:r>
      <w:r w:rsidRPr="004D682E">
        <w:t xml:space="preserve">was associated with the primary integrase substitutions T66A/I, E92G/Q, S147G, and Q148R. Additional integrase substitutions observed in cell culture selection included D10E, S17N, H51Y, F121Y, S153F/Y, E157Q, D232N, R263K, and V281M. </w:t>
      </w:r>
    </w:p>
    <w:p w:rsidR="004D682E" w:rsidRPr="00D52A2C" w:rsidRDefault="004D682E" w:rsidP="00F95416">
      <w:pPr>
        <w:ind w:left="284"/>
        <w:rPr>
          <w:i/>
        </w:rPr>
      </w:pPr>
      <w:r w:rsidRPr="00D52A2C">
        <w:rPr>
          <w:i/>
        </w:rPr>
        <w:t>Emtricitabine and Tenofovir DF</w:t>
      </w:r>
    </w:p>
    <w:p w:rsidR="004D682E" w:rsidRPr="004D682E" w:rsidRDefault="004D682E" w:rsidP="00F95416">
      <w:pPr>
        <w:ind w:left="284"/>
      </w:pPr>
      <w:r w:rsidRPr="004D682E">
        <w:t xml:space="preserve">HIV-1 isolates with reduced susceptibility to </w:t>
      </w:r>
      <w:r w:rsidR="00A2001C">
        <w:t>FTC</w:t>
      </w:r>
      <w:r w:rsidRPr="004D682E">
        <w:t xml:space="preserve"> or tenofovir have been selected in cell culture. Reduced susceptibility to </w:t>
      </w:r>
      <w:r w:rsidR="00A2001C">
        <w:t>FTC</w:t>
      </w:r>
      <w:r w:rsidRPr="004D682E">
        <w:t xml:space="preserve"> was associated with M184V/I substitutions in HIV-1 RT. HIV-1 isolates selected by tenofovir expressed a K65R substitution in HIV-1 RT and showed a 2–4 fold reduction in susceptibility to tenofovir.</w:t>
      </w:r>
    </w:p>
    <w:p w:rsidR="004D682E" w:rsidRPr="00D52A2C" w:rsidRDefault="004D682E" w:rsidP="00F95416">
      <w:pPr>
        <w:ind w:left="284"/>
        <w:rPr>
          <w:b/>
        </w:rPr>
      </w:pPr>
      <w:r w:rsidRPr="00D52A2C">
        <w:rPr>
          <w:b/>
        </w:rPr>
        <w:t>In treatment-naïve HIV-1 infected patients</w:t>
      </w:r>
    </w:p>
    <w:p w:rsidR="004D682E" w:rsidRPr="004D682E" w:rsidRDefault="004D682E" w:rsidP="00F95416">
      <w:pPr>
        <w:ind w:left="284"/>
      </w:pPr>
      <w:r w:rsidRPr="004D682E">
        <w:t xml:space="preserve">Virus samples from </w:t>
      </w:r>
      <w:r w:rsidR="005C5945">
        <w:t xml:space="preserve">Stribild </w:t>
      </w:r>
      <w:r w:rsidRPr="004D682E">
        <w:t xml:space="preserve">-treatment failure patients in studies 236-0102 and 0103 who were viremic with HIV-1 RNA greater than 400 copies/mL at virologic failure, at Week 48, or at the time of early study drug discontinuation were evaluated for </w:t>
      </w:r>
      <w:r w:rsidR="005C5945">
        <w:t xml:space="preserve">Stribild </w:t>
      </w:r>
      <w:r w:rsidRPr="004D682E">
        <w:t xml:space="preserve">resistance (genotypic and phenotypic data available for 23 subjects [3%, 23/669]). The development of one or more primary substitutions associated with resistance to </w:t>
      </w:r>
      <w:r w:rsidR="00E1241E">
        <w:t>EVG</w:t>
      </w:r>
      <w:r w:rsidRPr="004D682E">
        <w:t xml:space="preserve">, </w:t>
      </w:r>
      <w:r w:rsidR="00A2001C">
        <w:t>FTC</w:t>
      </w:r>
      <w:r w:rsidRPr="004D682E">
        <w:t xml:space="preserve">, and/or tenofovir was observed in 57% (13/23) of the viremic subjects with evaluable genotypic data. The most common substitutions that emerged were M184V/I (N=12) in HIV-1 RT and the primary </w:t>
      </w:r>
      <w:r w:rsidR="00BB2DAA">
        <w:t xml:space="preserve">EVG </w:t>
      </w:r>
      <w:r w:rsidRPr="004D682E">
        <w:t xml:space="preserve">resistance-associated substitutions T66I (N=2), E92Q (N=8), Q148R (N=3), and N155H (N=3) in integrase; K65R in RT was also detected (N=4). In isolates with primary </w:t>
      </w:r>
      <w:r w:rsidR="00BB2DAA">
        <w:t xml:space="preserve">EVG </w:t>
      </w:r>
      <w:r w:rsidRPr="004D682E">
        <w:t xml:space="preserve">resistance substitutions, additional substitutions in integrase associated with resistance to </w:t>
      </w:r>
      <w:r w:rsidR="00BB2DAA">
        <w:t xml:space="preserve">EVG </w:t>
      </w:r>
      <w:r w:rsidRPr="004D682E">
        <w:t xml:space="preserve">were H51Y, L68I/V, G140C, S153A, E157Q, V165I, and H183P. Failure isolates expressing primary </w:t>
      </w:r>
      <w:r w:rsidR="00BB2DAA">
        <w:t xml:space="preserve">EVG </w:t>
      </w:r>
      <w:r w:rsidRPr="004D682E">
        <w:t xml:space="preserve">resistance-associated substitutions (N=11) had median decreases in susceptibility to </w:t>
      </w:r>
      <w:r w:rsidR="00BB2DAA">
        <w:t xml:space="preserve">EVG </w:t>
      </w:r>
      <w:r w:rsidRPr="004D682E">
        <w:t xml:space="preserve">of 44-fold (range: 6 to &gt; 198- fold) and 33-fold (range: 4 to &gt;122-fold) compared to wild-type </w:t>
      </w:r>
      <w:r w:rsidRPr="004D682E">
        <w:lastRenderedPageBreak/>
        <w:t xml:space="preserve">reference HIV-1 and to the respective baseline isolates, respectively. Most subjects (N=10) who developed integrase substitutions associated with </w:t>
      </w:r>
      <w:r w:rsidR="00BB2DAA">
        <w:t xml:space="preserve">EVG </w:t>
      </w:r>
      <w:r w:rsidRPr="004D682E">
        <w:t xml:space="preserve">resistance also developed the M184I/V RT substitutions, conferring reduced susceptibility to both </w:t>
      </w:r>
      <w:r w:rsidR="00BB2DAA">
        <w:t xml:space="preserve">EVG </w:t>
      </w:r>
      <w:r w:rsidRPr="004D682E">
        <w:t xml:space="preserve">and </w:t>
      </w:r>
      <w:r w:rsidR="00A2001C">
        <w:t>FTC</w:t>
      </w:r>
      <w:r w:rsidRPr="004D682E">
        <w:t xml:space="preserve">. In phenotypic analyses, 50% (11/22) of the viremic subjects with evaluable data had HIV-1 isolates with reduced susceptibility to </w:t>
      </w:r>
      <w:r w:rsidR="00E1241E">
        <w:t>EVG</w:t>
      </w:r>
      <w:r w:rsidRPr="004D682E">
        <w:t xml:space="preserve">, 57% (12/21) had reduced susceptibility to </w:t>
      </w:r>
      <w:r w:rsidR="00A2001C">
        <w:t>FTC</w:t>
      </w:r>
      <w:r w:rsidRPr="004D682E">
        <w:t>, and 10% (2/21) had reduced susceptibility to tenofovir.</w:t>
      </w:r>
    </w:p>
    <w:p w:rsidR="004D682E" w:rsidRPr="00D52A2C" w:rsidRDefault="004D682E" w:rsidP="00F95416">
      <w:pPr>
        <w:ind w:left="284"/>
        <w:rPr>
          <w:b/>
        </w:rPr>
      </w:pPr>
      <w:r w:rsidRPr="00D52A2C">
        <w:rPr>
          <w:b/>
        </w:rPr>
        <w:t xml:space="preserve">Cross Resistance </w:t>
      </w:r>
    </w:p>
    <w:p w:rsidR="004D682E" w:rsidRPr="004D682E" w:rsidRDefault="00E17BC6" w:rsidP="00F95416">
      <w:pPr>
        <w:ind w:left="284"/>
      </w:pPr>
      <w:r>
        <w:t>Stribild</w:t>
      </w:r>
      <w:r w:rsidR="004D682E" w:rsidRPr="004D682E">
        <w:t xml:space="preserve">-treatment failure subject isolates exhibited varying degrees of cross resistance within the INSTI and NRTI drug classes depending on the specific substitutions observed. These isolates remained susceptible to all NNRTIs and protease inhibitors. </w:t>
      </w:r>
    </w:p>
    <w:p w:rsidR="004D682E" w:rsidRPr="00D52A2C" w:rsidRDefault="004D682E" w:rsidP="00F95416">
      <w:pPr>
        <w:ind w:left="284"/>
        <w:rPr>
          <w:i/>
        </w:rPr>
      </w:pPr>
      <w:r w:rsidRPr="00D52A2C">
        <w:rPr>
          <w:i/>
        </w:rPr>
        <w:t>Elvitegravir</w:t>
      </w:r>
    </w:p>
    <w:p w:rsidR="004D682E" w:rsidRPr="004D682E" w:rsidRDefault="004D682E" w:rsidP="00F95416">
      <w:pPr>
        <w:ind w:left="284"/>
      </w:pPr>
      <w:r w:rsidRPr="004D682E">
        <w:t xml:space="preserve">Cross-resistance has been observed among INSTIs. Elvitegravir-resistant viruses showed varying degrees of cross-resistance in cell culture to </w:t>
      </w:r>
      <w:r w:rsidR="00954626">
        <w:t>RTG</w:t>
      </w:r>
      <w:r w:rsidRPr="004D682E">
        <w:t xml:space="preserve"> depending on the type and number of substitutions in HIV-1 integrase. Among the </w:t>
      </w:r>
      <w:r w:rsidR="005C1062">
        <w:t xml:space="preserve">4 </w:t>
      </w:r>
      <w:r w:rsidRPr="004D682E">
        <w:t xml:space="preserve">primary </w:t>
      </w:r>
      <w:r w:rsidR="00BB2DAA">
        <w:t xml:space="preserve">EVG </w:t>
      </w:r>
      <w:r w:rsidRPr="004D682E">
        <w:t xml:space="preserve">resistance-associated substitutions detected in the </w:t>
      </w:r>
      <w:r w:rsidR="005C5945">
        <w:t xml:space="preserve">Stribild </w:t>
      </w:r>
      <w:r w:rsidRPr="004D682E">
        <w:t xml:space="preserve">-treatment virologic failure isolates, E92Q, Q148R, and N155H individually conferred reduced susceptibility both to </w:t>
      </w:r>
      <w:r w:rsidR="00BB2DAA">
        <w:t xml:space="preserve">EVG </w:t>
      </w:r>
      <w:r w:rsidRPr="004D682E">
        <w:t xml:space="preserve">(greater than 32-fold) and </w:t>
      </w:r>
      <w:r w:rsidR="00954626">
        <w:t>RTG</w:t>
      </w:r>
      <w:r w:rsidRPr="004D682E">
        <w:t xml:space="preserve"> (greater than 5-fold) when introduced into a wild-type virus by site-directed mutagenesis. The T66I substitution conferred greater than 14-fold reduced susceptibility to </w:t>
      </w:r>
      <w:r w:rsidR="00BB2DAA">
        <w:t xml:space="preserve">EVG </w:t>
      </w:r>
      <w:r w:rsidRPr="004D682E">
        <w:t xml:space="preserve">but less than 3-fold to </w:t>
      </w:r>
      <w:r w:rsidR="00954626">
        <w:t>RTG</w:t>
      </w:r>
      <w:r w:rsidRPr="004D682E">
        <w:t xml:space="preserve">. Among the </w:t>
      </w:r>
      <w:r w:rsidR="005C1062">
        <w:t xml:space="preserve">3 </w:t>
      </w:r>
      <w:r w:rsidRPr="004D682E">
        <w:t xml:space="preserve">primary </w:t>
      </w:r>
      <w:r w:rsidR="00954626">
        <w:t>RTG</w:t>
      </w:r>
      <w:r w:rsidRPr="004D682E">
        <w:t xml:space="preserve"> resistance-associated substitutions (Y143H/R, Q148H/K/R, and N155H), all but one (Y143H) conferred significant reductions in susceptibility to </w:t>
      </w:r>
      <w:r w:rsidR="00BB2DAA">
        <w:t xml:space="preserve">EVG </w:t>
      </w:r>
      <w:r w:rsidRPr="004D682E">
        <w:t xml:space="preserve">(greater than 5-fold). </w:t>
      </w:r>
    </w:p>
    <w:p w:rsidR="004D682E" w:rsidRPr="00D52A2C" w:rsidRDefault="004D682E" w:rsidP="00F95416">
      <w:pPr>
        <w:ind w:left="284"/>
        <w:rPr>
          <w:i/>
        </w:rPr>
      </w:pPr>
      <w:r w:rsidRPr="00D52A2C">
        <w:rPr>
          <w:i/>
        </w:rPr>
        <w:t>Emtricitabine</w:t>
      </w:r>
    </w:p>
    <w:p w:rsidR="004D682E" w:rsidRPr="004D682E" w:rsidRDefault="004D682E" w:rsidP="00F95416">
      <w:pPr>
        <w:ind w:left="284"/>
      </w:pPr>
      <w:r w:rsidRPr="004D682E">
        <w:t xml:space="preserve">Cross-resistance has been observed among NRTIs. Emtricitabine resistant isolates harbouring an M184V/I substitution in HIV-1 RT were cross-resistant to lamivudine. HIV-1 isolates containing the K65R RT substitution, selected </w:t>
      </w:r>
      <w:r w:rsidR="00BB7072" w:rsidRPr="00BB7072">
        <w:rPr>
          <w:i/>
        </w:rPr>
        <w:t>in vivo</w:t>
      </w:r>
      <w:r w:rsidRPr="004D682E">
        <w:t xml:space="preserve"> by abacavir, didanosine, and tenofovir, demonstrated reduced susceptibility to inhibition by </w:t>
      </w:r>
      <w:r w:rsidR="00A2001C">
        <w:t>FTC</w:t>
      </w:r>
      <w:r w:rsidRPr="004D682E">
        <w:t>.</w:t>
      </w:r>
    </w:p>
    <w:p w:rsidR="004D682E" w:rsidRPr="00D52A2C" w:rsidRDefault="004D682E" w:rsidP="00F95416">
      <w:pPr>
        <w:ind w:left="284"/>
        <w:rPr>
          <w:i/>
        </w:rPr>
      </w:pPr>
      <w:r w:rsidRPr="00D52A2C">
        <w:rPr>
          <w:i/>
        </w:rPr>
        <w:t>Tenofovir DF</w:t>
      </w:r>
    </w:p>
    <w:p w:rsidR="004D682E" w:rsidRPr="004D682E" w:rsidRDefault="004D682E" w:rsidP="00F95416">
      <w:pPr>
        <w:ind w:left="284"/>
      </w:pPr>
      <w:r w:rsidRPr="004D682E">
        <w:t xml:space="preserve">Cross-resistance has been observed among NRTIs. The K65R substitution in HIV-1 RT selected by tenofovir is also selected in some HIV-1infected patients treated with abacavir or didanosine. HIV-1 isolates with the K65R substitution also showed reduced susceptibility to </w:t>
      </w:r>
      <w:r w:rsidR="00A2001C">
        <w:t>FTC</w:t>
      </w:r>
      <w:r w:rsidRPr="004D682E">
        <w:t xml:space="preserve"> and lamivudine. Therefore, cross-resistance among these NRTIs may occur in patients whose virus harbours the K65R substitution. HIV-1 isolates from patients (N=20) whose HIV-1 expressed a mean of 3 zidovudine-associated RT amino acid substitutions (M41L, D67N, K70R, L210W, T215Y/F, or K219Q/E/N) showed a 3.1-fold decrease in the susceptibility to tenofovir. Subjects whose virus expressed an L74V RT substitution without zidovudine resistance-associated substitutions (N=8) had reduced response to VIREAD. Limited data are available for patients whose virus expressed a Y115F substitution (N=3), Q151M substitution (N=2), or T69 insertion (N=4) in HIV-1 RT, all of whom had a reduced response in clinical trials.</w:t>
      </w:r>
    </w:p>
    <w:p w:rsidR="004D682E" w:rsidRPr="004D682E" w:rsidRDefault="004D682E" w:rsidP="00D52A2C">
      <w:pPr>
        <w:pStyle w:val="Heading4"/>
      </w:pPr>
      <w:r w:rsidRPr="004D682E">
        <w:t>Clinical efficacy</w:t>
      </w:r>
    </w:p>
    <w:p w:rsidR="004D682E" w:rsidRPr="004D682E" w:rsidRDefault="004D682E" w:rsidP="004D682E">
      <w:r w:rsidRPr="004D682E">
        <w:t>The demonstration of clinical efficacy and</w:t>
      </w:r>
      <w:r w:rsidR="005833FC">
        <w:t xml:space="preserve"> safety was based on one Phase II</w:t>
      </w:r>
      <w:r w:rsidR="008A3E2C">
        <w:t xml:space="preserve"> Study 236</w:t>
      </w:r>
      <w:r w:rsidR="008A3E2C">
        <w:noBreakHyphen/>
      </w:r>
      <w:r w:rsidRPr="004D682E">
        <w:t xml:space="preserve">0104 and </w:t>
      </w:r>
      <w:r w:rsidR="005C1062">
        <w:t xml:space="preserve">2 </w:t>
      </w:r>
      <w:r w:rsidRPr="004D682E">
        <w:t xml:space="preserve">Phase </w:t>
      </w:r>
      <w:r w:rsidR="005833FC">
        <w:t>III</w:t>
      </w:r>
      <w:r w:rsidRPr="004D682E">
        <w:t xml:space="preserve"> pivotal </w:t>
      </w:r>
      <w:r w:rsidR="008A3E2C">
        <w:t>S</w:t>
      </w:r>
      <w:r w:rsidRPr="004D682E">
        <w:t>tudies 236-0102 and 236-0103 in treat</w:t>
      </w:r>
      <w:r w:rsidR="007553B1">
        <w:t>ment-naïve</w:t>
      </w:r>
      <w:r w:rsidRPr="004D682E">
        <w:t xml:space="preserve"> HIV-1 adult patients (inclusion criteria </w:t>
      </w:r>
      <w:r w:rsidR="005833FC">
        <w:t>included baseline plasma HIV-1 RNA &gt;</w:t>
      </w:r>
      <w:r w:rsidR="008A3E2C">
        <w:t>5000 </w:t>
      </w:r>
      <w:r w:rsidRPr="004D682E">
        <w:t>copies/mL</w:t>
      </w:r>
      <w:r w:rsidR="005833FC">
        <w:t xml:space="preserve"> and </w:t>
      </w:r>
      <w:r w:rsidRPr="004D682E">
        <w:t xml:space="preserve">normal renal function). All studies were randomised, double blind, placebo-controlled, non-inferiority trials comparing </w:t>
      </w:r>
      <w:r w:rsidR="005C5945">
        <w:t xml:space="preserve">Stribild </w:t>
      </w:r>
      <w:r w:rsidRPr="004D682E">
        <w:t>(TDF/FTC/EVG/COBI 300/200/150/150</w:t>
      </w:r>
      <w:r w:rsidR="005833FC">
        <w:t xml:space="preserve"> mg</w:t>
      </w:r>
      <w:r w:rsidRPr="004D682E">
        <w:t xml:space="preserve">) against TDF/FTC/EFV 300/200/600 </w:t>
      </w:r>
      <w:r w:rsidR="005833FC">
        <w:t xml:space="preserve">mg </w:t>
      </w:r>
      <w:r w:rsidRPr="004D682E">
        <w:t>(</w:t>
      </w:r>
      <w:r w:rsidR="005833FC">
        <w:t>S</w:t>
      </w:r>
      <w:r w:rsidRPr="004D682E">
        <w:t>tudies 236-0102 an</w:t>
      </w:r>
      <w:r w:rsidR="008A3E2C">
        <w:t xml:space="preserve">d 236-0104) or against TDF/FTC </w:t>
      </w:r>
      <w:r w:rsidRPr="004D682E">
        <w:t>300/200</w:t>
      </w:r>
      <w:r w:rsidR="005833FC">
        <w:t xml:space="preserve"> mg</w:t>
      </w:r>
      <w:r w:rsidRPr="004D682E">
        <w:t xml:space="preserve"> plus boosted ATV/r 300/100 </w:t>
      </w:r>
      <w:r w:rsidR="005833FC">
        <w:t xml:space="preserve">mg </w:t>
      </w:r>
      <w:r w:rsidRPr="004D682E">
        <w:t>(</w:t>
      </w:r>
      <w:r w:rsidR="005833FC">
        <w:t>S</w:t>
      </w:r>
      <w:r w:rsidR="008A3E2C">
        <w:t>tudy 236</w:t>
      </w:r>
      <w:r w:rsidR="008A3E2C">
        <w:noBreakHyphen/>
      </w:r>
      <w:r w:rsidRPr="004D682E">
        <w:t xml:space="preserve">0103). All regimes </w:t>
      </w:r>
      <w:r w:rsidRPr="004D682E">
        <w:lastRenderedPageBreak/>
        <w:t xml:space="preserve">were once daily. </w:t>
      </w:r>
      <w:r w:rsidR="005C5945">
        <w:t xml:space="preserve">Stribild </w:t>
      </w:r>
      <w:r w:rsidR="005833FC">
        <w:t>was administered with food. The dossier relied</w:t>
      </w:r>
      <w:r w:rsidRPr="004D682E">
        <w:t xml:space="preserve"> on double blinded 48 </w:t>
      </w:r>
      <w:r w:rsidR="005833FC">
        <w:t>W</w:t>
      </w:r>
      <w:r w:rsidRPr="004D682E">
        <w:t>eeks efficacy data.</w:t>
      </w:r>
    </w:p>
    <w:p w:rsidR="004D682E" w:rsidRPr="004D682E" w:rsidRDefault="004D682E" w:rsidP="004D682E">
      <w:r w:rsidRPr="004D682E">
        <w:t xml:space="preserve">The primary efficacy outcome was virologic success (proportion of patients achieving </w:t>
      </w:r>
      <w:r w:rsidR="005833FC">
        <w:t>HIV</w:t>
      </w:r>
      <w:r w:rsidR="005833FC">
        <w:noBreakHyphen/>
      </w:r>
      <w:r w:rsidRPr="004D682E">
        <w:t xml:space="preserve">1 RNA &lt;50 copies/mL at 4 </w:t>
      </w:r>
      <w:r w:rsidR="005833FC">
        <w:t>W</w:t>
      </w:r>
      <w:r w:rsidRPr="004D682E">
        <w:t>eeks of treatment. Non-inferiority (95%</w:t>
      </w:r>
      <w:r w:rsidR="008A3E2C">
        <w:t xml:space="preserve"> </w:t>
      </w:r>
      <w:r w:rsidRPr="004D682E">
        <w:t xml:space="preserve">CI for the treatment difference from comparator to be </w:t>
      </w:r>
      <w:r w:rsidR="005833FC">
        <w:t xml:space="preserve">no worse than </w:t>
      </w:r>
      <w:r w:rsidR="005833FC">
        <w:noBreakHyphen/>
      </w:r>
      <w:r w:rsidRPr="004D682E">
        <w:t xml:space="preserve">12%) was satisfactorily demonstrated in all trials. The treatment difference numerically favoured </w:t>
      </w:r>
      <w:r w:rsidR="005C5945">
        <w:t xml:space="preserve">Stribild </w:t>
      </w:r>
      <w:r w:rsidRPr="004D682E">
        <w:t>in both pivotal trials (</w:t>
      </w:r>
      <w:r w:rsidR="00CC292E">
        <w:t xml:space="preserve">approximately </w:t>
      </w:r>
      <w:r w:rsidRPr="004D682E">
        <w:t>3%).</w:t>
      </w:r>
    </w:p>
    <w:p w:rsidR="00732DF7" w:rsidRDefault="004D682E">
      <w:r w:rsidRPr="004D682E">
        <w:t>The effect with respect to the primary variable wa</w:t>
      </w:r>
      <w:r w:rsidR="00C35E52">
        <w:t>s homogenous across various sub</w:t>
      </w:r>
      <w:r w:rsidR="00C35E52">
        <w:noBreakHyphen/>
      </w:r>
      <w:r w:rsidRPr="004D682E">
        <w:t xml:space="preserve">groups including baseline viral load </w:t>
      </w:r>
      <w:r w:rsidR="005833FC">
        <w:t>(≤ 100</w:t>
      </w:r>
      <w:r w:rsidR="00C35E52">
        <w:t>,</w:t>
      </w:r>
      <w:r w:rsidR="005833FC">
        <w:t>000 copies/mL or &gt;100 000 copies/mL</w:t>
      </w:r>
      <w:r w:rsidRPr="004D682E">
        <w:t>; this was a stratification factor for randomisation) and baseline CD4 cell count (</w:t>
      </w:r>
      <w:r w:rsidR="00C35E52">
        <w:t>≤ 350 and &gt; </w:t>
      </w:r>
      <w:r w:rsidR="005833FC" w:rsidRPr="005046B9">
        <w:t>350</w:t>
      </w:r>
      <w:r w:rsidR="005833FC">
        <w:t> </w:t>
      </w:r>
      <w:r w:rsidR="005833FC" w:rsidRPr="005046B9">
        <w:t>cells/μL</w:t>
      </w:r>
      <w:r w:rsidRPr="004D682E">
        <w:t xml:space="preserve">). </w:t>
      </w:r>
      <w:r w:rsidR="00F66CA8">
        <w:t>L</w:t>
      </w:r>
      <w:r w:rsidRPr="004D682E">
        <w:t>oss of power in some sub-groups</w:t>
      </w:r>
      <w:r w:rsidR="00C35E52">
        <w:t>,</w:t>
      </w:r>
      <w:r w:rsidRPr="004D682E">
        <w:t xml:space="preserve"> especially for the Phase </w:t>
      </w:r>
      <w:r w:rsidR="005833FC">
        <w:t>II</w:t>
      </w:r>
      <w:r w:rsidRPr="004D682E">
        <w:t xml:space="preserve"> trial due to small number of patients</w:t>
      </w:r>
      <w:r w:rsidR="00C35E52">
        <w:t>,</w:t>
      </w:r>
      <w:r w:rsidR="005833FC">
        <w:t xml:space="preserve"> was notable</w:t>
      </w:r>
      <w:r w:rsidRPr="004D682E">
        <w:t>.</w:t>
      </w:r>
      <w:r w:rsidR="00F66CA8">
        <w:t xml:space="preserve"> The results are </w:t>
      </w:r>
      <w:r w:rsidR="00C35E52">
        <w:t xml:space="preserve">summarised </w:t>
      </w:r>
      <w:r w:rsidR="00F66CA8">
        <w:t xml:space="preserve">in Table </w:t>
      </w:r>
      <w:r w:rsidR="00A51BB4">
        <w:t>8</w:t>
      </w:r>
      <w:r w:rsidR="00F66CA8">
        <w:t>, below.</w:t>
      </w:r>
    </w:p>
    <w:p w:rsidR="00732DF7" w:rsidRDefault="00A51BB4" w:rsidP="004B2530">
      <w:pPr>
        <w:pStyle w:val="TableTitle"/>
      </w:pPr>
      <w:r>
        <w:lastRenderedPageBreak/>
        <w:t>Table 8</w:t>
      </w:r>
      <w:r w:rsidR="005833FC">
        <w:t xml:space="preserve">. GS-US-236-0102, 0103, and 0104: Treatment difference in </w:t>
      </w:r>
      <w:proofErr w:type="spellStart"/>
      <w:r w:rsidR="005833FC">
        <w:t>virologic</w:t>
      </w:r>
      <w:proofErr w:type="spellEnd"/>
      <w:r w:rsidR="005833FC">
        <w:t xml:space="preserve"> success by subgroup at Week 48 (HIV-1 RNA </w:t>
      </w:r>
      <w:proofErr w:type="spellStart"/>
      <w:r w:rsidR="005833FC">
        <w:t>cutoff</w:t>
      </w:r>
      <w:proofErr w:type="spellEnd"/>
      <w:r w:rsidR="005833FC">
        <w:t xml:space="preserve"> at 50 copies/</w:t>
      </w:r>
      <w:proofErr w:type="spellStart"/>
      <w:r w:rsidR="005833FC">
        <w:t>mL</w:t>
      </w:r>
      <w:proofErr w:type="spellEnd"/>
      <w:r w:rsidR="005833FC">
        <w:t>, Snapshot analysis, intent</w:t>
      </w:r>
      <w:r w:rsidR="00F66CA8">
        <w:t>ion to treat (ITT) Analysis set)</w:t>
      </w:r>
    </w:p>
    <w:p w:rsidR="00732DF7" w:rsidRDefault="00B95302" w:rsidP="00B84A19">
      <w:pPr>
        <w:keepNext/>
      </w:pPr>
      <w:r>
        <w:rPr>
          <w:noProof/>
          <w:lang w:eastAsia="en-AU"/>
        </w:rPr>
        <w:drawing>
          <wp:inline distT="0" distB="0" distL="0" distR="0">
            <wp:extent cx="5130800" cy="6294129"/>
            <wp:effectExtent l="19050" t="0" r="0" b="0"/>
            <wp:docPr id="51" name="Picture 51" descr="Table 8. GS-US-236-0102, 0103, and 0104: Treatment difference in virologic success by subgroup at Week 48 (HIV-1 RNA cutoff at 50 copies/mL, Snapshot analysis, intention to treat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srcRect/>
                    <a:stretch>
                      <a:fillRect/>
                    </a:stretch>
                  </pic:blipFill>
                  <pic:spPr bwMode="auto">
                    <a:xfrm>
                      <a:off x="0" y="0"/>
                      <a:ext cx="5132504" cy="6296219"/>
                    </a:xfrm>
                    <a:prstGeom prst="rect">
                      <a:avLst/>
                    </a:prstGeom>
                    <a:noFill/>
                    <a:ln w="9525">
                      <a:noFill/>
                      <a:miter lim="800000"/>
                      <a:headEnd/>
                      <a:tailEnd/>
                    </a:ln>
                  </pic:spPr>
                </pic:pic>
              </a:graphicData>
            </a:graphic>
          </wp:inline>
        </w:drawing>
      </w:r>
    </w:p>
    <w:p w:rsidR="00F66CA8" w:rsidRPr="00F66CA8" w:rsidRDefault="00F66CA8" w:rsidP="004B2530">
      <w:pPr>
        <w:pStyle w:val="TableTitle"/>
        <w:pageBreakBefore/>
      </w:pPr>
      <w:r w:rsidRPr="00F66CA8">
        <w:lastRenderedPageBreak/>
        <w:t xml:space="preserve">Table </w:t>
      </w:r>
      <w:r w:rsidR="00A51BB4">
        <w:t>8</w:t>
      </w:r>
      <w:r w:rsidRPr="00F66CA8">
        <w:t xml:space="preserve"> continued</w:t>
      </w:r>
      <w:r w:rsidR="006459D1">
        <w:t xml:space="preserve">. </w:t>
      </w:r>
      <w:r w:rsidR="00B4682C" w:rsidRPr="00B4682C">
        <w:t xml:space="preserve">GS-US-236-0102, 0103, and 0104: Treatment difference in </w:t>
      </w:r>
      <w:proofErr w:type="spellStart"/>
      <w:r w:rsidR="00B4682C" w:rsidRPr="00B4682C">
        <w:t>virologic</w:t>
      </w:r>
      <w:proofErr w:type="spellEnd"/>
      <w:r w:rsidR="00B4682C" w:rsidRPr="00B4682C">
        <w:t xml:space="preserve"> success by subgroup at Week 48 (HIV-1 RNA </w:t>
      </w:r>
      <w:proofErr w:type="spellStart"/>
      <w:r w:rsidR="00B4682C" w:rsidRPr="00B4682C">
        <w:t>cutoff</w:t>
      </w:r>
      <w:proofErr w:type="spellEnd"/>
      <w:r w:rsidR="00B4682C" w:rsidRPr="00B4682C">
        <w:t xml:space="preserve"> at 50 copies/</w:t>
      </w:r>
      <w:proofErr w:type="spellStart"/>
      <w:r w:rsidR="00B4682C" w:rsidRPr="00B4682C">
        <w:t>mL</w:t>
      </w:r>
      <w:proofErr w:type="spellEnd"/>
      <w:r w:rsidR="00B4682C" w:rsidRPr="00B4682C">
        <w:t>, Snapshot analysis, intention to treat (ITT) Analysis set)</w:t>
      </w:r>
    </w:p>
    <w:p w:rsidR="004D682E" w:rsidRPr="004D682E" w:rsidRDefault="00B95302" w:rsidP="00F66CA8">
      <w:pPr>
        <w:keepNext/>
      </w:pPr>
      <w:r>
        <w:rPr>
          <w:noProof/>
          <w:lang w:eastAsia="en-AU"/>
        </w:rPr>
        <w:drawing>
          <wp:inline distT="0" distB="0" distL="0" distR="0">
            <wp:extent cx="5417946" cy="6381750"/>
            <wp:effectExtent l="19050" t="0" r="0" b="0"/>
            <wp:docPr id="52" name="Picture 52" descr="Table 8 continued. GS-US-236-0102, 0103, and 0104: Treatment difference in virologic success by subgroup at Week 48 (HIV-1 RNA cutoff at 50 copies/mL, Snapshot analysis, intention to treat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5417423" cy="6381134"/>
                    </a:xfrm>
                    <a:prstGeom prst="rect">
                      <a:avLst/>
                    </a:prstGeom>
                    <a:noFill/>
                    <a:ln w="9525">
                      <a:noFill/>
                      <a:miter lim="800000"/>
                      <a:headEnd/>
                      <a:tailEnd/>
                    </a:ln>
                  </pic:spPr>
                </pic:pic>
              </a:graphicData>
            </a:graphic>
          </wp:inline>
        </w:drawing>
      </w:r>
    </w:p>
    <w:p w:rsidR="004D682E" w:rsidRPr="004D682E" w:rsidRDefault="004D682E" w:rsidP="004D682E">
      <w:r w:rsidRPr="004D682E">
        <w:t xml:space="preserve">The results are shown graphically </w:t>
      </w:r>
      <w:r w:rsidR="00F66CA8">
        <w:t xml:space="preserve">in Figure </w:t>
      </w:r>
      <w:r w:rsidR="009C4045">
        <w:t>3</w:t>
      </w:r>
      <w:r w:rsidR="00F66CA8">
        <w:t xml:space="preserve">. </w:t>
      </w:r>
    </w:p>
    <w:p w:rsidR="00F66CA8" w:rsidRPr="004D682E" w:rsidRDefault="009C4045" w:rsidP="00F66CA8">
      <w:pPr>
        <w:pStyle w:val="FigureTitle"/>
        <w:keepNext/>
      </w:pPr>
      <w:r>
        <w:lastRenderedPageBreak/>
        <w:t>Figure 3</w:t>
      </w:r>
      <w:r w:rsidR="00F66CA8">
        <w:t xml:space="preserve">. GS-US-236-0102, 0103, and 0104: Forest plot of treatment difference in </w:t>
      </w:r>
      <w:proofErr w:type="spellStart"/>
      <w:r w:rsidR="00F66CA8">
        <w:t>virologic</w:t>
      </w:r>
      <w:proofErr w:type="spellEnd"/>
      <w:r w:rsidR="00F66CA8">
        <w:t xml:space="preserve"> success by subgroup at Week 48 (HIV-1 RNA &lt; 50 copies/mL, Snapshot analysis, ITT Analysis set)</w:t>
      </w:r>
    </w:p>
    <w:p w:rsidR="004D682E" w:rsidRPr="004D682E" w:rsidRDefault="00B95302" w:rsidP="00F66CA8">
      <w:pPr>
        <w:keepNext/>
      </w:pPr>
      <w:r>
        <w:rPr>
          <w:noProof/>
          <w:lang w:eastAsia="en-AU"/>
        </w:rPr>
        <w:drawing>
          <wp:inline distT="0" distB="0" distL="0" distR="0">
            <wp:extent cx="4794885" cy="5764421"/>
            <wp:effectExtent l="19050" t="0" r="5715" b="0"/>
            <wp:docPr id="54" name="Picture 54" descr="Figure 3. GS-US-236-0102, 0103, and 0104: Forest plot of treatment difference in virologic success by subgroup at Week 48 (HIV-1 RNA &lt; 50 copies/mL, Snapshot analysi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a:stretch>
                      <a:fillRect/>
                    </a:stretch>
                  </pic:blipFill>
                  <pic:spPr bwMode="auto">
                    <a:xfrm>
                      <a:off x="0" y="0"/>
                      <a:ext cx="4796116" cy="5765901"/>
                    </a:xfrm>
                    <a:prstGeom prst="rect">
                      <a:avLst/>
                    </a:prstGeom>
                    <a:noFill/>
                    <a:ln w="9525">
                      <a:noFill/>
                      <a:miter lim="800000"/>
                      <a:headEnd/>
                      <a:tailEnd/>
                    </a:ln>
                  </pic:spPr>
                </pic:pic>
              </a:graphicData>
            </a:graphic>
          </wp:inline>
        </w:drawing>
      </w:r>
    </w:p>
    <w:p w:rsidR="004D682E" w:rsidRPr="004D682E" w:rsidRDefault="00F66CA8" w:rsidP="004D682E">
      <w:r>
        <w:t>The r</w:t>
      </w:r>
      <w:r w:rsidR="004D682E" w:rsidRPr="004D682E">
        <w:t xml:space="preserve">esults using </w:t>
      </w:r>
      <w:r>
        <w:t xml:space="preserve">the </w:t>
      </w:r>
      <w:r w:rsidR="004D682E" w:rsidRPr="004D682E">
        <w:t>PP population were consistent with the primary analysis.</w:t>
      </w:r>
    </w:p>
    <w:p w:rsidR="004D682E" w:rsidRPr="004D682E" w:rsidRDefault="004D682E" w:rsidP="004D682E">
      <w:r w:rsidRPr="004D682E">
        <w:t xml:space="preserve">Some </w:t>
      </w:r>
      <w:r w:rsidR="00F66CA8">
        <w:t xml:space="preserve">of the </w:t>
      </w:r>
      <w:r w:rsidRPr="004D682E">
        <w:t>other important results were as follows:</w:t>
      </w:r>
    </w:p>
    <w:p w:rsidR="004D682E" w:rsidRPr="00C35E52" w:rsidRDefault="005C5945" w:rsidP="004B2530">
      <w:pPr>
        <w:pStyle w:val="Heading5"/>
      </w:pPr>
      <w:r w:rsidRPr="00C35E52">
        <w:t xml:space="preserve">Stribild </w:t>
      </w:r>
      <w:r w:rsidR="00F66CA8" w:rsidRPr="00C35E52">
        <w:t xml:space="preserve">versus </w:t>
      </w:r>
      <w:r w:rsidR="004D682E" w:rsidRPr="00C35E52">
        <w:t>TDF/FTC/EFV</w:t>
      </w:r>
      <w:r w:rsidR="00F66CA8" w:rsidRPr="00C35E52">
        <w:t xml:space="preserve"> a</w:t>
      </w:r>
      <w:r w:rsidR="00C35E52">
        <w:t>t Week 48 (viral load &lt;</w:t>
      </w:r>
      <w:r w:rsidR="004D682E" w:rsidRPr="00C35E52">
        <w:t>50 copies</w:t>
      </w:r>
      <w:r w:rsidR="00F66CA8" w:rsidRPr="00C35E52">
        <w:t>/</w:t>
      </w:r>
      <w:r w:rsidR="004D682E" w:rsidRPr="00C35E52">
        <w:t xml:space="preserve"> mL)</w:t>
      </w:r>
      <w:r w:rsidR="00F66CA8" w:rsidRPr="00C35E52">
        <w:t>, Study </w:t>
      </w:r>
      <w:r w:rsidR="004D682E" w:rsidRPr="00C35E52">
        <w:t>236</w:t>
      </w:r>
      <w:r w:rsidR="00F66CA8" w:rsidRPr="00C35E52">
        <w:t> </w:t>
      </w:r>
      <w:r w:rsidR="004D682E" w:rsidRPr="00C35E52">
        <w:t>0102</w:t>
      </w:r>
    </w:p>
    <w:p w:rsidR="004D682E" w:rsidRPr="00F66CA8" w:rsidRDefault="004D682E" w:rsidP="00F66CA8">
      <w:pPr>
        <w:pStyle w:val="ListBullet"/>
      </w:pPr>
      <w:r w:rsidRPr="00F66CA8">
        <w:t>Viro</w:t>
      </w:r>
      <w:r w:rsidR="00F66CA8">
        <w:t>logic failure</w:t>
      </w:r>
      <w:r w:rsidR="00914480">
        <w:t>:</w:t>
      </w:r>
      <w:r w:rsidR="00F66CA8">
        <w:t xml:space="preserve"> </w:t>
      </w:r>
      <w:r w:rsidRPr="00F66CA8">
        <w:t xml:space="preserve">7.2% </w:t>
      </w:r>
      <w:r w:rsidR="00F66CA8">
        <w:t xml:space="preserve">versus </w:t>
      </w:r>
      <w:r w:rsidRPr="00F66CA8">
        <w:t xml:space="preserve">7.1% ITT (6.9% </w:t>
      </w:r>
      <w:r w:rsidR="00F66CA8">
        <w:t xml:space="preserve">versus </w:t>
      </w:r>
      <w:r w:rsidRPr="00F66CA8">
        <w:t>4.5% TLOVR)</w:t>
      </w:r>
    </w:p>
    <w:p w:rsidR="004D682E" w:rsidRPr="00F66CA8" w:rsidRDefault="004D682E" w:rsidP="00F66CA8">
      <w:pPr>
        <w:pStyle w:val="ListBullet"/>
      </w:pPr>
      <w:r w:rsidRPr="00F66CA8">
        <w:t>Mean change in HIV-1 RNA from baseline</w:t>
      </w:r>
      <w:r w:rsidR="00914480">
        <w:t>:</w:t>
      </w:r>
      <w:r w:rsidR="00F66CA8">
        <w:t xml:space="preserve"> </w:t>
      </w:r>
      <w:r w:rsidRPr="00F66CA8">
        <w:t>-2.99</w:t>
      </w:r>
      <w:r w:rsidR="00841BE4" w:rsidRPr="00F66CA8">
        <w:t xml:space="preserve"> </w:t>
      </w:r>
      <w:r w:rsidR="00F66CA8">
        <w:t xml:space="preserve">versus </w:t>
      </w:r>
      <w:r w:rsidRPr="00F66CA8">
        <w:t>-3.00 log10 copies/mL</w:t>
      </w:r>
    </w:p>
    <w:p w:rsidR="004D682E" w:rsidRPr="00F66CA8" w:rsidRDefault="004D682E" w:rsidP="00F66CA8">
      <w:pPr>
        <w:pStyle w:val="ListBullet"/>
      </w:pPr>
      <w:r w:rsidRPr="00F66CA8">
        <w:t>Mean change in CD4 count from baseline</w:t>
      </w:r>
      <w:r w:rsidR="00914480">
        <w:t>:</w:t>
      </w:r>
      <w:r w:rsidR="00F66CA8">
        <w:t xml:space="preserve"> </w:t>
      </w:r>
      <w:r w:rsidRPr="00F66CA8">
        <w:t xml:space="preserve">+239 </w:t>
      </w:r>
      <w:r w:rsidR="00F66CA8">
        <w:t xml:space="preserve">versus </w:t>
      </w:r>
      <w:r w:rsidRPr="00F66CA8">
        <w:t>+206 cells/µL</w:t>
      </w:r>
    </w:p>
    <w:p w:rsidR="004D682E" w:rsidRPr="00F66CA8" w:rsidRDefault="004D682E" w:rsidP="00F66CA8">
      <w:pPr>
        <w:pStyle w:val="ListBullet"/>
      </w:pPr>
      <w:r w:rsidRPr="00F66CA8">
        <w:t>Mean change in CD4</w:t>
      </w:r>
      <w:r w:rsidR="00F66CA8">
        <w:t>%</w:t>
      </w:r>
      <w:r w:rsidRPr="00F66CA8">
        <w:t xml:space="preserve"> from baseline</w:t>
      </w:r>
      <w:r w:rsidR="00914480">
        <w:t>:</w:t>
      </w:r>
      <w:r w:rsidR="00F66CA8">
        <w:t xml:space="preserve"> </w:t>
      </w:r>
      <w:r w:rsidRPr="00F66CA8">
        <w:t xml:space="preserve">9.1% </w:t>
      </w:r>
      <w:r w:rsidR="00F66CA8">
        <w:t xml:space="preserve">versus </w:t>
      </w:r>
      <w:r w:rsidRPr="00F66CA8">
        <w:t>9.9%</w:t>
      </w:r>
    </w:p>
    <w:p w:rsidR="004D682E" w:rsidRPr="004D682E" w:rsidRDefault="004D682E" w:rsidP="004D682E">
      <w:r w:rsidRPr="00C35E52">
        <w:t xml:space="preserve">A total of 31/700 (4.4%) patients met the criteria for virologic failure for inclusion in </w:t>
      </w:r>
      <w:r w:rsidR="00F66CA8" w:rsidRPr="00C35E52">
        <w:t xml:space="preserve">the </w:t>
      </w:r>
      <w:r w:rsidRPr="00C35E52">
        <w:t>Resistance Analysis Population (RAP)</w:t>
      </w:r>
      <w:r w:rsidR="00C35E52">
        <w:t>,</w:t>
      </w:r>
      <w:r w:rsidRPr="00C35E52">
        <w:t xml:space="preserve"> with 14/348 (4.0%) in </w:t>
      </w:r>
      <w:r w:rsidR="00F66CA8" w:rsidRPr="00C35E52">
        <w:t xml:space="preserve">the </w:t>
      </w:r>
      <w:r w:rsidR="005C5945" w:rsidRPr="00C35E52">
        <w:t xml:space="preserve">Stribild </w:t>
      </w:r>
      <w:r w:rsidRPr="00C35E52">
        <w:t xml:space="preserve">and 17/352 (4.8%) in the </w:t>
      </w:r>
      <w:r w:rsidR="00F66CA8" w:rsidRPr="00C35E52">
        <w:t xml:space="preserve">Control </w:t>
      </w:r>
      <w:r w:rsidRPr="00C35E52">
        <w:t xml:space="preserve">group. In </w:t>
      </w:r>
      <w:r w:rsidR="00F66CA8" w:rsidRPr="00C35E52">
        <w:t xml:space="preserve">the </w:t>
      </w:r>
      <w:r w:rsidR="005C5945" w:rsidRPr="00C35E52">
        <w:t xml:space="preserve">Stribild </w:t>
      </w:r>
      <w:r w:rsidRPr="00C35E52">
        <w:t>group, 8/348 (2.3%) patients has emergent resistance to a study drug. All 8 patients developed RT-R mutations. Seven of these patients also developed INSTI-R</w:t>
      </w:r>
      <w:r w:rsidR="00F66CA8" w:rsidRPr="00C35E52">
        <w:t xml:space="preserve"> </w:t>
      </w:r>
      <w:r w:rsidRPr="00C35E52">
        <w:t>mutations. In the C</w:t>
      </w:r>
      <w:r w:rsidR="00F66CA8" w:rsidRPr="00C35E52">
        <w:t xml:space="preserve">ontrol </w:t>
      </w:r>
      <w:r w:rsidRPr="00C35E52">
        <w:t>group, 8/352 (2.3%) had</w:t>
      </w:r>
      <w:r w:rsidRPr="004D682E">
        <w:t xml:space="preserve"> </w:t>
      </w:r>
      <w:r w:rsidRPr="004D682E">
        <w:lastRenderedPageBreak/>
        <w:t xml:space="preserve">emergent resistance to a study drug. All 8 developed RT-R mutations. There were no INSTI-R mutations in this group. There was no development of primary </w:t>
      </w:r>
      <w:r w:rsidR="00F66CA8">
        <w:t>p</w:t>
      </w:r>
      <w:r w:rsidRPr="004D682E">
        <w:t xml:space="preserve">rotease </w:t>
      </w:r>
      <w:r w:rsidR="00F66CA8">
        <w:t>i</w:t>
      </w:r>
      <w:r w:rsidRPr="004D682E">
        <w:t>nhibitor-</w:t>
      </w:r>
      <w:r w:rsidR="00F66CA8">
        <w:t>r</w:t>
      </w:r>
      <w:r w:rsidRPr="004D682E">
        <w:t>esistance mutation in either group.</w:t>
      </w:r>
    </w:p>
    <w:p w:rsidR="004D682E" w:rsidRPr="00C35E52" w:rsidRDefault="005C5945" w:rsidP="004B2530">
      <w:pPr>
        <w:pStyle w:val="Heading5"/>
      </w:pPr>
      <w:r w:rsidRPr="00C35E52">
        <w:t xml:space="preserve">Stribild </w:t>
      </w:r>
      <w:r w:rsidR="008318E7" w:rsidRPr="00C35E52">
        <w:t>versus</w:t>
      </w:r>
      <w:r w:rsidR="00C35E52">
        <w:t xml:space="preserve"> TDF/FTC</w:t>
      </w:r>
      <w:r w:rsidR="004D682E" w:rsidRPr="00C35E52">
        <w:t>+ATV/r</w:t>
      </w:r>
      <w:r w:rsidR="008318E7" w:rsidRPr="00C35E52">
        <w:t xml:space="preserve"> a</w:t>
      </w:r>
      <w:r w:rsidR="00C35E52">
        <w:t>t Week 48 (viral load &lt;</w:t>
      </w:r>
      <w:r w:rsidR="004D682E" w:rsidRPr="00C35E52">
        <w:t>50 copies per mL)</w:t>
      </w:r>
      <w:r w:rsidR="008318E7" w:rsidRPr="00C35E52">
        <w:t>, Study </w:t>
      </w:r>
      <w:r w:rsidR="004D682E" w:rsidRPr="00C35E52">
        <w:t>236</w:t>
      </w:r>
      <w:r w:rsidR="00C35E52">
        <w:noBreakHyphen/>
      </w:r>
      <w:r w:rsidR="004D682E" w:rsidRPr="00C35E52">
        <w:t>0103</w:t>
      </w:r>
    </w:p>
    <w:p w:rsidR="004D682E" w:rsidRPr="004D682E" w:rsidRDefault="004D682E" w:rsidP="004D682E">
      <w:r w:rsidRPr="004D682E">
        <w:t>Virologic failure</w:t>
      </w:r>
      <w:r w:rsidR="008318E7">
        <w:t xml:space="preserve">: </w:t>
      </w:r>
      <w:r w:rsidRPr="004D682E">
        <w:t xml:space="preserve">5.4% </w:t>
      </w:r>
      <w:r w:rsidR="008318E7">
        <w:t>versus</w:t>
      </w:r>
      <w:r w:rsidRPr="004D682E">
        <w:t xml:space="preserve"> 5.4%</w:t>
      </w:r>
      <w:r w:rsidR="00841BE4">
        <w:t xml:space="preserve"> </w:t>
      </w:r>
      <w:r w:rsidRPr="004D682E">
        <w:t xml:space="preserve">ITT (5.4% </w:t>
      </w:r>
      <w:r w:rsidR="008318E7">
        <w:t xml:space="preserve">versus </w:t>
      </w:r>
      <w:r w:rsidRPr="004D682E">
        <w:t>4.2% TLOVR)</w:t>
      </w:r>
    </w:p>
    <w:p w:rsidR="004D682E" w:rsidRPr="004D682E" w:rsidRDefault="004D682E" w:rsidP="004D682E">
      <w:r w:rsidRPr="004D682E">
        <w:t>Mean ch</w:t>
      </w:r>
      <w:r w:rsidR="008318E7">
        <w:t xml:space="preserve">ange in HIV-1 RNA from baseline: </w:t>
      </w:r>
      <w:r w:rsidRPr="004D682E">
        <w:t xml:space="preserve">-3.09 </w:t>
      </w:r>
      <w:r w:rsidR="008318E7">
        <w:t xml:space="preserve">versus </w:t>
      </w:r>
      <w:r w:rsidRPr="004D682E">
        <w:t>-3.07 log10 copies/mL</w:t>
      </w:r>
    </w:p>
    <w:p w:rsidR="004D682E" w:rsidRPr="004D682E" w:rsidRDefault="004D682E" w:rsidP="004D682E">
      <w:r w:rsidRPr="004D682E">
        <w:t>Mean change in CD4 count from baseline</w:t>
      </w:r>
      <w:r w:rsidR="008318E7">
        <w:t xml:space="preserve">: </w:t>
      </w:r>
      <w:r w:rsidRPr="004D682E">
        <w:t xml:space="preserve">+207 </w:t>
      </w:r>
      <w:r w:rsidR="008318E7">
        <w:t xml:space="preserve">versus </w:t>
      </w:r>
      <w:r w:rsidRPr="004D682E">
        <w:t>+211 cells/µL</w:t>
      </w:r>
    </w:p>
    <w:p w:rsidR="004D682E" w:rsidRPr="004D682E" w:rsidRDefault="004D682E" w:rsidP="004D682E">
      <w:r w:rsidRPr="004D682E">
        <w:t>Me</w:t>
      </w:r>
      <w:r w:rsidR="008318E7">
        <w:t xml:space="preserve">an change in CD4% from baseline: </w:t>
      </w:r>
      <w:r w:rsidRPr="004D682E">
        <w:t xml:space="preserve">9.4% </w:t>
      </w:r>
      <w:r w:rsidR="008318E7">
        <w:t>versus</w:t>
      </w:r>
      <w:r w:rsidRPr="004D682E">
        <w:t xml:space="preserve"> 9.9%</w:t>
      </w:r>
    </w:p>
    <w:p w:rsidR="004D682E" w:rsidRPr="004D682E" w:rsidRDefault="004D682E" w:rsidP="004D682E">
      <w:r w:rsidRPr="004D682E">
        <w:t>A total of 20/708 (2.8%) patients met the criteria for virologic failure for inclusion in RAP</w:t>
      </w:r>
      <w:r w:rsidR="00914480">
        <w:t>:</w:t>
      </w:r>
      <w:r w:rsidRPr="004D682E">
        <w:t xml:space="preserve"> 12/353 (3.4%)</w:t>
      </w:r>
      <w:r w:rsidR="00841BE4">
        <w:t xml:space="preserve"> </w:t>
      </w:r>
      <w:r w:rsidRPr="004D682E">
        <w:t xml:space="preserve">in </w:t>
      </w:r>
      <w:r w:rsidR="00914480">
        <w:t xml:space="preserve">the </w:t>
      </w:r>
      <w:r w:rsidR="005C5945">
        <w:t xml:space="preserve">Stribild </w:t>
      </w:r>
      <w:r w:rsidRPr="004D682E">
        <w:t xml:space="preserve">and 8/355 (2.3%) in </w:t>
      </w:r>
      <w:r w:rsidR="00C35E52">
        <w:t>the C</w:t>
      </w:r>
      <w:r w:rsidR="00914480">
        <w:t xml:space="preserve">ontrol </w:t>
      </w:r>
      <w:r w:rsidRPr="004D682E">
        <w:t xml:space="preserve">group. In </w:t>
      </w:r>
      <w:r w:rsidR="00914480">
        <w:t xml:space="preserve">the </w:t>
      </w:r>
      <w:r w:rsidR="005C5945">
        <w:t xml:space="preserve">Stribild </w:t>
      </w:r>
      <w:r w:rsidRPr="004D682E">
        <w:t xml:space="preserve">group, 5/353 (1.4%) patients has emergent resistance to a study drug. Four of these </w:t>
      </w:r>
      <w:r w:rsidR="00914480">
        <w:t xml:space="preserve">5 </w:t>
      </w:r>
      <w:r w:rsidRPr="004D682E">
        <w:t xml:space="preserve">patients developed RT-R mutations. Four of these </w:t>
      </w:r>
      <w:r w:rsidR="00914480">
        <w:t xml:space="preserve">5 </w:t>
      </w:r>
      <w:r w:rsidRPr="004D682E">
        <w:t xml:space="preserve">patients also developed INSTI-R mutations. No patient developed primary </w:t>
      </w:r>
      <w:r w:rsidR="00914480">
        <w:t>p</w:t>
      </w:r>
      <w:r w:rsidR="00914480" w:rsidRPr="004D682E">
        <w:t xml:space="preserve">rotease </w:t>
      </w:r>
      <w:r w:rsidR="00914480">
        <w:t>i</w:t>
      </w:r>
      <w:r w:rsidR="00914480" w:rsidRPr="004D682E">
        <w:t>nhibitor-</w:t>
      </w:r>
      <w:r w:rsidR="00914480">
        <w:t>r</w:t>
      </w:r>
      <w:r w:rsidR="00914480" w:rsidRPr="004D682E">
        <w:t xml:space="preserve">esistance </w:t>
      </w:r>
      <w:r w:rsidRPr="004D682E">
        <w:t>mutation in this group. No patients in the C</w:t>
      </w:r>
      <w:r w:rsidR="00914480">
        <w:t xml:space="preserve">ontrol </w:t>
      </w:r>
      <w:r w:rsidRPr="004D682E">
        <w:t>group developed emergent resistance to a study drug.</w:t>
      </w:r>
    </w:p>
    <w:p w:rsidR="00914480" w:rsidRPr="00C35E52" w:rsidRDefault="004D682E" w:rsidP="004B2530">
      <w:pPr>
        <w:pStyle w:val="Heading5"/>
      </w:pPr>
      <w:r w:rsidRPr="00C35E52">
        <w:t>Extended open label experience available from study 236-0104</w:t>
      </w:r>
      <w:r w:rsidR="00914480" w:rsidRPr="00C35E52">
        <w:t xml:space="preserve"> </w:t>
      </w:r>
    </w:p>
    <w:p w:rsidR="004D682E" w:rsidRDefault="00914480" w:rsidP="004D682E">
      <w:r>
        <w:t xml:space="preserve">The results are summarised in </w:t>
      </w:r>
      <w:r w:rsidRPr="00914480">
        <w:t xml:space="preserve">Table </w:t>
      </w:r>
      <w:r w:rsidR="00A51BB4">
        <w:t>9</w:t>
      </w:r>
      <w:r w:rsidRPr="00914480">
        <w:t>, below.</w:t>
      </w:r>
    </w:p>
    <w:p w:rsidR="00914480" w:rsidRPr="005046B9" w:rsidRDefault="00914480" w:rsidP="004B2530">
      <w:pPr>
        <w:pStyle w:val="TableTitle"/>
      </w:pPr>
      <w:r>
        <w:t xml:space="preserve">Table </w:t>
      </w:r>
      <w:r w:rsidR="00A51BB4">
        <w:t>9</w:t>
      </w:r>
      <w:r>
        <w:t xml:space="preserve">. </w:t>
      </w:r>
      <w:r w:rsidRPr="005046B9">
        <w:t xml:space="preserve">Results of analyses of </w:t>
      </w:r>
      <w:proofErr w:type="spellStart"/>
      <w:r w:rsidRPr="005046B9">
        <w:t>virologic</w:t>
      </w:r>
      <w:proofErr w:type="spellEnd"/>
      <w:r w:rsidRPr="005046B9">
        <w:t xml:space="preserve"> suppression in the open-label </w:t>
      </w:r>
      <w:r>
        <w:t>period.</w:t>
      </w:r>
    </w:p>
    <w:tbl>
      <w:tblPr>
        <w:tblStyle w:val="TableTGAblue"/>
        <w:tblW w:w="0" w:type="auto"/>
        <w:tblLook w:val="01E0"/>
      </w:tblPr>
      <w:tblGrid>
        <w:gridCol w:w="2694"/>
        <w:gridCol w:w="2126"/>
        <w:gridCol w:w="2693"/>
      </w:tblGrid>
      <w:tr w:rsidR="00914480" w:rsidRPr="007864F7" w:rsidTr="00E84AB7">
        <w:trPr>
          <w:cnfStyle w:val="100000000000"/>
          <w:cantSplit/>
          <w:tblHeader/>
        </w:trPr>
        <w:tc>
          <w:tcPr>
            <w:tcW w:w="7513" w:type="dxa"/>
            <w:gridSpan w:val="3"/>
          </w:tcPr>
          <w:p w:rsidR="00914480" w:rsidRPr="007864F7" w:rsidRDefault="00914480" w:rsidP="00111CF7">
            <w:pPr>
              <w:autoSpaceDE w:val="0"/>
              <w:autoSpaceDN w:val="0"/>
              <w:adjustRightInd w:val="0"/>
              <w:spacing w:before="0" w:after="0" w:line="240" w:lineRule="auto"/>
              <w:jc w:val="center"/>
              <w:rPr>
                <w:rFonts w:asciiTheme="minorHAnsi" w:hAnsiTheme="minorHAnsi"/>
                <w:b w:val="0"/>
                <w:sz w:val="18"/>
                <w:szCs w:val="18"/>
              </w:rPr>
            </w:pPr>
            <w:r w:rsidRPr="007864F7">
              <w:rPr>
                <w:rFonts w:asciiTheme="minorHAnsi" w:hAnsiTheme="minorHAnsi"/>
                <w:b w:val="0"/>
                <w:sz w:val="18"/>
                <w:szCs w:val="18"/>
              </w:rPr>
              <w:t>Open label period- percentage of subjects with HIV-1 RNA &lt; 50 copies/mL</w:t>
            </w:r>
          </w:p>
        </w:tc>
      </w:tr>
      <w:tr w:rsidR="00914480" w:rsidRPr="007864F7" w:rsidTr="00E84AB7">
        <w:trPr>
          <w:cnfStyle w:val="100000000000"/>
          <w:cantSplit/>
          <w:tblHeader/>
        </w:trPr>
        <w:tc>
          <w:tcPr>
            <w:tcW w:w="2694" w:type="dxa"/>
          </w:tcPr>
          <w:p w:rsidR="00914480" w:rsidRPr="007864F7" w:rsidRDefault="00914480" w:rsidP="00914480">
            <w:pPr>
              <w:autoSpaceDE w:val="0"/>
              <w:autoSpaceDN w:val="0"/>
              <w:adjustRightInd w:val="0"/>
              <w:spacing w:before="0" w:after="0" w:line="240" w:lineRule="auto"/>
              <w:rPr>
                <w:rFonts w:asciiTheme="minorHAnsi" w:hAnsiTheme="minorHAnsi"/>
                <w:b w:val="0"/>
                <w:sz w:val="18"/>
                <w:szCs w:val="18"/>
              </w:rPr>
            </w:pPr>
          </w:p>
        </w:tc>
        <w:tc>
          <w:tcPr>
            <w:tcW w:w="2126" w:type="dxa"/>
          </w:tcPr>
          <w:p w:rsidR="00914480" w:rsidRPr="007864F7" w:rsidRDefault="00914480" w:rsidP="00914480">
            <w:pPr>
              <w:autoSpaceDE w:val="0"/>
              <w:autoSpaceDN w:val="0"/>
              <w:adjustRightInd w:val="0"/>
              <w:spacing w:before="0" w:after="0" w:line="240" w:lineRule="auto"/>
              <w:rPr>
                <w:rFonts w:asciiTheme="minorHAnsi" w:hAnsiTheme="minorHAnsi"/>
                <w:b w:val="0"/>
                <w:sz w:val="18"/>
                <w:szCs w:val="18"/>
              </w:rPr>
            </w:pPr>
            <w:r w:rsidRPr="007864F7">
              <w:rPr>
                <w:rFonts w:asciiTheme="minorHAnsi" w:hAnsiTheme="minorHAnsi"/>
                <w:b w:val="0"/>
                <w:sz w:val="18"/>
                <w:szCs w:val="18"/>
              </w:rPr>
              <w:t xml:space="preserve">QUAD/QUAD n/N (%) </w:t>
            </w:r>
          </w:p>
        </w:tc>
        <w:tc>
          <w:tcPr>
            <w:tcW w:w="2693" w:type="dxa"/>
          </w:tcPr>
          <w:p w:rsidR="00914480" w:rsidRPr="007864F7" w:rsidRDefault="00914480" w:rsidP="00914480">
            <w:pPr>
              <w:autoSpaceDE w:val="0"/>
              <w:autoSpaceDN w:val="0"/>
              <w:adjustRightInd w:val="0"/>
              <w:spacing w:before="0" w:after="0" w:line="240" w:lineRule="auto"/>
              <w:rPr>
                <w:rFonts w:asciiTheme="minorHAnsi" w:hAnsiTheme="minorHAnsi"/>
                <w:b w:val="0"/>
                <w:sz w:val="18"/>
                <w:szCs w:val="18"/>
              </w:rPr>
            </w:pPr>
            <w:r w:rsidRPr="007864F7">
              <w:rPr>
                <w:rFonts w:asciiTheme="minorHAnsi" w:hAnsiTheme="minorHAnsi"/>
                <w:b w:val="0"/>
                <w:sz w:val="18"/>
                <w:szCs w:val="18"/>
              </w:rPr>
              <w:t>ATR/QUAD n/N (%)</w:t>
            </w:r>
          </w:p>
        </w:tc>
      </w:tr>
      <w:tr w:rsidR="00914480" w:rsidRPr="00914480" w:rsidTr="00E84AB7">
        <w:tc>
          <w:tcPr>
            <w:tcW w:w="7513" w:type="dxa"/>
            <w:gridSpan w:val="3"/>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Baseline of open-label period (Study Week 60)</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Failure</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0/46 (0%)</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13/14 ( 92.9%)</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0.0% to 7.7%</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66.1% to 99.8%</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Missing/ARV Switch = Failure</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0/46 (0%)</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13/14 ( 92.9%)</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0.0% to 7.7%</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66.1% to 99.8%</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Excluded</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0/46 (0%)</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13/14 ( 92.9%)</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0.0% to 7.7%</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66.1% to 99.8%</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7513" w:type="dxa"/>
            <w:gridSpan w:val="3"/>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Open-label Week 24 (Study Week 84)</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Failure</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43/46 ( 93.5%)</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12/14 ( 85.7%)</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82.1% to 98.6%</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57.2% to 98.2%</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Missing/ARV Switch = Failure</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43/46 ( 93.5%)</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11/14 ( 78.6%)</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82.1% to 98.6%</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49.2% to 95.3%</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Excluded</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43/45 ( 95.6%)</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12/13 ( 92.3%)</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84.9% to 99.5%</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64.0% to 99.8%</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7513" w:type="dxa"/>
            <w:gridSpan w:val="3"/>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Open label Week 36 (Study Week 96)</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Failure</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 xml:space="preserve"> NA</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12/14 ( 85.7%)</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57.2% to 98.2%</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Missing/ARV Switch = Failure</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12/14 ( 85.7%)</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57.2% to 98.2%</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Excluded</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lastRenderedPageBreak/>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12/12 (100.0%)</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73.5% to 100.0%</w:t>
            </w:r>
          </w:p>
        </w:tc>
      </w:tr>
      <w:tr w:rsidR="00914480" w:rsidRPr="00914480" w:rsidTr="00E84AB7">
        <w:tc>
          <w:tcPr>
            <w:tcW w:w="7513" w:type="dxa"/>
            <w:gridSpan w:val="3"/>
          </w:tcPr>
          <w:p w:rsidR="00914480" w:rsidRPr="00914480" w:rsidRDefault="00914480" w:rsidP="007864F7">
            <w:pPr>
              <w:keepNext/>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Open label Week 40</w:t>
            </w:r>
          </w:p>
        </w:tc>
      </w:tr>
      <w:tr w:rsidR="00914480" w:rsidRPr="00914480" w:rsidTr="00E84AB7">
        <w:tc>
          <w:tcPr>
            <w:tcW w:w="2694" w:type="dxa"/>
          </w:tcPr>
          <w:p w:rsidR="00914480" w:rsidRPr="00914480" w:rsidRDefault="00914480" w:rsidP="007864F7">
            <w:pPr>
              <w:keepNext/>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Failure</w:t>
            </w:r>
          </w:p>
        </w:tc>
        <w:tc>
          <w:tcPr>
            <w:tcW w:w="2126" w:type="dxa"/>
          </w:tcPr>
          <w:p w:rsidR="00914480" w:rsidRPr="00914480" w:rsidRDefault="00914480" w:rsidP="007864F7">
            <w:pPr>
              <w:keepNext/>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7864F7">
            <w:pPr>
              <w:keepNext/>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7864F7">
            <w:pPr>
              <w:keepNext/>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7864F7">
            <w:pPr>
              <w:keepNext/>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42/46 ( 91.3%)</w:t>
            </w:r>
          </w:p>
        </w:tc>
        <w:tc>
          <w:tcPr>
            <w:tcW w:w="2693" w:type="dxa"/>
          </w:tcPr>
          <w:p w:rsidR="00914480" w:rsidRPr="00914480" w:rsidRDefault="00914480" w:rsidP="007864F7">
            <w:pPr>
              <w:keepNext/>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79.2% to 97.6%</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Missing/ARV Switch = Failure</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40/46 ( 87.0%)</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73.7% to 95.1%</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Missing = Excluded</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HIV-1 RNA &lt; 50 copies/mL</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42/44 ( 95.5%)</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r>
      <w:tr w:rsidR="00914480" w:rsidRPr="00914480" w:rsidTr="00E84AB7">
        <w:tc>
          <w:tcPr>
            <w:tcW w:w="2694"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95% CI</w:t>
            </w:r>
          </w:p>
        </w:tc>
        <w:tc>
          <w:tcPr>
            <w:tcW w:w="2126"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84.5% to 99.4%</w:t>
            </w:r>
          </w:p>
        </w:tc>
        <w:tc>
          <w:tcPr>
            <w:tcW w:w="2693" w:type="dxa"/>
          </w:tcPr>
          <w:p w:rsidR="00914480" w:rsidRPr="00914480" w:rsidRDefault="00914480" w:rsidP="00914480">
            <w:pPr>
              <w:autoSpaceDE w:val="0"/>
              <w:autoSpaceDN w:val="0"/>
              <w:adjustRightInd w:val="0"/>
              <w:spacing w:before="0" w:after="0" w:line="240" w:lineRule="auto"/>
              <w:rPr>
                <w:rFonts w:asciiTheme="minorHAnsi" w:hAnsiTheme="minorHAnsi"/>
                <w:sz w:val="18"/>
                <w:szCs w:val="18"/>
              </w:rPr>
            </w:pPr>
            <w:r w:rsidRPr="00914480">
              <w:rPr>
                <w:rFonts w:asciiTheme="minorHAnsi" w:hAnsiTheme="minorHAnsi"/>
                <w:sz w:val="18"/>
                <w:szCs w:val="18"/>
              </w:rPr>
              <w:t>NA</w:t>
            </w:r>
          </w:p>
        </w:tc>
      </w:tr>
    </w:tbl>
    <w:p w:rsidR="00914480" w:rsidRPr="005046B9" w:rsidRDefault="00914480" w:rsidP="00914480">
      <w:pPr>
        <w:autoSpaceDE w:val="0"/>
        <w:autoSpaceDN w:val="0"/>
        <w:adjustRightInd w:val="0"/>
        <w:spacing w:before="0"/>
        <w:rPr>
          <w:i/>
          <w:sz w:val="18"/>
          <w:szCs w:val="18"/>
        </w:rPr>
      </w:pPr>
      <w:r w:rsidRPr="005046B9">
        <w:rPr>
          <w:i/>
          <w:sz w:val="18"/>
          <w:szCs w:val="18"/>
        </w:rPr>
        <w:t>NA= not available</w:t>
      </w:r>
      <w:r w:rsidR="00C35E52">
        <w:rPr>
          <w:i/>
          <w:sz w:val="18"/>
          <w:szCs w:val="18"/>
        </w:rPr>
        <w:t xml:space="preserve">.  </w:t>
      </w:r>
      <w:r w:rsidR="00C35E52" w:rsidRPr="00C35E52">
        <w:rPr>
          <w:sz w:val="18"/>
          <w:szCs w:val="18"/>
        </w:rPr>
        <w:t>Note: ‘QUAD’ is the name forme</w:t>
      </w:r>
      <w:r w:rsidR="00C35E52">
        <w:rPr>
          <w:sz w:val="18"/>
          <w:szCs w:val="18"/>
        </w:rPr>
        <w:t>r</w:t>
      </w:r>
      <w:r w:rsidR="00C35E52" w:rsidRPr="00C35E52">
        <w:rPr>
          <w:sz w:val="18"/>
          <w:szCs w:val="18"/>
        </w:rPr>
        <w:t>ly used for Stribild</w:t>
      </w:r>
    </w:p>
    <w:p w:rsidR="004D682E" w:rsidRPr="004D682E" w:rsidRDefault="004D682E" w:rsidP="00914480">
      <w:pPr>
        <w:pStyle w:val="Heading4"/>
      </w:pPr>
      <w:r w:rsidRPr="004D682E">
        <w:t>Clinical safety</w:t>
      </w:r>
    </w:p>
    <w:p w:rsidR="004D682E" w:rsidRDefault="007864F7" w:rsidP="004D682E">
      <w:r>
        <w:t>The r</w:t>
      </w:r>
      <w:r w:rsidR="004D682E" w:rsidRPr="004D682E">
        <w:t xml:space="preserve">esults of pooled safety data from the </w:t>
      </w:r>
      <w:r w:rsidR="005C1062">
        <w:t xml:space="preserve">3 </w:t>
      </w:r>
      <w:r>
        <w:t>P</w:t>
      </w:r>
      <w:r w:rsidR="004D682E" w:rsidRPr="004D682E">
        <w:t xml:space="preserve">hase </w:t>
      </w:r>
      <w:r>
        <w:t>II</w:t>
      </w:r>
      <w:r w:rsidR="004D682E" w:rsidRPr="004D682E">
        <w:t xml:space="preserve"> and </w:t>
      </w:r>
      <w:r>
        <w:t>III</w:t>
      </w:r>
      <w:r w:rsidR="004D682E" w:rsidRPr="004D682E">
        <w:t xml:space="preserve"> studies are provided below and indicate </w:t>
      </w:r>
      <w:r>
        <w:t xml:space="preserve">a </w:t>
      </w:r>
      <w:r w:rsidR="004D682E" w:rsidRPr="004D682E">
        <w:t xml:space="preserve">similar profile of overall frequency of </w:t>
      </w:r>
      <w:r w:rsidR="00B75105">
        <w:t>AE</w:t>
      </w:r>
      <w:r w:rsidR="004D682E" w:rsidRPr="004D682E">
        <w:t>s in the 3 groups</w:t>
      </w:r>
      <w:r>
        <w:t>,</w:t>
      </w:r>
      <w:r w:rsidR="004D682E" w:rsidRPr="004D682E">
        <w:t xml:space="preserve"> including mortality</w:t>
      </w:r>
      <w:r w:rsidR="009C4045">
        <w:t xml:space="preserve"> (Table 10)</w:t>
      </w:r>
      <w:r w:rsidR="004D682E" w:rsidRPr="004D682E">
        <w:t>:</w:t>
      </w:r>
    </w:p>
    <w:p w:rsidR="007864F7" w:rsidRPr="004D682E" w:rsidRDefault="007864F7" w:rsidP="004B2530">
      <w:pPr>
        <w:pStyle w:val="TableTitle"/>
      </w:pPr>
      <w:r>
        <w:t xml:space="preserve">Table </w:t>
      </w:r>
      <w:r w:rsidR="00A51BB4">
        <w:t>10</w:t>
      </w:r>
      <w:r>
        <w:t>. GS-US-236-0102, 0103, and 0104: Overall summary of adverse events (Safety  Analysis set)</w:t>
      </w:r>
    </w:p>
    <w:p w:rsidR="004D682E" w:rsidRPr="004D682E" w:rsidRDefault="004D682E" w:rsidP="007864F7">
      <w:pPr>
        <w:keepNext/>
      </w:pPr>
      <w:r w:rsidRPr="004D682E">
        <w:rPr>
          <w:noProof/>
          <w:lang w:eastAsia="en-AU"/>
        </w:rPr>
        <w:drawing>
          <wp:inline distT="0" distB="0" distL="0" distR="0">
            <wp:extent cx="5283590" cy="3527612"/>
            <wp:effectExtent l="19050" t="0" r="0" b="0"/>
            <wp:docPr id="56" name="Picture 56" descr="Table 10. GS-US-236-0102, 0103, and 0104: Overall summary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5286876" cy="3529806"/>
                    </a:xfrm>
                    <a:prstGeom prst="rect">
                      <a:avLst/>
                    </a:prstGeom>
                    <a:noFill/>
                    <a:ln w="9525">
                      <a:noFill/>
                      <a:miter lim="800000"/>
                      <a:headEnd/>
                      <a:tailEnd/>
                    </a:ln>
                  </pic:spPr>
                </pic:pic>
              </a:graphicData>
            </a:graphic>
          </wp:inline>
        </w:drawing>
      </w:r>
    </w:p>
    <w:p w:rsidR="004D682E" w:rsidRPr="004D682E" w:rsidRDefault="004D682E" w:rsidP="004D682E">
      <w:r w:rsidRPr="004D682E">
        <w:t xml:space="preserve">A system organ class </w:t>
      </w:r>
      <w:r w:rsidR="007864F7">
        <w:t xml:space="preserve">based </w:t>
      </w:r>
      <w:r w:rsidRPr="004D682E">
        <w:t xml:space="preserve">list of common treatment emergent AEs reported in the </w:t>
      </w:r>
      <w:r w:rsidR="005C1062">
        <w:t xml:space="preserve">3 </w:t>
      </w:r>
      <w:r w:rsidRPr="004D682E">
        <w:t>trials is reproduced below</w:t>
      </w:r>
      <w:r w:rsidR="007864F7">
        <w:t xml:space="preserve"> (Table </w:t>
      </w:r>
      <w:r w:rsidR="00A51BB4">
        <w:t>11</w:t>
      </w:r>
      <w:r w:rsidR="007864F7">
        <w:t>)</w:t>
      </w:r>
      <w:r w:rsidRPr="004D682E">
        <w:t xml:space="preserve"> and again indicates </w:t>
      </w:r>
      <w:r w:rsidR="007864F7">
        <w:t xml:space="preserve">a </w:t>
      </w:r>
      <w:r w:rsidRPr="004D682E">
        <w:t xml:space="preserve">similar profile among the </w:t>
      </w:r>
      <w:r w:rsidR="005C1062">
        <w:t xml:space="preserve">3 </w:t>
      </w:r>
      <w:r w:rsidRPr="004D682E">
        <w:t>comparators:</w:t>
      </w:r>
    </w:p>
    <w:p w:rsidR="004D682E" w:rsidRPr="004D682E" w:rsidRDefault="00A51BB4" w:rsidP="004B2530">
      <w:pPr>
        <w:pStyle w:val="TableTitle"/>
      </w:pPr>
      <w:r>
        <w:lastRenderedPageBreak/>
        <w:t>Table 11</w:t>
      </w:r>
      <w:r w:rsidR="007864F7">
        <w:t xml:space="preserve">. GS-US-236-0102, 0103, </w:t>
      </w:r>
      <w:r w:rsidR="00E55600">
        <w:t>and 0104: Treatment-emergent ad</w:t>
      </w:r>
      <w:r w:rsidR="007864F7">
        <w:t>verse events reported for at least 5% of subjects in any treatment group (Safety Analysis set)</w:t>
      </w:r>
    </w:p>
    <w:p w:rsidR="004D682E" w:rsidRPr="004D682E" w:rsidRDefault="00B95302" w:rsidP="007864F7">
      <w:pPr>
        <w:keepNext/>
      </w:pPr>
      <w:r>
        <w:rPr>
          <w:noProof/>
          <w:lang w:eastAsia="en-AU"/>
        </w:rPr>
        <w:drawing>
          <wp:inline distT="0" distB="0" distL="0" distR="0">
            <wp:extent cx="5288345" cy="5757795"/>
            <wp:effectExtent l="19050" t="0" r="7555" b="0"/>
            <wp:docPr id="58" name="Picture 58" descr="Table 11. GS-US-236-0102, 0103, and 0104: Treatment-emergent adverse events reported for at least 5% of subjects in an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cstate="print"/>
                    <a:srcRect/>
                    <a:stretch>
                      <a:fillRect/>
                    </a:stretch>
                  </pic:blipFill>
                  <pic:spPr bwMode="auto">
                    <a:xfrm>
                      <a:off x="0" y="0"/>
                      <a:ext cx="5288514" cy="5757979"/>
                    </a:xfrm>
                    <a:prstGeom prst="rect">
                      <a:avLst/>
                    </a:prstGeom>
                    <a:noFill/>
                    <a:ln w="9525">
                      <a:noFill/>
                      <a:miter lim="800000"/>
                      <a:headEnd/>
                      <a:tailEnd/>
                    </a:ln>
                  </pic:spPr>
                </pic:pic>
              </a:graphicData>
            </a:graphic>
          </wp:inline>
        </w:drawing>
      </w:r>
    </w:p>
    <w:p w:rsidR="004D682E" w:rsidRPr="00E55600" w:rsidRDefault="004D682E" w:rsidP="00E55600">
      <w:r w:rsidRPr="00E55600">
        <w:t xml:space="preserve">The </w:t>
      </w:r>
      <w:r w:rsidR="00E55600" w:rsidRPr="00E55600">
        <w:t xml:space="preserve">AEs according to </w:t>
      </w:r>
      <w:r w:rsidRPr="00E55600">
        <w:t>lab</w:t>
      </w:r>
      <w:r w:rsidR="007864F7" w:rsidRPr="00E55600">
        <w:t>oratory</w:t>
      </w:r>
      <w:r w:rsidRPr="00E55600">
        <w:t xml:space="preserve"> </w:t>
      </w:r>
      <w:r w:rsidR="00E55600" w:rsidRPr="00E55600">
        <w:t xml:space="preserve">abnormalities </w:t>
      </w:r>
      <w:r w:rsidRPr="00E55600">
        <w:t xml:space="preserve">were also reported in similar frequencies across the </w:t>
      </w:r>
      <w:r w:rsidR="005C1062">
        <w:t xml:space="preserve">3 </w:t>
      </w:r>
      <w:r w:rsidRPr="00E55600">
        <w:t>groups</w:t>
      </w:r>
      <w:r w:rsidR="00A51BB4">
        <w:t xml:space="preserve"> (Table 12</w:t>
      </w:r>
      <w:r w:rsidR="00E55600">
        <w:t>)</w:t>
      </w:r>
      <w:r w:rsidRPr="00E55600">
        <w:t>:</w:t>
      </w:r>
    </w:p>
    <w:p w:rsidR="00E55600" w:rsidRPr="004D682E" w:rsidRDefault="00E55600" w:rsidP="004B2530">
      <w:pPr>
        <w:pStyle w:val="TableTitle"/>
      </w:pPr>
      <w:r>
        <w:lastRenderedPageBreak/>
        <w:t xml:space="preserve">Table </w:t>
      </w:r>
      <w:r w:rsidR="00A51BB4">
        <w:t>12</w:t>
      </w:r>
      <w:r>
        <w:t>. GS-US-236-0102, 0103, and 0104: Treatment-emergent Grade 3 and 4 laboratory abnormalities reported for at least 1% of subjects in any treatment group (Safety Analysis set)</w:t>
      </w:r>
    </w:p>
    <w:p w:rsidR="004D682E" w:rsidRPr="004D682E" w:rsidRDefault="004D682E" w:rsidP="001839C6">
      <w:pPr>
        <w:keepNext/>
      </w:pPr>
      <w:r w:rsidRPr="004D682E">
        <w:rPr>
          <w:noProof/>
          <w:lang w:eastAsia="en-AU"/>
        </w:rPr>
        <w:drawing>
          <wp:inline distT="0" distB="0" distL="0" distR="0">
            <wp:extent cx="5427397" cy="6299435"/>
            <wp:effectExtent l="19050" t="0" r="1853" b="0"/>
            <wp:docPr id="60" name="Picture 60" descr="Table 12. GS-US-236-0102, 0103, and 0104: Treatment-emergent Grade 3 and 4 laboratory abnormalities reported for at least 1% of subjects in any treatment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srcRect/>
                    <a:stretch>
                      <a:fillRect/>
                    </a:stretch>
                  </pic:blipFill>
                  <pic:spPr bwMode="auto">
                    <a:xfrm>
                      <a:off x="0" y="0"/>
                      <a:ext cx="5428640" cy="6300878"/>
                    </a:xfrm>
                    <a:prstGeom prst="rect">
                      <a:avLst/>
                    </a:prstGeom>
                    <a:noFill/>
                    <a:ln w="9525">
                      <a:noFill/>
                      <a:miter lim="800000"/>
                      <a:headEnd/>
                      <a:tailEnd/>
                    </a:ln>
                  </pic:spPr>
                </pic:pic>
              </a:graphicData>
            </a:graphic>
          </wp:inline>
        </w:drawing>
      </w:r>
    </w:p>
    <w:p w:rsidR="004D682E" w:rsidRPr="004D682E" w:rsidRDefault="004D682E" w:rsidP="001839C6">
      <w:r w:rsidRPr="004D682E">
        <w:t xml:space="preserve">Clearly, at this stage this is a small dataset and </w:t>
      </w:r>
      <w:r w:rsidR="001839C6">
        <w:t xml:space="preserve">safety </w:t>
      </w:r>
      <w:r w:rsidRPr="004D682E">
        <w:t>will critically depend on surveillance during the post-market phase</w:t>
      </w:r>
      <w:r w:rsidR="00111CF7">
        <w:t>,</w:t>
      </w:r>
      <w:r w:rsidRPr="004D682E">
        <w:t xml:space="preserve"> including further studies.</w:t>
      </w:r>
      <w:r w:rsidR="001839C6">
        <w:t xml:space="preserve"> The </w:t>
      </w:r>
      <w:r w:rsidR="0097090D">
        <w:t xml:space="preserve">Delegate </w:t>
      </w:r>
      <w:r w:rsidR="00111CF7">
        <w:t xml:space="preserve">referred </w:t>
      </w:r>
      <w:r w:rsidR="0097090D">
        <w:t xml:space="preserve">to the </w:t>
      </w:r>
      <w:r w:rsidR="001839C6">
        <w:t xml:space="preserve">RMP </w:t>
      </w:r>
      <w:r w:rsidR="0097090D">
        <w:t xml:space="preserve">evaluation report </w:t>
      </w:r>
      <w:r w:rsidRPr="004D682E">
        <w:t>for this product</w:t>
      </w:r>
      <w:r w:rsidR="00111CF7">
        <w:t xml:space="preserve"> (see above under </w:t>
      </w:r>
      <w:r w:rsidR="00111CF7" w:rsidRPr="00111CF7">
        <w:rPr>
          <w:i/>
        </w:rPr>
        <w:t xml:space="preserve">Pharmacovigilance </w:t>
      </w:r>
      <w:r w:rsidR="00111CF7">
        <w:rPr>
          <w:i/>
        </w:rPr>
        <w:t>F</w:t>
      </w:r>
      <w:r w:rsidR="00111CF7" w:rsidRPr="00111CF7">
        <w:rPr>
          <w:i/>
        </w:rPr>
        <w:t>indings</w:t>
      </w:r>
      <w:r w:rsidR="00111CF7">
        <w:t>)</w:t>
      </w:r>
      <w:r w:rsidRPr="004D682E">
        <w:t>.</w:t>
      </w:r>
    </w:p>
    <w:p w:rsidR="004D682E" w:rsidRPr="004D682E" w:rsidRDefault="004D682E" w:rsidP="0097090D">
      <w:pPr>
        <w:pStyle w:val="Heading4"/>
      </w:pPr>
      <w:r w:rsidRPr="004D682E">
        <w:t>P</w:t>
      </w:r>
      <w:r w:rsidR="0097090D">
        <w:t xml:space="preserve">roduct Information </w:t>
      </w:r>
    </w:p>
    <w:p w:rsidR="004D682E" w:rsidRDefault="0097090D" w:rsidP="004D682E">
      <w:r>
        <w:t>The Delegate noted that v</w:t>
      </w:r>
      <w:r w:rsidR="004D682E" w:rsidRPr="004D682E">
        <w:t xml:space="preserve">arious </w:t>
      </w:r>
      <w:r w:rsidR="00111CF7">
        <w:t xml:space="preserve">TGA </w:t>
      </w:r>
      <w:r w:rsidR="004D682E" w:rsidRPr="004D682E">
        <w:t xml:space="preserve">evaluation areas recommended changes </w:t>
      </w:r>
      <w:r>
        <w:t xml:space="preserve">be made </w:t>
      </w:r>
      <w:r w:rsidR="004D682E" w:rsidRPr="004D682E">
        <w:t xml:space="preserve">to the initially proposed PI. </w:t>
      </w:r>
      <w:r>
        <w:t xml:space="preserve">Details of these and other revisions to the PI are beyond the scope of this AusPAR. </w:t>
      </w:r>
    </w:p>
    <w:p w:rsidR="00E57859" w:rsidRDefault="00E57859" w:rsidP="00E57859">
      <w:pPr>
        <w:pStyle w:val="Heading4"/>
        <w:keepNext/>
      </w:pPr>
      <w:r>
        <w:lastRenderedPageBreak/>
        <w:t>Clinical evaluator’s recommendation</w:t>
      </w:r>
    </w:p>
    <w:p w:rsidR="00E57859" w:rsidRDefault="00E57859" w:rsidP="00E57859">
      <w:pPr>
        <w:keepNext/>
      </w:pPr>
      <w:r>
        <w:t>The clinical evaluator raised no objections to the registration of Stribild.</w:t>
      </w:r>
    </w:p>
    <w:p w:rsidR="008E7846" w:rsidRDefault="00386150" w:rsidP="008E7846">
      <w:pPr>
        <w:pStyle w:val="Heading3"/>
        <w:rPr>
          <w:lang w:eastAsia="en-AU"/>
        </w:rPr>
      </w:pPr>
      <w:bookmarkStart w:id="190" w:name="_Toc314842514"/>
      <w:bookmarkStart w:id="191" w:name="_Toc363456686"/>
      <w:r>
        <w:rPr>
          <w:lang w:eastAsia="en-AU"/>
        </w:rPr>
        <w:t>Risk m</w:t>
      </w:r>
      <w:r w:rsidR="008E7846">
        <w:rPr>
          <w:lang w:eastAsia="en-AU"/>
        </w:rPr>
        <w:t xml:space="preserve">anagement </w:t>
      </w:r>
      <w:r>
        <w:rPr>
          <w:lang w:eastAsia="en-AU"/>
        </w:rPr>
        <w:t>p</w:t>
      </w:r>
      <w:r w:rsidR="008E7846">
        <w:rPr>
          <w:lang w:eastAsia="en-AU"/>
        </w:rPr>
        <w:t>lan</w:t>
      </w:r>
      <w:bookmarkEnd w:id="190"/>
      <w:bookmarkEnd w:id="191"/>
    </w:p>
    <w:p w:rsidR="007B5E35" w:rsidRDefault="00111CF7" w:rsidP="007B5E35">
      <w:r>
        <w:t>See S</w:t>
      </w:r>
      <w:r w:rsidR="0097090D">
        <w:t xml:space="preserve">ection </w:t>
      </w:r>
      <w:r w:rsidR="00425E6E">
        <w:t xml:space="preserve">V </w:t>
      </w:r>
      <w:r w:rsidR="00425E6E" w:rsidRPr="00425E6E">
        <w:rPr>
          <w:i/>
        </w:rPr>
        <w:t xml:space="preserve">Pharmacovigilance </w:t>
      </w:r>
      <w:r w:rsidR="000532EF">
        <w:rPr>
          <w:i/>
        </w:rPr>
        <w:t>Findings</w:t>
      </w:r>
      <w:r w:rsidR="00425E6E">
        <w:t>, above</w:t>
      </w:r>
      <w:r w:rsidR="00C63CBB">
        <w:t>.</w:t>
      </w:r>
    </w:p>
    <w:p w:rsidR="008E7846" w:rsidRDefault="00AA0ED0" w:rsidP="008E7846">
      <w:pPr>
        <w:pStyle w:val="Heading3"/>
      </w:pPr>
      <w:bookmarkStart w:id="192" w:name="_Toc247691531"/>
      <w:bookmarkStart w:id="193" w:name="_Toc314842515"/>
      <w:bookmarkStart w:id="194" w:name="_Toc363456687"/>
      <w:bookmarkStart w:id="195" w:name="_Toc196046505"/>
      <w:bookmarkStart w:id="196" w:name="_Toc196046949"/>
      <w:r>
        <w:t>Risk-benefit a</w:t>
      </w:r>
      <w:r w:rsidR="008E7846">
        <w:t>nalysis</w:t>
      </w:r>
      <w:bookmarkEnd w:id="192"/>
      <w:bookmarkEnd w:id="193"/>
      <w:bookmarkEnd w:id="194"/>
    </w:p>
    <w:p w:rsidR="008E7846" w:rsidRDefault="008E7846" w:rsidP="008E7846">
      <w:pPr>
        <w:pStyle w:val="Heading4"/>
      </w:pPr>
      <w:r>
        <w:t xml:space="preserve">Delegate </w:t>
      </w:r>
      <w:r w:rsidR="00ED3CAD">
        <w:t>c</w:t>
      </w:r>
      <w:r>
        <w:t>onsiderations</w:t>
      </w:r>
    </w:p>
    <w:p w:rsidR="00EF57A7" w:rsidRPr="00EF57A7" w:rsidRDefault="00EF57A7" w:rsidP="00EF57A7">
      <w:r w:rsidRPr="00EF57A7">
        <w:t xml:space="preserve">A full drug development programme was undertaken for </w:t>
      </w:r>
      <w:r w:rsidR="00640CCF">
        <w:t>Stribild</w:t>
      </w:r>
      <w:r w:rsidRPr="00EF57A7">
        <w:t xml:space="preserve">. The dossier contained data in relation to pharmaceutical chemistry, manufacture, toxicology and the proposed clinical use. The latter included extensive data in relation to </w:t>
      </w:r>
      <w:r w:rsidR="00FA5CAB">
        <w:t xml:space="preserve">PK </w:t>
      </w:r>
      <w:r w:rsidRPr="00EF57A7">
        <w:t xml:space="preserve">and </w:t>
      </w:r>
      <w:r w:rsidR="000556A2">
        <w:t xml:space="preserve">PD </w:t>
      </w:r>
      <w:r w:rsidRPr="00EF57A7">
        <w:t xml:space="preserve">of both new chemical components in this fixed dose combination of </w:t>
      </w:r>
      <w:r w:rsidR="005C1062">
        <w:t xml:space="preserve">4 </w:t>
      </w:r>
      <w:r w:rsidRPr="00EF57A7">
        <w:t>drugs.</w:t>
      </w:r>
    </w:p>
    <w:p w:rsidR="00EF57A7" w:rsidRPr="00EF57A7" w:rsidRDefault="00EF57A7" w:rsidP="00EF57A7">
      <w:r w:rsidRPr="00EF57A7">
        <w:t xml:space="preserve">The </w:t>
      </w:r>
      <w:r w:rsidR="005C1062">
        <w:t xml:space="preserve">2 </w:t>
      </w:r>
      <w:r w:rsidRPr="00EF57A7">
        <w:t xml:space="preserve">Phase </w:t>
      </w:r>
      <w:r w:rsidR="000556A2">
        <w:t>III</w:t>
      </w:r>
      <w:r w:rsidRPr="00EF57A7">
        <w:t xml:space="preserve"> clinical efficacy and safety trials have shown the efficacy and safety profile of </w:t>
      </w:r>
      <w:r w:rsidR="005C5945">
        <w:t xml:space="preserve">Stribild </w:t>
      </w:r>
      <w:r w:rsidRPr="00EF57A7">
        <w:t>to be non-inferior and comparable</w:t>
      </w:r>
      <w:r w:rsidR="003E3A9E">
        <w:t>,</w:t>
      </w:r>
      <w:r w:rsidRPr="00EF57A7">
        <w:t xml:space="preserve"> respectively</w:t>
      </w:r>
      <w:r w:rsidR="003E3A9E">
        <w:t>,</w:t>
      </w:r>
      <w:r w:rsidRPr="00EF57A7">
        <w:t xml:space="preserve"> to the current standard </w:t>
      </w:r>
      <w:r w:rsidR="007553B1">
        <w:t>of treatment in HIV-1 treatment-naïve</w:t>
      </w:r>
      <w:r w:rsidRPr="00EF57A7">
        <w:t xml:space="preserve"> patients. Note that randomised, controlled, double blind efficacy data are 48 </w:t>
      </w:r>
      <w:r w:rsidR="003E3A9E">
        <w:t>w</w:t>
      </w:r>
      <w:r w:rsidRPr="00EF57A7">
        <w:t>eeks only at this stage and more purposeful outcomes such as TLOVR beyond this timepoint are still awaited. Similarly</w:t>
      </w:r>
      <w:r w:rsidR="003E3A9E">
        <w:t>,</w:t>
      </w:r>
      <w:r w:rsidRPr="00EF57A7">
        <w:t xml:space="preserve"> the clinical safety dataset from the </w:t>
      </w:r>
      <w:r w:rsidR="005C1062">
        <w:t xml:space="preserve">3 </w:t>
      </w:r>
      <w:r w:rsidRPr="00EF57A7">
        <w:t xml:space="preserve">Phase </w:t>
      </w:r>
      <w:r w:rsidR="000556A2">
        <w:t xml:space="preserve">II and III </w:t>
      </w:r>
      <w:r w:rsidRPr="00EF57A7">
        <w:t>studies is small</w:t>
      </w:r>
      <w:r w:rsidR="003E3A9E">
        <w:t>,</w:t>
      </w:r>
      <w:r w:rsidRPr="00EF57A7">
        <w:t xml:space="preserve"> consisting of 749 </w:t>
      </w:r>
      <w:r w:rsidR="005C5945">
        <w:t xml:space="preserve">Stribild </w:t>
      </w:r>
      <w:r w:rsidRPr="00EF57A7">
        <w:t>treated patients.</w:t>
      </w:r>
    </w:p>
    <w:p w:rsidR="00EF57A7" w:rsidRPr="00EF57A7" w:rsidRDefault="00EF57A7" w:rsidP="00EF57A7">
      <w:r w:rsidRPr="00EF57A7">
        <w:t xml:space="preserve">However, in leading towards finalisation of this submission, </w:t>
      </w:r>
      <w:r w:rsidR="000556A2">
        <w:t xml:space="preserve">the Delegate </w:t>
      </w:r>
      <w:r w:rsidR="003E3A9E">
        <w:t xml:space="preserve">considered that </w:t>
      </w:r>
      <w:r w:rsidRPr="00EF57A7">
        <w:t xml:space="preserve">the following points do not allow a firm assessment of </w:t>
      </w:r>
      <w:r w:rsidR="00C249AF">
        <w:t xml:space="preserve">the </w:t>
      </w:r>
      <w:r w:rsidRPr="00EF57A7">
        <w:t>overall risk-benefit balance for this product at this stage</w:t>
      </w:r>
      <w:r w:rsidR="00F032BB">
        <w:t>; the</w:t>
      </w:r>
      <w:r w:rsidRPr="00EF57A7">
        <w:t xml:space="preserve"> </w:t>
      </w:r>
      <w:r w:rsidR="00F032BB">
        <w:t xml:space="preserve">advice of the </w:t>
      </w:r>
      <w:r w:rsidRPr="00C249AF">
        <w:t xml:space="preserve">ACPM </w:t>
      </w:r>
      <w:r w:rsidR="00C249AF" w:rsidRPr="00C249AF">
        <w:t>would be requested</w:t>
      </w:r>
      <w:r w:rsidR="00F032BB">
        <w:t xml:space="preserve"> </w:t>
      </w:r>
      <w:r w:rsidR="009160D3">
        <w:t>on the following five issues</w:t>
      </w:r>
      <w:r w:rsidRPr="00C249AF">
        <w:t>:</w:t>
      </w:r>
    </w:p>
    <w:p w:rsidR="00EF57A7" w:rsidRPr="00F032BB" w:rsidRDefault="00EF57A7" w:rsidP="00F032BB">
      <w:pPr>
        <w:pStyle w:val="Numberbullet0"/>
      </w:pPr>
      <w:r w:rsidRPr="00F032BB">
        <w:t xml:space="preserve">This is the first instance of a fixed dose combination containing 4 active ingredients. Elvitegravir displays non-linear </w:t>
      </w:r>
      <w:r w:rsidR="00FA5CAB" w:rsidRPr="00F032BB">
        <w:t xml:space="preserve">PK </w:t>
      </w:r>
      <w:r w:rsidRPr="00F032BB">
        <w:t xml:space="preserve">properties (clearance, half-life) which make it unsuitable for clinical use. It was investigated in conjunction with the </w:t>
      </w:r>
      <w:r w:rsidR="00FA5CAB" w:rsidRPr="00F032BB">
        <w:t xml:space="preserve">PK </w:t>
      </w:r>
      <w:r w:rsidRPr="00F032BB">
        <w:t xml:space="preserve">booster </w:t>
      </w:r>
      <w:r w:rsidR="00CC292E" w:rsidRPr="00F032BB">
        <w:t>RTV</w:t>
      </w:r>
      <w:r w:rsidRPr="00F032BB">
        <w:t xml:space="preserve"> to allow clinical use of a lower dose of EVG. This was a useful approach as the results of the confirmatory clinical trials indicate.</w:t>
      </w:r>
    </w:p>
    <w:p w:rsidR="00EF57A7" w:rsidRPr="00F032BB" w:rsidRDefault="00EF57A7" w:rsidP="00F032BB">
      <w:pPr>
        <w:pStyle w:val="Numberbullet0"/>
        <w:numPr>
          <w:ilvl w:val="0"/>
          <w:numId w:val="0"/>
        </w:numPr>
        <w:ind w:left="425"/>
      </w:pPr>
      <w:r w:rsidRPr="00F032BB">
        <w:t xml:space="preserve">However, the inflexibility inherent in a fixed dose combination containing 4 active agents of which 2 are new chemical entities and have non-linear </w:t>
      </w:r>
      <w:r w:rsidR="00FA5CAB" w:rsidRPr="00F032BB">
        <w:t xml:space="preserve">PK </w:t>
      </w:r>
      <w:r w:rsidRPr="00F032BB">
        <w:t>features could be an issue. A fixed dose dual combination of EVG with RTV or COBI may have been more appropriate.</w:t>
      </w:r>
    </w:p>
    <w:p w:rsidR="00EF57A7" w:rsidRPr="00F032BB" w:rsidRDefault="00EF57A7" w:rsidP="00F032BB">
      <w:pPr>
        <w:pStyle w:val="Numberbullet0"/>
        <w:numPr>
          <w:ilvl w:val="0"/>
          <w:numId w:val="0"/>
        </w:numPr>
        <w:ind w:left="425"/>
      </w:pPr>
      <w:r w:rsidRPr="00F032BB">
        <w:t xml:space="preserve">Currently there is one registered fixed dose combination of a </w:t>
      </w:r>
      <w:r w:rsidR="00F032BB">
        <w:t>p</w:t>
      </w:r>
      <w:r w:rsidRPr="00F032BB">
        <w:t xml:space="preserve">rotease </w:t>
      </w:r>
      <w:r w:rsidR="00F032BB">
        <w:t>i</w:t>
      </w:r>
      <w:r w:rsidRPr="00F032BB">
        <w:t xml:space="preserve">nhibitor with </w:t>
      </w:r>
      <w:r w:rsidR="00CC292E" w:rsidRPr="00F032BB">
        <w:t>RTV</w:t>
      </w:r>
      <w:r w:rsidRPr="00F032BB">
        <w:t xml:space="preserve"> (lopinavir/</w:t>
      </w:r>
      <w:r w:rsidR="00CC292E" w:rsidRPr="00F032BB">
        <w:t>RTV</w:t>
      </w:r>
      <w:r w:rsidRPr="00F032BB">
        <w:t xml:space="preserve"> 200/50 </w:t>
      </w:r>
      <w:r w:rsidR="00F032BB">
        <w:t xml:space="preserve">mg </w:t>
      </w:r>
      <w:r w:rsidRPr="00F032BB">
        <w:t>and 100/25</w:t>
      </w:r>
      <w:r w:rsidR="000E5497" w:rsidRPr="00F032BB">
        <w:t xml:space="preserve"> </w:t>
      </w:r>
      <w:r w:rsidRPr="00F032BB">
        <w:t>mg).</w:t>
      </w:r>
    </w:p>
    <w:p w:rsidR="00EF57A7" w:rsidRPr="00F032BB" w:rsidRDefault="00EF57A7" w:rsidP="00F032BB">
      <w:pPr>
        <w:pStyle w:val="Numberbullet0"/>
      </w:pPr>
      <w:r w:rsidRPr="00F032BB">
        <w:t xml:space="preserve">This is also the first instance in which a fixed dose combination is being considered for registration before registration of its individual components. </w:t>
      </w:r>
      <w:r w:rsidR="00F032BB">
        <w:t>E</w:t>
      </w:r>
      <w:r w:rsidR="00F032BB">
        <w:rPr>
          <w:rFonts w:eastAsiaTheme="minorEastAsia"/>
        </w:rPr>
        <w:t xml:space="preserve">lvitegravir </w:t>
      </w:r>
      <w:r w:rsidRPr="00F032BB">
        <w:t xml:space="preserve">and COBI are currently undergoing evaluation. The knowledge and experience with these constituents is not available to inform the decision making in relation to the proposed fixed dose It would be desirable to know how EVG has been investigated in its clinical testing programme and is being proposed for use as mono agent (in combination with ART), its dosing guidelines, and the use of </w:t>
      </w:r>
      <w:r w:rsidR="00FA5CAB" w:rsidRPr="00F032BB">
        <w:t xml:space="preserve">PK </w:t>
      </w:r>
      <w:r w:rsidRPr="00F032BB">
        <w:t>enhancer. Such information can usefully contribute to assessment of risk-benefit balance for the fixed dose product.</w:t>
      </w:r>
    </w:p>
    <w:p w:rsidR="00EF57A7" w:rsidRPr="00F032BB" w:rsidRDefault="00EF57A7" w:rsidP="00F032BB">
      <w:pPr>
        <w:pStyle w:val="Numberbullet0"/>
      </w:pPr>
      <w:r w:rsidRPr="00F032BB">
        <w:t xml:space="preserve">Lack of absolute bioavailability studies for EVG and COBI is important missing information given that EVG biotransformation, systemic exposure and interactions are likely to be sensitive to changes in portal circulation and hepatic blood flow. The knowledge of the extent of systemic bioavailability of both EVG and COBI (as single agents) is highly desirable. The elucidation of metabolic pathway, faecal excretion </w:t>
      </w:r>
      <w:r w:rsidRPr="00F032BB">
        <w:lastRenderedPageBreak/>
        <w:t>data, extent of biliary excretion is essentially incomplete without the knowledge of the fraction of the orally absorbed drug reaches the systemic circulation.</w:t>
      </w:r>
    </w:p>
    <w:p w:rsidR="00EF57A7" w:rsidRPr="00F032BB" w:rsidRDefault="00EF57A7" w:rsidP="00F032BB">
      <w:pPr>
        <w:pStyle w:val="Numberbullet0"/>
        <w:numPr>
          <w:ilvl w:val="0"/>
          <w:numId w:val="0"/>
        </w:numPr>
        <w:ind w:left="425"/>
      </w:pPr>
      <w:r w:rsidRPr="00F032BB">
        <w:t xml:space="preserve">It is not known whether this information in available in the dossiers for EVG and COBI which are currently being evaluated. The sponsor is requested to provide comment </w:t>
      </w:r>
      <w:r w:rsidR="00F032BB">
        <w:t xml:space="preserve">on this </w:t>
      </w:r>
      <w:r w:rsidRPr="00F032BB">
        <w:t>in its pre-ACPM response.</w:t>
      </w:r>
    </w:p>
    <w:p w:rsidR="00EF57A7" w:rsidRPr="00EF57A7" w:rsidRDefault="00EF57A7" w:rsidP="00F032BB">
      <w:pPr>
        <w:pStyle w:val="Numberbullet0"/>
      </w:pPr>
      <w:r w:rsidRPr="00EF57A7">
        <w:t xml:space="preserve">The fixed dose product is being proposed for initiating treatment in </w:t>
      </w:r>
      <w:r w:rsidRPr="00F032BB">
        <w:rPr>
          <w:i/>
        </w:rPr>
        <w:t>de novo</w:t>
      </w:r>
      <w:r w:rsidRPr="00EF57A7">
        <w:t xml:space="preserve"> patients. However, the EVG mono agent currently under review is being proposed for the treatment experienced population. Is that approach acceptable?</w:t>
      </w:r>
    </w:p>
    <w:p w:rsidR="00EF57A7" w:rsidRDefault="00EF57A7" w:rsidP="00F032BB">
      <w:pPr>
        <w:pStyle w:val="Numberbullet0"/>
      </w:pPr>
      <w:r w:rsidRPr="00EF57A7">
        <w:t>Could there be an issue for allowing use of a new INSTI</w:t>
      </w:r>
      <w:r w:rsidR="00700880">
        <w:t>,</w:t>
      </w:r>
      <w:r w:rsidRPr="00EF57A7">
        <w:t xml:space="preserve"> </w:t>
      </w:r>
      <w:r w:rsidR="00700880">
        <w:t>that is,</w:t>
      </w:r>
      <w:r w:rsidRPr="00EF57A7">
        <w:t xml:space="preserve"> EVG with COBI in a fixed dose combination and its consequences for the use of the currently registered INSTI RTG which is not a CYP3A substrate and is available as a mono agent</w:t>
      </w:r>
      <w:r w:rsidR="00F032BB">
        <w:t>?</w:t>
      </w:r>
      <w:r w:rsidRPr="00EF57A7">
        <w:t xml:space="preserve"> Is an efficacy comparison between EVG/COBI and RTG desirable? The sponsor is requested to also comment whether this information is available in the dossier for EVG which is currently under evaluation.</w:t>
      </w:r>
    </w:p>
    <w:p w:rsidR="00D859BC" w:rsidRPr="00D859BC" w:rsidRDefault="00D859BC" w:rsidP="00D859BC">
      <w:pPr>
        <w:pStyle w:val="Heading5"/>
      </w:pPr>
      <w:r w:rsidRPr="00D859BC">
        <w:t xml:space="preserve">Advice requested from ACPM </w:t>
      </w:r>
    </w:p>
    <w:p w:rsidR="00D859BC" w:rsidRPr="00D859BC" w:rsidRDefault="00D859BC" w:rsidP="00D859BC">
      <w:r w:rsidRPr="00D859BC">
        <w:t xml:space="preserve">The Delegate sought general advice on this application from the ACPM, and requested </w:t>
      </w:r>
      <w:r>
        <w:t xml:space="preserve">in particular that the </w:t>
      </w:r>
      <w:r w:rsidRPr="00D859BC">
        <w:t xml:space="preserve">committee address </w:t>
      </w:r>
      <w:r>
        <w:t>issues 1 to 5, above.</w:t>
      </w:r>
    </w:p>
    <w:p w:rsidR="008E7846" w:rsidRDefault="008E7846" w:rsidP="008E7846">
      <w:pPr>
        <w:pStyle w:val="Heading4"/>
      </w:pPr>
      <w:r>
        <w:t>Response from Sponsor</w:t>
      </w:r>
    </w:p>
    <w:p w:rsidR="00813361" w:rsidRDefault="00813361" w:rsidP="00813361">
      <w:r>
        <w:t xml:space="preserve">Gilead has co-formulated </w:t>
      </w:r>
      <w:r w:rsidR="00BB2DAA">
        <w:t xml:space="preserve">EVG </w:t>
      </w:r>
      <w:r>
        <w:t xml:space="preserve">(a novel HIV INSTI) and </w:t>
      </w:r>
      <w:r w:rsidR="00A2001C">
        <w:t>COBI</w:t>
      </w:r>
      <w:r>
        <w:t xml:space="preserve"> (a pharmacoenhancer devoid of anti-HIV activity designed to boost EVG exposure to allow for once-daily dosing) with the standard-of-care NRTI backbone </w:t>
      </w:r>
      <w:r w:rsidR="00BB7072">
        <w:t>TDF</w:t>
      </w:r>
      <w:r>
        <w:t>/</w:t>
      </w:r>
      <w:r w:rsidR="00A2001C">
        <w:t>FTC</w:t>
      </w:r>
      <w:r>
        <w:t xml:space="preserve"> into a single tablet regimen (STR). In </w:t>
      </w:r>
      <w:r w:rsidR="005C1062">
        <w:t xml:space="preserve">2 </w:t>
      </w:r>
      <w:r>
        <w:t xml:space="preserve">large and well-controlled clinical studies in treatment-naïve HIV-1 infected adults, </w:t>
      </w:r>
      <w:r w:rsidR="005C5945">
        <w:t xml:space="preserve">Stribild </w:t>
      </w:r>
      <w:r>
        <w:t xml:space="preserve">has demonstrated potent, durable efficacy (up to 90% response rates) with a favourable safety profile. In contrast to RTG that requires administration twice-daily in combination with other </w:t>
      </w:r>
      <w:r w:rsidR="009A139B">
        <w:t xml:space="preserve">ARV </w:t>
      </w:r>
      <w:r>
        <w:t xml:space="preserve">agents, </w:t>
      </w:r>
      <w:r w:rsidR="005C5945">
        <w:t xml:space="preserve">Stribild </w:t>
      </w:r>
      <w:r>
        <w:t>provides a complete regimen within a single tablet that can be administered once daily in the treatment of adults with HIV-1 infection.</w:t>
      </w:r>
    </w:p>
    <w:p w:rsidR="00813361" w:rsidRPr="00D859BC" w:rsidRDefault="00813361" w:rsidP="00D859BC">
      <w:r w:rsidRPr="00D859BC">
        <w:t xml:space="preserve">Clinical studies have clearly demonstrated high levels of adherence and treatment satisfaction with simple, once-daily </w:t>
      </w:r>
      <w:r w:rsidR="00D859BC" w:rsidRPr="00D859BC">
        <w:t>highly active antiretroviral therapy ( HAART)</w:t>
      </w:r>
      <w:r w:rsidR="00D859BC">
        <w:t xml:space="preserve"> </w:t>
      </w:r>
      <w:r w:rsidRPr="00D859BC">
        <w:t>regimens, resulting in persistent suppression of HIV viral load</w:t>
      </w:r>
      <w:r w:rsidR="00D859BC">
        <w:t>.</w:t>
      </w:r>
      <w:r w:rsidR="00D859BC">
        <w:rPr>
          <w:rStyle w:val="FootnoteReference"/>
        </w:rPr>
        <w:footnoteReference w:id="16"/>
      </w:r>
      <w:r w:rsidR="00D859BC" w:rsidRPr="00D859BC">
        <w:rPr>
          <w:vertAlign w:val="superscript"/>
        </w:rPr>
        <w:t>,</w:t>
      </w:r>
      <w:r w:rsidR="00D859BC">
        <w:t xml:space="preserve"> </w:t>
      </w:r>
      <w:r w:rsidR="00D859BC">
        <w:rPr>
          <w:rStyle w:val="FootnoteReference"/>
        </w:rPr>
        <w:footnoteReference w:id="17"/>
      </w:r>
      <w:r w:rsidR="00D859BC" w:rsidRPr="00D859BC">
        <w:rPr>
          <w:vertAlign w:val="superscript"/>
        </w:rPr>
        <w:t xml:space="preserve">, </w:t>
      </w:r>
      <w:r w:rsidR="00D859BC">
        <w:rPr>
          <w:rStyle w:val="FootnoteReference"/>
        </w:rPr>
        <w:footnoteReference w:id="18"/>
      </w:r>
      <w:r w:rsidRPr="00D859BC">
        <w:t xml:space="preserve"> The </w:t>
      </w:r>
      <w:r w:rsidR="005C5945" w:rsidRPr="00D859BC">
        <w:t xml:space="preserve">Stribild </w:t>
      </w:r>
      <w:r w:rsidRPr="00D859BC">
        <w:t>submission identified the inherent benefits of an STR compared to multiple tablet dosing and these benefits have continued to be further clarified in recent studies. In a US database review of more than 7073 HIV patients with commercial insurance, patients taking an STR were 59% more likely to achieve 95% adherence compared with those taking 3 or more pills per day. In addition, patients who received an STR were 24% less likely to have a hospitalization compared with those who received 3 or more pills per day</w:t>
      </w:r>
      <w:r w:rsidR="00D859BC">
        <w:t>.</w:t>
      </w:r>
      <w:r w:rsidR="00D859BC">
        <w:rPr>
          <w:rStyle w:val="FootnoteReference"/>
        </w:rPr>
        <w:footnoteReference w:id="19"/>
      </w:r>
    </w:p>
    <w:p w:rsidR="00813361" w:rsidRDefault="00813361" w:rsidP="00813361">
      <w:r>
        <w:t>To date, there are 2 NNRTI/NRTI based-STRs (A</w:t>
      </w:r>
      <w:r w:rsidR="00D859BC">
        <w:t>tripla</w:t>
      </w:r>
      <w:r>
        <w:t xml:space="preserve"> [</w:t>
      </w:r>
      <w:r w:rsidR="00D859BC">
        <w:t>EFV</w:t>
      </w:r>
      <w:r>
        <w:t>/FTC/TDF] and E</w:t>
      </w:r>
      <w:r w:rsidR="009366A5">
        <w:t>viplera (</w:t>
      </w:r>
      <w:r w:rsidR="00B40747">
        <w:t>RPV</w:t>
      </w:r>
      <w:r>
        <w:t>/FTC/TDF</w:t>
      </w:r>
      <w:r w:rsidR="009366A5">
        <w:t>)</w:t>
      </w:r>
      <w:r>
        <w:t>) approved for once-daily administration in the treatment of HIV-1 infection. There remains a need for alternative STRs to increase the availability of simple, safe and effective HIV regimens, and overcome limitation of the currently approved STRs.</w:t>
      </w:r>
    </w:p>
    <w:p w:rsidR="00813361" w:rsidRDefault="005C5945" w:rsidP="00813361">
      <w:r>
        <w:lastRenderedPageBreak/>
        <w:t xml:space="preserve">Stribild </w:t>
      </w:r>
      <w:r w:rsidR="00813361">
        <w:t>provides an alternative to existing STRs</w:t>
      </w:r>
      <w:r w:rsidR="00876227">
        <w:t>.</w:t>
      </w:r>
      <w:r w:rsidR="00813361" w:rsidRPr="00813361">
        <w:t xml:space="preserve"> </w:t>
      </w:r>
    </w:p>
    <w:p w:rsidR="00813361" w:rsidRDefault="00813361" w:rsidP="00813361">
      <w:r>
        <w:t xml:space="preserve">No STRs exist that combine an INSTI with an NRTI backbone. </w:t>
      </w:r>
      <w:r w:rsidR="005C5945">
        <w:t xml:space="preserve">Stribild </w:t>
      </w:r>
      <w:r>
        <w:t xml:space="preserve">provides an alternative for patients who cannot tolerate </w:t>
      </w:r>
      <w:r w:rsidR="00CC292E">
        <w:t>RTV</w:t>
      </w:r>
      <w:r>
        <w:t>-boosted protease inhibitors or NNRTIs and for patients who wish to simplify their regimen through a lower pill burden.</w:t>
      </w:r>
    </w:p>
    <w:p w:rsidR="00813361" w:rsidRDefault="00813361" w:rsidP="00813361">
      <w:r>
        <w:t xml:space="preserve">The </w:t>
      </w:r>
      <w:r w:rsidR="005C5945">
        <w:t xml:space="preserve">Stribild </w:t>
      </w:r>
      <w:r>
        <w:t>application has been evaluated as a new fixed-dose combination product and deemed approvable by the P</w:t>
      </w:r>
      <w:r w:rsidR="009366A5">
        <w:t xml:space="preserve">SC </w:t>
      </w:r>
      <w:r>
        <w:t xml:space="preserve">and </w:t>
      </w:r>
      <w:r w:rsidR="009366A5">
        <w:t>c</w:t>
      </w:r>
      <w:r>
        <w:t xml:space="preserve">linical </w:t>
      </w:r>
      <w:r w:rsidR="009366A5">
        <w:t>e</w:t>
      </w:r>
      <w:r>
        <w:t xml:space="preserve">valuators. The </w:t>
      </w:r>
      <w:r w:rsidR="009366A5">
        <w:t>c</w:t>
      </w:r>
      <w:r>
        <w:t xml:space="preserve">linical </w:t>
      </w:r>
      <w:r w:rsidR="009366A5">
        <w:t>e</w:t>
      </w:r>
      <w:r>
        <w:t xml:space="preserve">valuator noted that the overall benefit risk balance of </w:t>
      </w:r>
      <w:r w:rsidR="005C5945">
        <w:t xml:space="preserve">Stribild </w:t>
      </w:r>
      <w:r>
        <w:t xml:space="preserve">is positive and meets the </w:t>
      </w:r>
      <w:r w:rsidRPr="009366A5">
        <w:rPr>
          <w:i/>
        </w:rPr>
        <w:t>Guidance on clinical development of medicinal products for the treatment of HIV infection</w:t>
      </w:r>
      <w:r>
        <w:t xml:space="preserve"> </w:t>
      </w:r>
      <w:r w:rsidR="0004180F">
        <w:t>(</w:t>
      </w:r>
      <w:r w:rsidR="0004180F" w:rsidRPr="0004180F">
        <w:t>EM</w:t>
      </w:r>
      <w:r w:rsidR="009366A5">
        <w:t>EA/CPMP/EWP/633/02, 20 Nov 2008</w:t>
      </w:r>
      <w:r w:rsidR="0004180F">
        <w:t xml:space="preserve">) </w:t>
      </w:r>
      <w:r>
        <w:t xml:space="preserve">which recommend that a </w:t>
      </w:r>
      <w:r w:rsidRPr="009366A5">
        <w:rPr>
          <w:i/>
        </w:rPr>
        <w:t>“convincingly demonstrated non-inferior benefit-risk at 48 weeks versus a well-recognized reference product may serve as a basis for approval”</w:t>
      </w:r>
      <w:r>
        <w:t>.</w:t>
      </w:r>
    </w:p>
    <w:p w:rsidR="00813361" w:rsidRDefault="00813361" w:rsidP="009366A5">
      <w:r>
        <w:t>The Delegate has noted that the phase 3 clinical efficacy and safety trials have shown the efficacy and</w:t>
      </w:r>
      <w:r w:rsidR="0004180F">
        <w:t xml:space="preserve"> </w:t>
      </w:r>
      <w:r>
        <w:t xml:space="preserve">safety profile of </w:t>
      </w:r>
      <w:r w:rsidR="005C5945">
        <w:t xml:space="preserve">Stribild </w:t>
      </w:r>
      <w:r>
        <w:t>to be non-inferior to the current standard of care in treatment-naïve HIV-1</w:t>
      </w:r>
      <w:r w:rsidR="0004180F">
        <w:t xml:space="preserve"> </w:t>
      </w:r>
      <w:r>
        <w:t xml:space="preserve">infected patients. However, the Delegate requests the ACPM’s advice on 5 issues that would allow a firm assessment on the risk-benefit balance for </w:t>
      </w:r>
      <w:r w:rsidR="005C5945">
        <w:t xml:space="preserve">Stribild </w:t>
      </w:r>
      <w:r w:rsidR="009366A5">
        <w:t>to be made</w:t>
      </w:r>
      <w:r>
        <w:t xml:space="preserve">. </w:t>
      </w:r>
      <w:r w:rsidR="009366A5">
        <w:t xml:space="preserve">The sponsor </w:t>
      </w:r>
      <w:r>
        <w:t>provide</w:t>
      </w:r>
      <w:r w:rsidR="009366A5">
        <w:t>d</w:t>
      </w:r>
      <w:r>
        <w:t xml:space="preserve"> additional</w:t>
      </w:r>
      <w:r w:rsidR="0004180F">
        <w:t xml:space="preserve"> </w:t>
      </w:r>
      <w:r>
        <w:t>comment on each of these issues</w:t>
      </w:r>
      <w:r w:rsidR="009366A5">
        <w:t>, below.</w:t>
      </w:r>
    </w:p>
    <w:p w:rsidR="00813361" w:rsidRDefault="00813361" w:rsidP="009366A5">
      <w:r>
        <w:t xml:space="preserve">As the </w:t>
      </w:r>
      <w:r w:rsidR="005C5945">
        <w:t xml:space="preserve">Stribild </w:t>
      </w:r>
      <w:r>
        <w:t>application contains only clinical studies that directly support the proposed PI, or that are relevant to the consideration of the combination of EVG, COBI, FTC and</w:t>
      </w:r>
      <w:r w:rsidR="0004180F">
        <w:t xml:space="preserve"> </w:t>
      </w:r>
      <w:r>
        <w:t>TDF, Gilead considers that this complete application should be viewed by the Delegate and ACPM</w:t>
      </w:r>
      <w:r w:rsidR="0004180F">
        <w:t xml:space="preserve"> </w:t>
      </w:r>
      <w:r>
        <w:t xml:space="preserve">independently of the </w:t>
      </w:r>
      <w:r w:rsidR="005C1062">
        <w:t xml:space="preserve">2 </w:t>
      </w:r>
      <w:r>
        <w:t>subsequent applications seeking registration of the single agents</w:t>
      </w:r>
      <w:r w:rsidR="0004180F">
        <w:t xml:space="preserve"> </w:t>
      </w:r>
      <w:r>
        <w:t>(EVG and COBI) as the development program and registration applications were designed to allow each</w:t>
      </w:r>
      <w:r w:rsidR="0004180F">
        <w:t xml:space="preserve"> </w:t>
      </w:r>
      <w:r>
        <w:t>therapeutic good to be evaluated as a stand-alone product. Data generated for the EVG and COBI single</w:t>
      </w:r>
      <w:r w:rsidR="0004180F">
        <w:t xml:space="preserve"> </w:t>
      </w:r>
      <w:r>
        <w:t xml:space="preserve">agent applications do not adversely impact the risk-benefit profile presented in the earlier </w:t>
      </w:r>
      <w:r w:rsidR="005C5945">
        <w:t xml:space="preserve">Stribild </w:t>
      </w:r>
      <w:r>
        <w:t>submission.</w:t>
      </w:r>
    </w:p>
    <w:p w:rsidR="00813361" w:rsidRDefault="009366A5" w:rsidP="00813361">
      <w:r>
        <w:t>The Delegate’s o</w:t>
      </w:r>
      <w:r w:rsidR="00813361">
        <w:t xml:space="preserve">verview states that the pivotal clinical data for </w:t>
      </w:r>
      <w:r w:rsidR="005C5945">
        <w:t xml:space="preserve">Stribild </w:t>
      </w:r>
      <w:r w:rsidR="00813361">
        <w:t>were obtained in</w:t>
      </w:r>
      <w:r w:rsidR="0004180F">
        <w:t xml:space="preserve"> </w:t>
      </w:r>
      <w:r w:rsidR="00091D6C">
        <w:t>‘</w:t>
      </w:r>
      <w:r w:rsidR="00813361">
        <w:t>antiretroviral treatment-naïve HIV-1 infected adult patients</w:t>
      </w:r>
      <w:r w:rsidR="00091D6C">
        <w:t>’</w:t>
      </w:r>
      <w:r w:rsidR="00813361">
        <w:t xml:space="preserve"> although the proposed indication statement</w:t>
      </w:r>
      <w:r w:rsidR="0004180F">
        <w:t xml:space="preserve"> </w:t>
      </w:r>
      <w:r w:rsidR="00813361">
        <w:t>does not mak</w:t>
      </w:r>
      <w:r w:rsidR="00BB7854">
        <w:t>e this explicit. The Delegates o</w:t>
      </w:r>
      <w:r w:rsidR="00813361">
        <w:t xml:space="preserve">verview does not take into account Gilead’s </w:t>
      </w:r>
      <w:r w:rsidR="00BB7854">
        <w:t xml:space="preserve">previous </w:t>
      </w:r>
      <w:r w:rsidR="00813361">
        <w:t>response to the</w:t>
      </w:r>
      <w:r w:rsidR="0004180F">
        <w:t xml:space="preserve"> </w:t>
      </w:r>
      <w:r w:rsidR="00BB7854">
        <w:t>c</w:t>
      </w:r>
      <w:r w:rsidR="00813361">
        <w:t xml:space="preserve">linical </w:t>
      </w:r>
      <w:r w:rsidR="00BB7854">
        <w:t>e</w:t>
      </w:r>
      <w:r w:rsidR="00813361">
        <w:t>valuation report in which an updated proposed indication statement was provided as follows:</w:t>
      </w:r>
    </w:p>
    <w:p w:rsidR="0004180F" w:rsidRPr="00BB18B7" w:rsidRDefault="005C5945" w:rsidP="00BB7854">
      <w:pPr>
        <w:ind w:left="720"/>
      </w:pPr>
      <w:r w:rsidRPr="00BB18B7">
        <w:rPr>
          <w:i/>
        </w:rPr>
        <w:t xml:space="preserve">Stribild </w:t>
      </w:r>
      <w:r w:rsidR="00813361" w:rsidRPr="00BB18B7">
        <w:rPr>
          <w:i/>
        </w:rPr>
        <w:t>is indicated as a complete regimen for the treatment of HIV-1 infection in ARV treatment naïve</w:t>
      </w:r>
      <w:r w:rsidR="0004180F" w:rsidRPr="00BB18B7">
        <w:rPr>
          <w:i/>
        </w:rPr>
        <w:t xml:space="preserve"> </w:t>
      </w:r>
      <w:r w:rsidR="00813361" w:rsidRPr="00BB18B7">
        <w:rPr>
          <w:i/>
        </w:rPr>
        <w:t>adults aged 18 years and over.</w:t>
      </w:r>
      <w:r w:rsidR="00813361" w:rsidRPr="00BB18B7">
        <w:t xml:space="preserve"> </w:t>
      </w:r>
    </w:p>
    <w:p w:rsidR="00813361" w:rsidRDefault="00BB7854" w:rsidP="00813361">
      <w:r>
        <w:t>The Delegate’s o</w:t>
      </w:r>
      <w:r w:rsidR="00813361">
        <w:t>verview states that the PSC recommended as a</w:t>
      </w:r>
      <w:r w:rsidR="0004180F">
        <w:t xml:space="preserve"> </w:t>
      </w:r>
      <w:r w:rsidR="00813361">
        <w:t>condition of registration that the dissolution test method and test limits for the product be as originally</w:t>
      </w:r>
      <w:r w:rsidR="0004180F">
        <w:t xml:space="preserve"> </w:t>
      </w:r>
      <w:r w:rsidR="00813361">
        <w:t xml:space="preserve">submitted. The Delegate’s </w:t>
      </w:r>
      <w:r>
        <w:t>o</w:t>
      </w:r>
      <w:r w:rsidR="00813361">
        <w:t>verview does not acknowledge that Gilead notified the TGA of an error</w:t>
      </w:r>
      <w:r w:rsidR="0004180F">
        <w:t xml:space="preserve"> </w:t>
      </w:r>
      <w:r w:rsidR="00813361">
        <w:t xml:space="preserve">within the </w:t>
      </w:r>
      <w:r>
        <w:t xml:space="preserve">TGA </w:t>
      </w:r>
      <w:r w:rsidR="00813361">
        <w:t xml:space="preserve">document </w:t>
      </w:r>
      <w:r w:rsidR="00813361" w:rsidRPr="00BB7854">
        <w:rPr>
          <w:i/>
        </w:rPr>
        <w:t>Evaluation of Replies to CMC</w:t>
      </w:r>
      <w:r w:rsidR="00813361">
        <w:t>. A response document with the correct information</w:t>
      </w:r>
      <w:r w:rsidR="0004180F">
        <w:t xml:space="preserve"> </w:t>
      </w:r>
      <w:r w:rsidR="00813361">
        <w:t>was provided to the TGA and this highlighted errors in the report that lead to the inappropriate condition</w:t>
      </w:r>
      <w:r w:rsidR="0004180F">
        <w:t xml:space="preserve"> </w:t>
      </w:r>
      <w:r w:rsidR="00813361">
        <w:t>of approval regarding dissolution testing conditions. Gilead considers this issue important as the</w:t>
      </w:r>
      <w:r w:rsidR="0004180F">
        <w:t xml:space="preserve"> </w:t>
      </w:r>
      <w:r w:rsidR="00813361">
        <w:t>conditions proposed would have failed a batch of product found to be effective in clinical investigations;</w:t>
      </w:r>
      <w:r w:rsidR="0004180F">
        <w:t xml:space="preserve"> </w:t>
      </w:r>
      <w:r w:rsidR="00813361">
        <w:t>thus making the proposed conditions inappropriate and, as yet, not finalised in evaluation.</w:t>
      </w:r>
    </w:p>
    <w:p w:rsidR="0004180F" w:rsidRDefault="00813361" w:rsidP="00813361">
      <w:r>
        <w:t xml:space="preserve">The remainder of this response is separated into 5 sections to address the </w:t>
      </w:r>
      <w:r w:rsidR="00C306B7">
        <w:t xml:space="preserve">issues raised under </w:t>
      </w:r>
      <w:r w:rsidR="00C306B7" w:rsidRPr="00C306B7">
        <w:rPr>
          <w:i/>
        </w:rPr>
        <w:t>Delegate considerations</w:t>
      </w:r>
      <w:r w:rsidR="00C306B7">
        <w:t xml:space="preserve"> </w:t>
      </w:r>
      <w:r w:rsidR="00BB7854">
        <w:t xml:space="preserve">in the </w:t>
      </w:r>
      <w:r w:rsidR="00C306B7">
        <w:t>Delegate’s o</w:t>
      </w:r>
      <w:r>
        <w:t>verview.</w:t>
      </w:r>
      <w:r w:rsidRPr="00813361">
        <w:t xml:space="preserve"> </w:t>
      </w:r>
    </w:p>
    <w:p w:rsidR="00813361" w:rsidRPr="0004180F" w:rsidRDefault="00BB7854" w:rsidP="004B2530">
      <w:pPr>
        <w:pStyle w:val="Heading4"/>
      </w:pPr>
      <w:r>
        <w:t>D</w:t>
      </w:r>
      <w:r w:rsidR="00351541">
        <w:t>iscussion of D</w:t>
      </w:r>
      <w:r w:rsidRPr="0004180F">
        <w:t>elegate’s comments</w:t>
      </w:r>
    </w:p>
    <w:p w:rsidR="00813361" w:rsidRPr="0004180F" w:rsidRDefault="00813361" w:rsidP="00EE50E9">
      <w:pPr>
        <w:pStyle w:val="Heading6"/>
      </w:pPr>
      <w:r w:rsidRPr="0004180F">
        <w:t>(1) Inflexibility inherent in a FDC containing 4 actives, of which 2 are new and have non-linear</w:t>
      </w:r>
      <w:r w:rsidR="0004180F">
        <w:t xml:space="preserve"> </w:t>
      </w:r>
      <w:r w:rsidRPr="0004180F">
        <w:t>pharmacokinetics</w:t>
      </w:r>
    </w:p>
    <w:p w:rsidR="00813361" w:rsidRDefault="00813361" w:rsidP="00EE50E9">
      <w:r>
        <w:t>It is agreed there is an inherent inflexibility associated with STRs and that dose adjustments are not</w:t>
      </w:r>
      <w:r w:rsidR="0004180F">
        <w:t xml:space="preserve"> </w:t>
      </w:r>
      <w:r>
        <w:t xml:space="preserve">possible. However in the case of </w:t>
      </w:r>
      <w:r w:rsidR="005C5945">
        <w:t xml:space="preserve">Stribild </w:t>
      </w:r>
      <w:r>
        <w:t>the inflexibility is war</w:t>
      </w:r>
      <w:r w:rsidR="0004180F">
        <w:t xml:space="preserve">ranted </w:t>
      </w:r>
      <w:r w:rsidR="0004180F">
        <w:lastRenderedPageBreak/>
        <w:t xml:space="preserve">given a) the therapeutic </w:t>
      </w:r>
      <w:r>
        <w:t>benefits associated with dosing simplicity and increased compliance, and b) linking the maximized</w:t>
      </w:r>
      <w:r w:rsidR="0004180F">
        <w:t xml:space="preserve"> </w:t>
      </w:r>
      <w:r>
        <w:t>boosting associated with COBI to the optimized antiviral activity seen with boosted 150 mg EVG dosing.</w:t>
      </w:r>
    </w:p>
    <w:p w:rsidR="0004180F" w:rsidRDefault="00813361" w:rsidP="00EE50E9">
      <w:r>
        <w:t>There remains a significant medical need for new, well-tolerated therapies in convenient dosing regimens</w:t>
      </w:r>
      <w:r w:rsidR="0004180F">
        <w:t xml:space="preserve"> </w:t>
      </w:r>
      <w:r>
        <w:t>that combine potent and sustained efficacy with acceptable tolerability and minimal long-term toxicity for</w:t>
      </w:r>
      <w:r w:rsidR="0004180F">
        <w:t xml:space="preserve"> </w:t>
      </w:r>
      <w:r>
        <w:t xml:space="preserve">the treatment of HIV infection. Incomplete adherence to </w:t>
      </w:r>
      <w:r w:rsidR="009A139B">
        <w:t xml:space="preserve">ARV </w:t>
      </w:r>
      <w:r>
        <w:t>regimens is a critical factor</w:t>
      </w:r>
      <w:r w:rsidRPr="00813361">
        <w:t xml:space="preserve"> </w:t>
      </w:r>
      <w:r>
        <w:t>contributing to the development of viral resistance and treatment failure, and thus a primary barrier to</w:t>
      </w:r>
      <w:r w:rsidR="0004180F">
        <w:t xml:space="preserve"> </w:t>
      </w:r>
      <w:r>
        <w:t>successful long-term treatment. Adherence is known to be paramount in maintaining viral suppression, as</w:t>
      </w:r>
      <w:r w:rsidR="0004180F">
        <w:t xml:space="preserve"> </w:t>
      </w:r>
      <w:r>
        <w:t>missing a small number of doses can result in viral rebound and risk of resistance development. Clinical</w:t>
      </w:r>
      <w:r w:rsidR="0004180F">
        <w:t xml:space="preserve"> </w:t>
      </w:r>
      <w:r>
        <w:t>studies and healthcare database reviews have clearly demonstrated high levels of adherence and treatment</w:t>
      </w:r>
      <w:r w:rsidR="0004180F">
        <w:t xml:space="preserve"> </w:t>
      </w:r>
      <w:r>
        <w:t>satisfaction with simple, once daily HAART regimens, resulting in persistent suppression of HIV viral</w:t>
      </w:r>
      <w:r w:rsidR="0004180F">
        <w:t xml:space="preserve"> </w:t>
      </w:r>
      <w:r>
        <w:t>load</w:t>
      </w:r>
      <w:r w:rsidR="00EE50E9">
        <w:t xml:space="preserve"> (see references at footnotes 14, 15 and 16)</w:t>
      </w:r>
      <w:r>
        <w:t>.</w:t>
      </w:r>
      <w:r w:rsidRPr="00813361">
        <w:t xml:space="preserve"> </w:t>
      </w:r>
    </w:p>
    <w:p w:rsidR="008E7846" w:rsidRDefault="00813361" w:rsidP="00AF7900">
      <w:r>
        <w:t xml:space="preserve">The selected dose (150 mg) of EVG contained in </w:t>
      </w:r>
      <w:r w:rsidR="005C5945">
        <w:t>Stribild</w:t>
      </w:r>
      <w:r w:rsidR="00E1241E">
        <w:t xml:space="preserve"> </w:t>
      </w:r>
      <w:r>
        <w:t>, represents optimal antiviral activity, as</w:t>
      </w:r>
      <w:r w:rsidR="0004180F">
        <w:t xml:space="preserve"> </w:t>
      </w:r>
      <w:r>
        <w:t>compared with boosted protease inhibitors</w:t>
      </w:r>
      <w:r w:rsidR="00AF7900">
        <w:t>.</w:t>
      </w:r>
      <w:r w:rsidR="00AF7900">
        <w:rPr>
          <w:rStyle w:val="FootnoteReference"/>
        </w:rPr>
        <w:footnoteReference w:id="20"/>
      </w:r>
      <w:r w:rsidR="00AF7900" w:rsidRPr="00AF7900">
        <w:rPr>
          <w:vertAlign w:val="superscript"/>
        </w:rPr>
        <w:t xml:space="preserve">, </w:t>
      </w:r>
      <w:r w:rsidR="00AF7900">
        <w:rPr>
          <w:rStyle w:val="FootnoteReference"/>
        </w:rPr>
        <w:footnoteReference w:id="21"/>
      </w:r>
      <w:r w:rsidR="00AF7900">
        <w:rPr>
          <w:vertAlign w:val="superscript"/>
        </w:rPr>
        <w:t xml:space="preserve"> </w:t>
      </w:r>
      <w:r>
        <w:t xml:space="preserve">Although, boosted EVG displays nonlinear </w:t>
      </w:r>
      <w:r w:rsidR="00FA5CAB">
        <w:t xml:space="preserve">PK </w:t>
      </w:r>
      <w:r>
        <w:t>properties, the effect is a less than proportional exposure increase. Therefore, there is little issue with</w:t>
      </w:r>
      <w:r w:rsidR="000E3B85">
        <w:t xml:space="preserve"> </w:t>
      </w:r>
      <w:r>
        <w:t>regard to potentially higher EVG exposures should multiple tablets be taken. Also, reduced suboptimal</w:t>
      </w:r>
      <w:r w:rsidR="000E3B85">
        <w:t xml:space="preserve"> </w:t>
      </w:r>
      <w:r>
        <w:t>EVG exposures as administration of lower doses are not possible. As such, coformulation within the STR</w:t>
      </w:r>
      <w:r w:rsidR="000E3B85">
        <w:t xml:space="preserve"> </w:t>
      </w:r>
      <w:r>
        <w:t xml:space="preserve">minimizes potential risk associated with nonlinearity. With regards to COBI nonlinear </w:t>
      </w:r>
      <w:r w:rsidR="00FA5CAB">
        <w:t xml:space="preserve">PK </w:t>
      </w:r>
      <w:r>
        <w:t>properties, this is clinically insignificant because COBI 150 mg provides near maximal</w:t>
      </w:r>
      <w:r w:rsidR="000E3B85">
        <w:t xml:space="preserve"> </w:t>
      </w:r>
      <w:r>
        <w:t xml:space="preserve">pharmacoenhancement (boosting) at this dose, resulting in targeted EVG trough concentrations </w:t>
      </w:r>
      <w:r w:rsidR="00CC292E">
        <w:t xml:space="preserve">approximately </w:t>
      </w:r>
      <w:r>
        <w:t>10-fold</w:t>
      </w:r>
      <w:r w:rsidR="000E3B85">
        <w:t xml:space="preserve"> </w:t>
      </w:r>
      <w:r>
        <w:t>above the protein binding-adjusted IC</w:t>
      </w:r>
      <w:r w:rsidRPr="00AF7900">
        <w:rPr>
          <w:vertAlign w:val="subscript"/>
        </w:rPr>
        <w:t>95</w:t>
      </w:r>
      <w:r>
        <w:t>; further increases in COBI dose would not result in clinically</w:t>
      </w:r>
      <w:r w:rsidR="000E3B85">
        <w:t xml:space="preserve"> </w:t>
      </w:r>
      <w:r>
        <w:t>relevant changes in EVG exposures. Higher COBI exposures would be expected in the setting of</w:t>
      </w:r>
      <w:r w:rsidR="000E3B85">
        <w:t xml:space="preserve"> </w:t>
      </w:r>
      <w:r>
        <w:t>purposeful overdosage, however coformulation within the STR minimises potential risk associated with</w:t>
      </w:r>
      <w:r w:rsidR="000E3B85">
        <w:t xml:space="preserve"> </w:t>
      </w:r>
      <w:r>
        <w:t>nonlinearity. The dose selection of EVG 150 mg and COBI 150 mg is confirmed by the results of the</w:t>
      </w:r>
      <w:r w:rsidR="000E3B85">
        <w:t xml:space="preserve"> </w:t>
      </w:r>
      <w:r>
        <w:t xml:space="preserve">Phase </w:t>
      </w:r>
      <w:r w:rsidR="00AF7900">
        <w:t>II</w:t>
      </w:r>
      <w:r>
        <w:t xml:space="preserve"> and Phase </w:t>
      </w:r>
      <w:r w:rsidR="00AF7900">
        <w:t>III</w:t>
      </w:r>
      <w:r>
        <w:t xml:space="preserve"> studies with </w:t>
      </w:r>
      <w:r w:rsidR="005C5945">
        <w:t>Stribild</w:t>
      </w:r>
      <w:r>
        <w:t>, as well as population PK and PK/PD modelling. As such,</w:t>
      </w:r>
      <w:r w:rsidR="000E3B85">
        <w:t xml:space="preserve"> </w:t>
      </w:r>
      <w:r>
        <w:t>the combination of EVG and COBI within the single tablet regimen provides maximal antiviral activity</w:t>
      </w:r>
      <w:r w:rsidR="000E3B85">
        <w:t xml:space="preserve"> </w:t>
      </w:r>
      <w:r>
        <w:t>and high rates of suppression. Furthermore, an extensive evaluation of the drug interaction potential of</w:t>
      </w:r>
      <w:r w:rsidR="000E3B85">
        <w:t xml:space="preserve"> </w:t>
      </w:r>
      <w:r w:rsidR="005C5945">
        <w:t xml:space="preserve">Stribild </w:t>
      </w:r>
      <w:r>
        <w:t>indicates that patient management is expected to be consistent with boosted protease inhibitors.</w:t>
      </w:r>
    </w:p>
    <w:p w:rsidR="00C30E19" w:rsidRPr="00AF7900" w:rsidRDefault="00C30E19" w:rsidP="00AF7900">
      <w:pPr>
        <w:rPr>
          <w:i/>
        </w:rPr>
      </w:pPr>
      <w:r w:rsidRPr="00AF7900">
        <w:rPr>
          <w:i/>
        </w:rPr>
        <w:t>(2) This is also the first instance in which a fixed dose combination is being considered for registration before registration of the individual components.</w:t>
      </w:r>
    </w:p>
    <w:p w:rsidR="00C30E19" w:rsidRDefault="00C30E19" w:rsidP="00C30E19">
      <w:r>
        <w:t xml:space="preserve">The clinical development program and submission strategy for </w:t>
      </w:r>
      <w:r w:rsidR="005C5945">
        <w:t xml:space="preserve">Stribild </w:t>
      </w:r>
      <w:r>
        <w:t xml:space="preserve">was discussed and considered acceptable at a pre-submission meeting </w:t>
      </w:r>
      <w:r w:rsidR="00AF7900">
        <w:t>with the TGA</w:t>
      </w:r>
      <w:r>
        <w:t xml:space="preserve">. A justification for the fixed-dose combination was accepted by the TGA. </w:t>
      </w:r>
      <w:r w:rsidR="00AF7900">
        <w:t xml:space="preserve">The sponsor </w:t>
      </w:r>
      <w:r>
        <w:t>believe</w:t>
      </w:r>
      <w:r w:rsidR="00AF7900">
        <w:t>s</w:t>
      </w:r>
      <w:r>
        <w:t xml:space="preserve"> that the Delegate</w:t>
      </w:r>
      <w:r w:rsidR="00AF7900">
        <w:t>’</w:t>
      </w:r>
      <w:r>
        <w:t>s concerns are unwarranted as this is a complete, stand alone application seeking registration of a new fixed-dose combination therapeutic good that is supported by adequate efficacy, safety and quality information.</w:t>
      </w:r>
    </w:p>
    <w:p w:rsidR="00C30E19" w:rsidRDefault="00C30E19" w:rsidP="00C30E19">
      <w:r>
        <w:t xml:space="preserve">Unlike many therapeutic areas, current HIV treatment guidelines recommend that the treatment of HIV infection requires the use of a regimen including at least </w:t>
      </w:r>
      <w:r w:rsidR="005C1062">
        <w:t xml:space="preserve">3 </w:t>
      </w:r>
      <w:r>
        <w:t xml:space="preserve">active ARV agents. The clinical profile of ARVs in the target patient populations are therefore only ever established in combination with other ARVs. The risk-benefit of the single agents when combined with other active agents not included in </w:t>
      </w:r>
      <w:r w:rsidR="005C5945">
        <w:t xml:space="preserve">Stribild </w:t>
      </w:r>
      <w:r>
        <w:t>(</w:t>
      </w:r>
      <w:r w:rsidR="00700880">
        <w:t>that is,</w:t>
      </w:r>
      <w:r>
        <w:t xml:space="preserve"> other than TDF and FTC) are therefore of no consequence when compared to the risk-benefit established in the final product/regimen in a full clinical program consisting of </w:t>
      </w:r>
      <w:r w:rsidR="005C1062">
        <w:t xml:space="preserve">2 </w:t>
      </w:r>
      <w:r>
        <w:t xml:space="preserve">large and controlled </w:t>
      </w:r>
      <w:r>
        <w:lastRenderedPageBreak/>
        <w:t xml:space="preserve">Phase </w:t>
      </w:r>
      <w:r w:rsidR="00AF7900">
        <w:t xml:space="preserve">III </w:t>
      </w:r>
      <w:r>
        <w:t xml:space="preserve">studies. </w:t>
      </w:r>
      <w:r w:rsidR="005C5945">
        <w:t xml:space="preserve">Stribild </w:t>
      </w:r>
      <w:r>
        <w:t xml:space="preserve">is a stand alone registration package that provides sufficient data to support registration with the proposed indication. Gilead considers that this complete application should be viewed by the Delegate and ACPM independently of the </w:t>
      </w:r>
      <w:r w:rsidR="005C1062">
        <w:t xml:space="preserve">2 </w:t>
      </w:r>
      <w:r>
        <w:t xml:space="preserve">applications seeking registration of the single agents EVG and COBI. The </w:t>
      </w:r>
      <w:r w:rsidR="005C5945">
        <w:t xml:space="preserve">Stribild </w:t>
      </w:r>
      <w:r>
        <w:t>application at the time of submission to the TGA presented all the relevant, known information necessary to assess the proposed STR.</w:t>
      </w:r>
    </w:p>
    <w:p w:rsidR="00C30E19" w:rsidRDefault="00C30E19" w:rsidP="00C30E19">
      <w:r>
        <w:t xml:space="preserve">HIV-1 infection is a life-threatening and serious disease, and the availability of STRs has been correlated with improved outcome in HIV infected patients (see response to </w:t>
      </w:r>
      <w:r w:rsidR="004134B8">
        <w:t>I</w:t>
      </w:r>
      <w:r>
        <w:t>ssue 1</w:t>
      </w:r>
      <w:r w:rsidR="004134B8">
        <w:t>, above</w:t>
      </w:r>
      <w:r>
        <w:t xml:space="preserve">), thereby justifying an expedited approval of an STR containing </w:t>
      </w:r>
      <w:r w:rsidR="005C1062">
        <w:t xml:space="preserve">4 </w:t>
      </w:r>
      <w:r>
        <w:t xml:space="preserve">ingredients if, as in the case of </w:t>
      </w:r>
      <w:r w:rsidR="005C5945">
        <w:t>Stribild</w:t>
      </w:r>
      <w:r>
        <w:t xml:space="preserve">, that STR is shown to provide efficacy non-inferior to current standard of care with differentiated safety benefits. The safety and efficacy of </w:t>
      </w:r>
      <w:r w:rsidR="005C5945">
        <w:t xml:space="preserve">Stribild </w:t>
      </w:r>
      <w:r>
        <w:t xml:space="preserve">was established in </w:t>
      </w:r>
      <w:r w:rsidR="005C1062">
        <w:t xml:space="preserve">2 </w:t>
      </w:r>
      <w:r>
        <w:t xml:space="preserve">Phase </w:t>
      </w:r>
      <w:r w:rsidR="0039121A">
        <w:t xml:space="preserve">III </w:t>
      </w:r>
      <w:r>
        <w:t>studies with the actual fixed-dose combination tablet in treatment-naïve subjects with HIV-1 infection.</w:t>
      </w:r>
    </w:p>
    <w:p w:rsidR="00B541EE" w:rsidRDefault="00B541EE" w:rsidP="00B541EE">
      <w:r>
        <w:t>Whilst this may be a novel regulatory prece</w:t>
      </w:r>
      <w:r w:rsidR="0039121A">
        <w:t>dent, the TGA is not the first r</w:t>
      </w:r>
      <w:r>
        <w:t xml:space="preserve">egulatory </w:t>
      </w:r>
      <w:r w:rsidR="0039121A">
        <w:t>a</w:t>
      </w:r>
      <w:r>
        <w:t xml:space="preserve">gency to consider the issue. </w:t>
      </w:r>
      <w:r w:rsidR="005C5945">
        <w:t xml:space="preserve">Stribild </w:t>
      </w:r>
      <w:r>
        <w:t xml:space="preserve">was approved by the US FDA on 27 August 2012. During review of this application in the USA, the FDA Advisory Committee was specifically requested by the FDA </w:t>
      </w:r>
      <w:r w:rsidR="0039121A">
        <w:t xml:space="preserve">not </w:t>
      </w:r>
      <w:r>
        <w:t>to consider the merits of the single products as they were not necessary to allow a regulatory review of S</w:t>
      </w:r>
      <w:r w:rsidR="0039121A">
        <w:t>tribild</w:t>
      </w:r>
      <w:r>
        <w:t xml:space="preserve">. </w:t>
      </w:r>
    </w:p>
    <w:p w:rsidR="00C30E19" w:rsidRDefault="00B541EE" w:rsidP="00B541EE">
      <w:r>
        <w:t xml:space="preserve">Gilead is attempting to make the STR available as soon as possible as this is the presentation that is going to likely have the greatest acceptance by patients that cannot tolerate the other available STRs. EVG and COBI are currently in the process of being registered as single agents which clearly demonstrates our drive to make all potential therapeutic options available for patients in need. </w:t>
      </w:r>
    </w:p>
    <w:p w:rsidR="005C79EE" w:rsidRPr="0039121A" w:rsidRDefault="005C79EE" w:rsidP="0039121A">
      <w:pPr>
        <w:rPr>
          <w:i/>
        </w:rPr>
      </w:pPr>
      <w:r w:rsidRPr="0039121A">
        <w:rPr>
          <w:i/>
        </w:rPr>
        <w:t>(3) Lack of absolute bioavailability studies for EVG and COBI is important missing safety information.</w:t>
      </w:r>
    </w:p>
    <w:p w:rsidR="005C79EE" w:rsidRPr="005C79EE" w:rsidRDefault="005C79EE" w:rsidP="0039121A">
      <w:r w:rsidRPr="005C79EE">
        <w:t>A</w:t>
      </w:r>
      <w:r w:rsidR="00841BE4">
        <w:t xml:space="preserve"> </w:t>
      </w:r>
      <w:r w:rsidRPr="005C79EE">
        <w:t>justification for</w:t>
      </w:r>
      <w:r w:rsidR="00841BE4">
        <w:t xml:space="preserve"> </w:t>
      </w:r>
      <w:r w:rsidRPr="005C79EE">
        <w:t>not conducting absolute bioavailability studies on</w:t>
      </w:r>
      <w:r w:rsidR="00841BE4">
        <w:t xml:space="preserve"> </w:t>
      </w:r>
      <w:r w:rsidRPr="005C79EE">
        <w:t>EVG</w:t>
      </w:r>
      <w:r w:rsidR="00841BE4">
        <w:t xml:space="preserve"> </w:t>
      </w:r>
      <w:r w:rsidRPr="005C79EE">
        <w:t>administered as</w:t>
      </w:r>
      <w:r w:rsidR="00841BE4">
        <w:t xml:space="preserve"> </w:t>
      </w:r>
      <w:r w:rsidRPr="005C79EE">
        <w:t>part of</w:t>
      </w:r>
      <w:r w:rsidR="00841BE4">
        <w:t xml:space="preserve"> </w:t>
      </w:r>
      <w:r w:rsidRPr="005C79EE">
        <w:t xml:space="preserve">the proposed four-active tablet was provided to the TGA </w:t>
      </w:r>
      <w:r w:rsidR="0039121A">
        <w:t>prior to s</w:t>
      </w:r>
      <w:r w:rsidRPr="005C79EE">
        <w:t>ubmission</w:t>
      </w:r>
      <w:r w:rsidR="0039121A">
        <w:t xml:space="preserve"> of the dossier</w:t>
      </w:r>
      <w:r w:rsidRPr="005C79EE">
        <w:t>.</w:t>
      </w:r>
      <w:r w:rsidR="00841BE4">
        <w:t xml:space="preserve"> </w:t>
      </w:r>
      <w:r w:rsidRPr="005C79EE">
        <w:t>Upon submission of the following justification the application was considered complete and was accepted for evaluation.</w:t>
      </w:r>
      <w:r w:rsidR="00841BE4">
        <w:t xml:space="preserve"> </w:t>
      </w:r>
      <w:r w:rsidRPr="005C79EE">
        <w:t xml:space="preserve">The same justification was also provided for evaluation within the </w:t>
      </w:r>
      <w:r w:rsidR="005C5945">
        <w:t xml:space="preserve">Stribild </w:t>
      </w:r>
      <w:r w:rsidR="0039121A">
        <w:t>a</w:t>
      </w:r>
      <w:r w:rsidRPr="005C79EE">
        <w:t xml:space="preserve">pplication and no further questions or issues were raised by the </w:t>
      </w:r>
      <w:r w:rsidR="0039121A">
        <w:t>c</w:t>
      </w:r>
      <w:r w:rsidRPr="005C79EE">
        <w:t xml:space="preserve">linical </w:t>
      </w:r>
      <w:r w:rsidR="0039121A">
        <w:t>e</w:t>
      </w:r>
      <w:r w:rsidRPr="005C79EE">
        <w:t xml:space="preserve">valuator. Similar justifications were provided within </w:t>
      </w:r>
      <w:r w:rsidR="0039121A">
        <w:t xml:space="preserve">the dossiers for </w:t>
      </w:r>
      <w:r w:rsidRPr="005C79EE">
        <w:t xml:space="preserve">the </w:t>
      </w:r>
      <w:r w:rsidR="0039121A">
        <w:t>a</w:t>
      </w:r>
      <w:r w:rsidRPr="005C79EE">
        <w:t>pplications for EVG and COBI.</w:t>
      </w:r>
    </w:p>
    <w:p w:rsidR="005C79EE" w:rsidRPr="005C79EE" w:rsidRDefault="005C79EE" w:rsidP="0039121A">
      <w:r w:rsidRPr="005C79EE">
        <w:t xml:space="preserve">The solubility profile of </w:t>
      </w:r>
      <w:r w:rsidR="00BB2DAA">
        <w:t xml:space="preserve">EVG </w:t>
      </w:r>
      <w:r w:rsidRPr="005C79EE">
        <w:t>(</w:t>
      </w:r>
      <w:r w:rsidR="00CC292E">
        <w:t>approximately</w:t>
      </w:r>
      <w:r w:rsidR="0039121A">
        <w:t xml:space="preserve"> ≤</w:t>
      </w:r>
      <w:r w:rsidRPr="005C79EE">
        <w:t>1 μg/m</w:t>
      </w:r>
      <w:r w:rsidR="0039121A">
        <w:t>L</w:t>
      </w:r>
      <w:r w:rsidRPr="005C79EE">
        <w:t xml:space="preserve"> at pH 7 and below; US</w:t>
      </w:r>
      <w:r w:rsidR="0039121A">
        <w:t xml:space="preserve"> </w:t>
      </w:r>
      <w:r w:rsidRPr="005C79EE">
        <w:t>P</w:t>
      </w:r>
      <w:r w:rsidR="0039121A">
        <w:t xml:space="preserve">harmacopoeia </w:t>
      </w:r>
      <w:r w:rsidRPr="005C79EE">
        <w:t xml:space="preserve">classification: practically insoluble or insoluble) renders the development of a parenteral formulation particularly challenging for suitable evaluation of </w:t>
      </w:r>
      <w:r w:rsidR="00BB2DAA">
        <w:t xml:space="preserve">EVG </w:t>
      </w:r>
      <w:r w:rsidR="00FA5CAB">
        <w:t xml:space="preserve">PK </w:t>
      </w:r>
      <w:r w:rsidRPr="005C79EE">
        <w:t xml:space="preserve">after </w:t>
      </w:r>
      <w:r w:rsidR="0039121A">
        <w:t xml:space="preserve">IV </w:t>
      </w:r>
      <w:r w:rsidRPr="005C79EE">
        <w:t>administration for an absolute bioavailability study.</w:t>
      </w:r>
    </w:p>
    <w:p w:rsidR="00B541EE" w:rsidRPr="005C79EE" w:rsidRDefault="005C79EE" w:rsidP="005C79EE">
      <w:r w:rsidRPr="005C79EE">
        <w:t>The ADME properties, and the clinical pharmacology of EVG have been extensively characteri</w:t>
      </w:r>
      <w:r w:rsidR="0039121A">
        <w:t>s</w:t>
      </w:r>
      <w:r w:rsidRPr="005C79EE">
        <w:t xml:space="preserve">ed using </w:t>
      </w:r>
      <w:r w:rsidR="00BB7072" w:rsidRPr="00BB7072">
        <w:rPr>
          <w:i/>
        </w:rPr>
        <w:t>in vitro</w:t>
      </w:r>
      <w:r w:rsidRPr="005C79EE">
        <w:t xml:space="preserve">/nonclinical studies and clinically, through </w:t>
      </w:r>
      <w:r w:rsidR="00FA5CAB">
        <w:t>PK</w:t>
      </w:r>
      <w:r w:rsidRPr="005C79EE">
        <w:t>, mass balance and drug interaction studies. EVG is e</w:t>
      </w:r>
      <w:r w:rsidR="00E17BC6">
        <w:t>xpected to have very high/near-</w:t>
      </w:r>
      <w:r w:rsidRPr="005C79EE">
        <w:t xml:space="preserve">complete bioavailability when administered as the </w:t>
      </w:r>
      <w:r w:rsidR="005C5945">
        <w:t xml:space="preserve">Stribild </w:t>
      </w:r>
      <w:r w:rsidRPr="005C79EE">
        <w:t xml:space="preserve">tablet. An early </w:t>
      </w:r>
      <w:r w:rsidR="00FA5CAB">
        <w:t xml:space="preserve">PK </w:t>
      </w:r>
      <w:r w:rsidRPr="005C79EE">
        <w:t>boosting</w:t>
      </w:r>
      <w:r>
        <w:t xml:space="preserve"> </w:t>
      </w:r>
      <w:r w:rsidR="0039121A">
        <w:t>study (c</w:t>
      </w:r>
      <w:r w:rsidRPr="005C79EE">
        <w:t>linical Study GS-</w:t>
      </w:r>
      <w:r w:rsidR="0039121A">
        <w:t xml:space="preserve">US-183-0102) demonstrated a 20 </w:t>
      </w:r>
      <w:r w:rsidRPr="005C79EE">
        <w:t>fold increase in EVG AUC</w:t>
      </w:r>
      <w:r w:rsidRPr="0039121A">
        <w:rPr>
          <w:vertAlign w:val="subscript"/>
        </w:rPr>
        <w:t>tau</w:t>
      </w:r>
      <w:r>
        <w:t xml:space="preserve"> </w:t>
      </w:r>
      <w:r w:rsidRPr="005C79EE">
        <w:t xml:space="preserve">(from </w:t>
      </w:r>
      <w:r w:rsidR="00CC292E">
        <w:t>approximately</w:t>
      </w:r>
      <w:r w:rsidRPr="005C79EE">
        <w:t xml:space="preserve"> 719</w:t>
      </w:r>
      <w:r>
        <w:t xml:space="preserve"> </w:t>
      </w:r>
      <w:r w:rsidR="0039121A">
        <w:t>ng.h/mL</w:t>
      </w:r>
      <w:r w:rsidRPr="005C79EE">
        <w:t xml:space="preserve"> to </w:t>
      </w:r>
      <w:r w:rsidR="00CC292E">
        <w:t xml:space="preserve">approximately </w:t>
      </w:r>
      <w:r w:rsidR="0039121A">
        <w:t>14,300 ng.h/mL</w:t>
      </w:r>
      <w:r w:rsidRPr="005C79EE">
        <w:t>) following multiple coadministration with RTV 100 mg (another</w:t>
      </w:r>
      <w:r>
        <w:t xml:space="preserve"> </w:t>
      </w:r>
      <w:r w:rsidRPr="005C79EE">
        <w:t>pharmacoenhancer)</w:t>
      </w:r>
      <w:r w:rsidR="00700880" w:rsidRPr="00700880">
        <w:t xml:space="preserve"> versus </w:t>
      </w:r>
      <w:r w:rsidRPr="005C79EE">
        <w:t xml:space="preserve">EVG dosing alone. This increase was mediated by a </w:t>
      </w:r>
      <w:r w:rsidR="00CC292E">
        <w:t>approximately</w:t>
      </w:r>
      <w:r w:rsidR="0039121A">
        <w:t xml:space="preserve"> 6-7 </w:t>
      </w:r>
      <w:r w:rsidRPr="005C79EE">
        <w:t>fold increase in</w:t>
      </w:r>
      <w:r w:rsidR="00CC292E">
        <w:t xml:space="preserve"> </w:t>
      </w:r>
      <w:r w:rsidR="0039121A">
        <w:t xml:space="preserve">bioavailability and a 3 </w:t>
      </w:r>
      <w:r w:rsidRPr="005C79EE">
        <w:t xml:space="preserve">fold reduction in EVG systemic clearance (based on EVG elimination </w:t>
      </w:r>
      <w:r w:rsidR="0039121A">
        <w:t xml:space="preserve">t½ </w:t>
      </w:r>
      <w:r w:rsidRPr="005C79EE">
        <w:t xml:space="preserve">increase from </w:t>
      </w:r>
      <w:r w:rsidR="00CC292E">
        <w:t>approximately</w:t>
      </w:r>
      <w:r w:rsidRPr="005C79EE">
        <w:t xml:space="preserve"> 3.5 to </w:t>
      </w:r>
      <w:r w:rsidR="00CC292E">
        <w:t xml:space="preserve">approximately </w:t>
      </w:r>
      <w:r w:rsidRPr="005C79EE">
        <w:t xml:space="preserve">9.5 h). The resulting estimate of EVG apparent clearance (CL/F) is </w:t>
      </w:r>
      <w:r w:rsidR="00CC292E">
        <w:t xml:space="preserve">approximately </w:t>
      </w:r>
      <w:r w:rsidRPr="005C79EE">
        <w:t>5-6 L/h,</w:t>
      </w:r>
      <w:r>
        <w:t xml:space="preserve"> </w:t>
      </w:r>
      <w:r w:rsidRPr="005C79EE">
        <w:t xml:space="preserve">which is </w:t>
      </w:r>
      <w:r w:rsidR="00CC292E">
        <w:t xml:space="preserve">about </w:t>
      </w:r>
      <w:r w:rsidRPr="005C79EE">
        <w:t>5% of the hepatic blood flow, indicating that bioavailabilty (F) is very high and approaches</w:t>
      </w:r>
      <w:r>
        <w:t xml:space="preserve"> </w:t>
      </w:r>
      <w:r w:rsidRPr="005C79EE">
        <w:t xml:space="preserve">complete absorption. EVG exposures are comparable following administration of </w:t>
      </w:r>
      <w:r w:rsidR="005C5945">
        <w:t xml:space="preserve">Stribild </w:t>
      </w:r>
      <w:r w:rsidRPr="005C79EE">
        <w:t>versus</w:t>
      </w:r>
      <w:r>
        <w:t xml:space="preserve"> </w:t>
      </w:r>
      <w:r w:rsidRPr="005C79EE">
        <w:t>coadministration with RTV 100 mg (</w:t>
      </w:r>
      <w:r w:rsidR="0039121A">
        <w:t>c</w:t>
      </w:r>
      <w:r w:rsidRPr="005C79EE">
        <w:t xml:space="preserve">linical Study </w:t>
      </w:r>
      <w:r w:rsidR="0039121A">
        <w:t>GS-US-236-0101). Both clinical S</w:t>
      </w:r>
      <w:r w:rsidRPr="005C79EE">
        <w:t xml:space="preserve">tudies GS-US-183-0102 and GS-US-236-0101 were submitted as part of this </w:t>
      </w:r>
      <w:r w:rsidR="0039121A">
        <w:t>a</w:t>
      </w:r>
      <w:r w:rsidRPr="005C79EE">
        <w:t xml:space="preserve">pplication. </w:t>
      </w:r>
    </w:p>
    <w:p w:rsidR="005C79EE" w:rsidRPr="005C79EE" w:rsidRDefault="005C79EE" w:rsidP="005C79EE">
      <w:r w:rsidRPr="005C79EE">
        <w:lastRenderedPageBreak/>
        <w:t>The ADME properties, and the clinical pharmacology of COBI have been extensively characteri</w:t>
      </w:r>
      <w:r w:rsidR="0039121A">
        <w:t>s</w:t>
      </w:r>
      <w:r w:rsidRPr="005C79EE">
        <w:t xml:space="preserve">ed using </w:t>
      </w:r>
      <w:r w:rsidR="00BB7072" w:rsidRPr="00BB7072">
        <w:rPr>
          <w:i/>
        </w:rPr>
        <w:t>in vitro</w:t>
      </w:r>
      <w:r w:rsidRPr="005C79EE">
        <w:t xml:space="preserve">/nonclinical studies and clinically, through dose ranging studies. COBI displays greater than dose proportional increases in plasma exposure due to a combination of reduced systemic clearance and higher bioavailability </w:t>
      </w:r>
      <w:r w:rsidR="00BB7072" w:rsidRPr="00BB7072">
        <w:rPr>
          <w:i/>
        </w:rPr>
        <w:t>via</w:t>
      </w:r>
      <w:r w:rsidRPr="005C79EE">
        <w:t xml:space="preserve"> autoinhibition of its own metabolism by CYP3A, which is related to the desired PD effect (boosting of coadministered agent). The bioavailability of COBI increases with dose from single dose to multiple dose administration (before reaching a plateau at 150 to 200 mg), consistent with autoinhibition and reduction in first pass metabolism (Studies GS-US-216-0101 and GS-US-216-0113), resulting in a low apparent clearance (CL/F </w:t>
      </w:r>
      <w:r w:rsidR="00CC292E">
        <w:t>approximately</w:t>
      </w:r>
      <w:r w:rsidRPr="005C79EE">
        <w:t xml:space="preserve"> 10% to 15% of hepatic blood flow). At doses greater than 150 mg to 200 mg, increases in COBI exposures (AUC) following multiple dose administration corresponded to proportional increases in plasma half life due to reduction in systemic clearance, rather than substantial changes in bioavailability.</w:t>
      </w:r>
    </w:p>
    <w:p w:rsidR="005C79EE" w:rsidRPr="00832D69" w:rsidRDefault="005C79EE" w:rsidP="00832D69">
      <w:r w:rsidRPr="005C79EE">
        <w:t>Based on Gilead’s thorough understanding of the formulation challenges, clinical development programme and the estimation of bioavailability from available data, an absolute bioavailability study for EVG and COBI was not deemed necessary and therefore not performed</w:t>
      </w:r>
      <w:r>
        <w:t>.</w:t>
      </w:r>
    </w:p>
    <w:p w:rsidR="005C79EE" w:rsidRPr="00F11891" w:rsidRDefault="005C79EE" w:rsidP="00F11891">
      <w:pPr>
        <w:rPr>
          <w:i/>
        </w:rPr>
      </w:pPr>
      <w:r w:rsidRPr="00F11891">
        <w:rPr>
          <w:i/>
        </w:rPr>
        <w:t>(4) The fixed dose product is being proposed for initiating treatment in de novo patients.</w:t>
      </w:r>
      <w:r w:rsidR="00841BE4" w:rsidRPr="00F11891">
        <w:rPr>
          <w:i/>
        </w:rPr>
        <w:t xml:space="preserve"> </w:t>
      </w:r>
      <w:r w:rsidRPr="00F11891">
        <w:rPr>
          <w:i/>
        </w:rPr>
        <w:t>However EVG, the mono agent is being proposed for the treatment experienced population. Is that approach acceptable?</w:t>
      </w:r>
    </w:p>
    <w:p w:rsidR="005C79EE" w:rsidRPr="00832D69" w:rsidRDefault="005C79EE" w:rsidP="00832D69">
      <w:r w:rsidRPr="00832D69">
        <w:t xml:space="preserve">Gilead has submitted independent </w:t>
      </w:r>
      <w:r w:rsidR="00F11891">
        <w:t>a</w:t>
      </w:r>
      <w:r w:rsidRPr="00832D69">
        <w:t xml:space="preserve">pplications for </w:t>
      </w:r>
      <w:r w:rsidR="005C5945">
        <w:t xml:space="preserve">Stribild </w:t>
      </w:r>
      <w:r w:rsidRPr="00832D69">
        <w:t>- registration of a new fixed-dose combination product, and EVG - registration of a new chemical entity. Each stand alone-application contains quality, nonclinical and clinical data which directly supports the proposed PI and that are relevant to the benefit-risk assessment for use in the treatment populations in which they have been studied.</w:t>
      </w:r>
    </w:p>
    <w:p w:rsidR="005C79EE" w:rsidRPr="00832D69" w:rsidRDefault="005C79EE" w:rsidP="00832D69">
      <w:r w:rsidRPr="00832D69">
        <w:t xml:space="preserve">The proposed indication for </w:t>
      </w:r>
      <w:r w:rsidR="005C5945">
        <w:t xml:space="preserve">Stribild </w:t>
      </w:r>
      <w:r w:rsidRPr="00832D69">
        <w:t>is supported by clinical safety and effica</w:t>
      </w:r>
      <w:r w:rsidR="00F11891">
        <w:t xml:space="preserve">cy data derived from </w:t>
      </w:r>
      <w:r w:rsidR="005C1062">
        <w:t xml:space="preserve">2 </w:t>
      </w:r>
      <w:r w:rsidR="00F11891">
        <w:t>Phase III</w:t>
      </w:r>
      <w:r w:rsidRPr="00832D69">
        <w:t xml:space="preserve"> studies (GS-US-236-0102 and</w:t>
      </w:r>
      <w:r w:rsidR="00F11891">
        <w:t xml:space="preserve"> GS-US-236-0103) and one Phase II</w:t>
      </w:r>
      <w:r w:rsidRPr="00832D69">
        <w:t xml:space="preserve"> study (GS-US-236-0104) conducted in ARV treatment-</w:t>
      </w:r>
      <w:r w:rsidR="007553B1">
        <w:t>naïve</w:t>
      </w:r>
      <w:r w:rsidRPr="00832D69">
        <w:t>, HIV-1 infected subjects.</w:t>
      </w:r>
    </w:p>
    <w:p w:rsidR="00832D69" w:rsidRPr="00832D69" w:rsidRDefault="00832D69" w:rsidP="00832D69">
      <w:r w:rsidRPr="00832D69">
        <w:t xml:space="preserve">The proposed indication for EVG is supported by clinical safety and efficacy data </w:t>
      </w:r>
      <w:r w:rsidR="00F11891">
        <w:t>derived from the pivotal Phase III</w:t>
      </w:r>
      <w:r w:rsidRPr="00832D69">
        <w:t xml:space="preserve"> Study GS-US-183-0145, and further supported by the Phase </w:t>
      </w:r>
      <w:r w:rsidR="00F11891">
        <w:t>II</w:t>
      </w:r>
      <w:r w:rsidRPr="00832D69">
        <w:t xml:space="preserve"> Studies GS-US-183-0105 and GS-US-183-0130, which demonstrate the safety and efficacy of EVG tablets coadministered with a RTV-boosted PI and other </w:t>
      </w:r>
      <w:r w:rsidR="009A139B">
        <w:t xml:space="preserve">ARV </w:t>
      </w:r>
      <w:r w:rsidRPr="00832D69">
        <w:t>agents in treatment-experienced adults.</w:t>
      </w:r>
    </w:p>
    <w:p w:rsidR="00832D69" w:rsidRPr="00954626" w:rsidRDefault="005C5945" w:rsidP="00954626">
      <w:r w:rsidRPr="00954626">
        <w:t xml:space="preserve">Stribild </w:t>
      </w:r>
      <w:r w:rsidR="00832D69" w:rsidRPr="00954626">
        <w:t xml:space="preserve">and the EVG single agent tablet are separate and distinct therapeutic goods with different data packages to support their use in different patient populations. The fact that they are proposed for registration in different patient populations is a situation that is clearly </w:t>
      </w:r>
      <w:r w:rsidR="00954626">
        <w:t>elaborated in their proposed PI</w:t>
      </w:r>
      <w:r w:rsidR="00832D69" w:rsidRPr="00954626">
        <w:t>s and Gilead c</w:t>
      </w:r>
      <w:r w:rsidR="00954626" w:rsidRPr="00954626">
        <w:t>onsiders that the PI</w:t>
      </w:r>
      <w:r w:rsidR="00832D69" w:rsidRPr="00954626">
        <w:t>s provide a suitable mechanism to inform prescribers of which populations each product have been demonstrated to provide acceptable safety and efficacy. In treatment-naïve patients, treatment guidelines call for the use of a regimen consisting of 2 NRTIs, such as TDF and FTC, and a third agent such as an NNRTI, protease inhibitor or INSTI. These treatment recommendations are suitable to the development of complete regimens within a single tablet. However, in treatment-experienced patients, an effective regimen needs to be constructed based on the patient’s virus resistance profile and using available combinations of drugs to which the virus is susceptible. This approach to treatment requires the availability of single agent products to allow building a treatment regimen tailored to a specific patient. Accordingly, the development of an EVG-based STR for treatment-naïve patients, and of the EVG single agent for use in tre</w:t>
      </w:r>
      <w:r w:rsidR="00CF5A38">
        <w:t>atment-</w:t>
      </w:r>
      <w:r w:rsidR="00832D69" w:rsidRPr="00954626">
        <w:t>experienced patients is aligned with HIV treatment guidelines and medical practice.</w:t>
      </w:r>
    </w:p>
    <w:p w:rsidR="00832D69" w:rsidRPr="00954626" w:rsidRDefault="00832D69" w:rsidP="00954626">
      <w:pPr>
        <w:rPr>
          <w:i/>
        </w:rPr>
      </w:pPr>
      <w:r w:rsidRPr="00954626">
        <w:rPr>
          <w:i/>
        </w:rPr>
        <w:lastRenderedPageBreak/>
        <w:t xml:space="preserve">(5) Possible issue for allowing use of a new INSTI in a FDC and its consequences for the use of the currently registered INSTI </w:t>
      </w:r>
      <w:r w:rsidR="00954626">
        <w:rPr>
          <w:i/>
        </w:rPr>
        <w:t>RTG</w:t>
      </w:r>
      <w:r w:rsidRPr="00954626">
        <w:rPr>
          <w:i/>
        </w:rPr>
        <w:t xml:space="preserve"> which is not a CYP3A substrate and is available as a de novo agent.</w:t>
      </w:r>
      <w:r w:rsidR="00841BE4" w:rsidRPr="00954626">
        <w:rPr>
          <w:i/>
        </w:rPr>
        <w:t xml:space="preserve"> </w:t>
      </w:r>
      <w:r w:rsidRPr="00954626">
        <w:rPr>
          <w:i/>
        </w:rPr>
        <w:t>Is an efficacy comparison between EVG/COBI and RTG desirable?</w:t>
      </w:r>
    </w:p>
    <w:p w:rsidR="00832D69" w:rsidRPr="00954626" w:rsidRDefault="005C5945" w:rsidP="00954626">
      <w:r w:rsidRPr="00954626">
        <w:t xml:space="preserve">Stribild </w:t>
      </w:r>
      <w:r w:rsidR="00832D69" w:rsidRPr="00954626">
        <w:t xml:space="preserve">is a complete treatment regimen which should not be </w:t>
      </w:r>
      <w:proofErr w:type="spellStart"/>
      <w:r w:rsidR="00832D69" w:rsidRPr="00954626">
        <w:t>coadministered</w:t>
      </w:r>
      <w:proofErr w:type="spellEnd"/>
      <w:r w:rsidR="00832D69" w:rsidRPr="00954626">
        <w:t xml:space="preserve"> with other </w:t>
      </w:r>
      <w:r w:rsidR="009A139B">
        <w:t xml:space="preserve">ARV </w:t>
      </w:r>
      <w:r w:rsidR="00832D69" w:rsidRPr="00954626">
        <w:t xml:space="preserve">medications for treatment of HIV-1 infection. The </w:t>
      </w:r>
      <w:r w:rsidR="00832D69" w:rsidRPr="00954626">
        <w:rPr>
          <w:i/>
        </w:rPr>
        <w:t>P</w:t>
      </w:r>
      <w:r w:rsidR="00954626" w:rsidRPr="00954626">
        <w:rPr>
          <w:i/>
        </w:rPr>
        <w:t>recautions</w:t>
      </w:r>
      <w:r w:rsidR="00832D69" w:rsidRPr="00954626">
        <w:t xml:space="preserve"> section of the proposed </w:t>
      </w:r>
      <w:r w:rsidRPr="00954626">
        <w:t xml:space="preserve">Stribild </w:t>
      </w:r>
      <w:r w:rsidR="00832D69" w:rsidRPr="00954626">
        <w:t>PI adequately reflects this and will act as a suitable mechanism to inform prescribers. Gilead is uncertain why the Delegate has raised the consequences for the use of the currently registered INSTI RTG as a potential issue.</w:t>
      </w:r>
    </w:p>
    <w:p w:rsidR="00954626" w:rsidRPr="00832D69" w:rsidRDefault="00832D69" w:rsidP="00954626">
      <w:r w:rsidRPr="00954626">
        <w:t>Current treatment guidelines suggest that initial therapy for ARV treatment-</w:t>
      </w:r>
      <w:r w:rsidR="007553B1" w:rsidRPr="00954626">
        <w:t>naïve</w:t>
      </w:r>
      <w:r w:rsidRPr="00954626">
        <w:t xml:space="preserve"> HIV-1 infected patients consists of 2 NRTIs/NtRTIs and either a NNRTI</w:t>
      </w:r>
      <w:r w:rsidR="00954626">
        <w:t xml:space="preserve"> - </w:t>
      </w:r>
      <w:r w:rsidRPr="00954626">
        <w:t xml:space="preserve">usually </w:t>
      </w:r>
      <w:r w:rsidR="00954626">
        <w:t xml:space="preserve">EFV, </w:t>
      </w:r>
      <w:r w:rsidRPr="00954626">
        <w:t>a boosted protease inhibitor, or the INSTI RTG. Treatment guidelines list FTC and TDF as a preferred NRTI/NtRTI backbone in an ARV regimen for initial therapy.</w:t>
      </w:r>
      <w:r w:rsidR="00954626" w:rsidRPr="00954626">
        <w:rPr>
          <w:rStyle w:val="FootnoteReference"/>
        </w:rPr>
        <w:footnoteReference w:id="22"/>
      </w:r>
      <w:r w:rsidR="00954626" w:rsidRPr="00954626">
        <w:rPr>
          <w:vertAlign w:val="superscript"/>
        </w:rPr>
        <w:t xml:space="preserve">, </w:t>
      </w:r>
      <w:r w:rsidR="00954626" w:rsidRPr="00954626">
        <w:rPr>
          <w:rStyle w:val="FootnoteReference"/>
        </w:rPr>
        <w:footnoteReference w:id="23"/>
      </w:r>
      <w:r w:rsidR="00954626" w:rsidRPr="00954626">
        <w:rPr>
          <w:vertAlign w:val="superscript"/>
        </w:rPr>
        <w:t xml:space="preserve">, </w:t>
      </w:r>
      <w:r w:rsidR="00954626" w:rsidRPr="00954626">
        <w:rPr>
          <w:rStyle w:val="FootnoteReference"/>
        </w:rPr>
        <w:footnoteReference w:id="24"/>
      </w:r>
      <w:r w:rsidR="00954626" w:rsidRPr="00954626">
        <w:rPr>
          <w:vertAlign w:val="superscript"/>
        </w:rPr>
        <w:t xml:space="preserve">, </w:t>
      </w:r>
      <w:r w:rsidR="00954626" w:rsidRPr="00954626">
        <w:rPr>
          <w:rStyle w:val="FootnoteReference"/>
        </w:rPr>
        <w:footnoteReference w:id="25"/>
      </w:r>
    </w:p>
    <w:p w:rsidR="00832D69" w:rsidRPr="00954626" w:rsidRDefault="00965592" w:rsidP="00D617D0">
      <w:r>
        <w:t>Raltegravir</w:t>
      </w:r>
      <w:r w:rsidRPr="00954626">
        <w:t xml:space="preserve"> </w:t>
      </w:r>
      <w:r w:rsidR="00832D69" w:rsidRPr="00954626">
        <w:t>is currently the only INSTI approved for us</w:t>
      </w:r>
      <w:r w:rsidR="00D617D0">
        <w:t xml:space="preserve">e in adults that requires twice </w:t>
      </w:r>
      <w:r w:rsidR="00832D69" w:rsidRPr="00954626">
        <w:t>daily dosing, a study of RTG administered once daily (</w:t>
      </w:r>
      <w:r w:rsidR="00D617D0">
        <w:t xml:space="preserve">QDMRK, </w:t>
      </w:r>
      <w:r w:rsidR="00D617D0" w:rsidRPr="00D617D0">
        <w:rPr>
          <w:i/>
        </w:rPr>
        <w:t>A Phase III Study of the Safety and Efficacy of Once Daily (QD) Versus Twice Daily (BID) Raltegravir (RAL) in Combination Therapy for Treatment-Naïve HIV-Infected Patients (Pts)</w:t>
      </w:r>
      <w:r w:rsidR="00832D69" w:rsidRPr="00954626">
        <w:t xml:space="preserve">) was terminated early due to the increase in rates in virological failure in the RTG QD arm compared to the RTG BID arm. To reduce pill burden, a number of ARVs are available in fixed-dose combinations; however, with such combinations patients may take an incomplete regimen, leading to the development of viral resistance and treatment failure. This risk is reduced if a complete treatment, </w:t>
      </w:r>
      <w:r w:rsidR="00700880" w:rsidRPr="00954626">
        <w:t>that is,</w:t>
      </w:r>
      <w:r w:rsidR="00832D69" w:rsidRPr="00954626">
        <w:t xml:space="preserve"> including 2 NRTIs plus an agent from another class, is available in an STR.</w:t>
      </w:r>
      <w:r w:rsidR="00841BE4" w:rsidRPr="00954626">
        <w:t xml:space="preserve"> </w:t>
      </w:r>
      <w:r>
        <w:t>E</w:t>
      </w:r>
      <w:r>
        <w:rPr>
          <w:rFonts w:eastAsiaTheme="minorEastAsia"/>
        </w:rPr>
        <w:t>lvitegravir</w:t>
      </w:r>
      <w:r w:rsidRPr="00954626">
        <w:t xml:space="preserve"> </w:t>
      </w:r>
      <w:r w:rsidR="00832D69" w:rsidRPr="00954626">
        <w:t xml:space="preserve">within the </w:t>
      </w:r>
      <w:r w:rsidR="005C5945" w:rsidRPr="00954626">
        <w:t xml:space="preserve">Stribild </w:t>
      </w:r>
      <w:r w:rsidR="00832D69" w:rsidRPr="00954626">
        <w:t xml:space="preserve">STR, only requires once daily dosing, and is the first INSTI to have demonstrated non inferior efficacy, with differentiated tolerability, against </w:t>
      </w:r>
      <w:r w:rsidR="00D617D0">
        <w:t>EFV and</w:t>
      </w:r>
      <w:r w:rsidR="00832D69" w:rsidRPr="00954626">
        <w:t xml:space="preserve"> </w:t>
      </w:r>
      <w:r w:rsidR="00CC292E" w:rsidRPr="00954626">
        <w:t>RTV</w:t>
      </w:r>
      <w:r w:rsidR="00832D69" w:rsidRPr="00954626">
        <w:t xml:space="preserve">-boosted </w:t>
      </w:r>
      <w:r w:rsidR="00700A07">
        <w:t xml:space="preserve">ATV </w:t>
      </w:r>
      <w:r w:rsidR="00832D69" w:rsidRPr="00954626">
        <w:t xml:space="preserve">in treatment-naïve patients (both combined with </w:t>
      </w:r>
      <w:r w:rsidR="00BB7072" w:rsidRPr="00954626">
        <w:t>TDF</w:t>
      </w:r>
      <w:r w:rsidR="00832D69" w:rsidRPr="00954626">
        <w:t xml:space="preserve"> and </w:t>
      </w:r>
      <w:r w:rsidR="00A2001C" w:rsidRPr="00954626">
        <w:t>FTC</w:t>
      </w:r>
      <w:r w:rsidR="00832D69" w:rsidRPr="00954626">
        <w:t>).</w:t>
      </w:r>
    </w:p>
    <w:p w:rsidR="00832D69" w:rsidRPr="00954626" w:rsidRDefault="00832D69" w:rsidP="00954626">
      <w:r w:rsidRPr="00954626">
        <w:t xml:space="preserve">No studies are currently available which have made a direct comparison between EVG/COBI and RTG. </w:t>
      </w:r>
    </w:p>
    <w:p w:rsidR="00832D69" w:rsidRPr="00832D69" w:rsidRDefault="00832D69" w:rsidP="00832D69">
      <w:r w:rsidRPr="00832D69">
        <w:t>Gilead</w:t>
      </w:r>
      <w:r w:rsidR="00841BE4">
        <w:t xml:space="preserve"> </w:t>
      </w:r>
      <w:r w:rsidRPr="00832D69">
        <w:t>has</w:t>
      </w:r>
      <w:r w:rsidR="00841BE4">
        <w:t xml:space="preserve"> </w:t>
      </w:r>
      <w:r w:rsidRPr="00832D69">
        <w:t>established the</w:t>
      </w:r>
      <w:r w:rsidR="00841BE4">
        <w:t xml:space="preserve"> </w:t>
      </w:r>
      <w:r w:rsidR="00965592">
        <w:t>q</w:t>
      </w:r>
      <w:r w:rsidRPr="00832D69">
        <w:t xml:space="preserve">uality, </w:t>
      </w:r>
      <w:r w:rsidR="00965592">
        <w:t>s</w:t>
      </w:r>
      <w:r w:rsidRPr="00832D69">
        <w:t>afety</w:t>
      </w:r>
      <w:r w:rsidR="00841BE4">
        <w:t xml:space="preserve"> </w:t>
      </w:r>
      <w:r w:rsidRPr="00832D69">
        <w:t>and</w:t>
      </w:r>
      <w:r w:rsidR="00841BE4">
        <w:t xml:space="preserve"> </w:t>
      </w:r>
      <w:r w:rsidR="00965592">
        <w:t>e</w:t>
      </w:r>
      <w:r w:rsidRPr="00832D69">
        <w:t>fficacy</w:t>
      </w:r>
      <w:r w:rsidR="00841BE4">
        <w:t xml:space="preserve"> </w:t>
      </w:r>
      <w:r w:rsidRPr="00832D69">
        <w:t>of</w:t>
      </w:r>
      <w:r w:rsidR="00841BE4">
        <w:t xml:space="preserve"> </w:t>
      </w:r>
      <w:r w:rsidR="005C5945">
        <w:t xml:space="preserve">Stribild </w:t>
      </w:r>
      <w:r w:rsidRPr="00832D69">
        <w:t>and</w:t>
      </w:r>
      <w:r w:rsidR="00841BE4">
        <w:t xml:space="preserve"> </w:t>
      </w:r>
      <w:r w:rsidRPr="00832D69">
        <w:t>believes</w:t>
      </w:r>
      <w:r w:rsidR="00841BE4">
        <w:t xml:space="preserve"> </w:t>
      </w:r>
      <w:r w:rsidRPr="00832D69">
        <w:t>that</w:t>
      </w:r>
      <w:r w:rsidR="00841BE4">
        <w:t xml:space="preserve"> </w:t>
      </w:r>
      <w:r w:rsidRPr="00832D69">
        <w:t>this</w:t>
      </w:r>
      <w:r w:rsidR="00841BE4">
        <w:t xml:space="preserve"> </w:t>
      </w:r>
      <w:r w:rsidRPr="00832D69">
        <w:t>novel</w:t>
      </w:r>
      <w:r>
        <w:t xml:space="preserve"> </w:t>
      </w:r>
      <w:r w:rsidRPr="00832D69">
        <w:t>integrase-based STR will provide healthcare providers in Australia with an important new therapeutic option for administration once-daily in treatment-naïve patients with HIV-1 infection.</w:t>
      </w:r>
    </w:p>
    <w:p w:rsidR="008E7846" w:rsidRDefault="008E7846" w:rsidP="008E7846">
      <w:pPr>
        <w:pStyle w:val="Heading4"/>
      </w:pPr>
      <w:r>
        <w:t>Advisory Committee Considerations</w:t>
      </w:r>
    </w:p>
    <w:p w:rsidR="009160D3" w:rsidRPr="009160D3" w:rsidRDefault="009160D3" w:rsidP="009160D3">
      <w:pPr>
        <w:rPr>
          <w:bCs/>
          <w:lang w:val="en-GB"/>
        </w:rPr>
      </w:pPr>
      <w:r w:rsidRPr="009160D3">
        <w:rPr>
          <w:bCs/>
          <w:lang w:val="en-GB"/>
        </w:rPr>
        <w:t xml:space="preserve">The ACPM provided the following </w:t>
      </w:r>
      <w:r>
        <w:rPr>
          <w:bCs/>
          <w:lang w:val="en-GB"/>
        </w:rPr>
        <w:t xml:space="preserve">advice in response to the </w:t>
      </w:r>
      <w:r w:rsidR="007D2DB0">
        <w:rPr>
          <w:bCs/>
          <w:lang w:val="en-GB"/>
        </w:rPr>
        <w:t xml:space="preserve">TGA </w:t>
      </w:r>
      <w:r>
        <w:rPr>
          <w:bCs/>
          <w:lang w:val="en-GB"/>
        </w:rPr>
        <w:t>D</w:t>
      </w:r>
      <w:r w:rsidRPr="009160D3">
        <w:rPr>
          <w:bCs/>
          <w:lang w:val="en-GB"/>
        </w:rPr>
        <w:t xml:space="preserve">elegate’s </w:t>
      </w:r>
      <w:r w:rsidR="00351541">
        <w:rPr>
          <w:bCs/>
          <w:lang w:val="en-GB"/>
        </w:rPr>
        <w:t xml:space="preserve">request for comment on five specific issues (see </w:t>
      </w:r>
      <w:r w:rsidR="00351541" w:rsidRPr="007D2DB0">
        <w:rPr>
          <w:bCs/>
          <w:i/>
          <w:lang w:val="en-GB"/>
        </w:rPr>
        <w:t>Delegate considerations</w:t>
      </w:r>
      <w:r w:rsidR="00351541">
        <w:rPr>
          <w:bCs/>
          <w:lang w:val="en-GB"/>
        </w:rPr>
        <w:t xml:space="preserve">, above): </w:t>
      </w:r>
    </w:p>
    <w:p w:rsidR="00351541" w:rsidRPr="00351541" w:rsidRDefault="00351541" w:rsidP="004B2530">
      <w:pPr>
        <w:pStyle w:val="Heading5"/>
      </w:pPr>
      <w:r w:rsidRPr="00351541">
        <w:t>Issue 1.</w:t>
      </w:r>
    </w:p>
    <w:p w:rsidR="009160D3" w:rsidRPr="00351541" w:rsidRDefault="009160D3" w:rsidP="00351541">
      <w:r w:rsidRPr="00351541">
        <w:t xml:space="preserve">The ACPM noted the </w:t>
      </w:r>
      <w:r w:rsidR="00351541" w:rsidRPr="00351541">
        <w:t>D</w:t>
      </w:r>
      <w:r w:rsidRPr="00351541">
        <w:t>elegate’s comment that this is the first instance of a fixed dose combination containing 4 active ingredients, 2 of which have non-linear kinetics. The ACPM did not see this as an issue. The ACPM noted that the clinical development program and submission strategy for S</w:t>
      </w:r>
      <w:r w:rsidR="007D2DB0" w:rsidRPr="00351541">
        <w:t>tribild</w:t>
      </w:r>
      <w:r w:rsidRPr="00351541">
        <w:t xml:space="preserve"> was discussed and considered acceptable at a pre-submission meeting with the TGA on 2 August 2011. </w:t>
      </w:r>
    </w:p>
    <w:p w:rsidR="009160D3" w:rsidRPr="009160D3" w:rsidRDefault="009160D3" w:rsidP="009160D3">
      <w:pPr>
        <w:rPr>
          <w:bCs/>
          <w:lang w:val="en-GB"/>
        </w:rPr>
      </w:pPr>
      <w:r w:rsidRPr="009160D3">
        <w:rPr>
          <w:bCs/>
          <w:lang w:val="en-GB"/>
        </w:rPr>
        <w:lastRenderedPageBreak/>
        <w:t>Current HIV treatment guidelines recommend that the treatment of HIV infection requires the use of a regimen including at least 3 active antiretroviral agents. Unlike combination therapies used to treat asthma or hypertension, no component dose titration is necessary. If TDM were to be used it would apply only to the EVG component and consideration of adjustment of the relative doses would not arise.</w:t>
      </w:r>
    </w:p>
    <w:p w:rsidR="00351541" w:rsidRPr="00846A2B" w:rsidRDefault="00351541" w:rsidP="004B2530">
      <w:pPr>
        <w:pStyle w:val="Heading5"/>
        <w:rPr>
          <w:lang w:val="en-GB"/>
        </w:rPr>
      </w:pPr>
      <w:r w:rsidRPr="00846A2B">
        <w:rPr>
          <w:lang w:val="en-GB"/>
        </w:rPr>
        <w:t>Issue 2:</w:t>
      </w:r>
    </w:p>
    <w:p w:rsidR="009160D3" w:rsidRDefault="009160D3" w:rsidP="009160D3">
      <w:pPr>
        <w:rPr>
          <w:bCs/>
          <w:lang w:val="en-GB"/>
        </w:rPr>
      </w:pPr>
      <w:r w:rsidRPr="009160D3">
        <w:rPr>
          <w:bCs/>
          <w:lang w:val="en-GB"/>
        </w:rPr>
        <w:t xml:space="preserve">While </w:t>
      </w:r>
      <w:r w:rsidR="00351541">
        <w:rPr>
          <w:bCs/>
          <w:lang w:val="en-GB"/>
        </w:rPr>
        <w:t xml:space="preserve">[the comments made by the Delegate at this point are] </w:t>
      </w:r>
      <w:r w:rsidRPr="009160D3">
        <w:rPr>
          <w:bCs/>
          <w:lang w:val="en-GB"/>
        </w:rPr>
        <w:t xml:space="preserve">true, this is a complete, stand-alone Category 1 application of a fixed dose combination that is supported by adequate efficacy, safety and quality data. There are 3 </w:t>
      </w:r>
      <w:proofErr w:type="spellStart"/>
      <w:r w:rsidRPr="009160D3">
        <w:rPr>
          <w:bCs/>
          <w:lang w:val="en-GB"/>
        </w:rPr>
        <w:t>antiretrovirals</w:t>
      </w:r>
      <w:proofErr w:type="spellEnd"/>
      <w:r w:rsidRPr="009160D3">
        <w:rPr>
          <w:bCs/>
          <w:lang w:val="en-GB"/>
        </w:rPr>
        <w:t xml:space="preserve"> (ARVs) in the combination. Two are already in widespread use. The third, EVG, with its PK enhancer is new. There are sufficient trial data and other data provided to make the application supportable. A potential problem with the lack of individual safety data on the two new chemical entities is that it may be difficult to identify the causative component if there is a severe adverse event.</w:t>
      </w:r>
    </w:p>
    <w:p w:rsidR="00351541" w:rsidRPr="00351541" w:rsidRDefault="00351541" w:rsidP="004B2530">
      <w:pPr>
        <w:pStyle w:val="Heading5"/>
        <w:rPr>
          <w:lang w:val="en-GB"/>
        </w:rPr>
      </w:pPr>
      <w:r w:rsidRPr="00351541">
        <w:rPr>
          <w:lang w:val="en-GB"/>
        </w:rPr>
        <w:t>Issue 3.</w:t>
      </w:r>
    </w:p>
    <w:p w:rsidR="009160D3" w:rsidRPr="009160D3" w:rsidRDefault="009160D3" w:rsidP="009160D3">
      <w:pPr>
        <w:rPr>
          <w:bCs/>
          <w:lang w:val="en-GB"/>
        </w:rPr>
      </w:pPr>
      <w:r w:rsidRPr="009160D3">
        <w:rPr>
          <w:bCs/>
          <w:lang w:val="en-GB"/>
        </w:rPr>
        <w:t xml:space="preserve">A justification for not conducting absolute bioavailability studies was provided and PSC advice is that this should not preclude registration. The clinical evaluator was in agreement. The solubility profile of </w:t>
      </w:r>
      <w:proofErr w:type="spellStart"/>
      <w:r w:rsidRPr="009160D3">
        <w:rPr>
          <w:bCs/>
          <w:lang w:val="en-GB"/>
        </w:rPr>
        <w:t>elvitegravir</w:t>
      </w:r>
      <w:proofErr w:type="spellEnd"/>
      <w:r w:rsidRPr="009160D3">
        <w:rPr>
          <w:bCs/>
          <w:lang w:val="en-GB"/>
        </w:rPr>
        <w:t xml:space="preserve">, in particular, renders the development of a </w:t>
      </w:r>
      <w:proofErr w:type="spellStart"/>
      <w:r w:rsidRPr="009160D3">
        <w:rPr>
          <w:bCs/>
          <w:lang w:val="en-GB"/>
        </w:rPr>
        <w:t>parenteral</w:t>
      </w:r>
      <w:proofErr w:type="spellEnd"/>
      <w:r w:rsidRPr="009160D3">
        <w:rPr>
          <w:bCs/>
          <w:lang w:val="en-GB"/>
        </w:rPr>
        <w:t xml:space="preserve"> formulation particularly challenging for suitable evaluation of its kinetics with IV administration for an absolute bioavailability study. The kinetics have been extensively characterised and suggest near complete absorption. </w:t>
      </w:r>
    </w:p>
    <w:p w:rsidR="00351541" w:rsidRPr="00351541" w:rsidRDefault="00351541" w:rsidP="004B2530">
      <w:pPr>
        <w:pStyle w:val="Heading5"/>
        <w:rPr>
          <w:lang w:val="en-GB"/>
        </w:rPr>
      </w:pPr>
      <w:r w:rsidRPr="00351541">
        <w:rPr>
          <w:lang w:val="en-GB"/>
        </w:rPr>
        <w:t>Issue 4.</w:t>
      </w:r>
    </w:p>
    <w:p w:rsidR="009160D3" w:rsidRPr="009160D3" w:rsidRDefault="009160D3" w:rsidP="009160D3">
      <w:pPr>
        <w:rPr>
          <w:bCs/>
          <w:lang w:val="en-GB"/>
        </w:rPr>
      </w:pPr>
      <w:r w:rsidRPr="009160D3">
        <w:rPr>
          <w:bCs/>
          <w:lang w:val="en-GB"/>
        </w:rPr>
        <w:t>The EVG component would be used when TDF and or FTC are not appropriate choices, usually either because of resistance or intolerance (or both). The approach is appropriate.</w:t>
      </w:r>
    </w:p>
    <w:p w:rsidR="00351541" w:rsidRPr="00351541" w:rsidRDefault="00351541" w:rsidP="004B2530">
      <w:pPr>
        <w:pStyle w:val="Heading5"/>
        <w:rPr>
          <w:lang w:val="en-GB"/>
        </w:rPr>
      </w:pPr>
      <w:r w:rsidRPr="00351541">
        <w:rPr>
          <w:lang w:val="en-GB"/>
        </w:rPr>
        <w:t>Issue 5.</w:t>
      </w:r>
    </w:p>
    <w:p w:rsidR="009160D3" w:rsidRPr="009160D3" w:rsidRDefault="009160D3" w:rsidP="009160D3">
      <w:pPr>
        <w:rPr>
          <w:bCs/>
          <w:lang w:val="en-GB"/>
        </w:rPr>
      </w:pPr>
      <w:proofErr w:type="spellStart"/>
      <w:r w:rsidRPr="009160D3">
        <w:rPr>
          <w:bCs/>
          <w:lang w:val="en-GB"/>
        </w:rPr>
        <w:t>Stribild</w:t>
      </w:r>
      <w:proofErr w:type="spellEnd"/>
      <w:r w:rsidRPr="009160D3">
        <w:rPr>
          <w:bCs/>
          <w:lang w:val="en-GB"/>
        </w:rPr>
        <w:t xml:space="preserve"> has been studied in comparison with other once a day combination strategies. There does not seem to be particular need to compare EVG/COBI with RTG. Patients failing either of these for reasons of resistance would not be likely to consider the other as an option.</w:t>
      </w:r>
    </w:p>
    <w:p w:rsidR="00846A2B" w:rsidRPr="00846A2B" w:rsidRDefault="00846A2B" w:rsidP="00846A2B">
      <w:pPr>
        <w:pStyle w:val="Heading5"/>
      </w:pPr>
      <w:r w:rsidRPr="00846A2B">
        <w:t xml:space="preserve">Advisory </w:t>
      </w:r>
      <w:r>
        <w:t>c</w:t>
      </w:r>
      <w:r w:rsidRPr="00846A2B">
        <w:t xml:space="preserve">ommittee </w:t>
      </w:r>
      <w:r>
        <w:t>advice</w:t>
      </w:r>
    </w:p>
    <w:p w:rsidR="008E7846" w:rsidRDefault="008E7846" w:rsidP="008E7846">
      <w:pPr>
        <w:rPr>
          <w:bCs/>
        </w:rPr>
      </w:pPr>
      <w:r>
        <w:rPr>
          <w:bCs/>
        </w:rPr>
        <w:t xml:space="preserve">The </w:t>
      </w:r>
      <w:r w:rsidRPr="001C5DFC">
        <w:rPr>
          <w:bCs/>
        </w:rPr>
        <w:t>AC</w:t>
      </w:r>
      <w:r>
        <w:rPr>
          <w:bCs/>
        </w:rPr>
        <w:t>PM, having considered the evaluations and the Delegate’s overview,</w:t>
      </w:r>
      <w:r w:rsidRPr="001C5DFC">
        <w:rPr>
          <w:bCs/>
        </w:rPr>
        <w:t xml:space="preserve"> </w:t>
      </w:r>
      <w:r>
        <w:rPr>
          <w:bCs/>
        </w:rPr>
        <w:t>as well as the sponsor’s response to these documents, advised the following:</w:t>
      </w:r>
    </w:p>
    <w:p w:rsidR="00BB59A3" w:rsidRDefault="00BB59A3" w:rsidP="00BB59A3">
      <w:pPr>
        <w:spacing w:after="240"/>
        <w:rPr>
          <w:rFonts w:cs="Calibri"/>
          <w:bCs/>
        </w:rPr>
      </w:pPr>
      <w:r>
        <w:rPr>
          <w:rFonts w:cs="Calibri"/>
        </w:rPr>
        <w:t>The ACPM, taking into account the submitted evidence of efficacy, safety and quality, considered this product to have an overall positive benefit – risk profile for the indication;</w:t>
      </w:r>
    </w:p>
    <w:p w:rsidR="00BB59A3" w:rsidRPr="00512626" w:rsidRDefault="005C5945" w:rsidP="00BB59A3">
      <w:pPr>
        <w:autoSpaceDE w:val="0"/>
        <w:autoSpaceDN w:val="0"/>
        <w:spacing w:after="240"/>
        <w:ind w:left="567"/>
        <w:rPr>
          <w:rFonts w:cs="Arial"/>
          <w:bCs/>
          <w:i/>
          <w:iCs/>
        </w:rPr>
      </w:pPr>
      <w:r w:rsidRPr="00512626">
        <w:rPr>
          <w:rFonts w:cs="Arial"/>
          <w:bCs/>
          <w:i/>
          <w:iCs/>
        </w:rPr>
        <w:t xml:space="preserve">Stribild </w:t>
      </w:r>
      <w:r w:rsidR="00BB59A3" w:rsidRPr="00512626">
        <w:rPr>
          <w:rFonts w:cs="Arial"/>
          <w:bCs/>
          <w:i/>
          <w:iCs/>
        </w:rPr>
        <w:t xml:space="preserve">is indicated as a fixed dose combination complete regimen for the treatment of HIV infection in adults who have no known mutations associated with resistance to the individual components of </w:t>
      </w:r>
      <w:r w:rsidR="00512626">
        <w:rPr>
          <w:rFonts w:cs="Arial"/>
          <w:bCs/>
          <w:i/>
          <w:iCs/>
        </w:rPr>
        <w:t>Stribild</w:t>
      </w:r>
      <w:r w:rsidR="00BB59A3" w:rsidRPr="00512626">
        <w:rPr>
          <w:rFonts w:cs="Arial"/>
          <w:bCs/>
          <w:i/>
          <w:iCs/>
        </w:rPr>
        <w:t xml:space="preserve">. </w:t>
      </w:r>
    </w:p>
    <w:p w:rsidR="00BB59A3" w:rsidRDefault="00BB59A3" w:rsidP="00BB59A3">
      <w:pPr>
        <w:autoSpaceDE w:val="0"/>
        <w:autoSpaceDN w:val="0"/>
        <w:spacing w:after="240"/>
        <w:rPr>
          <w:rFonts w:cs="Arial"/>
          <w:bCs/>
          <w:iCs/>
        </w:rPr>
      </w:pPr>
      <w:r>
        <w:rPr>
          <w:rFonts w:cs="Arial"/>
          <w:bCs/>
          <w:iCs/>
        </w:rPr>
        <w:t xml:space="preserve">In making this recommendation, the ACPM expressed concern that </w:t>
      </w:r>
      <w:r w:rsidR="005C1062">
        <w:rPr>
          <w:rFonts w:cs="Arial"/>
          <w:bCs/>
          <w:iCs/>
        </w:rPr>
        <w:t xml:space="preserve">2 </w:t>
      </w:r>
      <w:r>
        <w:rPr>
          <w:rFonts w:cs="Arial"/>
          <w:bCs/>
          <w:iCs/>
        </w:rPr>
        <w:t>of the individual active ingredients in this fixed dose combination have not been evaluated and that while the applications for the individual active ingredients have been submitted to the TGA it may be some time before these evaluations are finalised.</w:t>
      </w:r>
    </w:p>
    <w:p w:rsidR="00BB59A3" w:rsidRDefault="00BB59A3" w:rsidP="00BB59A3">
      <w:pPr>
        <w:autoSpaceDE w:val="0"/>
        <w:autoSpaceDN w:val="0"/>
        <w:spacing w:after="240"/>
        <w:rPr>
          <w:rFonts w:cs="Arial"/>
          <w:bCs/>
          <w:iCs/>
        </w:rPr>
      </w:pPr>
      <w:r>
        <w:rPr>
          <w:rFonts w:cs="Arial"/>
          <w:bCs/>
          <w:iCs/>
        </w:rPr>
        <w:t>The ACPM advised the following:</w:t>
      </w:r>
    </w:p>
    <w:p w:rsidR="00BB59A3" w:rsidRDefault="00BB59A3" w:rsidP="00BB59A3">
      <w:pPr>
        <w:pStyle w:val="ListParagraph"/>
        <w:numPr>
          <w:ilvl w:val="0"/>
          <w:numId w:val="25"/>
        </w:numPr>
        <w:autoSpaceDE w:val="0"/>
        <w:autoSpaceDN w:val="0"/>
        <w:spacing w:after="240"/>
        <w:ind w:left="567" w:hanging="283"/>
        <w:rPr>
          <w:rFonts w:cs="Arial"/>
          <w:bCs/>
          <w:iCs/>
          <w:szCs w:val="22"/>
          <w:lang w:val="en-GB"/>
        </w:rPr>
      </w:pPr>
      <w:r>
        <w:rPr>
          <w:rFonts w:cs="Arial"/>
          <w:bCs/>
          <w:iCs/>
          <w:szCs w:val="22"/>
          <w:lang w:val="en-GB"/>
        </w:rPr>
        <w:t>The ACPM’s standard advice on the need to titrate individual agents prior to commencement on a fixed dose combination does not apply in this instance, as the clinical context for combined medication regimens has been well established.</w:t>
      </w:r>
    </w:p>
    <w:p w:rsidR="00BB59A3" w:rsidRDefault="00BB59A3" w:rsidP="00BB59A3">
      <w:pPr>
        <w:pStyle w:val="ListParagraph"/>
        <w:numPr>
          <w:ilvl w:val="0"/>
          <w:numId w:val="25"/>
        </w:numPr>
        <w:autoSpaceDE w:val="0"/>
        <w:autoSpaceDN w:val="0"/>
        <w:adjustRightInd/>
        <w:snapToGrid/>
        <w:spacing w:after="240" w:line="240" w:lineRule="auto"/>
        <w:ind w:left="567" w:hanging="283"/>
        <w:rPr>
          <w:rFonts w:cs="Arial"/>
          <w:b/>
          <w:bCs/>
          <w:i/>
          <w:iCs/>
          <w:szCs w:val="22"/>
          <w:lang w:val="en-GB"/>
        </w:rPr>
      </w:pPr>
      <w:r>
        <w:rPr>
          <w:bCs/>
          <w:iCs/>
          <w:szCs w:val="22"/>
          <w:lang w:val="en-GB"/>
        </w:rPr>
        <w:lastRenderedPageBreak/>
        <w:t>That in the absence of individual assessment it will be difficult to determine the cause of an unusual side effect and this is a key consideration in the benefit-risk assessment for this product.</w:t>
      </w:r>
    </w:p>
    <w:p w:rsidR="00BB59A3" w:rsidRDefault="00BB59A3" w:rsidP="00BB59A3">
      <w:pPr>
        <w:rPr>
          <w:bCs/>
          <w:lang w:val="en-GB"/>
        </w:rPr>
      </w:pPr>
      <w:r>
        <w:rPr>
          <w:bCs/>
        </w:rPr>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BB59A3" w:rsidRDefault="00BB59A3" w:rsidP="00BB59A3">
      <w:pPr>
        <w:rPr>
          <w:bCs/>
        </w:rPr>
      </w:pPr>
      <w:r>
        <w:rPr>
          <w:bCs/>
        </w:rPr>
        <w:t xml:space="preserve">The ACPM expressed significant concern about the regulatory processes that allow parallel assessment of new chemical entities and fixed dose combination products containing the new chemical entities and recommends that policies be developed with industry to prevent this in the future. </w:t>
      </w:r>
    </w:p>
    <w:p w:rsidR="008E7846" w:rsidRPr="002E238E" w:rsidRDefault="008E7846" w:rsidP="008E7846">
      <w:pPr>
        <w:pStyle w:val="Heading3"/>
      </w:pPr>
      <w:bookmarkStart w:id="197" w:name="_Toc247691532"/>
      <w:bookmarkStart w:id="198" w:name="_Toc314842516"/>
      <w:bookmarkStart w:id="199" w:name="_Toc363456688"/>
      <w:bookmarkEnd w:id="162"/>
      <w:bookmarkEnd w:id="195"/>
      <w:bookmarkEnd w:id="196"/>
      <w:r>
        <w:t>Outcome</w:t>
      </w:r>
      <w:bookmarkEnd w:id="197"/>
      <w:bookmarkEnd w:id="198"/>
      <w:bookmarkEnd w:id="199"/>
    </w:p>
    <w:p w:rsidR="008E7846" w:rsidRDefault="008E7846" w:rsidP="003F2F24">
      <w:pPr>
        <w:keepNext/>
        <w:keepLines/>
        <w:widowControl w:val="0"/>
      </w:pPr>
      <w:r>
        <w:t xml:space="preserve">Based on a review of quality, safety and efficacy, TGA approved the registration of </w:t>
      </w:r>
      <w:r w:rsidR="003F2F24">
        <w:t>Strib</w:t>
      </w:r>
      <w:r w:rsidR="00876227">
        <w:t>i</w:t>
      </w:r>
      <w:r w:rsidR="003F2F24">
        <w:t xml:space="preserve">ld </w:t>
      </w:r>
      <w:r w:rsidR="00965592">
        <w:t xml:space="preserve">fixed dose combination </w:t>
      </w:r>
      <w:r w:rsidR="003F2F24">
        <w:t>tablets</w:t>
      </w:r>
      <w:r w:rsidR="00965592">
        <w:t>,</w:t>
      </w:r>
      <w:r w:rsidR="003F2F24">
        <w:t xml:space="preserve"> containing 300 mg </w:t>
      </w:r>
      <w:r w:rsidR="00A2001C">
        <w:t>TDF</w:t>
      </w:r>
      <w:r w:rsidR="003F2F24">
        <w:t xml:space="preserve">, 200 mg </w:t>
      </w:r>
      <w:r w:rsidR="00A2001C">
        <w:t>FTC</w:t>
      </w:r>
      <w:r w:rsidR="003F2F24">
        <w:t xml:space="preserve">, 150 mg </w:t>
      </w:r>
      <w:r w:rsidR="00BB2DAA">
        <w:t xml:space="preserve">EVG </w:t>
      </w:r>
      <w:r w:rsidR="00965592">
        <w:t>and 150 </w:t>
      </w:r>
      <w:r w:rsidR="003F2F24">
        <w:t xml:space="preserve">mg </w:t>
      </w:r>
      <w:r w:rsidR="00A2001C">
        <w:t>COBI</w:t>
      </w:r>
      <w:r>
        <w:t>, indicated for:</w:t>
      </w:r>
    </w:p>
    <w:p w:rsidR="003F2F24" w:rsidRPr="003F2F24" w:rsidRDefault="005C5945" w:rsidP="003F2F24">
      <w:pPr>
        <w:ind w:left="720"/>
        <w:rPr>
          <w:i/>
        </w:rPr>
      </w:pPr>
      <w:r>
        <w:rPr>
          <w:i/>
        </w:rPr>
        <w:t xml:space="preserve">Stribild </w:t>
      </w:r>
      <w:r w:rsidR="003F2F24" w:rsidRPr="003F2F24">
        <w:rPr>
          <w:i/>
        </w:rPr>
        <w:t>is indicated as a single tablet regimen for the treatment of HIV</w:t>
      </w:r>
      <w:r w:rsidR="00965592">
        <w:rPr>
          <w:i/>
        </w:rPr>
        <w:t xml:space="preserve"> </w:t>
      </w:r>
      <w:r w:rsidR="003F2F24" w:rsidRPr="003F2F24">
        <w:rPr>
          <w:i/>
        </w:rPr>
        <w:t>infection in treatment-</w:t>
      </w:r>
      <w:r w:rsidR="007553B1" w:rsidRPr="007553B1">
        <w:rPr>
          <w:i/>
        </w:rPr>
        <w:t>naïve</w:t>
      </w:r>
      <w:r w:rsidR="003F2F24" w:rsidRPr="003F2F24">
        <w:rPr>
          <w:i/>
        </w:rPr>
        <w:t xml:space="preserve"> adults.</w:t>
      </w:r>
    </w:p>
    <w:p w:rsidR="008E7846" w:rsidRDefault="005C5945" w:rsidP="003F2F24">
      <w:pPr>
        <w:ind w:left="720"/>
        <w:rPr>
          <w:i/>
        </w:rPr>
      </w:pPr>
      <w:r>
        <w:rPr>
          <w:i/>
        </w:rPr>
        <w:t xml:space="preserve">Stribild </w:t>
      </w:r>
      <w:r w:rsidR="003F2F24" w:rsidRPr="003F2F24">
        <w:rPr>
          <w:i/>
        </w:rPr>
        <w:t>is a fixed dose combination of one</w:t>
      </w:r>
      <w:r w:rsidR="00965592">
        <w:rPr>
          <w:i/>
        </w:rPr>
        <w:t xml:space="preserve"> </w:t>
      </w:r>
      <w:r w:rsidR="003F2F24" w:rsidRPr="003F2F24">
        <w:rPr>
          <w:i/>
        </w:rPr>
        <w:t>integrase</w:t>
      </w:r>
      <w:r w:rsidR="00965592">
        <w:rPr>
          <w:i/>
        </w:rPr>
        <w:t xml:space="preserve"> </w:t>
      </w:r>
      <w:r w:rsidR="003F2F24" w:rsidRPr="003F2F24">
        <w:rPr>
          <w:i/>
        </w:rPr>
        <w:t>inhibitor, one pharmacokinetic enhancer and two nucleos(t)ide HIV-I reverse transcriptase inhibitors.</w:t>
      </w:r>
    </w:p>
    <w:p w:rsidR="003F2F24" w:rsidRDefault="003F2F24" w:rsidP="004B2530">
      <w:pPr>
        <w:pStyle w:val="Heading4"/>
      </w:pPr>
      <w:bookmarkStart w:id="200" w:name="_Toc247691533"/>
      <w:bookmarkStart w:id="201" w:name="_Toc314842517"/>
      <w:r>
        <w:t xml:space="preserve">Specific Conditions Applying to these Therapeutic Goods </w:t>
      </w:r>
    </w:p>
    <w:p w:rsidR="003F2F24" w:rsidRDefault="003F2F24" w:rsidP="005F6333">
      <w:r w:rsidRPr="005F6333">
        <w:t xml:space="preserve">The implementation in Australia of the </w:t>
      </w:r>
      <w:r w:rsidR="005C5945" w:rsidRPr="005F6333">
        <w:t xml:space="preserve">Stribild </w:t>
      </w:r>
      <w:r w:rsidRPr="005F6333">
        <w:t>-300</w:t>
      </w:r>
      <w:r w:rsidR="00BB59A3" w:rsidRPr="005F6333">
        <w:t xml:space="preserve"> </w:t>
      </w:r>
      <w:r w:rsidRPr="005F6333">
        <w:t xml:space="preserve">mg </w:t>
      </w:r>
      <w:r w:rsidR="00A2001C" w:rsidRPr="005F6333">
        <w:t>TDF</w:t>
      </w:r>
      <w:r w:rsidRPr="005F6333">
        <w:t xml:space="preserve">, 200 mg </w:t>
      </w:r>
      <w:r w:rsidR="00A2001C" w:rsidRPr="005F6333">
        <w:t>FTC</w:t>
      </w:r>
      <w:r w:rsidRPr="005F6333">
        <w:t xml:space="preserve">, 150 mg </w:t>
      </w:r>
      <w:r w:rsidR="00BB2DAA" w:rsidRPr="005F6333">
        <w:t xml:space="preserve">EVG </w:t>
      </w:r>
      <w:r w:rsidRPr="005F6333">
        <w:t xml:space="preserve">and 150 mg </w:t>
      </w:r>
      <w:r w:rsidR="00A2001C" w:rsidRPr="005F6333">
        <w:t>COBI</w:t>
      </w:r>
      <w:r w:rsidRPr="005F6333">
        <w:t xml:space="preserve"> tablet Australian Risk Management Plan Version: 0.1, dated 24 November 2011, to be revised as specified in correspondence to the OPR</w:t>
      </w:r>
      <w:r w:rsidR="00965592" w:rsidRPr="005F6333">
        <w:t xml:space="preserve"> </w:t>
      </w:r>
      <w:r w:rsidRPr="005F6333">
        <w:t xml:space="preserve">dated 18 December 2012 and 16 </w:t>
      </w:r>
      <w:r w:rsidR="005833FC" w:rsidRPr="005F6333">
        <w:t>January</w:t>
      </w:r>
      <w:r w:rsidRPr="005F6333">
        <w:t xml:space="preserve"> 2013 included with submission PM-2011-03533-3-2, and any subsequent revisions, as agreed with the TGA and its </w:t>
      </w:r>
      <w:r w:rsidR="00965592" w:rsidRPr="005F6333">
        <w:t>OPR</w:t>
      </w:r>
      <w:r w:rsidRPr="005F6333">
        <w:t>.</w:t>
      </w:r>
    </w:p>
    <w:p w:rsidR="00E84AB7" w:rsidRDefault="00E84AB7" w:rsidP="00E84AB7">
      <w:pPr>
        <w:pStyle w:val="Heading3"/>
      </w:pPr>
      <w:bookmarkStart w:id="202" w:name="_Toc363456689"/>
      <w:r w:rsidRPr="00E84AB7">
        <w:t>Request for Review under Section 60 of the Therapeutic Goods Act 1989</w:t>
      </w:r>
      <w:bookmarkEnd w:id="202"/>
    </w:p>
    <w:p w:rsidR="00E84AB7" w:rsidRPr="00E84AB7" w:rsidRDefault="00E84AB7" w:rsidP="00E84AB7">
      <w:r>
        <w:t>On 7</w:t>
      </w:r>
      <w:r w:rsidRPr="00E84AB7">
        <w:rPr>
          <w:vertAlign w:val="superscript"/>
        </w:rPr>
        <w:t>th</w:t>
      </w:r>
      <w:r>
        <w:t xml:space="preserve"> May 2013, the sponsor </w:t>
      </w:r>
      <w:r w:rsidR="00AD3472">
        <w:t xml:space="preserve">requested </w:t>
      </w:r>
      <w:r w:rsidRPr="00E84AB7">
        <w:t>review by the Minister for Health/Parliamentary Secretary to the Minister for Health of the decision (the initial decision), dated 7</w:t>
      </w:r>
      <w:r w:rsidR="006E4565" w:rsidRPr="006E4565">
        <w:rPr>
          <w:vertAlign w:val="superscript"/>
        </w:rPr>
        <w:t>th</w:t>
      </w:r>
      <w:r w:rsidR="006E4565">
        <w:t xml:space="preserve"> </w:t>
      </w:r>
      <w:r w:rsidRPr="00E84AB7">
        <w:t xml:space="preserve">February 2013 under section 25 of the </w:t>
      </w:r>
      <w:r w:rsidRPr="00E84AB7">
        <w:rPr>
          <w:i/>
          <w:iCs/>
        </w:rPr>
        <w:t xml:space="preserve">Therapeutic Goods Act 1989 </w:t>
      </w:r>
      <w:r w:rsidRPr="00E84AB7">
        <w:t>[C</w:t>
      </w:r>
      <w:r w:rsidR="0048436A">
        <w:t>ommonwealth</w:t>
      </w:r>
      <w:r w:rsidRPr="00E84AB7">
        <w:t>] (the Act), to approve the registration of S</w:t>
      </w:r>
      <w:r w:rsidR="00AD3472" w:rsidRPr="00E84AB7">
        <w:t>tribild</w:t>
      </w:r>
      <w:r w:rsidRPr="00E84AB7">
        <w:t xml:space="preserve"> with the indication statement as follows: </w:t>
      </w:r>
    </w:p>
    <w:p w:rsidR="00E84AB7" w:rsidRPr="00AD3472" w:rsidRDefault="00E84AB7" w:rsidP="00AD3472">
      <w:pPr>
        <w:ind w:left="720"/>
        <w:rPr>
          <w:i/>
        </w:rPr>
      </w:pPr>
      <w:r w:rsidRPr="00AD3472">
        <w:rPr>
          <w:i/>
        </w:rPr>
        <w:t xml:space="preserve">“STRIBILD is indicated as a single tablet regimen for the treatment of HIV infection in treatment-naive adults. </w:t>
      </w:r>
    </w:p>
    <w:p w:rsidR="00AD3472" w:rsidRDefault="00AD3472" w:rsidP="00AD3472">
      <w:pPr>
        <w:ind w:left="720"/>
        <w:rPr>
          <w:i/>
        </w:rPr>
      </w:pPr>
      <w:r w:rsidRPr="00AD3472">
        <w:rPr>
          <w:i/>
        </w:rPr>
        <w:t xml:space="preserve">STRIBILD is a fixed dose combination of one </w:t>
      </w:r>
      <w:proofErr w:type="spellStart"/>
      <w:r w:rsidRPr="00AD3472">
        <w:rPr>
          <w:i/>
        </w:rPr>
        <w:t>integrase</w:t>
      </w:r>
      <w:proofErr w:type="spellEnd"/>
      <w:r w:rsidRPr="00AD3472">
        <w:rPr>
          <w:i/>
        </w:rPr>
        <w:t xml:space="preserve"> inhibitor, one pharmacokinetic enhancer and two </w:t>
      </w:r>
      <w:proofErr w:type="spellStart"/>
      <w:r w:rsidRPr="00AD3472">
        <w:rPr>
          <w:i/>
        </w:rPr>
        <w:t>nucleos</w:t>
      </w:r>
      <w:proofErr w:type="spellEnd"/>
      <w:r w:rsidRPr="00AD3472">
        <w:rPr>
          <w:i/>
        </w:rPr>
        <w:t>(t)</w:t>
      </w:r>
      <w:proofErr w:type="spellStart"/>
      <w:r w:rsidRPr="00AD3472">
        <w:rPr>
          <w:i/>
        </w:rPr>
        <w:t>ide</w:t>
      </w:r>
      <w:proofErr w:type="spellEnd"/>
      <w:r w:rsidRPr="00AD3472">
        <w:rPr>
          <w:i/>
        </w:rPr>
        <w:t xml:space="preserve"> HIV-1 reverse transcriptase inhibitors.”</w:t>
      </w:r>
    </w:p>
    <w:p w:rsidR="000172F5" w:rsidRDefault="000172F5" w:rsidP="00E15D98">
      <w:pPr>
        <w:pStyle w:val="Heading4"/>
      </w:pPr>
      <w:r w:rsidRPr="000172F5">
        <w:t>Delegate's Decision Being Appealed</w:t>
      </w:r>
    </w:p>
    <w:p w:rsidR="00A8320F" w:rsidRDefault="00A8320F" w:rsidP="00AD3472">
      <w:r>
        <w:t xml:space="preserve">The basis of the sponsor’s request for the initial decision to be reviewed </w:t>
      </w:r>
      <w:r w:rsidR="006D411D">
        <w:t>i</w:t>
      </w:r>
      <w:r>
        <w:t xml:space="preserve">s as follows: </w:t>
      </w:r>
    </w:p>
    <w:p w:rsidR="00AD3472" w:rsidRPr="00AD3472" w:rsidRDefault="000172F5" w:rsidP="00AD3472">
      <w:r w:rsidRPr="000172F5">
        <w:t xml:space="preserve">Gilead </w:t>
      </w:r>
      <w:r w:rsidR="00AD3472" w:rsidRPr="00AD3472">
        <w:t>sought approval for the registration of</w:t>
      </w:r>
      <w:r w:rsidR="00AD3472">
        <w:t xml:space="preserve"> </w:t>
      </w:r>
      <w:r w:rsidR="00AD3472" w:rsidRPr="00AD3472">
        <w:t>Stribild tablets with the indication;</w:t>
      </w:r>
    </w:p>
    <w:p w:rsidR="00AD3472" w:rsidRPr="00AD3472" w:rsidRDefault="00AD3472" w:rsidP="00AD3472">
      <w:pPr>
        <w:ind w:left="720"/>
        <w:rPr>
          <w:i/>
        </w:rPr>
      </w:pPr>
      <w:r>
        <w:rPr>
          <w:i/>
        </w:rPr>
        <w:t>“</w:t>
      </w:r>
      <w:r w:rsidRPr="00AD3472">
        <w:rPr>
          <w:i/>
        </w:rPr>
        <w:t>S</w:t>
      </w:r>
      <w:r>
        <w:rPr>
          <w:i/>
        </w:rPr>
        <w:t xml:space="preserve">tribild </w:t>
      </w:r>
      <w:r w:rsidRPr="00AD3472">
        <w:rPr>
          <w:i/>
        </w:rPr>
        <w:t>is indicated as a complete re</w:t>
      </w:r>
      <w:r>
        <w:rPr>
          <w:i/>
        </w:rPr>
        <w:t>gimen for the treat</w:t>
      </w:r>
      <w:r w:rsidRPr="00AD3472">
        <w:rPr>
          <w:i/>
        </w:rPr>
        <w:t>ment of HIV in</w:t>
      </w:r>
      <w:r>
        <w:rPr>
          <w:i/>
        </w:rPr>
        <w:t>f</w:t>
      </w:r>
      <w:r w:rsidRPr="00AD3472">
        <w:rPr>
          <w:i/>
        </w:rPr>
        <w:t>ection in</w:t>
      </w:r>
      <w:r>
        <w:rPr>
          <w:i/>
        </w:rPr>
        <w:t xml:space="preserve"> </w:t>
      </w:r>
      <w:r w:rsidRPr="00AD3472">
        <w:rPr>
          <w:i/>
        </w:rPr>
        <w:t>adults who have no known mu</w:t>
      </w:r>
      <w:r>
        <w:rPr>
          <w:i/>
        </w:rPr>
        <w:t xml:space="preserve">tations </w:t>
      </w:r>
      <w:r w:rsidRPr="00AD3472">
        <w:rPr>
          <w:i/>
        </w:rPr>
        <w:t xml:space="preserve">associated with resistance </w:t>
      </w:r>
      <w:r>
        <w:rPr>
          <w:i/>
        </w:rPr>
        <w:t xml:space="preserve">to </w:t>
      </w:r>
      <w:r w:rsidRPr="00AD3472">
        <w:rPr>
          <w:i/>
        </w:rPr>
        <w:t>the individ</w:t>
      </w:r>
      <w:r>
        <w:rPr>
          <w:i/>
        </w:rPr>
        <w:t xml:space="preserve">ual </w:t>
      </w:r>
      <w:r w:rsidRPr="00AD3472">
        <w:rPr>
          <w:i/>
        </w:rPr>
        <w:t xml:space="preserve">components </w:t>
      </w:r>
      <w:r>
        <w:rPr>
          <w:i/>
        </w:rPr>
        <w:t>of Stribild.”</w:t>
      </w:r>
    </w:p>
    <w:p w:rsidR="00AD3472" w:rsidRDefault="00AD3472" w:rsidP="00AD3472">
      <w:r w:rsidRPr="00AD3472">
        <w:lastRenderedPageBreak/>
        <w:t xml:space="preserve">Following evaluation of this application, the TGA Delegate approved </w:t>
      </w:r>
      <w:r>
        <w:t>Stribild t</w:t>
      </w:r>
      <w:r w:rsidRPr="00AD3472">
        <w:t>ablets with</w:t>
      </w:r>
      <w:r>
        <w:t xml:space="preserve"> </w:t>
      </w:r>
      <w:r w:rsidRPr="00AD3472">
        <w:t>the indication;</w:t>
      </w:r>
    </w:p>
    <w:p w:rsidR="00AD3472" w:rsidRPr="00AD3472" w:rsidRDefault="00AD3472" w:rsidP="00AD3472">
      <w:pPr>
        <w:ind w:left="720"/>
        <w:rPr>
          <w:i/>
        </w:rPr>
      </w:pPr>
      <w:r w:rsidRPr="00AD3472">
        <w:rPr>
          <w:i/>
        </w:rPr>
        <w:t xml:space="preserve">“STRIBILD is indicated as a single tablet regimen for the treatment of HIV infection in treatment-naive adults. STRIBILD is a fixed dose combination of one </w:t>
      </w:r>
      <w:proofErr w:type="spellStart"/>
      <w:r w:rsidRPr="00AD3472">
        <w:rPr>
          <w:i/>
        </w:rPr>
        <w:t>integrase</w:t>
      </w:r>
      <w:proofErr w:type="spellEnd"/>
      <w:r w:rsidRPr="00AD3472">
        <w:rPr>
          <w:i/>
        </w:rPr>
        <w:t xml:space="preserve"> inhibitor, one pharmacokinetic enhancer and two </w:t>
      </w:r>
      <w:proofErr w:type="spellStart"/>
      <w:r w:rsidRPr="00AD3472">
        <w:rPr>
          <w:i/>
        </w:rPr>
        <w:t>nucleos</w:t>
      </w:r>
      <w:proofErr w:type="spellEnd"/>
      <w:r w:rsidRPr="00AD3472">
        <w:rPr>
          <w:i/>
        </w:rPr>
        <w:t>(t)</w:t>
      </w:r>
      <w:proofErr w:type="spellStart"/>
      <w:r w:rsidRPr="00AD3472">
        <w:rPr>
          <w:i/>
        </w:rPr>
        <w:t>ide</w:t>
      </w:r>
      <w:proofErr w:type="spellEnd"/>
      <w:r w:rsidRPr="00AD3472">
        <w:rPr>
          <w:i/>
        </w:rPr>
        <w:t xml:space="preserve"> HIV-1 reverse transcriptase inhibitors.”</w:t>
      </w:r>
    </w:p>
    <w:p w:rsidR="00AD3472" w:rsidRPr="00AD3472" w:rsidRDefault="00AD3472" w:rsidP="00AD3472">
      <w:r w:rsidRPr="00AD3472">
        <w:t xml:space="preserve">and failed to approve the following indication as </w:t>
      </w:r>
      <w:r>
        <w:t xml:space="preserve">proposed </w:t>
      </w:r>
      <w:r w:rsidRPr="00AD3472">
        <w:t>by the ACPM</w:t>
      </w:r>
      <w:r w:rsidR="000172F5">
        <w:t>:</w:t>
      </w:r>
    </w:p>
    <w:p w:rsidR="00AD3472" w:rsidRPr="00AD3472" w:rsidRDefault="00AD3472" w:rsidP="00AD3472">
      <w:pPr>
        <w:ind w:left="720"/>
        <w:rPr>
          <w:i/>
        </w:rPr>
      </w:pPr>
      <w:r w:rsidRPr="00AD3472">
        <w:rPr>
          <w:i/>
        </w:rPr>
        <w:t>"Stribild is indicated as a fixed dose combination complete regimen for the treatment of HIV infection in adults who have no known mutations associated with resistance to the individual components of Stribild".</w:t>
      </w:r>
    </w:p>
    <w:p w:rsidR="00AD3472" w:rsidRPr="00AD3472" w:rsidRDefault="00AD3472" w:rsidP="00AD3472">
      <w:r w:rsidRPr="00AD3472">
        <w:t xml:space="preserve">While </w:t>
      </w:r>
      <w:r w:rsidR="000172F5" w:rsidRPr="000172F5">
        <w:t xml:space="preserve">Gilead </w:t>
      </w:r>
      <w:r w:rsidRPr="00AD3472">
        <w:t xml:space="preserve">agrees with the TGA decision to approve Stribild </w:t>
      </w:r>
      <w:r>
        <w:t>t</w:t>
      </w:r>
      <w:r w:rsidRPr="00AD3472">
        <w:t>ablets, it disagrees with the</w:t>
      </w:r>
      <w:r>
        <w:t xml:space="preserve"> </w:t>
      </w:r>
      <w:r w:rsidRPr="00AD3472">
        <w:t>wording of the TGA approved indication and believes the Delegate did not give due</w:t>
      </w:r>
      <w:r>
        <w:t xml:space="preserve"> </w:t>
      </w:r>
      <w:r w:rsidRPr="00AD3472">
        <w:t>consideration to the indication as proposed by the ACPM. The ACPM arrived at their</w:t>
      </w:r>
      <w:r>
        <w:t xml:space="preserve"> </w:t>
      </w:r>
      <w:r w:rsidRPr="00AD3472">
        <w:t>recommendation following review of the data package, the pre</w:t>
      </w:r>
      <w:r>
        <w:t>-AC</w:t>
      </w:r>
      <w:r w:rsidRPr="00AD3472">
        <w:t>PM response, the comments</w:t>
      </w:r>
      <w:r>
        <w:t xml:space="preserve"> </w:t>
      </w:r>
      <w:r w:rsidRPr="00AD3472">
        <w:t>made by the evaluators and the concerns outlined by the Delegate. The ACPM noted that the</w:t>
      </w:r>
      <w:r>
        <w:t xml:space="preserve"> </w:t>
      </w:r>
      <w:r w:rsidRPr="00AD3472">
        <w:t xml:space="preserve">pivotal </w:t>
      </w:r>
      <w:r>
        <w:t>P</w:t>
      </w:r>
      <w:r w:rsidRPr="00AD3472">
        <w:t xml:space="preserve">hase </w:t>
      </w:r>
      <w:r>
        <w:t>III</w:t>
      </w:r>
      <w:r w:rsidRPr="00AD3472">
        <w:t xml:space="preserve"> studies demonstrated clinical efficacy and safety within treatment </w:t>
      </w:r>
      <w:r w:rsidR="00644AA3">
        <w:t xml:space="preserve">naïve patients, however, the ACPM </w:t>
      </w:r>
      <w:r w:rsidRPr="00AD3472">
        <w:t xml:space="preserve">did not recommend a restriction of the indication to </w:t>
      </w:r>
      <w:r w:rsidR="00644AA3">
        <w:t xml:space="preserve">the naïve </w:t>
      </w:r>
      <w:r w:rsidRPr="00AD3472">
        <w:t>population for</w:t>
      </w:r>
      <w:r w:rsidR="00644AA3">
        <w:t xml:space="preserve"> </w:t>
      </w:r>
      <w:r w:rsidRPr="00AD3472">
        <w:t>Australian Prescribers.</w:t>
      </w:r>
    </w:p>
    <w:p w:rsidR="00AD3472" w:rsidRPr="00AD3472" w:rsidRDefault="00644AA3" w:rsidP="00AD3472">
      <w:r>
        <w:t xml:space="preserve">The sponsor </w:t>
      </w:r>
      <w:r w:rsidR="00AD3472" w:rsidRPr="00AD3472">
        <w:t>believes that the ACPM recommended indication is more appropriate as it leaves the</w:t>
      </w:r>
      <w:r>
        <w:t xml:space="preserve"> </w:t>
      </w:r>
      <w:r w:rsidR="00AD3472" w:rsidRPr="00AD3472">
        <w:t xml:space="preserve">choice of whether to use </w:t>
      </w:r>
      <w:r w:rsidRPr="00644AA3">
        <w:t xml:space="preserve">Stribild </w:t>
      </w:r>
      <w:r w:rsidR="00AD3472" w:rsidRPr="00AD3472">
        <w:t>in this patient population in the hands of</w:t>
      </w:r>
      <w:r>
        <w:t xml:space="preserve"> the prescr</w:t>
      </w:r>
      <w:r w:rsidR="00AD3472" w:rsidRPr="00AD3472">
        <w:t>ibers.</w:t>
      </w:r>
    </w:p>
    <w:p w:rsidR="00AD3472" w:rsidRPr="00AD3472" w:rsidRDefault="000172F5" w:rsidP="00AD3472">
      <w:r w:rsidRPr="000172F5">
        <w:t xml:space="preserve">Gilead </w:t>
      </w:r>
      <w:r w:rsidR="00AD3472" w:rsidRPr="00AD3472">
        <w:t>therefore requests reconsideration of</w:t>
      </w:r>
      <w:r w:rsidR="00A00A99">
        <w:t xml:space="preserve"> </w:t>
      </w:r>
      <w:r w:rsidR="00AD3472" w:rsidRPr="00AD3472">
        <w:t>the wording of the approved indication, to re</w:t>
      </w:r>
      <w:r w:rsidR="00A00A99">
        <w:t xml:space="preserve">flect </w:t>
      </w:r>
      <w:r w:rsidR="00AD3472" w:rsidRPr="00AD3472">
        <w:t>the</w:t>
      </w:r>
      <w:r w:rsidR="00A00A99">
        <w:t xml:space="preserve"> </w:t>
      </w:r>
      <w:r w:rsidR="00AD3472" w:rsidRPr="00AD3472">
        <w:t>ACPM recommendation, taking into account subsequent negotiations with the TGA</w:t>
      </w:r>
      <w:r w:rsidR="00A00A99">
        <w:t xml:space="preserve"> </w:t>
      </w:r>
      <w:r w:rsidR="00AD3472" w:rsidRPr="00AD3472">
        <w:t>Delegate</w:t>
      </w:r>
      <w:r w:rsidR="00CF5A38">
        <w:t>,</w:t>
      </w:r>
      <w:r w:rsidR="00AD3472" w:rsidRPr="00AD3472">
        <w:t xml:space="preserve"> as follows: </w:t>
      </w:r>
    </w:p>
    <w:p w:rsidR="00AD3472" w:rsidRPr="006E4565" w:rsidRDefault="006E4565" w:rsidP="006E4565">
      <w:pPr>
        <w:ind w:left="720"/>
        <w:rPr>
          <w:i/>
        </w:rPr>
      </w:pPr>
      <w:r w:rsidRPr="006E4565">
        <w:rPr>
          <w:i/>
        </w:rPr>
        <w:t xml:space="preserve">“Stribild </w:t>
      </w:r>
      <w:r w:rsidR="00AD3472" w:rsidRPr="006E4565">
        <w:rPr>
          <w:i/>
        </w:rPr>
        <w:t>is indicated as a</w:t>
      </w:r>
      <w:r w:rsidRPr="006E4565">
        <w:rPr>
          <w:i/>
        </w:rPr>
        <w:t xml:space="preserve"> single tablet regimen for the t</w:t>
      </w:r>
      <w:r w:rsidR="00AD3472" w:rsidRPr="006E4565">
        <w:rPr>
          <w:i/>
        </w:rPr>
        <w:t>reatment of HIV infection in adults</w:t>
      </w:r>
      <w:r w:rsidRPr="006E4565">
        <w:rPr>
          <w:i/>
        </w:rPr>
        <w:t xml:space="preserve"> </w:t>
      </w:r>
      <w:r w:rsidR="00AD3472" w:rsidRPr="006E4565">
        <w:rPr>
          <w:i/>
        </w:rPr>
        <w:t>who have no known mutations associated with resistance</w:t>
      </w:r>
      <w:r w:rsidRPr="006E4565">
        <w:rPr>
          <w:i/>
        </w:rPr>
        <w:t xml:space="preserve"> to the individual components of Stribild.”</w:t>
      </w:r>
    </w:p>
    <w:p w:rsidR="006E4565" w:rsidRDefault="000172F5" w:rsidP="000172F5">
      <w:pPr>
        <w:pStyle w:val="Heading5"/>
      </w:pPr>
      <w:r w:rsidRPr="000172F5">
        <w:t>Basis of the Appeal</w:t>
      </w:r>
    </w:p>
    <w:p w:rsidR="006E4565" w:rsidRDefault="006E4565" w:rsidP="006E4565">
      <w:r>
        <w:t xml:space="preserve">Gilead believes in providing patients who are in need of antiviral treatments with the best therapeutic options available. The Indication statement is critical in defining patient access, </w:t>
      </w:r>
      <w:r w:rsidR="000172F5">
        <w:t>es</w:t>
      </w:r>
      <w:r>
        <w:t>pecially in a constantly evolving r</w:t>
      </w:r>
      <w:r w:rsidR="000172F5">
        <w:t>ei</w:t>
      </w:r>
      <w:r>
        <w:t>mbursement environment. As such Gilead considers that</w:t>
      </w:r>
      <w:r w:rsidR="000172F5">
        <w:t xml:space="preserve"> </w:t>
      </w:r>
      <w:r>
        <w:t>the differences in the TGA approved indication compared to the ACPM r</w:t>
      </w:r>
      <w:r w:rsidR="000172F5">
        <w:t>e</w:t>
      </w:r>
      <w:r>
        <w:t>commended indication</w:t>
      </w:r>
      <w:r w:rsidR="000172F5">
        <w:t xml:space="preserve"> </w:t>
      </w:r>
      <w:r>
        <w:t>for Stribild could inappropriately deprive patient access to important therapies.</w:t>
      </w:r>
    </w:p>
    <w:p w:rsidR="006E4565" w:rsidRDefault="000172F5" w:rsidP="006E4565">
      <w:r>
        <w:t xml:space="preserve">Gilead </w:t>
      </w:r>
      <w:r w:rsidR="006E4565">
        <w:t>therefore disagrees with the wording o</w:t>
      </w:r>
      <w:r>
        <w:t xml:space="preserve">f </w:t>
      </w:r>
      <w:r w:rsidR="006E4565">
        <w:t xml:space="preserve">the indication for </w:t>
      </w:r>
      <w:r w:rsidRPr="000172F5">
        <w:t xml:space="preserve">Stribild </w:t>
      </w:r>
      <w:r>
        <w:t>t</w:t>
      </w:r>
      <w:r w:rsidR="006E4565">
        <w:t>ablets approved by</w:t>
      </w:r>
      <w:r>
        <w:t xml:space="preserve"> </w:t>
      </w:r>
      <w:r w:rsidR="006E4565">
        <w:t>the Delegate on the basis of:</w:t>
      </w:r>
    </w:p>
    <w:p w:rsidR="006E4565" w:rsidRDefault="000172F5" w:rsidP="000172F5">
      <w:pPr>
        <w:pStyle w:val="ListBullet"/>
        <w:rPr>
          <w:i/>
        </w:rPr>
      </w:pPr>
      <w:r>
        <w:t xml:space="preserve">The </w:t>
      </w:r>
      <w:r w:rsidR="006E4565">
        <w:t>TGA Delegate has not given due consideration to the ACPM recommendation and</w:t>
      </w:r>
      <w:r>
        <w:t xml:space="preserve"> </w:t>
      </w:r>
      <w:r w:rsidR="006E4565">
        <w:t>wishes to seek reconsideration of the ACPM recommended indication statement as</w:t>
      </w:r>
      <w:r>
        <w:t xml:space="preserve"> </w:t>
      </w:r>
      <w:r w:rsidR="006E4565">
        <w:t xml:space="preserve">possible </w:t>
      </w:r>
      <w:r>
        <w:t xml:space="preserve">under </w:t>
      </w:r>
      <w:r w:rsidR="006E4565">
        <w:t xml:space="preserve">Section 60 (3) (b) of the </w:t>
      </w:r>
      <w:r w:rsidR="006E4565" w:rsidRPr="000172F5">
        <w:rPr>
          <w:i/>
        </w:rPr>
        <w:t>Act</w:t>
      </w:r>
      <w:r>
        <w:rPr>
          <w:i/>
        </w:rPr>
        <w:t>.</w:t>
      </w:r>
    </w:p>
    <w:p w:rsidR="00E15D98" w:rsidRPr="00E15D98" w:rsidRDefault="00E15D98" w:rsidP="00E15D98">
      <w:pPr>
        <w:pStyle w:val="Heading4"/>
      </w:pPr>
      <w:r w:rsidRPr="00E15D98">
        <w:t>Review by the Delegate of the Minister</w:t>
      </w:r>
    </w:p>
    <w:p w:rsidR="000172F5" w:rsidRPr="000172F5" w:rsidRDefault="000172F5" w:rsidP="00E15D98">
      <w:pPr>
        <w:pStyle w:val="Heading5"/>
      </w:pPr>
      <w:r w:rsidRPr="000172F5">
        <w:t>Materials on which the findings of fact were based</w:t>
      </w:r>
    </w:p>
    <w:p w:rsidR="000172F5" w:rsidRPr="000172F5" w:rsidRDefault="00C6114B" w:rsidP="000172F5">
      <w:r>
        <w:t>In making a decision on this matter, t</w:t>
      </w:r>
      <w:r w:rsidR="00E15D98">
        <w:t xml:space="preserve">he </w:t>
      </w:r>
      <w:r w:rsidR="00E15D98" w:rsidRPr="00E15D98">
        <w:t>Delegate of the Minister</w:t>
      </w:r>
      <w:r w:rsidR="000172F5" w:rsidRPr="000172F5">
        <w:t xml:space="preserve"> </w:t>
      </w:r>
      <w:r w:rsidR="00E15D98">
        <w:t xml:space="preserve">has </w:t>
      </w:r>
      <w:r w:rsidR="000172F5" w:rsidRPr="000172F5">
        <w:t>taken account of the following:</w:t>
      </w:r>
    </w:p>
    <w:p w:rsidR="000172F5" w:rsidRPr="000172F5" w:rsidRDefault="000172F5" w:rsidP="00E15D98">
      <w:pPr>
        <w:pStyle w:val="ListBullet"/>
      </w:pPr>
      <w:r w:rsidRPr="000172F5">
        <w:t>The E</w:t>
      </w:r>
      <w:r w:rsidR="00E15D98">
        <w:t xml:space="preserve">U </w:t>
      </w:r>
      <w:r w:rsidRPr="006D411D">
        <w:rPr>
          <w:i/>
        </w:rPr>
        <w:t>Guideline on the</w:t>
      </w:r>
      <w:r w:rsidRPr="000172F5">
        <w:t xml:space="preserve"> </w:t>
      </w:r>
      <w:r w:rsidRPr="00E15D98">
        <w:rPr>
          <w:i/>
        </w:rPr>
        <w:t>Clinical Development of Medicinal Products for the Treatment of HIV Infection</w:t>
      </w:r>
      <w:r w:rsidRPr="000172F5">
        <w:t xml:space="preserve"> (Rev 2, 2008).</w:t>
      </w:r>
    </w:p>
    <w:p w:rsidR="000172F5" w:rsidRPr="000172F5" w:rsidRDefault="00E15D98" w:rsidP="00E15D98">
      <w:pPr>
        <w:pStyle w:val="ListBullet"/>
      </w:pPr>
      <w:r>
        <w:t xml:space="preserve">The sponsor’s </w:t>
      </w:r>
      <w:r w:rsidR="000172F5" w:rsidRPr="000172F5">
        <w:t>appeal letter dated 7 May 2013.</w:t>
      </w:r>
    </w:p>
    <w:p w:rsidR="000172F5" w:rsidRPr="000172F5" w:rsidRDefault="00D61A74" w:rsidP="00E15D98">
      <w:pPr>
        <w:pStyle w:val="ListBullet"/>
      </w:pPr>
      <w:r>
        <w:lastRenderedPageBreak/>
        <w:t>The cl</w:t>
      </w:r>
      <w:r w:rsidR="000172F5" w:rsidRPr="000172F5">
        <w:t xml:space="preserve">inical </w:t>
      </w:r>
      <w:r>
        <w:t>e</w:t>
      </w:r>
      <w:r w:rsidR="000172F5" w:rsidRPr="000172F5">
        <w:t xml:space="preserve">valuation </w:t>
      </w:r>
      <w:r>
        <w:t>r</w:t>
      </w:r>
      <w:r w:rsidR="000172F5" w:rsidRPr="000172F5">
        <w:t xml:space="preserve">eport(s) for </w:t>
      </w:r>
      <w:r w:rsidR="00E15D98">
        <w:t>S</w:t>
      </w:r>
      <w:r w:rsidR="00E15D98" w:rsidRPr="000172F5">
        <w:t>tribild</w:t>
      </w:r>
      <w:r w:rsidR="000172F5" w:rsidRPr="000172F5">
        <w:t>, dated 30 May 2012 and 19 September 2012.</w:t>
      </w:r>
    </w:p>
    <w:p w:rsidR="000172F5" w:rsidRPr="000172F5" w:rsidRDefault="000172F5" w:rsidP="00E15D98">
      <w:pPr>
        <w:pStyle w:val="ListBullet"/>
      </w:pPr>
      <w:r w:rsidRPr="000172F5">
        <w:t>The approval letter of the initial decision maker dated 7 February 2013.</w:t>
      </w:r>
    </w:p>
    <w:p w:rsidR="000172F5" w:rsidRPr="000172F5" w:rsidRDefault="000172F5" w:rsidP="00E15D98">
      <w:pPr>
        <w:pStyle w:val="ListBullet"/>
      </w:pPr>
      <w:r w:rsidRPr="000172F5">
        <w:t>The pre-AC</w:t>
      </w:r>
      <w:r w:rsidR="00E15D98">
        <w:t>PM</w:t>
      </w:r>
      <w:r w:rsidRPr="000172F5">
        <w:t xml:space="preserve"> response of Gilead Sciences Pty Ltd (noting the indication statement at that time).</w:t>
      </w:r>
    </w:p>
    <w:p w:rsidR="000172F5" w:rsidRDefault="000172F5" w:rsidP="00E15D98">
      <w:pPr>
        <w:pStyle w:val="ListBullet"/>
      </w:pPr>
      <w:r w:rsidRPr="000172F5">
        <w:t xml:space="preserve">All other documents contained in </w:t>
      </w:r>
      <w:r w:rsidR="00E15D98">
        <w:t xml:space="preserve">the sponsor’s </w:t>
      </w:r>
      <w:r w:rsidRPr="000172F5">
        <w:t>submission dated 7 May 2013 but not individually named immediately above.</w:t>
      </w:r>
    </w:p>
    <w:p w:rsidR="001313A4" w:rsidRDefault="001313A4" w:rsidP="001313A4">
      <w:pPr>
        <w:pStyle w:val="Heading5"/>
      </w:pPr>
      <w:r>
        <w:t>Conclusions</w:t>
      </w:r>
    </w:p>
    <w:p w:rsidR="001313A4" w:rsidRPr="001313A4" w:rsidRDefault="00C6114B" w:rsidP="001313A4">
      <w:r>
        <w:t>Having reviewed the above material, t</w:t>
      </w:r>
      <w:r w:rsidR="001313A4" w:rsidRPr="001313A4">
        <w:t>he following conclusions are made:</w:t>
      </w:r>
    </w:p>
    <w:p w:rsidR="001313A4" w:rsidRPr="00D61A74" w:rsidRDefault="001313A4" w:rsidP="001313A4">
      <w:pPr>
        <w:pStyle w:val="ListBullet"/>
      </w:pPr>
      <w:r>
        <w:t xml:space="preserve">The </w:t>
      </w:r>
      <w:r w:rsidRPr="00D61A74">
        <w:t>Delegate of the Minister do</w:t>
      </w:r>
      <w:r>
        <w:t>es</w:t>
      </w:r>
      <w:r w:rsidRPr="00D61A74">
        <w:t xml:space="preserve"> not believe that the utility of Stribild in patients who are treatment-</w:t>
      </w:r>
      <w:r>
        <w:t xml:space="preserve">naïve </w:t>
      </w:r>
      <w:r w:rsidRPr="00D61A74">
        <w:t xml:space="preserve">is in dispute. There appears no real dispute about the clinical data </w:t>
      </w:r>
      <w:r w:rsidRPr="00D61A74">
        <w:rPr>
          <w:i/>
        </w:rPr>
        <w:t>per se</w:t>
      </w:r>
      <w:r w:rsidRPr="00D61A74">
        <w:t>.</w:t>
      </w:r>
    </w:p>
    <w:p w:rsidR="001313A4" w:rsidRPr="00D61A74" w:rsidRDefault="001313A4" w:rsidP="001313A4">
      <w:pPr>
        <w:pStyle w:val="ListBullet"/>
      </w:pPr>
      <w:r w:rsidRPr="00D61A74">
        <w:t>The EU</w:t>
      </w:r>
      <w:r>
        <w:t xml:space="preserve"> </w:t>
      </w:r>
      <w:r w:rsidRPr="00D61A74">
        <w:rPr>
          <w:i/>
        </w:rPr>
        <w:t>Guidance on the Clinical Development of Medicinal Products for the Treatment of HIV Infection</w:t>
      </w:r>
      <w:r w:rsidRPr="00D61A74">
        <w:t xml:space="preserve"> states that for use in treatment-experienced patients, relevant data should be generated. These data do not appear to be in the submission.</w:t>
      </w:r>
    </w:p>
    <w:p w:rsidR="001313A4" w:rsidRPr="00D61A74" w:rsidRDefault="001313A4" w:rsidP="001313A4">
      <w:pPr>
        <w:pStyle w:val="ListBullet"/>
      </w:pPr>
      <w:r w:rsidRPr="00D61A74">
        <w:t xml:space="preserve">Even were this product approved for use in those who do not have mutations associated with resistance, </w:t>
      </w:r>
      <w:r>
        <w:t xml:space="preserve">the sponsor </w:t>
      </w:r>
      <w:r w:rsidRPr="00D61A74">
        <w:t>ha</w:t>
      </w:r>
      <w:r>
        <w:t>s</w:t>
      </w:r>
      <w:r w:rsidRPr="00D61A74">
        <w:t xml:space="preserve"> not outlined via data and justification what the place in therapy of this drug might be, </w:t>
      </w:r>
      <w:r>
        <w:t xml:space="preserve">that is, for example, </w:t>
      </w:r>
      <w:r w:rsidRPr="00D61A74">
        <w:t xml:space="preserve">for whom would it provide benefit? In combination with anything else? These questions require clinical data to answer them and in any case have not been addressed in </w:t>
      </w:r>
      <w:r>
        <w:t xml:space="preserve">the sponsor’s </w:t>
      </w:r>
      <w:r w:rsidRPr="00D61A74">
        <w:t>appeal documentation.</w:t>
      </w:r>
    </w:p>
    <w:p w:rsidR="001313A4" w:rsidRPr="00D61A74" w:rsidRDefault="001313A4" w:rsidP="001313A4">
      <w:pPr>
        <w:pStyle w:val="ListBullet"/>
      </w:pPr>
      <w:r w:rsidRPr="00D61A74">
        <w:t xml:space="preserve">As stated in </w:t>
      </w:r>
      <w:r>
        <w:t xml:space="preserve">the sponsor’s pre-ACPM </w:t>
      </w:r>
      <w:r w:rsidRPr="00D61A74">
        <w:t>response, treatment-experienced patients have their medication tailored on the basis of their virus resistance profile, and a fixed combination such as Stribild</w:t>
      </w:r>
      <w:r>
        <w:t xml:space="preserve"> would,</w:t>
      </w:r>
      <w:r w:rsidRPr="00D61A74">
        <w:t xml:space="preserve"> in </w:t>
      </w:r>
      <w:r>
        <w:t xml:space="preserve">the </w:t>
      </w:r>
      <w:r w:rsidRPr="00D61A74">
        <w:t>Delegate of the Minister</w:t>
      </w:r>
      <w:r>
        <w:t>’s view,</w:t>
      </w:r>
      <w:r w:rsidRPr="00D61A74">
        <w:t xml:space="preserve"> make this difficult or not possible. In addition, </w:t>
      </w:r>
      <w:r>
        <w:t xml:space="preserve">the sponsor has </w:t>
      </w:r>
      <w:r w:rsidRPr="00D61A74">
        <w:t xml:space="preserve">not detailed with supporting evidence how this product might figure in such ‘tailoring’, nor provided clinical data to substantiate its safety and effectiveness were it so used.  </w:t>
      </w:r>
    </w:p>
    <w:p w:rsidR="001313A4" w:rsidRPr="00C6114B" w:rsidRDefault="001313A4" w:rsidP="00C6114B">
      <w:r w:rsidRPr="00C6114B">
        <w:t>In summary, on review of the appeal documentation, the sponsor presents no arguments based upon the submitted clinical data, as far as is evident to the Delegate of the Minister, to substantiate safety and efficacy in a patient population beyond treatment-naïve subjects. Hence the patient population and potential benefits (and risks) beyond this patient group are entirely unclear and non-specific. Thus the conclusion of the Delegate of the Minister can only be that quality, safety and efficacy for this broader indication statement have not been satisfactorily established as is necessary under s 25 of the Act.</w:t>
      </w:r>
    </w:p>
    <w:p w:rsidR="00A37374" w:rsidRPr="00A37374" w:rsidRDefault="00A37374" w:rsidP="00A37374">
      <w:pPr>
        <w:pStyle w:val="Heading4"/>
      </w:pPr>
      <w:r w:rsidRPr="00A37374">
        <w:t xml:space="preserve">Result of </w:t>
      </w:r>
      <w:r>
        <w:t xml:space="preserve">the </w:t>
      </w:r>
      <w:r w:rsidRPr="00A37374">
        <w:t>Delegate of the Minister</w:t>
      </w:r>
      <w:r>
        <w:t>’s</w:t>
      </w:r>
      <w:r w:rsidRPr="00A37374">
        <w:t xml:space="preserve"> reconsideration of the initial decision</w:t>
      </w:r>
    </w:p>
    <w:p w:rsidR="001313A4" w:rsidRDefault="001313A4" w:rsidP="001313A4">
      <w:r w:rsidRPr="001313A4">
        <w:t>Pursuant to section 60</w:t>
      </w:r>
      <w:r w:rsidR="00CF5A38">
        <w:t xml:space="preserve"> </w:t>
      </w:r>
      <w:r w:rsidRPr="001313A4">
        <w:t xml:space="preserve">of the Act, and for the reasons referred to above, the Delegate of the Minister decided to confirm the initial decision (see </w:t>
      </w:r>
      <w:r w:rsidRPr="00C6114B">
        <w:rPr>
          <w:i/>
        </w:rPr>
        <w:t>Outcome</w:t>
      </w:r>
      <w:r w:rsidRPr="001313A4">
        <w:t>, above).</w:t>
      </w:r>
    </w:p>
    <w:p w:rsidR="00A37374" w:rsidRPr="001313A4" w:rsidRDefault="00A37374" w:rsidP="001313A4">
      <w:pPr>
        <w:pStyle w:val="Heading5"/>
        <w:rPr>
          <w:rFonts w:eastAsiaTheme="minorHAnsi"/>
        </w:rPr>
      </w:pPr>
      <w:r w:rsidRPr="001313A4">
        <w:rPr>
          <w:rFonts w:eastAsiaTheme="minorHAnsi"/>
        </w:rPr>
        <w:t xml:space="preserve">Reasons for </w:t>
      </w:r>
      <w:r w:rsidRPr="001313A4">
        <w:t>the Delegate of the Minister</w:t>
      </w:r>
      <w:r w:rsidRPr="001313A4">
        <w:rPr>
          <w:rFonts w:eastAsiaTheme="minorHAnsi"/>
        </w:rPr>
        <w:t>’s decision</w:t>
      </w:r>
    </w:p>
    <w:p w:rsidR="000172F5" w:rsidRPr="000172F5" w:rsidRDefault="00E15D98" w:rsidP="000172F5">
      <w:r>
        <w:t xml:space="preserve">The </w:t>
      </w:r>
      <w:r w:rsidR="00A37374">
        <w:t xml:space="preserve">above </w:t>
      </w:r>
      <w:r w:rsidR="000172F5" w:rsidRPr="000172F5">
        <w:t xml:space="preserve">decision </w:t>
      </w:r>
      <w:r w:rsidR="000A2291">
        <w:t xml:space="preserve">was made </w:t>
      </w:r>
      <w:r w:rsidR="000172F5" w:rsidRPr="000172F5">
        <w:t>on the basis that:</w:t>
      </w:r>
    </w:p>
    <w:p w:rsidR="000172F5" w:rsidRPr="000172F5" w:rsidRDefault="000A2291" w:rsidP="000172F5">
      <w:r>
        <w:t xml:space="preserve">In the view of the Delegate of the Minister, the </w:t>
      </w:r>
      <w:r w:rsidR="000172F5" w:rsidRPr="000172F5">
        <w:t>appeal</w:t>
      </w:r>
      <w:r>
        <w:t xml:space="preserve"> does not involve</w:t>
      </w:r>
      <w:r w:rsidR="000172F5" w:rsidRPr="000172F5">
        <w:t xml:space="preserve"> any dispute about the results of the pivotal clinical trials. The product has been shown</w:t>
      </w:r>
      <w:r w:rsidR="00CF5A38">
        <w:t xml:space="preserve"> </w:t>
      </w:r>
      <w:r w:rsidR="000172F5" w:rsidRPr="000172F5">
        <w:t xml:space="preserve">to be non-inferior and comparable to the current standard of treatment in HIV-1 infected treatment </w:t>
      </w:r>
      <w:r w:rsidR="001D786E">
        <w:t xml:space="preserve">naïve </w:t>
      </w:r>
      <w:r w:rsidR="000172F5" w:rsidRPr="000172F5">
        <w:t xml:space="preserve">patients, </w:t>
      </w:r>
      <w:r w:rsidR="00CF5A38">
        <w:t xml:space="preserve">over a 4 year time period, </w:t>
      </w:r>
      <w:r w:rsidR="000172F5" w:rsidRPr="000172F5">
        <w:t xml:space="preserve">both in efficacy and safety profile. </w:t>
      </w:r>
      <w:r w:rsidR="001D786E">
        <w:t xml:space="preserve">The sponsor has </w:t>
      </w:r>
      <w:r w:rsidR="000172F5" w:rsidRPr="000172F5">
        <w:t xml:space="preserve">not disputed the presentation or critique of the clinical data beyond the indication statement which </w:t>
      </w:r>
      <w:r w:rsidR="001D786E">
        <w:t xml:space="preserve">the sponsor </w:t>
      </w:r>
      <w:r w:rsidR="000172F5" w:rsidRPr="000172F5">
        <w:t>now dispute</w:t>
      </w:r>
      <w:r w:rsidR="001D786E">
        <w:t>s</w:t>
      </w:r>
      <w:r w:rsidR="000172F5" w:rsidRPr="000172F5">
        <w:t xml:space="preserve"> subsequent to the ACPM meeting and </w:t>
      </w:r>
      <w:r w:rsidR="006D411D">
        <w:t xml:space="preserve">the TGA </w:t>
      </w:r>
      <w:r w:rsidR="001D786E">
        <w:t>D</w:t>
      </w:r>
      <w:r w:rsidR="000172F5" w:rsidRPr="000172F5">
        <w:t xml:space="preserve">elegate’s decision, and </w:t>
      </w:r>
      <w:r w:rsidR="001D786E">
        <w:t xml:space="preserve">it is </w:t>
      </w:r>
      <w:r w:rsidR="000172F5" w:rsidRPr="000172F5">
        <w:t>note</w:t>
      </w:r>
      <w:r w:rsidR="001D786E">
        <w:t>d</w:t>
      </w:r>
      <w:r w:rsidR="000172F5" w:rsidRPr="000172F5">
        <w:t xml:space="preserve"> the indication statement was not disputed in the pre-ACPM </w:t>
      </w:r>
      <w:r w:rsidR="000172F5" w:rsidRPr="000172F5">
        <w:lastRenderedPageBreak/>
        <w:t xml:space="preserve">response. Indeed, argument was presented </w:t>
      </w:r>
      <w:r w:rsidR="001D786E">
        <w:t xml:space="preserve">in the sponsor’s pre-ACPM response </w:t>
      </w:r>
      <w:r w:rsidR="000172F5" w:rsidRPr="000172F5">
        <w:t xml:space="preserve">to state that treatment-experienced patients required individual tailoring of medications. It is specifically stated, </w:t>
      </w:r>
      <w:r w:rsidR="000172F5" w:rsidRPr="001D786E">
        <w:rPr>
          <w:i/>
        </w:rPr>
        <w:t>‘This approach to treatment requires the availability of single agent products to allow building a treatment regimen tailored to a specific patient’.</w:t>
      </w:r>
      <w:r w:rsidR="000172F5" w:rsidRPr="000172F5">
        <w:t xml:space="preserve"> If </w:t>
      </w:r>
      <w:r w:rsidR="001D786E">
        <w:t xml:space="preserve">the sponsor </w:t>
      </w:r>
      <w:r w:rsidR="000172F5" w:rsidRPr="000172F5">
        <w:t>believe</w:t>
      </w:r>
      <w:r w:rsidR="001D786E">
        <w:t>s</w:t>
      </w:r>
      <w:r w:rsidR="000172F5" w:rsidRPr="000172F5">
        <w:t xml:space="preserve"> that S</w:t>
      </w:r>
      <w:r w:rsidR="001D786E" w:rsidRPr="000172F5">
        <w:t xml:space="preserve">tribild </w:t>
      </w:r>
      <w:r w:rsidR="000172F5" w:rsidRPr="000172F5">
        <w:t xml:space="preserve">has a role in this, it has not been detailed or supported by clinical data presented to </w:t>
      </w:r>
      <w:r w:rsidR="001D786E">
        <w:t xml:space="preserve">the </w:t>
      </w:r>
      <w:r w:rsidR="001D786E" w:rsidRPr="001D786E">
        <w:t>Delegate of the Minister</w:t>
      </w:r>
      <w:r w:rsidR="000172F5" w:rsidRPr="000172F5">
        <w:t>.</w:t>
      </w:r>
    </w:p>
    <w:p w:rsidR="000172F5" w:rsidRPr="000172F5" w:rsidRDefault="000172F5" w:rsidP="001D786E">
      <w:r w:rsidRPr="000172F5">
        <w:t>What is disputed in this appeal is solely whether there is any evidence for efficacy and safety for S</w:t>
      </w:r>
      <w:r w:rsidR="001D786E" w:rsidRPr="000172F5">
        <w:t>tribild</w:t>
      </w:r>
      <w:r w:rsidRPr="000172F5">
        <w:t xml:space="preserve"> in use beyond the treatment-</w:t>
      </w:r>
      <w:r w:rsidR="001D786E">
        <w:t xml:space="preserve">naïve </w:t>
      </w:r>
      <w:r w:rsidRPr="000172F5">
        <w:t xml:space="preserve">subset.  </w:t>
      </w:r>
    </w:p>
    <w:p w:rsidR="000172F5" w:rsidRPr="001D786E" w:rsidRDefault="001D786E" w:rsidP="001D786E">
      <w:r>
        <w:t xml:space="preserve">The </w:t>
      </w:r>
      <w:r w:rsidRPr="001D786E">
        <w:t xml:space="preserve">Delegate of the Minister </w:t>
      </w:r>
      <w:r>
        <w:t>c</w:t>
      </w:r>
      <w:r w:rsidR="001313A4">
        <w:t xml:space="preserve">ould </w:t>
      </w:r>
      <w:r w:rsidR="000172F5" w:rsidRPr="001D786E">
        <w:t xml:space="preserve">find no clinical trials in </w:t>
      </w:r>
      <w:r>
        <w:t xml:space="preserve">the sponsor’s </w:t>
      </w:r>
      <w:r w:rsidR="000172F5" w:rsidRPr="001D786E">
        <w:t>submission for treatment-experienced patients to support such use as the broader indication might allow. Furthermore, apart from claiming that the current treatment-</w:t>
      </w:r>
      <w:r>
        <w:t xml:space="preserve">naïve </w:t>
      </w:r>
      <w:r w:rsidR="000172F5" w:rsidRPr="001D786E">
        <w:t>indication might ‘deprive patient access to important therapies’</w:t>
      </w:r>
      <w:r>
        <w:t>,</w:t>
      </w:r>
      <w:r w:rsidR="000172F5" w:rsidRPr="001D786E">
        <w:t xml:space="preserve"> there appears to be no detail of whom such patients are, how they would be deprived and when S</w:t>
      </w:r>
      <w:r w:rsidRPr="001D786E">
        <w:t xml:space="preserve">tribild </w:t>
      </w:r>
      <w:r w:rsidR="000172F5" w:rsidRPr="001D786E">
        <w:t xml:space="preserve">would be indicated in the management of such patients. As a result, </w:t>
      </w:r>
      <w:r>
        <w:t xml:space="preserve">the sponsor’s </w:t>
      </w:r>
      <w:r w:rsidR="000172F5" w:rsidRPr="001D786E">
        <w:t xml:space="preserve">claim of uniqueness based on combining an INSTI with an NRTI backbone does not address, if that is the case, what the advantages are of such a combination and circumscribe the patient population </w:t>
      </w:r>
      <w:r>
        <w:t xml:space="preserve">the sponsor </w:t>
      </w:r>
      <w:r w:rsidR="000172F5" w:rsidRPr="001D786E">
        <w:t>intend</w:t>
      </w:r>
      <w:r>
        <w:t>s</w:t>
      </w:r>
      <w:r w:rsidR="000172F5" w:rsidRPr="001D786E">
        <w:t xml:space="preserve"> might benefit from receiving it. Also, there is no technical justification for the lack of clinical trials in treatment-experienced patients that the EU </w:t>
      </w:r>
      <w:r w:rsidR="000172F5" w:rsidRPr="001D786E">
        <w:rPr>
          <w:i/>
        </w:rPr>
        <w:t>Guidance on the Clinical Development of Medicinal Products for the Treatment of HIV Infection</w:t>
      </w:r>
      <w:r w:rsidR="000172F5" w:rsidRPr="001D786E">
        <w:t xml:space="preserve"> otherwise requires.</w:t>
      </w:r>
    </w:p>
    <w:p w:rsidR="000172F5" w:rsidRDefault="000A2291" w:rsidP="000172F5">
      <w:r>
        <w:t xml:space="preserve">On reviewing the </w:t>
      </w:r>
      <w:r w:rsidR="000172F5" w:rsidRPr="000172F5">
        <w:t>advice of the ACPM</w:t>
      </w:r>
      <w:r>
        <w:t xml:space="preserve">, </w:t>
      </w:r>
      <w:r w:rsidR="00A8320F">
        <w:t>t</w:t>
      </w:r>
      <w:r w:rsidRPr="000A2291">
        <w:t xml:space="preserve">he Delegate of the Minister </w:t>
      </w:r>
      <w:r w:rsidR="00A8320F">
        <w:t xml:space="preserve">considered </w:t>
      </w:r>
      <w:r w:rsidR="000172F5" w:rsidRPr="000172F5">
        <w:t>the ACPM did not specifically address the issue of use beyond treatment-</w:t>
      </w:r>
      <w:r w:rsidR="001D786E">
        <w:t xml:space="preserve">naïve </w:t>
      </w:r>
      <w:r w:rsidR="000172F5" w:rsidRPr="000172F5">
        <w:t xml:space="preserve">patients and as such, </w:t>
      </w:r>
      <w:r w:rsidR="001D786E">
        <w:t xml:space="preserve">the sponsor’s </w:t>
      </w:r>
      <w:r w:rsidR="000172F5" w:rsidRPr="000172F5">
        <w:t xml:space="preserve">claim that the ACPM addressed the </w:t>
      </w:r>
      <w:r w:rsidR="006D411D">
        <w:t xml:space="preserve">TGA </w:t>
      </w:r>
      <w:r w:rsidR="000172F5" w:rsidRPr="000172F5">
        <w:t>Delegate’s concerns in full does not</w:t>
      </w:r>
      <w:r w:rsidR="001313A4">
        <w:t xml:space="preserve">, in the </w:t>
      </w:r>
      <w:r w:rsidR="001313A4" w:rsidRPr="001313A4">
        <w:t>Delegate of the Minister</w:t>
      </w:r>
      <w:r w:rsidR="001313A4">
        <w:t>’s view,</w:t>
      </w:r>
      <w:r w:rsidR="000172F5" w:rsidRPr="000172F5">
        <w:t xml:space="preserve"> pertain directly to this appeal issue.</w:t>
      </w:r>
    </w:p>
    <w:p w:rsidR="008E7846" w:rsidRDefault="008E7846" w:rsidP="00AD3472">
      <w:pPr>
        <w:pStyle w:val="Heading2"/>
      </w:pPr>
      <w:bookmarkStart w:id="203" w:name="_Toc363456690"/>
      <w:r>
        <w:t>Attachment 1.</w:t>
      </w:r>
      <w:r>
        <w:tab/>
        <w:t xml:space="preserve">Product </w:t>
      </w:r>
      <w:r w:rsidR="00AA0ED0">
        <w:t>I</w:t>
      </w:r>
      <w:r>
        <w:t>nformation</w:t>
      </w:r>
      <w:bookmarkEnd w:id="200"/>
      <w:bookmarkEnd w:id="201"/>
      <w:bookmarkEnd w:id="203"/>
    </w:p>
    <w:p w:rsidR="00CF2861" w:rsidRDefault="008E7846" w:rsidP="00CF2861">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E84AB7" w:rsidRPr="00E84AB7" w:rsidRDefault="00E84AB7" w:rsidP="00E84AB7">
      <w:pPr>
        <w:pStyle w:val="Heading2"/>
      </w:pPr>
      <w:bookmarkStart w:id="204" w:name="_Toc356304338"/>
      <w:bookmarkStart w:id="205" w:name="_Toc363456691"/>
      <w:r>
        <w:t>Attachment 2.</w:t>
      </w:r>
      <w:r>
        <w:tab/>
      </w:r>
      <w:r w:rsidRPr="00E84AB7">
        <w:t>Extract from the Clinical Evaluation Report</w:t>
      </w:r>
      <w:bookmarkEnd w:id="204"/>
      <w:bookmarkEnd w:id="205"/>
    </w:p>
    <w:p w:rsidR="00E84AB7" w:rsidRDefault="00E84AB7" w:rsidP="00CF2861">
      <w:pPr>
        <w:autoSpaceDE w:val="0"/>
        <w:autoSpaceDN w:val="0"/>
        <w:adjustRightInd w:val="0"/>
        <w:spacing w:after="0"/>
        <w:rPr>
          <w:color w:val="000000"/>
          <w:lang w:eastAsia="en-AU"/>
        </w:rPr>
      </w:pPr>
    </w:p>
    <w:p w:rsidR="003D1E62" w:rsidRPr="001D043B" w:rsidRDefault="003D1E62" w:rsidP="00CF2861">
      <w:pPr>
        <w:autoSpaceDE w:val="0"/>
        <w:autoSpaceDN w:val="0"/>
        <w:adjustRightInd w:val="0"/>
        <w:spacing w:after="0"/>
        <w:sectPr w:rsidR="003D1E62" w:rsidRPr="001D043B" w:rsidSect="00B452CE">
          <w:headerReference w:type="even" r:id="rId32"/>
          <w:headerReference w:type="default" r:id="rId33"/>
          <w:footerReference w:type="default" r:id="rId34"/>
          <w:headerReference w:type="first" r:id="rId35"/>
          <w:footerReference w:type="first" r:id="rId36"/>
          <w:pgSz w:w="11906" w:h="16838" w:code="9"/>
          <w:pgMar w:top="834" w:right="1701" w:bottom="1191" w:left="1701" w:header="907" w:footer="216" w:gutter="0"/>
          <w:cols w:space="708"/>
          <w:docGrid w:linePitch="360"/>
        </w:sectPr>
      </w:pPr>
    </w:p>
    <w:p w:rsidR="00774E1D" w:rsidRPr="008A5E0B" w:rsidRDefault="00774E1D" w:rsidP="00E84AB7"/>
    <w:sectPr w:rsidR="00774E1D" w:rsidRPr="008A5E0B" w:rsidSect="00E45619">
      <w:headerReference w:type="even" r:id="rId37"/>
      <w:headerReference w:type="default" r:id="rId38"/>
      <w:footerReference w:type="default" r:id="rId39"/>
      <w:headerReference w:type="first" r:id="rId40"/>
      <w:footerReference w:type="first" r:id="rId41"/>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169" w:rsidRDefault="009A1169" w:rsidP="00C40A36">
      <w:pPr>
        <w:spacing w:after="0"/>
      </w:pPr>
      <w:r>
        <w:separator/>
      </w:r>
    </w:p>
  </w:endnote>
  <w:endnote w:type="continuationSeparator" w:id="0">
    <w:p w:rsidR="009A1169" w:rsidRDefault="009A116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89631D" w:rsidRPr="00487162" w:rsidTr="0053625B">
      <w:trPr>
        <w:trHeight w:val="269"/>
      </w:trPr>
      <w:tc>
        <w:tcPr>
          <w:tcW w:w="7938" w:type="dxa"/>
          <w:tcMar>
            <w:top w:w="142" w:type="dxa"/>
            <w:bottom w:w="0" w:type="dxa"/>
          </w:tcMar>
        </w:tcPr>
        <w:p w:rsidR="0089631D" w:rsidRDefault="0089631D" w:rsidP="008253C8">
          <w:pPr>
            <w:pStyle w:val="Footer"/>
          </w:pPr>
          <w:proofErr w:type="spellStart"/>
          <w:r w:rsidRPr="00487162">
            <w:t>AusPAR</w:t>
          </w:r>
          <w:proofErr w:type="spellEnd"/>
          <w:r w:rsidRPr="00487162">
            <w:t xml:space="preserve"> </w:t>
          </w:r>
          <w:proofErr w:type="spellStart"/>
          <w:r>
            <w:t>Stribild</w:t>
          </w:r>
          <w:proofErr w:type="spellEnd"/>
          <w:r>
            <w:t xml:space="preserve">; </w:t>
          </w:r>
          <w:proofErr w:type="spellStart"/>
          <w:r>
            <w:t>t</w:t>
          </w:r>
          <w:r>
            <w:rPr>
              <w:rFonts w:eastAsiaTheme="minorEastAsia"/>
            </w:rPr>
            <w:t>enofovir</w:t>
          </w:r>
          <w:proofErr w:type="spellEnd"/>
          <w:r>
            <w:rPr>
              <w:rFonts w:eastAsiaTheme="minorEastAsia"/>
            </w:rPr>
            <w:t xml:space="preserve"> </w:t>
          </w:r>
          <w:proofErr w:type="spellStart"/>
          <w:r>
            <w:rPr>
              <w:rFonts w:eastAsiaTheme="minorEastAsia"/>
            </w:rPr>
            <w:t>disoproxil</w:t>
          </w:r>
          <w:proofErr w:type="spellEnd"/>
          <w:r>
            <w:rPr>
              <w:rFonts w:eastAsiaTheme="minorEastAsia"/>
            </w:rPr>
            <w:t xml:space="preserve"> </w:t>
          </w:r>
          <w:proofErr w:type="spellStart"/>
          <w:r>
            <w:rPr>
              <w:rFonts w:eastAsiaTheme="minorEastAsia"/>
            </w:rPr>
            <w:t>fumarate</w:t>
          </w:r>
          <w:proofErr w:type="spellEnd"/>
          <w:r>
            <w:rPr>
              <w:rFonts w:eastAsiaTheme="minorEastAsia"/>
            </w:rPr>
            <w:t>,</w:t>
          </w:r>
          <w:r w:rsidRPr="00487162">
            <w:t xml:space="preserve"> </w:t>
          </w:r>
          <w:proofErr w:type="spellStart"/>
          <w:r>
            <w:t>e</w:t>
          </w:r>
          <w:r>
            <w:rPr>
              <w:rFonts w:eastAsiaTheme="minorEastAsia"/>
            </w:rPr>
            <w:t>mtricitabine</w:t>
          </w:r>
          <w:proofErr w:type="spellEnd"/>
          <w:r>
            <w:rPr>
              <w:rFonts w:eastAsiaTheme="minorEastAsia"/>
            </w:rPr>
            <w:t xml:space="preserve">, </w:t>
          </w:r>
          <w:proofErr w:type="spellStart"/>
          <w:r>
            <w:rPr>
              <w:rFonts w:eastAsiaTheme="minorEastAsia"/>
            </w:rPr>
            <w:t>elvitegravir</w:t>
          </w:r>
          <w:proofErr w:type="spellEnd"/>
          <w:r>
            <w:rPr>
              <w:rFonts w:eastAsiaTheme="minorEastAsia"/>
            </w:rPr>
            <w:t xml:space="preserve"> and</w:t>
          </w:r>
          <w:r w:rsidRPr="00487162">
            <w:t xml:space="preserve"> </w:t>
          </w:r>
          <w:r>
            <w:t>c</w:t>
          </w:r>
          <w:r>
            <w:rPr>
              <w:rFonts w:eastAsiaTheme="minorEastAsia"/>
            </w:rPr>
            <w:t>obicistat;</w:t>
          </w:r>
          <w:r w:rsidRPr="00487162">
            <w:t xml:space="preserve"> </w:t>
          </w:r>
        </w:p>
        <w:p w:rsidR="0089631D" w:rsidRPr="00487162" w:rsidRDefault="0089631D" w:rsidP="00E17BC6">
          <w:pPr>
            <w:pStyle w:val="Footer"/>
          </w:pPr>
          <w:r w:rsidRPr="008253C8">
            <w:t>Gilead Sciences Pty Ltd</w:t>
          </w:r>
          <w:r>
            <w:t>;</w:t>
          </w:r>
          <w:r w:rsidRPr="008253C8">
            <w:t xml:space="preserve"> </w:t>
          </w:r>
          <w:r>
            <w:t>PM-2011</w:t>
          </w:r>
          <w:r w:rsidRPr="00487162">
            <w:t>-</w:t>
          </w:r>
          <w:r>
            <w:t>03533</w:t>
          </w:r>
          <w:r w:rsidRPr="00487162">
            <w:t>-</w:t>
          </w:r>
          <w:r>
            <w:t>3</w:t>
          </w:r>
          <w:r w:rsidRPr="00487162">
            <w:t>-</w:t>
          </w:r>
          <w:r>
            <w:t xml:space="preserve">2. </w:t>
          </w:r>
          <w:r w:rsidRPr="00487162">
            <w:t>Date of Finalisation</w:t>
          </w:r>
          <w:r>
            <w:t xml:space="preserve"> 5 August 2013</w:t>
          </w:r>
        </w:p>
      </w:tc>
      <w:tc>
        <w:tcPr>
          <w:tcW w:w="923" w:type="dxa"/>
          <w:tcMar>
            <w:top w:w="142" w:type="dxa"/>
            <w:bottom w:w="0" w:type="dxa"/>
          </w:tcMar>
        </w:tcPr>
        <w:p w:rsidR="0089631D" w:rsidRPr="00487162" w:rsidRDefault="0089631D" w:rsidP="00D855D4">
          <w:pPr>
            <w:pStyle w:val="Footer"/>
            <w:jc w:val="right"/>
          </w:pPr>
          <w:r w:rsidRPr="00487162">
            <w:t xml:space="preserve">Page </w:t>
          </w:r>
          <w:r>
            <w:t>2</w:t>
          </w:r>
          <w:r w:rsidRPr="00487162">
            <w:t xml:space="preserve"> of </w:t>
          </w:r>
          <w:fldSimple w:instr=" NUMPAGES  \* Arabic ">
            <w:r w:rsidR="00240200">
              <w:rPr>
                <w:noProof/>
              </w:rPr>
              <w:t>6</w:t>
            </w:r>
          </w:fldSimple>
        </w:p>
      </w:tc>
    </w:tr>
  </w:tbl>
  <w:p w:rsidR="0089631D" w:rsidRDefault="0089631D"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rsidP="00165389"/>
  <w:p w:rsidR="0089631D" w:rsidRDefault="0089631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6946"/>
      <w:gridCol w:w="1915"/>
    </w:tblGrid>
    <w:tr w:rsidR="0089631D" w:rsidRPr="00487162" w:rsidTr="008253C8">
      <w:trPr>
        <w:trHeight w:val="269"/>
      </w:trPr>
      <w:tc>
        <w:tcPr>
          <w:tcW w:w="6946" w:type="dxa"/>
          <w:tcMar>
            <w:top w:w="142" w:type="dxa"/>
            <w:bottom w:w="0" w:type="dxa"/>
          </w:tcMar>
        </w:tcPr>
        <w:p w:rsidR="0089631D" w:rsidRPr="00E17BC6" w:rsidRDefault="0089631D" w:rsidP="00E17BC6">
          <w:pPr>
            <w:pStyle w:val="Footer"/>
          </w:pPr>
          <w:proofErr w:type="spellStart"/>
          <w:r w:rsidRPr="00E17BC6">
            <w:t>AusPAR</w:t>
          </w:r>
          <w:proofErr w:type="spellEnd"/>
          <w:r w:rsidRPr="00E17BC6">
            <w:t xml:space="preserve"> </w:t>
          </w:r>
          <w:proofErr w:type="spellStart"/>
          <w:r w:rsidRPr="00E17BC6">
            <w:t>Stribild</w:t>
          </w:r>
          <w:proofErr w:type="spellEnd"/>
          <w:r w:rsidRPr="00E17BC6">
            <w:t xml:space="preserve">; </w:t>
          </w:r>
          <w:proofErr w:type="spellStart"/>
          <w:r w:rsidRPr="00E17BC6">
            <w:t>tenofovir</w:t>
          </w:r>
          <w:proofErr w:type="spellEnd"/>
          <w:r w:rsidRPr="00E17BC6">
            <w:t xml:space="preserve"> </w:t>
          </w:r>
          <w:proofErr w:type="spellStart"/>
          <w:r w:rsidRPr="00E17BC6">
            <w:t>disoproxil</w:t>
          </w:r>
          <w:proofErr w:type="spellEnd"/>
          <w:r w:rsidRPr="00E17BC6">
            <w:t xml:space="preserve"> </w:t>
          </w:r>
          <w:proofErr w:type="spellStart"/>
          <w:r w:rsidRPr="00E17BC6">
            <w:t>fumarate</w:t>
          </w:r>
          <w:proofErr w:type="spellEnd"/>
          <w:r w:rsidRPr="00E17BC6">
            <w:t xml:space="preserve">, </w:t>
          </w:r>
          <w:proofErr w:type="spellStart"/>
          <w:r w:rsidRPr="00E17BC6">
            <w:t>emtricitabine</w:t>
          </w:r>
          <w:proofErr w:type="spellEnd"/>
          <w:r w:rsidRPr="00E17BC6">
            <w:t xml:space="preserve">, </w:t>
          </w:r>
          <w:proofErr w:type="spellStart"/>
          <w:r w:rsidRPr="00E17BC6">
            <w:t>elvitegravir</w:t>
          </w:r>
          <w:proofErr w:type="spellEnd"/>
          <w:r w:rsidRPr="00E17BC6">
            <w:t xml:space="preserve"> and cobicistat; </w:t>
          </w:r>
        </w:p>
        <w:p w:rsidR="0089631D" w:rsidRDefault="0089631D" w:rsidP="00E17BC6">
          <w:pPr>
            <w:pStyle w:val="Footer"/>
          </w:pPr>
          <w:r w:rsidRPr="00E17BC6">
            <w:t>Gilead Sci</w:t>
          </w:r>
          <w:r>
            <w:t>ences Pty Ltd; PM-2011-03533-3-2</w:t>
          </w:r>
          <w:r w:rsidRPr="00E17BC6">
            <w:t>. Date of Finalisation 5 August 2013</w:t>
          </w:r>
        </w:p>
      </w:tc>
      <w:tc>
        <w:tcPr>
          <w:tcW w:w="1915" w:type="dxa"/>
          <w:tcMar>
            <w:top w:w="142" w:type="dxa"/>
            <w:bottom w:w="0" w:type="dxa"/>
          </w:tcMar>
        </w:tcPr>
        <w:p w:rsidR="0089631D" w:rsidRPr="00487162" w:rsidRDefault="0089631D" w:rsidP="00E45619">
          <w:pPr>
            <w:pStyle w:val="Footer"/>
            <w:jc w:val="right"/>
          </w:pPr>
          <w:r w:rsidRPr="00487162">
            <w:t xml:space="preserve">Page </w:t>
          </w:r>
          <w:fldSimple w:instr="PAGE">
            <w:r w:rsidR="00240200">
              <w:rPr>
                <w:noProof/>
              </w:rPr>
              <w:t>69</w:t>
            </w:r>
          </w:fldSimple>
          <w:r w:rsidRPr="00487162">
            <w:t xml:space="preserve"> of </w:t>
          </w:r>
          <w:fldSimple w:instr=" NUMPAGES  \* Arabic ">
            <w:r w:rsidR="00240200">
              <w:rPr>
                <w:noProof/>
              </w:rPr>
              <w:t>70</w:t>
            </w:r>
          </w:fldSimple>
        </w:p>
      </w:tc>
    </w:tr>
  </w:tbl>
  <w:p w:rsidR="0089631D" w:rsidRDefault="0089631D"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89631D" w:rsidRPr="00487162" w:rsidTr="00E45619">
      <w:trPr>
        <w:trHeight w:val="269"/>
      </w:trPr>
      <w:tc>
        <w:tcPr>
          <w:tcW w:w="4519" w:type="dxa"/>
          <w:tcBorders>
            <w:top w:val="single" w:sz="4" w:space="0" w:color="auto"/>
          </w:tcBorders>
          <w:tcMar>
            <w:top w:w="142" w:type="dxa"/>
            <w:bottom w:w="0" w:type="dxa"/>
          </w:tcMar>
        </w:tcPr>
        <w:p w:rsidR="0089631D" w:rsidRPr="00487162" w:rsidRDefault="0089631D" w:rsidP="00FE1DEE">
          <w:pPr>
            <w:pStyle w:val="Footer"/>
          </w:pPr>
          <w:r w:rsidRPr="00487162">
            <w:t>Document title, Part #, Section # - Section title</w:t>
          </w:r>
        </w:p>
        <w:p w:rsidR="0089631D" w:rsidRPr="00487162" w:rsidRDefault="0089631D" w:rsidP="00FE1DEE">
          <w:pPr>
            <w:pStyle w:val="Footer"/>
          </w:pPr>
          <w:r w:rsidRPr="00487162">
            <w:t>V1.0 October 2010</w:t>
          </w:r>
        </w:p>
      </w:tc>
      <w:tc>
        <w:tcPr>
          <w:tcW w:w="4342" w:type="dxa"/>
          <w:tcBorders>
            <w:top w:val="single" w:sz="4" w:space="0" w:color="auto"/>
          </w:tcBorders>
          <w:tcMar>
            <w:top w:w="142" w:type="dxa"/>
            <w:bottom w:w="0" w:type="dxa"/>
          </w:tcMar>
        </w:tcPr>
        <w:p w:rsidR="0089631D" w:rsidRPr="00487162" w:rsidRDefault="0089631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3</w:t>
            </w:r>
          </w:fldSimple>
        </w:p>
      </w:tc>
    </w:tr>
  </w:tbl>
  <w:p w:rsidR="0089631D" w:rsidRDefault="0089631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89631D" w:rsidRDefault="0089631D">
            <w:pPr>
              <w:pStyle w:val="Footer"/>
              <w:jc w:val="right"/>
            </w:pPr>
          </w:p>
          <w:tbl>
            <w:tblPr>
              <w:tblW w:w="9175" w:type="dxa"/>
              <w:tblInd w:w="-284" w:type="dxa"/>
              <w:tblLayout w:type="fixed"/>
              <w:tblCellMar>
                <w:left w:w="0" w:type="dxa"/>
                <w:right w:w="0" w:type="dxa"/>
              </w:tblCellMar>
              <w:tblLook w:val="04A0"/>
            </w:tblPr>
            <w:tblGrid>
              <w:gridCol w:w="9175"/>
            </w:tblGrid>
            <w:tr w:rsidR="0089631D" w:rsidRPr="00487162" w:rsidTr="00E45619">
              <w:trPr>
                <w:trHeight w:hRule="exact" w:val="704"/>
              </w:trPr>
              <w:tc>
                <w:tcPr>
                  <w:tcW w:w="9175" w:type="dxa"/>
                </w:tcPr>
                <w:p w:rsidR="0089631D" w:rsidRPr="00487162" w:rsidRDefault="0089631D" w:rsidP="008E7846">
                  <w:pPr>
                    <w:pStyle w:val="TGASignoff"/>
                  </w:pPr>
                  <w:r w:rsidRPr="00487162">
                    <w:t>Therapeutic Goods Administration</w:t>
                  </w:r>
                </w:p>
              </w:tc>
            </w:tr>
            <w:tr w:rsidR="0089631D" w:rsidRPr="00487162" w:rsidTr="00E45619">
              <w:trPr>
                <w:trHeight w:val="1221"/>
              </w:trPr>
              <w:tc>
                <w:tcPr>
                  <w:tcW w:w="9175" w:type="dxa"/>
                  <w:tcMar>
                    <w:top w:w="28" w:type="dxa"/>
                  </w:tcMar>
                </w:tcPr>
                <w:p w:rsidR="0089631D" w:rsidRPr="00487162" w:rsidRDefault="0089631D" w:rsidP="00E45619">
                  <w:pPr>
                    <w:pStyle w:val="Address"/>
                  </w:pPr>
                  <w:r w:rsidRPr="00487162">
                    <w:t>PO Box 100 Woden ACT 2606 Australia</w:t>
                  </w:r>
                </w:p>
                <w:p w:rsidR="0089631D" w:rsidRPr="00487162" w:rsidRDefault="0089631D" w:rsidP="00E45619">
                  <w:pPr>
                    <w:pStyle w:val="Address"/>
                  </w:pPr>
                  <w:r w:rsidRPr="00487162">
                    <w:t>Email: info@tga.gov.au</w:t>
                  </w:r>
                  <w:r>
                    <w:t xml:space="preserve"> </w:t>
                  </w:r>
                  <w:r w:rsidRPr="00487162">
                    <w:t>Phone: 1800 020 653</w:t>
                  </w:r>
                  <w:r>
                    <w:t xml:space="preserve"> </w:t>
                  </w:r>
                  <w:r w:rsidRPr="00487162">
                    <w:t>Fax: 02 6232 8605</w:t>
                  </w:r>
                </w:p>
                <w:p w:rsidR="0089631D" w:rsidRPr="00112F56" w:rsidRDefault="00F35DF9" w:rsidP="00E45619">
                  <w:pPr>
                    <w:pStyle w:val="Address"/>
                    <w:spacing w:line="260" w:lineRule="atLeast"/>
                    <w:rPr>
                      <w:rStyle w:val="Hyperlink"/>
                      <w:b/>
                    </w:rPr>
                  </w:pPr>
                  <w:hyperlink r:id="rId1" w:history="1">
                    <w:r w:rsidR="0089631D" w:rsidRPr="00112F56">
                      <w:rPr>
                        <w:rStyle w:val="Hyperlink"/>
                        <w:b/>
                      </w:rPr>
                      <w:t>www.tga.gov.au</w:t>
                    </w:r>
                  </w:hyperlink>
                </w:p>
                <w:p w:rsidR="0089631D" w:rsidRDefault="0089631D" w:rsidP="00E45619">
                  <w:pPr>
                    <w:pStyle w:val="Reference"/>
                    <w:jc w:val="center"/>
                  </w:pPr>
                  <w:r w:rsidRPr="00487162">
                    <w:t>Reference/Publication #</w:t>
                  </w:r>
                </w:p>
                <w:p w:rsidR="0089631D" w:rsidRPr="00487162" w:rsidRDefault="0089631D" w:rsidP="00E45619">
                  <w:pPr>
                    <w:pStyle w:val="Reference"/>
                    <w:ind w:firstLine="0"/>
                  </w:pPr>
                </w:p>
              </w:tc>
            </w:tr>
          </w:tbl>
          <w:p w:rsidR="0089631D" w:rsidRDefault="00F35DF9" w:rsidP="008E7846">
            <w:pPr>
              <w:pStyle w:val="Notes"/>
            </w:pPr>
          </w:p>
        </w:sdtContent>
      </w:sdt>
    </w:sdtContent>
  </w:sdt>
  <w:p w:rsidR="0089631D" w:rsidRPr="008E7846" w:rsidRDefault="0089631D"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89631D" w:rsidTr="0010601F">
      <w:trPr>
        <w:trHeight w:val="108"/>
      </w:trPr>
      <w:tc>
        <w:tcPr>
          <w:tcW w:w="8875" w:type="dxa"/>
          <w:gridSpan w:val="2"/>
          <w:tcBorders>
            <w:bottom w:val="single" w:sz="4" w:space="0" w:color="auto"/>
          </w:tcBorders>
          <w:tcMar>
            <w:right w:w="284" w:type="dxa"/>
          </w:tcMar>
        </w:tcPr>
        <w:p w:rsidR="0089631D" w:rsidRDefault="0089631D" w:rsidP="006E08B3">
          <w:pPr>
            <w:pStyle w:val="Heading3"/>
          </w:pPr>
          <w:r>
            <w:t>Copyright</w:t>
          </w:r>
        </w:p>
        <w:p w:rsidR="0089631D" w:rsidRDefault="0089631D" w:rsidP="006E08B3">
          <w:r>
            <w:rPr>
              <w:rFonts w:cs="Arial"/>
            </w:rPr>
            <w:t>©</w:t>
          </w:r>
          <w:r>
            <w:t xml:space="preserve"> Commonwealth of Australia [add year]</w:t>
          </w:r>
        </w:p>
        <w:p w:rsidR="0089631D" w:rsidRDefault="0089631D" w:rsidP="006E08B3"/>
        <w:p w:rsidR="0089631D" w:rsidRDefault="0089631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9631D" w:rsidRDefault="0089631D" w:rsidP="006E08B3"/>
        <w:p w:rsidR="0089631D" w:rsidRDefault="0089631D" w:rsidP="006E08B3">
          <w:pPr>
            <w:pStyle w:val="Heading3"/>
          </w:pPr>
          <w:r>
            <w:t>Confidentiality</w:t>
          </w:r>
        </w:p>
        <w:p w:rsidR="0089631D" w:rsidRDefault="0089631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9631D" w:rsidRDefault="0089631D" w:rsidP="006E08B3"/>
        <w:p w:rsidR="0089631D" w:rsidRDefault="0089631D" w:rsidP="006E08B3">
          <w:r>
            <w:t>For submission made by individuals, all personal details, other than your name, will be removed from your submission before it is published on the TGA’s Internet site.</w:t>
          </w:r>
        </w:p>
        <w:p w:rsidR="0089631D" w:rsidRDefault="0089631D" w:rsidP="006E08B3"/>
        <w:p w:rsidR="0089631D" w:rsidRDefault="0089631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9631D" w:rsidTr="0010601F">
      <w:trPr>
        <w:trHeight w:val="417"/>
      </w:trPr>
      <w:tc>
        <w:tcPr>
          <w:tcW w:w="4519" w:type="dxa"/>
          <w:tcBorders>
            <w:top w:val="single" w:sz="4" w:space="0" w:color="auto"/>
          </w:tcBorders>
          <w:tcMar>
            <w:top w:w="142" w:type="dxa"/>
            <w:bottom w:w="0" w:type="dxa"/>
          </w:tcMar>
        </w:tcPr>
        <w:p w:rsidR="0089631D" w:rsidRDefault="0089631D" w:rsidP="006E08B3">
          <w:r>
            <w:t>Document title, Part #, Section # - Section title</w:t>
          </w:r>
        </w:p>
        <w:p w:rsidR="0089631D" w:rsidRDefault="0089631D" w:rsidP="006E08B3">
          <w:r>
            <w:t>V1.0 October 2010</w:t>
          </w:r>
        </w:p>
      </w:tc>
      <w:tc>
        <w:tcPr>
          <w:tcW w:w="4356" w:type="dxa"/>
          <w:tcBorders>
            <w:top w:val="single" w:sz="4" w:space="0" w:color="auto"/>
          </w:tcBorders>
          <w:tcMar>
            <w:top w:w="142" w:type="dxa"/>
            <w:bottom w:w="0" w:type="dxa"/>
          </w:tcMar>
        </w:tcPr>
        <w:p w:rsidR="0089631D" w:rsidRDefault="0089631D" w:rsidP="006E08B3">
          <w:pPr>
            <w:jc w:val="right"/>
          </w:pPr>
          <w:r>
            <w:t xml:space="preserve">Page </w:t>
          </w:r>
          <w:fldSimple w:instr=" PAGE   \* MERGEFORMAT ">
            <w:r>
              <w:rPr>
                <w:noProof/>
              </w:rPr>
              <w:t>1</w:t>
            </w:r>
          </w:fldSimple>
          <w:r>
            <w:t xml:space="preserve"> of </w:t>
          </w:r>
          <w:fldSimple w:instr=" NUMPAGES  \* Arabic ">
            <w:r>
              <w:rPr>
                <w:noProof/>
              </w:rPr>
              <w:t>3</w:t>
            </w:r>
          </w:fldSimple>
          <w:r>
            <w:t xml:space="preserve"> </w:t>
          </w:r>
        </w:p>
      </w:tc>
    </w:tr>
  </w:tbl>
  <w:p w:rsidR="0089631D" w:rsidRDefault="0089631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169" w:rsidRDefault="009A1169" w:rsidP="00C40A36">
      <w:pPr>
        <w:spacing w:after="0"/>
      </w:pPr>
      <w:r>
        <w:separator/>
      </w:r>
    </w:p>
  </w:footnote>
  <w:footnote w:type="continuationSeparator" w:id="0">
    <w:p w:rsidR="009A1169" w:rsidRDefault="009A1169" w:rsidP="00C40A36">
      <w:pPr>
        <w:spacing w:after="0"/>
      </w:pPr>
      <w:r>
        <w:continuationSeparator/>
      </w:r>
    </w:p>
  </w:footnote>
  <w:footnote w:id="1">
    <w:p w:rsidR="0089631D" w:rsidRPr="00FD364B" w:rsidRDefault="0089631D">
      <w:pPr>
        <w:pStyle w:val="FootnoteText"/>
        <w:rPr>
          <w:rFonts w:ascii="Cambria" w:hAnsi="Cambria"/>
          <w:sz w:val="18"/>
          <w:szCs w:val="18"/>
        </w:rPr>
      </w:pPr>
      <w:r w:rsidRPr="00732DF7">
        <w:rPr>
          <w:rStyle w:val="FootnoteReference"/>
          <w:rFonts w:ascii="Cambria" w:hAnsi="Cambria"/>
          <w:sz w:val="18"/>
          <w:szCs w:val="18"/>
        </w:rPr>
        <w:footnoteRef/>
      </w:r>
      <w:r w:rsidRPr="00732DF7">
        <w:rPr>
          <w:rFonts w:ascii="Cambria" w:hAnsi="Cambria"/>
          <w:sz w:val="18"/>
          <w:szCs w:val="18"/>
        </w:rPr>
        <w:t xml:space="preserve"> The application was approved in Canada on 26</w:t>
      </w:r>
      <w:r w:rsidRPr="00732DF7">
        <w:rPr>
          <w:rFonts w:ascii="Cambria" w:hAnsi="Cambria"/>
          <w:sz w:val="18"/>
          <w:szCs w:val="18"/>
          <w:vertAlign w:val="superscript"/>
        </w:rPr>
        <w:t>th</w:t>
      </w:r>
      <w:r w:rsidRPr="00732DF7">
        <w:rPr>
          <w:rFonts w:ascii="Cambria" w:hAnsi="Cambria"/>
          <w:sz w:val="18"/>
          <w:szCs w:val="18"/>
        </w:rPr>
        <w:t xml:space="preserve"> November 2012. </w:t>
      </w:r>
    </w:p>
  </w:footnote>
  <w:footnote w:id="2">
    <w:p w:rsidR="0089631D" w:rsidRDefault="0089631D" w:rsidP="00173013">
      <w:pPr>
        <w:pStyle w:val="FootnoteText"/>
      </w:pPr>
      <w:r>
        <w:rPr>
          <w:rStyle w:val="FootnoteReference"/>
        </w:rPr>
        <w:footnoteRef/>
      </w:r>
      <w:r>
        <w:t xml:space="preserve"> </w:t>
      </w:r>
      <w:r>
        <w:rPr>
          <w:rFonts w:asciiTheme="minorHAnsi" w:hAnsiTheme="minorHAnsi"/>
          <w:sz w:val="18"/>
          <w:szCs w:val="18"/>
        </w:rPr>
        <w:t xml:space="preserve">Acceptable finished product release and expiry specifications that incorporated appropriate tests and limits were provided prior to the TGA issuing its decision on the registration of this product. </w:t>
      </w:r>
    </w:p>
  </w:footnote>
  <w:footnote w:id="3">
    <w:p w:rsidR="0089631D" w:rsidRPr="00CD3530" w:rsidRDefault="0089631D" w:rsidP="004F155B">
      <w:pPr>
        <w:spacing w:before="0" w:after="0" w:line="240" w:lineRule="auto"/>
        <w:rPr>
          <w:sz w:val="18"/>
          <w:szCs w:val="18"/>
        </w:rPr>
      </w:pPr>
      <w:r w:rsidRPr="00CD3530">
        <w:rPr>
          <w:rStyle w:val="FootnoteReference"/>
          <w:sz w:val="18"/>
          <w:szCs w:val="18"/>
        </w:rPr>
        <w:footnoteRef/>
      </w:r>
      <w:r w:rsidRPr="00CD3530">
        <w:rPr>
          <w:sz w:val="18"/>
          <w:szCs w:val="18"/>
        </w:rPr>
        <w:t xml:space="preserve"> The QT interval is </w:t>
      </w:r>
      <w:r w:rsidRPr="00CD3530">
        <w:rPr>
          <w:color w:val="000000"/>
          <w:sz w:val="18"/>
          <w:szCs w:val="18"/>
        </w:rPr>
        <w:t xml:space="preserve">a measure of the time between the start of the Q wave and the end of the T wave in the heart's electrical cycle. A prolonged QT interval is a risk factor for ventricular </w:t>
      </w:r>
      <w:proofErr w:type="spellStart"/>
      <w:r w:rsidRPr="00CD3530">
        <w:rPr>
          <w:color w:val="000000"/>
          <w:sz w:val="18"/>
          <w:szCs w:val="18"/>
        </w:rPr>
        <w:t>tachyarrhythmias</w:t>
      </w:r>
      <w:proofErr w:type="spellEnd"/>
      <w:r w:rsidRPr="00CD3530">
        <w:rPr>
          <w:color w:val="000000"/>
          <w:sz w:val="18"/>
          <w:szCs w:val="18"/>
        </w:rPr>
        <w:t xml:space="preserve"> and sudden death. </w:t>
      </w:r>
      <w:proofErr w:type="spellStart"/>
      <w:r w:rsidRPr="00CD3530">
        <w:rPr>
          <w:sz w:val="18"/>
          <w:szCs w:val="18"/>
        </w:rPr>
        <w:t>QT</w:t>
      </w:r>
      <w:r w:rsidRPr="00CD3530">
        <w:rPr>
          <w:sz w:val="18"/>
          <w:szCs w:val="18"/>
          <w:vertAlign w:val="subscript"/>
        </w:rPr>
        <w:t>c</w:t>
      </w:r>
      <w:proofErr w:type="spellEnd"/>
      <w:r w:rsidRPr="00CD3530">
        <w:rPr>
          <w:sz w:val="18"/>
          <w:szCs w:val="18"/>
        </w:rPr>
        <w:t>: The QT interval is dependent on the heart rate (the faster the heart rate, the shorter the QT interval). To correct for changes in heart rate and thereby improve the detection of patients at increased risk of ventricular arrhythmia, a heart rate-corrected QT interval (</w:t>
      </w:r>
      <w:proofErr w:type="spellStart"/>
      <w:r w:rsidRPr="00CD3530">
        <w:rPr>
          <w:iCs/>
          <w:sz w:val="18"/>
          <w:szCs w:val="18"/>
        </w:rPr>
        <w:t>QTc</w:t>
      </w:r>
      <w:proofErr w:type="spellEnd"/>
      <w:r w:rsidRPr="00CD3530">
        <w:rPr>
          <w:iCs/>
          <w:sz w:val="18"/>
          <w:szCs w:val="18"/>
        </w:rPr>
        <w:t>) is often calculated</w:t>
      </w:r>
      <w:r w:rsidRPr="00CD3530">
        <w:rPr>
          <w:sz w:val="18"/>
          <w:szCs w:val="18"/>
        </w:rPr>
        <w:t>.</w:t>
      </w:r>
    </w:p>
  </w:footnote>
  <w:footnote w:id="4">
    <w:p w:rsidR="0089631D" w:rsidRPr="00B40747" w:rsidRDefault="0089631D" w:rsidP="00B40747">
      <w:pPr>
        <w:spacing w:before="0" w:after="0" w:line="240" w:lineRule="auto"/>
        <w:rPr>
          <w:sz w:val="18"/>
          <w:szCs w:val="18"/>
        </w:rPr>
      </w:pPr>
      <w:r w:rsidRPr="00B40747">
        <w:rPr>
          <w:rStyle w:val="FootnoteReference"/>
          <w:sz w:val="18"/>
          <w:szCs w:val="18"/>
        </w:rPr>
        <w:footnoteRef/>
      </w:r>
      <w:r w:rsidRPr="00B40747">
        <w:rPr>
          <w:sz w:val="18"/>
          <w:szCs w:val="18"/>
        </w:rPr>
        <w:t xml:space="preserve"> U.S. FDA </w:t>
      </w:r>
      <w:proofErr w:type="spellStart"/>
      <w:r w:rsidRPr="00B40747">
        <w:rPr>
          <w:sz w:val="18"/>
          <w:szCs w:val="18"/>
        </w:rPr>
        <w:t>Center</w:t>
      </w:r>
      <w:proofErr w:type="spellEnd"/>
      <w:r w:rsidRPr="00B40747">
        <w:rPr>
          <w:sz w:val="18"/>
          <w:szCs w:val="18"/>
        </w:rPr>
        <w:t xml:space="preserve"> for Drug Evaluation and Research (CDER), March 2006. Available at </w:t>
      </w:r>
      <w:r>
        <w:rPr>
          <w:sz w:val="18"/>
          <w:szCs w:val="18"/>
        </w:rPr>
        <w:t>&lt;</w:t>
      </w:r>
      <w:hyperlink r:id="rId1" w:history="1">
        <w:r w:rsidRPr="00B40747">
          <w:rPr>
            <w:rStyle w:val="Hyperlink"/>
            <w:sz w:val="18"/>
            <w:szCs w:val="18"/>
          </w:rPr>
          <w:t>http://www.fda.gov/OHRMS/DOCKETS/98fr/05d-0004-gdl0002.pdf</w:t>
        </w:r>
      </w:hyperlink>
      <w:r>
        <w:rPr>
          <w:sz w:val="18"/>
          <w:szCs w:val="18"/>
        </w:rPr>
        <w:t>&gt;</w:t>
      </w:r>
    </w:p>
  </w:footnote>
  <w:footnote w:id="5">
    <w:p w:rsidR="0089631D" w:rsidRPr="00BB3D4A" w:rsidRDefault="0089631D" w:rsidP="00BB3D4A">
      <w:pPr>
        <w:spacing w:before="0" w:after="0" w:line="240" w:lineRule="auto"/>
        <w:rPr>
          <w:sz w:val="18"/>
          <w:szCs w:val="18"/>
        </w:rPr>
      </w:pPr>
      <w:r w:rsidRPr="00BB3D4A">
        <w:rPr>
          <w:sz w:val="18"/>
          <w:szCs w:val="18"/>
          <w:vertAlign w:val="superscript"/>
        </w:rPr>
        <w:footnoteRef/>
      </w:r>
      <w:r w:rsidRPr="00BB3D4A">
        <w:rPr>
          <w:sz w:val="18"/>
          <w:szCs w:val="18"/>
          <w:vertAlign w:val="superscript"/>
        </w:rPr>
        <w:t xml:space="preserve"> </w:t>
      </w:r>
      <w:r w:rsidRPr="00BB3D4A">
        <w:rPr>
          <w:sz w:val="18"/>
          <w:szCs w:val="18"/>
        </w:rPr>
        <w:t>International Conference on Harmonisation (ICH) guideline M3 (R2) – questions and answers. EMA/CHMP/ICH/507008/2011. Feb. 2012</w:t>
      </w:r>
      <w:r>
        <w:rPr>
          <w:sz w:val="18"/>
          <w:szCs w:val="18"/>
        </w:rPr>
        <w:t>.</w:t>
      </w:r>
    </w:p>
  </w:footnote>
  <w:footnote w:id="6">
    <w:p w:rsidR="0089631D" w:rsidRPr="00BC7D9D" w:rsidRDefault="0089631D" w:rsidP="00BC7D9D">
      <w:pPr>
        <w:spacing w:before="0" w:after="0" w:line="240" w:lineRule="auto"/>
        <w:rPr>
          <w:i/>
        </w:rPr>
      </w:pPr>
      <w:r w:rsidRPr="00BC7D9D">
        <w:rPr>
          <w:sz w:val="18"/>
          <w:szCs w:val="18"/>
          <w:vertAlign w:val="superscript"/>
        </w:rPr>
        <w:footnoteRef/>
      </w:r>
      <w:r w:rsidRPr="00BC7D9D">
        <w:rPr>
          <w:sz w:val="18"/>
          <w:szCs w:val="18"/>
          <w:vertAlign w:val="superscript"/>
        </w:rPr>
        <w:t xml:space="preserve"> </w:t>
      </w:r>
      <w:r>
        <w:rPr>
          <w:sz w:val="18"/>
          <w:szCs w:val="18"/>
          <w:vertAlign w:val="superscript"/>
        </w:rPr>
        <w:t xml:space="preserve"> </w:t>
      </w:r>
      <w:r w:rsidRPr="00BC7D9D">
        <w:rPr>
          <w:sz w:val="18"/>
          <w:szCs w:val="18"/>
        </w:rPr>
        <w:t xml:space="preserve">The Australian categorisation system for prescribing medicines in pregnancy </w:t>
      </w:r>
      <w:r>
        <w:rPr>
          <w:sz w:val="18"/>
          <w:szCs w:val="18"/>
        </w:rPr>
        <w:t xml:space="preserve">defines Category B1 as: </w:t>
      </w:r>
      <w:r w:rsidRPr="00BC7D9D">
        <w:rPr>
          <w:i/>
          <w:sz w:val="18"/>
          <w:szCs w:val="18"/>
        </w:rPr>
        <w:t xml:space="preserve">‘Drugs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w:t>
      </w:r>
      <w:proofErr w:type="spellStart"/>
      <w:r w:rsidRPr="00BC7D9D">
        <w:rPr>
          <w:i/>
          <w:sz w:val="18"/>
          <w:szCs w:val="18"/>
        </w:rPr>
        <w:t>fetal</w:t>
      </w:r>
      <w:proofErr w:type="spellEnd"/>
      <w:r w:rsidRPr="00BC7D9D">
        <w:rPr>
          <w:i/>
          <w:sz w:val="18"/>
          <w:szCs w:val="18"/>
        </w:rPr>
        <w:t xml:space="preserve"> damage.’</w:t>
      </w:r>
    </w:p>
  </w:footnote>
  <w:footnote w:id="7">
    <w:p w:rsidR="0089631D" w:rsidRPr="00BC7D9D" w:rsidRDefault="0089631D" w:rsidP="00BC7D9D">
      <w:pPr>
        <w:spacing w:before="0" w:after="0" w:line="240" w:lineRule="auto"/>
        <w:rPr>
          <w:i/>
          <w:sz w:val="18"/>
          <w:szCs w:val="18"/>
        </w:rPr>
      </w:pPr>
      <w:r w:rsidRPr="00BC7D9D">
        <w:rPr>
          <w:sz w:val="18"/>
          <w:szCs w:val="18"/>
          <w:vertAlign w:val="superscript"/>
        </w:rPr>
        <w:footnoteRef/>
      </w:r>
      <w:r w:rsidRPr="00BC7D9D">
        <w:rPr>
          <w:sz w:val="18"/>
          <w:szCs w:val="18"/>
        </w:rPr>
        <w:t xml:space="preserve"> Category B3</w:t>
      </w:r>
      <w:r>
        <w:rPr>
          <w:sz w:val="18"/>
          <w:szCs w:val="18"/>
        </w:rPr>
        <w:t xml:space="preserve"> is defined as: </w:t>
      </w:r>
      <w:r>
        <w:rPr>
          <w:i/>
          <w:sz w:val="18"/>
          <w:szCs w:val="18"/>
        </w:rPr>
        <w:t>‘</w:t>
      </w:r>
      <w:r w:rsidRPr="00BC7D9D">
        <w:rPr>
          <w:i/>
          <w:sz w:val="18"/>
          <w:szCs w:val="18"/>
        </w:rPr>
        <w:t>Drugs which have been taken by only a limited number of pregnant women and women of childbearing age, without an increase in the frequency of malformation or other direct or indirect harmful effects on the human fetus having been observed.</w:t>
      </w:r>
    </w:p>
    <w:p w:rsidR="0089631D" w:rsidRPr="00BC7D9D" w:rsidRDefault="0089631D" w:rsidP="00BC7D9D">
      <w:pPr>
        <w:spacing w:before="0" w:after="0" w:line="240" w:lineRule="auto"/>
        <w:rPr>
          <w:sz w:val="18"/>
          <w:szCs w:val="18"/>
        </w:rPr>
      </w:pPr>
      <w:r w:rsidRPr="00BC7D9D">
        <w:rPr>
          <w:i/>
          <w:sz w:val="18"/>
          <w:szCs w:val="18"/>
        </w:rPr>
        <w:t xml:space="preserve">Studies in animals have shown evidence of an increased occurrence of </w:t>
      </w:r>
      <w:proofErr w:type="spellStart"/>
      <w:r w:rsidRPr="00BC7D9D">
        <w:rPr>
          <w:i/>
          <w:sz w:val="18"/>
          <w:szCs w:val="18"/>
        </w:rPr>
        <w:t>fetal</w:t>
      </w:r>
      <w:proofErr w:type="spellEnd"/>
      <w:r w:rsidRPr="00BC7D9D">
        <w:rPr>
          <w:i/>
          <w:sz w:val="18"/>
          <w:szCs w:val="18"/>
        </w:rPr>
        <w:t xml:space="preserve"> damage, the significance of which is considered uncertain in humans.’</w:t>
      </w:r>
    </w:p>
  </w:footnote>
  <w:footnote w:id="8">
    <w:p w:rsidR="0089631D" w:rsidRPr="00930471" w:rsidRDefault="0089631D" w:rsidP="00EA5CFE">
      <w:pPr>
        <w:pStyle w:val="FootnoteText"/>
        <w:rPr>
          <w:rFonts w:asciiTheme="minorHAnsi" w:hAnsiTheme="minorHAnsi"/>
          <w:sz w:val="18"/>
          <w:szCs w:val="18"/>
        </w:rPr>
      </w:pPr>
      <w:r w:rsidRPr="00930471">
        <w:rPr>
          <w:rStyle w:val="FootnoteReference"/>
          <w:rFonts w:asciiTheme="minorHAnsi" w:hAnsiTheme="minorHAnsi"/>
          <w:sz w:val="18"/>
          <w:szCs w:val="18"/>
        </w:rPr>
        <w:footnoteRef/>
      </w:r>
      <w:r w:rsidRPr="00930471">
        <w:rPr>
          <w:rFonts w:asciiTheme="minorHAnsi" w:hAnsiTheme="minorHAnsi"/>
          <w:sz w:val="18"/>
          <w:szCs w:val="18"/>
        </w:rPr>
        <w:t xml:space="preserve"> Guideline on the non-clinical development of fixed combinations of medicinal products. CHMP/SWP/258498/2005 </w:t>
      </w:r>
    </w:p>
  </w:footnote>
  <w:footnote w:id="9">
    <w:p w:rsidR="0089631D" w:rsidRPr="00724946" w:rsidRDefault="0089631D" w:rsidP="00724946">
      <w:pPr>
        <w:keepNext/>
        <w:spacing w:before="0" w:after="0" w:line="240" w:lineRule="auto"/>
        <w:rPr>
          <w:i/>
          <w:sz w:val="18"/>
          <w:szCs w:val="18"/>
        </w:rPr>
      </w:pPr>
      <w:r w:rsidRPr="00724946">
        <w:rPr>
          <w:rStyle w:val="FootnoteReference"/>
          <w:sz w:val="18"/>
          <w:szCs w:val="18"/>
        </w:rPr>
        <w:footnoteRef/>
      </w:r>
      <w:r w:rsidRPr="00724946">
        <w:rPr>
          <w:sz w:val="18"/>
          <w:szCs w:val="18"/>
        </w:rPr>
        <w:t xml:space="preserve"> Category B3: </w:t>
      </w:r>
      <w:r w:rsidRPr="00724946">
        <w:rPr>
          <w:i/>
          <w:sz w:val="18"/>
          <w:szCs w:val="18"/>
        </w:rPr>
        <w:t>‘Drugs which have been taken by only a limited number of pregnant women and women of childbearing age, without an increase in the frequency of malformation or other direct or indirect harmful effects on the human fetus having been observed.</w:t>
      </w:r>
    </w:p>
    <w:p w:rsidR="0089631D" w:rsidRDefault="0089631D" w:rsidP="00724946">
      <w:pPr>
        <w:spacing w:before="0" w:after="0" w:line="240" w:lineRule="auto"/>
      </w:pPr>
      <w:r>
        <w:rPr>
          <w:i/>
          <w:sz w:val="18"/>
          <w:szCs w:val="18"/>
        </w:rPr>
        <w:t xml:space="preserve">Studies in animals have shown evidence of an increased occurrence of </w:t>
      </w:r>
      <w:proofErr w:type="spellStart"/>
      <w:r>
        <w:rPr>
          <w:i/>
          <w:sz w:val="18"/>
          <w:szCs w:val="18"/>
        </w:rPr>
        <w:t>fetal</w:t>
      </w:r>
      <w:proofErr w:type="spellEnd"/>
      <w:r>
        <w:rPr>
          <w:i/>
          <w:sz w:val="18"/>
          <w:szCs w:val="18"/>
        </w:rPr>
        <w:t xml:space="preserve"> damage, the significance of which is considered uncertain in humans.’</w:t>
      </w:r>
    </w:p>
  </w:footnote>
  <w:footnote w:id="10">
    <w:p w:rsidR="0089631D" w:rsidRPr="00AF593A" w:rsidRDefault="0089631D">
      <w:pPr>
        <w:pStyle w:val="FootnoteText"/>
        <w:rPr>
          <w:rFonts w:ascii="Cambria" w:hAnsi="Cambria"/>
          <w:sz w:val="18"/>
          <w:szCs w:val="18"/>
        </w:rPr>
      </w:pPr>
      <w:r w:rsidRPr="00AF593A">
        <w:rPr>
          <w:rStyle w:val="FootnoteReference"/>
          <w:rFonts w:ascii="Cambria" w:hAnsi="Cambria"/>
          <w:sz w:val="18"/>
          <w:szCs w:val="18"/>
        </w:rPr>
        <w:footnoteRef/>
      </w:r>
      <w:r w:rsidRPr="00AF593A">
        <w:rPr>
          <w:rFonts w:ascii="Cambria" w:hAnsi="Cambria"/>
          <w:sz w:val="18"/>
          <w:szCs w:val="18"/>
        </w:rPr>
        <w:t xml:space="preserve"> The abbreviation </w:t>
      </w:r>
      <w:r>
        <w:rPr>
          <w:rFonts w:ascii="Cambria" w:hAnsi="Cambria"/>
          <w:sz w:val="18"/>
          <w:szCs w:val="18"/>
        </w:rPr>
        <w:t>‘</w:t>
      </w:r>
      <w:r w:rsidRPr="00AF593A">
        <w:rPr>
          <w:rFonts w:ascii="Cambria" w:hAnsi="Cambria"/>
          <w:sz w:val="18"/>
          <w:szCs w:val="18"/>
        </w:rPr>
        <w:t>/r</w:t>
      </w:r>
      <w:r>
        <w:rPr>
          <w:rFonts w:ascii="Cambria" w:hAnsi="Cambria"/>
          <w:sz w:val="18"/>
          <w:szCs w:val="18"/>
        </w:rPr>
        <w:t>’</w:t>
      </w:r>
      <w:r w:rsidRPr="00AF593A">
        <w:rPr>
          <w:rFonts w:ascii="Cambria" w:hAnsi="Cambria"/>
          <w:sz w:val="18"/>
          <w:szCs w:val="18"/>
        </w:rPr>
        <w:t xml:space="preserve"> indicates </w:t>
      </w:r>
      <w:r>
        <w:rPr>
          <w:rFonts w:ascii="Cambria" w:hAnsi="Cambria"/>
          <w:sz w:val="18"/>
          <w:szCs w:val="18"/>
        </w:rPr>
        <w:t>treatment boosted with ritonavir.</w:t>
      </w:r>
    </w:p>
  </w:footnote>
  <w:footnote w:id="11">
    <w:p w:rsidR="0089631D" w:rsidRDefault="0089631D" w:rsidP="00447FD2">
      <w:pPr>
        <w:pStyle w:val="FootnoteText"/>
        <w:rPr>
          <w:rFonts w:ascii="Cambria" w:hAnsi="Cambria"/>
          <w:sz w:val="18"/>
          <w:szCs w:val="18"/>
        </w:rPr>
      </w:pPr>
      <w:r w:rsidRPr="00447FD2">
        <w:rPr>
          <w:rStyle w:val="FootnoteReference"/>
          <w:rFonts w:ascii="Cambria" w:hAnsi="Cambria"/>
          <w:sz w:val="18"/>
          <w:szCs w:val="18"/>
        </w:rPr>
        <w:footnoteRef/>
      </w:r>
      <w:r w:rsidRPr="00447FD2">
        <w:rPr>
          <w:rFonts w:ascii="Cambria" w:hAnsi="Cambria"/>
          <w:sz w:val="18"/>
          <w:szCs w:val="18"/>
        </w:rPr>
        <w:t xml:space="preserve"> </w:t>
      </w:r>
      <w:r>
        <w:rPr>
          <w:rFonts w:ascii="Cambria" w:hAnsi="Cambria"/>
          <w:sz w:val="18"/>
          <w:szCs w:val="18"/>
        </w:rPr>
        <w:t xml:space="preserve">See the </w:t>
      </w:r>
      <w:r w:rsidRPr="00447FD2">
        <w:rPr>
          <w:rFonts w:ascii="Cambria" w:hAnsi="Cambria"/>
          <w:sz w:val="18"/>
          <w:szCs w:val="18"/>
        </w:rPr>
        <w:t xml:space="preserve">EMA </w:t>
      </w:r>
      <w:r w:rsidRPr="00447FD2">
        <w:rPr>
          <w:rFonts w:ascii="Cambria" w:hAnsi="Cambria"/>
          <w:i/>
          <w:sz w:val="18"/>
          <w:szCs w:val="18"/>
        </w:rPr>
        <w:t>Guideline on the clinical development of medicinal products for the treatment of HIV infection</w:t>
      </w:r>
      <w:r w:rsidRPr="00447FD2">
        <w:rPr>
          <w:rFonts w:ascii="Cambria" w:hAnsi="Cambria"/>
          <w:sz w:val="18"/>
          <w:szCs w:val="18"/>
        </w:rPr>
        <w:t xml:space="preserve">. </w:t>
      </w:r>
      <w:r>
        <w:rPr>
          <w:rFonts w:ascii="Cambria" w:hAnsi="Cambria"/>
          <w:sz w:val="18"/>
          <w:szCs w:val="18"/>
        </w:rPr>
        <w:t xml:space="preserve"> </w:t>
      </w:r>
      <w:r w:rsidRPr="00447FD2">
        <w:rPr>
          <w:rFonts w:ascii="Cambria" w:hAnsi="Cambria"/>
          <w:sz w:val="18"/>
          <w:szCs w:val="18"/>
        </w:rPr>
        <w:t>EMEA/CPMP/EWP/633/02</w:t>
      </w:r>
      <w:r>
        <w:rPr>
          <w:rFonts w:ascii="Cambria" w:hAnsi="Cambria"/>
          <w:sz w:val="18"/>
          <w:szCs w:val="18"/>
        </w:rPr>
        <w:t xml:space="preserve"> (</w:t>
      </w:r>
      <w:r w:rsidRPr="00447FD2">
        <w:rPr>
          <w:rFonts w:ascii="Cambria" w:hAnsi="Cambria"/>
          <w:sz w:val="18"/>
          <w:szCs w:val="18"/>
        </w:rPr>
        <w:t>20 Nov 2008</w:t>
      </w:r>
      <w:r>
        <w:rPr>
          <w:rFonts w:ascii="Cambria" w:hAnsi="Cambria"/>
          <w:sz w:val="18"/>
          <w:szCs w:val="18"/>
        </w:rPr>
        <w:t>)</w:t>
      </w:r>
      <w:r w:rsidRPr="00447FD2">
        <w:rPr>
          <w:rFonts w:ascii="Cambria" w:hAnsi="Cambria"/>
          <w:sz w:val="18"/>
          <w:szCs w:val="18"/>
        </w:rPr>
        <w:t xml:space="preserve">. </w:t>
      </w:r>
    </w:p>
    <w:p w:rsidR="0089631D" w:rsidRPr="00447FD2" w:rsidRDefault="0089631D" w:rsidP="00447FD2">
      <w:pPr>
        <w:pStyle w:val="FootnoteText"/>
        <w:rPr>
          <w:rFonts w:ascii="Cambria" w:hAnsi="Cambria"/>
          <w:sz w:val="18"/>
          <w:szCs w:val="18"/>
        </w:rPr>
      </w:pPr>
      <w:r w:rsidRPr="00447FD2">
        <w:rPr>
          <w:rFonts w:ascii="Cambria" w:hAnsi="Cambria"/>
          <w:sz w:val="18"/>
          <w:szCs w:val="18"/>
        </w:rPr>
        <w:t xml:space="preserve">The current HIV treatment guidelines in Australia can be accessed online at </w:t>
      </w:r>
      <w:r>
        <w:rPr>
          <w:rFonts w:ascii="Cambria" w:hAnsi="Cambria"/>
          <w:sz w:val="18"/>
          <w:szCs w:val="18"/>
        </w:rPr>
        <w:t>&lt;</w:t>
      </w:r>
      <w:hyperlink r:id="rId2" w:history="1">
        <w:r w:rsidRPr="001A6FC0">
          <w:rPr>
            <w:rStyle w:val="Hyperlink"/>
            <w:rFonts w:ascii="Cambria" w:hAnsi="Cambria"/>
            <w:sz w:val="18"/>
            <w:szCs w:val="18"/>
          </w:rPr>
          <w:t>http://arv.ashm.org.au/pdf/ARV_Guidelines_AustCommentary_March28.pdf</w:t>
        </w:r>
      </w:hyperlink>
      <w:r>
        <w:rPr>
          <w:rFonts w:ascii="Cambria" w:hAnsi="Cambria"/>
          <w:sz w:val="18"/>
          <w:szCs w:val="18"/>
        </w:rPr>
        <w:t>&gt;</w:t>
      </w:r>
    </w:p>
  </w:footnote>
  <w:footnote w:id="12">
    <w:p w:rsidR="0089631D" w:rsidRPr="00E7453D" w:rsidRDefault="0089631D" w:rsidP="00E7453D">
      <w:pPr>
        <w:spacing w:before="0" w:after="0" w:line="240" w:lineRule="auto"/>
        <w:rPr>
          <w:sz w:val="18"/>
          <w:szCs w:val="18"/>
        </w:rPr>
      </w:pPr>
      <w:r w:rsidRPr="00E7453D">
        <w:rPr>
          <w:rStyle w:val="FootnoteReference"/>
          <w:sz w:val="18"/>
          <w:szCs w:val="18"/>
        </w:rPr>
        <w:footnoteRef/>
      </w:r>
      <w:r w:rsidRPr="00E7453D">
        <w:rPr>
          <w:sz w:val="18"/>
          <w:szCs w:val="18"/>
        </w:rPr>
        <w:t xml:space="preserve"> </w:t>
      </w:r>
      <w:r w:rsidRPr="00E7453D">
        <w:rPr>
          <w:sz w:val="18"/>
          <w:szCs w:val="18"/>
          <w:lang w:val="en-GB"/>
        </w:rPr>
        <w:t xml:space="preserve">EMA. </w:t>
      </w:r>
      <w:r w:rsidRPr="00E7453D">
        <w:rPr>
          <w:sz w:val="18"/>
          <w:szCs w:val="18"/>
        </w:rPr>
        <w:t>Guideline on the clinical development of medicinal products for the treatment of HIV infection. 20 Nov 2008</w:t>
      </w:r>
      <w:r>
        <w:rPr>
          <w:sz w:val="18"/>
          <w:szCs w:val="18"/>
        </w:rPr>
        <w:t xml:space="preserve"> (</w:t>
      </w:r>
      <w:r w:rsidRPr="00447FD2">
        <w:rPr>
          <w:sz w:val="18"/>
          <w:szCs w:val="18"/>
        </w:rPr>
        <w:t>EMEA/CPMP/EWP/633/02</w:t>
      </w:r>
      <w:r>
        <w:rPr>
          <w:sz w:val="18"/>
          <w:szCs w:val="18"/>
        </w:rPr>
        <w:t>)</w:t>
      </w:r>
      <w:r w:rsidRPr="00E7453D">
        <w:rPr>
          <w:sz w:val="18"/>
          <w:szCs w:val="18"/>
        </w:rPr>
        <w:t xml:space="preserve">. </w:t>
      </w:r>
    </w:p>
  </w:footnote>
  <w:footnote w:id="13">
    <w:p w:rsidR="0089631D" w:rsidRDefault="0089631D" w:rsidP="00E7453D">
      <w:pPr>
        <w:pStyle w:val="FootnoteText"/>
      </w:pPr>
      <w:r w:rsidRPr="00E7453D">
        <w:rPr>
          <w:rStyle w:val="FootnoteReference"/>
          <w:rFonts w:ascii="Cambria" w:hAnsi="Cambria"/>
          <w:sz w:val="18"/>
          <w:szCs w:val="18"/>
        </w:rPr>
        <w:footnoteRef/>
      </w:r>
      <w:r w:rsidRPr="00E7453D">
        <w:rPr>
          <w:rFonts w:ascii="Cambria" w:hAnsi="Cambria"/>
          <w:sz w:val="18"/>
          <w:szCs w:val="18"/>
        </w:rPr>
        <w:t xml:space="preserve"> Details of revisions regarding the PI are beyond the scope of this AusPAR.</w:t>
      </w:r>
    </w:p>
  </w:footnote>
  <w:footnote w:id="14">
    <w:p w:rsidR="0089631D" w:rsidRDefault="0089631D">
      <w:pPr>
        <w:pStyle w:val="FootnoteText"/>
      </w:pPr>
      <w:r w:rsidRPr="00C63CBB">
        <w:rPr>
          <w:rStyle w:val="FootnoteReference"/>
          <w:rFonts w:ascii="Cambria" w:hAnsi="Cambria"/>
          <w:sz w:val="18"/>
          <w:szCs w:val="18"/>
        </w:rPr>
        <w:footnoteRef/>
      </w:r>
      <w:r w:rsidRPr="00C63CBB">
        <w:rPr>
          <w:rFonts w:ascii="Cambria" w:hAnsi="Cambria"/>
          <w:sz w:val="18"/>
          <w:szCs w:val="18"/>
        </w:rPr>
        <w:t xml:space="preserve"> Issues relating to the RMP were satisfactorily addressed prior to the Delegate issuing a decision for this application.</w:t>
      </w:r>
    </w:p>
  </w:footnote>
  <w:footnote w:id="15">
    <w:p w:rsidR="0089631D" w:rsidRPr="00700880" w:rsidRDefault="0089631D" w:rsidP="00700880">
      <w:pPr>
        <w:pStyle w:val="FootnoteText"/>
        <w:rPr>
          <w:rFonts w:asciiTheme="minorHAnsi" w:hAnsiTheme="minorHAnsi"/>
          <w:sz w:val="18"/>
          <w:szCs w:val="18"/>
        </w:rPr>
      </w:pPr>
      <w:r w:rsidRPr="00700880">
        <w:rPr>
          <w:rStyle w:val="FootnoteReference"/>
          <w:rFonts w:asciiTheme="minorHAnsi" w:hAnsiTheme="minorHAnsi"/>
          <w:sz w:val="18"/>
          <w:szCs w:val="18"/>
        </w:rPr>
        <w:footnoteRef/>
      </w:r>
      <w:r w:rsidRPr="00700880">
        <w:rPr>
          <w:rFonts w:asciiTheme="minorHAnsi" w:hAnsiTheme="minorHAnsi"/>
          <w:sz w:val="18"/>
          <w:szCs w:val="18"/>
        </w:rPr>
        <w:t xml:space="preserve"> Acceptable finished product release and expiry specifications that incorporated </w:t>
      </w:r>
      <w:r>
        <w:rPr>
          <w:rFonts w:asciiTheme="minorHAnsi" w:hAnsiTheme="minorHAnsi"/>
          <w:sz w:val="18"/>
          <w:szCs w:val="18"/>
        </w:rPr>
        <w:t xml:space="preserve">appropriate </w:t>
      </w:r>
      <w:r w:rsidRPr="00700880">
        <w:rPr>
          <w:rFonts w:asciiTheme="minorHAnsi" w:hAnsiTheme="minorHAnsi"/>
          <w:sz w:val="18"/>
          <w:szCs w:val="18"/>
        </w:rPr>
        <w:t xml:space="preserve">tests and limits were provided prior to the TGA decision concerning the registration of this product. </w:t>
      </w:r>
    </w:p>
  </w:footnote>
  <w:footnote w:id="16">
    <w:p w:rsidR="0089631D" w:rsidRPr="00D859BC" w:rsidRDefault="0089631D" w:rsidP="00D859BC">
      <w:pPr>
        <w:pStyle w:val="FootnoteText"/>
        <w:rPr>
          <w:rFonts w:ascii="Cambria" w:hAnsi="Cambria"/>
          <w:sz w:val="18"/>
          <w:szCs w:val="18"/>
        </w:rPr>
      </w:pPr>
      <w:r w:rsidRPr="00D859BC">
        <w:rPr>
          <w:rStyle w:val="FootnoteReference"/>
          <w:rFonts w:ascii="Cambria" w:hAnsi="Cambria"/>
          <w:sz w:val="18"/>
          <w:szCs w:val="18"/>
        </w:rPr>
        <w:footnoteRef/>
      </w:r>
      <w:r w:rsidRPr="00D859BC">
        <w:rPr>
          <w:rFonts w:ascii="Cambria" w:hAnsi="Cambria"/>
          <w:sz w:val="18"/>
          <w:szCs w:val="18"/>
        </w:rPr>
        <w:t xml:space="preserve"> </w:t>
      </w:r>
      <w:proofErr w:type="spellStart"/>
      <w:r>
        <w:rPr>
          <w:rFonts w:ascii="Cambria" w:hAnsi="Cambria"/>
          <w:sz w:val="18"/>
          <w:szCs w:val="18"/>
        </w:rPr>
        <w:t>Maggiolo</w:t>
      </w:r>
      <w:proofErr w:type="spellEnd"/>
      <w:r>
        <w:rPr>
          <w:rFonts w:ascii="Cambria" w:hAnsi="Cambria"/>
          <w:sz w:val="18"/>
          <w:szCs w:val="18"/>
        </w:rPr>
        <w:t xml:space="preserve"> F</w:t>
      </w:r>
      <w:r w:rsidRPr="00D859BC">
        <w:rPr>
          <w:rFonts w:ascii="Cambria" w:hAnsi="Cambria"/>
          <w:sz w:val="18"/>
          <w:szCs w:val="18"/>
        </w:rPr>
        <w:t xml:space="preserve"> </w:t>
      </w:r>
      <w:r w:rsidRPr="00D859BC">
        <w:rPr>
          <w:rFonts w:ascii="Cambria" w:hAnsi="Cambria"/>
          <w:i/>
          <w:sz w:val="18"/>
          <w:szCs w:val="18"/>
        </w:rPr>
        <w:t>et al</w:t>
      </w:r>
      <w:r w:rsidRPr="00D859BC">
        <w:rPr>
          <w:rFonts w:ascii="Cambria" w:hAnsi="Cambria"/>
          <w:sz w:val="18"/>
          <w:szCs w:val="18"/>
        </w:rPr>
        <w:t>. Once-a-day treatment for HIV infection: Final 48-w</w:t>
      </w:r>
      <w:r>
        <w:rPr>
          <w:rFonts w:ascii="Cambria" w:hAnsi="Cambria"/>
          <w:sz w:val="18"/>
          <w:szCs w:val="18"/>
        </w:rPr>
        <w:t>ee</w:t>
      </w:r>
      <w:r w:rsidRPr="00D859BC">
        <w:rPr>
          <w:rFonts w:ascii="Cambria" w:hAnsi="Cambria"/>
          <w:sz w:val="18"/>
          <w:szCs w:val="18"/>
        </w:rPr>
        <w:t xml:space="preserve">k results. </w:t>
      </w:r>
      <w:r w:rsidRPr="00D859BC">
        <w:rPr>
          <w:rFonts w:ascii="Cambria" w:hAnsi="Cambria"/>
          <w:i/>
          <w:sz w:val="18"/>
          <w:szCs w:val="18"/>
        </w:rPr>
        <w:t>8</w:t>
      </w:r>
      <w:r w:rsidRPr="00D859BC">
        <w:rPr>
          <w:rFonts w:ascii="Cambria" w:hAnsi="Cambria"/>
          <w:i/>
          <w:sz w:val="18"/>
          <w:szCs w:val="18"/>
          <w:vertAlign w:val="superscript"/>
        </w:rPr>
        <w:t>th</w:t>
      </w:r>
      <w:r w:rsidRPr="00D859BC">
        <w:rPr>
          <w:rFonts w:ascii="Cambria" w:hAnsi="Cambria"/>
          <w:i/>
          <w:sz w:val="18"/>
          <w:szCs w:val="18"/>
        </w:rPr>
        <w:t xml:space="preserve"> Conf. on Retroviruses and Opportunistic Infections</w:t>
      </w:r>
      <w:r>
        <w:rPr>
          <w:rFonts w:ascii="Cambria" w:hAnsi="Cambria"/>
          <w:i/>
          <w:sz w:val="18"/>
          <w:szCs w:val="18"/>
        </w:rPr>
        <w:t>.</w:t>
      </w:r>
      <w:r w:rsidRPr="00D859BC">
        <w:rPr>
          <w:rFonts w:ascii="Cambria" w:hAnsi="Cambria"/>
          <w:sz w:val="18"/>
          <w:szCs w:val="18"/>
        </w:rPr>
        <w:t xml:space="preserve"> 2001 Feb 4-8; Chicago, IL. Abstract 320.</w:t>
      </w:r>
    </w:p>
  </w:footnote>
  <w:footnote w:id="17">
    <w:p w:rsidR="0089631D" w:rsidRPr="00D859BC" w:rsidRDefault="0089631D" w:rsidP="00D859BC">
      <w:pPr>
        <w:pStyle w:val="FootnoteText"/>
        <w:rPr>
          <w:rFonts w:ascii="Cambria" w:hAnsi="Cambria"/>
          <w:sz w:val="18"/>
          <w:szCs w:val="18"/>
        </w:rPr>
      </w:pPr>
      <w:r w:rsidRPr="00D859BC">
        <w:rPr>
          <w:rStyle w:val="FootnoteReference"/>
          <w:rFonts w:ascii="Cambria" w:hAnsi="Cambria"/>
          <w:sz w:val="18"/>
          <w:szCs w:val="18"/>
        </w:rPr>
        <w:footnoteRef/>
      </w:r>
      <w:r w:rsidRPr="00D859BC">
        <w:rPr>
          <w:rFonts w:ascii="Cambria" w:hAnsi="Cambria"/>
          <w:sz w:val="18"/>
          <w:szCs w:val="18"/>
        </w:rPr>
        <w:t xml:space="preserve"> </w:t>
      </w:r>
      <w:proofErr w:type="spellStart"/>
      <w:r w:rsidRPr="00D859BC">
        <w:rPr>
          <w:rFonts w:ascii="Cambria" w:hAnsi="Cambria"/>
          <w:sz w:val="18"/>
          <w:szCs w:val="18"/>
        </w:rPr>
        <w:t>Felizarta</w:t>
      </w:r>
      <w:proofErr w:type="spellEnd"/>
      <w:r w:rsidRPr="00D859BC">
        <w:rPr>
          <w:rFonts w:ascii="Cambria" w:hAnsi="Cambria"/>
          <w:sz w:val="18"/>
          <w:szCs w:val="18"/>
        </w:rPr>
        <w:t xml:space="preserve"> F </w:t>
      </w:r>
      <w:r w:rsidRPr="00D859BC">
        <w:rPr>
          <w:rFonts w:ascii="Cambria" w:hAnsi="Cambria"/>
          <w:i/>
          <w:sz w:val="18"/>
          <w:szCs w:val="18"/>
        </w:rPr>
        <w:t>et al</w:t>
      </w:r>
      <w:r w:rsidRPr="00D859BC">
        <w:rPr>
          <w:rFonts w:ascii="Cambria" w:hAnsi="Cambria"/>
          <w:sz w:val="18"/>
          <w:szCs w:val="18"/>
        </w:rPr>
        <w:t>. Adherence and efficacy with a once-daily efavirenz-based regimen: 48-week results from the Daily Antiretroviral Therapy II (DART II)</w:t>
      </w:r>
      <w:r>
        <w:rPr>
          <w:rFonts w:ascii="Cambria" w:hAnsi="Cambria"/>
          <w:sz w:val="18"/>
          <w:szCs w:val="18"/>
        </w:rPr>
        <w:t>.</w:t>
      </w:r>
      <w:r w:rsidRPr="00D859BC">
        <w:rPr>
          <w:rFonts w:ascii="Cambria" w:hAnsi="Cambria"/>
          <w:sz w:val="18"/>
          <w:szCs w:val="18"/>
        </w:rPr>
        <w:t xml:space="preserve"> Study [poster 5842]. </w:t>
      </w:r>
      <w:r w:rsidRPr="00D859BC">
        <w:rPr>
          <w:rFonts w:ascii="Cambria" w:hAnsi="Cambria"/>
          <w:i/>
          <w:sz w:val="18"/>
          <w:szCs w:val="18"/>
        </w:rPr>
        <w:t>XV Int. AIDS Conf.</w:t>
      </w:r>
      <w:r w:rsidRPr="00D859BC">
        <w:rPr>
          <w:rFonts w:ascii="Cambria" w:hAnsi="Cambria"/>
          <w:sz w:val="18"/>
          <w:szCs w:val="18"/>
        </w:rPr>
        <w:t xml:space="preserve"> 2004 July 11-16; Bangkok, Thailand.</w:t>
      </w:r>
    </w:p>
  </w:footnote>
  <w:footnote w:id="18">
    <w:p w:rsidR="0089631D" w:rsidRPr="00D859BC" w:rsidRDefault="0089631D" w:rsidP="00D859BC">
      <w:pPr>
        <w:pStyle w:val="FootnoteText"/>
        <w:rPr>
          <w:rFonts w:ascii="Cambria" w:hAnsi="Cambria"/>
          <w:sz w:val="18"/>
          <w:szCs w:val="18"/>
        </w:rPr>
      </w:pPr>
      <w:r w:rsidRPr="00D859BC">
        <w:rPr>
          <w:rStyle w:val="FootnoteReference"/>
          <w:rFonts w:ascii="Cambria" w:hAnsi="Cambria"/>
          <w:sz w:val="18"/>
          <w:szCs w:val="18"/>
        </w:rPr>
        <w:footnoteRef/>
      </w:r>
      <w:r w:rsidRPr="00D859BC">
        <w:rPr>
          <w:rFonts w:ascii="Cambria" w:hAnsi="Cambria"/>
          <w:sz w:val="18"/>
          <w:szCs w:val="18"/>
        </w:rPr>
        <w:t xml:space="preserve"> </w:t>
      </w:r>
      <w:proofErr w:type="spellStart"/>
      <w:r w:rsidRPr="00D859BC">
        <w:rPr>
          <w:rFonts w:ascii="Cambria" w:hAnsi="Cambria"/>
          <w:sz w:val="18"/>
          <w:szCs w:val="18"/>
        </w:rPr>
        <w:t>Arribas</w:t>
      </w:r>
      <w:proofErr w:type="spellEnd"/>
      <w:r w:rsidRPr="00D859BC">
        <w:rPr>
          <w:rFonts w:ascii="Cambria" w:hAnsi="Cambria"/>
          <w:sz w:val="18"/>
          <w:szCs w:val="18"/>
        </w:rPr>
        <w:t xml:space="preserve"> JR </w:t>
      </w:r>
      <w:r w:rsidRPr="00D859BC">
        <w:rPr>
          <w:rFonts w:ascii="Cambria" w:hAnsi="Cambria"/>
          <w:i/>
          <w:sz w:val="18"/>
          <w:szCs w:val="18"/>
        </w:rPr>
        <w:t>et al</w:t>
      </w:r>
      <w:r w:rsidRPr="00D859BC">
        <w:rPr>
          <w:rFonts w:ascii="Cambria" w:hAnsi="Cambria"/>
          <w:sz w:val="18"/>
          <w:szCs w:val="18"/>
        </w:rPr>
        <w:t>. Adherence, treatment satisfaction and effectiveness of once-daily (QD) versus twice</w:t>
      </w:r>
      <w:r>
        <w:rPr>
          <w:rFonts w:ascii="Cambria" w:hAnsi="Cambria"/>
          <w:sz w:val="18"/>
          <w:szCs w:val="18"/>
        </w:rPr>
        <w:t xml:space="preserve"> </w:t>
      </w:r>
      <w:r w:rsidRPr="00D859BC">
        <w:rPr>
          <w:rFonts w:ascii="Cambria" w:hAnsi="Cambria"/>
          <w:sz w:val="18"/>
          <w:szCs w:val="18"/>
        </w:rPr>
        <w:t xml:space="preserve">daily (BID) antiretroviral therapy (AT), in a large prospective observational cohort (CUVA Study) [poster WePeB5780]. </w:t>
      </w:r>
      <w:r w:rsidRPr="00D859BC">
        <w:rPr>
          <w:rFonts w:ascii="Cambria" w:hAnsi="Cambria"/>
          <w:i/>
          <w:sz w:val="18"/>
          <w:szCs w:val="18"/>
        </w:rPr>
        <w:t>XV Int. AIDS Conf.</w:t>
      </w:r>
      <w:r w:rsidRPr="00D859BC">
        <w:rPr>
          <w:rFonts w:ascii="Cambria" w:hAnsi="Cambria"/>
          <w:sz w:val="18"/>
          <w:szCs w:val="18"/>
        </w:rPr>
        <w:t>; 2004 July 11-16; Bangkok, Thailand.</w:t>
      </w:r>
    </w:p>
  </w:footnote>
  <w:footnote w:id="19">
    <w:p w:rsidR="0089631D" w:rsidRPr="00D859BC" w:rsidRDefault="0089631D" w:rsidP="00D859BC">
      <w:pPr>
        <w:pStyle w:val="FootnoteText"/>
        <w:rPr>
          <w:rFonts w:ascii="Cambria" w:hAnsi="Cambria"/>
          <w:sz w:val="18"/>
          <w:szCs w:val="18"/>
        </w:rPr>
      </w:pPr>
      <w:r w:rsidRPr="00D859BC">
        <w:rPr>
          <w:rStyle w:val="FootnoteReference"/>
          <w:rFonts w:ascii="Cambria" w:hAnsi="Cambria"/>
          <w:sz w:val="18"/>
          <w:szCs w:val="18"/>
        </w:rPr>
        <w:footnoteRef/>
      </w:r>
      <w:r w:rsidRPr="00D859BC">
        <w:rPr>
          <w:rFonts w:ascii="Cambria" w:hAnsi="Cambria"/>
          <w:sz w:val="18"/>
          <w:szCs w:val="18"/>
        </w:rPr>
        <w:t xml:space="preserve"> Sax PE, Meyers JL, </w:t>
      </w:r>
      <w:r w:rsidRPr="00D859BC">
        <w:rPr>
          <w:rFonts w:ascii="Cambria" w:hAnsi="Cambria"/>
          <w:i/>
          <w:sz w:val="18"/>
          <w:szCs w:val="18"/>
        </w:rPr>
        <w:t>et al</w:t>
      </w:r>
      <w:r w:rsidRPr="00D859BC">
        <w:rPr>
          <w:rFonts w:ascii="Cambria" w:hAnsi="Cambria"/>
          <w:sz w:val="18"/>
          <w:szCs w:val="18"/>
        </w:rPr>
        <w:t xml:space="preserve">. Adherence to antiretroviral treatment and correlation with risk of hospitalization among commercially insured HIV patients in the United States. </w:t>
      </w:r>
      <w:proofErr w:type="spellStart"/>
      <w:r w:rsidRPr="00D859BC">
        <w:rPr>
          <w:rFonts w:ascii="Cambria" w:hAnsi="Cambria"/>
          <w:i/>
          <w:sz w:val="18"/>
          <w:szCs w:val="18"/>
        </w:rPr>
        <w:t>PLoS</w:t>
      </w:r>
      <w:proofErr w:type="spellEnd"/>
      <w:r w:rsidRPr="00D859BC">
        <w:rPr>
          <w:rFonts w:ascii="Cambria" w:hAnsi="Cambria"/>
          <w:i/>
          <w:sz w:val="18"/>
          <w:szCs w:val="18"/>
        </w:rPr>
        <w:t xml:space="preserve"> ONE</w:t>
      </w:r>
      <w:r>
        <w:rPr>
          <w:rFonts w:ascii="Cambria" w:hAnsi="Cambria"/>
          <w:sz w:val="18"/>
          <w:szCs w:val="18"/>
        </w:rPr>
        <w:t xml:space="preserve"> 2012;7</w:t>
      </w:r>
      <w:r w:rsidRPr="00D859BC">
        <w:rPr>
          <w:rFonts w:ascii="Cambria" w:hAnsi="Cambria"/>
          <w:sz w:val="18"/>
          <w:szCs w:val="18"/>
        </w:rPr>
        <w:t>(2):e31591.</w:t>
      </w:r>
    </w:p>
  </w:footnote>
  <w:footnote w:id="20">
    <w:p w:rsidR="0089631D" w:rsidRPr="00AF7900" w:rsidRDefault="0089631D" w:rsidP="00AF7900">
      <w:pPr>
        <w:pStyle w:val="FootnoteText"/>
        <w:rPr>
          <w:rFonts w:ascii="Cambria" w:hAnsi="Cambria"/>
          <w:sz w:val="18"/>
          <w:szCs w:val="18"/>
        </w:rPr>
      </w:pPr>
      <w:r w:rsidRPr="00AF7900">
        <w:rPr>
          <w:rStyle w:val="FootnoteReference"/>
          <w:rFonts w:ascii="Cambria" w:hAnsi="Cambria"/>
          <w:sz w:val="18"/>
          <w:szCs w:val="18"/>
        </w:rPr>
        <w:footnoteRef/>
      </w:r>
      <w:r w:rsidRPr="00AF7900">
        <w:rPr>
          <w:rFonts w:ascii="Cambria" w:hAnsi="Cambria"/>
          <w:sz w:val="18"/>
          <w:szCs w:val="18"/>
        </w:rPr>
        <w:t xml:space="preserve"> </w:t>
      </w:r>
      <w:proofErr w:type="spellStart"/>
      <w:r>
        <w:rPr>
          <w:rFonts w:ascii="Cambria" w:hAnsi="Cambria"/>
          <w:sz w:val="18"/>
          <w:szCs w:val="18"/>
        </w:rPr>
        <w:t>DeJesus</w:t>
      </w:r>
      <w:proofErr w:type="spellEnd"/>
      <w:r>
        <w:rPr>
          <w:rFonts w:ascii="Cambria" w:hAnsi="Cambria"/>
          <w:sz w:val="18"/>
          <w:szCs w:val="18"/>
        </w:rPr>
        <w:t xml:space="preserve"> E</w:t>
      </w:r>
      <w:r w:rsidRPr="00AF7900">
        <w:rPr>
          <w:rFonts w:ascii="Cambria" w:hAnsi="Cambria"/>
          <w:sz w:val="18"/>
          <w:szCs w:val="18"/>
        </w:rPr>
        <w:t xml:space="preserve"> </w:t>
      </w:r>
      <w:r w:rsidRPr="00AF7900">
        <w:rPr>
          <w:rFonts w:ascii="Cambria" w:hAnsi="Cambria"/>
          <w:i/>
          <w:sz w:val="18"/>
          <w:szCs w:val="18"/>
        </w:rPr>
        <w:t>et al</w:t>
      </w:r>
      <w:r w:rsidRPr="00AF7900">
        <w:rPr>
          <w:rFonts w:ascii="Cambria" w:hAnsi="Cambria"/>
          <w:sz w:val="18"/>
          <w:szCs w:val="18"/>
        </w:rPr>
        <w:t xml:space="preserve">. Antiviral activity, PK, and dose response of the HIV-1 </w:t>
      </w:r>
      <w:proofErr w:type="spellStart"/>
      <w:r w:rsidRPr="00AF7900">
        <w:rPr>
          <w:rFonts w:ascii="Cambria" w:hAnsi="Cambria"/>
          <w:sz w:val="18"/>
          <w:szCs w:val="18"/>
        </w:rPr>
        <w:t>integrase</w:t>
      </w:r>
      <w:proofErr w:type="spellEnd"/>
      <w:r w:rsidRPr="00AF7900">
        <w:rPr>
          <w:rFonts w:ascii="Cambria" w:hAnsi="Cambria"/>
          <w:sz w:val="18"/>
          <w:szCs w:val="18"/>
        </w:rPr>
        <w:t xml:space="preserve"> inhibitor GS-9137 (JTK-303) in treatment-naïve and treatment-experienced patients. </w:t>
      </w:r>
      <w:r w:rsidRPr="00AF7900">
        <w:rPr>
          <w:rFonts w:ascii="Cambria" w:hAnsi="Cambria"/>
          <w:i/>
          <w:sz w:val="18"/>
          <w:szCs w:val="18"/>
        </w:rPr>
        <w:t>JAIDS</w:t>
      </w:r>
      <w:r w:rsidRPr="00AF7900">
        <w:rPr>
          <w:rFonts w:ascii="Cambria" w:hAnsi="Cambria"/>
          <w:sz w:val="18"/>
          <w:szCs w:val="18"/>
        </w:rPr>
        <w:t xml:space="preserve"> 2006;43 (1):1-5.</w:t>
      </w:r>
    </w:p>
  </w:footnote>
  <w:footnote w:id="21">
    <w:p w:rsidR="0089631D" w:rsidRPr="00AF7900" w:rsidRDefault="0089631D" w:rsidP="00AF7900">
      <w:pPr>
        <w:pStyle w:val="FootnoteText"/>
        <w:rPr>
          <w:rFonts w:ascii="Cambria" w:hAnsi="Cambria"/>
          <w:sz w:val="18"/>
          <w:szCs w:val="18"/>
        </w:rPr>
      </w:pPr>
      <w:r w:rsidRPr="00AF7900">
        <w:rPr>
          <w:rStyle w:val="FootnoteReference"/>
          <w:rFonts w:ascii="Cambria" w:hAnsi="Cambria"/>
          <w:sz w:val="18"/>
          <w:szCs w:val="18"/>
        </w:rPr>
        <w:footnoteRef/>
      </w:r>
      <w:r w:rsidRPr="00AF7900">
        <w:rPr>
          <w:rFonts w:ascii="Cambria" w:hAnsi="Cambria"/>
          <w:sz w:val="18"/>
          <w:szCs w:val="18"/>
        </w:rPr>
        <w:t xml:space="preserve"> </w:t>
      </w:r>
      <w:proofErr w:type="spellStart"/>
      <w:r>
        <w:rPr>
          <w:rFonts w:ascii="Cambria" w:hAnsi="Cambria"/>
          <w:sz w:val="18"/>
          <w:szCs w:val="18"/>
        </w:rPr>
        <w:t>Zolopa</w:t>
      </w:r>
      <w:proofErr w:type="spellEnd"/>
      <w:r>
        <w:rPr>
          <w:rFonts w:ascii="Cambria" w:hAnsi="Cambria"/>
          <w:sz w:val="18"/>
          <w:szCs w:val="18"/>
        </w:rPr>
        <w:t xml:space="preserve"> AR</w:t>
      </w:r>
      <w:r w:rsidRPr="00AF7900">
        <w:rPr>
          <w:rFonts w:ascii="Cambria" w:hAnsi="Cambria"/>
          <w:sz w:val="18"/>
          <w:szCs w:val="18"/>
        </w:rPr>
        <w:t xml:space="preserve"> </w:t>
      </w:r>
      <w:r w:rsidRPr="00AF7900">
        <w:rPr>
          <w:rFonts w:ascii="Cambria" w:hAnsi="Cambria"/>
          <w:i/>
          <w:sz w:val="18"/>
          <w:szCs w:val="18"/>
        </w:rPr>
        <w:t>et al</w:t>
      </w:r>
      <w:r w:rsidRPr="00AF7900">
        <w:rPr>
          <w:rFonts w:ascii="Cambria" w:hAnsi="Cambria"/>
          <w:sz w:val="18"/>
          <w:szCs w:val="18"/>
        </w:rPr>
        <w:t xml:space="preserve">. Activity of EVG, a once-daily </w:t>
      </w:r>
      <w:proofErr w:type="spellStart"/>
      <w:r w:rsidRPr="00AF7900">
        <w:rPr>
          <w:rFonts w:ascii="Cambria" w:hAnsi="Cambria"/>
          <w:sz w:val="18"/>
          <w:szCs w:val="18"/>
        </w:rPr>
        <w:t>integrase</w:t>
      </w:r>
      <w:proofErr w:type="spellEnd"/>
      <w:r w:rsidRPr="00AF7900">
        <w:rPr>
          <w:rFonts w:ascii="Cambria" w:hAnsi="Cambria"/>
          <w:sz w:val="18"/>
          <w:szCs w:val="18"/>
        </w:rPr>
        <w:t xml:space="preserve"> inhibitor, against resistant HIV Type 1: results of a phase 2, randomized, controlled, dose</w:t>
      </w:r>
      <w:r>
        <w:rPr>
          <w:rFonts w:ascii="Cambria" w:hAnsi="Cambria"/>
          <w:sz w:val="18"/>
          <w:szCs w:val="18"/>
        </w:rPr>
        <w:t xml:space="preserve"> </w:t>
      </w:r>
      <w:r w:rsidRPr="00AF7900">
        <w:rPr>
          <w:rFonts w:ascii="Cambria" w:hAnsi="Cambria"/>
          <w:sz w:val="18"/>
          <w:szCs w:val="18"/>
        </w:rPr>
        <w:t xml:space="preserve">ranging clinical trial. </w:t>
      </w:r>
      <w:r w:rsidRPr="00AF7900">
        <w:rPr>
          <w:rFonts w:ascii="Cambria" w:hAnsi="Cambria"/>
          <w:i/>
          <w:sz w:val="18"/>
          <w:szCs w:val="18"/>
        </w:rPr>
        <w:t xml:space="preserve">J Infect </w:t>
      </w:r>
      <w:proofErr w:type="spellStart"/>
      <w:r w:rsidRPr="00AF7900">
        <w:rPr>
          <w:rFonts w:ascii="Cambria" w:hAnsi="Cambria"/>
          <w:i/>
          <w:sz w:val="18"/>
          <w:szCs w:val="18"/>
        </w:rPr>
        <w:t>Dis</w:t>
      </w:r>
      <w:proofErr w:type="spellEnd"/>
      <w:r w:rsidRPr="00AF7900">
        <w:rPr>
          <w:rFonts w:ascii="Cambria" w:hAnsi="Cambria"/>
          <w:sz w:val="18"/>
          <w:szCs w:val="18"/>
        </w:rPr>
        <w:t xml:space="preserve"> 2010;201 (6):814-22.</w:t>
      </w:r>
    </w:p>
  </w:footnote>
  <w:footnote w:id="22">
    <w:p w:rsidR="0089631D" w:rsidRPr="00954626" w:rsidRDefault="0089631D" w:rsidP="00954626">
      <w:pPr>
        <w:pStyle w:val="FootnoteText"/>
        <w:rPr>
          <w:rFonts w:ascii="Cambria" w:hAnsi="Cambria"/>
          <w:sz w:val="18"/>
          <w:szCs w:val="18"/>
        </w:rPr>
      </w:pPr>
      <w:r w:rsidRPr="00954626">
        <w:rPr>
          <w:rStyle w:val="FootnoteReference"/>
          <w:rFonts w:ascii="Cambria" w:hAnsi="Cambria"/>
          <w:sz w:val="18"/>
          <w:szCs w:val="18"/>
        </w:rPr>
        <w:footnoteRef/>
      </w:r>
      <w:r w:rsidRPr="00954626">
        <w:rPr>
          <w:rFonts w:ascii="Cambria" w:hAnsi="Cambria"/>
          <w:sz w:val="18"/>
          <w:szCs w:val="18"/>
        </w:rPr>
        <w:t xml:space="preserve"> Panel on Antiretroviral Guidelines for Adults and Adolescents. Guidelines for the use of antiretroviral agents in HIV-1-infected adults and adolescents. Department of Health and Human Services. Oct 14, 2011; 1–167.</w:t>
      </w:r>
    </w:p>
  </w:footnote>
  <w:footnote w:id="23">
    <w:p w:rsidR="0089631D" w:rsidRPr="00954626" w:rsidRDefault="0089631D" w:rsidP="00954626">
      <w:pPr>
        <w:pStyle w:val="FootnoteText"/>
        <w:rPr>
          <w:rFonts w:ascii="Cambria" w:hAnsi="Cambria"/>
          <w:sz w:val="18"/>
          <w:szCs w:val="18"/>
        </w:rPr>
      </w:pPr>
      <w:r w:rsidRPr="00954626">
        <w:rPr>
          <w:rStyle w:val="FootnoteReference"/>
          <w:rFonts w:ascii="Cambria" w:hAnsi="Cambria"/>
          <w:sz w:val="18"/>
          <w:szCs w:val="18"/>
        </w:rPr>
        <w:footnoteRef/>
      </w:r>
      <w:r w:rsidRPr="00954626">
        <w:rPr>
          <w:rFonts w:ascii="Cambria" w:hAnsi="Cambria"/>
          <w:sz w:val="18"/>
          <w:szCs w:val="18"/>
        </w:rPr>
        <w:t xml:space="preserve"> European AIDS Clinical Society (EACS) Guidelines for the Clinical Management and Treatment of HIV Infected Adults in Europe. Version 6.0 - Oct 2011 1-61.</w:t>
      </w:r>
    </w:p>
  </w:footnote>
  <w:footnote w:id="24">
    <w:p w:rsidR="0089631D" w:rsidRPr="00954626" w:rsidRDefault="0089631D" w:rsidP="00954626">
      <w:pPr>
        <w:pStyle w:val="FootnoteText"/>
        <w:rPr>
          <w:rFonts w:ascii="Cambria" w:hAnsi="Cambria"/>
          <w:sz w:val="18"/>
          <w:szCs w:val="18"/>
        </w:rPr>
      </w:pPr>
      <w:r w:rsidRPr="00954626">
        <w:rPr>
          <w:rStyle w:val="FootnoteReference"/>
          <w:rFonts w:ascii="Cambria" w:hAnsi="Cambria"/>
          <w:sz w:val="18"/>
          <w:szCs w:val="18"/>
        </w:rPr>
        <w:footnoteRef/>
      </w:r>
      <w:r w:rsidRPr="00954626">
        <w:rPr>
          <w:rFonts w:ascii="Cambria" w:hAnsi="Cambria"/>
          <w:sz w:val="18"/>
          <w:szCs w:val="18"/>
        </w:rPr>
        <w:t xml:space="preserve"> Thompson MA,</w:t>
      </w:r>
      <w:r w:rsidRPr="00954626">
        <w:rPr>
          <w:rFonts w:ascii="Cambria" w:hAnsi="Cambria"/>
          <w:i/>
          <w:sz w:val="18"/>
          <w:szCs w:val="18"/>
        </w:rPr>
        <w:t xml:space="preserve"> et al</w:t>
      </w:r>
      <w:r w:rsidRPr="00954626">
        <w:rPr>
          <w:rFonts w:ascii="Cambria" w:hAnsi="Cambria"/>
          <w:sz w:val="18"/>
          <w:szCs w:val="18"/>
        </w:rPr>
        <w:t xml:space="preserve">. Antiretroviral treatment of adult HIV infection: 2010 recommendations of the International AIDS Society-USA panel. </w:t>
      </w:r>
      <w:r w:rsidRPr="00954626">
        <w:rPr>
          <w:rFonts w:ascii="Cambria" w:hAnsi="Cambria"/>
          <w:i/>
          <w:sz w:val="18"/>
          <w:szCs w:val="18"/>
        </w:rPr>
        <w:t>JAMA</w:t>
      </w:r>
      <w:r>
        <w:rPr>
          <w:rFonts w:ascii="Cambria" w:hAnsi="Cambria"/>
          <w:sz w:val="18"/>
          <w:szCs w:val="18"/>
        </w:rPr>
        <w:t xml:space="preserve"> 2010;304</w:t>
      </w:r>
      <w:r w:rsidRPr="00954626">
        <w:rPr>
          <w:rFonts w:ascii="Cambria" w:hAnsi="Cambria"/>
          <w:sz w:val="18"/>
          <w:szCs w:val="18"/>
        </w:rPr>
        <w:t>(3):321-33.</w:t>
      </w:r>
    </w:p>
  </w:footnote>
  <w:footnote w:id="25">
    <w:p w:rsidR="0089631D" w:rsidRPr="00954626" w:rsidRDefault="0089631D" w:rsidP="00954626">
      <w:pPr>
        <w:pStyle w:val="FootnoteText"/>
        <w:rPr>
          <w:rFonts w:ascii="Cambria" w:hAnsi="Cambria"/>
          <w:sz w:val="18"/>
          <w:szCs w:val="18"/>
        </w:rPr>
      </w:pPr>
      <w:r w:rsidRPr="00954626">
        <w:rPr>
          <w:rStyle w:val="FootnoteReference"/>
          <w:rFonts w:ascii="Cambria" w:hAnsi="Cambria"/>
          <w:sz w:val="18"/>
          <w:szCs w:val="18"/>
        </w:rPr>
        <w:footnoteRef/>
      </w:r>
      <w:r w:rsidRPr="00954626">
        <w:rPr>
          <w:rFonts w:ascii="Cambria" w:hAnsi="Cambria"/>
          <w:sz w:val="18"/>
          <w:szCs w:val="18"/>
        </w:rPr>
        <w:t xml:space="preserve"> </w:t>
      </w:r>
      <w:proofErr w:type="spellStart"/>
      <w:r w:rsidRPr="00954626">
        <w:rPr>
          <w:rFonts w:ascii="Cambria" w:hAnsi="Cambria"/>
          <w:sz w:val="18"/>
          <w:szCs w:val="18"/>
        </w:rPr>
        <w:t>Gazzard</w:t>
      </w:r>
      <w:proofErr w:type="spellEnd"/>
      <w:r w:rsidRPr="00954626">
        <w:rPr>
          <w:rFonts w:ascii="Cambria" w:hAnsi="Cambria"/>
          <w:sz w:val="18"/>
          <w:szCs w:val="18"/>
        </w:rPr>
        <w:t xml:space="preserve"> BG. British HIV Association Guidelines for the treatment of HIV-1- infected adults with antiretroviral therapy 2008. </w:t>
      </w:r>
      <w:r w:rsidRPr="00954626">
        <w:rPr>
          <w:rFonts w:ascii="Cambria" w:hAnsi="Cambria"/>
          <w:i/>
          <w:sz w:val="18"/>
          <w:szCs w:val="18"/>
        </w:rPr>
        <w:t>HIV Med</w:t>
      </w:r>
      <w:r>
        <w:rPr>
          <w:rFonts w:ascii="Cambria" w:hAnsi="Cambria"/>
          <w:sz w:val="18"/>
          <w:szCs w:val="18"/>
        </w:rPr>
        <w:t xml:space="preserve"> 2008;9</w:t>
      </w:r>
      <w:r w:rsidRPr="00954626">
        <w:rPr>
          <w:rFonts w:ascii="Cambria" w:hAnsi="Cambria"/>
          <w:sz w:val="18"/>
          <w:szCs w:val="18"/>
        </w:rPr>
        <w:t>(8):563-608.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F35DF9">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89631D" w:rsidRDefault="00240200" w:rsidP="00593AD1">
    <w:pPr>
      <w:pStyle w:val="HeaderNoLine"/>
    </w:pPr>
    <w:r>
      <w:rPr>
        <w:noProof/>
        <w:lang w:eastAsia="en-AU"/>
      </w:rPr>
      <w:pict>
        <v:shape id="_x0000_i1025" type="#_x0000_t75" alt="Lightblue.jpg" style="width:425.3pt;height:601.1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1D" w:rsidRDefault="0089631D" w:rsidP="006E08B3">
    <w:r>
      <w:t>Therapeutic Goods Administration</w:t>
    </w:r>
  </w:p>
  <w:p w:rsidR="0089631D" w:rsidRDefault="0089631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59686EEC"/>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A1189D"/>
    <w:multiLevelType w:val="hybridMultilevel"/>
    <w:tmpl w:val="25EE7A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2613C62"/>
    <w:multiLevelType w:val="hybridMultilevel"/>
    <w:tmpl w:val="78D034F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14966E04"/>
    <w:multiLevelType w:val="hybridMultilevel"/>
    <w:tmpl w:val="D3A4B960"/>
    <w:lvl w:ilvl="0" w:tplc="0C090001">
      <w:start w:val="1"/>
      <w:numFmt w:val="bullet"/>
      <w:lvlText w:val=""/>
      <w:lvlJc w:val="left"/>
      <w:pPr>
        <w:ind w:left="100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073036D"/>
    <w:multiLevelType w:val="hybridMultilevel"/>
    <w:tmpl w:val="4AE2550A"/>
    <w:lvl w:ilvl="0" w:tplc="EBD8566A">
      <w:start w:val="1"/>
      <w:numFmt w:val="decimal"/>
      <w:lvlText w:val="%1"/>
      <w:lvlJc w:val="left"/>
      <w:pPr>
        <w:ind w:left="756" w:hanging="360"/>
      </w:pPr>
      <w:rPr>
        <w:rFonts w:hint="default"/>
      </w:rPr>
    </w:lvl>
    <w:lvl w:ilvl="1" w:tplc="EBD8566A">
      <w:start w:val="1"/>
      <w:numFmt w:val="decimal"/>
      <w:lvlText w:val="%2"/>
      <w:lvlJc w:val="left"/>
      <w:pPr>
        <w:ind w:left="1476" w:hanging="360"/>
      </w:pPr>
      <w:rPr>
        <w:rFonts w:hint="default"/>
      </w:rPr>
    </w:lvl>
    <w:lvl w:ilvl="2" w:tplc="0C09001B" w:tentative="1">
      <w:start w:val="1"/>
      <w:numFmt w:val="lowerRoman"/>
      <w:lvlText w:val="%3."/>
      <w:lvlJc w:val="right"/>
      <w:pPr>
        <w:ind w:left="2196" w:hanging="180"/>
      </w:pPr>
    </w:lvl>
    <w:lvl w:ilvl="3" w:tplc="0C09000F" w:tentative="1">
      <w:start w:val="1"/>
      <w:numFmt w:val="decimal"/>
      <w:lvlText w:val="%4."/>
      <w:lvlJc w:val="left"/>
      <w:pPr>
        <w:ind w:left="2916" w:hanging="360"/>
      </w:pPr>
    </w:lvl>
    <w:lvl w:ilvl="4" w:tplc="0C090019" w:tentative="1">
      <w:start w:val="1"/>
      <w:numFmt w:val="lowerLetter"/>
      <w:lvlText w:val="%5."/>
      <w:lvlJc w:val="left"/>
      <w:pPr>
        <w:ind w:left="3636" w:hanging="360"/>
      </w:pPr>
    </w:lvl>
    <w:lvl w:ilvl="5" w:tplc="0C09001B" w:tentative="1">
      <w:start w:val="1"/>
      <w:numFmt w:val="lowerRoman"/>
      <w:lvlText w:val="%6."/>
      <w:lvlJc w:val="right"/>
      <w:pPr>
        <w:ind w:left="4356" w:hanging="180"/>
      </w:pPr>
    </w:lvl>
    <w:lvl w:ilvl="6" w:tplc="0C09000F" w:tentative="1">
      <w:start w:val="1"/>
      <w:numFmt w:val="decimal"/>
      <w:lvlText w:val="%7."/>
      <w:lvlJc w:val="left"/>
      <w:pPr>
        <w:ind w:left="5076" w:hanging="360"/>
      </w:pPr>
    </w:lvl>
    <w:lvl w:ilvl="7" w:tplc="0C090019" w:tentative="1">
      <w:start w:val="1"/>
      <w:numFmt w:val="lowerLetter"/>
      <w:lvlText w:val="%8."/>
      <w:lvlJc w:val="left"/>
      <w:pPr>
        <w:ind w:left="5796" w:hanging="360"/>
      </w:pPr>
    </w:lvl>
    <w:lvl w:ilvl="8" w:tplc="0C09001B" w:tentative="1">
      <w:start w:val="1"/>
      <w:numFmt w:val="lowerRoman"/>
      <w:lvlText w:val="%9."/>
      <w:lvlJc w:val="right"/>
      <w:pPr>
        <w:ind w:left="6516" w:hanging="180"/>
      </w:pPr>
    </w:lvl>
  </w:abstractNum>
  <w:abstractNum w:abstractNumId="10">
    <w:nsid w:val="233200D7"/>
    <w:multiLevelType w:val="hybridMultilevel"/>
    <w:tmpl w:val="A8F2C448"/>
    <w:lvl w:ilvl="0" w:tplc="0C090001">
      <w:start w:val="1"/>
      <w:numFmt w:val="bullet"/>
      <w:lvlText w:val=""/>
      <w:lvlJc w:val="left"/>
      <w:pPr>
        <w:ind w:left="100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24C253D6"/>
    <w:multiLevelType w:val="hybridMultilevel"/>
    <w:tmpl w:val="ECE6BB3E"/>
    <w:lvl w:ilvl="0" w:tplc="0C090001">
      <w:start w:val="1"/>
      <w:numFmt w:val="bullet"/>
      <w:lvlText w:val=""/>
      <w:lvlJc w:val="left"/>
      <w:pPr>
        <w:ind w:left="1287"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251419D2"/>
    <w:multiLevelType w:val="hybridMultilevel"/>
    <w:tmpl w:val="6884E9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28A73D7B"/>
    <w:multiLevelType w:val="hybridMultilevel"/>
    <w:tmpl w:val="B39E6A92"/>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336B3F18"/>
    <w:multiLevelType w:val="hybridMultilevel"/>
    <w:tmpl w:val="62A489AC"/>
    <w:lvl w:ilvl="0" w:tplc="462EAF60">
      <w:start w:val="1"/>
      <w:numFmt w:val="lowerLetter"/>
      <w:lvlText w:val="%1."/>
      <w:lvlJc w:val="left"/>
      <w:pPr>
        <w:ind w:left="644" w:hanging="360"/>
      </w:pPr>
      <w:rPr>
        <w:rFonts w:ascii="Cambria" w:hAnsi="Cambria" w:hint="default"/>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3B574114"/>
    <w:multiLevelType w:val="singleLevel"/>
    <w:tmpl w:val="0C090001"/>
    <w:lvl w:ilvl="0">
      <w:start w:val="1"/>
      <w:numFmt w:val="bullet"/>
      <w:lvlText w:val=""/>
      <w:lvlJc w:val="left"/>
      <w:pPr>
        <w:ind w:left="720" w:hanging="360"/>
      </w:pPr>
      <w:rPr>
        <w:rFonts w:ascii="Symbol" w:hAnsi="Symbol" w:hint="default"/>
      </w:rPr>
    </w:lvl>
  </w:abstractNum>
  <w:abstractNum w:abstractNumId="18">
    <w:nsid w:val="3FE85973"/>
    <w:multiLevelType w:val="hybridMultilevel"/>
    <w:tmpl w:val="4ECA2F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482F086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nsid w:val="560253A3"/>
    <w:multiLevelType w:val="hybridMultilevel"/>
    <w:tmpl w:val="208AD1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D456FFF"/>
    <w:multiLevelType w:val="hybridMultilevel"/>
    <w:tmpl w:val="926496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68681C2A"/>
    <w:multiLevelType w:val="hybridMultilevel"/>
    <w:tmpl w:val="DB5AB9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696F1004"/>
    <w:multiLevelType w:val="hybridMultilevel"/>
    <w:tmpl w:val="82486F38"/>
    <w:lvl w:ilvl="0" w:tplc="04090019">
      <w:start w:val="1"/>
      <w:numFmt w:val="lowerLetter"/>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8022803"/>
    <w:multiLevelType w:val="hybridMultilevel"/>
    <w:tmpl w:val="4ED0147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4"/>
  </w:num>
  <w:num w:numId="17">
    <w:abstractNumId w:val="4"/>
  </w:num>
  <w:num w:numId="18">
    <w:abstractNumId w:val="4"/>
  </w:num>
  <w:num w:numId="19">
    <w:abstractNumId w:val="8"/>
  </w:num>
  <w:num w:numId="20">
    <w:abstractNumId w:val="8"/>
  </w:num>
  <w:num w:numId="21">
    <w:abstractNumId w:val="8"/>
  </w:num>
  <w:num w:numId="22">
    <w:abstractNumId w:val="4"/>
  </w:num>
  <w:num w:numId="23">
    <w:abstractNumId w:val="4"/>
  </w:num>
  <w:num w:numId="24">
    <w:abstractNumId w:val="4"/>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7"/>
  </w:num>
  <w:num w:numId="2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9"/>
  </w:num>
  <w:num w:numId="4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attachedTemplate r:id="rId1"/>
  <w:stylePaneFormatFilter w:val="1001"/>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8253C8"/>
    <w:rsid w:val="00002031"/>
    <w:rsid w:val="00004734"/>
    <w:rsid w:val="00006B22"/>
    <w:rsid w:val="0001276A"/>
    <w:rsid w:val="0001658B"/>
    <w:rsid w:val="000172F5"/>
    <w:rsid w:val="00020513"/>
    <w:rsid w:val="000246AE"/>
    <w:rsid w:val="00025C67"/>
    <w:rsid w:val="00036FA0"/>
    <w:rsid w:val="0004180F"/>
    <w:rsid w:val="00050D8A"/>
    <w:rsid w:val="000532EF"/>
    <w:rsid w:val="0005559E"/>
    <w:rsid w:val="000556A2"/>
    <w:rsid w:val="000703CC"/>
    <w:rsid w:val="00077775"/>
    <w:rsid w:val="00090471"/>
    <w:rsid w:val="00091027"/>
    <w:rsid w:val="00091D6C"/>
    <w:rsid w:val="000A2291"/>
    <w:rsid w:val="000A3AED"/>
    <w:rsid w:val="000A5B5B"/>
    <w:rsid w:val="000A6568"/>
    <w:rsid w:val="000B3532"/>
    <w:rsid w:val="000B3A75"/>
    <w:rsid w:val="000B428A"/>
    <w:rsid w:val="000B6C24"/>
    <w:rsid w:val="000C690F"/>
    <w:rsid w:val="000D1295"/>
    <w:rsid w:val="000D391B"/>
    <w:rsid w:val="000D3D6D"/>
    <w:rsid w:val="000D4D51"/>
    <w:rsid w:val="000D4FC7"/>
    <w:rsid w:val="000E2982"/>
    <w:rsid w:val="000E3B85"/>
    <w:rsid w:val="000E5497"/>
    <w:rsid w:val="000E675C"/>
    <w:rsid w:val="000F1745"/>
    <w:rsid w:val="000F4869"/>
    <w:rsid w:val="000F5B42"/>
    <w:rsid w:val="000F6E6F"/>
    <w:rsid w:val="0010601F"/>
    <w:rsid w:val="0010788A"/>
    <w:rsid w:val="00107A31"/>
    <w:rsid w:val="00110EA5"/>
    <w:rsid w:val="00111CF7"/>
    <w:rsid w:val="00112F56"/>
    <w:rsid w:val="00116D9C"/>
    <w:rsid w:val="00121FF0"/>
    <w:rsid w:val="00125318"/>
    <w:rsid w:val="001305A2"/>
    <w:rsid w:val="001313A4"/>
    <w:rsid w:val="00133238"/>
    <w:rsid w:val="0014197B"/>
    <w:rsid w:val="00143EBA"/>
    <w:rsid w:val="001447CD"/>
    <w:rsid w:val="001516B1"/>
    <w:rsid w:val="00154EBB"/>
    <w:rsid w:val="00156316"/>
    <w:rsid w:val="00164155"/>
    <w:rsid w:val="00164E1F"/>
    <w:rsid w:val="00165389"/>
    <w:rsid w:val="00173013"/>
    <w:rsid w:val="0017693F"/>
    <w:rsid w:val="0018110E"/>
    <w:rsid w:val="00181684"/>
    <w:rsid w:val="001839C6"/>
    <w:rsid w:val="001843C6"/>
    <w:rsid w:val="001850E0"/>
    <w:rsid w:val="0019005A"/>
    <w:rsid w:val="00196D16"/>
    <w:rsid w:val="001A2158"/>
    <w:rsid w:val="001A525F"/>
    <w:rsid w:val="001B09F9"/>
    <w:rsid w:val="001B0D9A"/>
    <w:rsid w:val="001B6448"/>
    <w:rsid w:val="001D786E"/>
    <w:rsid w:val="001E07CF"/>
    <w:rsid w:val="001E59F1"/>
    <w:rsid w:val="001F49EB"/>
    <w:rsid w:val="001F6CBA"/>
    <w:rsid w:val="00201D4E"/>
    <w:rsid w:val="002076C9"/>
    <w:rsid w:val="00220B8A"/>
    <w:rsid w:val="00221BAA"/>
    <w:rsid w:val="002257F3"/>
    <w:rsid w:val="00233456"/>
    <w:rsid w:val="002339A5"/>
    <w:rsid w:val="00235293"/>
    <w:rsid w:val="002363DD"/>
    <w:rsid w:val="00240200"/>
    <w:rsid w:val="00243D57"/>
    <w:rsid w:val="002454B8"/>
    <w:rsid w:val="00246F29"/>
    <w:rsid w:val="00257848"/>
    <w:rsid w:val="00266218"/>
    <w:rsid w:val="0027084A"/>
    <w:rsid w:val="00284482"/>
    <w:rsid w:val="00286434"/>
    <w:rsid w:val="00286C59"/>
    <w:rsid w:val="002942D1"/>
    <w:rsid w:val="0029501A"/>
    <w:rsid w:val="00297B94"/>
    <w:rsid w:val="002B1638"/>
    <w:rsid w:val="002B5EA8"/>
    <w:rsid w:val="002C07D6"/>
    <w:rsid w:val="002D03A6"/>
    <w:rsid w:val="002D459A"/>
    <w:rsid w:val="002D76AA"/>
    <w:rsid w:val="002E4C9A"/>
    <w:rsid w:val="002F11F8"/>
    <w:rsid w:val="002F3F56"/>
    <w:rsid w:val="002F44B5"/>
    <w:rsid w:val="003020B1"/>
    <w:rsid w:val="00302798"/>
    <w:rsid w:val="00311AC0"/>
    <w:rsid w:val="0032583B"/>
    <w:rsid w:val="00327883"/>
    <w:rsid w:val="00335504"/>
    <w:rsid w:val="00336BCD"/>
    <w:rsid w:val="00351541"/>
    <w:rsid w:val="003521E8"/>
    <w:rsid w:val="00353F80"/>
    <w:rsid w:val="003607BA"/>
    <w:rsid w:val="00362035"/>
    <w:rsid w:val="00363B94"/>
    <w:rsid w:val="003728F3"/>
    <w:rsid w:val="003746AD"/>
    <w:rsid w:val="0037496E"/>
    <w:rsid w:val="003854F8"/>
    <w:rsid w:val="00386150"/>
    <w:rsid w:val="003874CE"/>
    <w:rsid w:val="00390900"/>
    <w:rsid w:val="0039121A"/>
    <w:rsid w:val="003913DC"/>
    <w:rsid w:val="00392159"/>
    <w:rsid w:val="003A7F6C"/>
    <w:rsid w:val="003B4D60"/>
    <w:rsid w:val="003B7E39"/>
    <w:rsid w:val="003C58DC"/>
    <w:rsid w:val="003C6E7B"/>
    <w:rsid w:val="003D1E62"/>
    <w:rsid w:val="003E2486"/>
    <w:rsid w:val="003E3208"/>
    <w:rsid w:val="003E3A9E"/>
    <w:rsid w:val="003E7586"/>
    <w:rsid w:val="003E7823"/>
    <w:rsid w:val="003F0B04"/>
    <w:rsid w:val="003F2F24"/>
    <w:rsid w:val="003F3CE3"/>
    <w:rsid w:val="003F7F14"/>
    <w:rsid w:val="00400E88"/>
    <w:rsid w:val="0040134E"/>
    <w:rsid w:val="004129BA"/>
    <w:rsid w:val="004134B8"/>
    <w:rsid w:val="0042364C"/>
    <w:rsid w:val="00423825"/>
    <w:rsid w:val="00423B31"/>
    <w:rsid w:val="00425E6E"/>
    <w:rsid w:val="00432FB3"/>
    <w:rsid w:val="00433759"/>
    <w:rsid w:val="00440A2D"/>
    <w:rsid w:val="00446028"/>
    <w:rsid w:val="00447FD2"/>
    <w:rsid w:val="004564A7"/>
    <w:rsid w:val="004617BF"/>
    <w:rsid w:val="00463658"/>
    <w:rsid w:val="0047057F"/>
    <w:rsid w:val="004722CC"/>
    <w:rsid w:val="0048357F"/>
    <w:rsid w:val="0048436A"/>
    <w:rsid w:val="004936E4"/>
    <w:rsid w:val="00494B88"/>
    <w:rsid w:val="00494E60"/>
    <w:rsid w:val="004957AE"/>
    <w:rsid w:val="00497487"/>
    <w:rsid w:val="004B2530"/>
    <w:rsid w:val="004B28AC"/>
    <w:rsid w:val="004B7B76"/>
    <w:rsid w:val="004C2DCA"/>
    <w:rsid w:val="004D682E"/>
    <w:rsid w:val="004E0486"/>
    <w:rsid w:val="004F0F38"/>
    <w:rsid w:val="004F155B"/>
    <w:rsid w:val="00501921"/>
    <w:rsid w:val="00511CF0"/>
    <w:rsid w:val="00512626"/>
    <w:rsid w:val="00530354"/>
    <w:rsid w:val="005317D9"/>
    <w:rsid w:val="00534FF2"/>
    <w:rsid w:val="0053625B"/>
    <w:rsid w:val="005434C6"/>
    <w:rsid w:val="00543B39"/>
    <w:rsid w:val="00544F47"/>
    <w:rsid w:val="00546DAC"/>
    <w:rsid w:val="00550096"/>
    <w:rsid w:val="005511F0"/>
    <w:rsid w:val="00557FF9"/>
    <w:rsid w:val="00565A26"/>
    <w:rsid w:val="005676E2"/>
    <w:rsid w:val="00576378"/>
    <w:rsid w:val="00577215"/>
    <w:rsid w:val="00577945"/>
    <w:rsid w:val="00577E38"/>
    <w:rsid w:val="005833FC"/>
    <w:rsid w:val="00584E01"/>
    <w:rsid w:val="00585322"/>
    <w:rsid w:val="005857C6"/>
    <w:rsid w:val="00585F35"/>
    <w:rsid w:val="00592F6E"/>
    <w:rsid w:val="00593AD1"/>
    <w:rsid w:val="005A2D3A"/>
    <w:rsid w:val="005A3321"/>
    <w:rsid w:val="005A68B6"/>
    <w:rsid w:val="005C1062"/>
    <w:rsid w:val="005C5570"/>
    <w:rsid w:val="005C5945"/>
    <w:rsid w:val="005C79A4"/>
    <w:rsid w:val="005C79EE"/>
    <w:rsid w:val="005D5442"/>
    <w:rsid w:val="005E673E"/>
    <w:rsid w:val="005F17E9"/>
    <w:rsid w:val="005F6333"/>
    <w:rsid w:val="006036F4"/>
    <w:rsid w:val="00603F32"/>
    <w:rsid w:val="00613E12"/>
    <w:rsid w:val="00614B11"/>
    <w:rsid w:val="006264E8"/>
    <w:rsid w:val="00632398"/>
    <w:rsid w:val="00632CDA"/>
    <w:rsid w:val="0063401D"/>
    <w:rsid w:val="00637252"/>
    <w:rsid w:val="00640CCF"/>
    <w:rsid w:val="00640FC3"/>
    <w:rsid w:val="00641D6D"/>
    <w:rsid w:val="00642020"/>
    <w:rsid w:val="00644AA3"/>
    <w:rsid w:val="006459D1"/>
    <w:rsid w:val="0065337B"/>
    <w:rsid w:val="00653760"/>
    <w:rsid w:val="0065419D"/>
    <w:rsid w:val="006543E3"/>
    <w:rsid w:val="00654450"/>
    <w:rsid w:val="00655D06"/>
    <w:rsid w:val="006604D8"/>
    <w:rsid w:val="00664A5B"/>
    <w:rsid w:val="006720BA"/>
    <w:rsid w:val="006748D5"/>
    <w:rsid w:val="006763D2"/>
    <w:rsid w:val="00680C08"/>
    <w:rsid w:val="0068711A"/>
    <w:rsid w:val="006931B1"/>
    <w:rsid w:val="006A15C0"/>
    <w:rsid w:val="006A4D4A"/>
    <w:rsid w:val="006B0117"/>
    <w:rsid w:val="006C3E2A"/>
    <w:rsid w:val="006C642F"/>
    <w:rsid w:val="006C6BD7"/>
    <w:rsid w:val="006C7A27"/>
    <w:rsid w:val="006D03E5"/>
    <w:rsid w:val="006D411D"/>
    <w:rsid w:val="006D5D3E"/>
    <w:rsid w:val="006E03AC"/>
    <w:rsid w:val="006E08B3"/>
    <w:rsid w:val="006E4565"/>
    <w:rsid w:val="006F17AC"/>
    <w:rsid w:val="006F572E"/>
    <w:rsid w:val="006F5E72"/>
    <w:rsid w:val="006F6F42"/>
    <w:rsid w:val="00700880"/>
    <w:rsid w:val="00700A07"/>
    <w:rsid w:val="007023C8"/>
    <w:rsid w:val="007046D6"/>
    <w:rsid w:val="00704D73"/>
    <w:rsid w:val="00705DB0"/>
    <w:rsid w:val="00707E6B"/>
    <w:rsid w:val="00722B57"/>
    <w:rsid w:val="00723F5D"/>
    <w:rsid w:val="00724946"/>
    <w:rsid w:val="00732DF7"/>
    <w:rsid w:val="00735A65"/>
    <w:rsid w:val="00735CA7"/>
    <w:rsid w:val="00736D88"/>
    <w:rsid w:val="0074253D"/>
    <w:rsid w:val="0074429B"/>
    <w:rsid w:val="007553B1"/>
    <w:rsid w:val="007615BC"/>
    <w:rsid w:val="00762F05"/>
    <w:rsid w:val="007641EA"/>
    <w:rsid w:val="007652FF"/>
    <w:rsid w:val="00770EF1"/>
    <w:rsid w:val="00773EF7"/>
    <w:rsid w:val="00774E1D"/>
    <w:rsid w:val="0077675A"/>
    <w:rsid w:val="00780355"/>
    <w:rsid w:val="00785721"/>
    <w:rsid w:val="007864F7"/>
    <w:rsid w:val="00787205"/>
    <w:rsid w:val="00791807"/>
    <w:rsid w:val="00793A59"/>
    <w:rsid w:val="007B0A6D"/>
    <w:rsid w:val="007B2339"/>
    <w:rsid w:val="007B5E35"/>
    <w:rsid w:val="007B6E9F"/>
    <w:rsid w:val="007C10EC"/>
    <w:rsid w:val="007C1216"/>
    <w:rsid w:val="007C1AF7"/>
    <w:rsid w:val="007C46CB"/>
    <w:rsid w:val="007D2DB0"/>
    <w:rsid w:val="007E27FF"/>
    <w:rsid w:val="00802AA0"/>
    <w:rsid w:val="00805D27"/>
    <w:rsid w:val="00807DBC"/>
    <w:rsid w:val="00813361"/>
    <w:rsid w:val="00817AC3"/>
    <w:rsid w:val="00821776"/>
    <w:rsid w:val="008253C8"/>
    <w:rsid w:val="008318E7"/>
    <w:rsid w:val="008321F5"/>
    <w:rsid w:val="00832369"/>
    <w:rsid w:val="008324BF"/>
    <w:rsid w:val="00832D69"/>
    <w:rsid w:val="0083417E"/>
    <w:rsid w:val="00834660"/>
    <w:rsid w:val="00836BC2"/>
    <w:rsid w:val="00841BE4"/>
    <w:rsid w:val="00846A2B"/>
    <w:rsid w:val="00854E8B"/>
    <w:rsid w:val="0085562C"/>
    <w:rsid w:val="0085641B"/>
    <w:rsid w:val="00857136"/>
    <w:rsid w:val="008643A3"/>
    <w:rsid w:val="00870A18"/>
    <w:rsid w:val="00873E90"/>
    <w:rsid w:val="00876227"/>
    <w:rsid w:val="00877062"/>
    <w:rsid w:val="00886D15"/>
    <w:rsid w:val="00887DD8"/>
    <w:rsid w:val="00890D33"/>
    <w:rsid w:val="00894E9E"/>
    <w:rsid w:val="00896018"/>
    <w:rsid w:val="008960DD"/>
    <w:rsid w:val="0089631D"/>
    <w:rsid w:val="0089635C"/>
    <w:rsid w:val="008A2B9D"/>
    <w:rsid w:val="008A3E2C"/>
    <w:rsid w:val="008A5E0B"/>
    <w:rsid w:val="008A6D59"/>
    <w:rsid w:val="008B4B03"/>
    <w:rsid w:val="008B596F"/>
    <w:rsid w:val="008B696A"/>
    <w:rsid w:val="008B6E93"/>
    <w:rsid w:val="008C159F"/>
    <w:rsid w:val="008C1623"/>
    <w:rsid w:val="008C1850"/>
    <w:rsid w:val="008C51A9"/>
    <w:rsid w:val="008D1610"/>
    <w:rsid w:val="008E4AF3"/>
    <w:rsid w:val="008E7846"/>
    <w:rsid w:val="008F1CCC"/>
    <w:rsid w:val="008F2967"/>
    <w:rsid w:val="008F6943"/>
    <w:rsid w:val="009025A5"/>
    <w:rsid w:val="00902A21"/>
    <w:rsid w:val="00903998"/>
    <w:rsid w:val="00914480"/>
    <w:rsid w:val="00915248"/>
    <w:rsid w:val="009160D3"/>
    <w:rsid w:val="009179DC"/>
    <w:rsid w:val="00920330"/>
    <w:rsid w:val="009219D7"/>
    <w:rsid w:val="00922D53"/>
    <w:rsid w:val="00923B70"/>
    <w:rsid w:val="00924482"/>
    <w:rsid w:val="00926D33"/>
    <w:rsid w:val="00930237"/>
    <w:rsid w:val="00930471"/>
    <w:rsid w:val="00935CA7"/>
    <w:rsid w:val="009366A5"/>
    <w:rsid w:val="009462FE"/>
    <w:rsid w:val="00946EA5"/>
    <w:rsid w:val="00951589"/>
    <w:rsid w:val="0095178C"/>
    <w:rsid w:val="00954626"/>
    <w:rsid w:val="00963C08"/>
    <w:rsid w:val="00965592"/>
    <w:rsid w:val="009675B8"/>
    <w:rsid w:val="0097090D"/>
    <w:rsid w:val="0098585A"/>
    <w:rsid w:val="00993867"/>
    <w:rsid w:val="009A1169"/>
    <w:rsid w:val="009A139B"/>
    <w:rsid w:val="009A4CED"/>
    <w:rsid w:val="009A690D"/>
    <w:rsid w:val="009B1D12"/>
    <w:rsid w:val="009B416B"/>
    <w:rsid w:val="009C4045"/>
    <w:rsid w:val="009C4BD5"/>
    <w:rsid w:val="009D6B9E"/>
    <w:rsid w:val="009D7967"/>
    <w:rsid w:val="009D7B77"/>
    <w:rsid w:val="009E0936"/>
    <w:rsid w:val="009E0BB0"/>
    <w:rsid w:val="009E3FBB"/>
    <w:rsid w:val="00A00A99"/>
    <w:rsid w:val="00A03BEE"/>
    <w:rsid w:val="00A102E4"/>
    <w:rsid w:val="00A12C42"/>
    <w:rsid w:val="00A13034"/>
    <w:rsid w:val="00A14DF7"/>
    <w:rsid w:val="00A2001C"/>
    <w:rsid w:val="00A273C3"/>
    <w:rsid w:val="00A3246D"/>
    <w:rsid w:val="00A36FA7"/>
    <w:rsid w:val="00A37374"/>
    <w:rsid w:val="00A42AE4"/>
    <w:rsid w:val="00A475B7"/>
    <w:rsid w:val="00A47AF7"/>
    <w:rsid w:val="00A47C3E"/>
    <w:rsid w:val="00A50226"/>
    <w:rsid w:val="00A51BB4"/>
    <w:rsid w:val="00A60BAD"/>
    <w:rsid w:val="00A64789"/>
    <w:rsid w:val="00A66977"/>
    <w:rsid w:val="00A70EFF"/>
    <w:rsid w:val="00A8320F"/>
    <w:rsid w:val="00A964D1"/>
    <w:rsid w:val="00AA0ED0"/>
    <w:rsid w:val="00AA280C"/>
    <w:rsid w:val="00AA33BD"/>
    <w:rsid w:val="00AC2B40"/>
    <w:rsid w:val="00AC2BB2"/>
    <w:rsid w:val="00AC2C3C"/>
    <w:rsid w:val="00AC512D"/>
    <w:rsid w:val="00AD3472"/>
    <w:rsid w:val="00AD6AB2"/>
    <w:rsid w:val="00AD7021"/>
    <w:rsid w:val="00AE09BD"/>
    <w:rsid w:val="00AE4AFF"/>
    <w:rsid w:val="00AE65EB"/>
    <w:rsid w:val="00AE67A7"/>
    <w:rsid w:val="00AF1D94"/>
    <w:rsid w:val="00AF593A"/>
    <w:rsid w:val="00AF60C5"/>
    <w:rsid w:val="00AF7900"/>
    <w:rsid w:val="00B009C6"/>
    <w:rsid w:val="00B01548"/>
    <w:rsid w:val="00B03F1E"/>
    <w:rsid w:val="00B12B07"/>
    <w:rsid w:val="00B169B7"/>
    <w:rsid w:val="00B21535"/>
    <w:rsid w:val="00B21D04"/>
    <w:rsid w:val="00B21D29"/>
    <w:rsid w:val="00B249F4"/>
    <w:rsid w:val="00B25034"/>
    <w:rsid w:val="00B26037"/>
    <w:rsid w:val="00B26260"/>
    <w:rsid w:val="00B2627F"/>
    <w:rsid w:val="00B33588"/>
    <w:rsid w:val="00B33863"/>
    <w:rsid w:val="00B37D17"/>
    <w:rsid w:val="00B40747"/>
    <w:rsid w:val="00B41070"/>
    <w:rsid w:val="00B4175E"/>
    <w:rsid w:val="00B43FB2"/>
    <w:rsid w:val="00B452CE"/>
    <w:rsid w:val="00B4682C"/>
    <w:rsid w:val="00B541EE"/>
    <w:rsid w:val="00B54C25"/>
    <w:rsid w:val="00B559EF"/>
    <w:rsid w:val="00B61849"/>
    <w:rsid w:val="00B63F3A"/>
    <w:rsid w:val="00B7498B"/>
    <w:rsid w:val="00B75105"/>
    <w:rsid w:val="00B76B91"/>
    <w:rsid w:val="00B77EB1"/>
    <w:rsid w:val="00B811C6"/>
    <w:rsid w:val="00B84A19"/>
    <w:rsid w:val="00B92E08"/>
    <w:rsid w:val="00B95302"/>
    <w:rsid w:val="00BA00FC"/>
    <w:rsid w:val="00BA2646"/>
    <w:rsid w:val="00BA647D"/>
    <w:rsid w:val="00BB18B7"/>
    <w:rsid w:val="00BB2DA3"/>
    <w:rsid w:val="00BB2DAA"/>
    <w:rsid w:val="00BB3D4A"/>
    <w:rsid w:val="00BB59A3"/>
    <w:rsid w:val="00BB7072"/>
    <w:rsid w:val="00BB7854"/>
    <w:rsid w:val="00BB7E5D"/>
    <w:rsid w:val="00BC084C"/>
    <w:rsid w:val="00BC1840"/>
    <w:rsid w:val="00BC622A"/>
    <w:rsid w:val="00BC7D9D"/>
    <w:rsid w:val="00BD115E"/>
    <w:rsid w:val="00BD13CE"/>
    <w:rsid w:val="00BD7E1D"/>
    <w:rsid w:val="00BE0A78"/>
    <w:rsid w:val="00BE200F"/>
    <w:rsid w:val="00BE247D"/>
    <w:rsid w:val="00BE4457"/>
    <w:rsid w:val="00BE79F0"/>
    <w:rsid w:val="00BF046D"/>
    <w:rsid w:val="00BF1190"/>
    <w:rsid w:val="00BF1AAD"/>
    <w:rsid w:val="00BF5D04"/>
    <w:rsid w:val="00C10967"/>
    <w:rsid w:val="00C1164D"/>
    <w:rsid w:val="00C16861"/>
    <w:rsid w:val="00C249AF"/>
    <w:rsid w:val="00C306B7"/>
    <w:rsid w:val="00C30E19"/>
    <w:rsid w:val="00C331C1"/>
    <w:rsid w:val="00C35E52"/>
    <w:rsid w:val="00C402C0"/>
    <w:rsid w:val="00C404A6"/>
    <w:rsid w:val="00C40A36"/>
    <w:rsid w:val="00C44419"/>
    <w:rsid w:val="00C45E7B"/>
    <w:rsid w:val="00C471B1"/>
    <w:rsid w:val="00C57D52"/>
    <w:rsid w:val="00C6114B"/>
    <w:rsid w:val="00C6152F"/>
    <w:rsid w:val="00C6316B"/>
    <w:rsid w:val="00C634A9"/>
    <w:rsid w:val="00C63CBB"/>
    <w:rsid w:val="00C64586"/>
    <w:rsid w:val="00C70D53"/>
    <w:rsid w:val="00C73D0B"/>
    <w:rsid w:val="00C76F4E"/>
    <w:rsid w:val="00C772FF"/>
    <w:rsid w:val="00C801AF"/>
    <w:rsid w:val="00C80256"/>
    <w:rsid w:val="00CA3FB8"/>
    <w:rsid w:val="00CB0A3E"/>
    <w:rsid w:val="00CB0D53"/>
    <w:rsid w:val="00CB1AB1"/>
    <w:rsid w:val="00CB6BC0"/>
    <w:rsid w:val="00CC1B7C"/>
    <w:rsid w:val="00CC292E"/>
    <w:rsid w:val="00CC6848"/>
    <w:rsid w:val="00CC727F"/>
    <w:rsid w:val="00CD27FA"/>
    <w:rsid w:val="00CD3530"/>
    <w:rsid w:val="00CE3CB8"/>
    <w:rsid w:val="00CE6568"/>
    <w:rsid w:val="00CF15C3"/>
    <w:rsid w:val="00CF2861"/>
    <w:rsid w:val="00CF2B6F"/>
    <w:rsid w:val="00CF58B6"/>
    <w:rsid w:val="00CF5A38"/>
    <w:rsid w:val="00D017ED"/>
    <w:rsid w:val="00D040D3"/>
    <w:rsid w:val="00D04C65"/>
    <w:rsid w:val="00D12906"/>
    <w:rsid w:val="00D2220D"/>
    <w:rsid w:val="00D224FE"/>
    <w:rsid w:val="00D25299"/>
    <w:rsid w:val="00D306AF"/>
    <w:rsid w:val="00D429A4"/>
    <w:rsid w:val="00D52A2C"/>
    <w:rsid w:val="00D617D0"/>
    <w:rsid w:val="00D61A74"/>
    <w:rsid w:val="00D62294"/>
    <w:rsid w:val="00D6493E"/>
    <w:rsid w:val="00D7301E"/>
    <w:rsid w:val="00D73F32"/>
    <w:rsid w:val="00D758DE"/>
    <w:rsid w:val="00D80148"/>
    <w:rsid w:val="00D83AE1"/>
    <w:rsid w:val="00D85430"/>
    <w:rsid w:val="00D855CE"/>
    <w:rsid w:val="00D855D4"/>
    <w:rsid w:val="00D859BC"/>
    <w:rsid w:val="00D93466"/>
    <w:rsid w:val="00DA1124"/>
    <w:rsid w:val="00DB75B7"/>
    <w:rsid w:val="00DC5B39"/>
    <w:rsid w:val="00DC6E02"/>
    <w:rsid w:val="00DC7DAD"/>
    <w:rsid w:val="00DE02AE"/>
    <w:rsid w:val="00DF1D7F"/>
    <w:rsid w:val="00DF4BE4"/>
    <w:rsid w:val="00E02FB4"/>
    <w:rsid w:val="00E10F04"/>
    <w:rsid w:val="00E1241E"/>
    <w:rsid w:val="00E15D98"/>
    <w:rsid w:val="00E17BC6"/>
    <w:rsid w:val="00E20571"/>
    <w:rsid w:val="00E23343"/>
    <w:rsid w:val="00E235F7"/>
    <w:rsid w:val="00E23659"/>
    <w:rsid w:val="00E239D4"/>
    <w:rsid w:val="00E26130"/>
    <w:rsid w:val="00E403CA"/>
    <w:rsid w:val="00E40B22"/>
    <w:rsid w:val="00E42C9C"/>
    <w:rsid w:val="00E44D8F"/>
    <w:rsid w:val="00E45619"/>
    <w:rsid w:val="00E4588F"/>
    <w:rsid w:val="00E46DA3"/>
    <w:rsid w:val="00E51BB1"/>
    <w:rsid w:val="00E53195"/>
    <w:rsid w:val="00E55600"/>
    <w:rsid w:val="00E5704A"/>
    <w:rsid w:val="00E57859"/>
    <w:rsid w:val="00E624A5"/>
    <w:rsid w:val="00E7344E"/>
    <w:rsid w:val="00E7453D"/>
    <w:rsid w:val="00E749A2"/>
    <w:rsid w:val="00E84AB7"/>
    <w:rsid w:val="00EA2839"/>
    <w:rsid w:val="00EA5CFE"/>
    <w:rsid w:val="00EA5E38"/>
    <w:rsid w:val="00EB0798"/>
    <w:rsid w:val="00EB40AD"/>
    <w:rsid w:val="00EB586E"/>
    <w:rsid w:val="00EB5FC8"/>
    <w:rsid w:val="00EB6F47"/>
    <w:rsid w:val="00ED3CAD"/>
    <w:rsid w:val="00ED5A41"/>
    <w:rsid w:val="00ED7FA8"/>
    <w:rsid w:val="00EE1DE8"/>
    <w:rsid w:val="00EE50E9"/>
    <w:rsid w:val="00EF018F"/>
    <w:rsid w:val="00EF57A7"/>
    <w:rsid w:val="00F032BB"/>
    <w:rsid w:val="00F033EC"/>
    <w:rsid w:val="00F04F68"/>
    <w:rsid w:val="00F10533"/>
    <w:rsid w:val="00F11891"/>
    <w:rsid w:val="00F12670"/>
    <w:rsid w:val="00F14B27"/>
    <w:rsid w:val="00F25DA1"/>
    <w:rsid w:val="00F3148D"/>
    <w:rsid w:val="00F31811"/>
    <w:rsid w:val="00F325C5"/>
    <w:rsid w:val="00F32FE0"/>
    <w:rsid w:val="00F35298"/>
    <w:rsid w:val="00F35DF9"/>
    <w:rsid w:val="00F419FC"/>
    <w:rsid w:val="00F47333"/>
    <w:rsid w:val="00F47E37"/>
    <w:rsid w:val="00F52974"/>
    <w:rsid w:val="00F53C07"/>
    <w:rsid w:val="00F54B65"/>
    <w:rsid w:val="00F56A9F"/>
    <w:rsid w:val="00F640B6"/>
    <w:rsid w:val="00F66CA8"/>
    <w:rsid w:val="00F76E72"/>
    <w:rsid w:val="00F80E40"/>
    <w:rsid w:val="00F848D9"/>
    <w:rsid w:val="00F85015"/>
    <w:rsid w:val="00F9043A"/>
    <w:rsid w:val="00F95416"/>
    <w:rsid w:val="00FA16CD"/>
    <w:rsid w:val="00FA1B52"/>
    <w:rsid w:val="00FA5B82"/>
    <w:rsid w:val="00FA5CAB"/>
    <w:rsid w:val="00FA639E"/>
    <w:rsid w:val="00FB022F"/>
    <w:rsid w:val="00FB2A77"/>
    <w:rsid w:val="00FB3677"/>
    <w:rsid w:val="00FC25E4"/>
    <w:rsid w:val="00FC4EF7"/>
    <w:rsid w:val="00FD364B"/>
    <w:rsid w:val="00FE1DEE"/>
    <w:rsid w:val="00FE2BA7"/>
    <w:rsid w:val="00FE5142"/>
    <w:rsid w:val="00FE659E"/>
    <w:rsid w:val="00FF2126"/>
    <w:rsid w:val="00FF4CD1"/>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footnote reference" w:uiPriority="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BB7E5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5297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ListParagraph">
    <w:name w:val="List Paragraph"/>
    <w:basedOn w:val="Normal"/>
    <w:uiPriority w:val="34"/>
    <w:qFormat/>
    <w:rsid w:val="00BB59A3"/>
    <w:pPr>
      <w:adjustRightInd w:val="0"/>
      <w:snapToGrid w:val="0"/>
      <w:spacing w:before="0" w:after="0"/>
      <w:ind w:left="720"/>
      <w:contextualSpacing/>
    </w:pPr>
    <w:rPr>
      <w:rFonts w:eastAsia="MS Mincho"/>
      <w:szCs w:val="20"/>
      <w:lang w:eastAsia="ja-JP"/>
    </w:rPr>
  </w:style>
  <w:style w:type="paragraph" w:customStyle="1" w:styleId="Heading">
    <w:name w:val="Heading"/>
    <w:aliases w:val="general"/>
    <w:basedOn w:val="Heading9"/>
    <w:next w:val="Normal"/>
    <w:autoRedefine/>
    <w:rsid w:val="00F52974"/>
    <w:pPr>
      <w:keepLines w:val="0"/>
      <w:spacing w:before="0" w:after="240" w:line="240" w:lineRule="auto"/>
    </w:pPr>
    <w:rPr>
      <w:rFonts w:ascii="Times New Roman" w:eastAsia="Times New Roman" w:hAnsi="Times New Roman" w:cs="Arial"/>
      <w:b/>
      <w:i w:val="0"/>
      <w:iCs w:val="0"/>
      <w:caps/>
      <w:color w:val="auto"/>
      <w:sz w:val="24"/>
      <w:szCs w:val="24"/>
      <w:lang w:eastAsia="en-AU"/>
    </w:rPr>
  </w:style>
  <w:style w:type="character" w:customStyle="1" w:styleId="Heading9Char">
    <w:name w:val="Heading 9 Char"/>
    <w:basedOn w:val="DefaultParagraphFont"/>
    <w:link w:val="Heading9"/>
    <w:uiPriority w:val="9"/>
    <w:semiHidden/>
    <w:rsid w:val="00F52974"/>
    <w:rPr>
      <w:rFonts w:asciiTheme="majorHAnsi" w:eastAsiaTheme="majorEastAsia" w:hAnsiTheme="majorHAnsi" w:cstheme="majorBidi"/>
      <w:i/>
      <w:iCs/>
      <w:color w:val="404040" w:themeColor="text1" w:themeTint="BF"/>
      <w:sz w:val="20"/>
      <w:szCs w:val="20"/>
    </w:rPr>
  </w:style>
  <w:style w:type="paragraph" w:styleId="CommentText">
    <w:name w:val="annotation text"/>
    <w:basedOn w:val="Normal"/>
    <w:link w:val="CommentTextChar"/>
    <w:semiHidden/>
    <w:unhideWhenUsed/>
    <w:rsid w:val="00EA5CFE"/>
    <w:pPr>
      <w:spacing w:before="0" w:after="0" w:line="240" w:lineRule="auto"/>
    </w:pPr>
    <w:rPr>
      <w:rFonts w:ascii="Times New Roman" w:eastAsia="Times New Roman" w:hAnsi="Times New Roman"/>
      <w:sz w:val="20"/>
      <w:szCs w:val="20"/>
      <w:lang w:eastAsia="en-AU"/>
    </w:rPr>
  </w:style>
  <w:style w:type="character" w:customStyle="1" w:styleId="CommentTextChar">
    <w:name w:val="Comment Text Char"/>
    <w:basedOn w:val="DefaultParagraphFont"/>
    <w:link w:val="CommentText"/>
    <w:semiHidden/>
    <w:rsid w:val="00EA5CFE"/>
    <w:rPr>
      <w:rFonts w:ascii="Times New Roman" w:eastAsia="Times New Roman" w:hAnsi="Times New Roman" w:cs="Times New Roman"/>
      <w:sz w:val="20"/>
      <w:szCs w:val="20"/>
      <w:lang w:eastAsia="en-AU"/>
    </w:rPr>
  </w:style>
  <w:style w:type="character" w:styleId="CommentReference">
    <w:name w:val="annotation reference"/>
    <w:basedOn w:val="DefaultParagraphFont"/>
    <w:semiHidden/>
    <w:unhideWhenUsed/>
    <w:rsid w:val="00EA5CFE"/>
    <w:rPr>
      <w:sz w:val="16"/>
      <w:szCs w:val="16"/>
    </w:rPr>
  </w:style>
  <w:style w:type="paragraph" w:styleId="FootnoteText">
    <w:name w:val="footnote text"/>
    <w:basedOn w:val="Normal"/>
    <w:link w:val="FootnoteTextChar"/>
    <w:unhideWhenUsed/>
    <w:rsid w:val="00EA5CFE"/>
    <w:pPr>
      <w:spacing w:before="0" w:after="0" w:line="240" w:lineRule="auto"/>
    </w:pPr>
    <w:rPr>
      <w:rFonts w:ascii="Times New Roman" w:eastAsia="Times New Roman" w:hAnsi="Times New Roman"/>
      <w:sz w:val="20"/>
      <w:szCs w:val="20"/>
      <w:lang w:eastAsia="en-AU"/>
    </w:rPr>
  </w:style>
  <w:style w:type="character" w:customStyle="1" w:styleId="FootnoteTextChar">
    <w:name w:val="Footnote Text Char"/>
    <w:basedOn w:val="DefaultParagraphFont"/>
    <w:link w:val="FootnoteText"/>
    <w:rsid w:val="00EA5CFE"/>
    <w:rPr>
      <w:rFonts w:ascii="Times New Roman" w:eastAsia="Times New Roman" w:hAnsi="Times New Roman" w:cs="Times New Roman"/>
      <w:sz w:val="20"/>
      <w:szCs w:val="20"/>
      <w:lang w:eastAsia="en-AU"/>
    </w:rPr>
  </w:style>
  <w:style w:type="character" w:styleId="FootnoteReference">
    <w:name w:val="footnote reference"/>
    <w:basedOn w:val="DefaultParagraphFont"/>
    <w:semiHidden/>
    <w:unhideWhenUsed/>
    <w:rsid w:val="00EA5CFE"/>
    <w:rPr>
      <w:vertAlign w:val="superscript"/>
    </w:rPr>
  </w:style>
  <w:style w:type="paragraph" w:customStyle="1" w:styleId="Standard">
    <w:name w:val="Standard"/>
    <w:basedOn w:val="Normal"/>
    <w:rsid w:val="00A273C3"/>
    <w:pPr>
      <w:widowControl w:val="0"/>
      <w:spacing w:before="0" w:after="240" w:line="240" w:lineRule="auto"/>
    </w:pPr>
    <w:rPr>
      <w:rFonts w:eastAsia="Times New Roman"/>
      <w:szCs w:val="24"/>
    </w:rPr>
  </w:style>
  <w:style w:type="paragraph" w:customStyle="1" w:styleId="Bullet1">
    <w:name w:val="Bullet 1"/>
    <w:basedOn w:val="Normal"/>
    <w:rsid w:val="00BB7E5D"/>
    <w:pPr>
      <w:numPr>
        <w:numId w:val="34"/>
      </w:numPr>
      <w:spacing w:after="0" w:line="240" w:lineRule="auto"/>
    </w:pPr>
    <w:rPr>
      <w:rFonts w:eastAsia="Times New Roman"/>
      <w:kern w:val="24"/>
      <w:szCs w:val="24"/>
      <w:lang w:eastAsia="en-AU"/>
    </w:rPr>
  </w:style>
  <w:style w:type="paragraph" w:customStyle="1" w:styleId="Bullet2">
    <w:name w:val="Bullet 2"/>
    <w:basedOn w:val="Bullet1"/>
    <w:rsid w:val="00BB7E5D"/>
    <w:pPr>
      <w:numPr>
        <w:numId w:val="35"/>
      </w:numPr>
    </w:pPr>
  </w:style>
  <w:style w:type="character" w:customStyle="1" w:styleId="Heading8Char">
    <w:name w:val="Heading 8 Char"/>
    <w:basedOn w:val="DefaultParagraphFont"/>
    <w:link w:val="Heading8"/>
    <w:uiPriority w:val="9"/>
    <w:semiHidden/>
    <w:rsid w:val="00BB7E5D"/>
    <w:rPr>
      <w:rFonts w:asciiTheme="majorHAnsi" w:eastAsiaTheme="majorEastAsia" w:hAnsiTheme="majorHAnsi" w:cstheme="majorBidi"/>
      <w:color w:val="404040" w:themeColor="text1" w:themeTint="BF"/>
      <w:sz w:val="20"/>
      <w:szCs w:val="20"/>
    </w:rPr>
  </w:style>
  <w:style w:type="character" w:customStyle="1" w:styleId="st1">
    <w:name w:val="st1"/>
    <w:basedOn w:val="DefaultParagraphFont"/>
    <w:rsid w:val="00B2627F"/>
  </w:style>
  <w:style w:type="character" w:styleId="Emphasis">
    <w:name w:val="Emphasis"/>
    <w:basedOn w:val="DefaultParagraphFont"/>
    <w:uiPriority w:val="20"/>
    <w:qFormat/>
    <w:rsid w:val="00700880"/>
    <w:rPr>
      <w:i/>
      <w:iCs/>
    </w:rPr>
  </w:style>
  <w:style w:type="paragraph" w:styleId="NormalWeb">
    <w:name w:val="Normal (Web)"/>
    <w:basedOn w:val="Normal"/>
    <w:uiPriority w:val="99"/>
    <w:unhideWhenUsed/>
    <w:rsid w:val="00BC7D9D"/>
    <w:pPr>
      <w:spacing w:before="100" w:beforeAutospacing="1" w:after="100" w:afterAutospacing="1" w:line="240" w:lineRule="auto"/>
    </w:pPr>
    <w:rPr>
      <w:rFonts w:ascii="Times New Roman" w:eastAsia="Times New Roman" w:hAnsi="Times New Roman"/>
      <w:sz w:val="24"/>
      <w:szCs w:val="24"/>
      <w:lang w:eastAsia="en-AU"/>
    </w:rPr>
  </w:style>
  <w:style w:type="paragraph" w:styleId="DocumentMap">
    <w:name w:val="Document Map"/>
    <w:basedOn w:val="Normal"/>
    <w:link w:val="DocumentMapChar"/>
    <w:uiPriority w:val="99"/>
    <w:semiHidden/>
    <w:unhideWhenUsed/>
    <w:rsid w:val="000E675C"/>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E675C"/>
    <w:rPr>
      <w:rFonts w:ascii="Tahoma" w:eastAsia="Cambr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415224">
      <w:bodyDiv w:val="1"/>
      <w:marLeft w:val="0"/>
      <w:marRight w:val="0"/>
      <w:marTop w:val="0"/>
      <w:marBottom w:val="0"/>
      <w:divBdr>
        <w:top w:val="none" w:sz="0" w:space="0" w:color="auto"/>
        <w:left w:val="none" w:sz="0" w:space="0" w:color="auto"/>
        <w:bottom w:val="none" w:sz="0" w:space="0" w:color="auto"/>
        <w:right w:val="none" w:sz="0" w:space="0" w:color="auto"/>
      </w:divBdr>
    </w:div>
    <w:div w:id="27879766">
      <w:bodyDiv w:val="1"/>
      <w:marLeft w:val="0"/>
      <w:marRight w:val="0"/>
      <w:marTop w:val="0"/>
      <w:marBottom w:val="0"/>
      <w:divBdr>
        <w:top w:val="none" w:sz="0" w:space="0" w:color="auto"/>
        <w:left w:val="none" w:sz="0" w:space="0" w:color="auto"/>
        <w:bottom w:val="none" w:sz="0" w:space="0" w:color="auto"/>
        <w:right w:val="none" w:sz="0" w:space="0" w:color="auto"/>
      </w:divBdr>
    </w:div>
    <w:div w:id="41366934">
      <w:bodyDiv w:val="1"/>
      <w:marLeft w:val="0"/>
      <w:marRight w:val="0"/>
      <w:marTop w:val="0"/>
      <w:marBottom w:val="0"/>
      <w:divBdr>
        <w:top w:val="none" w:sz="0" w:space="0" w:color="auto"/>
        <w:left w:val="none" w:sz="0" w:space="0" w:color="auto"/>
        <w:bottom w:val="none" w:sz="0" w:space="0" w:color="auto"/>
        <w:right w:val="none" w:sz="0" w:space="0" w:color="auto"/>
      </w:divBdr>
    </w:div>
    <w:div w:id="44987939">
      <w:bodyDiv w:val="1"/>
      <w:marLeft w:val="0"/>
      <w:marRight w:val="0"/>
      <w:marTop w:val="0"/>
      <w:marBottom w:val="0"/>
      <w:divBdr>
        <w:top w:val="none" w:sz="0" w:space="0" w:color="auto"/>
        <w:left w:val="none" w:sz="0" w:space="0" w:color="auto"/>
        <w:bottom w:val="none" w:sz="0" w:space="0" w:color="auto"/>
        <w:right w:val="none" w:sz="0" w:space="0" w:color="auto"/>
      </w:divBdr>
    </w:div>
    <w:div w:id="54278733">
      <w:bodyDiv w:val="1"/>
      <w:marLeft w:val="0"/>
      <w:marRight w:val="0"/>
      <w:marTop w:val="0"/>
      <w:marBottom w:val="0"/>
      <w:divBdr>
        <w:top w:val="none" w:sz="0" w:space="0" w:color="auto"/>
        <w:left w:val="none" w:sz="0" w:space="0" w:color="auto"/>
        <w:bottom w:val="none" w:sz="0" w:space="0" w:color="auto"/>
        <w:right w:val="none" w:sz="0" w:space="0" w:color="auto"/>
      </w:divBdr>
    </w:div>
    <w:div w:id="70006066">
      <w:bodyDiv w:val="1"/>
      <w:marLeft w:val="0"/>
      <w:marRight w:val="0"/>
      <w:marTop w:val="0"/>
      <w:marBottom w:val="0"/>
      <w:divBdr>
        <w:top w:val="none" w:sz="0" w:space="0" w:color="auto"/>
        <w:left w:val="none" w:sz="0" w:space="0" w:color="auto"/>
        <w:bottom w:val="none" w:sz="0" w:space="0" w:color="auto"/>
        <w:right w:val="none" w:sz="0" w:space="0" w:color="auto"/>
      </w:divBdr>
    </w:div>
    <w:div w:id="82338118">
      <w:bodyDiv w:val="1"/>
      <w:marLeft w:val="0"/>
      <w:marRight w:val="0"/>
      <w:marTop w:val="0"/>
      <w:marBottom w:val="0"/>
      <w:divBdr>
        <w:top w:val="none" w:sz="0" w:space="0" w:color="auto"/>
        <w:left w:val="none" w:sz="0" w:space="0" w:color="auto"/>
        <w:bottom w:val="none" w:sz="0" w:space="0" w:color="auto"/>
        <w:right w:val="none" w:sz="0" w:space="0" w:color="auto"/>
      </w:divBdr>
    </w:div>
    <w:div w:id="141309439">
      <w:bodyDiv w:val="1"/>
      <w:marLeft w:val="0"/>
      <w:marRight w:val="0"/>
      <w:marTop w:val="0"/>
      <w:marBottom w:val="0"/>
      <w:divBdr>
        <w:top w:val="none" w:sz="0" w:space="0" w:color="auto"/>
        <w:left w:val="none" w:sz="0" w:space="0" w:color="auto"/>
        <w:bottom w:val="none" w:sz="0" w:space="0" w:color="auto"/>
        <w:right w:val="none" w:sz="0" w:space="0" w:color="auto"/>
      </w:divBdr>
    </w:div>
    <w:div w:id="158009906">
      <w:bodyDiv w:val="1"/>
      <w:marLeft w:val="0"/>
      <w:marRight w:val="0"/>
      <w:marTop w:val="0"/>
      <w:marBottom w:val="0"/>
      <w:divBdr>
        <w:top w:val="none" w:sz="0" w:space="0" w:color="auto"/>
        <w:left w:val="none" w:sz="0" w:space="0" w:color="auto"/>
        <w:bottom w:val="none" w:sz="0" w:space="0" w:color="auto"/>
        <w:right w:val="none" w:sz="0" w:space="0" w:color="auto"/>
      </w:divBdr>
    </w:div>
    <w:div w:id="176963294">
      <w:bodyDiv w:val="1"/>
      <w:marLeft w:val="0"/>
      <w:marRight w:val="0"/>
      <w:marTop w:val="0"/>
      <w:marBottom w:val="0"/>
      <w:divBdr>
        <w:top w:val="none" w:sz="0" w:space="0" w:color="auto"/>
        <w:left w:val="none" w:sz="0" w:space="0" w:color="auto"/>
        <w:bottom w:val="none" w:sz="0" w:space="0" w:color="auto"/>
        <w:right w:val="none" w:sz="0" w:space="0" w:color="auto"/>
      </w:divBdr>
    </w:div>
    <w:div w:id="193352798">
      <w:bodyDiv w:val="1"/>
      <w:marLeft w:val="0"/>
      <w:marRight w:val="0"/>
      <w:marTop w:val="0"/>
      <w:marBottom w:val="0"/>
      <w:divBdr>
        <w:top w:val="none" w:sz="0" w:space="0" w:color="auto"/>
        <w:left w:val="none" w:sz="0" w:space="0" w:color="auto"/>
        <w:bottom w:val="none" w:sz="0" w:space="0" w:color="auto"/>
        <w:right w:val="none" w:sz="0" w:space="0" w:color="auto"/>
      </w:divBdr>
    </w:div>
    <w:div w:id="197819497">
      <w:bodyDiv w:val="1"/>
      <w:marLeft w:val="0"/>
      <w:marRight w:val="0"/>
      <w:marTop w:val="0"/>
      <w:marBottom w:val="0"/>
      <w:divBdr>
        <w:top w:val="none" w:sz="0" w:space="0" w:color="auto"/>
        <w:left w:val="none" w:sz="0" w:space="0" w:color="auto"/>
        <w:bottom w:val="none" w:sz="0" w:space="0" w:color="auto"/>
        <w:right w:val="none" w:sz="0" w:space="0" w:color="auto"/>
      </w:divBdr>
    </w:div>
    <w:div w:id="216402697">
      <w:bodyDiv w:val="1"/>
      <w:marLeft w:val="0"/>
      <w:marRight w:val="0"/>
      <w:marTop w:val="0"/>
      <w:marBottom w:val="0"/>
      <w:divBdr>
        <w:top w:val="none" w:sz="0" w:space="0" w:color="auto"/>
        <w:left w:val="none" w:sz="0" w:space="0" w:color="auto"/>
        <w:bottom w:val="none" w:sz="0" w:space="0" w:color="auto"/>
        <w:right w:val="none" w:sz="0" w:space="0" w:color="auto"/>
      </w:divBdr>
    </w:div>
    <w:div w:id="227809158">
      <w:bodyDiv w:val="1"/>
      <w:marLeft w:val="0"/>
      <w:marRight w:val="0"/>
      <w:marTop w:val="0"/>
      <w:marBottom w:val="0"/>
      <w:divBdr>
        <w:top w:val="none" w:sz="0" w:space="0" w:color="auto"/>
        <w:left w:val="none" w:sz="0" w:space="0" w:color="auto"/>
        <w:bottom w:val="none" w:sz="0" w:space="0" w:color="auto"/>
        <w:right w:val="none" w:sz="0" w:space="0" w:color="auto"/>
      </w:divBdr>
    </w:div>
    <w:div w:id="232591366">
      <w:bodyDiv w:val="1"/>
      <w:marLeft w:val="0"/>
      <w:marRight w:val="0"/>
      <w:marTop w:val="0"/>
      <w:marBottom w:val="0"/>
      <w:divBdr>
        <w:top w:val="none" w:sz="0" w:space="0" w:color="auto"/>
        <w:left w:val="none" w:sz="0" w:space="0" w:color="auto"/>
        <w:bottom w:val="none" w:sz="0" w:space="0" w:color="auto"/>
        <w:right w:val="none" w:sz="0" w:space="0" w:color="auto"/>
      </w:divBdr>
    </w:div>
    <w:div w:id="232667983">
      <w:bodyDiv w:val="1"/>
      <w:marLeft w:val="0"/>
      <w:marRight w:val="0"/>
      <w:marTop w:val="0"/>
      <w:marBottom w:val="0"/>
      <w:divBdr>
        <w:top w:val="none" w:sz="0" w:space="0" w:color="auto"/>
        <w:left w:val="none" w:sz="0" w:space="0" w:color="auto"/>
        <w:bottom w:val="none" w:sz="0" w:space="0" w:color="auto"/>
        <w:right w:val="none" w:sz="0" w:space="0" w:color="auto"/>
      </w:divBdr>
    </w:div>
    <w:div w:id="237401840">
      <w:bodyDiv w:val="1"/>
      <w:marLeft w:val="0"/>
      <w:marRight w:val="0"/>
      <w:marTop w:val="0"/>
      <w:marBottom w:val="0"/>
      <w:divBdr>
        <w:top w:val="none" w:sz="0" w:space="0" w:color="auto"/>
        <w:left w:val="none" w:sz="0" w:space="0" w:color="auto"/>
        <w:bottom w:val="none" w:sz="0" w:space="0" w:color="auto"/>
        <w:right w:val="none" w:sz="0" w:space="0" w:color="auto"/>
      </w:divBdr>
    </w:div>
    <w:div w:id="266548087">
      <w:bodyDiv w:val="1"/>
      <w:marLeft w:val="0"/>
      <w:marRight w:val="0"/>
      <w:marTop w:val="0"/>
      <w:marBottom w:val="0"/>
      <w:divBdr>
        <w:top w:val="none" w:sz="0" w:space="0" w:color="auto"/>
        <w:left w:val="none" w:sz="0" w:space="0" w:color="auto"/>
        <w:bottom w:val="none" w:sz="0" w:space="0" w:color="auto"/>
        <w:right w:val="none" w:sz="0" w:space="0" w:color="auto"/>
      </w:divBdr>
    </w:div>
    <w:div w:id="266810425">
      <w:bodyDiv w:val="1"/>
      <w:marLeft w:val="0"/>
      <w:marRight w:val="0"/>
      <w:marTop w:val="0"/>
      <w:marBottom w:val="0"/>
      <w:divBdr>
        <w:top w:val="none" w:sz="0" w:space="0" w:color="auto"/>
        <w:left w:val="none" w:sz="0" w:space="0" w:color="auto"/>
        <w:bottom w:val="none" w:sz="0" w:space="0" w:color="auto"/>
        <w:right w:val="none" w:sz="0" w:space="0" w:color="auto"/>
      </w:divBdr>
    </w:div>
    <w:div w:id="287012050">
      <w:bodyDiv w:val="1"/>
      <w:marLeft w:val="0"/>
      <w:marRight w:val="0"/>
      <w:marTop w:val="0"/>
      <w:marBottom w:val="0"/>
      <w:divBdr>
        <w:top w:val="none" w:sz="0" w:space="0" w:color="auto"/>
        <w:left w:val="none" w:sz="0" w:space="0" w:color="auto"/>
        <w:bottom w:val="none" w:sz="0" w:space="0" w:color="auto"/>
        <w:right w:val="none" w:sz="0" w:space="0" w:color="auto"/>
      </w:divBdr>
    </w:div>
    <w:div w:id="309285383">
      <w:bodyDiv w:val="1"/>
      <w:marLeft w:val="0"/>
      <w:marRight w:val="0"/>
      <w:marTop w:val="0"/>
      <w:marBottom w:val="0"/>
      <w:divBdr>
        <w:top w:val="none" w:sz="0" w:space="0" w:color="auto"/>
        <w:left w:val="none" w:sz="0" w:space="0" w:color="auto"/>
        <w:bottom w:val="none" w:sz="0" w:space="0" w:color="auto"/>
        <w:right w:val="none" w:sz="0" w:space="0" w:color="auto"/>
      </w:divBdr>
    </w:div>
    <w:div w:id="321129240">
      <w:bodyDiv w:val="1"/>
      <w:marLeft w:val="0"/>
      <w:marRight w:val="0"/>
      <w:marTop w:val="0"/>
      <w:marBottom w:val="0"/>
      <w:divBdr>
        <w:top w:val="none" w:sz="0" w:space="0" w:color="auto"/>
        <w:left w:val="none" w:sz="0" w:space="0" w:color="auto"/>
        <w:bottom w:val="none" w:sz="0" w:space="0" w:color="auto"/>
        <w:right w:val="none" w:sz="0" w:space="0" w:color="auto"/>
      </w:divBdr>
    </w:div>
    <w:div w:id="337075472">
      <w:bodyDiv w:val="1"/>
      <w:marLeft w:val="0"/>
      <w:marRight w:val="0"/>
      <w:marTop w:val="0"/>
      <w:marBottom w:val="0"/>
      <w:divBdr>
        <w:top w:val="none" w:sz="0" w:space="0" w:color="auto"/>
        <w:left w:val="none" w:sz="0" w:space="0" w:color="auto"/>
        <w:bottom w:val="none" w:sz="0" w:space="0" w:color="auto"/>
        <w:right w:val="none" w:sz="0" w:space="0" w:color="auto"/>
      </w:divBdr>
    </w:div>
    <w:div w:id="343174381">
      <w:bodyDiv w:val="1"/>
      <w:marLeft w:val="0"/>
      <w:marRight w:val="0"/>
      <w:marTop w:val="0"/>
      <w:marBottom w:val="0"/>
      <w:divBdr>
        <w:top w:val="none" w:sz="0" w:space="0" w:color="auto"/>
        <w:left w:val="none" w:sz="0" w:space="0" w:color="auto"/>
        <w:bottom w:val="none" w:sz="0" w:space="0" w:color="auto"/>
        <w:right w:val="none" w:sz="0" w:space="0" w:color="auto"/>
      </w:divBdr>
      <w:divsChild>
        <w:div w:id="132715712">
          <w:marLeft w:val="0"/>
          <w:marRight w:val="0"/>
          <w:marTop w:val="0"/>
          <w:marBottom w:val="0"/>
          <w:divBdr>
            <w:top w:val="none" w:sz="0" w:space="0" w:color="auto"/>
            <w:left w:val="none" w:sz="0" w:space="0" w:color="auto"/>
            <w:bottom w:val="none" w:sz="0" w:space="0" w:color="auto"/>
            <w:right w:val="none" w:sz="0" w:space="0" w:color="auto"/>
          </w:divBdr>
          <w:divsChild>
            <w:div w:id="1508397712">
              <w:marLeft w:val="0"/>
              <w:marRight w:val="0"/>
              <w:marTop w:val="0"/>
              <w:marBottom w:val="0"/>
              <w:divBdr>
                <w:top w:val="none" w:sz="0" w:space="0" w:color="auto"/>
                <w:left w:val="none" w:sz="0" w:space="0" w:color="auto"/>
                <w:bottom w:val="none" w:sz="0" w:space="0" w:color="auto"/>
                <w:right w:val="none" w:sz="0" w:space="0" w:color="auto"/>
              </w:divBdr>
              <w:divsChild>
                <w:div w:id="1381245857">
                  <w:marLeft w:val="0"/>
                  <w:marRight w:val="0"/>
                  <w:marTop w:val="0"/>
                  <w:marBottom w:val="0"/>
                  <w:divBdr>
                    <w:top w:val="none" w:sz="0" w:space="0" w:color="auto"/>
                    <w:left w:val="none" w:sz="0" w:space="0" w:color="auto"/>
                    <w:bottom w:val="none" w:sz="0" w:space="0" w:color="auto"/>
                    <w:right w:val="none" w:sz="0" w:space="0" w:color="auto"/>
                  </w:divBdr>
                  <w:divsChild>
                    <w:div w:id="118888819">
                      <w:marLeft w:val="0"/>
                      <w:marRight w:val="0"/>
                      <w:marTop w:val="0"/>
                      <w:marBottom w:val="0"/>
                      <w:divBdr>
                        <w:top w:val="none" w:sz="0" w:space="0" w:color="auto"/>
                        <w:left w:val="none" w:sz="0" w:space="0" w:color="auto"/>
                        <w:bottom w:val="none" w:sz="0" w:space="0" w:color="auto"/>
                        <w:right w:val="none" w:sz="0" w:space="0" w:color="auto"/>
                      </w:divBdr>
                      <w:divsChild>
                        <w:div w:id="1919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762498">
      <w:bodyDiv w:val="1"/>
      <w:marLeft w:val="0"/>
      <w:marRight w:val="0"/>
      <w:marTop w:val="0"/>
      <w:marBottom w:val="0"/>
      <w:divBdr>
        <w:top w:val="none" w:sz="0" w:space="0" w:color="auto"/>
        <w:left w:val="none" w:sz="0" w:space="0" w:color="auto"/>
        <w:bottom w:val="none" w:sz="0" w:space="0" w:color="auto"/>
        <w:right w:val="none" w:sz="0" w:space="0" w:color="auto"/>
      </w:divBdr>
    </w:div>
    <w:div w:id="385376756">
      <w:bodyDiv w:val="1"/>
      <w:marLeft w:val="0"/>
      <w:marRight w:val="0"/>
      <w:marTop w:val="0"/>
      <w:marBottom w:val="0"/>
      <w:divBdr>
        <w:top w:val="none" w:sz="0" w:space="0" w:color="auto"/>
        <w:left w:val="none" w:sz="0" w:space="0" w:color="auto"/>
        <w:bottom w:val="none" w:sz="0" w:space="0" w:color="auto"/>
        <w:right w:val="none" w:sz="0" w:space="0" w:color="auto"/>
      </w:divBdr>
    </w:div>
    <w:div w:id="389111132">
      <w:bodyDiv w:val="1"/>
      <w:marLeft w:val="0"/>
      <w:marRight w:val="0"/>
      <w:marTop w:val="0"/>
      <w:marBottom w:val="0"/>
      <w:divBdr>
        <w:top w:val="none" w:sz="0" w:space="0" w:color="auto"/>
        <w:left w:val="none" w:sz="0" w:space="0" w:color="auto"/>
        <w:bottom w:val="none" w:sz="0" w:space="0" w:color="auto"/>
        <w:right w:val="none" w:sz="0" w:space="0" w:color="auto"/>
      </w:divBdr>
    </w:div>
    <w:div w:id="445007851">
      <w:bodyDiv w:val="1"/>
      <w:marLeft w:val="0"/>
      <w:marRight w:val="0"/>
      <w:marTop w:val="0"/>
      <w:marBottom w:val="0"/>
      <w:divBdr>
        <w:top w:val="none" w:sz="0" w:space="0" w:color="auto"/>
        <w:left w:val="none" w:sz="0" w:space="0" w:color="auto"/>
        <w:bottom w:val="none" w:sz="0" w:space="0" w:color="auto"/>
        <w:right w:val="none" w:sz="0" w:space="0" w:color="auto"/>
      </w:divBdr>
    </w:div>
    <w:div w:id="460348362">
      <w:bodyDiv w:val="1"/>
      <w:marLeft w:val="0"/>
      <w:marRight w:val="0"/>
      <w:marTop w:val="0"/>
      <w:marBottom w:val="0"/>
      <w:divBdr>
        <w:top w:val="none" w:sz="0" w:space="0" w:color="auto"/>
        <w:left w:val="none" w:sz="0" w:space="0" w:color="auto"/>
        <w:bottom w:val="none" w:sz="0" w:space="0" w:color="auto"/>
        <w:right w:val="none" w:sz="0" w:space="0" w:color="auto"/>
      </w:divBdr>
    </w:div>
    <w:div w:id="528375752">
      <w:bodyDiv w:val="1"/>
      <w:marLeft w:val="0"/>
      <w:marRight w:val="0"/>
      <w:marTop w:val="0"/>
      <w:marBottom w:val="0"/>
      <w:divBdr>
        <w:top w:val="none" w:sz="0" w:space="0" w:color="auto"/>
        <w:left w:val="none" w:sz="0" w:space="0" w:color="auto"/>
        <w:bottom w:val="none" w:sz="0" w:space="0" w:color="auto"/>
        <w:right w:val="none" w:sz="0" w:space="0" w:color="auto"/>
      </w:divBdr>
    </w:div>
    <w:div w:id="557281600">
      <w:bodyDiv w:val="1"/>
      <w:marLeft w:val="0"/>
      <w:marRight w:val="0"/>
      <w:marTop w:val="0"/>
      <w:marBottom w:val="0"/>
      <w:divBdr>
        <w:top w:val="none" w:sz="0" w:space="0" w:color="auto"/>
        <w:left w:val="none" w:sz="0" w:space="0" w:color="auto"/>
        <w:bottom w:val="none" w:sz="0" w:space="0" w:color="auto"/>
        <w:right w:val="none" w:sz="0" w:space="0" w:color="auto"/>
      </w:divBdr>
    </w:div>
    <w:div w:id="572277623">
      <w:bodyDiv w:val="1"/>
      <w:marLeft w:val="0"/>
      <w:marRight w:val="0"/>
      <w:marTop w:val="0"/>
      <w:marBottom w:val="0"/>
      <w:divBdr>
        <w:top w:val="none" w:sz="0" w:space="0" w:color="auto"/>
        <w:left w:val="none" w:sz="0" w:space="0" w:color="auto"/>
        <w:bottom w:val="none" w:sz="0" w:space="0" w:color="auto"/>
        <w:right w:val="none" w:sz="0" w:space="0" w:color="auto"/>
      </w:divBdr>
    </w:div>
    <w:div w:id="597106332">
      <w:bodyDiv w:val="1"/>
      <w:marLeft w:val="0"/>
      <w:marRight w:val="0"/>
      <w:marTop w:val="0"/>
      <w:marBottom w:val="0"/>
      <w:divBdr>
        <w:top w:val="none" w:sz="0" w:space="0" w:color="auto"/>
        <w:left w:val="none" w:sz="0" w:space="0" w:color="auto"/>
        <w:bottom w:val="none" w:sz="0" w:space="0" w:color="auto"/>
        <w:right w:val="none" w:sz="0" w:space="0" w:color="auto"/>
      </w:divBdr>
    </w:div>
    <w:div w:id="604844249">
      <w:bodyDiv w:val="1"/>
      <w:marLeft w:val="0"/>
      <w:marRight w:val="0"/>
      <w:marTop w:val="0"/>
      <w:marBottom w:val="0"/>
      <w:divBdr>
        <w:top w:val="none" w:sz="0" w:space="0" w:color="auto"/>
        <w:left w:val="none" w:sz="0" w:space="0" w:color="auto"/>
        <w:bottom w:val="none" w:sz="0" w:space="0" w:color="auto"/>
        <w:right w:val="none" w:sz="0" w:space="0" w:color="auto"/>
      </w:divBdr>
    </w:div>
    <w:div w:id="610169662">
      <w:bodyDiv w:val="1"/>
      <w:marLeft w:val="0"/>
      <w:marRight w:val="0"/>
      <w:marTop w:val="0"/>
      <w:marBottom w:val="0"/>
      <w:divBdr>
        <w:top w:val="none" w:sz="0" w:space="0" w:color="auto"/>
        <w:left w:val="none" w:sz="0" w:space="0" w:color="auto"/>
        <w:bottom w:val="none" w:sz="0" w:space="0" w:color="auto"/>
        <w:right w:val="none" w:sz="0" w:space="0" w:color="auto"/>
      </w:divBdr>
    </w:div>
    <w:div w:id="636187250">
      <w:bodyDiv w:val="1"/>
      <w:marLeft w:val="0"/>
      <w:marRight w:val="0"/>
      <w:marTop w:val="0"/>
      <w:marBottom w:val="0"/>
      <w:divBdr>
        <w:top w:val="none" w:sz="0" w:space="0" w:color="auto"/>
        <w:left w:val="none" w:sz="0" w:space="0" w:color="auto"/>
        <w:bottom w:val="none" w:sz="0" w:space="0" w:color="auto"/>
        <w:right w:val="none" w:sz="0" w:space="0" w:color="auto"/>
      </w:divBdr>
    </w:div>
    <w:div w:id="647318197">
      <w:bodyDiv w:val="1"/>
      <w:marLeft w:val="0"/>
      <w:marRight w:val="0"/>
      <w:marTop w:val="0"/>
      <w:marBottom w:val="0"/>
      <w:divBdr>
        <w:top w:val="none" w:sz="0" w:space="0" w:color="auto"/>
        <w:left w:val="none" w:sz="0" w:space="0" w:color="auto"/>
        <w:bottom w:val="none" w:sz="0" w:space="0" w:color="auto"/>
        <w:right w:val="none" w:sz="0" w:space="0" w:color="auto"/>
      </w:divBdr>
    </w:div>
    <w:div w:id="662011437">
      <w:bodyDiv w:val="1"/>
      <w:marLeft w:val="0"/>
      <w:marRight w:val="0"/>
      <w:marTop w:val="0"/>
      <w:marBottom w:val="0"/>
      <w:divBdr>
        <w:top w:val="none" w:sz="0" w:space="0" w:color="auto"/>
        <w:left w:val="none" w:sz="0" w:space="0" w:color="auto"/>
        <w:bottom w:val="none" w:sz="0" w:space="0" w:color="auto"/>
        <w:right w:val="none" w:sz="0" w:space="0" w:color="auto"/>
      </w:divBdr>
    </w:div>
    <w:div w:id="684213880">
      <w:bodyDiv w:val="1"/>
      <w:marLeft w:val="0"/>
      <w:marRight w:val="0"/>
      <w:marTop w:val="0"/>
      <w:marBottom w:val="0"/>
      <w:divBdr>
        <w:top w:val="none" w:sz="0" w:space="0" w:color="auto"/>
        <w:left w:val="none" w:sz="0" w:space="0" w:color="auto"/>
        <w:bottom w:val="none" w:sz="0" w:space="0" w:color="auto"/>
        <w:right w:val="none" w:sz="0" w:space="0" w:color="auto"/>
      </w:divBdr>
    </w:div>
    <w:div w:id="687878148">
      <w:bodyDiv w:val="1"/>
      <w:marLeft w:val="0"/>
      <w:marRight w:val="0"/>
      <w:marTop w:val="0"/>
      <w:marBottom w:val="0"/>
      <w:divBdr>
        <w:top w:val="none" w:sz="0" w:space="0" w:color="auto"/>
        <w:left w:val="none" w:sz="0" w:space="0" w:color="auto"/>
        <w:bottom w:val="none" w:sz="0" w:space="0" w:color="auto"/>
        <w:right w:val="none" w:sz="0" w:space="0" w:color="auto"/>
      </w:divBdr>
    </w:div>
    <w:div w:id="736129095">
      <w:bodyDiv w:val="1"/>
      <w:marLeft w:val="0"/>
      <w:marRight w:val="0"/>
      <w:marTop w:val="0"/>
      <w:marBottom w:val="0"/>
      <w:divBdr>
        <w:top w:val="none" w:sz="0" w:space="0" w:color="auto"/>
        <w:left w:val="none" w:sz="0" w:space="0" w:color="auto"/>
        <w:bottom w:val="none" w:sz="0" w:space="0" w:color="auto"/>
        <w:right w:val="none" w:sz="0" w:space="0" w:color="auto"/>
      </w:divBdr>
    </w:div>
    <w:div w:id="757411418">
      <w:bodyDiv w:val="1"/>
      <w:marLeft w:val="0"/>
      <w:marRight w:val="0"/>
      <w:marTop w:val="0"/>
      <w:marBottom w:val="0"/>
      <w:divBdr>
        <w:top w:val="none" w:sz="0" w:space="0" w:color="auto"/>
        <w:left w:val="none" w:sz="0" w:space="0" w:color="auto"/>
        <w:bottom w:val="none" w:sz="0" w:space="0" w:color="auto"/>
        <w:right w:val="none" w:sz="0" w:space="0" w:color="auto"/>
      </w:divBdr>
    </w:div>
    <w:div w:id="761797494">
      <w:bodyDiv w:val="1"/>
      <w:marLeft w:val="0"/>
      <w:marRight w:val="0"/>
      <w:marTop w:val="0"/>
      <w:marBottom w:val="0"/>
      <w:divBdr>
        <w:top w:val="none" w:sz="0" w:space="0" w:color="auto"/>
        <w:left w:val="none" w:sz="0" w:space="0" w:color="auto"/>
        <w:bottom w:val="none" w:sz="0" w:space="0" w:color="auto"/>
        <w:right w:val="none" w:sz="0" w:space="0" w:color="auto"/>
      </w:divBdr>
    </w:div>
    <w:div w:id="779030380">
      <w:bodyDiv w:val="1"/>
      <w:marLeft w:val="0"/>
      <w:marRight w:val="0"/>
      <w:marTop w:val="0"/>
      <w:marBottom w:val="0"/>
      <w:divBdr>
        <w:top w:val="none" w:sz="0" w:space="0" w:color="auto"/>
        <w:left w:val="none" w:sz="0" w:space="0" w:color="auto"/>
        <w:bottom w:val="none" w:sz="0" w:space="0" w:color="auto"/>
        <w:right w:val="none" w:sz="0" w:space="0" w:color="auto"/>
      </w:divBdr>
    </w:div>
    <w:div w:id="782698593">
      <w:bodyDiv w:val="1"/>
      <w:marLeft w:val="0"/>
      <w:marRight w:val="0"/>
      <w:marTop w:val="0"/>
      <w:marBottom w:val="0"/>
      <w:divBdr>
        <w:top w:val="none" w:sz="0" w:space="0" w:color="auto"/>
        <w:left w:val="none" w:sz="0" w:space="0" w:color="auto"/>
        <w:bottom w:val="none" w:sz="0" w:space="0" w:color="auto"/>
        <w:right w:val="none" w:sz="0" w:space="0" w:color="auto"/>
      </w:divBdr>
    </w:div>
    <w:div w:id="800805040">
      <w:bodyDiv w:val="1"/>
      <w:marLeft w:val="0"/>
      <w:marRight w:val="0"/>
      <w:marTop w:val="0"/>
      <w:marBottom w:val="0"/>
      <w:divBdr>
        <w:top w:val="none" w:sz="0" w:space="0" w:color="auto"/>
        <w:left w:val="none" w:sz="0" w:space="0" w:color="auto"/>
        <w:bottom w:val="none" w:sz="0" w:space="0" w:color="auto"/>
        <w:right w:val="none" w:sz="0" w:space="0" w:color="auto"/>
      </w:divBdr>
    </w:div>
    <w:div w:id="816147291">
      <w:bodyDiv w:val="1"/>
      <w:marLeft w:val="0"/>
      <w:marRight w:val="0"/>
      <w:marTop w:val="0"/>
      <w:marBottom w:val="0"/>
      <w:divBdr>
        <w:top w:val="none" w:sz="0" w:space="0" w:color="auto"/>
        <w:left w:val="none" w:sz="0" w:space="0" w:color="auto"/>
        <w:bottom w:val="none" w:sz="0" w:space="0" w:color="auto"/>
        <w:right w:val="none" w:sz="0" w:space="0" w:color="auto"/>
      </w:divBdr>
    </w:div>
    <w:div w:id="826283989">
      <w:bodyDiv w:val="1"/>
      <w:marLeft w:val="0"/>
      <w:marRight w:val="0"/>
      <w:marTop w:val="0"/>
      <w:marBottom w:val="0"/>
      <w:divBdr>
        <w:top w:val="none" w:sz="0" w:space="0" w:color="auto"/>
        <w:left w:val="none" w:sz="0" w:space="0" w:color="auto"/>
        <w:bottom w:val="none" w:sz="0" w:space="0" w:color="auto"/>
        <w:right w:val="none" w:sz="0" w:space="0" w:color="auto"/>
      </w:divBdr>
    </w:div>
    <w:div w:id="842664769">
      <w:bodyDiv w:val="1"/>
      <w:marLeft w:val="0"/>
      <w:marRight w:val="0"/>
      <w:marTop w:val="0"/>
      <w:marBottom w:val="0"/>
      <w:divBdr>
        <w:top w:val="none" w:sz="0" w:space="0" w:color="auto"/>
        <w:left w:val="none" w:sz="0" w:space="0" w:color="auto"/>
        <w:bottom w:val="none" w:sz="0" w:space="0" w:color="auto"/>
        <w:right w:val="none" w:sz="0" w:space="0" w:color="auto"/>
      </w:divBdr>
    </w:div>
    <w:div w:id="863245238">
      <w:bodyDiv w:val="1"/>
      <w:marLeft w:val="0"/>
      <w:marRight w:val="0"/>
      <w:marTop w:val="0"/>
      <w:marBottom w:val="0"/>
      <w:divBdr>
        <w:top w:val="none" w:sz="0" w:space="0" w:color="auto"/>
        <w:left w:val="none" w:sz="0" w:space="0" w:color="auto"/>
        <w:bottom w:val="none" w:sz="0" w:space="0" w:color="auto"/>
        <w:right w:val="none" w:sz="0" w:space="0" w:color="auto"/>
      </w:divBdr>
    </w:div>
    <w:div w:id="893157120">
      <w:bodyDiv w:val="1"/>
      <w:marLeft w:val="0"/>
      <w:marRight w:val="0"/>
      <w:marTop w:val="0"/>
      <w:marBottom w:val="0"/>
      <w:divBdr>
        <w:top w:val="none" w:sz="0" w:space="0" w:color="auto"/>
        <w:left w:val="none" w:sz="0" w:space="0" w:color="auto"/>
        <w:bottom w:val="none" w:sz="0" w:space="0" w:color="auto"/>
        <w:right w:val="none" w:sz="0" w:space="0" w:color="auto"/>
      </w:divBdr>
    </w:div>
    <w:div w:id="934822816">
      <w:bodyDiv w:val="1"/>
      <w:marLeft w:val="0"/>
      <w:marRight w:val="0"/>
      <w:marTop w:val="0"/>
      <w:marBottom w:val="0"/>
      <w:divBdr>
        <w:top w:val="none" w:sz="0" w:space="0" w:color="auto"/>
        <w:left w:val="none" w:sz="0" w:space="0" w:color="auto"/>
        <w:bottom w:val="none" w:sz="0" w:space="0" w:color="auto"/>
        <w:right w:val="none" w:sz="0" w:space="0" w:color="auto"/>
      </w:divBdr>
    </w:div>
    <w:div w:id="961351869">
      <w:bodyDiv w:val="1"/>
      <w:marLeft w:val="0"/>
      <w:marRight w:val="0"/>
      <w:marTop w:val="0"/>
      <w:marBottom w:val="0"/>
      <w:divBdr>
        <w:top w:val="none" w:sz="0" w:space="0" w:color="auto"/>
        <w:left w:val="none" w:sz="0" w:space="0" w:color="auto"/>
        <w:bottom w:val="none" w:sz="0" w:space="0" w:color="auto"/>
        <w:right w:val="none" w:sz="0" w:space="0" w:color="auto"/>
      </w:divBdr>
    </w:div>
    <w:div w:id="995958732">
      <w:bodyDiv w:val="1"/>
      <w:marLeft w:val="0"/>
      <w:marRight w:val="0"/>
      <w:marTop w:val="0"/>
      <w:marBottom w:val="0"/>
      <w:divBdr>
        <w:top w:val="none" w:sz="0" w:space="0" w:color="auto"/>
        <w:left w:val="none" w:sz="0" w:space="0" w:color="auto"/>
        <w:bottom w:val="none" w:sz="0" w:space="0" w:color="auto"/>
        <w:right w:val="none" w:sz="0" w:space="0" w:color="auto"/>
      </w:divBdr>
    </w:div>
    <w:div w:id="998849865">
      <w:bodyDiv w:val="1"/>
      <w:marLeft w:val="0"/>
      <w:marRight w:val="0"/>
      <w:marTop w:val="0"/>
      <w:marBottom w:val="0"/>
      <w:divBdr>
        <w:top w:val="none" w:sz="0" w:space="0" w:color="auto"/>
        <w:left w:val="none" w:sz="0" w:space="0" w:color="auto"/>
        <w:bottom w:val="none" w:sz="0" w:space="0" w:color="auto"/>
        <w:right w:val="none" w:sz="0" w:space="0" w:color="auto"/>
      </w:divBdr>
    </w:div>
    <w:div w:id="1003238558">
      <w:bodyDiv w:val="1"/>
      <w:marLeft w:val="0"/>
      <w:marRight w:val="0"/>
      <w:marTop w:val="0"/>
      <w:marBottom w:val="0"/>
      <w:divBdr>
        <w:top w:val="none" w:sz="0" w:space="0" w:color="auto"/>
        <w:left w:val="none" w:sz="0" w:space="0" w:color="auto"/>
        <w:bottom w:val="none" w:sz="0" w:space="0" w:color="auto"/>
        <w:right w:val="none" w:sz="0" w:space="0" w:color="auto"/>
      </w:divBdr>
    </w:div>
    <w:div w:id="1003318104">
      <w:bodyDiv w:val="1"/>
      <w:marLeft w:val="0"/>
      <w:marRight w:val="0"/>
      <w:marTop w:val="0"/>
      <w:marBottom w:val="0"/>
      <w:divBdr>
        <w:top w:val="none" w:sz="0" w:space="0" w:color="auto"/>
        <w:left w:val="none" w:sz="0" w:space="0" w:color="auto"/>
        <w:bottom w:val="none" w:sz="0" w:space="0" w:color="auto"/>
        <w:right w:val="none" w:sz="0" w:space="0" w:color="auto"/>
      </w:divBdr>
    </w:div>
    <w:div w:id="1043794762">
      <w:bodyDiv w:val="1"/>
      <w:marLeft w:val="0"/>
      <w:marRight w:val="0"/>
      <w:marTop w:val="0"/>
      <w:marBottom w:val="0"/>
      <w:divBdr>
        <w:top w:val="none" w:sz="0" w:space="0" w:color="auto"/>
        <w:left w:val="none" w:sz="0" w:space="0" w:color="auto"/>
        <w:bottom w:val="none" w:sz="0" w:space="0" w:color="auto"/>
        <w:right w:val="none" w:sz="0" w:space="0" w:color="auto"/>
      </w:divBdr>
    </w:div>
    <w:div w:id="1064719518">
      <w:bodyDiv w:val="1"/>
      <w:marLeft w:val="0"/>
      <w:marRight w:val="0"/>
      <w:marTop w:val="0"/>
      <w:marBottom w:val="0"/>
      <w:divBdr>
        <w:top w:val="none" w:sz="0" w:space="0" w:color="auto"/>
        <w:left w:val="none" w:sz="0" w:space="0" w:color="auto"/>
        <w:bottom w:val="none" w:sz="0" w:space="0" w:color="auto"/>
        <w:right w:val="none" w:sz="0" w:space="0" w:color="auto"/>
      </w:divBdr>
    </w:div>
    <w:div w:id="1072317651">
      <w:bodyDiv w:val="1"/>
      <w:marLeft w:val="0"/>
      <w:marRight w:val="0"/>
      <w:marTop w:val="0"/>
      <w:marBottom w:val="0"/>
      <w:divBdr>
        <w:top w:val="none" w:sz="0" w:space="0" w:color="auto"/>
        <w:left w:val="none" w:sz="0" w:space="0" w:color="auto"/>
        <w:bottom w:val="none" w:sz="0" w:space="0" w:color="auto"/>
        <w:right w:val="none" w:sz="0" w:space="0" w:color="auto"/>
      </w:divBdr>
    </w:div>
    <w:div w:id="1117025531">
      <w:bodyDiv w:val="1"/>
      <w:marLeft w:val="0"/>
      <w:marRight w:val="0"/>
      <w:marTop w:val="0"/>
      <w:marBottom w:val="0"/>
      <w:divBdr>
        <w:top w:val="none" w:sz="0" w:space="0" w:color="auto"/>
        <w:left w:val="none" w:sz="0" w:space="0" w:color="auto"/>
        <w:bottom w:val="none" w:sz="0" w:space="0" w:color="auto"/>
        <w:right w:val="none" w:sz="0" w:space="0" w:color="auto"/>
      </w:divBdr>
    </w:div>
    <w:div w:id="1117258191">
      <w:bodyDiv w:val="1"/>
      <w:marLeft w:val="0"/>
      <w:marRight w:val="0"/>
      <w:marTop w:val="0"/>
      <w:marBottom w:val="0"/>
      <w:divBdr>
        <w:top w:val="none" w:sz="0" w:space="0" w:color="auto"/>
        <w:left w:val="none" w:sz="0" w:space="0" w:color="auto"/>
        <w:bottom w:val="none" w:sz="0" w:space="0" w:color="auto"/>
        <w:right w:val="none" w:sz="0" w:space="0" w:color="auto"/>
      </w:divBdr>
    </w:div>
    <w:div w:id="1120803284">
      <w:bodyDiv w:val="1"/>
      <w:marLeft w:val="0"/>
      <w:marRight w:val="0"/>
      <w:marTop w:val="0"/>
      <w:marBottom w:val="0"/>
      <w:divBdr>
        <w:top w:val="none" w:sz="0" w:space="0" w:color="auto"/>
        <w:left w:val="none" w:sz="0" w:space="0" w:color="auto"/>
        <w:bottom w:val="none" w:sz="0" w:space="0" w:color="auto"/>
        <w:right w:val="none" w:sz="0" w:space="0" w:color="auto"/>
      </w:divBdr>
    </w:div>
    <w:div w:id="1139496811">
      <w:bodyDiv w:val="1"/>
      <w:marLeft w:val="0"/>
      <w:marRight w:val="0"/>
      <w:marTop w:val="0"/>
      <w:marBottom w:val="0"/>
      <w:divBdr>
        <w:top w:val="none" w:sz="0" w:space="0" w:color="auto"/>
        <w:left w:val="none" w:sz="0" w:space="0" w:color="auto"/>
        <w:bottom w:val="none" w:sz="0" w:space="0" w:color="auto"/>
        <w:right w:val="none" w:sz="0" w:space="0" w:color="auto"/>
      </w:divBdr>
    </w:div>
    <w:div w:id="1175875424">
      <w:bodyDiv w:val="1"/>
      <w:marLeft w:val="0"/>
      <w:marRight w:val="0"/>
      <w:marTop w:val="0"/>
      <w:marBottom w:val="0"/>
      <w:divBdr>
        <w:top w:val="none" w:sz="0" w:space="0" w:color="auto"/>
        <w:left w:val="none" w:sz="0" w:space="0" w:color="auto"/>
        <w:bottom w:val="none" w:sz="0" w:space="0" w:color="auto"/>
        <w:right w:val="none" w:sz="0" w:space="0" w:color="auto"/>
      </w:divBdr>
    </w:div>
    <w:div w:id="1180003035">
      <w:bodyDiv w:val="1"/>
      <w:marLeft w:val="0"/>
      <w:marRight w:val="0"/>
      <w:marTop w:val="0"/>
      <w:marBottom w:val="0"/>
      <w:divBdr>
        <w:top w:val="none" w:sz="0" w:space="0" w:color="auto"/>
        <w:left w:val="none" w:sz="0" w:space="0" w:color="auto"/>
        <w:bottom w:val="none" w:sz="0" w:space="0" w:color="auto"/>
        <w:right w:val="none" w:sz="0" w:space="0" w:color="auto"/>
      </w:divBdr>
    </w:div>
    <w:div w:id="1225213590">
      <w:bodyDiv w:val="1"/>
      <w:marLeft w:val="0"/>
      <w:marRight w:val="0"/>
      <w:marTop w:val="0"/>
      <w:marBottom w:val="0"/>
      <w:divBdr>
        <w:top w:val="none" w:sz="0" w:space="0" w:color="auto"/>
        <w:left w:val="none" w:sz="0" w:space="0" w:color="auto"/>
        <w:bottom w:val="none" w:sz="0" w:space="0" w:color="auto"/>
        <w:right w:val="none" w:sz="0" w:space="0" w:color="auto"/>
      </w:divBdr>
    </w:div>
    <w:div w:id="1246109764">
      <w:bodyDiv w:val="1"/>
      <w:marLeft w:val="0"/>
      <w:marRight w:val="0"/>
      <w:marTop w:val="0"/>
      <w:marBottom w:val="0"/>
      <w:divBdr>
        <w:top w:val="none" w:sz="0" w:space="0" w:color="auto"/>
        <w:left w:val="none" w:sz="0" w:space="0" w:color="auto"/>
        <w:bottom w:val="none" w:sz="0" w:space="0" w:color="auto"/>
        <w:right w:val="none" w:sz="0" w:space="0" w:color="auto"/>
      </w:divBdr>
    </w:div>
    <w:div w:id="1306005795">
      <w:bodyDiv w:val="1"/>
      <w:marLeft w:val="0"/>
      <w:marRight w:val="0"/>
      <w:marTop w:val="0"/>
      <w:marBottom w:val="0"/>
      <w:divBdr>
        <w:top w:val="none" w:sz="0" w:space="0" w:color="auto"/>
        <w:left w:val="none" w:sz="0" w:space="0" w:color="auto"/>
        <w:bottom w:val="none" w:sz="0" w:space="0" w:color="auto"/>
        <w:right w:val="none" w:sz="0" w:space="0" w:color="auto"/>
      </w:divBdr>
    </w:div>
    <w:div w:id="1314915440">
      <w:bodyDiv w:val="1"/>
      <w:marLeft w:val="0"/>
      <w:marRight w:val="0"/>
      <w:marTop w:val="0"/>
      <w:marBottom w:val="0"/>
      <w:divBdr>
        <w:top w:val="none" w:sz="0" w:space="0" w:color="auto"/>
        <w:left w:val="none" w:sz="0" w:space="0" w:color="auto"/>
        <w:bottom w:val="none" w:sz="0" w:space="0" w:color="auto"/>
        <w:right w:val="none" w:sz="0" w:space="0" w:color="auto"/>
      </w:divBdr>
    </w:div>
    <w:div w:id="1324241863">
      <w:bodyDiv w:val="1"/>
      <w:marLeft w:val="0"/>
      <w:marRight w:val="0"/>
      <w:marTop w:val="0"/>
      <w:marBottom w:val="0"/>
      <w:divBdr>
        <w:top w:val="none" w:sz="0" w:space="0" w:color="auto"/>
        <w:left w:val="none" w:sz="0" w:space="0" w:color="auto"/>
        <w:bottom w:val="none" w:sz="0" w:space="0" w:color="auto"/>
        <w:right w:val="none" w:sz="0" w:space="0" w:color="auto"/>
      </w:divBdr>
    </w:div>
    <w:div w:id="1335914629">
      <w:bodyDiv w:val="1"/>
      <w:marLeft w:val="0"/>
      <w:marRight w:val="0"/>
      <w:marTop w:val="0"/>
      <w:marBottom w:val="0"/>
      <w:divBdr>
        <w:top w:val="none" w:sz="0" w:space="0" w:color="auto"/>
        <w:left w:val="none" w:sz="0" w:space="0" w:color="auto"/>
        <w:bottom w:val="none" w:sz="0" w:space="0" w:color="auto"/>
        <w:right w:val="none" w:sz="0" w:space="0" w:color="auto"/>
      </w:divBdr>
    </w:div>
    <w:div w:id="1343632575">
      <w:bodyDiv w:val="1"/>
      <w:marLeft w:val="0"/>
      <w:marRight w:val="0"/>
      <w:marTop w:val="0"/>
      <w:marBottom w:val="0"/>
      <w:divBdr>
        <w:top w:val="none" w:sz="0" w:space="0" w:color="auto"/>
        <w:left w:val="none" w:sz="0" w:space="0" w:color="auto"/>
        <w:bottom w:val="none" w:sz="0" w:space="0" w:color="auto"/>
        <w:right w:val="none" w:sz="0" w:space="0" w:color="auto"/>
      </w:divBdr>
    </w:div>
    <w:div w:id="1401711257">
      <w:bodyDiv w:val="1"/>
      <w:marLeft w:val="0"/>
      <w:marRight w:val="0"/>
      <w:marTop w:val="0"/>
      <w:marBottom w:val="0"/>
      <w:divBdr>
        <w:top w:val="none" w:sz="0" w:space="0" w:color="auto"/>
        <w:left w:val="none" w:sz="0" w:space="0" w:color="auto"/>
        <w:bottom w:val="none" w:sz="0" w:space="0" w:color="auto"/>
        <w:right w:val="none" w:sz="0" w:space="0" w:color="auto"/>
      </w:divBdr>
    </w:div>
    <w:div w:id="1415476098">
      <w:bodyDiv w:val="1"/>
      <w:marLeft w:val="0"/>
      <w:marRight w:val="0"/>
      <w:marTop w:val="0"/>
      <w:marBottom w:val="0"/>
      <w:divBdr>
        <w:top w:val="none" w:sz="0" w:space="0" w:color="auto"/>
        <w:left w:val="none" w:sz="0" w:space="0" w:color="auto"/>
        <w:bottom w:val="none" w:sz="0" w:space="0" w:color="auto"/>
        <w:right w:val="none" w:sz="0" w:space="0" w:color="auto"/>
      </w:divBdr>
    </w:div>
    <w:div w:id="1424758527">
      <w:bodyDiv w:val="1"/>
      <w:marLeft w:val="0"/>
      <w:marRight w:val="0"/>
      <w:marTop w:val="0"/>
      <w:marBottom w:val="0"/>
      <w:divBdr>
        <w:top w:val="none" w:sz="0" w:space="0" w:color="auto"/>
        <w:left w:val="none" w:sz="0" w:space="0" w:color="auto"/>
        <w:bottom w:val="none" w:sz="0" w:space="0" w:color="auto"/>
        <w:right w:val="none" w:sz="0" w:space="0" w:color="auto"/>
      </w:divBdr>
    </w:div>
    <w:div w:id="1440755727">
      <w:bodyDiv w:val="1"/>
      <w:marLeft w:val="0"/>
      <w:marRight w:val="0"/>
      <w:marTop w:val="0"/>
      <w:marBottom w:val="0"/>
      <w:divBdr>
        <w:top w:val="none" w:sz="0" w:space="0" w:color="auto"/>
        <w:left w:val="none" w:sz="0" w:space="0" w:color="auto"/>
        <w:bottom w:val="none" w:sz="0" w:space="0" w:color="auto"/>
        <w:right w:val="none" w:sz="0" w:space="0" w:color="auto"/>
      </w:divBdr>
    </w:div>
    <w:div w:id="1445686333">
      <w:bodyDiv w:val="1"/>
      <w:marLeft w:val="0"/>
      <w:marRight w:val="0"/>
      <w:marTop w:val="0"/>
      <w:marBottom w:val="0"/>
      <w:divBdr>
        <w:top w:val="none" w:sz="0" w:space="0" w:color="auto"/>
        <w:left w:val="none" w:sz="0" w:space="0" w:color="auto"/>
        <w:bottom w:val="none" w:sz="0" w:space="0" w:color="auto"/>
        <w:right w:val="none" w:sz="0" w:space="0" w:color="auto"/>
      </w:divBdr>
    </w:div>
    <w:div w:id="1450590245">
      <w:bodyDiv w:val="1"/>
      <w:marLeft w:val="0"/>
      <w:marRight w:val="0"/>
      <w:marTop w:val="0"/>
      <w:marBottom w:val="0"/>
      <w:divBdr>
        <w:top w:val="none" w:sz="0" w:space="0" w:color="auto"/>
        <w:left w:val="none" w:sz="0" w:space="0" w:color="auto"/>
        <w:bottom w:val="none" w:sz="0" w:space="0" w:color="auto"/>
        <w:right w:val="none" w:sz="0" w:space="0" w:color="auto"/>
      </w:divBdr>
    </w:div>
    <w:div w:id="1451313496">
      <w:bodyDiv w:val="1"/>
      <w:marLeft w:val="0"/>
      <w:marRight w:val="0"/>
      <w:marTop w:val="0"/>
      <w:marBottom w:val="0"/>
      <w:divBdr>
        <w:top w:val="none" w:sz="0" w:space="0" w:color="auto"/>
        <w:left w:val="none" w:sz="0" w:space="0" w:color="auto"/>
        <w:bottom w:val="none" w:sz="0" w:space="0" w:color="auto"/>
        <w:right w:val="none" w:sz="0" w:space="0" w:color="auto"/>
      </w:divBdr>
    </w:div>
    <w:div w:id="1472554967">
      <w:bodyDiv w:val="1"/>
      <w:marLeft w:val="0"/>
      <w:marRight w:val="0"/>
      <w:marTop w:val="0"/>
      <w:marBottom w:val="0"/>
      <w:divBdr>
        <w:top w:val="none" w:sz="0" w:space="0" w:color="auto"/>
        <w:left w:val="none" w:sz="0" w:space="0" w:color="auto"/>
        <w:bottom w:val="none" w:sz="0" w:space="0" w:color="auto"/>
        <w:right w:val="none" w:sz="0" w:space="0" w:color="auto"/>
      </w:divBdr>
      <w:divsChild>
        <w:div w:id="644436533">
          <w:marLeft w:val="0"/>
          <w:marRight w:val="0"/>
          <w:marTop w:val="0"/>
          <w:marBottom w:val="0"/>
          <w:divBdr>
            <w:top w:val="none" w:sz="0" w:space="0" w:color="auto"/>
            <w:left w:val="none" w:sz="0" w:space="0" w:color="auto"/>
            <w:bottom w:val="none" w:sz="0" w:space="0" w:color="auto"/>
            <w:right w:val="none" w:sz="0" w:space="0" w:color="auto"/>
          </w:divBdr>
          <w:divsChild>
            <w:div w:id="1503158853">
              <w:marLeft w:val="0"/>
              <w:marRight w:val="0"/>
              <w:marTop w:val="0"/>
              <w:marBottom w:val="0"/>
              <w:divBdr>
                <w:top w:val="none" w:sz="0" w:space="0" w:color="auto"/>
                <w:left w:val="none" w:sz="0" w:space="0" w:color="auto"/>
                <w:bottom w:val="none" w:sz="0" w:space="0" w:color="auto"/>
                <w:right w:val="none" w:sz="0" w:space="0" w:color="auto"/>
              </w:divBdr>
              <w:divsChild>
                <w:div w:id="1093892010">
                  <w:marLeft w:val="0"/>
                  <w:marRight w:val="0"/>
                  <w:marTop w:val="0"/>
                  <w:marBottom w:val="0"/>
                  <w:divBdr>
                    <w:top w:val="none" w:sz="0" w:space="0" w:color="auto"/>
                    <w:left w:val="none" w:sz="0" w:space="0" w:color="auto"/>
                    <w:bottom w:val="none" w:sz="0" w:space="0" w:color="auto"/>
                    <w:right w:val="none" w:sz="0" w:space="0" w:color="auto"/>
                  </w:divBdr>
                  <w:divsChild>
                    <w:div w:id="1781606351">
                      <w:marLeft w:val="0"/>
                      <w:marRight w:val="0"/>
                      <w:marTop w:val="0"/>
                      <w:marBottom w:val="0"/>
                      <w:divBdr>
                        <w:top w:val="none" w:sz="0" w:space="0" w:color="auto"/>
                        <w:left w:val="none" w:sz="0" w:space="0" w:color="auto"/>
                        <w:bottom w:val="none" w:sz="0" w:space="0" w:color="auto"/>
                        <w:right w:val="none" w:sz="0" w:space="0" w:color="auto"/>
                      </w:divBdr>
                      <w:divsChild>
                        <w:div w:id="1605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09066">
      <w:bodyDiv w:val="1"/>
      <w:marLeft w:val="0"/>
      <w:marRight w:val="0"/>
      <w:marTop w:val="0"/>
      <w:marBottom w:val="0"/>
      <w:divBdr>
        <w:top w:val="none" w:sz="0" w:space="0" w:color="auto"/>
        <w:left w:val="none" w:sz="0" w:space="0" w:color="auto"/>
        <w:bottom w:val="none" w:sz="0" w:space="0" w:color="auto"/>
        <w:right w:val="none" w:sz="0" w:space="0" w:color="auto"/>
      </w:divBdr>
    </w:div>
    <w:div w:id="1507985255">
      <w:bodyDiv w:val="1"/>
      <w:marLeft w:val="0"/>
      <w:marRight w:val="0"/>
      <w:marTop w:val="0"/>
      <w:marBottom w:val="0"/>
      <w:divBdr>
        <w:top w:val="none" w:sz="0" w:space="0" w:color="auto"/>
        <w:left w:val="none" w:sz="0" w:space="0" w:color="auto"/>
        <w:bottom w:val="none" w:sz="0" w:space="0" w:color="auto"/>
        <w:right w:val="none" w:sz="0" w:space="0" w:color="auto"/>
      </w:divBdr>
    </w:div>
    <w:div w:id="1534268974">
      <w:bodyDiv w:val="1"/>
      <w:marLeft w:val="0"/>
      <w:marRight w:val="0"/>
      <w:marTop w:val="0"/>
      <w:marBottom w:val="0"/>
      <w:divBdr>
        <w:top w:val="none" w:sz="0" w:space="0" w:color="auto"/>
        <w:left w:val="none" w:sz="0" w:space="0" w:color="auto"/>
        <w:bottom w:val="none" w:sz="0" w:space="0" w:color="auto"/>
        <w:right w:val="none" w:sz="0" w:space="0" w:color="auto"/>
      </w:divBdr>
    </w:div>
    <w:div w:id="1535145939">
      <w:bodyDiv w:val="1"/>
      <w:marLeft w:val="0"/>
      <w:marRight w:val="0"/>
      <w:marTop w:val="0"/>
      <w:marBottom w:val="0"/>
      <w:divBdr>
        <w:top w:val="none" w:sz="0" w:space="0" w:color="auto"/>
        <w:left w:val="none" w:sz="0" w:space="0" w:color="auto"/>
        <w:bottom w:val="none" w:sz="0" w:space="0" w:color="auto"/>
        <w:right w:val="none" w:sz="0" w:space="0" w:color="auto"/>
      </w:divBdr>
    </w:div>
    <w:div w:id="1539661791">
      <w:bodyDiv w:val="1"/>
      <w:marLeft w:val="0"/>
      <w:marRight w:val="0"/>
      <w:marTop w:val="0"/>
      <w:marBottom w:val="0"/>
      <w:divBdr>
        <w:top w:val="none" w:sz="0" w:space="0" w:color="auto"/>
        <w:left w:val="none" w:sz="0" w:space="0" w:color="auto"/>
        <w:bottom w:val="none" w:sz="0" w:space="0" w:color="auto"/>
        <w:right w:val="none" w:sz="0" w:space="0" w:color="auto"/>
      </w:divBdr>
    </w:div>
    <w:div w:id="1565798406">
      <w:bodyDiv w:val="1"/>
      <w:marLeft w:val="0"/>
      <w:marRight w:val="0"/>
      <w:marTop w:val="0"/>
      <w:marBottom w:val="0"/>
      <w:divBdr>
        <w:top w:val="none" w:sz="0" w:space="0" w:color="auto"/>
        <w:left w:val="none" w:sz="0" w:space="0" w:color="auto"/>
        <w:bottom w:val="none" w:sz="0" w:space="0" w:color="auto"/>
        <w:right w:val="none" w:sz="0" w:space="0" w:color="auto"/>
      </w:divBdr>
    </w:div>
    <w:div w:id="1571385608">
      <w:bodyDiv w:val="1"/>
      <w:marLeft w:val="0"/>
      <w:marRight w:val="0"/>
      <w:marTop w:val="0"/>
      <w:marBottom w:val="0"/>
      <w:divBdr>
        <w:top w:val="none" w:sz="0" w:space="0" w:color="auto"/>
        <w:left w:val="none" w:sz="0" w:space="0" w:color="auto"/>
        <w:bottom w:val="none" w:sz="0" w:space="0" w:color="auto"/>
        <w:right w:val="none" w:sz="0" w:space="0" w:color="auto"/>
      </w:divBdr>
    </w:div>
    <w:div w:id="1591428519">
      <w:bodyDiv w:val="1"/>
      <w:marLeft w:val="0"/>
      <w:marRight w:val="0"/>
      <w:marTop w:val="0"/>
      <w:marBottom w:val="0"/>
      <w:divBdr>
        <w:top w:val="none" w:sz="0" w:space="0" w:color="auto"/>
        <w:left w:val="none" w:sz="0" w:space="0" w:color="auto"/>
        <w:bottom w:val="none" w:sz="0" w:space="0" w:color="auto"/>
        <w:right w:val="none" w:sz="0" w:space="0" w:color="auto"/>
      </w:divBdr>
    </w:div>
    <w:div w:id="1610698219">
      <w:bodyDiv w:val="1"/>
      <w:marLeft w:val="0"/>
      <w:marRight w:val="0"/>
      <w:marTop w:val="0"/>
      <w:marBottom w:val="0"/>
      <w:divBdr>
        <w:top w:val="none" w:sz="0" w:space="0" w:color="auto"/>
        <w:left w:val="none" w:sz="0" w:space="0" w:color="auto"/>
        <w:bottom w:val="none" w:sz="0" w:space="0" w:color="auto"/>
        <w:right w:val="none" w:sz="0" w:space="0" w:color="auto"/>
      </w:divBdr>
    </w:div>
    <w:div w:id="1617637288">
      <w:bodyDiv w:val="1"/>
      <w:marLeft w:val="0"/>
      <w:marRight w:val="0"/>
      <w:marTop w:val="0"/>
      <w:marBottom w:val="0"/>
      <w:divBdr>
        <w:top w:val="none" w:sz="0" w:space="0" w:color="auto"/>
        <w:left w:val="none" w:sz="0" w:space="0" w:color="auto"/>
        <w:bottom w:val="none" w:sz="0" w:space="0" w:color="auto"/>
        <w:right w:val="none" w:sz="0" w:space="0" w:color="auto"/>
      </w:divBdr>
    </w:div>
    <w:div w:id="1627930994">
      <w:bodyDiv w:val="1"/>
      <w:marLeft w:val="0"/>
      <w:marRight w:val="0"/>
      <w:marTop w:val="0"/>
      <w:marBottom w:val="0"/>
      <w:divBdr>
        <w:top w:val="none" w:sz="0" w:space="0" w:color="auto"/>
        <w:left w:val="none" w:sz="0" w:space="0" w:color="auto"/>
        <w:bottom w:val="none" w:sz="0" w:space="0" w:color="auto"/>
        <w:right w:val="none" w:sz="0" w:space="0" w:color="auto"/>
      </w:divBdr>
    </w:div>
    <w:div w:id="1631092143">
      <w:bodyDiv w:val="1"/>
      <w:marLeft w:val="0"/>
      <w:marRight w:val="0"/>
      <w:marTop w:val="0"/>
      <w:marBottom w:val="0"/>
      <w:divBdr>
        <w:top w:val="none" w:sz="0" w:space="0" w:color="auto"/>
        <w:left w:val="none" w:sz="0" w:space="0" w:color="auto"/>
        <w:bottom w:val="none" w:sz="0" w:space="0" w:color="auto"/>
        <w:right w:val="none" w:sz="0" w:space="0" w:color="auto"/>
      </w:divBdr>
      <w:divsChild>
        <w:div w:id="1894192742">
          <w:marLeft w:val="0"/>
          <w:marRight w:val="0"/>
          <w:marTop w:val="0"/>
          <w:marBottom w:val="0"/>
          <w:divBdr>
            <w:top w:val="none" w:sz="0" w:space="0" w:color="auto"/>
            <w:left w:val="none" w:sz="0" w:space="0" w:color="auto"/>
            <w:bottom w:val="none" w:sz="0" w:space="0" w:color="auto"/>
            <w:right w:val="none" w:sz="0" w:space="0" w:color="auto"/>
          </w:divBdr>
          <w:divsChild>
            <w:div w:id="1645431522">
              <w:marLeft w:val="0"/>
              <w:marRight w:val="0"/>
              <w:marTop w:val="0"/>
              <w:marBottom w:val="0"/>
              <w:divBdr>
                <w:top w:val="none" w:sz="0" w:space="0" w:color="auto"/>
                <w:left w:val="none" w:sz="0" w:space="0" w:color="auto"/>
                <w:bottom w:val="none" w:sz="0" w:space="0" w:color="auto"/>
                <w:right w:val="none" w:sz="0" w:space="0" w:color="auto"/>
              </w:divBdr>
              <w:divsChild>
                <w:div w:id="879971419">
                  <w:marLeft w:val="0"/>
                  <w:marRight w:val="0"/>
                  <w:marTop w:val="0"/>
                  <w:marBottom w:val="0"/>
                  <w:divBdr>
                    <w:top w:val="none" w:sz="0" w:space="0" w:color="auto"/>
                    <w:left w:val="none" w:sz="0" w:space="0" w:color="auto"/>
                    <w:bottom w:val="none" w:sz="0" w:space="0" w:color="auto"/>
                    <w:right w:val="none" w:sz="0" w:space="0" w:color="auto"/>
                  </w:divBdr>
                  <w:divsChild>
                    <w:div w:id="1869756154">
                      <w:marLeft w:val="0"/>
                      <w:marRight w:val="0"/>
                      <w:marTop w:val="0"/>
                      <w:marBottom w:val="0"/>
                      <w:divBdr>
                        <w:top w:val="none" w:sz="0" w:space="0" w:color="auto"/>
                        <w:left w:val="none" w:sz="0" w:space="0" w:color="auto"/>
                        <w:bottom w:val="none" w:sz="0" w:space="0" w:color="auto"/>
                        <w:right w:val="none" w:sz="0" w:space="0" w:color="auto"/>
                      </w:divBdr>
                      <w:divsChild>
                        <w:div w:id="114546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321462">
      <w:bodyDiv w:val="1"/>
      <w:marLeft w:val="0"/>
      <w:marRight w:val="0"/>
      <w:marTop w:val="0"/>
      <w:marBottom w:val="0"/>
      <w:divBdr>
        <w:top w:val="none" w:sz="0" w:space="0" w:color="auto"/>
        <w:left w:val="none" w:sz="0" w:space="0" w:color="auto"/>
        <w:bottom w:val="none" w:sz="0" w:space="0" w:color="auto"/>
        <w:right w:val="none" w:sz="0" w:space="0" w:color="auto"/>
      </w:divBdr>
    </w:div>
    <w:div w:id="1654721795">
      <w:bodyDiv w:val="1"/>
      <w:marLeft w:val="0"/>
      <w:marRight w:val="0"/>
      <w:marTop w:val="0"/>
      <w:marBottom w:val="0"/>
      <w:divBdr>
        <w:top w:val="none" w:sz="0" w:space="0" w:color="auto"/>
        <w:left w:val="none" w:sz="0" w:space="0" w:color="auto"/>
        <w:bottom w:val="none" w:sz="0" w:space="0" w:color="auto"/>
        <w:right w:val="none" w:sz="0" w:space="0" w:color="auto"/>
      </w:divBdr>
    </w:div>
    <w:div w:id="1664509932">
      <w:bodyDiv w:val="1"/>
      <w:marLeft w:val="0"/>
      <w:marRight w:val="0"/>
      <w:marTop w:val="0"/>
      <w:marBottom w:val="0"/>
      <w:divBdr>
        <w:top w:val="none" w:sz="0" w:space="0" w:color="auto"/>
        <w:left w:val="none" w:sz="0" w:space="0" w:color="auto"/>
        <w:bottom w:val="none" w:sz="0" w:space="0" w:color="auto"/>
        <w:right w:val="none" w:sz="0" w:space="0" w:color="auto"/>
      </w:divBdr>
    </w:div>
    <w:div w:id="1666133118">
      <w:bodyDiv w:val="1"/>
      <w:marLeft w:val="0"/>
      <w:marRight w:val="0"/>
      <w:marTop w:val="0"/>
      <w:marBottom w:val="0"/>
      <w:divBdr>
        <w:top w:val="none" w:sz="0" w:space="0" w:color="auto"/>
        <w:left w:val="none" w:sz="0" w:space="0" w:color="auto"/>
        <w:bottom w:val="none" w:sz="0" w:space="0" w:color="auto"/>
        <w:right w:val="none" w:sz="0" w:space="0" w:color="auto"/>
      </w:divBdr>
    </w:div>
    <w:div w:id="1686521835">
      <w:bodyDiv w:val="1"/>
      <w:marLeft w:val="0"/>
      <w:marRight w:val="0"/>
      <w:marTop w:val="0"/>
      <w:marBottom w:val="0"/>
      <w:divBdr>
        <w:top w:val="none" w:sz="0" w:space="0" w:color="auto"/>
        <w:left w:val="none" w:sz="0" w:space="0" w:color="auto"/>
        <w:bottom w:val="none" w:sz="0" w:space="0" w:color="auto"/>
        <w:right w:val="none" w:sz="0" w:space="0" w:color="auto"/>
      </w:divBdr>
    </w:div>
    <w:div w:id="1721392220">
      <w:bodyDiv w:val="1"/>
      <w:marLeft w:val="0"/>
      <w:marRight w:val="0"/>
      <w:marTop w:val="0"/>
      <w:marBottom w:val="0"/>
      <w:divBdr>
        <w:top w:val="none" w:sz="0" w:space="0" w:color="auto"/>
        <w:left w:val="none" w:sz="0" w:space="0" w:color="auto"/>
        <w:bottom w:val="none" w:sz="0" w:space="0" w:color="auto"/>
        <w:right w:val="none" w:sz="0" w:space="0" w:color="auto"/>
      </w:divBdr>
    </w:div>
    <w:div w:id="1729306208">
      <w:bodyDiv w:val="1"/>
      <w:marLeft w:val="0"/>
      <w:marRight w:val="0"/>
      <w:marTop w:val="0"/>
      <w:marBottom w:val="0"/>
      <w:divBdr>
        <w:top w:val="none" w:sz="0" w:space="0" w:color="auto"/>
        <w:left w:val="none" w:sz="0" w:space="0" w:color="auto"/>
        <w:bottom w:val="none" w:sz="0" w:space="0" w:color="auto"/>
        <w:right w:val="none" w:sz="0" w:space="0" w:color="auto"/>
      </w:divBdr>
    </w:div>
    <w:div w:id="1790321279">
      <w:bodyDiv w:val="1"/>
      <w:marLeft w:val="0"/>
      <w:marRight w:val="0"/>
      <w:marTop w:val="0"/>
      <w:marBottom w:val="0"/>
      <w:divBdr>
        <w:top w:val="none" w:sz="0" w:space="0" w:color="auto"/>
        <w:left w:val="none" w:sz="0" w:space="0" w:color="auto"/>
        <w:bottom w:val="none" w:sz="0" w:space="0" w:color="auto"/>
        <w:right w:val="none" w:sz="0" w:space="0" w:color="auto"/>
      </w:divBdr>
    </w:div>
    <w:div w:id="1801074445">
      <w:bodyDiv w:val="1"/>
      <w:marLeft w:val="0"/>
      <w:marRight w:val="0"/>
      <w:marTop w:val="0"/>
      <w:marBottom w:val="0"/>
      <w:divBdr>
        <w:top w:val="none" w:sz="0" w:space="0" w:color="auto"/>
        <w:left w:val="none" w:sz="0" w:space="0" w:color="auto"/>
        <w:bottom w:val="none" w:sz="0" w:space="0" w:color="auto"/>
        <w:right w:val="none" w:sz="0" w:space="0" w:color="auto"/>
      </w:divBdr>
    </w:div>
    <w:div w:id="1883205027">
      <w:bodyDiv w:val="1"/>
      <w:marLeft w:val="0"/>
      <w:marRight w:val="0"/>
      <w:marTop w:val="0"/>
      <w:marBottom w:val="0"/>
      <w:divBdr>
        <w:top w:val="none" w:sz="0" w:space="0" w:color="auto"/>
        <w:left w:val="none" w:sz="0" w:space="0" w:color="auto"/>
        <w:bottom w:val="none" w:sz="0" w:space="0" w:color="auto"/>
        <w:right w:val="none" w:sz="0" w:space="0" w:color="auto"/>
      </w:divBdr>
    </w:div>
    <w:div w:id="1887448976">
      <w:bodyDiv w:val="1"/>
      <w:marLeft w:val="0"/>
      <w:marRight w:val="0"/>
      <w:marTop w:val="0"/>
      <w:marBottom w:val="0"/>
      <w:divBdr>
        <w:top w:val="none" w:sz="0" w:space="0" w:color="auto"/>
        <w:left w:val="none" w:sz="0" w:space="0" w:color="auto"/>
        <w:bottom w:val="none" w:sz="0" w:space="0" w:color="auto"/>
        <w:right w:val="none" w:sz="0" w:space="0" w:color="auto"/>
      </w:divBdr>
    </w:div>
    <w:div w:id="1900510448">
      <w:bodyDiv w:val="1"/>
      <w:marLeft w:val="0"/>
      <w:marRight w:val="0"/>
      <w:marTop w:val="0"/>
      <w:marBottom w:val="0"/>
      <w:divBdr>
        <w:top w:val="none" w:sz="0" w:space="0" w:color="auto"/>
        <w:left w:val="none" w:sz="0" w:space="0" w:color="auto"/>
        <w:bottom w:val="none" w:sz="0" w:space="0" w:color="auto"/>
        <w:right w:val="none" w:sz="0" w:space="0" w:color="auto"/>
      </w:divBdr>
    </w:div>
    <w:div w:id="1902058300">
      <w:bodyDiv w:val="1"/>
      <w:marLeft w:val="0"/>
      <w:marRight w:val="0"/>
      <w:marTop w:val="0"/>
      <w:marBottom w:val="0"/>
      <w:divBdr>
        <w:top w:val="none" w:sz="0" w:space="0" w:color="auto"/>
        <w:left w:val="none" w:sz="0" w:space="0" w:color="auto"/>
        <w:bottom w:val="none" w:sz="0" w:space="0" w:color="auto"/>
        <w:right w:val="none" w:sz="0" w:space="0" w:color="auto"/>
      </w:divBdr>
    </w:div>
    <w:div w:id="1912738630">
      <w:bodyDiv w:val="1"/>
      <w:marLeft w:val="0"/>
      <w:marRight w:val="0"/>
      <w:marTop w:val="0"/>
      <w:marBottom w:val="0"/>
      <w:divBdr>
        <w:top w:val="none" w:sz="0" w:space="0" w:color="auto"/>
        <w:left w:val="none" w:sz="0" w:space="0" w:color="auto"/>
        <w:bottom w:val="none" w:sz="0" w:space="0" w:color="auto"/>
        <w:right w:val="none" w:sz="0" w:space="0" w:color="auto"/>
      </w:divBdr>
    </w:div>
    <w:div w:id="1917670861">
      <w:bodyDiv w:val="1"/>
      <w:marLeft w:val="0"/>
      <w:marRight w:val="0"/>
      <w:marTop w:val="0"/>
      <w:marBottom w:val="0"/>
      <w:divBdr>
        <w:top w:val="none" w:sz="0" w:space="0" w:color="auto"/>
        <w:left w:val="none" w:sz="0" w:space="0" w:color="auto"/>
        <w:bottom w:val="none" w:sz="0" w:space="0" w:color="auto"/>
        <w:right w:val="none" w:sz="0" w:space="0" w:color="auto"/>
      </w:divBdr>
    </w:div>
    <w:div w:id="1928075796">
      <w:bodyDiv w:val="1"/>
      <w:marLeft w:val="0"/>
      <w:marRight w:val="0"/>
      <w:marTop w:val="0"/>
      <w:marBottom w:val="0"/>
      <w:divBdr>
        <w:top w:val="none" w:sz="0" w:space="0" w:color="auto"/>
        <w:left w:val="none" w:sz="0" w:space="0" w:color="auto"/>
        <w:bottom w:val="none" w:sz="0" w:space="0" w:color="auto"/>
        <w:right w:val="none" w:sz="0" w:space="0" w:color="auto"/>
      </w:divBdr>
    </w:div>
    <w:div w:id="1951351833">
      <w:bodyDiv w:val="1"/>
      <w:marLeft w:val="0"/>
      <w:marRight w:val="0"/>
      <w:marTop w:val="0"/>
      <w:marBottom w:val="0"/>
      <w:divBdr>
        <w:top w:val="none" w:sz="0" w:space="0" w:color="auto"/>
        <w:left w:val="none" w:sz="0" w:space="0" w:color="auto"/>
        <w:bottom w:val="none" w:sz="0" w:space="0" w:color="auto"/>
        <w:right w:val="none" w:sz="0" w:space="0" w:color="auto"/>
      </w:divBdr>
    </w:div>
    <w:div w:id="1966424796">
      <w:bodyDiv w:val="1"/>
      <w:marLeft w:val="0"/>
      <w:marRight w:val="0"/>
      <w:marTop w:val="0"/>
      <w:marBottom w:val="0"/>
      <w:divBdr>
        <w:top w:val="none" w:sz="0" w:space="0" w:color="auto"/>
        <w:left w:val="none" w:sz="0" w:space="0" w:color="auto"/>
        <w:bottom w:val="none" w:sz="0" w:space="0" w:color="auto"/>
        <w:right w:val="none" w:sz="0" w:space="0" w:color="auto"/>
      </w:divBdr>
    </w:div>
    <w:div w:id="1990354878">
      <w:bodyDiv w:val="1"/>
      <w:marLeft w:val="0"/>
      <w:marRight w:val="0"/>
      <w:marTop w:val="0"/>
      <w:marBottom w:val="0"/>
      <w:divBdr>
        <w:top w:val="none" w:sz="0" w:space="0" w:color="auto"/>
        <w:left w:val="none" w:sz="0" w:space="0" w:color="auto"/>
        <w:bottom w:val="none" w:sz="0" w:space="0" w:color="auto"/>
        <w:right w:val="none" w:sz="0" w:space="0" w:color="auto"/>
      </w:divBdr>
    </w:div>
    <w:div w:id="2009215381">
      <w:bodyDiv w:val="1"/>
      <w:marLeft w:val="0"/>
      <w:marRight w:val="0"/>
      <w:marTop w:val="0"/>
      <w:marBottom w:val="0"/>
      <w:divBdr>
        <w:top w:val="none" w:sz="0" w:space="0" w:color="auto"/>
        <w:left w:val="none" w:sz="0" w:space="0" w:color="auto"/>
        <w:bottom w:val="none" w:sz="0" w:space="0" w:color="auto"/>
        <w:right w:val="none" w:sz="0" w:space="0" w:color="auto"/>
      </w:divBdr>
    </w:div>
    <w:div w:id="2015376066">
      <w:bodyDiv w:val="1"/>
      <w:marLeft w:val="0"/>
      <w:marRight w:val="0"/>
      <w:marTop w:val="0"/>
      <w:marBottom w:val="0"/>
      <w:divBdr>
        <w:top w:val="none" w:sz="0" w:space="0" w:color="auto"/>
        <w:left w:val="none" w:sz="0" w:space="0" w:color="auto"/>
        <w:bottom w:val="none" w:sz="0" w:space="0" w:color="auto"/>
        <w:right w:val="none" w:sz="0" w:space="0" w:color="auto"/>
      </w:divBdr>
    </w:div>
    <w:div w:id="2017225795">
      <w:bodyDiv w:val="1"/>
      <w:marLeft w:val="0"/>
      <w:marRight w:val="0"/>
      <w:marTop w:val="0"/>
      <w:marBottom w:val="0"/>
      <w:divBdr>
        <w:top w:val="none" w:sz="0" w:space="0" w:color="auto"/>
        <w:left w:val="none" w:sz="0" w:space="0" w:color="auto"/>
        <w:bottom w:val="none" w:sz="0" w:space="0" w:color="auto"/>
        <w:right w:val="none" w:sz="0" w:space="0" w:color="auto"/>
      </w:divBdr>
    </w:div>
    <w:div w:id="2019695661">
      <w:bodyDiv w:val="1"/>
      <w:marLeft w:val="0"/>
      <w:marRight w:val="0"/>
      <w:marTop w:val="0"/>
      <w:marBottom w:val="0"/>
      <w:divBdr>
        <w:top w:val="none" w:sz="0" w:space="0" w:color="auto"/>
        <w:left w:val="none" w:sz="0" w:space="0" w:color="auto"/>
        <w:bottom w:val="none" w:sz="0" w:space="0" w:color="auto"/>
        <w:right w:val="none" w:sz="0" w:space="0" w:color="auto"/>
      </w:divBdr>
    </w:div>
    <w:div w:id="2030599840">
      <w:bodyDiv w:val="1"/>
      <w:marLeft w:val="0"/>
      <w:marRight w:val="0"/>
      <w:marTop w:val="0"/>
      <w:marBottom w:val="0"/>
      <w:divBdr>
        <w:top w:val="none" w:sz="0" w:space="0" w:color="auto"/>
        <w:left w:val="none" w:sz="0" w:space="0" w:color="auto"/>
        <w:bottom w:val="none" w:sz="0" w:space="0" w:color="auto"/>
        <w:right w:val="none" w:sz="0" w:space="0" w:color="auto"/>
      </w:divBdr>
    </w:div>
    <w:div w:id="2065172739">
      <w:bodyDiv w:val="1"/>
      <w:marLeft w:val="0"/>
      <w:marRight w:val="0"/>
      <w:marTop w:val="0"/>
      <w:marBottom w:val="0"/>
      <w:divBdr>
        <w:top w:val="none" w:sz="0" w:space="0" w:color="auto"/>
        <w:left w:val="none" w:sz="0" w:space="0" w:color="auto"/>
        <w:bottom w:val="none" w:sz="0" w:space="0" w:color="auto"/>
        <w:right w:val="none" w:sz="0" w:space="0" w:color="auto"/>
      </w:divBdr>
      <w:divsChild>
        <w:div w:id="1242563214">
          <w:marLeft w:val="0"/>
          <w:marRight w:val="0"/>
          <w:marTop w:val="0"/>
          <w:marBottom w:val="0"/>
          <w:divBdr>
            <w:top w:val="none" w:sz="0" w:space="0" w:color="auto"/>
            <w:left w:val="none" w:sz="0" w:space="0" w:color="auto"/>
            <w:bottom w:val="none" w:sz="0" w:space="0" w:color="auto"/>
            <w:right w:val="none" w:sz="0" w:space="0" w:color="auto"/>
          </w:divBdr>
          <w:divsChild>
            <w:div w:id="1385326845">
              <w:marLeft w:val="0"/>
              <w:marRight w:val="0"/>
              <w:marTop w:val="0"/>
              <w:marBottom w:val="0"/>
              <w:divBdr>
                <w:top w:val="none" w:sz="0" w:space="0" w:color="auto"/>
                <w:left w:val="none" w:sz="0" w:space="0" w:color="auto"/>
                <w:bottom w:val="none" w:sz="0" w:space="0" w:color="auto"/>
                <w:right w:val="none" w:sz="0" w:space="0" w:color="auto"/>
              </w:divBdr>
              <w:divsChild>
                <w:div w:id="559174580">
                  <w:marLeft w:val="0"/>
                  <w:marRight w:val="0"/>
                  <w:marTop w:val="0"/>
                  <w:marBottom w:val="0"/>
                  <w:divBdr>
                    <w:top w:val="none" w:sz="0" w:space="0" w:color="auto"/>
                    <w:left w:val="none" w:sz="0" w:space="0" w:color="auto"/>
                    <w:bottom w:val="none" w:sz="0" w:space="0" w:color="auto"/>
                    <w:right w:val="none" w:sz="0" w:space="0" w:color="auto"/>
                  </w:divBdr>
                  <w:divsChild>
                    <w:div w:id="1714185264">
                      <w:marLeft w:val="0"/>
                      <w:marRight w:val="0"/>
                      <w:marTop w:val="0"/>
                      <w:marBottom w:val="0"/>
                      <w:divBdr>
                        <w:top w:val="none" w:sz="0" w:space="0" w:color="auto"/>
                        <w:left w:val="none" w:sz="0" w:space="0" w:color="auto"/>
                        <w:bottom w:val="none" w:sz="0" w:space="0" w:color="auto"/>
                        <w:right w:val="none" w:sz="0" w:space="0" w:color="auto"/>
                      </w:divBdr>
                      <w:divsChild>
                        <w:div w:id="14779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741381">
      <w:bodyDiv w:val="1"/>
      <w:marLeft w:val="0"/>
      <w:marRight w:val="0"/>
      <w:marTop w:val="0"/>
      <w:marBottom w:val="0"/>
      <w:divBdr>
        <w:top w:val="none" w:sz="0" w:space="0" w:color="auto"/>
        <w:left w:val="none" w:sz="0" w:space="0" w:color="auto"/>
        <w:bottom w:val="none" w:sz="0" w:space="0" w:color="auto"/>
        <w:right w:val="none" w:sz="0" w:space="0" w:color="auto"/>
      </w:divBdr>
    </w:div>
    <w:div w:id="2082098385">
      <w:bodyDiv w:val="1"/>
      <w:marLeft w:val="0"/>
      <w:marRight w:val="0"/>
      <w:marTop w:val="0"/>
      <w:marBottom w:val="0"/>
      <w:divBdr>
        <w:top w:val="none" w:sz="0" w:space="0" w:color="auto"/>
        <w:left w:val="none" w:sz="0" w:space="0" w:color="auto"/>
        <w:bottom w:val="none" w:sz="0" w:space="0" w:color="auto"/>
        <w:right w:val="none" w:sz="0" w:space="0" w:color="auto"/>
      </w:divBdr>
    </w:div>
    <w:div w:id="2088532374">
      <w:bodyDiv w:val="1"/>
      <w:marLeft w:val="0"/>
      <w:marRight w:val="0"/>
      <w:marTop w:val="0"/>
      <w:marBottom w:val="0"/>
      <w:divBdr>
        <w:top w:val="none" w:sz="0" w:space="0" w:color="auto"/>
        <w:left w:val="none" w:sz="0" w:space="0" w:color="auto"/>
        <w:bottom w:val="none" w:sz="0" w:space="0" w:color="auto"/>
        <w:right w:val="none" w:sz="0" w:space="0" w:color="auto"/>
      </w:divBdr>
    </w:div>
    <w:div w:id="214238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hyperlink" Target="http://en.wikipedia.org/wiki/Epithelium" TargetMode="External"/><Relationship Id="rId26" Type="http://schemas.openxmlformats.org/officeDocument/2006/relationships/image" Target="media/image8.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n.wikipedia.org/wiki/Human" TargetMode="External"/><Relationship Id="rId25" Type="http://schemas.openxmlformats.org/officeDocument/2006/relationships/image" Target="media/image7.emf"/><Relationship Id="rId33" Type="http://schemas.openxmlformats.org/officeDocument/2006/relationships/header" Target="header5.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en.wikipedia.org/wiki/Adenocarcinoma" TargetMode="External"/><Relationship Id="rId29" Type="http://schemas.openxmlformats.org/officeDocument/2006/relationships/image" Target="media/image11.wmf"/><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arv.ashm.org.au/pdf/ARV_Guidelines_AustCommentary_March28.pdf" TargetMode="Externa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emf"/><Relationship Id="rId28" Type="http://schemas.openxmlformats.org/officeDocument/2006/relationships/image" Target="media/image10.wmf"/><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en.wikipedia.org/wiki/Colon_(anatomy)" TargetMode="External"/><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header" Target="header6.xml"/><Relationship Id="rId43" Type="http://schemas.openxmlformats.org/officeDocument/2006/relationships/theme" Target="theme/theme1.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arv.ashm.org.au/pdf/ARV_Guidelines_AustCommentary_March28.pdf" TargetMode="External"/><Relationship Id="rId1" Type="http://schemas.openxmlformats.org/officeDocument/2006/relationships/hyperlink" Target="http://www.fda.gov/OHRMS/DOCKETS/98fr/05d-0004-gdl0002.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3516\t0MNCF06.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8A89E-D532-4212-BA56-67E8D8019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t0MNCF06.DOTX</Template>
  <TotalTime>35</TotalTime>
  <Pages>70</Pages>
  <Words>30432</Words>
  <Characters>173465</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Australian public assessment for Tenofovir disoproxil fumarate, Emtricitabine, Elvitegravir and Cobicistat</vt:lpstr>
    </vt:vector>
  </TitlesOfParts>
  <Company>TGA</Company>
  <LinksUpToDate>false</LinksUpToDate>
  <CharactersWithSpaces>203491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Tenofovir disoproxil fumarate, Emtricitabine, Elvitegravir and Cobicistat</dc:title>
  <dc:subject>prescription medicine regulation</dc:subject>
  <dc:creator>Therapeutic Goods Administration</dc:creator>
  <cp:keywords>auspar, prescription, medicine, assessment, regulation, australia, Tenofovir disoproxil fumarate, Emtricitabine, Elvitegravir, Cobicistat, Stribild</cp:keywords>
  <cp:lastModifiedBy>Bird, Gail</cp:lastModifiedBy>
  <cp:revision>16</cp:revision>
  <cp:lastPrinted>2010-12-20T22:59:00Z</cp:lastPrinted>
  <dcterms:created xsi:type="dcterms:W3CDTF">2013-08-04T22:49:00Z</dcterms:created>
  <dcterms:modified xsi:type="dcterms:W3CDTF">2013-10-10T02:57:00Z</dcterms:modified>
</cp:coreProperties>
</file>